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F44" w:rsidRPr="007932F2" w:rsidRDefault="00613B1E" w:rsidP="008B2F44">
      <w:r w:rsidRPr="00CB032D">
        <w:rPr>
          <w:noProof/>
        </w:rPr>
        <w:drawing>
          <wp:inline distT="0" distB="0" distL="0" distR="0">
            <wp:extent cx="1457325" cy="1076325"/>
            <wp:effectExtent l="0" t="0" r="0" b="0"/>
            <wp:docPr id="17" name="Picture 2" descr="Title: Australian Coat of Arms - Description: 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Australian Coat of Arms - Description: Australian Coat of Arms"/>
                    <pic:cNvPicPr>
                      <a:picLocks noChangeAspect="1" noChangeArrowheads="1"/>
                    </pic:cNvPicPr>
                  </pic:nvPicPr>
                  <pic:blipFill>
                    <a:blip r:embed="rId8">
                      <a:extLst>
                        <a:ext uri="{28A0092B-C50C-407E-A947-70E740481C1C}">
                          <a14:useLocalDpi xmlns:a14="http://schemas.microsoft.com/office/drawing/2010/main" val="0"/>
                        </a:ext>
                      </a:extLst>
                    </a:blip>
                    <a:srcRect r="-266" b="-359"/>
                    <a:stretch>
                      <a:fillRect/>
                    </a:stretch>
                  </pic:blipFill>
                  <pic:spPr bwMode="auto">
                    <a:xfrm>
                      <a:off x="0" y="0"/>
                      <a:ext cx="1457325" cy="1076325"/>
                    </a:xfrm>
                    <a:prstGeom prst="rect">
                      <a:avLst/>
                    </a:prstGeom>
                    <a:noFill/>
                    <a:ln>
                      <a:noFill/>
                    </a:ln>
                  </pic:spPr>
                </pic:pic>
              </a:graphicData>
            </a:graphic>
          </wp:inline>
        </w:drawing>
      </w:r>
    </w:p>
    <w:p w:rsidR="001007DD" w:rsidRPr="007932F2" w:rsidRDefault="001007DD" w:rsidP="008B2F44"/>
    <w:p w:rsidR="001007DD" w:rsidRPr="007932F2" w:rsidRDefault="001007DD" w:rsidP="008B2F44"/>
    <w:p w:rsidR="00A85B7A" w:rsidRPr="00226330" w:rsidRDefault="008B2F44" w:rsidP="008B2F44">
      <w:pPr>
        <w:pStyle w:val="ADRTitle"/>
      </w:pPr>
      <w:r w:rsidRPr="00226330">
        <w:t>Vehicle Standard (Australian Design Rule </w:t>
      </w:r>
      <w:r w:rsidR="00813C6D" w:rsidRPr="00226330">
        <w:t>34/0</w:t>
      </w:r>
      <w:r w:rsidR="004E71A4" w:rsidRPr="00226330">
        <w:t>2</w:t>
      </w:r>
      <w:r w:rsidRPr="00226330">
        <w:t xml:space="preserve"> – </w:t>
      </w:r>
      <w:r w:rsidR="00813C6D" w:rsidRPr="00226330">
        <w:t xml:space="preserve">Child Restraint </w:t>
      </w:r>
      <w:r w:rsidR="00DC0536" w:rsidRPr="00226330">
        <w:t>Anchorages and Child Restraint Anchor Fittings</w:t>
      </w:r>
      <w:r w:rsidRPr="00226330">
        <w:t xml:space="preserve">) </w:t>
      </w:r>
      <w:r w:rsidR="00813C6D" w:rsidRPr="00226330">
        <w:t>20</w:t>
      </w:r>
      <w:r w:rsidR="00E207BC" w:rsidRPr="00226330">
        <w:t>12</w:t>
      </w:r>
    </w:p>
    <w:p w:rsidR="00F92EEB" w:rsidRDefault="00F92EEB" w:rsidP="00F92EEB">
      <w:pPr>
        <w:ind w:left="2835" w:hanging="2835"/>
      </w:pPr>
      <w:r>
        <w:t>Compilation:</w:t>
      </w:r>
      <w:r>
        <w:tab/>
      </w:r>
      <w:r>
        <w:tab/>
      </w:r>
      <w:r w:rsidR="002E17BC">
        <w:t>2</w:t>
      </w:r>
      <w:r>
        <w:t xml:space="preserve"> (up to and including Vehicle Standard (Australian Design Rule </w:t>
      </w:r>
      <w:r w:rsidRPr="00F92EEB">
        <w:t>34/02 – Child Restraint Anchorages and Child Restraint Anchor Fittings) 2012</w:t>
      </w:r>
      <w:r w:rsidR="00C26D7A">
        <w:t xml:space="preserve"> -</w:t>
      </w:r>
      <w:r>
        <w:t xml:space="preserve"> Amendment </w:t>
      </w:r>
      <w:r w:rsidR="00C26D7A">
        <w:t>2</w:t>
      </w:r>
      <w:r>
        <w:t>)</w:t>
      </w:r>
    </w:p>
    <w:p w:rsidR="00F92EEB" w:rsidRDefault="00F92EEB" w:rsidP="00F92EEB"/>
    <w:p w:rsidR="00F92EEB" w:rsidRDefault="00F92EEB" w:rsidP="00F92EEB">
      <w:r>
        <w:t>Compilation Date:</w:t>
      </w:r>
      <w:r>
        <w:tab/>
      </w:r>
      <w:r w:rsidR="002E17BC">
        <w:t>09/01/2019</w:t>
      </w:r>
    </w:p>
    <w:p w:rsidR="00F92EEB" w:rsidRDefault="00F92EEB" w:rsidP="00F92EEB"/>
    <w:p w:rsidR="00F92EEB" w:rsidRDefault="00F92EEB" w:rsidP="00F92EEB">
      <w:pPr>
        <w:ind w:left="2835" w:hanging="2835"/>
      </w:pPr>
      <w:r>
        <w:t>Compiled by:</w:t>
      </w:r>
      <w:r>
        <w:tab/>
      </w:r>
      <w:r>
        <w:tab/>
        <w:t>Vehicle Safety Standards, Department of Infrastructure</w:t>
      </w:r>
      <w:r w:rsidR="00C26D7A">
        <w:t>,</w:t>
      </w:r>
      <w:r>
        <w:t xml:space="preserve"> Regional Development</w:t>
      </w:r>
      <w:r w:rsidR="00C26D7A">
        <w:t xml:space="preserve"> and Cities</w:t>
      </w:r>
    </w:p>
    <w:p w:rsidR="00FA2CE7" w:rsidRDefault="00FA2CE7" w:rsidP="00F92EEB">
      <w:pPr>
        <w:ind w:left="2835" w:hanging="2835"/>
      </w:pPr>
    </w:p>
    <w:p w:rsidR="00FA2CE7" w:rsidRPr="006C0B66" w:rsidRDefault="00FA2CE7" w:rsidP="00FA2CE7">
      <w:pPr>
        <w:shd w:val="clear" w:color="auto" w:fill="FFFFFF"/>
        <w:ind w:left="2160" w:hanging="2160"/>
      </w:pPr>
      <w:r w:rsidRPr="006C0B66">
        <w:t>Enabling Legislation: </w:t>
      </w:r>
      <w:r>
        <w:tab/>
      </w:r>
      <w:r>
        <w:tab/>
      </w:r>
      <w:r w:rsidRPr="006C0B66">
        <w:t xml:space="preserve"> Motor Vehicle Standards Act 1989</w:t>
      </w:r>
    </w:p>
    <w:p w:rsidR="00FA2CE7" w:rsidRPr="006C0B66" w:rsidRDefault="00FA2CE7" w:rsidP="00FA2CE7">
      <w:pPr>
        <w:shd w:val="clear" w:color="auto" w:fill="FFFFFF"/>
        <w:ind w:left="2160" w:hanging="2160"/>
      </w:pPr>
      <w:r w:rsidRPr="006C0B66">
        <w:t>                                   </w:t>
      </w:r>
      <w:r>
        <w:tab/>
      </w:r>
      <w:r>
        <w:tab/>
      </w:r>
      <w:r w:rsidRPr="006C0B66">
        <w:t xml:space="preserve"> Section 7</w:t>
      </w:r>
    </w:p>
    <w:p w:rsidR="00FA2CE7" w:rsidRDefault="00FA2CE7" w:rsidP="00F92EEB">
      <w:pPr>
        <w:ind w:left="2835" w:hanging="2835"/>
        <w:sectPr w:rsidR="00FA2CE7" w:rsidSect="00211AE5">
          <w:headerReference w:type="default" r:id="rId9"/>
          <w:pgSz w:w="11906" w:h="16838"/>
          <w:pgMar w:top="1440" w:right="1440" w:bottom="1440" w:left="1440" w:header="708" w:footer="708" w:gutter="0"/>
          <w:cols w:space="708"/>
          <w:titlePg/>
          <w:docGrid w:linePitch="360"/>
        </w:sectPr>
      </w:pPr>
      <w:bookmarkStart w:id="0" w:name="_GoBack"/>
      <w:bookmarkEnd w:id="0"/>
    </w:p>
    <w:p w:rsidR="001028EA" w:rsidRPr="007932F2" w:rsidRDefault="007A731E" w:rsidP="001B0572">
      <w:pPr>
        <w:jc w:val="center"/>
        <w:rPr>
          <w:b/>
        </w:rPr>
      </w:pPr>
      <w:r w:rsidRPr="007932F2">
        <w:rPr>
          <w:b/>
        </w:rPr>
        <w:lastRenderedPageBreak/>
        <w:t>CONTENTS</w:t>
      </w:r>
    </w:p>
    <w:p w:rsidR="001B0572" w:rsidRPr="007932F2" w:rsidRDefault="001B0572">
      <w:pPr>
        <w:rPr>
          <w:b/>
        </w:rPr>
      </w:pPr>
    </w:p>
    <w:p w:rsidR="00F92EEB" w:rsidRPr="00211AE5" w:rsidRDefault="009A70A4">
      <w:pPr>
        <w:pStyle w:val="TOC1"/>
        <w:rPr>
          <w:rFonts w:ascii="Calibri" w:hAnsi="Calibri"/>
          <w:noProof/>
          <w:sz w:val="22"/>
          <w:szCs w:val="22"/>
        </w:rPr>
      </w:pPr>
      <w:r w:rsidRPr="00226330">
        <w:fldChar w:fldCharType="begin"/>
      </w:r>
      <w:r w:rsidR="00346C44" w:rsidRPr="00226330">
        <w:instrText xml:space="preserve"> TOC \t "Clause heading,1,ADR Heading,1" </w:instrText>
      </w:r>
      <w:r w:rsidRPr="00226330">
        <w:fldChar w:fldCharType="separate"/>
      </w:r>
      <w:r w:rsidR="00F92EEB">
        <w:rPr>
          <w:noProof/>
        </w:rPr>
        <w:t>A.1.</w:t>
      </w:r>
      <w:r w:rsidR="00F92EEB" w:rsidRPr="00211AE5">
        <w:rPr>
          <w:rFonts w:ascii="Calibri" w:hAnsi="Calibri"/>
          <w:noProof/>
          <w:sz w:val="22"/>
          <w:szCs w:val="22"/>
        </w:rPr>
        <w:tab/>
      </w:r>
      <w:r w:rsidR="00F92EEB">
        <w:rPr>
          <w:noProof/>
        </w:rPr>
        <w:t>NAME OF STANDARD</w:t>
      </w:r>
      <w:r w:rsidR="00F92EEB">
        <w:rPr>
          <w:noProof/>
        </w:rPr>
        <w:tab/>
      </w:r>
      <w:r w:rsidR="00F92EEB">
        <w:rPr>
          <w:noProof/>
        </w:rPr>
        <w:fldChar w:fldCharType="begin"/>
      </w:r>
      <w:r w:rsidR="00F92EEB">
        <w:rPr>
          <w:noProof/>
        </w:rPr>
        <w:instrText xml:space="preserve"> PAGEREF _Toc495582213 \h </w:instrText>
      </w:r>
      <w:r w:rsidR="00F92EEB">
        <w:rPr>
          <w:noProof/>
        </w:rPr>
      </w:r>
      <w:r w:rsidR="00F92EEB">
        <w:rPr>
          <w:noProof/>
        </w:rPr>
        <w:fldChar w:fldCharType="separate"/>
      </w:r>
      <w:r w:rsidR="00F92EEB">
        <w:rPr>
          <w:noProof/>
        </w:rPr>
        <w:t>3</w:t>
      </w:r>
      <w:r w:rsidR="00F92EEB">
        <w:rPr>
          <w:noProof/>
        </w:rPr>
        <w:fldChar w:fldCharType="end"/>
      </w:r>
    </w:p>
    <w:p w:rsidR="00F92EEB" w:rsidRPr="00211AE5" w:rsidRDefault="00F92EEB">
      <w:pPr>
        <w:pStyle w:val="TOC1"/>
        <w:rPr>
          <w:rFonts w:ascii="Calibri" w:hAnsi="Calibri"/>
          <w:noProof/>
          <w:sz w:val="22"/>
          <w:szCs w:val="22"/>
        </w:rPr>
      </w:pPr>
      <w:r>
        <w:rPr>
          <w:noProof/>
        </w:rPr>
        <w:t>A.2.</w:t>
      </w:r>
      <w:r w:rsidRPr="00211AE5">
        <w:rPr>
          <w:rFonts w:ascii="Calibri" w:hAnsi="Calibri"/>
          <w:noProof/>
          <w:sz w:val="22"/>
          <w:szCs w:val="22"/>
        </w:rPr>
        <w:tab/>
      </w:r>
      <w:r>
        <w:rPr>
          <w:noProof/>
        </w:rPr>
        <w:t>COMMENCEMENT</w:t>
      </w:r>
      <w:r>
        <w:rPr>
          <w:noProof/>
        </w:rPr>
        <w:tab/>
      </w:r>
      <w:r>
        <w:rPr>
          <w:noProof/>
        </w:rPr>
        <w:fldChar w:fldCharType="begin"/>
      </w:r>
      <w:r>
        <w:rPr>
          <w:noProof/>
        </w:rPr>
        <w:instrText xml:space="preserve"> PAGEREF _Toc495582214 \h </w:instrText>
      </w:r>
      <w:r>
        <w:rPr>
          <w:noProof/>
        </w:rPr>
      </w:r>
      <w:r>
        <w:rPr>
          <w:noProof/>
        </w:rPr>
        <w:fldChar w:fldCharType="separate"/>
      </w:r>
      <w:r>
        <w:rPr>
          <w:noProof/>
        </w:rPr>
        <w:t>3</w:t>
      </w:r>
      <w:r>
        <w:rPr>
          <w:noProof/>
        </w:rPr>
        <w:fldChar w:fldCharType="end"/>
      </w:r>
    </w:p>
    <w:p w:rsidR="00F92EEB" w:rsidRPr="00211AE5" w:rsidRDefault="00F92EEB">
      <w:pPr>
        <w:pStyle w:val="TOC1"/>
        <w:rPr>
          <w:rFonts w:ascii="Calibri" w:hAnsi="Calibri"/>
          <w:noProof/>
          <w:sz w:val="22"/>
          <w:szCs w:val="22"/>
        </w:rPr>
      </w:pPr>
      <w:r>
        <w:rPr>
          <w:noProof/>
        </w:rPr>
        <w:t>B.</w:t>
      </w:r>
      <w:r w:rsidRPr="00211AE5">
        <w:rPr>
          <w:rFonts w:ascii="Calibri" w:hAnsi="Calibri"/>
          <w:noProof/>
          <w:sz w:val="22"/>
          <w:szCs w:val="22"/>
        </w:rPr>
        <w:tab/>
      </w:r>
      <w:r>
        <w:rPr>
          <w:noProof/>
        </w:rPr>
        <w:t>SCOPE</w:t>
      </w:r>
      <w:r>
        <w:rPr>
          <w:noProof/>
        </w:rPr>
        <w:tab/>
      </w:r>
      <w:r>
        <w:rPr>
          <w:noProof/>
        </w:rPr>
        <w:fldChar w:fldCharType="begin"/>
      </w:r>
      <w:r>
        <w:rPr>
          <w:noProof/>
        </w:rPr>
        <w:instrText xml:space="preserve"> PAGEREF _Toc495582215 \h </w:instrText>
      </w:r>
      <w:r>
        <w:rPr>
          <w:noProof/>
        </w:rPr>
      </w:r>
      <w:r>
        <w:rPr>
          <w:noProof/>
        </w:rPr>
        <w:fldChar w:fldCharType="separate"/>
      </w:r>
      <w:r>
        <w:rPr>
          <w:noProof/>
        </w:rPr>
        <w:t>3</w:t>
      </w:r>
      <w:r>
        <w:rPr>
          <w:noProof/>
        </w:rPr>
        <w:fldChar w:fldCharType="end"/>
      </w:r>
    </w:p>
    <w:p w:rsidR="00F92EEB" w:rsidRPr="00211AE5" w:rsidRDefault="00F92EEB">
      <w:pPr>
        <w:pStyle w:val="TOC1"/>
        <w:rPr>
          <w:rFonts w:ascii="Calibri" w:hAnsi="Calibri"/>
          <w:noProof/>
          <w:sz w:val="22"/>
          <w:szCs w:val="22"/>
        </w:rPr>
      </w:pPr>
      <w:r>
        <w:rPr>
          <w:noProof/>
        </w:rPr>
        <w:t>C.</w:t>
      </w:r>
      <w:r w:rsidRPr="00211AE5">
        <w:rPr>
          <w:rFonts w:ascii="Calibri" w:hAnsi="Calibri"/>
          <w:noProof/>
          <w:sz w:val="22"/>
          <w:szCs w:val="22"/>
        </w:rPr>
        <w:tab/>
      </w:r>
      <w:r>
        <w:rPr>
          <w:noProof/>
        </w:rPr>
        <w:t>APPLICABILITY AND IMPLEMENTATION</w:t>
      </w:r>
      <w:r>
        <w:rPr>
          <w:noProof/>
        </w:rPr>
        <w:tab/>
      </w:r>
      <w:r>
        <w:rPr>
          <w:noProof/>
        </w:rPr>
        <w:fldChar w:fldCharType="begin"/>
      </w:r>
      <w:r>
        <w:rPr>
          <w:noProof/>
        </w:rPr>
        <w:instrText xml:space="preserve"> PAGEREF _Toc495582216 \h </w:instrText>
      </w:r>
      <w:r>
        <w:rPr>
          <w:noProof/>
        </w:rPr>
      </w:r>
      <w:r>
        <w:rPr>
          <w:noProof/>
        </w:rPr>
        <w:fldChar w:fldCharType="separate"/>
      </w:r>
      <w:r>
        <w:rPr>
          <w:noProof/>
        </w:rPr>
        <w:t>3</w:t>
      </w:r>
      <w:r>
        <w:rPr>
          <w:noProof/>
        </w:rPr>
        <w:fldChar w:fldCharType="end"/>
      </w:r>
    </w:p>
    <w:p w:rsidR="00F92EEB" w:rsidRPr="00211AE5" w:rsidRDefault="00F92EEB">
      <w:pPr>
        <w:pStyle w:val="TOC1"/>
        <w:rPr>
          <w:rFonts w:ascii="Calibri" w:hAnsi="Calibri"/>
          <w:noProof/>
          <w:sz w:val="22"/>
          <w:szCs w:val="22"/>
        </w:rPr>
      </w:pPr>
      <w:r>
        <w:rPr>
          <w:noProof/>
        </w:rPr>
        <w:t>D</w:t>
      </w:r>
      <w:r w:rsidRPr="00211AE5">
        <w:rPr>
          <w:rFonts w:ascii="Calibri" w:hAnsi="Calibri"/>
          <w:noProof/>
          <w:sz w:val="22"/>
          <w:szCs w:val="22"/>
        </w:rPr>
        <w:tab/>
      </w:r>
      <w:r>
        <w:rPr>
          <w:noProof/>
        </w:rPr>
        <w:t>APPLICABILITY TABLE</w:t>
      </w:r>
      <w:r>
        <w:rPr>
          <w:noProof/>
        </w:rPr>
        <w:tab/>
      </w:r>
      <w:r>
        <w:rPr>
          <w:noProof/>
        </w:rPr>
        <w:fldChar w:fldCharType="begin"/>
      </w:r>
      <w:r>
        <w:rPr>
          <w:noProof/>
        </w:rPr>
        <w:instrText xml:space="preserve"> PAGEREF _Toc495582217 \h </w:instrText>
      </w:r>
      <w:r>
        <w:rPr>
          <w:noProof/>
        </w:rPr>
      </w:r>
      <w:r>
        <w:rPr>
          <w:noProof/>
        </w:rPr>
        <w:fldChar w:fldCharType="separate"/>
      </w:r>
      <w:r>
        <w:rPr>
          <w:noProof/>
        </w:rPr>
        <w:t>4</w:t>
      </w:r>
      <w:r>
        <w:rPr>
          <w:noProof/>
        </w:rPr>
        <w:fldChar w:fldCharType="end"/>
      </w:r>
    </w:p>
    <w:p w:rsidR="00F92EEB" w:rsidRPr="00211AE5" w:rsidRDefault="00F92EEB">
      <w:pPr>
        <w:pStyle w:val="TOC1"/>
        <w:tabs>
          <w:tab w:val="left" w:pos="960"/>
        </w:tabs>
        <w:rPr>
          <w:rFonts w:ascii="Calibri" w:hAnsi="Calibri"/>
          <w:noProof/>
          <w:sz w:val="22"/>
          <w:szCs w:val="22"/>
        </w:rPr>
      </w:pPr>
      <w:r>
        <w:rPr>
          <w:noProof/>
        </w:rPr>
        <w:t>34.1.</w:t>
      </w:r>
      <w:r w:rsidRPr="00211AE5">
        <w:rPr>
          <w:rFonts w:ascii="Calibri" w:hAnsi="Calibri"/>
          <w:noProof/>
          <w:sz w:val="22"/>
          <w:szCs w:val="22"/>
        </w:rPr>
        <w:tab/>
      </w:r>
      <w:r>
        <w:rPr>
          <w:noProof/>
        </w:rPr>
        <w:t>DEFINITIONS</w:t>
      </w:r>
      <w:r>
        <w:rPr>
          <w:noProof/>
        </w:rPr>
        <w:tab/>
      </w:r>
      <w:r>
        <w:rPr>
          <w:noProof/>
        </w:rPr>
        <w:fldChar w:fldCharType="begin"/>
      </w:r>
      <w:r>
        <w:rPr>
          <w:noProof/>
        </w:rPr>
        <w:instrText xml:space="preserve"> PAGEREF _Toc495582218 \h </w:instrText>
      </w:r>
      <w:r>
        <w:rPr>
          <w:noProof/>
        </w:rPr>
      </w:r>
      <w:r>
        <w:rPr>
          <w:noProof/>
        </w:rPr>
        <w:fldChar w:fldCharType="separate"/>
      </w:r>
      <w:r>
        <w:rPr>
          <w:noProof/>
        </w:rPr>
        <w:t>5</w:t>
      </w:r>
      <w:r>
        <w:rPr>
          <w:noProof/>
        </w:rPr>
        <w:fldChar w:fldCharType="end"/>
      </w:r>
    </w:p>
    <w:p w:rsidR="00F92EEB" w:rsidRPr="00211AE5" w:rsidRDefault="00F92EEB">
      <w:pPr>
        <w:pStyle w:val="TOC1"/>
        <w:tabs>
          <w:tab w:val="left" w:pos="960"/>
        </w:tabs>
        <w:rPr>
          <w:rFonts w:ascii="Calibri" w:hAnsi="Calibri"/>
          <w:noProof/>
          <w:sz w:val="22"/>
          <w:szCs w:val="22"/>
        </w:rPr>
      </w:pPr>
      <w:r>
        <w:rPr>
          <w:noProof/>
        </w:rPr>
        <w:t>34.2.</w:t>
      </w:r>
      <w:r w:rsidRPr="00211AE5">
        <w:rPr>
          <w:rFonts w:ascii="Calibri" w:hAnsi="Calibri"/>
          <w:noProof/>
          <w:sz w:val="22"/>
          <w:szCs w:val="22"/>
        </w:rPr>
        <w:tab/>
      </w:r>
      <w:r>
        <w:rPr>
          <w:noProof/>
        </w:rPr>
        <w:t>GENERAL REQUIREMENTS</w:t>
      </w:r>
      <w:r>
        <w:rPr>
          <w:noProof/>
        </w:rPr>
        <w:tab/>
      </w:r>
      <w:r>
        <w:rPr>
          <w:noProof/>
        </w:rPr>
        <w:fldChar w:fldCharType="begin"/>
      </w:r>
      <w:r>
        <w:rPr>
          <w:noProof/>
        </w:rPr>
        <w:instrText xml:space="preserve"> PAGEREF _Toc495582219 \h </w:instrText>
      </w:r>
      <w:r>
        <w:rPr>
          <w:noProof/>
        </w:rPr>
      </w:r>
      <w:r>
        <w:rPr>
          <w:noProof/>
        </w:rPr>
        <w:fldChar w:fldCharType="separate"/>
      </w:r>
      <w:r>
        <w:rPr>
          <w:noProof/>
        </w:rPr>
        <w:t>5</w:t>
      </w:r>
      <w:r>
        <w:rPr>
          <w:noProof/>
        </w:rPr>
        <w:fldChar w:fldCharType="end"/>
      </w:r>
    </w:p>
    <w:p w:rsidR="00F92EEB" w:rsidRPr="00211AE5" w:rsidRDefault="00F92EEB">
      <w:pPr>
        <w:pStyle w:val="TOC1"/>
        <w:tabs>
          <w:tab w:val="left" w:pos="960"/>
        </w:tabs>
        <w:rPr>
          <w:rFonts w:ascii="Calibri" w:hAnsi="Calibri"/>
          <w:noProof/>
          <w:sz w:val="22"/>
          <w:szCs w:val="22"/>
        </w:rPr>
      </w:pPr>
      <w:r>
        <w:rPr>
          <w:noProof/>
        </w:rPr>
        <w:t>34.3.</w:t>
      </w:r>
      <w:r w:rsidRPr="00211AE5">
        <w:rPr>
          <w:rFonts w:ascii="Calibri" w:hAnsi="Calibri"/>
          <w:noProof/>
          <w:sz w:val="22"/>
          <w:szCs w:val="22"/>
        </w:rPr>
        <w:tab/>
      </w:r>
      <w:r>
        <w:rPr>
          <w:noProof/>
        </w:rPr>
        <w:t>NOMINATED SEATING POSITIONS FOR UPPER ANCHORAGES</w:t>
      </w:r>
      <w:r>
        <w:rPr>
          <w:noProof/>
        </w:rPr>
        <w:tab/>
      </w:r>
      <w:r>
        <w:rPr>
          <w:noProof/>
        </w:rPr>
        <w:fldChar w:fldCharType="begin"/>
      </w:r>
      <w:r>
        <w:rPr>
          <w:noProof/>
        </w:rPr>
        <w:instrText xml:space="preserve"> PAGEREF _Toc495582220 \h </w:instrText>
      </w:r>
      <w:r>
        <w:rPr>
          <w:noProof/>
        </w:rPr>
      </w:r>
      <w:r>
        <w:rPr>
          <w:noProof/>
        </w:rPr>
        <w:fldChar w:fldCharType="separate"/>
      </w:r>
      <w:r>
        <w:rPr>
          <w:noProof/>
        </w:rPr>
        <w:t>6</w:t>
      </w:r>
      <w:r>
        <w:rPr>
          <w:noProof/>
        </w:rPr>
        <w:fldChar w:fldCharType="end"/>
      </w:r>
    </w:p>
    <w:p w:rsidR="00F92EEB" w:rsidRPr="00211AE5" w:rsidRDefault="00F92EEB">
      <w:pPr>
        <w:pStyle w:val="TOC1"/>
        <w:tabs>
          <w:tab w:val="left" w:pos="960"/>
        </w:tabs>
        <w:rPr>
          <w:rFonts w:ascii="Calibri" w:hAnsi="Calibri"/>
          <w:noProof/>
          <w:sz w:val="22"/>
          <w:szCs w:val="22"/>
        </w:rPr>
      </w:pPr>
      <w:r>
        <w:rPr>
          <w:noProof/>
        </w:rPr>
        <w:t>34.4.</w:t>
      </w:r>
      <w:r w:rsidRPr="00211AE5">
        <w:rPr>
          <w:rFonts w:ascii="Calibri" w:hAnsi="Calibri"/>
          <w:noProof/>
          <w:sz w:val="22"/>
          <w:szCs w:val="22"/>
        </w:rPr>
        <w:tab/>
      </w:r>
      <w:r>
        <w:rPr>
          <w:noProof/>
        </w:rPr>
        <w:t>INFORMATION REQUIREMENTS</w:t>
      </w:r>
      <w:r>
        <w:rPr>
          <w:noProof/>
        </w:rPr>
        <w:tab/>
      </w:r>
      <w:r>
        <w:rPr>
          <w:noProof/>
        </w:rPr>
        <w:fldChar w:fldCharType="begin"/>
      </w:r>
      <w:r>
        <w:rPr>
          <w:noProof/>
        </w:rPr>
        <w:instrText xml:space="preserve"> PAGEREF _Toc495582221 \h </w:instrText>
      </w:r>
      <w:r>
        <w:rPr>
          <w:noProof/>
        </w:rPr>
      </w:r>
      <w:r>
        <w:rPr>
          <w:noProof/>
        </w:rPr>
        <w:fldChar w:fldCharType="separate"/>
      </w:r>
      <w:r>
        <w:rPr>
          <w:noProof/>
        </w:rPr>
        <w:t>7</w:t>
      </w:r>
      <w:r>
        <w:rPr>
          <w:noProof/>
        </w:rPr>
        <w:fldChar w:fldCharType="end"/>
      </w:r>
    </w:p>
    <w:p w:rsidR="00F92EEB" w:rsidRPr="00211AE5" w:rsidRDefault="00F92EEB">
      <w:pPr>
        <w:pStyle w:val="TOC1"/>
        <w:tabs>
          <w:tab w:val="left" w:pos="960"/>
        </w:tabs>
        <w:rPr>
          <w:rFonts w:ascii="Calibri" w:hAnsi="Calibri"/>
          <w:noProof/>
          <w:sz w:val="22"/>
          <w:szCs w:val="22"/>
        </w:rPr>
      </w:pPr>
      <w:r>
        <w:rPr>
          <w:noProof/>
        </w:rPr>
        <w:t>34.5.</w:t>
      </w:r>
      <w:r w:rsidRPr="00211AE5">
        <w:rPr>
          <w:rFonts w:ascii="Calibri" w:hAnsi="Calibri"/>
          <w:noProof/>
          <w:sz w:val="22"/>
          <w:szCs w:val="22"/>
        </w:rPr>
        <w:tab/>
      </w:r>
      <w:r>
        <w:rPr>
          <w:noProof/>
        </w:rPr>
        <w:t>UPPER ANCHORAGE LOCATION REQUIREMENTS</w:t>
      </w:r>
      <w:r>
        <w:rPr>
          <w:noProof/>
        </w:rPr>
        <w:tab/>
      </w:r>
      <w:r>
        <w:rPr>
          <w:noProof/>
        </w:rPr>
        <w:fldChar w:fldCharType="begin"/>
      </w:r>
      <w:r>
        <w:rPr>
          <w:noProof/>
        </w:rPr>
        <w:instrText xml:space="preserve"> PAGEREF _Toc495582222 \h </w:instrText>
      </w:r>
      <w:r>
        <w:rPr>
          <w:noProof/>
        </w:rPr>
      </w:r>
      <w:r>
        <w:rPr>
          <w:noProof/>
        </w:rPr>
        <w:fldChar w:fldCharType="separate"/>
      </w:r>
      <w:r>
        <w:rPr>
          <w:noProof/>
        </w:rPr>
        <w:t>7</w:t>
      </w:r>
      <w:r>
        <w:rPr>
          <w:noProof/>
        </w:rPr>
        <w:fldChar w:fldCharType="end"/>
      </w:r>
    </w:p>
    <w:p w:rsidR="00F92EEB" w:rsidRPr="00211AE5" w:rsidRDefault="00F92EEB">
      <w:pPr>
        <w:pStyle w:val="TOC1"/>
        <w:tabs>
          <w:tab w:val="left" w:pos="960"/>
        </w:tabs>
        <w:rPr>
          <w:rFonts w:ascii="Calibri" w:hAnsi="Calibri"/>
          <w:noProof/>
          <w:sz w:val="22"/>
          <w:szCs w:val="22"/>
        </w:rPr>
      </w:pPr>
      <w:r>
        <w:rPr>
          <w:noProof/>
        </w:rPr>
        <w:t>34.6.</w:t>
      </w:r>
      <w:r w:rsidRPr="00211AE5">
        <w:rPr>
          <w:rFonts w:ascii="Calibri" w:hAnsi="Calibri"/>
          <w:noProof/>
          <w:sz w:val="22"/>
          <w:szCs w:val="22"/>
        </w:rPr>
        <w:tab/>
      </w:r>
      <w:r>
        <w:rPr>
          <w:noProof/>
        </w:rPr>
        <w:t>ACCESSIBILITY TO ENGAGE AN ATTACHING CLIP</w:t>
      </w:r>
      <w:r>
        <w:rPr>
          <w:noProof/>
        </w:rPr>
        <w:tab/>
      </w:r>
      <w:r>
        <w:rPr>
          <w:noProof/>
        </w:rPr>
        <w:fldChar w:fldCharType="begin"/>
      </w:r>
      <w:r>
        <w:rPr>
          <w:noProof/>
        </w:rPr>
        <w:instrText xml:space="preserve"> PAGEREF _Toc495582223 \h </w:instrText>
      </w:r>
      <w:r>
        <w:rPr>
          <w:noProof/>
        </w:rPr>
      </w:r>
      <w:r>
        <w:rPr>
          <w:noProof/>
        </w:rPr>
        <w:fldChar w:fldCharType="separate"/>
      </w:r>
      <w:r>
        <w:rPr>
          <w:noProof/>
        </w:rPr>
        <w:t>8</w:t>
      </w:r>
      <w:r>
        <w:rPr>
          <w:noProof/>
        </w:rPr>
        <w:fldChar w:fldCharType="end"/>
      </w:r>
    </w:p>
    <w:p w:rsidR="00F92EEB" w:rsidRPr="00211AE5" w:rsidRDefault="00F92EEB">
      <w:pPr>
        <w:pStyle w:val="TOC1"/>
        <w:tabs>
          <w:tab w:val="left" w:pos="960"/>
        </w:tabs>
        <w:rPr>
          <w:rFonts w:ascii="Calibri" w:hAnsi="Calibri"/>
          <w:noProof/>
          <w:sz w:val="22"/>
          <w:szCs w:val="22"/>
        </w:rPr>
      </w:pPr>
      <w:r>
        <w:rPr>
          <w:noProof/>
        </w:rPr>
        <w:t>34.7.</w:t>
      </w:r>
      <w:r w:rsidRPr="00211AE5">
        <w:rPr>
          <w:rFonts w:ascii="Calibri" w:hAnsi="Calibri"/>
          <w:noProof/>
          <w:sz w:val="22"/>
          <w:szCs w:val="22"/>
        </w:rPr>
        <w:tab/>
      </w:r>
      <w:r>
        <w:rPr>
          <w:noProof/>
        </w:rPr>
        <w:t>STRENGTH OF UPPER ANCHORAGES</w:t>
      </w:r>
      <w:r>
        <w:rPr>
          <w:noProof/>
        </w:rPr>
        <w:tab/>
      </w:r>
      <w:r>
        <w:rPr>
          <w:noProof/>
        </w:rPr>
        <w:fldChar w:fldCharType="begin"/>
      </w:r>
      <w:r>
        <w:rPr>
          <w:noProof/>
        </w:rPr>
        <w:instrText xml:space="preserve"> PAGEREF _Toc495582224 \h </w:instrText>
      </w:r>
      <w:r>
        <w:rPr>
          <w:noProof/>
        </w:rPr>
      </w:r>
      <w:r>
        <w:rPr>
          <w:noProof/>
        </w:rPr>
        <w:fldChar w:fldCharType="separate"/>
      </w:r>
      <w:r>
        <w:rPr>
          <w:noProof/>
        </w:rPr>
        <w:t>8</w:t>
      </w:r>
      <w:r>
        <w:rPr>
          <w:noProof/>
        </w:rPr>
        <w:fldChar w:fldCharType="end"/>
      </w:r>
    </w:p>
    <w:p w:rsidR="00F92EEB" w:rsidRPr="00211AE5" w:rsidRDefault="00F92EEB">
      <w:pPr>
        <w:pStyle w:val="TOC1"/>
        <w:tabs>
          <w:tab w:val="left" w:pos="960"/>
        </w:tabs>
        <w:rPr>
          <w:rFonts w:ascii="Calibri" w:hAnsi="Calibri"/>
          <w:noProof/>
          <w:sz w:val="22"/>
          <w:szCs w:val="22"/>
        </w:rPr>
      </w:pPr>
      <w:r>
        <w:rPr>
          <w:noProof/>
        </w:rPr>
        <w:t>34.8.</w:t>
      </w:r>
      <w:r w:rsidRPr="00211AE5">
        <w:rPr>
          <w:rFonts w:ascii="Calibri" w:hAnsi="Calibri"/>
          <w:noProof/>
          <w:sz w:val="22"/>
          <w:szCs w:val="22"/>
        </w:rPr>
        <w:tab/>
      </w:r>
      <w:r>
        <w:rPr>
          <w:noProof/>
        </w:rPr>
        <w:t>REQUIREMENTS FOR ISOFIX ANCHORAGES</w:t>
      </w:r>
      <w:r>
        <w:rPr>
          <w:noProof/>
        </w:rPr>
        <w:tab/>
      </w:r>
      <w:r>
        <w:rPr>
          <w:noProof/>
        </w:rPr>
        <w:fldChar w:fldCharType="begin"/>
      </w:r>
      <w:r>
        <w:rPr>
          <w:noProof/>
        </w:rPr>
        <w:instrText xml:space="preserve"> PAGEREF _Toc495582225 \h </w:instrText>
      </w:r>
      <w:r>
        <w:rPr>
          <w:noProof/>
        </w:rPr>
      </w:r>
      <w:r>
        <w:rPr>
          <w:noProof/>
        </w:rPr>
        <w:fldChar w:fldCharType="separate"/>
      </w:r>
      <w:r>
        <w:rPr>
          <w:noProof/>
        </w:rPr>
        <w:t>9</w:t>
      </w:r>
      <w:r>
        <w:rPr>
          <w:noProof/>
        </w:rPr>
        <w:fldChar w:fldCharType="end"/>
      </w:r>
    </w:p>
    <w:p w:rsidR="00F92EEB" w:rsidRPr="00211AE5" w:rsidRDefault="00F92EEB">
      <w:pPr>
        <w:pStyle w:val="TOC1"/>
        <w:tabs>
          <w:tab w:val="left" w:pos="960"/>
        </w:tabs>
        <w:rPr>
          <w:rFonts w:ascii="Calibri" w:hAnsi="Calibri"/>
          <w:noProof/>
          <w:sz w:val="22"/>
          <w:szCs w:val="22"/>
        </w:rPr>
      </w:pPr>
      <w:r>
        <w:rPr>
          <w:noProof/>
        </w:rPr>
        <w:t>34.9.</w:t>
      </w:r>
      <w:r w:rsidRPr="00211AE5">
        <w:rPr>
          <w:rFonts w:ascii="Calibri" w:hAnsi="Calibri"/>
          <w:noProof/>
          <w:sz w:val="22"/>
          <w:szCs w:val="22"/>
        </w:rPr>
        <w:tab/>
      </w:r>
      <w:r>
        <w:rPr>
          <w:noProof/>
        </w:rPr>
        <w:t>ALTERNATIVE STANDARDS</w:t>
      </w:r>
      <w:r>
        <w:rPr>
          <w:noProof/>
        </w:rPr>
        <w:tab/>
      </w:r>
      <w:r>
        <w:rPr>
          <w:noProof/>
        </w:rPr>
        <w:fldChar w:fldCharType="begin"/>
      </w:r>
      <w:r>
        <w:rPr>
          <w:noProof/>
        </w:rPr>
        <w:instrText xml:space="preserve"> PAGEREF _Toc495582226 \h </w:instrText>
      </w:r>
      <w:r>
        <w:rPr>
          <w:noProof/>
        </w:rPr>
      </w:r>
      <w:r>
        <w:rPr>
          <w:noProof/>
        </w:rPr>
        <w:fldChar w:fldCharType="separate"/>
      </w:r>
      <w:r>
        <w:rPr>
          <w:noProof/>
        </w:rPr>
        <w:t>10</w:t>
      </w:r>
      <w:r>
        <w:rPr>
          <w:noProof/>
        </w:rPr>
        <w:fldChar w:fldCharType="end"/>
      </w:r>
    </w:p>
    <w:p w:rsidR="00AC05C3" w:rsidRPr="00F92EEB" w:rsidRDefault="009A70A4" w:rsidP="00F92EEB">
      <w:pPr>
        <w:pStyle w:val="TOC1"/>
        <w:tabs>
          <w:tab w:val="left" w:pos="960"/>
        </w:tabs>
        <w:rPr>
          <w:noProof/>
        </w:rPr>
      </w:pPr>
      <w:r w:rsidRPr="00226330">
        <w:fldChar w:fldCharType="end"/>
      </w:r>
      <w:bookmarkStart w:id="1" w:name="_Toc284327227"/>
      <w:bookmarkStart w:id="2" w:name="_Toc284327551"/>
      <w:bookmarkStart w:id="3" w:name="_Toc284351063"/>
      <w:bookmarkStart w:id="4" w:name="_Toc314559175"/>
      <w:bookmarkStart w:id="5" w:name="_Toc314559215"/>
      <w:bookmarkEnd w:id="1"/>
      <w:bookmarkEnd w:id="2"/>
      <w:bookmarkEnd w:id="3"/>
      <w:r w:rsidR="00AC05C3" w:rsidRPr="00F92EEB">
        <w:rPr>
          <w:noProof/>
        </w:rPr>
        <w:t>APPENDIX 1..................................................................................................................24</w:t>
      </w:r>
      <w:bookmarkEnd w:id="4"/>
      <w:bookmarkEnd w:id="5"/>
    </w:p>
    <w:p w:rsidR="00987DEA" w:rsidRPr="00F92EEB" w:rsidRDefault="00987DEA" w:rsidP="00F92EEB">
      <w:pPr>
        <w:pStyle w:val="TOC1"/>
        <w:tabs>
          <w:tab w:val="left" w:pos="960"/>
        </w:tabs>
        <w:rPr>
          <w:noProof/>
        </w:rPr>
      </w:pPr>
      <w:bookmarkStart w:id="6" w:name="_Toc314559176"/>
      <w:bookmarkStart w:id="7" w:name="_Toc314559216"/>
      <w:r w:rsidRPr="00F92EEB">
        <w:rPr>
          <w:noProof/>
        </w:rPr>
        <w:t>APPENDIX 2..................................................................................................................25</w:t>
      </w:r>
      <w:bookmarkEnd w:id="6"/>
      <w:bookmarkEnd w:id="7"/>
    </w:p>
    <w:p w:rsidR="00AE4499" w:rsidRPr="00F92EEB" w:rsidRDefault="00AE4499" w:rsidP="00F92EEB">
      <w:pPr>
        <w:pStyle w:val="TOC1"/>
        <w:tabs>
          <w:tab w:val="left" w:pos="960"/>
        </w:tabs>
        <w:rPr>
          <w:noProof/>
        </w:rPr>
      </w:pPr>
      <w:r>
        <w:rPr>
          <w:noProof/>
        </w:rPr>
        <w:t>COMPILATION NOTES</w:t>
      </w:r>
      <w:r w:rsidR="00F92EEB" w:rsidRPr="00F92EEB">
        <w:rPr>
          <w:noProof/>
        </w:rPr>
        <w:t>................................................................................................2</w:t>
      </w:r>
      <w:r w:rsidR="00F92EEB">
        <w:rPr>
          <w:noProof/>
        </w:rPr>
        <w:t>6</w:t>
      </w:r>
    </w:p>
    <w:p w:rsidR="00087F57" w:rsidRPr="007932F2" w:rsidRDefault="00772AB0" w:rsidP="00087F57">
      <w:pPr>
        <w:pStyle w:val="Clauseheading"/>
        <w:numPr>
          <w:ilvl w:val="0"/>
          <w:numId w:val="21"/>
        </w:numPr>
        <w:tabs>
          <w:tab w:val="left" w:pos="1418"/>
        </w:tabs>
        <w:spacing w:after="240"/>
        <w:ind w:left="1418" w:hanging="1418"/>
      </w:pPr>
      <w:r w:rsidRPr="007932F2">
        <w:br w:type="page"/>
      </w:r>
      <w:bookmarkStart w:id="8" w:name="_Toc495582213"/>
      <w:bookmarkStart w:id="9" w:name="_Toc120690102"/>
      <w:bookmarkStart w:id="10" w:name="_Toc120690480"/>
      <w:bookmarkStart w:id="11" w:name="_Toc284250680"/>
      <w:bookmarkStart w:id="12" w:name="_Toc284250793"/>
      <w:bookmarkStart w:id="13" w:name="_Toc284250925"/>
      <w:r w:rsidR="0032464D">
        <w:lastRenderedPageBreak/>
        <w:t>NAME OF STANDARD</w:t>
      </w:r>
      <w:bookmarkEnd w:id="8"/>
    </w:p>
    <w:bookmarkEnd w:id="9"/>
    <w:bookmarkEnd w:id="10"/>
    <w:bookmarkEnd w:id="11"/>
    <w:bookmarkEnd w:id="12"/>
    <w:bookmarkEnd w:id="13"/>
    <w:p w:rsidR="007A731E" w:rsidRPr="00E207BC" w:rsidRDefault="004C53DF" w:rsidP="00DA3F4C">
      <w:pPr>
        <w:spacing w:after="120"/>
        <w:ind w:left="1440" w:hanging="1440"/>
      </w:pPr>
      <w:r w:rsidRPr="007932F2">
        <w:t>A</w:t>
      </w:r>
      <w:r w:rsidR="007A731E" w:rsidRPr="007932F2">
        <w:t>.1.1</w:t>
      </w:r>
      <w:r w:rsidR="005F6BB2" w:rsidRPr="007932F2">
        <w:t>.</w:t>
      </w:r>
      <w:r w:rsidR="007A731E" w:rsidRPr="007932F2">
        <w:tab/>
      </w:r>
      <w:r w:rsidR="007A731E" w:rsidRPr="00E207BC">
        <w:t xml:space="preserve">This Standard is the Vehicle Standard (Australian Design Rule </w:t>
      </w:r>
      <w:r w:rsidR="00813C6D" w:rsidRPr="00E207BC">
        <w:t>34/0</w:t>
      </w:r>
      <w:r w:rsidR="004277BF" w:rsidRPr="00E207BC">
        <w:t>2</w:t>
      </w:r>
      <w:r w:rsidR="001A6B65" w:rsidRPr="00E207BC">
        <w:t> </w:t>
      </w:r>
      <w:r w:rsidR="007A731E" w:rsidRPr="00E207BC">
        <w:t>–</w:t>
      </w:r>
      <w:r w:rsidR="001A6B65" w:rsidRPr="00E207BC">
        <w:t> </w:t>
      </w:r>
      <w:r w:rsidR="00813C6D" w:rsidRPr="00E207BC">
        <w:t xml:space="preserve">Child Restraint </w:t>
      </w:r>
      <w:r w:rsidR="00DC0536" w:rsidRPr="00E207BC">
        <w:t>Anchorages and Child Restraint Anchor Fittings</w:t>
      </w:r>
      <w:r w:rsidR="007A731E" w:rsidRPr="00E207BC">
        <w:t>)</w:t>
      </w:r>
      <w:r w:rsidR="001A6B65" w:rsidRPr="00E207BC">
        <w:t xml:space="preserve"> </w:t>
      </w:r>
      <w:r w:rsidR="00813C6D" w:rsidRPr="00E207BC">
        <w:t>20</w:t>
      </w:r>
      <w:r w:rsidR="00E207BC" w:rsidRPr="00E207BC">
        <w:t>12</w:t>
      </w:r>
      <w:r w:rsidR="007A731E" w:rsidRPr="00E207BC">
        <w:t>.</w:t>
      </w:r>
    </w:p>
    <w:p w:rsidR="007A731E" w:rsidRPr="007932F2" w:rsidRDefault="004C53DF" w:rsidP="00A736A4">
      <w:pPr>
        <w:spacing w:after="120"/>
        <w:ind w:left="1440" w:hanging="1440"/>
      </w:pPr>
      <w:r w:rsidRPr="00E207BC">
        <w:t>A</w:t>
      </w:r>
      <w:r w:rsidR="007A731E" w:rsidRPr="00E207BC">
        <w:t>.1.2</w:t>
      </w:r>
      <w:r w:rsidR="005F6BB2" w:rsidRPr="00E207BC">
        <w:t>.</w:t>
      </w:r>
      <w:r w:rsidR="007A731E" w:rsidRPr="00E207BC">
        <w:tab/>
        <w:t>This Standard may also be cited as Australian Design Rule</w:t>
      </w:r>
      <w:r w:rsidR="00507423" w:rsidRPr="00E207BC">
        <w:t xml:space="preserve"> </w:t>
      </w:r>
      <w:r w:rsidR="00813C6D" w:rsidRPr="00E207BC">
        <w:t>34/</w:t>
      </w:r>
      <w:r w:rsidR="004277BF" w:rsidRPr="00E207BC">
        <w:t>02 </w:t>
      </w:r>
      <w:r w:rsidR="007A731E" w:rsidRPr="00E207BC">
        <w:t>—</w:t>
      </w:r>
      <w:r w:rsidR="00507423" w:rsidRPr="00E207BC">
        <w:t> </w:t>
      </w:r>
      <w:r w:rsidR="00813C6D" w:rsidRPr="00E207BC">
        <w:t xml:space="preserve">Child Restraint </w:t>
      </w:r>
      <w:r w:rsidR="00DC0536" w:rsidRPr="00E207BC">
        <w:t>Anchorages and Child Restraint Anchor Fittings</w:t>
      </w:r>
      <w:r w:rsidR="007A731E" w:rsidRPr="00E207BC">
        <w:t>.</w:t>
      </w:r>
    </w:p>
    <w:p w:rsidR="007A731E" w:rsidRPr="007932F2" w:rsidRDefault="007A731E" w:rsidP="00087F57">
      <w:pPr>
        <w:pStyle w:val="Clauseheading"/>
        <w:numPr>
          <w:ilvl w:val="0"/>
          <w:numId w:val="21"/>
        </w:numPr>
        <w:tabs>
          <w:tab w:val="left" w:pos="1418"/>
        </w:tabs>
        <w:spacing w:after="240"/>
        <w:ind w:left="1418" w:hanging="1418"/>
      </w:pPr>
      <w:bookmarkStart w:id="14" w:name="_Toc120690103"/>
      <w:bookmarkStart w:id="15" w:name="_Toc120690481"/>
      <w:bookmarkStart w:id="16" w:name="_Toc284250926"/>
      <w:bookmarkStart w:id="17" w:name="_Toc495582214"/>
      <w:r w:rsidRPr="007932F2">
        <w:t>COMMENCEMENT</w:t>
      </w:r>
      <w:bookmarkEnd w:id="14"/>
      <w:bookmarkEnd w:id="15"/>
      <w:bookmarkEnd w:id="16"/>
      <w:bookmarkEnd w:id="17"/>
    </w:p>
    <w:p w:rsidR="007A731E" w:rsidRPr="007932F2" w:rsidRDefault="004C53DF" w:rsidP="00A736A4">
      <w:pPr>
        <w:spacing w:after="120"/>
        <w:ind w:left="1440" w:hanging="1440"/>
      </w:pPr>
      <w:r w:rsidRPr="007932F2">
        <w:t>A</w:t>
      </w:r>
      <w:r w:rsidR="007A731E" w:rsidRPr="007932F2">
        <w:t>.2.1</w:t>
      </w:r>
      <w:r w:rsidR="005F6BB2" w:rsidRPr="007932F2">
        <w:t>.</w:t>
      </w:r>
      <w:r w:rsidR="007A731E" w:rsidRPr="007932F2">
        <w:tab/>
        <w:t>This Standard commences on the day after it is registered.</w:t>
      </w:r>
    </w:p>
    <w:p w:rsidR="00573C97" w:rsidRPr="007932F2" w:rsidRDefault="004C53DF" w:rsidP="00087F57">
      <w:pPr>
        <w:pStyle w:val="Clauseheading"/>
        <w:numPr>
          <w:ilvl w:val="0"/>
          <w:numId w:val="0"/>
        </w:numPr>
        <w:tabs>
          <w:tab w:val="left" w:pos="1418"/>
        </w:tabs>
        <w:spacing w:after="240"/>
        <w:ind w:left="1418" w:hanging="1418"/>
      </w:pPr>
      <w:bookmarkStart w:id="18" w:name="_Toc120690105"/>
      <w:bookmarkStart w:id="19" w:name="_Toc120690483"/>
      <w:bookmarkStart w:id="20" w:name="_Toc284250927"/>
      <w:bookmarkStart w:id="21" w:name="_Toc495582215"/>
      <w:r w:rsidRPr="007932F2">
        <w:t>B.</w:t>
      </w:r>
      <w:r w:rsidR="0044167F" w:rsidRPr="007932F2">
        <w:tab/>
      </w:r>
      <w:bookmarkEnd w:id="18"/>
      <w:bookmarkEnd w:id="19"/>
      <w:bookmarkEnd w:id="20"/>
      <w:r w:rsidR="00346C44" w:rsidRPr="007932F2">
        <w:t>SCOPE</w:t>
      </w:r>
      <w:bookmarkEnd w:id="21"/>
    </w:p>
    <w:p w:rsidR="00964C08" w:rsidRPr="00E207BC" w:rsidRDefault="004C53DF" w:rsidP="004C53DF">
      <w:pPr>
        <w:pStyle w:val="Subclause"/>
        <w:numPr>
          <w:ilvl w:val="0"/>
          <w:numId w:val="0"/>
        </w:numPr>
        <w:tabs>
          <w:tab w:val="left" w:pos="1418"/>
          <w:tab w:val="left" w:pos="1620"/>
        </w:tabs>
        <w:ind w:left="1418" w:hanging="1418"/>
      </w:pPr>
      <w:r w:rsidRPr="007932F2">
        <w:t>B.1.</w:t>
      </w:r>
      <w:r w:rsidRPr="007932F2">
        <w:tab/>
      </w:r>
      <w:r w:rsidRPr="00E207BC">
        <w:t>The f</w:t>
      </w:r>
      <w:r w:rsidR="00964C08" w:rsidRPr="00E207BC">
        <w:t>unction of this Australian Design Rule is to specify requirements for</w:t>
      </w:r>
      <w:r w:rsidR="007965F3" w:rsidRPr="00E207BC">
        <w:t xml:space="preserve"> </w:t>
      </w:r>
      <w:r w:rsidR="00964C08" w:rsidRPr="00E207BC">
        <w:rPr>
          <w:i/>
        </w:rPr>
        <w:t>‘</w:t>
      </w:r>
      <w:r w:rsidR="00477362" w:rsidRPr="00E207BC">
        <w:rPr>
          <w:i/>
        </w:rPr>
        <w:t>Upper Anchorages’</w:t>
      </w:r>
      <w:r w:rsidR="00513A00" w:rsidRPr="00E207BC">
        <w:rPr>
          <w:i/>
        </w:rPr>
        <w:t xml:space="preserve"> </w:t>
      </w:r>
      <w:r w:rsidR="00513A00" w:rsidRPr="00E207BC">
        <w:t xml:space="preserve">(top tether anchorages) </w:t>
      </w:r>
      <w:r w:rsidR="00964C08" w:rsidRPr="00E207BC">
        <w:t>and</w:t>
      </w:r>
      <w:r w:rsidR="00964C08" w:rsidRPr="00E207BC">
        <w:rPr>
          <w:i/>
        </w:rPr>
        <w:t xml:space="preserve"> ‘</w:t>
      </w:r>
      <w:r w:rsidR="00477362" w:rsidRPr="00E207BC">
        <w:rPr>
          <w:i/>
        </w:rPr>
        <w:t>Upper Anchor Fittings’</w:t>
      </w:r>
      <w:r w:rsidR="00964C08" w:rsidRPr="00E207BC">
        <w:rPr>
          <w:i/>
        </w:rPr>
        <w:t xml:space="preserve"> </w:t>
      </w:r>
      <w:r w:rsidR="00513A00" w:rsidRPr="00E207BC">
        <w:t xml:space="preserve">(top tether anchor fittings) </w:t>
      </w:r>
      <w:r w:rsidR="00964C08" w:rsidRPr="00E207BC">
        <w:t xml:space="preserve">which provide for the connection of standard </w:t>
      </w:r>
      <w:r w:rsidR="00513A00" w:rsidRPr="00E207BC">
        <w:rPr>
          <w:i/>
        </w:rPr>
        <w:t xml:space="preserve">‘Upper Anchorage Strap’ </w:t>
      </w:r>
      <w:r w:rsidR="00964C08" w:rsidRPr="00E207BC">
        <w:rPr>
          <w:i/>
        </w:rPr>
        <w:t>‘Attaching Clips’</w:t>
      </w:r>
      <w:r w:rsidR="00964C08" w:rsidRPr="00E207BC">
        <w:t xml:space="preserve"> so that </w:t>
      </w:r>
      <w:r w:rsidR="00336386" w:rsidRPr="00E207BC">
        <w:rPr>
          <w:i/>
        </w:rPr>
        <w:t xml:space="preserve">‘Child </w:t>
      </w:r>
      <w:r w:rsidR="00964C08" w:rsidRPr="00E207BC">
        <w:rPr>
          <w:i/>
        </w:rPr>
        <w:t>Restraints’</w:t>
      </w:r>
      <w:r w:rsidR="00964C08" w:rsidRPr="00E207BC">
        <w:t xml:space="preserve"> may be adequately secured to the vehicle.</w:t>
      </w:r>
      <w:r w:rsidR="00336386" w:rsidRPr="00E207BC">
        <w:t xml:space="preserve">  It specifies a standard package of fitting hardware and accessibility requirements to facilitate corre</w:t>
      </w:r>
      <w:r w:rsidR="00DE0312" w:rsidRPr="00E207BC">
        <w:t>ct installation and interchange</w:t>
      </w:r>
      <w:r w:rsidR="00336386" w:rsidRPr="00E207BC">
        <w:t>ability of ‘</w:t>
      </w:r>
      <w:r w:rsidR="00336386" w:rsidRPr="00E207BC">
        <w:rPr>
          <w:i/>
        </w:rPr>
        <w:t>Child Restraints’.</w:t>
      </w:r>
      <w:r w:rsidR="005A13DA" w:rsidRPr="00E207BC">
        <w:rPr>
          <w:i/>
        </w:rPr>
        <w:t xml:space="preserve"> </w:t>
      </w:r>
      <w:r w:rsidR="00987E8B" w:rsidRPr="00E207BC">
        <w:rPr>
          <w:i/>
        </w:rPr>
        <w:t xml:space="preserve"> </w:t>
      </w:r>
      <w:r w:rsidR="005A13DA" w:rsidRPr="00E207BC">
        <w:t>It also specifies requirements</w:t>
      </w:r>
      <w:r w:rsidR="006676F3" w:rsidRPr="00E207BC">
        <w:t xml:space="preserve"> </w:t>
      </w:r>
      <w:r w:rsidR="005A13DA" w:rsidRPr="00E207BC">
        <w:t xml:space="preserve">for </w:t>
      </w:r>
      <w:r w:rsidR="00987E8B" w:rsidRPr="00E207BC">
        <w:t>any lower anchorage</w:t>
      </w:r>
      <w:r w:rsidR="0049455A" w:rsidRPr="00E207BC">
        <w:t>s</w:t>
      </w:r>
      <w:r w:rsidR="00F853D4" w:rsidRPr="00E207BC">
        <w:t>,</w:t>
      </w:r>
      <w:r w:rsidR="005531FF" w:rsidRPr="00E207BC">
        <w:t xml:space="preserve"> </w:t>
      </w:r>
      <w:r w:rsidR="00F853D4" w:rsidRPr="00E207BC">
        <w:t xml:space="preserve">other than a vehicle </w:t>
      </w:r>
      <w:r w:rsidR="00F853D4" w:rsidRPr="00E207BC">
        <w:rPr>
          <w:i/>
        </w:rPr>
        <w:t>‘Seatbelt Assembly’</w:t>
      </w:r>
      <w:r w:rsidR="00F853D4" w:rsidRPr="00E207BC">
        <w:t xml:space="preserve">, </w:t>
      </w:r>
      <w:r w:rsidR="00987E8B" w:rsidRPr="00E207BC">
        <w:t xml:space="preserve">to which </w:t>
      </w:r>
      <w:r w:rsidR="0049455A" w:rsidRPr="00E207BC">
        <w:t>the lower portion of a</w:t>
      </w:r>
      <w:r w:rsidR="00987E8B" w:rsidRPr="00E207BC">
        <w:t xml:space="preserve"> ‘</w:t>
      </w:r>
      <w:r w:rsidR="00987E8B" w:rsidRPr="00E207BC">
        <w:rPr>
          <w:i/>
        </w:rPr>
        <w:t>Child Restraint’</w:t>
      </w:r>
      <w:r w:rsidR="005531FF" w:rsidRPr="00E207BC">
        <w:rPr>
          <w:i/>
        </w:rPr>
        <w:t xml:space="preserve"> </w:t>
      </w:r>
      <w:r w:rsidR="00987E8B" w:rsidRPr="00E207BC">
        <w:t>may be attached</w:t>
      </w:r>
      <w:r w:rsidR="00DE3A53" w:rsidRPr="00E207BC">
        <w:t xml:space="preserve"> on a vehicle seat (</w:t>
      </w:r>
      <w:r w:rsidR="00477362" w:rsidRPr="00E207BC">
        <w:t xml:space="preserve">such as </w:t>
      </w:r>
      <w:r w:rsidR="00DE3A53" w:rsidRPr="00E207BC">
        <w:t xml:space="preserve">ISOFIX </w:t>
      </w:r>
      <w:r w:rsidR="00F853D4" w:rsidRPr="00E207BC">
        <w:t>low anchorages</w:t>
      </w:r>
      <w:r w:rsidR="00DE3A53" w:rsidRPr="00E207BC">
        <w:t>)</w:t>
      </w:r>
      <w:r w:rsidR="005A13DA" w:rsidRPr="00E207BC">
        <w:t>.</w:t>
      </w:r>
    </w:p>
    <w:p w:rsidR="00573C97" w:rsidRPr="00E207BC" w:rsidRDefault="00477362" w:rsidP="0044167F">
      <w:pPr>
        <w:pStyle w:val="Clauseheading"/>
        <w:numPr>
          <w:ilvl w:val="0"/>
          <w:numId w:val="0"/>
        </w:numPr>
        <w:tabs>
          <w:tab w:val="left" w:pos="1418"/>
        </w:tabs>
        <w:ind w:left="1418" w:hanging="1418"/>
      </w:pPr>
      <w:bookmarkStart w:id="22" w:name="_Toc120690106"/>
      <w:bookmarkStart w:id="23" w:name="_Toc120690484"/>
      <w:bookmarkStart w:id="24" w:name="_Toc284250928"/>
      <w:bookmarkStart w:id="25" w:name="_Toc495582216"/>
      <w:r w:rsidRPr="00E207BC">
        <w:t>C.</w:t>
      </w:r>
      <w:r w:rsidRPr="00E207BC">
        <w:tab/>
        <w:t>APPLICABILITY AND IMPLEMENTATION</w:t>
      </w:r>
      <w:bookmarkEnd w:id="22"/>
      <w:bookmarkEnd w:id="23"/>
      <w:bookmarkEnd w:id="24"/>
      <w:bookmarkEnd w:id="25"/>
    </w:p>
    <w:p w:rsidR="004277BF" w:rsidRPr="00E207BC" w:rsidRDefault="004E71A4" w:rsidP="004277BF">
      <w:pPr>
        <w:pStyle w:val="Subclause"/>
        <w:numPr>
          <w:ilvl w:val="0"/>
          <w:numId w:val="0"/>
        </w:numPr>
        <w:tabs>
          <w:tab w:val="left" w:pos="1418"/>
          <w:tab w:val="left" w:pos="1620"/>
        </w:tabs>
        <w:ind w:left="1418" w:hanging="1418"/>
      </w:pPr>
      <w:r w:rsidRPr="00E207BC">
        <w:tab/>
      </w:r>
      <w:r w:rsidR="004277BF" w:rsidRPr="00E207BC">
        <w:t>This standard applies to the design and construction of vehicles as set out in clauses C.1, C.2 and the table below.</w:t>
      </w:r>
    </w:p>
    <w:p w:rsidR="004277BF" w:rsidRPr="00E207BC" w:rsidRDefault="00A23C6C" w:rsidP="004277BF">
      <w:pPr>
        <w:spacing w:after="120"/>
      </w:pPr>
      <w:r w:rsidRPr="00E207BC">
        <w:t>C.1.</w:t>
      </w:r>
      <w:r w:rsidRPr="00E207BC">
        <w:tab/>
        <w:t>1 November 2012</w:t>
      </w:r>
      <w:r w:rsidR="004277BF" w:rsidRPr="00E207BC">
        <w:rPr>
          <w:b/>
        </w:rPr>
        <w:t xml:space="preserve"> </w:t>
      </w:r>
      <w:r w:rsidR="004277BF" w:rsidRPr="00E207BC">
        <w:t>on all new model vehicles.</w:t>
      </w:r>
    </w:p>
    <w:p w:rsidR="004277BF" w:rsidRPr="00E207BC" w:rsidRDefault="00A23C6C" w:rsidP="004277BF">
      <w:pPr>
        <w:spacing w:after="120"/>
      </w:pPr>
      <w:r w:rsidRPr="00E207BC">
        <w:t>C.2.</w:t>
      </w:r>
      <w:r w:rsidRPr="00E207BC">
        <w:tab/>
        <w:t>1 November 2013</w:t>
      </w:r>
      <w:r w:rsidR="004277BF" w:rsidRPr="00E207BC">
        <w:rPr>
          <w:b/>
        </w:rPr>
        <w:t xml:space="preserve"> </w:t>
      </w:r>
      <w:r w:rsidR="004277BF" w:rsidRPr="00E207BC">
        <w:t>on all vehicles.</w:t>
      </w:r>
    </w:p>
    <w:p w:rsidR="004277BF" w:rsidRPr="00E207BC" w:rsidRDefault="004277BF" w:rsidP="004277BF">
      <w:pPr>
        <w:pStyle w:val="Subclause"/>
        <w:numPr>
          <w:ilvl w:val="0"/>
          <w:numId w:val="0"/>
        </w:numPr>
        <w:tabs>
          <w:tab w:val="left" w:pos="1418"/>
          <w:tab w:val="left" w:pos="1620"/>
        </w:tabs>
        <w:ind w:left="1418" w:hanging="1418"/>
      </w:pPr>
      <w:r w:rsidRPr="00E207BC">
        <w:t>C.3.</w:t>
      </w:r>
      <w:r w:rsidRPr="00E207BC">
        <w:tab/>
        <w:t xml:space="preserve">For the purposes of clause C.1 a "new model" is a vehicle model first produced with a </w:t>
      </w:r>
      <w:r w:rsidRPr="00E207BC">
        <w:rPr>
          <w:i/>
        </w:rPr>
        <w:t>'Date of manufacture'</w:t>
      </w:r>
      <w:r w:rsidRPr="00E207BC">
        <w:t xml:space="preserve"> on or after the agreed date in clause C.1.</w:t>
      </w:r>
    </w:p>
    <w:p w:rsidR="009E2C06" w:rsidRPr="00E207BC" w:rsidRDefault="004C53DF" w:rsidP="009E2C06">
      <w:pPr>
        <w:pStyle w:val="Subclause"/>
        <w:numPr>
          <w:ilvl w:val="0"/>
          <w:numId w:val="0"/>
        </w:numPr>
        <w:tabs>
          <w:tab w:val="left" w:pos="1418"/>
          <w:tab w:val="left" w:pos="1620"/>
        </w:tabs>
        <w:ind w:left="1418" w:hanging="1418"/>
      </w:pPr>
      <w:r w:rsidRPr="00E207BC">
        <w:t>C</w:t>
      </w:r>
      <w:r w:rsidR="004277BF" w:rsidRPr="00E207BC">
        <w:t>4</w:t>
      </w:r>
      <w:r w:rsidR="005F6BB2" w:rsidRPr="00E207BC">
        <w:t>.</w:t>
      </w:r>
      <w:r w:rsidRPr="00E207BC">
        <w:tab/>
      </w:r>
      <w:r w:rsidR="00336386" w:rsidRPr="00E207BC">
        <w:t xml:space="preserve">For MD3, MD4, and ME vehicles the circumstances under which </w:t>
      </w:r>
      <w:r w:rsidR="00336386" w:rsidRPr="00E207BC">
        <w:rPr>
          <w:i/>
        </w:rPr>
        <w:t>‘</w:t>
      </w:r>
      <w:r w:rsidR="00477362" w:rsidRPr="00E207BC">
        <w:rPr>
          <w:i/>
        </w:rPr>
        <w:t>Upper Anchorages</w:t>
      </w:r>
      <w:r w:rsidR="00336386" w:rsidRPr="00E207BC">
        <w:rPr>
          <w:i/>
        </w:rPr>
        <w:t>’</w:t>
      </w:r>
      <w:r w:rsidR="00336386" w:rsidRPr="00E207BC">
        <w:t xml:space="preserve"> are mandatory are set out in ADR 68/.. .</w:t>
      </w:r>
    </w:p>
    <w:p w:rsidR="004277BF" w:rsidRDefault="009E2C06" w:rsidP="006676F3">
      <w:pPr>
        <w:pStyle w:val="Subclause"/>
        <w:numPr>
          <w:ilvl w:val="0"/>
          <w:numId w:val="0"/>
        </w:numPr>
        <w:tabs>
          <w:tab w:val="left" w:pos="1418"/>
          <w:tab w:val="left" w:pos="1620"/>
        </w:tabs>
        <w:ind w:left="1418" w:hanging="1418"/>
      </w:pPr>
      <w:r w:rsidRPr="00E207BC">
        <w:t>C5.</w:t>
      </w:r>
      <w:r w:rsidRPr="00E207BC">
        <w:tab/>
        <w:t xml:space="preserve">ADR 34/01 is an acceptable prior rule for vehicles that do not have any means, other than a vehicle </w:t>
      </w:r>
      <w:r w:rsidRPr="00E207BC">
        <w:rPr>
          <w:i/>
        </w:rPr>
        <w:t>‘Seatbelt Assembly’</w:t>
      </w:r>
      <w:r w:rsidRPr="00E207BC">
        <w:t xml:space="preserve">, of affixing the lower portion of a </w:t>
      </w:r>
      <w:r w:rsidRPr="00E207BC">
        <w:rPr>
          <w:i/>
        </w:rPr>
        <w:t>‘Child Restraint’</w:t>
      </w:r>
      <w:r w:rsidRPr="00E207BC">
        <w:t xml:space="preserve"> to the vehicle (</w:t>
      </w:r>
      <w:r w:rsidR="00477362" w:rsidRPr="00E207BC">
        <w:t>such as</w:t>
      </w:r>
      <w:r w:rsidRPr="00E207BC">
        <w:t xml:space="preserve"> ISOFIX </w:t>
      </w:r>
      <w:r w:rsidR="00763F93" w:rsidRPr="00E207BC">
        <w:t xml:space="preserve">low </w:t>
      </w:r>
      <w:r w:rsidRPr="00E207BC">
        <w:t xml:space="preserve">anchorages) – see clause </w:t>
      </w:r>
      <w:r w:rsidR="009A70A4">
        <w:fldChar w:fldCharType="begin"/>
      </w:r>
      <w:r w:rsidR="009A70A4">
        <w:instrText xml:space="preserve"> REF _Ref284258113 \r \h  \* MERGEFORMAT </w:instrText>
      </w:r>
      <w:r w:rsidR="009A70A4">
        <w:fldChar w:fldCharType="separate"/>
      </w:r>
      <w:r w:rsidR="00157055">
        <w:t>34.8.1</w:t>
      </w:r>
      <w:r w:rsidR="009A70A4">
        <w:fldChar w:fldCharType="end"/>
      </w:r>
      <w:r w:rsidRPr="00E207BC">
        <w:t>.</w:t>
      </w:r>
    </w:p>
    <w:p w:rsidR="00AE4499" w:rsidRPr="00AE4499" w:rsidRDefault="00AE4499" w:rsidP="00AE4499">
      <w:pPr>
        <w:pStyle w:val="Subclause"/>
        <w:numPr>
          <w:ilvl w:val="0"/>
          <w:numId w:val="0"/>
        </w:numPr>
        <w:tabs>
          <w:tab w:val="left" w:pos="1418"/>
          <w:tab w:val="left" w:pos="1620"/>
        </w:tabs>
        <w:ind w:left="1418" w:hanging="1418"/>
      </w:pPr>
      <w:r>
        <w:rPr>
          <w:lang w:val="en-AU"/>
        </w:rPr>
        <w:t>C6.</w:t>
      </w:r>
      <w:r>
        <w:rPr>
          <w:lang w:val="en-AU"/>
        </w:rPr>
        <w:tab/>
      </w:r>
      <w:r w:rsidRPr="00AE4499">
        <w:t>Vehicles certified to ADR 34/03 or a later version need not comply with this rule.</w:t>
      </w:r>
    </w:p>
    <w:p w:rsidR="008D3D26" w:rsidRPr="00E207BC" w:rsidRDefault="008D3D26" w:rsidP="008D3D26"/>
    <w:p w:rsidR="001E17CF" w:rsidRPr="00E207BC" w:rsidRDefault="00477362" w:rsidP="00087F57">
      <w:pPr>
        <w:pStyle w:val="Clauseheading"/>
        <w:numPr>
          <w:ilvl w:val="0"/>
          <w:numId w:val="0"/>
        </w:numPr>
        <w:tabs>
          <w:tab w:val="left" w:pos="1418"/>
        </w:tabs>
        <w:spacing w:after="240"/>
      </w:pPr>
      <w:r w:rsidRPr="00E207BC">
        <w:br w:type="page"/>
      </w:r>
      <w:bookmarkStart w:id="26" w:name="_Toc120690107"/>
      <w:bookmarkStart w:id="27" w:name="_Toc120690485"/>
      <w:bookmarkStart w:id="28" w:name="_Toc284250929"/>
      <w:bookmarkStart w:id="29" w:name="_Toc495582217"/>
      <w:r w:rsidRPr="00E207BC">
        <w:lastRenderedPageBreak/>
        <w:t>D</w:t>
      </w:r>
      <w:r w:rsidR="00BA55BA">
        <w:t>.</w:t>
      </w:r>
      <w:r w:rsidRPr="00E207BC">
        <w:tab/>
      </w:r>
      <w:bookmarkEnd w:id="26"/>
      <w:bookmarkEnd w:id="27"/>
      <w:bookmarkEnd w:id="28"/>
      <w:r w:rsidRPr="00E207BC">
        <w:t>APPLICABILITY TABLE</w:t>
      </w:r>
      <w:bookmarkEnd w:id="29"/>
    </w:p>
    <w:tbl>
      <w:tblPr>
        <w:tblW w:w="0" w:type="auto"/>
        <w:tblBorders>
          <w:insideV w:val="single" w:sz="4" w:space="0" w:color="auto"/>
        </w:tblBorders>
        <w:tblLayout w:type="fixed"/>
        <w:tblLook w:val="01E0" w:firstRow="1" w:lastRow="1" w:firstColumn="1" w:lastColumn="1" w:noHBand="0" w:noVBand="0"/>
      </w:tblPr>
      <w:tblGrid>
        <w:gridCol w:w="288"/>
        <w:gridCol w:w="3240"/>
        <w:gridCol w:w="1257"/>
        <w:gridCol w:w="1083"/>
        <w:gridCol w:w="1568"/>
        <w:gridCol w:w="1284"/>
      </w:tblGrid>
      <w:tr w:rsidR="001E17CF" w:rsidRPr="00E207BC" w:rsidTr="00F459E0">
        <w:tc>
          <w:tcPr>
            <w:tcW w:w="3528" w:type="dxa"/>
            <w:gridSpan w:val="2"/>
            <w:tcBorders>
              <w:top w:val="single" w:sz="4" w:space="0" w:color="auto"/>
              <w:left w:val="single" w:sz="4" w:space="0" w:color="auto"/>
              <w:bottom w:val="single" w:sz="4" w:space="0" w:color="auto"/>
            </w:tcBorders>
            <w:shd w:val="clear" w:color="auto" w:fill="auto"/>
            <w:vAlign w:val="bottom"/>
          </w:tcPr>
          <w:p w:rsidR="001E17CF" w:rsidRPr="00E207BC" w:rsidRDefault="001E17CF" w:rsidP="00C75067">
            <w:pPr>
              <w:spacing w:beforeLines="20" w:before="48" w:afterLines="20" w:after="48"/>
              <w:rPr>
                <w:b/>
                <w:sz w:val="20"/>
                <w:szCs w:val="20"/>
              </w:rPr>
            </w:pPr>
            <w:r w:rsidRPr="00E207BC">
              <w:rPr>
                <w:b/>
                <w:sz w:val="20"/>
                <w:szCs w:val="20"/>
              </w:rPr>
              <w:t>Vehicle Category</w:t>
            </w:r>
          </w:p>
        </w:tc>
        <w:tc>
          <w:tcPr>
            <w:tcW w:w="1257" w:type="dxa"/>
            <w:tcBorders>
              <w:top w:val="single" w:sz="4" w:space="0" w:color="auto"/>
              <w:bottom w:val="single" w:sz="4" w:space="0" w:color="auto"/>
            </w:tcBorders>
            <w:shd w:val="clear" w:color="auto" w:fill="auto"/>
            <w:vAlign w:val="bottom"/>
          </w:tcPr>
          <w:p w:rsidR="007B4090" w:rsidRPr="00E207BC" w:rsidRDefault="001E17CF" w:rsidP="00C75067">
            <w:pPr>
              <w:spacing w:beforeLines="20" w:before="48" w:afterLines="20" w:after="48"/>
              <w:rPr>
                <w:b/>
                <w:sz w:val="20"/>
                <w:szCs w:val="20"/>
              </w:rPr>
            </w:pPr>
            <w:r w:rsidRPr="00E207BC">
              <w:rPr>
                <w:b/>
                <w:sz w:val="20"/>
                <w:szCs w:val="20"/>
              </w:rPr>
              <w:t>ADR Category Code</w:t>
            </w:r>
            <w:r w:rsidR="00F376AC" w:rsidRPr="00E207BC">
              <w:rPr>
                <w:rStyle w:val="FootnoteReference"/>
                <w:b/>
                <w:sz w:val="20"/>
                <w:szCs w:val="20"/>
              </w:rPr>
              <w:footnoteReference w:id="1"/>
            </w:r>
          </w:p>
        </w:tc>
        <w:tc>
          <w:tcPr>
            <w:tcW w:w="1083" w:type="dxa"/>
            <w:tcBorders>
              <w:top w:val="single" w:sz="4" w:space="0" w:color="auto"/>
              <w:bottom w:val="single" w:sz="4" w:space="0" w:color="auto"/>
            </w:tcBorders>
            <w:shd w:val="clear" w:color="auto" w:fill="auto"/>
            <w:vAlign w:val="bottom"/>
          </w:tcPr>
          <w:p w:rsidR="007B4090" w:rsidRPr="00E207BC" w:rsidRDefault="001E17CF" w:rsidP="0098604E">
            <w:pPr>
              <w:spacing w:beforeLines="20" w:before="48" w:afterLines="20" w:after="48"/>
              <w:rPr>
                <w:b/>
                <w:sz w:val="20"/>
                <w:szCs w:val="20"/>
              </w:rPr>
            </w:pPr>
            <w:r w:rsidRPr="00E207BC">
              <w:rPr>
                <w:b/>
                <w:sz w:val="20"/>
                <w:szCs w:val="20"/>
              </w:rPr>
              <w:t>UNECE Category Code</w:t>
            </w:r>
            <w:r w:rsidR="00C3469B" w:rsidRPr="00E207BC">
              <w:rPr>
                <w:sz w:val="20"/>
                <w:szCs w:val="20"/>
                <w:vertAlign w:val="superscript"/>
              </w:rPr>
              <w:t>*</w:t>
            </w:r>
          </w:p>
        </w:tc>
        <w:tc>
          <w:tcPr>
            <w:tcW w:w="1568" w:type="dxa"/>
            <w:tcBorders>
              <w:top w:val="single" w:sz="4" w:space="0" w:color="auto"/>
              <w:bottom w:val="single" w:sz="4" w:space="0" w:color="auto"/>
            </w:tcBorders>
            <w:shd w:val="clear" w:color="auto" w:fill="auto"/>
            <w:vAlign w:val="bottom"/>
          </w:tcPr>
          <w:p w:rsidR="007B4090" w:rsidRPr="00E207BC" w:rsidRDefault="001E17CF" w:rsidP="00C75067">
            <w:pPr>
              <w:spacing w:beforeLines="20" w:before="48" w:afterLines="20" w:after="48"/>
              <w:rPr>
                <w:b/>
                <w:sz w:val="20"/>
                <w:szCs w:val="20"/>
              </w:rPr>
            </w:pPr>
            <w:r w:rsidRPr="00E207BC">
              <w:rPr>
                <w:b/>
                <w:sz w:val="20"/>
                <w:szCs w:val="20"/>
              </w:rPr>
              <w:t>Manufactured on or After</w:t>
            </w:r>
          </w:p>
        </w:tc>
        <w:tc>
          <w:tcPr>
            <w:tcW w:w="1284" w:type="dxa"/>
            <w:tcBorders>
              <w:top w:val="single" w:sz="4" w:space="0" w:color="auto"/>
              <w:bottom w:val="single" w:sz="4" w:space="0" w:color="auto"/>
              <w:right w:val="single" w:sz="4" w:space="0" w:color="auto"/>
            </w:tcBorders>
            <w:shd w:val="clear" w:color="auto" w:fill="auto"/>
            <w:vAlign w:val="bottom"/>
          </w:tcPr>
          <w:p w:rsidR="007B4090" w:rsidRPr="00E207BC" w:rsidRDefault="001E17CF" w:rsidP="00C75067">
            <w:pPr>
              <w:spacing w:beforeLines="20" w:before="48" w:afterLines="20" w:after="48"/>
              <w:rPr>
                <w:b/>
                <w:sz w:val="20"/>
                <w:szCs w:val="20"/>
              </w:rPr>
            </w:pPr>
            <w:r w:rsidRPr="00E207BC">
              <w:rPr>
                <w:b/>
                <w:sz w:val="20"/>
                <w:szCs w:val="20"/>
              </w:rPr>
              <w:t>Acceptable Prior Rules</w:t>
            </w:r>
          </w:p>
        </w:tc>
      </w:tr>
      <w:tr w:rsidR="00F376AC" w:rsidRPr="00E207BC" w:rsidTr="00F459E0">
        <w:tc>
          <w:tcPr>
            <w:tcW w:w="3528" w:type="dxa"/>
            <w:gridSpan w:val="2"/>
            <w:tcBorders>
              <w:top w:val="single" w:sz="4" w:space="0" w:color="auto"/>
              <w:left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Moped 2 wheels</w:t>
            </w:r>
          </w:p>
        </w:tc>
        <w:tc>
          <w:tcPr>
            <w:tcW w:w="1257" w:type="dxa"/>
            <w:tcBorders>
              <w:top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LA</w:t>
            </w:r>
          </w:p>
        </w:tc>
        <w:tc>
          <w:tcPr>
            <w:tcW w:w="1083" w:type="dxa"/>
            <w:tcBorders>
              <w:top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L1</w:t>
            </w:r>
          </w:p>
        </w:tc>
        <w:tc>
          <w:tcPr>
            <w:tcW w:w="1568" w:type="dxa"/>
            <w:tcBorders>
              <w:top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top w:val="single" w:sz="4" w:space="0" w:color="auto"/>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3528" w:type="dxa"/>
            <w:gridSpan w:val="2"/>
            <w:tcBorders>
              <w:left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Moped 3 wheels</w:t>
            </w: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LB</w:t>
            </w:r>
          </w:p>
        </w:tc>
        <w:tc>
          <w:tcPr>
            <w:tcW w:w="1083"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L2</w:t>
            </w:r>
          </w:p>
        </w:tc>
        <w:tc>
          <w:tcPr>
            <w:tcW w:w="1568"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3528" w:type="dxa"/>
            <w:gridSpan w:val="2"/>
            <w:tcBorders>
              <w:left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Motor cycle</w:t>
            </w: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LC</w:t>
            </w:r>
          </w:p>
        </w:tc>
        <w:tc>
          <w:tcPr>
            <w:tcW w:w="1083"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L3</w:t>
            </w:r>
          </w:p>
        </w:tc>
        <w:tc>
          <w:tcPr>
            <w:tcW w:w="1568"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3528" w:type="dxa"/>
            <w:gridSpan w:val="2"/>
            <w:tcBorders>
              <w:left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Motor cycle and sidecar</w:t>
            </w: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LD</w:t>
            </w:r>
          </w:p>
        </w:tc>
        <w:tc>
          <w:tcPr>
            <w:tcW w:w="1083"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L4</w:t>
            </w:r>
          </w:p>
        </w:tc>
        <w:tc>
          <w:tcPr>
            <w:tcW w:w="1568"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3528" w:type="dxa"/>
            <w:gridSpan w:val="2"/>
            <w:tcBorders>
              <w:left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Motor tricycle</w:t>
            </w: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LE</w:t>
            </w:r>
          </w:p>
        </w:tc>
        <w:tc>
          <w:tcPr>
            <w:tcW w:w="1083"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L5</w:t>
            </w:r>
          </w:p>
        </w:tc>
        <w:tc>
          <w:tcPr>
            <w:tcW w:w="1568" w:type="dxa"/>
            <w:shd w:val="clear" w:color="auto" w:fill="auto"/>
          </w:tcPr>
          <w:p w:rsidR="007B4090" w:rsidRPr="00E207BC" w:rsidRDefault="007B4090" w:rsidP="00C75067">
            <w:pPr>
              <w:spacing w:beforeLines="20" w:before="48" w:afterLines="20" w:after="48"/>
              <w:rPr>
                <w:sz w:val="20"/>
                <w:szCs w:val="20"/>
              </w:rPr>
            </w:pPr>
          </w:p>
        </w:tc>
        <w:tc>
          <w:tcPr>
            <w:tcW w:w="1284" w:type="dxa"/>
            <w:tcBorders>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3528" w:type="dxa"/>
            <w:gridSpan w:val="2"/>
            <w:tcBorders>
              <w:left w:val="single" w:sz="4" w:space="0" w:color="auto"/>
            </w:tcBorders>
            <w:shd w:val="clear" w:color="auto" w:fill="auto"/>
          </w:tcPr>
          <w:p w:rsidR="00F376AC" w:rsidRPr="00E207BC" w:rsidRDefault="00F376AC" w:rsidP="00C75067">
            <w:pPr>
              <w:spacing w:beforeLines="20" w:before="48" w:afterLines="20" w:after="48"/>
              <w:rPr>
                <w:sz w:val="20"/>
                <w:szCs w:val="20"/>
              </w:rPr>
            </w:pP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   LEM</w:t>
            </w:r>
          </w:p>
        </w:tc>
        <w:tc>
          <w:tcPr>
            <w:tcW w:w="1083" w:type="dxa"/>
            <w:shd w:val="clear" w:color="auto" w:fill="auto"/>
          </w:tcPr>
          <w:p w:rsidR="007B4090" w:rsidRPr="00E207BC" w:rsidRDefault="007B4090" w:rsidP="00C75067">
            <w:pPr>
              <w:spacing w:beforeLines="20" w:before="48" w:afterLines="20" w:after="48"/>
              <w:rPr>
                <w:sz w:val="20"/>
                <w:szCs w:val="20"/>
              </w:rPr>
            </w:pPr>
          </w:p>
        </w:tc>
        <w:tc>
          <w:tcPr>
            <w:tcW w:w="1568"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3528" w:type="dxa"/>
            <w:gridSpan w:val="2"/>
            <w:tcBorders>
              <w:left w:val="single" w:sz="4" w:space="0" w:color="auto"/>
            </w:tcBorders>
            <w:shd w:val="clear" w:color="auto" w:fill="auto"/>
          </w:tcPr>
          <w:p w:rsidR="00F376AC" w:rsidRPr="00E207BC" w:rsidRDefault="00F376AC" w:rsidP="00C75067">
            <w:pPr>
              <w:spacing w:beforeLines="20" w:before="48" w:afterLines="20" w:after="48"/>
              <w:rPr>
                <w:sz w:val="20"/>
                <w:szCs w:val="20"/>
              </w:rPr>
            </w:pP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   LEP</w:t>
            </w:r>
          </w:p>
        </w:tc>
        <w:tc>
          <w:tcPr>
            <w:tcW w:w="1083" w:type="dxa"/>
            <w:shd w:val="clear" w:color="auto" w:fill="auto"/>
          </w:tcPr>
          <w:p w:rsidR="007B4090" w:rsidRPr="00E207BC" w:rsidRDefault="007B4090" w:rsidP="00C75067">
            <w:pPr>
              <w:spacing w:beforeLines="20" w:before="48" w:afterLines="20" w:after="48"/>
              <w:rPr>
                <w:sz w:val="20"/>
                <w:szCs w:val="20"/>
              </w:rPr>
            </w:pPr>
          </w:p>
        </w:tc>
        <w:tc>
          <w:tcPr>
            <w:tcW w:w="1568"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1 November 201</w:t>
            </w:r>
            <w:r w:rsidR="00EF4571" w:rsidRPr="00E207BC">
              <w:rPr>
                <w:sz w:val="20"/>
                <w:szCs w:val="20"/>
              </w:rPr>
              <w:t>2</w:t>
            </w:r>
            <w:r w:rsidRPr="00E207BC">
              <w:rPr>
                <w:sz w:val="20"/>
                <w:szCs w:val="20"/>
                <w:vertAlign w:val="superscript"/>
              </w:rPr>
              <w:t>**</w:t>
            </w:r>
          </w:p>
        </w:tc>
        <w:tc>
          <w:tcPr>
            <w:tcW w:w="1284" w:type="dxa"/>
            <w:tcBorders>
              <w:right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34/01</w:t>
            </w:r>
            <w:r w:rsidRPr="00E207BC">
              <w:rPr>
                <w:sz w:val="20"/>
                <w:szCs w:val="20"/>
                <w:vertAlign w:val="superscript"/>
              </w:rPr>
              <w:t>#</w:t>
            </w:r>
          </w:p>
        </w:tc>
      </w:tr>
      <w:tr w:rsidR="00F376AC" w:rsidRPr="00E207BC" w:rsidTr="00F459E0">
        <w:tc>
          <w:tcPr>
            <w:tcW w:w="3528" w:type="dxa"/>
            <w:gridSpan w:val="2"/>
            <w:tcBorders>
              <w:left w:val="single" w:sz="4" w:space="0" w:color="auto"/>
              <w:bottom w:val="single" w:sz="4" w:space="0" w:color="auto"/>
            </w:tcBorders>
            <w:shd w:val="clear" w:color="auto" w:fill="auto"/>
          </w:tcPr>
          <w:p w:rsidR="00F376AC" w:rsidRPr="00E207BC" w:rsidRDefault="00F376AC" w:rsidP="00C75067">
            <w:pPr>
              <w:spacing w:beforeLines="20" w:before="48" w:afterLines="20" w:after="48"/>
              <w:rPr>
                <w:sz w:val="20"/>
                <w:szCs w:val="20"/>
              </w:rPr>
            </w:pPr>
          </w:p>
        </w:tc>
        <w:tc>
          <w:tcPr>
            <w:tcW w:w="1257" w:type="dxa"/>
            <w:tcBorders>
              <w:bottom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   LEG</w:t>
            </w:r>
          </w:p>
        </w:tc>
        <w:tc>
          <w:tcPr>
            <w:tcW w:w="1083" w:type="dxa"/>
            <w:tcBorders>
              <w:bottom w:val="single" w:sz="4" w:space="0" w:color="auto"/>
            </w:tcBorders>
            <w:shd w:val="clear" w:color="auto" w:fill="auto"/>
          </w:tcPr>
          <w:p w:rsidR="007B4090" w:rsidRPr="00E207BC" w:rsidRDefault="007B4090" w:rsidP="00C75067">
            <w:pPr>
              <w:spacing w:beforeLines="20" w:before="48" w:afterLines="20" w:after="48"/>
              <w:rPr>
                <w:sz w:val="20"/>
                <w:szCs w:val="20"/>
              </w:rPr>
            </w:pPr>
          </w:p>
        </w:tc>
        <w:tc>
          <w:tcPr>
            <w:tcW w:w="1568" w:type="dxa"/>
            <w:tcBorders>
              <w:bottom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bottom w:val="single" w:sz="4" w:space="0" w:color="auto"/>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3528" w:type="dxa"/>
            <w:gridSpan w:val="2"/>
            <w:tcBorders>
              <w:top w:val="single" w:sz="4" w:space="0" w:color="auto"/>
              <w:left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Passenger car</w:t>
            </w:r>
          </w:p>
        </w:tc>
        <w:tc>
          <w:tcPr>
            <w:tcW w:w="1257" w:type="dxa"/>
            <w:tcBorders>
              <w:top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MA</w:t>
            </w:r>
          </w:p>
        </w:tc>
        <w:tc>
          <w:tcPr>
            <w:tcW w:w="1083" w:type="dxa"/>
            <w:tcBorders>
              <w:top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M1</w:t>
            </w:r>
          </w:p>
        </w:tc>
        <w:tc>
          <w:tcPr>
            <w:tcW w:w="1568" w:type="dxa"/>
            <w:tcBorders>
              <w:top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1 November 201</w:t>
            </w:r>
            <w:r w:rsidR="00EF4571" w:rsidRPr="00E207BC">
              <w:rPr>
                <w:sz w:val="20"/>
                <w:szCs w:val="20"/>
              </w:rPr>
              <w:t>2</w:t>
            </w:r>
            <w:r w:rsidRPr="00E207BC">
              <w:rPr>
                <w:sz w:val="20"/>
                <w:szCs w:val="20"/>
                <w:vertAlign w:val="superscript"/>
              </w:rPr>
              <w:t>**</w:t>
            </w:r>
          </w:p>
        </w:tc>
        <w:tc>
          <w:tcPr>
            <w:tcW w:w="1284" w:type="dxa"/>
            <w:tcBorders>
              <w:top w:val="single" w:sz="4" w:space="0" w:color="auto"/>
              <w:right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34/01</w:t>
            </w:r>
            <w:r w:rsidRPr="00E207BC">
              <w:rPr>
                <w:sz w:val="20"/>
                <w:szCs w:val="20"/>
                <w:vertAlign w:val="superscript"/>
              </w:rPr>
              <w:t>#</w:t>
            </w:r>
          </w:p>
        </w:tc>
      </w:tr>
      <w:tr w:rsidR="00F376AC" w:rsidRPr="00E207BC" w:rsidTr="00F459E0">
        <w:tc>
          <w:tcPr>
            <w:tcW w:w="3528" w:type="dxa"/>
            <w:gridSpan w:val="2"/>
            <w:tcBorders>
              <w:left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Forward-control passenger vehicle</w:t>
            </w: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MB</w:t>
            </w:r>
          </w:p>
        </w:tc>
        <w:tc>
          <w:tcPr>
            <w:tcW w:w="1083"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M1</w:t>
            </w:r>
          </w:p>
        </w:tc>
        <w:tc>
          <w:tcPr>
            <w:tcW w:w="1568"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1 November 201</w:t>
            </w:r>
            <w:r w:rsidR="00EF4571" w:rsidRPr="00E207BC">
              <w:rPr>
                <w:sz w:val="20"/>
                <w:szCs w:val="20"/>
              </w:rPr>
              <w:t>2</w:t>
            </w:r>
            <w:r w:rsidRPr="00E207BC">
              <w:rPr>
                <w:sz w:val="20"/>
                <w:szCs w:val="20"/>
                <w:vertAlign w:val="superscript"/>
              </w:rPr>
              <w:t>**</w:t>
            </w:r>
          </w:p>
        </w:tc>
        <w:tc>
          <w:tcPr>
            <w:tcW w:w="1284" w:type="dxa"/>
            <w:tcBorders>
              <w:right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34/01</w:t>
            </w:r>
            <w:r w:rsidRPr="00E207BC">
              <w:rPr>
                <w:sz w:val="20"/>
                <w:szCs w:val="20"/>
                <w:vertAlign w:val="superscript"/>
              </w:rPr>
              <w:t>#</w:t>
            </w:r>
          </w:p>
        </w:tc>
      </w:tr>
      <w:tr w:rsidR="00F376AC" w:rsidRPr="00E207BC" w:rsidTr="00F459E0">
        <w:tc>
          <w:tcPr>
            <w:tcW w:w="3528" w:type="dxa"/>
            <w:gridSpan w:val="2"/>
            <w:tcBorders>
              <w:left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Off-road passenger vehicle</w:t>
            </w: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MC</w:t>
            </w:r>
          </w:p>
        </w:tc>
        <w:tc>
          <w:tcPr>
            <w:tcW w:w="1083"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M1</w:t>
            </w:r>
          </w:p>
        </w:tc>
        <w:tc>
          <w:tcPr>
            <w:tcW w:w="1568"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1 November 201</w:t>
            </w:r>
            <w:r w:rsidR="00EF4571" w:rsidRPr="00E207BC">
              <w:rPr>
                <w:sz w:val="20"/>
                <w:szCs w:val="20"/>
              </w:rPr>
              <w:t>2</w:t>
            </w:r>
            <w:r w:rsidRPr="00E207BC">
              <w:rPr>
                <w:sz w:val="20"/>
                <w:szCs w:val="20"/>
                <w:vertAlign w:val="superscript"/>
              </w:rPr>
              <w:t>**</w:t>
            </w:r>
          </w:p>
        </w:tc>
        <w:tc>
          <w:tcPr>
            <w:tcW w:w="1284" w:type="dxa"/>
            <w:tcBorders>
              <w:right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34/01</w:t>
            </w:r>
            <w:r w:rsidRPr="00E207BC">
              <w:rPr>
                <w:sz w:val="20"/>
                <w:szCs w:val="20"/>
                <w:vertAlign w:val="superscript"/>
              </w:rPr>
              <w:t>#</w:t>
            </w:r>
          </w:p>
        </w:tc>
      </w:tr>
      <w:tr w:rsidR="00F376AC" w:rsidRPr="00E207BC" w:rsidTr="00F459E0">
        <w:tc>
          <w:tcPr>
            <w:tcW w:w="3528" w:type="dxa"/>
            <w:gridSpan w:val="2"/>
            <w:tcBorders>
              <w:left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Light omnibus</w:t>
            </w: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MD</w:t>
            </w:r>
          </w:p>
        </w:tc>
        <w:tc>
          <w:tcPr>
            <w:tcW w:w="1083"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M2</w:t>
            </w:r>
          </w:p>
        </w:tc>
        <w:tc>
          <w:tcPr>
            <w:tcW w:w="1568" w:type="dxa"/>
            <w:shd w:val="clear" w:color="auto" w:fill="auto"/>
          </w:tcPr>
          <w:p w:rsidR="007B4090" w:rsidRPr="00E207BC" w:rsidRDefault="007B4090" w:rsidP="00C75067">
            <w:pPr>
              <w:spacing w:beforeLines="20" w:before="48" w:afterLines="20" w:after="48"/>
              <w:rPr>
                <w:sz w:val="20"/>
                <w:szCs w:val="20"/>
              </w:rPr>
            </w:pPr>
          </w:p>
        </w:tc>
        <w:tc>
          <w:tcPr>
            <w:tcW w:w="1284" w:type="dxa"/>
            <w:tcBorders>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288" w:type="dxa"/>
            <w:tcBorders>
              <w:left w:val="single" w:sz="4" w:space="0" w:color="auto"/>
              <w:right w:val="nil"/>
            </w:tcBorders>
            <w:shd w:val="clear" w:color="auto" w:fill="auto"/>
          </w:tcPr>
          <w:p w:rsidR="00F376AC" w:rsidRPr="00E207BC" w:rsidRDefault="00F376AC" w:rsidP="00C75067">
            <w:pPr>
              <w:spacing w:beforeLines="20" w:before="48" w:afterLines="20" w:after="48"/>
              <w:rPr>
                <w:sz w:val="20"/>
                <w:szCs w:val="20"/>
              </w:rPr>
            </w:pPr>
          </w:p>
        </w:tc>
        <w:tc>
          <w:tcPr>
            <w:tcW w:w="3240" w:type="dxa"/>
            <w:tcBorders>
              <w:left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up to 3.5 tonnes ‘</w:t>
            </w:r>
            <w:r w:rsidRPr="00E207BC">
              <w:rPr>
                <w:i/>
                <w:sz w:val="20"/>
                <w:szCs w:val="20"/>
              </w:rPr>
              <w:t>GVM’</w:t>
            </w:r>
            <w:r w:rsidRPr="00E207BC">
              <w:rPr>
                <w:sz w:val="20"/>
                <w:szCs w:val="20"/>
              </w:rPr>
              <w:t xml:space="preserve"> and up to 12 seats</w:t>
            </w: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   MD1</w:t>
            </w:r>
          </w:p>
        </w:tc>
        <w:tc>
          <w:tcPr>
            <w:tcW w:w="1083" w:type="dxa"/>
            <w:shd w:val="clear" w:color="auto" w:fill="auto"/>
          </w:tcPr>
          <w:p w:rsidR="007B4090" w:rsidRPr="00E207BC" w:rsidRDefault="007B4090" w:rsidP="00C75067">
            <w:pPr>
              <w:spacing w:beforeLines="20" w:before="48" w:afterLines="20" w:after="48"/>
              <w:rPr>
                <w:sz w:val="20"/>
                <w:szCs w:val="20"/>
              </w:rPr>
            </w:pPr>
          </w:p>
        </w:tc>
        <w:tc>
          <w:tcPr>
            <w:tcW w:w="1568"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1 November 201</w:t>
            </w:r>
            <w:r w:rsidR="00EF4571" w:rsidRPr="00E207BC">
              <w:rPr>
                <w:sz w:val="20"/>
                <w:szCs w:val="20"/>
              </w:rPr>
              <w:t>2</w:t>
            </w:r>
            <w:r w:rsidRPr="00E207BC">
              <w:rPr>
                <w:sz w:val="20"/>
                <w:szCs w:val="20"/>
                <w:vertAlign w:val="superscript"/>
              </w:rPr>
              <w:t>**</w:t>
            </w:r>
          </w:p>
        </w:tc>
        <w:tc>
          <w:tcPr>
            <w:tcW w:w="1284" w:type="dxa"/>
            <w:tcBorders>
              <w:right w:val="single" w:sz="4" w:space="0" w:color="auto"/>
            </w:tcBorders>
            <w:shd w:val="clear" w:color="auto" w:fill="auto"/>
          </w:tcPr>
          <w:p w:rsidR="007B4090" w:rsidRPr="00E207BC" w:rsidRDefault="001E12C6" w:rsidP="00C75067">
            <w:pPr>
              <w:spacing w:beforeLines="20" w:before="48" w:afterLines="20" w:after="48"/>
              <w:rPr>
                <w:sz w:val="20"/>
                <w:szCs w:val="20"/>
              </w:rPr>
            </w:pPr>
            <w:r w:rsidRPr="00E207BC">
              <w:rPr>
                <w:sz w:val="20"/>
                <w:szCs w:val="20"/>
              </w:rPr>
              <w:t>34/01</w:t>
            </w:r>
            <w:r w:rsidRPr="00E207BC">
              <w:rPr>
                <w:sz w:val="20"/>
                <w:szCs w:val="20"/>
                <w:vertAlign w:val="superscript"/>
              </w:rPr>
              <w:t>#</w:t>
            </w:r>
          </w:p>
        </w:tc>
      </w:tr>
      <w:tr w:rsidR="00F376AC" w:rsidRPr="00E207BC" w:rsidTr="00F459E0">
        <w:tc>
          <w:tcPr>
            <w:tcW w:w="288" w:type="dxa"/>
            <w:tcBorders>
              <w:left w:val="single" w:sz="4" w:space="0" w:color="auto"/>
              <w:right w:val="nil"/>
            </w:tcBorders>
            <w:shd w:val="clear" w:color="auto" w:fill="auto"/>
          </w:tcPr>
          <w:p w:rsidR="00F376AC" w:rsidRPr="00E207BC" w:rsidRDefault="00F376AC" w:rsidP="00C75067">
            <w:pPr>
              <w:spacing w:beforeLines="20" w:before="48" w:afterLines="20" w:after="48"/>
              <w:rPr>
                <w:sz w:val="20"/>
                <w:szCs w:val="20"/>
              </w:rPr>
            </w:pPr>
          </w:p>
        </w:tc>
        <w:tc>
          <w:tcPr>
            <w:tcW w:w="3240" w:type="dxa"/>
            <w:tcBorders>
              <w:left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up to 3.5 tonnes </w:t>
            </w:r>
            <w:r w:rsidRPr="00E207BC">
              <w:rPr>
                <w:i/>
                <w:sz w:val="20"/>
                <w:szCs w:val="20"/>
              </w:rPr>
              <w:t>‘GVM’</w:t>
            </w:r>
            <w:r w:rsidRPr="00E207BC">
              <w:rPr>
                <w:sz w:val="20"/>
                <w:szCs w:val="20"/>
              </w:rPr>
              <w:t xml:space="preserve"> and more than 12 seats</w:t>
            </w: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   MD2</w:t>
            </w:r>
          </w:p>
        </w:tc>
        <w:tc>
          <w:tcPr>
            <w:tcW w:w="1083" w:type="dxa"/>
            <w:shd w:val="clear" w:color="auto" w:fill="auto"/>
          </w:tcPr>
          <w:p w:rsidR="007B4090" w:rsidRPr="00E207BC" w:rsidRDefault="007B4090" w:rsidP="00C75067">
            <w:pPr>
              <w:spacing w:beforeLines="20" w:before="48" w:afterLines="20" w:after="48"/>
              <w:rPr>
                <w:sz w:val="20"/>
                <w:szCs w:val="20"/>
              </w:rPr>
            </w:pPr>
          </w:p>
        </w:tc>
        <w:tc>
          <w:tcPr>
            <w:tcW w:w="1568"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288" w:type="dxa"/>
            <w:tcBorders>
              <w:left w:val="single" w:sz="4" w:space="0" w:color="auto"/>
              <w:right w:val="nil"/>
            </w:tcBorders>
            <w:shd w:val="clear" w:color="auto" w:fill="auto"/>
          </w:tcPr>
          <w:p w:rsidR="00F376AC" w:rsidRPr="00E207BC" w:rsidRDefault="00F376AC" w:rsidP="00C75067">
            <w:pPr>
              <w:spacing w:beforeLines="20" w:before="48" w:afterLines="20" w:after="48"/>
              <w:rPr>
                <w:sz w:val="20"/>
                <w:szCs w:val="20"/>
              </w:rPr>
            </w:pPr>
          </w:p>
        </w:tc>
        <w:tc>
          <w:tcPr>
            <w:tcW w:w="3240" w:type="dxa"/>
            <w:tcBorders>
              <w:left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over 3.5 tonnes and up to 4.5 tonnes </w:t>
            </w:r>
            <w:r w:rsidRPr="00E207BC">
              <w:rPr>
                <w:i/>
                <w:sz w:val="20"/>
                <w:szCs w:val="20"/>
              </w:rPr>
              <w:t>‘GVM’</w:t>
            </w: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   MD3</w:t>
            </w:r>
          </w:p>
        </w:tc>
        <w:tc>
          <w:tcPr>
            <w:tcW w:w="1083" w:type="dxa"/>
            <w:shd w:val="clear" w:color="auto" w:fill="auto"/>
          </w:tcPr>
          <w:p w:rsidR="007B4090" w:rsidRPr="00E207BC" w:rsidRDefault="007B4090" w:rsidP="00C75067">
            <w:pPr>
              <w:spacing w:beforeLines="20" w:before="48" w:afterLines="20" w:after="48"/>
              <w:rPr>
                <w:sz w:val="20"/>
                <w:szCs w:val="20"/>
              </w:rPr>
            </w:pPr>
          </w:p>
        </w:tc>
        <w:tc>
          <w:tcPr>
            <w:tcW w:w="1568"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1 November 201</w:t>
            </w:r>
            <w:r w:rsidR="00EF4571" w:rsidRPr="00E207BC">
              <w:rPr>
                <w:sz w:val="20"/>
                <w:szCs w:val="20"/>
              </w:rPr>
              <w:t>2</w:t>
            </w:r>
            <w:r w:rsidRPr="00E207BC">
              <w:rPr>
                <w:sz w:val="20"/>
                <w:szCs w:val="20"/>
                <w:vertAlign w:val="superscript"/>
              </w:rPr>
              <w:t>***</w:t>
            </w:r>
          </w:p>
        </w:tc>
        <w:tc>
          <w:tcPr>
            <w:tcW w:w="1284" w:type="dxa"/>
            <w:tcBorders>
              <w:right w:val="single" w:sz="4" w:space="0" w:color="auto"/>
            </w:tcBorders>
            <w:shd w:val="clear" w:color="auto" w:fill="auto"/>
          </w:tcPr>
          <w:p w:rsidR="007B4090" w:rsidRPr="00E207BC" w:rsidRDefault="001E12C6" w:rsidP="00C75067">
            <w:pPr>
              <w:spacing w:beforeLines="20" w:before="48" w:afterLines="20" w:after="48"/>
              <w:rPr>
                <w:sz w:val="20"/>
                <w:szCs w:val="20"/>
              </w:rPr>
            </w:pPr>
            <w:r w:rsidRPr="00E207BC">
              <w:rPr>
                <w:sz w:val="20"/>
                <w:szCs w:val="20"/>
              </w:rPr>
              <w:t>34/01</w:t>
            </w:r>
            <w:r w:rsidRPr="00E207BC">
              <w:rPr>
                <w:sz w:val="20"/>
                <w:szCs w:val="20"/>
                <w:vertAlign w:val="superscript"/>
              </w:rPr>
              <w:t>#</w:t>
            </w:r>
          </w:p>
        </w:tc>
      </w:tr>
      <w:tr w:rsidR="00F376AC" w:rsidRPr="00E207BC" w:rsidTr="00F459E0">
        <w:tc>
          <w:tcPr>
            <w:tcW w:w="288" w:type="dxa"/>
            <w:tcBorders>
              <w:left w:val="single" w:sz="4" w:space="0" w:color="auto"/>
              <w:bottom w:val="nil"/>
              <w:right w:val="nil"/>
            </w:tcBorders>
            <w:shd w:val="clear" w:color="auto" w:fill="auto"/>
          </w:tcPr>
          <w:p w:rsidR="00F376AC" w:rsidRPr="00E207BC" w:rsidRDefault="00F376AC" w:rsidP="00C75067">
            <w:pPr>
              <w:spacing w:beforeLines="20" w:before="48" w:afterLines="20" w:after="48"/>
              <w:rPr>
                <w:sz w:val="20"/>
                <w:szCs w:val="20"/>
              </w:rPr>
            </w:pPr>
          </w:p>
        </w:tc>
        <w:tc>
          <w:tcPr>
            <w:tcW w:w="3240" w:type="dxa"/>
            <w:tcBorders>
              <w:left w:val="nil"/>
              <w:bottom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over 4.5 tonnes and up to 5 tonnes </w:t>
            </w:r>
            <w:r w:rsidRPr="00E207BC">
              <w:rPr>
                <w:i/>
                <w:sz w:val="20"/>
                <w:szCs w:val="20"/>
              </w:rPr>
              <w:t>‘GVM’</w:t>
            </w:r>
          </w:p>
        </w:tc>
        <w:tc>
          <w:tcPr>
            <w:tcW w:w="1257" w:type="dxa"/>
            <w:tcBorders>
              <w:bottom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   MD4</w:t>
            </w:r>
          </w:p>
        </w:tc>
        <w:tc>
          <w:tcPr>
            <w:tcW w:w="1083" w:type="dxa"/>
            <w:tcBorders>
              <w:bottom w:val="nil"/>
            </w:tcBorders>
            <w:shd w:val="clear" w:color="auto" w:fill="auto"/>
          </w:tcPr>
          <w:p w:rsidR="007B4090" w:rsidRPr="00E207BC" w:rsidRDefault="007B4090" w:rsidP="00C75067">
            <w:pPr>
              <w:spacing w:beforeLines="20" w:before="48" w:afterLines="20" w:after="48"/>
              <w:rPr>
                <w:sz w:val="20"/>
                <w:szCs w:val="20"/>
              </w:rPr>
            </w:pPr>
          </w:p>
        </w:tc>
        <w:tc>
          <w:tcPr>
            <w:tcW w:w="1568" w:type="dxa"/>
            <w:tcBorders>
              <w:bottom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1 November 201</w:t>
            </w:r>
            <w:r w:rsidR="00EF4571" w:rsidRPr="00E207BC">
              <w:rPr>
                <w:sz w:val="20"/>
                <w:szCs w:val="20"/>
              </w:rPr>
              <w:t>2</w:t>
            </w:r>
            <w:r w:rsidRPr="00E207BC">
              <w:rPr>
                <w:sz w:val="20"/>
                <w:szCs w:val="20"/>
                <w:vertAlign w:val="superscript"/>
              </w:rPr>
              <w:t>***</w:t>
            </w:r>
          </w:p>
        </w:tc>
        <w:tc>
          <w:tcPr>
            <w:tcW w:w="1284" w:type="dxa"/>
            <w:tcBorders>
              <w:bottom w:val="nil"/>
              <w:right w:val="single" w:sz="4" w:space="0" w:color="auto"/>
            </w:tcBorders>
            <w:shd w:val="clear" w:color="auto" w:fill="auto"/>
          </w:tcPr>
          <w:p w:rsidR="007B4090" w:rsidRPr="00E207BC" w:rsidRDefault="001E12C6" w:rsidP="00C75067">
            <w:pPr>
              <w:spacing w:beforeLines="20" w:before="48" w:afterLines="20" w:after="48"/>
              <w:rPr>
                <w:sz w:val="20"/>
                <w:szCs w:val="20"/>
              </w:rPr>
            </w:pPr>
            <w:r w:rsidRPr="00E207BC">
              <w:rPr>
                <w:sz w:val="20"/>
                <w:szCs w:val="20"/>
              </w:rPr>
              <w:t>34/01</w:t>
            </w:r>
            <w:r w:rsidRPr="00E207BC">
              <w:rPr>
                <w:sz w:val="20"/>
                <w:szCs w:val="20"/>
                <w:vertAlign w:val="superscript"/>
              </w:rPr>
              <w:t>#</w:t>
            </w:r>
          </w:p>
        </w:tc>
      </w:tr>
      <w:tr w:rsidR="00F376AC" w:rsidRPr="00E207BC" w:rsidTr="00F459E0">
        <w:tc>
          <w:tcPr>
            <w:tcW w:w="3528" w:type="dxa"/>
            <w:gridSpan w:val="2"/>
            <w:tcBorders>
              <w:left w:val="single" w:sz="4" w:space="0" w:color="auto"/>
              <w:bottom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Heavy omnibus</w:t>
            </w:r>
          </w:p>
        </w:tc>
        <w:tc>
          <w:tcPr>
            <w:tcW w:w="1257" w:type="dxa"/>
            <w:tcBorders>
              <w:bottom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ME</w:t>
            </w:r>
          </w:p>
        </w:tc>
        <w:tc>
          <w:tcPr>
            <w:tcW w:w="1083" w:type="dxa"/>
            <w:tcBorders>
              <w:bottom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M3</w:t>
            </w:r>
          </w:p>
        </w:tc>
        <w:tc>
          <w:tcPr>
            <w:tcW w:w="1568" w:type="dxa"/>
            <w:tcBorders>
              <w:bottom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1 November 201</w:t>
            </w:r>
            <w:r w:rsidR="00EF4571" w:rsidRPr="00E207BC">
              <w:rPr>
                <w:sz w:val="20"/>
                <w:szCs w:val="20"/>
              </w:rPr>
              <w:t>2</w:t>
            </w:r>
            <w:r w:rsidRPr="00E207BC">
              <w:rPr>
                <w:sz w:val="20"/>
                <w:szCs w:val="20"/>
                <w:vertAlign w:val="superscript"/>
              </w:rPr>
              <w:t>***</w:t>
            </w:r>
          </w:p>
        </w:tc>
        <w:tc>
          <w:tcPr>
            <w:tcW w:w="1284" w:type="dxa"/>
            <w:tcBorders>
              <w:bottom w:val="single" w:sz="4" w:space="0" w:color="auto"/>
              <w:right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34/01</w:t>
            </w:r>
            <w:r w:rsidRPr="00E207BC">
              <w:rPr>
                <w:sz w:val="20"/>
                <w:szCs w:val="20"/>
                <w:vertAlign w:val="superscript"/>
              </w:rPr>
              <w:t>#</w:t>
            </w:r>
          </w:p>
        </w:tc>
      </w:tr>
      <w:tr w:rsidR="00F376AC" w:rsidRPr="00E207BC" w:rsidTr="00F459E0">
        <w:tc>
          <w:tcPr>
            <w:tcW w:w="3528" w:type="dxa"/>
            <w:gridSpan w:val="2"/>
            <w:tcBorders>
              <w:top w:val="single" w:sz="4" w:space="0" w:color="auto"/>
              <w:left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Light goods vehicle</w:t>
            </w:r>
          </w:p>
        </w:tc>
        <w:tc>
          <w:tcPr>
            <w:tcW w:w="1257" w:type="dxa"/>
            <w:tcBorders>
              <w:top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NA</w:t>
            </w:r>
          </w:p>
        </w:tc>
        <w:tc>
          <w:tcPr>
            <w:tcW w:w="1083" w:type="dxa"/>
            <w:tcBorders>
              <w:top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N1</w:t>
            </w:r>
          </w:p>
        </w:tc>
        <w:tc>
          <w:tcPr>
            <w:tcW w:w="1568" w:type="dxa"/>
            <w:tcBorders>
              <w:top w:val="single" w:sz="4" w:space="0" w:color="auto"/>
            </w:tcBorders>
            <w:shd w:val="clear" w:color="auto" w:fill="auto"/>
          </w:tcPr>
          <w:p w:rsidR="007B4090" w:rsidRPr="00E207BC" w:rsidRDefault="009A390C" w:rsidP="00C75067">
            <w:pPr>
              <w:spacing w:beforeLines="20" w:before="48" w:afterLines="20" w:after="48"/>
              <w:rPr>
                <w:sz w:val="20"/>
                <w:szCs w:val="20"/>
              </w:rPr>
            </w:pPr>
            <w:r w:rsidRPr="00E207BC">
              <w:rPr>
                <w:sz w:val="20"/>
                <w:szCs w:val="20"/>
              </w:rPr>
              <w:t>Not applicable</w:t>
            </w:r>
          </w:p>
        </w:tc>
        <w:tc>
          <w:tcPr>
            <w:tcW w:w="1284" w:type="dxa"/>
            <w:tcBorders>
              <w:top w:val="single" w:sz="4" w:space="0" w:color="auto"/>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3528" w:type="dxa"/>
            <w:gridSpan w:val="2"/>
            <w:tcBorders>
              <w:left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Medium goods vehicle</w:t>
            </w: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NB</w:t>
            </w:r>
          </w:p>
        </w:tc>
        <w:tc>
          <w:tcPr>
            <w:tcW w:w="1083"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N2</w:t>
            </w:r>
          </w:p>
        </w:tc>
        <w:tc>
          <w:tcPr>
            <w:tcW w:w="1568" w:type="dxa"/>
            <w:shd w:val="clear" w:color="auto" w:fill="auto"/>
          </w:tcPr>
          <w:p w:rsidR="007B4090" w:rsidRPr="00E207BC" w:rsidRDefault="007B4090" w:rsidP="00C75067">
            <w:pPr>
              <w:spacing w:beforeLines="20" w:before="48" w:afterLines="20" w:after="48"/>
              <w:rPr>
                <w:sz w:val="20"/>
                <w:szCs w:val="20"/>
              </w:rPr>
            </w:pPr>
          </w:p>
        </w:tc>
        <w:tc>
          <w:tcPr>
            <w:tcW w:w="1284" w:type="dxa"/>
            <w:tcBorders>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288" w:type="dxa"/>
            <w:tcBorders>
              <w:left w:val="single" w:sz="4" w:space="0" w:color="auto"/>
              <w:right w:val="nil"/>
            </w:tcBorders>
            <w:shd w:val="clear" w:color="auto" w:fill="auto"/>
          </w:tcPr>
          <w:p w:rsidR="00F376AC" w:rsidRPr="00E207BC" w:rsidRDefault="00F376AC" w:rsidP="00C75067">
            <w:pPr>
              <w:spacing w:beforeLines="20" w:before="48" w:afterLines="20" w:after="48"/>
              <w:rPr>
                <w:sz w:val="20"/>
                <w:szCs w:val="20"/>
              </w:rPr>
            </w:pPr>
          </w:p>
        </w:tc>
        <w:tc>
          <w:tcPr>
            <w:tcW w:w="3240" w:type="dxa"/>
            <w:tcBorders>
              <w:left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over 3.5 tonnes up to 4.5 tonnes </w:t>
            </w:r>
            <w:r w:rsidRPr="00E207BC">
              <w:rPr>
                <w:i/>
                <w:sz w:val="20"/>
                <w:szCs w:val="20"/>
              </w:rPr>
              <w:t>‘GVM’</w:t>
            </w: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   NB1</w:t>
            </w:r>
          </w:p>
        </w:tc>
        <w:tc>
          <w:tcPr>
            <w:tcW w:w="1083" w:type="dxa"/>
            <w:shd w:val="clear" w:color="auto" w:fill="auto"/>
          </w:tcPr>
          <w:p w:rsidR="007B4090" w:rsidRPr="00E207BC" w:rsidRDefault="007B4090" w:rsidP="00C75067">
            <w:pPr>
              <w:spacing w:beforeLines="20" w:before="48" w:afterLines="20" w:after="48"/>
              <w:rPr>
                <w:sz w:val="20"/>
                <w:szCs w:val="20"/>
              </w:rPr>
            </w:pPr>
          </w:p>
        </w:tc>
        <w:tc>
          <w:tcPr>
            <w:tcW w:w="1568"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288" w:type="dxa"/>
            <w:tcBorders>
              <w:left w:val="single" w:sz="4" w:space="0" w:color="auto"/>
              <w:right w:val="nil"/>
            </w:tcBorders>
            <w:shd w:val="clear" w:color="auto" w:fill="auto"/>
          </w:tcPr>
          <w:p w:rsidR="00F376AC" w:rsidRPr="00E207BC" w:rsidRDefault="00F376AC" w:rsidP="00C75067">
            <w:pPr>
              <w:spacing w:beforeLines="20" w:before="48" w:afterLines="20" w:after="48"/>
              <w:rPr>
                <w:sz w:val="20"/>
                <w:szCs w:val="20"/>
              </w:rPr>
            </w:pPr>
          </w:p>
        </w:tc>
        <w:tc>
          <w:tcPr>
            <w:tcW w:w="3240" w:type="dxa"/>
            <w:tcBorders>
              <w:left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over 4.5 tonnes up to 12 tonnes </w:t>
            </w:r>
            <w:r w:rsidRPr="00E207BC">
              <w:rPr>
                <w:i/>
                <w:sz w:val="20"/>
                <w:szCs w:val="20"/>
              </w:rPr>
              <w:t>‘GVM’</w:t>
            </w:r>
          </w:p>
        </w:tc>
        <w:tc>
          <w:tcPr>
            <w:tcW w:w="1257"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 xml:space="preserve">   NB2</w:t>
            </w:r>
          </w:p>
        </w:tc>
        <w:tc>
          <w:tcPr>
            <w:tcW w:w="1083" w:type="dxa"/>
            <w:shd w:val="clear" w:color="auto" w:fill="auto"/>
          </w:tcPr>
          <w:p w:rsidR="007B4090" w:rsidRPr="00E207BC" w:rsidRDefault="007B4090" w:rsidP="00C75067">
            <w:pPr>
              <w:spacing w:beforeLines="20" w:before="48" w:afterLines="20" w:after="48"/>
              <w:rPr>
                <w:sz w:val="20"/>
                <w:szCs w:val="20"/>
              </w:rPr>
            </w:pPr>
          </w:p>
        </w:tc>
        <w:tc>
          <w:tcPr>
            <w:tcW w:w="1568" w:type="dxa"/>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3528" w:type="dxa"/>
            <w:gridSpan w:val="2"/>
            <w:tcBorders>
              <w:left w:val="single" w:sz="4" w:space="0" w:color="auto"/>
              <w:bottom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Heavy goods vehicle</w:t>
            </w:r>
          </w:p>
        </w:tc>
        <w:tc>
          <w:tcPr>
            <w:tcW w:w="1257" w:type="dxa"/>
            <w:tcBorders>
              <w:bottom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NC</w:t>
            </w:r>
          </w:p>
        </w:tc>
        <w:tc>
          <w:tcPr>
            <w:tcW w:w="1083" w:type="dxa"/>
            <w:tcBorders>
              <w:bottom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N3</w:t>
            </w:r>
          </w:p>
        </w:tc>
        <w:tc>
          <w:tcPr>
            <w:tcW w:w="1568" w:type="dxa"/>
            <w:tcBorders>
              <w:bottom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bottom w:val="single" w:sz="4" w:space="0" w:color="auto"/>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3528" w:type="dxa"/>
            <w:gridSpan w:val="2"/>
            <w:tcBorders>
              <w:top w:val="single" w:sz="4" w:space="0" w:color="auto"/>
              <w:left w:val="single" w:sz="4" w:space="0" w:color="auto"/>
              <w:bottom w:val="nil"/>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Moped 2 wheels</w:t>
            </w:r>
          </w:p>
        </w:tc>
        <w:tc>
          <w:tcPr>
            <w:tcW w:w="1257" w:type="dxa"/>
            <w:tcBorders>
              <w:top w:val="single" w:sz="4" w:space="0" w:color="auto"/>
              <w:bottom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LA</w:t>
            </w:r>
          </w:p>
        </w:tc>
        <w:tc>
          <w:tcPr>
            <w:tcW w:w="1083" w:type="dxa"/>
            <w:tcBorders>
              <w:top w:val="single" w:sz="4" w:space="0" w:color="auto"/>
              <w:bottom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L1</w:t>
            </w:r>
          </w:p>
        </w:tc>
        <w:tc>
          <w:tcPr>
            <w:tcW w:w="1568" w:type="dxa"/>
            <w:tcBorders>
              <w:top w:val="single" w:sz="4" w:space="0" w:color="auto"/>
              <w:bottom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top w:val="single" w:sz="4" w:space="0" w:color="auto"/>
              <w:bottom w:val="nil"/>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3528" w:type="dxa"/>
            <w:gridSpan w:val="2"/>
            <w:tcBorders>
              <w:top w:val="nil"/>
              <w:left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Moped 3 wheels</w:t>
            </w:r>
          </w:p>
        </w:tc>
        <w:tc>
          <w:tcPr>
            <w:tcW w:w="1257" w:type="dxa"/>
            <w:tcBorders>
              <w:top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LB</w:t>
            </w:r>
          </w:p>
        </w:tc>
        <w:tc>
          <w:tcPr>
            <w:tcW w:w="1083" w:type="dxa"/>
            <w:tcBorders>
              <w:top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L2</w:t>
            </w:r>
          </w:p>
        </w:tc>
        <w:tc>
          <w:tcPr>
            <w:tcW w:w="1568" w:type="dxa"/>
            <w:tcBorders>
              <w:top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top w:val="nil"/>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3528" w:type="dxa"/>
            <w:gridSpan w:val="2"/>
            <w:tcBorders>
              <w:left w:val="single" w:sz="4" w:space="0" w:color="auto"/>
              <w:bottom w:val="nil"/>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Motor cycle</w:t>
            </w:r>
          </w:p>
        </w:tc>
        <w:tc>
          <w:tcPr>
            <w:tcW w:w="1257" w:type="dxa"/>
            <w:tcBorders>
              <w:bottom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LC</w:t>
            </w:r>
          </w:p>
        </w:tc>
        <w:tc>
          <w:tcPr>
            <w:tcW w:w="1083" w:type="dxa"/>
            <w:tcBorders>
              <w:bottom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L3</w:t>
            </w:r>
          </w:p>
        </w:tc>
        <w:tc>
          <w:tcPr>
            <w:tcW w:w="1568" w:type="dxa"/>
            <w:tcBorders>
              <w:bottom w:val="nil"/>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bottom w:val="nil"/>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r w:rsidR="00F376AC" w:rsidRPr="00E207BC" w:rsidTr="00F459E0">
        <w:tc>
          <w:tcPr>
            <w:tcW w:w="3528" w:type="dxa"/>
            <w:gridSpan w:val="2"/>
            <w:tcBorders>
              <w:left w:val="single" w:sz="4" w:space="0" w:color="auto"/>
              <w:bottom w:val="single" w:sz="4" w:space="0" w:color="auto"/>
            </w:tcBorders>
            <w:shd w:val="clear" w:color="auto" w:fill="auto"/>
          </w:tcPr>
          <w:p w:rsidR="00F376AC" w:rsidRPr="00E207BC" w:rsidRDefault="00F376AC" w:rsidP="00C75067">
            <w:pPr>
              <w:spacing w:beforeLines="20" w:before="48" w:afterLines="20" w:after="48"/>
              <w:rPr>
                <w:sz w:val="20"/>
                <w:szCs w:val="20"/>
              </w:rPr>
            </w:pPr>
            <w:r w:rsidRPr="00E207BC">
              <w:rPr>
                <w:sz w:val="20"/>
                <w:szCs w:val="20"/>
              </w:rPr>
              <w:t>Motor cycle and sidecar</w:t>
            </w:r>
          </w:p>
        </w:tc>
        <w:tc>
          <w:tcPr>
            <w:tcW w:w="1257" w:type="dxa"/>
            <w:tcBorders>
              <w:bottom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LD</w:t>
            </w:r>
          </w:p>
        </w:tc>
        <w:tc>
          <w:tcPr>
            <w:tcW w:w="1083" w:type="dxa"/>
            <w:tcBorders>
              <w:bottom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L4</w:t>
            </w:r>
          </w:p>
        </w:tc>
        <w:tc>
          <w:tcPr>
            <w:tcW w:w="1568" w:type="dxa"/>
            <w:tcBorders>
              <w:bottom w:val="single" w:sz="4" w:space="0" w:color="auto"/>
            </w:tcBorders>
            <w:shd w:val="clear" w:color="auto" w:fill="auto"/>
          </w:tcPr>
          <w:p w:rsidR="007B4090" w:rsidRPr="00E207BC" w:rsidRDefault="00F376AC" w:rsidP="00C75067">
            <w:pPr>
              <w:spacing w:beforeLines="20" w:before="48" w:afterLines="20" w:after="48"/>
              <w:rPr>
                <w:sz w:val="20"/>
                <w:szCs w:val="20"/>
              </w:rPr>
            </w:pPr>
            <w:r w:rsidRPr="00E207BC">
              <w:rPr>
                <w:sz w:val="20"/>
                <w:szCs w:val="20"/>
              </w:rPr>
              <w:t>Not applicable</w:t>
            </w:r>
          </w:p>
        </w:tc>
        <w:tc>
          <w:tcPr>
            <w:tcW w:w="1284" w:type="dxa"/>
            <w:tcBorders>
              <w:bottom w:val="single" w:sz="4" w:space="0" w:color="auto"/>
              <w:right w:val="single" w:sz="4" w:space="0" w:color="auto"/>
            </w:tcBorders>
            <w:shd w:val="clear" w:color="auto" w:fill="auto"/>
          </w:tcPr>
          <w:p w:rsidR="007B4090" w:rsidRPr="00E207BC" w:rsidRDefault="007B4090" w:rsidP="00C75067">
            <w:pPr>
              <w:spacing w:beforeLines="20" w:before="48" w:afterLines="20" w:after="48"/>
              <w:rPr>
                <w:sz w:val="20"/>
                <w:szCs w:val="20"/>
              </w:rPr>
            </w:pPr>
          </w:p>
        </w:tc>
      </w:tr>
    </w:tbl>
    <w:p w:rsidR="00772AB0" w:rsidRPr="00E207BC" w:rsidRDefault="00C3469B" w:rsidP="00772AB0">
      <w:r w:rsidRPr="00E207BC">
        <w:rPr>
          <w:sz w:val="20"/>
          <w:szCs w:val="20"/>
          <w:vertAlign w:val="superscript"/>
        </w:rPr>
        <w:t>*</w:t>
      </w:r>
      <w:r w:rsidRPr="00E207BC">
        <w:rPr>
          <w:rStyle w:val="FootnoteReference"/>
          <w:sz w:val="20"/>
          <w:szCs w:val="20"/>
        </w:rPr>
        <w:t>*</w:t>
      </w:r>
      <w:r w:rsidRPr="00E207BC">
        <w:rPr>
          <w:sz w:val="20"/>
          <w:szCs w:val="20"/>
        </w:rPr>
        <w:t xml:space="preserve"> See clauses C.1 to C.3</w:t>
      </w:r>
      <w:r w:rsidRPr="00E207BC">
        <w:rPr>
          <w:sz w:val="20"/>
          <w:szCs w:val="20"/>
        </w:rPr>
        <w:tab/>
      </w:r>
      <w:r w:rsidRPr="00E207BC">
        <w:rPr>
          <w:sz w:val="20"/>
          <w:szCs w:val="20"/>
          <w:vertAlign w:val="superscript"/>
        </w:rPr>
        <w:t>***</w:t>
      </w:r>
      <w:r w:rsidRPr="00E207BC">
        <w:rPr>
          <w:sz w:val="20"/>
          <w:szCs w:val="20"/>
        </w:rPr>
        <w:t xml:space="preserve"> See clauses C.1 to C.4</w:t>
      </w:r>
      <w:r w:rsidRPr="00E207BC">
        <w:rPr>
          <w:sz w:val="20"/>
          <w:szCs w:val="20"/>
        </w:rPr>
        <w:tab/>
      </w:r>
      <w:r w:rsidRPr="00E207BC">
        <w:rPr>
          <w:sz w:val="20"/>
          <w:szCs w:val="20"/>
          <w:vertAlign w:val="superscript"/>
        </w:rPr>
        <w:t>#</w:t>
      </w:r>
      <w:r w:rsidRPr="00E207BC">
        <w:rPr>
          <w:sz w:val="20"/>
          <w:szCs w:val="20"/>
        </w:rPr>
        <w:t xml:space="preserve"> See clause C.5   </w:t>
      </w:r>
    </w:p>
    <w:p w:rsidR="00573C97" w:rsidRPr="00E207BC" w:rsidRDefault="00477362" w:rsidP="00185F78">
      <w:pPr>
        <w:pStyle w:val="Clauseheading"/>
      </w:pPr>
      <w:r w:rsidRPr="00E207BC">
        <w:br w:type="page"/>
      </w:r>
      <w:bookmarkStart w:id="30" w:name="_Toc120690108"/>
      <w:bookmarkStart w:id="31" w:name="_Toc120690486"/>
      <w:bookmarkStart w:id="32" w:name="_Toc495582218"/>
      <w:r w:rsidRPr="00E207BC">
        <w:lastRenderedPageBreak/>
        <w:t>DEFINITIONS</w:t>
      </w:r>
      <w:bookmarkEnd w:id="30"/>
      <w:bookmarkEnd w:id="31"/>
      <w:bookmarkEnd w:id="32"/>
    </w:p>
    <w:p w:rsidR="0022063D" w:rsidRPr="00E207BC" w:rsidRDefault="0022063D" w:rsidP="0022063D">
      <w:pPr>
        <w:pStyle w:val="Subclause"/>
      </w:pPr>
      <w:r w:rsidRPr="00E207BC">
        <w:t>For vehicle categories, definitions and meanings used in this standard, refer to:</w:t>
      </w:r>
    </w:p>
    <w:p w:rsidR="00B86AC0" w:rsidRPr="00E207BC" w:rsidRDefault="002F423E" w:rsidP="0022063D">
      <w:pPr>
        <w:pStyle w:val="Subsubclause"/>
      </w:pPr>
      <w:r w:rsidRPr="00E207BC">
        <w:t>Vehicle Standard (Australian Design Rule Definitions and Vehicle Categories) 2005</w:t>
      </w:r>
      <w:r w:rsidR="0022063D" w:rsidRPr="00E207BC">
        <w:t>; and</w:t>
      </w:r>
    </w:p>
    <w:p w:rsidR="0022063D" w:rsidRPr="00E207BC" w:rsidRDefault="0022063D" w:rsidP="0022063D">
      <w:pPr>
        <w:pStyle w:val="Subsubclause"/>
      </w:pPr>
      <w:r w:rsidRPr="00E207BC">
        <w:t>Definitions in Section 2 of Appendix A of ADRs 4/… and 5/</w:t>
      </w:r>
      <w:r w:rsidR="00613B1E">
        <w:t>05</w:t>
      </w:r>
      <w:r w:rsidRPr="00E207BC">
        <w:t>; or</w:t>
      </w:r>
    </w:p>
    <w:p w:rsidR="0022063D" w:rsidRPr="00E207BC" w:rsidRDefault="0022063D" w:rsidP="0022063D">
      <w:pPr>
        <w:pStyle w:val="Subsubclause"/>
      </w:pPr>
      <w:r w:rsidRPr="00E207BC">
        <w:t>Definitions in Section 2 of the standards specified in clauses 34.9.2 and 35.9.3 of this standard.</w:t>
      </w:r>
    </w:p>
    <w:p w:rsidR="00D96C33" w:rsidRPr="00E207BC" w:rsidRDefault="00477362" w:rsidP="00270C35">
      <w:pPr>
        <w:pStyle w:val="Clauseheading"/>
      </w:pPr>
      <w:bookmarkStart w:id="33" w:name="_Toc120690109"/>
      <w:bookmarkStart w:id="34" w:name="_Toc120690487"/>
      <w:bookmarkStart w:id="35" w:name="_Ref309205883"/>
      <w:bookmarkStart w:id="36" w:name="_Ref309291695"/>
      <w:bookmarkStart w:id="37" w:name="_Toc495582219"/>
      <w:r w:rsidRPr="00E207BC">
        <w:t>GENERAL REQUIREMENTS</w:t>
      </w:r>
      <w:bookmarkEnd w:id="33"/>
      <w:bookmarkEnd w:id="34"/>
      <w:bookmarkEnd w:id="35"/>
      <w:bookmarkEnd w:id="36"/>
      <w:bookmarkEnd w:id="37"/>
    </w:p>
    <w:p w:rsidR="00B86AC0" w:rsidRPr="00E207BC" w:rsidRDefault="00B86AC0" w:rsidP="00B86AC0">
      <w:pPr>
        <w:pStyle w:val="Subclause"/>
      </w:pPr>
      <w:bookmarkStart w:id="38" w:name="_Ref284235587"/>
      <w:r w:rsidRPr="00E207BC">
        <w:t>Every vehicle shall provide</w:t>
      </w:r>
      <w:r w:rsidR="00F577BF" w:rsidRPr="00E207BC">
        <w:t xml:space="preserve"> </w:t>
      </w:r>
      <w:r w:rsidRPr="00E207BC">
        <w:t xml:space="preserve">the facility to attach </w:t>
      </w:r>
      <w:r w:rsidR="00477362" w:rsidRPr="00E207BC">
        <w:t xml:space="preserve">an </w:t>
      </w:r>
      <w:r w:rsidR="00477362" w:rsidRPr="00E207BC">
        <w:rPr>
          <w:i/>
        </w:rPr>
        <w:t xml:space="preserve">‘Upper Anchorage Strap’ </w:t>
      </w:r>
      <w:r w:rsidR="00477362" w:rsidRPr="00E207BC">
        <w:t xml:space="preserve"> ‘</w:t>
      </w:r>
      <w:r w:rsidRPr="00E207BC">
        <w:rPr>
          <w:i/>
        </w:rPr>
        <w:t>Attaching Clip</w:t>
      </w:r>
      <w:r w:rsidRPr="00E207BC">
        <w:t>’ to a</w:t>
      </w:r>
      <w:r w:rsidR="005E79E4" w:rsidRPr="00E207BC">
        <w:t xml:space="preserve">n </w:t>
      </w:r>
      <w:r w:rsidR="005531FF" w:rsidRPr="00E207BC">
        <w:rPr>
          <w:i/>
        </w:rPr>
        <w:t>‘Upper</w:t>
      </w:r>
      <w:r w:rsidRPr="00E207BC">
        <w:rPr>
          <w:i/>
        </w:rPr>
        <w:t xml:space="preserve"> Anchor Fitting’</w:t>
      </w:r>
      <w:r w:rsidRPr="00E207BC">
        <w:t xml:space="preserve"> for each seating position nominated in </w:t>
      </w:r>
      <w:r w:rsidR="0021581D" w:rsidRPr="00E207BC">
        <w:t>clause 34.</w:t>
      </w:r>
      <w:r w:rsidR="00A14E06" w:rsidRPr="00E207BC">
        <w:t>3</w:t>
      </w:r>
      <w:r w:rsidRPr="00E207BC">
        <w:t xml:space="preserve"> by either:</w:t>
      </w:r>
      <w:bookmarkEnd w:id="38"/>
    </w:p>
    <w:p w:rsidR="0017442C" w:rsidRPr="00E207BC" w:rsidRDefault="00B86AC0" w:rsidP="00B86AC0">
      <w:pPr>
        <w:pStyle w:val="Subsubclause"/>
      </w:pPr>
      <w:r w:rsidRPr="00E207BC">
        <w:t xml:space="preserve">using the </w:t>
      </w:r>
      <w:r w:rsidRPr="00E207BC">
        <w:rPr>
          <w:i/>
        </w:rPr>
        <w:t>‘</w:t>
      </w:r>
      <w:r w:rsidR="00EA7C6A" w:rsidRPr="00E207BC">
        <w:rPr>
          <w:i/>
        </w:rPr>
        <w:t xml:space="preserve">Upper </w:t>
      </w:r>
      <w:r w:rsidRPr="00E207BC">
        <w:rPr>
          <w:i/>
        </w:rPr>
        <w:t xml:space="preserve">Anchor Fitting Package’, </w:t>
      </w:r>
      <w:r w:rsidRPr="00E207BC">
        <w:t>in which case:</w:t>
      </w:r>
    </w:p>
    <w:p w:rsidR="00B86AC0" w:rsidRPr="00E207BC" w:rsidRDefault="00B86AC0" w:rsidP="00B86AC0">
      <w:pPr>
        <w:pStyle w:val="Subsubsubclause"/>
      </w:pPr>
      <w:proofErr w:type="gramStart"/>
      <w:r w:rsidRPr="00E207BC">
        <w:t>one</w:t>
      </w:r>
      <w:proofErr w:type="gramEnd"/>
      <w:r w:rsidRPr="00E207BC">
        <w:t xml:space="preserve"> </w:t>
      </w:r>
      <w:r w:rsidRPr="00E207BC">
        <w:rPr>
          <w:i/>
        </w:rPr>
        <w:t>‘</w:t>
      </w:r>
      <w:r w:rsidR="00EA7C6A" w:rsidRPr="00E207BC">
        <w:rPr>
          <w:i/>
        </w:rPr>
        <w:t>Upper</w:t>
      </w:r>
      <w:r w:rsidRPr="00E207BC">
        <w:rPr>
          <w:i/>
        </w:rPr>
        <w:t xml:space="preserve"> Anchor Fitting Package’</w:t>
      </w:r>
      <w:r w:rsidRPr="00E207BC">
        <w:t xml:space="preserve"> shall be installed in at least one seating position.  </w:t>
      </w:r>
      <w:r w:rsidR="005E7B5B" w:rsidRPr="00E207BC">
        <w:t>This shall be in the centre rear seating position, if applicable; and</w:t>
      </w:r>
    </w:p>
    <w:p w:rsidR="005E7B5B" w:rsidRPr="00E207BC" w:rsidRDefault="005E7B5B" w:rsidP="005E7B5B">
      <w:pPr>
        <w:pStyle w:val="Subsubsubclause"/>
      </w:pPr>
      <w:r w:rsidRPr="00E207BC">
        <w:t xml:space="preserve">for other positions, one 5/16 inch UNC-2A hexagon headed bolt and appropriate </w:t>
      </w:r>
      <w:r w:rsidRPr="00E207BC">
        <w:rPr>
          <w:i/>
        </w:rPr>
        <w:t>‘Spacer’</w:t>
      </w:r>
      <w:r w:rsidRPr="00E207BC">
        <w:t xml:space="preserve"> shall be supplied for each different variation from the standard </w:t>
      </w:r>
      <w:r w:rsidRPr="00E207BC">
        <w:rPr>
          <w:i/>
        </w:rPr>
        <w:t>‘Attachment Bolt’</w:t>
      </w:r>
      <w:r w:rsidRPr="00E207BC">
        <w:t xml:space="preserve"> length and shall be placed in the vehicle’s glovebox; or</w:t>
      </w:r>
    </w:p>
    <w:p w:rsidR="0017442C" w:rsidRPr="00E207BC" w:rsidRDefault="005E7B5B" w:rsidP="005E7B5B">
      <w:pPr>
        <w:pStyle w:val="Subsubclause"/>
      </w:pPr>
      <w:r w:rsidRPr="00E207BC">
        <w:t>using a</w:t>
      </w:r>
      <w:r w:rsidR="00A14E06" w:rsidRPr="00E207BC">
        <w:t>n</w:t>
      </w:r>
      <w:r w:rsidRPr="00E207BC">
        <w:t xml:space="preserve"> ‘</w:t>
      </w:r>
      <w:r w:rsidR="00EA7C6A" w:rsidRPr="00E207BC">
        <w:rPr>
          <w:i/>
        </w:rPr>
        <w:t>Upper</w:t>
      </w:r>
      <w:r w:rsidRPr="00E207BC">
        <w:rPr>
          <w:i/>
        </w:rPr>
        <w:t xml:space="preserve"> Anchor Fitting</w:t>
      </w:r>
      <w:r w:rsidRPr="00E207BC">
        <w:t xml:space="preserve">’ and appropriate attaching hardware other than in the </w:t>
      </w:r>
      <w:r w:rsidRPr="00E207BC">
        <w:rPr>
          <w:i/>
        </w:rPr>
        <w:t>‘</w:t>
      </w:r>
      <w:r w:rsidR="00EA7C6A" w:rsidRPr="00E207BC">
        <w:rPr>
          <w:i/>
        </w:rPr>
        <w:t>Upper</w:t>
      </w:r>
      <w:r w:rsidRPr="00E207BC">
        <w:rPr>
          <w:i/>
        </w:rPr>
        <w:t xml:space="preserve"> Anchor Fitting Package’</w:t>
      </w:r>
      <w:r w:rsidRPr="00E207BC">
        <w:t>, in which case:</w:t>
      </w:r>
    </w:p>
    <w:p w:rsidR="00B86AC0" w:rsidRPr="00E207BC" w:rsidRDefault="005E7B5B" w:rsidP="003602C5">
      <w:pPr>
        <w:pStyle w:val="Subsubsubclause"/>
      </w:pPr>
      <w:proofErr w:type="gramStart"/>
      <w:r w:rsidRPr="00E207BC">
        <w:t>a</w:t>
      </w:r>
      <w:r w:rsidR="00A14E06" w:rsidRPr="00E207BC">
        <w:t>n</w:t>
      </w:r>
      <w:proofErr w:type="gramEnd"/>
      <w:r w:rsidRPr="00E207BC">
        <w:t xml:space="preserve"> ‘</w:t>
      </w:r>
      <w:r w:rsidR="00EA7C6A" w:rsidRPr="00E207BC">
        <w:rPr>
          <w:i/>
        </w:rPr>
        <w:t>Upper</w:t>
      </w:r>
      <w:r w:rsidRPr="00E207BC">
        <w:rPr>
          <w:i/>
        </w:rPr>
        <w:t xml:space="preserve"> Anchor Fitting’</w:t>
      </w:r>
      <w:r w:rsidR="003602C5" w:rsidRPr="00E207BC">
        <w:t xml:space="preserve"> </w:t>
      </w:r>
      <w:r w:rsidRPr="00E207BC">
        <w:t>shall be installed for at least one seating position. This shall be in the centre rear seating position, if applicable; and</w:t>
      </w:r>
    </w:p>
    <w:p w:rsidR="005E7B5B" w:rsidRPr="00E207BC" w:rsidRDefault="005E7B5B" w:rsidP="005E7B5B">
      <w:pPr>
        <w:pStyle w:val="Subsubsubclause"/>
      </w:pPr>
      <w:r w:rsidRPr="00E207BC">
        <w:t xml:space="preserve">for other positions, one 5/16 inch UNC-2A hexagon headed bolt and appropriate </w:t>
      </w:r>
      <w:r w:rsidRPr="00E207BC">
        <w:rPr>
          <w:i/>
        </w:rPr>
        <w:t>‘Spacer’</w:t>
      </w:r>
      <w:r w:rsidRPr="00E207BC">
        <w:t xml:space="preserve"> shall be supplied for each different variation from the standard </w:t>
      </w:r>
      <w:r w:rsidRPr="00E207BC">
        <w:rPr>
          <w:i/>
        </w:rPr>
        <w:t>‘Attachment Bolt’</w:t>
      </w:r>
      <w:r w:rsidRPr="00E207BC">
        <w:t xml:space="preserve"> length and shall be placed in the vehicle’s glovebox; or</w:t>
      </w:r>
    </w:p>
    <w:p w:rsidR="005E7B5B" w:rsidRPr="00E207BC" w:rsidRDefault="005E7B5B" w:rsidP="0084680C">
      <w:pPr>
        <w:pStyle w:val="Subsubclause"/>
      </w:pPr>
      <w:r w:rsidRPr="00E207BC">
        <w:t>a</w:t>
      </w:r>
      <w:r w:rsidR="00A14E06" w:rsidRPr="00E207BC">
        <w:t>n</w:t>
      </w:r>
      <w:r w:rsidRPr="00E207BC">
        <w:t xml:space="preserve"> </w:t>
      </w:r>
      <w:r w:rsidRPr="00E207BC">
        <w:rPr>
          <w:i/>
        </w:rPr>
        <w:t>‘</w:t>
      </w:r>
      <w:r w:rsidR="00EA7C6A" w:rsidRPr="00E207BC">
        <w:rPr>
          <w:i/>
        </w:rPr>
        <w:t>Upper</w:t>
      </w:r>
      <w:r w:rsidRPr="00E207BC">
        <w:rPr>
          <w:i/>
        </w:rPr>
        <w:t xml:space="preserve"> Anchor Fitting’ </w:t>
      </w:r>
      <w:r w:rsidRPr="00E207BC">
        <w:t>shall be installed for each nominated seating position, in which case:</w:t>
      </w:r>
    </w:p>
    <w:p w:rsidR="005E7B5B" w:rsidRPr="00E207BC" w:rsidRDefault="005E7B5B" w:rsidP="0084680C">
      <w:pPr>
        <w:pStyle w:val="Subsubsubclause"/>
      </w:pPr>
      <w:proofErr w:type="gramStart"/>
      <w:r w:rsidRPr="00E207BC">
        <w:t>the</w:t>
      </w:r>
      <w:proofErr w:type="gramEnd"/>
      <w:r w:rsidRPr="00E207BC">
        <w:t xml:space="preserve"> </w:t>
      </w:r>
      <w:r w:rsidRPr="00E207BC">
        <w:rPr>
          <w:i/>
        </w:rPr>
        <w:t>‘</w:t>
      </w:r>
      <w:r w:rsidR="00EA7C6A" w:rsidRPr="00E207BC">
        <w:rPr>
          <w:i/>
        </w:rPr>
        <w:t>Upper</w:t>
      </w:r>
      <w:r w:rsidRPr="00E207BC">
        <w:rPr>
          <w:i/>
        </w:rPr>
        <w:t xml:space="preserve"> Anchor Fitting’</w:t>
      </w:r>
      <w:r w:rsidRPr="00E207BC">
        <w:t xml:space="preserve"> need only comply with Figure 2 in relation to the location and clearance of the ‘</w:t>
      </w:r>
      <w:r w:rsidR="00477362" w:rsidRPr="00E207BC">
        <w:rPr>
          <w:i/>
        </w:rPr>
        <w:t>Upper Anchor Fitting’</w:t>
      </w:r>
      <w:r w:rsidR="0084680C" w:rsidRPr="00E207BC">
        <w:t xml:space="preserve"> </w:t>
      </w:r>
      <w:r w:rsidR="00EA7C6A" w:rsidRPr="00E207BC">
        <w:t xml:space="preserve"> </w:t>
      </w:r>
      <w:r w:rsidR="00EA7C6A" w:rsidRPr="00E207BC">
        <w:rPr>
          <w:i/>
        </w:rPr>
        <w:t>‘I</w:t>
      </w:r>
      <w:r w:rsidRPr="00E207BC">
        <w:rPr>
          <w:i/>
        </w:rPr>
        <w:t>nterface Profile’.</w:t>
      </w:r>
    </w:p>
    <w:p w:rsidR="005E7B5B" w:rsidRPr="00E207BC" w:rsidRDefault="005E7B5B" w:rsidP="0084680C">
      <w:pPr>
        <w:pStyle w:val="Subsubclause"/>
      </w:pPr>
      <w:r w:rsidRPr="00E207BC">
        <w:t xml:space="preserve">Notwithstanding clauses </w:t>
      </w:r>
      <w:r w:rsidR="00AB23FC" w:rsidRPr="00E207BC">
        <w:t>34.2</w:t>
      </w:r>
      <w:r w:rsidR="000D133D" w:rsidRPr="00E207BC">
        <w:t>.1.1.1</w:t>
      </w:r>
      <w:r w:rsidRPr="00E207BC">
        <w:t xml:space="preserve"> and </w:t>
      </w:r>
      <w:r w:rsidR="00AB23FC" w:rsidRPr="00E207BC">
        <w:t>34.2</w:t>
      </w:r>
      <w:r w:rsidR="002E7CF6" w:rsidRPr="00E207BC">
        <w:t>.</w:t>
      </w:r>
      <w:r w:rsidR="003602C5" w:rsidRPr="00E207BC">
        <w:t>1.2.1</w:t>
      </w:r>
      <w:r w:rsidRPr="00E207BC">
        <w:t xml:space="preserve"> if the vehicle is fitted with a lap sash </w:t>
      </w:r>
      <w:r w:rsidRPr="00E207BC">
        <w:rPr>
          <w:i/>
        </w:rPr>
        <w:t>‘Seatbelt Assembly’</w:t>
      </w:r>
      <w:r w:rsidRPr="00E207BC">
        <w:t xml:space="preserve"> in the centre rear seating position the</w:t>
      </w:r>
      <w:r w:rsidRPr="00E207BC">
        <w:rPr>
          <w:i/>
        </w:rPr>
        <w:t xml:space="preserve"> ‘</w:t>
      </w:r>
      <w:r w:rsidR="0099645B" w:rsidRPr="00E207BC">
        <w:rPr>
          <w:i/>
        </w:rPr>
        <w:t>Upper</w:t>
      </w:r>
      <w:r w:rsidRPr="00E207BC">
        <w:rPr>
          <w:i/>
        </w:rPr>
        <w:t xml:space="preserve"> Anchor Fitting’</w:t>
      </w:r>
      <w:r w:rsidRPr="00E207BC">
        <w:t xml:space="preserve"> may be installed in another seating position.</w:t>
      </w:r>
    </w:p>
    <w:p w:rsidR="005E7B5B" w:rsidRPr="00E207BC" w:rsidRDefault="005E7B5B" w:rsidP="0084680C">
      <w:pPr>
        <w:pStyle w:val="Subsubsubclause"/>
      </w:pPr>
      <w:r w:rsidRPr="00E207BC">
        <w:t xml:space="preserve">For other positions, one 5/16 inch UNC-2A hexagon headed bolt and appropriate </w:t>
      </w:r>
      <w:r w:rsidRPr="00E207BC">
        <w:rPr>
          <w:i/>
        </w:rPr>
        <w:t>‘Spacer’</w:t>
      </w:r>
      <w:r w:rsidRPr="00E207BC">
        <w:t xml:space="preserve"> shall be supplied for each different variation from the standard </w:t>
      </w:r>
      <w:r w:rsidRPr="00E207BC">
        <w:rPr>
          <w:i/>
        </w:rPr>
        <w:t>‘Attachment Bolt’</w:t>
      </w:r>
      <w:r w:rsidRPr="00E207BC">
        <w:t xml:space="preserve"> length and shall be place</w:t>
      </w:r>
      <w:r w:rsidR="0084680C" w:rsidRPr="00E207BC">
        <w:t>d in the vehicle’s glovebox.</w:t>
      </w:r>
    </w:p>
    <w:p w:rsidR="00A14E06" w:rsidRPr="00E207BC" w:rsidRDefault="00A14E06" w:rsidP="00A14E06">
      <w:pPr>
        <w:pStyle w:val="Subclause"/>
      </w:pPr>
      <w:r w:rsidRPr="00E207BC">
        <w:lastRenderedPageBreak/>
        <w:t>Each ‘</w:t>
      </w:r>
      <w:r w:rsidRPr="00E207BC">
        <w:rPr>
          <w:i/>
        </w:rPr>
        <w:t>Upper Anchorage</w:t>
      </w:r>
      <w:r w:rsidRPr="00E207BC">
        <w:t>’ provided in accordance with clauses 34.2.1.1 or 34.2.1.2 shall:</w:t>
      </w:r>
    </w:p>
    <w:p w:rsidR="00A14E06" w:rsidRPr="00E207BC" w:rsidRDefault="00A14E06" w:rsidP="00A14E06">
      <w:pPr>
        <w:pStyle w:val="Subsubclause"/>
      </w:pPr>
      <w:r w:rsidRPr="00E207BC">
        <w:t xml:space="preserve">incorporate a 5/16 inch - 18 UNC - 2B internal thread which will provide sufficient engagement of the </w:t>
      </w:r>
      <w:r w:rsidRPr="00E207BC">
        <w:rPr>
          <w:i/>
        </w:rPr>
        <w:t>‘Attachment Bolt’</w:t>
      </w:r>
      <w:r w:rsidRPr="00E207BC">
        <w:t xml:space="preserve"> to meet the strength requirements of clause 34.7 when the</w:t>
      </w:r>
      <w:r w:rsidRPr="00E207BC">
        <w:rPr>
          <w:i/>
        </w:rPr>
        <w:t xml:space="preserve"> ‘Attachment Bolt’</w:t>
      </w:r>
      <w:r w:rsidRPr="00E207BC">
        <w:t xml:space="preserve"> is retaining a</w:t>
      </w:r>
      <w:r w:rsidRPr="00E207BC">
        <w:rPr>
          <w:i/>
        </w:rPr>
        <w:t xml:space="preserve"> ‘Upper Anchor Fitting’</w:t>
      </w:r>
      <w:r w:rsidRPr="00E207BC">
        <w:t xml:space="preserve">, </w:t>
      </w:r>
      <w:r w:rsidRPr="00E207BC">
        <w:rPr>
          <w:i/>
        </w:rPr>
        <w:t>‘Spacer(s)’</w:t>
      </w:r>
      <w:r w:rsidRPr="00E207BC">
        <w:t xml:space="preserve">, attaching hardware and any trim or other material present; </w:t>
      </w:r>
    </w:p>
    <w:p w:rsidR="00A14E06" w:rsidRPr="00E207BC" w:rsidRDefault="00A14E06" w:rsidP="00A14E06">
      <w:pPr>
        <w:pStyle w:val="Subsubclause"/>
      </w:pPr>
      <w:r w:rsidRPr="00E207BC">
        <w:t xml:space="preserve">be so designed and located that no items need to be removed to gain access to it for the installation of the </w:t>
      </w:r>
      <w:r w:rsidRPr="00E207BC">
        <w:rPr>
          <w:i/>
        </w:rPr>
        <w:t>‘Upper Anchor Fitting’</w:t>
      </w:r>
      <w:r w:rsidRPr="00E207BC">
        <w:t>, except closure plugs, or other items, removable with the use of simple hand tools; and</w:t>
      </w:r>
    </w:p>
    <w:p w:rsidR="00A14E06" w:rsidRPr="00E207BC" w:rsidRDefault="00A14E06" w:rsidP="00A14E06">
      <w:pPr>
        <w:pStyle w:val="Subsubclause"/>
      </w:pPr>
      <w:bookmarkStart w:id="39" w:name="_Ref283983034"/>
      <w:proofErr w:type="gramStart"/>
      <w:r w:rsidRPr="00E207BC">
        <w:t>provide</w:t>
      </w:r>
      <w:proofErr w:type="gramEnd"/>
      <w:r w:rsidRPr="00E207BC">
        <w:t xml:space="preserve"> clearance to enable the installation of the </w:t>
      </w:r>
      <w:r w:rsidRPr="00E207BC">
        <w:rPr>
          <w:i/>
        </w:rPr>
        <w:t xml:space="preserve">‘Upper Anchor Fitting’, ‘Spacer(s)’ </w:t>
      </w:r>
      <w:r w:rsidRPr="00E207BC">
        <w:t>and attaching hardware.</w:t>
      </w:r>
      <w:bookmarkEnd w:id="39"/>
      <w:r w:rsidRPr="00E207BC">
        <w:t xml:space="preserve">  </w:t>
      </w:r>
    </w:p>
    <w:p w:rsidR="00A14E06" w:rsidRPr="00E207BC" w:rsidRDefault="00A14E06" w:rsidP="00A14E06">
      <w:pPr>
        <w:pStyle w:val="Subclause"/>
      </w:pPr>
      <w:r w:rsidRPr="00E207BC">
        <w:t xml:space="preserve">For guidance to vehicle manufacturers the clearance parameters shown in Figure 7 are sufficient to demonstrate compliance with Clause </w:t>
      </w:r>
      <w:r w:rsidR="009A70A4">
        <w:fldChar w:fldCharType="begin"/>
      </w:r>
      <w:r w:rsidR="009A70A4">
        <w:instrText xml:space="preserve"> REF _Ref283983034 \r \h  \* MERGEFORMAT </w:instrText>
      </w:r>
      <w:r w:rsidR="009A70A4">
        <w:fldChar w:fldCharType="separate"/>
      </w:r>
      <w:r w:rsidR="00157055">
        <w:t>34.2.2.3</w:t>
      </w:r>
      <w:r w:rsidR="009A70A4">
        <w:fldChar w:fldCharType="end"/>
      </w:r>
      <w:r w:rsidRPr="00E207BC">
        <w:t>.</w:t>
      </w:r>
    </w:p>
    <w:p w:rsidR="005E7B5B" w:rsidRPr="00E207BC" w:rsidRDefault="00477362" w:rsidP="003D60B7">
      <w:pPr>
        <w:pStyle w:val="Clauseheading"/>
      </w:pPr>
      <w:bookmarkStart w:id="40" w:name="_Toc284251430"/>
      <w:bookmarkStart w:id="41" w:name="_Toc284251502"/>
      <w:bookmarkStart w:id="42" w:name="_Toc284251541"/>
      <w:bookmarkStart w:id="43" w:name="_Toc284251594"/>
      <w:bookmarkStart w:id="44" w:name="_Toc284251697"/>
      <w:bookmarkStart w:id="45" w:name="_Toc284251949"/>
      <w:bookmarkStart w:id="46" w:name="_Toc284252927"/>
      <w:bookmarkStart w:id="47" w:name="_Toc284257845"/>
      <w:bookmarkStart w:id="48" w:name="_Toc284258444"/>
      <w:bookmarkStart w:id="49" w:name="_Toc284258549"/>
      <w:bookmarkStart w:id="50" w:name="_Toc284259426"/>
      <w:bookmarkStart w:id="51" w:name="_Toc284326896"/>
      <w:bookmarkStart w:id="52" w:name="_Toc284327078"/>
      <w:bookmarkStart w:id="53" w:name="_Toc284327235"/>
      <w:bookmarkStart w:id="54" w:name="_Toc284327559"/>
      <w:bookmarkStart w:id="55" w:name="_Toc284351071"/>
      <w:bookmarkStart w:id="56" w:name="_Toc284251432"/>
      <w:bookmarkStart w:id="57" w:name="_Toc284251504"/>
      <w:bookmarkStart w:id="58" w:name="_Toc284251543"/>
      <w:bookmarkStart w:id="59" w:name="_Toc284251596"/>
      <w:bookmarkStart w:id="60" w:name="_Toc284251699"/>
      <w:bookmarkStart w:id="61" w:name="_Toc284251951"/>
      <w:bookmarkStart w:id="62" w:name="_Toc284252929"/>
      <w:bookmarkStart w:id="63" w:name="_Toc284257847"/>
      <w:bookmarkStart w:id="64" w:name="_Toc284258446"/>
      <w:bookmarkStart w:id="65" w:name="_Toc284258551"/>
      <w:bookmarkStart w:id="66" w:name="_Toc284259428"/>
      <w:bookmarkStart w:id="67" w:name="_Toc284326898"/>
      <w:bookmarkStart w:id="68" w:name="_Toc284327080"/>
      <w:bookmarkStart w:id="69" w:name="_Toc284327237"/>
      <w:bookmarkStart w:id="70" w:name="_Toc284327561"/>
      <w:bookmarkStart w:id="71" w:name="_Toc284351073"/>
      <w:bookmarkStart w:id="72" w:name="_Toc284251434"/>
      <w:bookmarkStart w:id="73" w:name="_Toc284251506"/>
      <w:bookmarkStart w:id="74" w:name="_Toc284251545"/>
      <w:bookmarkStart w:id="75" w:name="_Toc284251598"/>
      <w:bookmarkStart w:id="76" w:name="_Toc284251701"/>
      <w:bookmarkStart w:id="77" w:name="_Toc284251953"/>
      <w:bookmarkStart w:id="78" w:name="_Toc284252931"/>
      <w:bookmarkStart w:id="79" w:name="_Toc284257849"/>
      <w:bookmarkStart w:id="80" w:name="_Toc284258448"/>
      <w:bookmarkStart w:id="81" w:name="_Toc284258553"/>
      <w:bookmarkStart w:id="82" w:name="_Toc284259430"/>
      <w:bookmarkStart w:id="83" w:name="_Toc284326900"/>
      <w:bookmarkStart w:id="84" w:name="_Toc284327082"/>
      <w:bookmarkStart w:id="85" w:name="_Toc284327239"/>
      <w:bookmarkStart w:id="86" w:name="_Toc284327563"/>
      <w:bookmarkStart w:id="87" w:name="_Toc284351075"/>
      <w:bookmarkStart w:id="88" w:name="_Toc284251435"/>
      <w:bookmarkStart w:id="89" w:name="_Toc284251507"/>
      <w:bookmarkStart w:id="90" w:name="_Toc284251546"/>
      <w:bookmarkStart w:id="91" w:name="_Toc284251599"/>
      <w:bookmarkStart w:id="92" w:name="_Toc284251702"/>
      <w:bookmarkStart w:id="93" w:name="_Toc284251954"/>
      <w:bookmarkStart w:id="94" w:name="_Toc284252932"/>
      <w:bookmarkStart w:id="95" w:name="_Toc284257850"/>
      <w:bookmarkStart w:id="96" w:name="_Toc284258449"/>
      <w:bookmarkStart w:id="97" w:name="_Toc284258554"/>
      <w:bookmarkStart w:id="98" w:name="_Toc284259431"/>
      <w:bookmarkStart w:id="99" w:name="_Toc284326901"/>
      <w:bookmarkStart w:id="100" w:name="_Toc284327083"/>
      <w:bookmarkStart w:id="101" w:name="_Toc284327240"/>
      <w:bookmarkStart w:id="102" w:name="_Toc284327564"/>
      <w:bookmarkStart w:id="103" w:name="_Toc284351076"/>
      <w:bookmarkStart w:id="104" w:name="_Toc284251439"/>
      <w:bookmarkStart w:id="105" w:name="_Toc284251511"/>
      <w:bookmarkStart w:id="106" w:name="_Toc284251550"/>
      <w:bookmarkStart w:id="107" w:name="_Toc284251603"/>
      <w:bookmarkStart w:id="108" w:name="_Toc284251706"/>
      <w:bookmarkStart w:id="109" w:name="_Toc284251958"/>
      <w:bookmarkStart w:id="110" w:name="_Toc284252936"/>
      <w:bookmarkStart w:id="111" w:name="_Toc284257854"/>
      <w:bookmarkStart w:id="112" w:name="_Toc284258453"/>
      <w:bookmarkStart w:id="113" w:name="_Toc284258558"/>
      <w:bookmarkStart w:id="114" w:name="_Toc284259435"/>
      <w:bookmarkStart w:id="115" w:name="_Toc284326905"/>
      <w:bookmarkStart w:id="116" w:name="_Toc284327087"/>
      <w:bookmarkStart w:id="117" w:name="_Toc284327244"/>
      <w:bookmarkStart w:id="118" w:name="_Toc284327568"/>
      <w:bookmarkStart w:id="119" w:name="_Toc284351080"/>
      <w:bookmarkStart w:id="120" w:name="_Toc284251440"/>
      <w:bookmarkStart w:id="121" w:name="_Toc284251512"/>
      <w:bookmarkStart w:id="122" w:name="_Toc284251551"/>
      <w:bookmarkStart w:id="123" w:name="_Toc284251604"/>
      <w:bookmarkStart w:id="124" w:name="_Toc284251707"/>
      <w:bookmarkStart w:id="125" w:name="_Toc284251959"/>
      <w:bookmarkStart w:id="126" w:name="_Toc284252937"/>
      <w:bookmarkStart w:id="127" w:name="_Toc284257855"/>
      <w:bookmarkStart w:id="128" w:name="_Toc284258454"/>
      <w:bookmarkStart w:id="129" w:name="_Toc284258559"/>
      <w:bookmarkStart w:id="130" w:name="_Toc284259436"/>
      <w:bookmarkStart w:id="131" w:name="_Toc284326906"/>
      <w:bookmarkStart w:id="132" w:name="_Toc284327088"/>
      <w:bookmarkStart w:id="133" w:name="_Toc284327245"/>
      <w:bookmarkStart w:id="134" w:name="_Toc284327569"/>
      <w:bookmarkStart w:id="135" w:name="_Toc284351081"/>
      <w:bookmarkStart w:id="136" w:name="_Toc284251441"/>
      <w:bookmarkStart w:id="137" w:name="_Toc284251513"/>
      <w:bookmarkStart w:id="138" w:name="_Toc284251552"/>
      <w:bookmarkStart w:id="139" w:name="_Toc284251605"/>
      <w:bookmarkStart w:id="140" w:name="_Toc284251708"/>
      <w:bookmarkStart w:id="141" w:name="_Toc284251960"/>
      <w:bookmarkStart w:id="142" w:name="_Toc284252938"/>
      <w:bookmarkStart w:id="143" w:name="_Toc284257856"/>
      <w:bookmarkStart w:id="144" w:name="_Toc284258455"/>
      <w:bookmarkStart w:id="145" w:name="_Toc284258560"/>
      <w:bookmarkStart w:id="146" w:name="_Toc284259437"/>
      <w:bookmarkStart w:id="147" w:name="_Toc284326907"/>
      <w:bookmarkStart w:id="148" w:name="_Toc284327089"/>
      <w:bookmarkStart w:id="149" w:name="_Toc284327246"/>
      <w:bookmarkStart w:id="150" w:name="_Toc284327570"/>
      <w:bookmarkStart w:id="151" w:name="_Toc284351082"/>
      <w:bookmarkStart w:id="152" w:name="_Toc349015280"/>
      <w:bookmarkStart w:id="153" w:name="_Toc120690110"/>
      <w:bookmarkStart w:id="154" w:name="_Toc120690488"/>
      <w:bookmarkStart w:id="155" w:name="_Ref309207307"/>
      <w:bookmarkStart w:id="156" w:name="_Ref309291892"/>
      <w:bookmarkStart w:id="157" w:name="_Toc495582220"/>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E207BC">
        <w:t>NOMINATED SEATING POSITIONS</w:t>
      </w:r>
      <w:bookmarkEnd w:id="152"/>
      <w:bookmarkEnd w:id="153"/>
      <w:bookmarkEnd w:id="154"/>
      <w:r w:rsidRPr="00E207BC">
        <w:t xml:space="preserve"> FOR UPPER ANCHORAGES</w:t>
      </w:r>
      <w:bookmarkEnd w:id="155"/>
      <w:bookmarkEnd w:id="156"/>
      <w:bookmarkEnd w:id="157"/>
    </w:p>
    <w:p w:rsidR="005E7B5B" w:rsidRPr="00E207BC" w:rsidRDefault="005E7B5B" w:rsidP="003D60B7">
      <w:pPr>
        <w:pStyle w:val="Subclause"/>
      </w:pPr>
      <w:r w:rsidRPr="00E207BC">
        <w:t>For LEP and MA vehicles:</w:t>
      </w:r>
    </w:p>
    <w:p w:rsidR="005E7B5B" w:rsidRPr="00E207BC" w:rsidRDefault="005E7B5B" w:rsidP="003D60B7">
      <w:pPr>
        <w:pStyle w:val="Subsubclause"/>
      </w:pPr>
      <w:r w:rsidRPr="00E207BC">
        <w:t xml:space="preserve">Each seating position in the </w:t>
      </w:r>
      <w:r w:rsidRPr="00E207BC">
        <w:rPr>
          <w:i/>
        </w:rPr>
        <w:t>‘Second Row  Seats’</w:t>
      </w:r>
      <w:r w:rsidRPr="00E207BC">
        <w:t xml:space="preserve"> equipped with an adult ‘</w:t>
      </w:r>
      <w:r w:rsidRPr="00E207BC">
        <w:rPr>
          <w:i/>
        </w:rPr>
        <w:t>Seatbelt Assembly</w:t>
      </w:r>
      <w:r w:rsidRPr="00E207BC">
        <w:t>’, except the following ;</w:t>
      </w:r>
    </w:p>
    <w:p w:rsidR="005E7B5B" w:rsidRPr="00E207BC" w:rsidRDefault="005E7B5B" w:rsidP="003D60B7">
      <w:pPr>
        <w:pStyle w:val="Subsubsubclause"/>
      </w:pPr>
      <w:r w:rsidRPr="00E207BC">
        <w:t>the middle seating position where the ‘</w:t>
      </w:r>
      <w:r w:rsidRPr="00E207BC">
        <w:rPr>
          <w:i/>
        </w:rPr>
        <w:t>Seat’</w:t>
      </w:r>
      <w:r w:rsidRPr="00E207BC">
        <w:t xml:space="preserve"> back is divided into two or more sections which may be folded independently of each other, and the division between two sections lies substantially along the ‘</w:t>
      </w:r>
      <w:r w:rsidRPr="00E207BC">
        <w:rPr>
          <w:i/>
        </w:rPr>
        <w:t>Seating Reference Plane</w:t>
      </w:r>
      <w:r w:rsidRPr="00E207BC">
        <w:t>’ of the middle seating position.</w:t>
      </w:r>
    </w:p>
    <w:p w:rsidR="00851098" w:rsidRPr="00E207BC" w:rsidRDefault="005B2AB8" w:rsidP="00A8306B">
      <w:pPr>
        <w:pStyle w:val="Subsubsubclause"/>
      </w:pPr>
      <w:proofErr w:type="gramStart"/>
      <w:r w:rsidRPr="00E207BC">
        <w:t>a</w:t>
      </w:r>
      <w:proofErr w:type="gramEnd"/>
      <w:r w:rsidRPr="00E207BC">
        <w:t xml:space="preserve"> seating position with a </w:t>
      </w:r>
      <w:r w:rsidRPr="00E207BC">
        <w:rPr>
          <w:i/>
        </w:rPr>
        <w:t>‘Folding Seat’</w:t>
      </w:r>
      <w:r w:rsidRPr="00E207BC">
        <w:t xml:space="preserve"> where a </w:t>
      </w:r>
      <w:r w:rsidRPr="00E207BC">
        <w:rPr>
          <w:i/>
        </w:rPr>
        <w:t>‘Child Restraint’</w:t>
      </w:r>
      <w:r w:rsidRPr="00E207BC">
        <w:t xml:space="preserve"> would bar access to the rear </w:t>
      </w:r>
      <w:r w:rsidRPr="00E207BC">
        <w:rPr>
          <w:i/>
        </w:rPr>
        <w:t>‘Seats’</w:t>
      </w:r>
      <w:r w:rsidRPr="00E207BC">
        <w:t xml:space="preserve">, provided that this does not reduce the number of </w:t>
      </w:r>
      <w:r w:rsidRPr="00E207BC">
        <w:rPr>
          <w:i/>
        </w:rPr>
        <w:t>’</w:t>
      </w:r>
      <w:r w:rsidR="00B03736" w:rsidRPr="00E207BC">
        <w:rPr>
          <w:i/>
        </w:rPr>
        <w:t xml:space="preserve">Upper </w:t>
      </w:r>
      <w:r w:rsidRPr="00E207BC">
        <w:rPr>
          <w:i/>
        </w:rPr>
        <w:t>Anchorages’</w:t>
      </w:r>
      <w:r w:rsidRPr="00E207BC">
        <w:t xml:space="preserve"> that would otherwise be fitted to the vehicle.</w:t>
      </w:r>
    </w:p>
    <w:p w:rsidR="00851098" w:rsidRPr="00E207BC" w:rsidRDefault="00B03736" w:rsidP="00A8306B">
      <w:pPr>
        <w:pStyle w:val="Subsubclause"/>
      </w:pPr>
      <w:r w:rsidRPr="00E207BC">
        <w:rPr>
          <w:i/>
        </w:rPr>
        <w:t>‘Upper</w:t>
      </w:r>
      <w:r w:rsidR="00851098" w:rsidRPr="00E207BC">
        <w:rPr>
          <w:i/>
        </w:rPr>
        <w:t xml:space="preserve"> Anchorages’</w:t>
      </w:r>
      <w:r w:rsidR="00851098" w:rsidRPr="00E207BC">
        <w:t xml:space="preserve"> or </w:t>
      </w:r>
      <w:r w:rsidR="00851098" w:rsidRPr="00E207BC">
        <w:rPr>
          <w:i/>
        </w:rPr>
        <w:t>‘</w:t>
      </w:r>
      <w:r w:rsidRPr="00E207BC">
        <w:rPr>
          <w:i/>
        </w:rPr>
        <w:t xml:space="preserve">Upper </w:t>
      </w:r>
      <w:r w:rsidR="00851098" w:rsidRPr="00E207BC">
        <w:rPr>
          <w:i/>
        </w:rPr>
        <w:t>Anchor Fitting(s)’</w:t>
      </w:r>
      <w:r w:rsidR="00851098" w:rsidRPr="00E207BC">
        <w:t xml:space="preserve"> may be installed in front seating positions other than the driver’s </w:t>
      </w:r>
      <w:r w:rsidR="00851098" w:rsidRPr="00E207BC">
        <w:rPr>
          <w:i/>
        </w:rPr>
        <w:t>‘Seat</w:t>
      </w:r>
      <w:r w:rsidR="00851098" w:rsidRPr="00E207BC">
        <w:t>’.</w:t>
      </w:r>
    </w:p>
    <w:p w:rsidR="00851098" w:rsidRPr="00E207BC" w:rsidRDefault="00851098" w:rsidP="00A8306B">
      <w:pPr>
        <w:pStyle w:val="Subclause"/>
      </w:pPr>
      <w:r w:rsidRPr="00E207BC">
        <w:t xml:space="preserve">For MB, MC and MD1 vehicles: </w:t>
      </w:r>
    </w:p>
    <w:p w:rsidR="00851098" w:rsidRPr="00E207BC" w:rsidRDefault="00851098" w:rsidP="00A8306B">
      <w:pPr>
        <w:pStyle w:val="Subsubclause"/>
      </w:pPr>
      <w:r w:rsidRPr="00E207BC">
        <w:t>For vehicles with less than three seating positions in ‘</w:t>
      </w:r>
      <w:r w:rsidRPr="00E207BC">
        <w:rPr>
          <w:i/>
        </w:rPr>
        <w:t>Vehicle Rear Seat(s)</w:t>
      </w:r>
      <w:r w:rsidRPr="00E207BC">
        <w:t>’ each seating position in ‘</w:t>
      </w:r>
      <w:r w:rsidRPr="00E207BC">
        <w:rPr>
          <w:i/>
        </w:rPr>
        <w:t>Vehicle Rear Seat(s)</w:t>
      </w:r>
      <w:r w:rsidRPr="00E207BC">
        <w:t>’ equipped with an adult ‘</w:t>
      </w:r>
      <w:r w:rsidRPr="00E207BC">
        <w:rPr>
          <w:i/>
        </w:rPr>
        <w:t>Seatbelt Assembly</w:t>
      </w:r>
      <w:r w:rsidRPr="00E207BC">
        <w:t>’.</w:t>
      </w:r>
    </w:p>
    <w:p w:rsidR="00851098" w:rsidRPr="00E207BC" w:rsidRDefault="00851098" w:rsidP="00A8306B">
      <w:pPr>
        <w:pStyle w:val="Subsubclause"/>
      </w:pPr>
      <w:r w:rsidRPr="00E207BC">
        <w:t>For vehicles with three or more seating positions in ‘</w:t>
      </w:r>
      <w:r w:rsidRPr="00E207BC">
        <w:rPr>
          <w:i/>
        </w:rPr>
        <w:t>Vehicle Rear Seat(s)</w:t>
      </w:r>
      <w:r w:rsidRPr="00E207BC">
        <w:t>’ any three seating positions in ‘</w:t>
      </w:r>
      <w:r w:rsidRPr="00E207BC">
        <w:rPr>
          <w:i/>
        </w:rPr>
        <w:t>Vehicle Rear Seat(s)</w:t>
      </w:r>
      <w:r w:rsidRPr="00E207BC">
        <w:t>’ equipped with an adult ‘</w:t>
      </w:r>
      <w:r w:rsidRPr="00E207BC">
        <w:rPr>
          <w:i/>
        </w:rPr>
        <w:t>Seatbelt Assembly</w:t>
      </w:r>
      <w:r w:rsidRPr="00E207BC">
        <w:t xml:space="preserve">’ except for </w:t>
      </w:r>
      <w:r w:rsidRPr="00E207BC">
        <w:rPr>
          <w:i/>
        </w:rPr>
        <w:t>‘Folding Seats’</w:t>
      </w:r>
      <w:r w:rsidRPr="00E207BC">
        <w:t xml:space="preserve"> where a </w:t>
      </w:r>
      <w:r w:rsidRPr="00E207BC">
        <w:rPr>
          <w:i/>
        </w:rPr>
        <w:t>‘Child Restraint’</w:t>
      </w:r>
      <w:r w:rsidRPr="00E207BC">
        <w:t xml:space="preserve"> would bar access to the rear </w:t>
      </w:r>
      <w:r w:rsidRPr="00E207BC">
        <w:rPr>
          <w:i/>
        </w:rPr>
        <w:t>‘Seats’</w:t>
      </w:r>
      <w:r w:rsidRPr="00E207BC">
        <w:t xml:space="preserve"> and except the middle seating position where the ‘</w:t>
      </w:r>
      <w:r w:rsidRPr="00E207BC">
        <w:rPr>
          <w:i/>
        </w:rPr>
        <w:t xml:space="preserve">Seat’ </w:t>
      </w:r>
      <w:r w:rsidRPr="00E207BC">
        <w:t>back is divided into two or more sections which may be folded independently of each other, and the division between two sections lies substantially along the ‘</w:t>
      </w:r>
      <w:r w:rsidRPr="00E207BC">
        <w:rPr>
          <w:i/>
        </w:rPr>
        <w:t>Seating Reference Plane</w:t>
      </w:r>
      <w:r w:rsidRPr="00E207BC">
        <w:t>’ of the middle seating position.</w:t>
      </w:r>
    </w:p>
    <w:p w:rsidR="00851098" w:rsidRPr="00E207BC" w:rsidRDefault="00851098" w:rsidP="00A8306B">
      <w:pPr>
        <w:pStyle w:val="Subsubclause"/>
      </w:pPr>
      <w:r w:rsidRPr="00E207BC">
        <w:rPr>
          <w:i/>
        </w:rPr>
        <w:t>‘</w:t>
      </w:r>
      <w:r w:rsidR="0071531A" w:rsidRPr="00E207BC">
        <w:rPr>
          <w:i/>
        </w:rPr>
        <w:t>Upper</w:t>
      </w:r>
      <w:r w:rsidRPr="00E207BC">
        <w:rPr>
          <w:i/>
        </w:rPr>
        <w:t xml:space="preserve"> Anchorages’</w:t>
      </w:r>
      <w:r w:rsidRPr="00E207BC">
        <w:t xml:space="preserve"> or </w:t>
      </w:r>
      <w:r w:rsidRPr="00E207BC">
        <w:rPr>
          <w:i/>
        </w:rPr>
        <w:t>‘</w:t>
      </w:r>
      <w:r w:rsidR="0071531A" w:rsidRPr="00E207BC">
        <w:rPr>
          <w:i/>
        </w:rPr>
        <w:t>Upper</w:t>
      </w:r>
      <w:r w:rsidRPr="00E207BC">
        <w:rPr>
          <w:i/>
        </w:rPr>
        <w:t xml:space="preserve"> Anchor Fitting(s)’</w:t>
      </w:r>
      <w:r w:rsidRPr="00E207BC">
        <w:t xml:space="preserve"> may be installed in front seating positions other than the driver’s ‘</w:t>
      </w:r>
      <w:r w:rsidRPr="00E207BC">
        <w:rPr>
          <w:i/>
        </w:rPr>
        <w:t>Seat</w:t>
      </w:r>
      <w:r w:rsidRPr="00E207BC">
        <w:t>’.</w:t>
      </w:r>
    </w:p>
    <w:p w:rsidR="00A14E06" w:rsidRPr="00E207BC" w:rsidRDefault="00477362" w:rsidP="00A14E06">
      <w:pPr>
        <w:pStyle w:val="Clauseheading"/>
      </w:pPr>
      <w:bookmarkStart w:id="158" w:name="_Toc495582221"/>
      <w:bookmarkStart w:id="159" w:name="_Toc349015281"/>
      <w:bookmarkStart w:id="160" w:name="_Toc120690111"/>
      <w:bookmarkStart w:id="161" w:name="_Toc120690489"/>
      <w:r w:rsidRPr="00E207BC">
        <w:lastRenderedPageBreak/>
        <w:t>INFORMATION REQUIREMENTS</w:t>
      </w:r>
      <w:bookmarkEnd w:id="158"/>
    </w:p>
    <w:p w:rsidR="00A14E06" w:rsidRPr="00E207BC" w:rsidRDefault="00A14E06" w:rsidP="00A14E06">
      <w:pPr>
        <w:pStyle w:val="Subclause"/>
      </w:pPr>
      <w:r w:rsidRPr="00E207BC">
        <w:t>Information including either a photograph or a diagram regarding the location of each ‘</w:t>
      </w:r>
      <w:r w:rsidRPr="00E207BC">
        <w:rPr>
          <w:i/>
        </w:rPr>
        <w:t>Child Restraint Anchorage</w:t>
      </w:r>
      <w:r w:rsidRPr="00E207BC">
        <w:t xml:space="preserve">’ (if fitted), installation of </w:t>
      </w:r>
      <w:r w:rsidRPr="00E207BC">
        <w:rPr>
          <w:i/>
        </w:rPr>
        <w:t>‘Upper Anchor Fittings’</w:t>
      </w:r>
      <w:r w:rsidRPr="00E207BC">
        <w:t xml:space="preserve"> (if applicable), and installation of ‘</w:t>
      </w:r>
      <w:r w:rsidRPr="00E207BC">
        <w:rPr>
          <w:i/>
        </w:rPr>
        <w:t xml:space="preserve">Child Restraint’ </w:t>
      </w:r>
      <w:r w:rsidRPr="00E207BC">
        <w:t>‘</w:t>
      </w:r>
      <w:r w:rsidRPr="00E207BC">
        <w:rPr>
          <w:i/>
        </w:rPr>
        <w:t>Attaching Clips’</w:t>
      </w:r>
      <w:r w:rsidRPr="00E207BC">
        <w:t xml:space="preserve"> shall be specified in the vehicle handbook or otherwise supplied with the vehicle.  The information shall include:</w:t>
      </w:r>
    </w:p>
    <w:p w:rsidR="00A14E06" w:rsidRPr="00E207BC" w:rsidRDefault="00A14E06" w:rsidP="00A14E06">
      <w:pPr>
        <w:pStyle w:val="Subsubclause"/>
      </w:pPr>
      <w:r w:rsidRPr="00E207BC">
        <w:t>“WARNING: child restraint anchorages are designed to withstand only those loads imposed by correctly fitted child restraints.  Under no circumstances are they to be used for adult seatbelts, harnesses, or for attaching other items or equipment to the vehicle.”</w:t>
      </w:r>
    </w:p>
    <w:p w:rsidR="00A14E06" w:rsidRPr="00E207BC" w:rsidRDefault="00A14E06" w:rsidP="00A14E06">
      <w:pPr>
        <w:pStyle w:val="Subsubclause"/>
      </w:pPr>
      <w:proofErr w:type="gramStart"/>
      <w:r w:rsidRPr="00E207BC">
        <w:t>details</w:t>
      </w:r>
      <w:proofErr w:type="gramEnd"/>
      <w:r w:rsidRPr="00E207BC">
        <w:t xml:space="preserve"> on the length of bolts and the thickness (and number) of </w:t>
      </w:r>
      <w:r w:rsidRPr="00E207BC">
        <w:rPr>
          <w:i/>
        </w:rPr>
        <w:t>‘Spacers’</w:t>
      </w:r>
      <w:r w:rsidRPr="00E207BC">
        <w:t xml:space="preserve"> required at each </w:t>
      </w:r>
      <w:r w:rsidRPr="00E207BC">
        <w:rPr>
          <w:i/>
        </w:rPr>
        <w:t>‘Upper Anchorage’</w:t>
      </w:r>
      <w:r w:rsidRPr="00E207BC">
        <w:t xml:space="preserve"> (as applicable), location and correct method of installation and orientation of </w:t>
      </w:r>
      <w:r w:rsidRPr="00E207BC">
        <w:rPr>
          <w:i/>
        </w:rPr>
        <w:t>‘Upper Anchor Fitting(s)’</w:t>
      </w:r>
      <w:r w:rsidRPr="00E207BC">
        <w:t xml:space="preserve"> (as applicable), and method of attachment and orientation of </w:t>
      </w:r>
      <w:r w:rsidRPr="00E207BC">
        <w:rPr>
          <w:i/>
        </w:rPr>
        <w:t>‘Attaching Clip(s)’</w:t>
      </w:r>
      <w:r w:rsidRPr="00E207BC">
        <w:t>.  Orientation shall be shown relative to the front of the vehicle.</w:t>
      </w:r>
    </w:p>
    <w:p w:rsidR="00A14E06" w:rsidRPr="00E207BC" w:rsidRDefault="00A14E06" w:rsidP="00A14E06">
      <w:pPr>
        <w:pStyle w:val="Subsubclause"/>
      </w:pPr>
      <w:r w:rsidRPr="00E207BC">
        <w:t>Details of the dedicated anchor fitting package in accordance with clauses 34.2.1.1.2, 34.2.1.2.2 and 34.2.1.4.1 and its location in the vehicle.</w:t>
      </w:r>
    </w:p>
    <w:p w:rsidR="00851098" w:rsidRPr="00E207BC" w:rsidRDefault="00477362" w:rsidP="003939C1">
      <w:pPr>
        <w:pStyle w:val="Clauseheading"/>
      </w:pPr>
      <w:bookmarkStart w:id="162" w:name="_Toc284251447"/>
      <w:bookmarkStart w:id="163" w:name="_Toc284251519"/>
      <w:bookmarkStart w:id="164" w:name="_Toc284251558"/>
      <w:bookmarkStart w:id="165" w:name="_Toc284251611"/>
      <w:bookmarkStart w:id="166" w:name="_Toc284251714"/>
      <w:bookmarkStart w:id="167" w:name="_Toc284251966"/>
      <w:bookmarkStart w:id="168" w:name="_Toc284252944"/>
      <w:bookmarkStart w:id="169" w:name="_Toc284257862"/>
      <w:bookmarkStart w:id="170" w:name="_Toc284258461"/>
      <w:bookmarkStart w:id="171" w:name="_Toc284258566"/>
      <w:bookmarkStart w:id="172" w:name="_Toc284259443"/>
      <w:bookmarkStart w:id="173" w:name="_Toc284326913"/>
      <w:bookmarkStart w:id="174" w:name="_Toc284327095"/>
      <w:bookmarkStart w:id="175" w:name="_Toc284327252"/>
      <w:bookmarkStart w:id="176" w:name="_Toc284327576"/>
      <w:bookmarkStart w:id="177" w:name="_Toc284351088"/>
      <w:bookmarkStart w:id="178" w:name="_Toc284251448"/>
      <w:bookmarkStart w:id="179" w:name="_Toc284251520"/>
      <w:bookmarkStart w:id="180" w:name="_Toc284251559"/>
      <w:bookmarkStart w:id="181" w:name="_Toc284251612"/>
      <w:bookmarkStart w:id="182" w:name="_Toc284251715"/>
      <w:bookmarkStart w:id="183" w:name="_Toc284251967"/>
      <w:bookmarkStart w:id="184" w:name="_Toc284252945"/>
      <w:bookmarkStart w:id="185" w:name="_Toc284257863"/>
      <w:bookmarkStart w:id="186" w:name="_Toc284258462"/>
      <w:bookmarkStart w:id="187" w:name="_Toc284258567"/>
      <w:bookmarkStart w:id="188" w:name="_Toc284259444"/>
      <w:bookmarkStart w:id="189" w:name="_Toc284326914"/>
      <w:bookmarkStart w:id="190" w:name="_Toc284327096"/>
      <w:bookmarkStart w:id="191" w:name="_Toc284327253"/>
      <w:bookmarkStart w:id="192" w:name="_Toc284327577"/>
      <w:bookmarkStart w:id="193" w:name="_Toc284351089"/>
      <w:bookmarkStart w:id="194" w:name="_Toc349015282"/>
      <w:bookmarkStart w:id="195" w:name="_Toc120690112"/>
      <w:bookmarkStart w:id="196" w:name="_Toc120690490"/>
      <w:bookmarkStart w:id="197" w:name="_Ref284236888"/>
      <w:bookmarkStart w:id="198" w:name="_Toc495582222"/>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207BC">
        <w:t>UPPER ANCHORAGE LOCATION REQUIREMENTS</w:t>
      </w:r>
      <w:bookmarkEnd w:id="194"/>
      <w:bookmarkEnd w:id="195"/>
      <w:bookmarkEnd w:id="196"/>
      <w:bookmarkEnd w:id="197"/>
      <w:bookmarkEnd w:id="198"/>
    </w:p>
    <w:p w:rsidR="00470AA8" w:rsidRPr="00E207BC" w:rsidRDefault="00470AA8" w:rsidP="00470AA8">
      <w:pPr>
        <w:pStyle w:val="Subclause"/>
      </w:pPr>
      <w:bookmarkStart w:id="199" w:name="_Ref283993024"/>
      <w:bookmarkStart w:id="200" w:name="_Toc349015283"/>
      <w:r w:rsidRPr="00E207BC">
        <w:rPr>
          <w:bCs/>
        </w:rPr>
        <w:t>E</w:t>
      </w:r>
      <w:r w:rsidRPr="00E207BC">
        <w:t xml:space="preserve">ach </w:t>
      </w:r>
      <w:r w:rsidRPr="00E207BC">
        <w:rPr>
          <w:i/>
          <w:iCs/>
        </w:rPr>
        <w:t>‘</w:t>
      </w:r>
      <w:r w:rsidR="00B03736" w:rsidRPr="00E207BC">
        <w:rPr>
          <w:i/>
          <w:iCs/>
        </w:rPr>
        <w:t>Upper</w:t>
      </w:r>
      <w:r w:rsidRPr="00E207BC">
        <w:rPr>
          <w:i/>
          <w:iCs/>
        </w:rPr>
        <w:t xml:space="preserve"> Anchorage’ </w:t>
      </w:r>
      <w:r w:rsidRPr="00E207BC">
        <w:t>and ‘</w:t>
      </w:r>
      <w:r w:rsidR="00B03736" w:rsidRPr="00E207BC">
        <w:rPr>
          <w:i/>
          <w:iCs/>
        </w:rPr>
        <w:t>Upper</w:t>
      </w:r>
      <w:r w:rsidRPr="00E207BC">
        <w:rPr>
          <w:i/>
          <w:iCs/>
        </w:rPr>
        <w:t xml:space="preserve"> Anchor Fitting</w:t>
      </w:r>
      <w:r w:rsidRPr="00E207BC">
        <w:t xml:space="preserve">’ must comply with </w:t>
      </w:r>
      <w:r w:rsidR="00AB23FC" w:rsidRPr="00E207BC">
        <w:t>c</w:t>
      </w:r>
      <w:r w:rsidRPr="00E207BC">
        <w:t xml:space="preserve">lause </w:t>
      </w:r>
      <w:r w:rsidR="00AB23FC" w:rsidRPr="00E207BC">
        <w:t>34.5</w:t>
      </w:r>
      <w:r w:rsidRPr="00E207BC">
        <w:t xml:space="preserve">.2 and </w:t>
      </w:r>
      <w:r w:rsidR="00AB23FC" w:rsidRPr="00E207BC">
        <w:t>c</w:t>
      </w:r>
      <w:r w:rsidRPr="00E207BC">
        <w:t xml:space="preserve">lause </w:t>
      </w:r>
      <w:r w:rsidR="00AB23FC" w:rsidRPr="00E207BC">
        <w:t>34.5</w:t>
      </w:r>
      <w:r w:rsidRPr="00E207BC">
        <w:t xml:space="preserve">.3, or comply with </w:t>
      </w:r>
      <w:r w:rsidR="00AB23FC" w:rsidRPr="00E207BC">
        <w:t>c</w:t>
      </w:r>
      <w:r w:rsidRPr="00E207BC">
        <w:t xml:space="preserve">lause </w:t>
      </w:r>
      <w:r w:rsidR="00AB23FC" w:rsidRPr="00E207BC">
        <w:t>34.5</w:t>
      </w:r>
      <w:r w:rsidRPr="00E207BC">
        <w:t>.4.</w:t>
      </w:r>
      <w:bookmarkEnd w:id="199"/>
    </w:p>
    <w:p w:rsidR="00470AA8" w:rsidRPr="00E207BC" w:rsidRDefault="00470AA8" w:rsidP="00470AA8">
      <w:pPr>
        <w:pStyle w:val="Subsubclause"/>
      </w:pPr>
      <w:r w:rsidRPr="00E207BC">
        <w:t xml:space="preserve">In addition, each </w:t>
      </w:r>
      <w:r w:rsidRPr="00E207BC">
        <w:rPr>
          <w:i/>
          <w:iCs/>
        </w:rPr>
        <w:t>‘</w:t>
      </w:r>
      <w:r w:rsidR="00B03736" w:rsidRPr="00E207BC">
        <w:rPr>
          <w:i/>
          <w:iCs/>
        </w:rPr>
        <w:t>Upper</w:t>
      </w:r>
      <w:r w:rsidRPr="00E207BC">
        <w:rPr>
          <w:i/>
          <w:iCs/>
        </w:rPr>
        <w:t xml:space="preserve"> Anchorage’ </w:t>
      </w:r>
      <w:r w:rsidRPr="00E207BC">
        <w:t>and ‘</w:t>
      </w:r>
      <w:r w:rsidR="00B03736" w:rsidRPr="00E207BC">
        <w:rPr>
          <w:i/>
          <w:iCs/>
        </w:rPr>
        <w:t>Upper</w:t>
      </w:r>
      <w:r w:rsidRPr="00E207BC">
        <w:rPr>
          <w:i/>
          <w:iCs/>
        </w:rPr>
        <w:t xml:space="preserve"> Anchor Fitting</w:t>
      </w:r>
      <w:r w:rsidRPr="00E207BC">
        <w:t xml:space="preserve">’ shall be located within the vehicle in a part of the body structure which would not normally be movable, or if movable would not alter the tension in any </w:t>
      </w:r>
      <w:r w:rsidRPr="00E207BC">
        <w:rPr>
          <w:i/>
          <w:iCs/>
        </w:rPr>
        <w:t xml:space="preserve">‘Upper Anchorage Strap’ </w:t>
      </w:r>
      <w:r w:rsidRPr="00E207BC">
        <w:t>when moved.</w:t>
      </w:r>
    </w:p>
    <w:p w:rsidR="00470AA8" w:rsidRPr="00E207BC" w:rsidRDefault="00470AA8" w:rsidP="00470AA8">
      <w:pPr>
        <w:pStyle w:val="Subsubsubclause"/>
      </w:pPr>
      <w:r w:rsidRPr="00E207BC">
        <w:t>The requirement</w:t>
      </w:r>
      <w:r w:rsidR="00AB23FC" w:rsidRPr="00E207BC">
        <w:t>s of clause 34.5</w:t>
      </w:r>
      <w:r w:rsidRPr="00E207BC">
        <w:t xml:space="preserve">.1.1 do not apply if the </w:t>
      </w:r>
      <w:r w:rsidRPr="00E207BC">
        <w:rPr>
          <w:i/>
        </w:rPr>
        <w:t>'</w:t>
      </w:r>
      <w:r w:rsidR="00F71C57" w:rsidRPr="00E207BC">
        <w:rPr>
          <w:i/>
        </w:rPr>
        <w:t xml:space="preserve">Upper </w:t>
      </w:r>
      <w:r w:rsidRPr="00E207BC">
        <w:rPr>
          <w:i/>
        </w:rPr>
        <w:t>Anchorage'</w:t>
      </w:r>
      <w:r w:rsidRPr="00E207BC">
        <w:t xml:space="preserve"> and </w:t>
      </w:r>
      <w:r w:rsidRPr="00E207BC">
        <w:rPr>
          <w:i/>
        </w:rPr>
        <w:t>'</w:t>
      </w:r>
      <w:r w:rsidR="00F71C57" w:rsidRPr="00E207BC">
        <w:rPr>
          <w:i/>
        </w:rPr>
        <w:t xml:space="preserve">Upper </w:t>
      </w:r>
      <w:r w:rsidRPr="00E207BC">
        <w:rPr>
          <w:i/>
        </w:rPr>
        <w:t>Anchor Fitting'</w:t>
      </w:r>
      <w:r w:rsidRPr="00E207BC">
        <w:t xml:space="preserve"> are located on a ‘</w:t>
      </w:r>
      <w:r w:rsidRPr="00E207BC">
        <w:rPr>
          <w:i/>
          <w:iCs/>
        </w:rPr>
        <w:t>Seat’</w:t>
      </w:r>
      <w:r w:rsidRPr="00E207BC">
        <w:t>.</w:t>
      </w:r>
    </w:p>
    <w:p w:rsidR="00470AA8" w:rsidRPr="00E207BC" w:rsidRDefault="00470AA8" w:rsidP="00470AA8">
      <w:pPr>
        <w:pStyle w:val="Subclause"/>
      </w:pPr>
      <w:r w:rsidRPr="00E207BC">
        <w:t xml:space="preserve">In the vertical plane, the entire </w:t>
      </w:r>
      <w:r w:rsidRPr="00E207BC">
        <w:rPr>
          <w:i/>
          <w:iCs/>
        </w:rPr>
        <w:t xml:space="preserve">‘Interface Profile’ </w:t>
      </w:r>
      <w:r w:rsidRPr="00E207BC">
        <w:t xml:space="preserve">of each </w:t>
      </w:r>
      <w:r w:rsidRPr="00E207BC">
        <w:rPr>
          <w:i/>
          <w:iCs/>
        </w:rPr>
        <w:t>‘</w:t>
      </w:r>
      <w:r w:rsidR="00F71C57" w:rsidRPr="00E207BC">
        <w:rPr>
          <w:i/>
          <w:iCs/>
        </w:rPr>
        <w:t xml:space="preserve">Upper </w:t>
      </w:r>
      <w:r w:rsidRPr="00E207BC">
        <w:rPr>
          <w:i/>
          <w:iCs/>
        </w:rPr>
        <w:t xml:space="preserve">Anchor Fitting’ </w:t>
      </w:r>
      <w:r w:rsidRPr="00E207BC">
        <w:t>shall be located within the shaded area shown in Figure 6 with :</w:t>
      </w:r>
    </w:p>
    <w:p w:rsidR="00470AA8" w:rsidRPr="00E207BC" w:rsidRDefault="00470AA8" w:rsidP="00BD7B8A">
      <w:pPr>
        <w:pStyle w:val="Subsubclause"/>
      </w:pPr>
      <w:r w:rsidRPr="00E207BC">
        <w:t xml:space="preserve">the </w:t>
      </w:r>
      <w:r w:rsidRPr="00E207BC">
        <w:rPr>
          <w:i/>
          <w:iCs/>
        </w:rPr>
        <w:t xml:space="preserve">‘Manikin’ </w:t>
      </w:r>
      <w:r w:rsidRPr="00E207BC">
        <w:t xml:space="preserve">to be positioned in the </w:t>
      </w:r>
      <w:r w:rsidRPr="00E207BC">
        <w:rPr>
          <w:i/>
          <w:iCs/>
        </w:rPr>
        <w:t xml:space="preserve">‘Seating Reference Plane’ </w:t>
      </w:r>
      <w:r w:rsidRPr="00E207BC">
        <w:t xml:space="preserve">when the </w:t>
      </w:r>
      <w:r w:rsidRPr="00E207BC">
        <w:rPr>
          <w:i/>
          <w:iCs/>
        </w:rPr>
        <w:t xml:space="preserve">‘Seat’ </w:t>
      </w:r>
      <w:r w:rsidRPr="00E207BC">
        <w:t xml:space="preserve">and the </w:t>
      </w:r>
      <w:r w:rsidRPr="00E207BC">
        <w:rPr>
          <w:i/>
          <w:iCs/>
        </w:rPr>
        <w:t xml:space="preserve">‘Seat’ </w:t>
      </w:r>
      <w:r w:rsidRPr="00E207BC">
        <w:t>back are in the design position;</w:t>
      </w:r>
    </w:p>
    <w:p w:rsidR="00470AA8" w:rsidRPr="00E207BC" w:rsidRDefault="00470AA8" w:rsidP="00BD7B8A">
      <w:pPr>
        <w:pStyle w:val="Subsubclause"/>
      </w:pPr>
      <w:r w:rsidRPr="00E207BC">
        <w:t xml:space="preserve">the ‘Manikin’s’ ‘H Point’ at the </w:t>
      </w:r>
      <w:r w:rsidRPr="00E207BC">
        <w:rPr>
          <w:i/>
        </w:rPr>
        <w:t>‘Seating Reference Point’</w:t>
      </w:r>
      <w:r w:rsidRPr="00E207BC">
        <w:t>; and</w:t>
      </w:r>
    </w:p>
    <w:p w:rsidR="00470AA8" w:rsidRPr="00E207BC" w:rsidRDefault="00470AA8" w:rsidP="00BD7B8A">
      <w:pPr>
        <w:pStyle w:val="Subsubclause"/>
      </w:pPr>
      <w:proofErr w:type="gramStart"/>
      <w:r w:rsidRPr="00E207BC">
        <w:t>the</w:t>
      </w:r>
      <w:proofErr w:type="gramEnd"/>
      <w:r w:rsidRPr="00E207BC">
        <w:t xml:space="preserve"> </w:t>
      </w:r>
      <w:r w:rsidRPr="00E207BC">
        <w:rPr>
          <w:i/>
          <w:iCs/>
        </w:rPr>
        <w:t xml:space="preserve">‘Manikin’s’ ‘Torso Reference Line’ </w:t>
      </w:r>
      <w:r w:rsidRPr="00E207BC">
        <w:t>at the same angle from the vertical as the ‘</w:t>
      </w:r>
      <w:r w:rsidRPr="00E207BC">
        <w:rPr>
          <w:i/>
          <w:iCs/>
        </w:rPr>
        <w:t xml:space="preserve">Seat’ </w:t>
      </w:r>
      <w:r w:rsidRPr="00E207BC">
        <w:t>back.</w:t>
      </w:r>
    </w:p>
    <w:p w:rsidR="00470AA8" w:rsidRPr="00E207BC" w:rsidRDefault="00470AA8" w:rsidP="00BD7B8A">
      <w:pPr>
        <w:pStyle w:val="Subclause"/>
      </w:pPr>
      <w:r w:rsidRPr="00E207BC">
        <w:t xml:space="preserve">In the horizontal plane, the centreline of the </w:t>
      </w:r>
      <w:r w:rsidRPr="00E207BC">
        <w:rPr>
          <w:i/>
          <w:iCs/>
        </w:rPr>
        <w:t xml:space="preserve">’Interface Profile’ </w:t>
      </w:r>
      <w:r w:rsidRPr="00E207BC">
        <w:t xml:space="preserve">of each </w:t>
      </w:r>
      <w:r w:rsidRPr="00E207BC">
        <w:rPr>
          <w:i/>
          <w:iCs/>
        </w:rPr>
        <w:t>‘</w:t>
      </w:r>
      <w:r w:rsidR="004A598F" w:rsidRPr="00E207BC">
        <w:rPr>
          <w:i/>
          <w:iCs/>
        </w:rPr>
        <w:t>Upper</w:t>
      </w:r>
      <w:r w:rsidRPr="00E207BC">
        <w:rPr>
          <w:i/>
          <w:iCs/>
        </w:rPr>
        <w:t xml:space="preserve"> Anchor Fitting’ </w:t>
      </w:r>
      <w:r w:rsidRPr="00E207BC">
        <w:t xml:space="preserve">shall lie within 40 mm of the </w:t>
      </w:r>
      <w:r w:rsidRPr="00E207BC">
        <w:rPr>
          <w:i/>
          <w:iCs/>
        </w:rPr>
        <w:t>‘Seating Reference Plane</w:t>
      </w:r>
      <w:r w:rsidRPr="00E207BC">
        <w:t>’ of the seating position for which the ‘</w:t>
      </w:r>
      <w:r w:rsidR="004A598F" w:rsidRPr="00E207BC">
        <w:rPr>
          <w:i/>
          <w:iCs/>
        </w:rPr>
        <w:t>Upper</w:t>
      </w:r>
      <w:r w:rsidRPr="00E207BC">
        <w:rPr>
          <w:i/>
          <w:iCs/>
        </w:rPr>
        <w:t xml:space="preserve"> Anchor Fitting</w:t>
      </w:r>
      <w:r w:rsidRPr="00E207BC">
        <w:t>’ is provided.</w:t>
      </w:r>
    </w:p>
    <w:p w:rsidR="00470AA8" w:rsidRPr="00E207BC" w:rsidRDefault="00470AA8" w:rsidP="00BD7B8A">
      <w:pPr>
        <w:pStyle w:val="Subclause"/>
      </w:pPr>
      <w:bookmarkStart w:id="201" w:name="_Ref283991735"/>
      <w:r w:rsidRPr="00E207BC">
        <w:t xml:space="preserve">Subject to Clause </w:t>
      </w:r>
      <w:r w:rsidR="00AB23FC" w:rsidRPr="00E207BC">
        <w:t>34.5</w:t>
      </w:r>
      <w:r w:rsidRPr="00E207BC">
        <w:t xml:space="preserve">.4.1, the entire </w:t>
      </w:r>
      <w:r w:rsidRPr="00E207BC">
        <w:rPr>
          <w:i/>
          <w:iCs/>
        </w:rPr>
        <w:t xml:space="preserve">‘Interface Profile’ </w:t>
      </w:r>
      <w:r w:rsidRPr="00E207BC">
        <w:t xml:space="preserve">of each </w:t>
      </w:r>
      <w:r w:rsidRPr="00E207BC">
        <w:rPr>
          <w:i/>
          <w:iCs/>
        </w:rPr>
        <w:t>‘</w:t>
      </w:r>
      <w:r w:rsidR="004A598F" w:rsidRPr="00E207BC">
        <w:rPr>
          <w:i/>
          <w:iCs/>
        </w:rPr>
        <w:t xml:space="preserve">Upper </w:t>
      </w:r>
      <w:r w:rsidRPr="00E207BC">
        <w:rPr>
          <w:i/>
          <w:iCs/>
        </w:rPr>
        <w:t xml:space="preserve">Anchor Fitting’ </w:t>
      </w:r>
      <w:r w:rsidRPr="00E207BC">
        <w:rPr>
          <w:iCs/>
        </w:rPr>
        <w:t>shall</w:t>
      </w:r>
      <w:r w:rsidRPr="00E207BC">
        <w:rPr>
          <w:i/>
          <w:iCs/>
        </w:rPr>
        <w:t xml:space="preserve"> </w:t>
      </w:r>
      <w:r w:rsidRPr="00E207BC">
        <w:rPr>
          <w:iCs/>
        </w:rPr>
        <w:t>be</w:t>
      </w:r>
      <w:r w:rsidRPr="00E207BC">
        <w:rPr>
          <w:i/>
          <w:iCs/>
        </w:rPr>
        <w:t xml:space="preserve"> </w:t>
      </w:r>
      <w:r w:rsidRPr="00E207BC">
        <w:t xml:space="preserve">located within the shaded zone shown in Figures 9 to 13. The zone is defined with reference to the </w:t>
      </w:r>
      <w:r w:rsidRPr="00E207BC">
        <w:rPr>
          <w:i/>
          <w:iCs/>
        </w:rPr>
        <w:t>‘Seating Reference Point’</w:t>
      </w:r>
      <w:r w:rsidRPr="00E207BC">
        <w:t>. (For purposes of the figures, "H</w:t>
      </w:r>
      <w:r w:rsidR="00460354" w:rsidRPr="00E207BC">
        <w:t>"</w:t>
      </w:r>
      <w:r w:rsidRPr="00E207BC">
        <w:t xml:space="preserve"> Point is defined to mean </w:t>
      </w:r>
      <w:r w:rsidRPr="00E207BC">
        <w:rPr>
          <w:i/>
          <w:iCs/>
        </w:rPr>
        <w:t>‘Seating Reference Point’</w:t>
      </w:r>
      <w:r w:rsidRPr="00E207BC">
        <w:t xml:space="preserve">.) The </w:t>
      </w:r>
      <w:r w:rsidRPr="00E207BC">
        <w:rPr>
          <w:i/>
          <w:iCs/>
        </w:rPr>
        <w:t xml:space="preserve">‘Interface Profile’ </w:t>
      </w:r>
      <w:r w:rsidRPr="00E207BC">
        <w:t xml:space="preserve">may be recessed in the seat back, provided that it is not in the strap wrap-around area at the </w:t>
      </w:r>
      <w:r w:rsidRPr="00E207BC">
        <w:lastRenderedPageBreak/>
        <w:t xml:space="preserve">top of the vehicle seat back. For the area under the vehicle seat, the forward most edge of the shaded zone is defined by the </w:t>
      </w:r>
      <w:r w:rsidRPr="00E207BC">
        <w:rPr>
          <w:i/>
          <w:iCs/>
        </w:rPr>
        <w:t>‘Torso Reference Line’</w:t>
      </w:r>
      <w:r w:rsidRPr="00E207BC">
        <w:t>.</w:t>
      </w:r>
      <w:bookmarkEnd w:id="201"/>
    </w:p>
    <w:p w:rsidR="00470AA8" w:rsidRPr="00E207BC" w:rsidRDefault="00470AA8" w:rsidP="00BD7B8A">
      <w:pPr>
        <w:pStyle w:val="Subsubclause"/>
        <w:rPr>
          <w:lang w:val="en-US"/>
        </w:rPr>
      </w:pPr>
      <w:r w:rsidRPr="00E207BC">
        <w:rPr>
          <w:lang w:val="en-US"/>
        </w:rPr>
        <w:t xml:space="preserve">The </w:t>
      </w:r>
      <w:r w:rsidRPr="00E207BC">
        <w:rPr>
          <w:i/>
          <w:iCs/>
        </w:rPr>
        <w:t xml:space="preserve">‘Interface Profile’ </w:t>
      </w:r>
      <w:r w:rsidRPr="00E207BC">
        <w:rPr>
          <w:lang w:val="en-US"/>
        </w:rPr>
        <w:t>may be located outside the shaded zone shown in Figures 9 to 13 if a location within that zone is not appropriate and the vehicle is equipped with a routing device that,</w:t>
      </w:r>
    </w:p>
    <w:p w:rsidR="00470AA8" w:rsidRPr="00E207BC" w:rsidRDefault="00470AA8" w:rsidP="00BD7B8A">
      <w:pPr>
        <w:pStyle w:val="Subsubsubclause"/>
        <w:rPr>
          <w:lang w:val="en-US"/>
        </w:rPr>
      </w:pPr>
      <w:r w:rsidRPr="00E207BC">
        <w:rPr>
          <w:lang w:val="en-US"/>
        </w:rPr>
        <w:t xml:space="preserve">ensures that the </w:t>
      </w:r>
      <w:r w:rsidRPr="00E207BC">
        <w:rPr>
          <w:i/>
          <w:iCs/>
        </w:rPr>
        <w:t xml:space="preserve">‘Upper Anchorage Strap’ </w:t>
      </w:r>
      <w:r w:rsidRPr="00E207BC">
        <w:rPr>
          <w:lang w:val="en-US"/>
        </w:rPr>
        <w:t xml:space="preserve">functions as if the </w:t>
      </w:r>
      <w:r w:rsidRPr="00E207BC">
        <w:rPr>
          <w:i/>
          <w:iCs/>
        </w:rPr>
        <w:t xml:space="preserve">‘Interface Profile’ </w:t>
      </w:r>
      <w:r w:rsidRPr="00E207BC">
        <w:rPr>
          <w:lang w:val="en-US"/>
        </w:rPr>
        <w:t>were located within the shaded zone; and,</w:t>
      </w:r>
    </w:p>
    <w:p w:rsidR="00470AA8" w:rsidRPr="00E207BC" w:rsidRDefault="00470AA8" w:rsidP="00BD7B8A">
      <w:pPr>
        <w:pStyle w:val="Subsubsubclause"/>
        <w:rPr>
          <w:lang w:val="en-US"/>
        </w:rPr>
      </w:pPr>
      <w:r w:rsidRPr="00E207BC">
        <w:rPr>
          <w:lang w:val="en-US"/>
        </w:rPr>
        <w:t xml:space="preserve">is at least 65 mm behind the </w:t>
      </w:r>
      <w:r w:rsidRPr="00E207BC">
        <w:rPr>
          <w:i/>
          <w:iCs/>
        </w:rPr>
        <w:t>‘Torso Reference Line’</w:t>
      </w:r>
      <w:r w:rsidRPr="00E207BC">
        <w:rPr>
          <w:lang w:val="en-US"/>
        </w:rPr>
        <w:t xml:space="preserve">, in case of a non-rigid webbing-type routing device or a deployable routing device, or at least 100 mm behind the </w:t>
      </w:r>
      <w:r w:rsidRPr="00E207BC">
        <w:rPr>
          <w:i/>
          <w:iCs/>
        </w:rPr>
        <w:t>‘Torso Reference Line’</w:t>
      </w:r>
      <w:r w:rsidRPr="00E207BC">
        <w:rPr>
          <w:lang w:val="en-US"/>
        </w:rPr>
        <w:t>, in the case of a fixed rigid routing device; and,</w:t>
      </w:r>
    </w:p>
    <w:p w:rsidR="00470AA8" w:rsidRPr="00E207BC" w:rsidRDefault="00470AA8" w:rsidP="00BD7B8A">
      <w:pPr>
        <w:pStyle w:val="Subsubsubclause"/>
      </w:pPr>
      <w:r w:rsidRPr="00E207BC">
        <w:rPr>
          <w:lang w:val="en-US"/>
        </w:rPr>
        <w:t>when tested after being installed as it is intended to be used, the device is of sufficient strength to withstand, with the</w:t>
      </w:r>
      <w:r w:rsidRPr="00E207BC">
        <w:rPr>
          <w:i/>
          <w:iCs/>
          <w:lang w:val="en-US"/>
        </w:rPr>
        <w:t xml:space="preserve"> '</w:t>
      </w:r>
      <w:r w:rsidR="004A598F" w:rsidRPr="00E207BC">
        <w:rPr>
          <w:i/>
          <w:iCs/>
          <w:lang w:val="en-US"/>
        </w:rPr>
        <w:t xml:space="preserve">Upper </w:t>
      </w:r>
      <w:r w:rsidRPr="00E207BC">
        <w:rPr>
          <w:i/>
          <w:iCs/>
          <w:lang w:val="en-US"/>
        </w:rPr>
        <w:t>Anchorage'</w:t>
      </w:r>
      <w:r w:rsidRPr="00E207BC">
        <w:rPr>
          <w:lang w:val="en-US"/>
        </w:rPr>
        <w:t xml:space="preserve">, the strength requirements specified in Clause </w:t>
      </w:r>
      <w:r w:rsidR="00BA5BE6" w:rsidRPr="00E207BC">
        <w:rPr>
          <w:lang w:val="en-US"/>
        </w:rPr>
        <w:t>34.7</w:t>
      </w:r>
      <w:r w:rsidRPr="00E207BC">
        <w:rPr>
          <w:lang w:val="en-US"/>
        </w:rPr>
        <w:t xml:space="preserve">, excluding sub-clauses </w:t>
      </w:r>
      <w:r w:rsidR="00AB23FC" w:rsidRPr="00E207BC">
        <w:rPr>
          <w:lang w:val="en-US"/>
        </w:rPr>
        <w:t>34.7</w:t>
      </w:r>
      <w:r w:rsidR="00F271E0" w:rsidRPr="00E207BC">
        <w:rPr>
          <w:lang w:val="en-US"/>
        </w:rPr>
        <w:t>.</w:t>
      </w:r>
      <w:r w:rsidRPr="00E207BC">
        <w:rPr>
          <w:lang w:val="en-US"/>
        </w:rPr>
        <w:t xml:space="preserve">2.1 and </w:t>
      </w:r>
      <w:r w:rsidR="00AB23FC" w:rsidRPr="00E207BC">
        <w:rPr>
          <w:lang w:val="en-US"/>
        </w:rPr>
        <w:t>34.7</w:t>
      </w:r>
      <w:r w:rsidRPr="00E207BC">
        <w:rPr>
          <w:lang w:val="en-US"/>
        </w:rPr>
        <w:t>.2.2.</w:t>
      </w:r>
    </w:p>
    <w:p w:rsidR="003939C1" w:rsidRPr="00E207BC" w:rsidRDefault="00477362" w:rsidP="000048F8">
      <w:pPr>
        <w:pStyle w:val="Clauseheading"/>
      </w:pPr>
      <w:bookmarkStart w:id="202" w:name="_Ref284236903"/>
      <w:bookmarkStart w:id="203" w:name="_Toc120690113"/>
      <w:bookmarkStart w:id="204" w:name="_Toc120690491"/>
      <w:bookmarkStart w:id="205" w:name="_Toc495582223"/>
      <w:r w:rsidRPr="00E207BC">
        <w:t>ACCESSIBILITY TO ENGAGE AN ATTACHING CLIP</w:t>
      </w:r>
      <w:bookmarkEnd w:id="200"/>
      <w:bookmarkEnd w:id="202"/>
      <w:bookmarkEnd w:id="203"/>
      <w:bookmarkEnd w:id="204"/>
      <w:bookmarkEnd w:id="205"/>
    </w:p>
    <w:p w:rsidR="003939C1" w:rsidRPr="00E207BC" w:rsidRDefault="003939C1" w:rsidP="000048F8">
      <w:pPr>
        <w:pStyle w:val="Subclause"/>
      </w:pPr>
      <w:bookmarkStart w:id="206" w:name="_Ref283982438"/>
      <w:r w:rsidRPr="00E207BC">
        <w:t>Clearance shall be provided around each ‘</w:t>
      </w:r>
      <w:r w:rsidR="004A598F" w:rsidRPr="00E207BC">
        <w:rPr>
          <w:i/>
        </w:rPr>
        <w:t>Upper</w:t>
      </w:r>
      <w:r w:rsidRPr="00E207BC">
        <w:rPr>
          <w:i/>
        </w:rPr>
        <w:t xml:space="preserve"> Anchor Fitting</w:t>
      </w:r>
      <w:r w:rsidRPr="00E207BC">
        <w:t>’ to allow latching and unlatching, without the use of tools, of the ‘</w:t>
      </w:r>
      <w:r w:rsidRPr="00E207BC">
        <w:rPr>
          <w:i/>
        </w:rPr>
        <w:t>Attaching Clip</w:t>
      </w:r>
      <w:r w:rsidRPr="00E207BC">
        <w:t>’ to the ‘</w:t>
      </w:r>
      <w:r w:rsidR="004A598F" w:rsidRPr="00E207BC">
        <w:rPr>
          <w:i/>
        </w:rPr>
        <w:t>Upper</w:t>
      </w:r>
      <w:r w:rsidRPr="00E207BC">
        <w:rPr>
          <w:i/>
        </w:rPr>
        <w:t xml:space="preserve"> Anchor Fitting</w:t>
      </w:r>
      <w:r w:rsidRPr="00E207BC">
        <w:t>’ when it is installed in the vehicle.</w:t>
      </w:r>
      <w:bookmarkEnd w:id="206"/>
    </w:p>
    <w:p w:rsidR="003939C1" w:rsidRPr="00E207BC" w:rsidRDefault="003939C1" w:rsidP="000048F8">
      <w:pPr>
        <w:pStyle w:val="Subclause"/>
      </w:pPr>
      <w:r w:rsidRPr="00E207BC">
        <w:t>For guidance to vehicle manufacturers</w:t>
      </w:r>
      <w:r w:rsidR="003D10F5" w:rsidRPr="00E207BC">
        <w:t>,</w:t>
      </w:r>
      <w:r w:rsidRPr="00E207BC">
        <w:t xml:space="preserve"> the clearance parameters shown in Figure 8 are sufficient to demonstrate compliance with </w:t>
      </w:r>
      <w:r w:rsidR="0050000A" w:rsidRPr="00E207BC">
        <w:t>C</w:t>
      </w:r>
      <w:r w:rsidRPr="00E207BC">
        <w:t>lause</w:t>
      </w:r>
      <w:r w:rsidR="0050000A" w:rsidRPr="00E207BC">
        <w:t xml:space="preserve"> </w:t>
      </w:r>
      <w:r w:rsidR="009A70A4">
        <w:fldChar w:fldCharType="begin"/>
      </w:r>
      <w:r w:rsidR="009A70A4">
        <w:instrText xml:space="preserve"> REF _Ref283982438 \r \h  \* MERGEFORMAT </w:instrText>
      </w:r>
      <w:r w:rsidR="009A70A4">
        <w:fldChar w:fldCharType="separate"/>
      </w:r>
      <w:r w:rsidR="00157055">
        <w:t>34.6.1</w:t>
      </w:r>
      <w:r w:rsidR="009A70A4">
        <w:fldChar w:fldCharType="end"/>
      </w:r>
      <w:r w:rsidRPr="00E207BC">
        <w:t xml:space="preserve">. </w:t>
      </w:r>
    </w:p>
    <w:p w:rsidR="003939C1" w:rsidRPr="00E207BC" w:rsidRDefault="00477362" w:rsidP="000048F8">
      <w:pPr>
        <w:pStyle w:val="Clauseheading"/>
      </w:pPr>
      <w:bookmarkStart w:id="207" w:name="_Ref284236911"/>
      <w:bookmarkStart w:id="208" w:name="_Toc349015284"/>
      <w:bookmarkStart w:id="209" w:name="_Toc120690114"/>
      <w:bookmarkStart w:id="210" w:name="_Toc120690492"/>
      <w:bookmarkStart w:id="211" w:name="_Toc495582224"/>
      <w:r w:rsidRPr="00E207BC">
        <w:t>STRENGTH OF UPPER ANCHORAGES</w:t>
      </w:r>
      <w:bookmarkEnd w:id="207"/>
      <w:bookmarkEnd w:id="208"/>
      <w:bookmarkEnd w:id="209"/>
      <w:bookmarkEnd w:id="210"/>
      <w:bookmarkEnd w:id="211"/>
    </w:p>
    <w:p w:rsidR="003939C1" w:rsidRPr="00E207BC" w:rsidRDefault="003939C1" w:rsidP="000048F8">
      <w:pPr>
        <w:pStyle w:val="Subclause"/>
      </w:pPr>
      <w:r w:rsidRPr="00E207BC">
        <w:t>For each ‘</w:t>
      </w:r>
      <w:r w:rsidR="004A598F" w:rsidRPr="00E207BC">
        <w:rPr>
          <w:i/>
        </w:rPr>
        <w:t>Upper</w:t>
      </w:r>
      <w:r w:rsidRPr="00E207BC">
        <w:rPr>
          <w:i/>
        </w:rPr>
        <w:t xml:space="preserve"> Anchorage</w:t>
      </w:r>
      <w:r w:rsidRPr="00E207BC">
        <w:t>’, static or dynamic testing shall be conducted at the vehicle ‘</w:t>
      </w:r>
      <w:r w:rsidRPr="00E207BC">
        <w:rPr>
          <w:i/>
        </w:rPr>
        <w:t>Manufacturer</w:t>
      </w:r>
      <w:r w:rsidRPr="00E207BC">
        <w:t xml:space="preserve">’s’ choice either to clause </w:t>
      </w:r>
      <w:r w:rsidR="00DB6B86" w:rsidRPr="00E207BC">
        <w:t>34.7</w:t>
      </w:r>
      <w:r w:rsidR="000048F8" w:rsidRPr="00E207BC">
        <w:t>.2</w:t>
      </w:r>
      <w:r w:rsidRPr="00E207BC">
        <w:t xml:space="preserve"> or clause </w:t>
      </w:r>
      <w:r w:rsidR="00DB6B86" w:rsidRPr="00E207BC">
        <w:t>34.7</w:t>
      </w:r>
      <w:r w:rsidR="000048F8" w:rsidRPr="00E207BC">
        <w:t>.3</w:t>
      </w:r>
      <w:r w:rsidRPr="00E207BC">
        <w:t xml:space="preserve"> as applicable - using </w:t>
      </w:r>
      <w:r w:rsidRPr="00E207BC">
        <w:rPr>
          <w:i/>
        </w:rPr>
        <w:t>‘</w:t>
      </w:r>
      <w:r w:rsidR="004A598F" w:rsidRPr="00E207BC">
        <w:rPr>
          <w:i/>
        </w:rPr>
        <w:t>Upper</w:t>
      </w:r>
      <w:r w:rsidRPr="00E207BC">
        <w:rPr>
          <w:i/>
        </w:rPr>
        <w:t xml:space="preserve"> Anchor Fitting(s)’</w:t>
      </w:r>
      <w:r w:rsidRPr="00E207BC">
        <w:t xml:space="preserve"> provided in accordance with clause </w:t>
      </w:r>
      <w:r w:rsidR="00DB6B86" w:rsidRPr="00E207BC">
        <w:t>34.2</w:t>
      </w:r>
      <w:r w:rsidRPr="00E207BC">
        <w:t>.</w:t>
      </w:r>
    </w:p>
    <w:p w:rsidR="003939C1" w:rsidRPr="00E207BC" w:rsidRDefault="003939C1" w:rsidP="000048F8">
      <w:pPr>
        <w:pStyle w:val="Subsubclause"/>
      </w:pPr>
      <w:r w:rsidRPr="00E207BC">
        <w:t xml:space="preserve">The static test load of 3.4 </w:t>
      </w:r>
      <w:proofErr w:type="spellStart"/>
      <w:proofErr w:type="gramStart"/>
      <w:r w:rsidRPr="00E207BC">
        <w:t>kN</w:t>
      </w:r>
      <w:proofErr w:type="spellEnd"/>
      <w:proofErr w:type="gramEnd"/>
      <w:r w:rsidRPr="00E207BC">
        <w:t xml:space="preserve"> (clause </w:t>
      </w:r>
      <w:r w:rsidR="00DB6B86" w:rsidRPr="00E207BC">
        <w:t>34.7</w:t>
      </w:r>
      <w:r w:rsidR="000048F8" w:rsidRPr="00E207BC">
        <w:t>.2</w:t>
      </w:r>
      <w:r w:rsidRPr="00E207BC">
        <w:t xml:space="preserve">) relates to the upper tether strap load of 7 </w:t>
      </w:r>
      <w:proofErr w:type="spellStart"/>
      <w:r w:rsidRPr="00E207BC">
        <w:t>kN</w:t>
      </w:r>
      <w:proofErr w:type="spellEnd"/>
      <w:r w:rsidRPr="00E207BC">
        <w:t xml:space="preserve"> in the dynamic test specified in Australian Standard AS 3629.3-1991 “Methods of Testing Child Restraints Part 3 Dynamic Testing of Upper Anchorage Components”.</w:t>
      </w:r>
    </w:p>
    <w:p w:rsidR="00CF2016" w:rsidRPr="00E207BC" w:rsidRDefault="003939C1" w:rsidP="00CF2016">
      <w:pPr>
        <w:pStyle w:val="Subclause"/>
      </w:pPr>
      <w:bookmarkStart w:id="212" w:name="_Ref284244228"/>
      <w:r w:rsidRPr="00E207BC">
        <w:t>Static Testing - All ‘</w:t>
      </w:r>
      <w:r w:rsidR="004A598F" w:rsidRPr="00E207BC">
        <w:rPr>
          <w:i/>
        </w:rPr>
        <w:t>Upper</w:t>
      </w:r>
      <w:r w:rsidRPr="00E207BC">
        <w:rPr>
          <w:i/>
        </w:rPr>
        <w:t xml:space="preserve"> Anchor Fittings</w:t>
      </w:r>
      <w:r w:rsidRPr="00E207BC">
        <w:t>’ shall be tested simultaneously when installed in the vehicle, and with the ‘</w:t>
      </w:r>
      <w:r w:rsidRPr="00E207BC">
        <w:rPr>
          <w:i/>
        </w:rPr>
        <w:t>Seat</w:t>
      </w:r>
      <w:r w:rsidRPr="00E207BC">
        <w:t>’ or ‘</w:t>
      </w:r>
      <w:r w:rsidRPr="00E207BC">
        <w:rPr>
          <w:i/>
        </w:rPr>
        <w:t xml:space="preserve">Seat’ </w:t>
      </w:r>
      <w:r w:rsidRPr="00E207BC">
        <w:t xml:space="preserve">back installed, by application of a test load of not less than 3.4 </w:t>
      </w:r>
      <w:proofErr w:type="spellStart"/>
      <w:r w:rsidRPr="00E207BC">
        <w:t>kN</w:t>
      </w:r>
      <w:proofErr w:type="spellEnd"/>
      <w:r w:rsidRPr="00E207BC">
        <w:t xml:space="preserve"> to each ‘</w:t>
      </w:r>
      <w:r w:rsidR="004A598F" w:rsidRPr="00E207BC">
        <w:rPr>
          <w:i/>
        </w:rPr>
        <w:t>Upper</w:t>
      </w:r>
      <w:r w:rsidRPr="00E207BC">
        <w:rPr>
          <w:i/>
        </w:rPr>
        <w:t xml:space="preserve"> Anchor Fitting</w:t>
      </w:r>
      <w:r w:rsidRPr="00E207BC">
        <w:t>’.</w:t>
      </w:r>
      <w:bookmarkEnd w:id="212"/>
    </w:p>
    <w:p w:rsidR="003939C1" w:rsidRPr="00E207BC" w:rsidRDefault="003939C1" w:rsidP="00B36560">
      <w:pPr>
        <w:pStyle w:val="Subsubclause"/>
      </w:pPr>
      <w:r w:rsidRPr="00E207BC">
        <w:t>The direction of the test load shall be within 20° of the ‘</w:t>
      </w:r>
      <w:r w:rsidRPr="00E207BC">
        <w:rPr>
          <w:i/>
        </w:rPr>
        <w:t>Design Line of Action</w:t>
      </w:r>
      <w:r w:rsidRPr="00E207BC">
        <w:t>’ of the ‘</w:t>
      </w:r>
      <w:r w:rsidR="004A598F" w:rsidRPr="00E207BC">
        <w:rPr>
          <w:i/>
        </w:rPr>
        <w:t>Upper</w:t>
      </w:r>
      <w:r w:rsidRPr="00E207BC">
        <w:rPr>
          <w:i/>
        </w:rPr>
        <w:t xml:space="preserve"> Anchor Fitting</w:t>
      </w:r>
      <w:r w:rsidRPr="00E207BC">
        <w:t>’ and not more than 5° to the left or right of the direction of the longitudinal axis of the vehicle.</w:t>
      </w:r>
    </w:p>
    <w:p w:rsidR="003939C1" w:rsidRPr="00E207BC" w:rsidRDefault="003939C1" w:rsidP="007003AC">
      <w:pPr>
        <w:pStyle w:val="Subsubclause"/>
      </w:pPr>
      <w:r w:rsidRPr="00E207BC">
        <w:t>Where the ‘</w:t>
      </w:r>
      <w:r w:rsidRPr="00E207BC">
        <w:rPr>
          <w:i/>
        </w:rPr>
        <w:t>Design Line of Action</w:t>
      </w:r>
      <w:r w:rsidRPr="00E207BC">
        <w:t>’ is determined by the ‘</w:t>
      </w:r>
      <w:r w:rsidRPr="00E207BC">
        <w:rPr>
          <w:i/>
        </w:rPr>
        <w:t>Seat</w:t>
      </w:r>
      <w:r w:rsidRPr="00E207BC">
        <w:t>’ or ‘</w:t>
      </w:r>
      <w:r w:rsidRPr="00E207BC">
        <w:rPr>
          <w:i/>
        </w:rPr>
        <w:t>Seat’</w:t>
      </w:r>
      <w:r w:rsidRPr="00E207BC">
        <w:t xml:space="preserve"> back, and the ‘</w:t>
      </w:r>
      <w:r w:rsidR="004A598F" w:rsidRPr="00E207BC">
        <w:rPr>
          <w:i/>
        </w:rPr>
        <w:t>Upper</w:t>
      </w:r>
      <w:r w:rsidRPr="00E207BC">
        <w:rPr>
          <w:i/>
        </w:rPr>
        <w:t xml:space="preserve"> Anchor Fitting</w:t>
      </w:r>
      <w:r w:rsidRPr="00E207BC">
        <w:t>’ is located more than 100 mm below a horizontal plane tangential to the point on the top of the ‘</w:t>
      </w:r>
      <w:r w:rsidRPr="00E207BC">
        <w:rPr>
          <w:i/>
        </w:rPr>
        <w:t>Seat’</w:t>
      </w:r>
      <w:r w:rsidRPr="00E207BC">
        <w:t xml:space="preserve"> back longitudinally ‘</w:t>
      </w:r>
      <w:r w:rsidRPr="00E207BC">
        <w:rPr>
          <w:i/>
        </w:rPr>
        <w:t>Forward</w:t>
      </w:r>
      <w:r w:rsidRPr="00E207BC">
        <w:t>’ of the ‘</w:t>
      </w:r>
      <w:r w:rsidR="004A598F" w:rsidRPr="00E207BC">
        <w:rPr>
          <w:i/>
        </w:rPr>
        <w:t>Upper</w:t>
      </w:r>
      <w:r w:rsidRPr="00E207BC">
        <w:rPr>
          <w:i/>
        </w:rPr>
        <w:t xml:space="preserve"> Anchor Fitting</w:t>
      </w:r>
      <w:r w:rsidRPr="00E207BC">
        <w:t>’ then, with the ‘</w:t>
      </w:r>
      <w:r w:rsidRPr="00E207BC">
        <w:rPr>
          <w:i/>
        </w:rPr>
        <w:t>Seat</w:t>
      </w:r>
      <w:r w:rsidRPr="00E207BC">
        <w:t>’ or ‘</w:t>
      </w:r>
      <w:r w:rsidRPr="00E207BC">
        <w:rPr>
          <w:i/>
        </w:rPr>
        <w:t>Seat’</w:t>
      </w:r>
      <w:r w:rsidRPr="00E207BC">
        <w:t xml:space="preserve"> back installed, the load shall be applied ‘</w:t>
      </w:r>
      <w:r w:rsidRPr="00E207BC">
        <w:rPr>
          <w:i/>
        </w:rPr>
        <w:t>Forward</w:t>
      </w:r>
      <w:r w:rsidRPr="00E207BC">
        <w:t>’ of the ‘</w:t>
      </w:r>
      <w:r w:rsidRPr="00E207BC">
        <w:rPr>
          <w:i/>
        </w:rPr>
        <w:t>Seat’</w:t>
      </w:r>
      <w:r w:rsidRPr="00E207BC">
        <w:t xml:space="preserve"> back and not more than 5° above or below the horizontal and not </w:t>
      </w:r>
      <w:r w:rsidRPr="00E207BC">
        <w:lastRenderedPageBreak/>
        <w:t>more than 5° to the left or right of the direction of the longitudinal axis of the vehicle.</w:t>
      </w:r>
    </w:p>
    <w:p w:rsidR="00136081" w:rsidRPr="00E207BC" w:rsidRDefault="003939C1" w:rsidP="00136081">
      <w:pPr>
        <w:pStyle w:val="Subsubclause"/>
      </w:pPr>
      <w:r w:rsidRPr="00E207BC">
        <w:t xml:space="preserve">Each </w:t>
      </w:r>
      <w:r w:rsidRPr="00E207BC">
        <w:rPr>
          <w:i/>
        </w:rPr>
        <w:t>‘</w:t>
      </w:r>
      <w:r w:rsidR="004A598F" w:rsidRPr="00E207BC">
        <w:rPr>
          <w:i/>
        </w:rPr>
        <w:t>Upper</w:t>
      </w:r>
      <w:r w:rsidRPr="00E207BC">
        <w:rPr>
          <w:i/>
        </w:rPr>
        <w:t xml:space="preserve"> Anchorage’</w:t>
      </w:r>
      <w:r w:rsidRPr="00E207BC">
        <w:t xml:space="preserve"> and ‘</w:t>
      </w:r>
      <w:r w:rsidR="004A598F" w:rsidRPr="00E207BC">
        <w:rPr>
          <w:i/>
        </w:rPr>
        <w:t>Upper</w:t>
      </w:r>
      <w:r w:rsidRPr="00E207BC">
        <w:rPr>
          <w:i/>
        </w:rPr>
        <w:t xml:space="preserve"> Anchor Fitting</w:t>
      </w:r>
      <w:r w:rsidRPr="00E207BC">
        <w:t>’ shall be capable of supporting the test load for a period of not less than one second.</w:t>
      </w:r>
    </w:p>
    <w:p w:rsidR="003939C1" w:rsidRPr="00E207BC" w:rsidRDefault="003939C1" w:rsidP="007003AC">
      <w:pPr>
        <w:pStyle w:val="Subclause"/>
      </w:pPr>
      <w:r w:rsidRPr="00E207BC">
        <w:t>Dynamic Testing - All ‘</w:t>
      </w:r>
      <w:r w:rsidR="004A598F" w:rsidRPr="00E207BC">
        <w:rPr>
          <w:i/>
        </w:rPr>
        <w:t>Upper</w:t>
      </w:r>
      <w:r w:rsidRPr="00E207BC">
        <w:rPr>
          <w:i/>
        </w:rPr>
        <w:t xml:space="preserve"> Anchor Fittings</w:t>
      </w:r>
      <w:r w:rsidRPr="00E207BC">
        <w:t xml:space="preserve">’ shall be tested simultaneously when installed in the test vehicle body, including the complete </w:t>
      </w:r>
      <w:r w:rsidRPr="00E207BC">
        <w:rPr>
          <w:i/>
        </w:rPr>
        <w:t>‘Rear Seat</w:t>
      </w:r>
      <w:r w:rsidRPr="00E207BC">
        <w:t>’ assembly or ‘</w:t>
      </w:r>
      <w:r w:rsidRPr="00E207BC">
        <w:rPr>
          <w:i/>
        </w:rPr>
        <w:t>Vehicle Rear Seat’</w:t>
      </w:r>
      <w:r w:rsidRPr="00E207BC">
        <w:t xml:space="preserve"> assembly and with test dummies restrained in each seating position for which a</w:t>
      </w:r>
      <w:r w:rsidRPr="00E207BC">
        <w:rPr>
          <w:i/>
        </w:rPr>
        <w:t xml:space="preserve"> ‘</w:t>
      </w:r>
      <w:r w:rsidR="004A598F" w:rsidRPr="00E207BC">
        <w:rPr>
          <w:i/>
        </w:rPr>
        <w:t>Upper</w:t>
      </w:r>
      <w:r w:rsidRPr="00E207BC">
        <w:rPr>
          <w:i/>
        </w:rPr>
        <w:t xml:space="preserve"> Anchor Fitting</w:t>
      </w:r>
      <w:r w:rsidRPr="00E207BC">
        <w:t>’ is provided.</w:t>
      </w:r>
    </w:p>
    <w:p w:rsidR="003939C1" w:rsidRPr="00E207BC" w:rsidRDefault="003939C1" w:rsidP="007003AC">
      <w:pPr>
        <w:pStyle w:val="Subsubclause"/>
      </w:pPr>
      <w:r w:rsidRPr="00E207BC">
        <w:t>The test dummies shall each have a mass of not less than 21.4 kg or shall comply with the requirements described in technical drawings produced by the TNO (Research Institute for Road Vehicles) - Netherlands</w:t>
      </w:r>
      <w:r w:rsidRPr="00E207BC">
        <w:rPr>
          <w:rStyle w:val="FootnoteReference"/>
        </w:rPr>
        <w:footnoteReference w:customMarkFollows="1" w:id="2"/>
        <w:t>#</w:t>
      </w:r>
      <w:r w:rsidRPr="00E207BC">
        <w:t xml:space="preserve"> for a </w:t>
      </w:r>
      <w:r w:rsidRPr="00E207BC">
        <w:rPr>
          <w:i/>
        </w:rPr>
        <w:t>‘50th Percentile 6 Year Old Child</w:t>
      </w:r>
      <w:r w:rsidRPr="00E207BC">
        <w:t>’.</w:t>
      </w:r>
    </w:p>
    <w:p w:rsidR="00851098" w:rsidRPr="00E207BC" w:rsidRDefault="003939C1" w:rsidP="007003AC">
      <w:pPr>
        <w:pStyle w:val="Subsubclause"/>
      </w:pPr>
      <w:r w:rsidRPr="00E207BC">
        <w:t>The test dummies shall be restrained using suitable ‘</w:t>
      </w:r>
      <w:r w:rsidRPr="00E207BC">
        <w:rPr>
          <w:i/>
        </w:rPr>
        <w:t>Child Restraints</w:t>
      </w:r>
      <w:r w:rsidRPr="00E207BC">
        <w:t>’ comprising load bearing</w:t>
      </w:r>
      <w:r w:rsidR="00781873" w:rsidRPr="00E207BC">
        <w:t xml:space="preserve"> material having an elongation of not more than 25% when subjected to a load of 11 </w:t>
      </w:r>
      <w:proofErr w:type="spellStart"/>
      <w:r w:rsidR="00781873" w:rsidRPr="00E207BC">
        <w:t>kN</w:t>
      </w:r>
      <w:proofErr w:type="spellEnd"/>
      <w:r w:rsidR="00781873" w:rsidRPr="00E207BC">
        <w:t>, and providing for pelvic and upper torso restraint. Each pelvic restraint portion shall be attached to the ‘</w:t>
      </w:r>
      <w:r w:rsidR="00781873" w:rsidRPr="00E207BC">
        <w:rPr>
          <w:i/>
        </w:rPr>
        <w:t>Lap Anchorages</w:t>
      </w:r>
      <w:r w:rsidR="00781873" w:rsidRPr="00E207BC">
        <w:t xml:space="preserve">’ for the adult </w:t>
      </w:r>
      <w:r w:rsidR="00781873" w:rsidRPr="00E207BC">
        <w:rPr>
          <w:i/>
        </w:rPr>
        <w:t>‘Seatbelt Assembly’</w:t>
      </w:r>
      <w:r w:rsidR="00781873" w:rsidRPr="00E207BC">
        <w:t xml:space="preserve"> for the relevant ‘</w:t>
      </w:r>
      <w:r w:rsidR="00781873" w:rsidRPr="00E207BC">
        <w:rPr>
          <w:i/>
        </w:rPr>
        <w:t>Seat</w:t>
      </w:r>
      <w:r w:rsidR="00781873" w:rsidRPr="00E207BC">
        <w:t>’.  The upper torso restraint portion shall be attached to the ‘</w:t>
      </w:r>
      <w:r w:rsidR="004A598F" w:rsidRPr="00E207BC">
        <w:rPr>
          <w:i/>
        </w:rPr>
        <w:t>Upper</w:t>
      </w:r>
      <w:r w:rsidR="00781873" w:rsidRPr="00E207BC">
        <w:rPr>
          <w:i/>
        </w:rPr>
        <w:t xml:space="preserve"> Anchor Fitting</w:t>
      </w:r>
      <w:r w:rsidR="00781873" w:rsidRPr="00E207BC">
        <w:t>’.</w:t>
      </w:r>
    </w:p>
    <w:p w:rsidR="00781873" w:rsidRPr="00E207BC" w:rsidRDefault="00781873" w:rsidP="00781873">
      <w:pPr>
        <w:pStyle w:val="Subsubclause"/>
      </w:pPr>
      <w:r w:rsidRPr="00E207BC">
        <w:t>The pelvic and upper torso portions of the ‘</w:t>
      </w:r>
      <w:r w:rsidRPr="00E207BC">
        <w:rPr>
          <w:i/>
        </w:rPr>
        <w:t>Child Restraints</w:t>
      </w:r>
      <w:r w:rsidRPr="00E207BC">
        <w:t>’ shall be adjusted to eliminate slack.</w:t>
      </w:r>
    </w:p>
    <w:p w:rsidR="00851098" w:rsidRPr="00E207BC" w:rsidRDefault="00781873" w:rsidP="004B605B">
      <w:pPr>
        <w:pStyle w:val="Subsubclause"/>
      </w:pPr>
      <w:r w:rsidRPr="00E207BC">
        <w:t xml:space="preserve">The test rig shall have a mass of not less than 380 kg and shall meet the requirements of clause </w:t>
      </w:r>
      <w:r w:rsidR="00C53F8D" w:rsidRPr="00E207BC">
        <w:t>34.7</w:t>
      </w:r>
      <w:r w:rsidR="004B605B" w:rsidRPr="00E207BC">
        <w:t>.3.5</w:t>
      </w:r>
      <w:r w:rsidRPr="00E207BC">
        <w:t xml:space="preserve"> for test rig calibration. It shall comprise trolley, the test vehicle body or part thereof, and the complete ‘</w:t>
      </w:r>
      <w:r w:rsidRPr="00E207BC">
        <w:rPr>
          <w:i/>
        </w:rPr>
        <w:t>Vehicle Rear Seat</w:t>
      </w:r>
      <w:r w:rsidRPr="00E207BC">
        <w:t>’ assembly.</w:t>
      </w:r>
    </w:p>
    <w:p w:rsidR="004B605B" w:rsidRPr="00E207BC" w:rsidRDefault="004B605B" w:rsidP="004B605B">
      <w:pPr>
        <w:pStyle w:val="Subsubclause"/>
      </w:pPr>
      <w:r w:rsidRPr="00E207BC">
        <w:t xml:space="preserve">In the case of calibration prior to </w:t>
      </w:r>
      <w:r w:rsidRPr="00E207BC">
        <w:rPr>
          <w:i/>
        </w:rPr>
        <w:t>‘</w:t>
      </w:r>
      <w:r w:rsidR="004A598F" w:rsidRPr="00E207BC">
        <w:rPr>
          <w:i/>
        </w:rPr>
        <w:t>Upper</w:t>
      </w:r>
      <w:r w:rsidRPr="00E207BC">
        <w:rPr>
          <w:i/>
        </w:rPr>
        <w:t xml:space="preserve"> Anchor Fitting’</w:t>
      </w:r>
      <w:r w:rsidRPr="00E207BC">
        <w:t xml:space="preserve"> testing, the test rig, to which a mass of not less than 21.4 kg times the number of seating positions for which a ‘</w:t>
      </w:r>
      <w:r w:rsidR="004A598F" w:rsidRPr="00E207BC">
        <w:rPr>
          <w:i/>
        </w:rPr>
        <w:t>Upper</w:t>
      </w:r>
      <w:r w:rsidRPr="00E207BC">
        <w:rPr>
          <w:i/>
        </w:rPr>
        <w:t xml:space="preserve"> Anchor Fitting</w:t>
      </w:r>
      <w:r w:rsidRPr="00E207BC">
        <w:t>’ is provided is rigidly attached, when subject to a velocity change of not less than 49 km/h, shall achieve within 30 milliseconds a forward deceleration measured in the vicinity of the corresponding ‘</w:t>
      </w:r>
      <w:r w:rsidRPr="00E207BC">
        <w:rPr>
          <w:i/>
        </w:rPr>
        <w:t>Lap Anchorage</w:t>
      </w:r>
      <w:r w:rsidRPr="00E207BC">
        <w:t>’ within the range of 235 m/s</w:t>
      </w:r>
      <w:r w:rsidRPr="00E207BC">
        <w:rPr>
          <w:vertAlign w:val="superscript"/>
        </w:rPr>
        <w:t>2</w:t>
      </w:r>
      <w:r w:rsidRPr="00E207BC">
        <w:t xml:space="preserve"> to 335 m/s</w:t>
      </w:r>
      <w:r w:rsidRPr="00E207BC">
        <w:rPr>
          <w:vertAlign w:val="superscript"/>
        </w:rPr>
        <w:t>2</w:t>
      </w:r>
      <w:r w:rsidRPr="00E207BC">
        <w:t xml:space="preserve"> and shall maintain this deceleration, except for periods of less than one millisecond, for not less than 20 milliseconds.</w:t>
      </w:r>
    </w:p>
    <w:p w:rsidR="004B605B" w:rsidRPr="007932F2" w:rsidRDefault="004B605B" w:rsidP="004B605B">
      <w:pPr>
        <w:pStyle w:val="Subsubclause"/>
      </w:pPr>
      <w:r w:rsidRPr="00E207BC">
        <w:t>For ‘</w:t>
      </w:r>
      <w:r w:rsidR="004A598F" w:rsidRPr="00E207BC">
        <w:rPr>
          <w:i/>
        </w:rPr>
        <w:t>Upper</w:t>
      </w:r>
      <w:r w:rsidRPr="00E207BC">
        <w:rPr>
          <w:i/>
        </w:rPr>
        <w:t xml:space="preserve"> Anchor Fitting</w:t>
      </w:r>
      <w:r w:rsidRPr="00E207BC">
        <w:t>’ testing, the test rig shall be operated in a manner identical in all operational aspects to that specif</w:t>
      </w:r>
      <w:r w:rsidR="00DB6B86" w:rsidRPr="00E207BC">
        <w:t>ied in clause 34.7</w:t>
      </w:r>
      <w:r w:rsidRPr="00E207BC">
        <w:t>.3.5 for rig calibration except that in this case the test dummies</w:t>
      </w:r>
      <w:r w:rsidRPr="007932F2">
        <w:t xml:space="preserve"> replace the inert mass. The test dummies shall be restrained in accordance with the requirements of clause </w:t>
      </w:r>
      <w:r w:rsidR="005544C7" w:rsidRPr="007932F2">
        <w:t>34.7</w:t>
      </w:r>
      <w:r w:rsidRPr="007932F2">
        <w:t>.3.2.</w:t>
      </w:r>
    </w:p>
    <w:p w:rsidR="003F0F3D" w:rsidRPr="00E207BC" w:rsidRDefault="004B605B" w:rsidP="00BE4267">
      <w:pPr>
        <w:pStyle w:val="Subsubclause"/>
      </w:pPr>
      <w:r w:rsidRPr="00E207BC">
        <w:t xml:space="preserve">Each </w:t>
      </w:r>
      <w:r w:rsidRPr="00E207BC">
        <w:rPr>
          <w:i/>
        </w:rPr>
        <w:t>‘</w:t>
      </w:r>
      <w:r w:rsidR="004A598F" w:rsidRPr="00E207BC">
        <w:rPr>
          <w:i/>
        </w:rPr>
        <w:t>Upper</w:t>
      </w:r>
      <w:r w:rsidRPr="00E207BC">
        <w:rPr>
          <w:i/>
        </w:rPr>
        <w:t xml:space="preserve"> Anchorage’ </w:t>
      </w:r>
      <w:r w:rsidRPr="00E207BC">
        <w:t xml:space="preserve">and </w:t>
      </w:r>
      <w:r w:rsidRPr="00E207BC">
        <w:rPr>
          <w:i/>
        </w:rPr>
        <w:t>‘</w:t>
      </w:r>
      <w:r w:rsidR="004A598F" w:rsidRPr="00E207BC">
        <w:rPr>
          <w:i/>
        </w:rPr>
        <w:t>Upper</w:t>
      </w:r>
      <w:r w:rsidRPr="00E207BC">
        <w:rPr>
          <w:i/>
        </w:rPr>
        <w:t xml:space="preserve"> Anchor Fitting’</w:t>
      </w:r>
      <w:r w:rsidRPr="00E207BC">
        <w:t xml:space="preserve"> shall withstand the loads imposed when tested in accordance with the dynamic test requirements of clause </w:t>
      </w:r>
      <w:r w:rsidR="00DB6B86" w:rsidRPr="00E207BC">
        <w:t>34.7</w:t>
      </w:r>
      <w:r w:rsidRPr="00E207BC">
        <w:t>.3.6.</w:t>
      </w:r>
    </w:p>
    <w:p w:rsidR="003F0F3D" w:rsidRPr="00E207BC" w:rsidRDefault="00477362" w:rsidP="003F0F3D">
      <w:pPr>
        <w:pStyle w:val="Clauseheading"/>
      </w:pPr>
      <w:bookmarkStart w:id="213" w:name="_Ref308783094"/>
      <w:bookmarkStart w:id="214" w:name="_Ref308783108"/>
      <w:bookmarkStart w:id="215" w:name="_Toc495582225"/>
      <w:r w:rsidRPr="00E207BC">
        <w:t xml:space="preserve">REQUIREMENTS FOR </w:t>
      </w:r>
      <w:r w:rsidR="00D72726" w:rsidRPr="00E207BC">
        <w:t>ISOFIX</w:t>
      </w:r>
      <w:r w:rsidRPr="00E207BC">
        <w:t xml:space="preserve"> ANCHORAGE</w:t>
      </w:r>
      <w:r w:rsidR="00124EFE" w:rsidRPr="00E207BC">
        <w:t>S</w:t>
      </w:r>
      <w:bookmarkEnd w:id="213"/>
      <w:bookmarkEnd w:id="214"/>
      <w:bookmarkEnd w:id="215"/>
    </w:p>
    <w:p w:rsidR="009A4B30" w:rsidRPr="00E207BC" w:rsidRDefault="004B620B" w:rsidP="00FA2F36">
      <w:pPr>
        <w:pStyle w:val="Subclause"/>
      </w:pPr>
      <w:bookmarkStart w:id="216" w:name="_Ref314484942"/>
      <w:bookmarkStart w:id="217" w:name="_Ref284258113"/>
      <w:r w:rsidRPr="00E207BC">
        <w:lastRenderedPageBreak/>
        <w:t>In addition to the requirements of clauses 34.2 to 34.7, w</w:t>
      </w:r>
      <w:r w:rsidR="009A4B30" w:rsidRPr="00E207BC">
        <w:t>here a vehicle includes any lower anchorage, which can be engaged by the ISOFIX attachment connectors of any one of the child restraint fixtures (CRFs) defined in Appendix A of ADR 4/... on a vehicle seat:</w:t>
      </w:r>
      <w:bookmarkEnd w:id="216"/>
    </w:p>
    <w:p w:rsidR="00FA2F36" w:rsidRPr="00E207BC" w:rsidRDefault="009A4B30" w:rsidP="00FA2F36">
      <w:pPr>
        <w:pStyle w:val="Subsubclause"/>
      </w:pPr>
      <w:proofErr w:type="gramStart"/>
      <w:r w:rsidRPr="00E207BC">
        <w:t>each</w:t>
      </w:r>
      <w:proofErr w:type="gramEnd"/>
      <w:r w:rsidRPr="00E207BC">
        <w:t xml:space="preserve"> lower anchorage provided must form part of an ISOFIX anchorages system</w:t>
      </w:r>
      <w:bookmarkStart w:id="218" w:name="_Ref284413672"/>
      <w:bookmarkStart w:id="219" w:name="_Ref308012003"/>
      <w:r w:rsidR="007E3472" w:rsidRPr="00E207BC">
        <w:t>.</w:t>
      </w:r>
    </w:p>
    <w:p w:rsidR="007E3472" w:rsidRPr="00E207BC" w:rsidRDefault="00F0035A" w:rsidP="007E3472">
      <w:pPr>
        <w:pStyle w:val="Subclause"/>
      </w:pPr>
      <w:bookmarkStart w:id="220" w:name="_Ref309293287"/>
      <w:bookmarkStart w:id="221" w:name="_Ref309144387"/>
      <w:r w:rsidRPr="00E207BC">
        <w:t>Exc</w:t>
      </w:r>
      <w:r w:rsidR="00D313E9" w:rsidRPr="00E207BC">
        <w:t>ept for</w:t>
      </w:r>
      <w:r w:rsidR="009B633E" w:rsidRPr="00E207BC">
        <w:t xml:space="preserve"> convertible vehicles</w:t>
      </w:r>
      <w:r w:rsidR="00021B0D" w:rsidRPr="00E207BC">
        <w:rPr>
          <w:rStyle w:val="FootnoteReference"/>
        </w:rPr>
        <w:footnoteReference w:id="3"/>
      </w:r>
      <w:r w:rsidR="003610FB" w:rsidRPr="00E207BC">
        <w:t>:</w:t>
      </w:r>
      <w:bookmarkEnd w:id="220"/>
      <w:r w:rsidR="009B633E" w:rsidRPr="00E207BC">
        <w:t xml:space="preserve"> </w:t>
      </w:r>
    </w:p>
    <w:p w:rsidR="007E3472" w:rsidRPr="00E207BC" w:rsidRDefault="009B633E" w:rsidP="007E3472">
      <w:pPr>
        <w:pStyle w:val="Subsubclause"/>
      </w:pPr>
      <w:r w:rsidRPr="00E207BC">
        <w:t>each ISOFIX position must be equipped with an ISOFIX anchorages system and an ISOFIX top tether anchorage (a “universal” ISOFIX position)</w:t>
      </w:r>
      <w:bookmarkEnd w:id="218"/>
      <w:bookmarkEnd w:id="219"/>
      <w:bookmarkEnd w:id="221"/>
      <w:r w:rsidR="007E3472" w:rsidRPr="00E207BC">
        <w:t>; and</w:t>
      </w:r>
      <w:bookmarkStart w:id="222" w:name="_Ref308109527"/>
    </w:p>
    <w:p w:rsidR="009B1778" w:rsidRPr="00E207BC" w:rsidRDefault="00E818C0" w:rsidP="007E3472">
      <w:pPr>
        <w:pStyle w:val="Subsubclause"/>
      </w:pPr>
      <w:bookmarkStart w:id="223" w:name="_Ref309300767"/>
      <w:proofErr w:type="gramStart"/>
      <w:r w:rsidRPr="00E207BC">
        <w:t>each</w:t>
      </w:r>
      <w:proofErr w:type="gramEnd"/>
      <w:r w:rsidRPr="00E207BC">
        <w:t xml:space="preserve"> </w:t>
      </w:r>
      <w:r w:rsidR="00791124" w:rsidRPr="00E207BC">
        <w:t xml:space="preserve">ISOFIX anchorages system and each </w:t>
      </w:r>
      <w:r w:rsidRPr="00E207BC">
        <w:t>ISOFIX top tether anchorage must meet the requirements of Appendix 1</w:t>
      </w:r>
      <w:r w:rsidR="009B1778" w:rsidRPr="00E207BC">
        <w:t xml:space="preserve"> of this standard</w:t>
      </w:r>
      <w:r w:rsidRPr="00E207BC">
        <w:t>.</w:t>
      </w:r>
      <w:bookmarkEnd w:id="223"/>
    </w:p>
    <w:p w:rsidR="00520092" w:rsidRPr="00E207BC" w:rsidRDefault="003610FB" w:rsidP="00E00B44">
      <w:pPr>
        <w:pStyle w:val="Subclause"/>
      </w:pPr>
      <w:bookmarkStart w:id="224" w:name="_Ref309293294"/>
      <w:r w:rsidRPr="00E207BC">
        <w:t>For</w:t>
      </w:r>
      <w:r w:rsidR="009B1778" w:rsidRPr="00E207BC">
        <w:t xml:space="preserve"> convertible vehicles</w:t>
      </w:r>
      <w:r w:rsidR="00520092" w:rsidRPr="00E207BC">
        <w:t>:</w:t>
      </w:r>
      <w:bookmarkEnd w:id="224"/>
    </w:p>
    <w:p w:rsidR="00520092" w:rsidRPr="00E207BC" w:rsidRDefault="00B631EC" w:rsidP="00520092">
      <w:pPr>
        <w:pStyle w:val="Subsubclause"/>
      </w:pPr>
      <w:bookmarkStart w:id="225" w:name="_Ref309300757"/>
      <w:r w:rsidRPr="00E207BC">
        <w:t xml:space="preserve">the ISOFIX low anchorages of </w:t>
      </w:r>
      <w:r w:rsidR="00791124" w:rsidRPr="00E207BC">
        <w:t xml:space="preserve">each ISOFIX anchorages system must meet the requirements of Appendix </w:t>
      </w:r>
      <w:r w:rsidR="007039E7" w:rsidRPr="00E207BC">
        <w:t>2</w:t>
      </w:r>
      <w:r w:rsidR="004148CD" w:rsidRPr="00E207BC">
        <w:t xml:space="preserve"> </w:t>
      </w:r>
      <w:r w:rsidR="00791124" w:rsidRPr="00E207BC">
        <w:t>of this standard</w:t>
      </w:r>
      <w:r w:rsidR="00520092" w:rsidRPr="00E207BC">
        <w:t>;</w:t>
      </w:r>
      <w:r w:rsidR="00A44BA5" w:rsidRPr="00E207BC">
        <w:t xml:space="preserve"> and</w:t>
      </w:r>
      <w:bookmarkEnd w:id="225"/>
      <w:r w:rsidR="00090426" w:rsidRPr="00E207BC">
        <w:t xml:space="preserve"> </w:t>
      </w:r>
    </w:p>
    <w:p w:rsidR="009F64F2" w:rsidRPr="00E207BC" w:rsidRDefault="00A6311C" w:rsidP="009F64F2">
      <w:pPr>
        <w:pStyle w:val="Subsubclause"/>
      </w:pPr>
      <w:bookmarkStart w:id="226" w:name="_Ref314484968"/>
      <w:bookmarkEnd w:id="217"/>
      <w:r w:rsidRPr="00E207BC">
        <w:t xml:space="preserve">an </w:t>
      </w:r>
      <w:r w:rsidRPr="00E207BC">
        <w:rPr>
          <w:i/>
        </w:rPr>
        <w:t>‘Upper Anchorage’</w:t>
      </w:r>
      <w:r w:rsidRPr="00E207BC">
        <w:t xml:space="preserve"> </w:t>
      </w:r>
      <w:r w:rsidR="001978F1" w:rsidRPr="00E207BC">
        <w:t>and</w:t>
      </w:r>
      <w:r w:rsidRPr="00E207BC">
        <w:t xml:space="preserve"> an installed </w:t>
      </w:r>
      <w:r w:rsidRPr="00E207BC">
        <w:rPr>
          <w:i/>
        </w:rPr>
        <w:t>‘Upper Anchor Fitting’</w:t>
      </w:r>
      <w:r w:rsidRPr="00E207BC">
        <w:t xml:space="preserve"> must be provided for </w:t>
      </w:r>
      <w:r w:rsidR="009F64F2" w:rsidRPr="00E207BC">
        <w:t xml:space="preserve">each designated seating position </w:t>
      </w:r>
      <w:r w:rsidR="00C15DE5" w:rsidRPr="00E207BC">
        <w:t xml:space="preserve">on which </w:t>
      </w:r>
      <w:r w:rsidR="008C217A">
        <w:t>an</w:t>
      </w:r>
      <w:r w:rsidR="00667611" w:rsidRPr="00E207BC">
        <w:t xml:space="preserve"> </w:t>
      </w:r>
      <w:r w:rsidR="00667611" w:rsidRPr="00E207BC">
        <w:rPr>
          <w:rFonts w:ascii="TimesNewRoman" w:hAnsi="TimesNewRoman" w:cs="TimesNewRoman"/>
        </w:rPr>
        <w:t>"</w:t>
      </w:r>
      <w:r w:rsidR="00E50A06" w:rsidRPr="00E207BC">
        <w:t>ISO/F2</w:t>
      </w:r>
      <w:r w:rsidR="00667611" w:rsidRPr="00E207BC">
        <w:rPr>
          <w:rFonts w:ascii="TimesNewRoman" w:hAnsi="TimesNewRoman" w:cs="TimesNewRoman"/>
        </w:rPr>
        <w:t>"</w:t>
      </w:r>
      <w:r w:rsidR="00E50A06" w:rsidRPr="00E207BC">
        <w:t xml:space="preserve"> </w:t>
      </w:r>
      <w:r w:rsidR="008C217A">
        <w:t xml:space="preserve">or </w:t>
      </w:r>
      <w:r w:rsidR="008C217A" w:rsidRPr="00E207BC">
        <w:rPr>
          <w:rFonts w:ascii="TimesNewRoman" w:hAnsi="TimesNewRoman" w:cs="TimesNewRoman"/>
        </w:rPr>
        <w:t>"</w:t>
      </w:r>
      <w:r w:rsidR="008C217A" w:rsidRPr="00E207BC">
        <w:t>ISO/F2</w:t>
      </w:r>
      <w:r w:rsidR="008C217A">
        <w:t>X</w:t>
      </w:r>
      <w:r w:rsidR="008C217A" w:rsidRPr="00E207BC">
        <w:rPr>
          <w:rFonts w:ascii="TimesNewRoman" w:hAnsi="TimesNewRoman" w:cs="TimesNewRoman"/>
        </w:rPr>
        <w:t>"</w:t>
      </w:r>
      <w:r w:rsidR="008C217A" w:rsidRPr="00E207BC">
        <w:t xml:space="preserve"> </w:t>
      </w:r>
      <w:r w:rsidR="00E50A06" w:rsidRPr="00E207BC">
        <w:t>CRF</w:t>
      </w:r>
      <w:r w:rsidR="006B08C4" w:rsidRPr="00E207BC">
        <w:t xml:space="preserve"> </w:t>
      </w:r>
      <w:r w:rsidR="007163CB" w:rsidRPr="00E207BC">
        <w:t>(see Appendix A of ADR 4/</w:t>
      </w:r>
      <w:r w:rsidR="0051142B" w:rsidRPr="00E207BC">
        <w:t>...</w:t>
      </w:r>
      <w:r w:rsidR="007163CB" w:rsidRPr="00E207BC">
        <w:t xml:space="preserve">) </w:t>
      </w:r>
      <w:r w:rsidR="00C15DE5" w:rsidRPr="00E207BC">
        <w:t xml:space="preserve">can be </w:t>
      </w:r>
      <w:r w:rsidR="001978F1" w:rsidRPr="00E207BC">
        <w:t>attached to</w:t>
      </w:r>
      <w:r w:rsidR="0053581D" w:rsidRPr="00E207BC">
        <w:t xml:space="preserve"> </w:t>
      </w:r>
      <w:r w:rsidR="00FF6148" w:rsidRPr="00E207BC">
        <w:t>the</w:t>
      </w:r>
      <w:r w:rsidR="0053581D" w:rsidRPr="00E207BC">
        <w:t xml:space="preserve"> ISOFIX low anchorage</w:t>
      </w:r>
      <w:r w:rsidR="00A66D27" w:rsidRPr="00E207BC">
        <w:t>s</w:t>
      </w:r>
      <w:r w:rsidR="00667611" w:rsidRPr="00E207BC">
        <w:t>; in which case</w:t>
      </w:r>
      <w:bookmarkEnd w:id="226"/>
      <w:r w:rsidR="00E50A06" w:rsidRPr="00E207BC">
        <w:t xml:space="preserve"> </w:t>
      </w:r>
      <w:r w:rsidR="009F64F2" w:rsidRPr="00E207BC">
        <w:t xml:space="preserve"> </w:t>
      </w:r>
      <w:r w:rsidR="009F64F2" w:rsidRPr="00E207BC">
        <w:rPr>
          <w:i/>
        </w:rPr>
        <w:t xml:space="preserve"> </w:t>
      </w:r>
      <w:r w:rsidR="009F64F2" w:rsidRPr="00E207BC">
        <w:t xml:space="preserve"> </w:t>
      </w:r>
    </w:p>
    <w:p w:rsidR="00520092" w:rsidRPr="00E207BC" w:rsidRDefault="00667611" w:rsidP="00667611">
      <w:pPr>
        <w:pStyle w:val="Subsubsubclause"/>
      </w:pPr>
      <w:proofErr w:type="gramStart"/>
      <w:r w:rsidRPr="00E207BC">
        <w:t>the</w:t>
      </w:r>
      <w:proofErr w:type="gramEnd"/>
      <w:r w:rsidR="00A6311C" w:rsidRPr="00E207BC">
        <w:t xml:space="preserve"> installed</w:t>
      </w:r>
      <w:r w:rsidRPr="00E207BC">
        <w:t xml:space="preserve"> </w:t>
      </w:r>
      <w:r w:rsidRPr="00E207BC">
        <w:rPr>
          <w:i/>
        </w:rPr>
        <w:t>‘Upper Anchor Fitting’</w:t>
      </w:r>
      <w:r w:rsidRPr="00E207BC">
        <w:t xml:space="preserve"> need only comply with Figure 2 in relation to the location and clearance of the </w:t>
      </w:r>
      <w:r w:rsidRPr="00E207BC">
        <w:rPr>
          <w:i/>
        </w:rPr>
        <w:t>‘Upper Anchor Fitting’</w:t>
      </w:r>
      <w:r w:rsidRPr="00E207BC">
        <w:t xml:space="preserve"> </w:t>
      </w:r>
      <w:r w:rsidRPr="00E207BC">
        <w:rPr>
          <w:i/>
        </w:rPr>
        <w:t>‘Interface Profile’</w:t>
      </w:r>
      <w:r w:rsidR="00B0254C" w:rsidRPr="00E207BC">
        <w:t>.</w:t>
      </w:r>
      <w:r w:rsidR="000E2474" w:rsidRPr="00E207BC">
        <w:t xml:space="preserve">  </w:t>
      </w:r>
      <w:r w:rsidR="009F1E04" w:rsidRPr="00E207BC">
        <w:t xml:space="preserve">  </w:t>
      </w:r>
      <w:r w:rsidR="0020680C" w:rsidRPr="00E207BC">
        <w:t xml:space="preserve"> </w:t>
      </w:r>
      <w:r w:rsidR="00090426" w:rsidRPr="00E207BC">
        <w:t xml:space="preserve"> </w:t>
      </w:r>
      <w:r w:rsidR="00520092" w:rsidRPr="00E207BC">
        <w:t xml:space="preserve">  </w:t>
      </w:r>
    </w:p>
    <w:p w:rsidR="005244FB" w:rsidRPr="00E207BC" w:rsidRDefault="003F0F3D" w:rsidP="00C960F8">
      <w:pPr>
        <w:pStyle w:val="Subclause"/>
      </w:pPr>
      <w:r w:rsidRPr="00E207BC">
        <w:t>For</w:t>
      </w:r>
      <w:r w:rsidR="005A4A72" w:rsidRPr="00E207BC">
        <w:t xml:space="preserve"> the purposes of th</w:t>
      </w:r>
      <w:r w:rsidR="007D446D" w:rsidRPr="00E207BC">
        <w:t>is</w:t>
      </w:r>
      <w:r w:rsidR="005A4A72" w:rsidRPr="00E207BC">
        <w:t xml:space="preserve"> </w:t>
      </w:r>
      <w:r w:rsidR="00BB405C" w:rsidRPr="00E207BC">
        <w:t>standard</w:t>
      </w:r>
      <w:r w:rsidR="005244FB" w:rsidRPr="00E207BC">
        <w:t>:</w:t>
      </w:r>
      <w:bookmarkEnd w:id="222"/>
    </w:p>
    <w:p w:rsidR="002D49EA" w:rsidRPr="00E207BC" w:rsidRDefault="002D49EA" w:rsidP="00C960F8">
      <w:pPr>
        <w:pStyle w:val="Subsubclause"/>
      </w:pPr>
      <w:r w:rsidRPr="00E207BC">
        <w:t xml:space="preserve">the portion of an ISOFIX top tether anchorage that is designed to bind with a </w:t>
      </w:r>
      <w:r w:rsidRPr="00E207BC">
        <w:rPr>
          <w:i/>
        </w:rPr>
        <w:t>‘Child Restraint’ ‘Attaching Clip’</w:t>
      </w:r>
      <w:r w:rsidRPr="00E207BC">
        <w:t xml:space="preserve"> is </w:t>
      </w:r>
      <w:r w:rsidR="00BC79F9" w:rsidRPr="00E207BC">
        <w:t>deemed</w:t>
      </w:r>
      <w:r w:rsidRPr="00E207BC">
        <w:t xml:space="preserve"> </w:t>
      </w:r>
      <w:r w:rsidR="00477362" w:rsidRPr="00E207BC">
        <w:t xml:space="preserve">to be </w:t>
      </w:r>
      <w:r w:rsidRPr="00E207BC">
        <w:t xml:space="preserve">an </w:t>
      </w:r>
      <w:r w:rsidRPr="00E207BC">
        <w:rPr>
          <w:i/>
          <w:iCs/>
        </w:rPr>
        <w:t>‘Upper Anchor Fitting’</w:t>
      </w:r>
      <w:r w:rsidR="001B1321" w:rsidRPr="00E207BC">
        <w:rPr>
          <w:i/>
          <w:iCs/>
        </w:rPr>
        <w:t xml:space="preserve"> ‘Interface Profile’</w:t>
      </w:r>
      <w:r w:rsidRPr="00E207BC">
        <w:rPr>
          <w:i/>
          <w:iCs/>
        </w:rPr>
        <w:t xml:space="preserve">, </w:t>
      </w:r>
      <w:r w:rsidRPr="00E207BC">
        <w:rPr>
          <w:iCs/>
        </w:rPr>
        <w:t xml:space="preserve">and </w:t>
      </w:r>
      <w:r w:rsidR="00A8200D" w:rsidRPr="00E207BC">
        <w:rPr>
          <w:iCs/>
        </w:rPr>
        <w:t xml:space="preserve">is </w:t>
      </w:r>
      <w:r w:rsidRPr="00E207BC">
        <w:rPr>
          <w:iCs/>
        </w:rPr>
        <w:t xml:space="preserve">subject to </w:t>
      </w:r>
      <w:r w:rsidR="00C44649" w:rsidRPr="00E207BC">
        <w:rPr>
          <w:iCs/>
        </w:rPr>
        <w:t xml:space="preserve">the </w:t>
      </w:r>
      <w:r w:rsidRPr="00E207BC">
        <w:rPr>
          <w:iCs/>
        </w:rPr>
        <w:t xml:space="preserve">requirements for </w:t>
      </w:r>
      <w:r w:rsidRPr="00E207BC">
        <w:rPr>
          <w:i/>
          <w:iCs/>
        </w:rPr>
        <w:t xml:space="preserve">‘Upper Anchor Fittings’ </w:t>
      </w:r>
      <w:r w:rsidRPr="00E207BC">
        <w:rPr>
          <w:iCs/>
        </w:rPr>
        <w:t>in this standard;</w:t>
      </w:r>
      <w:r w:rsidR="00D23B9C" w:rsidRPr="00E207BC">
        <w:rPr>
          <w:iCs/>
        </w:rPr>
        <w:t xml:space="preserve"> and</w:t>
      </w:r>
    </w:p>
    <w:p w:rsidR="006B3698" w:rsidRPr="00E207BC" w:rsidRDefault="002D49EA" w:rsidP="006B3698">
      <w:pPr>
        <w:pStyle w:val="Subsubclause"/>
      </w:pPr>
      <w:proofErr w:type="gramStart"/>
      <w:r w:rsidRPr="00E207BC">
        <w:t>an</w:t>
      </w:r>
      <w:proofErr w:type="gramEnd"/>
      <w:r w:rsidRPr="00E207BC">
        <w:t xml:space="preserve"> ISOFIX top tether anchorage is </w:t>
      </w:r>
      <w:r w:rsidR="00BC79F9" w:rsidRPr="00E207BC">
        <w:t>deemed</w:t>
      </w:r>
      <w:r w:rsidR="00E10D1B" w:rsidRPr="00E207BC">
        <w:t xml:space="preserve"> </w:t>
      </w:r>
      <w:r w:rsidR="00477362" w:rsidRPr="00E207BC">
        <w:t xml:space="preserve">to be </w:t>
      </w:r>
      <w:r w:rsidRPr="00E207BC">
        <w:t xml:space="preserve">an </w:t>
      </w:r>
      <w:r w:rsidRPr="00E207BC">
        <w:rPr>
          <w:i/>
        </w:rPr>
        <w:t>‘Upper Anchor</w:t>
      </w:r>
      <w:r w:rsidR="00987813" w:rsidRPr="00E207BC">
        <w:rPr>
          <w:i/>
        </w:rPr>
        <w:t>age’</w:t>
      </w:r>
      <w:r w:rsidR="00A8200D" w:rsidRPr="00E207BC">
        <w:rPr>
          <w:i/>
        </w:rPr>
        <w:t xml:space="preserve"> </w:t>
      </w:r>
      <w:r w:rsidR="005D6F73" w:rsidRPr="00E207BC">
        <w:t xml:space="preserve">and is </w:t>
      </w:r>
      <w:r w:rsidRPr="00E207BC">
        <w:t xml:space="preserve">subject to </w:t>
      </w:r>
      <w:r w:rsidR="00C44649" w:rsidRPr="00E207BC">
        <w:t xml:space="preserve">the </w:t>
      </w:r>
      <w:r w:rsidR="00F6525E" w:rsidRPr="00E207BC">
        <w:t xml:space="preserve">requirements for </w:t>
      </w:r>
      <w:r w:rsidR="00987813" w:rsidRPr="00E207BC">
        <w:rPr>
          <w:i/>
        </w:rPr>
        <w:t>‘Upper Anchorage</w:t>
      </w:r>
      <w:r w:rsidRPr="00E207BC">
        <w:rPr>
          <w:i/>
        </w:rPr>
        <w:t xml:space="preserve">s’ </w:t>
      </w:r>
      <w:r w:rsidR="00C960F8" w:rsidRPr="00E207BC">
        <w:t>in this standard</w:t>
      </w:r>
      <w:r w:rsidR="00D23B9C" w:rsidRPr="00E207BC">
        <w:t>.</w:t>
      </w:r>
    </w:p>
    <w:p w:rsidR="006B3698" w:rsidRPr="00E207BC" w:rsidRDefault="006B3698" w:rsidP="00C837DD">
      <w:pPr>
        <w:pStyle w:val="Subclause"/>
      </w:pPr>
      <w:bookmarkStart w:id="227" w:name="_Toc284257868"/>
      <w:bookmarkStart w:id="228" w:name="_Toc284258467"/>
      <w:bookmarkStart w:id="229" w:name="_Toc284258572"/>
      <w:bookmarkStart w:id="230" w:name="_Toc284259449"/>
      <w:bookmarkStart w:id="231" w:name="_Toc284326919"/>
      <w:bookmarkStart w:id="232" w:name="_Toc284327101"/>
      <w:bookmarkStart w:id="233" w:name="_Toc284327258"/>
      <w:bookmarkStart w:id="234" w:name="_Toc284327582"/>
      <w:bookmarkStart w:id="235" w:name="_Toc284351094"/>
      <w:bookmarkStart w:id="236" w:name="_Toc120690115"/>
      <w:bookmarkStart w:id="237" w:name="_Toc120690493"/>
      <w:bookmarkEnd w:id="227"/>
      <w:bookmarkEnd w:id="228"/>
      <w:bookmarkEnd w:id="229"/>
      <w:bookmarkEnd w:id="230"/>
      <w:bookmarkEnd w:id="231"/>
      <w:bookmarkEnd w:id="232"/>
      <w:bookmarkEnd w:id="233"/>
      <w:bookmarkEnd w:id="234"/>
      <w:bookmarkEnd w:id="235"/>
      <w:r w:rsidRPr="00E207BC">
        <w:t>Each ISOFIX top tether anchorage must also meet the information, location, accessibility and strength requirements of clauses 34.4 to 34.7 of this standard.</w:t>
      </w:r>
    </w:p>
    <w:p w:rsidR="00C14B37" w:rsidRPr="00E207BC" w:rsidRDefault="002E1AA2" w:rsidP="00C14B37">
      <w:pPr>
        <w:pStyle w:val="Subclause"/>
      </w:pPr>
      <w:r w:rsidRPr="00E207BC">
        <w:t>Where ISOFIX positions are provided, i</w:t>
      </w:r>
      <w:r w:rsidR="00905F74" w:rsidRPr="00E207BC">
        <w:t xml:space="preserve">nformation regarding the location of the ISOFIX low anchorages </w:t>
      </w:r>
      <w:r w:rsidR="00C837DD" w:rsidRPr="00E207BC">
        <w:t>must be provided in the vehicle handbook or otherwise supplied with the vehicle.</w:t>
      </w:r>
      <w:r w:rsidRPr="00E207BC">
        <w:t xml:space="preserve"> </w:t>
      </w:r>
    </w:p>
    <w:p w:rsidR="00BD7B8A" w:rsidRPr="00E207BC" w:rsidRDefault="00477362" w:rsidP="00BD7B8A">
      <w:pPr>
        <w:pStyle w:val="Clauseheading"/>
      </w:pPr>
      <w:bookmarkStart w:id="238" w:name="_Toc495582226"/>
      <w:r w:rsidRPr="00E207BC">
        <w:t>ALTERNATIVE STANDARDS</w:t>
      </w:r>
      <w:bookmarkEnd w:id="236"/>
      <w:bookmarkEnd w:id="237"/>
      <w:bookmarkEnd w:id="238"/>
    </w:p>
    <w:p w:rsidR="00BD7B8A" w:rsidRPr="00E207BC" w:rsidRDefault="00BD7B8A" w:rsidP="002968B6">
      <w:pPr>
        <w:pStyle w:val="Subclause"/>
      </w:pPr>
      <w:r w:rsidRPr="00E207BC">
        <w:t xml:space="preserve">Where a vehicle manufacturer elects to incorporate a specific vehicle child restraint in a vehicle, it must comply with the relevant general and particular technical specifications of United Nations Economic </w:t>
      </w:r>
      <w:r w:rsidRPr="00E207BC">
        <w:lastRenderedPageBreak/>
        <w:t>Commission for Europe Regulation (UNECE) No. 44 UNIFORM PROVISIONS CONCERNING THE APPROVAL OF RESTRAINING DEVICES FOR CHILD OCCUPANTS OF POWER-DRIVEN VEHICLES ("CHILD RESTRAINT SYSTEM"), incorporating the 04 series of amendments, provided;</w:t>
      </w:r>
    </w:p>
    <w:p w:rsidR="00BD7B8A" w:rsidRDefault="00BD7B8A" w:rsidP="00FC3BB9">
      <w:pPr>
        <w:pStyle w:val="Subsubclause"/>
        <w:spacing w:after="0"/>
      </w:pPr>
      <w:proofErr w:type="gramStart"/>
      <w:r w:rsidRPr="00E207BC">
        <w:t>the</w:t>
      </w:r>
      <w:proofErr w:type="gramEnd"/>
      <w:r w:rsidRPr="00E207BC">
        <w:t xml:space="preserve"> restraint is of the type corresponding to a forward facing booster cushion which utilises the existing lap/sash seatbelt to restrain the child occupant.</w:t>
      </w:r>
    </w:p>
    <w:p w:rsidR="00FC3BB9" w:rsidRPr="00FC3BB9" w:rsidRDefault="00FC3BB9" w:rsidP="00FC3BB9"/>
    <w:p w:rsidR="007B4090" w:rsidRDefault="001B6015" w:rsidP="00FC3BB9">
      <w:pPr>
        <w:pStyle w:val="Subclause"/>
        <w:spacing w:after="0"/>
      </w:pPr>
      <w:r w:rsidRPr="00E207BC">
        <w:t>The technical requirements adopted by the United Nations - Economic Commission for Europe Regulation No. 16 – UNIFORM PROVISIONS CONCERNING THE APPROVAL OF: I. SAFETY-BELTS, RESTRAINT SYSTEMS, CHILD RESTRAINT SYSTEMS AND ISOFIX CHILD RESTRAINT SYSTEMS FOR OCCUPANTS OF POWER-DRIVEN VEHICLES and II.VEHICLES EQUIPPED WITH SAFETY-BELTS, RESTRAINT SYSTEMS, CHILD RESTRAINT SYSTEMS AND ISOFIX CHILD RESTRAINT SYSTEMS, incorporating the 06 series of amendments shall be deemed to be equivalent to Appendix A of ADR 4/… for the purposes of the definition of a child restraint fix</w:t>
      </w:r>
      <w:r w:rsidR="00395B82" w:rsidRPr="00E207BC">
        <w:t xml:space="preserve">ture (CRF) under clause </w:t>
      </w:r>
      <w:r w:rsidR="009A70A4">
        <w:fldChar w:fldCharType="begin"/>
      </w:r>
      <w:r w:rsidR="00D95C5D">
        <w:instrText xml:space="preserve"> REF _Ref314484942 \r \h </w:instrText>
      </w:r>
      <w:r w:rsidR="009A70A4">
        <w:fldChar w:fldCharType="separate"/>
      </w:r>
      <w:r w:rsidR="00157055">
        <w:t>34.8.1</w:t>
      </w:r>
      <w:r w:rsidR="009A70A4">
        <w:fldChar w:fldCharType="end"/>
      </w:r>
      <w:r w:rsidR="00D95C5D">
        <w:t xml:space="preserve"> and clause </w:t>
      </w:r>
      <w:r w:rsidR="009A70A4">
        <w:fldChar w:fldCharType="begin"/>
      </w:r>
      <w:r w:rsidR="00D95C5D">
        <w:instrText xml:space="preserve"> REF _Ref314484968 \r \h </w:instrText>
      </w:r>
      <w:r w:rsidR="009A70A4">
        <w:fldChar w:fldCharType="separate"/>
      </w:r>
      <w:r w:rsidR="00157055">
        <w:t>34.8.3.2</w:t>
      </w:r>
      <w:r w:rsidR="009A70A4">
        <w:fldChar w:fldCharType="end"/>
      </w:r>
      <w:r w:rsidR="00D95C5D">
        <w:t xml:space="preserve"> </w:t>
      </w:r>
      <w:r w:rsidRPr="00E207BC">
        <w:t>of this standard.</w:t>
      </w:r>
    </w:p>
    <w:p w:rsidR="00FC3BB9" w:rsidRPr="00FC3BB9" w:rsidRDefault="00FC3BB9" w:rsidP="00FC3BB9"/>
    <w:p w:rsidR="009A0261" w:rsidRDefault="002665C0" w:rsidP="00FC3BB9">
      <w:pPr>
        <w:pStyle w:val="Subclause"/>
        <w:spacing w:after="0"/>
      </w:pPr>
      <w:r w:rsidRPr="00E207BC">
        <w:t>The technical requirements adopted by the United Nations - Economic Commission for Europe Regulation No. 14 – UNIFORM PROVISIONS CONCERNING THE APPROVAL OF VEHICLES WITH REGARD TO SAFETY-BELT ANCHORAGES, ISOFIX ANCHORAGES SYSTEMS AND ISOFIX TOP TETHER ANCHORAGES, incorporating the 07 series of amendments, shall be deeme</w:t>
      </w:r>
      <w:r w:rsidR="00B00465" w:rsidRPr="00E207BC">
        <w:t xml:space="preserve">d to be equivalent to </w:t>
      </w:r>
      <w:r w:rsidR="00817EBA" w:rsidRPr="00E207BC">
        <w:t>Appendix 1 of this standard.</w:t>
      </w:r>
    </w:p>
    <w:p w:rsidR="00FC3BB9" w:rsidRPr="00FC3BB9" w:rsidRDefault="00FC3BB9" w:rsidP="00FC3BB9"/>
    <w:p w:rsidR="009A0261" w:rsidRPr="00E207BC" w:rsidRDefault="009A0261" w:rsidP="009A0261">
      <w:pPr>
        <w:pStyle w:val="Subclause"/>
      </w:pPr>
      <w:r w:rsidRPr="00E207BC">
        <w:t>The technical requirements adopted by the United Nations - Economic Commission for Europe Regulation No. 14 – UNIFORM PROVISIONS CONCERNING THE APPROVAL OF VEHICLES WITH REGARD TO SAFETY-BELT ANCHORAGES, ISOFIX ANCHORAGES SYSTEMS AND ISOFIX TOP TETHER ANCHORAGES, incorporating the 07 series of amendments, shall be deemed to be equivalent to Appendix 2 of this standard.</w:t>
      </w:r>
    </w:p>
    <w:p w:rsidR="009A0261" w:rsidRPr="009A0261" w:rsidRDefault="009A0261" w:rsidP="009A0261">
      <w:pPr>
        <w:rPr>
          <w:highlight w:val="yellow"/>
        </w:rPr>
      </w:pPr>
    </w:p>
    <w:p w:rsidR="004B605B" w:rsidRPr="007932F2" w:rsidRDefault="00143CD6" w:rsidP="00143CD6">
      <w:pPr>
        <w:jc w:val="center"/>
      </w:pPr>
      <w:r w:rsidRPr="007932F2">
        <w:br w:type="page"/>
      </w:r>
      <w:r w:rsidR="00613B1E" w:rsidRPr="00E865C2">
        <w:rPr>
          <w:noProof/>
        </w:rPr>
        <w:lastRenderedPageBreak/>
        <w:drawing>
          <wp:inline distT="0" distB="0" distL="0" distR="0">
            <wp:extent cx="5400675" cy="7467600"/>
            <wp:effectExtent l="0" t="0" r="0" b="0"/>
            <wp:docPr id="1" name="Picture 3" descr="Upper Strap Attaching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per Strap Attaching Cli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7467600"/>
                    </a:xfrm>
                    <a:prstGeom prst="rect">
                      <a:avLst/>
                    </a:prstGeom>
                    <a:noFill/>
                    <a:ln>
                      <a:noFill/>
                    </a:ln>
                  </pic:spPr>
                </pic:pic>
              </a:graphicData>
            </a:graphic>
          </wp:inline>
        </w:drawing>
      </w:r>
    </w:p>
    <w:p w:rsidR="00143CD6" w:rsidRPr="007932F2" w:rsidRDefault="00143CD6" w:rsidP="00143CD6">
      <w:pPr>
        <w:jc w:val="center"/>
      </w:pPr>
      <w:r w:rsidRPr="007932F2">
        <w:cr/>
        <w:t>Dimensions in millimetres</w:t>
      </w:r>
    </w:p>
    <w:p w:rsidR="00143CD6" w:rsidRPr="007932F2" w:rsidRDefault="00143CD6" w:rsidP="00143CD6">
      <w:pPr>
        <w:jc w:val="center"/>
      </w:pPr>
      <w:r w:rsidRPr="007932F2">
        <w:t>(</w:t>
      </w:r>
      <w:proofErr w:type="gramStart"/>
      <w:r w:rsidRPr="007932F2">
        <w:t>not</w:t>
      </w:r>
      <w:proofErr w:type="gramEnd"/>
      <w:r w:rsidRPr="007932F2">
        <w:t xml:space="preserve"> to scale)</w:t>
      </w:r>
    </w:p>
    <w:p w:rsidR="00143CD6" w:rsidRPr="007932F2" w:rsidRDefault="00143CD6" w:rsidP="00143CD6">
      <w:pPr>
        <w:jc w:val="center"/>
      </w:pPr>
    </w:p>
    <w:p w:rsidR="00143CD6" w:rsidRPr="007932F2" w:rsidRDefault="00143CD6" w:rsidP="00143CD6">
      <w:pPr>
        <w:jc w:val="center"/>
        <w:rPr>
          <w:b/>
        </w:rPr>
      </w:pPr>
      <w:bookmarkStart w:id="239" w:name="_Toc349015285"/>
      <w:r w:rsidRPr="007932F2">
        <w:rPr>
          <w:b/>
        </w:rPr>
        <w:t>FIGURE 1</w:t>
      </w:r>
      <w:r w:rsidRPr="007932F2">
        <w:rPr>
          <w:b/>
        </w:rPr>
        <w:tab/>
        <w:t>‘</w:t>
      </w:r>
      <w:r w:rsidRPr="007932F2">
        <w:rPr>
          <w:b/>
          <w:i/>
        </w:rPr>
        <w:t>ATTACHING CLIP’</w:t>
      </w:r>
      <w:r w:rsidRPr="007932F2">
        <w:rPr>
          <w:b/>
        </w:rPr>
        <w:t xml:space="preserve"> PROFILE</w:t>
      </w:r>
      <w:bookmarkEnd w:id="239"/>
    </w:p>
    <w:p w:rsidR="004B605B" w:rsidRPr="007932F2" w:rsidRDefault="00143CD6" w:rsidP="00143CD6">
      <w:pPr>
        <w:jc w:val="center"/>
      </w:pPr>
      <w:r w:rsidRPr="007932F2">
        <w:br w:type="page"/>
      </w:r>
      <w:r w:rsidR="00613B1E" w:rsidRPr="00E865C2">
        <w:rPr>
          <w:noProof/>
        </w:rPr>
        <w:lastRenderedPageBreak/>
        <w:drawing>
          <wp:inline distT="0" distB="0" distL="0" distR="0">
            <wp:extent cx="5391150" cy="6858000"/>
            <wp:effectExtent l="0" t="0" r="0" b="0"/>
            <wp:docPr id="3" name="Picture 5" descr="Upper Anchor F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per Anchor Fit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6858000"/>
                    </a:xfrm>
                    <a:prstGeom prst="rect">
                      <a:avLst/>
                    </a:prstGeom>
                    <a:noFill/>
                    <a:ln>
                      <a:noFill/>
                    </a:ln>
                  </pic:spPr>
                </pic:pic>
              </a:graphicData>
            </a:graphic>
          </wp:inline>
        </w:drawing>
      </w:r>
    </w:p>
    <w:p w:rsidR="004B605B" w:rsidRPr="007932F2" w:rsidRDefault="004B605B" w:rsidP="004B605B"/>
    <w:p w:rsidR="00204753" w:rsidRPr="007932F2" w:rsidRDefault="00204753" w:rsidP="00204753">
      <w:pPr>
        <w:jc w:val="center"/>
      </w:pPr>
      <w:r w:rsidRPr="007932F2">
        <w:t>Dimensions in mm</w:t>
      </w:r>
    </w:p>
    <w:p w:rsidR="00204753" w:rsidRPr="007932F2" w:rsidRDefault="00204753" w:rsidP="00204753">
      <w:pPr>
        <w:jc w:val="center"/>
      </w:pPr>
      <w:r w:rsidRPr="007932F2">
        <w:t>(</w:t>
      </w:r>
      <w:proofErr w:type="gramStart"/>
      <w:r w:rsidRPr="007932F2">
        <w:t>not</w:t>
      </w:r>
      <w:proofErr w:type="gramEnd"/>
      <w:r w:rsidRPr="007932F2">
        <w:t xml:space="preserve"> to scale)</w:t>
      </w:r>
    </w:p>
    <w:p w:rsidR="00204753" w:rsidRPr="007932F2" w:rsidRDefault="00204753" w:rsidP="00204753">
      <w:pPr>
        <w:jc w:val="center"/>
      </w:pPr>
    </w:p>
    <w:p w:rsidR="004B605B" w:rsidRPr="007932F2" w:rsidRDefault="00143CD6" w:rsidP="00143CD6">
      <w:pPr>
        <w:jc w:val="center"/>
        <w:rPr>
          <w:b/>
        </w:rPr>
      </w:pPr>
      <w:bookmarkStart w:id="240" w:name="_Toc349015286"/>
      <w:r w:rsidRPr="007932F2">
        <w:rPr>
          <w:b/>
        </w:rPr>
        <w:t>FIGURE 2:</w:t>
      </w:r>
      <w:r w:rsidRPr="007932F2">
        <w:rPr>
          <w:b/>
        </w:rPr>
        <w:tab/>
      </w:r>
      <w:r w:rsidRPr="007932F2">
        <w:rPr>
          <w:b/>
          <w:i/>
        </w:rPr>
        <w:t>'</w:t>
      </w:r>
      <w:r w:rsidR="000D34CC" w:rsidRPr="007932F2">
        <w:rPr>
          <w:b/>
          <w:i/>
        </w:rPr>
        <w:t xml:space="preserve">UPPER </w:t>
      </w:r>
      <w:r w:rsidRPr="007932F2">
        <w:rPr>
          <w:b/>
          <w:i/>
        </w:rPr>
        <w:t>ANCHOR FITTING'</w:t>
      </w:r>
      <w:r w:rsidRPr="007932F2">
        <w:rPr>
          <w:b/>
        </w:rPr>
        <w:t xml:space="preserve"> PROFILE</w:t>
      </w:r>
      <w:bookmarkEnd w:id="240"/>
    </w:p>
    <w:p w:rsidR="004B605B" w:rsidRPr="007932F2" w:rsidRDefault="00143CD6" w:rsidP="0023145E">
      <w:pPr>
        <w:jc w:val="center"/>
      </w:pPr>
      <w:r w:rsidRPr="007932F2">
        <w:br w:type="page"/>
      </w:r>
      <w:r w:rsidR="00204753" w:rsidRPr="007932F2">
        <w:object w:dxaOrig="9606" w:dyaOrig="6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4pt;height:262.2pt" o:ole="">
            <v:imagedata r:id="rId12" o:title=""/>
          </v:shape>
          <o:OLEObject Type="Embed" ProgID="CDraw5" ShapeID="_x0000_i1025" DrawAspect="Content" ObjectID="_1608623820" r:id="rId13"/>
        </w:object>
      </w:r>
    </w:p>
    <w:p w:rsidR="00143CD6" w:rsidRPr="007932F2" w:rsidRDefault="00143CD6" w:rsidP="004B605B"/>
    <w:p w:rsidR="00143CD6" w:rsidRPr="007932F2" w:rsidRDefault="0023145E" w:rsidP="0023145E">
      <w:pPr>
        <w:jc w:val="center"/>
        <w:rPr>
          <w:b/>
        </w:rPr>
      </w:pPr>
      <w:bookmarkStart w:id="241" w:name="_Toc349015287"/>
      <w:r w:rsidRPr="007932F2">
        <w:rPr>
          <w:b/>
        </w:rPr>
        <w:t>FIGURE 2(C)</w:t>
      </w:r>
      <w:r w:rsidR="00A06EA8" w:rsidRPr="007932F2">
        <w:rPr>
          <w:b/>
        </w:rPr>
        <w:t xml:space="preserve">: </w:t>
      </w:r>
      <w:r w:rsidRPr="007932F2">
        <w:rPr>
          <w:b/>
        </w:rPr>
        <w:t xml:space="preserve">ANCHOR FITTING </w:t>
      </w:r>
      <w:r w:rsidRPr="007932F2">
        <w:rPr>
          <w:b/>
          <w:i/>
        </w:rPr>
        <w:t>‘INTERFACE PROFILE’</w:t>
      </w:r>
      <w:bookmarkEnd w:id="241"/>
    </w:p>
    <w:p w:rsidR="00143CD6" w:rsidRPr="007932F2" w:rsidRDefault="00143CD6" w:rsidP="004B605B"/>
    <w:p w:rsidR="00143CD6" w:rsidRPr="007932F2" w:rsidRDefault="00613B1E" w:rsidP="0023145E">
      <w:pPr>
        <w:jc w:val="center"/>
      </w:pPr>
      <w:r w:rsidRPr="00E865C2">
        <w:rPr>
          <w:noProof/>
        </w:rPr>
        <w:drawing>
          <wp:inline distT="0" distB="0" distL="0" distR="0">
            <wp:extent cx="4533900" cy="3838575"/>
            <wp:effectExtent l="0" t="0" r="0" b="0"/>
            <wp:docPr id="5" name="Picture 12" descr="Typical Tether Interface Profi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ypical Tether Interface Profiles.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3838575"/>
                    </a:xfrm>
                    <a:prstGeom prst="rect">
                      <a:avLst/>
                    </a:prstGeom>
                    <a:noFill/>
                    <a:ln>
                      <a:noFill/>
                    </a:ln>
                  </pic:spPr>
                </pic:pic>
              </a:graphicData>
            </a:graphic>
          </wp:inline>
        </w:drawing>
      </w:r>
    </w:p>
    <w:p w:rsidR="00204753" w:rsidRPr="007932F2" w:rsidRDefault="00204753" w:rsidP="00204753">
      <w:pPr>
        <w:jc w:val="center"/>
      </w:pPr>
      <w:r w:rsidRPr="007932F2">
        <w:t>Dimensions in mm (not to scale)</w:t>
      </w:r>
    </w:p>
    <w:p w:rsidR="00143CD6" w:rsidRPr="007932F2" w:rsidRDefault="00143CD6" w:rsidP="00204753">
      <w:pPr>
        <w:jc w:val="center"/>
      </w:pPr>
    </w:p>
    <w:p w:rsidR="00143CD6" w:rsidRPr="007932F2" w:rsidRDefault="0023145E" w:rsidP="0023145E">
      <w:pPr>
        <w:jc w:val="center"/>
        <w:rPr>
          <w:b/>
        </w:rPr>
      </w:pPr>
      <w:bookmarkStart w:id="242" w:name="_Toc349015288"/>
      <w:r w:rsidRPr="007932F2">
        <w:rPr>
          <w:b/>
        </w:rPr>
        <w:t>FIGURE 3:</w:t>
      </w:r>
      <w:r w:rsidR="00A06EA8" w:rsidRPr="007932F2">
        <w:rPr>
          <w:b/>
        </w:rPr>
        <w:tab/>
      </w:r>
      <w:r w:rsidRPr="007932F2">
        <w:rPr>
          <w:b/>
        </w:rPr>
        <w:t xml:space="preserve">TYPICAL ANCHOR FITTING </w:t>
      </w:r>
      <w:r w:rsidRPr="007932F2">
        <w:rPr>
          <w:b/>
          <w:i/>
        </w:rPr>
        <w:t>‘INTERFACE PROFILES’</w:t>
      </w:r>
      <w:bookmarkEnd w:id="242"/>
    </w:p>
    <w:p w:rsidR="00204753" w:rsidRPr="007932F2" w:rsidRDefault="0023145E" w:rsidP="0023145E">
      <w:pPr>
        <w:jc w:val="center"/>
        <w:rPr>
          <w:noProof/>
        </w:rPr>
      </w:pPr>
      <w:r w:rsidRPr="007932F2">
        <w:br w:type="page"/>
      </w:r>
      <w:r w:rsidR="00613B1E" w:rsidRPr="00E865C2">
        <w:rPr>
          <w:noProof/>
        </w:rPr>
        <w:lastRenderedPageBreak/>
        <w:drawing>
          <wp:inline distT="0" distB="0" distL="0" distR="0">
            <wp:extent cx="4533900" cy="2847975"/>
            <wp:effectExtent l="0" t="0" r="0" b="0"/>
            <wp:docPr id="6" name="Picture 11" descr="Spac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cer.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900" cy="2847975"/>
                    </a:xfrm>
                    <a:prstGeom prst="rect">
                      <a:avLst/>
                    </a:prstGeom>
                    <a:noFill/>
                    <a:ln>
                      <a:noFill/>
                    </a:ln>
                  </pic:spPr>
                </pic:pic>
              </a:graphicData>
            </a:graphic>
          </wp:inline>
        </w:drawing>
      </w:r>
    </w:p>
    <w:p w:rsidR="0023145E" w:rsidRPr="007932F2" w:rsidRDefault="0023145E" w:rsidP="0023145E">
      <w:pPr>
        <w:jc w:val="center"/>
      </w:pPr>
      <w:r w:rsidRPr="007932F2">
        <w:t>Dimensions in millimetres (not to scale)</w:t>
      </w:r>
    </w:p>
    <w:p w:rsidR="0023145E" w:rsidRPr="007932F2" w:rsidRDefault="0023145E" w:rsidP="0023145E">
      <w:pPr>
        <w:jc w:val="center"/>
      </w:pPr>
    </w:p>
    <w:p w:rsidR="0023145E" w:rsidRPr="007932F2" w:rsidRDefault="0023145E" w:rsidP="0023145E">
      <w:pPr>
        <w:jc w:val="center"/>
        <w:rPr>
          <w:b/>
        </w:rPr>
      </w:pPr>
      <w:bookmarkStart w:id="243" w:name="_Toc349015289"/>
      <w:r w:rsidRPr="007932F2">
        <w:rPr>
          <w:b/>
        </w:rPr>
        <w:t>FIGURE 4</w:t>
      </w:r>
      <w:r w:rsidRPr="007932F2">
        <w:rPr>
          <w:b/>
        </w:rPr>
        <w:tab/>
      </w:r>
      <w:r w:rsidRPr="007932F2">
        <w:rPr>
          <w:b/>
          <w:i/>
        </w:rPr>
        <w:t>‘SPACER’</w:t>
      </w:r>
      <w:bookmarkEnd w:id="243"/>
    </w:p>
    <w:p w:rsidR="00143CD6" w:rsidRPr="007932F2" w:rsidRDefault="00143CD6" w:rsidP="004B605B"/>
    <w:p w:rsidR="00110952" w:rsidRPr="007932F2" w:rsidRDefault="00613B1E" w:rsidP="00030247">
      <w:pPr>
        <w:jc w:val="center"/>
      </w:pPr>
      <w:r w:rsidRPr="00E865C2">
        <w:rPr>
          <w:noProof/>
        </w:rPr>
        <w:drawing>
          <wp:inline distT="0" distB="0" distL="0" distR="0">
            <wp:extent cx="5391150" cy="3076575"/>
            <wp:effectExtent l="0" t="0" r="0" b="0"/>
            <wp:docPr id="7" name="Picture 9" descr="Typical Upper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pical Upper Assembl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3076575"/>
                    </a:xfrm>
                    <a:prstGeom prst="rect">
                      <a:avLst/>
                    </a:prstGeom>
                    <a:noFill/>
                    <a:ln>
                      <a:noFill/>
                    </a:ln>
                  </pic:spPr>
                </pic:pic>
              </a:graphicData>
            </a:graphic>
          </wp:inline>
        </w:drawing>
      </w:r>
    </w:p>
    <w:p w:rsidR="00110952" w:rsidRPr="007932F2" w:rsidRDefault="00110952" w:rsidP="004B605B"/>
    <w:p w:rsidR="009E41A6" w:rsidRPr="007932F2" w:rsidRDefault="009E41A6" w:rsidP="009E41A6">
      <w:pPr>
        <w:jc w:val="center"/>
        <w:rPr>
          <w:b/>
        </w:rPr>
      </w:pPr>
      <w:bookmarkStart w:id="244" w:name="_Toc349015290"/>
      <w:r w:rsidRPr="00E207BC">
        <w:rPr>
          <w:b/>
        </w:rPr>
        <w:t>FIGURE 5:</w:t>
      </w:r>
      <w:r w:rsidRPr="00E207BC">
        <w:rPr>
          <w:b/>
        </w:rPr>
        <w:tab/>
        <w:t xml:space="preserve">A TYPICAL </w:t>
      </w:r>
      <w:r w:rsidRPr="00E207BC">
        <w:rPr>
          <w:b/>
          <w:i/>
        </w:rPr>
        <w:t>‘</w:t>
      </w:r>
      <w:r w:rsidR="000D34CC" w:rsidRPr="00E207BC">
        <w:rPr>
          <w:b/>
          <w:i/>
        </w:rPr>
        <w:t>UPPER</w:t>
      </w:r>
      <w:r w:rsidRPr="00E207BC">
        <w:rPr>
          <w:b/>
          <w:i/>
        </w:rPr>
        <w:t xml:space="preserve"> ANCHORAGE’</w:t>
      </w:r>
      <w:r w:rsidRPr="00E207BC">
        <w:rPr>
          <w:b/>
        </w:rPr>
        <w:t xml:space="preserve"> ASSEMBLY IN THE VEHICLE</w:t>
      </w:r>
      <w:bookmarkEnd w:id="244"/>
    </w:p>
    <w:p w:rsidR="009E41A6" w:rsidRPr="007932F2" w:rsidRDefault="009E41A6" w:rsidP="009E41A6">
      <w:pPr>
        <w:jc w:val="center"/>
      </w:pPr>
      <w:r w:rsidRPr="007932F2">
        <w:br w:type="page"/>
      </w:r>
      <w:r w:rsidR="00613B1E" w:rsidRPr="00E865C2">
        <w:rPr>
          <w:noProof/>
        </w:rPr>
        <w:lastRenderedPageBreak/>
        <w:drawing>
          <wp:inline distT="0" distB="0" distL="0" distR="0">
            <wp:extent cx="6191250" cy="42291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6191250" cy="4229100"/>
                    </a:xfrm>
                    <a:prstGeom prst="rect">
                      <a:avLst/>
                    </a:prstGeom>
                    <a:noFill/>
                    <a:ln>
                      <a:noFill/>
                    </a:ln>
                  </pic:spPr>
                </pic:pic>
              </a:graphicData>
            </a:graphic>
          </wp:inline>
        </w:drawing>
      </w:r>
      <w:r w:rsidRPr="007932F2">
        <w:t xml:space="preserve"> R = ‘Shoulder Reference Point’</w:t>
      </w:r>
    </w:p>
    <w:p w:rsidR="009E41A6" w:rsidRPr="007932F2" w:rsidRDefault="009E41A6" w:rsidP="009E41A6">
      <w:pPr>
        <w:jc w:val="center"/>
        <w:rPr>
          <w:b/>
        </w:rPr>
      </w:pPr>
      <w:r w:rsidRPr="007932F2">
        <w:t>Dimensions in millimetres (not to scale)</w:t>
      </w:r>
      <w:r w:rsidRPr="007932F2">
        <w:cr/>
      </w:r>
      <w:r w:rsidRPr="007932F2">
        <w:cr/>
      </w:r>
      <w:bookmarkStart w:id="245" w:name="_Toc349015291"/>
      <w:r w:rsidRPr="00E207BC">
        <w:rPr>
          <w:b/>
        </w:rPr>
        <w:t>FIGURE 6:</w:t>
      </w:r>
      <w:r w:rsidRPr="00E207BC">
        <w:rPr>
          <w:b/>
        </w:rPr>
        <w:tab/>
        <w:t xml:space="preserve">SIDE VIEW - </w:t>
      </w:r>
      <w:r w:rsidRPr="00E207BC">
        <w:rPr>
          <w:b/>
          <w:i/>
        </w:rPr>
        <w:t>'</w:t>
      </w:r>
      <w:r w:rsidR="000D34CC" w:rsidRPr="00E207BC">
        <w:rPr>
          <w:b/>
          <w:i/>
        </w:rPr>
        <w:t xml:space="preserve">UPPER </w:t>
      </w:r>
      <w:r w:rsidRPr="00E207BC">
        <w:rPr>
          <w:b/>
          <w:i/>
        </w:rPr>
        <w:t>ANCHOR FITTING' 'INTERFACE PROFILE'</w:t>
      </w:r>
      <w:r w:rsidRPr="00E207BC">
        <w:rPr>
          <w:b/>
        </w:rPr>
        <w:t xml:space="preserve"> LOCATION</w:t>
      </w:r>
      <w:bookmarkEnd w:id="245"/>
    </w:p>
    <w:p w:rsidR="007D48ED" w:rsidRPr="007932F2" w:rsidRDefault="00477362" w:rsidP="007D48ED">
      <w:pPr>
        <w:pStyle w:val="NormalWeb"/>
        <w:spacing w:before="0" w:beforeAutospacing="0" w:after="0" w:afterAutospacing="0"/>
        <w:jc w:val="center"/>
        <w:rPr>
          <w:lang w:val="en-GB"/>
        </w:rPr>
      </w:pPr>
      <w:r w:rsidRPr="00477362">
        <w:br w:type="page"/>
      </w:r>
      <w:r w:rsidR="00613B1E" w:rsidRPr="00C75067">
        <w:rPr>
          <w:noProof/>
          <w:lang w:val="en-AU" w:eastAsia="en-AU"/>
        </w:rPr>
        <w:lastRenderedPageBreak/>
        <w:drawing>
          <wp:inline distT="0" distB="0" distL="0" distR="0">
            <wp:extent cx="5391150" cy="6200775"/>
            <wp:effectExtent l="0" t="0" r="0" b="0"/>
            <wp:docPr id="9" name="Picture 11" descr="Clearance for Upper Anchorag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earance for Upper Anchorage Onl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6200775"/>
                    </a:xfrm>
                    <a:prstGeom prst="rect">
                      <a:avLst/>
                    </a:prstGeom>
                    <a:noFill/>
                    <a:ln>
                      <a:noFill/>
                    </a:ln>
                  </pic:spPr>
                </pic:pic>
              </a:graphicData>
            </a:graphic>
          </wp:inline>
        </w:drawing>
      </w:r>
    </w:p>
    <w:p w:rsidR="007D48ED" w:rsidRPr="007932F2" w:rsidRDefault="007D48ED" w:rsidP="007D48ED">
      <w:pPr>
        <w:pStyle w:val="NormalWeb"/>
        <w:spacing w:before="0" w:beforeAutospacing="0" w:after="0" w:afterAutospacing="0"/>
        <w:rPr>
          <w:lang w:val="en-GB"/>
        </w:rPr>
      </w:pPr>
    </w:p>
    <w:p w:rsidR="007D48ED" w:rsidRPr="007932F2" w:rsidRDefault="00477362" w:rsidP="007D48ED">
      <w:pPr>
        <w:pStyle w:val="NormalWeb"/>
        <w:spacing w:before="0" w:beforeAutospacing="0" w:after="0" w:afterAutospacing="0"/>
        <w:rPr>
          <w:lang w:val="en-GB"/>
        </w:rPr>
      </w:pPr>
      <w:r w:rsidRPr="00477362">
        <w:rPr>
          <w:lang w:val="en-GB"/>
        </w:rPr>
        <w:t>Notes:</w:t>
      </w:r>
    </w:p>
    <w:p w:rsidR="007D48ED" w:rsidRPr="00E40AB1" w:rsidRDefault="00477362" w:rsidP="007D48ED">
      <w:pPr>
        <w:pStyle w:val="NormalWeb"/>
        <w:numPr>
          <w:ilvl w:val="0"/>
          <w:numId w:val="20"/>
        </w:numPr>
        <w:rPr>
          <w:lang w:val="en-AU"/>
        </w:rPr>
      </w:pPr>
      <w:r w:rsidRPr="00477362">
        <w:t xml:space="preserve">The </w:t>
      </w:r>
      <w:proofErr w:type="spellStart"/>
      <w:r w:rsidRPr="00477362">
        <w:t>specified</w:t>
      </w:r>
      <w:proofErr w:type="spellEnd"/>
      <w:r w:rsidRPr="00477362">
        <w:t xml:space="preserve"> arc </w:t>
      </w:r>
      <w:proofErr w:type="spellStart"/>
      <w:r w:rsidRPr="00477362">
        <w:t>allows</w:t>
      </w:r>
      <w:proofErr w:type="spellEnd"/>
      <w:r w:rsidRPr="00477362">
        <w:t xml:space="preserve"> for room to</w:t>
      </w:r>
      <w:r w:rsidRPr="00E40AB1">
        <w:rPr>
          <w:lang w:val="en-AU"/>
        </w:rPr>
        <w:t xml:space="preserve"> manipulate</w:t>
      </w:r>
      <w:r w:rsidRPr="00477362">
        <w:t xml:space="preserve"> a</w:t>
      </w:r>
      <w:r w:rsidRPr="00E40AB1">
        <w:rPr>
          <w:lang w:val="en-AU"/>
        </w:rPr>
        <w:t xml:space="preserve"> spanner</w:t>
      </w:r>
      <w:r w:rsidRPr="00477362">
        <w:t xml:space="preserve"> to</w:t>
      </w:r>
      <w:r w:rsidRPr="00E40AB1">
        <w:rPr>
          <w:lang w:val="en-AU"/>
        </w:rPr>
        <w:t xml:space="preserve"> tighten</w:t>
      </w:r>
      <w:r w:rsidRPr="00477362">
        <w:t xml:space="preserve"> the </w:t>
      </w:r>
      <w:r w:rsidRPr="00E40AB1">
        <w:rPr>
          <w:i/>
          <w:lang w:val="en-AU"/>
        </w:rPr>
        <w:t>‘Attachment Bolt</w:t>
      </w:r>
      <w:r w:rsidRPr="00477362">
        <w:rPr>
          <w:i/>
        </w:rPr>
        <w:t>’</w:t>
      </w:r>
      <w:r w:rsidRPr="00477362">
        <w:t>.</w:t>
      </w:r>
    </w:p>
    <w:p w:rsidR="007D48ED" w:rsidRPr="007932F2" w:rsidRDefault="00477362" w:rsidP="007D48ED">
      <w:pPr>
        <w:pStyle w:val="NormalWeb"/>
        <w:numPr>
          <w:ilvl w:val="0"/>
          <w:numId w:val="20"/>
        </w:numPr>
      </w:pPr>
      <w:r w:rsidRPr="00E40AB1">
        <w:rPr>
          <w:lang w:val="en-AU"/>
        </w:rPr>
        <w:t>Each view can be rotated</w:t>
      </w:r>
      <w:r w:rsidRPr="00477362">
        <w:t xml:space="preserve"> about an axis passing</w:t>
      </w:r>
      <w:r w:rsidRPr="00E40AB1">
        <w:rPr>
          <w:lang w:val="en-AU"/>
        </w:rPr>
        <w:t xml:space="preserve"> through</w:t>
      </w:r>
      <w:r w:rsidRPr="00477362">
        <w:t xml:space="preserve"> point X and</w:t>
      </w:r>
      <w:r w:rsidRPr="00E40AB1">
        <w:rPr>
          <w:lang w:val="en-AU"/>
        </w:rPr>
        <w:t xml:space="preserve"> perpendicular</w:t>
      </w:r>
      <w:r w:rsidRPr="00477362">
        <w:t xml:space="preserve"> to the page.</w:t>
      </w:r>
    </w:p>
    <w:p w:rsidR="007D48ED" w:rsidRPr="007932F2" w:rsidRDefault="00477362" w:rsidP="007D48ED">
      <w:pPr>
        <w:pStyle w:val="NormalWeb"/>
        <w:numPr>
          <w:ilvl w:val="0"/>
          <w:numId w:val="20"/>
        </w:numPr>
        <w:spacing w:before="0" w:beforeAutospacing="0" w:after="0" w:afterAutospacing="0"/>
        <w:rPr>
          <w:lang w:val="en-GB"/>
        </w:rPr>
      </w:pPr>
      <w:r w:rsidRPr="00477362">
        <w:rPr>
          <w:lang w:val="en-GB"/>
        </w:rPr>
        <w:t>Dimensions in mm except where otherwise indicated.</w:t>
      </w:r>
    </w:p>
    <w:p w:rsidR="009E41A6" w:rsidRPr="007932F2" w:rsidRDefault="00477362" w:rsidP="004B605B">
      <w:pPr>
        <w:pStyle w:val="NormalWeb"/>
        <w:numPr>
          <w:ilvl w:val="0"/>
          <w:numId w:val="20"/>
        </w:numPr>
        <w:spacing w:before="0" w:beforeAutospacing="0" w:after="0" w:afterAutospacing="0"/>
        <w:rPr>
          <w:lang w:val="en-GB"/>
        </w:rPr>
      </w:pPr>
      <w:r w:rsidRPr="00477362">
        <w:rPr>
          <w:lang w:val="en-GB"/>
        </w:rPr>
        <w:t>Drawing not to scale.</w:t>
      </w:r>
    </w:p>
    <w:p w:rsidR="007D48ED" w:rsidRPr="007932F2" w:rsidRDefault="007D48ED" w:rsidP="007D48ED">
      <w:pPr>
        <w:pStyle w:val="NormalWeb"/>
        <w:spacing w:before="0" w:beforeAutospacing="0" w:after="0" w:afterAutospacing="0"/>
        <w:rPr>
          <w:lang w:val="en-GB"/>
        </w:rPr>
      </w:pPr>
    </w:p>
    <w:p w:rsidR="009E41A6" w:rsidRPr="007932F2" w:rsidRDefault="00453E1E" w:rsidP="00453E1E">
      <w:pPr>
        <w:jc w:val="center"/>
        <w:rPr>
          <w:b/>
        </w:rPr>
      </w:pPr>
      <w:bookmarkStart w:id="246" w:name="_Toc349015292"/>
      <w:r w:rsidRPr="007932F2">
        <w:rPr>
          <w:b/>
        </w:rPr>
        <w:t>FIGURE 7:</w:t>
      </w:r>
      <w:r w:rsidRPr="007932F2">
        <w:rPr>
          <w:b/>
        </w:rPr>
        <w:tab/>
        <w:t>CLEARANCE SPACE REQUIRED WHERE ANCHORAGE ONLY IS PROVIDED</w:t>
      </w:r>
      <w:bookmarkEnd w:id="246"/>
    </w:p>
    <w:p w:rsidR="009E41A6" w:rsidRPr="00E207BC" w:rsidRDefault="00453E1E" w:rsidP="00AD0710">
      <w:pPr>
        <w:jc w:val="center"/>
      </w:pPr>
      <w:r w:rsidRPr="007932F2">
        <w:br w:type="page"/>
      </w:r>
      <w:r w:rsidR="00613B1E" w:rsidRPr="00E865C2">
        <w:rPr>
          <w:noProof/>
        </w:rPr>
        <w:lastRenderedPageBreak/>
        <w:drawing>
          <wp:inline distT="0" distB="0" distL="0" distR="0">
            <wp:extent cx="5391150" cy="5857875"/>
            <wp:effectExtent l="0" t="0" r="0" b="0"/>
            <wp:docPr id="10" name="Picture 12" descr="Upper Fitting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per Fitting Cleara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0" cy="5857875"/>
                    </a:xfrm>
                    <a:prstGeom prst="rect">
                      <a:avLst/>
                    </a:prstGeom>
                    <a:noFill/>
                    <a:ln>
                      <a:noFill/>
                    </a:ln>
                  </pic:spPr>
                </pic:pic>
              </a:graphicData>
            </a:graphic>
          </wp:inline>
        </w:drawing>
      </w:r>
    </w:p>
    <w:p w:rsidR="00AD0710" w:rsidRPr="00E207BC" w:rsidRDefault="00477362" w:rsidP="00AD0710">
      <w:pPr>
        <w:pStyle w:val="NormalWeb"/>
        <w:spacing w:before="0" w:beforeAutospacing="0" w:after="0" w:afterAutospacing="0"/>
        <w:rPr>
          <w:lang w:val="en-GB"/>
        </w:rPr>
      </w:pPr>
      <w:r w:rsidRPr="00E207BC">
        <w:rPr>
          <w:lang w:val="en-GB"/>
        </w:rPr>
        <w:t>Notes:</w:t>
      </w:r>
    </w:p>
    <w:p w:rsidR="00AD0710" w:rsidRPr="00E40AB1" w:rsidRDefault="00AD0710" w:rsidP="00AD0710">
      <w:pPr>
        <w:pStyle w:val="NormalWeb"/>
        <w:spacing w:before="0" w:beforeAutospacing="0" w:after="0" w:afterAutospacing="0"/>
        <w:rPr>
          <w:lang w:val="en-AU"/>
        </w:rPr>
      </w:pPr>
    </w:p>
    <w:p w:rsidR="00AD0710" w:rsidRPr="00E207BC" w:rsidRDefault="00477362" w:rsidP="00AD0710">
      <w:pPr>
        <w:pStyle w:val="NormalWeb"/>
        <w:numPr>
          <w:ilvl w:val="0"/>
          <w:numId w:val="19"/>
        </w:numPr>
        <w:spacing w:before="0" w:beforeAutospacing="0" w:after="0" w:afterAutospacing="0"/>
        <w:rPr>
          <w:lang w:val="en-GB"/>
        </w:rPr>
      </w:pPr>
      <w:r w:rsidRPr="00E40AB1">
        <w:rPr>
          <w:lang w:val="en-AU"/>
        </w:rPr>
        <w:t>Where</w:t>
      </w:r>
      <w:r w:rsidRPr="00E207BC">
        <w:t xml:space="preserve"> the </w:t>
      </w:r>
      <w:r w:rsidRPr="00E40AB1">
        <w:rPr>
          <w:i/>
          <w:lang w:val="en-AU"/>
        </w:rPr>
        <w:t>‘Upper</w:t>
      </w:r>
      <w:r w:rsidRPr="00E207BC">
        <w:rPr>
          <w:i/>
        </w:rPr>
        <w:t xml:space="preserve"> Anchor</w:t>
      </w:r>
      <w:r w:rsidRPr="00E40AB1">
        <w:rPr>
          <w:i/>
          <w:lang w:val="en-AU"/>
        </w:rPr>
        <w:t xml:space="preserve"> Fitting</w:t>
      </w:r>
      <w:r w:rsidRPr="00E207BC">
        <w:rPr>
          <w:i/>
        </w:rPr>
        <w:t>’</w:t>
      </w:r>
      <w:r w:rsidRPr="00E40AB1">
        <w:rPr>
          <w:lang w:val="en-AU"/>
        </w:rPr>
        <w:t xml:space="preserve"> is adjustable it</w:t>
      </w:r>
      <w:r w:rsidRPr="00E207BC">
        <w:t xml:space="preserve"> must</w:t>
      </w:r>
      <w:r w:rsidRPr="00E40AB1">
        <w:rPr>
          <w:lang w:val="en-AU"/>
        </w:rPr>
        <w:t xml:space="preserve"> comply with</w:t>
      </w:r>
      <w:r w:rsidRPr="00E207BC">
        <w:t xml:space="preserve"> the</w:t>
      </w:r>
      <w:r w:rsidRPr="00E40AB1">
        <w:rPr>
          <w:lang w:val="en-AU"/>
        </w:rPr>
        <w:t xml:space="preserve"> requirements</w:t>
      </w:r>
      <w:r w:rsidRPr="00E207BC">
        <w:t xml:space="preserve"> as</w:t>
      </w:r>
      <w:r w:rsidRPr="00E40AB1">
        <w:rPr>
          <w:lang w:val="en-AU"/>
        </w:rPr>
        <w:t xml:space="preserve"> shown</w:t>
      </w:r>
      <w:r w:rsidRPr="00E207BC">
        <w:t xml:space="preserve"> in</w:t>
      </w:r>
      <w:r w:rsidRPr="00E40AB1">
        <w:rPr>
          <w:lang w:val="en-AU"/>
        </w:rPr>
        <w:t xml:space="preserve"> these</w:t>
      </w:r>
      <w:r w:rsidRPr="00E207BC">
        <w:t xml:space="preserve"> illustrations in</w:t>
      </w:r>
      <w:r w:rsidRPr="00E40AB1">
        <w:rPr>
          <w:lang w:val="en-AU"/>
        </w:rPr>
        <w:t xml:space="preserve"> at</w:t>
      </w:r>
      <w:r w:rsidRPr="00E207BC">
        <w:t xml:space="preserve"> least one position of</w:t>
      </w:r>
      <w:r w:rsidRPr="00E40AB1">
        <w:rPr>
          <w:lang w:val="en-AU"/>
        </w:rPr>
        <w:t xml:space="preserve"> adjustment</w:t>
      </w:r>
      <w:r w:rsidRPr="00E207BC">
        <w:t>.</w:t>
      </w:r>
    </w:p>
    <w:p w:rsidR="00AD0710" w:rsidRPr="00E207BC" w:rsidRDefault="00477362" w:rsidP="00AD0710">
      <w:pPr>
        <w:pStyle w:val="NormalWeb"/>
        <w:numPr>
          <w:ilvl w:val="0"/>
          <w:numId w:val="19"/>
        </w:numPr>
        <w:spacing w:before="0" w:beforeAutospacing="0" w:after="0" w:afterAutospacing="0"/>
        <w:rPr>
          <w:lang w:val="en-GB"/>
        </w:rPr>
      </w:pPr>
      <w:r w:rsidRPr="00E207BC">
        <w:t>If not</w:t>
      </w:r>
      <w:r w:rsidRPr="00E40AB1">
        <w:rPr>
          <w:lang w:val="en-AU"/>
        </w:rPr>
        <w:t xml:space="preserve"> adjustable</w:t>
      </w:r>
      <w:r w:rsidRPr="00E207BC">
        <w:t>, the</w:t>
      </w:r>
      <w:r w:rsidRPr="00E40AB1">
        <w:rPr>
          <w:lang w:val="en-AU"/>
        </w:rPr>
        <w:t xml:space="preserve"> side view may be rotated</w:t>
      </w:r>
      <w:r w:rsidRPr="00E207BC">
        <w:t xml:space="preserve"> about an axis passing</w:t>
      </w:r>
      <w:r w:rsidRPr="00E40AB1">
        <w:rPr>
          <w:lang w:val="en-AU"/>
        </w:rPr>
        <w:t xml:space="preserve"> through</w:t>
      </w:r>
      <w:r w:rsidRPr="00E207BC">
        <w:t xml:space="preserve"> Point Y and</w:t>
      </w:r>
      <w:r w:rsidRPr="00E40AB1">
        <w:rPr>
          <w:lang w:val="en-AU"/>
        </w:rPr>
        <w:t xml:space="preserve"> perpendicular</w:t>
      </w:r>
      <w:r w:rsidRPr="00E207BC">
        <w:t xml:space="preserve"> to the page.</w:t>
      </w:r>
    </w:p>
    <w:p w:rsidR="00AD0710" w:rsidRPr="00E207BC" w:rsidRDefault="00477362" w:rsidP="00AD0710">
      <w:pPr>
        <w:pStyle w:val="NormalWeb"/>
        <w:numPr>
          <w:ilvl w:val="0"/>
          <w:numId w:val="19"/>
        </w:numPr>
        <w:spacing w:before="0" w:beforeAutospacing="0" w:after="0" w:afterAutospacing="0"/>
        <w:rPr>
          <w:lang w:val="en-GB"/>
        </w:rPr>
      </w:pPr>
      <w:r w:rsidRPr="00E207BC">
        <w:rPr>
          <w:lang w:val="en-GB"/>
        </w:rPr>
        <w:t>Dimensions in mm except where otherwise indicated.</w:t>
      </w:r>
    </w:p>
    <w:p w:rsidR="00AD0710" w:rsidRPr="00E207BC" w:rsidRDefault="00477362" w:rsidP="00AD0710">
      <w:pPr>
        <w:pStyle w:val="NormalWeb"/>
        <w:numPr>
          <w:ilvl w:val="0"/>
          <w:numId w:val="19"/>
        </w:numPr>
        <w:spacing w:before="0" w:beforeAutospacing="0" w:after="0" w:afterAutospacing="0"/>
        <w:rPr>
          <w:lang w:val="en-GB"/>
        </w:rPr>
      </w:pPr>
      <w:r w:rsidRPr="00E207BC">
        <w:rPr>
          <w:lang w:val="en-GB"/>
        </w:rPr>
        <w:t>Drawing not to scale.</w:t>
      </w:r>
    </w:p>
    <w:p w:rsidR="00AD0710" w:rsidRPr="00E207BC" w:rsidRDefault="00AD0710" w:rsidP="00AD0710"/>
    <w:p w:rsidR="00453E1E" w:rsidRPr="007932F2" w:rsidRDefault="00453E1E" w:rsidP="00453E1E">
      <w:pPr>
        <w:jc w:val="center"/>
        <w:rPr>
          <w:b/>
        </w:rPr>
      </w:pPr>
      <w:bookmarkStart w:id="247" w:name="_Toc349015293"/>
      <w:r w:rsidRPr="00E207BC">
        <w:rPr>
          <w:b/>
        </w:rPr>
        <w:t>FIGURE 8:</w:t>
      </w:r>
      <w:r w:rsidRPr="00E207BC">
        <w:rPr>
          <w:b/>
        </w:rPr>
        <w:tab/>
        <w:t xml:space="preserve">CLEARANCE AROUND </w:t>
      </w:r>
      <w:r w:rsidRPr="00E207BC">
        <w:rPr>
          <w:b/>
          <w:i/>
        </w:rPr>
        <w:t>‘</w:t>
      </w:r>
      <w:r w:rsidR="000D34CC" w:rsidRPr="00E207BC">
        <w:rPr>
          <w:b/>
          <w:i/>
        </w:rPr>
        <w:t xml:space="preserve">UPPER </w:t>
      </w:r>
      <w:r w:rsidRPr="00E207BC">
        <w:rPr>
          <w:b/>
          <w:i/>
        </w:rPr>
        <w:t>ANCHOR FITTINGS</w:t>
      </w:r>
      <w:bookmarkEnd w:id="247"/>
      <w:r w:rsidRPr="00E207BC">
        <w:rPr>
          <w:b/>
          <w:i/>
        </w:rPr>
        <w:t>’</w:t>
      </w:r>
    </w:p>
    <w:p w:rsidR="00030247" w:rsidRPr="007932F2" w:rsidRDefault="00453E1E" w:rsidP="00030247">
      <w:pPr>
        <w:jc w:val="center"/>
      </w:pPr>
      <w:r w:rsidRPr="007932F2">
        <w:br w:type="page"/>
      </w:r>
      <w:r w:rsidR="00613B1E" w:rsidRPr="00E865C2">
        <w:rPr>
          <w:noProof/>
        </w:rPr>
        <w:lastRenderedPageBreak/>
        <w:drawing>
          <wp:inline distT="0" distB="0" distL="0" distR="0">
            <wp:extent cx="5991225" cy="4581525"/>
            <wp:effectExtent l="0" t="0" r="0" b="0"/>
            <wp:docPr id="11" name="Picture 17" descr="Tether Zone (side view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ther Zone (side view lar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4581525"/>
                    </a:xfrm>
                    <a:prstGeom prst="rect">
                      <a:avLst/>
                    </a:prstGeom>
                    <a:noFill/>
                    <a:ln>
                      <a:noFill/>
                    </a:ln>
                  </pic:spPr>
                </pic:pic>
              </a:graphicData>
            </a:graphic>
          </wp:inline>
        </w:drawing>
      </w:r>
    </w:p>
    <w:p w:rsidR="00030247" w:rsidRPr="007932F2" w:rsidRDefault="00030247" w:rsidP="00030247">
      <w:pPr>
        <w:pStyle w:val="NormalWeb"/>
        <w:spacing w:before="0" w:beforeAutospacing="0" w:after="0" w:afterAutospacing="0"/>
        <w:ind w:left="360"/>
        <w:rPr>
          <w:lang w:val="en-GB"/>
        </w:rPr>
      </w:pPr>
    </w:p>
    <w:p w:rsidR="00030247" w:rsidRPr="00E207BC" w:rsidRDefault="00477362" w:rsidP="00030247">
      <w:pPr>
        <w:pStyle w:val="NormalWeb"/>
        <w:spacing w:before="0" w:beforeAutospacing="0" w:after="0" w:afterAutospacing="0"/>
        <w:rPr>
          <w:lang w:val="en-GB"/>
        </w:rPr>
      </w:pPr>
      <w:r w:rsidRPr="00E207BC">
        <w:rPr>
          <w:lang w:val="en-GB"/>
        </w:rPr>
        <w:t>Notes:</w:t>
      </w:r>
    </w:p>
    <w:p w:rsidR="00030247" w:rsidRPr="00E207BC" w:rsidRDefault="00030247" w:rsidP="00030247">
      <w:pPr>
        <w:pStyle w:val="NormalWeb"/>
        <w:spacing w:before="0" w:beforeAutospacing="0" w:after="0" w:afterAutospacing="0"/>
        <w:rPr>
          <w:lang w:val="en-GB"/>
        </w:rPr>
      </w:pPr>
    </w:p>
    <w:p w:rsidR="00030247" w:rsidRPr="00E207BC" w:rsidRDefault="00477362" w:rsidP="00030247">
      <w:pPr>
        <w:pStyle w:val="NormalWeb"/>
        <w:numPr>
          <w:ilvl w:val="0"/>
          <w:numId w:val="14"/>
        </w:numPr>
        <w:spacing w:before="0" w:beforeAutospacing="0" w:after="0" w:afterAutospacing="0"/>
        <w:rPr>
          <w:lang w:val="en-GB"/>
        </w:rPr>
      </w:pPr>
      <w:r w:rsidRPr="00E207BC">
        <w:rPr>
          <w:lang w:val="en-GB"/>
        </w:rPr>
        <w:t>Dimensions in mm except where otherwise indicated.</w:t>
      </w:r>
    </w:p>
    <w:p w:rsidR="00030247" w:rsidRPr="00E207BC" w:rsidRDefault="00477362" w:rsidP="00030247">
      <w:pPr>
        <w:pStyle w:val="NormalWeb"/>
        <w:numPr>
          <w:ilvl w:val="0"/>
          <w:numId w:val="14"/>
        </w:numPr>
        <w:spacing w:before="0" w:beforeAutospacing="0" w:after="0" w:afterAutospacing="0"/>
        <w:rPr>
          <w:lang w:val="en-GB"/>
        </w:rPr>
      </w:pPr>
      <w:r w:rsidRPr="00E207BC">
        <w:rPr>
          <w:i/>
          <w:lang w:val="en-GB"/>
        </w:rPr>
        <w:t>‘Upper Anchor Fitting’ ‘Interface Profile’</w:t>
      </w:r>
      <w:r w:rsidRPr="00E207BC">
        <w:rPr>
          <w:lang w:val="en-GB"/>
        </w:rPr>
        <w:t xml:space="preserve"> to be located within shaded zone. </w:t>
      </w:r>
    </w:p>
    <w:p w:rsidR="00030247" w:rsidRPr="00E207BC" w:rsidRDefault="00477362" w:rsidP="00030247">
      <w:pPr>
        <w:pStyle w:val="NormalWeb"/>
        <w:numPr>
          <w:ilvl w:val="0"/>
          <w:numId w:val="14"/>
        </w:numPr>
        <w:spacing w:before="0" w:beforeAutospacing="0" w:after="0" w:afterAutospacing="0"/>
        <w:rPr>
          <w:lang w:val="en-GB"/>
        </w:rPr>
      </w:pPr>
      <w:r w:rsidRPr="00E207BC">
        <w:rPr>
          <w:lang w:val="en-GB"/>
        </w:rPr>
        <w:t>Drawing not to scale.</w:t>
      </w:r>
    </w:p>
    <w:p w:rsidR="00030247" w:rsidRPr="00E207BC" w:rsidRDefault="00477362" w:rsidP="00030247">
      <w:pPr>
        <w:pStyle w:val="NormalWeb"/>
        <w:numPr>
          <w:ilvl w:val="0"/>
          <w:numId w:val="14"/>
        </w:numPr>
        <w:spacing w:before="0" w:beforeAutospacing="0" w:after="0" w:afterAutospacing="0"/>
        <w:rPr>
          <w:lang w:val="en-GB"/>
        </w:rPr>
      </w:pPr>
      <w:r w:rsidRPr="00E207BC">
        <w:rPr>
          <w:lang w:val="en-GB"/>
        </w:rPr>
        <w:t>“R” Point: Shoulder reference point.</w:t>
      </w:r>
    </w:p>
    <w:p w:rsidR="00030247" w:rsidRPr="00E207BC" w:rsidRDefault="00477362" w:rsidP="00030247">
      <w:pPr>
        <w:pStyle w:val="NormalWeb"/>
        <w:numPr>
          <w:ilvl w:val="0"/>
          <w:numId w:val="14"/>
        </w:numPr>
        <w:spacing w:before="0" w:beforeAutospacing="0" w:after="0" w:afterAutospacing="0"/>
        <w:rPr>
          <w:lang w:val="en-GB"/>
        </w:rPr>
      </w:pPr>
      <w:r w:rsidRPr="00E207BC">
        <w:rPr>
          <w:lang w:val="en-GB"/>
        </w:rPr>
        <w:t>“V” Point: V-reference point, 350 mm vertically above and 175 mm horizontally back from H-point.</w:t>
      </w:r>
    </w:p>
    <w:p w:rsidR="00030247" w:rsidRPr="00E207BC" w:rsidRDefault="00477362" w:rsidP="00030247">
      <w:pPr>
        <w:pStyle w:val="NormalWeb"/>
        <w:numPr>
          <w:ilvl w:val="0"/>
          <w:numId w:val="14"/>
        </w:numPr>
        <w:spacing w:before="0" w:beforeAutospacing="0" w:after="0" w:afterAutospacing="0"/>
        <w:rPr>
          <w:lang w:val="en-GB"/>
        </w:rPr>
      </w:pPr>
      <w:r w:rsidRPr="00E207BC">
        <w:rPr>
          <w:lang w:val="en-GB"/>
        </w:rPr>
        <w:t xml:space="preserve">“W” Point: W-reference point, 50 mm vertically below and 50 mm horizontally back from “R” Point. </w:t>
      </w:r>
    </w:p>
    <w:p w:rsidR="00030247" w:rsidRPr="00E207BC" w:rsidRDefault="00477362" w:rsidP="00030247">
      <w:pPr>
        <w:pStyle w:val="NormalWeb"/>
        <w:numPr>
          <w:ilvl w:val="0"/>
          <w:numId w:val="14"/>
        </w:numPr>
        <w:spacing w:before="0" w:beforeAutospacing="0" w:after="0" w:afterAutospacing="0"/>
        <w:rPr>
          <w:lang w:val="en-GB"/>
        </w:rPr>
      </w:pPr>
      <w:r w:rsidRPr="00E207BC">
        <w:rPr>
          <w:lang w:val="en-GB"/>
        </w:rPr>
        <w:t>M Plane: M-reference plane, 1000 mm horizontally back from “R” Point.</w:t>
      </w:r>
    </w:p>
    <w:p w:rsidR="00030247" w:rsidRPr="00E207BC" w:rsidRDefault="00030247" w:rsidP="00030247">
      <w:pPr>
        <w:pStyle w:val="NormalWeb"/>
        <w:spacing w:before="0" w:beforeAutospacing="0" w:after="0" w:afterAutospacing="0"/>
        <w:jc w:val="center"/>
        <w:rPr>
          <w:lang w:val="en-GB"/>
        </w:rPr>
      </w:pPr>
    </w:p>
    <w:p w:rsidR="00030247" w:rsidRPr="00E207BC" w:rsidRDefault="00030247" w:rsidP="00030247">
      <w:pPr>
        <w:pStyle w:val="NormalWeb"/>
        <w:spacing w:before="0" w:beforeAutospacing="0" w:after="0" w:afterAutospacing="0"/>
        <w:jc w:val="center"/>
        <w:rPr>
          <w:lang w:val="en-GB"/>
        </w:rPr>
      </w:pPr>
    </w:p>
    <w:p w:rsidR="00030247" w:rsidRPr="00E207BC" w:rsidRDefault="00030247" w:rsidP="00030247">
      <w:pPr>
        <w:jc w:val="center"/>
        <w:rPr>
          <w:b/>
          <w:i/>
        </w:rPr>
      </w:pPr>
      <w:r w:rsidRPr="00E207BC">
        <w:rPr>
          <w:b/>
        </w:rPr>
        <w:t>FIGURE 9:</w:t>
      </w:r>
      <w:r w:rsidRPr="00E207BC">
        <w:rPr>
          <w:b/>
        </w:rPr>
        <w:tab/>
        <w:t xml:space="preserve">SIDE VIEW OF </w:t>
      </w:r>
      <w:r w:rsidRPr="00E207BC">
        <w:rPr>
          <w:b/>
          <w:i/>
        </w:rPr>
        <w:t xml:space="preserve">‘UPPER ANCHOR FITTING’ </w:t>
      </w:r>
    </w:p>
    <w:p w:rsidR="00030247" w:rsidRPr="007932F2" w:rsidRDefault="00030247" w:rsidP="00030247">
      <w:pPr>
        <w:jc w:val="center"/>
        <w:rPr>
          <w:b/>
          <w:i/>
        </w:rPr>
      </w:pPr>
      <w:r w:rsidRPr="00E207BC">
        <w:rPr>
          <w:b/>
          <w:i/>
        </w:rPr>
        <w:t>‘INTERFACE PROFILE’</w:t>
      </w:r>
      <w:r w:rsidRPr="00E207BC">
        <w:rPr>
          <w:b/>
        </w:rPr>
        <w:t xml:space="preserve"> ZONE</w:t>
      </w:r>
    </w:p>
    <w:p w:rsidR="009E41A6" w:rsidRPr="007932F2" w:rsidRDefault="009E41A6" w:rsidP="004B605B"/>
    <w:p w:rsidR="0084063E" w:rsidRPr="007932F2" w:rsidRDefault="00453E1E" w:rsidP="0084063E">
      <w:r w:rsidRPr="007932F2">
        <w:br w:type="page"/>
      </w:r>
      <w:r w:rsidR="00613B1E" w:rsidRPr="00C75067">
        <w:rPr>
          <w:b/>
          <w:noProof/>
        </w:rPr>
        <w:lastRenderedPageBreak/>
        <w:drawing>
          <wp:inline distT="0" distB="0" distL="0" distR="0">
            <wp:extent cx="5400675" cy="3876675"/>
            <wp:effectExtent l="0" t="0" r="0" b="0"/>
            <wp:docPr id="12" name="Picture 15" descr="Tether Zone (sid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ther Zone (side vie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3876675"/>
                    </a:xfrm>
                    <a:prstGeom prst="rect">
                      <a:avLst/>
                    </a:prstGeom>
                    <a:noFill/>
                    <a:ln>
                      <a:noFill/>
                    </a:ln>
                  </pic:spPr>
                </pic:pic>
              </a:graphicData>
            </a:graphic>
          </wp:inline>
        </w:drawing>
      </w:r>
    </w:p>
    <w:p w:rsidR="0084063E" w:rsidRPr="007932F2" w:rsidRDefault="0084063E" w:rsidP="0084063E"/>
    <w:p w:rsidR="0084063E" w:rsidRPr="007932F2" w:rsidRDefault="0084063E" w:rsidP="0084063E"/>
    <w:p w:rsidR="0084063E" w:rsidRPr="00E207BC" w:rsidRDefault="00477362" w:rsidP="0084063E">
      <w:pPr>
        <w:pStyle w:val="NormalWeb"/>
        <w:spacing w:before="0" w:beforeAutospacing="0" w:after="0" w:afterAutospacing="0"/>
        <w:ind w:left="360"/>
        <w:rPr>
          <w:lang w:val="en-GB"/>
        </w:rPr>
      </w:pPr>
      <w:r w:rsidRPr="00E207BC">
        <w:rPr>
          <w:lang w:val="en-GB"/>
        </w:rPr>
        <w:t>Notes:</w:t>
      </w:r>
    </w:p>
    <w:p w:rsidR="0084063E" w:rsidRPr="00E207BC" w:rsidRDefault="0084063E" w:rsidP="0084063E">
      <w:pPr>
        <w:pStyle w:val="NormalWeb"/>
        <w:spacing w:before="0" w:beforeAutospacing="0" w:after="0" w:afterAutospacing="0"/>
        <w:ind w:left="360"/>
        <w:rPr>
          <w:lang w:val="en-GB"/>
        </w:rPr>
      </w:pPr>
    </w:p>
    <w:p w:rsidR="0084063E" w:rsidRPr="00E207BC" w:rsidRDefault="00477362" w:rsidP="0084063E">
      <w:pPr>
        <w:pStyle w:val="NormalWeb"/>
        <w:numPr>
          <w:ilvl w:val="0"/>
          <w:numId w:val="15"/>
        </w:numPr>
        <w:spacing w:before="0" w:beforeAutospacing="0" w:after="0" w:afterAutospacing="0"/>
        <w:rPr>
          <w:lang w:val="en-GB"/>
        </w:rPr>
      </w:pPr>
      <w:r w:rsidRPr="00E207BC">
        <w:rPr>
          <w:lang w:val="en-GB"/>
        </w:rPr>
        <w:t>Dimensions in mm except where otherwise indicated.</w:t>
      </w:r>
    </w:p>
    <w:p w:rsidR="0084063E" w:rsidRPr="00E207BC" w:rsidRDefault="00477362" w:rsidP="0084063E">
      <w:pPr>
        <w:pStyle w:val="NormalWeb"/>
        <w:numPr>
          <w:ilvl w:val="0"/>
          <w:numId w:val="15"/>
        </w:numPr>
        <w:spacing w:before="0" w:beforeAutospacing="0" w:after="0" w:afterAutospacing="0"/>
        <w:rPr>
          <w:lang w:val="en-GB"/>
        </w:rPr>
      </w:pPr>
      <w:r w:rsidRPr="00E207BC">
        <w:rPr>
          <w:i/>
          <w:lang w:val="en-GB"/>
        </w:rPr>
        <w:t>‘Upper Anchor Fitting’ ‘Interface Profile’</w:t>
      </w:r>
      <w:r w:rsidRPr="00E207BC">
        <w:rPr>
          <w:lang w:val="en-GB"/>
        </w:rPr>
        <w:t xml:space="preserve"> to be located within shaded zone. </w:t>
      </w:r>
    </w:p>
    <w:p w:rsidR="0084063E" w:rsidRPr="00E207BC" w:rsidRDefault="00477362" w:rsidP="0084063E">
      <w:pPr>
        <w:pStyle w:val="NormalWeb"/>
        <w:numPr>
          <w:ilvl w:val="0"/>
          <w:numId w:val="15"/>
        </w:numPr>
        <w:spacing w:before="0" w:beforeAutospacing="0" w:after="0" w:afterAutospacing="0"/>
        <w:rPr>
          <w:lang w:val="en-GB"/>
        </w:rPr>
      </w:pPr>
      <w:r w:rsidRPr="00E207BC">
        <w:rPr>
          <w:lang w:val="en-GB"/>
        </w:rPr>
        <w:t>Drawing not to scale.</w:t>
      </w:r>
    </w:p>
    <w:p w:rsidR="0084063E" w:rsidRPr="00E207BC" w:rsidRDefault="00477362" w:rsidP="0084063E">
      <w:pPr>
        <w:pStyle w:val="NormalWeb"/>
        <w:numPr>
          <w:ilvl w:val="0"/>
          <w:numId w:val="15"/>
        </w:numPr>
        <w:spacing w:before="0" w:beforeAutospacing="0" w:after="0" w:afterAutospacing="0"/>
        <w:rPr>
          <w:lang w:val="en-GB"/>
        </w:rPr>
      </w:pPr>
      <w:r w:rsidRPr="00E207BC">
        <w:rPr>
          <w:lang w:val="en-GB"/>
        </w:rPr>
        <w:t>“R” Point: Shoulder reference point.</w:t>
      </w:r>
    </w:p>
    <w:p w:rsidR="0084063E" w:rsidRPr="00E207BC" w:rsidRDefault="00477362" w:rsidP="0084063E">
      <w:pPr>
        <w:pStyle w:val="NormalWeb"/>
        <w:numPr>
          <w:ilvl w:val="0"/>
          <w:numId w:val="15"/>
        </w:numPr>
        <w:spacing w:before="0" w:beforeAutospacing="0" w:after="0" w:afterAutospacing="0"/>
        <w:rPr>
          <w:lang w:val="en-GB"/>
        </w:rPr>
      </w:pPr>
      <w:r w:rsidRPr="00E207BC">
        <w:rPr>
          <w:lang w:val="en-GB"/>
        </w:rPr>
        <w:t>“V” Point: V-reference point, 350 mm vertically above and 175 mm horizontally back from H-point.</w:t>
      </w:r>
    </w:p>
    <w:p w:rsidR="0084063E" w:rsidRPr="00E207BC" w:rsidRDefault="00477362" w:rsidP="0084063E">
      <w:pPr>
        <w:pStyle w:val="NormalWeb"/>
        <w:numPr>
          <w:ilvl w:val="0"/>
          <w:numId w:val="15"/>
        </w:numPr>
        <w:spacing w:before="0" w:beforeAutospacing="0" w:after="0" w:afterAutospacing="0"/>
        <w:rPr>
          <w:lang w:val="en-GB"/>
        </w:rPr>
      </w:pPr>
      <w:r w:rsidRPr="00E207BC">
        <w:rPr>
          <w:lang w:val="en-GB"/>
        </w:rPr>
        <w:t xml:space="preserve">“W” Point: W-reference point, 50 mm vertically below and 50 mm horizontally back from “R” Point. </w:t>
      </w:r>
    </w:p>
    <w:p w:rsidR="0084063E" w:rsidRPr="00E207BC" w:rsidRDefault="0084063E" w:rsidP="0084063E">
      <w:pPr>
        <w:pStyle w:val="NormalWeb"/>
        <w:spacing w:before="0" w:beforeAutospacing="0" w:after="0" w:afterAutospacing="0"/>
        <w:jc w:val="center"/>
        <w:rPr>
          <w:lang w:val="en-GB"/>
        </w:rPr>
      </w:pPr>
    </w:p>
    <w:p w:rsidR="0084063E" w:rsidRPr="00E207BC" w:rsidRDefault="0084063E" w:rsidP="0084063E">
      <w:pPr>
        <w:pStyle w:val="NormalWeb"/>
        <w:spacing w:before="0" w:beforeAutospacing="0" w:after="0" w:afterAutospacing="0"/>
        <w:jc w:val="center"/>
        <w:rPr>
          <w:lang w:val="en-GB"/>
        </w:rPr>
      </w:pPr>
    </w:p>
    <w:p w:rsidR="0084063E" w:rsidRPr="007932F2" w:rsidRDefault="0084063E" w:rsidP="0084063E">
      <w:pPr>
        <w:jc w:val="center"/>
        <w:rPr>
          <w:b/>
          <w:i/>
        </w:rPr>
      </w:pPr>
      <w:r w:rsidRPr="00E207BC">
        <w:rPr>
          <w:b/>
        </w:rPr>
        <w:t>FIGURE 10:</w:t>
      </w:r>
      <w:r w:rsidRPr="00E207BC">
        <w:rPr>
          <w:b/>
        </w:rPr>
        <w:tab/>
        <w:t xml:space="preserve">ENLARGED SIDE VIEW OF STRAP WRAP AROUND AREA OF </w:t>
      </w:r>
      <w:r w:rsidRPr="00E207BC">
        <w:rPr>
          <w:b/>
          <w:i/>
        </w:rPr>
        <w:t>‘UPPER ANCHOR FITTING’ ‘INTERFACE PROFILE’</w:t>
      </w:r>
      <w:r w:rsidRPr="00E207BC">
        <w:rPr>
          <w:b/>
        </w:rPr>
        <w:t xml:space="preserve"> ZONE</w:t>
      </w:r>
    </w:p>
    <w:p w:rsidR="00453E1E" w:rsidRPr="007932F2" w:rsidRDefault="00453E1E" w:rsidP="004B605B"/>
    <w:p w:rsidR="003F1107" w:rsidRPr="007932F2" w:rsidRDefault="00453E1E" w:rsidP="003F1107">
      <w:r w:rsidRPr="007932F2">
        <w:br w:type="page"/>
      </w:r>
    </w:p>
    <w:p w:rsidR="003F1107" w:rsidRPr="007932F2" w:rsidRDefault="003F1107" w:rsidP="003F1107"/>
    <w:p w:rsidR="003F1107" w:rsidRPr="007932F2" w:rsidRDefault="00613B1E" w:rsidP="003F1107">
      <w:r w:rsidRPr="00E865C2">
        <w:rPr>
          <w:noProof/>
        </w:rPr>
        <w:drawing>
          <wp:inline distT="0" distB="0" distL="0" distR="0">
            <wp:extent cx="5400675" cy="3057525"/>
            <wp:effectExtent l="0" t="0" r="0" b="0"/>
            <wp:docPr id="13" name="Picture 16" descr="Tether Zone (plan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ther Zone (plan vie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3057525"/>
                    </a:xfrm>
                    <a:prstGeom prst="rect">
                      <a:avLst/>
                    </a:prstGeom>
                    <a:noFill/>
                    <a:ln>
                      <a:noFill/>
                    </a:ln>
                  </pic:spPr>
                </pic:pic>
              </a:graphicData>
            </a:graphic>
          </wp:inline>
        </w:drawing>
      </w:r>
    </w:p>
    <w:p w:rsidR="003F1107" w:rsidRPr="007932F2" w:rsidRDefault="003F1107" w:rsidP="003F1107"/>
    <w:p w:rsidR="003F1107" w:rsidRPr="007932F2" w:rsidRDefault="003F1107" w:rsidP="003F1107">
      <w:pPr>
        <w:pStyle w:val="NormalWeb"/>
        <w:spacing w:before="0" w:beforeAutospacing="0" w:after="0" w:afterAutospacing="0"/>
        <w:rPr>
          <w:lang w:val="en-GB"/>
        </w:rPr>
      </w:pPr>
    </w:p>
    <w:p w:rsidR="003F1107" w:rsidRPr="007932F2" w:rsidRDefault="003F1107" w:rsidP="003F1107">
      <w:pPr>
        <w:pStyle w:val="NormalWeb"/>
        <w:spacing w:before="0" w:beforeAutospacing="0" w:after="0" w:afterAutospacing="0"/>
        <w:rPr>
          <w:lang w:val="en-GB"/>
        </w:rPr>
      </w:pPr>
    </w:p>
    <w:p w:rsidR="003F1107" w:rsidRPr="007932F2" w:rsidRDefault="00477362" w:rsidP="003F1107">
      <w:pPr>
        <w:pStyle w:val="NormalWeb"/>
        <w:spacing w:before="0" w:beforeAutospacing="0" w:after="0" w:afterAutospacing="0"/>
        <w:rPr>
          <w:lang w:val="en-GB"/>
        </w:rPr>
      </w:pPr>
      <w:r w:rsidRPr="00477362">
        <w:rPr>
          <w:lang w:val="en-GB"/>
        </w:rPr>
        <w:t>Notes:</w:t>
      </w:r>
    </w:p>
    <w:p w:rsidR="003F1107" w:rsidRPr="007932F2" w:rsidRDefault="003F1107" w:rsidP="003F1107">
      <w:pPr>
        <w:pStyle w:val="NormalWeb"/>
        <w:spacing w:before="0" w:beforeAutospacing="0" w:after="0" w:afterAutospacing="0"/>
        <w:rPr>
          <w:lang w:val="en-GB"/>
        </w:rPr>
      </w:pPr>
    </w:p>
    <w:p w:rsidR="003F1107" w:rsidRPr="00E207BC" w:rsidRDefault="00477362" w:rsidP="003F1107">
      <w:pPr>
        <w:pStyle w:val="NormalWeb"/>
        <w:numPr>
          <w:ilvl w:val="0"/>
          <w:numId w:val="16"/>
        </w:numPr>
        <w:spacing w:before="0" w:beforeAutospacing="0" w:after="0" w:afterAutospacing="0"/>
        <w:rPr>
          <w:lang w:val="en-GB"/>
        </w:rPr>
      </w:pPr>
      <w:r w:rsidRPr="00E207BC">
        <w:rPr>
          <w:lang w:val="en-GB"/>
        </w:rPr>
        <w:t>Dimensions in mm except where otherwise indicated.</w:t>
      </w:r>
    </w:p>
    <w:p w:rsidR="003F1107" w:rsidRPr="00E207BC" w:rsidRDefault="00477362" w:rsidP="003F1107">
      <w:pPr>
        <w:pStyle w:val="NormalWeb"/>
        <w:numPr>
          <w:ilvl w:val="0"/>
          <w:numId w:val="16"/>
        </w:numPr>
        <w:spacing w:before="0" w:beforeAutospacing="0" w:after="0" w:afterAutospacing="0"/>
        <w:rPr>
          <w:lang w:val="en-GB"/>
        </w:rPr>
      </w:pPr>
      <w:r w:rsidRPr="00E207BC">
        <w:rPr>
          <w:i/>
          <w:lang w:val="en-GB"/>
        </w:rPr>
        <w:t>‘Upper Anchor Fitting’ ‘Interface Profile’</w:t>
      </w:r>
      <w:r w:rsidRPr="00E207BC">
        <w:rPr>
          <w:lang w:val="en-GB"/>
        </w:rPr>
        <w:t xml:space="preserve"> to be located within shaded zone.</w:t>
      </w:r>
    </w:p>
    <w:p w:rsidR="003F1107" w:rsidRPr="00E207BC" w:rsidRDefault="00477362" w:rsidP="003F1107">
      <w:pPr>
        <w:pStyle w:val="NormalWeb"/>
        <w:numPr>
          <w:ilvl w:val="0"/>
          <w:numId w:val="16"/>
        </w:numPr>
        <w:spacing w:before="0" w:beforeAutospacing="0" w:after="0" w:afterAutospacing="0"/>
        <w:rPr>
          <w:lang w:val="en-GB"/>
        </w:rPr>
      </w:pPr>
      <w:r w:rsidRPr="00E207BC">
        <w:rPr>
          <w:lang w:val="en-GB"/>
        </w:rPr>
        <w:t>Drawing not to scale.</w:t>
      </w:r>
    </w:p>
    <w:p w:rsidR="003F1107" w:rsidRPr="00E207BC" w:rsidRDefault="00477362" w:rsidP="003F1107">
      <w:pPr>
        <w:pStyle w:val="NormalWeb"/>
        <w:numPr>
          <w:ilvl w:val="0"/>
          <w:numId w:val="16"/>
        </w:numPr>
        <w:spacing w:before="0" w:beforeAutospacing="0" w:after="0" w:afterAutospacing="0"/>
        <w:rPr>
          <w:lang w:val="en-GB"/>
        </w:rPr>
      </w:pPr>
      <w:r w:rsidRPr="00E207BC">
        <w:rPr>
          <w:lang w:val="en-GB"/>
        </w:rPr>
        <w:t>“R” Point: Shoulder reference point.</w:t>
      </w:r>
    </w:p>
    <w:p w:rsidR="003F1107" w:rsidRPr="00E207BC" w:rsidRDefault="00477362" w:rsidP="003F1107">
      <w:pPr>
        <w:pStyle w:val="NormalWeb"/>
        <w:numPr>
          <w:ilvl w:val="0"/>
          <w:numId w:val="16"/>
        </w:numPr>
        <w:spacing w:before="0" w:beforeAutospacing="0" w:after="0" w:afterAutospacing="0"/>
        <w:rPr>
          <w:lang w:val="en-GB"/>
        </w:rPr>
      </w:pPr>
      <w:r w:rsidRPr="00E207BC">
        <w:rPr>
          <w:lang w:val="en-GB"/>
        </w:rPr>
        <w:t>“V” Point: V-reference point, 350 mm vertically above and 175 mm horizontally back from H-point.</w:t>
      </w:r>
    </w:p>
    <w:p w:rsidR="003F1107" w:rsidRPr="00E207BC" w:rsidRDefault="00477362" w:rsidP="003F1107">
      <w:pPr>
        <w:pStyle w:val="NormalWeb"/>
        <w:numPr>
          <w:ilvl w:val="0"/>
          <w:numId w:val="16"/>
        </w:numPr>
        <w:spacing w:before="0" w:beforeAutospacing="0" w:after="0" w:afterAutospacing="0"/>
        <w:rPr>
          <w:lang w:val="en-GB"/>
        </w:rPr>
      </w:pPr>
      <w:r w:rsidRPr="00E207BC">
        <w:rPr>
          <w:lang w:val="en-GB"/>
        </w:rPr>
        <w:t xml:space="preserve">“W” Point: W-reference point, 50 mm vertically below and 50 mm horizontally back from “R” Point. </w:t>
      </w:r>
    </w:p>
    <w:p w:rsidR="003F1107" w:rsidRPr="00E207BC" w:rsidRDefault="003F1107" w:rsidP="003F1107">
      <w:pPr>
        <w:pStyle w:val="NormalWeb"/>
        <w:spacing w:before="0" w:beforeAutospacing="0" w:after="0" w:afterAutospacing="0"/>
        <w:ind w:left="1080"/>
        <w:rPr>
          <w:lang w:val="en-GB"/>
        </w:rPr>
      </w:pPr>
    </w:p>
    <w:p w:rsidR="003F1107" w:rsidRPr="00E207BC" w:rsidRDefault="003F1107" w:rsidP="003F1107">
      <w:pPr>
        <w:pStyle w:val="NormalWeb"/>
        <w:spacing w:before="0" w:beforeAutospacing="0" w:after="0" w:afterAutospacing="0"/>
        <w:rPr>
          <w:lang w:val="en-GB"/>
        </w:rPr>
      </w:pPr>
    </w:p>
    <w:p w:rsidR="003F1107" w:rsidRPr="007932F2" w:rsidRDefault="003F1107" w:rsidP="003F1107">
      <w:r w:rsidRPr="00E207BC">
        <w:rPr>
          <w:b/>
        </w:rPr>
        <w:t>FIGURE 11:</w:t>
      </w:r>
      <w:r w:rsidRPr="00E207BC">
        <w:rPr>
          <w:b/>
        </w:rPr>
        <w:tab/>
        <w:t xml:space="preserve">PLAN VIEW (R-PLANE CROSS SECTION) OF </w:t>
      </w:r>
      <w:r w:rsidRPr="00E207BC">
        <w:rPr>
          <w:b/>
          <w:i/>
        </w:rPr>
        <w:t>‘UPPER ANCHOR FITTING’ ‘INTERFACE PROFILE’</w:t>
      </w:r>
      <w:r w:rsidRPr="00E207BC">
        <w:rPr>
          <w:b/>
        </w:rPr>
        <w:t xml:space="preserve"> ZONE</w:t>
      </w:r>
    </w:p>
    <w:p w:rsidR="00453E1E" w:rsidRPr="007932F2" w:rsidRDefault="00453E1E" w:rsidP="0084063E">
      <w:pPr>
        <w:jc w:val="center"/>
      </w:pPr>
    </w:p>
    <w:p w:rsidR="003F1107" w:rsidRPr="00E207BC" w:rsidRDefault="00453E1E" w:rsidP="003F1107">
      <w:pPr>
        <w:jc w:val="center"/>
      </w:pPr>
      <w:r w:rsidRPr="007932F2">
        <w:br w:type="page"/>
      </w:r>
      <w:r w:rsidR="00613B1E" w:rsidRPr="00E865C2">
        <w:rPr>
          <w:noProof/>
        </w:rPr>
        <w:lastRenderedPageBreak/>
        <w:drawing>
          <wp:inline distT="0" distB="0" distL="0" distR="0">
            <wp:extent cx="4229100" cy="6029325"/>
            <wp:effectExtent l="0" t="0" r="0" b="0"/>
            <wp:docPr id="14" name="Picture 7" descr="Tether Zone (fron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ther Zone (front view).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6029325"/>
                    </a:xfrm>
                    <a:prstGeom prst="rect">
                      <a:avLst/>
                    </a:prstGeom>
                    <a:noFill/>
                    <a:ln>
                      <a:noFill/>
                    </a:ln>
                  </pic:spPr>
                </pic:pic>
              </a:graphicData>
            </a:graphic>
          </wp:inline>
        </w:drawing>
      </w:r>
    </w:p>
    <w:p w:rsidR="003F1107" w:rsidRPr="00E207BC" w:rsidRDefault="00477362" w:rsidP="003F1107">
      <w:pPr>
        <w:pStyle w:val="NormalWeb"/>
        <w:spacing w:before="0" w:beforeAutospacing="0" w:after="0" w:afterAutospacing="0"/>
        <w:ind w:left="360"/>
        <w:rPr>
          <w:lang w:val="en-GB"/>
        </w:rPr>
      </w:pPr>
      <w:r w:rsidRPr="00E207BC">
        <w:rPr>
          <w:lang w:val="en-GB"/>
        </w:rPr>
        <w:t>Notes:</w:t>
      </w:r>
    </w:p>
    <w:p w:rsidR="003F1107" w:rsidRPr="00E207BC" w:rsidRDefault="003F1107" w:rsidP="003F1107">
      <w:pPr>
        <w:pStyle w:val="NormalWeb"/>
        <w:spacing w:before="0" w:beforeAutospacing="0" w:after="0" w:afterAutospacing="0"/>
        <w:ind w:left="360"/>
        <w:rPr>
          <w:lang w:val="en-GB"/>
        </w:rPr>
      </w:pPr>
    </w:p>
    <w:p w:rsidR="003F1107" w:rsidRPr="00E207BC" w:rsidRDefault="00477362" w:rsidP="003F1107">
      <w:pPr>
        <w:pStyle w:val="NormalWeb"/>
        <w:numPr>
          <w:ilvl w:val="0"/>
          <w:numId w:val="17"/>
        </w:numPr>
        <w:spacing w:before="0" w:beforeAutospacing="0" w:after="0" w:afterAutospacing="0"/>
        <w:rPr>
          <w:lang w:val="en-GB"/>
        </w:rPr>
      </w:pPr>
      <w:r w:rsidRPr="00E207BC">
        <w:rPr>
          <w:i/>
          <w:lang w:val="en-GB"/>
        </w:rPr>
        <w:t>‘Upper Anchor Fitting’ ‘Interface Profile’</w:t>
      </w:r>
      <w:r w:rsidRPr="00E207BC">
        <w:rPr>
          <w:lang w:val="en-GB"/>
        </w:rPr>
        <w:t xml:space="preserve"> to be located within shaded zone. </w:t>
      </w:r>
    </w:p>
    <w:p w:rsidR="003F1107" w:rsidRPr="00E207BC" w:rsidRDefault="00477362" w:rsidP="003F1107">
      <w:pPr>
        <w:pStyle w:val="NormalWeb"/>
        <w:numPr>
          <w:ilvl w:val="0"/>
          <w:numId w:val="17"/>
        </w:numPr>
        <w:spacing w:before="0" w:beforeAutospacing="0" w:after="0" w:afterAutospacing="0"/>
        <w:rPr>
          <w:lang w:val="en-GB"/>
        </w:rPr>
      </w:pPr>
      <w:r w:rsidRPr="00E207BC">
        <w:rPr>
          <w:lang w:val="en-GB"/>
        </w:rPr>
        <w:t>Drawing not to scale.</w:t>
      </w:r>
    </w:p>
    <w:p w:rsidR="003F1107" w:rsidRPr="00E207BC" w:rsidRDefault="00477362" w:rsidP="003F1107">
      <w:pPr>
        <w:pStyle w:val="NormalWeb"/>
        <w:numPr>
          <w:ilvl w:val="0"/>
          <w:numId w:val="17"/>
        </w:numPr>
        <w:spacing w:before="0" w:beforeAutospacing="0" w:after="0" w:afterAutospacing="0"/>
        <w:rPr>
          <w:lang w:val="en-GB"/>
        </w:rPr>
      </w:pPr>
      <w:r w:rsidRPr="00E207BC">
        <w:rPr>
          <w:lang w:val="en-GB"/>
        </w:rPr>
        <w:t>“R” Point: Shoulder reference point.</w:t>
      </w:r>
    </w:p>
    <w:p w:rsidR="003F1107" w:rsidRPr="00E207BC" w:rsidRDefault="00477362" w:rsidP="003F1107">
      <w:pPr>
        <w:pStyle w:val="NormalWeb"/>
        <w:numPr>
          <w:ilvl w:val="0"/>
          <w:numId w:val="17"/>
        </w:numPr>
        <w:spacing w:before="0" w:beforeAutospacing="0" w:after="0" w:afterAutospacing="0"/>
        <w:rPr>
          <w:lang w:val="en-GB"/>
        </w:rPr>
      </w:pPr>
      <w:r w:rsidRPr="00E207BC">
        <w:rPr>
          <w:lang w:val="en-GB"/>
        </w:rPr>
        <w:t>“V” Point: V-reference point, 350 mm vertically above and 175 mm horizontally back from H-point.</w:t>
      </w:r>
    </w:p>
    <w:p w:rsidR="003F1107" w:rsidRPr="00E207BC" w:rsidRDefault="00477362" w:rsidP="003F1107">
      <w:pPr>
        <w:pStyle w:val="NormalWeb"/>
        <w:numPr>
          <w:ilvl w:val="0"/>
          <w:numId w:val="17"/>
        </w:numPr>
        <w:spacing w:before="0" w:beforeAutospacing="0" w:after="0" w:afterAutospacing="0"/>
        <w:rPr>
          <w:lang w:val="en-GB"/>
        </w:rPr>
      </w:pPr>
      <w:r w:rsidRPr="00E207BC">
        <w:rPr>
          <w:lang w:val="en-GB"/>
        </w:rPr>
        <w:t xml:space="preserve">“W” Point: W-reference point, 50 mm vertically below and 50 mm horizontally back from “R” Point. </w:t>
      </w:r>
    </w:p>
    <w:p w:rsidR="003F1107" w:rsidRPr="00E207BC" w:rsidRDefault="003F1107" w:rsidP="003F1107">
      <w:pPr>
        <w:pStyle w:val="NormalWeb"/>
        <w:spacing w:before="0" w:beforeAutospacing="0" w:after="0" w:afterAutospacing="0"/>
        <w:rPr>
          <w:lang w:val="en-GB"/>
        </w:rPr>
      </w:pPr>
    </w:p>
    <w:p w:rsidR="003F1107" w:rsidRPr="00E207BC" w:rsidRDefault="003F1107" w:rsidP="003F1107">
      <w:pPr>
        <w:jc w:val="center"/>
        <w:rPr>
          <w:b/>
          <w:i/>
        </w:rPr>
      </w:pPr>
      <w:r w:rsidRPr="00E207BC">
        <w:rPr>
          <w:b/>
        </w:rPr>
        <w:t>FIGURE 12:</w:t>
      </w:r>
      <w:r w:rsidRPr="00E207BC">
        <w:rPr>
          <w:b/>
        </w:rPr>
        <w:tab/>
        <w:t xml:space="preserve">FRONT VIEW OF </w:t>
      </w:r>
      <w:r w:rsidRPr="00E207BC">
        <w:rPr>
          <w:b/>
          <w:i/>
        </w:rPr>
        <w:t xml:space="preserve">‘UPPER ANCHOR FITTING’ </w:t>
      </w:r>
    </w:p>
    <w:p w:rsidR="003F1107" w:rsidRPr="007932F2" w:rsidRDefault="003F1107" w:rsidP="003F1107">
      <w:pPr>
        <w:jc w:val="center"/>
        <w:rPr>
          <w:b/>
          <w:i/>
        </w:rPr>
      </w:pPr>
      <w:r w:rsidRPr="00E207BC">
        <w:rPr>
          <w:b/>
          <w:i/>
        </w:rPr>
        <w:t>‘INTERFACE PROFILE’</w:t>
      </w:r>
      <w:r w:rsidRPr="00E207BC">
        <w:rPr>
          <w:b/>
        </w:rPr>
        <w:t xml:space="preserve"> ZONE</w:t>
      </w:r>
    </w:p>
    <w:p w:rsidR="00453E1E" w:rsidRPr="007932F2" w:rsidRDefault="00453E1E" w:rsidP="003F1107">
      <w:pPr>
        <w:jc w:val="center"/>
      </w:pPr>
    </w:p>
    <w:p w:rsidR="003F1107" w:rsidRPr="007932F2" w:rsidRDefault="00453E1E" w:rsidP="003F1107">
      <w:r w:rsidRPr="007932F2">
        <w:br w:type="page"/>
      </w:r>
      <w:r w:rsidR="00613B1E" w:rsidRPr="00E865C2">
        <w:rPr>
          <w:noProof/>
        </w:rPr>
        <w:lastRenderedPageBreak/>
        <w:drawing>
          <wp:inline distT="0" distB="0" distL="0" distR="0">
            <wp:extent cx="5400675" cy="4781550"/>
            <wp:effectExtent l="0" t="0" r="0" b="0"/>
            <wp:docPr id="15" name="Picture 6" descr="3D Tether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D Tether Zon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4781550"/>
                    </a:xfrm>
                    <a:prstGeom prst="rect">
                      <a:avLst/>
                    </a:prstGeom>
                    <a:noFill/>
                    <a:ln>
                      <a:noFill/>
                    </a:ln>
                  </pic:spPr>
                </pic:pic>
              </a:graphicData>
            </a:graphic>
          </wp:inline>
        </w:drawing>
      </w:r>
    </w:p>
    <w:p w:rsidR="003F1107" w:rsidRPr="007932F2" w:rsidRDefault="003F1107" w:rsidP="003F1107"/>
    <w:p w:rsidR="003F1107" w:rsidRPr="00E207BC" w:rsidRDefault="00477362" w:rsidP="003F1107">
      <w:pPr>
        <w:pStyle w:val="NormalWeb"/>
        <w:spacing w:before="0" w:beforeAutospacing="0" w:after="0" w:afterAutospacing="0"/>
        <w:ind w:left="360"/>
        <w:rPr>
          <w:lang w:val="en-GB"/>
        </w:rPr>
      </w:pPr>
      <w:r w:rsidRPr="00E207BC">
        <w:rPr>
          <w:lang w:val="en-GB"/>
        </w:rPr>
        <w:t>Notes:</w:t>
      </w:r>
    </w:p>
    <w:p w:rsidR="003F1107" w:rsidRPr="00E207BC" w:rsidRDefault="003F1107" w:rsidP="003F1107">
      <w:pPr>
        <w:pStyle w:val="NormalWeb"/>
        <w:spacing w:before="0" w:beforeAutospacing="0" w:after="0" w:afterAutospacing="0"/>
        <w:ind w:left="360"/>
        <w:rPr>
          <w:lang w:val="en-GB"/>
        </w:rPr>
      </w:pPr>
    </w:p>
    <w:p w:rsidR="003F1107" w:rsidRPr="00E207BC" w:rsidRDefault="00477362" w:rsidP="003F1107">
      <w:pPr>
        <w:pStyle w:val="NormalWeb"/>
        <w:numPr>
          <w:ilvl w:val="0"/>
          <w:numId w:val="18"/>
        </w:numPr>
        <w:spacing w:before="0" w:beforeAutospacing="0" w:after="0" w:afterAutospacing="0"/>
        <w:rPr>
          <w:lang w:val="en-GB"/>
        </w:rPr>
      </w:pPr>
      <w:r w:rsidRPr="00E207BC">
        <w:rPr>
          <w:i/>
          <w:lang w:val="en-GB"/>
        </w:rPr>
        <w:t>‘Upper Anchor Fitting’ ‘Interface Profile’</w:t>
      </w:r>
      <w:r w:rsidRPr="00E207BC">
        <w:rPr>
          <w:lang w:val="en-GB"/>
        </w:rPr>
        <w:t xml:space="preserve"> to be located within shaded zone.  </w:t>
      </w:r>
    </w:p>
    <w:p w:rsidR="003F1107" w:rsidRPr="00E207BC" w:rsidRDefault="00477362" w:rsidP="003F1107">
      <w:pPr>
        <w:pStyle w:val="NormalWeb"/>
        <w:numPr>
          <w:ilvl w:val="0"/>
          <w:numId w:val="18"/>
        </w:numPr>
        <w:spacing w:before="0" w:beforeAutospacing="0" w:after="0" w:afterAutospacing="0"/>
        <w:rPr>
          <w:lang w:val="en-GB"/>
        </w:rPr>
      </w:pPr>
      <w:r w:rsidRPr="00E207BC">
        <w:rPr>
          <w:lang w:val="en-GB"/>
        </w:rPr>
        <w:t>Drawing not to scale.</w:t>
      </w:r>
    </w:p>
    <w:p w:rsidR="003F1107" w:rsidRPr="00E207BC" w:rsidRDefault="00477362" w:rsidP="003F1107">
      <w:pPr>
        <w:pStyle w:val="NormalWeb"/>
        <w:numPr>
          <w:ilvl w:val="0"/>
          <w:numId w:val="18"/>
        </w:numPr>
        <w:spacing w:before="0" w:beforeAutospacing="0" w:after="0" w:afterAutospacing="0"/>
        <w:rPr>
          <w:lang w:val="en-GB"/>
        </w:rPr>
      </w:pPr>
      <w:r w:rsidRPr="00E207BC">
        <w:rPr>
          <w:lang w:val="en-GB"/>
        </w:rPr>
        <w:t>“R” Point: Shoulder reference point.</w:t>
      </w:r>
    </w:p>
    <w:p w:rsidR="003F1107" w:rsidRPr="00E207BC" w:rsidRDefault="00477362" w:rsidP="003F1107">
      <w:pPr>
        <w:pStyle w:val="NormalWeb"/>
        <w:numPr>
          <w:ilvl w:val="0"/>
          <w:numId w:val="18"/>
        </w:numPr>
        <w:spacing w:before="0" w:beforeAutospacing="0" w:after="0" w:afterAutospacing="0"/>
        <w:rPr>
          <w:lang w:val="en-GB"/>
        </w:rPr>
      </w:pPr>
      <w:r w:rsidRPr="00E207BC">
        <w:rPr>
          <w:lang w:val="en-GB"/>
        </w:rPr>
        <w:t>“V” Point: V-reference point, 350 mm vertically above and 175 mm horizontally back from H-point.</w:t>
      </w:r>
    </w:p>
    <w:p w:rsidR="003F1107" w:rsidRPr="00E207BC" w:rsidRDefault="00477362" w:rsidP="003F1107">
      <w:pPr>
        <w:pStyle w:val="NormalWeb"/>
        <w:numPr>
          <w:ilvl w:val="0"/>
          <w:numId w:val="18"/>
        </w:numPr>
        <w:spacing w:before="0" w:beforeAutospacing="0" w:after="0" w:afterAutospacing="0"/>
        <w:rPr>
          <w:lang w:val="en-GB"/>
        </w:rPr>
      </w:pPr>
      <w:r w:rsidRPr="00E207BC">
        <w:rPr>
          <w:lang w:val="en-GB"/>
        </w:rPr>
        <w:t xml:space="preserve">“W” Point: W-reference point, 50 mm vertically below and 50 mm horizontally back from “R” Point. </w:t>
      </w:r>
    </w:p>
    <w:p w:rsidR="003F1107" w:rsidRPr="00E207BC" w:rsidRDefault="003F1107" w:rsidP="003F1107">
      <w:pPr>
        <w:pStyle w:val="NormalWeb"/>
        <w:spacing w:before="0" w:beforeAutospacing="0" w:after="0" w:afterAutospacing="0"/>
        <w:jc w:val="center"/>
        <w:rPr>
          <w:lang w:val="en-GB"/>
        </w:rPr>
      </w:pPr>
    </w:p>
    <w:p w:rsidR="003F1107" w:rsidRPr="00E207BC" w:rsidRDefault="003F1107" w:rsidP="003F1107">
      <w:pPr>
        <w:pStyle w:val="NormalWeb"/>
        <w:spacing w:before="0" w:beforeAutospacing="0" w:after="0" w:afterAutospacing="0"/>
        <w:jc w:val="center"/>
        <w:rPr>
          <w:lang w:val="en-GB"/>
        </w:rPr>
      </w:pPr>
    </w:p>
    <w:p w:rsidR="003F1107" w:rsidRPr="00E207BC" w:rsidRDefault="003F1107" w:rsidP="003F1107">
      <w:pPr>
        <w:jc w:val="center"/>
        <w:rPr>
          <w:b/>
        </w:rPr>
      </w:pPr>
      <w:r w:rsidRPr="00E207BC">
        <w:rPr>
          <w:b/>
        </w:rPr>
        <w:t>FIGURE 13:</w:t>
      </w:r>
      <w:r w:rsidRPr="00E207BC">
        <w:rPr>
          <w:b/>
        </w:rPr>
        <w:tab/>
        <w:t xml:space="preserve">3-DIMENSIONAL ISOMETRIC VIEW OF </w:t>
      </w:r>
    </w:p>
    <w:p w:rsidR="000B3BB4" w:rsidRDefault="003F1107" w:rsidP="003F1107">
      <w:pPr>
        <w:jc w:val="center"/>
        <w:rPr>
          <w:b/>
        </w:rPr>
        <w:sectPr w:rsidR="000B3BB4" w:rsidSect="00F97BB1">
          <w:headerReference w:type="default" r:id="rId25"/>
          <w:pgSz w:w="11906" w:h="16838"/>
          <w:pgMar w:top="1440" w:right="1701" w:bottom="1440" w:left="1701" w:header="709" w:footer="709" w:gutter="0"/>
          <w:cols w:space="708"/>
          <w:docGrid w:linePitch="360"/>
        </w:sectPr>
      </w:pPr>
      <w:r w:rsidRPr="00E207BC">
        <w:rPr>
          <w:b/>
          <w:i/>
        </w:rPr>
        <w:t>‘UPPER ANCHOR FITTING’ ‘INTERFACE PROFILE’</w:t>
      </w:r>
      <w:r w:rsidRPr="00E207BC">
        <w:rPr>
          <w:b/>
        </w:rPr>
        <w:t xml:space="preserve"> ZONE</w:t>
      </w:r>
    </w:p>
    <w:p w:rsidR="007F3F0B" w:rsidRDefault="007F3F0B" w:rsidP="003F1107">
      <w:pPr>
        <w:jc w:val="center"/>
        <w:rPr>
          <w:b/>
        </w:rPr>
      </w:pPr>
    </w:p>
    <w:p w:rsidR="003F1107" w:rsidRPr="00E207BC" w:rsidRDefault="007F3F0B" w:rsidP="003F1107">
      <w:pPr>
        <w:jc w:val="center"/>
        <w:rPr>
          <w:b/>
        </w:rPr>
      </w:pPr>
      <w:r w:rsidRPr="00E207BC">
        <w:rPr>
          <w:b/>
        </w:rPr>
        <w:t>APPENDIX 1</w:t>
      </w:r>
    </w:p>
    <w:p w:rsidR="007F3F0B" w:rsidRPr="00E207BC" w:rsidRDefault="007F3F0B" w:rsidP="003F1107">
      <w:pPr>
        <w:jc w:val="center"/>
        <w:rPr>
          <w:b/>
        </w:rPr>
      </w:pPr>
    </w:p>
    <w:p w:rsidR="00453E1E" w:rsidRPr="00E207BC" w:rsidRDefault="00730086" w:rsidP="003F1107">
      <w:pPr>
        <w:jc w:val="center"/>
        <w:rPr>
          <w:b/>
        </w:rPr>
      </w:pPr>
      <w:r w:rsidRPr="00E207BC">
        <w:rPr>
          <w:b/>
        </w:rPr>
        <w:t>ISOFIX ANCHORAGES</w:t>
      </w:r>
      <w:r w:rsidR="00AF0FD9" w:rsidRPr="00E207BC">
        <w:rPr>
          <w:b/>
        </w:rPr>
        <w:t xml:space="preserve"> SYSTEM</w:t>
      </w:r>
      <w:r w:rsidR="00051454" w:rsidRPr="00E207BC">
        <w:rPr>
          <w:b/>
        </w:rPr>
        <w:t xml:space="preserve"> </w:t>
      </w:r>
      <w:r w:rsidRPr="00E207BC">
        <w:rPr>
          <w:b/>
        </w:rPr>
        <w:t>AND ISOFIX TOP TETHER ANCHORAGE REQUIREMENTS (EXC</w:t>
      </w:r>
      <w:r w:rsidR="00463081" w:rsidRPr="00E207BC">
        <w:rPr>
          <w:b/>
        </w:rPr>
        <w:t>EPT FOR CONVERTIBLE VEHICLES</w:t>
      </w:r>
      <w:r w:rsidRPr="00E207BC">
        <w:rPr>
          <w:b/>
        </w:rPr>
        <w:t>)</w:t>
      </w:r>
      <w:r w:rsidR="007F3F0B" w:rsidRPr="00E207BC">
        <w:rPr>
          <w:b/>
        </w:rPr>
        <w:t xml:space="preserve"> </w:t>
      </w:r>
    </w:p>
    <w:p w:rsidR="00453E1E" w:rsidRPr="00E207BC" w:rsidRDefault="00453E1E" w:rsidP="004B605B"/>
    <w:p w:rsidR="00453E1E" w:rsidRPr="00E207BC" w:rsidRDefault="00C83B38" w:rsidP="00AF0FD9">
      <w:pPr>
        <w:pStyle w:val="ListParagraph"/>
        <w:numPr>
          <w:ilvl w:val="0"/>
          <w:numId w:val="33"/>
        </w:numPr>
        <w:jc w:val="both"/>
      </w:pPr>
      <w:r w:rsidRPr="00E207BC">
        <w:t>Where</w:t>
      </w:r>
      <w:r w:rsidR="008235E6" w:rsidRPr="00E207BC">
        <w:t xml:space="preserve"> ISOFIX </w:t>
      </w:r>
      <w:r w:rsidR="00A93DE8" w:rsidRPr="00E207BC">
        <w:t>low anchorages</w:t>
      </w:r>
      <w:r w:rsidR="008235E6" w:rsidRPr="00E207BC">
        <w:t xml:space="preserve"> and ISOFIX top tether anchorages </w:t>
      </w:r>
      <w:r w:rsidRPr="00E207BC">
        <w:t xml:space="preserve">are </w:t>
      </w:r>
      <w:r w:rsidR="00730086" w:rsidRPr="00E207BC">
        <w:t>provided in vehicle</w:t>
      </w:r>
      <w:r w:rsidR="00A93DE8" w:rsidRPr="00E207BC">
        <w:t>s in accordance with</w:t>
      </w:r>
      <w:r w:rsidR="00730086" w:rsidRPr="00E207BC">
        <w:t xml:space="preserve"> clause </w:t>
      </w:r>
      <w:r w:rsidR="009A70A4">
        <w:fldChar w:fldCharType="begin"/>
      </w:r>
      <w:r w:rsidR="009A70A4">
        <w:instrText xml:space="preserve"> REF _Ref309293287 \r \h  \* MERGEFORMAT </w:instrText>
      </w:r>
      <w:r w:rsidR="009A70A4">
        <w:fldChar w:fldCharType="separate"/>
      </w:r>
      <w:r w:rsidR="00157055">
        <w:t>34.8.2</w:t>
      </w:r>
      <w:r w:rsidR="009A70A4">
        <w:fldChar w:fldCharType="end"/>
      </w:r>
      <w:r w:rsidR="00730086" w:rsidRPr="00E207BC">
        <w:t xml:space="preserve"> of this standard</w:t>
      </w:r>
      <w:r w:rsidR="007E2DAE" w:rsidRPr="00E207BC">
        <w:t>:</w:t>
      </w:r>
    </w:p>
    <w:p w:rsidR="007E2DAE" w:rsidRPr="00E207BC" w:rsidRDefault="007E2DAE" w:rsidP="004B605B"/>
    <w:p w:rsidR="00D24554" w:rsidRPr="00E207BC" w:rsidRDefault="007E2DAE" w:rsidP="005A2860">
      <w:pPr>
        <w:pStyle w:val="ListParagraph"/>
        <w:numPr>
          <w:ilvl w:val="1"/>
          <w:numId w:val="33"/>
        </w:numPr>
        <w:spacing w:after="120"/>
        <w:contextualSpacing w:val="0"/>
        <w:jc w:val="both"/>
      </w:pPr>
      <w:r w:rsidRPr="00E207BC">
        <w:t>e</w:t>
      </w:r>
      <w:r w:rsidR="00730086" w:rsidRPr="00E207BC">
        <w:t xml:space="preserve">ach ISOFIX </w:t>
      </w:r>
      <w:r w:rsidR="007F3F0B" w:rsidRPr="00E207BC">
        <w:t xml:space="preserve">anchorages system </w:t>
      </w:r>
      <w:r w:rsidR="00851E83" w:rsidRPr="00E207BC">
        <w:t>and</w:t>
      </w:r>
      <w:r w:rsidR="00D65ACC" w:rsidRPr="00E207BC">
        <w:t xml:space="preserve"> </w:t>
      </w:r>
      <w:r w:rsidR="00051454" w:rsidRPr="00E207BC">
        <w:t xml:space="preserve">each </w:t>
      </w:r>
      <w:r w:rsidR="00851E83" w:rsidRPr="00E207BC">
        <w:t>ISOFIX top tether anchorage</w:t>
      </w:r>
      <w:r w:rsidR="005B01D1" w:rsidRPr="00E207BC">
        <w:t xml:space="preserve"> </w:t>
      </w:r>
      <w:r w:rsidR="007F3F0B" w:rsidRPr="00E207BC">
        <w:t>must meet the technical requirements of Appendix A of ADR 5/</w:t>
      </w:r>
      <w:r w:rsidR="00613B1E">
        <w:t xml:space="preserve">05 </w:t>
      </w:r>
      <w:r w:rsidR="00851E83" w:rsidRPr="00E207BC">
        <w:t>except that:</w:t>
      </w:r>
    </w:p>
    <w:p w:rsidR="00D24554" w:rsidRPr="00E207BC" w:rsidRDefault="007F3F0B" w:rsidP="00D9061B">
      <w:pPr>
        <w:pStyle w:val="ListParagraph"/>
        <w:numPr>
          <w:ilvl w:val="2"/>
          <w:numId w:val="33"/>
        </w:numPr>
        <w:spacing w:after="120"/>
        <w:contextualSpacing w:val="0"/>
        <w:jc w:val="both"/>
      </w:pPr>
      <w:r w:rsidRPr="00E207BC">
        <w:t xml:space="preserve">vehicles </w:t>
      </w:r>
      <w:r w:rsidR="00851E83" w:rsidRPr="00E207BC">
        <w:t>need not</w:t>
      </w:r>
      <w:r w:rsidRPr="00E207BC">
        <w:t xml:space="preserve"> be equipped with a </w:t>
      </w:r>
      <w:r w:rsidR="00B951D1" w:rsidRPr="00E207BC">
        <w:t>particular</w:t>
      </w:r>
      <w:r w:rsidRPr="00E207BC">
        <w:t xml:space="preserve"> number of ISOFIX p</w:t>
      </w:r>
      <w:r w:rsidR="00571B5F" w:rsidRPr="00E207BC">
        <w:t>ositions</w:t>
      </w:r>
      <w:r w:rsidR="00851E83" w:rsidRPr="00E207BC">
        <w:t>; and</w:t>
      </w:r>
    </w:p>
    <w:p w:rsidR="00D24554" w:rsidRPr="00E207BC" w:rsidRDefault="007F3F0B" w:rsidP="00D9061B">
      <w:pPr>
        <w:pStyle w:val="ListParagraph"/>
        <w:numPr>
          <w:ilvl w:val="2"/>
          <w:numId w:val="33"/>
        </w:numPr>
        <w:spacing w:after="120"/>
        <w:contextualSpacing w:val="0"/>
        <w:jc w:val="both"/>
      </w:pPr>
      <w:r w:rsidRPr="00E207BC">
        <w:t xml:space="preserve">any reference to test forces of “5 </w:t>
      </w:r>
      <w:proofErr w:type="spellStart"/>
      <w:r w:rsidRPr="00E207BC">
        <w:t>kN</w:t>
      </w:r>
      <w:proofErr w:type="spellEnd"/>
      <w:r w:rsidRPr="00E207BC">
        <w:t xml:space="preserve"> </w:t>
      </w:r>
      <w:r w:rsidR="00851E83" w:rsidRPr="00E207BC">
        <w:t xml:space="preserve">± </w:t>
      </w:r>
      <w:r w:rsidRPr="00E207BC">
        <w:t xml:space="preserve">0.25 </w:t>
      </w:r>
      <w:proofErr w:type="spellStart"/>
      <w:r w:rsidRPr="00E207BC">
        <w:t>kN</w:t>
      </w:r>
      <w:proofErr w:type="spellEnd"/>
      <w:r w:rsidRPr="00E207BC">
        <w:t xml:space="preserve">” or “8 </w:t>
      </w:r>
      <w:proofErr w:type="spellStart"/>
      <w:r w:rsidRPr="00E207BC">
        <w:t>kN</w:t>
      </w:r>
      <w:proofErr w:type="spellEnd"/>
      <w:r w:rsidRPr="00E207BC">
        <w:t xml:space="preserve"> </w:t>
      </w:r>
      <w:r w:rsidR="00851E83" w:rsidRPr="00E207BC">
        <w:t xml:space="preserve">± </w:t>
      </w:r>
      <w:r w:rsidRPr="00E207BC">
        <w:t xml:space="preserve">0.25 </w:t>
      </w:r>
      <w:proofErr w:type="spellStart"/>
      <w:r w:rsidRPr="00E207BC">
        <w:t>kN</w:t>
      </w:r>
      <w:proofErr w:type="spellEnd"/>
      <w:r w:rsidRPr="00E207BC">
        <w:t xml:space="preserve">” may be read as “at least </w:t>
      </w:r>
      <w:r w:rsidR="00F96DA3" w:rsidRPr="00E207BC">
        <w:t>5</w:t>
      </w:r>
      <w:r w:rsidRPr="00E207BC">
        <w:t xml:space="preserve"> </w:t>
      </w:r>
      <w:proofErr w:type="spellStart"/>
      <w:r w:rsidRPr="00E207BC">
        <w:t>kN</w:t>
      </w:r>
      <w:proofErr w:type="spellEnd"/>
      <w:r w:rsidRPr="00E207BC">
        <w:t>” and “</w:t>
      </w:r>
      <w:r w:rsidR="00C62A05" w:rsidRPr="00E207BC">
        <w:t xml:space="preserve">at least </w:t>
      </w:r>
      <w:r w:rsidR="0058348F" w:rsidRPr="00E207BC">
        <w:t>8</w:t>
      </w:r>
      <w:r w:rsidR="00571B5F" w:rsidRPr="00E207BC">
        <w:t> </w:t>
      </w:r>
      <w:proofErr w:type="spellStart"/>
      <w:r w:rsidR="00571B5F" w:rsidRPr="00E207BC">
        <w:t>kN</w:t>
      </w:r>
      <w:proofErr w:type="spellEnd"/>
      <w:r w:rsidR="00571B5F" w:rsidRPr="00E207BC">
        <w:t xml:space="preserve">” </w:t>
      </w:r>
      <w:r w:rsidR="00B951D1" w:rsidRPr="00E207BC">
        <w:t>respectively; and</w:t>
      </w:r>
    </w:p>
    <w:p w:rsidR="00595648" w:rsidRPr="00E207BC" w:rsidRDefault="007F3F0B" w:rsidP="00D9061B">
      <w:pPr>
        <w:pStyle w:val="ListParagraph"/>
        <w:numPr>
          <w:ilvl w:val="2"/>
          <w:numId w:val="33"/>
        </w:numPr>
        <w:spacing w:after="120"/>
        <w:contextualSpacing w:val="0"/>
        <w:jc w:val="both"/>
      </w:pPr>
      <w:r w:rsidRPr="00E207BC">
        <w:t xml:space="preserve">any requirement for “a tension pre-load of 50 N ± 5 N” to be applied between the SFAD and </w:t>
      </w:r>
      <w:r w:rsidR="00C05EF9" w:rsidRPr="00E207BC">
        <w:t>an ISOFIX top tether anchorage may</w:t>
      </w:r>
      <w:r w:rsidRPr="00E207BC">
        <w:t xml:space="preserve"> be read as “a tensio</w:t>
      </w:r>
      <w:r w:rsidR="00C05EF9" w:rsidRPr="00E207BC">
        <w:t>n pre-load of 45 N to 67 N”; and</w:t>
      </w:r>
    </w:p>
    <w:p w:rsidR="00730086" w:rsidRPr="00E207BC" w:rsidRDefault="007F3F0B" w:rsidP="00D9061B">
      <w:pPr>
        <w:pStyle w:val="ListParagraph"/>
        <w:numPr>
          <w:ilvl w:val="2"/>
          <w:numId w:val="33"/>
        </w:numPr>
        <w:spacing w:after="120"/>
        <w:contextualSpacing w:val="0"/>
        <w:jc w:val="both"/>
      </w:pPr>
      <w:r w:rsidRPr="00E207BC">
        <w:t>any requirement for full application of test forces to be “achieved within a period of 2 s or less” may be read as “achieved in not less than 24 seconds and not more than 30 seconds”, when the applicable test force is also sustained for a period of at least 1 second</w:t>
      </w:r>
      <w:r w:rsidR="002B5320" w:rsidRPr="00E207BC">
        <w:t>.</w:t>
      </w:r>
      <w:r w:rsidR="00F869B8" w:rsidRPr="00E207BC">
        <w:t xml:space="preserve"> </w:t>
      </w:r>
    </w:p>
    <w:p w:rsidR="000B3BB4" w:rsidRDefault="000B3BB4">
      <w:pPr>
        <w:rPr>
          <w:highlight w:val="yellow"/>
        </w:rPr>
        <w:sectPr w:rsidR="000B3BB4" w:rsidSect="00F97BB1">
          <w:headerReference w:type="default" r:id="rId26"/>
          <w:pgSz w:w="11906" w:h="16838"/>
          <w:pgMar w:top="1440" w:right="1701" w:bottom="1440" w:left="1701" w:header="709" w:footer="709" w:gutter="0"/>
          <w:cols w:space="708"/>
          <w:docGrid w:linePitch="360"/>
        </w:sectPr>
      </w:pPr>
    </w:p>
    <w:p w:rsidR="00730086" w:rsidRPr="00E207BC" w:rsidRDefault="00730086" w:rsidP="00730086">
      <w:pPr>
        <w:jc w:val="center"/>
        <w:rPr>
          <w:b/>
        </w:rPr>
      </w:pPr>
      <w:r w:rsidRPr="00E207BC">
        <w:rPr>
          <w:b/>
        </w:rPr>
        <w:lastRenderedPageBreak/>
        <w:t>APPENDIX 2</w:t>
      </w:r>
    </w:p>
    <w:p w:rsidR="00730086" w:rsidRPr="00E207BC" w:rsidRDefault="00730086" w:rsidP="00730086">
      <w:pPr>
        <w:jc w:val="center"/>
        <w:rPr>
          <w:b/>
        </w:rPr>
      </w:pPr>
    </w:p>
    <w:p w:rsidR="00730086" w:rsidRPr="00E207BC" w:rsidRDefault="00730086" w:rsidP="00D84639">
      <w:pPr>
        <w:jc w:val="center"/>
        <w:rPr>
          <w:b/>
        </w:rPr>
      </w:pPr>
      <w:r w:rsidRPr="00E207BC">
        <w:rPr>
          <w:b/>
        </w:rPr>
        <w:t>ISOFIX ANCHORAGES SYSTEM REQUIREMENTS</w:t>
      </w:r>
    </w:p>
    <w:p w:rsidR="00730086" w:rsidRPr="00E207BC" w:rsidRDefault="00730086" w:rsidP="00D84639">
      <w:pPr>
        <w:jc w:val="center"/>
        <w:rPr>
          <w:b/>
        </w:rPr>
      </w:pPr>
      <w:r w:rsidRPr="00E207BC">
        <w:rPr>
          <w:b/>
        </w:rPr>
        <w:t>FOR CONVERTIBLE VEHICLES</w:t>
      </w:r>
    </w:p>
    <w:p w:rsidR="00730086" w:rsidRPr="00E207BC" w:rsidRDefault="00730086" w:rsidP="00730086"/>
    <w:p w:rsidR="00730086" w:rsidRPr="00E207BC" w:rsidRDefault="00C83B38" w:rsidP="005A2860">
      <w:pPr>
        <w:pStyle w:val="ListParagraph"/>
        <w:numPr>
          <w:ilvl w:val="0"/>
          <w:numId w:val="33"/>
        </w:numPr>
        <w:jc w:val="both"/>
      </w:pPr>
      <w:r w:rsidRPr="00E207BC">
        <w:t>Where</w:t>
      </w:r>
      <w:r w:rsidR="00730086" w:rsidRPr="00E207BC">
        <w:t xml:space="preserve"> ISOFIX </w:t>
      </w:r>
      <w:r w:rsidR="001C0D8B" w:rsidRPr="00E207BC">
        <w:t xml:space="preserve">low </w:t>
      </w:r>
      <w:r w:rsidR="00730086" w:rsidRPr="00E207BC">
        <w:t>anchorage</w:t>
      </w:r>
      <w:r w:rsidR="001C0D8B" w:rsidRPr="00E207BC">
        <w:t>s</w:t>
      </w:r>
      <w:r w:rsidR="00730086" w:rsidRPr="00E207BC">
        <w:t xml:space="preserve"> </w:t>
      </w:r>
      <w:r w:rsidRPr="00E207BC">
        <w:t xml:space="preserve">are </w:t>
      </w:r>
      <w:r w:rsidR="00A93DE8" w:rsidRPr="00E207BC">
        <w:t xml:space="preserve">provided in convertible </w:t>
      </w:r>
      <w:r w:rsidR="00730086" w:rsidRPr="00E207BC">
        <w:t>vehicles</w:t>
      </w:r>
      <w:r w:rsidR="00A93DE8" w:rsidRPr="00E207BC">
        <w:t xml:space="preserve"> in accordance with clause </w:t>
      </w:r>
      <w:r w:rsidR="009A70A4">
        <w:fldChar w:fldCharType="begin"/>
      </w:r>
      <w:r w:rsidR="009A70A4">
        <w:instrText xml:space="preserve"> REF _Ref309293294 \r \h  \* MERGEFORMAT </w:instrText>
      </w:r>
      <w:r w:rsidR="009A70A4">
        <w:fldChar w:fldCharType="separate"/>
      </w:r>
      <w:r w:rsidR="00157055">
        <w:t>34.8.3</w:t>
      </w:r>
      <w:r w:rsidR="009A70A4">
        <w:fldChar w:fldCharType="end"/>
      </w:r>
      <w:r w:rsidR="00A93DE8" w:rsidRPr="00E207BC">
        <w:t xml:space="preserve"> of this standard:</w:t>
      </w:r>
    </w:p>
    <w:p w:rsidR="00730086" w:rsidRPr="00E207BC" w:rsidRDefault="00730086" w:rsidP="00730086"/>
    <w:p w:rsidR="00730086" w:rsidRPr="00E207BC" w:rsidRDefault="00730086" w:rsidP="005A2860">
      <w:pPr>
        <w:pStyle w:val="ListParagraph"/>
        <w:numPr>
          <w:ilvl w:val="1"/>
          <w:numId w:val="33"/>
        </w:numPr>
        <w:spacing w:after="120"/>
        <w:contextualSpacing w:val="0"/>
        <w:jc w:val="both"/>
      </w:pPr>
      <w:r w:rsidRPr="00E207BC">
        <w:t>the ISOFIX low anchorages of each ISOFIX anchorages system must meet the technical requirements of Appendix A of ADR 5/</w:t>
      </w:r>
      <w:r w:rsidR="00613B1E">
        <w:t>05</w:t>
      </w:r>
      <w:r w:rsidRPr="00E207BC">
        <w:t xml:space="preserve"> except that:</w:t>
      </w:r>
    </w:p>
    <w:p w:rsidR="00730086" w:rsidRPr="00E207BC" w:rsidRDefault="00C83B38" w:rsidP="00D9061B">
      <w:pPr>
        <w:pStyle w:val="ListParagraph"/>
        <w:numPr>
          <w:ilvl w:val="2"/>
          <w:numId w:val="33"/>
        </w:numPr>
        <w:spacing w:after="120"/>
        <w:contextualSpacing w:val="0"/>
        <w:jc w:val="both"/>
      </w:pPr>
      <w:r w:rsidRPr="00E207BC">
        <w:t xml:space="preserve">convertible </w:t>
      </w:r>
      <w:r w:rsidR="00730086" w:rsidRPr="00E207BC">
        <w:t xml:space="preserve">vehicles need not be equipped with a particular number of ISOFIX </w:t>
      </w:r>
      <w:r w:rsidR="000E2A64" w:rsidRPr="00E207BC">
        <w:t>positions</w:t>
      </w:r>
      <w:r w:rsidR="00730086" w:rsidRPr="00E207BC">
        <w:t>; and</w:t>
      </w:r>
    </w:p>
    <w:p w:rsidR="00730086" w:rsidRPr="00E207BC" w:rsidRDefault="00730086" w:rsidP="00D9061B">
      <w:pPr>
        <w:pStyle w:val="ListParagraph"/>
        <w:numPr>
          <w:ilvl w:val="2"/>
          <w:numId w:val="33"/>
        </w:numPr>
        <w:spacing w:after="120"/>
        <w:contextualSpacing w:val="0"/>
        <w:jc w:val="both"/>
      </w:pPr>
      <w:r w:rsidRPr="00E207BC">
        <w:t xml:space="preserve">any reference to test forces of “5 </w:t>
      </w:r>
      <w:proofErr w:type="spellStart"/>
      <w:r w:rsidRPr="00E207BC">
        <w:t>kN</w:t>
      </w:r>
      <w:proofErr w:type="spellEnd"/>
      <w:r w:rsidRPr="00E207BC">
        <w:t xml:space="preserve"> ± 0.25 </w:t>
      </w:r>
      <w:proofErr w:type="spellStart"/>
      <w:r w:rsidRPr="00E207BC">
        <w:t>kN</w:t>
      </w:r>
      <w:proofErr w:type="spellEnd"/>
      <w:r w:rsidRPr="00E207BC">
        <w:t xml:space="preserve">” or “8 </w:t>
      </w:r>
      <w:proofErr w:type="spellStart"/>
      <w:r w:rsidRPr="00E207BC">
        <w:t>kN</w:t>
      </w:r>
      <w:proofErr w:type="spellEnd"/>
      <w:r w:rsidRPr="00E207BC">
        <w:t xml:space="preserve"> ± 0.25 </w:t>
      </w:r>
      <w:proofErr w:type="spellStart"/>
      <w:r w:rsidRPr="00E207BC">
        <w:t>kN</w:t>
      </w:r>
      <w:proofErr w:type="spellEnd"/>
      <w:r w:rsidRPr="00E207BC">
        <w:t xml:space="preserve">” may be read as “at least 5 </w:t>
      </w:r>
      <w:proofErr w:type="spellStart"/>
      <w:r w:rsidRPr="00E207BC">
        <w:t>kN</w:t>
      </w:r>
      <w:proofErr w:type="spellEnd"/>
      <w:r w:rsidRPr="00E207BC">
        <w:t>” and “at least 8 </w:t>
      </w:r>
      <w:proofErr w:type="spellStart"/>
      <w:r w:rsidRPr="00E207BC">
        <w:t>kN</w:t>
      </w:r>
      <w:proofErr w:type="spellEnd"/>
      <w:r w:rsidRPr="00E207BC">
        <w:t>” respectively; and</w:t>
      </w:r>
    </w:p>
    <w:p w:rsidR="00AE4499" w:rsidRDefault="00730086" w:rsidP="00AE4499">
      <w:pPr>
        <w:pStyle w:val="ListParagraph"/>
        <w:numPr>
          <w:ilvl w:val="2"/>
          <w:numId w:val="33"/>
        </w:numPr>
        <w:spacing w:after="120"/>
        <w:contextualSpacing w:val="0"/>
        <w:jc w:val="both"/>
        <w:sectPr w:rsidR="00AE4499" w:rsidSect="00F97BB1">
          <w:headerReference w:type="default" r:id="rId27"/>
          <w:pgSz w:w="11906" w:h="16838"/>
          <w:pgMar w:top="1440" w:right="1701" w:bottom="1440" w:left="1701" w:header="709" w:footer="709" w:gutter="0"/>
          <w:cols w:space="708"/>
          <w:docGrid w:linePitch="360"/>
        </w:sectPr>
      </w:pPr>
      <w:r w:rsidRPr="00E207BC">
        <w:t>any requirement for full application of test forces to be “achieved within a period of 2 s or less” may be read as “achieved in not less than 24 seconds and not more than 30 seconds”, when the applicable test force is also sustained for a period of at least 1 second.</w:t>
      </w:r>
    </w:p>
    <w:p w:rsidR="00AE4499" w:rsidRDefault="00AE4499" w:rsidP="00AE4499">
      <w:pPr>
        <w:rPr>
          <w:b/>
          <w:caps/>
        </w:rPr>
      </w:pPr>
      <w:r w:rsidRPr="00F92EEB">
        <w:rPr>
          <w:b/>
          <w:caps/>
        </w:rPr>
        <w:lastRenderedPageBreak/>
        <w:t>COMPILATION NOTES</w:t>
      </w:r>
    </w:p>
    <w:p w:rsidR="00AE4499" w:rsidRDefault="00AE4499" w:rsidP="00AE4499"/>
    <w:p w:rsidR="00AE4499" w:rsidRPr="00AE4499" w:rsidRDefault="00AE4499" w:rsidP="00AE4499">
      <w:r w:rsidRPr="00AE4499">
        <w:t>This compilation of Vehicle Standard (Australian Design Rule 34/02 – Child Restraint Anchorages and Child Restraint Anchor Fittings</w:t>
      </w:r>
      <w:r>
        <w:t>) 2012</w:t>
      </w:r>
      <w:r w:rsidRPr="00AE4499">
        <w:t xml:space="preserve"> includes all the instruments set out in the Table of Instruments.  The Table of Amendments provides a history of clauses that have been amended, inserted or deleted. This vehicle standard is determined under section 7 of the </w:t>
      </w:r>
      <w:r w:rsidRPr="00F92EEB">
        <w:rPr>
          <w:i/>
        </w:rPr>
        <w:t>Motor Vehicle Standards Act 1989</w:t>
      </w:r>
      <w:r w:rsidRPr="00AE4499">
        <w:t>.</w:t>
      </w:r>
    </w:p>
    <w:p w:rsidR="00AE4499" w:rsidRPr="00AE4499" w:rsidRDefault="00AE4499" w:rsidP="00AE4499"/>
    <w:p w:rsidR="00AE4499" w:rsidRPr="00AE4499" w:rsidRDefault="00AE4499" w:rsidP="00AE4499">
      <w:pPr>
        <w:rPr>
          <w:b/>
        </w:rPr>
      </w:pPr>
      <w:r w:rsidRPr="00AE4499">
        <w:rPr>
          <w:b/>
        </w:rPr>
        <w:t>Table of Instruments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1483"/>
        <w:gridCol w:w="1948"/>
      </w:tblGrid>
      <w:tr w:rsidR="00AE4499" w:rsidRPr="00AE4499" w:rsidTr="00211AE5">
        <w:tc>
          <w:tcPr>
            <w:tcW w:w="5285" w:type="dxa"/>
          </w:tcPr>
          <w:p w:rsidR="00AE4499" w:rsidRPr="00AE4499" w:rsidRDefault="00AE4499" w:rsidP="00AE4499">
            <w:pPr>
              <w:rPr>
                <w:b/>
              </w:rPr>
            </w:pPr>
            <w:r w:rsidRPr="00AE4499">
              <w:rPr>
                <w:b/>
              </w:rPr>
              <w:t>Name of Instrument</w:t>
            </w:r>
          </w:p>
        </w:tc>
        <w:tc>
          <w:tcPr>
            <w:tcW w:w="1483" w:type="dxa"/>
          </w:tcPr>
          <w:p w:rsidR="00AE4499" w:rsidRPr="00AE4499" w:rsidRDefault="00AE4499" w:rsidP="00AE4499">
            <w:pPr>
              <w:rPr>
                <w:b/>
              </w:rPr>
            </w:pPr>
            <w:r w:rsidRPr="00AE4499">
              <w:rPr>
                <w:b/>
              </w:rPr>
              <w:t>Registration Date</w:t>
            </w:r>
          </w:p>
        </w:tc>
        <w:tc>
          <w:tcPr>
            <w:tcW w:w="1952" w:type="dxa"/>
          </w:tcPr>
          <w:p w:rsidR="00AE4499" w:rsidRPr="00AE4499" w:rsidRDefault="00AE4499" w:rsidP="00AE4499">
            <w:pPr>
              <w:rPr>
                <w:b/>
              </w:rPr>
            </w:pPr>
            <w:r w:rsidRPr="00AE4499">
              <w:rPr>
                <w:b/>
              </w:rPr>
              <w:t>Commencement Date</w:t>
            </w:r>
          </w:p>
        </w:tc>
      </w:tr>
      <w:tr w:rsidR="00AE4499" w:rsidRPr="00AE4499" w:rsidTr="00211AE5">
        <w:tc>
          <w:tcPr>
            <w:tcW w:w="5285" w:type="dxa"/>
          </w:tcPr>
          <w:p w:rsidR="00AE4499" w:rsidRPr="00AE4499" w:rsidRDefault="00AE4499" w:rsidP="00AE4499">
            <w:r w:rsidRPr="00AE4499">
              <w:t>Vehicle Standard (Australian Design Rule 34/02 – Child Restraint Anchorages and Child Restraint Anchor Fittings) 2012</w:t>
            </w:r>
          </w:p>
        </w:tc>
        <w:tc>
          <w:tcPr>
            <w:tcW w:w="1483" w:type="dxa"/>
          </w:tcPr>
          <w:p w:rsidR="00AE4499" w:rsidRPr="00AE4499" w:rsidRDefault="00AE4499" w:rsidP="00AE4499">
            <w:r>
              <w:t>28/03/2012</w:t>
            </w:r>
          </w:p>
        </w:tc>
        <w:tc>
          <w:tcPr>
            <w:tcW w:w="1952" w:type="dxa"/>
          </w:tcPr>
          <w:p w:rsidR="00AE4499" w:rsidRPr="00AE4499" w:rsidRDefault="00AE4499" w:rsidP="00AE4499">
            <w:r>
              <w:t>29/03/2012</w:t>
            </w:r>
          </w:p>
        </w:tc>
      </w:tr>
      <w:tr w:rsidR="00AE4499" w:rsidRPr="00AE4499" w:rsidTr="00211AE5">
        <w:tc>
          <w:tcPr>
            <w:tcW w:w="5285" w:type="dxa"/>
          </w:tcPr>
          <w:p w:rsidR="00AE4499" w:rsidRPr="00005720" w:rsidRDefault="00AE4499" w:rsidP="00AE4499">
            <w:r w:rsidRPr="00005720">
              <w:t>Vehicle Standard (Australian Design Rule 34/02 – Child Restraint Anchorages and Child Restraint Anchor Fittings) 2012</w:t>
            </w:r>
            <w:r w:rsidR="00F92EEB" w:rsidRPr="00005720">
              <w:t xml:space="preserve"> Amendment 1</w:t>
            </w:r>
          </w:p>
        </w:tc>
        <w:tc>
          <w:tcPr>
            <w:tcW w:w="1483" w:type="dxa"/>
          </w:tcPr>
          <w:p w:rsidR="00AE4499" w:rsidRPr="00005720" w:rsidRDefault="00F17BEC" w:rsidP="00AE4499">
            <w:r>
              <w:t>17</w:t>
            </w:r>
            <w:r w:rsidR="00005720">
              <w:t>/10/2017</w:t>
            </w:r>
          </w:p>
        </w:tc>
        <w:tc>
          <w:tcPr>
            <w:tcW w:w="1952" w:type="dxa"/>
          </w:tcPr>
          <w:p w:rsidR="00AE4499" w:rsidRPr="00005720" w:rsidRDefault="00005720" w:rsidP="00F17BEC">
            <w:r>
              <w:t>1</w:t>
            </w:r>
            <w:r w:rsidR="00F17BEC">
              <w:t>8</w:t>
            </w:r>
            <w:r>
              <w:t>/10/2017</w:t>
            </w:r>
          </w:p>
        </w:tc>
      </w:tr>
      <w:tr w:rsidR="00716F59" w:rsidRPr="00AE4499" w:rsidTr="00211AE5">
        <w:tc>
          <w:tcPr>
            <w:tcW w:w="5285" w:type="dxa"/>
          </w:tcPr>
          <w:p w:rsidR="00716F59" w:rsidRPr="00005720" w:rsidRDefault="00716F59" w:rsidP="00AE4499">
            <w:r w:rsidRPr="00005720">
              <w:t xml:space="preserve">Vehicle Standard (Australian Design Rule 34/02 – Child Restraint Anchorages and Child Restraint Anchor Fittings) 2012 Amendment </w:t>
            </w:r>
            <w:r>
              <w:t>2</w:t>
            </w:r>
            <w:r w:rsidR="003B290E">
              <w:t xml:space="preserve"> - F2019L00030</w:t>
            </w:r>
          </w:p>
        </w:tc>
        <w:tc>
          <w:tcPr>
            <w:tcW w:w="1483" w:type="dxa"/>
          </w:tcPr>
          <w:p w:rsidR="00716F59" w:rsidRDefault="002E17BC" w:rsidP="00AE4499">
            <w:r>
              <w:t>08/01/2019</w:t>
            </w:r>
          </w:p>
        </w:tc>
        <w:tc>
          <w:tcPr>
            <w:tcW w:w="1952" w:type="dxa"/>
          </w:tcPr>
          <w:p w:rsidR="00716F59" w:rsidRDefault="002E17BC" w:rsidP="00F17BEC">
            <w:r>
              <w:t>09/01/2019</w:t>
            </w:r>
          </w:p>
        </w:tc>
      </w:tr>
    </w:tbl>
    <w:p w:rsidR="00AE4499" w:rsidRPr="00AE4499" w:rsidRDefault="00AE4499" w:rsidP="00AE4499"/>
    <w:p w:rsidR="00AE4499" w:rsidRPr="00AE4499" w:rsidRDefault="00AE4499" w:rsidP="00AE4499">
      <w:pPr>
        <w:rPr>
          <w:b/>
        </w:rPr>
      </w:pPr>
      <w:r w:rsidRPr="00AE4499">
        <w:rPr>
          <w:b/>
        </w:rPr>
        <w:t>Table of Amendments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296"/>
        <w:gridCol w:w="4651"/>
      </w:tblGrid>
      <w:tr w:rsidR="00AE4499" w:rsidRPr="00AE4499" w:rsidTr="00D6373A">
        <w:tc>
          <w:tcPr>
            <w:tcW w:w="2547" w:type="dxa"/>
          </w:tcPr>
          <w:p w:rsidR="00AE4499" w:rsidRPr="00AE4499" w:rsidRDefault="00AE4499" w:rsidP="00AE4499">
            <w:pPr>
              <w:rPr>
                <w:b/>
              </w:rPr>
            </w:pPr>
            <w:r w:rsidRPr="00AE4499">
              <w:rPr>
                <w:b/>
              </w:rPr>
              <w:t>Clause affected</w:t>
            </w:r>
          </w:p>
        </w:tc>
        <w:tc>
          <w:tcPr>
            <w:tcW w:w="1296" w:type="dxa"/>
          </w:tcPr>
          <w:p w:rsidR="00AE4499" w:rsidRPr="00AE4499" w:rsidRDefault="00AE4499" w:rsidP="00AE4499">
            <w:pPr>
              <w:rPr>
                <w:b/>
              </w:rPr>
            </w:pPr>
            <w:r w:rsidRPr="00AE4499">
              <w:rPr>
                <w:b/>
              </w:rPr>
              <w:t>How affected</w:t>
            </w:r>
          </w:p>
        </w:tc>
        <w:tc>
          <w:tcPr>
            <w:tcW w:w="4651" w:type="dxa"/>
          </w:tcPr>
          <w:p w:rsidR="00AE4499" w:rsidRPr="00AE4499" w:rsidRDefault="00AE4499" w:rsidP="00AE4499">
            <w:pPr>
              <w:rPr>
                <w:b/>
              </w:rPr>
            </w:pPr>
            <w:r w:rsidRPr="00AE4499">
              <w:rPr>
                <w:b/>
              </w:rPr>
              <w:t>Amending instrument</w:t>
            </w:r>
          </w:p>
        </w:tc>
      </w:tr>
      <w:tr w:rsidR="00AE4499" w:rsidRPr="00AE4499" w:rsidTr="00D6373A">
        <w:tc>
          <w:tcPr>
            <w:tcW w:w="2547" w:type="dxa"/>
          </w:tcPr>
          <w:p w:rsidR="00AE4499" w:rsidRPr="00AE4499" w:rsidRDefault="00AE4499" w:rsidP="00F92EEB">
            <w:r w:rsidRPr="00AE4499">
              <w:t>C</w:t>
            </w:r>
            <w:r>
              <w:t>6.</w:t>
            </w:r>
          </w:p>
        </w:tc>
        <w:tc>
          <w:tcPr>
            <w:tcW w:w="1296" w:type="dxa"/>
          </w:tcPr>
          <w:p w:rsidR="00AE4499" w:rsidRPr="00AE4499" w:rsidRDefault="00AE4499" w:rsidP="00AE4499">
            <w:r>
              <w:t>ad</w:t>
            </w:r>
          </w:p>
        </w:tc>
        <w:tc>
          <w:tcPr>
            <w:tcW w:w="4651" w:type="dxa"/>
          </w:tcPr>
          <w:p w:rsidR="00AE4499" w:rsidRPr="00AE4499" w:rsidRDefault="00AE4499" w:rsidP="00AE4499">
            <w:r w:rsidRPr="00AE4499">
              <w:t>Amendment 1</w:t>
            </w:r>
          </w:p>
        </w:tc>
      </w:tr>
      <w:tr w:rsidR="00716F59" w:rsidRPr="00AE4499" w:rsidTr="00D6373A">
        <w:tc>
          <w:tcPr>
            <w:tcW w:w="2547" w:type="dxa"/>
          </w:tcPr>
          <w:p w:rsidR="00716F59" w:rsidRPr="00AE4499" w:rsidRDefault="00716F59" w:rsidP="00716F59">
            <w:r>
              <w:t>Clause 34.1.1.2.</w:t>
            </w:r>
          </w:p>
        </w:tc>
        <w:tc>
          <w:tcPr>
            <w:tcW w:w="1296" w:type="dxa"/>
          </w:tcPr>
          <w:p w:rsidR="00716F59" w:rsidRDefault="00716F59" w:rsidP="00716F59">
            <w:r>
              <w:t>am</w:t>
            </w:r>
          </w:p>
        </w:tc>
        <w:tc>
          <w:tcPr>
            <w:tcW w:w="4651" w:type="dxa"/>
          </w:tcPr>
          <w:p w:rsidR="00716F59" w:rsidRPr="00AE4499" w:rsidRDefault="00716F59" w:rsidP="00716F59">
            <w:r w:rsidRPr="00AE4499">
              <w:t xml:space="preserve">Amendment </w:t>
            </w:r>
            <w:r>
              <w:t>2</w:t>
            </w:r>
          </w:p>
        </w:tc>
      </w:tr>
      <w:tr w:rsidR="00716F59" w:rsidRPr="00AE4499" w:rsidTr="00D6373A">
        <w:tc>
          <w:tcPr>
            <w:tcW w:w="2547" w:type="dxa"/>
          </w:tcPr>
          <w:p w:rsidR="00716F59" w:rsidRPr="00AE4499" w:rsidRDefault="00716F59" w:rsidP="00716F59">
            <w:r>
              <w:t>Appendix 1 Clause 1.1.</w:t>
            </w:r>
          </w:p>
        </w:tc>
        <w:tc>
          <w:tcPr>
            <w:tcW w:w="1296" w:type="dxa"/>
          </w:tcPr>
          <w:p w:rsidR="00716F59" w:rsidRDefault="00716F59" w:rsidP="00716F59">
            <w:r>
              <w:t>am</w:t>
            </w:r>
          </w:p>
        </w:tc>
        <w:tc>
          <w:tcPr>
            <w:tcW w:w="4651" w:type="dxa"/>
          </w:tcPr>
          <w:p w:rsidR="00716F59" w:rsidRPr="00AE4499" w:rsidRDefault="00716F59" w:rsidP="00716F59">
            <w:r w:rsidRPr="00AE4499">
              <w:t xml:space="preserve">Amendment </w:t>
            </w:r>
            <w:r>
              <w:t>2</w:t>
            </w:r>
          </w:p>
        </w:tc>
      </w:tr>
      <w:tr w:rsidR="00716F59" w:rsidRPr="00AE4499" w:rsidTr="00D6373A">
        <w:tc>
          <w:tcPr>
            <w:tcW w:w="2547" w:type="dxa"/>
          </w:tcPr>
          <w:p w:rsidR="00716F59" w:rsidRPr="00AE4499" w:rsidRDefault="00716F59" w:rsidP="00716F59">
            <w:r>
              <w:t>Appendix 2 Clause 2.1</w:t>
            </w:r>
          </w:p>
        </w:tc>
        <w:tc>
          <w:tcPr>
            <w:tcW w:w="1296" w:type="dxa"/>
          </w:tcPr>
          <w:p w:rsidR="00716F59" w:rsidRDefault="00716F59" w:rsidP="00716F59">
            <w:r>
              <w:t>am</w:t>
            </w:r>
          </w:p>
        </w:tc>
        <w:tc>
          <w:tcPr>
            <w:tcW w:w="4651" w:type="dxa"/>
          </w:tcPr>
          <w:p w:rsidR="00716F59" w:rsidRPr="00AE4499" w:rsidRDefault="00716F59" w:rsidP="00716F59">
            <w:r w:rsidRPr="00AE4499">
              <w:t xml:space="preserve">Amendment </w:t>
            </w:r>
            <w:r>
              <w:t>2</w:t>
            </w:r>
          </w:p>
        </w:tc>
      </w:tr>
    </w:tbl>
    <w:p w:rsidR="00AE4499" w:rsidRDefault="00AE4499" w:rsidP="00AE4499"/>
    <w:p w:rsidR="00AE4499" w:rsidRPr="00AE4499" w:rsidRDefault="00AE4499" w:rsidP="00AE4499">
      <w:proofErr w:type="gramStart"/>
      <w:r w:rsidRPr="00AE4499">
        <w:t>ad</w:t>
      </w:r>
      <w:proofErr w:type="gramEnd"/>
      <w:r w:rsidRPr="00AE4499">
        <w:tab/>
        <w:t>= added or inserted</w:t>
      </w:r>
    </w:p>
    <w:p w:rsidR="00AE4499" w:rsidRPr="00AE4499" w:rsidRDefault="00AE4499" w:rsidP="00AE4499">
      <w:proofErr w:type="gramStart"/>
      <w:r w:rsidRPr="00AE4499">
        <w:t>am</w:t>
      </w:r>
      <w:proofErr w:type="gramEnd"/>
      <w:r w:rsidRPr="00AE4499">
        <w:tab/>
        <w:t>= amended</w:t>
      </w:r>
    </w:p>
    <w:p w:rsidR="00AE4499" w:rsidRPr="00AE4499" w:rsidRDefault="00AE4499" w:rsidP="00AE4499">
      <w:proofErr w:type="gramStart"/>
      <w:r w:rsidRPr="00AE4499">
        <w:t>del</w:t>
      </w:r>
      <w:proofErr w:type="gramEnd"/>
      <w:r w:rsidRPr="00AE4499">
        <w:tab/>
        <w:t>= deleted or removed</w:t>
      </w:r>
    </w:p>
    <w:p w:rsidR="00AE4499" w:rsidRPr="00AE4499" w:rsidRDefault="00AE4499" w:rsidP="00AE4499">
      <w:proofErr w:type="spellStart"/>
      <w:proofErr w:type="gramStart"/>
      <w:r w:rsidRPr="00AE4499">
        <w:t>rr</w:t>
      </w:r>
      <w:proofErr w:type="spellEnd"/>
      <w:proofErr w:type="gramEnd"/>
      <w:r w:rsidRPr="00AE4499">
        <w:tab/>
        <w:t>= removed and replaced</w:t>
      </w:r>
    </w:p>
    <w:p w:rsidR="00AE4499" w:rsidRPr="00AE4499" w:rsidRDefault="00AE4499" w:rsidP="00AE4499">
      <w:r w:rsidRPr="00AE4499">
        <w:sym w:font="Wingdings" w:char="F0E0"/>
      </w:r>
      <w:r w:rsidRPr="00AE4499">
        <w:tab/>
        <w:t xml:space="preserve">= clause renumbered.  This takes the format of old no. </w:t>
      </w:r>
      <w:r w:rsidRPr="00AE4499">
        <w:sym w:font="Wingdings" w:char="F0E0"/>
      </w:r>
      <w:r w:rsidRPr="00AE4499">
        <w:t xml:space="preserve"> </w:t>
      </w:r>
      <w:proofErr w:type="gramStart"/>
      <w:r w:rsidRPr="00AE4499">
        <w:t>new</w:t>
      </w:r>
      <w:proofErr w:type="gramEnd"/>
      <w:r w:rsidRPr="00AE4499">
        <w:t xml:space="preserve"> no.</w:t>
      </w:r>
    </w:p>
    <w:p w:rsidR="00AE4499" w:rsidRPr="00AE4499" w:rsidRDefault="00AE4499" w:rsidP="00AE4499"/>
    <w:p w:rsidR="00143CD6" w:rsidRPr="007932F2" w:rsidRDefault="00143CD6" w:rsidP="00F92EEB">
      <w:bookmarkStart w:id="248" w:name="_Toc495582227"/>
      <w:bookmarkEnd w:id="248"/>
    </w:p>
    <w:sectPr w:rsidR="00143CD6" w:rsidRPr="007932F2" w:rsidSect="00F97BB1">
      <w:headerReference w:type="default" r:id="rId28"/>
      <w:pgSz w:w="11906"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CE7" w:rsidRDefault="00FA2CE7">
      <w:r>
        <w:separator/>
      </w:r>
    </w:p>
  </w:endnote>
  <w:endnote w:type="continuationSeparator" w:id="0">
    <w:p w:rsidR="00FA2CE7" w:rsidRDefault="00FA2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CE7" w:rsidRDefault="00FA2CE7">
      <w:r>
        <w:separator/>
      </w:r>
    </w:p>
  </w:footnote>
  <w:footnote w:type="continuationSeparator" w:id="0">
    <w:p w:rsidR="00FA2CE7" w:rsidRDefault="00FA2CE7">
      <w:r>
        <w:continuationSeparator/>
      </w:r>
    </w:p>
  </w:footnote>
  <w:footnote w:id="1">
    <w:p w:rsidR="00FA2CE7" w:rsidRDefault="00FA2CE7">
      <w:pPr>
        <w:pStyle w:val="FootnoteText"/>
      </w:pPr>
      <w:r w:rsidRPr="00226330">
        <w:rPr>
          <w:rStyle w:val="FootnoteReference"/>
        </w:rPr>
        <w:footnoteRef/>
      </w:r>
      <w:r w:rsidRPr="00226330">
        <w:t xml:space="preserve"> UN Vehicle Categories are provided for information and as reference only. The category code may also be in the format L</w:t>
      </w:r>
      <w:r w:rsidRPr="00226330">
        <w:rPr>
          <w:vertAlign w:val="subscript"/>
        </w:rPr>
        <w:t>1</w:t>
      </w:r>
      <w:r w:rsidRPr="00226330">
        <w:t>, L</w:t>
      </w:r>
      <w:r w:rsidRPr="00226330">
        <w:rPr>
          <w:vertAlign w:val="subscript"/>
        </w:rPr>
        <w:t>A</w:t>
      </w:r>
      <w:r w:rsidRPr="00226330">
        <w:t xml:space="preserve"> etc.</w:t>
      </w:r>
    </w:p>
  </w:footnote>
  <w:footnote w:id="2">
    <w:p w:rsidR="00FA2CE7" w:rsidRPr="00781873" w:rsidRDefault="00FA2CE7" w:rsidP="007003AC">
      <w:pPr>
        <w:pStyle w:val="FootnoteText"/>
        <w:rPr>
          <w:rFonts w:ascii="Arial" w:hAnsi="Arial" w:cs="Arial"/>
        </w:rPr>
      </w:pPr>
      <w:r w:rsidRPr="00781873">
        <w:rPr>
          <w:rStyle w:val="FootnoteReference"/>
          <w:rFonts w:ascii="Arial" w:hAnsi="Arial" w:cs="Arial"/>
        </w:rPr>
        <w:t>#</w:t>
      </w:r>
      <w:r>
        <w:rPr>
          <w:rFonts w:ascii="Arial" w:hAnsi="Arial" w:cs="Arial"/>
        </w:rPr>
        <w:t xml:space="preserve"> TNO address: </w:t>
      </w:r>
      <w:proofErr w:type="spellStart"/>
      <w:r w:rsidRPr="00781873">
        <w:rPr>
          <w:rFonts w:ascii="Arial" w:hAnsi="Arial" w:cs="Arial"/>
        </w:rPr>
        <w:t>Schoemaker</w:t>
      </w:r>
      <w:proofErr w:type="spellEnd"/>
      <w:r w:rsidRPr="00781873">
        <w:rPr>
          <w:rFonts w:ascii="Arial" w:hAnsi="Arial" w:cs="Arial"/>
        </w:rPr>
        <w:t xml:space="preserve"> </w:t>
      </w:r>
      <w:proofErr w:type="spellStart"/>
      <w:r w:rsidRPr="00781873">
        <w:rPr>
          <w:rFonts w:ascii="Arial" w:hAnsi="Arial" w:cs="Arial"/>
        </w:rPr>
        <w:t>Straat</w:t>
      </w:r>
      <w:proofErr w:type="spellEnd"/>
      <w:r w:rsidRPr="00781873">
        <w:rPr>
          <w:rFonts w:ascii="Arial" w:hAnsi="Arial" w:cs="Arial"/>
        </w:rPr>
        <w:t>, 97; 2628 VK Delft, Netherlands.</w:t>
      </w:r>
    </w:p>
  </w:footnote>
  <w:footnote w:id="3">
    <w:p w:rsidR="00FA2CE7" w:rsidRPr="00E207BC" w:rsidRDefault="00FA2CE7" w:rsidP="00021B0D">
      <w:pPr>
        <w:pStyle w:val="FootnoteText"/>
        <w:jc w:val="both"/>
      </w:pPr>
      <w:r>
        <w:rPr>
          <w:rStyle w:val="FootnoteReference"/>
        </w:rPr>
        <w:footnoteRef/>
      </w:r>
      <w:r>
        <w:t xml:space="preserve"> </w:t>
      </w:r>
      <w:proofErr w:type="gramStart"/>
      <w:r w:rsidRPr="00E207BC">
        <w:t>convertible</w:t>
      </w:r>
      <w:proofErr w:type="gramEnd"/>
      <w:r w:rsidRPr="00E207BC">
        <w:t xml:space="preserve"> vehicles are defined as per annex 7, paragraph 8.1. of the Consolidated Resolution on the</w:t>
      </w:r>
    </w:p>
    <w:p w:rsidR="00FA2CE7" w:rsidRDefault="00FA2CE7" w:rsidP="00021B0D">
      <w:pPr>
        <w:pStyle w:val="FootnoteText"/>
      </w:pPr>
      <w:r w:rsidRPr="00E207BC">
        <w:t>Construction of Vehicles (R.E.3) – (Document TRANS/WP29/78/Rev.1/Amend.2)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FA2CE7" w:rsidRPr="00FE49D5" w:rsidTr="00211AE5">
      <w:tc>
        <w:tcPr>
          <w:tcW w:w="7668" w:type="dxa"/>
          <w:shd w:val="clear" w:color="auto" w:fill="auto"/>
        </w:tcPr>
        <w:p w:rsidR="00FA2CE7" w:rsidRPr="00FE49D5" w:rsidRDefault="00FA2CE7" w:rsidP="00211AE5">
          <w:pPr>
            <w:pStyle w:val="Header"/>
            <w:rPr>
              <w:sz w:val="20"/>
              <w:szCs w:val="20"/>
            </w:rPr>
          </w:pPr>
          <w:r w:rsidRPr="00FE49D5">
            <w:rPr>
              <w:sz w:val="20"/>
              <w:szCs w:val="20"/>
            </w:rPr>
            <w:t xml:space="preserve">Australian Design Rule </w:t>
          </w:r>
          <w:r>
            <w:rPr>
              <w:sz w:val="20"/>
              <w:szCs w:val="20"/>
            </w:rPr>
            <w:t>22/00 Head Restraints</w:t>
          </w:r>
        </w:p>
      </w:tc>
      <w:tc>
        <w:tcPr>
          <w:tcW w:w="1052" w:type="dxa"/>
          <w:shd w:val="clear" w:color="auto" w:fill="auto"/>
        </w:tcPr>
        <w:p w:rsidR="00FA2CE7" w:rsidRPr="00FE49D5" w:rsidRDefault="00FA2CE7" w:rsidP="00211AE5">
          <w:pPr>
            <w:pStyle w:val="Header"/>
            <w:jc w:val="center"/>
            <w:rPr>
              <w:sz w:val="20"/>
              <w:szCs w:val="20"/>
            </w:rPr>
          </w:pPr>
          <w:r w:rsidRPr="00FE49D5">
            <w:rPr>
              <w:rStyle w:val="PageNumber"/>
              <w:sz w:val="20"/>
              <w:szCs w:val="20"/>
            </w:rPr>
            <w:fldChar w:fldCharType="begin"/>
          </w:r>
          <w:r w:rsidRPr="00FE49D5">
            <w:rPr>
              <w:rStyle w:val="PageNumber"/>
              <w:sz w:val="20"/>
              <w:szCs w:val="20"/>
            </w:rPr>
            <w:instrText xml:space="preserve"> PAGE </w:instrText>
          </w:r>
          <w:r w:rsidRPr="00FE49D5">
            <w:rPr>
              <w:rStyle w:val="PageNumber"/>
              <w:sz w:val="20"/>
              <w:szCs w:val="20"/>
            </w:rPr>
            <w:fldChar w:fldCharType="separate"/>
          </w:r>
          <w:r>
            <w:rPr>
              <w:rStyle w:val="PageNumber"/>
              <w:noProof/>
              <w:sz w:val="20"/>
              <w:szCs w:val="20"/>
            </w:rPr>
            <w:t>2</w:t>
          </w:r>
          <w:r w:rsidRPr="00FE49D5">
            <w:rPr>
              <w:rStyle w:val="PageNumber"/>
              <w:sz w:val="20"/>
              <w:szCs w:val="20"/>
            </w:rPr>
            <w:fldChar w:fldCharType="end"/>
          </w:r>
        </w:p>
      </w:tc>
    </w:tr>
  </w:tbl>
  <w:p w:rsidR="00FA2CE7" w:rsidRPr="00FE49D5" w:rsidRDefault="00FA2CE7" w:rsidP="00211A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299"/>
      <w:gridCol w:w="1205"/>
    </w:tblGrid>
    <w:tr w:rsidR="00FA2CE7" w:rsidRPr="00F92EEB" w:rsidTr="00F459E0">
      <w:tc>
        <w:tcPr>
          <w:tcW w:w="7488" w:type="dxa"/>
          <w:shd w:val="clear" w:color="auto" w:fill="auto"/>
        </w:tcPr>
        <w:p w:rsidR="00FA2CE7" w:rsidRPr="00F92EEB" w:rsidRDefault="00FA2CE7" w:rsidP="0052624B">
          <w:pPr>
            <w:pStyle w:val="Header"/>
            <w:rPr>
              <w:sz w:val="20"/>
              <w:szCs w:val="20"/>
            </w:rPr>
          </w:pPr>
          <w:r w:rsidRPr="00F92EEB">
            <w:rPr>
              <w:sz w:val="20"/>
              <w:szCs w:val="20"/>
            </w:rPr>
            <w:t>Australian Design Rule 34/02 – Child Restraint Anchorages and Child Restraint Anchor Fittings</w:t>
          </w:r>
        </w:p>
      </w:tc>
      <w:tc>
        <w:tcPr>
          <w:tcW w:w="1232" w:type="dxa"/>
          <w:shd w:val="clear" w:color="auto" w:fill="auto"/>
        </w:tcPr>
        <w:p w:rsidR="00FA2CE7" w:rsidRPr="00F92EEB" w:rsidRDefault="00FA2CE7" w:rsidP="00F459E0">
          <w:pPr>
            <w:pStyle w:val="Header"/>
            <w:tabs>
              <w:tab w:val="clear" w:pos="4153"/>
              <w:tab w:val="clear" w:pos="8306"/>
            </w:tabs>
            <w:jc w:val="center"/>
            <w:rPr>
              <w:sz w:val="20"/>
              <w:szCs w:val="20"/>
            </w:rPr>
          </w:pPr>
          <w:r w:rsidRPr="00F92EEB">
            <w:rPr>
              <w:rStyle w:val="PageNumber"/>
              <w:sz w:val="20"/>
              <w:szCs w:val="20"/>
            </w:rPr>
            <w:fldChar w:fldCharType="begin"/>
          </w:r>
          <w:r w:rsidRPr="00F92EEB">
            <w:rPr>
              <w:rStyle w:val="PageNumber"/>
              <w:sz w:val="20"/>
              <w:szCs w:val="20"/>
            </w:rPr>
            <w:instrText xml:space="preserve"> PAGE </w:instrText>
          </w:r>
          <w:r w:rsidRPr="00F92EEB">
            <w:rPr>
              <w:rStyle w:val="PageNumber"/>
              <w:sz w:val="20"/>
              <w:szCs w:val="20"/>
            </w:rPr>
            <w:fldChar w:fldCharType="separate"/>
          </w:r>
          <w:r w:rsidR="006B11BA">
            <w:rPr>
              <w:rStyle w:val="PageNumber"/>
              <w:noProof/>
              <w:sz w:val="20"/>
              <w:szCs w:val="20"/>
            </w:rPr>
            <w:t>21</w:t>
          </w:r>
          <w:r w:rsidRPr="00F92EEB">
            <w:rPr>
              <w:rStyle w:val="PageNumber"/>
              <w:sz w:val="20"/>
              <w:szCs w:val="20"/>
            </w:rPr>
            <w:fldChar w:fldCharType="end"/>
          </w:r>
        </w:p>
      </w:tc>
    </w:tr>
  </w:tbl>
  <w:p w:rsidR="00FA2CE7" w:rsidRDefault="00FA2CE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297"/>
      <w:gridCol w:w="1207"/>
    </w:tblGrid>
    <w:tr w:rsidR="00FA2CE7" w:rsidRPr="00F92EEB" w:rsidTr="00F459E0">
      <w:tc>
        <w:tcPr>
          <w:tcW w:w="7488" w:type="dxa"/>
          <w:shd w:val="clear" w:color="auto" w:fill="auto"/>
        </w:tcPr>
        <w:p w:rsidR="00FA2CE7" w:rsidRPr="00F92EEB" w:rsidRDefault="00FA2CE7" w:rsidP="0052624B">
          <w:pPr>
            <w:pStyle w:val="Header"/>
            <w:rPr>
              <w:sz w:val="20"/>
              <w:szCs w:val="20"/>
            </w:rPr>
          </w:pPr>
          <w:r w:rsidRPr="00F92EEB">
            <w:rPr>
              <w:sz w:val="20"/>
              <w:szCs w:val="20"/>
            </w:rPr>
            <w:t>Australian Design Rule 34/02 – Child Restraint Anchorages and Child Restraint Anchor Fittings</w:t>
          </w:r>
        </w:p>
        <w:p w:rsidR="00FA2CE7" w:rsidRPr="00F92EEB" w:rsidRDefault="00FA2CE7" w:rsidP="0052624B">
          <w:pPr>
            <w:pStyle w:val="Header"/>
            <w:rPr>
              <w:sz w:val="20"/>
              <w:szCs w:val="20"/>
            </w:rPr>
          </w:pPr>
          <w:r w:rsidRPr="00F92EEB">
            <w:rPr>
              <w:sz w:val="20"/>
              <w:szCs w:val="20"/>
            </w:rPr>
            <w:t>Appendix 1</w:t>
          </w:r>
        </w:p>
      </w:tc>
      <w:tc>
        <w:tcPr>
          <w:tcW w:w="1232" w:type="dxa"/>
          <w:shd w:val="clear" w:color="auto" w:fill="auto"/>
        </w:tcPr>
        <w:p w:rsidR="00FA2CE7" w:rsidRPr="00F92EEB" w:rsidRDefault="00FA2CE7" w:rsidP="00F459E0">
          <w:pPr>
            <w:pStyle w:val="Header"/>
            <w:tabs>
              <w:tab w:val="clear" w:pos="4153"/>
              <w:tab w:val="clear" w:pos="8306"/>
            </w:tabs>
            <w:jc w:val="center"/>
            <w:rPr>
              <w:sz w:val="20"/>
              <w:szCs w:val="20"/>
            </w:rPr>
          </w:pPr>
          <w:r w:rsidRPr="00F92EEB">
            <w:rPr>
              <w:rStyle w:val="PageNumber"/>
              <w:sz w:val="20"/>
              <w:szCs w:val="20"/>
            </w:rPr>
            <w:fldChar w:fldCharType="begin"/>
          </w:r>
          <w:r w:rsidRPr="00F92EEB">
            <w:rPr>
              <w:rStyle w:val="PageNumber"/>
              <w:sz w:val="20"/>
              <w:szCs w:val="20"/>
            </w:rPr>
            <w:instrText xml:space="preserve"> PAGE </w:instrText>
          </w:r>
          <w:r w:rsidRPr="00F92EEB">
            <w:rPr>
              <w:rStyle w:val="PageNumber"/>
              <w:sz w:val="20"/>
              <w:szCs w:val="20"/>
            </w:rPr>
            <w:fldChar w:fldCharType="separate"/>
          </w:r>
          <w:r w:rsidR="006B11BA">
            <w:rPr>
              <w:rStyle w:val="PageNumber"/>
              <w:noProof/>
              <w:sz w:val="20"/>
              <w:szCs w:val="20"/>
            </w:rPr>
            <w:t>24</w:t>
          </w:r>
          <w:r w:rsidRPr="00F92EEB">
            <w:rPr>
              <w:rStyle w:val="PageNumber"/>
              <w:sz w:val="20"/>
              <w:szCs w:val="20"/>
            </w:rPr>
            <w:fldChar w:fldCharType="end"/>
          </w:r>
        </w:p>
      </w:tc>
    </w:tr>
  </w:tbl>
  <w:p w:rsidR="00FA2CE7" w:rsidRDefault="00FA2CE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297"/>
      <w:gridCol w:w="1207"/>
    </w:tblGrid>
    <w:tr w:rsidR="00FA2CE7" w:rsidRPr="00F459E0" w:rsidTr="00F459E0">
      <w:tc>
        <w:tcPr>
          <w:tcW w:w="7488" w:type="dxa"/>
          <w:shd w:val="clear" w:color="auto" w:fill="auto"/>
        </w:tcPr>
        <w:p w:rsidR="00FA2CE7" w:rsidRPr="00F92EEB" w:rsidRDefault="00FA2CE7" w:rsidP="0052624B">
          <w:pPr>
            <w:pStyle w:val="Header"/>
            <w:rPr>
              <w:sz w:val="20"/>
              <w:szCs w:val="20"/>
            </w:rPr>
          </w:pPr>
          <w:r w:rsidRPr="00F92EEB">
            <w:rPr>
              <w:sz w:val="20"/>
              <w:szCs w:val="20"/>
            </w:rPr>
            <w:t>Australian Design Rule 34/02 – Child Restraint Anchorages and Child Restraint Anchor Fittings</w:t>
          </w:r>
        </w:p>
        <w:p w:rsidR="00FA2CE7" w:rsidRPr="00F92EEB" w:rsidRDefault="00FA2CE7" w:rsidP="0052624B">
          <w:pPr>
            <w:pStyle w:val="Header"/>
            <w:rPr>
              <w:sz w:val="20"/>
              <w:szCs w:val="20"/>
            </w:rPr>
          </w:pPr>
          <w:r w:rsidRPr="00F92EEB">
            <w:rPr>
              <w:sz w:val="20"/>
              <w:szCs w:val="20"/>
            </w:rPr>
            <w:t>Appendix 2</w:t>
          </w:r>
        </w:p>
      </w:tc>
      <w:tc>
        <w:tcPr>
          <w:tcW w:w="1232" w:type="dxa"/>
          <w:shd w:val="clear" w:color="auto" w:fill="auto"/>
        </w:tcPr>
        <w:p w:rsidR="00FA2CE7" w:rsidRPr="00F92EEB" w:rsidRDefault="00FA2CE7" w:rsidP="00F459E0">
          <w:pPr>
            <w:pStyle w:val="Header"/>
            <w:tabs>
              <w:tab w:val="clear" w:pos="4153"/>
              <w:tab w:val="clear" w:pos="8306"/>
            </w:tabs>
            <w:jc w:val="center"/>
            <w:rPr>
              <w:sz w:val="20"/>
              <w:szCs w:val="20"/>
            </w:rPr>
          </w:pPr>
          <w:r w:rsidRPr="00F92EEB">
            <w:rPr>
              <w:rStyle w:val="PageNumber"/>
              <w:sz w:val="20"/>
              <w:szCs w:val="20"/>
            </w:rPr>
            <w:fldChar w:fldCharType="begin"/>
          </w:r>
          <w:r w:rsidRPr="00F92EEB">
            <w:rPr>
              <w:rStyle w:val="PageNumber"/>
              <w:sz w:val="20"/>
              <w:szCs w:val="20"/>
            </w:rPr>
            <w:instrText xml:space="preserve"> PAGE </w:instrText>
          </w:r>
          <w:r w:rsidRPr="00F92EEB">
            <w:rPr>
              <w:rStyle w:val="PageNumber"/>
              <w:sz w:val="20"/>
              <w:szCs w:val="20"/>
            </w:rPr>
            <w:fldChar w:fldCharType="separate"/>
          </w:r>
          <w:r w:rsidR="006B11BA">
            <w:rPr>
              <w:rStyle w:val="PageNumber"/>
              <w:noProof/>
              <w:sz w:val="20"/>
              <w:szCs w:val="20"/>
            </w:rPr>
            <w:t>25</w:t>
          </w:r>
          <w:r w:rsidRPr="00F92EEB">
            <w:rPr>
              <w:rStyle w:val="PageNumber"/>
              <w:sz w:val="20"/>
              <w:szCs w:val="20"/>
            </w:rPr>
            <w:fldChar w:fldCharType="end"/>
          </w:r>
        </w:p>
      </w:tc>
    </w:tr>
  </w:tbl>
  <w:p w:rsidR="00FA2CE7" w:rsidRDefault="00FA2CE7"/>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298"/>
      <w:gridCol w:w="1206"/>
    </w:tblGrid>
    <w:tr w:rsidR="00FA2CE7" w:rsidRPr="00F459E0" w:rsidTr="00F459E0">
      <w:tc>
        <w:tcPr>
          <w:tcW w:w="7488" w:type="dxa"/>
          <w:shd w:val="clear" w:color="auto" w:fill="auto"/>
        </w:tcPr>
        <w:p w:rsidR="00FA2CE7" w:rsidRPr="00F92EEB" w:rsidRDefault="00FA2CE7" w:rsidP="0052624B">
          <w:pPr>
            <w:pStyle w:val="Header"/>
            <w:rPr>
              <w:sz w:val="20"/>
              <w:szCs w:val="20"/>
            </w:rPr>
          </w:pPr>
          <w:r w:rsidRPr="00F92EEB">
            <w:rPr>
              <w:sz w:val="20"/>
              <w:szCs w:val="20"/>
            </w:rPr>
            <w:t>Australian Design Rule 34/02 – Child Restraint Anchorages and Child Restraint Anchor Fittings</w:t>
          </w:r>
        </w:p>
        <w:p w:rsidR="00FA2CE7" w:rsidRPr="00F459E0" w:rsidRDefault="00FA2CE7" w:rsidP="0052624B">
          <w:pPr>
            <w:pStyle w:val="Header"/>
            <w:rPr>
              <w:sz w:val="20"/>
              <w:szCs w:val="20"/>
            </w:rPr>
          </w:pPr>
          <w:r>
            <w:rPr>
              <w:sz w:val="20"/>
              <w:szCs w:val="20"/>
            </w:rPr>
            <w:t>COMPILATION NOTES</w:t>
          </w:r>
        </w:p>
      </w:tc>
      <w:tc>
        <w:tcPr>
          <w:tcW w:w="1232" w:type="dxa"/>
          <w:shd w:val="clear" w:color="auto" w:fill="auto"/>
        </w:tcPr>
        <w:p w:rsidR="00FA2CE7" w:rsidRPr="00F459E0" w:rsidRDefault="00FA2CE7" w:rsidP="00F459E0">
          <w:pPr>
            <w:pStyle w:val="Header"/>
            <w:tabs>
              <w:tab w:val="clear" w:pos="4153"/>
              <w:tab w:val="clear" w:pos="8306"/>
            </w:tabs>
            <w:jc w:val="center"/>
            <w:rPr>
              <w:sz w:val="20"/>
              <w:szCs w:val="20"/>
            </w:rPr>
          </w:pPr>
          <w:r w:rsidRPr="00F459E0">
            <w:rPr>
              <w:rStyle w:val="PageNumber"/>
              <w:sz w:val="20"/>
              <w:szCs w:val="20"/>
            </w:rPr>
            <w:fldChar w:fldCharType="begin"/>
          </w:r>
          <w:r w:rsidRPr="00F459E0">
            <w:rPr>
              <w:rStyle w:val="PageNumber"/>
              <w:sz w:val="20"/>
              <w:szCs w:val="20"/>
            </w:rPr>
            <w:instrText xml:space="preserve"> PAGE </w:instrText>
          </w:r>
          <w:r w:rsidRPr="00F459E0">
            <w:rPr>
              <w:rStyle w:val="PageNumber"/>
              <w:sz w:val="20"/>
              <w:szCs w:val="20"/>
            </w:rPr>
            <w:fldChar w:fldCharType="separate"/>
          </w:r>
          <w:r w:rsidR="006B11BA">
            <w:rPr>
              <w:rStyle w:val="PageNumber"/>
              <w:noProof/>
              <w:sz w:val="20"/>
              <w:szCs w:val="20"/>
            </w:rPr>
            <w:t>26</w:t>
          </w:r>
          <w:r w:rsidRPr="00F459E0">
            <w:rPr>
              <w:rStyle w:val="PageNumber"/>
              <w:sz w:val="20"/>
              <w:szCs w:val="20"/>
            </w:rPr>
            <w:fldChar w:fldCharType="end"/>
          </w:r>
        </w:p>
      </w:tc>
    </w:tr>
  </w:tbl>
  <w:p w:rsidR="00FA2CE7" w:rsidRDefault="00FA2CE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0EFC"/>
    <w:multiLevelType w:val="multilevel"/>
    <w:tmpl w:val="7D1E6456"/>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1" w15:restartNumberingAfterBreak="0">
    <w:nsid w:val="0B6B3677"/>
    <w:multiLevelType w:val="hybridMultilevel"/>
    <w:tmpl w:val="E60E42DC"/>
    <w:lvl w:ilvl="0" w:tplc="EEEC8C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A518E8"/>
    <w:multiLevelType w:val="hybridMultilevel"/>
    <w:tmpl w:val="E60E42DC"/>
    <w:lvl w:ilvl="0" w:tplc="EEEC8C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9F1ABD"/>
    <w:multiLevelType w:val="hybridMultilevel"/>
    <w:tmpl w:val="E60E42DC"/>
    <w:lvl w:ilvl="0" w:tplc="EEEC8CA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28A486D"/>
    <w:multiLevelType w:val="hybridMultilevel"/>
    <w:tmpl w:val="E60E42DC"/>
    <w:lvl w:ilvl="0" w:tplc="EEEC8CA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7E9431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325673"/>
    <w:multiLevelType w:val="hybridMultilevel"/>
    <w:tmpl w:val="E60E42DC"/>
    <w:lvl w:ilvl="0" w:tplc="EEEC8C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6129A4"/>
    <w:multiLevelType w:val="hybridMultilevel"/>
    <w:tmpl w:val="0D22320A"/>
    <w:lvl w:ilvl="0" w:tplc="81644196">
      <w:start w:val="1"/>
      <w:numFmt w:val="decimal"/>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92421B"/>
    <w:multiLevelType w:val="hybridMultilevel"/>
    <w:tmpl w:val="8AA698F8"/>
    <w:lvl w:ilvl="0" w:tplc="81644196">
      <w:start w:val="1"/>
      <w:numFmt w:val="decimal"/>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3612E6"/>
    <w:multiLevelType w:val="hybridMultilevel"/>
    <w:tmpl w:val="E60E42DC"/>
    <w:lvl w:ilvl="0" w:tplc="EEEC8CA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DC606B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1B0B77"/>
    <w:multiLevelType w:val="hybridMultilevel"/>
    <w:tmpl w:val="E60E42DC"/>
    <w:lvl w:ilvl="0" w:tplc="EEEC8CA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8F7506F"/>
    <w:multiLevelType w:val="multilevel"/>
    <w:tmpl w:val="542477F8"/>
    <w:lvl w:ilvl="0">
      <w:start w:val="1"/>
      <w:numFmt w:val="decimal"/>
      <w:pStyle w:val="Clauseheading"/>
      <w:lvlText w:val="34.%1."/>
      <w:lvlJc w:val="left"/>
      <w:pPr>
        <w:tabs>
          <w:tab w:val="num" w:pos="1418"/>
        </w:tabs>
        <w:ind w:left="1418" w:hanging="1418"/>
      </w:pPr>
      <w:rPr>
        <w:rFonts w:hint="default"/>
        <w:i w:val="0"/>
      </w:rPr>
    </w:lvl>
    <w:lvl w:ilvl="1">
      <w:start w:val="1"/>
      <w:numFmt w:val="decimal"/>
      <w:pStyle w:val="Subclause"/>
      <w:lvlText w:val="34.%1.%2."/>
      <w:lvlJc w:val="left"/>
      <w:pPr>
        <w:tabs>
          <w:tab w:val="num" w:pos="1418"/>
        </w:tabs>
        <w:ind w:left="1418" w:hanging="1418"/>
      </w:pPr>
      <w:rPr>
        <w:rFonts w:hint="default"/>
      </w:rPr>
    </w:lvl>
    <w:lvl w:ilvl="2">
      <w:start w:val="1"/>
      <w:numFmt w:val="decimal"/>
      <w:pStyle w:val="Subsubclause"/>
      <w:lvlText w:val="34.%1.%2.%3."/>
      <w:lvlJc w:val="left"/>
      <w:pPr>
        <w:tabs>
          <w:tab w:val="num" w:pos="1418"/>
        </w:tabs>
        <w:ind w:left="1418" w:hanging="1418"/>
      </w:pPr>
      <w:rPr>
        <w:rFonts w:hint="default"/>
      </w:rPr>
    </w:lvl>
    <w:lvl w:ilvl="3">
      <w:start w:val="1"/>
      <w:numFmt w:val="decimal"/>
      <w:pStyle w:val="Subsubsubclause"/>
      <w:lvlText w:val="34.%1.%2.%3.%4."/>
      <w:lvlJc w:val="left"/>
      <w:pPr>
        <w:tabs>
          <w:tab w:val="num" w:pos="1418"/>
        </w:tabs>
        <w:ind w:left="1418" w:hanging="1418"/>
      </w:pPr>
      <w:rPr>
        <w:rFonts w:hint="default"/>
      </w:rPr>
    </w:lvl>
    <w:lvl w:ilvl="4">
      <w:start w:val="1"/>
      <w:numFmt w:val="decimal"/>
      <w:lvlText w:val="34.%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13" w15:restartNumberingAfterBreak="0">
    <w:nsid w:val="63A50489"/>
    <w:multiLevelType w:val="hybridMultilevel"/>
    <w:tmpl w:val="48FA289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64AD0661"/>
    <w:multiLevelType w:val="multilevel"/>
    <w:tmpl w:val="1CF093C6"/>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15" w15:restartNumberingAfterBreak="0">
    <w:nsid w:val="79753DA2"/>
    <w:multiLevelType w:val="hybridMultilevel"/>
    <w:tmpl w:val="624A50E0"/>
    <w:lvl w:ilvl="0" w:tplc="F64A16B4">
      <w:start w:val="1"/>
      <w:numFmt w:val="decimal"/>
      <w:pStyle w:val="appendix"/>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7DBC69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0"/>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9"/>
  </w:num>
  <w:num w:numId="15">
    <w:abstractNumId w:val="1"/>
  </w:num>
  <w:num w:numId="16">
    <w:abstractNumId w:val="3"/>
  </w:num>
  <w:num w:numId="17">
    <w:abstractNumId w:val="6"/>
  </w:num>
  <w:num w:numId="18">
    <w:abstractNumId w:val="2"/>
  </w:num>
  <w:num w:numId="19">
    <w:abstractNumId w:val="11"/>
  </w:num>
  <w:num w:numId="20">
    <w:abstractNumId w:val="4"/>
  </w:num>
  <w:num w:numId="21">
    <w:abstractNumId w:val="7"/>
  </w:num>
  <w:num w:numId="22">
    <w:abstractNumId w:val="8"/>
  </w:num>
  <w:num w:numId="23">
    <w:abstractNumId w:val="12"/>
  </w:num>
  <w:num w:numId="24">
    <w:abstractNumId w:val="12"/>
  </w:num>
  <w:num w:numId="25">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2"/>
  </w:num>
  <w:num w:numId="28">
    <w:abstractNumId w:val="12"/>
  </w:num>
  <w:num w:numId="29">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0"/>
  </w:num>
  <w:num w:numId="32">
    <w:abstractNumId w:val="16"/>
  </w:num>
  <w:num w:numId="33">
    <w:abstractNumId w:val="14"/>
  </w:num>
  <w:num w:numId="34">
    <w:abstractNumId w:val="5"/>
  </w:num>
  <w:num w:numId="35">
    <w:abstractNumId w:val="12"/>
  </w:num>
  <w:num w:numId="36">
    <w:abstractNumId w:val="12"/>
  </w:num>
  <w:num w:numId="37">
    <w:abstractNumId w:val="12"/>
  </w:num>
  <w:num w:numId="38">
    <w:abstractNumId w:val="12"/>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18"/>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265"/>
    <w:rsid w:val="00000AD9"/>
    <w:rsid w:val="000048F8"/>
    <w:rsid w:val="00004EBE"/>
    <w:rsid w:val="00005720"/>
    <w:rsid w:val="000061F8"/>
    <w:rsid w:val="00012208"/>
    <w:rsid w:val="00021B0D"/>
    <w:rsid w:val="00026719"/>
    <w:rsid w:val="00026A5C"/>
    <w:rsid w:val="00030247"/>
    <w:rsid w:val="00032B07"/>
    <w:rsid w:val="00035448"/>
    <w:rsid w:val="00037243"/>
    <w:rsid w:val="000428EE"/>
    <w:rsid w:val="00043589"/>
    <w:rsid w:val="000435BB"/>
    <w:rsid w:val="00047434"/>
    <w:rsid w:val="00047F93"/>
    <w:rsid w:val="000500AE"/>
    <w:rsid w:val="00050562"/>
    <w:rsid w:val="00051454"/>
    <w:rsid w:val="00053B3B"/>
    <w:rsid w:val="00055F14"/>
    <w:rsid w:val="00056206"/>
    <w:rsid w:val="00060427"/>
    <w:rsid w:val="00067C40"/>
    <w:rsid w:val="00073147"/>
    <w:rsid w:val="00074611"/>
    <w:rsid w:val="00076989"/>
    <w:rsid w:val="000813A9"/>
    <w:rsid w:val="000817D6"/>
    <w:rsid w:val="00087F57"/>
    <w:rsid w:val="00090426"/>
    <w:rsid w:val="00091894"/>
    <w:rsid w:val="000918C7"/>
    <w:rsid w:val="0009208E"/>
    <w:rsid w:val="00092FBC"/>
    <w:rsid w:val="0009535C"/>
    <w:rsid w:val="000B1535"/>
    <w:rsid w:val="000B2A03"/>
    <w:rsid w:val="000B3BB4"/>
    <w:rsid w:val="000B56E7"/>
    <w:rsid w:val="000C4C9F"/>
    <w:rsid w:val="000C51C8"/>
    <w:rsid w:val="000C7B95"/>
    <w:rsid w:val="000D133D"/>
    <w:rsid w:val="000D34CC"/>
    <w:rsid w:val="000D7728"/>
    <w:rsid w:val="000D7A2B"/>
    <w:rsid w:val="000E2474"/>
    <w:rsid w:val="000E2A64"/>
    <w:rsid w:val="000E63C2"/>
    <w:rsid w:val="000F4AB6"/>
    <w:rsid w:val="000F6A0B"/>
    <w:rsid w:val="001007DD"/>
    <w:rsid w:val="001028EA"/>
    <w:rsid w:val="001028F9"/>
    <w:rsid w:val="00106481"/>
    <w:rsid w:val="001079B1"/>
    <w:rsid w:val="00110853"/>
    <w:rsid w:val="00110952"/>
    <w:rsid w:val="00114946"/>
    <w:rsid w:val="001170EF"/>
    <w:rsid w:val="001217C7"/>
    <w:rsid w:val="00124EFE"/>
    <w:rsid w:val="001303B2"/>
    <w:rsid w:val="00130EFA"/>
    <w:rsid w:val="00134486"/>
    <w:rsid w:val="00136081"/>
    <w:rsid w:val="00136568"/>
    <w:rsid w:val="00143CD6"/>
    <w:rsid w:val="0014414C"/>
    <w:rsid w:val="001462C0"/>
    <w:rsid w:val="00146656"/>
    <w:rsid w:val="0014782B"/>
    <w:rsid w:val="001519DA"/>
    <w:rsid w:val="001548F3"/>
    <w:rsid w:val="00155078"/>
    <w:rsid w:val="00156941"/>
    <w:rsid w:val="00157055"/>
    <w:rsid w:val="0017442C"/>
    <w:rsid w:val="00175D1C"/>
    <w:rsid w:val="0018089B"/>
    <w:rsid w:val="001810DD"/>
    <w:rsid w:val="00185280"/>
    <w:rsid w:val="00185F78"/>
    <w:rsid w:val="00186718"/>
    <w:rsid w:val="001938B1"/>
    <w:rsid w:val="001978F1"/>
    <w:rsid w:val="001A46E3"/>
    <w:rsid w:val="001A4B40"/>
    <w:rsid w:val="001A6601"/>
    <w:rsid w:val="001A6B65"/>
    <w:rsid w:val="001A6D6B"/>
    <w:rsid w:val="001B0260"/>
    <w:rsid w:val="001B0572"/>
    <w:rsid w:val="001B1321"/>
    <w:rsid w:val="001B279B"/>
    <w:rsid w:val="001B38AA"/>
    <w:rsid w:val="001B5B4E"/>
    <w:rsid w:val="001B6015"/>
    <w:rsid w:val="001B7F8A"/>
    <w:rsid w:val="001C0597"/>
    <w:rsid w:val="001C0D8B"/>
    <w:rsid w:val="001C5C86"/>
    <w:rsid w:val="001D0957"/>
    <w:rsid w:val="001D49CA"/>
    <w:rsid w:val="001E12C6"/>
    <w:rsid w:val="001E17CF"/>
    <w:rsid w:val="001E1921"/>
    <w:rsid w:val="001E2089"/>
    <w:rsid w:val="001E6508"/>
    <w:rsid w:val="001E7576"/>
    <w:rsid w:val="001E75FB"/>
    <w:rsid w:val="001F01B4"/>
    <w:rsid w:val="001F2EC9"/>
    <w:rsid w:val="001F44B3"/>
    <w:rsid w:val="001F7B72"/>
    <w:rsid w:val="00200859"/>
    <w:rsid w:val="0020247D"/>
    <w:rsid w:val="00204753"/>
    <w:rsid w:val="0020680C"/>
    <w:rsid w:val="002079D2"/>
    <w:rsid w:val="00210308"/>
    <w:rsid w:val="00211AE5"/>
    <w:rsid w:val="00212647"/>
    <w:rsid w:val="00214EB2"/>
    <w:rsid w:val="0021581D"/>
    <w:rsid w:val="0022063D"/>
    <w:rsid w:val="002208E6"/>
    <w:rsid w:val="00221E61"/>
    <w:rsid w:val="00225093"/>
    <w:rsid w:val="00226316"/>
    <w:rsid w:val="00226330"/>
    <w:rsid w:val="002266D3"/>
    <w:rsid w:val="00226D12"/>
    <w:rsid w:val="0022767D"/>
    <w:rsid w:val="0023145E"/>
    <w:rsid w:val="0023402B"/>
    <w:rsid w:val="00235E5C"/>
    <w:rsid w:val="002413B4"/>
    <w:rsid w:val="00242A55"/>
    <w:rsid w:val="002437E6"/>
    <w:rsid w:val="00244BFC"/>
    <w:rsid w:val="00250850"/>
    <w:rsid w:val="0025433C"/>
    <w:rsid w:val="00255A32"/>
    <w:rsid w:val="00261652"/>
    <w:rsid w:val="00261F63"/>
    <w:rsid w:val="002648DF"/>
    <w:rsid w:val="002665C0"/>
    <w:rsid w:val="00266E46"/>
    <w:rsid w:val="00267D4D"/>
    <w:rsid w:val="00270C35"/>
    <w:rsid w:val="0027553F"/>
    <w:rsid w:val="0028140D"/>
    <w:rsid w:val="0028331A"/>
    <w:rsid w:val="00283350"/>
    <w:rsid w:val="002842D2"/>
    <w:rsid w:val="00293BD3"/>
    <w:rsid w:val="00294F65"/>
    <w:rsid w:val="002968B6"/>
    <w:rsid w:val="00296F2C"/>
    <w:rsid w:val="002A11C5"/>
    <w:rsid w:val="002A739A"/>
    <w:rsid w:val="002B5320"/>
    <w:rsid w:val="002B564F"/>
    <w:rsid w:val="002B6016"/>
    <w:rsid w:val="002C1DA5"/>
    <w:rsid w:val="002D180D"/>
    <w:rsid w:val="002D1A0B"/>
    <w:rsid w:val="002D49EA"/>
    <w:rsid w:val="002D551A"/>
    <w:rsid w:val="002E17BC"/>
    <w:rsid w:val="002E1AA2"/>
    <w:rsid w:val="002E557C"/>
    <w:rsid w:val="002E5BDE"/>
    <w:rsid w:val="002E6AB6"/>
    <w:rsid w:val="002E6E56"/>
    <w:rsid w:val="002E7CF6"/>
    <w:rsid w:val="002F13F1"/>
    <w:rsid w:val="002F25FC"/>
    <w:rsid w:val="002F423E"/>
    <w:rsid w:val="002F4FE7"/>
    <w:rsid w:val="002F539D"/>
    <w:rsid w:val="002F63D5"/>
    <w:rsid w:val="00313281"/>
    <w:rsid w:val="00313CC8"/>
    <w:rsid w:val="003165F0"/>
    <w:rsid w:val="00316CD9"/>
    <w:rsid w:val="0032464D"/>
    <w:rsid w:val="00324A08"/>
    <w:rsid w:val="00324B8F"/>
    <w:rsid w:val="0032636B"/>
    <w:rsid w:val="003317DE"/>
    <w:rsid w:val="0033272E"/>
    <w:rsid w:val="00336386"/>
    <w:rsid w:val="003415B2"/>
    <w:rsid w:val="003442DA"/>
    <w:rsid w:val="003447E5"/>
    <w:rsid w:val="00346C44"/>
    <w:rsid w:val="00355138"/>
    <w:rsid w:val="003555B5"/>
    <w:rsid w:val="00357468"/>
    <w:rsid w:val="00357A28"/>
    <w:rsid w:val="003602C5"/>
    <w:rsid w:val="003610FB"/>
    <w:rsid w:val="00373EFE"/>
    <w:rsid w:val="003759AB"/>
    <w:rsid w:val="00377667"/>
    <w:rsid w:val="00385594"/>
    <w:rsid w:val="00386F06"/>
    <w:rsid w:val="0038724A"/>
    <w:rsid w:val="003939C1"/>
    <w:rsid w:val="00393C83"/>
    <w:rsid w:val="00395B82"/>
    <w:rsid w:val="0039617F"/>
    <w:rsid w:val="003A3321"/>
    <w:rsid w:val="003A3FEE"/>
    <w:rsid w:val="003A4D71"/>
    <w:rsid w:val="003B290E"/>
    <w:rsid w:val="003B4C3D"/>
    <w:rsid w:val="003B5044"/>
    <w:rsid w:val="003B6294"/>
    <w:rsid w:val="003B6F5D"/>
    <w:rsid w:val="003C43E4"/>
    <w:rsid w:val="003D10F5"/>
    <w:rsid w:val="003D1CE0"/>
    <w:rsid w:val="003D488F"/>
    <w:rsid w:val="003D60B7"/>
    <w:rsid w:val="003E5673"/>
    <w:rsid w:val="003F0C85"/>
    <w:rsid w:val="003F0F3D"/>
    <w:rsid w:val="003F1107"/>
    <w:rsid w:val="003F1B2A"/>
    <w:rsid w:val="003F5392"/>
    <w:rsid w:val="003F70DB"/>
    <w:rsid w:val="00410269"/>
    <w:rsid w:val="004148CD"/>
    <w:rsid w:val="00423EF7"/>
    <w:rsid w:val="00424047"/>
    <w:rsid w:val="00424E72"/>
    <w:rsid w:val="004271BC"/>
    <w:rsid w:val="004277BF"/>
    <w:rsid w:val="00427E51"/>
    <w:rsid w:val="004362A5"/>
    <w:rsid w:val="00440451"/>
    <w:rsid w:val="0044167F"/>
    <w:rsid w:val="00442B49"/>
    <w:rsid w:val="004436B2"/>
    <w:rsid w:val="00451FDD"/>
    <w:rsid w:val="00453E1E"/>
    <w:rsid w:val="00457D5D"/>
    <w:rsid w:val="00460354"/>
    <w:rsid w:val="00461069"/>
    <w:rsid w:val="004627D4"/>
    <w:rsid w:val="00463081"/>
    <w:rsid w:val="00464427"/>
    <w:rsid w:val="00466E3E"/>
    <w:rsid w:val="00470AA8"/>
    <w:rsid w:val="00477362"/>
    <w:rsid w:val="004838E4"/>
    <w:rsid w:val="004850F6"/>
    <w:rsid w:val="0049455A"/>
    <w:rsid w:val="00497680"/>
    <w:rsid w:val="004A4237"/>
    <w:rsid w:val="004A568C"/>
    <w:rsid w:val="004A598F"/>
    <w:rsid w:val="004A7E6C"/>
    <w:rsid w:val="004B0E68"/>
    <w:rsid w:val="004B143E"/>
    <w:rsid w:val="004B28A9"/>
    <w:rsid w:val="004B5365"/>
    <w:rsid w:val="004B605B"/>
    <w:rsid w:val="004B620B"/>
    <w:rsid w:val="004B69EB"/>
    <w:rsid w:val="004B7257"/>
    <w:rsid w:val="004C0E70"/>
    <w:rsid w:val="004C1CFF"/>
    <w:rsid w:val="004C53DF"/>
    <w:rsid w:val="004C72C0"/>
    <w:rsid w:val="004D28A7"/>
    <w:rsid w:val="004D4CCD"/>
    <w:rsid w:val="004E2959"/>
    <w:rsid w:val="004E71A4"/>
    <w:rsid w:val="004E748A"/>
    <w:rsid w:val="004F5702"/>
    <w:rsid w:val="004F5972"/>
    <w:rsid w:val="004F5AA7"/>
    <w:rsid w:val="0050000A"/>
    <w:rsid w:val="005038B9"/>
    <w:rsid w:val="00503B41"/>
    <w:rsid w:val="00507423"/>
    <w:rsid w:val="005075FF"/>
    <w:rsid w:val="0051142B"/>
    <w:rsid w:val="00511694"/>
    <w:rsid w:val="005136D7"/>
    <w:rsid w:val="00513A00"/>
    <w:rsid w:val="0051418F"/>
    <w:rsid w:val="00520092"/>
    <w:rsid w:val="005244FB"/>
    <w:rsid w:val="00524BF2"/>
    <w:rsid w:val="0052624B"/>
    <w:rsid w:val="0052782E"/>
    <w:rsid w:val="00527981"/>
    <w:rsid w:val="00533173"/>
    <w:rsid w:val="0053581D"/>
    <w:rsid w:val="005409CF"/>
    <w:rsid w:val="00540DE2"/>
    <w:rsid w:val="0054478A"/>
    <w:rsid w:val="00544A26"/>
    <w:rsid w:val="00547688"/>
    <w:rsid w:val="00550132"/>
    <w:rsid w:val="00551413"/>
    <w:rsid w:val="005531FF"/>
    <w:rsid w:val="00553670"/>
    <w:rsid w:val="005544C7"/>
    <w:rsid w:val="00556086"/>
    <w:rsid w:val="005569E1"/>
    <w:rsid w:val="005633B8"/>
    <w:rsid w:val="00570BB4"/>
    <w:rsid w:val="00571B5F"/>
    <w:rsid w:val="005720CE"/>
    <w:rsid w:val="00573C97"/>
    <w:rsid w:val="00574F29"/>
    <w:rsid w:val="00577444"/>
    <w:rsid w:val="005774C2"/>
    <w:rsid w:val="005802AE"/>
    <w:rsid w:val="0058348F"/>
    <w:rsid w:val="00590AF5"/>
    <w:rsid w:val="00591C84"/>
    <w:rsid w:val="00592128"/>
    <w:rsid w:val="00594913"/>
    <w:rsid w:val="00595648"/>
    <w:rsid w:val="005977B5"/>
    <w:rsid w:val="00597DDC"/>
    <w:rsid w:val="005A13DA"/>
    <w:rsid w:val="005A2860"/>
    <w:rsid w:val="005A3D15"/>
    <w:rsid w:val="005A4A72"/>
    <w:rsid w:val="005A52C2"/>
    <w:rsid w:val="005A6DC3"/>
    <w:rsid w:val="005B01D1"/>
    <w:rsid w:val="005B10DE"/>
    <w:rsid w:val="005B251E"/>
    <w:rsid w:val="005B27C7"/>
    <w:rsid w:val="005B2AB8"/>
    <w:rsid w:val="005B77E5"/>
    <w:rsid w:val="005C335D"/>
    <w:rsid w:val="005C731B"/>
    <w:rsid w:val="005D0E5A"/>
    <w:rsid w:val="005D101B"/>
    <w:rsid w:val="005D276C"/>
    <w:rsid w:val="005D3377"/>
    <w:rsid w:val="005D5754"/>
    <w:rsid w:val="005D6BBC"/>
    <w:rsid w:val="005D6F73"/>
    <w:rsid w:val="005D79A4"/>
    <w:rsid w:val="005E046A"/>
    <w:rsid w:val="005E63A1"/>
    <w:rsid w:val="005E79E4"/>
    <w:rsid w:val="005E7B5B"/>
    <w:rsid w:val="005F1D81"/>
    <w:rsid w:val="005F4421"/>
    <w:rsid w:val="005F5A58"/>
    <w:rsid w:val="005F6BB2"/>
    <w:rsid w:val="00606BF4"/>
    <w:rsid w:val="00607B9F"/>
    <w:rsid w:val="00612A5C"/>
    <w:rsid w:val="00612F54"/>
    <w:rsid w:val="00613B1E"/>
    <w:rsid w:val="00616E95"/>
    <w:rsid w:val="006174AE"/>
    <w:rsid w:val="006201A4"/>
    <w:rsid w:val="00624734"/>
    <w:rsid w:val="00624AFF"/>
    <w:rsid w:val="00625E54"/>
    <w:rsid w:val="00627E23"/>
    <w:rsid w:val="00636407"/>
    <w:rsid w:val="0065304D"/>
    <w:rsid w:val="00653088"/>
    <w:rsid w:val="0065662E"/>
    <w:rsid w:val="006604B4"/>
    <w:rsid w:val="006631D7"/>
    <w:rsid w:val="0066541A"/>
    <w:rsid w:val="00667611"/>
    <w:rsid w:val="006676F3"/>
    <w:rsid w:val="0067505D"/>
    <w:rsid w:val="00675E7E"/>
    <w:rsid w:val="00677B39"/>
    <w:rsid w:val="006807CA"/>
    <w:rsid w:val="006811FF"/>
    <w:rsid w:val="00681276"/>
    <w:rsid w:val="00681FC7"/>
    <w:rsid w:val="006852B3"/>
    <w:rsid w:val="0068743D"/>
    <w:rsid w:val="006928E0"/>
    <w:rsid w:val="0069516D"/>
    <w:rsid w:val="006A0F8D"/>
    <w:rsid w:val="006A148F"/>
    <w:rsid w:val="006A3326"/>
    <w:rsid w:val="006B08C4"/>
    <w:rsid w:val="006B11BA"/>
    <w:rsid w:val="006B21DE"/>
    <w:rsid w:val="006B2CF7"/>
    <w:rsid w:val="006B34BB"/>
    <w:rsid w:val="006B3698"/>
    <w:rsid w:val="006B3B3F"/>
    <w:rsid w:val="006B3F72"/>
    <w:rsid w:val="006B5D47"/>
    <w:rsid w:val="006C00E9"/>
    <w:rsid w:val="006C15D3"/>
    <w:rsid w:val="006C3085"/>
    <w:rsid w:val="006C38C1"/>
    <w:rsid w:val="006C5907"/>
    <w:rsid w:val="006C766D"/>
    <w:rsid w:val="006D594F"/>
    <w:rsid w:val="006D7314"/>
    <w:rsid w:val="006D7790"/>
    <w:rsid w:val="006D7E26"/>
    <w:rsid w:val="006E0169"/>
    <w:rsid w:val="006E245E"/>
    <w:rsid w:val="006E35B2"/>
    <w:rsid w:val="006E544B"/>
    <w:rsid w:val="006F2BCF"/>
    <w:rsid w:val="006F330A"/>
    <w:rsid w:val="006F3C40"/>
    <w:rsid w:val="006F5BC6"/>
    <w:rsid w:val="006F6321"/>
    <w:rsid w:val="007003AC"/>
    <w:rsid w:val="00700C0D"/>
    <w:rsid w:val="007020CF"/>
    <w:rsid w:val="007036C8"/>
    <w:rsid w:val="007039E7"/>
    <w:rsid w:val="00705521"/>
    <w:rsid w:val="00707A6C"/>
    <w:rsid w:val="007107CE"/>
    <w:rsid w:val="0071152D"/>
    <w:rsid w:val="00711950"/>
    <w:rsid w:val="007136C2"/>
    <w:rsid w:val="0071531A"/>
    <w:rsid w:val="007163CB"/>
    <w:rsid w:val="00716DFF"/>
    <w:rsid w:val="00716F59"/>
    <w:rsid w:val="00730086"/>
    <w:rsid w:val="00734784"/>
    <w:rsid w:val="00737E25"/>
    <w:rsid w:val="0074030E"/>
    <w:rsid w:val="00742267"/>
    <w:rsid w:val="007423B3"/>
    <w:rsid w:val="00742F44"/>
    <w:rsid w:val="00746FA0"/>
    <w:rsid w:val="0074749B"/>
    <w:rsid w:val="007546C4"/>
    <w:rsid w:val="007572BD"/>
    <w:rsid w:val="0075773E"/>
    <w:rsid w:val="00763F67"/>
    <w:rsid w:val="00763F93"/>
    <w:rsid w:val="007641EF"/>
    <w:rsid w:val="00765520"/>
    <w:rsid w:val="00765E56"/>
    <w:rsid w:val="00770C52"/>
    <w:rsid w:val="00772AB0"/>
    <w:rsid w:val="007753B0"/>
    <w:rsid w:val="00777A4C"/>
    <w:rsid w:val="00781873"/>
    <w:rsid w:val="0078453F"/>
    <w:rsid w:val="00786510"/>
    <w:rsid w:val="007870DA"/>
    <w:rsid w:val="00791124"/>
    <w:rsid w:val="00792C62"/>
    <w:rsid w:val="00792F15"/>
    <w:rsid w:val="007932F2"/>
    <w:rsid w:val="0079415C"/>
    <w:rsid w:val="007965F3"/>
    <w:rsid w:val="007A1A3C"/>
    <w:rsid w:val="007A7101"/>
    <w:rsid w:val="007A731E"/>
    <w:rsid w:val="007B1927"/>
    <w:rsid w:val="007B1BF6"/>
    <w:rsid w:val="007B2CE8"/>
    <w:rsid w:val="007B3A88"/>
    <w:rsid w:val="007B4090"/>
    <w:rsid w:val="007C11E3"/>
    <w:rsid w:val="007C2D6F"/>
    <w:rsid w:val="007D05BD"/>
    <w:rsid w:val="007D24E9"/>
    <w:rsid w:val="007D446D"/>
    <w:rsid w:val="007D48ED"/>
    <w:rsid w:val="007D575F"/>
    <w:rsid w:val="007D58E6"/>
    <w:rsid w:val="007D5AAC"/>
    <w:rsid w:val="007D61F9"/>
    <w:rsid w:val="007D7F5F"/>
    <w:rsid w:val="007E2DAE"/>
    <w:rsid w:val="007E3472"/>
    <w:rsid w:val="007E5F54"/>
    <w:rsid w:val="007E7496"/>
    <w:rsid w:val="007F0038"/>
    <w:rsid w:val="007F16B1"/>
    <w:rsid w:val="007F29E8"/>
    <w:rsid w:val="007F3814"/>
    <w:rsid w:val="007F3F0B"/>
    <w:rsid w:val="007F4D3C"/>
    <w:rsid w:val="007F54DA"/>
    <w:rsid w:val="007F5539"/>
    <w:rsid w:val="008005FA"/>
    <w:rsid w:val="00802165"/>
    <w:rsid w:val="008115A1"/>
    <w:rsid w:val="00813C6D"/>
    <w:rsid w:val="00814A82"/>
    <w:rsid w:val="00817EBA"/>
    <w:rsid w:val="00820FE7"/>
    <w:rsid w:val="00821B37"/>
    <w:rsid w:val="00822B29"/>
    <w:rsid w:val="008235E6"/>
    <w:rsid w:val="00825332"/>
    <w:rsid w:val="00831768"/>
    <w:rsid w:val="00834238"/>
    <w:rsid w:val="00834ACD"/>
    <w:rsid w:val="00834E31"/>
    <w:rsid w:val="00835F1B"/>
    <w:rsid w:val="00836C19"/>
    <w:rsid w:val="0084063E"/>
    <w:rsid w:val="00843709"/>
    <w:rsid w:val="00843FED"/>
    <w:rsid w:val="0084680C"/>
    <w:rsid w:val="00851098"/>
    <w:rsid w:val="00851E83"/>
    <w:rsid w:val="008553C3"/>
    <w:rsid w:val="00856B9F"/>
    <w:rsid w:val="00865FBF"/>
    <w:rsid w:val="008675C5"/>
    <w:rsid w:val="0087037C"/>
    <w:rsid w:val="00876F4D"/>
    <w:rsid w:val="00884CE3"/>
    <w:rsid w:val="00885F60"/>
    <w:rsid w:val="00886ECD"/>
    <w:rsid w:val="00890311"/>
    <w:rsid w:val="008944C4"/>
    <w:rsid w:val="00894C43"/>
    <w:rsid w:val="0089684A"/>
    <w:rsid w:val="008A16DC"/>
    <w:rsid w:val="008B2F44"/>
    <w:rsid w:val="008B3AE5"/>
    <w:rsid w:val="008B4486"/>
    <w:rsid w:val="008C0BDB"/>
    <w:rsid w:val="008C217A"/>
    <w:rsid w:val="008C3D35"/>
    <w:rsid w:val="008C4781"/>
    <w:rsid w:val="008D2205"/>
    <w:rsid w:val="008D3D26"/>
    <w:rsid w:val="008E52E3"/>
    <w:rsid w:val="008F079D"/>
    <w:rsid w:val="008F34DD"/>
    <w:rsid w:val="008F764E"/>
    <w:rsid w:val="009009C1"/>
    <w:rsid w:val="00905755"/>
    <w:rsid w:val="00905F74"/>
    <w:rsid w:val="00910B04"/>
    <w:rsid w:val="009134F0"/>
    <w:rsid w:val="00917E45"/>
    <w:rsid w:val="0092098E"/>
    <w:rsid w:val="0092164F"/>
    <w:rsid w:val="00926FAA"/>
    <w:rsid w:val="0093010C"/>
    <w:rsid w:val="0093233E"/>
    <w:rsid w:val="00935001"/>
    <w:rsid w:val="0093502B"/>
    <w:rsid w:val="00940E5E"/>
    <w:rsid w:val="009423D2"/>
    <w:rsid w:val="0094532C"/>
    <w:rsid w:val="00951463"/>
    <w:rsid w:val="00954F72"/>
    <w:rsid w:val="00962714"/>
    <w:rsid w:val="00962F16"/>
    <w:rsid w:val="00963981"/>
    <w:rsid w:val="00964C08"/>
    <w:rsid w:val="00965B7E"/>
    <w:rsid w:val="009664A1"/>
    <w:rsid w:val="009674E7"/>
    <w:rsid w:val="00972670"/>
    <w:rsid w:val="00974387"/>
    <w:rsid w:val="00975151"/>
    <w:rsid w:val="009774C3"/>
    <w:rsid w:val="00982BF7"/>
    <w:rsid w:val="00984363"/>
    <w:rsid w:val="009845CF"/>
    <w:rsid w:val="009856D1"/>
    <w:rsid w:val="0098604E"/>
    <w:rsid w:val="00987813"/>
    <w:rsid w:val="00987DEA"/>
    <w:rsid w:val="00987E8B"/>
    <w:rsid w:val="00995932"/>
    <w:rsid w:val="0099608E"/>
    <w:rsid w:val="0099645B"/>
    <w:rsid w:val="00997A0A"/>
    <w:rsid w:val="009A0261"/>
    <w:rsid w:val="009A1890"/>
    <w:rsid w:val="009A1D58"/>
    <w:rsid w:val="009A3005"/>
    <w:rsid w:val="009A390C"/>
    <w:rsid w:val="009A4197"/>
    <w:rsid w:val="009A4B30"/>
    <w:rsid w:val="009A69A0"/>
    <w:rsid w:val="009A6A96"/>
    <w:rsid w:val="009A70A4"/>
    <w:rsid w:val="009B0534"/>
    <w:rsid w:val="009B0AD0"/>
    <w:rsid w:val="009B1778"/>
    <w:rsid w:val="009B41AB"/>
    <w:rsid w:val="009B633E"/>
    <w:rsid w:val="009B70DE"/>
    <w:rsid w:val="009C092D"/>
    <w:rsid w:val="009C0BF8"/>
    <w:rsid w:val="009C1D23"/>
    <w:rsid w:val="009C3BDB"/>
    <w:rsid w:val="009C58F7"/>
    <w:rsid w:val="009C6BE1"/>
    <w:rsid w:val="009D46C2"/>
    <w:rsid w:val="009D6AAB"/>
    <w:rsid w:val="009E1B52"/>
    <w:rsid w:val="009E1F87"/>
    <w:rsid w:val="009E2C06"/>
    <w:rsid w:val="009E41A6"/>
    <w:rsid w:val="009F1E04"/>
    <w:rsid w:val="009F2D83"/>
    <w:rsid w:val="009F3619"/>
    <w:rsid w:val="009F489C"/>
    <w:rsid w:val="009F64F2"/>
    <w:rsid w:val="00A06EA8"/>
    <w:rsid w:val="00A1068E"/>
    <w:rsid w:val="00A14E06"/>
    <w:rsid w:val="00A15DEC"/>
    <w:rsid w:val="00A20FBD"/>
    <w:rsid w:val="00A237BC"/>
    <w:rsid w:val="00A23C6C"/>
    <w:rsid w:val="00A24E3C"/>
    <w:rsid w:val="00A256A7"/>
    <w:rsid w:val="00A25CE8"/>
    <w:rsid w:val="00A318DB"/>
    <w:rsid w:val="00A328F0"/>
    <w:rsid w:val="00A32C23"/>
    <w:rsid w:val="00A3355B"/>
    <w:rsid w:val="00A3600B"/>
    <w:rsid w:val="00A416E9"/>
    <w:rsid w:val="00A436C5"/>
    <w:rsid w:val="00A44BA5"/>
    <w:rsid w:val="00A454A3"/>
    <w:rsid w:val="00A5611A"/>
    <w:rsid w:val="00A56263"/>
    <w:rsid w:val="00A5725E"/>
    <w:rsid w:val="00A6311C"/>
    <w:rsid w:val="00A65BBE"/>
    <w:rsid w:val="00A66D27"/>
    <w:rsid w:val="00A736A4"/>
    <w:rsid w:val="00A743FC"/>
    <w:rsid w:val="00A74A05"/>
    <w:rsid w:val="00A8200D"/>
    <w:rsid w:val="00A8306B"/>
    <w:rsid w:val="00A85B7A"/>
    <w:rsid w:val="00A9011E"/>
    <w:rsid w:val="00A90120"/>
    <w:rsid w:val="00A90682"/>
    <w:rsid w:val="00A92C48"/>
    <w:rsid w:val="00A93DE8"/>
    <w:rsid w:val="00AA078B"/>
    <w:rsid w:val="00AA123B"/>
    <w:rsid w:val="00AA230C"/>
    <w:rsid w:val="00AB23FC"/>
    <w:rsid w:val="00AB679E"/>
    <w:rsid w:val="00AB73E2"/>
    <w:rsid w:val="00AC05C3"/>
    <w:rsid w:val="00AC60FF"/>
    <w:rsid w:val="00AC7488"/>
    <w:rsid w:val="00AD0710"/>
    <w:rsid w:val="00AD3064"/>
    <w:rsid w:val="00AD7AB9"/>
    <w:rsid w:val="00AD7F51"/>
    <w:rsid w:val="00AE4499"/>
    <w:rsid w:val="00AF0FD9"/>
    <w:rsid w:val="00AF4B2C"/>
    <w:rsid w:val="00AF4EB2"/>
    <w:rsid w:val="00AF5C45"/>
    <w:rsid w:val="00B0008B"/>
    <w:rsid w:val="00B00465"/>
    <w:rsid w:val="00B01CE2"/>
    <w:rsid w:val="00B02020"/>
    <w:rsid w:val="00B0254C"/>
    <w:rsid w:val="00B03736"/>
    <w:rsid w:val="00B0451D"/>
    <w:rsid w:val="00B074CC"/>
    <w:rsid w:val="00B07ADB"/>
    <w:rsid w:val="00B11265"/>
    <w:rsid w:val="00B14F76"/>
    <w:rsid w:val="00B2079B"/>
    <w:rsid w:val="00B22DC2"/>
    <w:rsid w:val="00B265E9"/>
    <w:rsid w:val="00B31608"/>
    <w:rsid w:val="00B316B6"/>
    <w:rsid w:val="00B36560"/>
    <w:rsid w:val="00B41B98"/>
    <w:rsid w:val="00B41F07"/>
    <w:rsid w:val="00B42B79"/>
    <w:rsid w:val="00B52D8D"/>
    <w:rsid w:val="00B53D72"/>
    <w:rsid w:val="00B6036B"/>
    <w:rsid w:val="00B6301B"/>
    <w:rsid w:val="00B631EC"/>
    <w:rsid w:val="00B64E6E"/>
    <w:rsid w:val="00B650FC"/>
    <w:rsid w:val="00B717AD"/>
    <w:rsid w:val="00B73D22"/>
    <w:rsid w:val="00B84E66"/>
    <w:rsid w:val="00B85903"/>
    <w:rsid w:val="00B85DD2"/>
    <w:rsid w:val="00B86599"/>
    <w:rsid w:val="00B86AC0"/>
    <w:rsid w:val="00B93364"/>
    <w:rsid w:val="00B951D1"/>
    <w:rsid w:val="00B9592B"/>
    <w:rsid w:val="00BA1A63"/>
    <w:rsid w:val="00BA3245"/>
    <w:rsid w:val="00BA55BA"/>
    <w:rsid w:val="00BA58FF"/>
    <w:rsid w:val="00BA5BE6"/>
    <w:rsid w:val="00BB04BA"/>
    <w:rsid w:val="00BB405C"/>
    <w:rsid w:val="00BB410A"/>
    <w:rsid w:val="00BC4B2D"/>
    <w:rsid w:val="00BC55F0"/>
    <w:rsid w:val="00BC739D"/>
    <w:rsid w:val="00BC79F9"/>
    <w:rsid w:val="00BD3D65"/>
    <w:rsid w:val="00BD5130"/>
    <w:rsid w:val="00BD77A4"/>
    <w:rsid w:val="00BD7B8A"/>
    <w:rsid w:val="00BE038C"/>
    <w:rsid w:val="00BE1CED"/>
    <w:rsid w:val="00BE1D32"/>
    <w:rsid w:val="00BE3910"/>
    <w:rsid w:val="00BE4267"/>
    <w:rsid w:val="00BE56A6"/>
    <w:rsid w:val="00BF2D7A"/>
    <w:rsid w:val="00BF43ED"/>
    <w:rsid w:val="00C003BE"/>
    <w:rsid w:val="00C01F7F"/>
    <w:rsid w:val="00C0212C"/>
    <w:rsid w:val="00C05632"/>
    <w:rsid w:val="00C05BD0"/>
    <w:rsid w:val="00C05D7C"/>
    <w:rsid w:val="00C05EF9"/>
    <w:rsid w:val="00C07955"/>
    <w:rsid w:val="00C11393"/>
    <w:rsid w:val="00C13004"/>
    <w:rsid w:val="00C14B37"/>
    <w:rsid w:val="00C15DE5"/>
    <w:rsid w:val="00C17167"/>
    <w:rsid w:val="00C20D8B"/>
    <w:rsid w:val="00C25E20"/>
    <w:rsid w:val="00C26D7A"/>
    <w:rsid w:val="00C278EE"/>
    <w:rsid w:val="00C308AD"/>
    <w:rsid w:val="00C33BC1"/>
    <w:rsid w:val="00C3469B"/>
    <w:rsid w:val="00C3472A"/>
    <w:rsid w:val="00C35325"/>
    <w:rsid w:val="00C35604"/>
    <w:rsid w:val="00C375C6"/>
    <w:rsid w:val="00C41042"/>
    <w:rsid w:val="00C44649"/>
    <w:rsid w:val="00C50C5E"/>
    <w:rsid w:val="00C53F8D"/>
    <w:rsid w:val="00C62A05"/>
    <w:rsid w:val="00C64B46"/>
    <w:rsid w:val="00C6589F"/>
    <w:rsid w:val="00C7480B"/>
    <w:rsid w:val="00C75067"/>
    <w:rsid w:val="00C824A2"/>
    <w:rsid w:val="00C83189"/>
    <w:rsid w:val="00C837DD"/>
    <w:rsid w:val="00C83B38"/>
    <w:rsid w:val="00C8699F"/>
    <w:rsid w:val="00C90613"/>
    <w:rsid w:val="00C960F8"/>
    <w:rsid w:val="00CA12BE"/>
    <w:rsid w:val="00CA7F62"/>
    <w:rsid w:val="00CB1E81"/>
    <w:rsid w:val="00CB7565"/>
    <w:rsid w:val="00CC547E"/>
    <w:rsid w:val="00CC55A5"/>
    <w:rsid w:val="00CD0C88"/>
    <w:rsid w:val="00CE05D7"/>
    <w:rsid w:val="00CE0BE5"/>
    <w:rsid w:val="00CE1779"/>
    <w:rsid w:val="00CE2538"/>
    <w:rsid w:val="00CE27ED"/>
    <w:rsid w:val="00CE7A3F"/>
    <w:rsid w:val="00CF1922"/>
    <w:rsid w:val="00CF2016"/>
    <w:rsid w:val="00CF6CCA"/>
    <w:rsid w:val="00CF7B64"/>
    <w:rsid w:val="00D00AD9"/>
    <w:rsid w:val="00D11197"/>
    <w:rsid w:val="00D136AD"/>
    <w:rsid w:val="00D2174C"/>
    <w:rsid w:val="00D21AB6"/>
    <w:rsid w:val="00D23B9C"/>
    <w:rsid w:val="00D24554"/>
    <w:rsid w:val="00D313E9"/>
    <w:rsid w:val="00D32AC3"/>
    <w:rsid w:val="00D363A3"/>
    <w:rsid w:val="00D36CD7"/>
    <w:rsid w:val="00D40AAC"/>
    <w:rsid w:val="00D41CE4"/>
    <w:rsid w:val="00D41DBC"/>
    <w:rsid w:val="00D4569F"/>
    <w:rsid w:val="00D50F08"/>
    <w:rsid w:val="00D537D2"/>
    <w:rsid w:val="00D6373A"/>
    <w:rsid w:val="00D655E8"/>
    <w:rsid w:val="00D65ACC"/>
    <w:rsid w:val="00D66432"/>
    <w:rsid w:val="00D672A6"/>
    <w:rsid w:val="00D72726"/>
    <w:rsid w:val="00D82C96"/>
    <w:rsid w:val="00D83B3D"/>
    <w:rsid w:val="00D84639"/>
    <w:rsid w:val="00D9061B"/>
    <w:rsid w:val="00D93E45"/>
    <w:rsid w:val="00D95C5D"/>
    <w:rsid w:val="00D96C33"/>
    <w:rsid w:val="00DA00E3"/>
    <w:rsid w:val="00DA3F4C"/>
    <w:rsid w:val="00DA4E1E"/>
    <w:rsid w:val="00DB23AD"/>
    <w:rsid w:val="00DB6B86"/>
    <w:rsid w:val="00DB7909"/>
    <w:rsid w:val="00DC0536"/>
    <w:rsid w:val="00DC07B6"/>
    <w:rsid w:val="00DC2C04"/>
    <w:rsid w:val="00DC764F"/>
    <w:rsid w:val="00DD13F7"/>
    <w:rsid w:val="00DD4411"/>
    <w:rsid w:val="00DD4563"/>
    <w:rsid w:val="00DD7341"/>
    <w:rsid w:val="00DD7960"/>
    <w:rsid w:val="00DE0312"/>
    <w:rsid w:val="00DE3A53"/>
    <w:rsid w:val="00DE3BB7"/>
    <w:rsid w:val="00DE407C"/>
    <w:rsid w:val="00DE6199"/>
    <w:rsid w:val="00DE653D"/>
    <w:rsid w:val="00DE7F71"/>
    <w:rsid w:val="00DF28F1"/>
    <w:rsid w:val="00E00B44"/>
    <w:rsid w:val="00E01850"/>
    <w:rsid w:val="00E02A9D"/>
    <w:rsid w:val="00E0557E"/>
    <w:rsid w:val="00E056C8"/>
    <w:rsid w:val="00E05CE5"/>
    <w:rsid w:val="00E10D1B"/>
    <w:rsid w:val="00E1128D"/>
    <w:rsid w:val="00E12DB0"/>
    <w:rsid w:val="00E207BC"/>
    <w:rsid w:val="00E21157"/>
    <w:rsid w:val="00E27188"/>
    <w:rsid w:val="00E311C5"/>
    <w:rsid w:val="00E3578A"/>
    <w:rsid w:val="00E40AB1"/>
    <w:rsid w:val="00E41049"/>
    <w:rsid w:val="00E50A06"/>
    <w:rsid w:val="00E51E90"/>
    <w:rsid w:val="00E5349A"/>
    <w:rsid w:val="00E5409F"/>
    <w:rsid w:val="00E542D5"/>
    <w:rsid w:val="00E57456"/>
    <w:rsid w:val="00E57694"/>
    <w:rsid w:val="00E6442B"/>
    <w:rsid w:val="00E66859"/>
    <w:rsid w:val="00E66C05"/>
    <w:rsid w:val="00E66D0E"/>
    <w:rsid w:val="00E7721B"/>
    <w:rsid w:val="00E818C0"/>
    <w:rsid w:val="00E86CA1"/>
    <w:rsid w:val="00E902C2"/>
    <w:rsid w:val="00E91307"/>
    <w:rsid w:val="00E9389F"/>
    <w:rsid w:val="00E965F9"/>
    <w:rsid w:val="00E97404"/>
    <w:rsid w:val="00EA1D74"/>
    <w:rsid w:val="00EA6E2A"/>
    <w:rsid w:val="00EA7C6A"/>
    <w:rsid w:val="00EB274C"/>
    <w:rsid w:val="00EB6D45"/>
    <w:rsid w:val="00EC0428"/>
    <w:rsid w:val="00EC3023"/>
    <w:rsid w:val="00EC41F5"/>
    <w:rsid w:val="00EC555A"/>
    <w:rsid w:val="00EC56C8"/>
    <w:rsid w:val="00EC7E3C"/>
    <w:rsid w:val="00ED1ACB"/>
    <w:rsid w:val="00ED7999"/>
    <w:rsid w:val="00ED7B80"/>
    <w:rsid w:val="00EE6AC4"/>
    <w:rsid w:val="00EF0CE4"/>
    <w:rsid w:val="00EF32E4"/>
    <w:rsid w:val="00EF4571"/>
    <w:rsid w:val="00EF5835"/>
    <w:rsid w:val="00F0035A"/>
    <w:rsid w:val="00F02317"/>
    <w:rsid w:val="00F11E91"/>
    <w:rsid w:val="00F16609"/>
    <w:rsid w:val="00F17BEC"/>
    <w:rsid w:val="00F20C63"/>
    <w:rsid w:val="00F21157"/>
    <w:rsid w:val="00F219FF"/>
    <w:rsid w:val="00F24E4B"/>
    <w:rsid w:val="00F25DF5"/>
    <w:rsid w:val="00F271E0"/>
    <w:rsid w:val="00F31090"/>
    <w:rsid w:val="00F32E9B"/>
    <w:rsid w:val="00F376AC"/>
    <w:rsid w:val="00F40AB1"/>
    <w:rsid w:val="00F43104"/>
    <w:rsid w:val="00F44F6F"/>
    <w:rsid w:val="00F459E0"/>
    <w:rsid w:val="00F577BF"/>
    <w:rsid w:val="00F6125A"/>
    <w:rsid w:val="00F63E0D"/>
    <w:rsid w:val="00F6525E"/>
    <w:rsid w:val="00F71C57"/>
    <w:rsid w:val="00F73AFB"/>
    <w:rsid w:val="00F80073"/>
    <w:rsid w:val="00F8270D"/>
    <w:rsid w:val="00F83243"/>
    <w:rsid w:val="00F853D4"/>
    <w:rsid w:val="00F869B6"/>
    <w:rsid w:val="00F869B8"/>
    <w:rsid w:val="00F90262"/>
    <w:rsid w:val="00F92EEB"/>
    <w:rsid w:val="00F958BA"/>
    <w:rsid w:val="00F96DA3"/>
    <w:rsid w:val="00F96E76"/>
    <w:rsid w:val="00F97BB1"/>
    <w:rsid w:val="00FA01EC"/>
    <w:rsid w:val="00FA2474"/>
    <w:rsid w:val="00FA2CE7"/>
    <w:rsid w:val="00FA2F36"/>
    <w:rsid w:val="00FA3035"/>
    <w:rsid w:val="00FA6D4F"/>
    <w:rsid w:val="00FA7A41"/>
    <w:rsid w:val="00FB000F"/>
    <w:rsid w:val="00FB102C"/>
    <w:rsid w:val="00FB1226"/>
    <w:rsid w:val="00FB298D"/>
    <w:rsid w:val="00FB6DA3"/>
    <w:rsid w:val="00FB7059"/>
    <w:rsid w:val="00FB7A56"/>
    <w:rsid w:val="00FC3BB9"/>
    <w:rsid w:val="00FC5B34"/>
    <w:rsid w:val="00FC7B1E"/>
    <w:rsid w:val="00FD493D"/>
    <w:rsid w:val="00FD5643"/>
    <w:rsid w:val="00FD578F"/>
    <w:rsid w:val="00FE396F"/>
    <w:rsid w:val="00FE6779"/>
    <w:rsid w:val="00FF6148"/>
    <w:rsid w:val="00FF6389"/>
    <w:rsid w:val="00FF6866"/>
    <w:rsid w:val="00FF6FC5"/>
    <w:rsid w:val="00FF75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4C29C540"/>
  <w15:chartTrackingRefBased/>
  <w15:docId w15:val="{623FD6F7-BF96-427B-9CA9-90E114C63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197"/>
    <w:rPr>
      <w:sz w:val="24"/>
      <w:szCs w:val="24"/>
    </w:rPr>
  </w:style>
  <w:style w:type="paragraph" w:styleId="Heading1">
    <w:name w:val="heading 1"/>
    <w:basedOn w:val="Normal"/>
    <w:next w:val="Normal"/>
    <w:qFormat/>
    <w:rsid w:val="00550132"/>
    <w:pPr>
      <w:keepNext/>
      <w:spacing w:before="240" w:after="60"/>
      <w:outlineLvl w:val="0"/>
    </w:pPr>
    <w:rPr>
      <w:rFonts w:cs="Arial"/>
      <w:b/>
      <w:bCs/>
      <w:kern w:val="32"/>
      <w:sz w:val="32"/>
      <w:szCs w:val="32"/>
    </w:rPr>
  </w:style>
  <w:style w:type="paragraph" w:styleId="Heading2">
    <w:name w:val="heading 2"/>
    <w:basedOn w:val="Normal"/>
    <w:next w:val="Normal"/>
    <w:qFormat/>
    <w:rsid w:val="00550132"/>
    <w:pPr>
      <w:keepNext/>
      <w:spacing w:before="240" w:after="60"/>
      <w:outlineLvl w:val="1"/>
    </w:pPr>
    <w:rPr>
      <w:rFonts w:cs="Arial"/>
      <w:b/>
      <w:bCs/>
      <w:i/>
      <w:iCs/>
      <w:sz w:val="28"/>
      <w:szCs w:val="28"/>
    </w:rPr>
  </w:style>
  <w:style w:type="paragraph" w:styleId="Heading3">
    <w:name w:val="heading 3"/>
    <w:basedOn w:val="Normal"/>
    <w:next w:val="Normal"/>
    <w:qFormat/>
    <w:rsid w:val="0055013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Title">
    <w:name w:val="ADR Title"/>
    <w:basedOn w:val="Normal"/>
    <w:next w:val="Normal"/>
    <w:rsid w:val="008A16DC"/>
    <w:pPr>
      <w:spacing w:after="480"/>
    </w:pPr>
    <w:rPr>
      <w:b/>
      <w:sz w:val="40"/>
    </w:rPr>
  </w:style>
  <w:style w:type="paragraph" w:customStyle="1" w:styleId="Clauseheading">
    <w:name w:val="Clause heading"/>
    <w:basedOn w:val="Normal"/>
    <w:next w:val="Normal"/>
    <w:rsid w:val="00964C08"/>
    <w:pPr>
      <w:numPr>
        <w:numId w:val="1"/>
      </w:numPr>
      <w:spacing w:before="240" w:after="120"/>
    </w:pPr>
    <w:rPr>
      <w:b/>
      <w:caps/>
    </w:rPr>
  </w:style>
  <w:style w:type="paragraph" w:customStyle="1" w:styleId="Subclause">
    <w:name w:val="Sub clause"/>
    <w:basedOn w:val="Normal"/>
    <w:next w:val="Normal"/>
    <w:link w:val="SubclauseChar"/>
    <w:rsid w:val="009A69A0"/>
    <w:pPr>
      <w:numPr>
        <w:ilvl w:val="1"/>
        <w:numId w:val="1"/>
      </w:numPr>
      <w:spacing w:after="120"/>
    </w:pPr>
    <w:rPr>
      <w:lang w:val="x-none" w:eastAsia="x-none"/>
    </w:rPr>
  </w:style>
  <w:style w:type="paragraph" w:customStyle="1" w:styleId="Subsubclause">
    <w:name w:val="Subsub clause"/>
    <w:basedOn w:val="Normal"/>
    <w:next w:val="Normal"/>
    <w:rsid w:val="009A69A0"/>
    <w:pPr>
      <w:numPr>
        <w:ilvl w:val="2"/>
        <w:numId w:val="1"/>
      </w:numPr>
      <w:spacing w:after="120"/>
    </w:pPr>
  </w:style>
  <w:style w:type="paragraph" w:customStyle="1" w:styleId="Subsubsubclause">
    <w:name w:val="Subsubsub clause"/>
    <w:basedOn w:val="Normal"/>
    <w:next w:val="Normal"/>
    <w:rsid w:val="009A69A0"/>
    <w:pPr>
      <w:numPr>
        <w:ilvl w:val="3"/>
        <w:numId w:val="1"/>
      </w:numPr>
      <w:spacing w:after="120"/>
    </w:pPr>
  </w:style>
  <w:style w:type="paragraph" w:styleId="TOC1">
    <w:name w:val="toc 1"/>
    <w:basedOn w:val="Normal"/>
    <w:next w:val="Normal"/>
    <w:autoRedefine/>
    <w:uiPriority w:val="39"/>
    <w:qFormat/>
    <w:rsid w:val="00A736A4"/>
    <w:pPr>
      <w:tabs>
        <w:tab w:val="left" w:pos="480"/>
        <w:tab w:val="right" w:leader="dot" w:pos="8494"/>
      </w:tabs>
    </w:pPr>
  </w:style>
  <w:style w:type="paragraph" w:customStyle="1" w:styleId="section0clauseheaddings">
    <w:name w:val="section 0 clause headdings"/>
    <w:basedOn w:val="Normal"/>
    <w:next w:val="Normal"/>
    <w:link w:val="section0clauseheaddingsChar"/>
    <w:rsid w:val="007D7F5F"/>
    <w:pPr>
      <w:spacing w:before="240" w:after="120"/>
      <w:ind w:left="1440" w:hanging="1440"/>
    </w:pPr>
    <w:rPr>
      <w:b/>
      <w:caps/>
      <w:lang w:val="x-none" w:eastAsia="x-none"/>
    </w:rPr>
  </w:style>
  <w:style w:type="paragraph" w:styleId="Header">
    <w:name w:val="header"/>
    <w:aliases w:val="6_G"/>
    <w:basedOn w:val="Normal"/>
    <w:link w:val="HeaderChar"/>
    <w:rsid w:val="00242A55"/>
    <w:pPr>
      <w:tabs>
        <w:tab w:val="center" w:pos="4153"/>
        <w:tab w:val="right" w:pos="8306"/>
      </w:tabs>
    </w:pPr>
  </w:style>
  <w:style w:type="paragraph" w:styleId="Footer">
    <w:name w:val="footer"/>
    <w:basedOn w:val="Normal"/>
    <w:rsid w:val="00242A55"/>
    <w:pPr>
      <w:tabs>
        <w:tab w:val="center" w:pos="4153"/>
        <w:tab w:val="right" w:pos="8306"/>
      </w:tabs>
    </w:pPr>
  </w:style>
  <w:style w:type="character" w:styleId="PageNumber">
    <w:name w:val="page number"/>
    <w:aliases w:val="7_G"/>
    <w:basedOn w:val="DefaultParagraphFont"/>
    <w:rsid w:val="009D6AAB"/>
  </w:style>
  <w:style w:type="table" w:styleId="TableGrid">
    <w:name w:val="Table Grid"/>
    <w:basedOn w:val="TableNormal"/>
    <w:rsid w:val="00843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next w:val="Normal"/>
    <w:rsid w:val="00964C08"/>
    <w:pPr>
      <w:spacing w:after="120"/>
    </w:pPr>
  </w:style>
  <w:style w:type="paragraph" w:styleId="FootnoteText">
    <w:name w:val="footnote text"/>
    <w:basedOn w:val="Normal"/>
    <w:semiHidden/>
    <w:rsid w:val="003939C1"/>
    <w:rPr>
      <w:sz w:val="20"/>
      <w:szCs w:val="20"/>
    </w:rPr>
  </w:style>
  <w:style w:type="character" w:styleId="FootnoteReference">
    <w:name w:val="footnote reference"/>
    <w:semiHidden/>
    <w:rsid w:val="003939C1"/>
    <w:rPr>
      <w:vertAlign w:val="superscript"/>
    </w:rPr>
  </w:style>
  <w:style w:type="paragraph" w:styleId="BalloonText">
    <w:name w:val="Balloon Text"/>
    <w:basedOn w:val="Normal"/>
    <w:semiHidden/>
    <w:rsid w:val="003D1CE0"/>
    <w:rPr>
      <w:rFonts w:ascii="Tahoma" w:hAnsi="Tahoma" w:cs="Tahoma"/>
      <w:sz w:val="16"/>
      <w:szCs w:val="16"/>
    </w:rPr>
  </w:style>
  <w:style w:type="paragraph" w:styleId="BodyText">
    <w:name w:val="Body Text"/>
    <w:basedOn w:val="Normal"/>
    <w:rsid w:val="00BD7B8A"/>
    <w:pPr>
      <w:spacing w:after="120"/>
    </w:pPr>
    <w:rPr>
      <w:b/>
      <w:szCs w:val="20"/>
    </w:rPr>
  </w:style>
  <w:style w:type="character" w:customStyle="1" w:styleId="SubclauseChar">
    <w:name w:val="Sub clause Char"/>
    <w:link w:val="Subclause"/>
    <w:rsid w:val="004277BF"/>
    <w:rPr>
      <w:sz w:val="24"/>
      <w:szCs w:val="24"/>
    </w:rPr>
  </w:style>
  <w:style w:type="paragraph" w:customStyle="1" w:styleId="Default">
    <w:name w:val="Default"/>
    <w:rsid w:val="00814A82"/>
    <w:pPr>
      <w:autoSpaceDE w:val="0"/>
      <w:autoSpaceDN w:val="0"/>
      <w:adjustRightInd w:val="0"/>
    </w:pPr>
    <w:rPr>
      <w:color w:val="000000"/>
      <w:sz w:val="24"/>
      <w:szCs w:val="24"/>
    </w:rPr>
  </w:style>
  <w:style w:type="paragraph" w:styleId="TOCHeading">
    <w:name w:val="TOC Heading"/>
    <w:basedOn w:val="Heading1"/>
    <w:next w:val="Normal"/>
    <w:uiPriority w:val="39"/>
    <w:semiHidden/>
    <w:unhideWhenUsed/>
    <w:qFormat/>
    <w:rsid w:val="007D7F5F"/>
    <w:pPr>
      <w:keepLines/>
      <w:spacing w:before="480" w:after="0" w:line="276" w:lineRule="auto"/>
      <w:outlineLvl w:val="9"/>
    </w:pPr>
    <w:rPr>
      <w:rFonts w:ascii="Cambria" w:hAnsi="Cambria" w:cs="Times New Roman"/>
      <w:color w:val="365F91"/>
      <w:kern w:val="0"/>
      <w:sz w:val="28"/>
      <w:szCs w:val="28"/>
      <w:lang w:val="en-US" w:eastAsia="en-US"/>
    </w:rPr>
  </w:style>
  <w:style w:type="paragraph" w:customStyle="1" w:styleId="HeadingStyle1">
    <w:name w:val="Heading Style 1"/>
    <w:basedOn w:val="section0clauseheaddings"/>
    <w:link w:val="HeadingStyle1Char"/>
    <w:qFormat/>
    <w:rsid w:val="007D7F5F"/>
  </w:style>
  <w:style w:type="paragraph" w:styleId="TOC2">
    <w:name w:val="toc 2"/>
    <w:basedOn w:val="Normal"/>
    <w:next w:val="Normal"/>
    <w:autoRedefine/>
    <w:uiPriority w:val="39"/>
    <w:semiHidden/>
    <w:unhideWhenUsed/>
    <w:qFormat/>
    <w:rsid w:val="007D7F5F"/>
    <w:pPr>
      <w:spacing w:after="100" w:line="276" w:lineRule="auto"/>
      <w:ind w:left="220"/>
    </w:pPr>
    <w:rPr>
      <w:rFonts w:ascii="Calibri" w:hAnsi="Calibri"/>
      <w:sz w:val="22"/>
      <w:szCs w:val="22"/>
      <w:lang w:val="en-US" w:eastAsia="en-US"/>
    </w:rPr>
  </w:style>
  <w:style w:type="character" w:customStyle="1" w:styleId="section0clauseheaddingsChar">
    <w:name w:val="section 0 clause headdings Char"/>
    <w:link w:val="section0clauseheaddings"/>
    <w:rsid w:val="007D7F5F"/>
    <w:rPr>
      <w:b/>
      <w:caps/>
      <w:sz w:val="24"/>
      <w:szCs w:val="24"/>
    </w:rPr>
  </w:style>
  <w:style w:type="character" w:customStyle="1" w:styleId="HeadingStyle1Char">
    <w:name w:val="Heading Style 1 Char"/>
    <w:link w:val="HeadingStyle1"/>
    <w:rsid w:val="007D7F5F"/>
    <w:rPr>
      <w:b w:val="0"/>
      <w:caps w:val="0"/>
      <w:sz w:val="24"/>
      <w:szCs w:val="24"/>
    </w:rPr>
  </w:style>
  <w:style w:type="paragraph" w:styleId="TOC3">
    <w:name w:val="toc 3"/>
    <w:basedOn w:val="Normal"/>
    <w:next w:val="Normal"/>
    <w:autoRedefine/>
    <w:uiPriority w:val="39"/>
    <w:semiHidden/>
    <w:unhideWhenUsed/>
    <w:qFormat/>
    <w:rsid w:val="007D7F5F"/>
    <w:pPr>
      <w:spacing w:after="100" w:line="276" w:lineRule="auto"/>
      <w:ind w:left="440"/>
    </w:pPr>
    <w:rPr>
      <w:rFonts w:ascii="Calibri" w:hAnsi="Calibri"/>
      <w:sz w:val="22"/>
      <w:szCs w:val="22"/>
      <w:lang w:val="en-US" w:eastAsia="en-US"/>
    </w:rPr>
  </w:style>
  <w:style w:type="character" w:styleId="Hyperlink">
    <w:name w:val="Hyperlink"/>
    <w:uiPriority w:val="99"/>
    <w:unhideWhenUsed/>
    <w:rsid w:val="007D7F5F"/>
    <w:rPr>
      <w:color w:val="0000FF"/>
      <w:u w:val="single"/>
    </w:rPr>
  </w:style>
  <w:style w:type="paragraph" w:styleId="TOC5">
    <w:name w:val="toc 5"/>
    <w:basedOn w:val="Normal"/>
    <w:next w:val="Normal"/>
    <w:autoRedefine/>
    <w:uiPriority w:val="39"/>
    <w:semiHidden/>
    <w:unhideWhenUsed/>
    <w:rsid w:val="007D7F5F"/>
    <w:pPr>
      <w:ind w:left="960"/>
    </w:pPr>
  </w:style>
  <w:style w:type="paragraph" w:customStyle="1" w:styleId="ADRHeading">
    <w:name w:val="ADR Heading"/>
    <w:basedOn w:val="HeadingStyle1"/>
    <w:qFormat/>
    <w:rsid w:val="00D363A3"/>
    <w:pPr>
      <w:ind w:left="1418" w:hanging="1418"/>
    </w:pPr>
  </w:style>
  <w:style w:type="paragraph" w:styleId="NormalWeb">
    <w:name w:val="Normal (Web)"/>
    <w:basedOn w:val="Normal"/>
    <w:semiHidden/>
    <w:rsid w:val="00030247"/>
    <w:pPr>
      <w:spacing w:before="100" w:beforeAutospacing="1" w:after="100" w:afterAutospacing="1"/>
    </w:pPr>
    <w:rPr>
      <w:rFonts w:eastAsia="MS Mincho"/>
      <w:lang w:val="fr-FR" w:eastAsia="ja-JP"/>
    </w:rPr>
  </w:style>
  <w:style w:type="paragraph" w:customStyle="1" w:styleId="Clauseheadding">
    <w:name w:val="Clause headding"/>
    <w:basedOn w:val="Normal"/>
    <w:next w:val="Normal"/>
    <w:rsid w:val="001B6015"/>
    <w:pPr>
      <w:tabs>
        <w:tab w:val="num" w:pos="1418"/>
      </w:tabs>
      <w:spacing w:before="240" w:after="120"/>
      <w:ind w:left="1418" w:hanging="1418"/>
    </w:pPr>
    <w:rPr>
      <w:b/>
      <w:caps/>
    </w:rPr>
  </w:style>
  <w:style w:type="paragraph" w:customStyle="1" w:styleId="appendix">
    <w:name w:val="appendix"/>
    <w:basedOn w:val="Subclause"/>
    <w:link w:val="appendixChar"/>
    <w:rsid w:val="00571B5F"/>
    <w:pPr>
      <w:numPr>
        <w:ilvl w:val="0"/>
        <w:numId w:val="30"/>
      </w:numPr>
      <w:ind w:hanging="1440"/>
    </w:pPr>
  </w:style>
  <w:style w:type="paragraph" w:styleId="ListParagraph">
    <w:name w:val="List Paragraph"/>
    <w:basedOn w:val="Normal"/>
    <w:uiPriority w:val="34"/>
    <w:qFormat/>
    <w:rsid w:val="00975151"/>
    <w:pPr>
      <w:ind w:left="720"/>
      <w:contextualSpacing/>
    </w:pPr>
  </w:style>
  <w:style w:type="character" w:customStyle="1" w:styleId="appendixChar">
    <w:name w:val="appendix Char"/>
    <w:link w:val="appendix"/>
    <w:rsid w:val="00571B5F"/>
    <w:rPr>
      <w:sz w:val="24"/>
      <w:szCs w:val="24"/>
    </w:rPr>
  </w:style>
  <w:style w:type="character" w:customStyle="1" w:styleId="HeaderChar">
    <w:name w:val="Header Char"/>
    <w:aliases w:val="6_G Char"/>
    <w:link w:val="Header"/>
    <w:rsid w:val="00F92E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connell\Application%20Data\Microsoft\Templates\ADR%20remak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D369A-557C-4120-B7A7-7497A9093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ADR remake template.dot</Template>
  <TotalTime>91</TotalTime>
  <Pages>26</Pages>
  <Words>4602</Words>
  <Characters>24815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DOTARS</Company>
  <LinksUpToDate>false</LinksUpToDate>
  <CharactersWithSpaces>29359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econnell</dc:creator>
  <cp:keywords/>
  <cp:lastModifiedBy>THIRUVASAGAN Siva</cp:lastModifiedBy>
  <cp:revision>14</cp:revision>
  <cp:lastPrinted>2012-03-21T23:59:00Z</cp:lastPrinted>
  <dcterms:created xsi:type="dcterms:W3CDTF">2018-09-26T04:32:00Z</dcterms:created>
  <dcterms:modified xsi:type="dcterms:W3CDTF">2019-01-10T00:08:00Z</dcterms:modified>
</cp:coreProperties>
</file>