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C44" w:rsidRPr="00E818EB" w:rsidRDefault="00C63C44" w:rsidP="00E818EB">
      <w:pPr>
        <w:pStyle w:val="Heading2"/>
        <w:spacing w:before="120" w:after="120" w:line="240" w:lineRule="atLeast"/>
        <w:jc w:val="center"/>
        <w:rPr>
          <w:i w:val="0"/>
          <w:sz w:val="20"/>
          <w:szCs w:val="20"/>
        </w:rPr>
      </w:pPr>
      <w:r w:rsidRPr="00E818EB">
        <w:rPr>
          <w:i w:val="0"/>
          <w:sz w:val="20"/>
          <w:szCs w:val="20"/>
        </w:rPr>
        <w:t>EXPLANATORY STATEMENT</w:t>
      </w:r>
    </w:p>
    <w:p w:rsidR="00E818EB" w:rsidRPr="00E818EB" w:rsidRDefault="00E818EB" w:rsidP="00E818EB">
      <w:pPr>
        <w:spacing w:before="120" w:after="120" w:line="240" w:lineRule="atLeast"/>
        <w:jc w:val="center"/>
        <w:rPr>
          <w:rFonts w:cs="Arial"/>
          <w:b/>
          <w:color w:val="262626"/>
          <w:lang w:eastAsia="en-AU" w:bidi="ar-SA"/>
        </w:rPr>
      </w:pPr>
      <w:r w:rsidRPr="00E818EB">
        <w:rPr>
          <w:rFonts w:cs="Arial"/>
          <w:b/>
          <w:color w:val="262626"/>
          <w:lang w:eastAsia="en-AU" w:bidi="ar-SA"/>
        </w:rPr>
        <w:t>Issued by the Australian Communications and Media Authority</w:t>
      </w:r>
    </w:p>
    <w:p w:rsidR="00D00F82" w:rsidRDefault="00D00F82" w:rsidP="00E818EB">
      <w:pPr>
        <w:spacing w:before="120" w:after="120" w:line="240" w:lineRule="atLeast"/>
        <w:jc w:val="center"/>
        <w:rPr>
          <w:rFonts w:cs="Arial"/>
          <w:b/>
          <w:i/>
        </w:rPr>
      </w:pPr>
      <w:r>
        <w:rPr>
          <w:rFonts w:cs="Arial"/>
          <w:b/>
          <w:i/>
        </w:rPr>
        <w:t>Television Outside Broadcast Service (1980-2110 MHz and 2170-2300 MHz)</w:t>
      </w:r>
    </w:p>
    <w:p w:rsidR="00C63C44" w:rsidRPr="00E818EB" w:rsidRDefault="00D00F82" w:rsidP="00E818EB">
      <w:pPr>
        <w:spacing w:before="120" w:after="120" w:line="240" w:lineRule="atLeast"/>
        <w:jc w:val="center"/>
        <w:rPr>
          <w:rFonts w:cs="Arial"/>
          <w:b/>
          <w:i/>
        </w:rPr>
      </w:pPr>
      <w:r>
        <w:rPr>
          <w:rFonts w:cs="Arial"/>
          <w:b/>
          <w:i/>
        </w:rPr>
        <w:t xml:space="preserve"> </w:t>
      </w:r>
      <w:r w:rsidR="00FF15C1">
        <w:rPr>
          <w:rFonts w:cs="Arial"/>
          <w:b/>
          <w:i/>
        </w:rPr>
        <w:t>Frequency Band Plan</w:t>
      </w:r>
      <w:r w:rsidR="00C63C44" w:rsidRPr="00E818EB">
        <w:rPr>
          <w:rFonts w:cs="Arial"/>
          <w:b/>
          <w:i/>
        </w:rPr>
        <w:t xml:space="preserve"> </w:t>
      </w:r>
      <w:r w:rsidR="0022653E" w:rsidRPr="00E818EB">
        <w:rPr>
          <w:rFonts w:cs="Arial"/>
          <w:b/>
          <w:i/>
        </w:rPr>
        <w:t>201</w:t>
      </w:r>
      <w:r w:rsidR="0022653E">
        <w:rPr>
          <w:rFonts w:cs="Arial"/>
          <w:b/>
          <w:i/>
        </w:rPr>
        <w:t>2</w:t>
      </w:r>
      <w:r w:rsidR="0022653E" w:rsidRPr="00E818EB">
        <w:rPr>
          <w:rFonts w:cs="Arial"/>
          <w:b/>
          <w:i/>
        </w:rPr>
        <w:t xml:space="preserve"> </w:t>
      </w:r>
    </w:p>
    <w:p w:rsidR="00E818EB" w:rsidRPr="00E818EB" w:rsidRDefault="00E818EB" w:rsidP="00E818EB">
      <w:pPr>
        <w:pStyle w:val="Subtitle"/>
        <w:spacing w:after="80"/>
        <w:rPr>
          <w:b/>
          <w:i/>
          <w:color w:val="262626"/>
          <w:sz w:val="20"/>
          <w:szCs w:val="20"/>
        </w:rPr>
      </w:pPr>
      <w:r w:rsidRPr="00E818EB">
        <w:rPr>
          <w:b/>
          <w:i/>
          <w:color w:val="262626"/>
          <w:sz w:val="20"/>
          <w:szCs w:val="20"/>
        </w:rPr>
        <w:t>Radiocommunications Act 1992</w:t>
      </w:r>
    </w:p>
    <w:p w:rsidR="00E818EB" w:rsidRPr="00E818EB" w:rsidRDefault="00E818EB" w:rsidP="00C61D43">
      <w:pPr>
        <w:pStyle w:val="Heading2"/>
        <w:jc w:val="both"/>
        <w:rPr>
          <w:i w:val="0"/>
          <w:sz w:val="20"/>
          <w:szCs w:val="20"/>
        </w:rPr>
      </w:pPr>
      <w:r w:rsidRPr="00E818EB">
        <w:rPr>
          <w:i w:val="0"/>
          <w:sz w:val="20"/>
          <w:szCs w:val="20"/>
        </w:rPr>
        <w:t>Purpose</w:t>
      </w:r>
    </w:p>
    <w:p w:rsidR="00E96E6E" w:rsidRDefault="00F559CA" w:rsidP="00C61D43">
      <w:pPr>
        <w:jc w:val="both"/>
      </w:pPr>
      <w:r>
        <w:t xml:space="preserve">The purpose of </w:t>
      </w:r>
      <w:r>
        <w:rPr>
          <w:i/>
        </w:rPr>
        <w:t xml:space="preserve">Television Outside Broadcast (1980-2110 MHz and 2170-2300 MHz) </w:t>
      </w:r>
      <w:r w:rsidR="00FF15C1">
        <w:rPr>
          <w:i/>
        </w:rPr>
        <w:t>Frequency Band Plan</w:t>
      </w:r>
      <w:r w:rsidR="00897216" w:rsidRPr="00897216">
        <w:rPr>
          <w:i/>
        </w:rPr>
        <w:t xml:space="preserve"> </w:t>
      </w:r>
      <w:r w:rsidR="0022653E" w:rsidRPr="00897216">
        <w:rPr>
          <w:i/>
        </w:rPr>
        <w:t>201</w:t>
      </w:r>
      <w:r w:rsidR="0022653E">
        <w:rPr>
          <w:i/>
        </w:rPr>
        <w:t>2</w:t>
      </w:r>
      <w:r w:rsidR="0022653E">
        <w:t xml:space="preserve"> </w:t>
      </w:r>
      <w:r w:rsidR="00EF3974">
        <w:t xml:space="preserve">(the Frequency Band Plan) </w:t>
      </w:r>
      <w:r>
        <w:t xml:space="preserve">is </w:t>
      </w:r>
      <w:r w:rsidR="00E96E6E">
        <w:t xml:space="preserve">to make provisions for the purposes for which the </w:t>
      </w:r>
      <w:r w:rsidR="00C0482D">
        <w:t>1980</w:t>
      </w:r>
      <w:r w:rsidR="00E96E6E">
        <w:t>-2110 MHz and 2</w:t>
      </w:r>
      <w:r w:rsidR="00C0482D">
        <w:t>170</w:t>
      </w:r>
      <w:r w:rsidR="00E96E6E">
        <w:t>-2300 MHz frequency bands may be used.</w:t>
      </w:r>
    </w:p>
    <w:p w:rsidR="00E818EB" w:rsidRDefault="00E818EB" w:rsidP="00C61D43">
      <w:pPr>
        <w:jc w:val="both"/>
      </w:pPr>
    </w:p>
    <w:p w:rsidR="00C63C44" w:rsidRPr="00E818EB" w:rsidRDefault="00C63C44" w:rsidP="00C61D43">
      <w:pPr>
        <w:pStyle w:val="Heading2"/>
        <w:jc w:val="both"/>
        <w:rPr>
          <w:i w:val="0"/>
          <w:sz w:val="20"/>
          <w:szCs w:val="20"/>
        </w:rPr>
      </w:pPr>
      <w:r w:rsidRPr="00E818EB">
        <w:rPr>
          <w:i w:val="0"/>
          <w:sz w:val="20"/>
          <w:szCs w:val="20"/>
        </w:rPr>
        <w:t>Legislative Provisions</w:t>
      </w:r>
    </w:p>
    <w:p w:rsidR="00C63C44" w:rsidRPr="00E818EB" w:rsidRDefault="00C63C44" w:rsidP="00C61D43">
      <w:pPr>
        <w:jc w:val="both"/>
        <w:rPr>
          <w:rFonts w:cs="Arial"/>
        </w:rPr>
      </w:pPr>
      <w:r w:rsidRPr="00E818EB">
        <w:rPr>
          <w:rFonts w:cs="Arial"/>
        </w:rPr>
        <w:t xml:space="preserve">The </w:t>
      </w:r>
      <w:r w:rsidR="00C25952">
        <w:rPr>
          <w:rFonts w:cs="Arial"/>
        </w:rPr>
        <w:t xml:space="preserve">Frequency </w:t>
      </w:r>
      <w:r w:rsidR="00FF15C1">
        <w:rPr>
          <w:rFonts w:cs="Arial"/>
        </w:rPr>
        <w:t>Band Plan</w:t>
      </w:r>
      <w:r w:rsidR="00897216">
        <w:rPr>
          <w:rFonts w:cs="Arial"/>
        </w:rPr>
        <w:t xml:space="preserve"> </w:t>
      </w:r>
      <w:r w:rsidR="00FF15C1">
        <w:rPr>
          <w:rFonts w:cs="Arial"/>
        </w:rPr>
        <w:t>is</w:t>
      </w:r>
      <w:r w:rsidR="00897216">
        <w:rPr>
          <w:rFonts w:cs="Arial"/>
        </w:rPr>
        <w:t xml:space="preserve"> made under </w:t>
      </w:r>
      <w:r w:rsidRPr="00E818EB">
        <w:rPr>
          <w:rFonts w:cs="Arial"/>
        </w:rPr>
        <w:t>section</w:t>
      </w:r>
      <w:r w:rsidR="00EF3974">
        <w:rPr>
          <w:rFonts w:cs="Arial"/>
        </w:rPr>
        <w:t>s</w:t>
      </w:r>
      <w:r w:rsidRPr="00E818EB">
        <w:rPr>
          <w:rFonts w:cs="Arial"/>
        </w:rPr>
        <w:t xml:space="preserve"> </w:t>
      </w:r>
      <w:r w:rsidR="00FF15C1">
        <w:rPr>
          <w:rFonts w:cs="Arial"/>
        </w:rPr>
        <w:t>32</w:t>
      </w:r>
      <w:r w:rsidR="00EF3974">
        <w:rPr>
          <w:rFonts w:cs="Arial"/>
        </w:rPr>
        <w:t xml:space="preserve"> and 34</w:t>
      </w:r>
      <w:r w:rsidRPr="00E818EB">
        <w:rPr>
          <w:rFonts w:cs="Arial"/>
        </w:rPr>
        <w:t xml:space="preserve"> of the </w:t>
      </w:r>
      <w:r w:rsidR="00897216">
        <w:rPr>
          <w:rFonts w:cs="Arial"/>
          <w:i/>
        </w:rPr>
        <w:t xml:space="preserve">Radiocommunications </w:t>
      </w:r>
      <w:r w:rsidRPr="00E818EB">
        <w:rPr>
          <w:rFonts w:cs="Arial"/>
          <w:i/>
        </w:rPr>
        <w:t>Act 19</w:t>
      </w:r>
      <w:r w:rsidR="00897216">
        <w:rPr>
          <w:rFonts w:cs="Arial"/>
          <w:i/>
        </w:rPr>
        <w:t>92</w:t>
      </w:r>
      <w:r w:rsidRPr="00E818EB">
        <w:rPr>
          <w:rFonts w:cs="Arial"/>
        </w:rPr>
        <w:t xml:space="preserve"> </w:t>
      </w:r>
      <w:r w:rsidR="00EA59DA">
        <w:rPr>
          <w:rFonts w:cs="Arial"/>
        </w:rPr>
        <w:t xml:space="preserve">(the Act) </w:t>
      </w:r>
      <w:r w:rsidRPr="00E818EB">
        <w:rPr>
          <w:rFonts w:cs="Arial"/>
        </w:rPr>
        <w:t>which provide that the Australian Communications and Media Authority (ACMA) may</w:t>
      </w:r>
      <w:r w:rsidR="00FF15C1">
        <w:rPr>
          <w:rFonts w:cs="Arial"/>
        </w:rPr>
        <w:t xml:space="preserve">, by written instrument, </w:t>
      </w:r>
      <w:r w:rsidR="00EF3974">
        <w:rPr>
          <w:rFonts w:cs="Arial"/>
        </w:rPr>
        <w:t xml:space="preserve">prepare, revoke or vary </w:t>
      </w:r>
      <w:r w:rsidR="00FF15C1">
        <w:rPr>
          <w:rFonts w:cs="Arial"/>
        </w:rPr>
        <w:t>frequency band plans, each relating to one or more frequency bands.</w:t>
      </w:r>
    </w:p>
    <w:p w:rsidR="00EA59DA" w:rsidRDefault="00EA59DA" w:rsidP="00C61D43">
      <w:pPr>
        <w:jc w:val="both"/>
        <w:rPr>
          <w:rFonts w:cs="Arial"/>
        </w:rPr>
      </w:pPr>
    </w:p>
    <w:p w:rsidR="00EA59DA" w:rsidRPr="00EA59DA" w:rsidRDefault="00EA59DA" w:rsidP="00C61D43">
      <w:pPr>
        <w:jc w:val="both"/>
        <w:rPr>
          <w:rFonts w:cs="Arial"/>
        </w:rPr>
      </w:pPr>
      <w:r w:rsidRPr="00EA59DA">
        <w:rPr>
          <w:rFonts w:cs="Arial"/>
        </w:rPr>
        <w:t xml:space="preserve">A </w:t>
      </w:r>
      <w:r>
        <w:rPr>
          <w:rFonts w:cs="Arial"/>
        </w:rPr>
        <w:t xml:space="preserve">frequency band plan </w:t>
      </w:r>
      <w:r w:rsidRPr="00EA59DA">
        <w:rPr>
          <w:rFonts w:cs="Arial"/>
        </w:rPr>
        <w:t xml:space="preserve">is a legislative instrument for the purposes of the </w:t>
      </w:r>
      <w:r w:rsidRPr="00EA59DA">
        <w:rPr>
          <w:rFonts w:cs="Arial"/>
          <w:i/>
        </w:rPr>
        <w:t>Legislative Instruments Act 2003</w:t>
      </w:r>
      <w:r w:rsidRPr="00EA59DA">
        <w:rPr>
          <w:rFonts w:cs="Arial"/>
        </w:rPr>
        <w:t xml:space="preserve"> (the LIA).</w:t>
      </w:r>
    </w:p>
    <w:p w:rsidR="00C63C44" w:rsidRDefault="00C63C44" w:rsidP="00C61D43">
      <w:pPr>
        <w:pStyle w:val="Heading2"/>
        <w:jc w:val="both"/>
        <w:rPr>
          <w:i w:val="0"/>
          <w:sz w:val="20"/>
          <w:szCs w:val="20"/>
        </w:rPr>
      </w:pPr>
      <w:r w:rsidRPr="00732CBF">
        <w:rPr>
          <w:i w:val="0"/>
          <w:sz w:val="20"/>
          <w:szCs w:val="20"/>
        </w:rPr>
        <w:t>Background</w:t>
      </w:r>
    </w:p>
    <w:p w:rsidR="00DF48C5" w:rsidRDefault="007A0970" w:rsidP="00C61D43">
      <w:pPr>
        <w:spacing w:after="80"/>
        <w:jc w:val="both"/>
        <w:rPr>
          <w:rFonts w:cs="Arial"/>
        </w:rPr>
      </w:pPr>
      <w:r>
        <w:rPr>
          <w:rFonts w:cs="Arial"/>
        </w:rPr>
        <w:t>As an outcome</w:t>
      </w:r>
      <w:r w:rsidR="00DF48C5" w:rsidRPr="00DF48C5">
        <w:t xml:space="preserve"> of the </w:t>
      </w:r>
      <w:r>
        <w:rPr>
          <w:rFonts w:cs="Arial"/>
        </w:rPr>
        <w:t xml:space="preserve">ACMA’s 2010 review of the 2.5 GHz </w:t>
      </w:r>
      <w:r w:rsidR="00F6564A">
        <w:rPr>
          <w:rFonts w:cs="Arial"/>
        </w:rPr>
        <w:t xml:space="preserve">band, </w:t>
      </w:r>
      <w:r>
        <w:rPr>
          <w:rFonts w:cs="Arial"/>
        </w:rPr>
        <w:t>the ACMA is developing arrangements to support the introduction of television outside broadcast (TOB)</w:t>
      </w:r>
      <w:r w:rsidR="00C61D43">
        <w:rPr>
          <w:rFonts w:cs="Arial"/>
        </w:rPr>
        <w:t xml:space="preserve"> </w:t>
      </w:r>
      <w:r>
        <w:rPr>
          <w:rFonts w:cs="Arial"/>
        </w:rPr>
        <w:t>services into the bands 1980-2110 MHz and 2170-2300 MHz</w:t>
      </w:r>
      <w:r w:rsidR="0082522A">
        <w:rPr>
          <w:rFonts w:cs="Arial"/>
        </w:rPr>
        <w:t xml:space="preserve">. See the ACMA paper </w:t>
      </w:r>
      <w:r w:rsidR="0082522A" w:rsidRPr="00141C6E">
        <w:rPr>
          <w:rFonts w:cs="Arial"/>
          <w:i/>
        </w:rPr>
        <w:t>R</w:t>
      </w:r>
      <w:r w:rsidR="0082522A" w:rsidRPr="00E34A34">
        <w:rPr>
          <w:rFonts w:cs="Arial"/>
          <w:i/>
        </w:rPr>
        <w:t>eview of the 2.5 GHz band and long-term arrangements for ENG—Response to submissions</w:t>
      </w:r>
      <w:r w:rsidR="0082522A" w:rsidRPr="00E34A34">
        <w:rPr>
          <w:rFonts w:cs="Arial"/>
        </w:rPr>
        <w:t xml:space="preserve"> </w:t>
      </w:r>
      <w:r w:rsidR="0082522A" w:rsidRPr="00BA4654">
        <w:rPr>
          <w:i/>
        </w:rPr>
        <w:t>paper</w:t>
      </w:r>
      <w:r w:rsidR="0082522A">
        <w:rPr>
          <w:i/>
        </w:rPr>
        <w:t>,</w:t>
      </w:r>
      <w:r w:rsidR="0082522A">
        <w:rPr>
          <w:rFonts w:cs="Arial"/>
        </w:rPr>
        <w:t xml:space="preserve"> available on the ACMA website, for information about the 2.5 GHz review.</w:t>
      </w:r>
    </w:p>
    <w:p w:rsidR="00BA4654" w:rsidRPr="0082522A" w:rsidRDefault="00BA4654" w:rsidP="00C61D43">
      <w:pPr>
        <w:jc w:val="both"/>
        <w:rPr>
          <w:rFonts w:cs="Arial"/>
        </w:rPr>
      </w:pPr>
    </w:p>
    <w:p w:rsidR="00BA4654" w:rsidRPr="0082522A" w:rsidRDefault="007D1558" w:rsidP="00C61D43">
      <w:pPr>
        <w:jc w:val="both"/>
        <w:rPr>
          <w:rFonts w:cs="Arial"/>
        </w:rPr>
      </w:pPr>
      <w:r w:rsidRPr="007D1558">
        <w:rPr>
          <w:rFonts w:cs="Arial"/>
          <w:lang w:eastAsia="en-AU" w:bidi="ar-SA"/>
        </w:rPr>
        <w:t>The introduction of TOB services in the 1980-</w:t>
      </w:r>
      <w:r w:rsidRPr="007D1558">
        <w:rPr>
          <w:rFonts w:cs="Arial"/>
        </w:rPr>
        <w:t xml:space="preserve">2110 MHz and 2170-2300 MHz frequency </w:t>
      </w:r>
      <w:r w:rsidRPr="007D1558">
        <w:rPr>
          <w:rFonts w:cs="Arial"/>
          <w:lang w:eastAsia="en-AU" w:bidi="ar-SA"/>
        </w:rPr>
        <w:t>bands requires that:</w:t>
      </w:r>
    </w:p>
    <w:p w:rsidR="00F647E3" w:rsidRDefault="00DF48C5" w:rsidP="00C61D43">
      <w:pPr>
        <w:pStyle w:val="ListBullet"/>
        <w:jc w:val="both"/>
        <w:rPr>
          <w:rFonts w:ascii="Arial" w:hAnsi="Arial" w:cs="Arial"/>
          <w:sz w:val="20"/>
          <w:szCs w:val="20"/>
        </w:rPr>
      </w:pPr>
      <w:r w:rsidRPr="00DF48C5">
        <w:rPr>
          <w:rFonts w:ascii="Arial" w:hAnsi="Arial" w:cs="Arial"/>
          <w:sz w:val="20"/>
          <w:szCs w:val="20"/>
        </w:rPr>
        <w:t>existing fixed point-to-point links in areas of high or frequent TOB usage cease operation after 1 November 2013;</w:t>
      </w:r>
    </w:p>
    <w:p w:rsidR="00F647E3" w:rsidRDefault="00DF48C5" w:rsidP="00C61D43">
      <w:pPr>
        <w:pStyle w:val="ListBullet"/>
        <w:jc w:val="both"/>
        <w:rPr>
          <w:rFonts w:ascii="Arial" w:hAnsi="Arial" w:cs="Arial"/>
          <w:sz w:val="20"/>
          <w:szCs w:val="20"/>
        </w:rPr>
      </w:pPr>
      <w:r w:rsidRPr="00DF48C5">
        <w:rPr>
          <w:rFonts w:ascii="Arial" w:hAnsi="Arial" w:cs="Arial"/>
          <w:sz w:val="20"/>
          <w:szCs w:val="20"/>
        </w:rPr>
        <w:t>earth station operations in the 2025–2110 MHz and 2200–2300 MHz bands in the Perth area (Landsdale/Gnangara) cease operating after 31 December 2015;</w:t>
      </w:r>
    </w:p>
    <w:p w:rsidR="00F647E3" w:rsidRDefault="00DF48C5" w:rsidP="00C61D43">
      <w:pPr>
        <w:pStyle w:val="ListBullet"/>
        <w:jc w:val="both"/>
        <w:rPr>
          <w:rFonts w:ascii="Arial" w:hAnsi="Arial" w:cs="Arial"/>
          <w:i/>
          <w:sz w:val="20"/>
          <w:szCs w:val="20"/>
        </w:rPr>
      </w:pPr>
      <w:r w:rsidRPr="00DF48C5">
        <w:rPr>
          <w:rFonts w:ascii="Arial" w:hAnsi="Arial" w:cs="Arial"/>
          <w:sz w:val="20"/>
          <w:szCs w:val="20"/>
        </w:rPr>
        <w:t xml:space="preserve">conflicting provisions in existing frequency band plans that would otherwise limit the operation of TOB services in the 1980–2010 MHz, 2076–2111 MHz and 2170–2200 MHz frequency bands are removed.  </w:t>
      </w:r>
    </w:p>
    <w:p w:rsidR="00C63C44" w:rsidRPr="00A03B6D" w:rsidRDefault="00C63C44" w:rsidP="00C61D43">
      <w:pPr>
        <w:pStyle w:val="Heading2"/>
        <w:jc w:val="both"/>
        <w:rPr>
          <w:i w:val="0"/>
          <w:sz w:val="20"/>
          <w:szCs w:val="20"/>
        </w:rPr>
      </w:pPr>
      <w:r w:rsidRPr="00A03B6D">
        <w:rPr>
          <w:i w:val="0"/>
          <w:sz w:val="20"/>
          <w:szCs w:val="20"/>
        </w:rPr>
        <w:t>Operation</w:t>
      </w:r>
    </w:p>
    <w:p w:rsidR="00EA59DA" w:rsidRPr="00D05732" w:rsidRDefault="00D05732" w:rsidP="00C61D43">
      <w:pPr>
        <w:jc w:val="both"/>
        <w:rPr>
          <w:rFonts w:cs="Arial"/>
        </w:rPr>
      </w:pPr>
      <w:r>
        <w:rPr>
          <w:rFonts w:cs="Arial"/>
        </w:rPr>
        <w:t>Th</w:t>
      </w:r>
      <w:r w:rsidR="0087783D">
        <w:rPr>
          <w:rFonts w:cs="Arial"/>
        </w:rPr>
        <w:t>e</w:t>
      </w:r>
      <w:r>
        <w:rPr>
          <w:rFonts w:cs="Arial"/>
        </w:rPr>
        <w:t xml:space="preserve"> </w:t>
      </w:r>
      <w:r w:rsidR="00266A21">
        <w:rPr>
          <w:rFonts w:cs="Arial"/>
        </w:rPr>
        <w:t xml:space="preserve">Frequency </w:t>
      </w:r>
      <w:r>
        <w:rPr>
          <w:rFonts w:cs="Arial"/>
        </w:rPr>
        <w:t xml:space="preserve">Band Plan provides a set of </w:t>
      </w:r>
      <w:r w:rsidR="00E83AFC">
        <w:rPr>
          <w:rFonts w:cs="Arial"/>
        </w:rPr>
        <w:t>primary and secondary radiocommunication</w:t>
      </w:r>
      <w:r w:rsidR="00266A21">
        <w:rPr>
          <w:rFonts w:cs="Arial"/>
        </w:rPr>
        <w:t>s</w:t>
      </w:r>
      <w:r w:rsidR="00E83AFC">
        <w:rPr>
          <w:rFonts w:cs="Arial"/>
        </w:rPr>
        <w:t xml:space="preserve"> </w:t>
      </w:r>
      <w:r>
        <w:rPr>
          <w:rFonts w:cs="Arial"/>
        </w:rPr>
        <w:t xml:space="preserve">services and conditions </w:t>
      </w:r>
      <w:r w:rsidR="00E83AFC">
        <w:rPr>
          <w:rFonts w:cs="Arial"/>
        </w:rPr>
        <w:t xml:space="preserve">on </w:t>
      </w:r>
      <w:r>
        <w:rPr>
          <w:rFonts w:cs="Arial"/>
        </w:rPr>
        <w:t xml:space="preserve">how the frequency bands mentioned in it may be used. </w:t>
      </w:r>
      <w:r w:rsidR="001033B8">
        <w:rPr>
          <w:rFonts w:cs="Arial"/>
        </w:rPr>
        <w:t xml:space="preserve">The </w:t>
      </w:r>
      <w:r w:rsidR="00266A21">
        <w:rPr>
          <w:rFonts w:cs="Arial"/>
        </w:rPr>
        <w:t xml:space="preserve">Frequency </w:t>
      </w:r>
      <w:r w:rsidR="001033B8">
        <w:rPr>
          <w:rFonts w:cs="Arial"/>
        </w:rPr>
        <w:t xml:space="preserve">Band Plan introduces the </w:t>
      </w:r>
      <w:r w:rsidR="00796D48">
        <w:rPr>
          <w:rFonts w:cs="Arial"/>
        </w:rPr>
        <w:t>TOB</w:t>
      </w:r>
      <w:r w:rsidR="001033B8">
        <w:rPr>
          <w:rFonts w:cs="Arial"/>
        </w:rPr>
        <w:t xml:space="preserve"> service as a primary service in the 1980-2110 MHz and 2170-2300 MHz bands. </w:t>
      </w:r>
      <w:r w:rsidR="00EA59DA">
        <w:rPr>
          <w:rFonts w:cs="Arial"/>
        </w:rPr>
        <w:t>The</w:t>
      </w:r>
      <w:r w:rsidR="00266A21">
        <w:rPr>
          <w:rFonts w:cs="Arial"/>
        </w:rPr>
        <w:t xml:space="preserve"> Frequency</w:t>
      </w:r>
      <w:r w:rsidR="00EA59DA">
        <w:rPr>
          <w:rFonts w:cs="Arial"/>
        </w:rPr>
        <w:t xml:space="preserve"> Band Plan also </w:t>
      </w:r>
      <w:r w:rsidR="009D51E9">
        <w:rPr>
          <w:rFonts w:cs="Arial"/>
        </w:rPr>
        <w:t xml:space="preserve">identifies the bands and areas </w:t>
      </w:r>
      <w:r w:rsidR="00E2699C">
        <w:rPr>
          <w:rFonts w:cs="Arial"/>
        </w:rPr>
        <w:t xml:space="preserve">for </w:t>
      </w:r>
      <w:r w:rsidR="001033B8">
        <w:rPr>
          <w:rFonts w:cs="Arial"/>
          <w:lang w:val="en-US"/>
        </w:rPr>
        <w:t xml:space="preserve">the closure of existing fixed point-to-point links by </w:t>
      </w:r>
      <w:r w:rsidR="00DB73EA">
        <w:rPr>
          <w:rFonts w:cs="Arial"/>
          <w:lang w:val="en-US"/>
        </w:rPr>
        <w:t xml:space="preserve">no later than </w:t>
      </w:r>
      <w:r w:rsidR="001033B8">
        <w:rPr>
          <w:rFonts w:cs="Arial"/>
          <w:lang w:val="en-US"/>
        </w:rPr>
        <w:t xml:space="preserve">1 November 2013. In addition, the </w:t>
      </w:r>
      <w:r w:rsidR="00266A21">
        <w:rPr>
          <w:rFonts w:cs="Arial"/>
          <w:lang w:val="en-US"/>
        </w:rPr>
        <w:t xml:space="preserve">Frequency </w:t>
      </w:r>
      <w:r w:rsidR="001033B8">
        <w:rPr>
          <w:rFonts w:cs="Arial"/>
          <w:lang w:val="en-US"/>
        </w:rPr>
        <w:t xml:space="preserve">Band Plan </w:t>
      </w:r>
      <w:r>
        <w:rPr>
          <w:rFonts w:cs="Arial"/>
          <w:lang w:val="en-US"/>
        </w:rPr>
        <w:t xml:space="preserve">supports the end of earth station operation in the 2025-2110 MHz and 2200-2300 MHz bands in Perth by </w:t>
      </w:r>
      <w:r w:rsidR="00DB73EA">
        <w:rPr>
          <w:rFonts w:cs="Arial"/>
          <w:lang w:val="en-US"/>
        </w:rPr>
        <w:t>no later than 31 December 2015</w:t>
      </w:r>
      <w:r>
        <w:rPr>
          <w:rFonts w:cs="Arial"/>
          <w:lang w:val="en-US"/>
        </w:rPr>
        <w:t xml:space="preserve">. </w:t>
      </w:r>
    </w:p>
    <w:p w:rsidR="00EA59DA" w:rsidRDefault="00EA59DA" w:rsidP="00C61D43">
      <w:pPr>
        <w:jc w:val="both"/>
        <w:rPr>
          <w:rFonts w:cs="Arial"/>
        </w:rPr>
      </w:pPr>
    </w:p>
    <w:p w:rsidR="00EA59DA" w:rsidRDefault="00EA59DA" w:rsidP="00C61D43">
      <w:pPr>
        <w:jc w:val="both"/>
        <w:rPr>
          <w:rFonts w:cs="Arial"/>
        </w:rPr>
      </w:pPr>
      <w:r>
        <w:rPr>
          <w:rFonts w:cs="Arial"/>
        </w:rPr>
        <w:t xml:space="preserve">Finally, the </w:t>
      </w:r>
      <w:r w:rsidR="00266A21">
        <w:rPr>
          <w:rFonts w:cs="Arial"/>
        </w:rPr>
        <w:t xml:space="preserve">Frequency </w:t>
      </w:r>
      <w:r>
        <w:rPr>
          <w:rFonts w:cs="Arial"/>
        </w:rPr>
        <w:t xml:space="preserve">Band Plan </w:t>
      </w:r>
      <w:r w:rsidR="00D05732">
        <w:rPr>
          <w:rFonts w:cs="Arial"/>
        </w:rPr>
        <w:t>revokes two existing frequency band plans to remove conflicting provisions that would otherwise limit the operation of TOB services in the 1980-2010 MHz, 2076-2111 MHz and 217</w:t>
      </w:r>
      <w:r w:rsidR="00E83AFC">
        <w:rPr>
          <w:rFonts w:cs="Arial"/>
        </w:rPr>
        <w:t>0-</w:t>
      </w:r>
      <w:r w:rsidR="00D05732">
        <w:rPr>
          <w:rFonts w:cs="Arial"/>
        </w:rPr>
        <w:t xml:space="preserve">2200 MHz frequency bands. </w:t>
      </w:r>
    </w:p>
    <w:p w:rsidR="00C63C44" w:rsidRPr="00A03B6D" w:rsidRDefault="00C63C44" w:rsidP="00C61D43">
      <w:pPr>
        <w:pStyle w:val="Heading2"/>
        <w:spacing w:before="120"/>
        <w:jc w:val="both"/>
        <w:rPr>
          <w:i w:val="0"/>
          <w:sz w:val="20"/>
          <w:szCs w:val="20"/>
        </w:rPr>
      </w:pPr>
      <w:r w:rsidRPr="00A03B6D">
        <w:rPr>
          <w:i w:val="0"/>
          <w:sz w:val="20"/>
          <w:szCs w:val="20"/>
        </w:rPr>
        <w:lastRenderedPageBreak/>
        <w:t>Consultation</w:t>
      </w:r>
    </w:p>
    <w:p w:rsidR="000516D8" w:rsidRDefault="000516D8" w:rsidP="00C61D43">
      <w:pPr>
        <w:jc w:val="both"/>
        <w:rPr>
          <w:rFonts w:cs="Arial"/>
        </w:rPr>
      </w:pPr>
      <w:r>
        <w:rPr>
          <w:rFonts w:cs="Arial"/>
        </w:rPr>
        <w:t xml:space="preserve">To ensure that </w:t>
      </w:r>
      <w:r w:rsidR="00EF3974">
        <w:rPr>
          <w:rFonts w:cs="Arial"/>
        </w:rPr>
        <w:t xml:space="preserve">section 33 of the Act and </w:t>
      </w:r>
      <w:r>
        <w:rPr>
          <w:rFonts w:cs="Arial"/>
        </w:rPr>
        <w:t xml:space="preserve">the </w:t>
      </w:r>
      <w:r w:rsidR="00EF3974">
        <w:rPr>
          <w:rFonts w:cs="Arial"/>
        </w:rPr>
        <w:t xml:space="preserve">consultation </w:t>
      </w:r>
      <w:r>
        <w:rPr>
          <w:rFonts w:cs="Arial"/>
        </w:rPr>
        <w:t>requirements of</w:t>
      </w:r>
      <w:r w:rsidR="00EF3974">
        <w:rPr>
          <w:rFonts w:cs="Arial"/>
        </w:rPr>
        <w:t xml:space="preserve"> </w:t>
      </w:r>
      <w:r>
        <w:rPr>
          <w:rFonts w:cs="Arial"/>
        </w:rPr>
        <w:t xml:space="preserve">the </w:t>
      </w:r>
      <w:r w:rsidRPr="00CA6973">
        <w:rPr>
          <w:rFonts w:cs="Arial"/>
        </w:rPr>
        <w:t>LIA</w:t>
      </w:r>
      <w:r>
        <w:rPr>
          <w:rFonts w:cs="Arial"/>
          <w:i/>
        </w:rPr>
        <w:t xml:space="preserve"> </w:t>
      </w:r>
      <w:r>
        <w:rPr>
          <w:rFonts w:cs="Arial"/>
        </w:rPr>
        <w:t xml:space="preserve">were met, the ACMA </w:t>
      </w:r>
      <w:r w:rsidR="00796D48">
        <w:rPr>
          <w:rFonts w:cs="Arial"/>
        </w:rPr>
        <w:t>undertook</w:t>
      </w:r>
      <w:r>
        <w:rPr>
          <w:rFonts w:cs="Arial"/>
        </w:rPr>
        <w:t xml:space="preserve"> formal </w:t>
      </w:r>
      <w:r w:rsidR="00EF3974">
        <w:rPr>
          <w:rFonts w:cs="Arial"/>
        </w:rPr>
        <w:t xml:space="preserve">public </w:t>
      </w:r>
      <w:r>
        <w:rPr>
          <w:rFonts w:cs="Arial"/>
        </w:rPr>
        <w:t xml:space="preserve">consultation </w:t>
      </w:r>
      <w:r w:rsidR="00EF3974">
        <w:rPr>
          <w:rFonts w:cs="Arial"/>
        </w:rPr>
        <w:t xml:space="preserve">through </w:t>
      </w:r>
      <w:r>
        <w:rPr>
          <w:rFonts w:cs="Arial"/>
        </w:rPr>
        <w:t>the Commonwealth Gazette and via the ACMA’s website.</w:t>
      </w:r>
    </w:p>
    <w:p w:rsidR="00EA59DA" w:rsidRDefault="00EA59DA" w:rsidP="00C61D43">
      <w:pPr>
        <w:jc w:val="both"/>
        <w:rPr>
          <w:rFonts w:cs="Arial"/>
        </w:rPr>
      </w:pPr>
    </w:p>
    <w:p w:rsidR="00FC1BB6" w:rsidRDefault="00F264C8" w:rsidP="00C61D43">
      <w:pPr>
        <w:jc w:val="both"/>
        <w:rPr>
          <w:rFonts w:cs="Arial"/>
        </w:rPr>
      </w:pPr>
      <w:r>
        <w:rPr>
          <w:rFonts w:cs="Arial"/>
        </w:rPr>
        <w:t xml:space="preserve">On </w:t>
      </w:r>
      <w:r w:rsidR="00F41478">
        <w:rPr>
          <w:rFonts w:cs="Arial"/>
        </w:rPr>
        <w:t>6</w:t>
      </w:r>
      <w:r w:rsidR="007161EC" w:rsidRPr="00A03B6D">
        <w:rPr>
          <w:rFonts w:cs="Arial"/>
        </w:rPr>
        <w:t xml:space="preserve"> October 201</w:t>
      </w:r>
      <w:r w:rsidR="00F41478">
        <w:rPr>
          <w:rFonts w:cs="Arial"/>
        </w:rPr>
        <w:t>1</w:t>
      </w:r>
      <w:r w:rsidR="00FD707C">
        <w:rPr>
          <w:rFonts w:cs="Arial"/>
        </w:rPr>
        <w:t>,</w:t>
      </w:r>
      <w:r w:rsidR="007161EC" w:rsidRPr="00A03B6D">
        <w:rPr>
          <w:rFonts w:cs="Arial"/>
        </w:rPr>
        <w:t xml:space="preserve"> the ACMA commenced a public consultation process </w:t>
      </w:r>
      <w:r w:rsidR="0041593D">
        <w:rPr>
          <w:rFonts w:cs="Arial"/>
        </w:rPr>
        <w:t>with</w:t>
      </w:r>
      <w:r w:rsidR="00F41478">
        <w:rPr>
          <w:rFonts w:cs="Arial"/>
        </w:rPr>
        <w:t xml:space="preserve"> regard to </w:t>
      </w:r>
      <w:r w:rsidR="0041593D">
        <w:rPr>
          <w:rFonts w:cs="Arial"/>
        </w:rPr>
        <w:t xml:space="preserve">the </w:t>
      </w:r>
      <w:r w:rsidR="00F41478">
        <w:rPr>
          <w:rFonts w:cs="Arial"/>
        </w:rPr>
        <w:t>draft frequency band plan to facilitate television outside broadcast access to 1980-2100 MHz and 2170-2300 MHz bands.</w:t>
      </w:r>
      <w:r w:rsidR="00E101EE">
        <w:rPr>
          <w:rFonts w:cs="Arial"/>
        </w:rPr>
        <w:t xml:space="preserve">  </w:t>
      </w:r>
      <w:r w:rsidR="00FD707C" w:rsidRPr="00FD707C">
        <w:rPr>
          <w:rFonts w:cs="Arial"/>
        </w:rPr>
        <w:t xml:space="preserve">The ACMA </w:t>
      </w:r>
      <w:r w:rsidR="00E101EE">
        <w:rPr>
          <w:rFonts w:cs="Arial"/>
        </w:rPr>
        <w:t>issued</w:t>
      </w:r>
      <w:r w:rsidR="00E101EE" w:rsidRPr="00FD707C">
        <w:rPr>
          <w:rFonts w:cs="Arial"/>
        </w:rPr>
        <w:t xml:space="preserve"> </w:t>
      </w:r>
      <w:r w:rsidR="00FD707C" w:rsidRPr="00FD707C">
        <w:rPr>
          <w:rFonts w:cs="Arial"/>
        </w:rPr>
        <w:t>a media release and published a page on its website describing the issue</w:t>
      </w:r>
      <w:r w:rsidR="00EF3974">
        <w:rPr>
          <w:rFonts w:cs="Arial"/>
        </w:rPr>
        <w:t>s</w:t>
      </w:r>
      <w:r w:rsidR="00FD707C" w:rsidRPr="00FD707C">
        <w:rPr>
          <w:rFonts w:cs="Arial"/>
        </w:rPr>
        <w:t xml:space="preserve"> for comment</w:t>
      </w:r>
      <w:r w:rsidR="0087783D">
        <w:rPr>
          <w:rFonts w:cs="Arial"/>
        </w:rPr>
        <w:t xml:space="preserve">, </w:t>
      </w:r>
      <w:r w:rsidR="00D641A6">
        <w:rPr>
          <w:rFonts w:cs="Arial"/>
        </w:rPr>
        <w:t xml:space="preserve">setting out </w:t>
      </w:r>
      <w:r w:rsidR="0087783D" w:rsidRPr="00FD707C">
        <w:rPr>
          <w:rFonts w:cs="Arial"/>
        </w:rPr>
        <w:t>the</w:t>
      </w:r>
      <w:r w:rsidR="00FD707C" w:rsidRPr="00FD707C">
        <w:rPr>
          <w:rFonts w:cs="Arial"/>
        </w:rPr>
        <w:t xml:space="preserve"> process for </w:t>
      </w:r>
      <w:r w:rsidR="0087783D">
        <w:rPr>
          <w:rFonts w:cs="Arial"/>
        </w:rPr>
        <w:t>making a submission</w:t>
      </w:r>
      <w:r w:rsidR="0041593D">
        <w:rPr>
          <w:rFonts w:cs="Arial"/>
        </w:rPr>
        <w:t>,</w:t>
      </w:r>
      <w:r w:rsidR="00FD707C" w:rsidRPr="00FD707C">
        <w:rPr>
          <w:rFonts w:cs="Arial"/>
        </w:rPr>
        <w:t xml:space="preserve"> and providing a copy of a discussion paper</w:t>
      </w:r>
      <w:r w:rsidR="008C6C8F">
        <w:rPr>
          <w:rFonts w:cs="Arial"/>
        </w:rPr>
        <w:t>.</w:t>
      </w:r>
    </w:p>
    <w:p w:rsidR="00050CC9" w:rsidRDefault="00050CC9" w:rsidP="00C61D43">
      <w:pPr>
        <w:jc w:val="both"/>
        <w:rPr>
          <w:rFonts w:cs="Arial"/>
        </w:rPr>
      </w:pPr>
    </w:p>
    <w:p w:rsidR="00FE3ED6" w:rsidRDefault="00FC1BB6" w:rsidP="00C61D43">
      <w:pPr>
        <w:jc w:val="both"/>
        <w:rPr>
          <w:rFonts w:cs="Arial"/>
        </w:rPr>
      </w:pPr>
      <w:r>
        <w:rPr>
          <w:rFonts w:cs="Arial"/>
        </w:rPr>
        <w:t>T</w:t>
      </w:r>
      <w:r w:rsidRPr="00B44E97">
        <w:rPr>
          <w:rFonts w:cs="Arial"/>
        </w:rPr>
        <w:t xml:space="preserve">he </w:t>
      </w:r>
      <w:r>
        <w:rPr>
          <w:rFonts w:cs="Arial"/>
        </w:rPr>
        <w:t>discussion paper proposed</w:t>
      </w:r>
      <w:r w:rsidRPr="00B44E97">
        <w:rPr>
          <w:rFonts w:cs="Arial"/>
        </w:rPr>
        <w:t xml:space="preserve"> </w:t>
      </w:r>
      <w:r w:rsidR="00F63827">
        <w:rPr>
          <w:rFonts w:cs="Arial"/>
        </w:rPr>
        <w:t xml:space="preserve">the </w:t>
      </w:r>
      <w:r w:rsidR="00F41478">
        <w:rPr>
          <w:rFonts w:cs="Arial"/>
        </w:rPr>
        <w:t>introduc</w:t>
      </w:r>
      <w:r w:rsidR="00F63827">
        <w:rPr>
          <w:rFonts w:cs="Arial"/>
        </w:rPr>
        <w:t>tion of</w:t>
      </w:r>
      <w:r w:rsidR="00F41478">
        <w:rPr>
          <w:rFonts w:cs="Arial"/>
        </w:rPr>
        <w:t xml:space="preserve"> a new frequency band plan to be made under the </w:t>
      </w:r>
      <w:r w:rsidR="00EF3974">
        <w:rPr>
          <w:rFonts w:cs="Arial"/>
        </w:rPr>
        <w:t>Act</w:t>
      </w:r>
      <w:r w:rsidR="00F63827">
        <w:rPr>
          <w:rFonts w:cs="Arial"/>
        </w:rPr>
        <w:t>.</w:t>
      </w:r>
      <w:r w:rsidR="00F41478">
        <w:rPr>
          <w:rFonts w:cs="Arial"/>
        </w:rPr>
        <w:t xml:space="preserve"> </w:t>
      </w:r>
    </w:p>
    <w:p w:rsidR="00C22261" w:rsidRDefault="00C22261" w:rsidP="00C61D43">
      <w:pPr>
        <w:jc w:val="both"/>
        <w:rPr>
          <w:rFonts w:cs="Arial"/>
        </w:rPr>
      </w:pPr>
    </w:p>
    <w:p w:rsidR="004A7F21" w:rsidRDefault="004A7F21" w:rsidP="00C61D43">
      <w:pPr>
        <w:jc w:val="both"/>
        <w:rPr>
          <w:rFonts w:cs="Arial"/>
        </w:rPr>
      </w:pPr>
      <w:r>
        <w:rPr>
          <w:rFonts w:cs="Arial"/>
        </w:rPr>
        <w:t xml:space="preserve">On 19 October 2011, a </w:t>
      </w:r>
      <w:r w:rsidRPr="00FE60EC">
        <w:rPr>
          <w:rFonts w:cs="Arial"/>
          <w:i/>
        </w:rPr>
        <w:t>Gazette</w:t>
      </w:r>
      <w:r>
        <w:rPr>
          <w:rFonts w:cs="Arial"/>
        </w:rPr>
        <w:t xml:space="preserve"> notice was published </w:t>
      </w:r>
      <w:r w:rsidR="00EF3974">
        <w:rPr>
          <w:rFonts w:cs="Arial"/>
        </w:rPr>
        <w:t xml:space="preserve">under section 33 of the Act </w:t>
      </w:r>
      <w:r>
        <w:rPr>
          <w:rFonts w:cs="Arial"/>
        </w:rPr>
        <w:t xml:space="preserve">setting out the ACMA’s intention to make a new frequency band plan, as per its proposal in the discussion paper and seeking public comments about the proposal. </w:t>
      </w:r>
    </w:p>
    <w:p w:rsidR="00F264C8" w:rsidRPr="00F264C8" w:rsidRDefault="00F264C8" w:rsidP="00C61D43">
      <w:pPr>
        <w:jc w:val="both"/>
        <w:rPr>
          <w:rFonts w:cs="Arial"/>
        </w:rPr>
      </w:pPr>
    </w:p>
    <w:p w:rsidR="00FC1BB6" w:rsidRDefault="00F264C8" w:rsidP="00C61D43">
      <w:pPr>
        <w:jc w:val="both"/>
        <w:rPr>
          <w:rFonts w:cs="Arial"/>
        </w:rPr>
      </w:pPr>
      <w:r w:rsidRPr="00F264C8">
        <w:rPr>
          <w:rFonts w:cs="Arial"/>
        </w:rPr>
        <w:t xml:space="preserve">Submissions to the consultation were due </w:t>
      </w:r>
      <w:r w:rsidR="0087783D">
        <w:rPr>
          <w:rFonts w:cs="Arial"/>
        </w:rPr>
        <w:t>by</w:t>
      </w:r>
      <w:r w:rsidRPr="00F264C8">
        <w:rPr>
          <w:rFonts w:cs="Arial"/>
        </w:rPr>
        <w:t xml:space="preserve"> </w:t>
      </w:r>
      <w:r w:rsidR="000C2C4E">
        <w:rPr>
          <w:rFonts w:cs="Arial"/>
        </w:rPr>
        <w:t>21</w:t>
      </w:r>
      <w:r w:rsidRPr="00F264C8">
        <w:rPr>
          <w:rFonts w:cs="Arial"/>
        </w:rPr>
        <w:t xml:space="preserve"> November 201</w:t>
      </w:r>
      <w:r w:rsidR="000C2C4E">
        <w:rPr>
          <w:rFonts w:cs="Arial"/>
        </w:rPr>
        <w:t xml:space="preserve">1. </w:t>
      </w:r>
      <w:r w:rsidR="008C6C8F" w:rsidRPr="007D3895">
        <w:rPr>
          <w:rFonts w:cs="Arial"/>
        </w:rPr>
        <w:t>Twe</w:t>
      </w:r>
      <w:r w:rsidR="000C2C4E">
        <w:rPr>
          <w:rFonts w:cs="Arial"/>
        </w:rPr>
        <w:t>lve</w:t>
      </w:r>
      <w:r w:rsidR="008C6C8F" w:rsidRPr="007D3895">
        <w:rPr>
          <w:rFonts w:cs="Arial"/>
        </w:rPr>
        <w:t xml:space="preserve"> responses were received</w:t>
      </w:r>
      <w:r w:rsidR="00967A51">
        <w:rPr>
          <w:rFonts w:cs="Arial"/>
        </w:rPr>
        <w:t>.</w:t>
      </w:r>
      <w:r w:rsidR="000C2C4E">
        <w:rPr>
          <w:rFonts w:cs="Arial"/>
        </w:rPr>
        <w:t xml:space="preserve"> </w:t>
      </w:r>
      <w:r w:rsidR="00161725">
        <w:rPr>
          <w:rFonts w:cs="Arial"/>
        </w:rPr>
        <w:t xml:space="preserve"> </w:t>
      </w:r>
      <w:r w:rsidRPr="00F264C8">
        <w:rPr>
          <w:rFonts w:cs="Arial"/>
        </w:rPr>
        <w:t>The</w:t>
      </w:r>
      <w:r w:rsidR="00161725">
        <w:rPr>
          <w:rFonts w:cs="Arial"/>
        </w:rPr>
        <w:t xml:space="preserve"> submissions</w:t>
      </w:r>
      <w:r w:rsidRPr="00F264C8">
        <w:rPr>
          <w:rFonts w:cs="Arial"/>
        </w:rPr>
        <w:t xml:space="preserve"> are available on the ACMA website</w:t>
      </w:r>
      <w:r w:rsidR="00967A51" w:rsidRPr="00967A51">
        <w:rPr>
          <w:rFonts w:cs="Arial"/>
        </w:rPr>
        <w:t xml:space="preserve"> </w:t>
      </w:r>
      <w:r w:rsidR="00967A51">
        <w:rPr>
          <w:rFonts w:cs="Arial"/>
        </w:rPr>
        <w:t xml:space="preserve">and </w:t>
      </w:r>
      <w:r w:rsidR="00967A51" w:rsidRPr="007D3895">
        <w:rPr>
          <w:rFonts w:cs="Arial"/>
        </w:rPr>
        <w:t>listed below</w:t>
      </w:r>
      <w:r w:rsidR="00967A51">
        <w:rPr>
          <w:rFonts w:cs="Arial"/>
        </w:rPr>
        <w:t>.</w:t>
      </w:r>
    </w:p>
    <w:p w:rsidR="00FC1BB6" w:rsidRDefault="00FC1BB6" w:rsidP="00C61D43">
      <w:pPr>
        <w:jc w:val="both"/>
        <w:rPr>
          <w:rFonts w:cs="Arial"/>
        </w:rPr>
      </w:pPr>
    </w:p>
    <w:p w:rsidR="00967A51" w:rsidRDefault="000C2C4E" w:rsidP="00C61D43">
      <w:pPr>
        <w:numPr>
          <w:ilvl w:val="0"/>
          <w:numId w:val="26"/>
        </w:numPr>
        <w:jc w:val="both"/>
        <w:rPr>
          <w:rFonts w:cs="Arial"/>
        </w:rPr>
      </w:pPr>
      <w:r>
        <w:rPr>
          <w:rFonts w:cs="Arial"/>
        </w:rPr>
        <w:t xml:space="preserve">Australian </w:t>
      </w:r>
      <w:r w:rsidR="00967A51">
        <w:rPr>
          <w:rFonts w:cs="Arial"/>
        </w:rPr>
        <w:t>Subscription and Television &amp; Radio Association (ASTRA)</w:t>
      </w:r>
    </w:p>
    <w:p w:rsidR="00967A51" w:rsidRDefault="00967A51" w:rsidP="00C61D43">
      <w:pPr>
        <w:numPr>
          <w:ilvl w:val="0"/>
          <w:numId w:val="26"/>
        </w:numPr>
        <w:jc w:val="both"/>
        <w:rPr>
          <w:rFonts w:cs="Arial"/>
        </w:rPr>
      </w:pPr>
      <w:r>
        <w:rPr>
          <w:rFonts w:cs="Arial"/>
        </w:rPr>
        <w:t>CSIRO</w:t>
      </w:r>
    </w:p>
    <w:p w:rsidR="00967A51" w:rsidRDefault="00967A51" w:rsidP="00C61D43">
      <w:pPr>
        <w:numPr>
          <w:ilvl w:val="0"/>
          <w:numId w:val="26"/>
        </w:numPr>
        <w:jc w:val="both"/>
        <w:rPr>
          <w:rFonts w:cs="Arial"/>
        </w:rPr>
      </w:pPr>
      <w:r>
        <w:rPr>
          <w:rFonts w:cs="Arial"/>
        </w:rPr>
        <w:t>Department of Defence</w:t>
      </w:r>
    </w:p>
    <w:p w:rsidR="00967A51" w:rsidRDefault="00967A51" w:rsidP="00C61D43">
      <w:pPr>
        <w:numPr>
          <w:ilvl w:val="0"/>
          <w:numId w:val="26"/>
        </w:numPr>
        <w:jc w:val="both"/>
        <w:rPr>
          <w:rFonts w:cs="Arial"/>
        </w:rPr>
      </w:pPr>
      <w:r>
        <w:rPr>
          <w:rFonts w:cs="Arial"/>
        </w:rPr>
        <w:t>Esso Australia</w:t>
      </w:r>
    </w:p>
    <w:p w:rsidR="00967A51" w:rsidRDefault="00967A51" w:rsidP="00C61D43">
      <w:pPr>
        <w:numPr>
          <w:ilvl w:val="0"/>
          <w:numId w:val="26"/>
        </w:numPr>
        <w:jc w:val="both"/>
        <w:rPr>
          <w:rFonts w:cs="Arial"/>
        </w:rPr>
      </w:pPr>
      <w:r>
        <w:rPr>
          <w:rFonts w:cs="Arial"/>
        </w:rPr>
        <w:t>European Space Agency</w:t>
      </w:r>
    </w:p>
    <w:p w:rsidR="00967A51" w:rsidRDefault="00967A51" w:rsidP="00C61D43">
      <w:pPr>
        <w:numPr>
          <w:ilvl w:val="0"/>
          <w:numId w:val="26"/>
        </w:numPr>
        <w:jc w:val="both"/>
        <w:rPr>
          <w:rFonts w:cs="Arial"/>
        </w:rPr>
      </w:pPr>
      <w:r>
        <w:rPr>
          <w:rFonts w:cs="Arial"/>
        </w:rPr>
        <w:t>FOXTEL</w:t>
      </w:r>
    </w:p>
    <w:p w:rsidR="00967A51" w:rsidRDefault="00967A51" w:rsidP="00C61D43">
      <w:pPr>
        <w:numPr>
          <w:ilvl w:val="0"/>
          <w:numId w:val="26"/>
        </w:numPr>
        <w:jc w:val="both"/>
        <w:rPr>
          <w:rFonts w:cs="Arial"/>
        </w:rPr>
      </w:pPr>
      <w:r>
        <w:rPr>
          <w:rFonts w:cs="Arial"/>
        </w:rPr>
        <w:t>Free TV Australia</w:t>
      </w:r>
    </w:p>
    <w:p w:rsidR="00967A51" w:rsidRDefault="00967A51" w:rsidP="00C61D43">
      <w:pPr>
        <w:numPr>
          <w:ilvl w:val="0"/>
          <w:numId w:val="26"/>
        </w:numPr>
        <w:jc w:val="both"/>
        <w:rPr>
          <w:rFonts w:cs="Arial"/>
        </w:rPr>
      </w:pPr>
      <w:r>
        <w:rPr>
          <w:rFonts w:cs="Arial"/>
        </w:rPr>
        <w:t>Global VSAT Forum</w:t>
      </w:r>
    </w:p>
    <w:p w:rsidR="00967A51" w:rsidRDefault="00967A51" w:rsidP="00C61D43">
      <w:pPr>
        <w:numPr>
          <w:ilvl w:val="0"/>
          <w:numId w:val="26"/>
        </w:numPr>
        <w:jc w:val="both"/>
        <w:rPr>
          <w:rFonts w:cs="Arial"/>
        </w:rPr>
      </w:pPr>
      <w:r>
        <w:rPr>
          <w:rFonts w:cs="Arial"/>
        </w:rPr>
        <w:t>Inmarsat</w:t>
      </w:r>
    </w:p>
    <w:p w:rsidR="00967A51" w:rsidRDefault="00967A51" w:rsidP="00C61D43">
      <w:pPr>
        <w:numPr>
          <w:ilvl w:val="0"/>
          <w:numId w:val="26"/>
        </w:numPr>
        <w:jc w:val="both"/>
        <w:rPr>
          <w:rFonts w:cs="Arial"/>
        </w:rPr>
      </w:pPr>
      <w:r>
        <w:rPr>
          <w:rFonts w:cs="Arial"/>
        </w:rPr>
        <w:t>Sirion Global Pty Ltd</w:t>
      </w:r>
    </w:p>
    <w:p w:rsidR="00967A51" w:rsidRDefault="00967A51" w:rsidP="00C61D43">
      <w:pPr>
        <w:numPr>
          <w:ilvl w:val="0"/>
          <w:numId w:val="26"/>
        </w:numPr>
        <w:jc w:val="both"/>
        <w:rPr>
          <w:rFonts w:cs="Arial"/>
        </w:rPr>
      </w:pPr>
      <w:r>
        <w:rPr>
          <w:rFonts w:cs="Arial"/>
        </w:rPr>
        <w:t>Telstra</w:t>
      </w:r>
    </w:p>
    <w:p w:rsidR="007161EC" w:rsidRPr="00B44E97" w:rsidRDefault="00967A51" w:rsidP="00C61D43">
      <w:pPr>
        <w:numPr>
          <w:ilvl w:val="0"/>
          <w:numId w:val="26"/>
        </w:numPr>
        <w:jc w:val="both"/>
        <w:rPr>
          <w:rFonts w:cs="Arial"/>
        </w:rPr>
      </w:pPr>
      <w:r>
        <w:rPr>
          <w:rFonts w:cs="Arial"/>
        </w:rPr>
        <w:t>Thuraya Telecommunications Company</w:t>
      </w:r>
      <w:r w:rsidR="000C2C4E">
        <w:rPr>
          <w:rFonts w:cs="Arial"/>
        </w:rPr>
        <w:t xml:space="preserve"> </w:t>
      </w:r>
    </w:p>
    <w:p w:rsidR="007161EC" w:rsidRDefault="007161EC" w:rsidP="00C61D43">
      <w:pPr>
        <w:jc w:val="both"/>
        <w:rPr>
          <w:rFonts w:cs="Arial"/>
        </w:rPr>
      </w:pPr>
    </w:p>
    <w:p w:rsidR="00FC1BB6" w:rsidRDefault="00FC1BB6" w:rsidP="00C61D43">
      <w:pPr>
        <w:jc w:val="both"/>
        <w:rPr>
          <w:rFonts w:cs="Arial"/>
        </w:rPr>
      </w:pPr>
    </w:p>
    <w:p w:rsidR="00FC1BB6" w:rsidRDefault="0082522A" w:rsidP="00C61D43">
      <w:pPr>
        <w:jc w:val="both"/>
        <w:rPr>
          <w:rFonts w:cs="Arial"/>
        </w:rPr>
      </w:pPr>
      <w:r>
        <w:rPr>
          <w:rFonts w:cs="Arial"/>
        </w:rPr>
        <w:t>Issues raised in submissions on the draft frequency band plan included</w:t>
      </w:r>
      <w:r w:rsidR="00FC1BB6">
        <w:rPr>
          <w:rFonts w:cs="Arial"/>
        </w:rPr>
        <w:t>:</w:t>
      </w:r>
    </w:p>
    <w:p w:rsidR="0082522A" w:rsidRPr="0082522A" w:rsidRDefault="00DF48C5" w:rsidP="00C61D43">
      <w:pPr>
        <w:pStyle w:val="ListBullet"/>
        <w:jc w:val="both"/>
        <w:rPr>
          <w:rFonts w:ascii="Arial" w:hAnsi="Arial" w:cs="Arial"/>
          <w:sz w:val="20"/>
          <w:szCs w:val="20"/>
        </w:rPr>
      </w:pPr>
      <w:r w:rsidRPr="00DF48C5">
        <w:rPr>
          <w:rFonts w:ascii="Arial" w:hAnsi="Arial" w:cs="Arial"/>
          <w:sz w:val="20"/>
          <w:szCs w:val="20"/>
        </w:rPr>
        <w:t>the impact of the introduction of TOB services on possible future mobile satellite services in bands 1980-2010 MHz and 2170-2200 MHz;</w:t>
      </w:r>
    </w:p>
    <w:p w:rsidR="0082522A" w:rsidRPr="0082522A" w:rsidRDefault="00DF48C5" w:rsidP="00C61D43">
      <w:pPr>
        <w:pStyle w:val="ListBullet"/>
        <w:jc w:val="both"/>
        <w:rPr>
          <w:rFonts w:ascii="Arial" w:hAnsi="Arial" w:cs="Arial"/>
          <w:sz w:val="20"/>
          <w:szCs w:val="20"/>
        </w:rPr>
      </w:pPr>
      <w:r w:rsidRPr="00DF48C5">
        <w:rPr>
          <w:rFonts w:ascii="Arial" w:hAnsi="Arial" w:cs="Arial"/>
          <w:sz w:val="20"/>
          <w:szCs w:val="20"/>
        </w:rPr>
        <w:t>the ability of fixed point-to-point licensees to meet clearance timelines and concerns about operation of fixed point-to-point links on a secondary basis.</w:t>
      </w:r>
    </w:p>
    <w:p w:rsidR="00FC1BB6" w:rsidRDefault="00FC1BB6" w:rsidP="00C61D43">
      <w:pPr>
        <w:jc w:val="both"/>
        <w:rPr>
          <w:rFonts w:cs="Arial"/>
        </w:rPr>
      </w:pPr>
    </w:p>
    <w:p w:rsidR="00FC1BB6" w:rsidRDefault="00FC1BB6" w:rsidP="00C61D43">
      <w:pPr>
        <w:jc w:val="both"/>
        <w:rPr>
          <w:rFonts w:cs="Arial"/>
        </w:rPr>
      </w:pPr>
    </w:p>
    <w:p w:rsidR="00123EEA" w:rsidRDefault="009F01D8" w:rsidP="00C61D43">
      <w:pPr>
        <w:jc w:val="both"/>
        <w:rPr>
          <w:rFonts w:cs="Arial"/>
        </w:rPr>
      </w:pPr>
      <w:r>
        <w:rPr>
          <w:rFonts w:cs="Arial"/>
        </w:rPr>
        <w:t>The</w:t>
      </w:r>
      <w:r w:rsidR="00FC1BB6" w:rsidRPr="00695E9A">
        <w:rPr>
          <w:rFonts w:cs="Arial"/>
        </w:rPr>
        <w:t xml:space="preserve"> ACMA </w:t>
      </w:r>
      <w:r>
        <w:rPr>
          <w:rFonts w:cs="Arial"/>
        </w:rPr>
        <w:t xml:space="preserve">has had regard to the comments received above in finalising </w:t>
      </w:r>
      <w:r w:rsidR="00695E9A">
        <w:rPr>
          <w:rFonts w:cs="Arial"/>
        </w:rPr>
        <w:t>the</w:t>
      </w:r>
      <w:r w:rsidR="00FC1BB6" w:rsidRPr="00695E9A">
        <w:rPr>
          <w:rFonts w:cs="Arial"/>
        </w:rPr>
        <w:t xml:space="preserve"> </w:t>
      </w:r>
      <w:r w:rsidR="00695E9A" w:rsidRPr="00695E9A">
        <w:rPr>
          <w:rFonts w:cs="Arial"/>
        </w:rPr>
        <w:t>Frequency Band Plan.</w:t>
      </w:r>
      <w:r w:rsidR="00123EEA">
        <w:rPr>
          <w:rFonts w:cs="Arial"/>
        </w:rPr>
        <w:t xml:space="preserve"> </w:t>
      </w:r>
    </w:p>
    <w:p w:rsidR="007161EC" w:rsidRDefault="007161EC" w:rsidP="00C61D43">
      <w:pPr>
        <w:jc w:val="both"/>
        <w:rPr>
          <w:rFonts w:cs="Arial"/>
        </w:rPr>
      </w:pPr>
    </w:p>
    <w:p w:rsidR="00141D1B" w:rsidRDefault="00141D1B" w:rsidP="00C61D43">
      <w:pPr>
        <w:pStyle w:val="ACMANumberedList"/>
        <w:keepNext/>
        <w:numPr>
          <w:ilvl w:val="0"/>
          <w:numId w:val="0"/>
        </w:numPr>
        <w:jc w:val="both"/>
        <w:rPr>
          <w:rFonts w:ascii="Arial" w:hAnsi="Arial" w:cs="Arial"/>
          <w:b/>
          <w:color w:val="262626"/>
          <w:sz w:val="20"/>
        </w:rPr>
      </w:pPr>
      <w:r w:rsidRPr="00695E9A">
        <w:rPr>
          <w:rFonts w:ascii="Arial" w:hAnsi="Arial" w:cs="Arial"/>
          <w:b/>
          <w:color w:val="262626"/>
          <w:sz w:val="20"/>
        </w:rPr>
        <w:t>Regulatory Impact</w:t>
      </w:r>
      <w:r w:rsidR="00695E9A">
        <w:rPr>
          <w:rFonts w:ascii="Arial" w:hAnsi="Arial" w:cs="Arial"/>
          <w:b/>
          <w:color w:val="262626"/>
          <w:sz w:val="20"/>
        </w:rPr>
        <w:t xml:space="preserve"> Analysis</w:t>
      </w:r>
    </w:p>
    <w:p w:rsidR="00221A86" w:rsidRDefault="00465605" w:rsidP="00C61D43">
      <w:pPr>
        <w:spacing w:before="72" w:after="150"/>
        <w:jc w:val="both"/>
        <w:rPr>
          <w:rFonts w:cs="Arial"/>
        </w:rPr>
      </w:pPr>
      <w:r>
        <w:rPr>
          <w:color w:val="000000"/>
        </w:rPr>
        <w:t xml:space="preserve">A regulatory impact statement </w:t>
      </w:r>
      <w:r w:rsidR="00C839D4">
        <w:rPr>
          <w:color w:val="000000"/>
        </w:rPr>
        <w:t>entitled “</w:t>
      </w:r>
      <w:r>
        <w:rPr>
          <w:color w:val="000000"/>
        </w:rPr>
        <w:t>Future arrangements for the 2.5 GHz radiofrequency spectrum band and long-term arrangements for electronic news gathering Regulation Impact Statement – Australian Communications and Media Authority (ACMA)” has been prepared and approved by the Office of Best Practice Regulation (OBPR).  The OBPR reference number is 11300.</w:t>
      </w:r>
    </w:p>
    <w:p w:rsidR="00F647E3" w:rsidRDefault="00C839D4" w:rsidP="00C61D43">
      <w:pPr>
        <w:keepNext/>
        <w:spacing w:before="20" w:after="20"/>
        <w:contextualSpacing/>
        <w:jc w:val="both"/>
        <w:rPr>
          <w:rFonts w:cs="Arial"/>
          <w:b/>
        </w:rPr>
      </w:pPr>
      <w:r w:rsidRPr="007B2D8C">
        <w:rPr>
          <w:rFonts w:cs="Arial"/>
          <w:b/>
        </w:rPr>
        <w:lastRenderedPageBreak/>
        <w:t>Statement of Compatibility with Human Rights</w:t>
      </w:r>
    </w:p>
    <w:p w:rsidR="00F647E3" w:rsidRDefault="00221A86" w:rsidP="00C61D43">
      <w:pPr>
        <w:keepNext/>
        <w:spacing w:before="72" w:after="150"/>
        <w:jc w:val="both"/>
        <w:rPr>
          <w:rFonts w:cs="Arial"/>
        </w:rPr>
      </w:pPr>
      <w:r>
        <w:rPr>
          <w:rFonts w:cs="Arial"/>
        </w:rPr>
        <w:t xml:space="preserve">The Statement of Compatibility with Human Rights has been prepared in accordance with Part 3 of </w:t>
      </w:r>
      <w:r w:rsidRPr="00862675">
        <w:rPr>
          <w:rFonts w:cs="Arial"/>
          <w:i/>
        </w:rPr>
        <w:t>the Human Rights (Parliamentary Scrutiny) A</w:t>
      </w:r>
      <w:r w:rsidR="004A4C4E">
        <w:rPr>
          <w:rFonts w:cs="Arial"/>
          <w:i/>
        </w:rPr>
        <w:t>ct</w:t>
      </w:r>
      <w:r w:rsidRPr="00862675">
        <w:rPr>
          <w:rFonts w:cs="Arial"/>
          <w:i/>
        </w:rPr>
        <w:t xml:space="preserve"> 2011</w:t>
      </w:r>
      <w:r>
        <w:rPr>
          <w:rFonts w:cs="Arial"/>
        </w:rPr>
        <w:t>. This Frequency Band Plan is compatible with human rights and it does not raise any human right</w:t>
      </w:r>
      <w:r w:rsidR="000E3098">
        <w:rPr>
          <w:rFonts w:cs="Arial"/>
        </w:rPr>
        <w:t>s</w:t>
      </w:r>
      <w:r>
        <w:rPr>
          <w:rFonts w:cs="Arial"/>
        </w:rPr>
        <w:t xml:space="preserve"> issues.  </w:t>
      </w:r>
    </w:p>
    <w:p w:rsidR="005B787B" w:rsidRPr="005B787B" w:rsidRDefault="00CD0BF7" w:rsidP="00C61D43">
      <w:pPr>
        <w:spacing w:before="240" w:after="120" w:line="280" w:lineRule="atLeast"/>
        <w:jc w:val="both"/>
        <w:rPr>
          <w:rFonts w:cs="Arial"/>
          <w:b/>
          <w:color w:val="262626"/>
        </w:rPr>
      </w:pPr>
      <w:r>
        <w:rPr>
          <w:rFonts w:cs="Arial"/>
          <w:b/>
          <w:color w:val="262626"/>
        </w:rPr>
        <w:t xml:space="preserve">Band Plan </w:t>
      </w:r>
      <w:r w:rsidR="005B787B" w:rsidRPr="005B787B">
        <w:rPr>
          <w:rFonts w:cs="Arial"/>
          <w:b/>
          <w:color w:val="262626"/>
        </w:rPr>
        <w:t>Details</w:t>
      </w:r>
    </w:p>
    <w:p w:rsidR="005B787B" w:rsidRPr="005B787B" w:rsidRDefault="00B633E4" w:rsidP="00C61D43">
      <w:pPr>
        <w:spacing w:before="80" w:after="120" w:line="280" w:lineRule="atLeast"/>
        <w:jc w:val="both"/>
        <w:rPr>
          <w:rFonts w:cs="Arial"/>
          <w:color w:val="262626"/>
        </w:rPr>
      </w:pPr>
      <w:r>
        <w:rPr>
          <w:rFonts w:cs="Arial"/>
          <w:color w:val="262626"/>
        </w:rPr>
        <w:t xml:space="preserve">Further </w:t>
      </w:r>
      <w:r w:rsidR="00EF3974">
        <w:rPr>
          <w:rFonts w:cs="Arial"/>
          <w:color w:val="262626"/>
        </w:rPr>
        <w:t xml:space="preserve">and more specific </w:t>
      </w:r>
      <w:r>
        <w:rPr>
          <w:rFonts w:cs="Arial"/>
          <w:color w:val="262626"/>
        </w:rPr>
        <w:t>d</w:t>
      </w:r>
      <w:r w:rsidR="005B787B" w:rsidRPr="005B787B">
        <w:rPr>
          <w:rFonts w:cs="Arial"/>
          <w:color w:val="262626"/>
        </w:rPr>
        <w:t>etails of the</w:t>
      </w:r>
      <w:r w:rsidR="00EF3974">
        <w:rPr>
          <w:rFonts w:cs="Arial"/>
          <w:color w:val="262626"/>
        </w:rPr>
        <w:t xml:space="preserve"> provisions of the</w:t>
      </w:r>
      <w:r w:rsidR="005B787B" w:rsidRPr="005B787B">
        <w:rPr>
          <w:rFonts w:cs="Arial"/>
          <w:color w:val="262626"/>
        </w:rPr>
        <w:t xml:space="preserve"> </w:t>
      </w:r>
      <w:r w:rsidR="00EF3974">
        <w:rPr>
          <w:rFonts w:cs="Arial"/>
          <w:color w:val="262626"/>
        </w:rPr>
        <w:t xml:space="preserve">Frequency </w:t>
      </w:r>
      <w:r w:rsidR="00CD0BF7">
        <w:rPr>
          <w:rFonts w:cs="Arial"/>
          <w:color w:val="262626"/>
        </w:rPr>
        <w:t>Band Plan</w:t>
      </w:r>
      <w:r w:rsidR="005B787B" w:rsidRPr="005B787B">
        <w:rPr>
          <w:rFonts w:cs="Arial"/>
          <w:color w:val="262626"/>
        </w:rPr>
        <w:t xml:space="preserve"> are provided </w:t>
      </w:r>
      <w:r w:rsidR="008C6C8F">
        <w:rPr>
          <w:rFonts w:cs="Arial"/>
          <w:color w:val="262626"/>
        </w:rPr>
        <w:t>in</w:t>
      </w:r>
      <w:r w:rsidR="008C6C8F" w:rsidRPr="005B787B">
        <w:rPr>
          <w:rFonts w:cs="Arial"/>
          <w:color w:val="262626"/>
        </w:rPr>
        <w:t xml:space="preserve"> </w:t>
      </w:r>
      <w:r w:rsidR="005B787B" w:rsidRPr="005B787B">
        <w:rPr>
          <w:rFonts w:cs="Arial"/>
          <w:color w:val="262626"/>
        </w:rPr>
        <w:t xml:space="preserve">the </w:t>
      </w:r>
      <w:r w:rsidR="00EF3974">
        <w:rPr>
          <w:rFonts w:cs="Arial"/>
          <w:color w:val="262626"/>
        </w:rPr>
        <w:t>Schedule</w:t>
      </w:r>
      <w:r w:rsidR="005B787B" w:rsidRPr="005B787B">
        <w:rPr>
          <w:rFonts w:cs="Arial"/>
          <w:color w:val="262626"/>
        </w:rPr>
        <w:t>.</w:t>
      </w:r>
    </w:p>
    <w:p w:rsidR="00AE3BEE" w:rsidRDefault="00C63C44" w:rsidP="00C61D43">
      <w:pPr>
        <w:jc w:val="both"/>
        <w:rPr>
          <w:rFonts w:cs="Arial"/>
          <w:b/>
        </w:rPr>
      </w:pPr>
      <w:r w:rsidRPr="00E818EB">
        <w:rPr>
          <w:rFonts w:cs="Arial"/>
        </w:rPr>
        <w:br w:type="page"/>
      </w:r>
      <w:r w:rsidR="00EF3974">
        <w:rPr>
          <w:rFonts w:cs="Arial"/>
          <w:b/>
        </w:rPr>
        <w:t>SCHEDULE</w:t>
      </w:r>
    </w:p>
    <w:p w:rsidR="00C63C44" w:rsidRPr="00E818EB" w:rsidRDefault="00C63C44" w:rsidP="00C63C44">
      <w:pPr>
        <w:rPr>
          <w:rFonts w:cs="Arial"/>
          <w:b/>
        </w:rPr>
      </w:pPr>
    </w:p>
    <w:p w:rsidR="00C63C44" w:rsidRPr="00E818EB" w:rsidRDefault="00C63C44" w:rsidP="00C63C44">
      <w:pPr>
        <w:rPr>
          <w:rFonts w:cs="Arial"/>
          <w:b/>
        </w:rPr>
      </w:pPr>
      <w:r w:rsidRPr="00E818EB">
        <w:rPr>
          <w:rFonts w:cs="Arial"/>
          <w:b/>
        </w:rPr>
        <w:t>N</w:t>
      </w:r>
      <w:r w:rsidR="005B787B">
        <w:rPr>
          <w:rFonts w:cs="Arial"/>
          <w:b/>
        </w:rPr>
        <w:t>OTES ON SECTIONS</w:t>
      </w:r>
    </w:p>
    <w:p w:rsidR="00C63C44" w:rsidRPr="00E818EB" w:rsidRDefault="00C63C44" w:rsidP="00C63C44">
      <w:pPr>
        <w:rPr>
          <w:rFonts w:cs="Arial"/>
          <w:b/>
        </w:rPr>
      </w:pPr>
    </w:p>
    <w:p w:rsidR="00C63C44" w:rsidRPr="00BF4F62" w:rsidRDefault="00CE4A8A" w:rsidP="00C61D43">
      <w:pPr>
        <w:pStyle w:val="Heading2"/>
        <w:jc w:val="both"/>
        <w:rPr>
          <w:i w:val="0"/>
          <w:sz w:val="20"/>
        </w:rPr>
      </w:pPr>
      <w:bookmarkStart w:id="0" w:name="_Toc78106018"/>
      <w:r w:rsidRPr="00EA4BE7">
        <w:rPr>
          <w:i w:val="0"/>
          <w:sz w:val="20"/>
        </w:rPr>
        <w:t>Section 1</w:t>
      </w:r>
      <w:r w:rsidRPr="00EA4BE7">
        <w:rPr>
          <w:i w:val="0"/>
          <w:sz w:val="20"/>
        </w:rPr>
        <w:tab/>
      </w:r>
      <w:r w:rsidRPr="00EA4BE7">
        <w:rPr>
          <w:i w:val="0"/>
          <w:sz w:val="20"/>
        </w:rPr>
        <w:tab/>
      </w:r>
      <w:r w:rsidR="00C63C44" w:rsidRPr="00EA4BE7">
        <w:rPr>
          <w:i w:val="0"/>
          <w:sz w:val="20"/>
        </w:rPr>
        <w:t xml:space="preserve">Name of </w:t>
      </w:r>
      <w:bookmarkEnd w:id="0"/>
      <w:r w:rsidR="00EF3974">
        <w:rPr>
          <w:i w:val="0"/>
          <w:sz w:val="20"/>
        </w:rPr>
        <w:t xml:space="preserve">Frequency </w:t>
      </w:r>
      <w:r w:rsidR="00CD0BF7" w:rsidRPr="00EA4BE7">
        <w:rPr>
          <w:i w:val="0"/>
          <w:sz w:val="20"/>
        </w:rPr>
        <w:t>Band Plan</w:t>
      </w:r>
    </w:p>
    <w:p w:rsidR="00C63C44" w:rsidRPr="00E818EB" w:rsidRDefault="00C63C44" w:rsidP="00C61D43">
      <w:pPr>
        <w:jc w:val="both"/>
        <w:rPr>
          <w:rFonts w:cs="Arial"/>
        </w:rPr>
      </w:pPr>
      <w:r w:rsidRPr="00E818EB">
        <w:rPr>
          <w:rFonts w:cs="Arial"/>
        </w:rPr>
        <w:t xml:space="preserve">Section 1 provides the name of the </w:t>
      </w:r>
      <w:r w:rsidR="00EF3974">
        <w:rPr>
          <w:rFonts w:cs="Arial"/>
        </w:rPr>
        <w:t>Frequency Band Plan</w:t>
      </w:r>
      <w:r w:rsidRPr="00E818EB">
        <w:rPr>
          <w:rFonts w:cs="Arial"/>
        </w:rPr>
        <w:t>.</w:t>
      </w:r>
    </w:p>
    <w:p w:rsidR="00C63C44" w:rsidRPr="00BF4F62" w:rsidRDefault="00C63C44" w:rsidP="00C61D43">
      <w:pPr>
        <w:pStyle w:val="Heading2"/>
        <w:jc w:val="both"/>
        <w:rPr>
          <w:i w:val="0"/>
          <w:sz w:val="20"/>
        </w:rPr>
      </w:pPr>
      <w:bookmarkStart w:id="1" w:name="_Toc78106019"/>
      <w:r w:rsidRPr="00EA4BE7">
        <w:rPr>
          <w:i w:val="0"/>
          <w:sz w:val="20"/>
        </w:rPr>
        <w:t>Section 2</w:t>
      </w:r>
      <w:r w:rsidR="00CE4A8A" w:rsidRPr="00EA4BE7">
        <w:rPr>
          <w:rStyle w:val="CharSectno"/>
          <w:i w:val="0"/>
          <w:sz w:val="20"/>
        </w:rPr>
        <w:tab/>
      </w:r>
      <w:r w:rsidR="00CE4A8A" w:rsidRPr="00EA4BE7">
        <w:rPr>
          <w:rStyle w:val="CharSectno"/>
          <w:i w:val="0"/>
          <w:sz w:val="20"/>
        </w:rPr>
        <w:tab/>
      </w:r>
      <w:r w:rsidRPr="00EA4BE7">
        <w:rPr>
          <w:i w:val="0"/>
          <w:sz w:val="20"/>
        </w:rPr>
        <w:t>Commencement</w:t>
      </w:r>
      <w:bookmarkEnd w:id="1"/>
    </w:p>
    <w:p w:rsidR="00C63C44" w:rsidRPr="00E818EB" w:rsidRDefault="00C63C44" w:rsidP="00C61D43">
      <w:pPr>
        <w:jc w:val="both"/>
        <w:rPr>
          <w:rFonts w:cs="Arial"/>
          <w:lang w:val="en-US"/>
        </w:rPr>
      </w:pPr>
      <w:r w:rsidRPr="00E818EB">
        <w:rPr>
          <w:rFonts w:cs="Arial"/>
          <w:lang w:val="en-US"/>
        </w:rPr>
        <w:t xml:space="preserve">Section 2 provides that the </w:t>
      </w:r>
      <w:r w:rsidR="00EF3974">
        <w:rPr>
          <w:rFonts w:cs="Arial"/>
          <w:lang w:val="en-US"/>
        </w:rPr>
        <w:t>Frequency Band Plan</w:t>
      </w:r>
      <w:r w:rsidRPr="00E818EB">
        <w:rPr>
          <w:rFonts w:cs="Arial"/>
          <w:lang w:val="en-US"/>
        </w:rPr>
        <w:t xml:space="preserve"> commences on the day after it is registered.</w:t>
      </w:r>
    </w:p>
    <w:p w:rsidR="00B65B13" w:rsidRDefault="00C63C44" w:rsidP="00C61D43">
      <w:pPr>
        <w:pStyle w:val="Heading2"/>
        <w:jc w:val="both"/>
        <w:rPr>
          <w:i w:val="0"/>
          <w:sz w:val="20"/>
        </w:rPr>
      </w:pPr>
      <w:bookmarkStart w:id="2" w:name="_Toc78106021"/>
      <w:r w:rsidRPr="00EA4BE7">
        <w:rPr>
          <w:i w:val="0"/>
          <w:sz w:val="20"/>
        </w:rPr>
        <w:t>Section 3</w:t>
      </w:r>
      <w:bookmarkEnd w:id="2"/>
      <w:r w:rsidR="00B65B13">
        <w:rPr>
          <w:i w:val="0"/>
          <w:sz w:val="20"/>
        </w:rPr>
        <w:tab/>
      </w:r>
      <w:r w:rsidR="00B65B13">
        <w:rPr>
          <w:i w:val="0"/>
          <w:sz w:val="20"/>
        </w:rPr>
        <w:tab/>
        <w:t>Revocation</w:t>
      </w:r>
      <w:r w:rsidR="00266A21">
        <w:rPr>
          <w:i w:val="0"/>
          <w:sz w:val="20"/>
        </w:rPr>
        <w:t>s</w:t>
      </w:r>
      <w:r w:rsidR="00B65B13">
        <w:rPr>
          <w:i w:val="0"/>
          <w:sz w:val="20"/>
        </w:rPr>
        <w:t xml:space="preserve"> </w:t>
      </w:r>
    </w:p>
    <w:p w:rsidR="00B65B13" w:rsidRPr="00B65B13" w:rsidRDefault="00B65B13" w:rsidP="00C61D43">
      <w:pPr>
        <w:jc w:val="both"/>
        <w:rPr>
          <w:lang w:eastAsia="en-AU" w:bidi="ar-SA"/>
        </w:rPr>
      </w:pPr>
      <w:r>
        <w:rPr>
          <w:lang w:eastAsia="en-AU" w:bidi="ar-SA"/>
        </w:rPr>
        <w:t xml:space="preserve">Section 3 </w:t>
      </w:r>
      <w:r w:rsidR="0041593D">
        <w:rPr>
          <w:lang w:eastAsia="en-AU" w:bidi="ar-SA"/>
        </w:rPr>
        <w:t>revokes</w:t>
      </w:r>
      <w:r w:rsidR="004A4C4E">
        <w:rPr>
          <w:lang w:eastAsia="en-AU" w:bidi="ar-SA"/>
        </w:rPr>
        <w:t xml:space="preserve"> the</w:t>
      </w:r>
      <w:r>
        <w:rPr>
          <w:lang w:eastAsia="en-AU" w:bidi="ar-SA"/>
        </w:rPr>
        <w:t xml:space="preserve"> </w:t>
      </w:r>
      <w:r w:rsidRPr="00B65B13">
        <w:rPr>
          <w:i/>
          <w:lang w:eastAsia="en-AU" w:bidi="ar-SA"/>
        </w:rPr>
        <w:t>Mobile-Satellite Service (2 GHz) Frequency Band Plan 200</w:t>
      </w:r>
      <w:r w:rsidR="0041593D">
        <w:rPr>
          <w:i/>
          <w:lang w:eastAsia="en-AU" w:bidi="ar-SA"/>
        </w:rPr>
        <w:t>2</w:t>
      </w:r>
      <w:r>
        <w:rPr>
          <w:lang w:eastAsia="en-AU" w:bidi="ar-SA"/>
        </w:rPr>
        <w:t xml:space="preserve"> and </w:t>
      </w:r>
      <w:r w:rsidR="00C146CA">
        <w:rPr>
          <w:lang w:eastAsia="en-AU" w:bidi="ar-SA"/>
        </w:rPr>
        <w:t xml:space="preserve">the </w:t>
      </w:r>
      <w:r w:rsidRPr="00B65B13">
        <w:rPr>
          <w:i/>
          <w:lang w:eastAsia="en-AU" w:bidi="ar-SA"/>
        </w:rPr>
        <w:t xml:space="preserve">2.1 GHz </w:t>
      </w:r>
      <w:r w:rsidR="00C146CA">
        <w:rPr>
          <w:i/>
          <w:lang w:eastAsia="en-AU" w:bidi="ar-SA"/>
        </w:rPr>
        <w:t xml:space="preserve">Band </w:t>
      </w:r>
      <w:r w:rsidRPr="00B65B13">
        <w:rPr>
          <w:i/>
          <w:lang w:eastAsia="en-AU" w:bidi="ar-SA"/>
        </w:rPr>
        <w:t>Frequency Band Plan 2002</w:t>
      </w:r>
      <w:r>
        <w:rPr>
          <w:lang w:eastAsia="en-AU" w:bidi="ar-SA"/>
        </w:rPr>
        <w:t xml:space="preserve">. </w:t>
      </w:r>
    </w:p>
    <w:p w:rsidR="00C85581" w:rsidRPr="00BF4F62" w:rsidRDefault="00C85581" w:rsidP="00C61D43">
      <w:pPr>
        <w:pStyle w:val="Heading2"/>
        <w:jc w:val="both"/>
        <w:rPr>
          <w:rStyle w:val="CharSectno"/>
          <w:i w:val="0"/>
          <w:sz w:val="20"/>
        </w:rPr>
      </w:pPr>
      <w:r w:rsidRPr="00EA4BE7">
        <w:rPr>
          <w:i w:val="0"/>
          <w:sz w:val="20"/>
        </w:rPr>
        <w:t>Section 4</w:t>
      </w:r>
      <w:r w:rsidRPr="00EA4BE7">
        <w:rPr>
          <w:rStyle w:val="CharSectno"/>
          <w:i w:val="0"/>
          <w:sz w:val="20"/>
        </w:rPr>
        <w:tab/>
      </w:r>
      <w:r w:rsidRPr="00EA4BE7">
        <w:rPr>
          <w:rStyle w:val="CharSectno"/>
          <w:i w:val="0"/>
          <w:sz w:val="20"/>
        </w:rPr>
        <w:tab/>
      </w:r>
      <w:r w:rsidR="00B65B13">
        <w:rPr>
          <w:i w:val="0"/>
          <w:sz w:val="20"/>
        </w:rPr>
        <w:t>Interpretation</w:t>
      </w:r>
    </w:p>
    <w:p w:rsidR="00C85581" w:rsidRDefault="00C85581" w:rsidP="00C61D43">
      <w:pPr>
        <w:jc w:val="both"/>
        <w:rPr>
          <w:rFonts w:cs="Arial"/>
          <w:lang w:val="en-US"/>
        </w:rPr>
      </w:pPr>
      <w:r w:rsidRPr="00C85581">
        <w:rPr>
          <w:rFonts w:cs="Arial"/>
          <w:lang w:val="en-US"/>
        </w:rPr>
        <w:t xml:space="preserve">Section </w:t>
      </w:r>
      <w:r>
        <w:rPr>
          <w:rFonts w:cs="Arial"/>
          <w:lang w:val="en-US"/>
        </w:rPr>
        <w:t>4</w:t>
      </w:r>
      <w:r w:rsidRPr="00C85581">
        <w:rPr>
          <w:rFonts w:cs="Arial"/>
          <w:lang w:val="en-US"/>
        </w:rPr>
        <w:t xml:space="preserve"> </w:t>
      </w:r>
      <w:r w:rsidR="00EF3974">
        <w:rPr>
          <w:rFonts w:cs="Arial"/>
          <w:lang w:val="en-US"/>
        </w:rPr>
        <w:t>defines</w:t>
      </w:r>
      <w:r>
        <w:rPr>
          <w:rFonts w:cs="Arial"/>
          <w:lang w:val="en-US"/>
        </w:rPr>
        <w:t xml:space="preserve"> terms used in the </w:t>
      </w:r>
      <w:r w:rsidR="00EF3974">
        <w:rPr>
          <w:rFonts w:cs="Arial"/>
          <w:lang w:val="en-US"/>
        </w:rPr>
        <w:t>Frequency Band Plan</w:t>
      </w:r>
      <w:r>
        <w:rPr>
          <w:rFonts w:cs="Arial"/>
          <w:lang w:val="en-US"/>
        </w:rPr>
        <w:t>.</w:t>
      </w:r>
    </w:p>
    <w:p w:rsidR="00701B7B" w:rsidRDefault="00701B7B" w:rsidP="00C61D43">
      <w:pPr>
        <w:jc w:val="both"/>
        <w:rPr>
          <w:rFonts w:cs="Arial"/>
          <w:lang w:val="en-US"/>
        </w:rPr>
      </w:pPr>
    </w:p>
    <w:p w:rsidR="00B65B13" w:rsidRDefault="00CE5AF9" w:rsidP="00C61D43">
      <w:pPr>
        <w:jc w:val="both"/>
        <w:rPr>
          <w:rFonts w:cs="Arial"/>
          <w:lang w:val="en-US"/>
        </w:rPr>
      </w:pPr>
      <w:r>
        <w:rPr>
          <w:rFonts w:cs="Arial"/>
          <w:lang w:val="en-US"/>
        </w:rPr>
        <w:t>The terms “earth</w:t>
      </w:r>
      <w:r w:rsidR="00A20BA7">
        <w:rPr>
          <w:rFonts w:cs="Arial"/>
          <w:lang w:val="en-US"/>
        </w:rPr>
        <w:t xml:space="preserve"> </w:t>
      </w:r>
      <w:r>
        <w:rPr>
          <w:rFonts w:cs="Arial"/>
          <w:lang w:val="en-US"/>
        </w:rPr>
        <w:t xml:space="preserve">receive station”, “earth station” and “television outside broadcast station” have the same meaning as in the </w:t>
      </w:r>
      <w:r w:rsidRPr="00CE5AF9">
        <w:rPr>
          <w:rFonts w:cs="Arial"/>
          <w:i/>
          <w:lang w:val="en-US"/>
        </w:rPr>
        <w:t>Radiocommunication</w:t>
      </w:r>
      <w:r w:rsidR="00266A21">
        <w:rPr>
          <w:rFonts w:cs="Arial"/>
          <w:i/>
          <w:lang w:val="en-US"/>
        </w:rPr>
        <w:t>s</w:t>
      </w:r>
      <w:r w:rsidRPr="00CE5AF9">
        <w:rPr>
          <w:rFonts w:cs="Arial"/>
          <w:i/>
          <w:lang w:val="en-US"/>
        </w:rPr>
        <w:t xml:space="preserve"> (Interpretation) Determination 2000</w:t>
      </w:r>
      <w:r>
        <w:rPr>
          <w:rFonts w:cs="Arial"/>
          <w:lang w:val="en-US"/>
        </w:rPr>
        <w:t>.</w:t>
      </w:r>
    </w:p>
    <w:p w:rsidR="00CE5AF9" w:rsidRDefault="00CE5AF9" w:rsidP="00C61D43">
      <w:pPr>
        <w:jc w:val="both"/>
        <w:rPr>
          <w:rFonts w:cs="Arial"/>
          <w:lang w:val="en-US"/>
        </w:rPr>
      </w:pPr>
    </w:p>
    <w:p w:rsidR="00CE5AF9" w:rsidRDefault="00CE5AF9" w:rsidP="00C61D43">
      <w:pPr>
        <w:jc w:val="both"/>
        <w:rPr>
          <w:rFonts w:cs="Arial"/>
          <w:lang w:val="en-US"/>
        </w:rPr>
      </w:pPr>
      <w:r>
        <w:rPr>
          <w:rFonts w:cs="Arial"/>
          <w:lang w:val="en-US"/>
        </w:rPr>
        <w:t>Section 4 also provides definition</w:t>
      </w:r>
      <w:r w:rsidR="009976A5">
        <w:rPr>
          <w:rFonts w:cs="Arial"/>
          <w:lang w:val="en-US"/>
        </w:rPr>
        <w:t>s</w:t>
      </w:r>
      <w:r>
        <w:rPr>
          <w:rFonts w:cs="Arial"/>
          <w:lang w:val="en-US"/>
        </w:rPr>
        <w:t xml:space="preserve"> for </w:t>
      </w:r>
      <w:r w:rsidR="0041593D">
        <w:rPr>
          <w:rFonts w:cs="Arial"/>
          <w:lang w:val="en-US"/>
        </w:rPr>
        <w:t>“</w:t>
      </w:r>
      <w:r w:rsidR="009976A5">
        <w:rPr>
          <w:rFonts w:cs="Arial"/>
          <w:lang w:val="en-US"/>
        </w:rPr>
        <w:t>a</w:t>
      </w:r>
      <w:r>
        <w:rPr>
          <w:rFonts w:cs="Arial"/>
          <w:lang w:val="en-US"/>
        </w:rPr>
        <w:t xml:space="preserve">irborne </w:t>
      </w:r>
      <w:r w:rsidR="009976A5">
        <w:rPr>
          <w:rFonts w:cs="Arial"/>
          <w:lang w:val="en-US"/>
        </w:rPr>
        <w:t xml:space="preserve">television outside </w:t>
      </w:r>
      <w:r w:rsidR="00796598">
        <w:rPr>
          <w:rFonts w:cs="Arial"/>
          <w:lang w:val="en-US"/>
        </w:rPr>
        <w:t xml:space="preserve">broadcast </w:t>
      </w:r>
      <w:r w:rsidR="000516D8">
        <w:rPr>
          <w:rFonts w:cs="Arial"/>
          <w:lang w:val="en-US"/>
        </w:rPr>
        <w:t>station</w:t>
      </w:r>
      <w:r w:rsidR="0041593D">
        <w:rPr>
          <w:rFonts w:cs="Arial"/>
          <w:lang w:val="en-US"/>
        </w:rPr>
        <w:t>”, “</w:t>
      </w:r>
      <w:r>
        <w:rPr>
          <w:rFonts w:cs="Arial"/>
          <w:lang w:val="en-US"/>
        </w:rPr>
        <w:t>television outside broadcast services</w:t>
      </w:r>
      <w:r w:rsidR="0041593D">
        <w:rPr>
          <w:rFonts w:cs="Arial"/>
          <w:lang w:val="en-US"/>
        </w:rPr>
        <w:t>”</w:t>
      </w:r>
      <w:r>
        <w:rPr>
          <w:rFonts w:cs="Arial"/>
          <w:lang w:val="en-US"/>
        </w:rPr>
        <w:t xml:space="preserve"> and </w:t>
      </w:r>
      <w:r w:rsidR="0041593D">
        <w:rPr>
          <w:rFonts w:cs="Arial"/>
          <w:lang w:val="en-US"/>
        </w:rPr>
        <w:t>“</w:t>
      </w:r>
      <w:r>
        <w:rPr>
          <w:rFonts w:cs="Arial"/>
          <w:lang w:val="en-US"/>
        </w:rPr>
        <w:t>Perth area</w:t>
      </w:r>
      <w:r w:rsidR="0041593D">
        <w:rPr>
          <w:rFonts w:cs="Arial"/>
          <w:lang w:val="en-US"/>
        </w:rPr>
        <w:t>”</w:t>
      </w:r>
      <w:r>
        <w:rPr>
          <w:rFonts w:cs="Arial"/>
          <w:lang w:val="en-US"/>
        </w:rPr>
        <w:t>.</w:t>
      </w:r>
    </w:p>
    <w:p w:rsidR="00CE5AF9" w:rsidRDefault="00CE5AF9" w:rsidP="00C61D43">
      <w:pPr>
        <w:jc w:val="both"/>
        <w:rPr>
          <w:rFonts w:cs="Arial"/>
          <w:lang w:val="en-US"/>
        </w:rPr>
      </w:pPr>
    </w:p>
    <w:p w:rsidR="00CE5AF9" w:rsidRDefault="0041593D" w:rsidP="00C61D43">
      <w:pPr>
        <w:jc w:val="both"/>
        <w:rPr>
          <w:rFonts w:cs="Arial"/>
          <w:lang w:val="en-US"/>
        </w:rPr>
      </w:pPr>
      <w:r>
        <w:rPr>
          <w:rFonts w:cs="Arial"/>
          <w:lang w:val="en-US"/>
        </w:rPr>
        <w:t xml:space="preserve">An </w:t>
      </w:r>
      <w:r w:rsidR="0019005B">
        <w:rPr>
          <w:rFonts w:cs="Arial"/>
          <w:lang w:val="en-US"/>
        </w:rPr>
        <w:t>a</w:t>
      </w:r>
      <w:r w:rsidR="00CE5AF9">
        <w:rPr>
          <w:rFonts w:cs="Arial"/>
          <w:lang w:val="en-US"/>
        </w:rPr>
        <w:t xml:space="preserve">irborne </w:t>
      </w:r>
      <w:r w:rsidR="009976A5">
        <w:rPr>
          <w:rFonts w:cs="Arial"/>
          <w:lang w:val="en-US"/>
        </w:rPr>
        <w:t>television outside broadcast</w:t>
      </w:r>
      <w:r w:rsidR="00CE5AF9">
        <w:rPr>
          <w:rFonts w:cs="Arial"/>
          <w:lang w:val="en-US"/>
        </w:rPr>
        <w:t xml:space="preserve"> </w:t>
      </w:r>
      <w:r w:rsidR="008549FD">
        <w:rPr>
          <w:rFonts w:cs="Arial"/>
          <w:lang w:val="en-US"/>
        </w:rPr>
        <w:t>station</w:t>
      </w:r>
      <w:r w:rsidR="00CE5AF9">
        <w:rPr>
          <w:rFonts w:cs="Arial"/>
          <w:lang w:val="en-US"/>
        </w:rPr>
        <w:t xml:space="preserve"> is defined as </w:t>
      </w:r>
      <w:r w:rsidR="00E10BF9">
        <w:rPr>
          <w:rFonts w:cs="Arial"/>
          <w:lang w:val="en-US"/>
        </w:rPr>
        <w:t xml:space="preserve">a </w:t>
      </w:r>
      <w:r w:rsidR="008549FD">
        <w:rPr>
          <w:rFonts w:cs="Arial"/>
          <w:lang w:val="en-US"/>
        </w:rPr>
        <w:t>television outside broadcast station</w:t>
      </w:r>
      <w:r w:rsidR="009976A5">
        <w:rPr>
          <w:rFonts w:cs="Arial"/>
          <w:lang w:val="en-US"/>
        </w:rPr>
        <w:t xml:space="preserve"> which is fixed onboard</w:t>
      </w:r>
      <w:r w:rsidR="00E10BF9">
        <w:rPr>
          <w:rFonts w:cs="Arial"/>
          <w:lang w:val="en-US"/>
        </w:rPr>
        <w:t xml:space="preserve"> </w:t>
      </w:r>
      <w:r w:rsidR="008549FD">
        <w:rPr>
          <w:rFonts w:cs="Arial"/>
          <w:lang w:val="en-US"/>
        </w:rPr>
        <w:t>an</w:t>
      </w:r>
      <w:r w:rsidR="00E10BF9">
        <w:rPr>
          <w:rFonts w:cs="Arial"/>
          <w:lang w:val="en-US"/>
        </w:rPr>
        <w:t xml:space="preserve"> </w:t>
      </w:r>
      <w:r w:rsidR="008549FD">
        <w:rPr>
          <w:rFonts w:cs="Arial"/>
          <w:lang w:val="en-US"/>
        </w:rPr>
        <w:t>aircraft.</w:t>
      </w:r>
    </w:p>
    <w:p w:rsidR="00CE5AF9" w:rsidRDefault="00CE5AF9" w:rsidP="00C61D43">
      <w:pPr>
        <w:jc w:val="both"/>
        <w:rPr>
          <w:rFonts w:cs="Arial"/>
          <w:lang w:val="en-US"/>
        </w:rPr>
      </w:pPr>
    </w:p>
    <w:p w:rsidR="00CE5AF9" w:rsidRDefault="0041593D" w:rsidP="00C61D43">
      <w:pPr>
        <w:jc w:val="both"/>
        <w:rPr>
          <w:rFonts w:cs="Arial"/>
          <w:lang w:val="en-US"/>
        </w:rPr>
      </w:pPr>
      <w:r>
        <w:rPr>
          <w:rFonts w:cs="Arial"/>
          <w:lang w:val="en-US"/>
        </w:rPr>
        <w:t>A t</w:t>
      </w:r>
      <w:r w:rsidR="00CE5AF9">
        <w:rPr>
          <w:rFonts w:cs="Arial"/>
          <w:lang w:val="en-US"/>
        </w:rPr>
        <w:t>elevision outside broadcast service is defined as a radiocommunication</w:t>
      </w:r>
      <w:r w:rsidR="00334D2E">
        <w:rPr>
          <w:rFonts w:cs="Arial"/>
          <w:lang w:val="en-US"/>
        </w:rPr>
        <w:t>s</w:t>
      </w:r>
      <w:r w:rsidR="00CE5AF9">
        <w:rPr>
          <w:rFonts w:cs="Arial"/>
          <w:lang w:val="en-US"/>
        </w:rPr>
        <w:t xml:space="preserve"> service that is provided by the operation of a television outside broadcast station.</w:t>
      </w:r>
    </w:p>
    <w:p w:rsidR="00CE5AF9" w:rsidRDefault="00CE5AF9" w:rsidP="00C61D43">
      <w:pPr>
        <w:jc w:val="both"/>
        <w:rPr>
          <w:rFonts w:cs="Arial"/>
          <w:lang w:val="en-US"/>
        </w:rPr>
      </w:pPr>
    </w:p>
    <w:p w:rsidR="001F682B" w:rsidRDefault="0041593D" w:rsidP="00C61D43">
      <w:pPr>
        <w:jc w:val="both"/>
        <w:rPr>
          <w:rFonts w:cs="Arial"/>
          <w:lang w:val="en-US"/>
        </w:rPr>
      </w:pPr>
      <w:r>
        <w:rPr>
          <w:rFonts w:cs="Arial"/>
          <w:lang w:val="en-US"/>
        </w:rPr>
        <w:t xml:space="preserve">The </w:t>
      </w:r>
      <w:r w:rsidR="001948B3">
        <w:rPr>
          <w:rFonts w:cs="Arial"/>
          <w:lang w:val="en-US"/>
        </w:rPr>
        <w:t xml:space="preserve">Perth area is defined as the geographic area described by a circle with a radius of 15 kilometers whose centre is located at latitude 31.802522 South and longitude 115.885160 East. </w:t>
      </w:r>
    </w:p>
    <w:p w:rsidR="00701B7B" w:rsidRDefault="00701B7B" w:rsidP="00C61D43">
      <w:pPr>
        <w:jc w:val="both"/>
        <w:rPr>
          <w:rFonts w:cs="Arial"/>
          <w:lang w:val="en-US"/>
        </w:rPr>
      </w:pPr>
    </w:p>
    <w:p w:rsidR="00334D2E" w:rsidRPr="00334D2E" w:rsidRDefault="00334D2E" w:rsidP="00C61D43">
      <w:pPr>
        <w:jc w:val="both"/>
        <w:rPr>
          <w:rFonts w:cs="Arial"/>
          <w:lang w:val="en-US"/>
        </w:rPr>
      </w:pPr>
      <w:r>
        <w:rPr>
          <w:rFonts w:cs="Arial"/>
          <w:lang w:val="en-US"/>
        </w:rPr>
        <w:t xml:space="preserve">The section also explains how the definitions in the </w:t>
      </w:r>
      <w:r>
        <w:rPr>
          <w:rFonts w:cs="Arial"/>
          <w:i/>
          <w:lang w:val="en-US"/>
        </w:rPr>
        <w:t>Radiocommunications (Interpretation) Determination 2000</w:t>
      </w:r>
      <w:r>
        <w:rPr>
          <w:rFonts w:cs="Arial"/>
          <w:lang w:val="en-US"/>
        </w:rPr>
        <w:t xml:space="preserve">, </w:t>
      </w:r>
      <w:r>
        <w:rPr>
          <w:rFonts w:cs="Arial"/>
          <w:i/>
          <w:lang w:val="en-US"/>
        </w:rPr>
        <w:t>Radiocommunication</w:t>
      </w:r>
      <w:r w:rsidR="004A4C4E">
        <w:rPr>
          <w:rFonts w:cs="Arial"/>
          <w:i/>
          <w:lang w:val="en-US"/>
        </w:rPr>
        <w:t>s</w:t>
      </w:r>
      <w:r>
        <w:rPr>
          <w:rFonts w:cs="Arial"/>
          <w:i/>
          <w:lang w:val="en-US"/>
        </w:rPr>
        <w:t xml:space="preserve"> Regulations 1993 </w:t>
      </w:r>
      <w:r>
        <w:rPr>
          <w:rFonts w:cs="Arial"/>
          <w:lang w:val="en-US"/>
        </w:rPr>
        <w:t xml:space="preserve">and the </w:t>
      </w:r>
      <w:r>
        <w:rPr>
          <w:rFonts w:cs="Arial"/>
          <w:i/>
          <w:lang w:val="en-US"/>
        </w:rPr>
        <w:t xml:space="preserve">Australian Radiofrequency Spectrum Plan 2009 </w:t>
      </w:r>
      <w:r>
        <w:rPr>
          <w:rFonts w:cs="Arial"/>
          <w:lang w:val="en-US"/>
        </w:rPr>
        <w:t>apply to the Frequency Band Plan, and deals with other minor matters of interpretation.</w:t>
      </w:r>
    </w:p>
    <w:p w:rsidR="00494EE5" w:rsidRDefault="00F47DDF" w:rsidP="00C61D43">
      <w:pPr>
        <w:pStyle w:val="Heading2"/>
        <w:jc w:val="both"/>
        <w:rPr>
          <w:i w:val="0"/>
          <w:sz w:val="20"/>
        </w:rPr>
      </w:pPr>
      <w:r w:rsidRPr="00EA4BE7">
        <w:rPr>
          <w:i w:val="0"/>
          <w:sz w:val="20"/>
        </w:rPr>
        <w:t>Section</w:t>
      </w:r>
      <w:r w:rsidR="00494EE5">
        <w:rPr>
          <w:i w:val="0"/>
          <w:sz w:val="20"/>
        </w:rPr>
        <w:t xml:space="preserve"> 5 </w:t>
      </w:r>
      <w:r w:rsidR="00494EE5">
        <w:rPr>
          <w:i w:val="0"/>
          <w:sz w:val="20"/>
        </w:rPr>
        <w:tab/>
        <w:t>Purpose of Frequency Band Plan</w:t>
      </w:r>
    </w:p>
    <w:p w:rsidR="00494EE5" w:rsidRDefault="00494EE5" w:rsidP="00C61D43">
      <w:pPr>
        <w:jc w:val="both"/>
        <w:rPr>
          <w:lang w:eastAsia="en-AU" w:bidi="ar-SA"/>
        </w:rPr>
      </w:pPr>
    </w:p>
    <w:p w:rsidR="00494EE5" w:rsidRPr="00494EE5" w:rsidRDefault="00494EE5" w:rsidP="00C61D43">
      <w:pPr>
        <w:jc w:val="both"/>
        <w:rPr>
          <w:lang w:eastAsia="en-AU" w:bidi="ar-SA"/>
        </w:rPr>
      </w:pPr>
      <w:r>
        <w:rPr>
          <w:lang w:eastAsia="en-AU" w:bidi="ar-SA"/>
        </w:rPr>
        <w:t xml:space="preserve">Section 5 </w:t>
      </w:r>
      <w:r w:rsidR="0082578E">
        <w:rPr>
          <w:lang w:eastAsia="en-AU" w:bidi="ar-SA"/>
        </w:rPr>
        <w:t>states</w:t>
      </w:r>
      <w:r>
        <w:rPr>
          <w:lang w:eastAsia="en-AU" w:bidi="ar-SA"/>
        </w:rPr>
        <w:t xml:space="preserve"> that the Frequency Band Plan make</w:t>
      </w:r>
      <w:r w:rsidR="0082578E">
        <w:rPr>
          <w:lang w:eastAsia="en-AU" w:bidi="ar-SA"/>
        </w:rPr>
        <w:t>s</w:t>
      </w:r>
      <w:r>
        <w:rPr>
          <w:lang w:eastAsia="en-AU" w:bidi="ar-SA"/>
        </w:rPr>
        <w:t xml:space="preserve"> provision for the purposes </w:t>
      </w:r>
      <w:r w:rsidR="0082578E">
        <w:rPr>
          <w:lang w:eastAsia="en-AU" w:bidi="ar-SA"/>
        </w:rPr>
        <w:t>for</w:t>
      </w:r>
      <w:r>
        <w:rPr>
          <w:lang w:eastAsia="en-AU" w:bidi="ar-SA"/>
        </w:rPr>
        <w:t xml:space="preserve"> which the 1980-2110 MHz and 2170-2300 MHz bands may be used. </w:t>
      </w:r>
    </w:p>
    <w:p w:rsidR="00F47DDF" w:rsidRPr="00BF4F62" w:rsidRDefault="00494EE5" w:rsidP="00C61D43">
      <w:pPr>
        <w:pStyle w:val="Heading2"/>
        <w:ind w:left="1440" w:hanging="1440"/>
        <w:jc w:val="both"/>
        <w:rPr>
          <w:rStyle w:val="CharSectno"/>
          <w:i w:val="0"/>
          <w:sz w:val="20"/>
        </w:rPr>
      </w:pPr>
      <w:r>
        <w:rPr>
          <w:i w:val="0"/>
          <w:sz w:val="20"/>
        </w:rPr>
        <w:t>Section 6</w:t>
      </w:r>
      <w:r w:rsidR="00F47DDF" w:rsidRPr="00EA4BE7">
        <w:rPr>
          <w:rStyle w:val="CharSectno"/>
          <w:i w:val="0"/>
          <w:sz w:val="20"/>
        </w:rPr>
        <w:tab/>
      </w:r>
      <w:r w:rsidR="00D40855">
        <w:rPr>
          <w:rStyle w:val="CharSectno"/>
          <w:i w:val="0"/>
          <w:sz w:val="20"/>
        </w:rPr>
        <w:t xml:space="preserve">Purpose for which the </w:t>
      </w:r>
      <w:r w:rsidR="00EF3974">
        <w:rPr>
          <w:rStyle w:val="CharSectno"/>
          <w:i w:val="0"/>
          <w:sz w:val="20"/>
        </w:rPr>
        <w:t>1980-2010</w:t>
      </w:r>
      <w:r w:rsidR="00D40855">
        <w:rPr>
          <w:rStyle w:val="CharSectno"/>
          <w:i w:val="0"/>
          <w:sz w:val="20"/>
        </w:rPr>
        <w:t xml:space="preserve"> MHz frequency band may be used – mobile satellite services (Earth-to-space)</w:t>
      </w:r>
      <w:r w:rsidR="00F47DDF" w:rsidRPr="00EA4BE7">
        <w:rPr>
          <w:i w:val="0"/>
          <w:sz w:val="20"/>
        </w:rPr>
        <w:t xml:space="preserve"> </w:t>
      </w:r>
    </w:p>
    <w:p w:rsidR="00F47DDF" w:rsidRDefault="00F47DDF" w:rsidP="00C61D43">
      <w:pPr>
        <w:jc w:val="both"/>
        <w:rPr>
          <w:rFonts w:cs="Arial"/>
          <w:lang w:val="en-US"/>
        </w:rPr>
      </w:pPr>
      <w:r w:rsidRPr="00C85581">
        <w:rPr>
          <w:rFonts w:cs="Arial"/>
          <w:lang w:val="en-US"/>
        </w:rPr>
        <w:t xml:space="preserve">Section </w:t>
      </w:r>
      <w:r w:rsidR="00D40855">
        <w:rPr>
          <w:rFonts w:cs="Arial"/>
          <w:lang w:val="en-US"/>
        </w:rPr>
        <w:t>6</w:t>
      </w:r>
      <w:r>
        <w:rPr>
          <w:rFonts w:cs="Arial"/>
          <w:lang w:val="en-US"/>
        </w:rPr>
        <w:t xml:space="preserve"> </w:t>
      </w:r>
      <w:r w:rsidR="0082578E">
        <w:rPr>
          <w:rFonts w:cs="Arial"/>
          <w:lang w:val="en-US"/>
        </w:rPr>
        <w:t>specifies</w:t>
      </w:r>
      <w:r>
        <w:rPr>
          <w:rFonts w:cs="Arial"/>
          <w:lang w:val="en-US"/>
        </w:rPr>
        <w:t xml:space="preserve"> that </w:t>
      </w:r>
      <w:r w:rsidR="00D40855">
        <w:rPr>
          <w:rFonts w:cs="Arial"/>
          <w:lang w:val="en-US"/>
        </w:rPr>
        <w:t xml:space="preserve">the </w:t>
      </w:r>
      <w:r w:rsidR="00EF3974">
        <w:rPr>
          <w:rFonts w:cs="Arial"/>
          <w:lang w:val="en-US"/>
        </w:rPr>
        <w:t>1980-2010</w:t>
      </w:r>
      <w:r>
        <w:rPr>
          <w:rFonts w:cs="Arial"/>
          <w:lang w:val="en-US"/>
        </w:rPr>
        <w:t xml:space="preserve"> frequency band</w:t>
      </w:r>
      <w:r w:rsidR="00D40855">
        <w:rPr>
          <w:rFonts w:cs="Arial"/>
          <w:lang w:val="en-US"/>
        </w:rPr>
        <w:t xml:space="preserve"> </w:t>
      </w:r>
      <w:r>
        <w:rPr>
          <w:rFonts w:cs="Arial"/>
          <w:lang w:val="en-US"/>
        </w:rPr>
        <w:t>may be used for</w:t>
      </w:r>
      <w:r w:rsidR="00D40855">
        <w:rPr>
          <w:rFonts w:cs="Arial"/>
          <w:lang w:val="en-US"/>
        </w:rPr>
        <w:t xml:space="preserve"> mobile-satellite services (</w:t>
      </w:r>
      <w:r w:rsidR="0091089F">
        <w:rPr>
          <w:rFonts w:cs="Arial"/>
          <w:lang w:val="en-US"/>
        </w:rPr>
        <w:t>E</w:t>
      </w:r>
      <w:r w:rsidR="00D40855">
        <w:rPr>
          <w:rFonts w:cs="Arial"/>
          <w:lang w:val="en-US"/>
        </w:rPr>
        <w:t>arth-to-space).</w:t>
      </w:r>
    </w:p>
    <w:p w:rsidR="00D40855" w:rsidRDefault="00D40855" w:rsidP="00C61D43">
      <w:pPr>
        <w:jc w:val="both"/>
        <w:rPr>
          <w:rFonts w:cs="Arial"/>
          <w:lang w:val="en-US"/>
        </w:rPr>
      </w:pPr>
    </w:p>
    <w:p w:rsidR="0091089F" w:rsidRPr="00BF4F62" w:rsidRDefault="0091089F" w:rsidP="00C61D43">
      <w:pPr>
        <w:pStyle w:val="Heading2"/>
        <w:ind w:left="1440" w:hanging="1440"/>
        <w:jc w:val="both"/>
        <w:rPr>
          <w:rStyle w:val="CharSectno"/>
          <w:i w:val="0"/>
          <w:sz w:val="20"/>
        </w:rPr>
      </w:pPr>
      <w:r>
        <w:rPr>
          <w:i w:val="0"/>
          <w:sz w:val="20"/>
        </w:rPr>
        <w:t>Section 7</w:t>
      </w:r>
      <w:r w:rsidRPr="00EA4BE7">
        <w:rPr>
          <w:rStyle w:val="CharSectno"/>
          <w:i w:val="0"/>
          <w:sz w:val="20"/>
        </w:rPr>
        <w:tab/>
      </w:r>
      <w:r>
        <w:rPr>
          <w:rStyle w:val="CharSectno"/>
          <w:i w:val="0"/>
          <w:sz w:val="20"/>
        </w:rPr>
        <w:t>Purpose for which the 2170-2200 MHz frequency band may be used – mobile satellite services (space-to-Earth)</w:t>
      </w:r>
      <w:r w:rsidRPr="00EA4BE7">
        <w:rPr>
          <w:i w:val="0"/>
          <w:sz w:val="20"/>
        </w:rPr>
        <w:t xml:space="preserve"> </w:t>
      </w:r>
    </w:p>
    <w:p w:rsidR="0091089F" w:rsidRDefault="0091089F" w:rsidP="00C61D43">
      <w:pPr>
        <w:jc w:val="both"/>
        <w:rPr>
          <w:rFonts w:cs="Arial"/>
          <w:lang w:val="en-US"/>
        </w:rPr>
      </w:pPr>
      <w:r w:rsidRPr="00C85581">
        <w:rPr>
          <w:rFonts w:cs="Arial"/>
          <w:lang w:val="en-US"/>
        </w:rPr>
        <w:t xml:space="preserve">Section </w:t>
      </w:r>
      <w:r>
        <w:rPr>
          <w:rFonts w:cs="Arial"/>
          <w:lang w:val="en-US"/>
        </w:rPr>
        <w:t>7</w:t>
      </w:r>
      <w:r w:rsidR="0082578E" w:rsidRPr="0082578E">
        <w:rPr>
          <w:rFonts w:cs="Arial"/>
          <w:lang w:val="en-US"/>
        </w:rPr>
        <w:t xml:space="preserve"> </w:t>
      </w:r>
      <w:r w:rsidR="0082578E">
        <w:rPr>
          <w:rFonts w:cs="Arial"/>
          <w:lang w:val="en-US"/>
        </w:rPr>
        <w:t xml:space="preserve">specifies </w:t>
      </w:r>
      <w:r>
        <w:rPr>
          <w:rFonts w:cs="Arial"/>
          <w:lang w:val="en-US"/>
        </w:rPr>
        <w:t>that the 2170-2200 MHz frequency band may be used for mobile-satellite services (space-to-Earth).</w:t>
      </w:r>
    </w:p>
    <w:p w:rsidR="0091089F" w:rsidRDefault="0091089F" w:rsidP="00C61D43">
      <w:pPr>
        <w:jc w:val="both"/>
        <w:rPr>
          <w:rFonts w:cs="Arial"/>
          <w:lang w:val="en-US"/>
        </w:rPr>
      </w:pPr>
    </w:p>
    <w:p w:rsidR="00F47DDF" w:rsidRPr="00BF4F62" w:rsidRDefault="00F47DDF" w:rsidP="00C61D43">
      <w:pPr>
        <w:pStyle w:val="Heading2"/>
        <w:ind w:left="1440" w:hanging="1440"/>
        <w:jc w:val="both"/>
        <w:rPr>
          <w:rStyle w:val="CharSectno"/>
          <w:i w:val="0"/>
          <w:sz w:val="20"/>
        </w:rPr>
      </w:pPr>
      <w:r w:rsidRPr="00EA4BE7">
        <w:rPr>
          <w:i w:val="0"/>
          <w:sz w:val="20"/>
        </w:rPr>
        <w:t>Section 8</w:t>
      </w:r>
      <w:r w:rsidR="0091089F">
        <w:rPr>
          <w:rStyle w:val="CharSectno"/>
          <w:i w:val="0"/>
          <w:sz w:val="20"/>
        </w:rPr>
        <w:tab/>
        <w:t xml:space="preserve">Purpose for which the </w:t>
      </w:r>
      <w:r w:rsidR="00816DC2">
        <w:rPr>
          <w:rStyle w:val="CharSectno"/>
          <w:i w:val="0"/>
          <w:sz w:val="20"/>
        </w:rPr>
        <w:t xml:space="preserve">1980-2010 MHz and </w:t>
      </w:r>
      <w:r w:rsidR="0091089F">
        <w:rPr>
          <w:rStyle w:val="CharSectno"/>
          <w:i w:val="0"/>
          <w:sz w:val="20"/>
        </w:rPr>
        <w:t xml:space="preserve">2170-2200 MHz frequency band may be used – </w:t>
      </w:r>
      <w:r w:rsidR="00816DC2">
        <w:rPr>
          <w:rStyle w:val="CharSectno"/>
          <w:i w:val="0"/>
          <w:sz w:val="20"/>
        </w:rPr>
        <w:t>fixed services</w:t>
      </w:r>
    </w:p>
    <w:p w:rsidR="00F47DDF" w:rsidRDefault="00F47DDF" w:rsidP="00C61D43">
      <w:pPr>
        <w:jc w:val="both"/>
        <w:rPr>
          <w:rFonts w:cs="Arial"/>
          <w:lang w:val="en-US"/>
        </w:rPr>
      </w:pPr>
      <w:r w:rsidRPr="00C85581">
        <w:rPr>
          <w:rFonts w:cs="Arial"/>
          <w:lang w:val="en-US"/>
        </w:rPr>
        <w:t xml:space="preserve">Section </w:t>
      </w:r>
      <w:r>
        <w:rPr>
          <w:rFonts w:cs="Arial"/>
          <w:lang w:val="en-US"/>
        </w:rPr>
        <w:t xml:space="preserve">8 </w:t>
      </w:r>
      <w:r w:rsidR="00EF3974">
        <w:rPr>
          <w:rFonts w:cs="Arial"/>
          <w:lang w:val="en-US"/>
        </w:rPr>
        <w:t>sets out</w:t>
      </w:r>
      <w:r>
        <w:rPr>
          <w:rFonts w:cs="Arial"/>
          <w:lang w:val="en-US"/>
        </w:rPr>
        <w:t xml:space="preserve"> the circumstances in which </w:t>
      </w:r>
      <w:r w:rsidR="00816DC2">
        <w:rPr>
          <w:rFonts w:cs="Arial"/>
          <w:lang w:val="en-US"/>
        </w:rPr>
        <w:t xml:space="preserve">fixed </w:t>
      </w:r>
      <w:r>
        <w:rPr>
          <w:rFonts w:cs="Arial"/>
          <w:lang w:val="en-US"/>
        </w:rPr>
        <w:t xml:space="preserve">services can </w:t>
      </w:r>
      <w:r w:rsidR="00EF3974">
        <w:rPr>
          <w:rFonts w:cs="Arial"/>
          <w:lang w:val="en-US"/>
        </w:rPr>
        <w:t xml:space="preserve">be operated in the relevant </w:t>
      </w:r>
      <w:r>
        <w:rPr>
          <w:rFonts w:cs="Arial"/>
          <w:lang w:val="en-US"/>
        </w:rPr>
        <w:t>frequency band</w:t>
      </w:r>
      <w:r w:rsidR="00816DC2">
        <w:rPr>
          <w:rFonts w:cs="Arial"/>
          <w:lang w:val="en-US"/>
        </w:rPr>
        <w:t>s</w:t>
      </w:r>
      <w:r w:rsidR="00EF3974">
        <w:rPr>
          <w:rFonts w:cs="Arial"/>
          <w:lang w:val="en-US"/>
        </w:rPr>
        <w:t>:</w:t>
      </w:r>
    </w:p>
    <w:p w:rsidR="001F682B" w:rsidRDefault="001F682B" w:rsidP="00C61D43">
      <w:pPr>
        <w:jc w:val="both"/>
        <w:rPr>
          <w:rFonts w:cs="Arial"/>
          <w:lang w:val="en-US"/>
        </w:rPr>
      </w:pPr>
    </w:p>
    <w:p w:rsidR="00AE3BEE" w:rsidRDefault="004A4C4E" w:rsidP="00C61D43">
      <w:pPr>
        <w:numPr>
          <w:ilvl w:val="0"/>
          <w:numId w:val="28"/>
        </w:numPr>
        <w:jc w:val="both"/>
        <w:rPr>
          <w:rFonts w:cs="Arial"/>
          <w:lang w:val="en-US"/>
        </w:rPr>
      </w:pPr>
      <w:r>
        <w:rPr>
          <w:rFonts w:cs="Arial"/>
          <w:lang w:val="en-US"/>
        </w:rPr>
        <w:t>i</w:t>
      </w:r>
      <w:r w:rsidR="001F682B">
        <w:rPr>
          <w:rFonts w:cs="Arial"/>
          <w:lang w:val="en-US"/>
        </w:rPr>
        <w:t xml:space="preserve">f an apparatus </w:t>
      </w:r>
      <w:r w:rsidR="00E6307A">
        <w:rPr>
          <w:rFonts w:cs="Arial"/>
          <w:lang w:val="en-US"/>
        </w:rPr>
        <w:t>licen</w:t>
      </w:r>
      <w:r w:rsidR="004E6647">
        <w:rPr>
          <w:rFonts w:cs="Arial"/>
          <w:lang w:val="en-US"/>
        </w:rPr>
        <w:t>c</w:t>
      </w:r>
      <w:r w:rsidR="00E6307A">
        <w:rPr>
          <w:rFonts w:cs="Arial"/>
          <w:lang w:val="en-US"/>
        </w:rPr>
        <w:t>e</w:t>
      </w:r>
      <w:r w:rsidR="001F682B">
        <w:rPr>
          <w:rFonts w:cs="Arial"/>
          <w:lang w:val="en-US"/>
        </w:rPr>
        <w:t xml:space="preserve"> was </w:t>
      </w:r>
      <w:r w:rsidR="00EF3974">
        <w:rPr>
          <w:rFonts w:cs="Arial"/>
          <w:lang w:val="en-US"/>
        </w:rPr>
        <w:t xml:space="preserve">held by the licensee </w:t>
      </w:r>
      <w:r w:rsidR="001F682B">
        <w:rPr>
          <w:rFonts w:cs="Arial"/>
          <w:lang w:val="en-US"/>
        </w:rPr>
        <w:t xml:space="preserve">before the commencement of the </w:t>
      </w:r>
      <w:r w:rsidR="00816DC2">
        <w:rPr>
          <w:rFonts w:cs="Arial"/>
          <w:lang w:val="en-US"/>
        </w:rPr>
        <w:t xml:space="preserve">Frequency </w:t>
      </w:r>
      <w:r w:rsidR="001F682B">
        <w:rPr>
          <w:rFonts w:cs="Arial"/>
          <w:lang w:val="en-US"/>
        </w:rPr>
        <w:t xml:space="preserve">Band Plan, the </w:t>
      </w:r>
      <w:r w:rsidR="00816DC2">
        <w:rPr>
          <w:rFonts w:cs="Arial"/>
          <w:lang w:val="en-US"/>
        </w:rPr>
        <w:t xml:space="preserve">fixed </w:t>
      </w:r>
      <w:r w:rsidR="001F682B">
        <w:rPr>
          <w:rFonts w:cs="Arial"/>
          <w:lang w:val="en-US"/>
        </w:rPr>
        <w:t>service to which it applies may continue to operate</w:t>
      </w:r>
      <w:r w:rsidR="00EF3974">
        <w:rPr>
          <w:rFonts w:cs="Arial"/>
          <w:lang w:val="en-US"/>
        </w:rPr>
        <w:t>d by that licensee</w:t>
      </w:r>
      <w:r w:rsidR="001F682B">
        <w:rPr>
          <w:rFonts w:cs="Arial"/>
          <w:lang w:val="en-US"/>
        </w:rPr>
        <w:t xml:space="preserve"> under </w:t>
      </w:r>
      <w:r w:rsidR="0041593D">
        <w:rPr>
          <w:rFonts w:cs="Arial"/>
          <w:lang w:val="en-US"/>
        </w:rPr>
        <w:t>the</w:t>
      </w:r>
      <w:r w:rsidR="001F682B">
        <w:rPr>
          <w:rFonts w:cs="Arial"/>
          <w:lang w:val="en-US"/>
        </w:rPr>
        <w:t xml:space="preserve"> </w:t>
      </w:r>
      <w:r w:rsidR="00816DC2">
        <w:rPr>
          <w:rFonts w:cs="Arial"/>
          <w:lang w:val="en-US"/>
        </w:rPr>
        <w:t xml:space="preserve">Frequency </w:t>
      </w:r>
      <w:r w:rsidR="001F682B">
        <w:rPr>
          <w:rFonts w:cs="Arial"/>
          <w:lang w:val="en-US"/>
        </w:rPr>
        <w:t>Band Plan</w:t>
      </w:r>
      <w:r w:rsidR="00EF3974">
        <w:rPr>
          <w:rFonts w:cs="Arial"/>
          <w:lang w:val="en-US"/>
        </w:rPr>
        <w:t>; or</w:t>
      </w:r>
    </w:p>
    <w:p w:rsidR="00816DC2" w:rsidRDefault="00816DC2" w:rsidP="00C61D43">
      <w:pPr>
        <w:jc w:val="both"/>
        <w:rPr>
          <w:rFonts w:cs="Arial"/>
          <w:lang w:val="en-US"/>
        </w:rPr>
      </w:pPr>
    </w:p>
    <w:p w:rsidR="00AE3BEE" w:rsidRDefault="004A4C4E" w:rsidP="00C61D43">
      <w:pPr>
        <w:numPr>
          <w:ilvl w:val="0"/>
          <w:numId w:val="28"/>
        </w:numPr>
        <w:jc w:val="both"/>
        <w:rPr>
          <w:rFonts w:cs="Arial"/>
          <w:lang w:val="en-US"/>
        </w:rPr>
      </w:pPr>
      <w:r>
        <w:rPr>
          <w:rFonts w:cs="Arial"/>
          <w:lang w:val="en-US"/>
        </w:rPr>
        <w:t>i</w:t>
      </w:r>
      <w:r w:rsidR="00816DC2">
        <w:rPr>
          <w:rFonts w:cs="Arial"/>
          <w:lang w:val="en-US"/>
        </w:rPr>
        <w:t xml:space="preserve">f the </w:t>
      </w:r>
      <w:r w:rsidR="00AC5415">
        <w:rPr>
          <w:rFonts w:cs="Arial"/>
          <w:lang w:val="en-US"/>
        </w:rPr>
        <w:t xml:space="preserve">fixed </w:t>
      </w:r>
      <w:r w:rsidR="00816DC2">
        <w:rPr>
          <w:rFonts w:cs="Arial"/>
          <w:lang w:val="en-US"/>
        </w:rPr>
        <w:t xml:space="preserve">service is a </w:t>
      </w:r>
      <w:r>
        <w:rPr>
          <w:rFonts w:cs="Arial"/>
          <w:lang w:val="en-US"/>
        </w:rPr>
        <w:t xml:space="preserve">TOB </w:t>
      </w:r>
      <w:r w:rsidR="00816DC2">
        <w:rPr>
          <w:rFonts w:cs="Arial"/>
          <w:lang w:val="en-US"/>
        </w:rPr>
        <w:t>service.</w:t>
      </w:r>
    </w:p>
    <w:p w:rsidR="00816DC2" w:rsidRDefault="00816DC2" w:rsidP="00C61D43">
      <w:pPr>
        <w:jc w:val="both"/>
        <w:rPr>
          <w:rFonts w:cs="Arial"/>
          <w:lang w:val="en-US"/>
        </w:rPr>
      </w:pPr>
    </w:p>
    <w:p w:rsidR="00816DC2" w:rsidRDefault="00816DC2" w:rsidP="00C61D43">
      <w:pPr>
        <w:jc w:val="both"/>
        <w:rPr>
          <w:rFonts w:cs="Arial"/>
          <w:lang w:val="en-US"/>
        </w:rPr>
      </w:pPr>
    </w:p>
    <w:p w:rsidR="0063493C" w:rsidRDefault="0063493C" w:rsidP="00C61D43">
      <w:pPr>
        <w:pStyle w:val="Heading2"/>
        <w:ind w:left="1440" w:hanging="1440"/>
        <w:jc w:val="both"/>
        <w:rPr>
          <w:rStyle w:val="CharSectno"/>
          <w:i w:val="0"/>
          <w:sz w:val="20"/>
        </w:rPr>
      </w:pPr>
      <w:r w:rsidRPr="00EA4BE7">
        <w:rPr>
          <w:i w:val="0"/>
          <w:sz w:val="20"/>
        </w:rPr>
        <w:t xml:space="preserve">Section </w:t>
      </w:r>
      <w:r>
        <w:rPr>
          <w:i w:val="0"/>
          <w:sz w:val="20"/>
        </w:rPr>
        <w:t>9</w:t>
      </w:r>
      <w:r>
        <w:rPr>
          <w:rStyle w:val="CharSectno"/>
          <w:i w:val="0"/>
          <w:sz w:val="20"/>
        </w:rPr>
        <w:tab/>
        <w:t xml:space="preserve">Purpose for which the </w:t>
      </w:r>
      <w:r w:rsidR="00485BA8">
        <w:rPr>
          <w:rStyle w:val="CharSectno"/>
          <w:i w:val="0"/>
          <w:sz w:val="20"/>
        </w:rPr>
        <w:t>201</w:t>
      </w:r>
      <w:r>
        <w:rPr>
          <w:rStyle w:val="CharSectno"/>
          <w:i w:val="0"/>
          <w:sz w:val="20"/>
        </w:rPr>
        <w:t>0-2</w:t>
      </w:r>
      <w:r w:rsidR="00485BA8">
        <w:rPr>
          <w:rStyle w:val="CharSectno"/>
          <w:i w:val="0"/>
          <w:sz w:val="20"/>
        </w:rPr>
        <w:t>1</w:t>
      </w:r>
      <w:r>
        <w:rPr>
          <w:rStyle w:val="CharSectno"/>
          <w:i w:val="0"/>
          <w:sz w:val="20"/>
        </w:rPr>
        <w:t>10 MHz and 2</w:t>
      </w:r>
      <w:r w:rsidR="00485BA8">
        <w:rPr>
          <w:rStyle w:val="CharSectno"/>
          <w:i w:val="0"/>
          <w:sz w:val="20"/>
        </w:rPr>
        <w:t>20</w:t>
      </w:r>
      <w:r>
        <w:rPr>
          <w:rStyle w:val="CharSectno"/>
          <w:i w:val="0"/>
          <w:sz w:val="20"/>
        </w:rPr>
        <w:t>0-2</w:t>
      </w:r>
      <w:r w:rsidR="00485BA8">
        <w:rPr>
          <w:rStyle w:val="CharSectno"/>
          <w:i w:val="0"/>
          <w:sz w:val="20"/>
        </w:rPr>
        <w:t>3</w:t>
      </w:r>
      <w:r>
        <w:rPr>
          <w:rStyle w:val="CharSectno"/>
          <w:i w:val="0"/>
          <w:sz w:val="20"/>
        </w:rPr>
        <w:t xml:space="preserve">00 MHz frequency band may be used </w:t>
      </w:r>
    </w:p>
    <w:p w:rsidR="0063493C" w:rsidRDefault="0063493C" w:rsidP="00C61D43">
      <w:pPr>
        <w:jc w:val="both"/>
        <w:rPr>
          <w:lang w:eastAsia="en-AU" w:bidi="ar-SA"/>
        </w:rPr>
      </w:pPr>
    </w:p>
    <w:p w:rsidR="00485BA8" w:rsidRDefault="00485BA8" w:rsidP="00C61D43">
      <w:pPr>
        <w:jc w:val="both"/>
        <w:rPr>
          <w:rFonts w:cs="Arial"/>
          <w:lang w:val="en-US"/>
        </w:rPr>
      </w:pPr>
      <w:r w:rsidRPr="00C85581">
        <w:rPr>
          <w:rFonts w:cs="Arial"/>
          <w:lang w:val="en-US"/>
        </w:rPr>
        <w:t xml:space="preserve">Section </w:t>
      </w:r>
      <w:r>
        <w:rPr>
          <w:rFonts w:cs="Arial"/>
          <w:lang w:val="en-US"/>
        </w:rPr>
        <w:t xml:space="preserve">9 </w:t>
      </w:r>
      <w:r w:rsidR="007B1F0D">
        <w:rPr>
          <w:rFonts w:cs="Arial"/>
          <w:lang w:val="en-US"/>
        </w:rPr>
        <w:t>specifies</w:t>
      </w:r>
      <w:r>
        <w:rPr>
          <w:rFonts w:cs="Arial"/>
          <w:lang w:val="en-US"/>
        </w:rPr>
        <w:t xml:space="preserve"> that the 2010-2110 MHz and </w:t>
      </w:r>
      <w:r w:rsidR="00EF3974">
        <w:rPr>
          <w:rStyle w:val="CharSectno"/>
        </w:rPr>
        <w:t xml:space="preserve">2200-2300 </w:t>
      </w:r>
      <w:r>
        <w:rPr>
          <w:rFonts w:cs="Arial"/>
          <w:lang w:val="en-US"/>
        </w:rPr>
        <w:t xml:space="preserve">MHz frequency bands may be used for </w:t>
      </w:r>
    </w:p>
    <w:p w:rsidR="00485BA8" w:rsidRDefault="00485BA8" w:rsidP="00C61D43">
      <w:pPr>
        <w:numPr>
          <w:ilvl w:val="0"/>
          <w:numId w:val="27"/>
        </w:numPr>
        <w:jc w:val="both"/>
        <w:rPr>
          <w:rFonts w:cs="Arial"/>
          <w:lang w:val="en-US"/>
        </w:rPr>
      </w:pPr>
      <w:r>
        <w:rPr>
          <w:rFonts w:cs="Arial"/>
          <w:lang w:val="en-US"/>
        </w:rPr>
        <w:t xml:space="preserve">a </w:t>
      </w:r>
      <w:r w:rsidR="004A4C4E">
        <w:rPr>
          <w:rFonts w:cs="Arial"/>
          <w:lang w:val="en-US"/>
        </w:rPr>
        <w:t>TOB</w:t>
      </w:r>
      <w:r>
        <w:rPr>
          <w:rFonts w:cs="Arial"/>
          <w:lang w:val="en-US"/>
        </w:rPr>
        <w:t xml:space="preserve"> service;</w:t>
      </w:r>
    </w:p>
    <w:p w:rsidR="00485BA8" w:rsidRDefault="00485BA8" w:rsidP="00C61D43">
      <w:pPr>
        <w:numPr>
          <w:ilvl w:val="0"/>
          <w:numId w:val="27"/>
        </w:numPr>
        <w:jc w:val="both"/>
        <w:rPr>
          <w:rFonts w:cs="Arial"/>
          <w:lang w:val="en-US"/>
        </w:rPr>
      </w:pPr>
      <w:r>
        <w:rPr>
          <w:rFonts w:cs="Arial"/>
          <w:lang w:val="en-US"/>
        </w:rPr>
        <w:t>a fixed service (point-to-point);</w:t>
      </w:r>
    </w:p>
    <w:p w:rsidR="00485BA8" w:rsidRDefault="00485BA8" w:rsidP="00C61D43">
      <w:pPr>
        <w:numPr>
          <w:ilvl w:val="0"/>
          <w:numId w:val="27"/>
        </w:numPr>
        <w:jc w:val="both"/>
        <w:rPr>
          <w:rFonts w:cs="Arial"/>
          <w:lang w:val="en-US"/>
        </w:rPr>
      </w:pPr>
      <w:r>
        <w:rPr>
          <w:rFonts w:cs="Arial"/>
          <w:lang w:val="en-US"/>
        </w:rPr>
        <w:t>any service authorized by the spectrum plan to operate in the 2010-2110 MHz and 2200-2300 MHz bands.</w:t>
      </w:r>
    </w:p>
    <w:p w:rsidR="004223EF" w:rsidRDefault="004223EF" w:rsidP="00C61D43">
      <w:pPr>
        <w:jc w:val="both"/>
        <w:rPr>
          <w:rFonts w:cs="Arial"/>
          <w:lang w:val="en-US"/>
        </w:rPr>
      </w:pPr>
    </w:p>
    <w:p w:rsidR="00485BA8" w:rsidRDefault="00485BA8" w:rsidP="00C61D43">
      <w:pPr>
        <w:jc w:val="both"/>
        <w:rPr>
          <w:rFonts w:cs="Arial"/>
          <w:lang w:val="en-US"/>
        </w:rPr>
      </w:pPr>
      <w:r>
        <w:rPr>
          <w:rFonts w:cs="Arial"/>
          <w:lang w:val="en-US"/>
        </w:rPr>
        <w:t xml:space="preserve">Section 9 </w:t>
      </w:r>
      <w:r w:rsidR="0040290A">
        <w:rPr>
          <w:rFonts w:cs="Arial"/>
          <w:lang w:val="en-US"/>
        </w:rPr>
        <w:t>also clarifies that the purpose</w:t>
      </w:r>
      <w:r w:rsidR="00C146CA">
        <w:rPr>
          <w:rFonts w:cs="Arial"/>
          <w:lang w:val="en-US"/>
        </w:rPr>
        <w:t>s</w:t>
      </w:r>
      <w:r w:rsidR="0040290A">
        <w:rPr>
          <w:rFonts w:cs="Arial"/>
          <w:lang w:val="en-US"/>
        </w:rPr>
        <w:t xml:space="preserve"> for which</w:t>
      </w:r>
      <w:r w:rsidR="0041593D">
        <w:rPr>
          <w:rFonts w:cs="Arial"/>
          <w:lang w:val="en-US"/>
        </w:rPr>
        <w:t xml:space="preserve"> applicable bands might be used</w:t>
      </w:r>
      <w:r w:rsidR="0040290A">
        <w:rPr>
          <w:rFonts w:cs="Arial"/>
          <w:lang w:val="en-US"/>
        </w:rPr>
        <w:t xml:space="preserve"> are subject to the additional conditions defined in section 10, 11 and 12. </w:t>
      </w:r>
    </w:p>
    <w:p w:rsidR="00677574" w:rsidRDefault="00677574" w:rsidP="00C61D43">
      <w:pPr>
        <w:jc w:val="both"/>
        <w:rPr>
          <w:rFonts w:cs="Arial"/>
          <w:lang w:val="en-US"/>
        </w:rPr>
      </w:pPr>
    </w:p>
    <w:p w:rsidR="00677574" w:rsidRDefault="00677574" w:rsidP="00C61D43">
      <w:pPr>
        <w:pStyle w:val="Heading2"/>
        <w:ind w:left="1440" w:hanging="1440"/>
        <w:jc w:val="both"/>
        <w:rPr>
          <w:rStyle w:val="CharSectno"/>
          <w:i w:val="0"/>
          <w:sz w:val="20"/>
        </w:rPr>
      </w:pPr>
      <w:r w:rsidRPr="00EA4BE7">
        <w:rPr>
          <w:i w:val="0"/>
          <w:sz w:val="20"/>
        </w:rPr>
        <w:t xml:space="preserve">Section </w:t>
      </w:r>
      <w:r>
        <w:rPr>
          <w:i w:val="0"/>
          <w:sz w:val="20"/>
        </w:rPr>
        <w:t>10</w:t>
      </w:r>
      <w:r>
        <w:rPr>
          <w:rStyle w:val="CharSectno"/>
          <w:i w:val="0"/>
          <w:sz w:val="20"/>
        </w:rPr>
        <w:tab/>
        <w:t>Purpose for which the 2010-2110 MHz and 2200-2300 MHz frequency band may be used – fixed services (point-to-point) in specified areas</w:t>
      </w:r>
    </w:p>
    <w:p w:rsidR="00677574" w:rsidRDefault="00677574" w:rsidP="00C61D43">
      <w:pPr>
        <w:jc w:val="both"/>
        <w:rPr>
          <w:lang w:eastAsia="en-AU" w:bidi="ar-SA"/>
        </w:rPr>
      </w:pPr>
    </w:p>
    <w:p w:rsidR="00E6307A" w:rsidRDefault="00E6307A" w:rsidP="00C61D43">
      <w:pPr>
        <w:jc w:val="both"/>
        <w:rPr>
          <w:rFonts w:cs="Arial"/>
          <w:lang w:val="en-US"/>
        </w:rPr>
      </w:pPr>
      <w:r>
        <w:rPr>
          <w:rFonts w:cs="Arial"/>
          <w:lang w:val="en-US"/>
        </w:rPr>
        <w:t>Section 10 provides for the circumstances in which fixed services (point-to-point) can use the applicable frequency bands after 1 November 2013</w:t>
      </w:r>
      <w:r w:rsidR="009F01D8">
        <w:rPr>
          <w:rFonts w:cs="Arial"/>
          <w:lang w:val="en-US"/>
        </w:rPr>
        <w:t>:</w:t>
      </w:r>
    </w:p>
    <w:p w:rsidR="00E6307A" w:rsidRDefault="00E6307A" w:rsidP="00C61D43">
      <w:pPr>
        <w:jc w:val="both"/>
        <w:rPr>
          <w:rFonts w:cs="Arial"/>
          <w:lang w:val="en-US"/>
        </w:rPr>
      </w:pPr>
    </w:p>
    <w:p w:rsidR="00AE3BEE" w:rsidRDefault="009F01D8" w:rsidP="00C61D43">
      <w:pPr>
        <w:numPr>
          <w:ilvl w:val="0"/>
          <w:numId w:val="29"/>
        </w:numPr>
        <w:jc w:val="both"/>
        <w:rPr>
          <w:rFonts w:cs="Arial"/>
          <w:lang w:val="en-US"/>
        </w:rPr>
      </w:pPr>
      <w:r>
        <w:rPr>
          <w:rFonts w:cs="Arial"/>
          <w:lang w:val="en-US"/>
        </w:rPr>
        <w:t xml:space="preserve">A </w:t>
      </w:r>
      <w:r w:rsidR="00E6307A">
        <w:rPr>
          <w:rFonts w:cs="Arial"/>
          <w:lang w:val="en-US"/>
        </w:rPr>
        <w:t xml:space="preserve">fixed service (point-to-point) </w:t>
      </w:r>
      <w:r>
        <w:rPr>
          <w:rFonts w:cs="Arial"/>
          <w:lang w:val="en-US"/>
        </w:rPr>
        <w:t xml:space="preserve">may </w:t>
      </w:r>
      <w:r w:rsidR="00E6307A">
        <w:rPr>
          <w:rFonts w:cs="Arial"/>
          <w:lang w:val="en-US"/>
        </w:rPr>
        <w:t xml:space="preserve">operate in the 2010-2110 MHz </w:t>
      </w:r>
      <w:r w:rsidR="0019005B">
        <w:rPr>
          <w:rFonts w:cs="Arial"/>
          <w:lang w:val="en-US"/>
        </w:rPr>
        <w:t>and</w:t>
      </w:r>
      <w:r w:rsidR="00E6307A">
        <w:rPr>
          <w:rFonts w:cs="Arial"/>
          <w:lang w:val="en-US"/>
        </w:rPr>
        <w:t xml:space="preserve"> 2200-2300 MHz frequency bands but </w:t>
      </w:r>
      <w:r>
        <w:rPr>
          <w:rFonts w:cs="Arial"/>
          <w:lang w:val="en-US"/>
        </w:rPr>
        <w:t xml:space="preserve">only </w:t>
      </w:r>
      <w:r w:rsidR="00E6307A">
        <w:rPr>
          <w:rFonts w:cs="Arial"/>
          <w:lang w:val="en-US"/>
        </w:rPr>
        <w:t xml:space="preserve">outside the area </w:t>
      </w:r>
      <w:r>
        <w:rPr>
          <w:rFonts w:cs="Arial"/>
          <w:lang w:val="en-US"/>
        </w:rPr>
        <w:t xml:space="preserve">described </w:t>
      </w:r>
      <w:r w:rsidR="00E6307A">
        <w:rPr>
          <w:rFonts w:cs="Arial"/>
          <w:lang w:val="en-US"/>
        </w:rPr>
        <w:t xml:space="preserve">in Schedule 1.   </w:t>
      </w:r>
    </w:p>
    <w:p w:rsidR="00677574" w:rsidRDefault="00677574" w:rsidP="00C61D43">
      <w:pPr>
        <w:jc w:val="both"/>
        <w:rPr>
          <w:rFonts w:cs="Arial"/>
          <w:lang w:val="en-US"/>
        </w:rPr>
      </w:pPr>
    </w:p>
    <w:p w:rsidR="00AE3BEE" w:rsidRDefault="00E6307A" w:rsidP="00C61D43">
      <w:pPr>
        <w:numPr>
          <w:ilvl w:val="0"/>
          <w:numId w:val="29"/>
        </w:numPr>
        <w:jc w:val="both"/>
        <w:rPr>
          <w:rFonts w:cs="Arial"/>
          <w:lang w:val="en-US"/>
        </w:rPr>
      </w:pPr>
      <w:r>
        <w:rPr>
          <w:rFonts w:cs="Arial"/>
          <w:lang w:val="en-US"/>
        </w:rPr>
        <w:t>If an apparatus licen</w:t>
      </w:r>
      <w:r w:rsidR="004E6647">
        <w:rPr>
          <w:rFonts w:cs="Arial"/>
          <w:lang w:val="en-US"/>
        </w:rPr>
        <w:t>c</w:t>
      </w:r>
      <w:r>
        <w:rPr>
          <w:rFonts w:cs="Arial"/>
          <w:lang w:val="en-US"/>
        </w:rPr>
        <w:t xml:space="preserve">e </w:t>
      </w:r>
      <w:r w:rsidR="004E6647">
        <w:rPr>
          <w:rFonts w:cs="Arial"/>
          <w:lang w:val="en-US"/>
        </w:rPr>
        <w:t xml:space="preserve">was issued before the commencement of </w:t>
      </w:r>
      <w:r w:rsidR="0041593D">
        <w:rPr>
          <w:rFonts w:cs="Arial"/>
          <w:lang w:val="en-US"/>
        </w:rPr>
        <w:t>the</w:t>
      </w:r>
      <w:r w:rsidR="004E6647">
        <w:rPr>
          <w:rFonts w:cs="Arial"/>
          <w:lang w:val="en-US"/>
        </w:rPr>
        <w:t xml:space="preserve"> Frequency Band Plan, the </w:t>
      </w:r>
      <w:r>
        <w:rPr>
          <w:rFonts w:cs="Arial"/>
          <w:lang w:val="en-US"/>
        </w:rPr>
        <w:t xml:space="preserve">fixed service (point-to-point) </w:t>
      </w:r>
      <w:r w:rsidR="004E6647">
        <w:rPr>
          <w:rFonts w:cs="Arial"/>
          <w:lang w:val="en-US"/>
        </w:rPr>
        <w:t xml:space="preserve">may </w:t>
      </w:r>
      <w:r w:rsidR="009F01D8">
        <w:rPr>
          <w:rFonts w:cs="Arial"/>
          <w:lang w:val="en-US"/>
        </w:rPr>
        <w:t xml:space="preserve">only </w:t>
      </w:r>
      <w:r w:rsidR="004E6647">
        <w:rPr>
          <w:rFonts w:cs="Arial"/>
          <w:lang w:val="en-US"/>
        </w:rPr>
        <w:t xml:space="preserve">continue to </w:t>
      </w:r>
      <w:r>
        <w:rPr>
          <w:rFonts w:cs="Arial"/>
          <w:lang w:val="en-US"/>
        </w:rPr>
        <w:t xml:space="preserve">operate in the 2010-2110 MHz frequency band </w:t>
      </w:r>
      <w:r w:rsidR="004E6647">
        <w:rPr>
          <w:rFonts w:cs="Arial"/>
          <w:lang w:val="en-US"/>
        </w:rPr>
        <w:t xml:space="preserve">if it operates outside the area </w:t>
      </w:r>
      <w:r w:rsidR="009F01D8">
        <w:rPr>
          <w:rFonts w:cs="Arial"/>
          <w:lang w:val="en-US"/>
        </w:rPr>
        <w:t xml:space="preserve">described </w:t>
      </w:r>
      <w:r>
        <w:rPr>
          <w:rFonts w:cs="Arial"/>
          <w:lang w:val="en-US"/>
        </w:rPr>
        <w:t>in Schedule</w:t>
      </w:r>
      <w:r w:rsidR="004E6647">
        <w:rPr>
          <w:rFonts w:cs="Arial"/>
          <w:lang w:val="en-US"/>
        </w:rPr>
        <w:t xml:space="preserve"> 2</w:t>
      </w:r>
      <w:r>
        <w:rPr>
          <w:rFonts w:cs="Arial"/>
          <w:lang w:val="en-US"/>
        </w:rPr>
        <w:t xml:space="preserve">.  </w:t>
      </w:r>
    </w:p>
    <w:p w:rsidR="004E6647" w:rsidRDefault="004E6647" w:rsidP="00C61D43">
      <w:pPr>
        <w:jc w:val="both"/>
        <w:rPr>
          <w:rFonts w:cs="Arial"/>
          <w:lang w:val="en-US"/>
        </w:rPr>
      </w:pPr>
    </w:p>
    <w:p w:rsidR="00AE3BEE" w:rsidRDefault="009F01D8" w:rsidP="00C61D43">
      <w:pPr>
        <w:numPr>
          <w:ilvl w:val="0"/>
          <w:numId w:val="29"/>
        </w:numPr>
        <w:jc w:val="both"/>
        <w:rPr>
          <w:rFonts w:cs="Arial"/>
          <w:lang w:val="en-US"/>
        </w:rPr>
      </w:pPr>
      <w:r>
        <w:rPr>
          <w:rFonts w:cs="Arial"/>
          <w:lang w:val="en-US"/>
        </w:rPr>
        <w:t xml:space="preserve">A </w:t>
      </w:r>
      <w:r w:rsidR="004E6647">
        <w:rPr>
          <w:rFonts w:cs="Arial"/>
          <w:lang w:val="en-US"/>
        </w:rPr>
        <w:t xml:space="preserve">fixed service (point-to-point) </w:t>
      </w:r>
      <w:r>
        <w:rPr>
          <w:rFonts w:cs="Arial"/>
          <w:lang w:val="en-US"/>
        </w:rPr>
        <w:t xml:space="preserve">may only </w:t>
      </w:r>
      <w:r w:rsidR="004E6647">
        <w:rPr>
          <w:rFonts w:cs="Arial"/>
          <w:lang w:val="en-US"/>
        </w:rPr>
        <w:t xml:space="preserve">operate in the 2010-2110 MHz in the area described in Schedule 2 on </w:t>
      </w:r>
      <w:r>
        <w:rPr>
          <w:rFonts w:cs="Arial"/>
          <w:lang w:val="en-US"/>
        </w:rPr>
        <w:t xml:space="preserve">a </w:t>
      </w:r>
      <w:r w:rsidR="004E6647">
        <w:rPr>
          <w:rFonts w:cs="Arial"/>
          <w:lang w:val="en-US"/>
        </w:rPr>
        <w:t xml:space="preserve">secondary basis. Essentially, secondary services have lower priority than primary services. </w:t>
      </w:r>
      <w:r w:rsidR="00403951">
        <w:rPr>
          <w:rFonts w:cs="Arial"/>
          <w:lang w:val="en-US"/>
        </w:rPr>
        <w:t xml:space="preserve">Secondary services </w:t>
      </w:r>
      <w:r w:rsidR="003B3339">
        <w:rPr>
          <w:rFonts w:cs="Arial"/>
          <w:lang w:val="en-US"/>
        </w:rPr>
        <w:t>must</w:t>
      </w:r>
      <w:r w:rsidR="00403951">
        <w:rPr>
          <w:rFonts w:cs="Arial"/>
          <w:lang w:val="en-US"/>
        </w:rPr>
        <w:t xml:space="preserve"> not cause harmful interference to primary services and cannot claim protection from harmful interference from primary services.</w:t>
      </w:r>
      <w:r w:rsidR="004E6647">
        <w:rPr>
          <w:rFonts w:cs="Arial"/>
          <w:lang w:val="en-US"/>
        </w:rPr>
        <w:t xml:space="preserve">  </w:t>
      </w:r>
    </w:p>
    <w:p w:rsidR="00E6307A" w:rsidRDefault="00E6307A" w:rsidP="00C61D43">
      <w:pPr>
        <w:jc w:val="both"/>
        <w:rPr>
          <w:rFonts w:cs="Arial"/>
          <w:lang w:val="en-US"/>
        </w:rPr>
      </w:pPr>
      <w:r>
        <w:rPr>
          <w:rFonts w:cs="Arial"/>
          <w:lang w:val="en-US"/>
        </w:rPr>
        <w:t xml:space="preserve"> </w:t>
      </w:r>
    </w:p>
    <w:p w:rsidR="0019005B" w:rsidRDefault="0019005B" w:rsidP="00C61D43">
      <w:pPr>
        <w:jc w:val="both"/>
        <w:rPr>
          <w:rFonts w:cs="Arial"/>
          <w:lang w:val="en-US"/>
        </w:rPr>
      </w:pPr>
    </w:p>
    <w:p w:rsidR="0019005B" w:rsidRDefault="0019005B" w:rsidP="00C61D43">
      <w:pPr>
        <w:jc w:val="both"/>
        <w:rPr>
          <w:rFonts w:cs="Arial"/>
          <w:lang w:val="en-US"/>
        </w:rPr>
      </w:pPr>
    </w:p>
    <w:p w:rsidR="0019005B" w:rsidRDefault="0019005B" w:rsidP="00C61D43">
      <w:pPr>
        <w:jc w:val="both"/>
        <w:rPr>
          <w:rFonts w:cs="Arial"/>
          <w:lang w:val="en-US"/>
        </w:rPr>
      </w:pPr>
    </w:p>
    <w:p w:rsidR="0019005B" w:rsidRDefault="0019005B" w:rsidP="00C61D43">
      <w:pPr>
        <w:jc w:val="both"/>
        <w:rPr>
          <w:rFonts w:cs="Arial"/>
          <w:lang w:val="en-US"/>
        </w:rPr>
      </w:pPr>
    </w:p>
    <w:p w:rsidR="0019005B" w:rsidRDefault="0019005B" w:rsidP="00C61D43">
      <w:pPr>
        <w:jc w:val="both"/>
        <w:rPr>
          <w:rFonts w:cs="Arial"/>
          <w:lang w:val="en-US"/>
        </w:rPr>
      </w:pPr>
    </w:p>
    <w:p w:rsidR="0019005B" w:rsidRDefault="0019005B" w:rsidP="00C61D43">
      <w:pPr>
        <w:jc w:val="both"/>
        <w:rPr>
          <w:rFonts w:cs="Arial"/>
          <w:lang w:val="en-US"/>
        </w:rPr>
      </w:pPr>
    </w:p>
    <w:p w:rsidR="00E6307A" w:rsidRDefault="00E6307A" w:rsidP="00C61D43">
      <w:pPr>
        <w:jc w:val="both"/>
        <w:rPr>
          <w:rFonts w:cs="Arial"/>
          <w:lang w:val="en-US"/>
        </w:rPr>
      </w:pPr>
    </w:p>
    <w:p w:rsidR="00547D21" w:rsidRDefault="00547D21" w:rsidP="00C61D43">
      <w:pPr>
        <w:pStyle w:val="Heading2"/>
        <w:ind w:left="1440" w:hanging="1440"/>
        <w:jc w:val="both"/>
        <w:rPr>
          <w:rStyle w:val="CharSectno"/>
          <w:i w:val="0"/>
          <w:sz w:val="20"/>
        </w:rPr>
      </w:pPr>
      <w:r w:rsidRPr="00EA4BE7">
        <w:rPr>
          <w:i w:val="0"/>
          <w:sz w:val="20"/>
        </w:rPr>
        <w:t xml:space="preserve">Section </w:t>
      </w:r>
      <w:r>
        <w:rPr>
          <w:i w:val="0"/>
          <w:sz w:val="20"/>
        </w:rPr>
        <w:t>11</w:t>
      </w:r>
      <w:r>
        <w:rPr>
          <w:rStyle w:val="CharSectno"/>
          <w:i w:val="0"/>
          <w:sz w:val="20"/>
        </w:rPr>
        <w:tab/>
        <w:t>Purpose for which the 2025-2110 MHz and 2200-2300 MHz frequency band may be used – earth stations and earth receive stations in the Perth area</w:t>
      </w:r>
    </w:p>
    <w:p w:rsidR="00547D21" w:rsidRDefault="00547D21" w:rsidP="00C61D43">
      <w:pPr>
        <w:jc w:val="both"/>
        <w:rPr>
          <w:lang w:eastAsia="en-AU" w:bidi="ar-SA"/>
        </w:rPr>
      </w:pPr>
    </w:p>
    <w:p w:rsidR="000B25CB" w:rsidRDefault="003B3339" w:rsidP="00C61D43">
      <w:pPr>
        <w:jc w:val="both"/>
        <w:rPr>
          <w:rFonts w:cs="Arial"/>
          <w:lang w:val="en-US"/>
        </w:rPr>
      </w:pPr>
      <w:r>
        <w:rPr>
          <w:rFonts w:cs="Arial"/>
          <w:lang w:val="en-US"/>
        </w:rPr>
        <w:t xml:space="preserve">Paragraph </w:t>
      </w:r>
      <w:r w:rsidR="000B25CB">
        <w:rPr>
          <w:rFonts w:cs="Arial"/>
          <w:lang w:val="en-US"/>
        </w:rPr>
        <w:t>11</w:t>
      </w:r>
      <w:r w:rsidR="009F01D8">
        <w:rPr>
          <w:rFonts w:cs="Arial"/>
          <w:lang w:val="en-US"/>
        </w:rPr>
        <w:t>(</w:t>
      </w:r>
      <w:r w:rsidR="000B25CB">
        <w:rPr>
          <w:rFonts w:cs="Arial"/>
          <w:lang w:val="en-US"/>
        </w:rPr>
        <w:t>a</w:t>
      </w:r>
      <w:r w:rsidR="009F01D8">
        <w:rPr>
          <w:rFonts w:cs="Arial"/>
          <w:lang w:val="en-US"/>
        </w:rPr>
        <w:t>)</w:t>
      </w:r>
      <w:r w:rsidR="000B25CB">
        <w:rPr>
          <w:rFonts w:cs="Arial"/>
          <w:lang w:val="en-US"/>
        </w:rPr>
        <w:t xml:space="preserve"> </w:t>
      </w:r>
      <w:r w:rsidR="0041593D">
        <w:rPr>
          <w:rFonts w:cs="Arial"/>
          <w:lang w:val="en-US"/>
        </w:rPr>
        <w:t>provides</w:t>
      </w:r>
      <w:r w:rsidR="000B25CB">
        <w:rPr>
          <w:rFonts w:cs="Arial"/>
          <w:lang w:val="en-US"/>
        </w:rPr>
        <w:t xml:space="preserve"> that </w:t>
      </w:r>
      <w:r w:rsidR="0041593D">
        <w:rPr>
          <w:rFonts w:cs="Arial"/>
          <w:lang w:val="en-US"/>
        </w:rPr>
        <w:t xml:space="preserve">an </w:t>
      </w:r>
      <w:r w:rsidR="000B25CB">
        <w:rPr>
          <w:rFonts w:cs="Arial"/>
          <w:lang w:val="en-US"/>
        </w:rPr>
        <w:t xml:space="preserve">earth station cannot operate in the 2025-2110 MHz frequency band on the primary basis after 31 December 2015 </w:t>
      </w:r>
      <w:r w:rsidR="009F01D8">
        <w:rPr>
          <w:rFonts w:cs="Arial"/>
          <w:lang w:val="en-US"/>
        </w:rPr>
        <w:t xml:space="preserve">within </w:t>
      </w:r>
      <w:r w:rsidR="000B25CB">
        <w:rPr>
          <w:rFonts w:cs="Arial"/>
          <w:lang w:val="en-US"/>
        </w:rPr>
        <w:t>the Perth area.</w:t>
      </w:r>
    </w:p>
    <w:p w:rsidR="000B25CB" w:rsidRDefault="000B25CB" w:rsidP="00C61D43">
      <w:pPr>
        <w:jc w:val="both"/>
        <w:rPr>
          <w:rFonts w:cs="Arial"/>
          <w:lang w:val="en-US"/>
        </w:rPr>
      </w:pPr>
    </w:p>
    <w:p w:rsidR="000B25CB" w:rsidRDefault="003B3339" w:rsidP="00C61D43">
      <w:pPr>
        <w:jc w:val="both"/>
        <w:rPr>
          <w:rFonts w:cs="Arial"/>
          <w:lang w:val="en-US"/>
        </w:rPr>
      </w:pPr>
      <w:r>
        <w:rPr>
          <w:rFonts w:cs="Arial"/>
          <w:lang w:val="en-US"/>
        </w:rPr>
        <w:t xml:space="preserve">Paragraph </w:t>
      </w:r>
      <w:r w:rsidR="000B25CB">
        <w:rPr>
          <w:rFonts w:cs="Arial"/>
          <w:lang w:val="en-US"/>
        </w:rPr>
        <w:t>11</w:t>
      </w:r>
      <w:r w:rsidR="009F01D8">
        <w:rPr>
          <w:rFonts w:cs="Arial"/>
          <w:lang w:val="en-US"/>
        </w:rPr>
        <w:t>(</w:t>
      </w:r>
      <w:r w:rsidR="000B25CB">
        <w:rPr>
          <w:rFonts w:cs="Arial"/>
          <w:lang w:val="en-US"/>
        </w:rPr>
        <w:t>b</w:t>
      </w:r>
      <w:r w:rsidR="009F01D8">
        <w:rPr>
          <w:rFonts w:cs="Arial"/>
          <w:lang w:val="en-US"/>
        </w:rPr>
        <w:t>)</w:t>
      </w:r>
      <w:r w:rsidR="000B25CB">
        <w:rPr>
          <w:rFonts w:cs="Arial"/>
          <w:lang w:val="en-US"/>
        </w:rPr>
        <w:t xml:space="preserve"> </w:t>
      </w:r>
      <w:r w:rsidR="0041593D">
        <w:rPr>
          <w:rFonts w:cs="Arial"/>
          <w:lang w:val="en-US"/>
        </w:rPr>
        <w:t>provides</w:t>
      </w:r>
      <w:r w:rsidR="000B25CB">
        <w:rPr>
          <w:rFonts w:cs="Arial"/>
          <w:lang w:val="en-US"/>
        </w:rPr>
        <w:t xml:space="preserve"> that </w:t>
      </w:r>
      <w:r w:rsidR="0041593D">
        <w:rPr>
          <w:rFonts w:cs="Arial"/>
          <w:lang w:val="en-US"/>
        </w:rPr>
        <w:t xml:space="preserve">an </w:t>
      </w:r>
      <w:r w:rsidR="000B25CB">
        <w:rPr>
          <w:rFonts w:cs="Arial"/>
          <w:lang w:val="en-US"/>
        </w:rPr>
        <w:t xml:space="preserve">earth receive station cannot operate in the 2200-2300 MHz frequency band on the primary basis after 31 December 2015 </w:t>
      </w:r>
      <w:r w:rsidR="009F01D8">
        <w:rPr>
          <w:rFonts w:cs="Arial"/>
          <w:lang w:val="en-US"/>
        </w:rPr>
        <w:t xml:space="preserve">within </w:t>
      </w:r>
      <w:r w:rsidR="000B25CB">
        <w:rPr>
          <w:rFonts w:cs="Arial"/>
          <w:lang w:val="en-US"/>
        </w:rPr>
        <w:t>the Perth area.</w:t>
      </w:r>
    </w:p>
    <w:p w:rsidR="0063493C" w:rsidRDefault="0063493C" w:rsidP="00C61D43">
      <w:pPr>
        <w:jc w:val="both"/>
        <w:rPr>
          <w:lang w:eastAsia="en-AU" w:bidi="ar-SA"/>
        </w:rPr>
      </w:pPr>
    </w:p>
    <w:p w:rsidR="00006914" w:rsidRDefault="00006914" w:rsidP="00C61D43">
      <w:pPr>
        <w:pStyle w:val="Heading2"/>
        <w:ind w:left="1440" w:hanging="1440"/>
        <w:jc w:val="both"/>
        <w:rPr>
          <w:rStyle w:val="CharSectno"/>
          <w:i w:val="0"/>
          <w:sz w:val="20"/>
        </w:rPr>
      </w:pPr>
      <w:r w:rsidRPr="00EA4BE7">
        <w:rPr>
          <w:i w:val="0"/>
          <w:sz w:val="20"/>
        </w:rPr>
        <w:t xml:space="preserve">Section </w:t>
      </w:r>
      <w:r>
        <w:rPr>
          <w:i w:val="0"/>
          <w:sz w:val="20"/>
        </w:rPr>
        <w:t>12</w:t>
      </w:r>
      <w:r>
        <w:rPr>
          <w:rStyle w:val="CharSectno"/>
          <w:i w:val="0"/>
          <w:sz w:val="20"/>
        </w:rPr>
        <w:tab/>
        <w:t>Purpose for which the 2200-2300 MHz frequency b</w:t>
      </w:r>
      <w:r w:rsidR="000516D8">
        <w:rPr>
          <w:rStyle w:val="CharSectno"/>
          <w:i w:val="0"/>
          <w:sz w:val="20"/>
        </w:rPr>
        <w:t xml:space="preserve">and may be used – airborne </w:t>
      </w:r>
      <w:r w:rsidR="00A20BA7">
        <w:rPr>
          <w:rStyle w:val="CharSectno"/>
          <w:i w:val="0"/>
          <w:sz w:val="20"/>
        </w:rPr>
        <w:t>television outside broadcast</w:t>
      </w:r>
      <w:r w:rsidR="000516D8">
        <w:rPr>
          <w:rStyle w:val="CharSectno"/>
          <w:i w:val="0"/>
          <w:sz w:val="20"/>
        </w:rPr>
        <w:t xml:space="preserve"> station</w:t>
      </w:r>
    </w:p>
    <w:p w:rsidR="00006914" w:rsidRDefault="00006914" w:rsidP="00C61D43">
      <w:pPr>
        <w:jc w:val="both"/>
        <w:rPr>
          <w:lang w:eastAsia="en-AU" w:bidi="ar-SA"/>
        </w:rPr>
      </w:pPr>
    </w:p>
    <w:p w:rsidR="00006914" w:rsidRDefault="00006914" w:rsidP="00C61D43">
      <w:pPr>
        <w:jc w:val="both"/>
        <w:rPr>
          <w:rFonts w:cs="Arial"/>
          <w:lang w:val="en-US"/>
        </w:rPr>
      </w:pPr>
      <w:r>
        <w:rPr>
          <w:rFonts w:cs="Arial"/>
          <w:lang w:val="en-US"/>
        </w:rPr>
        <w:t>Section 1</w:t>
      </w:r>
      <w:r w:rsidR="003B3339">
        <w:rPr>
          <w:rFonts w:cs="Arial"/>
          <w:lang w:val="en-US"/>
        </w:rPr>
        <w:t>2</w:t>
      </w:r>
      <w:r w:rsidR="009F01D8">
        <w:rPr>
          <w:rFonts w:cs="Arial"/>
          <w:lang w:val="en-US"/>
        </w:rPr>
        <w:t xml:space="preserve"> states</w:t>
      </w:r>
      <w:r>
        <w:rPr>
          <w:rFonts w:cs="Arial"/>
          <w:lang w:val="en-US"/>
        </w:rPr>
        <w:t xml:space="preserve"> that </w:t>
      </w:r>
      <w:r w:rsidR="009F01D8">
        <w:rPr>
          <w:rFonts w:cs="Arial"/>
          <w:lang w:val="en-US"/>
        </w:rPr>
        <w:t xml:space="preserve">an </w:t>
      </w:r>
      <w:r>
        <w:rPr>
          <w:rFonts w:cs="Arial"/>
          <w:lang w:val="en-US"/>
        </w:rPr>
        <w:t xml:space="preserve">airborne </w:t>
      </w:r>
      <w:r w:rsidR="009976A5">
        <w:rPr>
          <w:rFonts w:cs="Arial"/>
          <w:lang w:val="en-US"/>
        </w:rPr>
        <w:t>television outside broadcast</w:t>
      </w:r>
      <w:r>
        <w:rPr>
          <w:rFonts w:cs="Arial"/>
          <w:lang w:val="en-US"/>
        </w:rPr>
        <w:t xml:space="preserve"> </w:t>
      </w:r>
      <w:r w:rsidR="000516D8">
        <w:rPr>
          <w:rFonts w:cs="Arial"/>
          <w:lang w:val="en-US"/>
        </w:rPr>
        <w:t>station</w:t>
      </w:r>
      <w:r w:rsidR="009F01D8">
        <w:rPr>
          <w:rFonts w:cs="Arial"/>
          <w:lang w:val="en-US"/>
        </w:rPr>
        <w:t xml:space="preserve"> must not be operated in the 2200-2300 MHz frequency band</w:t>
      </w:r>
      <w:r>
        <w:rPr>
          <w:rFonts w:cs="Arial"/>
          <w:lang w:val="en-US"/>
        </w:rPr>
        <w:t>.</w:t>
      </w:r>
    </w:p>
    <w:p w:rsidR="00006914" w:rsidRPr="0063493C" w:rsidRDefault="00006914" w:rsidP="00C61D43">
      <w:pPr>
        <w:jc w:val="both"/>
        <w:rPr>
          <w:lang w:eastAsia="en-AU" w:bidi="ar-SA"/>
        </w:rPr>
      </w:pPr>
    </w:p>
    <w:p w:rsidR="00006914" w:rsidRPr="0063493C" w:rsidRDefault="00006914" w:rsidP="00C61D43">
      <w:pPr>
        <w:jc w:val="both"/>
        <w:rPr>
          <w:lang w:eastAsia="en-AU" w:bidi="ar-SA"/>
        </w:rPr>
      </w:pPr>
    </w:p>
    <w:p w:rsidR="00C63C44" w:rsidRDefault="00CE4A8A" w:rsidP="00C61D43">
      <w:pPr>
        <w:pStyle w:val="Heading2"/>
        <w:jc w:val="both"/>
        <w:rPr>
          <w:i w:val="0"/>
          <w:sz w:val="20"/>
        </w:rPr>
      </w:pPr>
      <w:r w:rsidRPr="00EA4BE7">
        <w:rPr>
          <w:i w:val="0"/>
          <w:sz w:val="20"/>
        </w:rPr>
        <w:t>Schedule 1</w:t>
      </w:r>
      <w:r w:rsidRPr="00EA4BE7">
        <w:rPr>
          <w:i w:val="0"/>
          <w:sz w:val="20"/>
        </w:rPr>
        <w:tab/>
      </w:r>
      <w:r w:rsidR="00C47DCF" w:rsidRPr="00EA4BE7">
        <w:rPr>
          <w:i w:val="0"/>
          <w:sz w:val="20"/>
        </w:rPr>
        <w:t xml:space="preserve">Description of </w:t>
      </w:r>
      <w:r w:rsidR="00D55E54">
        <w:rPr>
          <w:i w:val="0"/>
          <w:sz w:val="20"/>
        </w:rPr>
        <w:t>fixed service (point-to-point) areas</w:t>
      </w:r>
    </w:p>
    <w:p w:rsidR="00D55E54" w:rsidRDefault="00D55E54" w:rsidP="00C61D43">
      <w:pPr>
        <w:jc w:val="both"/>
        <w:rPr>
          <w:lang w:eastAsia="en-AU" w:bidi="ar-SA"/>
        </w:rPr>
      </w:pPr>
    </w:p>
    <w:p w:rsidR="00D55E54" w:rsidRDefault="003827B7" w:rsidP="00C61D43">
      <w:pPr>
        <w:jc w:val="both"/>
        <w:rPr>
          <w:lang w:eastAsia="en-AU" w:bidi="ar-SA"/>
        </w:rPr>
      </w:pPr>
      <w:r>
        <w:rPr>
          <w:lang w:eastAsia="en-AU" w:bidi="ar-SA"/>
        </w:rPr>
        <w:t>Schedule 1 provides a description of two parts of the fixed service (point-to-point) areas.</w:t>
      </w:r>
    </w:p>
    <w:p w:rsidR="003827B7" w:rsidRDefault="003827B7" w:rsidP="00C61D43">
      <w:pPr>
        <w:jc w:val="both"/>
        <w:rPr>
          <w:lang w:eastAsia="en-AU" w:bidi="ar-SA"/>
        </w:rPr>
      </w:pPr>
    </w:p>
    <w:p w:rsidR="003827B7" w:rsidRPr="00D55E54" w:rsidRDefault="003827B7" w:rsidP="00C61D43">
      <w:pPr>
        <w:jc w:val="both"/>
        <w:rPr>
          <w:lang w:eastAsia="en-AU" w:bidi="ar-SA"/>
        </w:rPr>
      </w:pPr>
      <w:r>
        <w:rPr>
          <w:lang w:eastAsia="en-AU" w:bidi="ar-SA"/>
        </w:rPr>
        <w:t>Part 1 defines</w:t>
      </w:r>
      <w:r w:rsidR="0041593D">
        <w:rPr>
          <w:lang w:eastAsia="en-AU" w:bidi="ar-SA"/>
        </w:rPr>
        <w:t xml:space="preserve"> relevant </w:t>
      </w:r>
      <w:r w:rsidR="00871483">
        <w:rPr>
          <w:lang w:eastAsia="en-AU" w:bidi="ar-SA"/>
        </w:rPr>
        <w:t xml:space="preserve">areas for </w:t>
      </w:r>
      <w:r w:rsidR="0041593D">
        <w:rPr>
          <w:lang w:eastAsia="en-AU" w:bidi="ar-SA"/>
        </w:rPr>
        <w:t xml:space="preserve">the </w:t>
      </w:r>
      <w:r w:rsidR="00871483">
        <w:rPr>
          <w:lang w:eastAsia="en-AU" w:bidi="ar-SA"/>
        </w:rPr>
        <w:t xml:space="preserve">2010-2110 MHz band, and </w:t>
      </w:r>
      <w:r w:rsidR="00493158">
        <w:rPr>
          <w:lang w:eastAsia="en-AU" w:bidi="ar-SA"/>
        </w:rPr>
        <w:t>P</w:t>
      </w:r>
      <w:r w:rsidR="00871483">
        <w:rPr>
          <w:lang w:eastAsia="en-AU" w:bidi="ar-SA"/>
        </w:rPr>
        <w:t xml:space="preserve">art 2 defines </w:t>
      </w:r>
      <w:r w:rsidR="0041593D">
        <w:rPr>
          <w:lang w:eastAsia="en-AU" w:bidi="ar-SA"/>
        </w:rPr>
        <w:t>relevant</w:t>
      </w:r>
      <w:r w:rsidR="00871483">
        <w:rPr>
          <w:lang w:eastAsia="en-AU" w:bidi="ar-SA"/>
        </w:rPr>
        <w:t xml:space="preserve"> areas for </w:t>
      </w:r>
      <w:r w:rsidR="0041593D">
        <w:rPr>
          <w:lang w:eastAsia="en-AU" w:bidi="ar-SA"/>
        </w:rPr>
        <w:t xml:space="preserve">the </w:t>
      </w:r>
      <w:r w:rsidR="00871483">
        <w:rPr>
          <w:lang w:eastAsia="en-AU" w:bidi="ar-SA"/>
        </w:rPr>
        <w:t>2200-2300 MHz band.</w:t>
      </w:r>
    </w:p>
    <w:p w:rsidR="00871483" w:rsidRDefault="00871483" w:rsidP="00C61D43">
      <w:pPr>
        <w:jc w:val="both"/>
        <w:rPr>
          <w:rFonts w:cs="Arial"/>
        </w:rPr>
      </w:pPr>
    </w:p>
    <w:p w:rsidR="0095294D" w:rsidRDefault="008203E1" w:rsidP="00C61D43">
      <w:pPr>
        <w:jc w:val="both"/>
        <w:rPr>
          <w:rFonts w:cs="Arial"/>
        </w:rPr>
      </w:pPr>
      <w:r>
        <w:rPr>
          <w:rFonts w:cs="Arial"/>
        </w:rPr>
        <w:t xml:space="preserve">Part 1 and Part 2 </w:t>
      </w:r>
      <w:r w:rsidR="00871483">
        <w:rPr>
          <w:rFonts w:cs="Arial"/>
        </w:rPr>
        <w:t xml:space="preserve">areas are defined as geographic areas </w:t>
      </w:r>
      <w:r w:rsidR="00DD3600">
        <w:rPr>
          <w:rFonts w:cs="Arial"/>
        </w:rPr>
        <w:t xml:space="preserve">described by a circle with a radius of 150 kilometres whose centre </w:t>
      </w:r>
      <w:r>
        <w:rPr>
          <w:rFonts w:cs="Arial"/>
        </w:rPr>
        <w:t>is located at a point specified in Table 1 and Table 2 respectively.</w:t>
      </w:r>
    </w:p>
    <w:p w:rsidR="0095294D" w:rsidRDefault="0095294D" w:rsidP="00C61D43">
      <w:pPr>
        <w:jc w:val="both"/>
        <w:rPr>
          <w:rFonts w:cs="Arial"/>
        </w:rPr>
      </w:pPr>
    </w:p>
    <w:p w:rsidR="00C328A2" w:rsidRDefault="00C328A2" w:rsidP="00C61D43">
      <w:pPr>
        <w:pStyle w:val="Heading2"/>
        <w:jc w:val="both"/>
        <w:rPr>
          <w:i w:val="0"/>
          <w:sz w:val="20"/>
        </w:rPr>
      </w:pPr>
      <w:r w:rsidRPr="00EA4BE7">
        <w:rPr>
          <w:i w:val="0"/>
          <w:sz w:val="20"/>
        </w:rPr>
        <w:t xml:space="preserve">Schedule </w:t>
      </w:r>
      <w:r>
        <w:rPr>
          <w:i w:val="0"/>
          <w:sz w:val="20"/>
        </w:rPr>
        <w:t>2</w:t>
      </w:r>
      <w:r w:rsidRPr="00EA4BE7">
        <w:rPr>
          <w:i w:val="0"/>
          <w:sz w:val="20"/>
        </w:rPr>
        <w:tab/>
        <w:t xml:space="preserve">Description of </w:t>
      </w:r>
      <w:r>
        <w:rPr>
          <w:i w:val="0"/>
          <w:sz w:val="20"/>
        </w:rPr>
        <w:t>fixed service (point-to-point) secondary areas</w:t>
      </w:r>
    </w:p>
    <w:p w:rsidR="00C328A2" w:rsidRDefault="00C328A2" w:rsidP="00C61D43">
      <w:pPr>
        <w:jc w:val="both"/>
        <w:rPr>
          <w:lang w:eastAsia="en-AU" w:bidi="ar-SA"/>
        </w:rPr>
      </w:pPr>
    </w:p>
    <w:p w:rsidR="00C328A2" w:rsidRDefault="00C328A2" w:rsidP="00C61D43">
      <w:pPr>
        <w:jc w:val="both"/>
        <w:rPr>
          <w:lang w:eastAsia="en-AU" w:bidi="ar-SA"/>
        </w:rPr>
      </w:pPr>
      <w:r>
        <w:rPr>
          <w:lang w:eastAsia="en-AU" w:bidi="ar-SA"/>
        </w:rPr>
        <w:t>Schedule 2 provides a description of the fixed service (point-to-point) secondary areas.</w:t>
      </w:r>
    </w:p>
    <w:p w:rsidR="00C328A2" w:rsidRDefault="00C328A2" w:rsidP="00C61D43">
      <w:pPr>
        <w:jc w:val="both"/>
        <w:rPr>
          <w:lang w:eastAsia="en-AU" w:bidi="ar-SA"/>
        </w:rPr>
      </w:pPr>
    </w:p>
    <w:p w:rsidR="00434066" w:rsidRDefault="00C328A2" w:rsidP="00C61D43">
      <w:pPr>
        <w:jc w:val="both"/>
        <w:rPr>
          <w:rFonts w:cs="Arial"/>
        </w:rPr>
      </w:pPr>
      <w:r>
        <w:rPr>
          <w:lang w:eastAsia="en-AU" w:bidi="ar-SA"/>
        </w:rPr>
        <w:t xml:space="preserve">The fixed service (point-to-point) secondary areas are determined for the frequency band 2010-2110 MHz. The area is defined </w:t>
      </w:r>
      <w:r w:rsidR="004828FD">
        <w:rPr>
          <w:lang w:eastAsia="en-AU" w:bidi="ar-SA"/>
        </w:rPr>
        <w:t>by</w:t>
      </w:r>
      <w:r>
        <w:rPr>
          <w:lang w:eastAsia="en-AU" w:bidi="ar-SA"/>
        </w:rPr>
        <w:t xml:space="preserve"> the coordinates </w:t>
      </w:r>
      <w:r w:rsidR="003375F4">
        <w:rPr>
          <w:lang w:eastAsia="en-AU" w:bidi="ar-SA"/>
        </w:rPr>
        <w:t xml:space="preserve">provided in Table 3 but excluding the geographic areas defined by Table 4.  </w:t>
      </w:r>
    </w:p>
    <w:p w:rsidR="00140A09" w:rsidRDefault="00140A09" w:rsidP="00C61D43">
      <w:pPr>
        <w:pStyle w:val="Heading1"/>
        <w:jc w:val="both"/>
        <w:rPr>
          <w:sz w:val="24"/>
          <w:szCs w:val="24"/>
        </w:rPr>
      </w:pPr>
      <w:r>
        <w:br w:type="page"/>
      </w:r>
      <w:bookmarkStart w:id="3" w:name="_Toc290210739"/>
      <w:r w:rsidRPr="009C0EBF">
        <w:rPr>
          <w:sz w:val="24"/>
          <w:szCs w:val="24"/>
        </w:rPr>
        <w:t xml:space="preserve">STATEMENT OF COMPATIBILITY FOR A LEGISLATIVE INSTRUMENT THAT </w:t>
      </w:r>
      <w:r w:rsidRPr="0098769E">
        <w:rPr>
          <w:sz w:val="24"/>
          <w:szCs w:val="24"/>
          <w:u w:val="single"/>
        </w:rPr>
        <w:t>DOES NOT</w:t>
      </w:r>
      <w:r w:rsidRPr="009C0EBF">
        <w:rPr>
          <w:sz w:val="24"/>
          <w:szCs w:val="24"/>
        </w:rPr>
        <w:t xml:space="preserve"> RAISE ANY HUMAN RIGHTS ISSUES</w:t>
      </w:r>
    </w:p>
    <w:p w:rsidR="00140A09" w:rsidRDefault="0046159F" w:rsidP="00140A09">
      <w:pPr>
        <w:ind w:left="720" w:hanging="720"/>
      </w:pPr>
      <w:r>
        <w:rPr>
          <w:noProof/>
          <w:lang w:eastAsia="en-AU"/>
        </w:rPr>
        <w:pict>
          <v:rect id="_x0000_s1026" style="position:absolute;left:0;text-align:left;margin-left:-2.25pt;margin-top:21.75pt;width:481.8pt;height:608.25pt;z-index:251657728" fillcolor="#ddd8c2" strokeweight="6pt">
            <v:stroke linestyle="thickBetweenThin"/>
            <v:textbox style="mso-next-textbox:#_x0000_s1026" inset="5mm,,5mm">
              <w:txbxContent>
                <w:p w:rsidR="00140A09" w:rsidRPr="00F45FC8" w:rsidRDefault="00140A09" w:rsidP="00140A09">
                  <w:pPr>
                    <w:spacing w:before="360" w:after="120"/>
                    <w:jc w:val="center"/>
                    <w:rPr>
                      <w:rFonts w:ascii="Cambria" w:hAnsi="Cambria"/>
                      <w:b/>
                      <w:sz w:val="28"/>
                      <w:szCs w:val="28"/>
                    </w:rPr>
                  </w:pPr>
                  <w:r w:rsidRPr="00F45FC8">
                    <w:rPr>
                      <w:rFonts w:ascii="Cambria" w:hAnsi="Cambria"/>
                      <w:b/>
                      <w:sz w:val="28"/>
                      <w:szCs w:val="28"/>
                    </w:rPr>
                    <w:t>Statement of Compatibility with Human Rights</w:t>
                  </w:r>
                </w:p>
                <w:p w:rsidR="00140A09" w:rsidRPr="00F45FC8" w:rsidRDefault="00140A09" w:rsidP="00140A09">
                  <w:pPr>
                    <w:spacing w:before="120" w:after="120"/>
                    <w:jc w:val="center"/>
                    <w:rPr>
                      <w:rFonts w:ascii="Cambria" w:hAnsi="Cambria"/>
                    </w:rPr>
                  </w:pPr>
                  <w:r w:rsidRPr="00F45FC8">
                    <w:rPr>
                      <w:rFonts w:ascii="Cambria" w:hAnsi="Cambria"/>
                      <w:i/>
                    </w:rPr>
                    <w:t>Prepared in accordance with Part 3 of the Human Rights (Parliamentary Scrutiny) Act 2011</w:t>
                  </w:r>
                </w:p>
                <w:p w:rsidR="00140A09" w:rsidRPr="002B394B" w:rsidRDefault="00140A09" w:rsidP="00140A09">
                  <w:pPr>
                    <w:spacing w:before="120" w:after="120"/>
                    <w:jc w:val="center"/>
                    <w:rPr>
                      <w:rFonts w:ascii="Cambria" w:hAnsi="Cambria"/>
                      <w:b/>
                    </w:rPr>
                  </w:pPr>
                  <w:r>
                    <w:rPr>
                      <w:rFonts w:ascii="Cambria" w:hAnsi="Cambria"/>
                      <w:b/>
                    </w:rPr>
                    <w:t>Television Outside Broadcast Service (1980-2110 MHz and 2170-2300 MHz) Frequency Band Plan 2012</w:t>
                  </w:r>
                </w:p>
                <w:p w:rsidR="00140A09" w:rsidRPr="007D0CCC" w:rsidRDefault="00140A09" w:rsidP="00140A09">
                  <w:pPr>
                    <w:spacing w:before="120" w:after="120"/>
                    <w:jc w:val="both"/>
                    <w:rPr>
                      <w:rFonts w:ascii="Cambria" w:hAnsi="Cambria"/>
                    </w:rPr>
                  </w:pPr>
                  <w:r w:rsidRPr="007D0CCC">
                    <w:rPr>
                      <w:rFonts w:ascii="Cambria" w:hAnsi="Cambria"/>
                    </w:rPr>
                    <w:t xml:space="preserve">This Legislative Instrument made by the Australian Communications and Media Authority (ACMA) is compatible with the human rights and freedoms recognised or declared in the international instruments listed in section 3 of the </w:t>
                  </w:r>
                  <w:r w:rsidRPr="007D0CCC">
                    <w:rPr>
                      <w:rFonts w:ascii="Cambria" w:hAnsi="Cambria"/>
                      <w:i/>
                    </w:rPr>
                    <w:t>Human Rights (Parliamentary Scrutiny) Act 2011</w:t>
                  </w:r>
                  <w:r w:rsidRPr="007D0CCC">
                    <w:rPr>
                      <w:rFonts w:ascii="Cambria" w:hAnsi="Cambria"/>
                    </w:rPr>
                    <w:t>.</w:t>
                  </w:r>
                </w:p>
                <w:p w:rsidR="00140A09" w:rsidRPr="007C2A39" w:rsidRDefault="00140A09" w:rsidP="00140A09">
                  <w:pPr>
                    <w:spacing w:before="120" w:after="120"/>
                    <w:jc w:val="both"/>
                    <w:rPr>
                      <w:rFonts w:ascii="Cambria" w:hAnsi="Cambria"/>
                      <w:b/>
                    </w:rPr>
                  </w:pPr>
                  <w:r w:rsidRPr="007C2A39">
                    <w:rPr>
                      <w:rFonts w:ascii="Cambria" w:hAnsi="Cambria"/>
                      <w:b/>
                    </w:rPr>
                    <w:t>Overview of the Legislative Instrument</w:t>
                  </w:r>
                </w:p>
                <w:p w:rsidR="00140A09" w:rsidRPr="00920916" w:rsidRDefault="00140A09" w:rsidP="00140A09">
                  <w:pPr>
                    <w:spacing w:before="120" w:after="120"/>
                    <w:jc w:val="both"/>
                    <w:rPr>
                      <w:rFonts w:ascii="Cambria" w:hAnsi="Cambria"/>
                    </w:rPr>
                  </w:pPr>
                  <w:r w:rsidRPr="00A42E75">
                    <w:rPr>
                      <w:rFonts w:ascii="Cambria" w:hAnsi="Cambria"/>
                    </w:rPr>
                    <w:t xml:space="preserve">A frequency band plan is a legislative instrument for the purposes of the </w:t>
                  </w:r>
                  <w:r w:rsidRPr="00A73444">
                    <w:rPr>
                      <w:rFonts w:ascii="Cambria" w:hAnsi="Cambria"/>
                      <w:i/>
                    </w:rPr>
                    <w:t>Legislative Instruments Act 2003</w:t>
                  </w:r>
                  <w:r w:rsidRPr="00A42E75">
                    <w:rPr>
                      <w:rFonts w:ascii="Cambria" w:hAnsi="Cambria"/>
                    </w:rPr>
                    <w:t xml:space="preserve">. </w:t>
                  </w:r>
                  <w:r>
                    <w:rPr>
                      <w:rFonts w:ascii="Cambria" w:hAnsi="Cambria"/>
                    </w:rPr>
                    <w:t xml:space="preserve"> </w:t>
                  </w:r>
                  <w:r w:rsidRPr="00920916">
                    <w:rPr>
                      <w:rFonts w:ascii="Cambria" w:hAnsi="Cambria"/>
                    </w:rPr>
                    <w:t xml:space="preserve">The </w:t>
                  </w:r>
                  <w:r w:rsidRPr="003B310C">
                    <w:rPr>
                      <w:rFonts w:ascii="Cambria" w:hAnsi="Cambria"/>
                      <w:i/>
                    </w:rPr>
                    <w:t>Television Outside Broadcast Service (1980-2110 MHz and 2170-2300 MHz)</w:t>
                  </w:r>
                  <w:r w:rsidRPr="003B310C">
                    <w:rPr>
                      <w:rFonts w:ascii="Cambria" w:hAnsi="Cambria"/>
                      <w:b/>
                      <w:i/>
                    </w:rPr>
                    <w:t xml:space="preserve"> </w:t>
                  </w:r>
                  <w:r w:rsidRPr="003B310C">
                    <w:rPr>
                      <w:rFonts w:ascii="Cambria" w:hAnsi="Cambria"/>
                      <w:i/>
                    </w:rPr>
                    <w:t>Frequency Band Plan 2012</w:t>
                  </w:r>
                  <w:r>
                    <w:rPr>
                      <w:rFonts w:ascii="Cambria" w:hAnsi="Cambria"/>
                    </w:rPr>
                    <w:t xml:space="preserve"> (‘the Frequency Band Plan’)</w:t>
                  </w:r>
                  <w:r w:rsidRPr="00920916">
                    <w:rPr>
                      <w:rFonts w:ascii="Cambria" w:hAnsi="Cambria"/>
                    </w:rPr>
                    <w:t xml:space="preserve"> is made under section</w:t>
                  </w:r>
                  <w:r>
                    <w:rPr>
                      <w:rFonts w:ascii="Cambria" w:hAnsi="Cambria"/>
                    </w:rPr>
                    <w:t>s</w:t>
                  </w:r>
                  <w:r w:rsidRPr="00920916">
                    <w:rPr>
                      <w:rFonts w:ascii="Cambria" w:hAnsi="Cambria"/>
                    </w:rPr>
                    <w:t xml:space="preserve"> 32 and 34 of the </w:t>
                  </w:r>
                  <w:r w:rsidRPr="00A73444">
                    <w:rPr>
                      <w:rFonts w:ascii="Cambria" w:hAnsi="Cambria"/>
                      <w:i/>
                    </w:rPr>
                    <w:t>Radiocommunications Act 1992</w:t>
                  </w:r>
                  <w:r w:rsidRPr="00920916">
                    <w:rPr>
                      <w:rFonts w:ascii="Cambria" w:hAnsi="Cambria"/>
                    </w:rPr>
                    <w:t xml:space="preserve"> which provide that the ACMA may, by written instruments, prepare frequency band plans, each relating to one or more frequency bands.</w:t>
                  </w:r>
                </w:p>
                <w:p w:rsidR="00140A09" w:rsidRPr="00A42E75" w:rsidRDefault="00140A09" w:rsidP="00140A09">
                  <w:pPr>
                    <w:spacing w:before="120" w:after="120"/>
                    <w:jc w:val="both"/>
                    <w:rPr>
                      <w:rFonts w:ascii="Cambria" w:hAnsi="Cambria"/>
                    </w:rPr>
                  </w:pPr>
                  <w:r w:rsidRPr="00A42E75">
                    <w:rPr>
                      <w:rFonts w:ascii="Cambria" w:hAnsi="Cambria"/>
                    </w:rPr>
                    <w:t>The purpose of the Frequency Band Plan is to:</w:t>
                  </w:r>
                </w:p>
                <w:p w:rsidR="00140A09" w:rsidRPr="00A42E75" w:rsidRDefault="00140A09" w:rsidP="00140A09">
                  <w:pPr>
                    <w:numPr>
                      <w:ilvl w:val="0"/>
                      <w:numId w:val="30"/>
                    </w:numPr>
                    <w:spacing w:before="120" w:after="120" w:line="276" w:lineRule="auto"/>
                    <w:jc w:val="both"/>
                    <w:rPr>
                      <w:rFonts w:ascii="Cambria" w:hAnsi="Cambria"/>
                    </w:rPr>
                  </w:pPr>
                  <w:r w:rsidRPr="00A42E75">
                    <w:rPr>
                      <w:rFonts w:ascii="Cambria" w:hAnsi="Cambria"/>
                    </w:rPr>
                    <w:t>identify the 1980-2110 MHz and 2170-2300 MHz frequency bands as bands available for use by television outside broadcast (TOB) services;</w:t>
                  </w:r>
                </w:p>
                <w:p w:rsidR="00140A09" w:rsidRPr="00A42E75" w:rsidRDefault="00140A09" w:rsidP="00140A09">
                  <w:pPr>
                    <w:numPr>
                      <w:ilvl w:val="0"/>
                      <w:numId w:val="30"/>
                    </w:numPr>
                    <w:spacing w:before="120" w:after="120" w:line="276" w:lineRule="auto"/>
                    <w:jc w:val="both"/>
                    <w:rPr>
                      <w:rFonts w:ascii="Cambria" w:hAnsi="Cambria"/>
                    </w:rPr>
                  </w:pPr>
                  <w:r w:rsidRPr="00A42E75">
                    <w:rPr>
                      <w:rFonts w:ascii="Cambria" w:hAnsi="Cambria"/>
                    </w:rPr>
                    <w:t>support the closure of existing point-to-point links in bands and area to be frequently used by TOB services by 1 November 2013;</w:t>
                  </w:r>
                </w:p>
                <w:p w:rsidR="00140A09" w:rsidRPr="00A42E75" w:rsidRDefault="00140A09" w:rsidP="00140A09">
                  <w:pPr>
                    <w:numPr>
                      <w:ilvl w:val="0"/>
                      <w:numId w:val="30"/>
                    </w:numPr>
                    <w:spacing w:before="120" w:after="120" w:line="276" w:lineRule="auto"/>
                    <w:jc w:val="both"/>
                    <w:rPr>
                      <w:rFonts w:ascii="Cambria" w:hAnsi="Cambria"/>
                    </w:rPr>
                  </w:pPr>
                  <w:r w:rsidRPr="00A42E75">
                    <w:rPr>
                      <w:rFonts w:ascii="Cambria" w:hAnsi="Cambria"/>
                    </w:rPr>
                    <w:t>support the end of earth station operations in the 2025-2110 MHz and 2200-2300 MHz bands in Perth (Lansdale/Gnangara) by 1 January 2016;</w:t>
                  </w:r>
                </w:p>
                <w:p w:rsidR="00140A09" w:rsidRDefault="00140A09" w:rsidP="00140A09">
                  <w:pPr>
                    <w:numPr>
                      <w:ilvl w:val="0"/>
                      <w:numId w:val="30"/>
                    </w:numPr>
                    <w:spacing w:before="120" w:after="120" w:line="276" w:lineRule="auto"/>
                    <w:jc w:val="both"/>
                    <w:rPr>
                      <w:rFonts w:ascii="Cambria" w:hAnsi="Cambria"/>
                    </w:rPr>
                  </w:pPr>
                  <w:r w:rsidRPr="00A42E75">
                    <w:rPr>
                      <w:rFonts w:ascii="Cambria" w:hAnsi="Cambria"/>
                    </w:rPr>
                    <w:t>revoke two existing frequency band plan</w:t>
                  </w:r>
                  <w:r>
                    <w:rPr>
                      <w:rFonts w:ascii="Cambria" w:hAnsi="Cambria"/>
                    </w:rPr>
                    <w:t>s</w:t>
                  </w:r>
                  <w:r w:rsidRPr="00A42E75">
                    <w:rPr>
                      <w:rFonts w:ascii="Cambria" w:hAnsi="Cambria"/>
                    </w:rPr>
                    <w:t xml:space="preserve"> to remove provisions that would otherwise limit the operation of TOB services in the 1980-2010 MHz, 2076-2111 MHz and 2170-2200 MHz frequency bands.</w:t>
                  </w:r>
                </w:p>
                <w:p w:rsidR="00140A09" w:rsidRPr="00920916" w:rsidRDefault="00140A09" w:rsidP="00140A09">
                  <w:pPr>
                    <w:spacing w:before="120" w:after="120"/>
                    <w:jc w:val="both"/>
                    <w:rPr>
                      <w:rFonts w:ascii="Cambria" w:hAnsi="Cambria"/>
                    </w:rPr>
                  </w:pPr>
                  <w:r>
                    <w:rPr>
                      <w:rFonts w:ascii="Cambria" w:hAnsi="Cambria"/>
                    </w:rPr>
                    <w:t>The</w:t>
                  </w:r>
                  <w:r w:rsidRPr="00920916">
                    <w:rPr>
                      <w:rFonts w:ascii="Cambria" w:hAnsi="Cambria"/>
                    </w:rPr>
                    <w:t xml:space="preserve"> Frequency Band Plan</w:t>
                  </w:r>
                  <w:r>
                    <w:rPr>
                      <w:rFonts w:ascii="Cambria" w:hAnsi="Cambria"/>
                    </w:rPr>
                    <w:t xml:space="preserve"> prescribes </w:t>
                  </w:r>
                  <w:r w:rsidRPr="00920916">
                    <w:rPr>
                      <w:rFonts w:ascii="Cambria" w:hAnsi="Cambria"/>
                    </w:rPr>
                    <w:t xml:space="preserve">how </w:t>
                  </w:r>
                  <w:r>
                    <w:rPr>
                      <w:rFonts w:ascii="Cambria" w:hAnsi="Cambria"/>
                    </w:rPr>
                    <w:t>certain frequency bands</w:t>
                  </w:r>
                  <w:r w:rsidRPr="00920916">
                    <w:rPr>
                      <w:rFonts w:ascii="Cambria" w:hAnsi="Cambria"/>
                    </w:rPr>
                    <w:t xml:space="preserve"> may be used </w:t>
                  </w:r>
                  <w:r>
                    <w:rPr>
                      <w:rFonts w:ascii="Cambria" w:hAnsi="Cambria"/>
                    </w:rPr>
                    <w:t xml:space="preserve">by a set of </w:t>
                  </w:r>
                  <w:r w:rsidRPr="00920916">
                    <w:rPr>
                      <w:rFonts w:ascii="Cambria" w:hAnsi="Cambria"/>
                    </w:rPr>
                    <w:t xml:space="preserve">primary and secondary services and does not affect the rights or freedoms of any </w:t>
                  </w:r>
                  <w:r>
                    <w:rPr>
                      <w:rFonts w:ascii="Cambria" w:hAnsi="Cambria"/>
                    </w:rPr>
                    <w:t>individual</w:t>
                  </w:r>
                  <w:r w:rsidRPr="00920916">
                    <w:rPr>
                      <w:rFonts w:ascii="Cambria" w:hAnsi="Cambria"/>
                    </w:rPr>
                    <w:t>.</w:t>
                  </w:r>
                </w:p>
                <w:p w:rsidR="00140A09" w:rsidRPr="007C2A39" w:rsidRDefault="00140A09" w:rsidP="00140A09">
                  <w:pPr>
                    <w:spacing w:before="120" w:after="120"/>
                    <w:jc w:val="both"/>
                    <w:rPr>
                      <w:rFonts w:ascii="Cambria" w:hAnsi="Cambria"/>
                      <w:b/>
                    </w:rPr>
                  </w:pPr>
                  <w:r w:rsidRPr="007C2A39">
                    <w:rPr>
                      <w:rFonts w:ascii="Cambria" w:hAnsi="Cambria"/>
                      <w:b/>
                    </w:rPr>
                    <w:t>Human rights implications</w:t>
                  </w:r>
                </w:p>
                <w:p w:rsidR="00140A09" w:rsidRPr="007C2A39" w:rsidRDefault="00140A09" w:rsidP="00140A09">
                  <w:pPr>
                    <w:spacing w:before="120" w:after="120"/>
                    <w:jc w:val="both"/>
                    <w:rPr>
                      <w:rFonts w:ascii="Cambria" w:hAnsi="Cambria"/>
                    </w:rPr>
                  </w:pPr>
                  <w:r w:rsidRPr="007C2A39">
                    <w:rPr>
                      <w:rFonts w:ascii="Cambria" w:hAnsi="Cambria"/>
                    </w:rPr>
                    <w:t>This Legislative Instrument does not engage any of the applicable rights or freedoms.</w:t>
                  </w:r>
                </w:p>
                <w:p w:rsidR="00140A09" w:rsidRPr="007C2A39" w:rsidRDefault="00140A09" w:rsidP="00140A09">
                  <w:pPr>
                    <w:spacing w:before="120" w:after="120"/>
                    <w:jc w:val="both"/>
                    <w:rPr>
                      <w:rFonts w:ascii="Cambria" w:hAnsi="Cambria"/>
                      <w:b/>
                    </w:rPr>
                  </w:pPr>
                  <w:r w:rsidRPr="007C2A39">
                    <w:rPr>
                      <w:rFonts w:ascii="Cambria" w:hAnsi="Cambria"/>
                      <w:b/>
                    </w:rPr>
                    <w:t>Conclusion</w:t>
                  </w:r>
                </w:p>
                <w:p w:rsidR="00140A09" w:rsidRDefault="00140A09" w:rsidP="00140A09">
                  <w:pPr>
                    <w:spacing w:before="120" w:after="120"/>
                    <w:jc w:val="both"/>
                    <w:rPr>
                      <w:rFonts w:ascii="Cambria" w:hAnsi="Cambria"/>
                    </w:rPr>
                  </w:pPr>
                  <w:r w:rsidRPr="007C2A39">
                    <w:rPr>
                      <w:rFonts w:ascii="Cambria" w:hAnsi="Cambria"/>
                    </w:rPr>
                    <w:t>This Legislative Instrument is compatible with human rights as it does not raise any human rights issues.</w:t>
                  </w:r>
                </w:p>
                <w:p w:rsidR="00C61D43" w:rsidRDefault="00C61D43" w:rsidP="00140A09">
                  <w:pPr>
                    <w:spacing w:before="120" w:after="120"/>
                    <w:jc w:val="both"/>
                    <w:rPr>
                      <w:rFonts w:ascii="Cambria" w:hAnsi="Cambria"/>
                      <w:b/>
                    </w:rPr>
                  </w:pPr>
                </w:p>
                <w:p w:rsidR="00140A09" w:rsidRDefault="00140A09" w:rsidP="00140A09">
                  <w:pPr>
                    <w:spacing w:before="120" w:after="120"/>
                    <w:jc w:val="both"/>
                    <w:rPr>
                      <w:rFonts w:ascii="Cambria" w:hAnsi="Cambria"/>
                      <w:b/>
                    </w:rPr>
                  </w:pPr>
                  <w:r>
                    <w:rPr>
                      <w:rFonts w:ascii="Cambria" w:hAnsi="Cambria"/>
                      <w:b/>
                    </w:rPr>
                    <w:t>The Australian Communication and Media Authority</w:t>
                  </w:r>
                </w:p>
                <w:p w:rsidR="00140A09" w:rsidRDefault="00140A09" w:rsidP="00140A09">
                  <w:pPr>
                    <w:spacing w:before="120" w:after="120"/>
                    <w:rPr>
                      <w:rFonts w:ascii="Cambria" w:hAnsi="Cambria"/>
                      <w:b/>
                    </w:rPr>
                  </w:pPr>
                </w:p>
                <w:p w:rsidR="00140A09" w:rsidRDefault="00140A09" w:rsidP="00140A09">
                  <w:pPr>
                    <w:spacing w:before="120" w:after="120"/>
                    <w:rPr>
                      <w:rFonts w:ascii="Cambria" w:hAnsi="Cambria"/>
                      <w:b/>
                    </w:rPr>
                  </w:pPr>
                </w:p>
                <w:p w:rsidR="00140A09" w:rsidRPr="002B394B" w:rsidRDefault="00140A09" w:rsidP="00140A09">
                  <w:pPr>
                    <w:spacing w:before="120" w:after="120"/>
                    <w:rPr>
                      <w:rFonts w:ascii="Cambria" w:hAnsi="Cambria"/>
                    </w:rPr>
                  </w:pPr>
                </w:p>
              </w:txbxContent>
            </v:textbox>
          </v:rect>
        </w:pict>
      </w:r>
    </w:p>
    <w:p w:rsidR="00140A09" w:rsidRDefault="00140A09" w:rsidP="00140A09">
      <w:pPr>
        <w:ind w:left="720" w:hanging="720"/>
      </w:pPr>
    </w:p>
    <w:p w:rsidR="00140A09" w:rsidRDefault="00140A09" w:rsidP="00140A09">
      <w:pPr>
        <w:ind w:left="720" w:hanging="720"/>
      </w:pPr>
    </w:p>
    <w:p w:rsidR="00140A09" w:rsidRDefault="00140A09" w:rsidP="00140A09">
      <w:pPr>
        <w:ind w:left="720" w:hanging="720"/>
      </w:pPr>
    </w:p>
    <w:p w:rsidR="00140A09" w:rsidRDefault="00140A09" w:rsidP="00140A09">
      <w:pPr>
        <w:ind w:left="720" w:hanging="720"/>
      </w:pPr>
    </w:p>
    <w:p w:rsidR="00140A09" w:rsidRDefault="00140A09" w:rsidP="00140A09">
      <w:pPr>
        <w:ind w:left="720" w:hanging="720"/>
      </w:pPr>
    </w:p>
    <w:p w:rsidR="00140A09" w:rsidRDefault="00140A09" w:rsidP="00140A09">
      <w:pPr>
        <w:ind w:left="720" w:hanging="720"/>
      </w:pPr>
    </w:p>
    <w:p w:rsidR="00140A09" w:rsidRDefault="00140A09" w:rsidP="00140A09">
      <w:pPr>
        <w:ind w:left="720" w:hanging="720"/>
      </w:pPr>
    </w:p>
    <w:p w:rsidR="00140A09" w:rsidRDefault="00140A09" w:rsidP="00140A09">
      <w:pPr>
        <w:ind w:left="720" w:hanging="720"/>
      </w:pPr>
    </w:p>
    <w:p w:rsidR="00140A09" w:rsidRDefault="00140A09" w:rsidP="00140A09">
      <w:pPr>
        <w:ind w:left="720" w:hanging="720"/>
      </w:pPr>
    </w:p>
    <w:p w:rsidR="00140A09" w:rsidRDefault="00140A09" w:rsidP="00140A09">
      <w:pPr>
        <w:ind w:left="720" w:hanging="720"/>
      </w:pPr>
    </w:p>
    <w:p w:rsidR="00140A09" w:rsidRDefault="00140A09" w:rsidP="00140A09">
      <w:pPr>
        <w:ind w:left="720" w:hanging="720"/>
      </w:pPr>
    </w:p>
    <w:p w:rsidR="00140A09" w:rsidRDefault="00140A09" w:rsidP="00140A09">
      <w:pPr>
        <w:ind w:left="720" w:hanging="720"/>
      </w:pPr>
    </w:p>
    <w:p w:rsidR="00140A09" w:rsidRDefault="00140A09" w:rsidP="00140A09">
      <w:pPr>
        <w:ind w:left="720" w:hanging="720"/>
      </w:pPr>
    </w:p>
    <w:p w:rsidR="00140A09" w:rsidRDefault="00140A09" w:rsidP="00140A09">
      <w:pPr>
        <w:ind w:left="720" w:hanging="720"/>
      </w:pPr>
    </w:p>
    <w:p w:rsidR="00140A09" w:rsidRDefault="00140A09" w:rsidP="00140A09">
      <w:pPr>
        <w:ind w:left="720" w:hanging="720"/>
      </w:pPr>
    </w:p>
    <w:p w:rsidR="00140A09" w:rsidRDefault="00140A09" w:rsidP="00140A09">
      <w:pPr>
        <w:ind w:left="720" w:hanging="720"/>
      </w:pPr>
    </w:p>
    <w:p w:rsidR="00140A09" w:rsidRDefault="00140A09" w:rsidP="00140A09">
      <w:pPr>
        <w:ind w:left="720" w:hanging="720"/>
      </w:pPr>
    </w:p>
    <w:p w:rsidR="00140A09" w:rsidRDefault="00140A09" w:rsidP="00140A09">
      <w:pPr>
        <w:ind w:left="720" w:hanging="720"/>
      </w:pPr>
    </w:p>
    <w:p w:rsidR="00140A09" w:rsidRDefault="00140A09" w:rsidP="00140A09">
      <w:pPr>
        <w:ind w:left="720" w:hanging="720"/>
      </w:pPr>
    </w:p>
    <w:p w:rsidR="00140A09" w:rsidRDefault="00140A09" w:rsidP="00140A09">
      <w:pPr>
        <w:ind w:left="720" w:hanging="720"/>
      </w:pPr>
    </w:p>
    <w:p w:rsidR="00140A09" w:rsidRDefault="00140A09" w:rsidP="00140A09">
      <w:pPr>
        <w:ind w:left="720" w:hanging="720"/>
      </w:pPr>
    </w:p>
    <w:p w:rsidR="00140A09" w:rsidRDefault="00140A09" w:rsidP="00140A09">
      <w:pPr>
        <w:ind w:left="720" w:hanging="720"/>
      </w:pPr>
    </w:p>
    <w:bookmarkEnd w:id="3"/>
    <w:p w:rsidR="00140A09" w:rsidRDefault="00140A09" w:rsidP="00140A09">
      <w:pPr>
        <w:ind w:left="720" w:hanging="720"/>
      </w:pPr>
    </w:p>
    <w:p w:rsidR="00C328A2" w:rsidRPr="00E818EB" w:rsidRDefault="00C328A2" w:rsidP="003C6AE3">
      <w:pPr>
        <w:rPr>
          <w:rFonts w:cs="Arial"/>
        </w:rPr>
      </w:pPr>
    </w:p>
    <w:sectPr w:rsidR="00C328A2" w:rsidRPr="00E818EB" w:rsidSect="003C6AE3">
      <w:headerReference w:type="even" r:id="rId11"/>
      <w:headerReference w:type="first" r:id="rId12"/>
      <w:type w:val="continuous"/>
      <w:pgSz w:w="12240" w:h="15840" w:code="1"/>
      <w:pgMar w:top="1440" w:right="1797" w:bottom="1440" w:left="1797"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69A3" w:rsidRDefault="00E369A3">
      <w:r>
        <w:separator/>
      </w:r>
    </w:p>
  </w:endnote>
  <w:endnote w:type="continuationSeparator" w:id="0">
    <w:p w:rsidR="00E369A3" w:rsidRDefault="00E369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NeueLT Std Lt">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69A3" w:rsidRDefault="00E369A3">
      <w:r>
        <w:separator/>
      </w:r>
    </w:p>
  </w:footnote>
  <w:footnote w:type="continuationSeparator" w:id="0">
    <w:p w:rsidR="00E369A3" w:rsidRDefault="00E369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BEE" w:rsidRDefault="0046159F">
    <w:pPr>
      <w:pStyle w:val="Header"/>
    </w:pPr>
    <w:r>
      <w:rPr>
        <w:noProof/>
        <w:lang w:eastAsia="en-AU"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0720150" o:spid="_x0000_s2050" type="#_x0000_t75" style="position:absolute;margin-left:0;margin-top:0;width:431.85pt;height:482pt;z-index:-251658240;mso-position-horizontal:center;mso-position-horizontal-relative:margin;mso-position-vertical:center;mso-position-vertical-relative:margin" o:allowincell="f">
          <v:imagedata r:id="rId1" o:title="Untitled"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BEE" w:rsidRPr="00C63C44" w:rsidRDefault="0046159F" w:rsidP="00E11AB6">
    <w:pPr>
      <w:pStyle w:val="ACMAHeading3"/>
      <w:jc w:val="right"/>
      <w:rPr>
        <w:lang w:eastAsia="en-AU"/>
      </w:rPr>
    </w:pPr>
    <w:r>
      <w:rPr>
        <w:noProof/>
        <w:lang w:val="en-AU"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0720149" o:spid="_x0000_s2049" type="#_x0000_t75" style="position:absolute;left:0;text-align:left;margin-left:0;margin-top:0;width:431.85pt;height:482pt;z-index:-251659264;mso-position-horizontal:center;mso-position-horizontal-relative:margin;mso-position-vertical:center;mso-position-vertical-relative:margin" o:allowincell="f">
          <v:imagedata r:id="rId1" o:title="Untitled" gain="19661f" blacklevel="22938f"/>
          <w10:wrap anchorx="margin" anchory="margin"/>
        </v:shape>
      </w:pict>
    </w:r>
    <w:r w:rsidR="00AE3BEE">
      <w:tab/>
    </w:r>
    <w:r w:rsidR="00AE3BEE" w:rsidRPr="00C63C44">
      <w:rPr>
        <w:lang w:eastAsia="en-AU"/>
      </w:rPr>
      <w:t xml:space="preserve">Attachment </w:t>
    </w:r>
    <w:r w:rsidR="00AE3BEE">
      <w:rPr>
        <w:lang w:eastAsia="en-AU"/>
      </w:rPr>
      <w:t>E</w:t>
    </w:r>
  </w:p>
  <w:p w:rsidR="00AE3BEE" w:rsidRDefault="00AE3BEE" w:rsidP="008A0882">
    <w:pPr>
      <w:pStyle w:val="Header"/>
      <w:tabs>
        <w:tab w:val="left" w:pos="702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46B42"/>
    <w:multiLevelType w:val="hybridMultilevel"/>
    <w:tmpl w:val="9326A7F4"/>
    <w:lvl w:ilvl="0" w:tplc="7BA04F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0EB55F81"/>
    <w:multiLevelType w:val="hybridMultilevel"/>
    <w:tmpl w:val="884A1BC8"/>
    <w:lvl w:ilvl="0" w:tplc="91887B66">
      <w:start w:val="1"/>
      <w:numFmt w:val="decimal"/>
      <w:pStyle w:val="LegislationLvl1"/>
      <w:lvlText w:val="%1"/>
      <w:lvlJc w:val="left"/>
      <w:pPr>
        <w:tabs>
          <w:tab w:val="num" w:pos="1080"/>
        </w:tabs>
        <w:ind w:left="1080" w:hanging="720"/>
      </w:pPr>
      <w:rPr>
        <w:rFonts w:hint="default"/>
      </w:rPr>
    </w:lvl>
    <w:lvl w:ilvl="1" w:tplc="652A519A">
      <w:start w:val="1"/>
      <w:numFmt w:val="decimal"/>
      <w:pStyle w:val="LegislationLvl2"/>
      <w:lvlText w:val="(%2)"/>
      <w:lvlJc w:val="left"/>
      <w:pPr>
        <w:tabs>
          <w:tab w:val="num" w:pos="1440"/>
        </w:tabs>
        <w:ind w:left="1440" w:hanging="360"/>
      </w:pPr>
      <w:rPr>
        <w:rFonts w:hint="default"/>
      </w:rPr>
    </w:lvl>
    <w:lvl w:ilvl="2" w:tplc="11568F54">
      <w:start w:val="1"/>
      <w:numFmt w:val="lowerLetter"/>
      <w:pStyle w:val="LegislationLvl3"/>
      <w:lvlText w:val="(%3)"/>
      <w:lvlJc w:val="left"/>
      <w:pPr>
        <w:tabs>
          <w:tab w:val="num" w:pos="2340"/>
        </w:tabs>
        <w:ind w:left="2340" w:hanging="360"/>
      </w:pPr>
      <w:rPr>
        <w:rFonts w:hint="default"/>
      </w:rPr>
    </w:lvl>
    <w:lvl w:ilvl="3" w:tplc="2A7E739A">
      <w:start w:val="1"/>
      <w:numFmt w:val="lowerRoman"/>
      <w:pStyle w:val="LegislationLvl4"/>
      <w:lvlText w:val="(%4)"/>
      <w:lvlJc w:val="right"/>
      <w:pPr>
        <w:tabs>
          <w:tab w:val="num" w:pos="2700"/>
        </w:tabs>
        <w:ind w:left="2700" w:hanging="180"/>
      </w:pPr>
      <w:rPr>
        <w:rFonts w:hint="default"/>
      </w:rPr>
    </w:lvl>
    <w:lvl w:ilvl="4" w:tplc="577C88B8">
      <w:start w:val="1"/>
      <w:numFmt w:val="lowerLetter"/>
      <w:lvlText w:val="%5."/>
      <w:lvlJc w:val="left"/>
      <w:pPr>
        <w:tabs>
          <w:tab w:val="num" w:pos="3600"/>
        </w:tabs>
        <w:ind w:left="3600" w:hanging="360"/>
      </w:pPr>
    </w:lvl>
    <w:lvl w:ilvl="5" w:tplc="A4E20FCE">
      <w:start w:val="1"/>
      <w:numFmt w:val="lowerRoman"/>
      <w:lvlText w:val="%6."/>
      <w:lvlJc w:val="right"/>
      <w:pPr>
        <w:tabs>
          <w:tab w:val="num" w:pos="4320"/>
        </w:tabs>
        <w:ind w:left="4320" w:hanging="180"/>
      </w:pPr>
    </w:lvl>
    <w:lvl w:ilvl="6" w:tplc="AF328EAC" w:tentative="1">
      <w:start w:val="1"/>
      <w:numFmt w:val="decimal"/>
      <w:lvlText w:val="%7."/>
      <w:lvlJc w:val="left"/>
      <w:pPr>
        <w:tabs>
          <w:tab w:val="num" w:pos="5040"/>
        </w:tabs>
        <w:ind w:left="5040" w:hanging="360"/>
      </w:pPr>
    </w:lvl>
    <w:lvl w:ilvl="7" w:tplc="C2EA251A" w:tentative="1">
      <w:start w:val="1"/>
      <w:numFmt w:val="lowerLetter"/>
      <w:lvlText w:val="%8."/>
      <w:lvlJc w:val="left"/>
      <w:pPr>
        <w:tabs>
          <w:tab w:val="num" w:pos="5760"/>
        </w:tabs>
        <w:ind w:left="5760" w:hanging="360"/>
      </w:pPr>
    </w:lvl>
    <w:lvl w:ilvl="8" w:tplc="CE3EB634" w:tentative="1">
      <w:start w:val="1"/>
      <w:numFmt w:val="lowerRoman"/>
      <w:lvlText w:val="%9."/>
      <w:lvlJc w:val="right"/>
      <w:pPr>
        <w:tabs>
          <w:tab w:val="num" w:pos="6480"/>
        </w:tabs>
        <w:ind w:left="6480" w:hanging="180"/>
      </w:pPr>
    </w:lvl>
  </w:abstractNum>
  <w:abstractNum w:abstractNumId="3">
    <w:nsid w:val="10F3603E"/>
    <w:multiLevelType w:val="hybridMultilevel"/>
    <w:tmpl w:val="39FE2ADA"/>
    <w:lvl w:ilvl="0" w:tplc="1FEAC79A">
      <w:start w:val="1"/>
      <w:numFmt w:val="bullet"/>
      <w:pStyle w:val="ACMATableBullet"/>
      <w:lvlText w:val=""/>
      <w:lvlJc w:val="left"/>
      <w:pPr>
        <w:tabs>
          <w:tab w:val="num" w:pos="720"/>
        </w:tabs>
        <w:ind w:left="720" w:hanging="360"/>
      </w:pPr>
      <w:rPr>
        <w:rFonts w:ascii="Symbol" w:hAnsi="Symbol" w:hint="default"/>
      </w:rPr>
    </w:lvl>
    <w:lvl w:ilvl="1" w:tplc="EE32AAA0" w:tentative="1">
      <w:start w:val="1"/>
      <w:numFmt w:val="bullet"/>
      <w:lvlText w:val="o"/>
      <w:lvlJc w:val="left"/>
      <w:pPr>
        <w:tabs>
          <w:tab w:val="num" w:pos="1440"/>
        </w:tabs>
        <w:ind w:left="1440" w:hanging="360"/>
      </w:pPr>
      <w:rPr>
        <w:rFonts w:ascii="Courier New" w:hAnsi="Courier New" w:hint="default"/>
      </w:rPr>
    </w:lvl>
    <w:lvl w:ilvl="2" w:tplc="36B66E34" w:tentative="1">
      <w:start w:val="1"/>
      <w:numFmt w:val="bullet"/>
      <w:lvlText w:val=""/>
      <w:lvlJc w:val="left"/>
      <w:pPr>
        <w:tabs>
          <w:tab w:val="num" w:pos="2160"/>
        </w:tabs>
        <w:ind w:left="2160" w:hanging="360"/>
      </w:pPr>
      <w:rPr>
        <w:rFonts w:ascii="Wingdings" w:hAnsi="Wingdings" w:hint="default"/>
      </w:rPr>
    </w:lvl>
    <w:lvl w:ilvl="3" w:tplc="28C0B728" w:tentative="1">
      <w:start w:val="1"/>
      <w:numFmt w:val="bullet"/>
      <w:lvlText w:val=""/>
      <w:lvlJc w:val="left"/>
      <w:pPr>
        <w:tabs>
          <w:tab w:val="num" w:pos="2880"/>
        </w:tabs>
        <w:ind w:left="2880" w:hanging="360"/>
      </w:pPr>
      <w:rPr>
        <w:rFonts w:ascii="Symbol" w:hAnsi="Symbol" w:hint="default"/>
      </w:rPr>
    </w:lvl>
    <w:lvl w:ilvl="4" w:tplc="16C63112" w:tentative="1">
      <w:start w:val="1"/>
      <w:numFmt w:val="bullet"/>
      <w:lvlText w:val="o"/>
      <w:lvlJc w:val="left"/>
      <w:pPr>
        <w:tabs>
          <w:tab w:val="num" w:pos="3600"/>
        </w:tabs>
        <w:ind w:left="3600" w:hanging="360"/>
      </w:pPr>
      <w:rPr>
        <w:rFonts w:ascii="Courier New" w:hAnsi="Courier New" w:hint="default"/>
      </w:rPr>
    </w:lvl>
    <w:lvl w:ilvl="5" w:tplc="EB4ECE14" w:tentative="1">
      <w:start w:val="1"/>
      <w:numFmt w:val="bullet"/>
      <w:lvlText w:val=""/>
      <w:lvlJc w:val="left"/>
      <w:pPr>
        <w:tabs>
          <w:tab w:val="num" w:pos="4320"/>
        </w:tabs>
        <w:ind w:left="4320" w:hanging="360"/>
      </w:pPr>
      <w:rPr>
        <w:rFonts w:ascii="Wingdings" w:hAnsi="Wingdings" w:hint="default"/>
      </w:rPr>
    </w:lvl>
    <w:lvl w:ilvl="6" w:tplc="527E4036" w:tentative="1">
      <w:start w:val="1"/>
      <w:numFmt w:val="bullet"/>
      <w:lvlText w:val=""/>
      <w:lvlJc w:val="left"/>
      <w:pPr>
        <w:tabs>
          <w:tab w:val="num" w:pos="5040"/>
        </w:tabs>
        <w:ind w:left="5040" w:hanging="360"/>
      </w:pPr>
      <w:rPr>
        <w:rFonts w:ascii="Symbol" w:hAnsi="Symbol" w:hint="default"/>
      </w:rPr>
    </w:lvl>
    <w:lvl w:ilvl="7" w:tplc="DCAE8740" w:tentative="1">
      <w:start w:val="1"/>
      <w:numFmt w:val="bullet"/>
      <w:lvlText w:val="o"/>
      <w:lvlJc w:val="left"/>
      <w:pPr>
        <w:tabs>
          <w:tab w:val="num" w:pos="5760"/>
        </w:tabs>
        <w:ind w:left="5760" w:hanging="360"/>
      </w:pPr>
      <w:rPr>
        <w:rFonts w:ascii="Courier New" w:hAnsi="Courier New" w:hint="default"/>
      </w:rPr>
    </w:lvl>
    <w:lvl w:ilvl="8" w:tplc="1C3EBDA2" w:tentative="1">
      <w:start w:val="1"/>
      <w:numFmt w:val="bullet"/>
      <w:lvlText w:val=""/>
      <w:lvlJc w:val="left"/>
      <w:pPr>
        <w:tabs>
          <w:tab w:val="num" w:pos="6480"/>
        </w:tabs>
        <w:ind w:left="6480" w:hanging="360"/>
      </w:pPr>
      <w:rPr>
        <w:rFonts w:ascii="Wingdings" w:hAnsi="Wingdings" w:hint="default"/>
      </w:rPr>
    </w:lvl>
  </w:abstractNum>
  <w:abstractNum w:abstractNumId="4">
    <w:nsid w:val="13EE495C"/>
    <w:multiLevelType w:val="hybridMultilevel"/>
    <w:tmpl w:val="1D8498B0"/>
    <w:lvl w:ilvl="0" w:tplc="785CD5D4">
      <w:start w:val="1"/>
      <w:numFmt w:val="lowerLetter"/>
      <w:pStyle w:val="ACMAletteredlist"/>
      <w:lvlText w:val="%1."/>
      <w:lvlJc w:val="left"/>
      <w:pPr>
        <w:tabs>
          <w:tab w:val="num" w:pos="360"/>
        </w:tabs>
        <w:ind w:left="360" w:hanging="360"/>
      </w:pPr>
    </w:lvl>
    <w:lvl w:ilvl="1" w:tplc="C9C4DA40">
      <w:start w:val="1"/>
      <w:numFmt w:val="lowerLetter"/>
      <w:lvlText w:val="%2."/>
      <w:lvlJc w:val="left"/>
      <w:pPr>
        <w:tabs>
          <w:tab w:val="num" w:pos="1440"/>
        </w:tabs>
        <w:ind w:left="1440" w:hanging="360"/>
      </w:pPr>
      <w:rPr>
        <w:rFonts w:hint="default"/>
      </w:rPr>
    </w:lvl>
    <w:lvl w:ilvl="2" w:tplc="48AA0CF2" w:tentative="1">
      <w:start w:val="1"/>
      <w:numFmt w:val="lowerRoman"/>
      <w:lvlText w:val="%3."/>
      <w:lvlJc w:val="right"/>
      <w:pPr>
        <w:tabs>
          <w:tab w:val="num" w:pos="2160"/>
        </w:tabs>
        <w:ind w:left="2160" w:hanging="180"/>
      </w:pPr>
    </w:lvl>
    <w:lvl w:ilvl="3" w:tplc="ED58EE4A" w:tentative="1">
      <w:start w:val="1"/>
      <w:numFmt w:val="decimal"/>
      <w:lvlText w:val="%4."/>
      <w:lvlJc w:val="left"/>
      <w:pPr>
        <w:tabs>
          <w:tab w:val="num" w:pos="2880"/>
        </w:tabs>
        <w:ind w:left="2880" w:hanging="360"/>
      </w:pPr>
    </w:lvl>
    <w:lvl w:ilvl="4" w:tplc="2F72B708" w:tentative="1">
      <w:start w:val="1"/>
      <w:numFmt w:val="lowerLetter"/>
      <w:lvlText w:val="%5."/>
      <w:lvlJc w:val="left"/>
      <w:pPr>
        <w:tabs>
          <w:tab w:val="num" w:pos="3600"/>
        </w:tabs>
        <w:ind w:left="3600" w:hanging="360"/>
      </w:pPr>
    </w:lvl>
    <w:lvl w:ilvl="5" w:tplc="4DCABDD8" w:tentative="1">
      <w:start w:val="1"/>
      <w:numFmt w:val="lowerRoman"/>
      <w:lvlText w:val="%6."/>
      <w:lvlJc w:val="right"/>
      <w:pPr>
        <w:tabs>
          <w:tab w:val="num" w:pos="4320"/>
        </w:tabs>
        <w:ind w:left="4320" w:hanging="180"/>
      </w:pPr>
    </w:lvl>
    <w:lvl w:ilvl="6" w:tplc="7F9E5598" w:tentative="1">
      <w:start w:val="1"/>
      <w:numFmt w:val="decimal"/>
      <w:lvlText w:val="%7."/>
      <w:lvlJc w:val="left"/>
      <w:pPr>
        <w:tabs>
          <w:tab w:val="num" w:pos="5040"/>
        </w:tabs>
        <w:ind w:left="5040" w:hanging="360"/>
      </w:pPr>
    </w:lvl>
    <w:lvl w:ilvl="7" w:tplc="22EAE1CA" w:tentative="1">
      <w:start w:val="1"/>
      <w:numFmt w:val="lowerLetter"/>
      <w:lvlText w:val="%8."/>
      <w:lvlJc w:val="left"/>
      <w:pPr>
        <w:tabs>
          <w:tab w:val="num" w:pos="5760"/>
        </w:tabs>
        <w:ind w:left="5760" w:hanging="360"/>
      </w:pPr>
    </w:lvl>
    <w:lvl w:ilvl="8" w:tplc="9BBE66D2" w:tentative="1">
      <w:start w:val="1"/>
      <w:numFmt w:val="lowerRoman"/>
      <w:lvlText w:val="%9."/>
      <w:lvlJc w:val="right"/>
      <w:pPr>
        <w:tabs>
          <w:tab w:val="num" w:pos="6480"/>
        </w:tabs>
        <w:ind w:left="6480" w:hanging="180"/>
      </w:pPr>
    </w:lvl>
  </w:abstractNum>
  <w:abstractNum w:abstractNumId="5">
    <w:nsid w:val="18A24579"/>
    <w:multiLevelType w:val="hybridMultilevel"/>
    <w:tmpl w:val="11789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8A81D5F"/>
    <w:multiLevelType w:val="hybridMultilevel"/>
    <w:tmpl w:val="D9C4DF86"/>
    <w:lvl w:ilvl="0" w:tplc="3356E966">
      <w:start w:val="1"/>
      <w:numFmt w:val="bullet"/>
      <w:pStyle w:val="ACMABulletLevel2"/>
      <w:lvlText w:val=""/>
      <w:lvlJc w:val="left"/>
      <w:pPr>
        <w:tabs>
          <w:tab w:val="num" w:pos="-31680"/>
        </w:tabs>
        <w:ind w:left="709" w:hanging="352"/>
      </w:pPr>
      <w:rPr>
        <w:rFonts w:ascii="Symbol" w:hAnsi="Symbol" w:hint="default"/>
        <w:sz w:val="22"/>
        <w:effect w:val="none"/>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98E021B"/>
    <w:multiLevelType w:val="hybridMultilevel"/>
    <w:tmpl w:val="DF1A644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1DDB13EC"/>
    <w:multiLevelType w:val="hybridMultilevel"/>
    <w:tmpl w:val="05B2F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E5B490A"/>
    <w:multiLevelType w:val="hybridMultilevel"/>
    <w:tmpl w:val="885EFA20"/>
    <w:lvl w:ilvl="0" w:tplc="290619C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5696C49"/>
    <w:multiLevelType w:val="hybridMultilevel"/>
    <w:tmpl w:val="EA8EDC90"/>
    <w:lvl w:ilvl="0" w:tplc="4FB65CCE">
      <w:start w:val="1"/>
      <w:numFmt w:val="bullet"/>
      <w:lvlText w:val=""/>
      <w:lvlJc w:val="left"/>
      <w:pPr>
        <w:ind w:left="720" w:hanging="360"/>
      </w:pPr>
      <w:rPr>
        <w:rFonts w:ascii="Symbol" w:hAnsi="Symbol" w:hint="default"/>
      </w:rPr>
    </w:lvl>
    <w:lvl w:ilvl="1" w:tplc="AEDE08BC" w:tentative="1">
      <w:start w:val="1"/>
      <w:numFmt w:val="bullet"/>
      <w:lvlText w:val="o"/>
      <w:lvlJc w:val="left"/>
      <w:pPr>
        <w:ind w:left="1440" w:hanging="360"/>
      </w:pPr>
      <w:rPr>
        <w:rFonts w:ascii="Courier New" w:hAnsi="Courier New" w:cs="Courier New" w:hint="default"/>
      </w:rPr>
    </w:lvl>
    <w:lvl w:ilvl="2" w:tplc="8E109FB8" w:tentative="1">
      <w:start w:val="1"/>
      <w:numFmt w:val="bullet"/>
      <w:lvlText w:val=""/>
      <w:lvlJc w:val="left"/>
      <w:pPr>
        <w:ind w:left="2160" w:hanging="360"/>
      </w:pPr>
      <w:rPr>
        <w:rFonts w:ascii="Wingdings" w:hAnsi="Wingdings" w:hint="default"/>
      </w:rPr>
    </w:lvl>
    <w:lvl w:ilvl="3" w:tplc="F90CEDEE" w:tentative="1">
      <w:start w:val="1"/>
      <w:numFmt w:val="bullet"/>
      <w:lvlText w:val=""/>
      <w:lvlJc w:val="left"/>
      <w:pPr>
        <w:ind w:left="2880" w:hanging="360"/>
      </w:pPr>
      <w:rPr>
        <w:rFonts w:ascii="Symbol" w:hAnsi="Symbol" w:hint="default"/>
      </w:rPr>
    </w:lvl>
    <w:lvl w:ilvl="4" w:tplc="5D281AC4" w:tentative="1">
      <w:start w:val="1"/>
      <w:numFmt w:val="bullet"/>
      <w:lvlText w:val="o"/>
      <w:lvlJc w:val="left"/>
      <w:pPr>
        <w:ind w:left="3600" w:hanging="360"/>
      </w:pPr>
      <w:rPr>
        <w:rFonts w:ascii="Courier New" w:hAnsi="Courier New" w:cs="Courier New" w:hint="default"/>
      </w:rPr>
    </w:lvl>
    <w:lvl w:ilvl="5" w:tplc="2B524A52" w:tentative="1">
      <w:start w:val="1"/>
      <w:numFmt w:val="bullet"/>
      <w:lvlText w:val=""/>
      <w:lvlJc w:val="left"/>
      <w:pPr>
        <w:ind w:left="4320" w:hanging="360"/>
      </w:pPr>
      <w:rPr>
        <w:rFonts w:ascii="Wingdings" w:hAnsi="Wingdings" w:hint="default"/>
      </w:rPr>
    </w:lvl>
    <w:lvl w:ilvl="6" w:tplc="824C1312" w:tentative="1">
      <w:start w:val="1"/>
      <w:numFmt w:val="bullet"/>
      <w:lvlText w:val=""/>
      <w:lvlJc w:val="left"/>
      <w:pPr>
        <w:ind w:left="5040" w:hanging="360"/>
      </w:pPr>
      <w:rPr>
        <w:rFonts w:ascii="Symbol" w:hAnsi="Symbol" w:hint="default"/>
      </w:rPr>
    </w:lvl>
    <w:lvl w:ilvl="7" w:tplc="D9EA6D66" w:tentative="1">
      <w:start w:val="1"/>
      <w:numFmt w:val="bullet"/>
      <w:lvlText w:val="o"/>
      <w:lvlJc w:val="left"/>
      <w:pPr>
        <w:ind w:left="5760" w:hanging="360"/>
      </w:pPr>
      <w:rPr>
        <w:rFonts w:ascii="Courier New" w:hAnsi="Courier New" w:cs="Courier New" w:hint="default"/>
      </w:rPr>
    </w:lvl>
    <w:lvl w:ilvl="8" w:tplc="76284D7E" w:tentative="1">
      <w:start w:val="1"/>
      <w:numFmt w:val="bullet"/>
      <w:lvlText w:val=""/>
      <w:lvlJc w:val="left"/>
      <w:pPr>
        <w:ind w:left="6480" w:hanging="360"/>
      </w:pPr>
      <w:rPr>
        <w:rFonts w:ascii="Wingdings" w:hAnsi="Wingdings" w:hint="default"/>
      </w:rPr>
    </w:lvl>
  </w:abstractNum>
  <w:abstractNum w:abstractNumId="12">
    <w:nsid w:val="281D1869"/>
    <w:multiLevelType w:val="hybridMultilevel"/>
    <w:tmpl w:val="44CCDBB4"/>
    <w:lvl w:ilvl="0" w:tplc="0C090001">
      <w:start w:val="1"/>
      <w:numFmt w:val="decimal"/>
      <w:pStyle w:val="ACMANumberedList"/>
      <w:lvlText w:val="%1."/>
      <w:lvlJc w:val="left"/>
      <w:pPr>
        <w:tabs>
          <w:tab w:val="num" w:pos="720"/>
        </w:tabs>
        <w:ind w:left="720" w:hanging="360"/>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3">
    <w:nsid w:val="2E49568B"/>
    <w:multiLevelType w:val="hybridMultilevel"/>
    <w:tmpl w:val="3BAE1542"/>
    <w:lvl w:ilvl="0" w:tplc="D1449C7C">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E6B08E3"/>
    <w:multiLevelType w:val="hybridMultilevel"/>
    <w:tmpl w:val="497A2298"/>
    <w:lvl w:ilvl="0" w:tplc="4CC8E2E0">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nsid w:val="2F5A5080"/>
    <w:multiLevelType w:val="hybridMultilevel"/>
    <w:tmpl w:val="24705096"/>
    <w:lvl w:ilvl="0" w:tplc="1046B696">
      <w:start w:val="1"/>
      <w:numFmt w:val="bullet"/>
      <w:pStyle w:val="ACMABulletLevel1"/>
      <w:lvlText w:val="●"/>
      <w:lvlJc w:val="left"/>
      <w:pPr>
        <w:tabs>
          <w:tab w:val="num" w:pos="-31680"/>
        </w:tabs>
        <w:ind w:left="357" w:hanging="357"/>
      </w:pPr>
      <w:rPr>
        <w:rFonts w:ascii="Times New Roman" w:hAnsi="Times New Roman" w:cs="Times New Roman" w:hint="default"/>
      </w:rPr>
    </w:lvl>
    <w:lvl w:ilvl="1" w:tplc="0C090003" w:tentative="1">
      <w:start w:val="1"/>
      <w:numFmt w:val="bullet"/>
      <w:lvlText w:val="o"/>
      <w:lvlJc w:val="left"/>
      <w:pPr>
        <w:tabs>
          <w:tab w:val="num" w:pos="1728"/>
        </w:tabs>
        <w:ind w:left="1728" w:hanging="360"/>
      </w:pPr>
      <w:rPr>
        <w:rFonts w:ascii="Courier New" w:hAnsi="Courier New" w:hint="default"/>
      </w:rPr>
    </w:lvl>
    <w:lvl w:ilvl="2" w:tplc="0C090005" w:tentative="1">
      <w:start w:val="1"/>
      <w:numFmt w:val="bullet"/>
      <w:lvlText w:val=""/>
      <w:lvlJc w:val="left"/>
      <w:pPr>
        <w:tabs>
          <w:tab w:val="num" w:pos="2448"/>
        </w:tabs>
        <w:ind w:left="2448" w:hanging="360"/>
      </w:pPr>
      <w:rPr>
        <w:rFonts w:ascii="Wingdings" w:hAnsi="Wingdings" w:hint="default"/>
      </w:rPr>
    </w:lvl>
    <w:lvl w:ilvl="3" w:tplc="0C090001" w:tentative="1">
      <w:start w:val="1"/>
      <w:numFmt w:val="bullet"/>
      <w:lvlText w:val=""/>
      <w:lvlJc w:val="left"/>
      <w:pPr>
        <w:tabs>
          <w:tab w:val="num" w:pos="3168"/>
        </w:tabs>
        <w:ind w:left="3168" w:hanging="360"/>
      </w:pPr>
      <w:rPr>
        <w:rFonts w:ascii="Symbol" w:hAnsi="Symbol" w:hint="default"/>
      </w:rPr>
    </w:lvl>
    <w:lvl w:ilvl="4" w:tplc="0C090003" w:tentative="1">
      <w:start w:val="1"/>
      <w:numFmt w:val="bullet"/>
      <w:lvlText w:val="o"/>
      <w:lvlJc w:val="left"/>
      <w:pPr>
        <w:tabs>
          <w:tab w:val="num" w:pos="3888"/>
        </w:tabs>
        <w:ind w:left="3888" w:hanging="360"/>
      </w:pPr>
      <w:rPr>
        <w:rFonts w:ascii="Courier New" w:hAnsi="Courier New" w:hint="default"/>
      </w:rPr>
    </w:lvl>
    <w:lvl w:ilvl="5" w:tplc="0C090005" w:tentative="1">
      <w:start w:val="1"/>
      <w:numFmt w:val="bullet"/>
      <w:lvlText w:val=""/>
      <w:lvlJc w:val="left"/>
      <w:pPr>
        <w:tabs>
          <w:tab w:val="num" w:pos="4608"/>
        </w:tabs>
        <w:ind w:left="4608" w:hanging="360"/>
      </w:pPr>
      <w:rPr>
        <w:rFonts w:ascii="Wingdings" w:hAnsi="Wingdings" w:hint="default"/>
      </w:rPr>
    </w:lvl>
    <w:lvl w:ilvl="6" w:tplc="0C090001" w:tentative="1">
      <w:start w:val="1"/>
      <w:numFmt w:val="bullet"/>
      <w:lvlText w:val=""/>
      <w:lvlJc w:val="left"/>
      <w:pPr>
        <w:tabs>
          <w:tab w:val="num" w:pos="5328"/>
        </w:tabs>
        <w:ind w:left="5328" w:hanging="360"/>
      </w:pPr>
      <w:rPr>
        <w:rFonts w:ascii="Symbol" w:hAnsi="Symbol" w:hint="default"/>
      </w:rPr>
    </w:lvl>
    <w:lvl w:ilvl="7" w:tplc="0C090003" w:tentative="1">
      <w:start w:val="1"/>
      <w:numFmt w:val="bullet"/>
      <w:lvlText w:val="o"/>
      <w:lvlJc w:val="left"/>
      <w:pPr>
        <w:tabs>
          <w:tab w:val="num" w:pos="6048"/>
        </w:tabs>
        <w:ind w:left="6048" w:hanging="360"/>
      </w:pPr>
      <w:rPr>
        <w:rFonts w:ascii="Courier New" w:hAnsi="Courier New" w:hint="default"/>
      </w:rPr>
    </w:lvl>
    <w:lvl w:ilvl="8" w:tplc="0C090005" w:tentative="1">
      <w:start w:val="1"/>
      <w:numFmt w:val="bullet"/>
      <w:lvlText w:val=""/>
      <w:lvlJc w:val="left"/>
      <w:pPr>
        <w:tabs>
          <w:tab w:val="num" w:pos="6768"/>
        </w:tabs>
        <w:ind w:left="6768" w:hanging="360"/>
      </w:pPr>
      <w:rPr>
        <w:rFonts w:ascii="Wingdings" w:hAnsi="Wingdings" w:hint="default"/>
      </w:rPr>
    </w:lvl>
  </w:abstractNum>
  <w:abstractNum w:abstractNumId="16">
    <w:nsid w:val="30AA3204"/>
    <w:multiLevelType w:val="hybridMultilevel"/>
    <w:tmpl w:val="007CE9EA"/>
    <w:lvl w:ilvl="0" w:tplc="1BE0D760">
      <w:start w:val="1"/>
      <w:numFmt w:val="bullet"/>
      <w:lvlText w:val=""/>
      <w:lvlJc w:val="left"/>
      <w:pPr>
        <w:ind w:left="360" w:hanging="360"/>
      </w:pPr>
      <w:rPr>
        <w:rFonts w:ascii="Symbol" w:hAnsi="Symbol" w:hint="default"/>
      </w:rPr>
    </w:lvl>
    <w:lvl w:ilvl="1" w:tplc="002E589A" w:tentative="1">
      <w:start w:val="1"/>
      <w:numFmt w:val="bullet"/>
      <w:lvlText w:val="o"/>
      <w:lvlJc w:val="left"/>
      <w:pPr>
        <w:ind w:left="1080" w:hanging="360"/>
      </w:pPr>
      <w:rPr>
        <w:rFonts w:ascii="Courier New" w:hAnsi="Courier New" w:cs="Courier New" w:hint="default"/>
      </w:rPr>
    </w:lvl>
    <w:lvl w:ilvl="2" w:tplc="A1221E10" w:tentative="1">
      <w:start w:val="1"/>
      <w:numFmt w:val="bullet"/>
      <w:lvlText w:val=""/>
      <w:lvlJc w:val="left"/>
      <w:pPr>
        <w:ind w:left="1800" w:hanging="360"/>
      </w:pPr>
      <w:rPr>
        <w:rFonts w:ascii="Wingdings" w:hAnsi="Wingdings" w:hint="default"/>
      </w:rPr>
    </w:lvl>
    <w:lvl w:ilvl="3" w:tplc="C2A48F08" w:tentative="1">
      <w:start w:val="1"/>
      <w:numFmt w:val="bullet"/>
      <w:lvlText w:val=""/>
      <w:lvlJc w:val="left"/>
      <w:pPr>
        <w:ind w:left="2520" w:hanging="360"/>
      </w:pPr>
      <w:rPr>
        <w:rFonts w:ascii="Symbol" w:hAnsi="Symbol" w:hint="default"/>
      </w:rPr>
    </w:lvl>
    <w:lvl w:ilvl="4" w:tplc="B5E0047A" w:tentative="1">
      <w:start w:val="1"/>
      <w:numFmt w:val="bullet"/>
      <w:lvlText w:val="o"/>
      <w:lvlJc w:val="left"/>
      <w:pPr>
        <w:ind w:left="3240" w:hanging="360"/>
      </w:pPr>
      <w:rPr>
        <w:rFonts w:ascii="Courier New" w:hAnsi="Courier New" w:cs="Courier New" w:hint="default"/>
      </w:rPr>
    </w:lvl>
    <w:lvl w:ilvl="5" w:tplc="1E7A944C" w:tentative="1">
      <w:start w:val="1"/>
      <w:numFmt w:val="bullet"/>
      <w:lvlText w:val=""/>
      <w:lvlJc w:val="left"/>
      <w:pPr>
        <w:ind w:left="3960" w:hanging="360"/>
      </w:pPr>
      <w:rPr>
        <w:rFonts w:ascii="Wingdings" w:hAnsi="Wingdings" w:hint="default"/>
      </w:rPr>
    </w:lvl>
    <w:lvl w:ilvl="6" w:tplc="BF62B0BE" w:tentative="1">
      <w:start w:val="1"/>
      <w:numFmt w:val="bullet"/>
      <w:lvlText w:val=""/>
      <w:lvlJc w:val="left"/>
      <w:pPr>
        <w:ind w:left="4680" w:hanging="360"/>
      </w:pPr>
      <w:rPr>
        <w:rFonts w:ascii="Symbol" w:hAnsi="Symbol" w:hint="default"/>
      </w:rPr>
    </w:lvl>
    <w:lvl w:ilvl="7" w:tplc="E28CC8E2" w:tentative="1">
      <w:start w:val="1"/>
      <w:numFmt w:val="bullet"/>
      <w:lvlText w:val="o"/>
      <w:lvlJc w:val="left"/>
      <w:pPr>
        <w:ind w:left="5400" w:hanging="360"/>
      </w:pPr>
      <w:rPr>
        <w:rFonts w:ascii="Courier New" w:hAnsi="Courier New" w:cs="Courier New" w:hint="default"/>
      </w:rPr>
    </w:lvl>
    <w:lvl w:ilvl="8" w:tplc="178A595E" w:tentative="1">
      <w:start w:val="1"/>
      <w:numFmt w:val="bullet"/>
      <w:lvlText w:val=""/>
      <w:lvlJc w:val="left"/>
      <w:pPr>
        <w:ind w:left="6120" w:hanging="360"/>
      </w:pPr>
      <w:rPr>
        <w:rFonts w:ascii="Wingdings" w:hAnsi="Wingdings" w:hint="default"/>
      </w:rPr>
    </w:lvl>
  </w:abstractNum>
  <w:abstractNum w:abstractNumId="17">
    <w:nsid w:val="31817102"/>
    <w:multiLevelType w:val="hybridMultilevel"/>
    <w:tmpl w:val="76DC3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5423A2E"/>
    <w:multiLevelType w:val="hybridMultilevel"/>
    <w:tmpl w:val="4A48441A"/>
    <w:lvl w:ilvl="0" w:tplc="4CC8E2E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433794D"/>
    <w:multiLevelType w:val="hybridMultilevel"/>
    <w:tmpl w:val="AD54E152"/>
    <w:lvl w:ilvl="0" w:tplc="F6908E8E">
      <w:start w:val="1"/>
      <w:numFmt w:val="bullet"/>
      <w:pStyle w:val="Dotpoints"/>
      <w:lvlText w:val=""/>
      <w:lvlJc w:val="left"/>
      <w:pPr>
        <w:tabs>
          <w:tab w:val="num" w:pos="720"/>
        </w:tabs>
        <w:ind w:left="720" w:hanging="360"/>
      </w:pPr>
      <w:rPr>
        <w:rFonts w:ascii="Symbol" w:hAnsi="Symbol" w:hint="default"/>
        <w:sz w:val="20"/>
        <w:szCs w:val="20"/>
      </w:rPr>
    </w:lvl>
    <w:lvl w:ilvl="1" w:tplc="4EB25560" w:tentative="1">
      <w:start w:val="1"/>
      <w:numFmt w:val="bullet"/>
      <w:lvlText w:val="o"/>
      <w:lvlJc w:val="left"/>
      <w:pPr>
        <w:tabs>
          <w:tab w:val="num" w:pos="1440"/>
        </w:tabs>
        <w:ind w:left="1440" w:hanging="360"/>
      </w:pPr>
      <w:rPr>
        <w:rFonts w:ascii="Courier New" w:hAnsi="Courier New" w:cs="Courier New" w:hint="default"/>
      </w:rPr>
    </w:lvl>
    <w:lvl w:ilvl="2" w:tplc="B58C6916" w:tentative="1">
      <w:start w:val="1"/>
      <w:numFmt w:val="bullet"/>
      <w:lvlText w:val=""/>
      <w:lvlJc w:val="left"/>
      <w:pPr>
        <w:tabs>
          <w:tab w:val="num" w:pos="2160"/>
        </w:tabs>
        <w:ind w:left="2160" w:hanging="360"/>
      </w:pPr>
      <w:rPr>
        <w:rFonts w:ascii="Wingdings" w:hAnsi="Wingdings" w:hint="default"/>
      </w:rPr>
    </w:lvl>
    <w:lvl w:ilvl="3" w:tplc="04987D6E" w:tentative="1">
      <w:start w:val="1"/>
      <w:numFmt w:val="bullet"/>
      <w:lvlText w:val=""/>
      <w:lvlJc w:val="left"/>
      <w:pPr>
        <w:tabs>
          <w:tab w:val="num" w:pos="2880"/>
        </w:tabs>
        <w:ind w:left="2880" w:hanging="360"/>
      </w:pPr>
      <w:rPr>
        <w:rFonts w:ascii="Symbol" w:hAnsi="Symbol" w:hint="default"/>
      </w:rPr>
    </w:lvl>
    <w:lvl w:ilvl="4" w:tplc="84CE6DEC" w:tentative="1">
      <w:start w:val="1"/>
      <w:numFmt w:val="bullet"/>
      <w:lvlText w:val="o"/>
      <w:lvlJc w:val="left"/>
      <w:pPr>
        <w:tabs>
          <w:tab w:val="num" w:pos="3600"/>
        </w:tabs>
        <w:ind w:left="3600" w:hanging="360"/>
      </w:pPr>
      <w:rPr>
        <w:rFonts w:ascii="Courier New" w:hAnsi="Courier New" w:cs="Courier New" w:hint="default"/>
      </w:rPr>
    </w:lvl>
    <w:lvl w:ilvl="5" w:tplc="59AA5C3A" w:tentative="1">
      <w:start w:val="1"/>
      <w:numFmt w:val="bullet"/>
      <w:lvlText w:val=""/>
      <w:lvlJc w:val="left"/>
      <w:pPr>
        <w:tabs>
          <w:tab w:val="num" w:pos="4320"/>
        </w:tabs>
        <w:ind w:left="4320" w:hanging="360"/>
      </w:pPr>
      <w:rPr>
        <w:rFonts w:ascii="Wingdings" w:hAnsi="Wingdings" w:hint="default"/>
      </w:rPr>
    </w:lvl>
    <w:lvl w:ilvl="6" w:tplc="B3EE3E4C" w:tentative="1">
      <w:start w:val="1"/>
      <w:numFmt w:val="bullet"/>
      <w:lvlText w:val=""/>
      <w:lvlJc w:val="left"/>
      <w:pPr>
        <w:tabs>
          <w:tab w:val="num" w:pos="5040"/>
        </w:tabs>
        <w:ind w:left="5040" w:hanging="360"/>
      </w:pPr>
      <w:rPr>
        <w:rFonts w:ascii="Symbol" w:hAnsi="Symbol" w:hint="default"/>
      </w:rPr>
    </w:lvl>
    <w:lvl w:ilvl="7" w:tplc="3964FD4C" w:tentative="1">
      <w:start w:val="1"/>
      <w:numFmt w:val="bullet"/>
      <w:lvlText w:val="o"/>
      <w:lvlJc w:val="left"/>
      <w:pPr>
        <w:tabs>
          <w:tab w:val="num" w:pos="5760"/>
        </w:tabs>
        <w:ind w:left="5760" w:hanging="360"/>
      </w:pPr>
      <w:rPr>
        <w:rFonts w:ascii="Courier New" w:hAnsi="Courier New" w:cs="Courier New" w:hint="default"/>
      </w:rPr>
    </w:lvl>
    <w:lvl w:ilvl="8" w:tplc="013CC708" w:tentative="1">
      <w:start w:val="1"/>
      <w:numFmt w:val="bullet"/>
      <w:lvlText w:val=""/>
      <w:lvlJc w:val="left"/>
      <w:pPr>
        <w:tabs>
          <w:tab w:val="num" w:pos="6480"/>
        </w:tabs>
        <w:ind w:left="6480" w:hanging="360"/>
      </w:pPr>
      <w:rPr>
        <w:rFonts w:ascii="Wingdings" w:hAnsi="Wingdings" w:hint="default"/>
      </w:rPr>
    </w:lvl>
  </w:abstractNum>
  <w:abstractNum w:abstractNumId="21">
    <w:nsid w:val="5B905E86"/>
    <w:multiLevelType w:val="multilevel"/>
    <w:tmpl w:val="AB58DA0A"/>
    <w:lvl w:ilvl="0">
      <w:start w:val="181"/>
      <w:numFmt w:val="bullet"/>
      <w:pStyle w:val="List-Bullet1"/>
      <w:lvlText w:val=""/>
      <w:lvlJc w:val="left"/>
      <w:pPr>
        <w:tabs>
          <w:tab w:val="num" w:pos="357"/>
        </w:tabs>
        <w:ind w:left="357" w:hanging="357"/>
      </w:pPr>
      <w:rPr>
        <w:rFonts w:ascii="Wingdings" w:hAnsi="Wingdings" w:hint="default"/>
        <w:color w:val="82A996"/>
        <w:position w:val="-6"/>
        <w:sz w:val="32"/>
      </w:rPr>
    </w:lvl>
    <w:lvl w:ilvl="1">
      <w:start w:val="1"/>
      <w:numFmt w:val="bullet"/>
      <w:lvlRestart w:val="0"/>
      <w:pStyle w:val="List-Bullet2"/>
      <w:lvlText w:val=""/>
      <w:lvlJc w:val="left"/>
      <w:pPr>
        <w:tabs>
          <w:tab w:val="num" w:pos="714"/>
        </w:tabs>
        <w:ind w:left="714" w:hanging="357"/>
      </w:pPr>
      <w:rPr>
        <w:rFonts w:ascii="Symbol" w:hAnsi="Symbol" w:hint="default"/>
        <w:color w:val="82A996"/>
        <w:sz w:val="28"/>
      </w:rPr>
    </w:lvl>
    <w:lvl w:ilvl="2">
      <w:start w:val="1"/>
      <w:numFmt w:val="bullet"/>
      <w:lvlRestart w:val="0"/>
      <w:pStyle w:val="List-Bullet3"/>
      <w:lvlText w:val=""/>
      <w:lvlJc w:val="left"/>
      <w:pPr>
        <w:tabs>
          <w:tab w:val="num" w:pos="1021"/>
        </w:tabs>
        <w:ind w:left="1021" w:hanging="307"/>
      </w:pPr>
      <w:rPr>
        <w:rFonts w:ascii="Wingdings" w:hAnsi="Wingdings" w:hint="default"/>
        <w:b/>
        <w:i w:val="0"/>
        <w:color w:val="82A996"/>
        <w:sz w:val="22"/>
      </w:rPr>
    </w:lvl>
    <w:lvl w:ilvl="3">
      <w:start w:val="1"/>
      <w:numFmt w:val="bullet"/>
      <w:lvlRestart w:val="0"/>
      <w:lvlText w:val=""/>
      <w:lvlJc w:val="left"/>
      <w:pPr>
        <w:tabs>
          <w:tab w:val="num" w:pos="1381"/>
        </w:tabs>
        <w:ind w:left="1383" w:hanging="362"/>
      </w:pPr>
      <w:rPr>
        <w:rFonts w:ascii="Symbol" w:hAnsi="Symbol" w:hint="default"/>
        <w:color w:val="82A996"/>
        <w:sz w:val="28"/>
      </w:rPr>
    </w:lvl>
    <w:lvl w:ilvl="4">
      <w:start w:val="1"/>
      <w:numFmt w:val="bullet"/>
      <w:lvlRestart w:val="0"/>
      <w:lvlText w:val=""/>
      <w:lvlJc w:val="left"/>
      <w:pPr>
        <w:tabs>
          <w:tab w:val="num" w:pos="1721"/>
        </w:tabs>
        <w:ind w:left="1724" w:hanging="363"/>
      </w:pPr>
      <w:rPr>
        <w:rFonts w:ascii="Symbol" w:hAnsi="Symbol" w:hint="default"/>
        <w:color w:val="82A996"/>
        <w:sz w:val="20"/>
      </w:rPr>
    </w:lvl>
    <w:lvl w:ilvl="5">
      <w:start w:val="1"/>
      <w:numFmt w:val="none"/>
      <w:lvlRestart w:val="0"/>
      <w:lvlText w:val="%6)"/>
      <w:lvlJc w:val="left"/>
      <w:pPr>
        <w:tabs>
          <w:tab w:val="num" w:pos="1152"/>
        </w:tabs>
        <w:ind w:left="1152" w:hanging="432"/>
      </w:pPr>
      <w:rPr>
        <w:rFonts w:cs="Times New Roman" w:hint="default"/>
      </w:rPr>
    </w:lvl>
    <w:lvl w:ilvl="6">
      <w:start w:val="1"/>
      <w:numFmt w:val="none"/>
      <w:lvlRestart w:val="0"/>
      <w:lvlText w:val="%7)"/>
      <w:lvlJc w:val="right"/>
      <w:pPr>
        <w:tabs>
          <w:tab w:val="num" w:pos="1296"/>
        </w:tabs>
        <w:ind w:left="1296" w:hanging="288"/>
      </w:pPr>
      <w:rPr>
        <w:rFonts w:cs="Times New Roman" w:hint="default"/>
      </w:rPr>
    </w:lvl>
    <w:lvl w:ilvl="7">
      <w:start w:val="1"/>
      <w:numFmt w:val="none"/>
      <w:lvlRestart w:val="0"/>
      <w:lvlText w:val="%8."/>
      <w:lvlJc w:val="left"/>
      <w:pPr>
        <w:tabs>
          <w:tab w:val="num" w:pos="1440"/>
        </w:tabs>
        <w:ind w:left="1440" w:hanging="432"/>
      </w:pPr>
      <w:rPr>
        <w:rFonts w:cs="Times New Roman" w:hint="default"/>
      </w:rPr>
    </w:lvl>
    <w:lvl w:ilvl="8">
      <w:start w:val="1"/>
      <w:numFmt w:val="none"/>
      <w:lvlRestart w:val="0"/>
      <w:lvlText w:val="%9."/>
      <w:lvlJc w:val="right"/>
      <w:pPr>
        <w:tabs>
          <w:tab w:val="num" w:pos="1584"/>
        </w:tabs>
        <w:ind w:left="1584" w:hanging="144"/>
      </w:pPr>
      <w:rPr>
        <w:rFonts w:cs="Times New Roman" w:hint="default"/>
      </w:rPr>
    </w:lvl>
  </w:abstractNum>
  <w:abstractNum w:abstractNumId="22">
    <w:nsid w:val="5BE23C21"/>
    <w:multiLevelType w:val="hybridMultilevel"/>
    <w:tmpl w:val="45BE06A2"/>
    <w:lvl w:ilvl="0" w:tplc="8FC27E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742325EE"/>
    <w:multiLevelType w:val="hybridMultilevel"/>
    <w:tmpl w:val="AE6E3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6167FEB"/>
    <w:multiLevelType w:val="hybridMultilevel"/>
    <w:tmpl w:val="594AC2C0"/>
    <w:lvl w:ilvl="0" w:tplc="7B9A2048">
      <w:start w:val="1"/>
      <w:numFmt w:val="bullet"/>
      <w:lvlText w:val=""/>
      <w:lvlJc w:val="left"/>
      <w:pPr>
        <w:ind w:left="360" w:hanging="360"/>
      </w:pPr>
      <w:rPr>
        <w:rFonts w:ascii="Symbol" w:hAnsi="Symbol" w:hint="default"/>
      </w:rPr>
    </w:lvl>
    <w:lvl w:ilvl="1" w:tplc="8B54880C" w:tentative="1">
      <w:start w:val="1"/>
      <w:numFmt w:val="bullet"/>
      <w:lvlText w:val="o"/>
      <w:lvlJc w:val="left"/>
      <w:pPr>
        <w:ind w:left="1080" w:hanging="360"/>
      </w:pPr>
      <w:rPr>
        <w:rFonts w:ascii="Courier New" w:hAnsi="Courier New" w:cs="Courier New" w:hint="default"/>
      </w:rPr>
    </w:lvl>
    <w:lvl w:ilvl="2" w:tplc="0C09001B" w:tentative="1">
      <w:start w:val="1"/>
      <w:numFmt w:val="bullet"/>
      <w:lvlText w:val=""/>
      <w:lvlJc w:val="left"/>
      <w:pPr>
        <w:ind w:left="1800" w:hanging="360"/>
      </w:pPr>
      <w:rPr>
        <w:rFonts w:ascii="Wingdings" w:hAnsi="Wingdings" w:hint="default"/>
      </w:rPr>
    </w:lvl>
    <w:lvl w:ilvl="3" w:tplc="0C09000F" w:tentative="1">
      <w:start w:val="1"/>
      <w:numFmt w:val="bullet"/>
      <w:lvlText w:val=""/>
      <w:lvlJc w:val="left"/>
      <w:pPr>
        <w:ind w:left="2520" w:hanging="360"/>
      </w:pPr>
      <w:rPr>
        <w:rFonts w:ascii="Symbol" w:hAnsi="Symbol" w:hint="default"/>
      </w:rPr>
    </w:lvl>
    <w:lvl w:ilvl="4" w:tplc="0C090019" w:tentative="1">
      <w:start w:val="1"/>
      <w:numFmt w:val="bullet"/>
      <w:lvlText w:val="o"/>
      <w:lvlJc w:val="left"/>
      <w:pPr>
        <w:ind w:left="3240" w:hanging="360"/>
      </w:pPr>
      <w:rPr>
        <w:rFonts w:ascii="Courier New" w:hAnsi="Courier New" w:cs="Courier New" w:hint="default"/>
      </w:rPr>
    </w:lvl>
    <w:lvl w:ilvl="5" w:tplc="0C09001B" w:tentative="1">
      <w:start w:val="1"/>
      <w:numFmt w:val="bullet"/>
      <w:lvlText w:val=""/>
      <w:lvlJc w:val="left"/>
      <w:pPr>
        <w:ind w:left="3960" w:hanging="360"/>
      </w:pPr>
      <w:rPr>
        <w:rFonts w:ascii="Wingdings" w:hAnsi="Wingdings" w:hint="default"/>
      </w:rPr>
    </w:lvl>
    <w:lvl w:ilvl="6" w:tplc="0C09000F" w:tentative="1">
      <w:start w:val="1"/>
      <w:numFmt w:val="bullet"/>
      <w:lvlText w:val=""/>
      <w:lvlJc w:val="left"/>
      <w:pPr>
        <w:ind w:left="4680" w:hanging="360"/>
      </w:pPr>
      <w:rPr>
        <w:rFonts w:ascii="Symbol" w:hAnsi="Symbol" w:hint="default"/>
      </w:rPr>
    </w:lvl>
    <w:lvl w:ilvl="7" w:tplc="0C090019" w:tentative="1">
      <w:start w:val="1"/>
      <w:numFmt w:val="bullet"/>
      <w:lvlText w:val="o"/>
      <w:lvlJc w:val="left"/>
      <w:pPr>
        <w:ind w:left="5400" w:hanging="360"/>
      </w:pPr>
      <w:rPr>
        <w:rFonts w:ascii="Courier New" w:hAnsi="Courier New" w:cs="Courier New" w:hint="default"/>
      </w:rPr>
    </w:lvl>
    <w:lvl w:ilvl="8" w:tplc="0C09001B" w:tentative="1">
      <w:start w:val="1"/>
      <w:numFmt w:val="bullet"/>
      <w:lvlText w:val=""/>
      <w:lvlJc w:val="left"/>
      <w:pPr>
        <w:ind w:left="6120" w:hanging="360"/>
      </w:pPr>
      <w:rPr>
        <w:rFonts w:ascii="Wingdings" w:hAnsi="Wingdings" w:hint="default"/>
      </w:rPr>
    </w:lvl>
  </w:abstractNum>
  <w:abstractNum w:abstractNumId="25">
    <w:nsid w:val="78565195"/>
    <w:multiLevelType w:val="hybridMultilevel"/>
    <w:tmpl w:val="0FC6676C"/>
    <w:lvl w:ilvl="0" w:tplc="4CC8E2E0">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DAD1E74"/>
    <w:multiLevelType w:val="hybridMultilevel"/>
    <w:tmpl w:val="F12A623C"/>
    <w:lvl w:ilvl="0" w:tplc="8990D4AC">
      <w:start w:val="1"/>
      <w:numFmt w:val="bullet"/>
      <w:lvlText w:val=""/>
      <w:lvlJc w:val="left"/>
      <w:pPr>
        <w:ind w:left="360" w:hanging="360"/>
      </w:pPr>
      <w:rPr>
        <w:rFonts w:ascii="Symbol" w:hAnsi="Symbol" w:hint="default"/>
      </w:rPr>
    </w:lvl>
    <w:lvl w:ilvl="1" w:tplc="56382DD4" w:tentative="1">
      <w:start w:val="1"/>
      <w:numFmt w:val="bullet"/>
      <w:lvlText w:val="o"/>
      <w:lvlJc w:val="left"/>
      <w:pPr>
        <w:ind w:left="1080" w:hanging="360"/>
      </w:pPr>
      <w:rPr>
        <w:rFonts w:ascii="Courier New" w:hAnsi="Courier New" w:cs="Courier New" w:hint="default"/>
      </w:rPr>
    </w:lvl>
    <w:lvl w:ilvl="2" w:tplc="7EE0F6D0" w:tentative="1">
      <w:start w:val="1"/>
      <w:numFmt w:val="bullet"/>
      <w:lvlText w:val=""/>
      <w:lvlJc w:val="left"/>
      <w:pPr>
        <w:ind w:left="1800" w:hanging="360"/>
      </w:pPr>
      <w:rPr>
        <w:rFonts w:ascii="Wingdings" w:hAnsi="Wingdings" w:hint="default"/>
      </w:rPr>
    </w:lvl>
    <w:lvl w:ilvl="3" w:tplc="15A600F4" w:tentative="1">
      <w:start w:val="1"/>
      <w:numFmt w:val="bullet"/>
      <w:lvlText w:val=""/>
      <w:lvlJc w:val="left"/>
      <w:pPr>
        <w:ind w:left="2520" w:hanging="360"/>
      </w:pPr>
      <w:rPr>
        <w:rFonts w:ascii="Symbol" w:hAnsi="Symbol" w:hint="default"/>
      </w:rPr>
    </w:lvl>
    <w:lvl w:ilvl="4" w:tplc="F8EC1C28" w:tentative="1">
      <w:start w:val="1"/>
      <w:numFmt w:val="bullet"/>
      <w:lvlText w:val="o"/>
      <w:lvlJc w:val="left"/>
      <w:pPr>
        <w:ind w:left="3240" w:hanging="360"/>
      </w:pPr>
      <w:rPr>
        <w:rFonts w:ascii="Courier New" w:hAnsi="Courier New" w:cs="Courier New" w:hint="default"/>
      </w:rPr>
    </w:lvl>
    <w:lvl w:ilvl="5" w:tplc="6B9E113E" w:tentative="1">
      <w:start w:val="1"/>
      <w:numFmt w:val="bullet"/>
      <w:lvlText w:val=""/>
      <w:lvlJc w:val="left"/>
      <w:pPr>
        <w:ind w:left="3960" w:hanging="360"/>
      </w:pPr>
      <w:rPr>
        <w:rFonts w:ascii="Wingdings" w:hAnsi="Wingdings" w:hint="default"/>
      </w:rPr>
    </w:lvl>
    <w:lvl w:ilvl="6" w:tplc="DB0AB0DA" w:tentative="1">
      <w:start w:val="1"/>
      <w:numFmt w:val="bullet"/>
      <w:lvlText w:val=""/>
      <w:lvlJc w:val="left"/>
      <w:pPr>
        <w:ind w:left="4680" w:hanging="360"/>
      </w:pPr>
      <w:rPr>
        <w:rFonts w:ascii="Symbol" w:hAnsi="Symbol" w:hint="default"/>
      </w:rPr>
    </w:lvl>
    <w:lvl w:ilvl="7" w:tplc="2EE2E3C6" w:tentative="1">
      <w:start w:val="1"/>
      <w:numFmt w:val="bullet"/>
      <w:lvlText w:val="o"/>
      <w:lvlJc w:val="left"/>
      <w:pPr>
        <w:ind w:left="5400" w:hanging="360"/>
      </w:pPr>
      <w:rPr>
        <w:rFonts w:ascii="Courier New" w:hAnsi="Courier New" w:cs="Courier New" w:hint="default"/>
      </w:rPr>
    </w:lvl>
    <w:lvl w:ilvl="8" w:tplc="BFCCB0F2" w:tentative="1">
      <w:start w:val="1"/>
      <w:numFmt w:val="bullet"/>
      <w:lvlText w:val=""/>
      <w:lvlJc w:val="left"/>
      <w:pPr>
        <w:ind w:left="6120" w:hanging="360"/>
      </w:pPr>
      <w:rPr>
        <w:rFonts w:ascii="Wingdings" w:hAnsi="Wingdings" w:hint="default"/>
      </w:rPr>
    </w:lvl>
  </w:abstractNum>
  <w:abstractNum w:abstractNumId="27">
    <w:nsid w:val="7DD47610"/>
    <w:multiLevelType w:val="hybridMultilevel"/>
    <w:tmpl w:val="24B20E4C"/>
    <w:lvl w:ilvl="0" w:tplc="4CC8E2E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2"/>
    <w:lvlOverride w:ilvl="0">
      <w:startOverride w:val="1"/>
    </w:lvlOverride>
  </w:num>
  <w:num w:numId="4">
    <w:abstractNumId w:val="2"/>
  </w:num>
  <w:num w:numId="5">
    <w:abstractNumId w:val="2"/>
  </w:num>
  <w:num w:numId="6">
    <w:abstractNumId w:val="2"/>
  </w:num>
  <w:num w:numId="7">
    <w:abstractNumId w:val="15"/>
  </w:num>
  <w:num w:numId="8">
    <w:abstractNumId w:val="6"/>
  </w:num>
  <w:num w:numId="9">
    <w:abstractNumId w:val="3"/>
  </w:num>
  <w:num w:numId="10">
    <w:abstractNumId w:val="20"/>
  </w:num>
  <w:num w:numId="11">
    <w:abstractNumId w:val="21"/>
  </w:num>
  <w:num w:numId="12">
    <w:abstractNumId w:val="1"/>
  </w:num>
  <w:num w:numId="13">
    <w:abstractNumId w:val="8"/>
  </w:num>
  <w:num w:numId="14">
    <w:abstractNumId w:val="18"/>
  </w:num>
  <w:num w:numId="15">
    <w:abstractNumId w:val="26"/>
  </w:num>
  <w:num w:numId="16">
    <w:abstractNumId w:val="16"/>
  </w:num>
  <w:num w:numId="17">
    <w:abstractNumId w:val="24"/>
  </w:num>
  <w:num w:numId="18">
    <w:abstractNumId w:val="10"/>
  </w:num>
  <w:num w:numId="19">
    <w:abstractNumId w:val="5"/>
  </w:num>
  <w:num w:numId="20">
    <w:abstractNumId w:val="19"/>
  </w:num>
  <w:num w:numId="21">
    <w:abstractNumId w:val="11"/>
  </w:num>
  <w:num w:numId="22">
    <w:abstractNumId w:val="27"/>
  </w:num>
  <w:num w:numId="23">
    <w:abstractNumId w:val="14"/>
  </w:num>
  <w:num w:numId="24">
    <w:abstractNumId w:val="25"/>
  </w:num>
  <w:num w:numId="25">
    <w:abstractNumId w:val="7"/>
  </w:num>
  <w:num w:numId="26">
    <w:abstractNumId w:val="9"/>
  </w:num>
  <w:num w:numId="27">
    <w:abstractNumId w:val="23"/>
  </w:num>
  <w:num w:numId="28">
    <w:abstractNumId w:val="0"/>
  </w:num>
  <w:num w:numId="29">
    <w:abstractNumId w:val="22"/>
  </w:num>
  <w:num w:numId="30">
    <w:abstractNumId w:val="17"/>
  </w:num>
  <w:num w:numId="31">
    <w:abstractNumId w:val="13"/>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oNotTrackMoves/>
  <w:defaultTabStop w:val="720"/>
  <w:drawingGridHorizontalSpacing w:val="100"/>
  <w:displayHorizont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3592B"/>
    <w:rsid w:val="000058EC"/>
    <w:rsid w:val="000068D3"/>
    <w:rsid w:val="00006914"/>
    <w:rsid w:val="000304E5"/>
    <w:rsid w:val="000311EB"/>
    <w:rsid w:val="000344E2"/>
    <w:rsid w:val="00034EAB"/>
    <w:rsid w:val="00046FD2"/>
    <w:rsid w:val="00050CC9"/>
    <w:rsid w:val="000516D8"/>
    <w:rsid w:val="00054094"/>
    <w:rsid w:val="00055867"/>
    <w:rsid w:val="000566A9"/>
    <w:rsid w:val="00056FCC"/>
    <w:rsid w:val="00061560"/>
    <w:rsid w:val="00061825"/>
    <w:rsid w:val="00062543"/>
    <w:rsid w:val="000718A9"/>
    <w:rsid w:val="000718BC"/>
    <w:rsid w:val="0007368D"/>
    <w:rsid w:val="00073FFB"/>
    <w:rsid w:val="00075E72"/>
    <w:rsid w:val="000770E9"/>
    <w:rsid w:val="0008434F"/>
    <w:rsid w:val="00086FE0"/>
    <w:rsid w:val="00087CCE"/>
    <w:rsid w:val="000A27B6"/>
    <w:rsid w:val="000B011A"/>
    <w:rsid w:val="000B25CB"/>
    <w:rsid w:val="000B3F02"/>
    <w:rsid w:val="000B7DBE"/>
    <w:rsid w:val="000C0128"/>
    <w:rsid w:val="000C1989"/>
    <w:rsid w:val="000C23F2"/>
    <w:rsid w:val="000C2C4E"/>
    <w:rsid w:val="000C2CB2"/>
    <w:rsid w:val="000C3F7E"/>
    <w:rsid w:val="000D7A1F"/>
    <w:rsid w:val="000E3098"/>
    <w:rsid w:val="000E3AD3"/>
    <w:rsid w:val="000E3AE1"/>
    <w:rsid w:val="000E3BC4"/>
    <w:rsid w:val="000F1573"/>
    <w:rsid w:val="000F4E5B"/>
    <w:rsid w:val="0010149B"/>
    <w:rsid w:val="00101DFE"/>
    <w:rsid w:val="00102A94"/>
    <w:rsid w:val="001033B8"/>
    <w:rsid w:val="00105847"/>
    <w:rsid w:val="00110ADD"/>
    <w:rsid w:val="00114026"/>
    <w:rsid w:val="00114EAB"/>
    <w:rsid w:val="0011586F"/>
    <w:rsid w:val="00115F3D"/>
    <w:rsid w:val="001222C2"/>
    <w:rsid w:val="00123EEA"/>
    <w:rsid w:val="001329AE"/>
    <w:rsid w:val="00135B36"/>
    <w:rsid w:val="00140A09"/>
    <w:rsid w:val="00141D1B"/>
    <w:rsid w:val="00144C8B"/>
    <w:rsid w:val="00147870"/>
    <w:rsid w:val="00151062"/>
    <w:rsid w:val="00151634"/>
    <w:rsid w:val="00161725"/>
    <w:rsid w:val="00166905"/>
    <w:rsid w:val="001708B3"/>
    <w:rsid w:val="00171C26"/>
    <w:rsid w:val="001743AC"/>
    <w:rsid w:val="00174B77"/>
    <w:rsid w:val="00177DB7"/>
    <w:rsid w:val="0018454A"/>
    <w:rsid w:val="00186375"/>
    <w:rsid w:val="0019005B"/>
    <w:rsid w:val="001916A1"/>
    <w:rsid w:val="001948B3"/>
    <w:rsid w:val="00194E86"/>
    <w:rsid w:val="001A1963"/>
    <w:rsid w:val="001A2E83"/>
    <w:rsid w:val="001A70BF"/>
    <w:rsid w:val="001B6B1D"/>
    <w:rsid w:val="001C01F2"/>
    <w:rsid w:val="001C04C8"/>
    <w:rsid w:val="001C2A3A"/>
    <w:rsid w:val="001C5671"/>
    <w:rsid w:val="001C7C04"/>
    <w:rsid w:val="001D2F2B"/>
    <w:rsid w:val="001D59FE"/>
    <w:rsid w:val="001D5B7F"/>
    <w:rsid w:val="001D6F64"/>
    <w:rsid w:val="001E1380"/>
    <w:rsid w:val="001F10E3"/>
    <w:rsid w:val="001F1FD6"/>
    <w:rsid w:val="001F2542"/>
    <w:rsid w:val="001F2C5C"/>
    <w:rsid w:val="001F682B"/>
    <w:rsid w:val="002017FD"/>
    <w:rsid w:val="00202956"/>
    <w:rsid w:val="002029C4"/>
    <w:rsid w:val="002030CA"/>
    <w:rsid w:val="00205965"/>
    <w:rsid w:val="002177C1"/>
    <w:rsid w:val="00221A86"/>
    <w:rsid w:val="002223DE"/>
    <w:rsid w:val="0022653E"/>
    <w:rsid w:val="00232F58"/>
    <w:rsid w:val="0023400C"/>
    <w:rsid w:val="00237A5A"/>
    <w:rsid w:val="0024017F"/>
    <w:rsid w:val="002453C2"/>
    <w:rsid w:val="0025082B"/>
    <w:rsid w:val="00255D57"/>
    <w:rsid w:val="00264E3F"/>
    <w:rsid w:val="00264F37"/>
    <w:rsid w:val="00266A21"/>
    <w:rsid w:val="00276372"/>
    <w:rsid w:val="0028076F"/>
    <w:rsid w:val="0028397A"/>
    <w:rsid w:val="00285445"/>
    <w:rsid w:val="002857EB"/>
    <w:rsid w:val="002912E2"/>
    <w:rsid w:val="00296B6F"/>
    <w:rsid w:val="002A0288"/>
    <w:rsid w:val="002A0817"/>
    <w:rsid w:val="002A226E"/>
    <w:rsid w:val="002B2AC9"/>
    <w:rsid w:val="002C11B8"/>
    <w:rsid w:val="002C1C0F"/>
    <w:rsid w:val="002C351E"/>
    <w:rsid w:val="002C47D7"/>
    <w:rsid w:val="002D1862"/>
    <w:rsid w:val="002D1A5D"/>
    <w:rsid w:val="002D36A4"/>
    <w:rsid w:val="002D74FC"/>
    <w:rsid w:val="002E28F2"/>
    <w:rsid w:val="002E33A0"/>
    <w:rsid w:val="002E3EF1"/>
    <w:rsid w:val="002F3DF0"/>
    <w:rsid w:val="002F5489"/>
    <w:rsid w:val="00304672"/>
    <w:rsid w:val="00304E43"/>
    <w:rsid w:val="00306402"/>
    <w:rsid w:val="0031114A"/>
    <w:rsid w:val="00313C79"/>
    <w:rsid w:val="00333057"/>
    <w:rsid w:val="003347A3"/>
    <w:rsid w:val="00334D2E"/>
    <w:rsid w:val="003375F4"/>
    <w:rsid w:val="003415C1"/>
    <w:rsid w:val="00343FDB"/>
    <w:rsid w:val="00351C42"/>
    <w:rsid w:val="00353CDC"/>
    <w:rsid w:val="003544CC"/>
    <w:rsid w:val="00365DE9"/>
    <w:rsid w:val="003673B6"/>
    <w:rsid w:val="00367420"/>
    <w:rsid w:val="003709F7"/>
    <w:rsid w:val="00375C2C"/>
    <w:rsid w:val="003807FA"/>
    <w:rsid w:val="00382385"/>
    <w:rsid w:val="003827B7"/>
    <w:rsid w:val="003829E8"/>
    <w:rsid w:val="00383B2D"/>
    <w:rsid w:val="003867BD"/>
    <w:rsid w:val="00390021"/>
    <w:rsid w:val="003910C5"/>
    <w:rsid w:val="003918D9"/>
    <w:rsid w:val="00392B0D"/>
    <w:rsid w:val="003A1530"/>
    <w:rsid w:val="003A4B7C"/>
    <w:rsid w:val="003A7BD8"/>
    <w:rsid w:val="003B063B"/>
    <w:rsid w:val="003B3339"/>
    <w:rsid w:val="003B56C1"/>
    <w:rsid w:val="003C0079"/>
    <w:rsid w:val="003C0F58"/>
    <w:rsid w:val="003C6AE3"/>
    <w:rsid w:val="003D5FB5"/>
    <w:rsid w:val="003D7596"/>
    <w:rsid w:val="003E23A7"/>
    <w:rsid w:val="003E2851"/>
    <w:rsid w:val="003E2C81"/>
    <w:rsid w:val="003E36FE"/>
    <w:rsid w:val="003E4AEE"/>
    <w:rsid w:val="0040290A"/>
    <w:rsid w:val="00403951"/>
    <w:rsid w:val="00404C9E"/>
    <w:rsid w:val="004069F6"/>
    <w:rsid w:val="004106A3"/>
    <w:rsid w:val="004151B3"/>
    <w:rsid w:val="0041593D"/>
    <w:rsid w:val="00416B05"/>
    <w:rsid w:val="00420DDB"/>
    <w:rsid w:val="004223EF"/>
    <w:rsid w:val="004316FE"/>
    <w:rsid w:val="00434066"/>
    <w:rsid w:val="004349C5"/>
    <w:rsid w:val="004434DF"/>
    <w:rsid w:val="00443BE3"/>
    <w:rsid w:val="00455FA5"/>
    <w:rsid w:val="00456F71"/>
    <w:rsid w:val="0046159F"/>
    <w:rsid w:val="00461A7D"/>
    <w:rsid w:val="004622DE"/>
    <w:rsid w:val="00465605"/>
    <w:rsid w:val="0046579F"/>
    <w:rsid w:val="00470367"/>
    <w:rsid w:val="004730CC"/>
    <w:rsid w:val="00476CF6"/>
    <w:rsid w:val="004828FD"/>
    <w:rsid w:val="00485BA8"/>
    <w:rsid w:val="004927F4"/>
    <w:rsid w:val="00493158"/>
    <w:rsid w:val="00494EE5"/>
    <w:rsid w:val="004A4C4E"/>
    <w:rsid w:val="004A7F21"/>
    <w:rsid w:val="004B289C"/>
    <w:rsid w:val="004B2B3B"/>
    <w:rsid w:val="004B2C2A"/>
    <w:rsid w:val="004B51F3"/>
    <w:rsid w:val="004B6682"/>
    <w:rsid w:val="004C51BC"/>
    <w:rsid w:val="004C60E0"/>
    <w:rsid w:val="004D4794"/>
    <w:rsid w:val="004D5E83"/>
    <w:rsid w:val="004E6647"/>
    <w:rsid w:val="004E7A86"/>
    <w:rsid w:val="004F053D"/>
    <w:rsid w:val="004F12D3"/>
    <w:rsid w:val="004F5360"/>
    <w:rsid w:val="004F61AF"/>
    <w:rsid w:val="00502741"/>
    <w:rsid w:val="00515E77"/>
    <w:rsid w:val="005252D5"/>
    <w:rsid w:val="00527681"/>
    <w:rsid w:val="00527ED3"/>
    <w:rsid w:val="0053030C"/>
    <w:rsid w:val="00535E5B"/>
    <w:rsid w:val="00543B21"/>
    <w:rsid w:val="00544492"/>
    <w:rsid w:val="005446F9"/>
    <w:rsid w:val="00544B0B"/>
    <w:rsid w:val="00547AD5"/>
    <w:rsid w:val="00547D21"/>
    <w:rsid w:val="00547D94"/>
    <w:rsid w:val="00552082"/>
    <w:rsid w:val="005529DD"/>
    <w:rsid w:val="005537D2"/>
    <w:rsid w:val="00557869"/>
    <w:rsid w:val="00562C02"/>
    <w:rsid w:val="005645D1"/>
    <w:rsid w:val="00577F00"/>
    <w:rsid w:val="00592B40"/>
    <w:rsid w:val="00596EE1"/>
    <w:rsid w:val="005A44B5"/>
    <w:rsid w:val="005A4B1F"/>
    <w:rsid w:val="005A6AEA"/>
    <w:rsid w:val="005A6C14"/>
    <w:rsid w:val="005B4AB2"/>
    <w:rsid w:val="005B787B"/>
    <w:rsid w:val="005C32BB"/>
    <w:rsid w:val="005C35A3"/>
    <w:rsid w:val="005C4239"/>
    <w:rsid w:val="005C6E09"/>
    <w:rsid w:val="005C7BCB"/>
    <w:rsid w:val="005D4AE7"/>
    <w:rsid w:val="005E3FEC"/>
    <w:rsid w:val="005E7D62"/>
    <w:rsid w:val="005F068C"/>
    <w:rsid w:val="005F0E30"/>
    <w:rsid w:val="005F3A8E"/>
    <w:rsid w:val="005F4163"/>
    <w:rsid w:val="005F6357"/>
    <w:rsid w:val="005F6B45"/>
    <w:rsid w:val="00611405"/>
    <w:rsid w:val="00612955"/>
    <w:rsid w:val="00614B12"/>
    <w:rsid w:val="006151D5"/>
    <w:rsid w:val="006177AF"/>
    <w:rsid w:val="00620BC4"/>
    <w:rsid w:val="00621A6D"/>
    <w:rsid w:val="006262A8"/>
    <w:rsid w:val="006263AD"/>
    <w:rsid w:val="0063399E"/>
    <w:rsid w:val="0063493C"/>
    <w:rsid w:val="0063556E"/>
    <w:rsid w:val="00635A5F"/>
    <w:rsid w:val="00641D8C"/>
    <w:rsid w:val="006428E5"/>
    <w:rsid w:val="00642EBC"/>
    <w:rsid w:val="0064734C"/>
    <w:rsid w:val="006521AA"/>
    <w:rsid w:val="006557E6"/>
    <w:rsid w:val="0066520F"/>
    <w:rsid w:val="00667B42"/>
    <w:rsid w:val="006732C6"/>
    <w:rsid w:val="006735CA"/>
    <w:rsid w:val="00676C5E"/>
    <w:rsid w:val="00677574"/>
    <w:rsid w:val="0068252D"/>
    <w:rsid w:val="006872B0"/>
    <w:rsid w:val="00690982"/>
    <w:rsid w:val="00692DD3"/>
    <w:rsid w:val="00695235"/>
    <w:rsid w:val="00695E9A"/>
    <w:rsid w:val="006A4E87"/>
    <w:rsid w:val="006A58DD"/>
    <w:rsid w:val="006B31FA"/>
    <w:rsid w:val="006B531D"/>
    <w:rsid w:val="006C28A9"/>
    <w:rsid w:val="006C294F"/>
    <w:rsid w:val="006C6877"/>
    <w:rsid w:val="006C77B5"/>
    <w:rsid w:val="006D0602"/>
    <w:rsid w:val="006D5420"/>
    <w:rsid w:val="006D587A"/>
    <w:rsid w:val="006D5C9C"/>
    <w:rsid w:val="006E09C2"/>
    <w:rsid w:val="006E1E23"/>
    <w:rsid w:val="006F1211"/>
    <w:rsid w:val="006F17E9"/>
    <w:rsid w:val="006F34F1"/>
    <w:rsid w:val="006F59D7"/>
    <w:rsid w:val="006F6966"/>
    <w:rsid w:val="006F6F5B"/>
    <w:rsid w:val="00700F05"/>
    <w:rsid w:val="00701B7B"/>
    <w:rsid w:val="0070371F"/>
    <w:rsid w:val="00703B01"/>
    <w:rsid w:val="0071396B"/>
    <w:rsid w:val="007161EC"/>
    <w:rsid w:val="007226E9"/>
    <w:rsid w:val="00723C6B"/>
    <w:rsid w:val="007259CD"/>
    <w:rsid w:val="00727ABB"/>
    <w:rsid w:val="00732CBF"/>
    <w:rsid w:val="00734CEE"/>
    <w:rsid w:val="00734D13"/>
    <w:rsid w:val="00735CA8"/>
    <w:rsid w:val="007408E4"/>
    <w:rsid w:val="00742778"/>
    <w:rsid w:val="007466FD"/>
    <w:rsid w:val="00750856"/>
    <w:rsid w:val="00752F6D"/>
    <w:rsid w:val="00753E66"/>
    <w:rsid w:val="007576A7"/>
    <w:rsid w:val="00757D47"/>
    <w:rsid w:val="0076218C"/>
    <w:rsid w:val="00765046"/>
    <w:rsid w:val="00765146"/>
    <w:rsid w:val="00767722"/>
    <w:rsid w:val="00785854"/>
    <w:rsid w:val="00786386"/>
    <w:rsid w:val="00796598"/>
    <w:rsid w:val="00796D48"/>
    <w:rsid w:val="007A0970"/>
    <w:rsid w:val="007B1F0D"/>
    <w:rsid w:val="007B2A25"/>
    <w:rsid w:val="007B429E"/>
    <w:rsid w:val="007C3C0E"/>
    <w:rsid w:val="007D0DB5"/>
    <w:rsid w:val="007D1558"/>
    <w:rsid w:val="007E1C52"/>
    <w:rsid w:val="007F0D4D"/>
    <w:rsid w:val="007F0F1E"/>
    <w:rsid w:val="007F56E8"/>
    <w:rsid w:val="007F7141"/>
    <w:rsid w:val="00816DC2"/>
    <w:rsid w:val="008203E1"/>
    <w:rsid w:val="00821892"/>
    <w:rsid w:val="00821DCA"/>
    <w:rsid w:val="00822106"/>
    <w:rsid w:val="0082522A"/>
    <w:rsid w:val="00825672"/>
    <w:rsid w:val="0082578E"/>
    <w:rsid w:val="00826947"/>
    <w:rsid w:val="00834F6B"/>
    <w:rsid w:val="008362DE"/>
    <w:rsid w:val="008366C3"/>
    <w:rsid w:val="00842BE2"/>
    <w:rsid w:val="0084385C"/>
    <w:rsid w:val="00844468"/>
    <w:rsid w:val="00850CC6"/>
    <w:rsid w:val="00852F1D"/>
    <w:rsid w:val="0085459C"/>
    <w:rsid w:val="008548D3"/>
    <w:rsid w:val="008549FD"/>
    <w:rsid w:val="00866ECC"/>
    <w:rsid w:val="00871483"/>
    <w:rsid w:val="0087410A"/>
    <w:rsid w:val="0087783D"/>
    <w:rsid w:val="0088239E"/>
    <w:rsid w:val="00883B39"/>
    <w:rsid w:val="0088460E"/>
    <w:rsid w:val="00886F42"/>
    <w:rsid w:val="00897216"/>
    <w:rsid w:val="008A0882"/>
    <w:rsid w:val="008A3770"/>
    <w:rsid w:val="008A4353"/>
    <w:rsid w:val="008A4471"/>
    <w:rsid w:val="008A45F1"/>
    <w:rsid w:val="008B3984"/>
    <w:rsid w:val="008B4825"/>
    <w:rsid w:val="008C077D"/>
    <w:rsid w:val="008C51E4"/>
    <w:rsid w:val="008C6C8F"/>
    <w:rsid w:val="008C7D8D"/>
    <w:rsid w:val="008D3B84"/>
    <w:rsid w:val="008E7375"/>
    <w:rsid w:val="008E7396"/>
    <w:rsid w:val="009053B0"/>
    <w:rsid w:val="0091089F"/>
    <w:rsid w:val="00915BFE"/>
    <w:rsid w:val="00916D9D"/>
    <w:rsid w:val="009359AB"/>
    <w:rsid w:val="00945DC9"/>
    <w:rsid w:val="00952814"/>
    <w:rsid w:val="0095294D"/>
    <w:rsid w:val="00962607"/>
    <w:rsid w:val="00967A51"/>
    <w:rsid w:val="00970DA4"/>
    <w:rsid w:val="009745AF"/>
    <w:rsid w:val="00992750"/>
    <w:rsid w:val="0099659F"/>
    <w:rsid w:val="009976A5"/>
    <w:rsid w:val="009C2535"/>
    <w:rsid w:val="009C473A"/>
    <w:rsid w:val="009C5367"/>
    <w:rsid w:val="009D51E9"/>
    <w:rsid w:val="009D5303"/>
    <w:rsid w:val="009E32A8"/>
    <w:rsid w:val="009F01D8"/>
    <w:rsid w:val="009F35EA"/>
    <w:rsid w:val="00A03570"/>
    <w:rsid w:val="00A03B6D"/>
    <w:rsid w:val="00A0692B"/>
    <w:rsid w:val="00A06D43"/>
    <w:rsid w:val="00A10FC4"/>
    <w:rsid w:val="00A15CC4"/>
    <w:rsid w:val="00A20BA7"/>
    <w:rsid w:val="00A2132C"/>
    <w:rsid w:val="00A2153B"/>
    <w:rsid w:val="00A22359"/>
    <w:rsid w:val="00A22C8A"/>
    <w:rsid w:val="00A23CEE"/>
    <w:rsid w:val="00A25C0F"/>
    <w:rsid w:val="00A37078"/>
    <w:rsid w:val="00A472B9"/>
    <w:rsid w:val="00A476B7"/>
    <w:rsid w:val="00A50CA9"/>
    <w:rsid w:val="00A54628"/>
    <w:rsid w:val="00A552FE"/>
    <w:rsid w:val="00A621A2"/>
    <w:rsid w:val="00A6430F"/>
    <w:rsid w:val="00A646D6"/>
    <w:rsid w:val="00A75499"/>
    <w:rsid w:val="00A76DDC"/>
    <w:rsid w:val="00A8274F"/>
    <w:rsid w:val="00A92064"/>
    <w:rsid w:val="00AA6BA3"/>
    <w:rsid w:val="00AC3F6E"/>
    <w:rsid w:val="00AC4B1E"/>
    <w:rsid w:val="00AC5415"/>
    <w:rsid w:val="00AE20A6"/>
    <w:rsid w:val="00AE21B0"/>
    <w:rsid w:val="00AE3BEE"/>
    <w:rsid w:val="00AE5CC9"/>
    <w:rsid w:val="00B00D4A"/>
    <w:rsid w:val="00B042FF"/>
    <w:rsid w:val="00B04A78"/>
    <w:rsid w:val="00B064AB"/>
    <w:rsid w:val="00B07CDC"/>
    <w:rsid w:val="00B116F6"/>
    <w:rsid w:val="00B14B05"/>
    <w:rsid w:val="00B16C4B"/>
    <w:rsid w:val="00B174D7"/>
    <w:rsid w:val="00B17E50"/>
    <w:rsid w:val="00B32F8F"/>
    <w:rsid w:val="00B33B13"/>
    <w:rsid w:val="00B36041"/>
    <w:rsid w:val="00B4387D"/>
    <w:rsid w:val="00B50F4E"/>
    <w:rsid w:val="00B61756"/>
    <w:rsid w:val="00B62663"/>
    <w:rsid w:val="00B633E4"/>
    <w:rsid w:val="00B65B13"/>
    <w:rsid w:val="00B67D70"/>
    <w:rsid w:val="00B71527"/>
    <w:rsid w:val="00B80B9A"/>
    <w:rsid w:val="00B87DC2"/>
    <w:rsid w:val="00B92AC6"/>
    <w:rsid w:val="00B936A8"/>
    <w:rsid w:val="00B96C82"/>
    <w:rsid w:val="00BA34AB"/>
    <w:rsid w:val="00BA45AA"/>
    <w:rsid w:val="00BA4654"/>
    <w:rsid w:val="00BC384A"/>
    <w:rsid w:val="00BC4969"/>
    <w:rsid w:val="00BC4B6C"/>
    <w:rsid w:val="00BD7474"/>
    <w:rsid w:val="00BE022E"/>
    <w:rsid w:val="00BE0775"/>
    <w:rsid w:val="00BE17DC"/>
    <w:rsid w:val="00BE32D0"/>
    <w:rsid w:val="00BE3D78"/>
    <w:rsid w:val="00BE58ED"/>
    <w:rsid w:val="00BF3CC7"/>
    <w:rsid w:val="00BF4F62"/>
    <w:rsid w:val="00BF6135"/>
    <w:rsid w:val="00C00199"/>
    <w:rsid w:val="00C005A9"/>
    <w:rsid w:val="00C0482D"/>
    <w:rsid w:val="00C146CA"/>
    <w:rsid w:val="00C15693"/>
    <w:rsid w:val="00C21F27"/>
    <w:rsid w:val="00C22261"/>
    <w:rsid w:val="00C24BAE"/>
    <w:rsid w:val="00C25952"/>
    <w:rsid w:val="00C328A2"/>
    <w:rsid w:val="00C3465C"/>
    <w:rsid w:val="00C47DCF"/>
    <w:rsid w:val="00C50124"/>
    <w:rsid w:val="00C53CF0"/>
    <w:rsid w:val="00C567C2"/>
    <w:rsid w:val="00C61BE7"/>
    <w:rsid w:val="00C61D43"/>
    <w:rsid w:val="00C63C44"/>
    <w:rsid w:val="00C66549"/>
    <w:rsid w:val="00C7392F"/>
    <w:rsid w:val="00C73F71"/>
    <w:rsid w:val="00C75280"/>
    <w:rsid w:val="00C76ED7"/>
    <w:rsid w:val="00C823F4"/>
    <w:rsid w:val="00C8275E"/>
    <w:rsid w:val="00C839D4"/>
    <w:rsid w:val="00C85581"/>
    <w:rsid w:val="00C87E25"/>
    <w:rsid w:val="00C919C5"/>
    <w:rsid w:val="00C92526"/>
    <w:rsid w:val="00CA054F"/>
    <w:rsid w:val="00CA29C1"/>
    <w:rsid w:val="00CA2A33"/>
    <w:rsid w:val="00CA37BB"/>
    <w:rsid w:val="00CA3BA1"/>
    <w:rsid w:val="00CA6EF1"/>
    <w:rsid w:val="00CB0342"/>
    <w:rsid w:val="00CB0FF4"/>
    <w:rsid w:val="00CB10D2"/>
    <w:rsid w:val="00CB17BC"/>
    <w:rsid w:val="00CB3522"/>
    <w:rsid w:val="00CB47EC"/>
    <w:rsid w:val="00CB5DDB"/>
    <w:rsid w:val="00CB676B"/>
    <w:rsid w:val="00CC3B3C"/>
    <w:rsid w:val="00CD0BF7"/>
    <w:rsid w:val="00CD109F"/>
    <w:rsid w:val="00CD3EB6"/>
    <w:rsid w:val="00CD51E4"/>
    <w:rsid w:val="00CE03D6"/>
    <w:rsid w:val="00CE251E"/>
    <w:rsid w:val="00CE4A8A"/>
    <w:rsid w:val="00CE5AF9"/>
    <w:rsid w:val="00CF1EAF"/>
    <w:rsid w:val="00CF5D3F"/>
    <w:rsid w:val="00D00F82"/>
    <w:rsid w:val="00D01B11"/>
    <w:rsid w:val="00D05732"/>
    <w:rsid w:val="00D10ACA"/>
    <w:rsid w:val="00D148FA"/>
    <w:rsid w:val="00D20ABE"/>
    <w:rsid w:val="00D20BC0"/>
    <w:rsid w:val="00D21CFA"/>
    <w:rsid w:val="00D21FA8"/>
    <w:rsid w:val="00D22243"/>
    <w:rsid w:val="00D25B0A"/>
    <w:rsid w:val="00D3592B"/>
    <w:rsid w:val="00D37D71"/>
    <w:rsid w:val="00D40855"/>
    <w:rsid w:val="00D40928"/>
    <w:rsid w:val="00D414E0"/>
    <w:rsid w:val="00D47DF7"/>
    <w:rsid w:val="00D500AB"/>
    <w:rsid w:val="00D5519F"/>
    <w:rsid w:val="00D55E54"/>
    <w:rsid w:val="00D617FB"/>
    <w:rsid w:val="00D62A27"/>
    <w:rsid w:val="00D641A6"/>
    <w:rsid w:val="00D663D0"/>
    <w:rsid w:val="00D729F2"/>
    <w:rsid w:val="00D735C3"/>
    <w:rsid w:val="00D748D2"/>
    <w:rsid w:val="00D81A7B"/>
    <w:rsid w:val="00D8379D"/>
    <w:rsid w:val="00D844B7"/>
    <w:rsid w:val="00D84AE5"/>
    <w:rsid w:val="00D8768A"/>
    <w:rsid w:val="00D92A22"/>
    <w:rsid w:val="00DA2BD1"/>
    <w:rsid w:val="00DA4616"/>
    <w:rsid w:val="00DB4CCF"/>
    <w:rsid w:val="00DB73EA"/>
    <w:rsid w:val="00DC02BF"/>
    <w:rsid w:val="00DC11A0"/>
    <w:rsid w:val="00DC5ADF"/>
    <w:rsid w:val="00DD0277"/>
    <w:rsid w:val="00DD0F32"/>
    <w:rsid w:val="00DD2659"/>
    <w:rsid w:val="00DD3600"/>
    <w:rsid w:val="00DD635C"/>
    <w:rsid w:val="00DE09D2"/>
    <w:rsid w:val="00DE6496"/>
    <w:rsid w:val="00DF3A47"/>
    <w:rsid w:val="00DF48C5"/>
    <w:rsid w:val="00E07891"/>
    <w:rsid w:val="00E07CC4"/>
    <w:rsid w:val="00E101EE"/>
    <w:rsid w:val="00E10BF9"/>
    <w:rsid w:val="00E11370"/>
    <w:rsid w:val="00E11AB6"/>
    <w:rsid w:val="00E1677E"/>
    <w:rsid w:val="00E20794"/>
    <w:rsid w:val="00E20841"/>
    <w:rsid w:val="00E20BA3"/>
    <w:rsid w:val="00E21841"/>
    <w:rsid w:val="00E2699C"/>
    <w:rsid w:val="00E27830"/>
    <w:rsid w:val="00E369A3"/>
    <w:rsid w:val="00E43306"/>
    <w:rsid w:val="00E47AC3"/>
    <w:rsid w:val="00E47C21"/>
    <w:rsid w:val="00E54B3A"/>
    <w:rsid w:val="00E54F43"/>
    <w:rsid w:val="00E553CD"/>
    <w:rsid w:val="00E55C9D"/>
    <w:rsid w:val="00E61EFB"/>
    <w:rsid w:val="00E6307A"/>
    <w:rsid w:val="00E63E44"/>
    <w:rsid w:val="00E6468D"/>
    <w:rsid w:val="00E818EB"/>
    <w:rsid w:val="00E83AFC"/>
    <w:rsid w:val="00E96503"/>
    <w:rsid w:val="00E96E6E"/>
    <w:rsid w:val="00EA05D0"/>
    <w:rsid w:val="00EA1354"/>
    <w:rsid w:val="00EA4BE7"/>
    <w:rsid w:val="00EA59DA"/>
    <w:rsid w:val="00EB2842"/>
    <w:rsid w:val="00EC0B64"/>
    <w:rsid w:val="00EC3106"/>
    <w:rsid w:val="00ED4643"/>
    <w:rsid w:val="00EE37C4"/>
    <w:rsid w:val="00EE661D"/>
    <w:rsid w:val="00EF1419"/>
    <w:rsid w:val="00EF3974"/>
    <w:rsid w:val="00F00A4E"/>
    <w:rsid w:val="00F05308"/>
    <w:rsid w:val="00F06928"/>
    <w:rsid w:val="00F07995"/>
    <w:rsid w:val="00F12DED"/>
    <w:rsid w:val="00F149F3"/>
    <w:rsid w:val="00F20385"/>
    <w:rsid w:val="00F264C8"/>
    <w:rsid w:val="00F31266"/>
    <w:rsid w:val="00F41478"/>
    <w:rsid w:val="00F43D43"/>
    <w:rsid w:val="00F4764D"/>
    <w:rsid w:val="00F47DDF"/>
    <w:rsid w:val="00F50637"/>
    <w:rsid w:val="00F51211"/>
    <w:rsid w:val="00F513E2"/>
    <w:rsid w:val="00F54F77"/>
    <w:rsid w:val="00F559CA"/>
    <w:rsid w:val="00F564E8"/>
    <w:rsid w:val="00F63827"/>
    <w:rsid w:val="00F647E3"/>
    <w:rsid w:val="00F6564A"/>
    <w:rsid w:val="00F67B67"/>
    <w:rsid w:val="00F735BF"/>
    <w:rsid w:val="00F849EC"/>
    <w:rsid w:val="00F87FA4"/>
    <w:rsid w:val="00F915D6"/>
    <w:rsid w:val="00F9502B"/>
    <w:rsid w:val="00FA1863"/>
    <w:rsid w:val="00FA207A"/>
    <w:rsid w:val="00FA59F5"/>
    <w:rsid w:val="00FC0E3D"/>
    <w:rsid w:val="00FC1BB6"/>
    <w:rsid w:val="00FC22DA"/>
    <w:rsid w:val="00FC2A1B"/>
    <w:rsid w:val="00FC62B2"/>
    <w:rsid w:val="00FC77B1"/>
    <w:rsid w:val="00FD2284"/>
    <w:rsid w:val="00FD6509"/>
    <w:rsid w:val="00FD707C"/>
    <w:rsid w:val="00FE3ED6"/>
    <w:rsid w:val="00FE43D4"/>
    <w:rsid w:val="00FE60EC"/>
    <w:rsid w:val="00FF0F4F"/>
    <w:rsid w:val="00FF15C1"/>
    <w:rsid w:val="00FF1BBC"/>
    <w:rsid w:val="00FF3F60"/>
    <w:rsid w:val="00FF5D8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592B"/>
    <w:rPr>
      <w:rFonts w:ascii="Arial" w:hAnsi="Arial"/>
      <w:lang w:eastAsia="en-US" w:bidi="he-IL"/>
    </w:rPr>
  </w:style>
  <w:style w:type="paragraph" w:styleId="Heading1">
    <w:name w:val="heading 1"/>
    <w:basedOn w:val="ACMAHeading1"/>
    <w:next w:val="ACMABodyText"/>
    <w:qFormat/>
    <w:rsid w:val="00367420"/>
    <w:pPr>
      <w:outlineLvl w:val="0"/>
    </w:pPr>
    <w:rPr>
      <w:rFonts w:cs="Arial"/>
      <w:bCs/>
    </w:rPr>
  </w:style>
  <w:style w:type="paragraph" w:styleId="Heading2">
    <w:name w:val="heading 2"/>
    <w:basedOn w:val="Normal"/>
    <w:next w:val="Normal"/>
    <w:qFormat/>
    <w:rsid w:val="00C63C44"/>
    <w:pPr>
      <w:keepNext/>
      <w:spacing w:before="240" w:after="60"/>
      <w:outlineLvl w:val="1"/>
    </w:pPr>
    <w:rPr>
      <w:rFonts w:cs="Arial"/>
      <w:b/>
      <w:bCs/>
      <w:i/>
      <w:iCs/>
      <w:sz w:val="28"/>
      <w:szCs w:val="28"/>
      <w:lang w:eastAsia="en-AU" w:bidi="ar-SA"/>
    </w:rPr>
  </w:style>
  <w:style w:type="paragraph" w:styleId="Heading3">
    <w:name w:val="heading 3"/>
    <w:basedOn w:val="Normal"/>
    <w:next w:val="Normal"/>
    <w:qFormat/>
    <w:rsid w:val="00C63C44"/>
    <w:pPr>
      <w:keepNext/>
      <w:spacing w:before="240" w:after="60"/>
      <w:outlineLvl w:val="2"/>
    </w:pPr>
    <w:rPr>
      <w:rFonts w:cs="Arial"/>
      <w:b/>
      <w:bCs/>
      <w:sz w:val="24"/>
      <w:szCs w:val="24"/>
      <w:lang w:eastAsia="en-AU" w:bidi="ar-SA"/>
    </w:rPr>
  </w:style>
  <w:style w:type="paragraph" w:styleId="Heading4">
    <w:name w:val="heading 4"/>
    <w:basedOn w:val="Normal"/>
    <w:next w:val="Normal"/>
    <w:qFormat/>
    <w:rsid w:val="009C5367"/>
    <w:pPr>
      <w:keepNext/>
      <w:spacing w:before="240" w:after="60"/>
      <w:outlineLvl w:val="3"/>
    </w:pPr>
    <w:rPr>
      <w:rFonts w:ascii="Times New Roman" w:hAnsi="Times New Roman"/>
      <w:b/>
      <w:bCs/>
      <w:sz w:val="28"/>
      <w:szCs w:val="28"/>
      <w:lang w:eastAsia="en-AU" w:bidi="ar-SA"/>
    </w:rPr>
  </w:style>
  <w:style w:type="paragraph" w:styleId="Heading5">
    <w:name w:val="heading 5"/>
    <w:basedOn w:val="Normal"/>
    <w:next w:val="Normal"/>
    <w:qFormat/>
    <w:rsid w:val="009C5367"/>
    <w:pPr>
      <w:spacing w:before="240" w:after="60"/>
      <w:outlineLvl w:val="4"/>
    </w:pPr>
    <w:rPr>
      <w:rFonts w:ascii="Times New Roman" w:hAnsi="Times New Roman"/>
      <w:b/>
      <w:bCs/>
      <w:i/>
      <w:iCs/>
      <w:sz w:val="26"/>
      <w:szCs w:val="26"/>
      <w:lang w:eastAsia="en-AU" w:bidi="ar-SA"/>
    </w:rPr>
  </w:style>
  <w:style w:type="paragraph" w:styleId="Heading6">
    <w:name w:val="heading 6"/>
    <w:basedOn w:val="Normal"/>
    <w:next w:val="Normal"/>
    <w:qFormat/>
    <w:rsid w:val="009C5367"/>
    <w:pPr>
      <w:spacing w:before="240" w:after="60"/>
      <w:outlineLvl w:val="5"/>
    </w:pPr>
    <w:rPr>
      <w:rFonts w:ascii="Times New Roman" w:hAnsi="Times New Roman"/>
      <w:b/>
      <w:bCs/>
      <w:sz w:val="22"/>
      <w:szCs w:val="22"/>
      <w:lang w:eastAsia="en-AU" w:bidi="ar-SA"/>
    </w:rPr>
  </w:style>
  <w:style w:type="paragraph" w:styleId="Heading7">
    <w:name w:val="heading 7"/>
    <w:basedOn w:val="Normal"/>
    <w:next w:val="Normal"/>
    <w:qFormat/>
    <w:rsid w:val="009C5367"/>
    <w:pPr>
      <w:spacing w:before="240" w:after="60"/>
      <w:outlineLvl w:val="6"/>
    </w:pPr>
    <w:rPr>
      <w:rFonts w:ascii="Times New Roman" w:hAnsi="Times New Roman"/>
      <w:sz w:val="24"/>
      <w:szCs w:val="24"/>
      <w:lang w:eastAsia="en-AU" w:bidi="ar-SA"/>
    </w:rPr>
  </w:style>
  <w:style w:type="paragraph" w:styleId="Heading8">
    <w:name w:val="heading 8"/>
    <w:basedOn w:val="Normal"/>
    <w:next w:val="Normal"/>
    <w:qFormat/>
    <w:rsid w:val="009C5367"/>
    <w:pPr>
      <w:spacing w:before="240" w:after="60"/>
      <w:outlineLvl w:val="7"/>
    </w:pPr>
    <w:rPr>
      <w:rFonts w:ascii="Times New Roman" w:hAnsi="Times New Roman"/>
      <w:i/>
      <w:iCs/>
      <w:sz w:val="24"/>
      <w:szCs w:val="24"/>
      <w:lang w:eastAsia="en-AU" w:bidi="ar-SA"/>
    </w:rPr>
  </w:style>
  <w:style w:type="paragraph" w:styleId="Heading9">
    <w:name w:val="heading 9"/>
    <w:basedOn w:val="Normal"/>
    <w:next w:val="Normal"/>
    <w:qFormat/>
    <w:rsid w:val="009C5367"/>
    <w:pPr>
      <w:spacing w:before="240" w:after="60"/>
      <w:outlineLvl w:val="8"/>
    </w:pPr>
    <w:rPr>
      <w:rFonts w:cs="Arial"/>
      <w:sz w:val="22"/>
      <w:szCs w:val="22"/>
      <w:lang w:eastAsia="en-AU"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MABodyText">
    <w:name w:val="ACMA Body Text"/>
    <w:link w:val="ACMABodyTextChar1"/>
    <w:rsid w:val="00367420"/>
    <w:pPr>
      <w:suppressAutoHyphens/>
      <w:spacing w:before="80" w:after="120" w:line="280" w:lineRule="atLeast"/>
    </w:pPr>
    <w:rPr>
      <w:snapToGrid w:val="0"/>
      <w:sz w:val="24"/>
      <w:lang w:eastAsia="en-US"/>
    </w:rPr>
  </w:style>
  <w:style w:type="paragraph" w:customStyle="1" w:styleId="ACMAHeading1">
    <w:name w:val="ACMA Heading 1"/>
    <w:next w:val="ACMABodyText"/>
    <w:rsid w:val="008D3613"/>
    <w:pPr>
      <w:keepNext/>
      <w:suppressAutoHyphens/>
      <w:spacing w:before="320"/>
      <w:outlineLvl w:val="1"/>
    </w:pPr>
    <w:rPr>
      <w:rFonts w:ascii="Arial" w:hAnsi="Arial"/>
      <w:b/>
      <w:sz w:val="32"/>
      <w:szCs w:val="32"/>
      <w:lang w:val="en-US" w:eastAsia="en-US"/>
    </w:rPr>
  </w:style>
  <w:style w:type="paragraph" w:customStyle="1" w:styleId="ACMABulletLevel1">
    <w:name w:val="ACMA Bullet Level 1"/>
    <w:rsid w:val="008D3613"/>
    <w:pPr>
      <w:numPr>
        <w:numId w:val="7"/>
      </w:numPr>
      <w:spacing w:after="120"/>
    </w:pPr>
    <w:rPr>
      <w:sz w:val="24"/>
      <w:lang w:eastAsia="en-US"/>
    </w:rPr>
  </w:style>
  <w:style w:type="paragraph" w:customStyle="1" w:styleId="ACMABulletLevel2">
    <w:name w:val="ACMA Bullet Level 2"/>
    <w:rsid w:val="00697F29"/>
    <w:pPr>
      <w:numPr>
        <w:numId w:val="8"/>
      </w:numPr>
      <w:tabs>
        <w:tab w:val="clear" w:pos="-31680"/>
        <w:tab w:val="num" w:pos="1008"/>
      </w:tabs>
      <w:spacing w:after="120"/>
      <w:ind w:left="1368" w:hanging="360"/>
    </w:pPr>
    <w:rPr>
      <w:sz w:val="24"/>
      <w:lang w:eastAsia="en-US"/>
    </w:rPr>
  </w:style>
  <w:style w:type="paragraph" w:customStyle="1" w:styleId="ACMAChapterHeading">
    <w:name w:val="ACMA Chapter Heading"/>
    <w:next w:val="ACMABodyText"/>
    <w:rsid w:val="008D3613"/>
    <w:pPr>
      <w:keepNext/>
      <w:suppressAutoHyphens/>
      <w:spacing w:before="2160" w:after="480"/>
      <w:outlineLvl w:val="0"/>
    </w:pPr>
    <w:rPr>
      <w:sz w:val="56"/>
      <w:szCs w:val="56"/>
      <w:lang w:eastAsia="en-US"/>
    </w:rPr>
  </w:style>
  <w:style w:type="paragraph" w:customStyle="1" w:styleId="ACMAConclusion">
    <w:name w:val="ACMA Conclusion"/>
    <w:rsid w:val="00367420"/>
    <w:pPr>
      <w:pBdr>
        <w:top w:val="single" w:sz="8" w:space="10" w:color="auto" w:shadow="1"/>
        <w:left w:val="single" w:sz="8" w:space="12" w:color="auto" w:shadow="1"/>
        <w:bottom w:val="single" w:sz="8" w:space="15" w:color="auto" w:shadow="1"/>
        <w:right w:val="single" w:sz="8" w:space="11" w:color="auto" w:shadow="1"/>
      </w:pBdr>
      <w:spacing w:after="80" w:line="240" w:lineRule="atLeast"/>
      <w:ind w:left="288" w:right="288"/>
    </w:pPr>
    <w:rPr>
      <w:b/>
      <w:sz w:val="24"/>
      <w:lang w:eastAsia="en-US"/>
    </w:rPr>
  </w:style>
  <w:style w:type="paragraph" w:customStyle="1" w:styleId="ACMAContentsHeading">
    <w:name w:val="ACMA Contents Heading"/>
    <w:rsid w:val="008D3613"/>
    <w:pPr>
      <w:spacing w:before="2160" w:after="480"/>
    </w:pPr>
    <w:rPr>
      <w:sz w:val="56"/>
      <w:szCs w:val="56"/>
      <w:lang w:val="en-US" w:eastAsia="en-US"/>
    </w:rPr>
  </w:style>
  <w:style w:type="paragraph" w:customStyle="1" w:styleId="ACMAFooterEven">
    <w:name w:val="ACMA Footer (Even)"/>
    <w:rsid w:val="008D3613"/>
    <w:pPr>
      <w:pBdr>
        <w:top w:val="single" w:sz="2" w:space="4" w:color="auto"/>
      </w:pBdr>
      <w:tabs>
        <w:tab w:val="right" w:pos="8959"/>
      </w:tabs>
    </w:pPr>
    <w:rPr>
      <w:lang w:eastAsia="en-US"/>
    </w:rPr>
  </w:style>
  <w:style w:type="paragraph" w:customStyle="1" w:styleId="ACMAFooterOdd">
    <w:name w:val="ACMA Footer (Odd)"/>
    <w:rsid w:val="008D3613"/>
    <w:pPr>
      <w:pBdr>
        <w:top w:val="single" w:sz="2" w:space="4" w:color="auto"/>
      </w:pBdr>
      <w:tabs>
        <w:tab w:val="right" w:pos="8959"/>
      </w:tabs>
    </w:pPr>
    <w:rPr>
      <w:lang w:eastAsia="en-US"/>
    </w:rPr>
  </w:style>
  <w:style w:type="paragraph" w:customStyle="1" w:styleId="ACMAFootnote">
    <w:name w:val="ACMA Footnote"/>
    <w:rsid w:val="00367420"/>
    <w:pPr>
      <w:ind w:left="144" w:hanging="144"/>
    </w:pPr>
    <w:rPr>
      <w:sz w:val="16"/>
      <w:lang w:eastAsia="en-US"/>
    </w:rPr>
  </w:style>
  <w:style w:type="paragraph" w:customStyle="1" w:styleId="ACMAHeaderEven">
    <w:name w:val="ACMA Header (Even)"/>
    <w:rsid w:val="008D3613"/>
    <w:rPr>
      <w:i/>
      <w:lang w:val="en-US" w:eastAsia="en-US"/>
    </w:rPr>
  </w:style>
  <w:style w:type="paragraph" w:customStyle="1" w:styleId="ACMAHeaderOdd">
    <w:name w:val="ACMA Header (Odd)"/>
    <w:rsid w:val="008D3613"/>
    <w:pPr>
      <w:jc w:val="right"/>
    </w:pPr>
    <w:rPr>
      <w:i/>
      <w:lang w:val="en-US" w:eastAsia="en-US"/>
    </w:rPr>
  </w:style>
  <w:style w:type="paragraph" w:customStyle="1" w:styleId="ACMAHeading2">
    <w:name w:val="ACMA Heading 2"/>
    <w:next w:val="ACMABodyText"/>
    <w:rsid w:val="008D3613"/>
    <w:pPr>
      <w:keepNext/>
      <w:suppressAutoHyphens/>
      <w:spacing w:before="240"/>
      <w:outlineLvl w:val="2"/>
    </w:pPr>
    <w:rPr>
      <w:rFonts w:ascii="Arial" w:hAnsi="Arial"/>
      <w:b/>
      <w:caps/>
      <w:sz w:val="26"/>
      <w:szCs w:val="26"/>
      <w:lang w:val="en-US" w:eastAsia="en-US"/>
    </w:rPr>
  </w:style>
  <w:style w:type="paragraph" w:customStyle="1" w:styleId="ACMAHeading3">
    <w:name w:val="ACMA Heading 3"/>
    <w:next w:val="ACMABodyText"/>
    <w:rsid w:val="008D3613"/>
    <w:pPr>
      <w:keepNext/>
      <w:suppressAutoHyphens/>
      <w:spacing w:before="240"/>
      <w:outlineLvl w:val="3"/>
    </w:pPr>
    <w:rPr>
      <w:rFonts w:ascii="Arial" w:hAnsi="Arial"/>
      <w:b/>
      <w:sz w:val="24"/>
      <w:lang w:val="en-US" w:eastAsia="en-US"/>
    </w:rPr>
  </w:style>
  <w:style w:type="paragraph" w:customStyle="1" w:styleId="ACMAHeading4">
    <w:name w:val="ACMA Heading 4"/>
    <w:next w:val="ACMABodyText"/>
    <w:rsid w:val="008D3613"/>
    <w:pPr>
      <w:keepNext/>
      <w:suppressAutoHyphens/>
      <w:spacing w:before="80"/>
      <w:outlineLvl w:val="4"/>
    </w:pPr>
    <w:rPr>
      <w:rFonts w:ascii="Arial" w:hAnsi="Arial"/>
      <w:b/>
      <w:i/>
      <w:lang w:eastAsia="en-US"/>
    </w:rPr>
  </w:style>
  <w:style w:type="paragraph" w:customStyle="1" w:styleId="ACMAletteredlist">
    <w:name w:val="ACMA lettered list"/>
    <w:rsid w:val="00367420"/>
    <w:pPr>
      <w:numPr>
        <w:numId w:val="1"/>
      </w:numPr>
      <w:tabs>
        <w:tab w:val="clear" w:pos="360"/>
      </w:tabs>
      <w:spacing w:before="20" w:after="20"/>
    </w:pPr>
    <w:rPr>
      <w:sz w:val="24"/>
      <w:lang w:eastAsia="en-US"/>
    </w:rPr>
  </w:style>
  <w:style w:type="paragraph" w:customStyle="1" w:styleId="ACMANumberedList">
    <w:name w:val="ACMA Numbered List"/>
    <w:rsid w:val="00367420"/>
    <w:pPr>
      <w:numPr>
        <w:numId w:val="2"/>
      </w:numPr>
      <w:spacing w:before="20" w:after="20"/>
    </w:pPr>
    <w:rPr>
      <w:sz w:val="24"/>
      <w:lang w:eastAsia="en-US"/>
    </w:rPr>
  </w:style>
  <w:style w:type="paragraph" w:customStyle="1" w:styleId="ACMAQuote">
    <w:name w:val="ACMA Quote"/>
    <w:rsid w:val="00367420"/>
    <w:pPr>
      <w:spacing w:line="240" w:lineRule="atLeast"/>
      <w:ind w:left="562" w:right="562"/>
    </w:pPr>
    <w:rPr>
      <w:sz w:val="22"/>
      <w:lang w:eastAsia="en-US"/>
    </w:rPr>
  </w:style>
  <w:style w:type="paragraph" w:customStyle="1" w:styleId="ACMAReportDate">
    <w:name w:val="ACMA Report Date"/>
    <w:rsid w:val="008D3613"/>
    <w:rPr>
      <w:snapToGrid w:val="0"/>
      <w:lang w:eastAsia="en-US"/>
    </w:rPr>
  </w:style>
  <w:style w:type="paragraph" w:customStyle="1" w:styleId="ACMAReportImprint">
    <w:name w:val="ACMA Report Imprint"/>
    <w:rsid w:val="008D3613"/>
    <w:pPr>
      <w:spacing w:after="80"/>
    </w:pPr>
    <w:rPr>
      <w:rFonts w:cs="Arial"/>
      <w:lang w:eastAsia="en-US"/>
    </w:rPr>
  </w:style>
  <w:style w:type="paragraph" w:customStyle="1" w:styleId="ACMAReportSubtitle">
    <w:name w:val="ACMA Report Subtitle"/>
    <w:rsid w:val="008D3613"/>
    <w:pPr>
      <w:spacing w:before="1440"/>
    </w:pPr>
    <w:rPr>
      <w:sz w:val="36"/>
      <w:lang w:eastAsia="en-US"/>
    </w:rPr>
  </w:style>
  <w:style w:type="paragraph" w:customStyle="1" w:styleId="ACMAReportTitle">
    <w:name w:val="ACMA Report Title"/>
    <w:rsid w:val="008D3613"/>
    <w:pPr>
      <w:spacing w:before="1980"/>
    </w:pPr>
    <w:rPr>
      <w:sz w:val="80"/>
      <w:lang w:eastAsia="en-US"/>
    </w:rPr>
  </w:style>
  <w:style w:type="paragraph" w:customStyle="1" w:styleId="ACMATableBullet">
    <w:name w:val="ACMA Table Bullet"/>
    <w:rsid w:val="008D3613"/>
    <w:pPr>
      <w:numPr>
        <w:numId w:val="9"/>
      </w:numPr>
      <w:tabs>
        <w:tab w:val="clear" w:pos="720"/>
        <w:tab w:val="num" w:pos="1008"/>
      </w:tabs>
      <w:spacing w:before="40" w:after="40"/>
      <w:ind w:left="1008"/>
    </w:pPr>
    <w:rPr>
      <w:rFonts w:ascii="Arial" w:hAnsi="Arial"/>
      <w:lang w:eastAsia="en-US"/>
    </w:rPr>
  </w:style>
  <w:style w:type="paragraph" w:customStyle="1" w:styleId="ACMATableCaption">
    <w:name w:val="ACMA Table Caption"/>
    <w:rsid w:val="00367420"/>
    <w:pPr>
      <w:spacing w:after="120"/>
    </w:pPr>
    <w:rPr>
      <w:rFonts w:ascii="Arial" w:hAnsi="Arial"/>
      <w:lang w:eastAsia="en-US"/>
    </w:rPr>
  </w:style>
  <w:style w:type="paragraph" w:customStyle="1" w:styleId="ACMATableHeading">
    <w:name w:val="ACMA Table Heading"/>
    <w:rsid w:val="00367420"/>
    <w:pPr>
      <w:spacing w:before="40" w:after="40"/>
    </w:pPr>
    <w:rPr>
      <w:rFonts w:ascii="Arial" w:hAnsi="Arial"/>
      <w:b/>
      <w:lang w:eastAsia="en-US"/>
    </w:rPr>
  </w:style>
  <w:style w:type="paragraph" w:customStyle="1" w:styleId="ACMATableNumber">
    <w:name w:val="ACMA Table Number"/>
    <w:rsid w:val="00367420"/>
    <w:pPr>
      <w:spacing w:before="160"/>
    </w:pPr>
    <w:rPr>
      <w:rFonts w:ascii="Arial" w:hAnsi="Arial"/>
      <w:b/>
      <w:lang w:eastAsia="en-US"/>
    </w:rPr>
  </w:style>
  <w:style w:type="paragraph" w:customStyle="1" w:styleId="ACMATableText">
    <w:name w:val="ACMA Table Text"/>
    <w:rsid w:val="00367420"/>
    <w:pPr>
      <w:spacing w:before="40" w:after="40"/>
    </w:pPr>
    <w:rPr>
      <w:rFonts w:ascii="Arial" w:hAnsi="Arial"/>
      <w:lang w:eastAsia="en-US"/>
    </w:rPr>
  </w:style>
  <w:style w:type="paragraph" w:customStyle="1" w:styleId="LegislationLvl1">
    <w:name w:val="Legislation Lvl 1"/>
    <w:rsid w:val="00367420"/>
    <w:pPr>
      <w:numPr>
        <w:numId w:val="3"/>
      </w:numPr>
      <w:tabs>
        <w:tab w:val="clear" w:pos="1080"/>
        <w:tab w:val="num" w:pos="851"/>
      </w:tabs>
      <w:ind w:left="850" w:hanging="493"/>
    </w:pPr>
    <w:rPr>
      <w:bCs/>
      <w:sz w:val="22"/>
      <w:lang w:eastAsia="en-US"/>
    </w:rPr>
  </w:style>
  <w:style w:type="paragraph" w:customStyle="1" w:styleId="LegislationLvl2">
    <w:name w:val="Legislation Lvl 2"/>
    <w:rsid w:val="00367420"/>
    <w:pPr>
      <w:numPr>
        <w:ilvl w:val="1"/>
        <w:numId w:val="4"/>
      </w:numPr>
      <w:tabs>
        <w:tab w:val="clear" w:pos="1440"/>
        <w:tab w:val="num" w:pos="1418"/>
      </w:tabs>
      <w:ind w:left="1418" w:hanging="567"/>
    </w:pPr>
    <w:rPr>
      <w:sz w:val="22"/>
      <w:lang w:eastAsia="en-US"/>
    </w:rPr>
  </w:style>
  <w:style w:type="paragraph" w:customStyle="1" w:styleId="LegislationLvl3">
    <w:name w:val="Legislation Lvl 3"/>
    <w:rsid w:val="00367420"/>
    <w:pPr>
      <w:numPr>
        <w:ilvl w:val="2"/>
        <w:numId w:val="5"/>
      </w:numPr>
      <w:tabs>
        <w:tab w:val="clear" w:pos="2340"/>
        <w:tab w:val="num" w:pos="1985"/>
      </w:tabs>
      <w:ind w:left="1985" w:hanging="567"/>
    </w:pPr>
    <w:rPr>
      <w:sz w:val="22"/>
      <w:lang w:eastAsia="en-US"/>
    </w:rPr>
  </w:style>
  <w:style w:type="paragraph" w:customStyle="1" w:styleId="LegislationLvl4">
    <w:name w:val="Legislation Lvl 4"/>
    <w:rsid w:val="00367420"/>
    <w:pPr>
      <w:numPr>
        <w:ilvl w:val="3"/>
        <w:numId w:val="6"/>
      </w:numPr>
      <w:tabs>
        <w:tab w:val="clear" w:pos="2700"/>
        <w:tab w:val="num" w:pos="2694"/>
      </w:tabs>
      <w:ind w:left="2694" w:hanging="426"/>
    </w:pPr>
    <w:rPr>
      <w:sz w:val="22"/>
      <w:lang w:eastAsia="en-US"/>
    </w:rPr>
  </w:style>
  <w:style w:type="paragraph" w:styleId="FootnoteText">
    <w:name w:val="footnote text"/>
    <w:aliases w:val="ACMA Footnote Text,footnote text,Footnote Text Char1,Footnote Text Char Char,Footnote Text Char1 Char Char,Footnote Text Char Char Char Char,Footnote Text Char1 Char Char Char Char,Footnote Text Char Char Char Char Char Char,f"/>
    <w:link w:val="FootnoteTextChar"/>
    <w:rsid w:val="00367420"/>
    <w:pPr>
      <w:tabs>
        <w:tab w:val="left" w:pos="284"/>
      </w:tabs>
      <w:ind w:left="288" w:hanging="288"/>
    </w:pPr>
    <w:rPr>
      <w:lang w:eastAsia="en-US"/>
    </w:rPr>
  </w:style>
  <w:style w:type="paragraph" w:customStyle="1" w:styleId="Pre-NumberedLegisLvl1">
    <w:name w:val="Pre-Numbered Legis Lvl 1"/>
    <w:rsid w:val="00367420"/>
    <w:pPr>
      <w:ind w:left="850" w:hanging="493"/>
    </w:pPr>
    <w:rPr>
      <w:sz w:val="22"/>
      <w:lang w:eastAsia="en-US"/>
    </w:rPr>
  </w:style>
  <w:style w:type="paragraph" w:customStyle="1" w:styleId="Pre-NumberedLegisLvl2">
    <w:name w:val="Pre-Numbered Legis Lvl 2"/>
    <w:rsid w:val="00367420"/>
    <w:pPr>
      <w:ind w:left="1367" w:hanging="516"/>
    </w:pPr>
    <w:rPr>
      <w:sz w:val="22"/>
      <w:lang w:eastAsia="en-US"/>
    </w:rPr>
  </w:style>
  <w:style w:type="paragraph" w:customStyle="1" w:styleId="Pre-NumberedLegisLvl3">
    <w:name w:val="Pre-Numbered Legis Lvl 3"/>
    <w:rsid w:val="00367420"/>
    <w:pPr>
      <w:ind w:left="1985" w:hanging="567"/>
    </w:pPr>
    <w:rPr>
      <w:sz w:val="22"/>
      <w:lang w:eastAsia="en-US"/>
    </w:rPr>
  </w:style>
  <w:style w:type="paragraph" w:customStyle="1" w:styleId="Pre-NumberedLegisLvl4">
    <w:name w:val="Pre-Numbered Legis Lvl 4"/>
    <w:rsid w:val="00367420"/>
    <w:pPr>
      <w:ind w:left="2721" w:hanging="680"/>
    </w:pPr>
    <w:rPr>
      <w:sz w:val="22"/>
      <w:lang w:eastAsia="en-US"/>
    </w:rPr>
  </w:style>
  <w:style w:type="paragraph" w:styleId="TOC1">
    <w:name w:val="toc 1"/>
    <w:aliases w:val="ACMA 1"/>
    <w:rsid w:val="008D3613"/>
    <w:pPr>
      <w:spacing w:before="360"/>
    </w:pPr>
    <w:rPr>
      <w:rFonts w:ascii="Arial" w:hAnsi="Arial"/>
      <w:b/>
      <w:bCs/>
      <w:caps/>
      <w:szCs w:val="28"/>
      <w:lang w:eastAsia="en-US"/>
    </w:rPr>
  </w:style>
  <w:style w:type="paragraph" w:styleId="TOC2">
    <w:name w:val="toc 2"/>
    <w:aliases w:val="ACMA 2"/>
    <w:rsid w:val="008D3613"/>
    <w:pPr>
      <w:spacing w:before="240"/>
    </w:pPr>
    <w:rPr>
      <w:bCs/>
      <w:sz w:val="22"/>
      <w:szCs w:val="24"/>
      <w:lang w:eastAsia="en-US"/>
    </w:rPr>
  </w:style>
  <w:style w:type="paragraph" w:styleId="TOC3">
    <w:name w:val="toc 3"/>
    <w:aliases w:val="ACMA 3"/>
    <w:rsid w:val="008D3613"/>
    <w:pPr>
      <w:ind w:left="198"/>
    </w:pPr>
    <w:rPr>
      <w:sz w:val="22"/>
      <w:szCs w:val="24"/>
      <w:lang w:eastAsia="en-US"/>
    </w:rPr>
  </w:style>
  <w:style w:type="character" w:styleId="Hyperlink">
    <w:name w:val="Hyperlink"/>
    <w:basedOn w:val="DefaultParagraphFont"/>
    <w:rsid w:val="00367420"/>
    <w:rPr>
      <w:color w:val="0000FF"/>
      <w:u w:val="single"/>
    </w:rPr>
  </w:style>
  <w:style w:type="table" w:styleId="TableGrid">
    <w:name w:val="Table Grid"/>
    <w:basedOn w:val="TableNormal"/>
    <w:rsid w:val="005051EC"/>
    <w:pPr>
      <w:spacing w:before="80" w:after="120"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MAReportImprintLast">
    <w:name w:val="ACMA Report Imprint Last"/>
    <w:basedOn w:val="ACMAReportImprint"/>
    <w:rsid w:val="008D3613"/>
    <w:pPr>
      <w:spacing w:before="480" w:after="420"/>
    </w:pPr>
  </w:style>
  <w:style w:type="paragraph" w:styleId="Footer">
    <w:name w:val="footer"/>
    <w:basedOn w:val="Normal"/>
    <w:rsid w:val="008D3613"/>
    <w:pPr>
      <w:tabs>
        <w:tab w:val="center" w:pos="4320"/>
        <w:tab w:val="right" w:pos="8640"/>
      </w:tabs>
    </w:pPr>
  </w:style>
  <w:style w:type="character" w:styleId="PageNumber">
    <w:name w:val="page number"/>
    <w:basedOn w:val="DefaultParagraphFont"/>
    <w:rsid w:val="00166B3A"/>
    <w:rPr>
      <w:rFonts w:ascii="Times New Roman" w:hAnsi="Times New Roman"/>
      <w:sz w:val="20"/>
      <w:szCs w:val="20"/>
    </w:rPr>
  </w:style>
  <w:style w:type="character" w:styleId="FootnoteReference">
    <w:name w:val="footnote reference"/>
    <w:aliases w:val="Appel note de bas de p,Appel note de bas de p + 11 pt,Italic,Footnote,Appel note de bas de p1,Appel note de bas de p2,Appel note de bas de p3,Footnote Reference/"/>
    <w:basedOn w:val="DefaultParagraphFont"/>
    <w:rsid w:val="00697F29"/>
    <w:rPr>
      <w:vertAlign w:val="superscript"/>
    </w:rPr>
  </w:style>
  <w:style w:type="paragraph" w:styleId="Header">
    <w:name w:val="header"/>
    <w:basedOn w:val="Normal"/>
    <w:rsid w:val="000E3AD3"/>
    <w:pPr>
      <w:tabs>
        <w:tab w:val="center" w:pos="4153"/>
        <w:tab w:val="right" w:pos="8306"/>
      </w:tabs>
    </w:pPr>
  </w:style>
  <w:style w:type="paragraph" w:styleId="BalloonText">
    <w:name w:val="Balloon Text"/>
    <w:basedOn w:val="Normal"/>
    <w:semiHidden/>
    <w:rsid w:val="00DD2659"/>
    <w:rPr>
      <w:rFonts w:ascii="Tahoma" w:hAnsi="Tahoma" w:cs="Tahoma"/>
      <w:sz w:val="16"/>
      <w:szCs w:val="16"/>
    </w:rPr>
  </w:style>
  <w:style w:type="character" w:styleId="CommentReference">
    <w:name w:val="annotation reference"/>
    <w:basedOn w:val="DefaultParagraphFont"/>
    <w:semiHidden/>
    <w:rsid w:val="00DC02BF"/>
    <w:rPr>
      <w:sz w:val="16"/>
      <w:szCs w:val="16"/>
    </w:rPr>
  </w:style>
  <w:style w:type="paragraph" w:styleId="CommentText">
    <w:name w:val="annotation text"/>
    <w:basedOn w:val="Normal"/>
    <w:link w:val="CommentTextChar"/>
    <w:semiHidden/>
    <w:rsid w:val="00DC02BF"/>
  </w:style>
  <w:style w:type="paragraph" w:styleId="CommentSubject">
    <w:name w:val="annotation subject"/>
    <w:basedOn w:val="CommentText"/>
    <w:next w:val="CommentText"/>
    <w:semiHidden/>
    <w:rsid w:val="00DC02BF"/>
    <w:rPr>
      <w:b/>
      <w:bCs/>
    </w:rPr>
  </w:style>
  <w:style w:type="character" w:customStyle="1" w:styleId="CharSectno">
    <w:name w:val="CharSectno"/>
    <w:basedOn w:val="DefaultParagraphFont"/>
    <w:rsid w:val="00C63C44"/>
  </w:style>
  <w:style w:type="paragraph" w:customStyle="1" w:styleId="Dotpoints">
    <w:name w:val="Dot points"/>
    <w:basedOn w:val="Normal"/>
    <w:rsid w:val="00C63C44"/>
    <w:pPr>
      <w:numPr>
        <w:numId w:val="10"/>
      </w:numPr>
    </w:pPr>
    <w:rPr>
      <w:rFonts w:ascii="Times New Roman" w:hAnsi="Times New Roman"/>
      <w:sz w:val="24"/>
      <w:szCs w:val="24"/>
      <w:lang w:eastAsia="en-AU" w:bidi="ar-SA"/>
    </w:rPr>
  </w:style>
  <w:style w:type="character" w:customStyle="1" w:styleId="BodyText-Italics">
    <w:name w:val="Body Text - Italics"/>
    <w:basedOn w:val="DefaultParagraphFont"/>
    <w:rsid w:val="00E47AC3"/>
    <w:rPr>
      <w:rFonts w:cs="Times New Roman"/>
      <w:i/>
    </w:rPr>
  </w:style>
  <w:style w:type="paragraph" w:customStyle="1" w:styleId="List-Bullet1">
    <w:name w:val="List - Bullet 1"/>
    <w:basedOn w:val="BodyText"/>
    <w:rsid w:val="00E47AC3"/>
    <w:pPr>
      <w:numPr>
        <w:numId w:val="11"/>
      </w:numPr>
    </w:pPr>
    <w:rPr>
      <w:sz w:val="22"/>
      <w:szCs w:val="22"/>
      <w:lang w:bidi="ar-SA"/>
    </w:rPr>
  </w:style>
  <w:style w:type="paragraph" w:customStyle="1" w:styleId="List-Bullet2">
    <w:name w:val="List - Bullet 2"/>
    <w:basedOn w:val="BodyText"/>
    <w:rsid w:val="00E47AC3"/>
    <w:pPr>
      <w:numPr>
        <w:ilvl w:val="1"/>
        <w:numId w:val="11"/>
      </w:numPr>
    </w:pPr>
    <w:rPr>
      <w:sz w:val="22"/>
      <w:szCs w:val="22"/>
      <w:lang w:bidi="ar-SA"/>
    </w:rPr>
  </w:style>
  <w:style w:type="paragraph" w:customStyle="1" w:styleId="List-Bullet3">
    <w:name w:val="List - Bullet 3"/>
    <w:basedOn w:val="BodyText"/>
    <w:rsid w:val="00E47AC3"/>
    <w:pPr>
      <w:numPr>
        <w:ilvl w:val="2"/>
        <w:numId w:val="11"/>
      </w:numPr>
    </w:pPr>
    <w:rPr>
      <w:sz w:val="22"/>
      <w:szCs w:val="22"/>
      <w:lang w:bidi="ar-SA"/>
    </w:rPr>
  </w:style>
  <w:style w:type="paragraph" w:styleId="BodyText">
    <w:name w:val="Body Text"/>
    <w:basedOn w:val="Normal"/>
    <w:rsid w:val="00E47AC3"/>
    <w:pPr>
      <w:spacing w:after="120"/>
    </w:pPr>
  </w:style>
  <w:style w:type="character" w:customStyle="1" w:styleId="ACMABodyTextChar1">
    <w:name w:val="ACMA Body Text Char1"/>
    <w:basedOn w:val="DefaultParagraphFont"/>
    <w:link w:val="ACMABodyText"/>
    <w:rsid w:val="00086FE0"/>
    <w:rPr>
      <w:snapToGrid w:val="0"/>
      <w:sz w:val="24"/>
      <w:lang w:val="en-AU" w:eastAsia="en-US" w:bidi="ar-SA"/>
    </w:rPr>
  </w:style>
  <w:style w:type="paragraph" w:customStyle="1" w:styleId="HeaderBoldEven">
    <w:name w:val="HeaderBoldEven"/>
    <w:basedOn w:val="Normal"/>
    <w:rsid w:val="009C5367"/>
    <w:pPr>
      <w:spacing w:before="120" w:after="60"/>
    </w:pPr>
    <w:rPr>
      <w:b/>
      <w:szCs w:val="24"/>
      <w:lang w:eastAsia="en-AU" w:bidi="ar-SA"/>
    </w:rPr>
  </w:style>
  <w:style w:type="paragraph" w:customStyle="1" w:styleId="HeaderBoldOdd">
    <w:name w:val="HeaderBoldOdd"/>
    <w:basedOn w:val="Normal"/>
    <w:rsid w:val="009C5367"/>
    <w:pPr>
      <w:spacing w:before="120" w:after="60"/>
      <w:jc w:val="right"/>
    </w:pPr>
    <w:rPr>
      <w:b/>
      <w:szCs w:val="24"/>
      <w:lang w:eastAsia="en-AU" w:bidi="ar-SA"/>
    </w:rPr>
  </w:style>
  <w:style w:type="paragraph" w:customStyle="1" w:styleId="HeaderLiteEven">
    <w:name w:val="HeaderLiteEven"/>
    <w:basedOn w:val="Normal"/>
    <w:rsid w:val="009C5367"/>
    <w:pPr>
      <w:tabs>
        <w:tab w:val="center" w:pos="3969"/>
        <w:tab w:val="right" w:pos="8505"/>
      </w:tabs>
      <w:spacing w:before="60"/>
    </w:pPr>
    <w:rPr>
      <w:sz w:val="18"/>
      <w:szCs w:val="24"/>
      <w:lang w:eastAsia="en-AU" w:bidi="ar-SA"/>
    </w:rPr>
  </w:style>
  <w:style w:type="paragraph" w:customStyle="1" w:styleId="HeaderContentsPage">
    <w:name w:val="HeaderContents&quot;Page&quot;"/>
    <w:basedOn w:val="Normal"/>
    <w:rsid w:val="009C5367"/>
    <w:pPr>
      <w:spacing w:before="120" w:after="120"/>
      <w:jc w:val="right"/>
    </w:pPr>
    <w:rPr>
      <w:szCs w:val="24"/>
      <w:lang w:eastAsia="en-AU" w:bidi="ar-SA"/>
    </w:rPr>
  </w:style>
  <w:style w:type="paragraph" w:customStyle="1" w:styleId="HeaderLiteOdd">
    <w:name w:val="HeaderLiteOdd"/>
    <w:basedOn w:val="Normal"/>
    <w:rsid w:val="009C5367"/>
    <w:pPr>
      <w:tabs>
        <w:tab w:val="center" w:pos="3969"/>
        <w:tab w:val="right" w:pos="8505"/>
      </w:tabs>
      <w:spacing w:before="60"/>
      <w:jc w:val="right"/>
    </w:pPr>
    <w:rPr>
      <w:sz w:val="18"/>
      <w:szCs w:val="24"/>
      <w:lang w:eastAsia="en-AU" w:bidi="ar-SA"/>
    </w:rPr>
  </w:style>
  <w:style w:type="paragraph" w:customStyle="1" w:styleId="FooterDraft">
    <w:name w:val="FooterDraft"/>
    <w:basedOn w:val="Normal"/>
    <w:rsid w:val="009C5367"/>
    <w:pPr>
      <w:jc w:val="center"/>
    </w:pPr>
    <w:rPr>
      <w:b/>
      <w:sz w:val="40"/>
      <w:szCs w:val="24"/>
      <w:lang w:eastAsia="en-AU" w:bidi="ar-SA"/>
    </w:rPr>
  </w:style>
  <w:style w:type="paragraph" w:customStyle="1" w:styleId="FooterInfo">
    <w:name w:val="FooterInfo"/>
    <w:basedOn w:val="Normal"/>
    <w:rsid w:val="009C5367"/>
    <w:rPr>
      <w:sz w:val="12"/>
      <w:szCs w:val="24"/>
      <w:lang w:eastAsia="en-AU" w:bidi="ar-SA"/>
    </w:rPr>
  </w:style>
  <w:style w:type="numbering" w:styleId="111111">
    <w:name w:val="Outline List 2"/>
    <w:basedOn w:val="NoList"/>
    <w:rsid w:val="009C5367"/>
    <w:pPr>
      <w:numPr>
        <w:numId w:val="13"/>
      </w:numPr>
    </w:pPr>
  </w:style>
  <w:style w:type="numbering" w:styleId="1ai">
    <w:name w:val="Outline List 1"/>
    <w:basedOn w:val="NoList"/>
    <w:rsid w:val="009C5367"/>
    <w:pPr>
      <w:numPr>
        <w:numId w:val="14"/>
      </w:numPr>
    </w:pPr>
  </w:style>
  <w:style w:type="numbering" w:styleId="ArticleSection">
    <w:name w:val="Outline List 3"/>
    <w:basedOn w:val="NoList"/>
    <w:rsid w:val="009C5367"/>
    <w:pPr>
      <w:numPr>
        <w:numId w:val="12"/>
      </w:numPr>
    </w:pPr>
  </w:style>
  <w:style w:type="paragraph" w:styleId="BlockText">
    <w:name w:val="Block Text"/>
    <w:basedOn w:val="Normal"/>
    <w:rsid w:val="009C5367"/>
    <w:pPr>
      <w:spacing w:after="120"/>
      <w:ind w:left="1440" w:right="1440"/>
    </w:pPr>
    <w:rPr>
      <w:rFonts w:ascii="Times New Roman" w:hAnsi="Times New Roman"/>
      <w:sz w:val="24"/>
      <w:szCs w:val="24"/>
      <w:lang w:eastAsia="en-AU" w:bidi="ar-SA"/>
    </w:rPr>
  </w:style>
  <w:style w:type="paragraph" w:styleId="BodyText2">
    <w:name w:val="Body Text 2"/>
    <w:basedOn w:val="Normal"/>
    <w:rsid w:val="009C5367"/>
    <w:pPr>
      <w:spacing w:after="120" w:line="480" w:lineRule="auto"/>
    </w:pPr>
    <w:rPr>
      <w:rFonts w:ascii="Times New Roman" w:hAnsi="Times New Roman"/>
      <w:sz w:val="24"/>
      <w:szCs w:val="24"/>
      <w:lang w:eastAsia="en-AU" w:bidi="ar-SA"/>
    </w:rPr>
  </w:style>
  <w:style w:type="paragraph" w:styleId="BodyText3">
    <w:name w:val="Body Text 3"/>
    <w:basedOn w:val="Normal"/>
    <w:rsid w:val="009C5367"/>
    <w:pPr>
      <w:spacing w:after="120"/>
    </w:pPr>
    <w:rPr>
      <w:rFonts w:ascii="Times New Roman" w:hAnsi="Times New Roman"/>
      <w:sz w:val="16"/>
      <w:szCs w:val="16"/>
      <w:lang w:eastAsia="en-AU" w:bidi="ar-SA"/>
    </w:rPr>
  </w:style>
  <w:style w:type="paragraph" w:styleId="BodyTextFirstIndent">
    <w:name w:val="Body Text First Indent"/>
    <w:basedOn w:val="BodyText"/>
    <w:rsid w:val="009C5367"/>
    <w:pPr>
      <w:ind w:firstLine="210"/>
    </w:pPr>
    <w:rPr>
      <w:rFonts w:ascii="Times New Roman" w:hAnsi="Times New Roman"/>
      <w:sz w:val="24"/>
      <w:szCs w:val="24"/>
      <w:lang w:eastAsia="en-AU" w:bidi="ar-SA"/>
    </w:rPr>
  </w:style>
  <w:style w:type="paragraph" w:styleId="BodyTextIndent">
    <w:name w:val="Body Text Indent"/>
    <w:basedOn w:val="Normal"/>
    <w:rsid w:val="009C5367"/>
    <w:pPr>
      <w:spacing w:after="120"/>
      <w:ind w:left="283"/>
    </w:pPr>
    <w:rPr>
      <w:rFonts w:ascii="Times New Roman" w:hAnsi="Times New Roman"/>
      <w:sz w:val="24"/>
      <w:szCs w:val="24"/>
      <w:lang w:eastAsia="en-AU" w:bidi="ar-SA"/>
    </w:rPr>
  </w:style>
  <w:style w:type="paragraph" w:styleId="BodyTextFirstIndent2">
    <w:name w:val="Body Text First Indent 2"/>
    <w:basedOn w:val="BodyTextIndent"/>
    <w:rsid w:val="009C5367"/>
    <w:pPr>
      <w:ind w:firstLine="210"/>
    </w:pPr>
  </w:style>
  <w:style w:type="paragraph" w:styleId="BodyTextIndent2">
    <w:name w:val="Body Text Indent 2"/>
    <w:basedOn w:val="Normal"/>
    <w:rsid w:val="009C5367"/>
    <w:pPr>
      <w:spacing w:after="120" w:line="480" w:lineRule="auto"/>
      <w:ind w:left="283"/>
    </w:pPr>
    <w:rPr>
      <w:rFonts w:ascii="Times New Roman" w:hAnsi="Times New Roman"/>
      <w:sz w:val="24"/>
      <w:szCs w:val="24"/>
      <w:lang w:eastAsia="en-AU" w:bidi="ar-SA"/>
    </w:rPr>
  </w:style>
  <w:style w:type="paragraph" w:styleId="BodyTextIndent3">
    <w:name w:val="Body Text Indent 3"/>
    <w:basedOn w:val="Normal"/>
    <w:rsid w:val="009C5367"/>
    <w:pPr>
      <w:spacing w:after="120"/>
      <w:ind w:left="283"/>
    </w:pPr>
    <w:rPr>
      <w:rFonts w:ascii="Times New Roman" w:hAnsi="Times New Roman"/>
      <w:sz w:val="16"/>
      <w:szCs w:val="16"/>
      <w:lang w:eastAsia="en-AU" w:bidi="ar-SA"/>
    </w:rPr>
  </w:style>
  <w:style w:type="paragraph" w:styleId="Closing">
    <w:name w:val="Closing"/>
    <w:basedOn w:val="Normal"/>
    <w:rsid w:val="009C5367"/>
    <w:pPr>
      <w:ind w:left="4252"/>
    </w:pPr>
    <w:rPr>
      <w:rFonts w:ascii="Times New Roman" w:hAnsi="Times New Roman"/>
      <w:sz w:val="24"/>
      <w:szCs w:val="24"/>
      <w:lang w:eastAsia="en-AU" w:bidi="ar-SA"/>
    </w:rPr>
  </w:style>
  <w:style w:type="paragraph" w:styleId="Date">
    <w:name w:val="Date"/>
    <w:basedOn w:val="Normal"/>
    <w:next w:val="Normal"/>
    <w:rsid w:val="009C5367"/>
    <w:rPr>
      <w:rFonts w:ascii="Times New Roman" w:hAnsi="Times New Roman"/>
      <w:sz w:val="24"/>
      <w:szCs w:val="24"/>
      <w:lang w:eastAsia="en-AU" w:bidi="ar-SA"/>
    </w:rPr>
  </w:style>
  <w:style w:type="paragraph" w:styleId="E-mailSignature">
    <w:name w:val="E-mail Signature"/>
    <w:basedOn w:val="Normal"/>
    <w:rsid w:val="009C5367"/>
    <w:rPr>
      <w:rFonts w:ascii="Times New Roman" w:hAnsi="Times New Roman"/>
      <w:sz w:val="24"/>
      <w:szCs w:val="24"/>
      <w:lang w:eastAsia="en-AU" w:bidi="ar-SA"/>
    </w:rPr>
  </w:style>
  <w:style w:type="character" w:styleId="Emphasis">
    <w:name w:val="Emphasis"/>
    <w:basedOn w:val="DefaultParagraphFont"/>
    <w:qFormat/>
    <w:rsid w:val="009C5367"/>
    <w:rPr>
      <w:i/>
      <w:iCs/>
    </w:rPr>
  </w:style>
  <w:style w:type="paragraph" w:styleId="EnvelopeAddress">
    <w:name w:val="envelope address"/>
    <w:basedOn w:val="Normal"/>
    <w:rsid w:val="009C5367"/>
    <w:pPr>
      <w:framePr w:w="7920" w:h="1980" w:hRule="exact" w:hSpace="180" w:wrap="auto" w:hAnchor="page" w:xAlign="center" w:yAlign="bottom"/>
      <w:ind w:left="2880"/>
    </w:pPr>
    <w:rPr>
      <w:rFonts w:cs="Arial"/>
      <w:sz w:val="24"/>
      <w:szCs w:val="24"/>
      <w:lang w:eastAsia="en-AU" w:bidi="ar-SA"/>
    </w:rPr>
  </w:style>
  <w:style w:type="paragraph" w:styleId="EnvelopeReturn">
    <w:name w:val="envelope return"/>
    <w:basedOn w:val="Normal"/>
    <w:rsid w:val="009C5367"/>
    <w:rPr>
      <w:rFonts w:cs="Arial"/>
      <w:lang w:eastAsia="en-AU" w:bidi="ar-SA"/>
    </w:rPr>
  </w:style>
  <w:style w:type="character" w:styleId="FollowedHyperlink">
    <w:name w:val="FollowedHyperlink"/>
    <w:basedOn w:val="DefaultParagraphFont"/>
    <w:rsid w:val="009C5367"/>
    <w:rPr>
      <w:color w:val="800080"/>
      <w:u w:val="single"/>
    </w:rPr>
  </w:style>
  <w:style w:type="character" w:styleId="HTMLAcronym">
    <w:name w:val="HTML Acronym"/>
    <w:basedOn w:val="DefaultParagraphFont"/>
    <w:rsid w:val="009C5367"/>
  </w:style>
  <w:style w:type="paragraph" w:styleId="HTMLAddress">
    <w:name w:val="HTML Address"/>
    <w:basedOn w:val="Normal"/>
    <w:rsid w:val="009C5367"/>
    <w:rPr>
      <w:rFonts w:ascii="Times New Roman" w:hAnsi="Times New Roman"/>
      <w:i/>
      <w:iCs/>
      <w:sz w:val="24"/>
      <w:szCs w:val="24"/>
      <w:lang w:eastAsia="en-AU" w:bidi="ar-SA"/>
    </w:rPr>
  </w:style>
  <w:style w:type="character" w:styleId="HTMLCite">
    <w:name w:val="HTML Cite"/>
    <w:basedOn w:val="DefaultParagraphFont"/>
    <w:rsid w:val="009C5367"/>
    <w:rPr>
      <w:i/>
      <w:iCs/>
    </w:rPr>
  </w:style>
  <w:style w:type="character" w:styleId="HTMLCode">
    <w:name w:val="HTML Code"/>
    <w:basedOn w:val="DefaultParagraphFont"/>
    <w:rsid w:val="009C5367"/>
    <w:rPr>
      <w:rFonts w:ascii="Courier New" w:hAnsi="Courier New" w:cs="Courier New"/>
      <w:sz w:val="20"/>
      <w:szCs w:val="20"/>
    </w:rPr>
  </w:style>
  <w:style w:type="character" w:styleId="HTMLDefinition">
    <w:name w:val="HTML Definition"/>
    <w:basedOn w:val="DefaultParagraphFont"/>
    <w:rsid w:val="009C5367"/>
    <w:rPr>
      <w:i/>
      <w:iCs/>
    </w:rPr>
  </w:style>
  <w:style w:type="character" w:styleId="HTMLKeyboard">
    <w:name w:val="HTML Keyboard"/>
    <w:basedOn w:val="DefaultParagraphFont"/>
    <w:rsid w:val="009C5367"/>
    <w:rPr>
      <w:rFonts w:ascii="Courier New" w:hAnsi="Courier New" w:cs="Courier New"/>
      <w:sz w:val="20"/>
      <w:szCs w:val="20"/>
    </w:rPr>
  </w:style>
  <w:style w:type="paragraph" w:styleId="HTMLPreformatted">
    <w:name w:val="HTML Preformatted"/>
    <w:basedOn w:val="Normal"/>
    <w:rsid w:val="009C5367"/>
    <w:rPr>
      <w:rFonts w:ascii="Courier New" w:hAnsi="Courier New" w:cs="Courier New"/>
      <w:lang w:eastAsia="en-AU" w:bidi="ar-SA"/>
    </w:rPr>
  </w:style>
  <w:style w:type="character" w:styleId="HTMLSample">
    <w:name w:val="HTML Sample"/>
    <w:basedOn w:val="DefaultParagraphFont"/>
    <w:rsid w:val="009C5367"/>
    <w:rPr>
      <w:rFonts w:ascii="Courier New" w:hAnsi="Courier New" w:cs="Courier New"/>
    </w:rPr>
  </w:style>
  <w:style w:type="character" w:styleId="HTMLTypewriter">
    <w:name w:val="HTML Typewriter"/>
    <w:basedOn w:val="DefaultParagraphFont"/>
    <w:rsid w:val="009C5367"/>
    <w:rPr>
      <w:rFonts w:ascii="Courier New" w:hAnsi="Courier New" w:cs="Courier New"/>
      <w:sz w:val="20"/>
      <w:szCs w:val="20"/>
    </w:rPr>
  </w:style>
  <w:style w:type="character" w:styleId="HTMLVariable">
    <w:name w:val="HTML Variable"/>
    <w:basedOn w:val="DefaultParagraphFont"/>
    <w:rsid w:val="009C5367"/>
    <w:rPr>
      <w:i/>
      <w:iCs/>
    </w:rPr>
  </w:style>
  <w:style w:type="character" w:styleId="LineNumber">
    <w:name w:val="line number"/>
    <w:basedOn w:val="DefaultParagraphFont"/>
    <w:rsid w:val="009C5367"/>
  </w:style>
  <w:style w:type="paragraph" w:styleId="List">
    <w:name w:val="List"/>
    <w:basedOn w:val="Normal"/>
    <w:rsid w:val="009C5367"/>
    <w:pPr>
      <w:ind w:left="283" w:hanging="283"/>
    </w:pPr>
    <w:rPr>
      <w:rFonts w:ascii="Times New Roman" w:hAnsi="Times New Roman"/>
      <w:sz w:val="24"/>
      <w:szCs w:val="24"/>
      <w:lang w:eastAsia="en-AU" w:bidi="ar-SA"/>
    </w:rPr>
  </w:style>
  <w:style w:type="paragraph" w:styleId="List2">
    <w:name w:val="List 2"/>
    <w:basedOn w:val="Normal"/>
    <w:rsid w:val="009C5367"/>
    <w:pPr>
      <w:ind w:left="566" w:hanging="283"/>
    </w:pPr>
    <w:rPr>
      <w:rFonts w:ascii="Times New Roman" w:hAnsi="Times New Roman"/>
      <w:sz w:val="24"/>
      <w:szCs w:val="24"/>
      <w:lang w:eastAsia="en-AU" w:bidi="ar-SA"/>
    </w:rPr>
  </w:style>
  <w:style w:type="paragraph" w:styleId="List3">
    <w:name w:val="List 3"/>
    <w:basedOn w:val="Normal"/>
    <w:rsid w:val="009C5367"/>
    <w:pPr>
      <w:ind w:left="849" w:hanging="283"/>
    </w:pPr>
    <w:rPr>
      <w:rFonts w:ascii="Times New Roman" w:hAnsi="Times New Roman"/>
      <w:sz w:val="24"/>
      <w:szCs w:val="24"/>
      <w:lang w:eastAsia="en-AU" w:bidi="ar-SA"/>
    </w:rPr>
  </w:style>
  <w:style w:type="paragraph" w:styleId="List4">
    <w:name w:val="List 4"/>
    <w:basedOn w:val="Normal"/>
    <w:rsid w:val="009C5367"/>
    <w:pPr>
      <w:ind w:left="1132" w:hanging="283"/>
    </w:pPr>
    <w:rPr>
      <w:rFonts w:ascii="Times New Roman" w:hAnsi="Times New Roman"/>
      <w:sz w:val="24"/>
      <w:szCs w:val="24"/>
      <w:lang w:eastAsia="en-AU" w:bidi="ar-SA"/>
    </w:rPr>
  </w:style>
  <w:style w:type="paragraph" w:styleId="List5">
    <w:name w:val="List 5"/>
    <w:basedOn w:val="Normal"/>
    <w:rsid w:val="009C5367"/>
    <w:pPr>
      <w:ind w:left="1415" w:hanging="283"/>
    </w:pPr>
    <w:rPr>
      <w:rFonts w:ascii="Times New Roman" w:hAnsi="Times New Roman"/>
      <w:sz w:val="24"/>
      <w:szCs w:val="24"/>
      <w:lang w:eastAsia="en-AU" w:bidi="ar-SA"/>
    </w:rPr>
  </w:style>
  <w:style w:type="paragraph" w:styleId="ListBullet">
    <w:name w:val="List Bullet"/>
    <w:basedOn w:val="Normal"/>
    <w:autoRedefine/>
    <w:rsid w:val="0082522A"/>
    <w:pPr>
      <w:numPr>
        <w:numId w:val="31"/>
      </w:numPr>
    </w:pPr>
    <w:rPr>
      <w:rFonts w:ascii="Times New Roman" w:hAnsi="Times New Roman"/>
      <w:sz w:val="24"/>
      <w:szCs w:val="24"/>
      <w:lang w:eastAsia="en-AU" w:bidi="ar-SA"/>
    </w:rPr>
  </w:style>
  <w:style w:type="paragraph" w:styleId="ListBullet2">
    <w:name w:val="List Bullet 2"/>
    <w:basedOn w:val="Normal"/>
    <w:autoRedefine/>
    <w:rsid w:val="009C5367"/>
    <w:pPr>
      <w:tabs>
        <w:tab w:val="num" w:pos="643"/>
      </w:tabs>
      <w:ind w:left="643" w:hanging="360"/>
    </w:pPr>
    <w:rPr>
      <w:rFonts w:ascii="Times New Roman" w:hAnsi="Times New Roman"/>
      <w:sz w:val="24"/>
      <w:szCs w:val="24"/>
      <w:lang w:eastAsia="en-AU" w:bidi="ar-SA"/>
    </w:rPr>
  </w:style>
  <w:style w:type="paragraph" w:styleId="ListBullet3">
    <w:name w:val="List Bullet 3"/>
    <w:basedOn w:val="Normal"/>
    <w:autoRedefine/>
    <w:rsid w:val="009C5367"/>
    <w:pPr>
      <w:tabs>
        <w:tab w:val="num" w:pos="926"/>
      </w:tabs>
      <w:ind w:left="926" w:hanging="360"/>
    </w:pPr>
    <w:rPr>
      <w:rFonts w:ascii="Times New Roman" w:hAnsi="Times New Roman"/>
      <w:sz w:val="24"/>
      <w:szCs w:val="24"/>
      <w:lang w:eastAsia="en-AU" w:bidi="ar-SA"/>
    </w:rPr>
  </w:style>
  <w:style w:type="paragraph" w:styleId="ListBullet4">
    <w:name w:val="List Bullet 4"/>
    <w:basedOn w:val="Normal"/>
    <w:autoRedefine/>
    <w:rsid w:val="009C5367"/>
    <w:pPr>
      <w:tabs>
        <w:tab w:val="num" w:pos="1209"/>
      </w:tabs>
      <w:ind w:left="1209" w:hanging="360"/>
    </w:pPr>
    <w:rPr>
      <w:rFonts w:ascii="Times New Roman" w:hAnsi="Times New Roman"/>
      <w:sz w:val="24"/>
      <w:szCs w:val="24"/>
      <w:lang w:eastAsia="en-AU" w:bidi="ar-SA"/>
    </w:rPr>
  </w:style>
  <w:style w:type="paragraph" w:styleId="ListBullet5">
    <w:name w:val="List Bullet 5"/>
    <w:basedOn w:val="Normal"/>
    <w:autoRedefine/>
    <w:rsid w:val="009C5367"/>
    <w:pPr>
      <w:tabs>
        <w:tab w:val="num" w:pos="1492"/>
      </w:tabs>
      <w:ind w:left="1492" w:hanging="360"/>
    </w:pPr>
    <w:rPr>
      <w:rFonts w:ascii="Times New Roman" w:hAnsi="Times New Roman"/>
      <w:sz w:val="24"/>
      <w:szCs w:val="24"/>
      <w:lang w:eastAsia="en-AU" w:bidi="ar-SA"/>
    </w:rPr>
  </w:style>
  <w:style w:type="paragraph" w:styleId="ListContinue">
    <w:name w:val="List Continue"/>
    <w:basedOn w:val="Normal"/>
    <w:rsid w:val="009C5367"/>
    <w:pPr>
      <w:spacing w:after="120"/>
      <w:ind w:left="283"/>
    </w:pPr>
    <w:rPr>
      <w:rFonts w:ascii="Times New Roman" w:hAnsi="Times New Roman"/>
      <w:sz w:val="24"/>
      <w:szCs w:val="24"/>
      <w:lang w:eastAsia="en-AU" w:bidi="ar-SA"/>
    </w:rPr>
  </w:style>
  <w:style w:type="paragraph" w:styleId="ListContinue2">
    <w:name w:val="List Continue 2"/>
    <w:basedOn w:val="Normal"/>
    <w:rsid w:val="009C5367"/>
    <w:pPr>
      <w:spacing w:after="120"/>
      <w:ind w:left="566"/>
    </w:pPr>
    <w:rPr>
      <w:rFonts w:ascii="Times New Roman" w:hAnsi="Times New Roman"/>
      <w:sz w:val="24"/>
      <w:szCs w:val="24"/>
      <w:lang w:eastAsia="en-AU" w:bidi="ar-SA"/>
    </w:rPr>
  </w:style>
  <w:style w:type="paragraph" w:styleId="ListContinue3">
    <w:name w:val="List Continue 3"/>
    <w:basedOn w:val="Normal"/>
    <w:rsid w:val="009C5367"/>
    <w:pPr>
      <w:spacing w:after="120"/>
      <w:ind w:left="849"/>
    </w:pPr>
    <w:rPr>
      <w:rFonts w:ascii="Times New Roman" w:hAnsi="Times New Roman"/>
      <w:sz w:val="24"/>
      <w:szCs w:val="24"/>
      <w:lang w:eastAsia="en-AU" w:bidi="ar-SA"/>
    </w:rPr>
  </w:style>
  <w:style w:type="paragraph" w:styleId="ListContinue4">
    <w:name w:val="List Continue 4"/>
    <w:basedOn w:val="Normal"/>
    <w:rsid w:val="009C5367"/>
    <w:pPr>
      <w:spacing w:after="120"/>
      <w:ind w:left="1132"/>
    </w:pPr>
    <w:rPr>
      <w:rFonts w:ascii="Times New Roman" w:hAnsi="Times New Roman"/>
      <w:sz w:val="24"/>
      <w:szCs w:val="24"/>
      <w:lang w:eastAsia="en-AU" w:bidi="ar-SA"/>
    </w:rPr>
  </w:style>
  <w:style w:type="paragraph" w:styleId="ListContinue5">
    <w:name w:val="List Continue 5"/>
    <w:basedOn w:val="Normal"/>
    <w:rsid w:val="009C5367"/>
    <w:pPr>
      <w:spacing w:after="120"/>
      <w:ind w:left="1415"/>
    </w:pPr>
    <w:rPr>
      <w:rFonts w:ascii="Times New Roman" w:hAnsi="Times New Roman"/>
      <w:sz w:val="24"/>
      <w:szCs w:val="24"/>
      <w:lang w:eastAsia="en-AU" w:bidi="ar-SA"/>
    </w:rPr>
  </w:style>
  <w:style w:type="paragraph" w:styleId="ListNumber">
    <w:name w:val="List Number"/>
    <w:basedOn w:val="Normal"/>
    <w:rsid w:val="009C5367"/>
    <w:pPr>
      <w:tabs>
        <w:tab w:val="num" w:pos="360"/>
      </w:tabs>
      <w:ind w:left="360" w:hanging="360"/>
    </w:pPr>
    <w:rPr>
      <w:rFonts w:ascii="Times New Roman" w:hAnsi="Times New Roman"/>
      <w:sz w:val="24"/>
      <w:szCs w:val="24"/>
      <w:lang w:eastAsia="en-AU" w:bidi="ar-SA"/>
    </w:rPr>
  </w:style>
  <w:style w:type="paragraph" w:styleId="ListNumber2">
    <w:name w:val="List Number 2"/>
    <w:basedOn w:val="Normal"/>
    <w:rsid w:val="009C5367"/>
    <w:pPr>
      <w:tabs>
        <w:tab w:val="num" w:pos="643"/>
      </w:tabs>
      <w:ind w:left="643" w:hanging="360"/>
    </w:pPr>
    <w:rPr>
      <w:rFonts w:ascii="Times New Roman" w:hAnsi="Times New Roman"/>
      <w:sz w:val="24"/>
      <w:szCs w:val="24"/>
      <w:lang w:eastAsia="en-AU" w:bidi="ar-SA"/>
    </w:rPr>
  </w:style>
  <w:style w:type="paragraph" w:styleId="ListNumber3">
    <w:name w:val="List Number 3"/>
    <w:basedOn w:val="Normal"/>
    <w:rsid w:val="009C5367"/>
    <w:pPr>
      <w:tabs>
        <w:tab w:val="num" w:pos="926"/>
      </w:tabs>
      <w:ind w:left="926" w:hanging="360"/>
    </w:pPr>
    <w:rPr>
      <w:rFonts w:ascii="Times New Roman" w:hAnsi="Times New Roman"/>
      <w:sz w:val="24"/>
      <w:szCs w:val="24"/>
      <w:lang w:eastAsia="en-AU" w:bidi="ar-SA"/>
    </w:rPr>
  </w:style>
  <w:style w:type="paragraph" w:styleId="ListNumber4">
    <w:name w:val="List Number 4"/>
    <w:basedOn w:val="Normal"/>
    <w:rsid w:val="009C5367"/>
    <w:pPr>
      <w:tabs>
        <w:tab w:val="num" w:pos="1209"/>
      </w:tabs>
      <w:ind w:left="1209" w:hanging="360"/>
    </w:pPr>
    <w:rPr>
      <w:rFonts w:ascii="Times New Roman" w:hAnsi="Times New Roman"/>
      <w:sz w:val="24"/>
      <w:szCs w:val="24"/>
      <w:lang w:eastAsia="en-AU" w:bidi="ar-SA"/>
    </w:rPr>
  </w:style>
  <w:style w:type="paragraph" w:styleId="ListNumber5">
    <w:name w:val="List Number 5"/>
    <w:basedOn w:val="Normal"/>
    <w:rsid w:val="009C5367"/>
    <w:pPr>
      <w:tabs>
        <w:tab w:val="num" w:pos="1492"/>
      </w:tabs>
      <w:ind w:left="1492" w:hanging="360"/>
    </w:pPr>
    <w:rPr>
      <w:rFonts w:ascii="Times New Roman" w:hAnsi="Times New Roman"/>
      <w:sz w:val="24"/>
      <w:szCs w:val="24"/>
      <w:lang w:eastAsia="en-AU" w:bidi="ar-SA"/>
    </w:rPr>
  </w:style>
  <w:style w:type="paragraph" w:styleId="MessageHeader">
    <w:name w:val="Message Header"/>
    <w:basedOn w:val="Normal"/>
    <w:rsid w:val="009C5367"/>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lang w:eastAsia="en-AU" w:bidi="ar-SA"/>
    </w:rPr>
  </w:style>
  <w:style w:type="paragraph" w:styleId="NormalWeb">
    <w:name w:val="Normal (Web)"/>
    <w:basedOn w:val="Normal"/>
    <w:uiPriority w:val="99"/>
    <w:rsid w:val="009C5367"/>
    <w:rPr>
      <w:rFonts w:ascii="Times New Roman" w:hAnsi="Times New Roman"/>
      <w:sz w:val="24"/>
      <w:szCs w:val="24"/>
      <w:lang w:eastAsia="en-AU" w:bidi="ar-SA"/>
    </w:rPr>
  </w:style>
  <w:style w:type="paragraph" w:styleId="NormalIndent">
    <w:name w:val="Normal Indent"/>
    <w:basedOn w:val="Normal"/>
    <w:rsid w:val="009C5367"/>
    <w:pPr>
      <w:ind w:left="720"/>
    </w:pPr>
    <w:rPr>
      <w:rFonts w:ascii="Times New Roman" w:hAnsi="Times New Roman"/>
      <w:sz w:val="24"/>
      <w:szCs w:val="24"/>
      <w:lang w:eastAsia="en-AU" w:bidi="ar-SA"/>
    </w:rPr>
  </w:style>
  <w:style w:type="paragraph" w:styleId="NoteHeading">
    <w:name w:val="Note Heading"/>
    <w:aliases w:val="HN"/>
    <w:basedOn w:val="Normal"/>
    <w:next w:val="Normal"/>
    <w:rsid w:val="009C5367"/>
    <w:pPr>
      <w:keepNext/>
      <w:keepLines/>
      <w:pageBreakBefore/>
      <w:tabs>
        <w:tab w:val="left" w:pos="1559"/>
      </w:tabs>
      <w:spacing w:before="120" w:line="240" w:lineRule="atLeast"/>
    </w:pPr>
    <w:rPr>
      <w:b/>
      <w:sz w:val="32"/>
      <w:szCs w:val="24"/>
      <w:lang w:eastAsia="en-AU" w:bidi="ar-SA"/>
    </w:rPr>
  </w:style>
  <w:style w:type="paragraph" w:styleId="PlainText">
    <w:name w:val="Plain Text"/>
    <w:basedOn w:val="Normal"/>
    <w:rsid w:val="009C5367"/>
    <w:rPr>
      <w:rFonts w:ascii="Courier New" w:hAnsi="Courier New" w:cs="Courier New"/>
      <w:lang w:eastAsia="en-AU" w:bidi="ar-SA"/>
    </w:rPr>
  </w:style>
  <w:style w:type="paragraph" w:styleId="Salutation">
    <w:name w:val="Salutation"/>
    <w:basedOn w:val="Normal"/>
    <w:next w:val="Normal"/>
    <w:rsid w:val="009C5367"/>
    <w:rPr>
      <w:rFonts w:ascii="Times New Roman" w:hAnsi="Times New Roman"/>
      <w:sz w:val="24"/>
      <w:szCs w:val="24"/>
      <w:lang w:eastAsia="en-AU" w:bidi="ar-SA"/>
    </w:rPr>
  </w:style>
  <w:style w:type="paragraph" w:styleId="Signature">
    <w:name w:val="Signature"/>
    <w:basedOn w:val="Normal"/>
    <w:rsid w:val="009C5367"/>
    <w:pPr>
      <w:ind w:left="4252"/>
    </w:pPr>
    <w:rPr>
      <w:rFonts w:ascii="Times New Roman" w:hAnsi="Times New Roman"/>
      <w:sz w:val="24"/>
      <w:szCs w:val="24"/>
      <w:lang w:eastAsia="en-AU" w:bidi="ar-SA"/>
    </w:rPr>
  </w:style>
  <w:style w:type="character" w:styleId="Strong">
    <w:name w:val="Strong"/>
    <w:basedOn w:val="DefaultParagraphFont"/>
    <w:qFormat/>
    <w:rsid w:val="009C5367"/>
    <w:rPr>
      <w:b/>
      <w:bCs/>
    </w:rPr>
  </w:style>
  <w:style w:type="paragraph" w:styleId="Subtitle">
    <w:name w:val="Subtitle"/>
    <w:basedOn w:val="Normal"/>
    <w:link w:val="SubtitleChar"/>
    <w:qFormat/>
    <w:rsid w:val="009C5367"/>
    <w:pPr>
      <w:spacing w:after="60"/>
      <w:jc w:val="center"/>
      <w:outlineLvl w:val="1"/>
    </w:pPr>
    <w:rPr>
      <w:rFonts w:cs="Arial"/>
      <w:sz w:val="24"/>
      <w:szCs w:val="24"/>
      <w:lang w:eastAsia="en-AU" w:bidi="ar-SA"/>
    </w:rPr>
  </w:style>
  <w:style w:type="table" w:styleId="Table3Deffects1">
    <w:name w:val="Table 3D effects 1"/>
    <w:basedOn w:val="TableNormal"/>
    <w:rsid w:val="009C5367"/>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C5367"/>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C5367"/>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C536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C536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C5367"/>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C536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C5367"/>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C5367"/>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C5367"/>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C536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C5367"/>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C5367"/>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C5367"/>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C5367"/>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C5367"/>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C5367"/>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9C536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C5367"/>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C5367"/>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C5367"/>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C536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C5367"/>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C5367"/>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C5367"/>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C5367"/>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C5367"/>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C5367"/>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C5367"/>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C5367"/>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C5367"/>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C5367"/>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C5367"/>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9C536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C5367"/>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C5367"/>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C5367"/>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C536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C5367"/>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C53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9C5367"/>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C5367"/>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C5367"/>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qFormat/>
    <w:rsid w:val="009C5367"/>
    <w:pPr>
      <w:spacing w:before="480"/>
    </w:pPr>
    <w:rPr>
      <w:rFonts w:cs="Arial"/>
      <w:b/>
      <w:bCs/>
      <w:sz w:val="40"/>
      <w:szCs w:val="40"/>
      <w:lang w:eastAsia="en-AU" w:bidi="ar-SA"/>
    </w:rPr>
  </w:style>
  <w:style w:type="paragraph" w:customStyle="1" w:styleId="A1">
    <w:name w:val="A1"/>
    <w:aliases w:val="Heading Amendment,1. Amendment"/>
    <w:basedOn w:val="Normal"/>
    <w:next w:val="Normal"/>
    <w:rsid w:val="009C5367"/>
    <w:pPr>
      <w:keepNext/>
      <w:keepLines/>
      <w:spacing w:before="480" w:line="260" w:lineRule="exact"/>
      <w:ind w:left="964" w:hanging="964"/>
    </w:pPr>
    <w:rPr>
      <w:b/>
      <w:sz w:val="24"/>
      <w:szCs w:val="24"/>
      <w:lang w:eastAsia="en-AU" w:bidi="ar-SA"/>
    </w:rPr>
  </w:style>
  <w:style w:type="paragraph" w:customStyle="1" w:styleId="A1S">
    <w:name w:val="A1S"/>
    <w:aliases w:val="1.Schedule Amendment"/>
    <w:basedOn w:val="Normal"/>
    <w:next w:val="A2S"/>
    <w:rsid w:val="009C5367"/>
    <w:pPr>
      <w:keepNext/>
      <w:keepLines/>
      <w:spacing w:before="480" w:line="260" w:lineRule="exact"/>
      <w:ind w:left="964" w:hanging="964"/>
    </w:pPr>
    <w:rPr>
      <w:b/>
      <w:sz w:val="24"/>
      <w:szCs w:val="24"/>
      <w:lang w:eastAsia="en-AU" w:bidi="ar-SA"/>
    </w:rPr>
  </w:style>
  <w:style w:type="paragraph" w:customStyle="1" w:styleId="A2">
    <w:name w:val="A2"/>
    <w:aliases w:val="1.1 amendment,Instruction amendment"/>
    <w:basedOn w:val="Normal"/>
    <w:next w:val="Normal"/>
    <w:rsid w:val="009C5367"/>
    <w:pPr>
      <w:tabs>
        <w:tab w:val="right" w:pos="794"/>
      </w:tabs>
      <w:spacing w:before="120" w:line="260" w:lineRule="exact"/>
      <w:ind w:left="964" w:hanging="964"/>
      <w:jc w:val="both"/>
    </w:pPr>
    <w:rPr>
      <w:rFonts w:ascii="Times New Roman" w:hAnsi="Times New Roman"/>
      <w:sz w:val="24"/>
      <w:szCs w:val="24"/>
      <w:lang w:eastAsia="en-AU" w:bidi="ar-SA"/>
    </w:rPr>
  </w:style>
  <w:style w:type="paragraph" w:customStyle="1" w:styleId="A2S">
    <w:name w:val="A2S"/>
    <w:aliases w:val="Schedule Inst Amendment"/>
    <w:basedOn w:val="Normal"/>
    <w:next w:val="A3S"/>
    <w:rsid w:val="009C5367"/>
    <w:pPr>
      <w:keepNext/>
      <w:spacing w:before="120" w:line="260" w:lineRule="exact"/>
      <w:ind w:left="964"/>
    </w:pPr>
    <w:rPr>
      <w:rFonts w:ascii="Times New Roman" w:hAnsi="Times New Roman"/>
      <w:i/>
      <w:sz w:val="24"/>
      <w:szCs w:val="24"/>
      <w:lang w:eastAsia="en-AU" w:bidi="ar-SA"/>
    </w:rPr>
  </w:style>
  <w:style w:type="paragraph" w:customStyle="1" w:styleId="A3">
    <w:name w:val="A3"/>
    <w:aliases w:val="1.2 amendment"/>
    <w:basedOn w:val="Normal"/>
    <w:rsid w:val="009C5367"/>
    <w:pPr>
      <w:tabs>
        <w:tab w:val="right" w:pos="794"/>
      </w:tabs>
      <w:spacing w:before="180" w:line="260" w:lineRule="exact"/>
      <w:ind w:left="964" w:hanging="964"/>
      <w:jc w:val="both"/>
    </w:pPr>
    <w:rPr>
      <w:rFonts w:ascii="Times New Roman" w:hAnsi="Times New Roman"/>
      <w:sz w:val="24"/>
      <w:szCs w:val="24"/>
      <w:lang w:eastAsia="en-AU" w:bidi="ar-SA"/>
    </w:rPr>
  </w:style>
  <w:style w:type="paragraph" w:customStyle="1" w:styleId="A3S">
    <w:name w:val="A3S"/>
    <w:aliases w:val="Schedule Amendment"/>
    <w:basedOn w:val="Normal"/>
    <w:next w:val="A1S"/>
    <w:rsid w:val="009C5367"/>
    <w:pPr>
      <w:spacing w:before="60" w:line="260" w:lineRule="exact"/>
      <w:ind w:left="1247"/>
      <w:jc w:val="both"/>
    </w:pPr>
    <w:rPr>
      <w:rFonts w:ascii="Times New Roman" w:hAnsi="Times New Roman"/>
      <w:sz w:val="24"/>
      <w:szCs w:val="24"/>
      <w:lang w:eastAsia="en-AU" w:bidi="ar-SA"/>
    </w:rPr>
  </w:style>
  <w:style w:type="paragraph" w:customStyle="1" w:styleId="A4">
    <w:name w:val="A4"/>
    <w:aliases w:val="(a) Amendment"/>
    <w:basedOn w:val="Normal"/>
    <w:rsid w:val="009C5367"/>
    <w:pPr>
      <w:tabs>
        <w:tab w:val="right" w:pos="1247"/>
      </w:tabs>
      <w:spacing w:before="60" w:line="260" w:lineRule="exact"/>
      <w:ind w:left="1531" w:hanging="1531"/>
      <w:jc w:val="both"/>
    </w:pPr>
    <w:rPr>
      <w:rFonts w:ascii="Times New Roman" w:hAnsi="Times New Roman"/>
      <w:sz w:val="24"/>
      <w:szCs w:val="24"/>
      <w:lang w:eastAsia="en-AU" w:bidi="ar-SA"/>
    </w:rPr>
  </w:style>
  <w:style w:type="paragraph" w:customStyle="1" w:styleId="A5">
    <w:name w:val="A5"/>
    <w:aliases w:val="(i) Amendment"/>
    <w:basedOn w:val="Normal"/>
    <w:rsid w:val="009C5367"/>
    <w:pPr>
      <w:tabs>
        <w:tab w:val="right" w:pos="1758"/>
      </w:tabs>
      <w:spacing w:before="60" w:line="260" w:lineRule="exact"/>
      <w:ind w:left="2041" w:hanging="2041"/>
      <w:jc w:val="both"/>
    </w:pPr>
    <w:rPr>
      <w:rFonts w:ascii="Times New Roman" w:hAnsi="Times New Roman"/>
      <w:sz w:val="24"/>
      <w:szCs w:val="24"/>
      <w:lang w:eastAsia="en-AU" w:bidi="ar-SA"/>
    </w:rPr>
  </w:style>
  <w:style w:type="paragraph" w:customStyle="1" w:styleId="AN">
    <w:name w:val="AN"/>
    <w:aliases w:val="Note Amendment"/>
    <w:basedOn w:val="Normal"/>
    <w:next w:val="A1"/>
    <w:rsid w:val="009C5367"/>
    <w:pPr>
      <w:spacing w:before="120" w:line="220" w:lineRule="exact"/>
      <w:ind w:left="964"/>
      <w:jc w:val="both"/>
    </w:pPr>
    <w:rPr>
      <w:rFonts w:ascii="Times New Roman" w:hAnsi="Times New Roman"/>
      <w:szCs w:val="24"/>
      <w:lang w:eastAsia="en-AU" w:bidi="ar-SA"/>
    </w:rPr>
  </w:style>
  <w:style w:type="paragraph" w:customStyle="1" w:styleId="ASref">
    <w:name w:val="AS ref"/>
    <w:basedOn w:val="Normal"/>
    <w:next w:val="A1S"/>
    <w:rsid w:val="009C5367"/>
    <w:pPr>
      <w:keepNext/>
      <w:spacing w:before="60" w:line="200" w:lineRule="exact"/>
      <w:ind w:left="2410"/>
    </w:pPr>
    <w:rPr>
      <w:sz w:val="18"/>
      <w:szCs w:val="18"/>
      <w:lang w:eastAsia="en-AU" w:bidi="ar-SA"/>
    </w:rPr>
  </w:style>
  <w:style w:type="paragraph" w:customStyle="1" w:styleId="AS">
    <w:name w:val="AS"/>
    <w:aliases w:val="Schedule title Amendment"/>
    <w:basedOn w:val="Normal"/>
    <w:next w:val="ASref"/>
    <w:rsid w:val="009C5367"/>
    <w:pPr>
      <w:keepNext/>
      <w:keepLines/>
      <w:spacing w:before="480"/>
      <w:ind w:left="2410" w:hanging="2410"/>
    </w:pPr>
    <w:rPr>
      <w:b/>
      <w:sz w:val="32"/>
      <w:szCs w:val="24"/>
      <w:lang w:eastAsia="en-AU" w:bidi="ar-SA"/>
    </w:rPr>
  </w:style>
  <w:style w:type="paragraph" w:customStyle="1" w:styleId="ASP">
    <w:name w:val="ASP"/>
    <w:aliases w:val="Schedule Part Amendment"/>
    <w:basedOn w:val="Normal"/>
    <w:next w:val="A1S"/>
    <w:rsid w:val="009C5367"/>
    <w:pPr>
      <w:keepNext/>
      <w:keepLines/>
      <w:spacing w:before="360"/>
      <w:ind w:left="2410" w:hanging="2410"/>
    </w:pPr>
    <w:rPr>
      <w:b/>
      <w:sz w:val="28"/>
      <w:szCs w:val="24"/>
      <w:lang w:eastAsia="en-AU" w:bidi="ar-SA"/>
    </w:rPr>
  </w:style>
  <w:style w:type="paragraph" w:styleId="Caption">
    <w:name w:val="caption"/>
    <w:basedOn w:val="Normal"/>
    <w:next w:val="Normal"/>
    <w:qFormat/>
    <w:rsid w:val="009C5367"/>
    <w:pPr>
      <w:spacing w:before="120" w:after="120"/>
    </w:pPr>
    <w:rPr>
      <w:rFonts w:ascii="Times New Roman" w:hAnsi="Times New Roman"/>
      <w:b/>
      <w:bCs/>
      <w:lang w:eastAsia="en-AU" w:bidi="ar-SA"/>
    </w:rPr>
  </w:style>
  <w:style w:type="character" w:customStyle="1" w:styleId="CharAmSchNo">
    <w:name w:val="CharAmSchNo"/>
    <w:basedOn w:val="DefaultParagraphFont"/>
    <w:rsid w:val="009C5367"/>
  </w:style>
  <w:style w:type="character" w:customStyle="1" w:styleId="CharAmSchText">
    <w:name w:val="CharAmSchText"/>
    <w:basedOn w:val="DefaultParagraphFont"/>
    <w:rsid w:val="009C5367"/>
  </w:style>
  <w:style w:type="character" w:customStyle="1" w:styleId="CharChapNo">
    <w:name w:val="CharChapNo"/>
    <w:basedOn w:val="DefaultParagraphFont"/>
    <w:rsid w:val="009C5367"/>
  </w:style>
  <w:style w:type="character" w:customStyle="1" w:styleId="CharChapText">
    <w:name w:val="CharChapText"/>
    <w:basedOn w:val="DefaultParagraphFont"/>
    <w:rsid w:val="009C5367"/>
  </w:style>
  <w:style w:type="character" w:customStyle="1" w:styleId="CharDivNo">
    <w:name w:val="CharDivNo"/>
    <w:basedOn w:val="DefaultParagraphFont"/>
    <w:rsid w:val="009C5367"/>
  </w:style>
  <w:style w:type="character" w:customStyle="1" w:styleId="CharDivText">
    <w:name w:val="CharDivText"/>
    <w:basedOn w:val="DefaultParagraphFont"/>
    <w:rsid w:val="009C5367"/>
  </w:style>
  <w:style w:type="character" w:customStyle="1" w:styleId="CharPartNo">
    <w:name w:val="CharPartNo"/>
    <w:basedOn w:val="DefaultParagraphFont"/>
    <w:rsid w:val="009C5367"/>
  </w:style>
  <w:style w:type="character" w:customStyle="1" w:styleId="CharPartText">
    <w:name w:val="CharPartText"/>
    <w:basedOn w:val="DefaultParagraphFont"/>
    <w:rsid w:val="009C5367"/>
  </w:style>
  <w:style w:type="character" w:customStyle="1" w:styleId="CharSchPTNo">
    <w:name w:val="CharSchPTNo"/>
    <w:basedOn w:val="DefaultParagraphFont"/>
    <w:rsid w:val="009C5367"/>
  </w:style>
  <w:style w:type="character" w:customStyle="1" w:styleId="CharSchPTText">
    <w:name w:val="CharSchPTText"/>
    <w:basedOn w:val="DefaultParagraphFont"/>
    <w:rsid w:val="009C5367"/>
  </w:style>
  <w:style w:type="paragraph" w:customStyle="1" w:styleId="ContentsHead">
    <w:name w:val="ContentsHead"/>
    <w:basedOn w:val="Normal"/>
    <w:next w:val="Normal"/>
    <w:rsid w:val="009C5367"/>
    <w:pPr>
      <w:keepNext/>
      <w:keepLines/>
      <w:spacing w:before="240" w:after="240"/>
    </w:pPr>
    <w:rPr>
      <w:b/>
      <w:sz w:val="28"/>
      <w:szCs w:val="24"/>
      <w:lang w:eastAsia="en-AU" w:bidi="ar-SA"/>
    </w:rPr>
  </w:style>
  <w:style w:type="paragraph" w:customStyle="1" w:styleId="ContentsSectionBreak">
    <w:name w:val="ContentsSectionBreak"/>
    <w:basedOn w:val="Normal"/>
    <w:next w:val="Normal"/>
    <w:rsid w:val="009C5367"/>
    <w:rPr>
      <w:rFonts w:ascii="Times New Roman" w:hAnsi="Times New Roman"/>
      <w:sz w:val="24"/>
      <w:szCs w:val="24"/>
      <w:lang w:eastAsia="en-AU" w:bidi="ar-SA"/>
    </w:rPr>
  </w:style>
  <w:style w:type="paragraph" w:customStyle="1" w:styleId="DD">
    <w:name w:val="DD"/>
    <w:aliases w:val="Dictionary Definition"/>
    <w:basedOn w:val="Normal"/>
    <w:rsid w:val="009C5367"/>
    <w:pPr>
      <w:spacing w:before="80" w:line="260" w:lineRule="exact"/>
      <w:jc w:val="both"/>
    </w:pPr>
    <w:rPr>
      <w:rFonts w:ascii="Times New Roman" w:hAnsi="Times New Roman"/>
      <w:sz w:val="24"/>
      <w:szCs w:val="24"/>
      <w:lang w:eastAsia="en-AU" w:bidi="ar-SA"/>
    </w:rPr>
  </w:style>
  <w:style w:type="paragraph" w:customStyle="1" w:styleId="definition">
    <w:name w:val="definition"/>
    <w:basedOn w:val="Normal"/>
    <w:rsid w:val="009C5367"/>
    <w:pPr>
      <w:spacing w:before="80" w:line="260" w:lineRule="exact"/>
      <w:ind w:left="964"/>
      <w:jc w:val="both"/>
    </w:pPr>
    <w:rPr>
      <w:rFonts w:ascii="Times New Roman" w:hAnsi="Times New Roman"/>
      <w:sz w:val="24"/>
      <w:szCs w:val="24"/>
      <w:lang w:eastAsia="en-AU" w:bidi="ar-SA"/>
    </w:rPr>
  </w:style>
  <w:style w:type="paragraph" w:customStyle="1" w:styleId="DictionaryHeading">
    <w:name w:val="Dictionary Heading"/>
    <w:basedOn w:val="Normal"/>
    <w:next w:val="DD"/>
    <w:rsid w:val="009C5367"/>
    <w:pPr>
      <w:keepNext/>
      <w:keepLines/>
      <w:spacing w:before="480"/>
      <w:ind w:left="2552" w:hanging="2552"/>
    </w:pPr>
    <w:rPr>
      <w:b/>
      <w:sz w:val="32"/>
      <w:szCs w:val="24"/>
      <w:lang w:eastAsia="en-AU" w:bidi="ar-SA"/>
    </w:rPr>
  </w:style>
  <w:style w:type="paragraph" w:customStyle="1" w:styleId="DictionarySectionBreak">
    <w:name w:val="DictionarySectionBreak"/>
    <w:basedOn w:val="Normal"/>
    <w:next w:val="Normal"/>
    <w:rsid w:val="009C5367"/>
    <w:rPr>
      <w:rFonts w:ascii="Times New Roman" w:hAnsi="Times New Roman"/>
      <w:sz w:val="24"/>
      <w:szCs w:val="24"/>
      <w:lang w:eastAsia="en-AU" w:bidi="ar-SA"/>
    </w:rPr>
  </w:style>
  <w:style w:type="paragraph" w:customStyle="1" w:styleId="DNote">
    <w:name w:val="DNote"/>
    <w:aliases w:val="DictionaryNote"/>
    <w:basedOn w:val="Normal"/>
    <w:rsid w:val="009C5367"/>
    <w:pPr>
      <w:spacing w:before="120" w:line="220" w:lineRule="exact"/>
      <w:ind w:left="425"/>
      <w:jc w:val="both"/>
    </w:pPr>
    <w:rPr>
      <w:rFonts w:ascii="Times New Roman" w:hAnsi="Times New Roman"/>
      <w:szCs w:val="24"/>
      <w:lang w:eastAsia="en-AU" w:bidi="ar-SA"/>
    </w:rPr>
  </w:style>
  <w:style w:type="paragraph" w:styleId="DocumentMap">
    <w:name w:val="Document Map"/>
    <w:basedOn w:val="Normal"/>
    <w:rsid w:val="009C5367"/>
    <w:pPr>
      <w:shd w:val="clear" w:color="auto" w:fill="000080"/>
    </w:pPr>
    <w:rPr>
      <w:rFonts w:ascii="Tahoma" w:hAnsi="Tahoma" w:cs="Tahoma"/>
      <w:sz w:val="24"/>
      <w:szCs w:val="24"/>
      <w:lang w:eastAsia="en-AU" w:bidi="ar-SA"/>
    </w:rPr>
  </w:style>
  <w:style w:type="paragraph" w:customStyle="1" w:styleId="DP1a">
    <w:name w:val="DP1(a)"/>
    <w:aliases w:val="Dictionary (a)"/>
    <w:basedOn w:val="Normal"/>
    <w:rsid w:val="009C5367"/>
    <w:pPr>
      <w:tabs>
        <w:tab w:val="right" w:pos="709"/>
      </w:tabs>
      <w:spacing w:before="60" w:line="260" w:lineRule="exact"/>
      <w:ind w:left="936" w:hanging="936"/>
      <w:jc w:val="both"/>
    </w:pPr>
    <w:rPr>
      <w:rFonts w:ascii="Times New Roman" w:hAnsi="Times New Roman"/>
      <w:sz w:val="24"/>
      <w:szCs w:val="24"/>
      <w:lang w:eastAsia="en-AU" w:bidi="ar-SA"/>
    </w:rPr>
  </w:style>
  <w:style w:type="paragraph" w:customStyle="1" w:styleId="DP2i">
    <w:name w:val="DP2(i)"/>
    <w:aliases w:val="Dictionary(i)"/>
    <w:basedOn w:val="Normal"/>
    <w:rsid w:val="009C5367"/>
    <w:pPr>
      <w:tabs>
        <w:tab w:val="right" w:pos="1276"/>
      </w:tabs>
      <w:spacing w:before="60" w:line="260" w:lineRule="exact"/>
      <w:ind w:left="1503" w:hanging="1503"/>
      <w:jc w:val="both"/>
    </w:pPr>
    <w:rPr>
      <w:rFonts w:ascii="Times New Roman" w:hAnsi="Times New Roman"/>
      <w:sz w:val="24"/>
      <w:szCs w:val="24"/>
      <w:lang w:eastAsia="en-AU" w:bidi="ar-SA"/>
    </w:rPr>
  </w:style>
  <w:style w:type="character" w:styleId="EndnoteReference">
    <w:name w:val="endnote reference"/>
    <w:basedOn w:val="DefaultParagraphFont"/>
    <w:rsid w:val="009C5367"/>
    <w:rPr>
      <w:vertAlign w:val="superscript"/>
    </w:rPr>
  </w:style>
  <w:style w:type="paragraph" w:styleId="EndnoteText">
    <w:name w:val="endnote text"/>
    <w:basedOn w:val="Normal"/>
    <w:rsid w:val="009C5367"/>
    <w:rPr>
      <w:rFonts w:ascii="Times New Roman" w:hAnsi="Times New Roman"/>
      <w:lang w:eastAsia="en-AU" w:bidi="ar-SA"/>
    </w:rPr>
  </w:style>
  <w:style w:type="paragraph" w:customStyle="1" w:styleId="ExampleBody">
    <w:name w:val="Example Body"/>
    <w:basedOn w:val="Normal"/>
    <w:rsid w:val="009C5367"/>
    <w:pPr>
      <w:keepLines/>
      <w:spacing w:before="60" w:line="220" w:lineRule="exact"/>
      <w:ind w:left="964"/>
      <w:jc w:val="both"/>
    </w:pPr>
    <w:rPr>
      <w:rFonts w:ascii="Times New Roman" w:hAnsi="Times New Roman"/>
      <w:szCs w:val="24"/>
      <w:lang w:eastAsia="en-AU" w:bidi="ar-SA"/>
    </w:rPr>
  </w:style>
  <w:style w:type="paragraph" w:customStyle="1" w:styleId="ExampleList">
    <w:name w:val="Example List"/>
    <w:basedOn w:val="Normal"/>
    <w:rsid w:val="009C5367"/>
    <w:pPr>
      <w:keepLines/>
      <w:tabs>
        <w:tab w:val="left" w:pos="1247"/>
        <w:tab w:val="left" w:pos="1349"/>
      </w:tabs>
      <w:spacing w:before="60" w:line="220" w:lineRule="exact"/>
      <w:ind w:left="340" w:firstLine="652"/>
      <w:jc w:val="both"/>
    </w:pPr>
    <w:rPr>
      <w:rFonts w:ascii="Times New Roman" w:hAnsi="Times New Roman"/>
      <w:szCs w:val="24"/>
      <w:lang w:eastAsia="en-AU" w:bidi="ar-SA"/>
    </w:rPr>
  </w:style>
  <w:style w:type="paragraph" w:customStyle="1" w:styleId="Formula">
    <w:name w:val="Formula"/>
    <w:basedOn w:val="Normal"/>
    <w:next w:val="Normal"/>
    <w:rsid w:val="009C5367"/>
    <w:pPr>
      <w:spacing w:before="180" w:after="180"/>
      <w:jc w:val="center"/>
    </w:pPr>
    <w:rPr>
      <w:rFonts w:ascii="Times New Roman" w:hAnsi="Times New Roman"/>
      <w:sz w:val="24"/>
      <w:szCs w:val="24"/>
      <w:lang w:eastAsia="en-AU" w:bidi="ar-SA"/>
    </w:rPr>
  </w:style>
  <w:style w:type="paragraph" w:customStyle="1" w:styleId="HC">
    <w:name w:val="HC"/>
    <w:aliases w:val="Chapter Heading"/>
    <w:basedOn w:val="Normal"/>
    <w:next w:val="Normal"/>
    <w:rsid w:val="009C5367"/>
    <w:pPr>
      <w:keepNext/>
      <w:keepLines/>
      <w:pageBreakBefore/>
      <w:spacing w:before="480"/>
      <w:ind w:left="2410" w:hanging="2410"/>
    </w:pPr>
    <w:rPr>
      <w:b/>
      <w:sz w:val="40"/>
      <w:szCs w:val="24"/>
      <w:lang w:eastAsia="en-AU" w:bidi="ar-SA"/>
    </w:rPr>
  </w:style>
  <w:style w:type="paragraph" w:customStyle="1" w:styleId="HD">
    <w:name w:val="HD"/>
    <w:aliases w:val="Division Heading"/>
    <w:basedOn w:val="Normal"/>
    <w:next w:val="HR"/>
    <w:rsid w:val="009C5367"/>
    <w:pPr>
      <w:keepNext/>
      <w:keepLines/>
      <w:spacing w:before="360"/>
      <w:ind w:left="2410" w:hanging="2410"/>
    </w:pPr>
    <w:rPr>
      <w:b/>
      <w:sz w:val="28"/>
      <w:szCs w:val="24"/>
      <w:lang w:eastAsia="en-AU" w:bidi="ar-SA"/>
    </w:rPr>
  </w:style>
  <w:style w:type="paragraph" w:customStyle="1" w:styleId="HE">
    <w:name w:val="HE"/>
    <w:aliases w:val="Example heading"/>
    <w:basedOn w:val="Normal"/>
    <w:next w:val="ExampleBody"/>
    <w:rsid w:val="009C5367"/>
    <w:pPr>
      <w:keepNext/>
      <w:spacing w:before="120" w:line="220" w:lineRule="exact"/>
      <w:ind w:left="964"/>
    </w:pPr>
    <w:rPr>
      <w:rFonts w:ascii="Times New Roman" w:hAnsi="Times New Roman"/>
      <w:i/>
      <w:szCs w:val="24"/>
      <w:lang w:eastAsia="en-AU" w:bidi="ar-SA"/>
    </w:rPr>
  </w:style>
  <w:style w:type="paragraph" w:customStyle="1" w:styleId="HP">
    <w:name w:val="HP"/>
    <w:aliases w:val="Part Heading"/>
    <w:basedOn w:val="Normal"/>
    <w:next w:val="HD"/>
    <w:rsid w:val="009C5367"/>
    <w:pPr>
      <w:keepNext/>
      <w:keepLines/>
      <w:spacing w:before="360"/>
      <w:ind w:left="2410" w:hanging="2410"/>
    </w:pPr>
    <w:rPr>
      <w:b/>
      <w:sz w:val="32"/>
      <w:szCs w:val="24"/>
      <w:lang w:eastAsia="en-AU" w:bidi="ar-SA"/>
    </w:rPr>
  </w:style>
  <w:style w:type="paragraph" w:customStyle="1" w:styleId="HR">
    <w:name w:val="HR"/>
    <w:aliases w:val="Regulation Heading"/>
    <w:basedOn w:val="Normal"/>
    <w:next w:val="R1"/>
    <w:rsid w:val="009C5367"/>
    <w:pPr>
      <w:keepNext/>
      <w:keepLines/>
      <w:spacing w:before="360"/>
      <w:ind w:left="964" w:hanging="964"/>
    </w:pPr>
    <w:rPr>
      <w:b/>
      <w:sz w:val="24"/>
      <w:szCs w:val="24"/>
      <w:lang w:eastAsia="en-AU" w:bidi="ar-SA"/>
    </w:rPr>
  </w:style>
  <w:style w:type="paragraph" w:customStyle="1" w:styleId="HS">
    <w:name w:val="HS"/>
    <w:aliases w:val="Subdiv Heading"/>
    <w:basedOn w:val="Normal"/>
    <w:next w:val="HR"/>
    <w:rsid w:val="009C5367"/>
    <w:pPr>
      <w:keepNext/>
      <w:keepLines/>
      <w:spacing w:before="360"/>
      <w:ind w:left="2410" w:hanging="2410"/>
    </w:pPr>
    <w:rPr>
      <w:b/>
      <w:sz w:val="24"/>
      <w:szCs w:val="24"/>
      <w:lang w:eastAsia="en-AU" w:bidi="ar-SA"/>
    </w:rPr>
  </w:style>
  <w:style w:type="paragraph" w:customStyle="1" w:styleId="HSR">
    <w:name w:val="HSR"/>
    <w:aliases w:val="Subregulation Heading"/>
    <w:basedOn w:val="Normal"/>
    <w:next w:val="Normal"/>
    <w:rsid w:val="009C5367"/>
    <w:pPr>
      <w:keepNext/>
      <w:spacing w:before="300"/>
      <w:ind w:left="964"/>
    </w:pPr>
    <w:rPr>
      <w:i/>
      <w:sz w:val="24"/>
      <w:szCs w:val="24"/>
      <w:lang w:eastAsia="en-AU" w:bidi="ar-SA"/>
    </w:rPr>
  </w:style>
  <w:style w:type="paragraph" w:styleId="Index1">
    <w:name w:val="index 1"/>
    <w:basedOn w:val="Normal"/>
    <w:next w:val="Normal"/>
    <w:autoRedefine/>
    <w:rsid w:val="009C5367"/>
    <w:pPr>
      <w:ind w:left="240" w:hanging="240"/>
    </w:pPr>
    <w:rPr>
      <w:rFonts w:ascii="Times New Roman" w:hAnsi="Times New Roman"/>
      <w:sz w:val="24"/>
      <w:szCs w:val="24"/>
      <w:lang w:eastAsia="en-AU" w:bidi="ar-SA"/>
    </w:rPr>
  </w:style>
  <w:style w:type="paragraph" w:styleId="Index2">
    <w:name w:val="index 2"/>
    <w:basedOn w:val="Normal"/>
    <w:next w:val="Normal"/>
    <w:autoRedefine/>
    <w:rsid w:val="009C5367"/>
    <w:pPr>
      <w:ind w:left="480" w:hanging="240"/>
    </w:pPr>
    <w:rPr>
      <w:rFonts w:ascii="Times New Roman" w:hAnsi="Times New Roman"/>
      <w:sz w:val="24"/>
      <w:szCs w:val="24"/>
      <w:lang w:eastAsia="en-AU" w:bidi="ar-SA"/>
    </w:rPr>
  </w:style>
  <w:style w:type="paragraph" w:styleId="Index3">
    <w:name w:val="index 3"/>
    <w:basedOn w:val="Normal"/>
    <w:next w:val="Normal"/>
    <w:autoRedefine/>
    <w:rsid w:val="009C5367"/>
    <w:pPr>
      <w:ind w:left="720" w:hanging="240"/>
    </w:pPr>
    <w:rPr>
      <w:rFonts w:ascii="Times New Roman" w:hAnsi="Times New Roman"/>
      <w:sz w:val="24"/>
      <w:szCs w:val="24"/>
      <w:lang w:eastAsia="en-AU" w:bidi="ar-SA"/>
    </w:rPr>
  </w:style>
  <w:style w:type="paragraph" w:styleId="Index4">
    <w:name w:val="index 4"/>
    <w:basedOn w:val="Normal"/>
    <w:next w:val="Normal"/>
    <w:autoRedefine/>
    <w:rsid w:val="009C5367"/>
    <w:pPr>
      <w:ind w:left="960" w:hanging="240"/>
    </w:pPr>
    <w:rPr>
      <w:rFonts w:ascii="Times New Roman" w:hAnsi="Times New Roman"/>
      <w:sz w:val="24"/>
      <w:szCs w:val="24"/>
      <w:lang w:eastAsia="en-AU" w:bidi="ar-SA"/>
    </w:rPr>
  </w:style>
  <w:style w:type="paragraph" w:styleId="Index5">
    <w:name w:val="index 5"/>
    <w:basedOn w:val="Normal"/>
    <w:next w:val="Normal"/>
    <w:autoRedefine/>
    <w:rsid w:val="009C5367"/>
    <w:pPr>
      <w:ind w:left="1200" w:hanging="240"/>
    </w:pPr>
    <w:rPr>
      <w:rFonts w:ascii="Times New Roman" w:hAnsi="Times New Roman"/>
      <w:sz w:val="24"/>
      <w:szCs w:val="24"/>
      <w:lang w:eastAsia="en-AU" w:bidi="ar-SA"/>
    </w:rPr>
  </w:style>
  <w:style w:type="paragraph" w:styleId="Index6">
    <w:name w:val="index 6"/>
    <w:basedOn w:val="Normal"/>
    <w:next w:val="Normal"/>
    <w:autoRedefine/>
    <w:rsid w:val="009C5367"/>
    <w:pPr>
      <w:ind w:left="1440" w:hanging="240"/>
    </w:pPr>
    <w:rPr>
      <w:rFonts w:ascii="Times New Roman" w:hAnsi="Times New Roman"/>
      <w:sz w:val="24"/>
      <w:szCs w:val="24"/>
      <w:lang w:eastAsia="en-AU" w:bidi="ar-SA"/>
    </w:rPr>
  </w:style>
  <w:style w:type="paragraph" w:styleId="Index7">
    <w:name w:val="index 7"/>
    <w:basedOn w:val="Normal"/>
    <w:next w:val="Normal"/>
    <w:autoRedefine/>
    <w:rsid w:val="009C5367"/>
    <w:pPr>
      <w:ind w:left="1680" w:hanging="240"/>
    </w:pPr>
    <w:rPr>
      <w:rFonts w:ascii="Times New Roman" w:hAnsi="Times New Roman"/>
      <w:sz w:val="24"/>
      <w:szCs w:val="24"/>
      <w:lang w:eastAsia="en-AU" w:bidi="ar-SA"/>
    </w:rPr>
  </w:style>
  <w:style w:type="paragraph" w:styleId="Index8">
    <w:name w:val="index 8"/>
    <w:basedOn w:val="Normal"/>
    <w:next w:val="Normal"/>
    <w:autoRedefine/>
    <w:rsid w:val="009C5367"/>
    <w:pPr>
      <w:ind w:left="1920" w:hanging="240"/>
    </w:pPr>
    <w:rPr>
      <w:rFonts w:ascii="Times New Roman" w:hAnsi="Times New Roman"/>
      <w:sz w:val="24"/>
      <w:szCs w:val="24"/>
      <w:lang w:eastAsia="en-AU" w:bidi="ar-SA"/>
    </w:rPr>
  </w:style>
  <w:style w:type="paragraph" w:styleId="Index9">
    <w:name w:val="index 9"/>
    <w:basedOn w:val="Normal"/>
    <w:next w:val="Normal"/>
    <w:autoRedefine/>
    <w:rsid w:val="009C5367"/>
    <w:pPr>
      <w:ind w:left="2160" w:hanging="240"/>
    </w:pPr>
    <w:rPr>
      <w:rFonts w:ascii="Times New Roman" w:hAnsi="Times New Roman"/>
      <w:sz w:val="24"/>
      <w:szCs w:val="24"/>
      <w:lang w:eastAsia="en-AU" w:bidi="ar-SA"/>
    </w:rPr>
  </w:style>
  <w:style w:type="paragraph" w:styleId="IndexHeading">
    <w:name w:val="index heading"/>
    <w:basedOn w:val="Normal"/>
    <w:next w:val="Index1"/>
    <w:rsid w:val="009C5367"/>
    <w:rPr>
      <w:rFonts w:cs="Arial"/>
      <w:b/>
      <w:bCs/>
      <w:sz w:val="24"/>
      <w:szCs w:val="24"/>
      <w:lang w:eastAsia="en-AU" w:bidi="ar-SA"/>
    </w:rPr>
  </w:style>
  <w:style w:type="paragraph" w:customStyle="1" w:styleId="Lt">
    <w:name w:val="Lt"/>
    <w:aliases w:val="Long title"/>
    <w:basedOn w:val="Normal"/>
    <w:rsid w:val="009C5367"/>
    <w:pPr>
      <w:spacing w:before="260"/>
    </w:pPr>
    <w:rPr>
      <w:b/>
      <w:sz w:val="28"/>
      <w:szCs w:val="24"/>
      <w:lang w:eastAsia="en-AU" w:bidi="ar-SA"/>
    </w:rPr>
  </w:style>
  <w:style w:type="paragraph" w:customStyle="1" w:styleId="M1">
    <w:name w:val="M1"/>
    <w:aliases w:val="Modification Heading"/>
    <w:basedOn w:val="Normal"/>
    <w:next w:val="Normal"/>
    <w:rsid w:val="009C5367"/>
    <w:pPr>
      <w:keepNext/>
      <w:spacing w:before="480" w:line="260" w:lineRule="exact"/>
      <w:ind w:left="964" w:hanging="964"/>
    </w:pPr>
    <w:rPr>
      <w:b/>
      <w:sz w:val="24"/>
      <w:szCs w:val="24"/>
      <w:lang w:eastAsia="en-AU" w:bidi="ar-SA"/>
    </w:rPr>
  </w:style>
  <w:style w:type="paragraph" w:customStyle="1" w:styleId="M2">
    <w:name w:val="M2"/>
    <w:aliases w:val="Modification Instruction"/>
    <w:basedOn w:val="Normal"/>
    <w:next w:val="Normal"/>
    <w:rsid w:val="009C5367"/>
    <w:pPr>
      <w:keepNext/>
      <w:spacing w:before="120" w:line="260" w:lineRule="exact"/>
      <w:ind w:left="964"/>
    </w:pPr>
    <w:rPr>
      <w:rFonts w:ascii="Times New Roman" w:hAnsi="Times New Roman"/>
      <w:i/>
      <w:sz w:val="24"/>
      <w:szCs w:val="24"/>
      <w:lang w:eastAsia="en-AU" w:bidi="ar-SA"/>
    </w:rPr>
  </w:style>
  <w:style w:type="paragraph" w:customStyle="1" w:styleId="M3">
    <w:name w:val="M3"/>
    <w:aliases w:val="Modification Text"/>
    <w:basedOn w:val="Normal"/>
    <w:next w:val="M1"/>
    <w:rsid w:val="009C5367"/>
    <w:pPr>
      <w:spacing w:before="60" w:line="260" w:lineRule="exact"/>
      <w:ind w:left="1247"/>
      <w:jc w:val="both"/>
    </w:pPr>
    <w:rPr>
      <w:rFonts w:ascii="Times New Roman" w:hAnsi="Times New Roman"/>
      <w:sz w:val="24"/>
      <w:szCs w:val="24"/>
      <w:lang w:eastAsia="en-AU" w:bidi="ar-SA"/>
    </w:rPr>
  </w:style>
  <w:style w:type="paragraph" w:styleId="MacroText">
    <w:name w:val="macro"/>
    <w:rsid w:val="009C536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inBodySectionBreak">
    <w:name w:val="MainBody Section Break"/>
    <w:basedOn w:val="Normal"/>
    <w:next w:val="Normal"/>
    <w:rsid w:val="009C5367"/>
    <w:rPr>
      <w:rFonts w:ascii="Times New Roman" w:hAnsi="Times New Roman"/>
      <w:sz w:val="24"/>
      <w:szCs w:val="24"/>
      <w:lang w:eastAsia="en-AU" w:bidi="ar-SA"/>
    </w:rPr>
  </w:style>
  <w:style w:type="paragraph" w:customStyle="1" w:styleId="Maker">
    <w:name w:val="Maker"/>
    <w:basedOn w:val="Normal"/>
    <w:rsid w:val="009C5367"/>
    <w:pPr>
      <w:tabs>
        <w:tab w:val="left" w:pos="3119"/>
      </w:tabs>
      <w:spacing w:line="300" w:lineRule="atLeast"/>
    </w:pPr>
    <w:rPr>
      <w:rFonts w:ascii="Times New Roman" w:hAnsi="Times New Roman"/>
      <w:sz w:val="24"/>
      <w:szCs w:val="24"/>
      <w:lang w:eastAsia="en-AU" w:bidi="ar-SA"/>
    </w:rPr>
  </w:style>
  <w:style w:type="paragraph" w:customStyle="1" w:styleId="MHD">
    <w:name w:val="MHD"/>
    <w:aliases w:val="Mod Division Heading"/>
    <w:basedOn w:val="Normal"/>
    <w:next w:val="Normal"/>
    <w:rsid w:val="009C5367"/>
    <w:pPr>
      <w:keepNext/>
      <w:spacing w:before="360"/>
      <w:ind w:left="2410" w:hanging="2410"/>
    </w:pPr>
    <w:rPr>
      <w:rFonts w:ascii="Times New Roman" w:hAnsi="Times New Roman"/>
      <w:b/>
      <w:sz w:val="28"/>
      <w:szCs w:val="24"/>
      <w:lang w:eastAsia="en-AU" w:bidi="ar-SA"/>
    </w:rPr>
  </w:style>
  <w:style w:type="paragraph" w:customStyle="1" w:styleId="MHP">
    <w:name w:val="MHP"/>
    <w:aliases w:val="Mod Part Heading"/>
    <w:basedOn w:val="Normal"/>
    <w:next w:val="Normal"/>
    <w:rsid w:val="009C5367"/>
    <w:pPr>
      <w:keepNext/>
      <w:spacing w:before="360"/>
      <w:ind w:left="2410" w:hanging="2410"/>
    </w:pPr>
    <w:rPr>
      <w:rFonts w:ascii="Times New Roman" w:hAnsi="Times New Roman"/>
      <w:b/>
      <w:sz w:val="32"/>
      <w:szCs w:val="24"/>
      <w:lang w:eastAsia="en-AU" w:bidi="ar-SA"/>
    </w:rPr>
  </w:style>
  <w:style w:type="paragraph" w:customStyle="1" w:styleId="MHR">
    <w:name w:val="MHR"/>
    <w:aliases w:val="Mod Regulation Heading"/>
    <w:basedOn w:val="Normal"/>
    <w:next w:val="Normal"/>
    <w:rsid w:val="009C5367"/>
    <w:pPr>
      <w:keepNext/>
      <w:spacing w:before="360"/>
      <w:ind w:left="964" w:hanging="964"/>
    </w:pPr>
    <w:rPr>
      <w:rFonts w:ascii="Times New Roman" w:hAnsi="Times New Roman"/>
      <w:b/>
      <w:sz w:val="24"/>
      <w:szCs w:val="24"/>
      <w:lang w:eastAsia="en-AU" w:bidi="ar-SA"/>
    </w:rPr>
  </w:style>
  <w:style w:type="paragraph" w:customStyle="1" w:styleId="MHS">
    <w:name w:val="MHS"/>
    <w:aliases w:val="Mod Subdivision Heading"/>
    <w:basedOn w:val="Normal"/>
    <w:next w:val="MHR"/>
    <w:rsid w:val="009C5367"/>
    <w:pPr>
      <w:keepNext/>
      <w:spacing w:before="360"/>
      <w:ind w:left="2410" w:hanging="2410"/>
    </w:pPr>
    <w:rPr>
      <w:rFonts w:ascii="Times New Roman" w:hAnsi="Times New Roman"/>
      <w:b/>
      <w:sz w:val="24"/>
      <w:szCs w:val="24"/>
      <w:lang w:eastAsia="en-AU" w:bidi="ar-SA"/>
    </w:rPr>
  </w:style>
  <w:style w:type="paragraph" w:customStyle="1" w:styleId="MHSR">
    <w:name w:val="MHSR"/>
    <w:aliases w:val="Mod Subregulation Heading"/>
    <w:basedOn w:val="Normal"/>
    <w:next w:val="Normal"/>
    <w:rsid w:val="009C5367"/>
    <w:pPr>
      <w:keepNext/>
      <w:spacing w:before="300"/>
      <w:ind w:left="964" w:hanging="964"/>
    </w:pPr>
    <w:rPr>
      <w:rFonts w:ascii="Times New Roman" w:hAnsi="Times New Roman"/>
      <w:i/>
      <w:sz w:val="24"/>
      <w:szCs w:val="24"/>
      <w:lang w:eastAsia="en-AU" w:bidi="ar-SA"/>
    </w:rPr>
  </w:style>
  <w:style w:type="paragraph" w:customStyle="1" w:styleId="Note">
    <w:name w:val="Note"/>
    <w:basedOn w:val="Normal"/>
    <w:rsid w:val="009C5367"/>
    <w:pPr>
      <w:keepLines/>
      <w:spacing w:before="120" w:line="220" w:lineRule="exact"/>
      <w:ind w:left="964"/>
      <w:jc w:val="both"/>
    </w:pPr>
    <w:rPr>
      <w:rFonts w:ascii="Times New Roman" w:hAnsi="Times New Roman"/>
      <w:szCs w:val="24"/>
      <w:lang w:eastAsia="en-AU" w:bidi="ar-SA"/>
    </w:rPr>
  </w:style>
  <w:style w:type="paragraph" w:customStyle="1" w:styleId="NoteEnd">
    <w:name w:val="Note End"/>
    <w:basedOn w:val="Normal"/>
    <w:rsid w:val="009C5367"/>
    <w:pPr>
      <w:keepLines/>
      <w:spacing w:before="120" w:line="240" w:lineRule="exact"/>
      <w:ind w:left="567" w:hanging="567"/>
      <w:jc w:val="both"/>
    </w:pPr>
    <w:rPr>
      <w:rFonts w:ascii="Times New Roman" w:hAnsi="Times New Roman"/>
      <w:sz w:val="22"/>
      <w:szCs w:val="24"/>
      <w:lang w:eastAsia="en-AU" w:bidi="ar-SA"/>
    </w:rPr>
  </w:style>
  <w:style w:type="paragraph" w:customStyle="1" w:styleId="Notepara">
    <w:name w:val="Note para"/>
    <w:basedOn w:val="Normal"/>
    <w:rsid w:val="009C5367"/>
    <w:pPr>
      <w:keepLines/>
      <w:spacing w:before="60" w:line="220" w:lineRule="exact"/>
      <w:ind w:left="1304" w:hanging="340"/>
      <w:jc w:val="both"/>
    </w:pPr>
    <w:rPr>
      <w:rFonts w:ascii="Times New Roman" w:hAnsi="Times New Roman"/>
      <w:szCs w:val="24"/>
      <w:lang w:eastAsia="en-AU" w:bidi="ar-SA"/>
    </w:rPr>
  </w:style>
  <w:style w:type="paragraph" w:customStyle="1" w:styleId="NotesSectionBreak">
    <w:name w:val="NotesSectionBreak"/>
    <w:basedOn w:val="Normal"/>
    <w:next w:val="Normal"/>
    <w:rsid w:val="009C5367"/>
    <w:rPr>
      <w:rFonts w:ascii="Times New Roman" w:hAnsi="Times New Roman"/>
      <w:sz w:val="24"/>
      <w:szCs w:val="24"/>
      <w:lang w:eastAsia="en-AU" w:bidi="ar-SA"/>
    </w:rPr>
  </w:style>
  <w:style w:type="paragraph" w:customStyle="1" w:styleId="P1">
    <w:name w:val="P1"/>
    <w:aliases w:val="(a)"/>
    <w:basedOn w:val="Normal"/>
    <w:rsid w:val="009C5367"/>
    <w:pPr>
      <w:keepLines/>
      <w:tabs>
        <w:tab w:val="right" w:pos="1191"/>
      </w:tabs>
      <w:spacing w:before="60" w:line="260" w:lineRule="exact"/>
      <w:ind w:left="1418" w:hanging="1418"/>
      <w:jc w:val="both"/>
    </w:pPr>
    <w:rPr>
      <w:rFonts w:ascii="Times New Roman" w:hAnsi="Times New Roman"/>
      <w:sz w:val="24"/>
      <w:szCs w:val="24"/>
      <w:lang w:eastAsia="en-AU" w:bidi="ar-SA"/>
    </w:rPr>
  </w:style>
  <w:style w:type="paragraph" w:customStyle="1" w:styleId="P2">
    <w:name w:val="P2"/>
    <w:aliases w:val="(i)"/>
    <w:basedOn w:val="Normal"/>
    <w:rsid w:val="009C5367"/>
    <w:pPr>
      <w:keepLines/>
      <w:tabs>
        <w:tab w:val="right" w:pos="1758"/>
        <w:tab w:val="left" w:pos="2155"/>
      </w:tabs>
      <w:spacing w:before="60" w:line="260" w:lineRule="exact"/>
      <w:ind w:left="1985" w:hanging="1985"/>
      <w:jc w:val="both"/>
    </w:pPr>
    <w:rPr>
      <w:rFonts w:ascii="Times New Roman" w:hAnsi="Times New Roman"/>
      <w:sz w:val="24"/>
      <w:szCs w:val="24"/>
      <w:lang w:eastAsia="en-AU" w:bidi="ar-SA"/>
    </w:rPr>
  </w:style>
  <w:style w:type="paragraph" w:customStyle="1" w:styleId="P3">
    <w:name w:val="P3"/>
    <w:aliases w:val="(A)"/>
    <w:basedOn w:val="Normal"/>
    <w:rsid w:val="009C5367"/>
    <w:pPr>
      <w:tabs>
        <w:tab w:val="right" w:pos="2410"/>
      </w:tabs>
      <w:spacing w:before="60" w:line="260" w:lineRule="exact"/>
      <w:ind w:left="2693" w:hanging="2693"/>
      <w:jc w:val="both"/>
    </w:pPr>
    <w:rPr>
      <w:rFonts w:ascii="Times New Roman" w:hAnsi="Times New Roman"/>
      <w:sz w:val="24"/>
      <w:szCs w:val="24"/>
      <w:lang w:eastAsia="en-AU" w:bidi="ar-SA"/>
    </w:rPr>
  </w:style>
  <w:style w:type="paragraph" w:customStyle="1" w:styleId="P4">
    <w:name w:val="P4"/>
    <w:aliases w:val="(I)"/>
    <w:basedOn w:val="Normal"/>
    <w:rsid w:val="009C5367"/>
    <w:pPr>
      <w:tabs>
        <w:tab w:val="right" w:pos="3119"/>
      </w:tabs>
      <w:spacing w:before="60" w:line="260" w:lineRule="exact"/>
      <w:ind w:left="3419" w:hanging="3419"/>
      <w:jc w:val="both"/>
    </w:pPr>
    <w:rPr>
      <w:rFonts w:ascii="Times New Roman" w:hAnsi="Times New Roman"/>
      <w:sz w:val="24"/>
      <w:szCs w:val="24"/>
      <w:lang w:eastAsia="en-AU" w:bidi="ar-SA"/>
    </w:rPr>
  </w:style>
  <w:style w:type="paragraph" w:customStyle="1" w:styleId="PageBreak">
    <w:name w:val="PageBreak"/>
    <w:aliases w:val="pb"/>
    <w:basedOn w:val="Normal"/>
    <w:next w:val="Normal"/>
    <w:rsid w:val="009C5367"/>
    <w:rPr>
      <w:rFonts w:ascii="Times New Roman" w:hAnsi="Times New Roman"/>
      <w:sz w:val="4"/>
      <w:szCs w:val="2"/>
      <w:lang w:eastAsia="en-AU" w:bidi="ar-SA"/>
    </w:rPr>
  </w:style>
  <w:style w:type="paragraph" w:customStyle="1" w:styleId="Penalty">
    <w:name w:val="Penalty"/>
    <w:basedOn w:val="Normal"/>
    <w:next w:val="Normal"/>
    <w:rsid w:val="009C5367"/>
    <w:pPr>
      <w:spacing w:before="180" w:line="260" w:lineRule="exact"/>
      <w:ind w:left="964"/>
      <w:jc w:val="both"/>
    </w:pPr>
    <w:rPr>
      <w:rFonts w:ascii="Times New Roman" w:hAnsi="Times New Roman"/>
      <w:sz w:val="24"/>
      <w:szCs w:val="24"/>
      <w:lang w:eastAsia="en-AU" w:bidi="ar-SA"/>
    </w:rPr>
  </w:style>
  <w:style w:type="paragraph" w:customStyle="1" w:styleId="Query">
    <w:name w:val="Query"/>
    <w:aliases w:val="QY"/>
    <w:basedOn w:val="Normal"/>
    <w:rsid w:val="009C5367"/>
    <w:pPr>
      <w:spacing w:before="180" w:line="260" w:lineRule="exact"/>
      <w:ind w:left="964" w:hanging="964"/>
      <w:jc w:val="both"/>
    </w:pPr>
    <w:rPr>
      <w:rFonts w:ascii="Times New Roman" w:hAnsi="Times New Roman"/>
      <w:b/>
      <w:i/>
      <w:sz w:val="24"/>
      <w:szCs w:val="24"/>
      <w:lang w:eastAsia="en-AU" w:bidi="ar-SA"/>
    </w:rPr>
  </w:style>
  <w:style w:type="paragraph" w:customStyle="1" w:styleId="R1">
    <w:name w:val="R1"/>
    <w:aliases w:val="1. or 1.(1)"/>
    <w:basedOn w:val="Normal"/>
    <w:next w:val="R2"/>
    <w:rsid w:val="009C5367"/>
    <w:pPr>
      <w:keepLines/>
      <w:tabs>
        <w:tab w:val="right" w:pos="794"/>
      </w:tabs>
      <w:spacing w:before="120" w:line="260" w:lineRule="exact"/>
      <w:ind w:left="964" w:hanging="964"/>
      <w:jc w:val="both"/>
    </w:pPr>
    <w:rPr>
      <w:rFonts w:ascii="Times New Roman" w:hAnsi="Times New Roman"/>
      <w:sz w:val="24"/>
      <w:szCs w:val="24"/>
      <w:lang w:eastAsia="en-AU" w:bidi="ar-SA"/>
    </w:rPr>
  </w:style>
  <w:style w:type="paragraph" w:customStyle="1" w:styleId="R2">
    <w:name w:val="R2"/>
    <w:aliases w:val="(2)"/>
    <w:basedOn w:val="Normal"/>
    <w:rsid w:val="009C5367"/>
    <w:pPr>
      <w:keepLines/>
      <w:tabs>
        <w:tab w:val="right" w:pos="794"/>
      </w:tabs>
      <w:spacing w:before="180" w:line="260" w:lineRule="exact"/>
      <w:ind w:left="964" w:hanging="964"/>
      <w:jc w:val="both"/>
    </w:pPr>
    <w:rPr>
      <w:rFonts w:ascii="Times New Roman" w:hAnsi="Times New Roman"/>
      <w:sz w:val="24"/>
      <w:szCs w:val="24"/>
      <w:lang w:eastAsia="en-AU" w:bidi="ar-SA"/>
    </w:rPr>
  </w:style>
  <w:style w:type="paragraph" w:customStyle="1" w:styleId="Rc">
    <w:name w:val="Rc"/>
    <w:aliases w:val="Rn continued"/>
    <w:basedOn w:val="Normal"/>
    <w:next w:val="R2"/>
    <w:rsid w:val="009C5367"/>
    <w:pPr>
      <w:spacing w:before="60" w:line="260" w:lineRule="exact"/>
      <w:ind w:left="964"/>
      <w:jc w:val="both"/>
    </w:pPr>
    <w:rPr>
      <w:rFonts w:ascii="Times New Roman" w:hAnsi="Times New Roman"/>
      <w:sz w:val="24"/>
      <w:szCs w:val="24"/>
      <w:lang w:eastAsia="en-AU" w:bidi="ar-SA"/>
    </w:rPr>
  </w:style>
  <w:style w:type="paragraph" w:customStyle="1" w:styleId="ReadersGuideSectionBreak">
    <w:name w:val="ReadersGuideSectionBreak"/>
    <w:basedOn w:val="Normal"/>
    <w:next w:val="Normal"/>
    <w:rsid w:val="009C5367"/>
    <w:rPr>
      <w:rFonts w:ascii="Times New Roman" w:hAnsi="Times New Roman"/>
      <w:sz w:val="24"/>
      <w:szCs w:val="24"/>
      <w:lang w:eastAsia="en-AU" w:bidi="ar-SA"/>
    </w:rPr>
  </w:style>
  <w:style w:type="paragraph" w:customStyle="1" w:styleId="RGHead">
    <w:name w:val="RGHead"/>
    <w:basedOn w:val="Normal"/>
    <w:next w:val="Normal"/>
    <w:rsid w:val="009C5367"/>
    <w:pPr>
      <w:keepNext/>
      <w:spacing w:before="360"/>
    </w:pPr>
    <w:rPr>
      <w:b/>
      <w:sz w:val="32"/>
      <w:szCs w:val="24"/>
      <w:lang w:eastAsia="en-AU" w:bidi="ar-SA"/>
    </w:rPr>
  </w:style>
  <w:style w:type="paragraph" w:customStyle="1" w:styleId="RGPara">
    <w:name w:val="RGPara"/>
    <w:aliases w:val="Readers Guide Para"/>
    <w:basedOn w:val="Normal"/>
    <w:rsid w:val="009C5367"/>
    <w:pPr>
      <w:spacing w:before="120" w:line="260" w:lineRule="exact"/>
      <w:jc w:val="both"/>
    </w:pPr>
    <w:rPr>
      <w:rFonts w:ascii="Times New Roman" w:hAnsi="Times New Roman"/>
      <w:sz w:val="24"/>
      <w:szCs w:val="24"/>
      <w:lang w:eastAsia="en-AU" w:bidi="ar-SA"/>
    </w:rPr>
  </w:style>
  <w:style w:type="paragraph" w:customStyle="1" w:styleId="RGPtHd">
    <w:name w:val="RGPtHd"/>
    <w:aliases w:val="Readers Guide PT Heading"/>
    <w:basedOn w:val="Normal"/>
    <w:next w:val="Normal"/>
    <w:rsid w:val="009C5367"/>
    <w:pPr>
      <w:keepNext/>
      <w:spacing w:before="360"/>
    </w:pPr>
    <w:rPr>
      <w:b/>
      <w:sz w:val="28"/>
      <w:szCs w:val="24"/>
      <w:lang w:eastAsia="en-AU" w:bidi="ar-SA"/>
    </w:rPr>
  </w:style>
  <w:style w:type="paragraph" w:customStyle="1" w:styleId="RGSecHdg">
    <w:name w:val="RGSecHdg"/>
    <w:aliases w:val="Readers Guide Sec Heading"/>
    <w:basedOn w:val="Normal"/>
    <w:next w:val="RGPara"/>
    <w:rsid w:val="009C5367"/>
    <w:pPr>
      <w:keepNext/>
      <w:spacing w:before="360"/>
      <w:ind w:left="964" w:hanging="964"/>
    </w:pPr>
    <w:rPr>
      <w:b/>
      <w:sz w:val="24"/>
      <w:szCs w:val="24"/>
      <w:lang w:eastAsia="en-AU" w:bidi="ar-SA"/>
    </w:rPr>
  </w:style>
  <w:style w:type="paragraph" w:customStyle="1" w:styleId="LandscapeSectionBreak">
    <w:name w:val="LandscapeSectionBreak"/>
    <w:basedOn w:val="Normal"/>
    <w:next w:val="Normal"/>
    <w:rsid w:val="009C5367"/>
    <w:rPr>
      <w:rFonts w:ascii="Times New Roman" w:hAnsi="Times New Roman"/>
      <w:sz w:val="24"/>
      <w:szCs w:val="24"/>
      <w:lang w:eastAsia="en-AU" w:bidi="ar-SA"/>
    </w:rPr>
  </w:style>
  <w:style w:type="paragraph" w:customStyle="1" w:styleId="ScheduleDivision">
    <w:name w:val="Schedule Division"/>
    <w:basedOn w:val="Normal"/>
    <w:next w:val="ScheduleHeading"/>
    <w:rsid w:val="009C5367"/>
    <w:pPr>
      <w:keepNext/>
      <w:keepLines/>
      <w:spacing w:before="360"/>
      <w:ind w:left="1559" w:hanging="1559"/>
    </w:pPr>
    <w:rPr>
      <w:b/>
      <w:sz w:val="24"/>
      <w:szCs w:val="24"/>
      <w:lang w:eastAsia="en-AU" w:bidi="ar-SA"/>
    </w:rPr>
  </w:style>
  <w:style w:type="character" w:customStyle="1" w:styleId="CharSchNo">
    <w:name w:val="CharSchNo"/>
    <w:basedOn w:val="DefaultParagraphFont"/>
    <w:rsid w:val="009C5367"/>
  </w:style>
  <w:style w:type="character" w:customStyle="1" w:styleId="CharSchText">
    <w:name w:val="CharSchText"/>
    <w:basedOn w:val="DefaultParagraphFont"/>
    <w:rsid w:val="009C5367"/>
  </w:style>
  <w:style w:type="paragraph" w:customStyle="1" w:styleId="IntroP1a">
    <w:name w:val="IntroP1(a)"/>
    <w:basedOn w:val="Normal"/>
    <w:rsid w:val="009C5367"/>
    <w:pPr>
      <w:spacing w:before="60" w:line="260" w:lineRule="exact"/>
      <w:ind w:left="454" w:hanging="454"/>
      <w:jc w:val="both"/>
    </w:pPr>
    <w:rPr>
      <w:rFonts w:ascii="Times New Roman" w:hAnsi="Times New Roman"/>
      <w:sz w:val="24"/>
      <w:szCs w:val="24"/>
      <w:lang w:eastAsia="en-AU" w:bidi="ar-SA"/>
    </w:rPr>
  </w:style>
  <w:style w:type="character" w:customStyle="1" w:styleId="CharAmSchPTNo">
    <w:name w:val="CharAmSchPTNo"/>
    <w:basedOn w:val="DefaultParagraphFont"/>
    <w:rsid w:val="009C5367"/>
  </w:style>
  <w:style w:type="character" w:customStyle="1" w:styleId="CharAmSchPTText">
    <w:name w:val="CharAmSchPTText"/>
    <w:basedOn w:val="DefaultParagraphFont"/>
    <w:rsid w:val="009C5367"/>
  </w:style>
  <w:style w:type="paragraph" w:customStyle="1" w:styleId="Footerinfo0">
    <w:name w:val="Footerinfo"/>
    <w:basedOn w:val="Footer"/>
    <w:rsid w:val="009C5367"/>
    <w:pPr>
      <w:tabs>
        <w:tab w:val="clear" w:pos="4320"/>
        <w:tab w:val="clear" w:pos="8640"/>
        <w:tab w:val="center" w:pos="3600"/>
        <w:tab w:val="right" w:pos="7201"/>
      </w:tabs>
      <w:spacing w:before="20"/>
      <w:jc w:val="center"/>
    </w:pPr>
    <w:rPr>
      <w:i/>
      <w:sz w:val="12"/>
      <w:szCs w:val="18"/>
      <w:lang w:eastAsia="en-AU" w:bidi="ar-SA"/>
    </w:rPr>
  </w:style>
  <w:style w:type="paragraph" w:customStyle="1" w:styleId="FooterPageEven">
    <w:name w:val="FooterPageEven"/>
    <w:basedOn w:val="FooterPageOdd"/>
    <w:rsid w:val="009C5367"/>
    <w:pPr>
      <w:jc w:val="left"/>
    </w:pPr>
  </w:style>
  <w:style w:type="paragraph" w:customStyle="1" w:styleId="FooterPageOdd">
    <w:name w:val="FooterPageOdd"/>
    <w:basedOn w:val="Footer"/>
    <w:rsid w:val="009C5367"/>
    <w:pPr>
      <w:tabs>
        <w:tab w:val="clear" w:pos="4320"/>
        <w:tab w:val="clear" w:pos="8640"/>
        <w:tab w:val="center" w:pos="3600"/>
        <w:tab w:val="right" w:pos="7201"/>
      </w:tabs>
      <w:spacing w:before="20"/>
      <w:jc w:val="right"/>
    </w:pPr>
    <w:rPr>
      <w:sz w:val="22"/>
      <w:szCs w:val="18"/>
      <w:lang w:eastAsia="en-AU" w:bidi="ar-SA"/>
    </w:rPr>
  </w:style>
  <w:style w:type="paragraph" w:customStyle="1" w:styleId="FooterCitation">
    <w:name w:val="FooterCitation"/>
    <w:basedOn w:val="Footer"/>
    <w:rsid w:val="009C5367"/>
    <w:pPr>
      <w:tabs>
        <w:tab w:val="clear" w:pos="4320"/>
        <w:tab w:val="clear" w:pos="8640"/>
        <w:tab w:val="center" w:pos="4153"/>
        <w:tab w:val="right" w:pos="8306"/>
      </w:tabs>
      <w:spacing w:before="20" w:line="240" w:lineRule="exact"/>
      <w:jc w:val="center"/>
    </w:pPr>
    <w:rPr>
      <w:i/>
      <w:sz w:val="18"/>
      <w:szCs w:val="24"/>
      <w:lang w:eastAsia="en-AU" w:bidi="ar-SA"/>
    </w:rPr>
  </w:style>
  <w:style w:type="paragraph" w:customStyle="1" w:styleId="SchedSectionBreak">
    <w:name w:val="SchedSectionBreak"/>
    <w:basedOn w:val="Normal"/>
    <w:next w:val="Normal"/>
    <w:rsid w:val="009C5367"/>
    <w:rPr>
      <w:rFonts w:ascii="Times New Roman" w:hAnsi="Times New Roman"/>
      <w:sz w:val="24"/>
      <w:szCs w:val="24"/>
      <w:lang w:eastAsia="en-AU" w:bidi="ar-SA"/>
    </w:rPr>
  </w:style>
  <w:style w:type="paragraph" w:customStyle="1" w:styleId="ScheduleHeading">
    <w:name w:val="Schedule Heading"/>
    <w:basedOn w:val="Normal"/>
    <w:next w:val="Normal"/>
    <w:rsid w:val="009C5367"/>
    <w:pPr>
      <w:keepNext/>
      <w:keepLines/>
      <w:spacing w:before="360"/>
      <w:ind w:left="964" w:hanging="964"/>
    </w:pPr>
    <w:rPr>
      <w:b/>
      <w:sz w:val="24"/>
      <w:szCs w:val="24"/>
      <w:lang w:eastAsia="en-AU" w:bidi="ar-SA"/>
    </w:rPr>
  </w:style>
  <w:style w:type="paragraph" w:customStyle="1" w:styleId="Schedulelist">
    <w:name w:val="Schedule list"/>
    <w:basedOn w:val="Normal"/>
    <w:rsid w:val="009C5367"/>
    <w:pPr>
      <w:tabs>
        <w:tab w:val="right" w:pos="1985"/>
      </w:tabs>
      <w:spacing w:before="60" w:line="260" w:lineRule="exact"/>
      <w:ind w:left="454"/>
    </w:pPr>
    <w:rPr>
      <w:rFonts w:ascii="Times New Roman" w:hAnsi="Times New Roman"/>
      <w:sz w:val="24"/>
      <w:szCs w:val="24"/>
      <w:lang w:eastAsia="en-AU" w:bidi="ar-SA"/>
    </w:rPr>
  </w:style>
  <w:style w:type="paragraph" w:customStyle="1" w:styleId="Schedulepara">
    <w:name w:val="Schedule para"/>
    <w:basedOn w:val="Normal"/>
    <w:rsid w:val="009C5367"/>
    <w:pPr>
      <w:tabs>
        <w:tab w:val="right" w:pos="567"/>
      </w:tabs>
      <w:spacing w:before="180" w:line="260" w:lineRule="exact"/>
      <w:ind w:left="964" w:hanging="964"/>
      <w:jc w:val="both"/>
    </w:pPr>
    <w:rPr>
      <w:rFonts w:ascii="Times New Roman" w:hAnsi="Times New Roman"/>
      <w:sz w:val="24"/>
      <w:szCs w:val="24"/>
      <w:lang w:eastAsia="en-AU" w:bidi="ar-SA"/>
    </w:rPr>
  </w:style>
  <w:style w:type="paragraph" w:customStyle="1" w:styleId="Schedulepart">
    <w:name w:val="Schedule part"/>
    <w:basedOn w:val="Normal"/>
    <w:rsid w:val="009C5367"/>
    <w:pPr>
      <w:keepNext/>
      <w:keepLines/>
      <w:spacing w:before="360"/>
      <w:ind w:left="1559" w:hanging="1559"/>
    </w:pPr>
    <w:rPr>
      <w:b/>
      <w:sz w:val="28"/>
      <w:szCs w:val="24"/>
      <w:lang w:eastAsia="en-AU" w:bidi="ar-SA"/>
    </w:rPr>
  </w:style>
  <w:style w:type="paragraph" w:customStyle="1" w:styleId="Schedulereference">
    <w:name w:val="Schedule reference"/>
    <w:basedOn w:val="Normal"/>
    <w:next w:val="Schedulepart"/>
    <w:rsid w:val="009C5367"/>
    <w:pPr>
      <w:keepNext/>
      <w:keepLines/>
      <w:spacing w:before="60" w:line="200" w:lineRule="exact"/>
      <w:ind w:left="2410"/>
    </w:pPr>
    <w:rPr>
      <w:sz w:val="18"/>
      <w:szCs w:val="24"/>
      <w:lang w:eastAsia="en-AU" w:bidi="ar-SA"/>
    </w:rPr>
  </w:style>
  <w:style w:type="paragraph" w:customStyle="1" w:styleId="Scheduletitle">
    <w:name w:val="Schedule title"/>
    <w:basedOn w:val="Normal"/>
    <w:next w:val="Schedulereference"/>
    <w:rsid w:val="009C5367"/>
    <w:pPr>
      <w:keepNext/>
      <w:keepLines/>
      <w:spacing w:before="480"/>
      <w:ind w:left="2410" w:hanging="2410"/>
    </w:pPr>
    <w:rPr>
      <w:b/>
      <w:sz w:val="32"/>
      <w:szCs w:val="24"/>
      <w:lang w:eastAsia="en-AU" w:bidi="ar-SA"/>
    </w:rPr>
  </w:style>
  <w:style w:type="paragraph" w:customStyle="1" w:styleId="SigningPageBreak">
    <w:name w:val="SigningPageBreak"/>
    <w:basedOn w:val="Normal"/>
    <w:next w:val="Normal"/>
    <w:rsid w:val="009C5367"/>
    <w:rPr>
      <w:rFonts w:ascii="Times New Roman" w:hAnsi="Times New Roman"/>
      <w:sz w:val="24"/>
      <w:szCs w:val="24"/>
      <w:lang w:eastAsia="en-AU" w:bidi="ar-SA"/>
    </w:rPr>
  </w:style>
  <w:style w:type="paragraph" w:customStyle="1" w:styleId="SRNo">
    <w:name w:val="SRNo"/>
    <w:basedOn w:val="Normal"/>
    <w:next w:val="Normal"/>
    <w:rsid w:val="009C5367"/>
    <w:pPr>
      <w:pBdr>
        <w:bottom w:val="single" w:sz="4" w:space="3" w:color="auto"/>
      </w:pBdr>
      <w:spacing w:before="480"/>
    </w:pPr>
    <w:rPr>
      <w:b/>
      <w:sz w:val="24"/>
      <w:szCs w:val="24"/>
      <w:lang w:eastAsia="en-AU" w:bidi="ar-SA"/>
    </w:rPr>
  </w:style>
  <w:style w:type="paragraph" w:styleId="TableofAuthorities">
    <w:name w:val="table of authorities"/>
    <w:basedOn w:val="Normal"/>
    <w:next w:val="Normal"/>
    <w:rsid w:val="009C5367"/>
    <w:pPr>
      <w:ind w:left="240" w:hanging="240"/>
    </w:pPr>
    <w:rPr>
      <w:rFonts w:ascii="Times New Roman" w:hAnsi="Times New Roman"/>
      <w:sz w:val="24"/>
      <w:szCs w:val="24"/>
      <w:lang w:eastAsia="en-AU" w:bidi="ar-SA"/>
    </w:rPr>
  </w:style>
  <w:style w:type="paragraph" w:styleId="TableofFigures">
    <w:name w:val="table of figures"/>
    <w:basedOn w:val="Normal"/>
    <w:next w:val="Normal"/>
    <w:rsid w:val="009C5367"/>
    <w:pPr>
      <w:ind w:left="480" w:hanging="480"/>
    </w:pPr>
    <w:rPr>
      <w:rFonts w:ascii="Times New Roman" w:hAnsi="Times New Roman"/>
      <w:sz w:val="24"/>
      <w:szCs w:val="24"/>
      <w:lang w:eastAsia="en-AU" w:bidi="ar-SA"/>
    </w:rPr>
  </w:style>
  <w:style w:type="paragraph" w:customStyle="1" w:styleId="TableColHead">
    <w:name w:val="TableColHead"/>
    <w:basedOn w:val="Normal"/>
    <w:rsid w:val="009C5367"/>
    <w:pPr>
      <w:keepNext/>
      <w:spacing w:before="120" w:after="60" w:line="200" w:lineRule="exact"/>
    </w:pPr>
    <w:rPr>
      <w:b/>
      <w:sz w:val="18"/>
      <w:szCs w:val="24"/>
      <w:lang w:eastAsia="en-AU" w:bidi="ar-SA"/>
    </w:rPr>
  </w:style>
  <w:style w:type="table" w:customStyle="1" w:styleId="TableGeneral">
    <w:name w:val="TableGeneral"/>
    <w:basedOn w:val="TableNormal"/>
    <w:rsid w:val="009C5367"/>
    <w:pPr>
      <w:spacing w:before="60" w:after="60" w:line="240" w:lineRule="exact"/>
    </w:pPr>
    <w:rPr>
      <w:sz w:val="22"/>
    </w:rPr>
    <w:tblPr>
      <w:tblCellSpacing w:w="11" w:type="dxa"/>
      <w:tblInd w:w="0" w:type="dxa"/>
      <w:tblCellMar>
        <w:top w:w="0" w:type="dxa"/>
        <w:left w:w="108" w:type="dxa"/>
        <w:bottom w:w="0" w:type="dxa"/>
        <w:right w:w="108" w:type="dxa"/>
      </w:tblCellMar>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9C5367"/>
    <w:pPr>
      <w:tabs>
        <w:tab w:val="right" w:pos="408"/>
      </w:tabs>
      <w:spacing w:after="60" w:line="240" w:lineRule="exact"/>
      <w:ind w:left="533" w:hanging="533"/>
    </w:pPr>
    <w:rPr>
      <w:rFonts w:ascii="Times New Roman" w:hAnsi="Times New Roman"/>
      <w:sz w:val="22"/>
      <w:szCs w:val="24"/>
      <w:lang w:eastAsia="en-AU" w:bidi="ar-SA"/>
    </w:rPr>
  </w:style>
  <w:style w:type="paragraph" w:customStyle="1" w:styleId="TableP2i">
    <w:name w:val="TableP2(i)"/>
    <w:basedOn w:val="Normal"/>
    <w:rsid w:val="009C5367"/>
    <w:pPr>
      <w:tabs>
        <w:tab w:val="right" w:pos="726"/>
      </w:tabs>
      <w:spacing w:after="60" w:line="240" w:lineRule="exact"/>
      <w:ind w:left="868" w:hanging="868"/>
    </w:pPr>
    <w:rPr>
      <w:rFonts w:ascii="Times New Roman" w:hAnsi="Times New Roman"/>
      <w:sz w:val="22"/>
      <w:szCs w:val="24"/>
      <w:lang w:eastAsia="en-AU" w:bidi="ar-SA"/>
    </w:rPr>
  </w:style>
  <w:style w:type="paragraph" w:customStyle="1" w:styleId="TableText">
    <w:name w:val="TableText"/>
    <w:basedOn w:val="Normal"/>
    <w:rsid w:val="009C5367"/>
    <w:pPr>
      <w:spacing w:before="60" w:after="60" w:line="240" w:lineRule="exact"/>
    </w:pPr>
    <w:rPr>
      <w:rFonts w:ascii="Times New Roman" w:hAnsi="Times New Roman"/>
      <w:sz w:val="22"/>
      <w:szCs w:val="24"/>
      <w:lang w:eastAsia="en-AU" w:bidi="ar-SA"/>
    </w:rPr>
  </w:style>
  <w:style w:type="paragraph" w:styleId="TOAHeading">
    <w:name w:val="toa heading"/>
    <w:basedOn w:val="Normal"/>
    <w:next w:val="Normal"/>
    <w:rsid w:val="009C5367"/>
    <w:pPr>
      <w:spacing w:before="120"/>
    </w:pPr>
    <w:rPr>
      <w:rFonts w:cs="Arial"/>
      <w:b/>
      <w:bCs/>
      <w:sz w:val="24"/>
      <w:szCs w:val="24"/>
      <w:lang w:eastAsia="en-AU" w:bidi="ar-SA"/>
    </w:rPr>
  </w:style>
  <w:style w:type="paragraph" w:customStyle="1" w:styleId="TOC">
    <w:name w:val="TOC"/>
    <w:basedOn w:val="Normal"/>
    <w:next w:val="Normal"/>
    <w:rsid w:val="009C5367"/>
    <w:pPr>
      <w:tabs>
        <w:tab w:val="right" w:pos="7088"/>
      </w:tabs>
      <w:spacing w:after="120"/>
    </w:pPr>
    <w:rPr>
      <w:szCs w:val="24"/>
      <w:lang w:bidi="ar-SA"/>
    </w:rPr>
  </w:style>
  <w:style w:type="paragraph" w:styleId="TOC4">
    <w:name w:val="toc 4"/>
    <w:basedOn w:val="Normal"/>
    <w:next w:val="Normal"/>
    <w:autoRedefine/>
    <w:rsid w:val="009C5367"/>
    <w:pPr>
      <w:keepNext/>
      <w:tabs>
        <w:tab w:val="right" w:pos="8278"/>
      </w:tabs>
      <w:spacing w:before="80"/>
      <w:ind w:left="1843" w:hanging="1843"/>
    </w:pPr>
    <w:rPr>
      <w:b/>
      <w:sz w:val="18"/>
      <w:szCs w:val="24"/>
      <w:lang w:bidi="ar-SA"/>
    </w:rPr>
  </w:style>
  <w:style w:type="paragraph" w:styleId="TOC5">
    <w:name w:val="toc 5"/>
    <w:basedOn w:val="Normal"/>
    <w:next w:val="Normal"/>
    <w:autoRedefine/>
    <w:rsid w:val="009C5367"/>
    <w:pPr>
      <w:tabs>
        <w:tab w:val="right" w:pos="1559"/>
        <w:tab w:val="right" w:pos="8278"/>
      </w:tabs>
      <w:spacing w:before="40"/>
      <w:ind w:left="1843" w:right="714" w:hanging="1843"/>
    </w:pPr>
    <w:rPr>
      <w:szCs w:val="24"/>
      <w:lang w:bidi="ar-SA"/>
    </w:rPr>
  </w:style>
  <w:style w:type="paragraph" w:styleId="TOC6">
    <w:name w:val="toc 6"/>
    <w:basedOn w:val="Normal"/>
    <w:next w:val="Normal"/>
    <w:autoRedefine/>
    <w:rsid w:val="009C5367"/>
    <w:pPr>
      <w:keepNext/>
      <w:tabs>
        <w:tab w:val="right" w:pos="8278"/>
      </w:tabs>
      <w:spacing w:before="120"/>
      <w:ind w:left="1843" w:right="561" w:hanging="1843"/>
    </w:pPr>
    <w:rPr>
      <w:b/>
      <w:szCs w:val="24"/>
      <w:lang w:bidi="ar-SA"/>
    </w:rPr>
  </w:style>
  <w:style w:type="paragraph" w:styleId="TOC7">
    <w:name w:val="toc 7"/>
    <w:basedOn w:val="Normal"/>
    <w:next w:val="Normal"/>
    <w:autoRedefine/>
    <w:rsid w:val="009C5367"/>
    <w:pPr>
      <w:tabs>
        <w:tab w:val="right" w:pos="8278"/>
      </w:tabs>
      <w:spacing w:before="240" w:after="120"/>
      <w:ind w:left="1134" w:right="714" w:hanging="1134"/>
    </w:pPr>
    <w:rPr>
      <w:b/>
      <w:szCs w:val="24"/>
      <w:lang w:bidi="ar-SA"/>
    </w:rPr>
  </w:style>
  <w:style w:type="paragraph" w:styleId="TOC8">
    <w:name w:val="toc 8"/>
    <w:basedOn w:val="Normal"/>
    <w:next w:val="Normal"/>
    <w:autoRedefine/>
    <w:rsid w:val="009C5367"/>
    <w:pPr>
      <w:tabs>
        <w:tab w:val="right" w:pos="8278"/>
      </w:tabs>
      <w:spacing w:before="60"/>
      <w:ind w:left="1843" w:right="714" w:hanging="1843"/>
    </w:pPr>
    <w:rPr>
      <w:szCs w:val="24"/>
      <w:lang w:bidi="ar-SA"/>
    </w:rPr>
  </w:style>
  <w:style w:type="paragraph" w:styleId="TOC9">
    <w:name w:val="toc 9"/>
    <w:basedOn w:val="Normal"/>
    <w:next w:val="Normal"/>
    <w:autoRedefine/>
    <w:rsid w:val="009C5367"/>
    <w:pPr>
      <w:tabs>
        <w:tab w:val="right" w:pos="8278"/>
      </w:tabs>
      <w:spacing w:before="240" w:after="120"/>
    </w:pPr>
    <w:rPr>
      <w:b/>
      <w:szCs w:val="24"/>
      <w:lang w:bidi="ar-SA"/>
    </w:rPr>
  </w:style>
  <w:style w:type="paragraph" w:customStyle="1" w:styleId="IntroP2i">
    <w:name w:val="IntroP2(i)"/>
    <w:basedOn w:val="Normal"/>
    <w:rsid w:val="009C5367"/>
    <w:pPr>
      <w:tabs>
        <w:tab w:val="right" w:pos="709"/>
      </w:tabs>
      <w:spacing w:before="60" w:line="260" w:lineRule="exact"/>
      <w:ind w:left="907" w:hanging="907"/>
      <w:jc w:val="both"/>
    </w:pPr>
    <w:rPr>
      <w:rFonts w:ascii="Times New Roman" w:hAnsi="Times New Roman"/>
      <w:sz w:val="24"/>
      <w:szCs w:val="24"/>
      <w:lang w:eastAsia="en-AU" w:bidi="ar-SA"/>
    </w:rPr>
  </w:style>
  <w:style w:type="paragraph" w:customStyle="1" w:styleId="IntroP3A">
    <w:name w:val="IntroP3(A)"/>
    <w:basedOn w:val="Normal"/>
    <w:rsid w:val="009C5367"/>
    <w:pPr>
      <w:tabs>
        <w:tab w:val="right" w:pos="1276"/>
      </w:tabs>
      <w:spacing w:before="60" w:line="260" w:lineRule="exact"/>
      <w:ind w:left="1503" w:hanging="1503"/>
      <w:jc w:val="both"/>
    </w:pPr>
    <w:rPr>
      <w:rFonts w:ascii="Times New Roman" w:hAnsi="Times New Roman"/>
      <w:sz w:val="24"/>
      <w:szCs w:val="24"/>
      <w:lang w:eastAsia="en-AU" w:bidi="ar-SA"/>
    </w:rPr>
  </w:style>
  <w:style w:type="paragraph" w:customStyle="1" w:styleId="InstructorsNote">
    <w:name w:val="InstructorsNote"/>
    <w:basedOn w:val="Normal"/>
    <w:next w:val="Normal"/>
    <w:rsid w:val="009C5367"/>
    <w:pPr>
      <w:spacing w:before="120"/>
      <w:ind w:left="958" w:hanging="958"/>
    </w:pPr>
    <w:rPr>
      <w:rFonts w:cs="Arial"/>
      <w:b/>
      <w:sz w:val="16"/>
      <w:szCs w:val="18"/>
      <w:lang w:bidi="ar-SA"/>
    </w:rPr>
  </w:style>
  <w:style w:type="paragraph" w:customStyle="1" w:styleId="ZA2">
    <w:name w:val="ZA2"/>
    <w:basedOn w:val="A2"/>
    <w:rsid w:val="009C5367"/>
    <w:pPr>
      <w:keepNext/>
    </w:pPr>
  </w:style>
  <w:style w:type="paragraph" w:customStyle="1" w:styleId="ZA3">
    <w:name w:val="ZA3"/>
    <w:basedOn w:val="A3"/>
    <w:rsid w:val="009C5367"/>
    <w:pPr>
      <w:keepNext/>
    </w:pPr>
  </w:style>
  <w:style w:type="paragraph" w:customStyle="1" w:styleId="ZA4">
    <w:name w:val="ZA4"/>
    <w:basedOn w:val="Normal"/>
    <w:next w:val="A4"/>
    <w:rsid w:val="009C5367"/>
    <w:pPr>
      <w:keepNext/>
      <w:tabs>
        <w:tab w:val="right" w:pos="1247"/>
      </w:tabs>
      <w:spacing w:before="60" w:line="260" w:lineRule="exact"/>
      <w:ind w:left="1531" w:hanging="1531"/>
      <w:jc w:val="both"/>
    </w:pPr>
    <w:rPr>
      <w:rFonts w:ascii="Times New Roman" w:hAnsi="Times New Roman"/>
      <w:sz w:val="24"/>
      <w:szCs w:val="24"/>
      <w:lang w:eastAsia="en-AU" w:bidi="ar-SA"/>
    </w:rPr>
  </w:style>
  <w:style w:type="paragraph" w:customStyle="1" w:styleId="ZDD">
    <w:name w:val="ZDD"/>
    <w:aliases w:val="Dict Def"/>
    <w:basedOn w:val="DD"/>
    <w:rsid w:val="009C5367"/>
    <w:pPr>
      <w:keepNext/>
    </w:pPr>
  </w:style>
  <w:style w:type="paragraph" w:customStyle="1" w:styleId="Zdefinition">
    <w:name w:val="Zdefinition"/>
    <w:basedOn w:val="definition"/>
    <w:rsid w:val="009C5367"/>
    <w:pPr>
      <w:keepNext/>
    </w:pPr>
  </w:style>
  <w:style w:type="paragraph" w:customStyle="1" w:styleId="ZDP1">
    <w:name w:val="ZDP1"/>
    <w:basedOn w:val="DP1a"/>
    <w:rsid w:val="009C5367"/>
    <w:pPr>
      <w:keepNext/>
    </w:pPr>
  </w:style>
  <w:style w:type="paragraph" w:customStyle="1" w:styleId="ZExampleBody">
    <w:name w:val="ZExample Body"/>
    <w:basedOn w:val="ExampleBody"/>
    <w:rsid w:val="009C5367"/>
    <w:pPr>
      <w:keepNext/>
    </w:pPr>
  </w:style>
  <w:style w:type="paragraph" w:customStyle="1" w:styleId="ZNote">
    <w:name w:val="ZNote"/>
    <w:basedOn w:val="Note"/>
    <w:rsid w:val="009C5367"/>
    <w:pPr>
      <w:keepNext/>
    </w:pPr>
  </w:style>
  <w:style w:type="paragraph" w:customStyle="1" w:styleId="ZP1">
    <w:name w:val="ZP1"/>
    <w:basedOn w:val="P1"/>
    <w:rsid w:val="009C5367"/>
    <w:pPr>
      <w:keepNext/>
    </w:pPr>
  </w:style>
  <w:style w:type="paragraph" w:customStyle="1" w:styleId="ZP2">
    <w:name w:val="ZP2"/>
    <w:basedOn w:val="P2"/>
    <w:rsid w:val="009C5367"/>
    <w:pPr>
      <w:keepNext/>
    </w:pPr>
  </w:style>
  <w:style w:type="paragraph" w:customStyle="1" w:styleId="ZP3">
    <w:name w:val="ZP3"/>
    <w:basedOn w:val="P3"/>
    <w:rsid w:val="009C5367"/>
    <w:pPr>
      <w:keepNext/>
    </w:pPr>
  </w:style>
  <w:style w:type="paragraph" w:customStyle="1" w:styleId="ZR1">
    <w:name w:val="ZR1"/>
    <w:basedOn w:val="R1"/>
    <w:rsid w:val="009C5367"/>
    <w:pPr>
      <w:keepNext/>
    </w:pPr>
  </w:style>
  <w:style w:type="paragraph" w:customStyle="1" w:styleId="ZR2">
    <w:name w:val="ZR2"/>
    <w:basedOn w:val="R2"/>
    <w:rsid w:val="009C5367"/>
    <w:pPr>
      <w:keepNext/>
    </w:pPr>
  </w:style>
  <w:style w:type="paragraph" w:customStyle="1" w:styleId="ZRcN">
    <w:name w:val="ZRcN"/>
    <w:basedOn w:val="Rc"/>
    <w:rsid w:val="009C5367"/>
    <w:pPr>
      <w:keepNext/>
    </w:pPr>
  </w:style>
  <w:style w:type="character" w:customStyle="1" w:styleId="SubtitleChar">
    <w:name w:val="Subtitle Char"/>
    <w:basedOn w:val="DefaultParagraphFont"/>
    <w:link w:val="Subtitle"/>
    <w:rsid w:val="00E818EB"/>
    <w:rPr>
      <w:rFonts w:ascii="Arial" w:hAnsi="Arial" w:cs="Arial"/>
      <w:sz w:val="24"/>
      <w:szCs w:val="24"/>
    </w:rPr>
  </w:style>
  <w:style w:type="paragraph" w:styleId="Revision">
    <w:name w:val="Revision"/>
    <w:hidden/>
    <w:uiPriority w:val="99"/>
    <w:semiHidden/>
    <w:rsid w:val="00611405"/>
    <w:rPr>
      <w:rFonts w:ascii="Arial" w:hAnsi="Arial"/>
      <w:lang w:eastAsia="en-US" w:bidi="he-IL"/>
    </w:rPr>
  </w:style>
  <w:style w:type="character" w:customStyle="1" w:styleId="FootnoteTextChar">
    <w:name w:val="Footnote Text Char"/>
    <w:aliases w:val="ACMA Footnote Text Char,footnote text Char,Footnote Text Char1 Char,Footnote Text Char Char Char,Footnote Text Char1 Char Char Char,Footnote Text Char Char Char Char Char,Footnote Text Char1 Char Char Char Char Char,f Char"/>
    <w:basedOn w:val="DefaultParagraphFont"/>
    <w:link w:val="FootnoteText"/>
    <w:locked/>
    <w:rsid w:val="007161EC"/>
    <w:rPr>
      <w:lang w:val="en-AU" w:eastAsia="en-US" w:bidi="ar-SA"/>
    </w:rPr>
  </w:style>
  <w:style w:type="character" w:customStyle="1" w:styleId="CommentTextChar">
    <w:name w:val="Comment Text Char"/>
    <w:basedOn w:val="DefaultParagraphFont"/>
    <w:link w:val="CommentText"/>
    <w:semiHidden/>
    <w:rsid w:val="007161EC"/>
    <w:rPr>
      <w:rFonts w:ascii="Arial" w:hAnsi="Arial"/>
      <w:lang w:eastAsia="en-US" w:bidi="he-IL"/>
    </w:rPr>
  </w:style>
  <w:style w:type="paragraph" w:customStyle="1" w:styleId="TableBody">
    <w:name w:val="Table Body"/>
    <w:basedOn w:val="Normal"/>
    <w:rsid w:val="00FC1BB6"/>
    <w:rPr>
      <w:rFonts w:ascii="HelveticaNeueLT Std Lt" w:hAnsi="HelveticaNeueLT Std Lt"/>
      <w:szCs w:val="24"/>
      <w:lang w:eastAsia="en-AU" w:bidi="ar-SA"/>
    </w:rPr>
  </w:style>
  <w:style w:type="table" w:styleId="ColorfulShading-Accent1">
    <w:name w:val="Colorful Shading Accent 1"/>
    <w:basedOn w:val="TableNormal"/>
    <w:uiPriority w:val="71"/>
    <w:rsid w:val="00FC1BB6"/>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ListParagraph">
    <w:name w:val="List Paragraph"/>
    <w:basedOn w:val="Normal"/>
    <w:uiPriority w:val="34"/>
    <w:qFormat/>
    <w:rsid w:val="00CB0342"/>
    <w:pPr>
      <w:ind w:left="720"/>
    </w:pPr>
    <w:rPr>
      <w:rFonts w:ascii="Calibri" w:eastAsia="Calibri" w:hAnsi="Calibri" w:cs="Calibri"/>
      <w:sz w:val="22"/>
      <w:szCs w:val="22"/>
      <w:lang w:eastAsia="en-AU" w:bidi="ar-SA"/>
    </w:rPr>
  </w:style>
</w:styles>
</file>

<file path=word/webSettings.xml><?xml version="1.0" encoding="utf-8"?>
<w:webSettings xmlns:r="http://schemas.openxmlformats.org/officeDocument/2006/relationships" xmlns:w="http://schemas.openxmlformats.org/wordprocessingml/2006/main">
  <w:divs>
    <w:div w:id="203907376">
      <w:bodyDiv w:val="1"/>
      <w:marLeft w:val="0"/>
      <w:marRight w:val="0"/>
      <w:marTop w:val="0"/>
      <w:marBottom w:val="0"/>
      <w:divBdr>
        <w:top w:val="none" w:sz="0" w:space="0" w:color="auto"/>
        <w:left w:val="none" w:sz="0" w:space="0" w:color="auto"/>
        <w:bottom w:val="none" w:sz="0" w:space="0" w:color="auto"/>
        <w:right w:val="none" w:sz="0" w:space="0" w:color="auto"/>
      </w:divBdr>
    </w:div>
    <w:div w:id="541942627">
      <w:bodyDiv w:val="1"/>
      <w:marLeft w:val="0"/>
      <w:marRight w:val="0"/>
      <w:marTop w:val="0"/>
      <w:marBottom w:val="0"/>
      <w:divBdr>
        <w:top w:val="none" w:sz="0" w:space="0" w:color="auto"/>
        <w:left w:val="none" w:sz="0" w:space="0" w:color="auto"/>
        <w:bottom w:val="none" w:sz="0" w:space="0" w:color="auto"/>
        <w:right w:val="none" w:sz="0" w:space="0" w:color="auto"/>
      </w:divBdr>
    </w:div>
    <w:div w:id="961379466">
      <w:bodyDiv w:val="1"/>
      <w:marLeft w:val="0"/>
      <w:marRight w:val="0"/>
      <w:marTop w:val="0"/>
      <w:marBottom w:val="0"/>
      <w:divBdr>
        <w:top w:val="none" w:sz="0" w:space="0" w:color="auto"/>
        <w:left w:val="none" w:sz="0" w:space="0" w:color="auto"/>
        <w:bottom w:val="none" w:sz="0" w:space="0" w:color="auto"/>
        <w:right w:val="none" w:sz="0" w:space="0" w:color="auto"/>
      </w:divBdr>
      <w:divsChild>
        <w:div w:id="1134907429">
          <w:marLeft w:val="0"/>
          <w:marRight w:val="0"/>
          <w:marTop w:val="0"/>
          <w:marBottom w:val="0"/>
          <w:divBdr>
            <w:top w:val="none" w:sz="0" w:space="0" w:color="auto"/>
            <w:left w:val="none" w:sz="0" w:space="0" w:color="auto"/>
            <w:bottom w:val="none" w:sz="0" w:space="0" w:color="auto"/>
            <w:right w:val="none" w:sz="0" w:space="0" w:color="auto"/>
          </w:divBdr>
          <w:divsChild>
            <w:div w:id="1373307926">
              <w:marLeft w:val="0"/>
              <w:marRight w:val="0"/>
              <w:marTop w:val="0"/>
              <w:marBottom w:val="0"/>
              <w:divBdr>
                <w:top w:val="none" w:sz="0" w:space="0" w:color="auto"/>
                <w:left w:val="none" w:sz="0" w:space="0" w:color="auto"/>
                <w:bottom w:val="none" w:sz="0" w:space="0" w:color="auto"/>
                <w:right w:val="none" w:sz="0" w:space="0" w:color="auto"/>
              </w:divBdr>
              <w:divsChild>
                <w:div w:id="1455061076">
                  <w:marLeft w:val="0"/>
                  <w:marRight w:val="0"/>
                  <w:marTop w:val="0"/>
                  <w:marBottom w:val="0"/>
                  <w:divBdr>
                    <w:top w:val="none" w:sz="0" w:space="0" w:color="auto"/>
                    <w:left w:val="none" w:sz="0" w:space="0" w:color="auto"/>
                    <w:bottom w:val="none" w:sz="0" w:space="0" w:color="auto"/>
                    <w:right w:val="none" w:sz="0" w:space="0" w:color="auto"/>
                  </w:divBdr>
                  <w:divsChild>
                    <w:div w:id="1862082918">
                      <w:marLeft w:val="0"/>
                      <w:marRight w:val="0"/>
                      <w:marTop w:val="0"/>
                      <w:marBottom w:val="0"/>
                      <w:divBdr>
                        <w:top w:val="none" w:sz="0" w:space="0" w:color="auto"/>
                        <w:left w:val="none" w:sz="0" w:space="0" w:color="auto"/>
                        <w:bottom w:val="none" w:sz="0" w:space="0" w:color="auto"/>
                        <w:right w:val="none" w:sz="0" w:space="0" w:color="auto"/>
                      </w:divBdr>
                      <w:divsChild>
                        <w:div w:id="1664620542">
                          <w:marLeft w:val="0"/>
                          <w:marRight w:val="0"/>
                          <w:marTop w:val="0"/>
                          <w:marBottom w:val="0"/>
                          <w:divBdr>
                            <w:top w:val="single" w:sz="6" w:space="0" w:color="828282"/>
                            <w:left w:val="single" w:sz="6" w:space="0" w:color="828282"/>
                            <w:bottom w:val="single" w:sz="6" w:space="0" w:color="828282"/>
                            <w:right w:val="single" w:sz="6" w:space="0" w:color="828282"/>
                          </w:divBdr>
                          <w:divsChild>
                            <w:div w:id="1601451381">
                              <w:marLeft w:val="0"/>
                              <w:marRight w:val="0"/>
                              <w:marTop w:val="0"/>
                              <w:marBottom w:val="0"/>
                              <w:divBdr>
                                <w:top w:val="none" w:sz="0" w:space="0" w:color="auto"/>
                                <w:left w:val="none" w:sz="0" w:space="0" w:color="auto"/>
                                <w:bottom w:val="none" w:sz="0" w:space="0" w:color="auto"/>
                                <w:right w:val="none" w:sz="0" w:space="0" w:color="auto"/>
                              </w:divBdr>
                              <w:divsChild>
                                <w:div w:id="1264339402">
                                  <w:marLeft w:val="0"/>
                                  <w:marRight w:val="0"/>
                                  <w:marTop w:val="0"/>
                                  <w:marBottom w:val="0"/>
                                  <w:divBdr>
                                    <w:top w:val="none" w:sz="0" w:space="0" w:color="auto"/>
                                    <w:left w:val="none" w:sz="0" w:space="0" w:color="auto"/>
                                    <w:bottom w:val="none" w:sz="0" w:space="0" w:color="auto"/>
                                    <w:right w:val="none" w:sz="0" w:space="0" w:color="auto"/>
                                  </w:divBdr>
                                  <w:divsChild>
                                    <w:div w:id="211812557">
                                      <w:marLeft w:val="0"/>
                                      <w:marRight w:val="0"/>
                                      <w:marTop w:val="0"/>
                                      <w:marBottom w:val="0"/>
                                      <w:divBdr>
                                        <w:top w:val="none" w:sz="0" w:space="0" w:color="auto"/>
                                        <w:left w:val="none" w:sz="0" w:space="0" w:color="auto"/>
                                        <w:bottom w:val="none" w:sz="0" w:space="0" w:color="auto"/>
                                        <w:right w:val="none" w:sz="0" w:space="0" w:color="auto"/>
                                      </w:divBdr>
                                      <w:divsChild>
                                        <w:div w:id="1926263553">
                                          <w:marLeft w:val="0"/>
                                          <w:marRight w:val="0"/>
                                          <w:marTop w:val="0"/>
                                          <w:marBottom w:val="0"/>
                                          <w:divBdr>
                                            <w:top w:val="none" w:sz="0" w:space="0" w:color="auto"/>
                                            <w:left w:val="none" w:sz="0" w:space="0" w:color="auto"/>
                                            <w:bottom w:val="none" w:sz="0" w:space="0" w:color="auto"/>
                                            <w:right w:val="none" w:sz="0" w:space="0" w:color="auto"/>
                                          </w:divBdr>
                                          <w:divsChild>
                                            <w:div w:id="908685660">
                                              <w:marLeft w:val="0"/>
                                              <w:marRight w:val="0"/>
                                              <w:marTop w:val="0"/>
                                              <w:marBottom w:val="0"/>
                                              <w:divBdr>
                                                <w:top w:val="none" w:sz="0" w:space="0" w:color="auto"/>
                                                <w:left w:val="none" w:sz="0" w:space="0" w:color="auto"/>
                                                <w:bottom w:val="none" w:sz="0" w:space="0" w:color="auto"/>
                                                <w:right w:val="none" w:sz="0" w:space="0" w:color="auto"/>
                                              </w:divBdr>
                                              <w:divsChild>
                                                <w:div w:id="67942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2128746">
      <w:bodyDiv w:val="1"/>
      <w:marLeft w:val="0"/>
      <w:marRight w:val="0"/>
      <w:marTop w:val="0"/>
      <w:marBottom w:val="0"/>
      <w:divBdr>
        <w:top w:val="none" w:sz="0" w:space="0" w:color="auto"/>
        <w:left w:val="none" w:sz="0" w:space="0" w:color="auto"/>
        <w:bottom w:val="none" w:sz="0" w:space="0" w:color="auto"/>
        <w:right w:val="none" w:sz="0" w:space="0" w:color="auto"/>
      </w:divBdr>
    </w:div>
    <w:div w:id="1538464821">
      <w:bodyDiv w:val="1"/>
      <w:marLeft w:val="0"/>
      <w:marRight w:val="0"/>
      <w:marTop w:val="0"/>
      <w:marBottom w:val="0"/>
      <w:divBdr>
        <w:top w:val="none" w:sz="0" w:space="0" w:color="auto"/>
        <w:left w:val="none" w:sz="0" w:space="0" w:color="auto"/>
        <w:bottom w:val="none" w:sz="0" w:space="0" w:color="auto"/>
        <w:right w:val="none" w:sz="0" w:space="0" w:color="auto"/>
      </w:divBdr>
    </w:div>
    <w:div w:id="195359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98B2F-9166-43C8-817A-2CFDA13CA722}">
  <ds:schemaRefs>
    <ds:schemaRef ds:uri="http://schemas.openxmlformats.org/officeDocument/2006/bibliography"/>
  </ds:schemaRefs>
</ds:datastoreItem>
</file>

<file path=customXml/itemProps2.xml><?xml version="1.0" encoding="utf-8"?>
<ds:datastoreItem xmlns:ds="http://schemas.openxmlformats.org/officeDocument/2006/customXml" ds:itemID="{C301C661-DFB5-471A-9787-6E866FE41414}">
  <ds:schemaRefs>
    <ds:schemaRef ds:uri="http://schemas.openxmlformats.org/officeDocument/2006/bibliography"/>
  </ds:schemaRefs>
</ds:datastoreItem>
</file>

<file path=customXml/itemProps3.xml><?xml version="1.0" encoding="utf-8"?>
<ds:datastoreItem xmlns:ds="http://schemas.openxmlformats.org/officeDocument/2006/customXml" ds:itemID="{5E76FCBB-CD43-4517-848F-EF0FBBF871FD}">
  <ds:schemaRefs>
    <ds:schemaRef ds:uri="http://schemas.openxmlformats.org/officeDocument/2006/bibliography"/>
  </ds:schemaRefs>
</ds:datastoreItem>
</file>

<file path=customXml/itemProps4.xml><?xml version="1.0" encoding="utf-8"?>
<ds:datastoreItem xmlns:ds="http://schemas.openxmlformats.org/officeDocument/2006/customXml" ds:itemID="{95D78711-D581-4544-A699-AAB188592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1776</Words>
  <Characters>9623</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ACMA Normal Template</vt:lpstr>
    </vt:vector>
  </TitlesOfParts>
  <Company>Australian Communications Media Authority</Company>
  <LinksUpToDate>false</LinksUpToDate>
  <CharactersWithSpaces>11377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ACMA Normal Template</dc:title>
  <dc:creator>Hoefnagels, Angela</dc:creator>
  <cp:lastModifiedBy>Helen Turnbull</cp:lastModifiedBy>
  <cp:revision>2</cp:revision>
  <cp:lastPrinted>2012-03-08T21:45:00Z</cp:lastPrinted>
  <dcterms:created xsi:type="dcterms:W3CDTF">2012-03-26T22:00:00Z</dcterms:created>
  <dcterms:modified xsi:type="dcterms:W3CDTF">2012-03-26T22:00:00Z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