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41DC9" w14:textId="77777777" w:rsidR="00E636F4" w:rsidRDefault="00E636F4" w:rsidP="00E636F4">
      <w:pPr>
        <w:pStyle w:val="Heading1"/>
      </w:pPr>
    </w:p>
    <w:p w14:paraId="1DD41DCA" w14:textId="77777777" w:rsidR="00E636F4" w:rsidRPr="00EA084B" w:rsidRDefault="00E636F4" w:rsidP="00E636F4">
      <w:pPr>
        <w:jc w:val="center"/>
        <w:rPr>
          <w:rFonts w:eastAsia="Calibri"/>
          <w:szCs w:val="20"/>
          <w:lang w:eastAsia="en-US"/>
        </w:rPr>
      </w:pPr>
      <w:r w:rsidRPr="00EA084B">
        <w:rPr>
          <w:rFonts w:eastAsia="Calibri"/>
          <w:noProof/>
          <w:szCs w:val="20"/>
        </w:rPr>
        <w:drawing>
          <wp:anchor distT="0" distB="0" distL="114300" distR="114300" simplePos="0" relativeHeight="251659264" behindDoc="1" locked="0" layoutInCell="1" allowOverlap="1" wp14:anchorId="1DD41E2C" wp14:editId="1DD41E2D">
            <wp:simplePos x="0" y="0"/>
            <wp:positionH relativeFrom="column">
              <wp:posOffset>-337185</wp:posOffset>
            </wp:positionH>
            <wp:positionV relativeFrom="paragraph">
              <wp:posOffset>290195</wp:posOffset>
            </wp:positionV>
            <wp:extent cx="4347210" cy="628015"/>
            <wp:effectExtent l="0" t="0" r="0" b="635"/>
            <wp:wrapNone/>
            <wp:docPr id="6" name="Picture 6" descr="Office of the Australian Information Commissioner logo" title="OA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AC strip navy blue.jpg"/>
                    <pic:cNvPicPr/>
                  </pic:nvPicPr>
                  <pic:blipFill>
                    <a:blip r:embed="rId11">
                      <a:extLst>
                        <a:ext uri="{28A0092B-C50C-407E-A947-70E740481C1C}">
                          <a14:useLocalDpi xmlns:a14="http://schemas.microsoft.com/office/drawing/2010/main" val="0"/>
                        </a:ext>
                      </a:extLst>
                    </a:blip>
                    <a:stretch>
                      <a:fillRect/>
                    </a:stretch>
                  </pic:blipFill>
                  <pic:spPr>
                    <a:xfrm>
                      <a:off x="0" y="0"/>
                      <a:ext cx="4347210" cy="628015"/>
                    </a:xfrm>
                    <a:prstGeom prst="rect">
                      <a:avLst/>
                    </a:prstGeom>
                  </pic:spPr>
                </pic:pic>
              </a:graphicData>
            </a:graphic>
            <wp14:sizeRelH relativeFrom="page">
              <wp14:pctWidth>0</wp14:pctWidth>
            </wp14:sizeRelH>
            <wp14:sizeRelV relativeFrom="page">
              <wp14:pctHeight>0</wp14:pctHeight>
            </wp14:sizeRelV>
          </wp:anchor>
        </w:drawing>
      </w:r>
    </w:p>
    <w:p w14:paraId="1DD41DCB" w14:textId="77777777" w:rsidR="00E636F4" w:rsidRPr="00EA084B" w:rsidRDefault="00E636F4" w:rsidP="00E636F4">
      <w:pPr>
        <w:spacing w:after="240"/>
        <w:rPr>
          <w:rFonts w:eastAsia="Calibri"/>
          <w:szCs w:val="20"/>
          <w:lang w:eastAsia="en-US"/>
        </w:rPr>
      </w:pPr>
    </w:p>
    <w:p w14:paraId="1DD41DCC" w14:textId="77777777" w:rsidR="00E636F4" w:rsidRPr="00EA084B" w:rsidRDefault="00E636F4" w:rsidP="00E636F4">
      <w:pPr>
        <w:spacing w:after="240"/>
        <w:rPr>
          <w:rFonts w:eastAsia="Calibri"/>
          <w:szCs w:val="20"/>
          <w:lang w:eastAsia="en-US"/>
        </w:rPr>
      </w:pPr>
    </w:p>
    <w:p w14:paraId="1DD41DCD" w14:textId="77777777" w:rsidR="00E636F4" w:rsidRPr="00EA084B" w:rsidRDefault="00E636F4" w:rsidP="00E636F4">
      <w:pPr>
        <w:spacing w:after="240"/>
        <w:rPr>
          <w:rFonts w:eastAsia="Calibri"/>
          <w:szCs w:val="20"/>
          <w:lang w:eastAsia="en-US"/>
        </w:rPr>
      </w:pPr>
    </w:p>
    <w:p w14:paraId="1DD41DCE" w14:textId="77777777" w:rsidR="00E636F4" w:rsidRPr="00EA084B" w:rsidRDefault="00E636F4" w:rsidP="00E636F4">
      <w:pPr>
        <w:spacing w:after="240"/>
        <w:rPr>
          <w:rFonts w:eastAsia="Calibri"/>
          <w:szCs w:val="20"/>
          <w:lang w:eastAsia="en-US"/>
        </w:rPr>
      </w:pPr>
    </w:p>
    <w:p w14:paraId="1DD41DCF" w14:textId="77777777" w:rsidR="00E636F4" w:rsidRPr="00EA084B" w:rsidRDefault="00E636F4" w:rsidP="00E636F4">
      <w:pPr>
        <w:spacing w:after="240"/>
        <w:rPr>
          <w:rFonts w:eastAsia="Calibri"/>
          <w:szCs w:val="20"/>
          <w:lang w:eastAsia="en-US"/>
        </w:rPr>
      </w:pPr>
    </w:p>
    <w:p w14:paraId="1DD41DD0" w14:textId="77777777" w:rsidR="00E636F4" w:rsidRPr="00EA084B" w:rsidRDefault="00E636F4" w:rsidP="00E636F4">
      <w:pPr>
        <w:spacing w:after="240"/>
        <w:rPr>
          <w:rFonts w:eastAsia="Calibri"/>
          <w:szCs w:val="20"/>
          <w:lang w:eastAsia="en-US"/>
        </w:rPr>
      </w:pPr>
    </w:p>
    <w:p w14:paraId="1DD41DD1" w14:textId="77777777" w:rsidR="00E636F4" w:rsidRPr="00EA084B" w:rsidRDefault="00E636F4" w:rsidP="00E636F4">
      <w:pPr>
        <w:spacing w:after="240"/>
        <w:rPr>
          <w:rFonts w:eastAsia="Calibri"/>
          <w:szCs w:val="20"/>
          <w:lang w:eastAsia="en-US"/>
        </w:rPr>
      </w:pPr>
    </w:p>
    <w:p w14:paraId="1DD41DD2" w14:textId="77777777" w:rsidR="00E636F4" w:rsidRPr="00EA084B" w:rsidRDefault="00E636F4" w:rsidP="00E636F4">
      <w:pPr>
        <w:spacing w:after="240"/>
        <w:rPr>
          <w:rFonts w:eastAsia="Calibri"/>
          <w:szCs w:val="20"/>
          <w:lang w:eastAsia="en-US"/>
        </w:rPr>
      </w:pPr>
    </w:p>
    <w:p w14:paraId="1DD41DD3" w14:textId="77777777" w:rsidR="00E636F4" w:rsidRPr="00EA084B" w:rsidRDefault="00E636F4" w:rsidP="00E636F4">
      <w:pPr>
        <w:spacing w:before="240"/>
        <w:jc w:val="right"/>
        <w:rPr>
          <w:rFonts w:cs="Calibri"/>
          <w:b/>
          <w:smallCaps/>
          <w:spacing w:val="5"/>
          <w:kern w:val="28"/>
          <w:sz w:val="52"/>
          <w:szCs w:val="52"/>
          <w:lang w:eastAsia="en-US"/>
        </w:rPr>
      </w:pPr>
      <w:r>
        <w:rPr>
          <w:rFonts w:cs="Calibri"/>
          <w:b/>
          <w:spacing w:val="5"/>
          <w:kern w:val="28"/>
          <w:sz w:val="52"/>
          <w:szCs w:val="52"/>
          <w:lang w:eastAsia="en-US"/>
        </w:rPr>
        <w:t>Explanatory Statement</w:t>
      </w:r>
    </w:p>
    <w:p w14:paraId="1DD41DD4" w14:textId="77777777" w:rsidR="00E636F4" w:rsidRPr="00EA084B" w:rsidRDefault="00E636F4" w:rsidP="00E636F4">
      <w:pPr>
        <w:rPr>
          <w:rFonts w:eastAsia="Calibri"/>
          <w:szCs w:val="20"/>
          <w:lang w:eastAsia="en-US"/>
        </w:rPr>
      </w:pPr>
    </w:p>
    <w:p w14:paraId="1DD41DD5" w14:textId="77777777" w:rsidR="00E636F4" w:rsidRPr="00C83BE3" w:rsidRDefault="00E636F4" w:rsidP="00E636F4">
      <w:pPr>
        <w:numPr>
          <w:ilvl w:val="1"/>
          <w:numId w:val="0"/>
        </w:numPr>
        <w:spacing w:before="120" w:after="240"/>
        <w:jc w:val="right"/>
        <w:rPr>
          <w:rFonts w:cs="Calibri"/>
          <w:b/>
          <w:i/>
          <w:iCs/>
          <w:color w:val="000000"/>
          <w:spacing w:val="15"/>
          <w:sz w:val="36"/>
          <w:szCs w:val="36"/>
          <w:lang w:eastAsia="en-US"/>
        </w:rPr>
      </w:pPr>
      <w:r>
        <w:rPr>
          <w:rFonts w:cs="Calibri"/>
          <w:b/>
          <w:iCs/>
          <w:color w:val="000000"/>
          <w:spacing w:val="15"/>
          <w:sz w:val="36"/>
          <w:szCs w:val="36"/>
          <w:lang w:eastAsia="en-US"/>
        </w:rPr>
        <w:t xml:space="preserve">Revocation of the </w:t>
      </w:r>
      <w:r>
        <w:rPr>
          <w:rFonts w:cs="Calibri"/>
          <w:b/>
          <w:i/>
          <w:iCs/>
          <w:color w:val="000000"/>
          <w:spacing w:val="15"/>
          <w:sz w:val="36"/>
          <w:szCs w:val="36"/>
          <w:lang w:eastAsia="en-US"/>
        </w:rPr>
        <w:t>Biometrics Institute Privacy Code</w:t>
      </w:r>
    </w:p>
    <w:p w14:paraId="1DD41DD6" w14:textId="77777777" w:rsidR="00E636F4" w:rsidRPr="00EA084B" w:rsidRDefault="00E636F4" w:rsidP="00E636F4">
      <w:pPr>
        <w:spacing w:after="240"/>
        <w:rPr>
          <w:rFonts w:eastAsia="Calibri"/>
          <w:szCs w:val="20"/>
          <w:lang w:eastAsia="en-US"/>
        </w:rPr>
      </w:pPr>
    </w:p>
    <w:p w14:paraId="1DD41DD7" w14:textId="77777777" w:rsidR="00E636F4" w:rsidRPr="00EA084B" w:rsidRDefault="00E636F4" w:rsidP="00E636F4">
      <w:pPr>
        <w:numPr>
          <w:ilvl w:val="1"/>
          <w:numId w:val="0"/>
        </w:numPr>
        <w:spacing w:before="840" w:after="240"/>
        <w:jc w:val="right"/>
        <w:rPr>
          <w:rFonts w:cs="Calibri"/>
          <w:b/>
          <w:iCs/>
          <w:color w:val="000000"/>
          <w:spacing w:val="15"/>
          <w:sz w:val="36"/>
          <w:szCs w:val="36"/>
          <w:lang w:eastAsia="en-US"/>
        </w:rPr>
      </w:pPr>
      <w:r w:rsidRPr="00EA084B">
        <w:rPr>
          <w:rFonts w:cs="Calibri"/>
          <w:b/>
          <w:iCs/>
          <w:noProof/>
          <w:color w:val="000000"/>
          <w:spacing w:val="15"/>
          <w:sz w:val="36"/>
          <w:szCs w:val="36"/>
        </w:rPr>
        <w:drawing>
          <wp:anchor distT="0" distB="0" distL="114300" distR="114300" simplePos="0" relativeHeight="251660288" behindDoc="1" locked="0" layoutInCell="1" allowOverlap="1" wp14:anchorId="1DD41E2E" wp14:editId="1DD41E2F">
            <wp:simplePos x="0" y="0"/>
            <wp:positionH relativeFrom="column">
              <wp:posOffset>-923925</wp:posOffset>
            </wp:positionH>
            <wp:positionV relativeFrom="paragraph">
              <wp:posOffset>142240</wp:posOffset>
            </wp:positionV>
            <wp:extent cx="7639050" cy="3599180"/>
            <wp:effectExtent l="0" t="0" r="0" b="1270"/>
            <wp:wrapNone/>
            <wp:docPr id="7" name="Picture 7" descr="Decorative ribbon image" title="OAIC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C-ribbons.jpg"/>
                    <pic:cNvPicPr/>
                  </pic:nvPicPr>
                  <pic:blipFill rotWithShape="1">
                    <a:blip r:embed="rId12" cstate="print">
                      <a:extLst>
                        <a:ext uri="{28A0092B-C50C-407E-A947-70E740481C1C}">
                          <a14:useLocalDpi xmlns:a14="http://schemas.microsoft.com/office/drawing/2010/main" val="0"/>
                        </a:ext>
                      </a:extLst>
                    </a:blip>
                    <a:srcRect l="1644" r="28071"/>
                    <a:stretch/>
                  </pic:blipFill>
                  <pic:spPr bwMode="auto">
                    <a:xfrm>
                      <a:off x="0" y="0"/>
                      <a:ext cx="7639050" cy="359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Calibri"/>
          <w:b/>
          <w:iCs/>
          <w:color w:val="000000"/>
          <w:spacing w:val="15"/>
          <w:sz w:val="36"/>
          <w:szCs w:val="36"/>
          <w:lang w:eastAsia="en-US"/>
        </w:rPr>
        <w:t>April 2012</w:t>
      </w:r>
    </w:p>
    <w:p w14:paraId="1DD41DD8" w14:textId="77777777" w:rsidR="00E636F4" w:rsidRPr="00EA084B" w:rsidRDefault="00E636F4" w:rsidP="00E636F4">
      <w:pPr>
        <w:spacing w:after="240"/>
        <w:rPr>
          <w:rFonts w:eastAsia="Calibri"/>
          <w:szCs w:val="20"/>
          <w:lang w:eastAsia="en-US"/>
        </w:rPr>
      </w:pPr>
    </w:p>
    <w:p w14:paraId="1DD41DD9" w14:textId="77777777" w:rsidR="00E636F4" w:rsidRPr="00EA084B" w:rsidRDefault="00E636F4" w:rsidP="00E636F4">
      <w:pPr>
        <w:spacing w:after="240"/>
        <w:rPr>
          <w:rFonts w:eastAsia="Calibri"/>
          <w:szCs w:val="20"/>
          <w:lang w:eastAsia="en-US"/>
        </w:rPr>
      </w:pPr>
    </w:p>
    <w:p w14:paraId="1DD41DDA" w14:textId="77777777" w:rsidR="00E636F4" w:rsidRPr="00EA084B" w:rsidRDefault="00E636F4" w:rsidP="00E636F4">
      <w:pPr>
        <w:spacing w:after="240"/>
        <w:rPr>
          <w:rFonts w:eastAsia="Calibri"/>
          <w:szCs w:val="20"/>
          <w:lang w:eastAsia="en-US"/>
        </w:rPr>
      </w:pPr>
    </w:p>
    <w:p w14:paraId="1DD41DDB" w14:textId="77777777" w:rsidR="00E636F4" w:rsidRPr="00EA084B" w:rsidRDefault="00E636F4" w:rsidP="00E636F4">
      <w:pPr>
        <w:spacing w:after="240"/>
        <w:rPr>
          <w:rFonts w:eastAsia="Calibri"/>
          <w:szCs w:val="20"/>
          <w:lang w:eastAsia="en-US"/>
        </w:rPr>
      </w:pPr>
    </w:p>
    <w:p w14:paraId="1DD41DDC" w14:textId="77777777" w:rsidR="00E636F4" w:rsidRPr="00EA084B" w:rsidRDefault="00E636F4" w:rsidP="00E636F4">
      <w:pPr>
        <w:spacing w:after="240"/>
        <w:rPr>
          <w:rFonts w:eastAsia="Calibri"/>
          <w:szCs w:val="20"/>
          <w:lang w:eastAsia="en-US"/>
        </w:rPr>
      </w:pPr>
    </w:p>
    <w:p w14:paraId="1DD41DDD" w14:textId="77777777" w:rsidR="00E636F4" w:rsidRPr="00EA084B" w:rsidRDefault="00E636F4" w:rsidP="00E636F4">
      <w:pPr>
        <w:spacing w:after="240"/>
        <w:rPr>
          <w:rFonts w:eastAsia="Calibri"/>
          <w:szCs w:val="20"/>
          <w:lang w:eastAsia="en-US"/>
        </w:rPr>
      </w:pPr>
    </w:p>
    <w:p w14:paraId="1DD41DDE" w14:textId="77777777" w:rsidR="00E636F4" w:rsidRPr="00EA084B" w:rsidRDefault="00E636F4" w:rsidP="00E636F4">
      <w:pPr>
        <w:spacing w:after="240"/>
        <w:rPr>
          <w:rFonts w:eastAsia="Calibri"/>
          <w:szCs w:val="20"/>
          <w:lang w:eastAsia="en-US"/>
        </w:rPr>
      </w:pPr>
    </w:p>
    <w:p w14:paraId="1DD41DDF" w14:textId="77777777" w:rsidR="00E636F4" w:rsidRPr="00EA084B" w:rsidRDefault="00E636F4" w:rsidP="00E636F4">
      <w:pPr>
        <w:rPr>
          <w:rFonts w:eastAsia="Calibri"/>
          <w:szCs w:val="20"/>
          <w:lang w:eastAsia="en-US"/>
        </w:rPr>
      </w:pPr>
    </w:p>
    <w:p w14:paraId="1DD41DE0" w14:textId="77777777" w:rsidR="00E636F4" w:rsidRPr="00EA084B" w:rsidRDefault="00E636F4" w:rsidP="00E636F4">
      <w:pPr>
        <w:rPr>
          <w:rFonts w:eastAsia="Calibri"/>
          <w:szCs w:val="20"/>
          <w:lang w:eastAsia="en-US"/>
        </w:rPr>
      </w:pPr>
    </w:p>
    <w:p w14:paraId="1DD41DE1" w14:textId="77777777" w:rsidR="00E636F4" w:rsidRPr="00EA084B" w:rsidRDefault="00E636F4" w:rsidP="00E636F4">
      <w:pPr>
        <w:spacing w:after="240"/>
        <w:rPr>
          <w:rFonts w:eastAsia="Calibri"/>
          <w:szCs w:val="20"/>
          <w:lang w:eastAsia="en-US"/>
        </w:rPr>
      </w:pPr>
    </w:p>
    <w:p w14:paraId="1DD41DE2" w14:textId="77777777" w:rsidR="00E636F4" w:rsidRPr="00EA084B" w:rsidRDefault="00E636F4" w:rsidP="00E636F4">
      <w:pPr>
        <w:pStyle w:val="BodyText1"/>
        <w:rPr>
          <w:rFonts w:asciiTheme="majorHAnsi" w:eastAsiaTheme="majorEastAsia" w:hAnsiTheme="majorHAnsi" w:cstheme="majorBidi"/>
          <w:b/>
          <w:bCs/>
          <w:sz w:val="36"/>
          <w:szCs w:val="36"/>
        </w:rPr>
      </w:pPr>
      <w:r>
        <w:br w:type="page"/>
      </w:r>
      <w:r w:rsidRPr="00EA084B">
        <w:rPr>
          <w:b/>
          <w:sz w:val="36"/>
          <w:szCs w:val="36"/>
        </w:rPr>
        <w:lastRenderedPageBreak/>
        <w:t>Explanatory Statement</w:t>
      </w:r>
    </w:p>
    <w:p w14:paraId="1DD41DE3" w14:textId="77777777" w:rsidR="00E636F4" w:rsidRPr="00CC22F9" w:rsidRDefault="00E636F4" w:rsidP="00E636F4">
      <w:pPr>
        <w:pStyle w:val="Heading2"/>
      </w:pPr>
      <w:r w:rsidRPr="00CC22F9">
        <w:t>Revocation of the Biometrics Institute Privacy Code</w:t>
      </w:r>
    </w:p>
    <w:p w14:paraId="1DD41DE4"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This explanatory statement relates to an instrument made under s18BE of</w:t>
      </w:r>
      <w:r>
        <w:rPr>
          <w:rFonts w:asciiTheme="minorHAnsi" w:hAnsiTheme="minorHAnsi" w:cstheme="minorHAnsi"/>
          <w:szCs w:val="24"/>
        </w:rPr>
        <w:t xml:space="preserve"> </w:t>
      </w:r>
      <w:r w:rsidRPr="00891E7C">
        <w:rPr>
          <w:rFonts w:asciiTheme="minorHAnsi" w:hAnsiTheme="minorHAnsi" w:cstheme="minorHAnsi"/>
          <w:szCs w:val="24"/>
        </w:rPr>
        <w:t xml:space="preserve">the </w:t>
      </w:r>
      <w:r w:rsidRPr="00891E7C">
        <w:rPr>
          <w:rFonts w:asciiTheme="minorHAnsi" w:hAnsiTheme="minorHAnsi" w:cstheme="minorHAnsi"/>
          <w:i/>
          <w:iCs/>
          <w:szCs w:val="24"/>
        </w:rPr>
        <w:t>Privacy Act 1988 (</w:t>
      </w:r>
      <w:proofErr w:type="spellStart"/>
      <w:r w:rsidRPr="00891E7C">
        <w:rPr>
          <w:rFonts w:asciiTheme="minorHAnsi" w:hAnsiTheme="minorHAnsi" w:cstheme="minorHAnsi"/>
          <w:i/>
          <w:iCs/>
          <w:szCs w:val="24"/>
        </w:rPr>
        <w:t>Cth</w:t>
      </w:r>
      <w:proofErr w:type="spellEnd"/>
      <w:r w:rsidRPr="00891E7C">
        <w:rPr>
          <w:rFonts w:asciiTheme="minorHAnsi" w:hAnsiTheme="minorHAnsi" w:cstheme="minorHAnsi"/>
          <w:i/>
          <w:iCs/>
          <w:szCs w:val="24"/>
        </w:rPr>
        <w:t xml:space="preserve">) </w:t>
      </w:r>
      <w:r w:rsidRPr="00891E7C">
        <w:rPr>
          <w:rFonts w:asciiTheme="minorHAnsi" w:hAnsiTheme="minorHAnsi" w:cstheme="minorHAnsi"/>
          <w:szCs w:val="24"/>
        </w:rPr>
        <w:t>(</w:t>
      </w:r>
      <w:r>
        <w:rPr>
          <w:rFonts w:asciiTheme="minorHAnsi" w:hAnsiTheme="minorHAnsi" w:cstheme="minorHAnsi"/>
          <w:szCs w:val="24"/>
        </w:rPr>
        <w:t xml:space="preserve">the </w:t>
      </w:r>
      <w:r w:rsidRPr="00891E7C">
        <w:rPr>
          <w:rFonts w:asciiTheme="minorHAnsi" w:hAnsiTheme="minorHAnsi" w:cstheme="minorHAnsi"/>
          <w:szCs w:val="24"/>
        </w:rPr>
        <w:t>Privacy Ac</w:t>
      </w:r>
      <w:r>
        <w:rPr>
          <w:rFonts w:asciiTheme="minorHAnsi" w:hAnsiTheme="minorHAnsi" w:cstheme="minorHAnsi"/>
          <w:szCs w:val="24"/>
        </w:rPr>
        <w:t>t</w:t>
      </w:r>
      <w:r w:rsidRPr="00891E7C">
        <w:rPr>
          <w:rFonts w:asciiTheme="minorHAnsi" w:hAnsiTheme="minorHAnsi" w:cstheme="minorHAnsi"/>
          <w:szCs w:val="24"/>
        </w:rPr>
        <w:t xml:space="preserve">) </w:t>
      </w:r>
      <w:r>
        <w:rPr>
          <w:rFonts w:asciiTheme="minorHAnsi" w:hAnsiTheme="minorHAnsi" w:cstheme="minorHAnsi"/>
          <w:szCs w:val="24"/>
        </w:rPr>
        <w:t>en</w:t>
      </w:r>
      <w:r w:rsidRPr="00891E7C">
        <w:rPr>
          <w:rFonts w:asciiTheme="minorHAnsi" w:hAnsiTheme="minorHAnsi" w:cstheme="minorHAnsi"/>
          <w:szCs w:val="24"/>
        </w:rPr>
        <w:t xml:space="preserve">titled </w:t>
      </w:r>
      <w:r w:rsidRPr="00891E7C">
        <w:rPr>
          <w:rFonts w:asciiTheme="minorHAnsi" w:hAnsiTheme="minorHAnsi" w:cstheme="minorHAnsi"/>
          <w:i/>
          <w:szCs w:val="24"/>
        </w:rPr>
        <w:t>‘Revocation of the Biometrics Institute Privacy Code’</w:t>
      </w:r>
      <w:r>
        <w:rPr>
          <w:rFonts w:asciiTheme="minorHAnsi" w:hAnsiTheme="minorHAnsi" w:cstheme="minorHAnsi"/>
          <w:i/>
          <w:szCs w:val="24"/>
        </w:rPr>
        <w:t xml:space="preserve"> </w:t>
      </w:r>
      <w:r>
        <w:rPr>
          <w:rFonts w:asciiTheme="minorHAnsi" w:hAnsiTheme="minorHAnsi" w:cstheme="minorHAnsi"/>
          <w:szCs w:val="24"/>
        </w:rPr>
        <w:t>(Revocation)</w:t>
      </w:r>
      <w:r w:rsidRPr="00891E7C">
        <w:rPr>
          <w:rFonts w:asciiTheme="minorHAnsi" w:hAnsiTheme="minorHAnsi" w:cstheme="minorHAnsi"/>
          <w:szCs w:val="24"/>
        </w:rPr>
        <w:t>.</w:t>
      </w:r>
    </w:p>
    <w:p w14:paraId="1DD41DE5"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This explanatory statement has been drafted for the purpose of fulfilling the</w:t>
      </w:r>
      <w:r>
        <w:rPr>
          <w:rFonts w:asciiTheme="minorHAnsi" w:hAnsiTheme="minorHAnsi" w:cstheme="minorHAnsi"/>
          <w:szCs w:val="24"/>
        </w:rPr>
        <w:t xml:space="preserve"> Privacy Commissioner</w:t>
      </w:r>
      <w:r w:rsidRPr="00891E7C">
        <w:rPr>
          <w:rFonts w:asciiTheme="minorHAnsi" w:hAnsiTheme="minorHAnsi" w:cstheme="minorHAnsi"/>
          <w:szCs w:val="24"/>
        </w:rPr>
        <w:t xml:space="preserve">’s obligations under </w:t>
      </w:r>
      <w:proofErr w:type="gramStart"/>
      <w:r w:rsidRPr="00891E7C">
        <w:rPr>
          <w:rFonts w:asciiTheme="minorHAnsi" w:hAnsiTheme="minorHAnsi" w:cstheme="minorHAnsi"/>
          <w:szCs w:val="24"/>
        </w:rPr>
        <w:t>s26(</w:t>
      </w:r>
      <w:proofErr w:type="gramEnd"/>
      <w:r w:rsidRPr="00891E7C">
        <w:rPr>
          <w:rFonts w:asciiTheme="minorHAnsi" w:hAnsiTheme="minorHAnsi" w:cstheme="minorHAnsi"/>
          <w:szCs w:val="24"/>
        </w:rPr>
        <w:t>1) of the</w:t>
      </w:r>
      <w:r>
        <w:rPr>
          <w:rFonts w:asciiTheme="minorHAnsi" w:hAnsiTheme="minorHAnsi" w:cstheme="minorHAnsi"/>
          <w:szCs w:val="24"/>
        </w:rPr>
        <w:t xml:space="preserve"> </w:t>
      </w:r>
      <w:r w:rsidRPr="00891E7C">
        <w:rPr>
          <w:rFonts w:asciiTheme="minorHAnsi" w:hAnsiTheme="minorHAnsi" w:cstheme="minorHAnsi"/>
          <w:i/>
          <w:iCs/>
          <w:szCs w:val="24"/>
        </w:rPr>
        <w:t xml:space="preserve">Legislative Instruments Act 2003 </w:t>
      </w:r>
      <w:r w:rsidRPr="00891E7C">
        <w:rPr>
          <w:rFonts w:asciiTheme="minorHAnsi" w:hAnsiTheme="minorHAnsi" w:cstheme="minorHAnsi"/>
          <w:szCs w:val="24"/>
        </w:rPr>
        <w:t>(</w:t>
      </w:r>
      <w:proofErr w:type="spellStart"/>
      <w:r w:rsidRPr="00891E7C">
        <w:rPr>
          <w:rFonts w:asciiTheme="minorHAnsi" w:hAnsiTheme="minorHAnsi" w:cstheme="minorHAnsi"/>
          <w:szCs w:val="24"/>
        </w:rPr>
        <w:t>Cth</w:t>
      </w:r>
      <w:proofErr w:type="spellEnd"/>
      <w:r w:rsidRPr="00891E7C">
        <w:rPr>
          <w:rFonts w:asciiTheme="minorHAnsi" w:hAnsiTheme="minorHAnsi" w:cstheme="minorHAnsi"/>
          <w:szCs w:val="24"/>
        </w:rPr>
        <w:t>) (</w:t>
      </w:r>
      <w:r>
        <w:rPr>
          <w:rFonts w:asciiTheme="minorHAnsi" w:hAnsiTheme="minorHAnsi" w:cstheme="minorHAnsi"/>
          <w:szCs w:val="24"/>
        </w:rPr>
        <w:t xml:space="preserve">the </w:t>
      </w:r>
      <w:r w:rsidRPr="00891E7C">
        <w:rPr>
          <w:rFonts w:asciiTheme="minorHAnsi" w:hAnsiTheme="minorHAnsi" w:cstheme="minorHAnsi"/>
          <w:szCs w:val="24"/>
        </w:rPr>
        <w:t>Legislative Instruments Act</w:t>
      </w:r>
      <w:r>
        <w:rPr>
          <w:rFonts w:asciiTheme="minorHAnsi" w:hAnsiTheme="minorHAnsi" w:cstheme="minorHAnsi"/>
          <w:szCs w:val="24"/>
        </w:rPr>
        <w:t>)</w:t>
      </w:r>
      <w:r w:rsidRPr="00891E7C">
        <w:rPr>
          <w:rFonts w:asciiTheme="minorHAnsi" w:hAnsiTheme="minorHAnsi" w:cstheme="minorHAnsi"/>
          <w:szCs w:val="24"/>
        </w:rPr>
        <w:t>.</w:t>
      </w:r>
    </w:p>
    <w:p w14:paraId="1DD41DE6" w14:textId="77777777" w:rsidR="00E636F4" w:rsidRPr="00891E7C" w:rsidRDefault="00E636F4" w:rsidP="00E636F4">
      <w:pPr>
        <w:pStyle w:val="Heading3"/>
      </w:pPr>
      <w:r w:rsidRPr="00891E7C">
        <w:t>1. Purpose</w:t>
      </w:r>
      <w:r>
        <w:t xml:space="preserve"> </w:t>
      </w:r>
    </w:p>
    <w:p w14:paraId="1DD41DE7" w14:textId="77777777" w:rsidR="00E636F4"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 xml:space="preserve">The purpose of the </w:t>
      </w:r>
      <w:r>
        <w:rPr>
          <w:rFonts w:asciiTheme="minorHAnsi" w:hAnsiTheme="minorHAnsi" w:cstheme="minorHAnsi"/>
          <w:szCs w:val="24"/>
        </w:rPr>
        <w:t>Revocation</w:t>
      </w:r>
      <w:r w:rsidRPr="00891E7C">
        <w:rPr>
          <w:rFonts w:asciiTheme="minorHAnsi" w:hAnsiTheme="minorHAnsi" w:cstheme="minorHAnsi"/>
          <w:szCs w:val="24"/>
        </w:rPr>
        <w:t xml:space="preserve"> is to revoke the</w:t>
      </w:r>
      <w:r>
        <w:rPr>
          <w:rFonts w:asciiTheme="minorHAnsi" w:hAnsiTheme="minorHAnsi" w:cstheme="minorHAnsi"/>
          <w:szCs w:val="24"/>
        </w:rPr>
        <w:t xml:space="preserve"> </w:t>
      </w:r>
      <w:r w:rsidRPr="00246E11">
        <w:rPr>
          <w:rFonts w:asciiTheme="minorHAnsi" w:hAnsiTheme="minorHAnsi" w:cstheme="minorHAnsi"/>
          <w:szCs w:val="24"/>
        </w:rPr>
        <w:t>Privacy Commissioner’s</w:t>
      </w:r>
      <w:r w:rsidRPr="00891E7C">
        <w:rPr>
          <w:rFonts w:asciiTheme="minorHAnsi" w:hAnsiTheme="minorHAnsi" w:cstheme="minorHAnsi"/>
          <w:szCs w:val="24"/>
        </w:rPr>
        <w:t xml:space="preserve"> approval of the</w:t>
      </w:r>
      <w:r>
        <w:rPr>
          <w:rFonts w:asciiTheme="minorHAnsi" w:hAnsiTheme="minorHAnsi" w:cstheme="minorHAnsi"/>
          <w:szCs w:val="24"/>
        </w:rPr>
        <w:t xml:space="preserve"> </w:t>
      </w:r>
      <w:r w:rsidRPr="004F568B">
        <w:rPr>
          <w:rFonts w:asciiTheme="minorHAnsi" w:hAnsiTheme="minorHAnsi" w:cstheme="minorHAnsi"/>
          <w:szCs w:val="24"/>
        </w:rPr>
        <w:t>Biometrics Institute Privacy Code</w:t>
      </w:r>
      <w:r w:rsidRPr="00891E7C">
        <w:rPr>
          <w:rFonts w:asciiTheme="minorHAnsi" w:hAnsiTheme="minorHAnsi" w:cstheme="minorHAnsi"/>
          <w:szCs w:val="24"/>
        </w:rPr>
        <w:t xml:space="preserve"> (the Code)</w:t>
      </w:r>
      <w:r w:rsidRPr="00D41C1F">
        <w:rPr>
          <w:rFonts w:asciiTheme="minorHAnsi" w:hAnsiTheme="minorHAnsi" w:cstheme="minorHAnsi"/>
          <w:szCs w:val="24"/>
        </w:rPr>
        <w:t xml:space="preserve"> </w:t>
      </w:r>
      <w:r w:rsidRPr="00891E7C">
        <w:rPr>
          <w:rFonts w:asciiTheme="minorHAnsi" w:hAnsiTheme="minorHAnsi" w:cstheme="minorHAnsi"/>
          <w:szCs w:val="24"/>
        </w:rPr>
        <w:t>under Part IIIAA of the Privacy Act.</w:t>
      </w:r>
      <w:r>
        <w:rPr>
          <w:rFonts w:asciiTheme="minorHAnsi" w:hAnsiTheme="minorHAnsi" w:cstheme="minorHAnsi"/>
          <w:szCs w:val="24"/>
        </w:rPr>
        <w:t xml:space="preserve"> </w:t>
      </w:r>
    </w:p>
    <w:p w14:paraId="1DD41DE8" w14:textId="77777777" w:rsidR="00E636F4" w:rsidRPr="00891E7C" w:rsidRDefault="00E636F4" w:rsidP="00E636F4">
      <w:pPr>
        <w:spacing w:before="120" w:after="120"/>
        <w:rPr>
          <w:rFonts w:asciiTheme="minorHAnsi" w:hAnsiTheme="minorHAnsi" w:cstheme="minorHAnsi"/>
          <w:szCs w:val="24"/>
        </w:rPr>
      </w:pPr>
      <w:r>
        <w:rPr>
          <w:rFonts w:asciiTheme="minorHAnsi" w:hAnsiTheme="minorHAnsi" w:cstheme="minorHAnsi"/>
          <w:szCs w:val="24"/>
        </w:rPr>
        <w:t xml:space="preserve">The Privacy Commissioner approved the Code on 19 July 2006. </w:t>
      </w:r>
    </w:p>
    <w:p w14:paraId="1DD41DE9" w14:textId="77777777" w:rsidR="00E636F4"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 xml:space="preserve">The Code commenced on </w:t>
      </w:r>
      <w:r>
        <w:rPr>
          <w:rFonts w:asciiTheme="minorHAnsi" w:hAnsiTheme="minorHAnsi" w:cstheme="minorHAnsi"/>
          <w:szCs w:val="24"/>
        </w:rPr>
        <w:t xml:space="preserve">1 September 2006. </w:t>
      </w:r>
    </w:p>
    <w:p w14:paraId="1DD41DEA" w14:textId="77777777" w:rsidR="00E636F4" w:rsidRDefault="00E636F4" w:rsidP="00E636F4">
      <w:pPr>
        <w:spacing w:before="120" w:after="120"/>
      </w:pPr>
      <w:r>
        <w:rPr>
          <w:rFonts w:asciiTheme="minorHAnsi" w:hAnsiTheme="minorHAnsi" w:cstheme="minorHAnsi"/>
          <w:szCs w:val="24"/>
        </w:rPr>
        <w:t xml:space="preserve">On 30 January 2012, the Biometrics Institute requested that the Privacy Commissioner </w:t>
      </w:r>
      <w:r>
        <w:t>exercise his power under s18BE of the Privacy Act to revoke the Code on his own initiative.</w:t>
      </w:r>
    </w:p>
    <w:p w14:paraId="1DD41DEB" w14:textId="77777777" w:rsidR="00E636F4" w:rsidRPr="00891E7C" w:rsidRDefault="00E636F4" w:rsidP="00E636F4">
      <w:pPr>
        <w:spacing w:before="120" w:after="120"/>
        <w:rPr>
          <w:rFonts w:asciiTheme="minorHAnsi" w:hAnsiTheme="minorHAnsi" w:cstheme="minorHAnsi"/>
          <w:szCs w:val="24"/>
        </w:rPr>
      </w:pPr>
      <w:r>
        <w:t>After conducting public consultation on that proposal, the Privacy Commissioner has decided to revoke the Code for the reasons set out in this statement.</w:t>
      </w:r>
    </w:p>
    <w:p w14:paraId="1DD41DEC" w14:textId="77777777" w:rsidR="00E636F4" w:rsidRPr="00891E7C" w:rsidRDefault="00E636F4" w:rsidP="00E636F4">
      <w:pPr>
        <w:pStyle w:val="Heading3"/>
      </w:pPr>
      <w:r w:rsidRPr="00891E7C">
        <w:t>2. Approved Privacy Codes</w:t>
      </w:r>
    </w:p>
    <w:p w14:paraId="1DD41DED"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 xml:space="preserve">The </w:t>
      </w:r>
      <w:r w:rsidRPr="00891E7C">
        <w:rPr>
          <w:rFonts w:asciiTheme="minorHAnsi" w:hAnsiTheme="minorHAnsi" w:cstheme="minorHAnsi"/>
          <w:i/>
          <w:iCs/>
          <w:szCs w:val="24"/>
        </w:rPr>
        <w:t xml:space="preserve">Privacy Amendment (Private Sector) Act 2000 </w:t>
      </w:r>
      <w:r w:rsidRPr="007E53B1">
        <w:rPr>
          <w:rFonts w:asciiTheme="minorHAnsi" w:hAnsiTheme="minorHAnsi" w:cstheme="minorHAnsi"/>
          <w:iCs/>
          <w:szCs w:val="24"/>
        </w:rPr>
        <w:t>(</w:t>
      </w:r>
      <w:proofErr w:type="spellStart"/>
      <w:r w:rsidRPr="007E53B1">
        <w:rPr>
          <w:rFonts w:asciiTheme="minorHAnsi" w:hAnsiTheme="minorHAnsi" w:cstheme="minorHAnsi"/>
          <w:iCs/>
          <w:szCs w:val="24"/>
        </w:rPr>
        <w:t>Cth</w:t>
      </w:r>
      <w:proofErr w:type="spellEnd"/>
      <w:r w:rsidRPr="007E53B1">
        <w:rPr>
          <w:rFonts w:asciiTheme="minorHAnsi" w:hAnsiTheme="minorHAnsi" w:cstheme="minorHAnsi"/>
          <w:iCs/>
          <w:szCs w:val="24"/>
        </w:rPr>
        <w:t>)</w:t>
      </w:r>
      <w:r w:rsidRPr="00891E7C">
        <w:rPr>
          <w:rFonts w:asciiTheme="minorHAnsi" w:hAnsiTheme="minorHAnsi" w:cstheme="minorHAnsi"/>
          <w:i/>
          <w:iCs/>
          <w:szCs w:val="24"/>
        </w:rPr>
        <w:t xml:space="preserve"> </w:t>
      </w:r>
      <w:r w:rsidRPr="00891E7C">
        <w:rPr>
          <w:rFonts w:asciiTheme="minorHAnsi" w:hAnsiTheme="minorHAnsi" w:cstheme="minorHAnsi"/>
          <w:szCs w:val="24"/>
        </w:rPr>
        <w:t>extended the</w:t>
      </w:r>
      <w:r>
        <w:rPr>
          <w:rFonts w:asciiTheme="minorHAnsi" w:hAnsiTheme="minorHAnsi" w:cstheme="minorHAnsi"/>
          <w:szCs w:val="24"/>
        </w:rPr>
        <w:t xml:space="preserve"> </w:t>
      </w:r>
      <w:r w:rsidRPr="00891E7C">
        <w:rPr>
          <w:rFonts w:asciiTheme="minorHAnsi" w:hAnsiTheme="minorHAnsi" w:cstheme="minorHAnsi"/>
          <w:szCs w:val="24"/>
        </w:rPr>
        <w:t>operation of the Privacy Act to cover much of the private sector. A feature of</w:t>
      </w:r>
      <w:r>
        <w:rPr>
          <w:rFonts w:asciiTheme="minorHAnsi" w:hAnsiTheme="minorHAnsi" w:cstheme="minorHAnsi"/>
          <w:szCs w:val="24"/>
        </w:rPr>
        <w:t xml:space="preserve"> </w:t>
      </w:r>
      <w:r w:rsidRPr="00891E7C">
        <w:rPr>
          <w:rFonts w:asciiTheme="minorHAnsi" w:hAnsiTheme="minorHAnsi" w:cstheme="minorHAnsi"/>
          <w:szCs w:val="24"/>
        </w:rPr>
        <w:t xml:space="preserve">the </w:t>
      </w:r>
      <w:r>
        <w:rPr>
          <w:rFonts w:asciiTheme="minorHAnsi" w:hAnsiTheme="minorHAnsi" w:cstheme="minorHAnsi"/>
          <w:szCs w:val="24"/>
        </w:rPr>
        <w:t xml:space="preserve">Privacy </w:t>
      </w:r>
      <w:r w:rsidRPr="00891E7C">
        <w:rPr>
          <w:rFonts w:asciiTheme="minorHAnsi" w:hAnsiTheme="minorHAnsi" w:cstheme="minorHAnsi"/>
          <w:szCs w:val="24"/>
        </w:rPr>
        <w:t>Act is the option for organisations to develop their own privacy codes</w:t>
      </w:r>
      <w:r>
        <w:rPr>
          <w:rFonts w:asciiTheme="minorHAnsi" w:hAnsiTheme="minorHAnsi" w:cstheme="minorHAnsi"/>
          <w:szCs w:val="24"/>
        </w:rPr>
        <w:t xml:space="preserve"> </w:t>
      </w:r>
      <w:r w:rsidRPr="00891E7C">
        <w:rPr>
          <w:rFonts w:asciiTheme="minorHAnsi" w:hAnsiTheme="minorHAnsi" w:cstheme="minorHAnsi"/>
          <w:szCs w:val="24"/>
        </w:rPr>
        <w:t xml:space="preserve">which, when approved, </w:t>
      </w:r>
      <w:r>
        <w:rPr>
          <w:rFonts w:asciiTheme="minorHAnsi" w:hAnsiTheme="minorHAnsi" w:cstheme="minorHAnsi"/>
          <w:szCs w:val="24"/>
        </w:rPr>
        <w:t xml:space="preserve">impose obligations that </w:t>
      </w:r>
      <w:r w:rsidRPr="00891E7C">
        <w:rPr>
          <w:rFonts w:asciiTheme="minorHAnsi" w:hAnsiTheme="minorHAnsi" w:cstheme="minorHAnsi"/>
          <w:szCs w:val="24"/>
        </w:rPr>
        <w:t xml:space="preserve">replace </w:t>
      </w:r>
      <w:r>
        <w:rPr>
          <w:rFonts w:asciiTheme="minorHAnsi" w:hAnsiTheme="minorHAnsi" w:cstheme="minorHAnsi"/>
          <w:szCs w:val="24"/>
        </w:rPr>
        <w:t>the obligations arising under</w:t>
      </w:r>
      <w:r w:rsidRPr="00891E7C">
        <w:rPr>
          <w:rFonts w:asciiTheme="minorHAnsi" w:hAnsiTheme="minorHAnsi" w:cstheme="minorHAnsi"/>
          <w:szCs w:val="24"/>
        </w:rPr>
        <w:t xml:space="preserve"> the National Privacy</w:t>
      </w:r>
      <w:r>
        <w:rPr>
          <w:rFonts w:asciiTheme="minorHAnsi" w:hAnsiTheme="minorHAnsi" w:cstheme="minorHAnsi"/>
          <w:szCs w:val="24"/>
        </w:rPr>
        <w:t xml:space="preserve"> </w:t>
      </w:r>
      <w:r w:rsidRPr="00891E7C">
        <w:rPr>
          <w:rFonts w:asciiTheme="minorHAnsi" w:hAnsiTheme="minorHAnsi" w:cstheme="minorHAnsi"/>
          <w:szCs w:val="24"/>
        </w:rPr>
        <w:t>Principles (NPPs)</w:t>
      </w:r>
      <w:r>
        <w:rPr>
          <w:rFonts w:asciiTheme="minorHAnsi" w:hAnsiTheme="minorHAnsi" w:cstheme="minorHAnsi"/>
          <w:szCs w:val="24"/>
        </w:rPr>
        <w:t xml:space="preserve"> for those organisations bound by the code</w:t>
      </w:r>
      <w:r w:rsidRPr="00891E7C">
        <w:rPr>
          <w:rFonts w:asciiTheme="minorHAnsi" w:hAnsiTheme="minorHAnsi" w:cstheme="minorHAnsi"/>
          <w:szCs w:val="24"/>
        </w:rPr>
        <w:t>.</w:t>
      </w:r>
    </w:p>
    <w:p w14:paraId="1DD41DEE"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The co-regulatory approach adopted in the Act was developed on the basis</w:t>
      </w:r>
      <w:r>
        <w:rPr>
          <w:rFonts w:asciiTheme="minorHAnsi" w:hAnsiTheme="minorHAnsi" w:cstheme="minorHAnsi"/>
          <w:szCs w:val="24"/>
        </w:rPr>
        <w:t xml:space="preserve"> </w:t>
      </w:r>
      <w:r w:rsidRPr="00891E7C">
        <w:rPr>
          <w:rFonts w:asciiTheme="minorHAnsi" w:hAnsiTheme="minorHAnsi" w:cstheme="minorHAnsi"/>
          <w:szCs w:val="24"/>
        </w:rPr>
        <w:t>that the privacy concerns of consumers can best be addressed if</w:t>
      </w:r>
      <w:r>
        <w:rPr>
          <w:rFonts w:asciiTheme="minorHAnsi" w:hAnsiTheme="minorHAnsi" w:cstheme="minorHAnsi"/>
          <w:szCs w:val="24"/>
        </w:rPr>
        <w:t xml:space="preserve"> </w:t>
      </w:r>
      <w:r w:rsidRPr="00891E7C">
        <w:rPr>
          <w:rFonts w:asciiTheme="minorHAnsi" w:hAnsiTheme="minorHAnsi" w:cstheme="minorHAnsi"/>
          <w:szCs w:val="24"/>
        </w:rPr>
        <w:t xml:space="preserve">organisations are allowed </w:t>
      </w:r>
      <w:r>
        <w:rPr>
          <w:rFonts w:asciiTheme="minorHAnsi" w:hAnsiTheme="minorHAnsi" w:cstheme="minorHAnsi"/>
          <w:szCs w:val="24"/>
        </w:rPr>
        <w:t>flexibility</w:t>
      </w:r>
      <w:r w:rsidRPr="00891E7C">
        <w:rPr>
          <w:rFonts w:asciiTheme="minorHAnsi" w:hAnsiTheme="minorHAnsi" w:cstheme="minorHAnsi"/>
          <w:szCs w:val="24"/>
        </w:rPr>
        <w:t xml:space="preserve"> to develop an appropriate privacy standard</w:t>
      </w:r>
      <w:r>
        <w:rPr>
          <w:rFonts w:asciiTheme="minorHAnsi" w:hAnsiTheme="minorHAnsi" w:cstheme="minorHAnsi"/>
          <w:szCs w:val="24"/>
        </w:rPr>
        <w:t xml:space="preserve"> </w:t>
      </w:r>
      <w:r w:rsidRPr="00891E7C">
        <w:rPr>
          <w:rFonts w:asciiTheme="minorHAnsi" w:hAnsiTheme="minorHAnsi" w:cstheme="minorHAnsi"/>
          <w:szCs w:val="24"/>
        </w:rPr>
        <w:t>with their customers. This approach ensures that an effective and</w:t>
      </w:r>
      <w:r>
        <w:rPr>
          <w:rFonts w:asciiTheme="minorHAnsi" w:hAnsiTheme="minorHAnsi" w:cstheme="minorHAnsi"/>
          <w:szCs w:val="24"/>
        </w:rPr>
        <w:t xml:space="preserve"> </w:t>
      </w:r>
      <w:r w:rsidRPr="00891E7C">
        <w:rPr>
          <w:rFonts w:asciiTheme="minorHAnsi" w:hAnsiTheme="minorHAnsi" w:cstheme="minorHAnsi"/>
          <w:szCs w:val="24"/>
        </w:rPr>
        <w:t>comprehensive data protection framework is provided for the private sector in</w:t>
      </w:r>
      <w:r>
        <w:rPr>
          <w:rFonts w:asciiTheme="minorHAnsi" w:hAnsiTheme="minorHAnsi" w:cstheme="minorHAnsi"/>
          <w:szCs w:val="24"/>
        </w:rPr>
        <w:t xml:space="preserve"> </w:t>
      </w:r>
      <w:r w:rsidRPr="00891E7C">
        <w:rPr>
          <w:rFonts w:asciiTheme="minorHAnsi" w:hAnsiTheme="minorHAnsi" w:cstheme="minorHAnsi"/>
          <w:szCs w:val="24"/>
        </w:rPr>
        <w:t>Australia while still allowing some flexibility in its application.</w:t>
      </w:r>
    </w:p>
    <w:p w14:paraId="1DD41DEF"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 xml:space="preserve">The privacy rights of an individual cannot be lessened by the </w:t>
      </w:r>
      <w:r>
        <w:rPr>
          <w:rFonts w:asciiTheme="minorHAnsi" w:hAnsiTheme="minorHAnsi" w:cstheme="minorHAnsi"/>
          <w:szCs w:val="24"/>
        </w:rPr>
        <w:t>application</w:t>
      </w:r>
      <w:r w:rsidRPr="00891E7C">
        <w:rPr>
          <w:rFonts w:asciiTheme="minorHAnsi" w:hAnsiTheme="minorHAnsi" w:cstheme="minorHAnsi"/>
          <w:szCs w:val="24"/>
        </w:rPr>
        <w:t xml:space="preserve"> of a </w:t>
      </w:r>
      <w:r>
        <w:rPr>
          <w:rFonts w:asciiTheme="minorHAnsi" w:hAnsiTheme="minorHAnsi" w:cstheme="minorHAnsi"/>
          <w:szCs w:val="24"/>
        </w:rPr>
        <w:t xml:space="preserve">privacy </w:t>
      </w:r>
      <w:r w:rsidRPr="00891E7C">
        <w:rPr>
          <w:rFonts w:asciiTheme="minorHAnsi" w:hAnsiTheme="minorHAnsi" w:cstheme="minorHAnsi"/>
          <w:szCs w:val="24"/>
        </w:rPr>
        <w:t>code.</w:t>
      </w:r>
    </w:p>
    <w:p w14:paraId="1DD41DF0"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 xml:space="preserve">For instance, the </w:t>
      </w:r>
      <w:r>
        <w:rPr>
          <w:rFonts w:asciiTheme="minorHAnsi" w:hAnsiTheme="minorHAnsi" w:cstheme="minorHAnsi"/>
          <w:szCs w:val="24"/>
        </w:rPr>
        <w:t xml:space="preserve">Privacy </w:t>
      </w:r>
      <w:r w:rsidRPr="00891E7C">
        <w:rPr>
          <w:rFonts w:asciiTheme="minorHAnsi" w:hAnsiTheme="minorHAnsi" w:cstheme="minorHAnsi"/>
          <w:szCs w:val="24"/>
        </w:rPr>
        <w:t>Commissioner must approve each privacy code in</w:t>
      </w:r>
      <w:r>
        <w:rPr>
          <w:rFonts w:asciiTheme="minorHAnsi" w:hAnsiTheme="minorHAnsi" w:cstheme="minorHAnsi"/>
          <w:szCs w:val="24"/>
        </w:rPr>
        <w:t xml:space="preserve"> </w:t>
      </w:r>
      <w:r w:rsidRPr="00891E7C">
        <w:rPr>
          <w:rFonts w:asciiTheme="minorHAnsi" w:hAnsiTheme="minorHAnsi" w:cstheme="minorHAnsi"/>
          <w:szCs w:val="24"/>
        </w:rPr>
        <w:t xml:space="preserve">accordance with the Act, </w:t>
      </w:r>
      <w:r>
        <w:rPr>
          <w:rFonts w:asciiTheme="minorHAnsi" w:hAnsiTheme="minorHAnsi" w:cstheme="minorHAnsi"/>
          <w:szCs w:val="24"/>
        </w:rPr>
        <w:t xml:space="preserve">and </w:t>
      </w:r>
      <w:r w:rsidRPr="00891E7C">
        <w:rPr>
          <w:rFonts w:asciiTheme="minorHAnsi" w:hAnsiTheme="minorHAnsi" w:cstheme="minorHAnsi"/>
          <w:szCs w:val="24"/>
        </w:rPr>
        <w:t>the prescribed standards and guidelines issued by</w:t>
      </w:r>
      <w:r>
        <w:rPr>
          <w:rFonts w:asciiTheme="minorHAnsi" w:hAnsiTheme="minorHAnsi" w:cstheme="minorHAnsi"/>
          <w:szCs w:val="24"/>
        </w:rPr>
        <w:t xml:space="preserve"> </w:t>
      </w:r>
      <w:r w:rsidRPr="00891E7C">
        <w:rPr>
          <w:rFonts w:asciiTheme="minorHAnsi" w:hAnsiTheme="minorHAnsi" w:cstheme="minorHAnsi"/>
          <w:szCs w:val="24"/>
        </w:rPr>
        <w:t xml:space="preserve">the </w:t>
      </w:r>
      <w:r>
        <w:rPr>
          <w:rFonts w:asciiTheme="minorHAnsi" w:hAnsiTheme="minorHAnsi" w:cstheme="minorHAnsi"/>
          <w:szCs w:val="24"/>
        </w:rPr>
        <w:t xml:space="preserve">Privacy </w:t>
      </w:r>
      <w:r w:rsidRPr="00891E7C">
        <w:rPr>
          <w:rFonts w:asciiTheme="minorHAnsi" w:hAnsiTheme="minorHAnsi" w:cstheme="minorHAnsi"/>
          <w:szCs w:val="24"/>
        </w:rPr>
        <w:t>Commissioner. When deciding whether or not to approve a code, the</w:t>
      </w:r>
      <w:r>
        <w:rPr>
          <w:rFonts w:asciiTheme="minorHAnsi" w:hAnsiTheme="minorHAnsi" w:cstheme="minorHAnsi"/>
          <w:szCs w:val="24"/>
        </w:rPr>
        <w:t xml:space="preserve"> Privacy </w:t>
      </w:r>
      <w:r w:rsidRPr="00891E7C">
        <w:rPr>
          <w:rFonts w:asciiTheme="minorHAnsi" w:hAnsiTheme="minorHAnsi" w:cstheme="minorHAnsi"/>
          <w:szCs w:val="24"/>
        </w:rPr>
        <w:t>Commissioner must consider whether the code incorporates all the NPPs or</w:t>
      </w:r>
      <w:r>
        <w:rPr>
          <w:rFonts w:asciiTheme="minorHAnsi" w:hAnsiTheme="minorHAnsi" w:cstheme="minorHAnsi"/>
          <w:szCs w:val="24"/>
        </w:rPr>
        <w:t xml:space="preserve"> </w:t>
      </w:r>
      <w:r w:rsidRPr="00891E7C">
        <w:rPr>
          <w:rFonts w:asciiTheme="minorHAnsi" w:hAnsiTheme="minorHAnsi" w:cstheme="minorHAnsi"/>
          <w:szCs w:val="24"/>
        </w:rPr>
        <w:t>sets out obligations that</w:t>
      </w:r>
      <w:r>
        <w:rPr>
          <w:rFonts w:asciiTheme="minorHAnsi" w:hAnsiTheme="minorHAnsi" w:cstheme="minorHAnsi"/>
          <w:szCs w:val="24"/>
        </w:rPr>
        <w:t xml:space="preserve"> are</w:t>
      </w:r>
      <w:r w:rsidRPr="00891E7C">
        <w:rPr>
          <w:rFonts w:asciiTheme="minorHAnsi" w:hAnsiTheme="minorHAnsi" w:cstheme="minorHAnsi"/>
          <w:szCs w:val="24"/>
        </w:rPr>
        <w:t>, overall, at least the equivalent of all the</w:t>
      </w:r>
      <w:r>
        <w:rPr>
          <w:rFonts w:asciiTheme="minorHAnsi" w:hAnsiTheme="minorHAnsi" w:cstheme="minorHAnsi"/>
          <w:szCs w:val="24"/>
        </w:rPr>
        <w:t xml:space="preserve"> </w:t>
      </w:r>
      <w:r w:rsidRPr="00891E7C">
        <w:rPr>
          <w:rFonts w:asciiTheme="minorHAnsi" w:hAnsiTheme="minorHAnsi" w:cstheme="minorHAnsi"/>
          <w:szCs w:val="24"/>
        </w:rPr>
        <w:t>obligations set out in the NPPs.</w:t>
      </w:r>
    </w:p>
    <w:p w14:paraId="1DD41DF1" w14:textId="77777777" w:rsidR="00E636F4"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 xml:space="preserve">Where an organisation consents to be bound by an approved </w:t>
      </w:r>
      <w:r>
        <w:rPr>
          <w:rFonts w:asciiTheme="minorHAnsi" w:hAnsiTheme="minorHAnsi" w:cstheme="minorHAnsi"/>
          <w:szCs w:val="24"/>
        </w:rPr>
        <w:t xml:space="preserve">privacy </w:t>
      </w:r>
      <w:r w:rsidRPr="00891E7C">
        <w:rPr>
          <w:rFonts w:asciiTheme="minorHAnsi" w:hAnsiTheme="minorHAnsi" w:cstheme="minorHAnsi"/>
          <w:szCs w:val="24"/>
        </w:rPr>
        <w:t>code, the code</w:t>
      </w:r>
      <w:r>
        <w:rPr>
          <w:rFonts w:asciiTheme="minorHAnsi" w:hAnsiTheme="minorHAnsi" w:cstheme="minorHAnsi"/>
          <w:szCs w:val="24"/>
        </w:rPr>
        <w:t xml:space="preserve"> </w:t>
      </w:r>
      <w:r w:rsidRPr="00891E7C">
        <w:rPr>
          <w:rFonts w:asciiTheme="minorHAnsi" w:hAnsiTheme="minorHAnsi" w:cstheme="minorHAnsi"/>
          <w:szCs w:val="24"/>
        </w:rPr>
        <w:t>operates in place of the NPPs until the organisation ceases to be bound by</w:t>
      </w:r>
      <w:r>
        <w:rPr>
          <w:rFonts w:asciiTheme="minorHAnsi" w:hAnsiTheme="minorHAnsi" w:cstheme="minorHAnsi"/>
          <w:szCs w:val="24"/>
        </w:rPr>
        <w:t xml:space="preserve"> </w:t>
      </w:r>
      <w:r w:rsidRPr="00891E7C">
        <w:rPr>
          <w:rFonts w:asciiTheme="minorHAnsi" w:hAnsiTheme="minorHAnsi" w:cstheme="minorHAnsi"/>
          <w:szCs w:val="24"/>
        </w:rPr>
        <w:t>the code. Where an organisation chooses not to adopt an approved code it</w:t>
      </w:r>
      <w:r>
        <w:rPr>
          <w:rFonts w:asciiTheme="minorHAnsi" w:hAnsiTheme="minorHAnsi" w:cstheme="minorHAnsi"/>
          <w:szCs w:val="24"/>
        </w:rPr>
        <w:t xml:space="preserve"> </w:t>
      </w:r>
      <w:r w:rsidRPr="00891E7C">
        <w:rPr>
          <w:rFonts w:asciiTheme="minorHAnsi" w:hAnsiTheme="minorHAnsi" w:cstheme="minorHAnsi"/>
          <w:szCs w:val="24"/>
        </w:rPr>
        <w:t>will be bound by the NPPs.</w:t>
      </w:r>
    </w:p>
    <w:p w14:paraId="1DD41DF2" w14:textId="77777777" w:rsidR="00E636F4" w:rsidRPr="00891E7C" w:rsidRDefault="00E636F4" w:rsidP="00E636F4">
      <w:pPr>
        <w:spacing w:before="120" w:after="120"/>
        <w:rPr>
          <w:rFonts w:asciiTheme="minorHAnsi" w:hAnsiTheme="minorHAnsi" w:cstheme="minorHAnsi"/>
          <w:szCs w:val="24"/>
        </w:rPr>
      </w:pPr>
      <w:r>
        <w:rPr>
          <w:rFonts w:asciiTheme="minorHAnsi" w:hAnsiTheme="minorHAnsi" w:cstheme="minorHAnsi"/>
          <w:szCs w:val="24"/>
        </w:rPr>
        <w:t xml:space="preserve">Where the approval of a code is revoked, organisations that were bound by the code prior to the revocation will again be bound by the NPPs. </w:t>
      </w:r>
    </w:p>
    <w:p w14:paraId="1DD41DF3" w14:textId="77777777" w:rsidR="00E636F4" w:rsidRPr="00891E7C" w:rsidRDefault="00E636F4" w:rsidP="00E636F4">
      <w:pPr>
        <w:spacing w:before="120" w:after="120"/>
        <w:rPr>
          <w:rFonts w:asciiTheme="minorHAnsi" w:hAnsiTheme="minorHAnsi" w:cstheme="minorHAnsi"/>
          <w:b/>
          <w:bCs/>
          <w:szCs w:val="24"/>
        </w:rPr>
      </w:pPr>
      <w:r w:rsidRPr="00891E7C">
        <w:rPr>
          <w:rFonts w:asciiTheme="minorHAnsi" w:hAnsiTheme="minorHAnsi" w:cstheme="minorHAnsi"/>
          <w:b/>
          <w:bCs/>
          <w:szCs w:val="24"/>
        </w:rPr>
        <w:lastRenderedPageBreak/>
        <w:t>3. Authority for Revoking Approved Privacy Codes</w:t>
      </w:r>
    </w:p>
    <w:p w14:paraId="1DD41DF4"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The</w:t>
      </w:r>
      <w:r>
        <w:rPr>
          <w:rFonts w:asciiTheme="minorHAnsi" w:hAnsiTheme="minorHAnsi" w:cstheme="minorHAnsi"/>
          <w:szCs w:val="24"/>
        </w:rPr>
        <w:t xml:space="preserve"> </w:t>
      </w:r>
      <w:r w:rsidRPr="00891E7C">
        <w:rPr>
          <w:rFonts w:asciiTheme="minorHAnsi" w:hAnsiTheme="minorHAnsi" w:cstheme="minorHAnsi"/>
          <w:szCs w:val="24"/>
        </w:rPr>
        <w:t>revocation</w:t>
      </w:r>
      <w:r>
        <w:rPr>
          <w:rFonts w:asciiTheme="minorHAnsi" w:hAnsiTheme="minorHAnsi" w:cstheme="minorHAnsi"/>
          <w:szCs w:val="24"/>
        </w:rPr>
        <w:t xml:space="preserve"> by the Privacy Commissioner</w:t>
      </w:r>
      <w:r w:rsidRPr="00891E7C">
        <w:rPr>
          <w:rFonts w:asciiTheme="minorHAnsi" w:hAnsiTheme="minorHAnsi" w:cstheme="minorHAnsi"/>
          <w:szCs w:val="24"/>
        </w:rPr>
        <w:t xml:space="preserve"> of the approval of an approved privacy code is governed by s18BE of the Privacy Act, which </w:t>
      </w:r>
      <w:r>
        <w:rPr>
          <w:rFonts w:asciiTheme="minorHAnsi" w:hAnsiTheme="minorHAnsi" w:cstheme="minorHAnsi"/>
          <w:szCs w:val="24"/>
        </w:rPr>
        <w:t>provides</w:t>
      </w:r>
      <w:r w:rsidRPr="00891E7C">
        <w:rPr>
          <w:rFonts w:asciiTheme="minorHAnsi" w:hAnsiTheme="minorHAnsi" w:cstheme="minorHAnsi"/>
          <w:szCs w:val="24"/>
        </w:rPr>
        <w:t>:</w:t>
      </w:r>
      <w:r>
        <w:rPr>
          <w:rFonts w:asciiTheme="minorHAnsi" w:hAnsiTheme="minorHAnsi" w:cstheme="minorHAnsi"/>
          <w:szCs w:val="24"/>
        </w:rPr>
        <w:t xml:space="preserve"> </w:t>
      </w:r>
    </w:p>
    <w:p w14:paraId="1DD41DF5" w14:textId="77777777" w:rsidR="00E636F4" w:rsidRPr="00955D3E" w:rsidRDefault="00E636F4" w:rsidP="00E636F4">
      <w:pPr>
        <w:spacing w:before="120" w:after="120"/>
        <w:ind w:left="720"/>
        <w:rPr>
          <w:rFonts w:asciiTheme="minorHAnsi" w:hAnsiTheme="minorHAnsi" w:cstheme="minorHAnsi"/>
          <w:i/>
          <w:szCs w:val="24"/>
        </w:rPr>
      </w:pPr>
      <w:r w:rsidRPr="00955D3E">
        <w:rPr>
          <w:rFonts w:asciiTheme="minorHAnsi" w:hAnsiTheme="minorHAnsi" w:cstheme="minorHAnsi"/>
          <w:b/>
          <w:bCs/>
          <w:i/>
          <w:szCs w:val="24"/>
        </w:rPr>
        <w:t>Revoking the approval of an approved privacy code</w:t>
      </w:r>
      <w:r w:rsidRPr="00955D3E">
        <w:rPr>
          <w:rFonts w:asciiTheme="minorHAnsi" w:hAnsiTheme="minorHAnsi" w:cstheme="minorHAnsi"/>
          <w:i/>
          <w:szCs w:val="24"/>
        </w:rPr>
        <w:t xml:space="preserve"> </w:t>
      </w:r>
    </w:p>
    <w:p w14:paraId="1DD41DF6" w14:textId="77777777" w:rsidR="00E636F4" w:rsidRPr="00955D3E" w:rsidRDefault="00E636F4" w:rsidP="00E636F4">
      <w:pPr>
        <w:spacing w:before="120" w:after="120"/>
        <w:ind w:left="720"/>
        <w:rPr>
          <w:rFonts w:asciiTheme="minorHAnsi" w:hAnsiTheme="minorHAnsi" w:cstheme="minorHAnsi"/>
          <w:i/>
          <w:szCs w:val="24"/>
        </w:rPr>
      </w:pPr>
      <w:r w:rsidRPr="00955D3E">
        <w:rPr>
          <w:rFonts w:asciiTheme="minorHAnsi" w:hAnsiTheme="minorHAnsi" w:cstheme="minorHAnsi"/>
          <w:i/>
          <w:szCs w:val="24"/>
        </w:rPr>
        <w:t xml:space="preserve">(1) The Commissioner may revoke his or her approval of an approved privacy code or a variation of an approved privacy code: </w:t>
      </w:r>
    </w:p>
    <w:p w14:paraId="1DD41DF7" w14:textId="77777777" w:rsidR="00E636F4" w:rsidRPr="00955D3E" w:rsidRDefault="00E636F4" w:rsidP="00E636F4">
      <w:pPr>
        <w:spacing w:before="120" w:after="120"/>
        <w:ind w:left="1440"/>
        <w:rPr>
          <w:rFonts w:asciiTheme="minorHAnsi" w:hAnsiTheme="minorHAnsi" w:cstheme="minorHAnsi"/>
          <w:i/>
          <w:szCs w:val="24"/>
        </w:rPr>
      </w:pPr>
      <w:r w:rsidRPr="00955D3E">
        <w:rPr>
          <w:rFonts w:asciiTheme="minorHAnsi" w:hAnsiTheme="minorHAnsi" w:cstheme="minorHAnsi"/>
          <w:i/>
          <w:szCs w:val="24"/>
        </w:rPr>
        <w:t xml:space="preserve">(a) </w:t>
      </w:r>
      <w:proofErr w:type="gramStart"/>
      <w:r w:rsidRPr="00955D3E">
        <w:rPr>
          <w:rFonts w:asciiTheme="minorHAnsi" w:hAnsiTheme="minorHAnsi" w:cstheme="minorHAnsi"/>
          <w:i/>
          <w:szCs w:val="24"/>
        </w:rPr>
        <w:t>on</w:t>
      </w:r>
      <w:proofErr w:type="gramEnd"/>
      <w:r w:rsidRPr="00955D3E">
        <w:rPr>
          <w:rFonts w:asciiTheme="minorHAnsi" w:hAnsiTheme="minorHAnsi" w:cstheme="minorHAnsi"/>
          <w:i/>
          <w:szCs w:val="24"/>
        </w:rPr>
        <w:t xml:space="preserve"> his or her own initiative; or </w:t>
      </w:r>
    </w:p>
    <w:p w14:paraId="1DD41DF8" w14:textId="77777777" w:rsidR="00E636F4" w:rsidRPr="00955D3E" w:rsidRDefault="00E636F4" w:rsidP="00E636F4">
      <w:pPr>
        <w:spacing w:before="120" w:after="120"/>
        <w:ind w:left="1440"/>
        <w:rPr>
          <w:rFonts w:asciiTheme="minorHAnsi" w:hAnsiTheme="minorHAnsi" w:cstheme="minorHAnsi"/>
          <w:i/>
          <w:szCs w:val="24"/>
        </w:rPr>
      </w:pPr>
      <w:r w:rsidRPr="00955D3E">
        <w:rPr>
          <w:rFonts w:asciiTheme="minorHAnsi" w:hAnsiTheme="minorHAnsi" w:cstheme="minorHAnsi"/>
          <w:i/>
          <w:szCs w:val="24"/>
        </w:rPr>
        <w:t xml:space="preserve">(b) </w:t>
      </w:r>
      <w:proofErr w:type="gramStart"/>
      <w:r w:rsidRPr="00955D3E">
        <w:rPr>
          <w:rFonts w:asciiTheme="minorHAnsi" w:hAnsiTheme="minorHAnsi" w:cstheme="minorHAnsi"/>
          <w:i/>
          <w:szCs w:val="24"/>
        </w:rPr>
        <w:t>on</w:t>
      </w:r>
      <w:proofErr w:type="gramEnd"/>
      <w:r w:rsidRPr="00955D3E">
        <w:rPr>
          <w:rFonts w:asciiTheme="minorHAnsi" w:hAnsiTheme="minorHAnsi" w:cstheme="minorHAnsi"/>
          <w:i/>
          <w:szCs w:val="24"/>
        </w:rPr>
        <w:t xml:space="preserve"> application by an organisation that is bound by the code. </w:t>
      </w:r>
    </w:p>
    <w:p w14:paraId="1DD41DF9" w14:textId="77777777" w:rsidR="00E636F4" w:rsidRPr="00955D3E" w:rsidRDefault="00E636F4" w:rsidP="00E636F4">
      <w:pPr>
        <w:spacing w:before="120" w:after="120"/>
        <w:ind w:left="720"/>
        <w:rPr>
          <w:rFonts w:asciiTheme="minorHAnsi" w:hAnsiTheme="minorHAnsi" w:cstheme="minorHAnsi"/>
          <w:i/>
          <w:szCs w:val="24"/>
        </w:rPr>
      </w:pPr>
      <w:r w:rsidRPr="00955D3E">
        <w:rPr>
          <w:rFonts w:asciiTheme="minorHAnsi" w:hAnsiTheme="minorHAnsi" w:cstheme="minorHAnsi"/>
          <w:i/>
          <w:szCs w:val="24"/>
        </w:rPr>
        <w:t xml:space="preserve">(2) Before deciding whether to revoke the approval of a code or variation, the Commissioner must: </w:t>
      </w:r>
    </w:p>
    <w:p w14:paraId="1DD41DFA" w14:textId="77777777" w:rsidR="00E636F4" w:rsidRPr="00955D3E" w:rsidRDefault="00E636F4" w:rsidP="00E636F4">
      <w:pPr>
        <w:spacing w:before="120" w:after="120"/>
        <w:ind w:left="1440"/>
        <w:rPr>
          <w:rFonts w:asciiTheme="minorHAnsi" w:hAnsiTheme="minorHAnsi" w:cstheme="minorHAnsi"/>
          <w:i/>
          <w:szCs w:val="24"/>
        </w:rPr>
      </w:pPr>
      <w:r w:rsidRPr="00955D3E">
        <w:rPr>
          <w:rFonts w:asciiTheme="minorHAnsi" w:hAnsiTheme="minorHAnsi" w:cstheme="minorHAnsi"/>
          <w:i/>
          <w:szCs w:val="24"/>
        </w:rPr>
        <w:t xml:space="preserve">(a) </w:t>
      </w:r>
      <w:proofErr w:type="gramStart"/>
      <w:r w:rsidRPr="00955D3E">
        <w:rPr>
          <w:rFonts w:asciiTheme="minorHAnsi" w:hAnsiTheme="minorHAnsi" w:cstheme="minorHAnsi"/>
          <w:i/>
          <w:szCs w:val="24"/>
        </w:rPr>
        <w:t>if</w:t>
      </w:r>
      <w:proofErr w:type="gramEnd"/>
      <w:r w:rsidRPr="00955D3E">
        <w:rPr>
          <w:rFonts w:asciiTheme="minorHAnsi" w:hAnsiTheme="minorHAnsi" w:cstheme="minorHAnsi"/>
          <w:i/>
          <w:szCs w:val="24"/>
        </w:rPr>
        <w:t xml:space="preserve"> practicable, consult the organisation that originally sought approval of the code or variation; and </w:t>
      </w:r>
    </w:p>
    <w:p w14:paraId="1DD41DFB" w14:textId="77777777" w:rsidR="00E636F4" w:rsidRPr="00955D3E" w:rsidRDefault="00E636F4" w:rsidP="00E636F4">
      <w:pPr>
        <w:spacing w:before="120" w:after="120"/>
        <w:ind w:left="1440"/>
        <w:rPr>
          <w:rFonts w:asciiTheme="minorHAnsi" w:hAnsiTheme="minorHAnsi" w:cstheme="minorHAnsi"/>
          <w:i/>
          <w:szCs w:val="24"/>
        </w:rPr>
      </w:pPr>
      <w:r w:rsidRPr="00955D3E">
        <w:rPr>
          <w:rFonts w:asciiTheme="minorHAnsi" w:hAnsiTheme="minorHAnsi" w:cstheme="minorHAnsi"/>
          <w:i/>
          <w:szCs w:val="24"/>
        </w:rPr>
        <w:t xml:space="preserve">(b) </w:t>
      </w:r>
      <w:proofErr w:type="gramStart"/>
      <w:r w:rsidRPr="00955D3E">
        <w:rPr>
          <w:rFonts w:asciiTheme="minorHAnsi" w:hAnsiTheme="minorHAnsi" w:cstheme="minorHAnsi"/>
          <w:i/>
          <w:szCs w:val="24"/>
        </w:rPr>
        <w:t>consult</w:t>
      </w:r>
      <w:proofErr w:type="gramEnd"/>
      <w:r w:rsidRPr="00955D3E">
        <w:rPr>
          <w:rFonts w:asciiTheme="minorHAnsi" w:hAnsiTheme="minorHAnsi" w:cstheme="minorHAnsi"/>
          <w:i/>
          <w:szCs w:val="24"/>
        </w:rPr>
        <w:t xml:space="preserve"> any other person the Commissioner considers appropriate; and </w:t>
      </w:r>
    </w:p>
    <w:p w14:paraId="1DD41DFC" w14:textId="77777777" w:rsidR="00E636F4" w:rsidRPr="00955D3E" w:rsidRDefault="00E636F4" w:rsidP="00E636F4">
      <w:pPr>
        <w:spacing w:before="120" w:after="120"/>
        <w:ind w:left="1440"/>
        <w:rPr>
          <w:rFonts w:asciiTheme="minorHAnsi" w:hAnsiTheme="minorHAnsi" w:cstheme="minorHAnsi"/>
          <w:i/>
          <w:szCs w:val="24"/>
        </w:rPr>
      </w:pPr>
      <w:r w:rsidRPr="00955D3E">
        <w:rPr>
          <w:rFonts w:asciiTheme="minorHAnsi" w:hAnsiTheme="minorHAnsi" w:cstheme="minorHAnsi"/>
          <w:i/>
          <w:szCs w:val="24"/>
        </w:rPr>
        <w:t xml:space="preserve">(c) </w:t>
      </w:r>
      <w:proofErr w:type="gramStart"/>
      <w:r w:rsidRPr="00955D3E">
        <w:rPr>
          <w:rFonts w:asciiTheme="minorHAnsi" w:hAnsiTheme="minorHAnsi" w:cstheme="minorHAnsi"/>
          <w:i/>
          <w:szCs w:val="24"/>
        </w:rPr>
        <w:t>consider</w:t>
      </w:r>
      <w:proofErr w:type="gramEnd"/>
      <w:r w:rsidRPr="00955D3E">
        <w:rPr>
          <w:rFonts w:asciiTheme="minorHAnsi" w:hAnsiTheme="minorHAnsi" w:cstheme="minorHAnsi"/>
          <w:i/>
          <w:szCs w:val="24"/>
        </w:rPr>
        <w:t xml:space="preserve"> the extent to which members of the public have been given an opportunity to comment on the proposed revocation. </w:t>
      </w:r>
    </w:p>
    <w:p w14:paraId="1DD41DFD" w14:textId="77777777" w:rsidR="00E636F4" w:rsidRPr="00955D3E" w:rsidRDefault="00E636F4" w:rsidP="00E636F4">
      <w:pPr>
        <w:spacing w:before="120" w:after="120"/>
        <w:ind w:left="720"/>
        <w:rPr>
          <w:rFonts w:asciiTheme="minorHAnsi" w:hAnsiTheme="minorHAnsi" w:cstheme="minorHAnsi"/>
          <w:i/>
          <w:szCs w:val="24"/>
        </w:rPr>
      </w:pPr>
      <w:r w:rsidRPr="00955D3E">
        <w:rPr>
          <w:rFonts w:asciiTheme="minorHAnsi" w:hAnsiTheme="minorHAnsi" w:cstheme="minorHAnsi"/>
          <w:i/>
          <w:szCs w:val="24"/>
        </w:rPr>
        <w:t xml:space="preserve">(3) A revocation must be in writing. </w:t>
      </w:r>
    </w:p>
    <w:p w14:paraId="1DD41DFE" w14:textId="77777777" w:rsidR="00E636F4" w:rsidRPr="00955D3E" w:rsidRDefault="00E636F4" w:rsidP="00E636F4">
      <w:pPr>
        <w:spacing w:before="120" w:after="120"/>
        <w:ind w:left="720"/>
        <w:rPr>
          <w:rFonts w:asciiTheme="minorHAnsi" w:hAnsiTheme="minorHAnsi" w:cstheme="minorHAnsi"/>
          <w:i/>
          <w:szCs w:val="24"/>
        </w:rPr>
      </w:pPr>
      <w:r w:rsidRPr="00955D3E">
        <w:rPr>
          <w:rFonts w:asciiTheme="minorHAnsi" w:hAnsiTheme="minorHAnsi" w:cstheme="minorHAnsi"/>
          <w:i/>
          <w:szCs w:val="24"/>
        </w:rPr>
        <w:t xml:space="preserve">(4) A revocation comes into effect on the day specified in the revocation. </w:t>
      </w:r>
    </w:p>
    <w:p w14:paraId="1DD41DFF" w14:textId="77777777" w:rsidR="00E636F4" w:rsidRPr="00955D3E" w:rsidRDefault="00E636F4" w:rsidP="00E636F4">
      <w:pPr>
        <w:spacing w:before="120" w:after="120"/>
        <w:ind w:left="720"/>
        <w:rPr>
          <w:rFonts w:asciiTheme="minorHAnsi" w:hAnsiTheme="minorHAnsi" w:cstheme="minorHAnsi"/>
          <w:i/>
          <w:szCs w:val="24"/>
        </w:rPr>
      </w:pPr>
      <w:r w:rsidRPr="00955D3E">
        <w:rPr>
          <w:rFonts w:asciiTheme="minorHAnsi" w:hAnsiTheme="minorHAnsi" w:cstheme="minorHAnsi"/>
          <w:i/>
          <w:szCs w:val="24"/>
        </w:rPr>
        <w:t xml:space="preserve">(5) The day specified must not be before the day on which the revocation is made. </w:t>
      </w:r>
    </w:p>
    <w:p w14:paraId="1DD41E00" w14:textId="77777777" w:rsidR="00E636F4" w:rsidRDefault="00E636F4" w:rsidP="00E636F4">
      <w:pPr>
        <w:spacing w:before="120" w:after="120"/>
        <w:rPr>
          <w:iCs/>
        </w:rPr>
      </w:pPr>
      <w:r>
        <w:rPr>
          <w:rFonts w:asciiTheme="minorHAnsi" w:hAnsiTheme="minorHAnsi" w:cstheme="minorHAnsi"/>
          <w:szCs w:val="24"/>
        </w:rPr>
        <w:t xml:space="preserve">Under s12(4) of the </w:t>
      </w:r>
      <w:r w:rsidRPr="00955D3E">
        <w:rPr>
          <w:rFonts w:asciiTheme="minorHAnsi" w:hAnsiTheme="minorHAnsi" w:cstheme="minorHAnsi"/>
          <w:i/>
          <w:szCs w:val="24"/>
        </w:rPr>
        <w:t>Australian Information Commissioner Act 2010</w:t>
      </w:r>
      <w:r>
        <w:rPr>
          <w:rFonts w:asciiTheme="minorHAnsi" w:hAnsiTheme="minorHAnsi" w:cstheme="minorHAnsi"/>
          <w:szCs w:val="24"/>
        </w:rPr>
        <w:t xml:space="preserve"> (</w:t>
      </w:r>
      <w:proofErr w:type="spellStart"/>
      <w:r>
        <w:rPr>
          <w:rFonts w:asciiTheme="minorHAnsi" w:hAnsiTheme="minorHAnsi" w:cstheme="minorHAnsi"/>
          <w:szCs w:val="24"/>
        </w:rPr>
        <w:t>Cth</w:t>
      </w:r>
      <w:proofErr w:type="spellEnd"/>
      <w:r>
        <w:rPr>
          <w:rFonts w:asciiTheme="minorHAnsi" w:hAnsiTheme="minorHAnsi" w:cstheme="minorHAnsi"/>
          <w:szCs w:val="24"/>
        </w:rPr>
        <w:t>), certain actions may only be taken by the Privacy Commissioner with the approval of the Information Commissioner, including ‘</w:t>
      </w:r>
      <w:r w:rsidRPr="00955D3E">
        <w:rPr>
          <w:i/>
        </w:rPr>
        <w:t>approvals, variations or revocations of a privacy code under paragraph 27(1)(</w:t>
      </w:r>
      <w:proofErr w:type="spellStart"/>
      <w:r w:rsidRPr="00955D3E">
        <w:rPr>
          <w:i/>
        </w:rPr>
        <w:t>aa</w:t>
      </w:r>
      <w:proofErr w:type="spellEnd"/>
      <w:r w:rsidRPr="00955D3E">
        <w:rPr>
          <w:i/>
        </w:rPr>
        <w:t xml:space="preserve">) of the </w:t>
      </w:r>
      <w:r w:rsidRPr="00955D3E">
        <w:rPr>
          <w:i/>
          <w:iCs/>
        </w:rPr>
        <w:t xml:space="preserve">Privacy Act 1988’ </w:t>
      </w:r>
      <w:r w:rsidRPr="00955D3E">
        <w:rPr>
          <w:iCs/>
        </w:rPr>
        <w:t>(s12(4)(b))</w:t>
      </w:r>
      <w:r w:rsidRPr="00955D3E">
        <w:rPr>
          <w:i/>
          <w:iCs/>
        </w:rPr>
        <w:t>.</w:t>
      </w:r>
    </w:p>
    <w:p w14:paraId="1DD41E01" w14:textId="77777777" w:rsidR="00E636F4" w:rsidRDefault="00E636F4" w:rsidP="00E636F4">
      <w:pPr>
        <w:spacing w:before="120" w:after="120"/>
        <w:rPr>
          <w:rFonts w:asciiTheme="minorHAnsi" w:hAnsiTheme="minorHAnsi" w:cstheme="minorHAnsi"/>
          <w:szCs w:val="24"/>
        </w:rPr>
      </w:pPr>
      <w:r>
        <w:rPr>
          <w:iCs/>
        </w:rPr>
        <w:t xml:space="preserve">On 24 January 2012, the Information Commissioner granted such approval to the </w:t>
      </w:r>
      <w:r w:rsidRPr="00246E11">
        <w:rPr>
          <w:iCs/>
        </w:rPr>
        <w:t>Privacy Commissioner</w:t>
      </w:r>
      <w:r>
        <w:rPr>
          <w:iCs/>
        </w:rPr>
        <w:t xml:space="preserve"> in relation to the Code.</w:t>
      </w:r>
    </w:p>
    <w:p w14:paraId="1DD41E02" w14:textId="77777777" w:rsidR="00E636F4" w:rsidRPr="00891E7C"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The revocation of an approval by the Privacy Commissioner of an approved</w:t>
      </w:r>
      <w:r>
        <w:rPr>
          <w:rFonts w:asciiTheme="minorHAnsi" w:hAnsiTheme="minorHAnsi" w:cstheme="minorHAnsi"/>
          <w:szCs w:val="24"/>
        </w:rPr>
        <w:t xml:space="preserve"> </w:t>
      </w:r>
      <w:r w:rsidRPr="00891E7C">
        <w:rPr>
          <w:rFonts w:asciiTheme="minorHAnsi" w:hAnsiTheme="minorHAnsi" w:cstheme="minorHAnsi"/>
          <w:szCs w:val="24"/>
        </w:rPr>
        <w:t>privacy code has the effect of varying the obligations imposed upon an</w:t>
      </w:r>
      <w:r>
        <w:rPr>
          <w:rFonts w:asciiTheme="minorHAnsi" w:hAnsiTheme="minorHAnsi" w:cstheme="minorHAnsi"/>
          <w:szCs w:val="24"/>
        </w:rPr>
        <w:t xml:space="preserve"> </w:t>
      </w:r>
      <w:r w:rsidRPr="00891E7C">
        <w:rPr>
          <w:rFonts w:asciiTheme="minorHAnsi" w:hAnsiTheme="minorHAnsi" w:cstheme="minorHAnsi"/>
          <w:szCs w:val="24"/>
        </w:rPr>
        <w:t>organisation under the Privacy Act, thereby altering the content of the law. As</w:t>
      </w:r>
      <w:r>
        <w:rPr>
          <w:rFonts w:asciiTheme="minorHAnsi" w:hAnsiTheme="minorHAnsi" w:cstheme="minorHAnsi"/>
          <w:szCs w:val="24"/>
        </w:rPr>
        <w:t xml:space="preserve"> </w:t>
      </w:r>
      <w:r w:rsidRPr="00891E7C">
        <w:rPr>
          <w:rFonts w:asciiTheme="minorHAnsi" w:hAnsiTheme="minorHAnsi" w:cstheme="minorHAnsi"/>
          <w:szCs w:val="24"/>
        </w:rPr>
        <w:t>a consequence, the wri</w:t>
      </w:r>
      <w:bookmarkStart w:id="0" w:name="_GoBack"/>
      <w:bookmarkEnd w:id="0"/>
      <w:r w:rsidRPr="00891E7C">
        <w:rPr>
          <w:rFonts w:asciiTheme="minorHAnsi" w:hAnsiTheme="minorHAnsi" w:cstheme="minorHAnsi"/>
          <w:szCs w:val="24"/>
        </w:rPr>
        <w:t>tten revocation of a privacy code under section</w:t>
      </w:r>
      <w:r>
        <w:rPr>
          <w:rFonts w:asciiTheme="minorHAnsi" w:hAnsiTheme="minorHAnsi" w:cstheme="minorHAnsi"/>
          <w:szCs w:val="24"/>
        </w:rPr>
        <w:t xml:space="preserve"> </w:t>
      </w:r>
      <w:proofErr w:type="gramStart"/>
      <w:r w:rsidRPr="00891E7C">
        <w:rPr>
          <w:rFonts w:asciiTheme="minorHAnsi" w:hAnsiTheme="minorHAnsi" w:cstheme="minorHAnsi"/>
          <w:szCs w:val="24"/>
        </w:rPr>
        <w:t>18BE(</w:t>
      </w:r>
      <w:proofErr w:type="gramEnd"/>
      <w:r w:rsidRPr="00891E7C">
        <w:rPr>
          <w:rFonts w:asciiTheme="minorHAnsi" w:hAnsiTheme="minorHAnsi" w:cstheme="minorHAnsi"/>
          <w:szCs w:val="24"/>
        </w:rPr>
        <w:t>1) of the Privacy Act is a legislative instrument for the purposes of the</w:t>
      </w:r>
      <w:r>
        <w:rPr>
          <w:rFonts w:asciiTheme="minorHAnsi" w:hAnsiTheme="minorHAnsi" w:cstheme="minorHAnsi"/>
          <w:szCs w:val="24"/>
        </w:rPr>
        <w:t xml:space="preserve"> </w:t>
      </w:r>
      <w:r w:rsidRPr="00891E7C">
        <w:rPr>
          <w:rFonts w:asciiTheme="minorHAnsi" w:hAnsiTheme="minorHAnsi" w:cstheme="minorHAnsi"/>
          <w:szCs w:val="24"/>
        </w:rPr>
        <w:t>Legislative Instruments Act.</w:t>
      </w:r>
    </w:p>
    <w:p w14:paraId="1DD41E03" w14:textId="77777777" w:rsidR="00E636F4" w:rsidRPr="00891E7C" w:rsidRDefault="00E636F4" w:rsidP="00E636F4">
      <w:pPr>
        <w:spacing w:before="120" w:after="120"/>
        <w:rPr>
          <w:rFonts w:asciiTheme="minorHAnsi" w:hAnsiTheme="minorHAnsi" w:cstheme="minorHAnsi"/>
          <w:b/>
          <w:bCs/>
          <w:szCs w:val="24"/>
        </w:rPr>
      </w:pPr>
      <w:r w:rsidRPr="00891E7C">
        <w:rPr>
          <w:rFonts w:asciiTheme="minorHAnsi" w:hAnsiTheme="minorHAnsi" w:cstheme="minorHAnsi"/>
          <w:b/>
          <w:bCs/>
          <w:szCs w:val="24"/>
        </w:rPr>
        <w:t>4. Reasons for Revoking the Code</w:t>
      </w:r>
    </w:p>
    <w:p w14:paraId="1DD41E04" w14:textId="77777777" w:rsidR="00E636F4" w:rsidRPr="007D6B09" w:rsidRDefault="00E636F4" w:rsidP="00E636F4">
      <w:pPr>
        <w:pStyle w:val="BodyText1"/>
        <w:rPr>
          <w:szCs w:val="24"/>
        </w:rPr>
      </w:pPr>
      <w:r>
        <w:rPr>
          <w:szCs w:val="24"/>
        </w:rPr>
        <w:t>T</w:t>
      </w:r>
      <w:r w:rsidRPr="007D6B09">
        <w:rPr>
          <w:szCs w:val="24"/>
        </w:rPr>
        <w:t xml:space="preserve">he objectives of the </w:t>
      </w:r>
      <w:r>
        <w:rPr>
          <w:szCs w:val="24"/>
        </w:rPr>
        <w:t>Code</w:t>
      </w:r>
      <w:r w:rsidRPr="007D6B09">
        <w:rPr>
          <w:szCs w:val="24"/>
        </w:rPr>
        <w:t xml:space="preserve"> are set out in clause B of the Code:</w:t>
      </w:r>
    </w:p>
    <w:p w14:paraId="1DD41E05" w14:textId="77777777" w:rsidR="00E636F4" w:rsidRPr="002B5097" w:rsidRDefault="00E636F4" w:rsidP="00E636F4">
      <w:pPr>
        <w:pStyle w:val="Bulletlist"/>
        <w:spacing w:after="240"/>
        <w:rPr>
          <w:i/>
          <w:szCs w:val="24"/>
        </w:rPr>
      </w:pPr>
      <w:r w:rsidRPr="00F954A1">
        <w:rPr>
          <w:i/>
          <w:szCs w:val="24"/>
        </w:rPr>
        <w:t xml:space="preserve">To facilitate the protection of personal information provided by, or held in relation to, </w:t>
      </w:r>
      <w:r w:rsidRPr="002B5097">
        <w:rPr>
          <w:i/>
          <w:szCs w:val="24"/>
        </w:rPr>
        <w:t>biometric systems;</w:t>
      </w:r>
    </w:p>
    <w:p w14:paraId="1DD41E06" w14:textId="77777777" w:rsidR="00E636F4" w:rsidRPr="00F954A1" w:rsidRDefault="00E636F4" w:rsidP="00E636F4">
      <w:pPr>
        <w:pStyle w:val="Bulletlist"/>
        <w:spacing w:after="240"/>
        <w:rPr>
          <w:i/>
          <w:szCs w:val="24"/>
        </w:rPr>
      </w:pPr>
      <w:r w:rsidRPr="00F954A1">
        <w:rPr>
          <w:i/>
          <w:szCs w:val="24"/>
        </w:rPr>
        <w:t>To facilitate the process of identity authentication in a manner consistent with the Privacy Act and the NPPs; and</w:t>
      </w:r>
    </w:p>
    <w:p w14:paraId="1DD41E07" w14:textId="77777777" w:rsidR="00E636F4" w:rsidRPr="00F954A1" w:rsidRDefault="00E636F4" w:rsidP="00E636F4">
      <w:pPr>
        <w:pStyle w:val="Bulletlist"/>
        <w:spacing w:after="240"/>
        <w:rPr>
          <w:i/>
          <w:szCs w:val="24"/>
        </w:rPr>
      </w:pPr>
      <w:r w:rsidRPr="00F954A1">
        <w:rPr>
          <w:i/>
          <w:szCs w:val="24"/>
        </w:rPr>
        <w:t>To promote biometrics as privacy enhancing technologies.</w:t>
      </w:r>
    </w:p>
    <w:p w14:paraId="1DD41E08" w14:textId="77777777" w:rsidR="00E636F4" w:rsidRPr="007E53B1" w:rsidRDefault="00E636F4" w:rsidP="00E636F4">
      <w:pPr>
        <w:autoSpaceDE w:val="0"/>
        <w:autoSpaceDN w:val="0"/>
        <w:adjustRightInd w:val="0"/>
        <w:spacing w:after="240"/>
        <w:rPr>
          <w:rFonts w:asciiTheme="minorHAnsi" w:hAnsiTheme="minorHAnsi" w:cstheme="minorHAnsi"/>
          <w:szCs w:val="24"/>
        </w:rPr>
      </w:pPr>
      <w:r w:rsidRPr="007E53B1">
        <w:rPr>
          <w:rFonts w:asciiTheme="minorHAnsi" w:hAnsiTheme="minorHAnsi" w:cstheme="minorHAnsi"/>
          <w:szCs w:val="24"/>
        </w:rPr>
        <w:lastRenderedPageBreak/>
        <w:t>The Code only binds those members of the Institute that subscribe to the Code.</w:t>
      </w:r>
      <w:r>
        <w:rPr>
          <w:rFonts w:asciiTheme="minorHAnsi" w:hAnsiTheme="minorHAnsi" w:cstheme="minorHAnsi"/>
          <w:szCs w:val="24"/>
        </w:rPr>
        <w:t xml:space="preserve"> There have been low numbers of subscribers to the Code. This was cited by the Biometrics Institute as a reason for seeking the revocation of the Code. </w:t>
      </w:r>
    </w:p>
    <w:p w14:paraId="1DD41E09" w14:textId="77777777" w:rsidR="00E636F4" w:rsidRDefault="00E636F4" w:rsidP="00E636F4">
      <w:pPr>
        <w:pStyle w:val="BodyText1"/>
        <w:rPr>
          <w:szCs w:val="24"/>
        </w:rPr>
      </w:pPr>
      <w:r>
        <w:rPr>
          <w:szCs w:val="24"/>
        </w:rPr>
        <w:t>The Privacy Commissioner considers that, given the low level of subscription to the Code since it came into effect on 1 September 2006, the Code does not adequately meet its objectives.</w:t>
      </w:r>
    </w:p>
    <w:p w14:paraId="1DD41E0A" w14:textId="77777777" w:rsidR="00E636F4" w:rsidRDefault="00E636F4" w:rsidP="00E636F4">
      <w:pPr>
        <w:pStyle w:val="BodyText1"/>
        <w:rPr>
          <w:szCs w:val="24"/>
        </w:rPr>
      </w:pPr>
      <w:r>
        <w:rPr>
          <w:szCs w:val="24"/>
        </w:rPr>
        <w:t xml:space="preserve">Accordingly, having </w:t>
      </w:r>
      <w:proofErr w:type="gramStart"/>
      <w:r>
        <w:rPr>
          <w:szCs w:val="24"/>
        </w:rPr>
        <w:t>regard</w:t>
      </w:r>
      <w:proofErr w:type="gramEnd"/>
      <w:r>
        <w:rPr>
          <w:szCs w:val="24"/>
        </w:rPr>
        <w:t xml:space="preserve"> to:</w:t>
      </w:r>
    </w:p>
    <w:p w14:paraId="1DD41E0B" w14:textId="77777777" w:rsidR="00E636F4" w:rsidRDefault="00E636F4" w:rsidP="00E636F4">
      <w:pPr>
        <w:pStyle w:val="Bulletlist"/>
      </w:pPr>
      <w:r>
        <w:t xml:space="preserve">the low subscribership of the Code, </w:t>
      </w:r>
    </w:p>
    <w:p w14:paraId="1DD41E0C" w14:textId="77777777" w:rsidR="00E636F4" w:rsidRDefault="00E636F4" w:rsidP="00E636F4">
      <w:pPr>
        <w:pStyle w:val="Bulletlist"/>
      </w:pPr>
      <w:r>
        <w:t>the request by the Biometrics Institute (being the Code administrator) that the Privacy Commissioner revoke the Code, and</w:t>
      </w:r>
    </w:p>
    <w:p w14:paraId="1DD41E0D" w14:textId="77777777" w:rsidR="00E636F4" w:rsidRDefault="00E636F4" w:rsidP="00E636F4">
      <w:pPr>
        <w:pStyle w:val="Bulletlist"/>
      </w:pPr>
      <w:r>
        <w:t>public submissions in support of the revocation of the Code,</w:t>
      </w:r>
    </w:p>
    <w:p w14:paraId="1DD41E0E" w14:textId="77777777" w:rsidR="00E636F4" w:rsidRDefault="00E636F4" w:rsidP="00E636F4">
      <w:pPr>
        <w:pStyle w:val="BodyText1"/>
        <w:rPr>
          <w:szCs w:val="24"/>
        </w:rPr>
      </w:pPr>
      <w:proofErr w:type="gramStart"/>
      <w:r>
        <w:rPr>
          <w:szCs w:val="24"/>
        </w:rPr>
        <w:t>the</w:t>
      </w:r>
      <w:proofErr w:type="gramEnd"/>
      <w:r>
        <w:rPr>
          <w:szCs w:val="24"/>
        </w:rPr>
        <w:t xml:space="preserve"> Privacy Commissioner has decided to exercise his power under s18BE of the Privacy Act to revoke the Code’s approval. </w:t>
      </w:r>
    </w:p>
    <w:p w14:paraId="1DD41E0F" w14:textId="77777777" w:rsidR="00E636F4" w:rsidRPr="00891E7C" w:rsidRDefault="00E636F4" w:rsidP="00E636F4">
      <w:pPr>
        <w:spacing w:before="120" w:after="120"/>
        <w:rPr>
          <w:rFonts w:asciiTheme="minorHAnsi" w:hAnsiTheme="minorHAnsi" w:cstheme="minorHAnsi"/>
          <w:b/>
          <w:bCs/>
          <w:szCs w:val="24"/>
        </w:rPr>
      </w:pPr>
      <w:r w:rsidRPr="00891E7C">
        <w:rPr>
          <w:rFonts w:asciiTheme="minorHAnsi" w:hAnsiTheme="minorHAnsi" w:cstheme="minorHAnsi"/>
          <w:b/>
          <w:bCs/>
          <w:szCs w:val="24"/>
        </w:rPr>
        <w:t>5. Operation and Effect</w:t>
      </w:r>
    </w:p>
    <w:p w14:paraId="1DD41E10" w14:textId="75F81E7C" w:rsidR="00E636F4" w:rsidRPr="00891E7C" w:rsidRDefault="00E636F4" w:rsidP="00E636F4">
      <w:pPr>
        <w:spacing w:before="120" w:after="120"/>
        <w:rPr>
          <w:rFonts w:asciiTheme="minorHAnsi" w:hAnsiTheme="minorHAnsi" w:cstheme="minorHAnsi"/>
          <w:szCs w:val="24"/>
        </w:rPr>
      </w:pPr>
      <w:r>
        <w:rPr>
          <w:rFonts w:asciiTheme="minorHAnsi" w:hAnsiTheme="minorHAnsi" w:cstheme="minorHAnsi"/>
          <w:szCs w:val="24"/>
        </w:rPr>
        <w:t>T</w:t>
      </w:r>
      <w:r w:rsidRPr="00891E7C">
        <w:rPr>
          <w:rFonts w:asciiTheme="minorHAnsi" w:hAnsiTheme="minorHAnsi" w:cstheme="minorHAnsi"/>
          <w:szCs w:val="24"/>
        </w:rPr>
        <w:t>he Privacy Commissioner has</w:t>
      </w:r>
      <w:r>
        <w:rPr>
          <w:rFonts w:asciiTheme="minorHAnsi" w:hAnsiTheme="minorHAnsi" w:cstheme="minorHAnsi"/>
          <w:szCs w:val="24"/>
        </w:rPr>
        <w:t xml:space="preserve"> </w:t>
      </w:r>
      <w:r w:rsidRPr="00891E7C">
        <w:rPr>
          <w:rFonts w:asciiTheme="minorHAnsi" w:hAnsiTheme="minorHAnsi" w:cstheme="minorHAnsi"/>
          <w:szCs w:val="24"/>
        </w:rPr>
        <w:t xml:space="preserve">decided the </w:t>
      </w:r>
      <w:r>
        <w:rPr>
          <w:rFonts w:asciiTheme="minorHAnsi" w:hAnsiTheme="minorHAnsi" w:cstheme="minorHAnsi"/>
          <w:szCs w:val="24"/>
        </w:rPr>
        <w:t>Revocation</w:t>
      </w:r>
      <w:r w:rsidRPr="00891E7C">
        <w:rPr>
          <w:rFonts w:asciiTheme="minorHAnsi" w:hAnsiTheme="minorHAnsi" w:cstheme="minorHAnsi"/>
          <w:szCs w:val="24"/>
        </w:rPr>
        <w:t xml:space="preserve"> of the Code will have effect on and from </w:t>
      </w:r>
      <w:r>
        <w:rPr>
          <w:rFonts w:asciiTheme="minorHAnsi" w:hAnsiTheme="minorHAnsi" w:cstheme="minorHAnsi"/>
          <w:szCs w:val="24"/>
        </w:rPr>
        <w:t>1</w:t>
      </w:r>
      <w:r w:rsidR="00581826">
        <w:rPr>
          <w:rFonts w:asciiTheme="minorHAnsi" w:hAnsiTheme="minorHAnsi" w:cstheme="minorHAnsi"/>
          <w:szCs w:val="24"/>
        </w:rPr>
        <w:t>7</w:t>
      </w:r>
      <w:r>
        <w:rPr>
          <w:rFonts w:asciiTheme="minorHAnsi" w:hAnsiTheme="minorHAnsi" w:cstheme="minorHAnsi"/>
          <w:szCs w:val="24"/>
        </w:rPr>
        <w:t xml:space="preserve"> April 2012</w:t>
      </w:r>
      <w:r w:rsidRPr="00891E7C">
        <w:rPr>
          <w:rFonts w:asciiTheme="minorHAnsi" w:hAnsiTheme="minorHAnsi" w:cstheme="minorHAnsi"/>
          <w:szCs w:val="24"/>
        </w:rPr>
        <w:t>.</w:t>
      </w:r>
    </w:p>
    <w:p w14:paraId="1DD41E11" w14:textId="77777777" w:rsidR="00E636F4" w:rsidRPr="00891E7C" w:rsidRDefault="00E636F4" w:rsidP="00E636F4">
      <w:pPr>
        <w:spacing w:before="120" w:after="120"/>
        <w:rPr>
          <w:rFonts w:asciiTheme="minorHAnsi" w:hAnsiTheme="minorHAnsi" w:cstheme="minorHAnsi"/>
          <w:szCs w:val="24"/>
        </w:rPr>
      </w:pPr>
      <w:r w:rsidRPr="00A27720">
        <w:rPr>
          <w:rFonts w:asciiTheme="minorHAnsi" w:hAnsiTheme="minorHAnsi" w:cstheme="minorHAnsi"/>
          <w:szCs w:val="24"/>
        </w:rPr>
        <w:t>Small businesses that would normally be exempt from the Privacy Act are required to choose to be treated as an organisation for the purposes of the Privacy Act by writing to the Privacy Commissioner before subscribing to the Code. Therefore</w:t>
      </w:r>
      <w:r>
        <w:rPr>
          <w:rFonts w:asciiTheme="minorHAnsi" w:hAnsiTheme="minorHAnsi" w:cstheme="minorHAnsi"/>
          <w:szCs w:val="24"/>
        </w:rPr>
        <w:t>,</w:t>
      </w:r>
      <w:r w:rsidRPr="00A27720">
        <w:rPr>
          <w:rFonts w:asciiTheme="minorHAnsi" w:hAnsiTheme="minorHAnsi" w:cstheme="minorHAnsi"/>
          <w:szCs w:val="24"/>
        </w:rPr>
        <w:t xml:space="preserve"> </w:t>
      </w:r>
      <w:r>
        <w:rPr>
          <w:rFonts w:asciiTheme="minorHAnsi" w:hAnsiTheme="minorHAnsi" w:cstheme="minorHAnsi"/>
          <w:szCs w:val="24"/>
        </w:rPr>
        <w:t>t</w:t>
      </w:r>
      <w:r w:rsidRPr="00891E7C">
        <w:rPr>
          <w:rFonts w:asciiTheme="minorHAnsi" w:hAnsiTheme="minorHAnsi" w:cstheme="minorHAnsi"/>
          <w:szCs w:val="24"/>
        </w:rPr>
        <w:t xml:space="preserve">he effect of the </w:t>
      </w:r>
      <w:r>
        <w:rPr>
          <w:rFonts w:asciiTheme="minorHAnsi" w:hAnsiTheme="minorHAnsi" w:cstheme="minorHAnsi"/>
          <w:szCs w:val="24"/>
        </w:rPr>
        <w:t>R</w:t>
      </w:r>
      <w:r w:rsidRPr="00891E7C">
        <w:rPr>
          <w:rFonts w:asciiTheme="minorHAnsi" w:hAnsiTheme="minorHAnsi" w:cstheme="minorHAnsi"/>
          <w:szCs w:val="24"/>
        </w:rPr>
        <w:t>evocation is that those organisations previously bound by</w:t>
      </w:r>
      <w:r>
        <w:rPr>
          <w:rFonts w:asciiTheme="minorHAnsi" w:hAnsiTheme="minorHAnsi" w:cstheme="minorHAnsi"/>
          <w:szCs w:val="24"/>
        </w:rPr>
        <w:t xml:space="preserve"> </w:t>
      </w:r>
      <w:r w:rsidRPr="00891E7C">
        <w:rPr>
          <w:rFonts w:asciiTheme="minorHAnsi" w:hAnsiTheme="minorHAnsi" w:cstheme="minorHAnsi"/>
          <w:szCs w:val="24"/>
        </w:rPr>
        <w:t>the Code will be required to comply directly with the NPPs</w:t>
      </w:r>
      <w:r>
        <w:rPr>
          <w:rFonts w:asciiTheme="minorHAnsi" w:hAnsiTheme="minorHAnsi" w:cstheme="minorHAnsi"/>
          <w:szCs w:val="24"/>
        </w:rPr>
        <w:t>,</w:t>
      </w:r>
      <w:r w:rsidRPr="00891E7C">
        <w:rPr>
          <w:rFonts w:asciiTheme="minorHAnsi" w:hAnsiTheme="minorHAnsi" w:cstheme="minorHAnsi"/>
          <w:szCs w:val="24"/>
        </w:rPr>
        <w:t xml:space="preserve"> and complaints of</w:t>
      </w:r>
      <w:r>
        <w:rPr>
          <w:rFonts w:asciiTheme="minorHAnsi" w:hAnsiTheme="minorHAnsi" w:cstheme="minorHAnsi"/>
          <w:szCs w:val="24"/>
        </w:rPr>
        <w:t xml:space="preserve"> </w:t>
      </w:r>
      <w:r w:rsidRPr="00891E7C">
        <w:rPr>
          <w:rFonts w:asciiTheme="minorHAnsi" w:hAnsiTheme="minorHAnsi" w:cstheme="minorHAnsi"/>
          <w:szCs w:val="24"/>
        </w:rPr>
        <w:t>breaches of the NPPs by such organisations will be investigated by the</w:t>
      </w:r>
      <w:r>
        <w:rPr>
          <w:rFonts w:asciiTheme="minorHAnsi" w:hAnsiTheme="minorHAnsi" w:cstheme="minorHAnsi"/>
          <w:szCs w:val="24"/>
        </w:rPr>
        <w:t xml:space="preserve"> </w:t>
      </w:r>
      <w:r w:rsidRPr="00891E7C">
        <w:rPr>
          <w:rFonts w:asciiTheme="minorHAnsi" w:hAnsiTheme="minorHAnsi" w:cstheme="minorHAnsi"/>
          <w:szCs w:val="24"/>
        </w:rPr>
        <w:t>Privacy Commissioner under Part V of the Privacy Act.</w:t>
      </w:r>
    </w:p>
    <w:p w14:paraId="1DD41E12" w14:textId="77777777" w:rsidR="00E636F4" w:rsidRPr="00891E7C" w:rsidRDefault="00E636F4" w:rsidP="00E636F4">
      <w:pPr>
        <w:spacing w:before="120" w:after="120"/>
        <w:rPr>
          <w:rFonts w:asciiTheme="minorHAnsi" w:hAnsiTheme="minorHAnsi" w:cstheme="minorHAnsi"/>
          <w:b/>
          <w:bCs/>
          <w:szCs w:val="24"/>
        </w:rPr>
      </w:pPr>
      <w:r w:rsidRPr="00891E7C">
        <w:rPr>
          <w:rFonts w:asciiTheme="minorHAnsi" w:hAnsiTheme="minorHAnsi" w:cstheme="minorHAnsi"/>
          <w:b/>
          <w:bCs/>
          <w:szCs w:val="24"/>
        </w:rPr>
        <w:t>6. Consultation</w:t>
      </w:r>
    </w:p>
    <w:p w14:paraId="1DD41E13" w14:textId="77777777" w:rsidR="00E636F4" w:rsidRDefault="00E636F4" w:rsidP="00E636F4">
      <w:pPr>
        <w:spacing w:before="120" w:after="120"/>
        <w:rPr>
          <w:rFonts w:asciiTheme="minorHAnsi" w:hAnsiTheme="minorHAnsi" w:cstheme="minorHAnsi"/>
          <w:szCs w:val="24"/>
        </w:rPr>
      </w:pPr>
      <w:r>
        <w:rPr>
          <w:rFonts w:asciiTheme="minorHAnsi" w:hAnsiTheme="minorHAnsi" w:cstheme="minorHAnsi"/>
          <w:szCs w:val="24"/>
        </w:rPr>
        <w:t xml:space="preserve">Section 17 of the </w:t>
      </w:r>
      <w:r w:rsidRPr="00EC7CC1">
        <w:rPr>
          <w:rFonts w:asciiTheme="minorHAnsi" w:hAnsiTheme="minorHAnsi" w:cstheme="minorHAnsi"/>
          <w:szCs w:val="24"/>
        </w:rPr>
        <w:t>Legislative Instruments Act</w:t>
      </w:r>
      <w:r>
        <w:rPr>
          <w:rFonts w:asciiTheme="minorHAnsi" w:hAnsiTheme="minorHAnsi" w:cstheme="minorHAnsi"/>
          <w:szCs w:val="24"/>
        </w:rPr>
        <w:t xml:space="preserve"> requires that, b</w:t>
      </w:r>
      <w:r>
        <w:t xml:space="preserve">efore a </w:t>
      </w:r>
      <w:r w:rsidRPr="009C2888">
        <w:t>rule-maker</w:t>
      </w:r>
      <w:r>
        <w:t xml:space="preserve"> makes a legislative </w:t>
      </w:r>
      <w:r w:rsidRPr="009C2888">
        <w:t>instrument</w:t>
      </w:r>
      <w:r>
        <w:t xml:space="preserve">, the </w:t>
      </w:r>
      <w:r w:rsidRPr="009C2888">
        <w:t>rule-maker</w:t>
      </w:r>
      <w:r>
        <w:t xml:space="preserve"> must be satisfied that any consultation that is considered by the </w:t>
      </w:r>
      <w:r w:rsidRPr="009C2888">
        <w:t>rule-maker</w:t>
      </w:r>
      <w:r>
        <w:t xml:space="preserve"> to be appropriate and that is reasonably practicable to </w:t>
      </w:r>
      <w:proofErr w:type="gramStart"/>
      <w:r>
        <w:t>undertake,</w:t>
      </w:r>
      <w:proofErr w:type="gramEnd"/>
      <w:r>
        <w:t xml:space="preserve"> has been undertaken.</w:t>
      </w:r>
    </w:p>
    <w:p w14:paraId="1DD41E14" w14:textId="77777777" w:rsidR="00E636F4" w:rsidRDefault="00E636F4" w:rsidP="00E636F4">
      <w:pPr>
        <w:spacing w:before="120" w:after="120"/>
        <w:rPr>
          <w:rFonts w:asciiTheme="minorHAnsi" w:hAnsiTheme="minorHAnsi" w:cstheme="minorHAnsi"/>
          <w:szCs w:val="24"/>
        </w:rPr>
      </w:pPr>
      <w:r>
        <w:rPr>
          <w:rFonts w:asciiTheme="minorHAnsi" w:hAnsiTheme="minorHAnsi" w:cstheme="minorHAnsi"/>
          <w:szCs w:val="24"/>
        </w:rPr>
        <w:t xml:space="preserve">Further, </w:t>
      </w:r>
      <w:proofErr w:type="gramStart"/>
      <w:r>
        <w:rPr>
          <w:rFonts w:asciiTheme="minorHAnsi" w:hAnsiTheme="minorHAnsi" w:cstheme="minorHAnsi"/>
          <w:szCs w:val="24"/>
        </w:rPr>
        <w:t>s18BE(</w:t>
      </w:r>
      <w:proofErr w:type="gramEnd"/>
      <w:r>
        <w:rPr>
          <w:rFonts w:asciiTheme="minorHAnsi" w:hAnsiTheme="minorHAnsi" w:cstheme="minorHAnsi"/>
          <w:szCs w:val="24"/>
        </w:rPr>
        <w:t xml:space="preserve">2) of the Privacy Act requires the Privacy Commissioner to undertake consultation before revoking the approval of a privacy code. Section </w:t>
      </w:r>
      <w:proofErr w:type="gramStart"/>
      <w:r>
        <w:rPr>
          <w:rFonts w:asciiTheme="minorHAnsi" w:hAnsiTheme="minorHAnsi" w:cstheme="minorHAnsi"/>
          <w:szCs w:val="24"/>
        </w:rPr>
        <w:t>18BE(</w:t>
      </w:r>
      <w:proofErr w:type="gramEnd"/>
      <w:r>
        <w:rPr>
          <w:rFonts w:asciiTheme="minorHAnsi" w:hAnsiTheme="minorHAnsi" w:cstheme="minorHAnsi"/>
          <w:szCs w:val="24"/>
        </w:rPr>
        <w:t>2) provides:</w:t>
      </w:r>
    </w:p>
    <w:p w14:paraId="1DD41E15" w14:textId="77777777" w:rsidR="00E636F4" w:rsidRPr="00412CD9" w:rsidRDefault="00E636F4" w:rsidP="00E636F4">
      <w:pPr>
        <w:pStyle w:val="subsection"/>
        <w:ind w:left="720"/>
        <w:rPr>
          <w:rFonts w:asciiTheme="minorHAnsi" w:hAnsiTheme="minorHAnsi" w:cstheme="minorHAnsi"/>
          <w:i/>
        </w:rPr>
      </w:pPr>
      <w:r w:rsidRPr="00412CD9">
        <w:rPr>
          <w:rFonts w:asciiTheme="minorHAnsi" w:hAnsiTheme="minorHAnsi" w:cstheme="minorHAnsi"/>
          <w:i/>
        </w:rPr>
        <w:t xml:space="preserve">(2) Before deciding whether to revoke the approval of a code or variation, the Commissioner must: </w:t>
      </w:r>
    </w:p>
    <w:p w14:paraId="1DD41E16" w14:textId="77777777" w:rsidR="00E636F4" w:rsidRPr="00412CD9" w:rsidRDefault="00E636F4" w:rsidP="00E636F4">
      <w:pPr>
        <w:pStyle w:val="paragraph"/>
        <w:ind w:left="1440"/>
        <w:rPr>
          <w:rFonts w:asciiTheme="minorHAnsi" w:hAnsiTheme="minorHAnsi" w:cstheme="minorHAnsi"/>
          <w:i/>
        </w:rPr>
      </w:pPr>
      <w:r w:rsidRPr="00412CD9">
        <w:rPr>
          <w:rFonts w:asciiTheme="minorHAnsi" w:hAnsiTheme="minorHAnsi" w:cstheme="minorHAnsi"/>
          <w:i/>
        </w:rPr>
        <w:t xml:space="preserve">(a) </w:t>
      </w:r>
      <w:proofErr w:type="gramStart"/>
      <w:r w:rsidRPr="00412CD9">
        <w:rPr>
          <w:rFonts w:asciiTheme="minorHAnsi" w:hAnsiTheme="minorHAnsi" w:cstheme="minorHAnsi"/>
          <w:i/>
        </w:rPr>
        <w:t>if</w:t>
      </w:r>
      <w:proofErr w:type="gramEnd"/>
      <w:r w:rsidRPr="00412CD9">
        <w:rPr>
          <w:rFonts w:asciiTheme="minorHAnsi" w:hAnsiTheme="minorHAnsi" w:cstheme="minorHAnsi"/>
          <w:i/>
        </w:rPr>
        <w:t xml:space="preserve"> practicable, consult the organisation that originally sought approval of the code or variation; and </w:t>
      </w:r>
    </w:p>
    <w:p w14:paraId="1DD41E17" w14:textId="77777777" w:rsidR="00E636F4" w:rsidRPr="00412CD9" w:rsidRDefault="00E636F4" w:rsidP="00E636F4">
      <w:pPr>
        <w:pStyle w:val="paragraph"/>
        <w:ind w:left="1440"/>
        <w:rPr>
          <w:rFonts w:asciiTheme="minorHAnsi" w:hAnsiTheme="minorHAnsi" w:cstheme="minorHAnsi"/>
          <w:i/>
        </w:rPr>
      </w:pPr>
      <w:r w:rsidRPr="00412CD9">
        <w:rPr>
          <w:rFonts w:asciiTheme="minorHAnsi" w:hAnsiTheme="minorHAnsi" w:cstheme="minorHAnsi"/>
          <w:i/>
        </w:rPr>
        <w:t xml:space="preserve">(b) </w:t>
      </w:r>
      <w:proofErr w:type="gramStart"/>
      <w:r w:rsidRPr="00412CD9">
        <w:rPr>
          <w:rFonts w:asciiTheme="minorHAnsi" w:hAnsiTheme="minorHAnsi" w:cstheme="minorHAnsi"/>
          <w:i/>
        </w:rPr>
        <w:t>consult</w:t>
      </w:r>
      <w:proofErr w:type="gramEnd"/>
      <w:r w:rsidRPr="00412CD9">
        <w:rPr>
          <w:rFonts w:asciiTheme="minorHAnsi" w:hAnsiTheme="minorHAnsi" w:cstheme="minorHAnsi"/>
          <w:i/>
        </w:rPr>
        <w:t xml:space="preserve"> any other person the Commissioner considers appropriate; and </w:t>
      </w:r>
    </w:p>
    <w:p w14:paraId="1DD41E18" w14:textId="77777777" w:rsidR="00E636F4" w:rsidRPr="00412CD9" w:rsidRDefault="00E636F4" w:rsidP="00E636F4">
      <w:pPr>
        <w:pStyle w:val="paragraph"/>
        <w:ind w:left="1440"/>
        <w:rPr>
          <w:rFonts w:asciiTheme="minorHAnsi" w:hAnsiTheme="minorHAnsi" w:cstheme="minorHAnsi"/>
        </w:rPr>
      </w:pPr>
      <w:r w:rsidRPr="00412CD9">
        <w:rPr>
          <w:rFonts w:asciiTheme="minorHAnsi" w:hAnsiTheme="minorHAnsi" w:cstheme="minorHAnsi"/>
          <w:i/>
        </w:rPr>
        <w:t xml:space="preserve">(c) </w:t>
      </w:r>
      <w:proofErr w:type="gramStart"/>
      <w:r w:rsidRPr="00412CD9">
        <w:rPr>
          <w:rFonts w:asciiTheme="minorHAnsi" w:hAnsiTheme="minorHAnsi" w:cstheme="minorHAnsi"/>
          <w:i/>
        </w:rPr>
        <w:t>consider</w:t>
      </w:r>
      <w:proofErr w:type="gramEnd"/>
      <w:r w:rsidRPr="00412CD9">
        <w:rPr>
          <w:rFonts w:asciiTheme="minorHAnsi" w:hAnsiTheme="minorHAnsi" w:cstheme="minorHAnsi"/>
          <w:i/>
        </w:rPr>
        <w:t xml:space="preserve"> the extent to which members of the public have been given an opportunity to comment on the proposed revocation. </w:t>
      </w:r>
    </w:p>
    <w:p w14:paraId="1DD41E19" w14:textId="77777777" w:rsidR="00E636F4" w:rsidRDefault="00E636F4" w:rsidP="00E636F4">
      <w:pPr>
        <w:spacing w:before="120" w:after="120"/>
        <w:rPr>
          <w:rFonts w:asciiTheme="minorHAnsi" w:hAnsiTheme="minorHAnsi" w:cstheme="minorHAnsi"/>
          <w:szCs w:val="24"/>
        </w:rPr>
      </w:pPr>
      <w:r>
        <w:rPr>
          <w:rFonts w:asciiTheme="minorHAnsi" w:hAnsiTheme="minorHAnsi" w:cstheme="minorHAnsi"/>
          <w:szCs w:val="24"/>
        </w:rPr>
        <w:lastRenderedPageBreak/>
        <w:t>The Privacy Commissioner consulted directly with the organisation that originally sought approval of the Code, being the Biometrics Institute.</w:t>
      </w:r>
    </w:p>
    <w:p w14:paraId="1DD41E1A" w14:textId="77777777" w:rsidR="00E636F4" w:rsidRDefault="00E636F4" w:rsidP="00E636F4">
      <w:pPr>
        <w:spacing w:before="120" w:after="120"/>
        <w:rPr>
          <w:rFonts w:asciiTheme="minorHAnsi" w:hAnsiTheme="minorHAnsi" w:cstheme="minorHAnsi"/>
          <w:szCs w:val="24"/>
        </w:rPr>
      </w:pPr>
      <w:r>
        <w:rPr>
          <w:rFonts w:asciiTheme="minorHAnsi" w:hAnsiTheme="minorHAnsi" w:cstheme="minorHAnsi"/>
          <w:szCs w:val="24"/>
        </w:rPr>
        <w:t>Further, from 21 February to 21 March 2012, the Privacy Commissioner carried out a public consultation process regarding the Biometric Institute’s request that the Privacy Commissioner revoke the approval of the Code.</w:t>
      </w:r>
    </w:p>
    <w:p w14:paraId="1DD41E1B" w14:textId="77777777" w:rsidR="00E636F4" w:rsidRDefault="00E636F4" w:rsidP="00E636F4">
      <w:pPr>
        <w:pStyle w:val="Bulletlist"/>
      </w:pPr>
      <w:r>
        <w:t>The Office of the Australian Information Commissioner (OAIC) prepared a consultation paper setting out the background to the proposed revocation, and published that paper together with an invitation to make submissions, on its website.</w:t>
      </w:r>
    </w:p>
    <w:p w14:paraId="1DD41E1C" w14:textId="77777777" w:rsidR="00E636F4" w:rsidRDefault="00E636F4" w:rsidP="00E636F4">
      <w:pPr>
        <w:pStyle w:val="Bulletlist"/>
      </w:pPr>
      <w:r>
        <w:t>The OAIC publicised the consultation by:</w:t>
      </w:r>
    </w:p>
    <w:p w14:paraId="1DD41E1D" w14:textId="77777777" w:rsidR="00E636F4" w:rsidRDefault="00E636F4" w:rsidP="00E636F4">
      <w:pPr>
        <w:pStyle w:val="Bulletlist"/>
        <w:numPr>
          <w:ilvl w:val="1"/>
          <w:numId w:val="1"/>
        </w:numPr>
      </w:pPr>
      <w:r>
        <w:t>facilitating the notification of the consultation to the members of the Biometrics Institute, by the Institute</w:t>
      </w:r>
    </w:p>
    <w:p w14:paraId="1DD41E1E" w14:textId="77777777" w:rsidR="00E636F4" w:rsidRDefault="00E636F4" w:rsidP="00E636F4">
      <w:pPr>
        <w:pStyle w:val="Bulletlist"/>
        <w:numPr>
          <w:ilvl w:val="1"/>
          <w:numId w:val="1"/>
        </w:numPr>
      </w:pPr>
      <w:r>
        <w:t>publicising the consultation through its website, and though the OAIC’s mailing lists and social media feeds, and</w:t>
      </w:r>
    </w:p>
    <w:p w14:paraId="1DD41E1F" w14:textId="77777777" w:rsidR="00E636F4" w:rsidRDefault="00E636F4" w:rsidP="00E636F4">
      <w:pPr>
        <w:pStyle w:val="Bulletlist"/>
        <w:numPr>
          <w:ilvl w:val="1"/>
          <w:numId w:val="1"/>
        </w:numPr>
      </w:pPr>
      <w:proofErr w:type="gramStart"/>
      <w:r>
        <w:t>by</w:t>
      </w:r>
      <w:proofErr w:type="gramEnd"/>
      <w:r>
        <w:t xml:space="preserve"> contacting relevant stakeholders directly. </w:t>
      </w:r>
    </w:p>
    <w:p w14:paraId="1DD41E20" w14:textId="77777777" w:rsidR="00E636F4" w:rsidRDefault="00E636F4" w:rsidP="00E636F4">
      <w:pPr>
        <w:spacing w:before="120" w:after="120"/>
        <w:rPr>
          <w:rFonts w:asciiTheme="minorHAnsi" w:hAnsiTheme="minorHAnsi" w:cstheme="minorHAnsi"/>
          <w:szCs w:val="24"/>
        </w:rPr>
      </w:pPr>
      <w:r w:rsidRPr="00891E7C">
        <w:rPr>
          <w:rFonts w:asciiTheme="minorHAnsi" w:hAnsiTheme="minorHAnsi" w:cstheme="minorHAnsi"/>
          <w:szCs w:val="24"/>
        </w:rPr>
        <w:t>The Privacy Commissioner is satisfied that the consultation undertaken is</w:t>
      </w:r>
      <w:r>
        <w:rPr>
          <w:rFonts w:asciiTheme="minorHAnsi" w:hAnsiTheme="minorHAnsi" w:cstheme="minorHAnsi"/>
          <w:szCs w:val="24"/>
        </w:rPr>
        <w:t xml:space="preserve"> </w:t>
      </w:r>
      <w:r w:rsidRPr="00891E7C">
        <w:rPr>
          <w:rFonts w:asciiTheme="minorHAnsi" w:hAnsiTheme="minorHAnsi" w:cstheme="minorHAnsi"/>
          <w:szCs w:val="24"/>
        </w:rPr>
        <w:t>adequate to satisfy the requirements of s</w:t>
      </w:r>
      <w:r>
        <w:rPr>
          <w:rFonts w:asciiTheme="minorHAnsi" w:hAnsiTheme="minorHAnsi" w:cstheme="minorHAnsi"/>
          <w:szCs w:val="24"/>
        </w:rPr>
        <w:t xml:space="preserve">17 of the Legislative Instruments Act, and </w:t>
      </w:r>
      <w:proofErr w:type="gramStart"/>
      <w:r>
        <w:rPr>
          <w:rFonts w:asciiTheme="minorHAnsi" w:hAnsiTheme="minorHAnsi" w:cstheme="minorHAnsi"/>
          <w:szCs w:val="24"/>
        </w:rPr>
        <w:t>s</w:t>
      </w:r>
      <w:r w:rsidRPr="00891E7C">
        <w:rPr>
          <w:rFonts w:asciiTheme="minorHAnsi" w:hAnsiTheme="minorHAnsi" w:cstheme="minorHAnsi"/>
          <w:szCs w:val="24"/>
        </w:rPr>
        <w:t>18BE(</w:t>
      </w:r>
      <w:proofErr w:type="gramEnd"/>
      <w:r w:rsidRPr="00891E7C">
        <w:rPr>
          <w:rFonts w:asciiTheme="minorHAnsi" w:hAnsiTheme="minorHAnsi" w:cstheme="minorHAnsi"/>
          <w:szCs w:val="24"/>
        </w:rPr>
        <w:t>2) of the Privacy Act</w:t>
      </w:r>
      <w:r>
        <w:rPr>
          <w:rFonts w:asciiTheme="minorHAnsi" w:hAnsiTheme="minorHAnsi" w:cstheme="minorHAnsi"/>
          <w:szCs w:val="24"/>
        </w:rPr>
        <w:t>.</w:t>
      </w:r>
    </w:p>
    <w:p w14:paraId="1DD41E21" w14:textId="77777777" w:rsidR="00E636F4" w:rsidRPr="00FF3C61" w:rsidRDefault="00E636F4" w:rsidP="00E636F4">
      <w:pPr>
        <w:spacing w:before="120" w:after="120"/>
        <w:rPr>
          <w:rFonts w:asciiTheme="minorHAnsi" w:hAnsiTheme="minorHAnsi" w:cstheme="minorHAnsi"/>
          <w:b/>
          <w:bCs/>
          <w:szCs w:val="24"/>
        </w:rPr>
      </w:pPr>
      <w:r w:rsidRPr="00891E7C">
        <w:rPr>
          <w:rFonts w:asciiTheme="minorHAnsi" w:hAnsiTheme="minorHAnsi" w:cstheme="minorHAnsi"/>
          <w:b/>
          <w:bCs/>
          <w:szCs w:val="24"/>
        </w:rPr>
        <w:t xml:space="preserve">6. </w:t>
      </w:r>
      <w:r w:rsidRPr="00FF3C61">
        <w:rPr>
          <w:rFonts w:asciiTheme="minorHAnsi" w:hAnsiTheme="minorHAnsi" w:cstheme="minorHAnsi"/>
          <w:b/>
          <w:bCs/>
          <w:szCs w:val="24"/>
        </w:rPr>
        <w:t>Statement of Compatibility with Human Rights</w:t>
      </w:r>
    </w:p>
    <w:p w14:paraId="1DD41E22" w14:textId="77777777" w:rsidR="00E636F4" w:rsidRDefault="00E636F4" w:rsidP="00E636F4">
      <w:pPr>
        <w:spacing w:after="240"/>
        <w:rPr>
          <w:i/>
        </w:rPr>
      </w:pPr>
      <w:r>
        <w:t xml:space="preserve">This </w:t>
      </w:r>
      <w:r w:rsidRPr="00263650">
        <w:t>Statement of Compatibility with Human Rights</w:t>
      </w:r>
      <w:r>
        <w:t xml:space="preserve"> has been prepared in accordance with Part 3 of the </w:t>
      </w:r>
      <w:r w:rsidRPr="004C7400">
        <w:rPr>
          <w:i/>
        </w:rPr>
        <w:t>Human Rights (Parliamentary Scrutiny) Act 2011</w:t>
      </w:r>
      <w:r>
        <w:t xml:space="preserve"> (</w:t>
      </w:r>
      <w:proofErr w:type="spellStart"/>
      <w:r>
        <w:t>Cth</w:t>
      </w:r>
      <w:proofErr w:type="spellEnd"/>
      <w:r>
        <w:t>)</w:t>
      </w:r>
      <w:r>
        <w:rPr>
          <w:i/>
        </w:rPr>
        <w:t>.</w:t>
      </w:r>
    </w:p>
    <w:p w14:paraId="1DD41E23" w14:textId="77777777" w:rsidR="00E636F4" w:rsidRDefault="00E636F4" w:rsidP="00E636F4">
      <w:pPr>
        <w:spacing w:after="240"/>
      </w:pPr>
      <w:r>
        <w:rPr>
          <w:rFonts w:asciiTheme="minorHAnsi" w:hAnsiTheme="minorHAnsi" w:cstheme="minorHAnsi"/>
          <w:szCs w:val="24"/>
        </w:rPr>
        <w:t>T</w:t>
      </w:r>
      <w:r w:rsidRPr="00891E7C">
        <w:rPr>
          <w:rFonts w:asciiTheme="minorHAnsi" w:hAnsiTheme="minorHAnsi" w:cstheme="minorHAnsi"/>
          <w:szCs w:val="24"/>
        </w:rPr>
        <w:t xml:space="preserve">he </w:t>
      </w:r>
      <w:r>
        <w:rPr>
          <w:rFonts w:asciiTheme="minorHAnsi" w:hAnsiTheme="minorHAnsi" w:cstheme="minorHAnsi"/>
          <w:szCs w:val="24"/>
        </w:rPr>
        <w:t>Revocation</w:t>
      </w:r>
      <w:r w:rsidRPr="00020423">
        <w:t xml:space="preserve"> </w:t>
      </w:r>
      <w:r>
        <w:t xml:space="preserve">is </w:t>
      </w:r>
      <w:r w:rsidRPr="00020423">
        <w:t xml:space="preserve">compatible with the human rights and freedoms recognised or declared in the international instruments listed in s3 of the </w:t>
      </w:r>
      <w:r w:rsidRPr="00020423">
        <w:rPr>
          <w:i/>
        </w:rPr>
        <w:t>Human Rights (Parliamentary Scrutiny) Act 2011</w:t>
      </w:r>
      <w:r>
        <w:rPr>
          <w:i/>
        </w:rPr>
        <w:t xml:space="preserve"> </w:t>
      </w:r>
      <w:r>
        <w:t>(</w:t>
      </w:r>
      <w:proofErr w:type="spellStart"/>
      <w:r>
        <w:t>Cth</w:t>
      </w:r>
      <w:proofErr w:type="spellEnd"/>
      <w:r>
        <w:t>)</w:t>
      </w:r>
      <w:r w:rsidRPr="00020423">
        <w:t>.</w:t>
      </w:r>
    </w:p>
    <w:p w14:paraId="1DD41E24" w14:textId="77777777" w:rsidR="00E636F4" w:rsidRPr="008F5FDA" w:rsidRDefault="00E636F4" w:rsidP="00E636F4">
      <w:pPr>
        <w:pStyle w:val="Heading3"/>
      </w:pPr>
      <w:r w:rsidRPr="008F5FDA">
        <w:t xml:space="preserve">Objectives of </w:t>
      </w:r>
      <w:r>
        <w:t>the Revocation</w:t>
      </w:r>
    </w:p>
    <w:p w14:paraId="1DD41E25" w14:textId="77777777" w:rsidR="00E636F4" w:rsidRDefault="00E636F4" w:rsidP="00E636F4">
      <w:pPr>
        <w:spacing w:before="120" w:after="120"/>
      </w:pPr>
      <w:r>
        <w:t xml:space="preserve">The </w:t>
      </w:r>
      <w:r w:rsidRPr="0056216D">
        <w:t xml:space="preserve">central public interest objective being served </w:t>
      </w:r>
      <w:r>
        <w:t>by the Revocation is the revocation of the approval of a privacy code that does not adequately meet its objectives, including the objective of facilitating ‘</w:t>
      </w:r>
      <w:r w:rsidRPr="00F954A1">
        <w:rPr>
          <w:i/>
          <w:szCs w:val="24"/>
        </w:rPr>
        <w:t xml:space="preserve">the protection of personal information provided by, or held in relation to, </w:t>
      </w:r>
      <w:r w:rsidRPr="002B5097">
        <w:rPr>
          <w:i/>
          <w:szCs w:val="24"/>
        </w:rPr>
        <w:t>biometric systems</w:t>
      </w:r>
      <w:r>
        <w:rPr>
          <w:i/>
          <w:szCs w:val="24"/>
        </w:rPr>
        <w:t>’.</w:t>
      </w:r>
    </w:p>
    <w:p w14:paraId="1DD41E26" w14:textId="77777777" w:rsidR="00E636F4" w:rsidRPr="00FF7D74" w:rsidRDefault="00E636F4" w:rsidP="00E636F4">
      <w:pPr>
        <w:pStyle w:val="Heading3"/>
      </w:pPr>
      <w:r w:rsidRPr="00FF7D74">
        <w:t>Human rights implications</w:t>
      </w:r>
    </w:p>
    <w:p w14:paraId="1DD41E27" w14:textId="77777777" w:rsidR="00E636F4" w:rsidRDefault="00E636F4" w:rsidP="00E636F4">
      <w:pPr>
        <w:spacing w:before="120" w:after="120"/>
      </w:pPr>
      <w:r>
        <w:t>The Revocation engages the right to privacy. The Revocation has the effect of requiring that subscribers to the Code comply with the NPPs rather than the Code.</w:t>
      </w:r>
    </w:p>
    <w:p w14:paraId="1DD41E28" w14:textId="77777777" w:rsidR="00E636F4" w:rsidRPr="008F5FDA" w:rsidRDefault="00E636F4" w:rsidP="00E636F4">
      <w:pPr>
        <w:pStyle w:val="Heading3"/>
      </w:pPr>
      <w:r w:rsidRPr="008F5FDA">
        <w:t>Conc</w:t>
      </w:r>
      <w:r>
        <w:t>l</w:t>
      </w:r>
      <w:r w:rsidRPr="008F5FDA">
        <w:t>usion</w:t>
      </w:r>
    </w:p>
    <w:p w14:paraId="1DD41E29" w14:textId="77777777" w:rsidR="00E636F4" w:rsidRDefault="00E636F4" w:rsidP="00E636F4">
      <w:pPr>
        <w:spacing w:before="120" w:after="120"/>
      </w:pPr>
      <w:r>
        <w:t xml:space="preserve">The Revocation is </w:t>
      </w:r>
      <w:r w:rsidRPr="00020423">
        <w:t xml:space="preserve">compatible with human rights because </w:t>
      </w:r>
      <w:r>
        <w:t>it does not diminish</w:t>
      </w:r>
      <w:r w:rsidRPr="00020423">
        <w:t xml:space="preserve"> the protection of human rights.</w:t>
      </w:r>
    </w:p>
    <w:p w14:paraId="1DD41E2A" w14:textId="77777777" w:rsidR="00E636F4" w:rsidRDefault="00E636F4" w:rsidP="00E636F4"/>
    <w:p w14:paraId="1DD41E2B" w14:textId="77777777" w:rsidR="00C7560C" w:rsidRDefault="00C7560C"/>
    <w:sectPr w:rsidR="00C7560C" w:rsidSect="00E636F4">
      <w:headerReference w:type="default" r:id="rId13"/>
      <w:footerReference w:type="even" r:id="rId14"/>
      <w:footerReference w:type="defaul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41E32" w14:textId="77777777" w:rsidR="004B1825" w:rsidRDefault="004B1825" w:rsidP="00E636F4">
      <w:r>
        <w:separator/>
      </w:r>
    </w:p>
  </w:endnote>
  <w:endnote w:type="continuationSeparator" w:id="0">
    <w:p w14:paraId="1DD41E33" w14:textId="77777777" w:rsidR="004B1825" w:rsidRDefault="004B1825" w:rsidP="00E6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1E36" w14:textId="77777777" w:rsidR="004B1825" w:rsidRPr="00EE2B8D" w:rsidRDefault="004B1825" w:rsidP="00C7560C">
    <w:pPr>
      <w:pStyle w:val="Footer"/>
      <w:tabs>
        <w:tab w:val="clear" w:pos="9026"/>
        <w:tab w:val="right" w:pos="9356"/>
      </w:tabs>
      <w:ind w:left="-284" w:right="-46"/>
      <w:rPr>
        <w:sz w:val="22"/>
      </w:rPr>
    </w:pPr>
    <w:r w:rsidRPr="00EE2B8D">
      <w:rPr>
        <w:rFonts w:eastAsiaTheme="majorEastAsia"/>
      </w:rPr>
      <w:fldChar w:fldCharType="begin"/>
    </w:r>
    <w:r w:rsidRPr="00EE2B8D">
      <w:rPr>
        <w:sz w:val="22"/>
      </w:rPr>
      <w:instrText xml:space="preserve"> FILENAME   \* MERGEFORMAT </w:instrText>
    </w:r>
    <w:r w:rsidRPr="00EE2B8D">
      <w:rPr>
        <w:rFonts w:eastAsiaTheme="majorEastAsia"/>
      </w:rPr>
      <w:fldChar w:fldCharType="separate"/>
    </w:r>
    <w:r w:rsidRPr="004B1825">
      <w:rPr>
        <w:rStyle w:val="PageNumber"/>
        <w:rFonts w:eastAsiaTheme="majorEastAsia"/>
        <w:noProof/>
      </w:rPr>
      <w:t>Revocation</w:t>
    </w:r>
    <w:r>
      <w:rPr>
        <w:noProof/>
        <w:sz w:val="22"/>
      </w:rPr>
      <w:t xml:space="preserve"> of Biometrics Institute Privacy Code ES Final.docx</w:t>
    </w:r>
    <w:r w:rsidRPr="00EE2B8D">
      <w:rPr>
        <w:rStyle w:val="PageNumber"/>
        <w:rFonts w:eastAsiaTheme="majorEastAsia"/>
        <w:noProof/>
        <w:sz w:val="22"/>
      </w:rPr>
      <w:fldChar w:fldCharType="end"/>
    </w:r>
    <w:r w:rsidRPr="00EE2B8D">
      <w:rPr>
        <w:rStyle w:val="PageNumber"/>
        <w:rFonts w:eastAsiaTheme="majorEastAsia"/>
        <w:sz w:val="22"/>
      </w:rPr>
      <w:t xml:space="preserve"> </w:t>
    </w:r>
    <w:r w:rsidRPr="00EE2B8D">
      <w:rPr>
        <w:rStyle w:val="PageNumber"/>
        <w:rFonts w:eastAsiaTheme="majorEastAsia"/>
        <w:sz w:val="22"/>
      </w:rPr>
      <w:tab/>
    </w:r>
    <w:r w:rsidRPr="00EE2B8D">
      <w:rPr>
        <w:rStyle w:val="PageNumber"/>
        <w:rFonts w:eastAsiaTheme="majorEastAsia"/>
        <w:sz w:val="22"/>
      </w:rPr>
      <w:tab/>
    </w:r>
    <w:r w:rsidRPr="00EE2B8D">
      <w:rPr>
        <w:rStyle w:val="PageNumber"/>
        <w:rFonts w:eastAsiaTheme="majorEastAsia"/>
        <w:sz w:val="22"/>
      </w:rPr>
      <w:fldChar w:fldCharType="begin"/>
    </w:r>
    <w:r w:rsidRPr="00EE2B8D">
      <w:rPr>
        <w:rStyle w:val="PageNumber"/>
        <w:rFonts w:eastAsiaTheme="majorEastAsia"/>
        <w:sz w:val="22"/>
      </w:rPr>
      <w:instrText xml:space="preserve"> PAGE   \* MERGEFORMAT </w:instrText>
    </w:r>
    <w:r w:rsidRPr="00EE2B8D">
      <w:rPr>
        <w:rStyle w:val="PageNumber"/>
        <w:rFonts w:eastAsiaTheme="majorEastAsia"/>
        <w:sz w:val="22"/>
      </w:rPr>
      <w:fldChar w:fldCharType="separate"/>
    </w:r>
    <w:r>
      <w:rPr>
        <w:rStyle w:val="PageNumber"/>
        <w:rFonts w:eastAsiaTheme="majorEastAsia"/>
        <w:noProof/>
        <w:sz w:val="22"/>
      </w:rPr>
      <w:t>4</w:t>
    </w:r>
    <w:r w:rsidRPr="00EE2B8D">
      <w:rPr>
        <w:rStyle w:val="PageNumber"/>
        <w:rFonts w:eastAsiaTheme="majorEastAsia"/>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1E37" w14:textId="77777777" w:rsidR="004B1825" w:rsidRPr="009B1796" w:rsidRDefault="004B1825">
    <w:pPr>
      <w:pStyle w:val="Footer"/>
      <w:rPr>
        <w:b/>
        <w:i/>
      </w:rPr>
    </w:pPr>
    <w:r>
      <w:rPr>
        <w:b/>
      </w:rPr>
      <w:t xml:space="preserve">OAIC Explanatory Statement – Revocation of the </w:t>
    </w:r>
    <w:r>
      <w:rPr>
        <w:b/>
        <w:i/>
      </w:rPr>
      <w:t>Biometrics Institute Privacy Code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41E30" w14:textId="77777777" w:rsidR="004B1825" w:rsidRDefault="004B1825" w:rsidP="00E636F4">
      <w:r>
        <w:separator/>
      </w:r>
    </w:p>
  </w:footnote>
  <w:footnote w:type="continuationSeparator" w:id="0">
    <w:p w14:paraId="1DD41E31" w14:textId="77777777" w:rsidR="004B1825" w:rsidRDefault="004B1825" w:rsidP="00E6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1E34" w14:textId="77777777" w:rsidR="004B1825" w:rsidRPr="00E07CE9" w:rsidRDefault="004B1825" w:rsidP="00C7560C">
    <w:pPr>
      <w:pBdr>
        <w:bottom w:val="single" w:sz="4" w:space="1" w:color="A6A6A6"/>
      </w:pBdr>
      <w:tabs>
        <w:tab w:val="center" w:pos="4513"/>
        <w:tab w:val="right" w:pos="9026"/>
      </w:tabs>
      <w:jc w:val="right"/>
      <w:rPr>
        <w:rFonts w:eastAsia="Calibri"/>
        <w:smallCaps/>
        <w:sz w:val="22"/>
        <w:lang w:eastAsia="en-US"/>
      </w:rPr>
    </w:pPr>
    <w:r>
      <w:rPr>
        <w:rFonts w:eastAsia="Calibri"/>
        <w:sz w:val="22"/>
        <w:lang w:eastAsia="en-US"/>
      </w:rPr>
      <w:t>Office of the Australian Information Commissioner</w:t>
    </w:r>
  </w:p>
  <w:p w14:paraId="1DD41E35" w14:textId="77777777" w:rsidR="004B1825" w:rsidRDefault="004B1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F4"/>
    <w:rsid w:val="000A0598"/>
    <w:rsid w:val="00431262"/>
    <w:rsid w:val="004B1825"/>
    <w:rsid w:val="00581826"/>
    <w:rsid w:val="007478CB"/>
    <w:rsid w:val="009C7D1B"/>
    <w:rsid w:val="00C7560C"/>
    <w:rsid w:val="00E636F4"/>
    <w:rsid w:val="00E71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36F4"/>
    <w:pPr>
      <w:spacing w:after="0" w:line="240" w:lineRule="auto"/>
    </w:pPr>
    <w:rPr>
      <w:rFonts w:ascii="Calibri" w:eastAsia="Times New Roman" w:hAnsi="Calibri" w:cs="Times New Roman"/>
      <w:sz w:val="24"/>
      <w:lang w:eastAsia="en-AU"/>
    </w:rPr>
  </w:style>
  <w:style w:type="paragraph" w:styleId="Heading1">
    <w:name w:val="heading 1"/>
    <w:basedOn w:val="Normal"/>
    <w:next w:val="Normal"/>
    <w:link w:val="Heading1Char"/>
    <w:uiPriority w:val="1"/>
    <w:qFormat/>
    <w:rsid w:val="00E636F4"/>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1"/>
    <w:unhideWhenUsed/>
    <w:qFormat/>
    <w:rsid w:val="00E636F4"/>
    <w:p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1"/>
    <w:unhideWhenUsed/>
    <w:qFormat/>
    <w:rsid w:val="00E636F4"/>
    <w:pPr>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36F4"/>
    <w:rPr>
      <w:rFonts w:asciiTheme="majorHAnsi" w:eastAsiaTheme="majorEastAsia" w:hAnsiTheme="majorHAnsi" w:cstheme="majorBidi"/>
      <w:b/>
      <w:bCs/>
      <w:sz w:val="36"/>
      <w:szCs w:val="28"/>
      <w:lang w:eastAsia="en-AU"/>
    </w:rPr>
  </w:style>
  <w:style w:type="character" w:customStyle="1" w:styleId="Heading2Char">
    <w:name w:val="Heading 2 Char"/>
    <w:basedOn w:val="DefaultParagraphFont"/>
    <w:link w:val="Heading2"/>
    <w:uiPriority w:val="1"/>
    <w:rsid w:val="00E636F4"/>
    <w:rPr>
      <w:rFonts w:asciiTheme="majorHAnsi" w:eastAsiaTheme="majorEastAsia" w:hAnsiTheme="majorHAnsi" w:cstheme="majorBidi"/>
      <w:b/>
      <w:bCs/>
      <w:sz w:val="26"/>
      <w:szCs w:val="26"/>
      <w:lang w:eastAsia="en-AU"/>
    </w:rPr>
  </w:style>
  <w:style w:type="character" w:customStyle="1" w:styleId="Heading3Char">
    <w:name w:val="Heading 3 Char"/>
    <w:basedOn w:val="DefaultParagraphFont"/>
    <w:link w:val="Heading3"/>
    <w:uiPriority w:val="1"/>
    <w:rsid w:val="00E636F4"/>
    <w:rPr>
      <w:rFonts w:asciiTheme="majorHAnsi" w:eastAsiaTheme="majorEastAsia" w:hAnsiTheme="majorHAnsi" w:cstheme="majorBidi"/>
      <w:b/>
      <w:bCs/>
      <w:sz w:val="24"/>
      <w:lang w:eastAsia="en-AU"/>
    </w:rPr>
  </w:style>
  <w:style w:type="paragraph" w:styleId="NoSpacing">
    <w:name w:val="No Spacing"/>
    <w:basedOn w:val="Normal"/>
    <w:uiPriority w:val="3"/>
    <w:qFormat/>
    <w:rsid w:val="00E636F4"/>
  </w:style>
  <w:style w:type="paragraph" w:styleId="Header">
    <w:name w:val="header"/>
    <w:basedOn w:val="Normal"/>
    <w:link w:val="HeaderChar"/>
    <w:uiPriority w:val="99"/>
    <w:unhideWhenUsed/>
    <w:rsid w:val="00E636F4"/>
    <w:pPr>
      <w:tabs>
        <w:tab w:val="center" w:pos="4513"/>
        <w:tab w:val="right" w:pos="9026"/>
      </w:tabs>
    </w:pPr>
  </w:style>
  <w:style w:type="character" w:customStyle="1" w:styleId="HeaderChar">
    <w:name w:val="Header Char"/>
    <w:basedOn w:val="DefaultParagraphFont"/>
    <w:link w:val="Header"/>
    <w:uiPriority w:val="99"/>
    <w:rsid w:val="00E636F4"/>
    <w:rPr>
      <w:rFonts w:ascii="Calibri" w:eastAsia="Times New Roman" w:hAnsi="Calibri" w:cs="Times New Roman"/>
      <w:sz w:val="24"/>
      <w:lang w:eastAsia="en-AU"/>
    </w:rPr>
  </w:style>
  <w:style w:type="paragraph" w:styleId="Footer">
    <w:name w:val="footer"/>
    <w:aliases w:val="OPC Footer"/>
    <w:basedOn w:val="Normal"/>
    <w:link w:val="FooterChar"/>
    <w:uiPriority w:val="99"/>
    <w:unhideWhenUsed/>
    <w:rsid w:val="00E636F4"/>
    <w:pPr>
      <w:tabs>
        <w:tab w:val="center" w:pos="4513"/>
        <w:tab w:val="right" w:pos="9026"/>
      </w:tabs>
    </w:pPr>
  </w:style>
  <w:style w:type="character" w:customStyle="1" w:styleId="FooterChar">
    <w:name w:val="Footer Char"/>
    <w:aliases w:val="OPC Footer Char"/>
    <w:basedOn w:val="DefaultParagraphFont"/>
    <w:link w:val="Footer"/>
    <w:uiPriority w:val="99"/>
    <w:rsid w:val="00E636F4"/>
    <w:rPr>
      <w:rFonts w:ascii="Calibri" w:eastAsia="Times New Roman" w:hAnsi="Calibri" w:cs="Times New Roman"/>
      <w:sz w:val="24"/>
      <w:lang w:eastAsia="en-AU"/>
    </w:rPr>
  </w:style>
  <w:style w:type="character" w:styleId="PageNumber">
    <w:name w:val="page number"/>
    <w:basedOn w:val="DefaultParagraphFont"/>
    <w:uiPriority w:val="3"/>
    <w:rsid w:val="00E636F4"/>
  </w:style>
  <w:style w:type="paragraph" w:customStyle="1" w:styleId="Bulletlist">
    <w:name w:val="Bullet list"/>
    <w:basedOn w:val="ListParagraph"/>
    <w:qFormat/>
    <w:rsid w:val="00E636F4"/>
    <w:pPr>
      <w:numPr>
        <w:numId w:val="1"/>
      </w:numPr>
      <w:spacing w:after="120"/>
      <w:ind w:hanging="578"/>
      <w:contextualSpacing w:val="0"/>
    </w:pPr>
  </w:style>
  <w:style w:type="paragraph" w:customStyle="1" w:styleId="BodyText1">
    <w:name w:val="Body Text1"/>
    <w:basedOn w:val="Normal"/>
    <w:qFormat/>
    <w:rsid w:val="00E636F4"/>
    <w:pPr>
      <w:spacing w:after="240"/>
    </w:pPr>
  </w:style>
  <w:style w:type="paragraph" w:customStyle="1" w:styleId="subsection">
    <w:name w:val="subsection"/>
    <w:basedOn w:val="Normal"/>
    <w:rsid w:val="00E636F4"/>
    <w:pPr>
      <w:spacing w:before="100" w:beforeAutospacing="1" w:after="100" w:afterAutospacing="1"/>
    </w:pPr>
    <w:rPr>
      <w:rFonts w:ascii="Times New Roman" w:hAnsi="Times New Roman"/>
      <w:szCs w:val="24"/>
    </w:rPr>
  </w:style>
  <w:style w:type="paragraph" w:customStyle="1" w:styleId="paragraph">
    <w:name w:val="paragraph"/>
    <w:basedOn w:val="Normal"/>
    <w:rsid w:val="00E636F4"/>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E636F4"/>
    <w:pPr>
      <w:ind w:left="720"/>
      <w:contextualSpacing/>
    </w:pPr>
  </w:style>
  <w:style w:type="paragraph" w:styleId="BalloonText">
    <w:name w:val="Balloon Text"/>
    <w:basedOn w:val="Normal"/>
    <w:link w:val="BalloonTextChar"/>
    <w:uiPriority w:val="99"/>
    <w:semiHidden/>
    <w:unhideWhenUsed/>
    <w:rsid w:val="00E636F4"/>
    <w:rPr>
      <w:rFonts w:ascii="Tahoma" w:hAnsi="Tahoma" w:cs="Tahoma"/>
      <w:sz w:val="16"/>
      <w:szCs w:val="16"/>
    </w:rPr>
  </w:style>
  <w:style w:type="character" w:customStyle="1" w:styleId="BalloonTextChar">
    <w:name w:val="Balloon Text Char"/>
    <w:basedOn w:val="DefaultParagraphFont"/>
    <w:link w:val="BalloonText"/>
    <w:uiPriority w:val="99"/>
    <w:semiHidden/>
    <w:rsid w:val="00E636F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36F4"/>
    <w:pPr>
      <w:spacing w:after="0" w:line="240" w:lineRule="auto"/>
    </w:pPr>
    <w:rPr>
      <w:rFonts w:ascii="Calibri" w:eastAsia="Times New Roman" w:hAnsi="Calibri" w:cs="Times New Roman"/>
      <w:sz w:val="24"/>
      <w:lang w:eastAsia="en-AU"/>
    </w:rPr>
  </w:style>
  <w:style w:type="paragraph" w:styleId="Heading1">
    <w:name w:val="heading 1"/>
    <w:basedOn w:val="Normal"/>
    <w:next w:val="Normal"/>
    <w:link w:val="Heading1Char"/>
    <w:uiPriority w:val="1"/>
    <w:qFormat/>
    <w:rsid w:val="00E636F4"/>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1"/>
    <w:unhideWhenUsed/>
    <w:qFormat/>
    <w:rsid w:val="00E636F4"/>
    <w:p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1"/>
    <w:unhideWhenUsed/>
    <w:qFormat/>
    <w:rsid w:val="00E636F4"/>
    <w:pPr>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36F4"/>
    <w:rPr>
      <w:rFonts w:asciiTheme="majorHAnsi" w:eastAsiaTheme="majorEastAsia" w:hAnsiTheme="majorHAnsi" w:cstheme="majorBidi"/>
      <w:b/>
      <w:bCs/>
      <w:sz w:val="36"/>
      <w:szCs w:val="28"/>
      <w:lang w:eastAsia="en-AU"/>
    </w:rPr>
  </w:style>
  <w:style w:type="character" w:customStyle="1" w:styleId="Heading2Char">
    <w:name w:val="Heading 2 Char"/>
    <w:basedOn w:val="DefaultParagraphFont"/>
    <w:link w:val="Heading2"/>
    <w:uiPriority w:val="1"/>
    <w:rsid w:val="00E636F4"/>
    <w:rPr>
      <w:rFonts w:asciiTheme="majorHAnsi" w:eastAsiaTheme="majorEastAsia" w:hAnsiTheme="majorHAnsi" w:cstheme="majorBidi"/>
      <w:b/>
      <w:bCs/>
      <w:sz w:val="26"/>
      <w:szCs w:val="26"/>
      <w:lang w:eastAsia="en-AU"/>
    </w:rPr>
  </w:style>
  <w:style w:type="character" w:customStyle="1" w:styleId="Heading3Char">
    <w:name w:val="Heading 3 Char"/>
    <w:basedOn w:val="DefaultParagraphFont"/>
    <w:link w:val="Heading3"/>
    <w:uiPriority w:val="1"/>
    <w:rsid w:val="00E636F4"/>
    <w:rPr>
      <w:rFonts w:asciiTheme="majorHAnsi" w:eastAsiaTheme="majorEastAsia" w:hAnsiTheme="majorHAnsi" w:cstheme="majorBidi"/>
      <w:b/>
      <w:bCs/>
      <w:sz w:val="24"/>
      <w:lang w:eastAsia="en-AU"/>
    </w:rPr>
  </w:style>
  <w:style w:type="paragraph" w:styleId="NoSpacing">
    <w:name w:val="No Spacing"/>
    <w:basedOn w:val="Normal"/>
    <w:uiPriority w:val="3"/>
    <w:qFormat/>
    <w:rsid w:val="00E636F4"/>
  </w:style>
  <w:style w:type="paragraph" w:styleId="Header">
    <w:name w:val="header"/>
    <w:basedOn w:val="Normal"/>
    <w:link w:val="HeaderChar"/>
    <w:uiPriority w:val="99"/>
    <w:unhideWhenUsed/>
    <w:rsid w:val="00E636F4"/>
    <w:pPr>
      <w:tabs>
        <w:tab w:val="center" w:pos="4513"/>
        <w:tab w:val="right" w:pos="9026"/>
      </w:tabs>
    </w:pPr>
  </w:style>
  <w:style w:type="character" w:customStyle="1" w:styleId="HeaderChar">
    <w:name w:val="Header Char"/>
    <w:basedOn w:val="DefaultParagraphFont"/>
    <w:link w:val="Header"/>
    <w:uiPriority w:val="99"/>
    <w:rsid w:val="00E636F4"/>
    <w:rPr>
      <w:rFonts w:ascii="Calibri" w:eastAsia="Times New Roman" w:hAnsi="Calibri" w:cs="Times New Roman"/>
      <w:sz w:val="24"/>
      <w:lang w:eastAsia="en-AU"/>
    </w:rPr>
  </w:style>
  <w:style w:type="paragraph" w:styleId="Footer">
    <w:name w:val="footer"/>
    <w:aliases w:val="OPC Footer"/>
    <w:basedOn w:val="Normal"/>
    <w:link w:val="FooterChar"/>
    <w:uiPriority w:val="99"/>
    <w:unhideWhenUsed/>
    <w:rsid w:val="00E636F4"/>
    <w:pPr>
      <w:tabs>
        <w:tab w:val="center" w:pos="4513"/>
        <w:tab w:val="right" w:pos="9026"/>
      </w:tabs>
    </w:pPr>
  </w:style>
  <w:style w:type="character" w:customStyle="1" w:styleId="FooterChar">
    <w:name w:val="Footer Char"/>
    <w:aliases w:val="OPC Footer Char"/>
    <w:basedOn w:val="DefaultParagraphFont"/>
    <w:link w:val="Footer"/>
    <w:uiPriority w:val="99"/>
    <w:rsid w:val="00E636F4"/>
    <w:rPr>
      <w:rFonts w:ascii="Calibri" w:eastAsia="Times New Roman" w:hAnsi="Calibri" w:cs="Times New Roman"/>
      <w:sz w:val="24"/>
      <w:lang w:eastAsia="en-AU"/>
    </w:rPr>
  </w:style>
  <w:style w:type="character" w:styleId="PageNumber">
    <w:name w:val="page number"/>
    <w:basedOn w:val="DefaultParagraphFont"/>
    <w:uiPriority w:val="3"/>
    <w:rsid w:val="00E636F4"/>
  </w:style>
  <w:style w:type="paragraph" w:customStyle="1" w:styleId="Bulletlist">
    <w:name w:val="Bullet list"/>
    <w:basedOn w:val="ListParagraph"/>
    <w:qFormat/>
    <w:rsid w:val="00E636F4"/>
    <w:pPr>
      <w:numPr>
        <w:numId w:val="1"/>
      </w:numPr>
      <w:spacing w:after="120"/>
      <w:ind w:hanging="578"/>
      <w:contextualSpacing w:val="0"/>
    </w:pPr>
  </w:style>
  <w:style w:type="paragraph" w:customStyle="1" w:styleId="BodyText1">
    <w:name w:val="Body Text1"/>
    <w:basedOn w:val="Normal"/>
    <w:qFormat/>
    <w:rsid w:val="00E636F4"/>
    <w:pPr>
      <w:spacing w:after="240"/>
    </w:pPr>
  </w:style>
  <w:style w:type="paragraph" w:customStyle="1" w:styleId="subsection">
    <w:name w:val="subsection"/>
    <w:basedOn w:val="Normal"/>
    <w:rsid w:val="00E636F4"/>
    <w:pPr>
      <w:spacing w:before="100" w:beforeAutospacing="1" w:after="100" w:afterAutospacing="1"/>
    </w:pPr>
    <w:rPr>
      <w:rFonts w:ascii="Times New Roman" w:hAnsi="Times New Roman"/>
      <w:szCs w:val="24"/>
    </w:rPr>
  </w:style>
  <w:style w:type="paragraph" w:customStyle="1" w:styleId="paragraph">
    <w:name w:val="paragraph"/>
    <w:basedOn w:val="Normal"/>
    <w:rsid w:val="00E636F4"/>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E636F4"/>
    <w:pPr>
      <w:ind w:left="720"/>
      <w:contextualSpacing/>
    </w:pPr>
  </w:style>
  <w:style w:type="paragraph" w:styleId="BalloonText">
    <w:name w:val="Balloon Text"/>
    <w:basedOn w:val="Normal"/>
    <w:link w:val="BalloonTextChar"/>
    <w:uiPriority w:val="99"/>
    <w:semiHidden/>
    <w:unhideWhenUsed/>
    <w:rsid w:val="00E636F4"/>
    <w:rPr>
      <w:rFonts w:ascii="Tahoma" w:hAnsi="Tahoma" w:cs="Tahoma"/>
      <w:sz w:val="16"/>
      <w:szCs w:val="16"/>
    </w:rPr>
  </w:style>
  <w:style w:type="character" w:customStyle="1" w:styleId="BalloonTextChar">
    <w:name w:val="Balloon Text Char"/>
    <w:basedOn w:val="DefaultParagraphFont"/>
    <w:link w:val="BalloonText"/>
    <w:uiPriority w:val="99"/>
    <w:semiHidden/>
    <w:rsid w:val="00E636F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ain_x0020_Topic xmlns="5410aa85-11fb-44c5-bd56-c3696582be3d" xsi:nil="true"/>
    <Overview xmlns="5410aa85-11fb-44c5-bd56-c3696582be3d" xsi:nil="true"/>
    <Privacy_x0020_Act_x0020_Provision xmlns="5410aa85-11fb-44c5-bd56-c3696582be3d" xsi:nil="true"/>
    <Registry_x0020_File_x0020_Number xmlns="5410aa85-11fb-44c5-bd56-c3696582be3d" xsi:nil="true"/>
    <Document_x0020_Type xmlns="5410aa85-11fb-44c5-bd56-c3696582be3d">37</Document_x0020_Type>
    <Industry_x0020_Sector xmlns="5410aa85-11fb-44c5-bd56-c3696582be3d" xsi:nil="true"/>
    <Project xmlns="5410aa85-11fb-44c5-bd56-c3696582be3d">154</Project>
    <Organisation xmlns="5410aa85-11fb-44c5-bd56-c3696582be3d" xsi:nil="true"/>
    <Policy_x0020_-_x0020_Activity xmlns="5410aa85-11fb-44c5-bd56-c3696582be3d">Other Statutory Functions</Policy_x0020_-_x0020_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Advice" ma:contentTypeID="0x010100CEFB1B121CC9C347B9123EB1C3B09A320500D1C7AC157E16264788F1340C429EF9FE" ma:contentTypeVersion="19" ma:contentTypeDescription="" ma:contentTypeScope="" ma:versionID="be266a6a79d37d82953e05e67da4528c">
  <xsd:schema xmlns:xsd="http://www.w3.org/2001/XMLSchema" xmlns:p="http://schemas.microsoft.com/office/2006/metadata/properties" xmlns:ns3="5410aa85-11fb-44c5-bd56-c3696582be3d" targetNamespace="http://schemas.microsoft.com/office/2006/metadata/properties" ma:root="true" ma:fieldsID="5ad5600586d71c30b78521bb92e1ba85" ns3:_="">
    <xsd:import namespace="5410aa85-11fb-44c5-bd56-c3696582be3d"/>
    <xsd:element name="properties">
      <xsd:complexType>
        <xsd:sequence>
          <xsd:element name="documentManagement">
            <xsd:complexType>
              <xsd:all>
                <xsd:element ref="ns3:Overview" minOccurs="0"/>
                <xsd:element ref="ns3:Policy_x0020_-_x0020_Activity" minOccurs="0"/>
                <xsd:element ref="ns3:Project" minOccurs="0"/>
                <xsd:element ref="ns3:Document_x0020_Type" minOccurs="0"/>
                <xsd:element ref="ns3:Registry_x0020_File_x0020_Number" minOccurs="0"/>
                <xsd:element ref="ns3:Industry_x0020_Sector" minOccurs="0"/>
                <xsd:element ref="ns3:Privacy_x0020_Act_x0020_Provision" minOccurs="0"/>
                <xsd:element ref="ns3:Main_x0020_Topic" minOccurs="0"/>
                <xsd:element ref="ns3:Organisation" minOccurs="0"/>
              </xsd:all>
            </xsd:complexType>
          </xsd:element>
        </xsd:sequence>
      </xsd:complexType>
    </xsd:element>
  </xsd:schema>
  <xsd:schema xmlns:xsd="http://www.w3.org/2001/XMLSchema" xmlns:dms="http://schemas.microsoft.com/office/2006/documentManagement/types" targetNamespace="5410aa85-11fb-44c5-bd56-c3696582be3d" elementFormDefault="qualified">
    <xsd:import namespace="http://schemas.microsoft.com/office/2006/documentManagement/types"/>
    <xsd:element name="Overview" ma:index="3" nillable="true" ma:displayName="Overview" ma:internalName="Overview">
      <xsd:simpleType>
        <xsd:restriction base="dms:Note"/>
      </xsd:simpleType>
    </xsd:element>
    <xsd:element name="Policy_x0020_-_x0020_Activity" ma:index="4" nillable="true" ma:displayName="Policy - Activity" ma:default="" ma:format="Dropdown" ma:internalName="Policy_x0020__x002d__x0020_Activity" ma:readOnly="false">
      <xsd:simpleType>
        <xsd:restriction base="dms:Choice">
          <xsd:enumeration value="Examine Enactments"/>
          <xsd:enumeration value="Research"/>
          <xsd:enumeration value="Submissions"/>
          <xsd:enumeration value="Other Statutory Functions"/>
          <xsd:enumeration value="Provide Advice (External)"/>
          <xsd:enumeration value="Provide Advice (Internal)"/>
          <xsd:enumeration value="Guidance material"/>
          <xsd:enumeration value="Speeches and presentations"/>
          <xsd:enumeration value="Stakeholder management"/>
        </xsd:restriction>
      </xsd:simpleType>
    </xsd:element>
    <xsd:element name="Project" ma:index="5" nillable="true" ma:displayName="Project" ma:list="{aa634adc-7b0d-4545-861a-f09a295c427b}" ma:internalName="Project" ma:showField="Display_x0020_Text" ma:web="5410aa85-11fb-44c5-bd56-c3696582be3d">
      <xsd:simpleType>
        <xsd:restriction base="dms:Lookup"/>
      </xsd:simpleType>
    </xsd:element>
    <xsd:element name="Document_x0020_Type" ma:index="6" nillable="true" ma:displayName="Document Type" ma:list="{f7d1a67d-d63e-4e73-9401-d1f896564f6f}" ma:internalName="Document_x0020_Type" ma:showField="Display_x0020_Text" ma:web="5410aa85-11fb-44c5-bd56-c3696582be3d">
      <xsd:simpleType>
        <xsd:restriction base="dms:Lookup"/>
      </xsd:simpleType>
    </xsd:element>
    <xsd:element name="Registry_x0020_File_x0020_Number" ma:index="7" nillable="true" ma:displayName="Registry File Number" ma:internalName="Registry_x0020_File_x0020_Number">
      <xsd:simpleType>
        <xsd:restriction base="dms:Text">
          <xsd:maxLength value="255"/>
        </xsd:restriction>
      </xsd:simpleType>
    </xsd:element>
    <xsd:element name="Industry_x0020_Sector" ma:index="8" nillable="true" ma:displayName="Industry Sector" ma:list="{f4604643-a42f-4b68-ad3c-f6a7b6baef9f}" ma:internalName="Industry_x0020_Sector" ma:showField="Display_x0020_Text" ma:web="5410aa85-11fb-44c5-bd56-c3696582be3d">
      <xsd:simpleType>
        <xsd:restriction base="dms:Lookup"/>
      </xsd:simpleType>
    </xsd:element>
    <xsd:element name="Privacy_x0020_Act_x0020_Provision" ma:index="9" nillable="true" ma:displayName="Privacy Act Provision" ma:list="{da1eb058-36a3-436c-992d-b90116d62af0}" ma:internalName="Privacy_x0020_Act_x0020_Provision" ma:showField="Display_x0020_Text" ma:web="5410aa85-11fb-44c5-bd56-c3696582be3d">
      <xsd:simpleType>
        <xsd:restriction base="dms:Lookup"/>
      </xsd:simpleType>
    </xsd:element>
    <xsd:element name="Main_x0020_Topic" ma:index="10" nillable="true" ma:displayName="Main Topic" ma:list="{c2cccaa3-8fb0-4dbb-84e7-5fd24b3e0db8}" ma:internalName="Main_x0020_Topic" ma:showField="Display_x0020_Text" ma:web="5410aa85-11fb-44c5-bd56-c3696582be3d">
      <xsd:simpleType>
        <xsd:restriction base="dms:Lookup"/>
      </xsd:simpleType>
    </xsd:element>
    <xsd:element name="Organisation" ma:index="11" nillable="true" ma:displayName="Organisation" ma:list="{7e0c43cb-1f8a-4cd8-8df1-0009d37fa749}" ma:internalName="Organisation" ma:showField="Display_x0020_Text" ma:web="5410aa85-11fb-44c5-bd56-c3696582be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BA7CE6-6BA5-4AB5-B292-4B2EE5467D1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5410aa85-11fb-44c5-bd56-c3696582be3d"/>
    <ds:schemaRef ds:uri="http://purl.org/dc/dcmitype/"/>
  </ds:schemaRefs>
</ds:datastoreItem>
</file>

<file path=customXml/itemProps2.xml><?xml version="1.0" encoding="utf-8"?>
<ds:datastoreItem xmlns:ds="http://schemas.openxmlformats.org/officeDocument/2006/customXml" ds:itemID="{7A37E92D-B59D-4E50-BA03-F39E71CE3236}">
  <ds:schemaRefs>
    <ds:schemaRef ds:uri="http://schemas.microsoft.com/sharepoint/v3/contenttype/forms"/>
  </ds:schemaRefs>
</ds:datastoreItem>
</file>

<file path=customXml/itemProps3.xml><?xml version="1.0" encoding="utf-8"?>
<ds:datastoreItem xmlns:ds="http://schemas.openxmlformats.org/officeDocument/2006/customXml" ds:itemID="{EAD7C9E3-1B8D-4134-A137-A42F5955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0aa85-11fb-44c5-bd56-c3696582be3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Revocation of Biometrics Institute Privacy Code ES Final</vt:lpstr>
    </vt:vector>
  </TitlesOfParts>
  <Company>Office of the Australian Information Commissioner</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Biometrics Institute Privacy Code ES Final</dc:title>
  <dc:creator>Leife Shallcross</dc:creator>
  <cp:lastModifiedBy>Sarah Croxall</cp:lastModifiedBy>
  <cp:revision>2</cp:revision>
  <cp:lastPrinted>2012-04-10T04:09:00Z</cp:lastPrinted>
  <dcterms:created xsi:type="dcterms:W3CDTF">2012-04-10T04:26:00Z</dcterms:created>
  <dcterms:modified xsi:type="dcterms:W3CDTF">2012-04-10T04:26:00Z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0x010100CEFB1B121CC9C347B9123EB1C3B09A320500D1C7AC157E16264788F1340C429EF9FE</vt:lpwstr>
  </property>
</Properties>
</file>