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60" w:rsidRDefault="000A4C60" w:rsidP="001A09D9">
      <w:pPr>
        <w:overflowPunct w:val="0"/>
        <w:autoSpaceDE w:val="0"/>
        <w:autoSpaceDN w:val="0"/>
        <w:adjustRightInd w:val="0"/>
        <w:ind w:left="567" w:hanging="567"/>
        <w:jc w:val="center"/>
        <w:textAlignment w:val="baseline"/>
        <w:rPr>
          <w:rFonts w:ascii="Times New Roman" w:hAnsi="Times New Roman"/>
          <w:b/>
          <w:bCs/>
          <w:sz w:val="28"/>
        </w:rPr>
      </w:pPr>
    </w:p>
    <w:p w:rsidR="000A4C60" w:rsidRDefault="000A4C60" w:rsidP="001A09D9">
      <w:pPr>
        <w:overflowPunct w:val="0"/>
        <w:autoSpaceDE w:val="0"/>
        <w:autoSpaceDN w:val="0"/>
        <w:adjustRightInd w:val="0"/>
        <w:ind w:left="567" w:hanging="567"/>
        <w:jc w:val="center"/>
        <w:textAlignment w:val="baseline"/>
        <w:rPr>
          <w:rFonts w:ascii="Times New Roman" w:hAnsi="Times New Roman"/>
          <w:b/>
          <w:bCs/>
          <w:sz w:val="28"/>
        </w:rPr>
      </w:pPr>
    </w:p>
    <w:p w:rsidR="001A09D9" w:rsidRPr="001A09D9" w:rsidRDefault="001A09D9" w:rsidP="001A09D9">
      <w:pPr>
        <w:overflowPunct w:val="0"/>
        <w:autoSpaceDE w:val="0"/>
        <w:autoSpaceDN w:val="0"/>
        <w:adjustRightInd w:val="0"/>
        <w:ind w:left="567" w:hanging="567"/>
        <w:jc w:val="center"/>
        <w:textAlignment w:val="baseline"/>
        <w:rPr>
          <w:rFonts w:ascii="Times New Roman" w:hAnsi="Times New Roman"/>
          <w:b/>
          <w:bCs/>
          <w:sz w:val="28"/>
        </w:rPr>
      </w:pPr>
      <w:r w:rsidRPr="001A09D9">
        <w:rPr>
          <w:rFonts w:ascii="Times New Roman" w:hAnsi="Times New Roman"/>
          <w:b/>
          <w:bCs/>
          <w:sz w:val="28"/>
        </w:rPr>
        <w:t>ASIC CLASS ORDER [CO 12/</w:t>
      </w:r>
      <w:r w:rsidR="002A1DD3">
        <w:rPr>
          <w:rFonts w:ascii="Times New Roman" w:hAnsi="Times New Roman"/>
          <w:b/>
          <w:bCs/>
          <w:sz w:val="28"/>
        </w:rPr>
        <w:t>41</w:t>
      </w:r>
      <w:r w:rsidR="00694FA8">
        <w:rPr>
          <w:rFonts w:ascii="Times New Roman" w:hAnsi="Times New Roman"/>
          <w:b/>
          <w:bCs/>
          <w:sz w:val="28"/>
        </w:rPr>
        <w:t>5</w:t>
      </w:r>
      <w:r w:rsidRPr="001A09D9">
        <w:rPr>
          <w:rFonts w:ascii="Times New Roman" w:hAnsi="Times New Roman"/>
          <w:b/>
          <w:bCs/>
          <w:sz w:val="28"/>
        </w:rPr>
        <w:t>]</w:t>
      </w:r>
    </w:p>
    <w:p w:rsidR="001A09D9" w:rsidRPr="001A09D9" w:rsidRDefault="001A09D9" w:rsidP="001A09D9">
      <w:pPr>
        <w:overflowPunct w:val="0"/>
        <w:autoSpaceDE w:val="0"/>
        <w:autoSpaceDN w:val="0"/>
        <w:adjustRightInd w:val="0"/>
        <w:ind w:left="567" w:hanging="567"/>
        <w:jc w:val="center"/>
        <w:textAlignment w:val="baseline"/>
        <w:rPr>
          <w:rFonts w:ascii="Times New Roman" w:hAnsi="Times New Roman"/>
          <w:b/>
          <w:bCs/>
          <w:sz w:val="28"/>
        </w:rPr>
      </w:pPr>
    </w:p>
    <w:p w:rsidR="001A09D9" w:rsidRPr="001A09D9" w:rsidRDefault="001A09D9" w:rsidP="001A09D9">
      <w:pPr>
        <w:overflowPunct w:val="0"/>
        <w:autoSpaceDE w:val="0"/>
        <w:autoSpaceDN w:val="0"/>
        <w:adjustRightInd w:val="0"/>
        <w:ind w:left="567" w:hanging="567"/>
        <w:jc w:val="center"/>
        <w:textAlignment w:val="baseline"/>
        <w:rPr>
          <w:rFonts w:ascii="Times New Roman" w:hAnsi="Times New Roman"/>
          <w:b/>
          <w:bCs/>
          <w:sz w:val="28"/>
        </w:rPr>
      </w:pPr>
      <w:r w:rsidRPr="001A09D9">
        <w:rPr>
          <w:rFonts w:ascii="Times New Roman" w:hAnsi="Times New Roman"/>
          <w:b/>
          <w:bCs/>
          <w:sz w:val="28"/>
        </w:rPr>
        <w:t>EXPLANATORY STATEMENT</w:t>
      </w:r>
    </w:p>
    <w:p w:rsidR="001A09D9" w:rsidRPr="001A09D9" w:rsidRDefault="001A09D9" w:rsidP="001A09D9">
      <w:pPr>
        <w:ind w:right="-311"/>
        <w:jc w:val="center"/>
        <w:rPr>
          <w:rFonts w:ascii="Times New Roman" w:hAnsi="Times New Roman"/>
          <w:szCs w:val="24"/>
        </w:rPr>
      </w:pPr>
    </w:p>
    <w:p w:rsidR="001A09D9" w:rsidRPr="001A09D9" w:rsidRDefault="001A09D9" w:rsidP="001A09D9">
      <w:pPr>
        <w:tabs>
          <w:tab w:val="left" w:pos="567"/>
          <w:tab w:val="left" w:pos="680"/>
        </w:tabs>
        <w:overflowPunct w:val="0"/>
        <w:autoSpaceDE w:val="0"/>
        <w:autoSpaceDN w:val="0"/>
        <w:adjustRightInd w:val="0"/>
        <w:spacing w:before="200" w:line="300" w:lineRule="atLeast"/>
        <w:jc w:val="center"/>
        <w:textAlignment w:val="baseline"/>
        <w:rPr>
          <w:rFonts w:ascii="Times New Roman" w:hAnsi="Times New Roman"/>
        </w:rPr>
      </w:pPr>
      <w:r w:rsidRPr="001A09D9">
        <w:rPr>
          <w:rFonts w:ascii="Times New Roman" w:hAnsi="Times New Roman"/>
        </w:rPr>
        <w:t>Prepared by the Australian Securities and Investments Commission</w:t>
      </w:r>
    </w:p>
    <w:p w:rsidR="001A09D9" w:rsidRPr="001A09D9" w:rsidRDefault="001A09D9" w:rsidP="001A09D9">
      <w:pPr>
        <w:tabs>
          <w:tab w:val="left" w:pos="567"/>
          <w:tab w:val="left" w:pos="680"/>
        </w:tabs>
        <w:overflowPunct w:val="0"/>
        <w:autoSpaceDE w:val="0"/>
        <w:autoSpaceDN w:val="0"/>
        <w:adjustRightInd w:val="0"/>
        <w:spacing w:before="200" w:line="300" w:lineRule="atLeast"/>
        <w:jc w:val="center"/>
        <w:textAlignment w:val="baseline"/>
        <w:rPr>
          <w:rFonts w:ascii="Times New Roman" w:hAnsi="Times New Roman"/>
          <w:i/>
          <w:iCs/>
        </w:rPr>
      </w:pPr>
      <w:r w:rsidRPr="001A09D9">
        <w:rPr>
          <w:rFonts w:ascii="Times New Roman" w:hAnsi="Times New Roman"/>
          <w:i/>
          <w:iCs/>
        </w:rPr>
        <w:t>Corporations Act 2001</w:t>
      </w:r>
    </w:p>
    <w:p w:rsidR="001A09D9" w:rsidRPr="001A09D9" w:rsidRDefault="001A09D9"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rPr>
      </w:pPr>
      <w:r w:rsidRPr="001A09D9">
        <w:rPr>
          <w:rFonts w:ascii="Times New Roman" w:hAnsi="Times New Roman"/>
        </w:rPr>
        <w:t>The Australian Securities and Investments Commission (</w:t>
      </w:r>
      <w:r w:rsidRPr="001A09D9">
        <w:rPr>
          <w:rFonts w:ascii="Times New Roman" w:hAnsi="Times New Roman"/>
          <w:b/>
          <w:i/>
        </w:rPr>
        <w:t>ASIC</w:t>
      </w:r>
      <w:r w:rsidRPr="001A09D9">
        <w:rPr>
          <w:rFonts w:ascii="Times New Roman" w:hAnsi="Times New Roman"/>
        </w:rPr>
        <w:t>) makes ASIC Class Order [CO</w:t>
      </w:r>
      <w:r w:rsidRPr="001A09D9" w:rsidDel="006D625E">
        <w:rPr>
          <w:rFonts w:ascii="Times New Roman" w:hAnsi="Times New Roman"/>
          <w:color w:val="0000FF"/>
        </w:rPr>
        <w:t xml:space="preserve"> </w:t>
      </w:r>
      <w:r w:rsidRPr="001A09D9">
        <w:rPr>
          <w:rFonts w:ascii="Times New Roman" w:hAnsi="Times New Roman"/>
        </w:rPr>
        <w:t>12/</w:t>
      </w:r>
      <w:r w:rsidR="002A1DD3">
        <w:rPr>
          <w:rFonts w:ascii="Times New Roman" w:hAnsi="Times New Roman"/>
        </w:rPr>
        <w:t>41</w:t>
      </w:r>
      <w:r w:rsidR="00694FA8">
        <w:rPr>
          <w:rFonts w:ascii="Times New Roman" w:hAnsi="Times New Roman"/>
        </w:rPr>
        <w:t>5</w:t>
      </w:r>
      <w:r w:rsidRPr="001A09D9">
        <w:rPr>
          <w:rFonts w:ascii="Times New Roman" w:hAnsi="Times New Roman"/>
        </w:rPr>
        <w:t xml:space="preserve">] under </w:t>
      </w:r>
      <w:r>
        <w:rPr>
          <w:rFonts w:ascii="Times New Roman" w:hAnsi="Times New Roman"/>
        </w:rPr>
        <w:t xml:space="preserve">paragraph </w:t>
      </w:r>
      <w:r w:rsidR="00220854">
        <w:rPr>
          <w:rFonts w:ascii="Times New Roman" w:hAnsi="Times New Roman"/>
        </w:rPr>
        <w:t>1020F(1)(c)</w:t>
      </w:r>
      <w:r>
        <w:rPr>
          <w:rFonts w:ascii="Times New Roman" w:hAnsi="Times New Roman"/>
        </w:rPr>
        <w:t xml:space="preserve"> </w:t>
      </w:r>
      <w:r w:rsidRPr="001A09D9">
        <w:rPr>
          <w:rFonts w:ascii="Times New Roman" w:hAnsi="Times New Roman"/>
        </w:rPr>
        <w:t xml:space="preserve">of the </w:t>
      </w:r>
      <w:r w:rsidRPr="001A09D9">
        <w:rPr>
          <w:rFonts w:ascii="Times New Roman" w:hAnsi="Times New Roman"/>
          <w:i/>
          <w:iCs/>
        </w:rPr>
        <w:t>Corporations Act 2001</w:t>
      </w:r>
      <w:r w:rsidRPr="001A09D9">
        <w:rPr>
          <w:rFonts w:ascii="Times New Roman" w:hAnsi="Times New Roman"/>
        </w:rPr>
        <w:t xml:space="preserve"> (the</w:t>
      </w:r>
      <w:r>
        <w:rPr>
          <w:rFonts w:ascii="Times New Roman" w:hAnsi="Times New Roman"/>
        </w:rPr>
        <w:t> </w:t>
      </w:r>
      <w:r w:rsidRPr="001A09D9">
        <w:rPr>
          <w:rFonts w:ascii="Times New Roman" w:hAnsi="Times New Roman"/>
          <w:b/>
          <w:i/>
        </w:rPr>
        <w:t>Act</w:t>
      </w:r>
      <w:r w:rsidRPr="001A09D9">
        <w:rPr>
          <w:rFonts w:ascii="Times New Roman" w:hAnsi="Times New Roman"/>
        </w:rPr>
        <w:t xml:space="preserve">). </w:t>
      </w:r>
    </w:p>
    <w:p w:rsidR="001A09D9" w:rsidRPr="001A09D9" w:rsidRDefault="001A09D9"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lang w:val="en-US"/>
        </w:rPr>
      </w:pPr>
      <w:r>
        <w:rPr>
          <w:rFonts w:ascii="Times New Roman" w:hAnsi="Times New Roman"/>
        </w:rPr>
        <w:t xml:space="preserve">Paragraph </w:t>
      </w:r>
      <w:r w:rsidR="00220854">
        <w:rPr>
          <w:rFonts w:ascii="Times New Roman" w:hAnsi="Times New Roman"/>
        </w:rPr>
        <w:t>1020F(1)(c)</w:t>
      </w:r>
      <w:r>
        <w:rPr>
          <w:rFonts w:ascii="Times New Roman" w:hAnsi="Times New Roman"/>
        </w:rPr>
        <w:t xml:space="preserve"> </w:t>
      </w:r>
      <w:r w:rsidRPr="001A09D9">
        <w:rPr>
          <w:rFonts w:ascii="Times New Roman" w:hAnsi="Times New Roman"/>
        </w:rPr>
        <w:t xml:space="preserve">provides that ASIC may </w:t>
      </w:r>
      <w:r w:rsidRPr="001A09D9">
        <w:rPr>
          <w:rFonts w:ascii="Times New Roman" w:hAnsi="Times New Roman"/>
          <w:lang w:val="en-US"/>
        </w:rPr>
        <w:t xml:space="preserve">declare that </w:t>
      </w:r>
      <w:r>
        <w:rPr>
          <w:rFonts w:ascii="Times New Roman" w:hAnsi="Times New Roman"/>
          <w:lang w:val="en-US"/>
        </w:rPr>
        <w:t>Part 7.</w:t>
      </w:r>
      <w:r w:rsidR="00220854">
        <w:rPr>
          <w:rFonts w:ascii="Times New Roman" w:hAnsi="Times New Roman"/>
          <w:lang w:val="en-US"/>
        </w:rPr>
        <w:t>9</w:t>
      </w:r>
      <w:r>
        <w:rPr>
          <w:rFonts w:ascii="Times New Roman" w:hAnsi="Times New Roman"/>
          <w:lang w:val="en-US"/>
        </w:rPr>
        <w:t xml:space="preserve"> </w:t>
      </w:r>
      <w:r w:rsidRPr="001A09D9">
        <w:rPr>
          <w:rFonts w:ascii="Times New Roman" w:hAnsi="Times New Roman"/>
          <w:lang w:val="en-US"/>
        </w:rPr>
        <w:t>of the Act applies</w:t>
      </w:r>
      <w:r>
        <w:rPr>
          <w:rFonts w:ascii="Times New Roman" w:hAnsi="Times New Roman"/>
          <w:lang w:val="en-US"/>
        </w:rPr>
        <w:t xml:space="preserve"> in relation to a person or </w:t>
      </w:r>
      <w:r w:rsidRPr="001A09D9">
        <w:rPr>
          <w:rFonts w:ascii="Times New Roman" w:hAnsi="Times New Roman"/>
          <w:lang w:val="en-US"/>
        </w:rPr>
        <w:t>class of persons as if specified provisions were omitted, modified or varied as specified in the declaration.</w:t>
      </w:r>
    </w:p>
    <w:p w:rsidR="001A09D9" w:rsidRPr="001A09D9" w:rsidRDefault="001A09D9" w:rsidP="001A09D9">
      <w:pPr>
        <w:keepNext/>
        <w:spacing w:before="360" w:after="60"/>
        <w:outlineLvl w:val="0"/>
        <w:rPr>
          <w:rFonts w:ascii="Arial" w:hAnsi="Arial" w:cs="Arial"/>
          <w:b/>
          <w:bCs/>
          <w:kern w:val="32"/>
          <w:szCs w:val="32"/>
        </w:rPr>
      </w:pPr>
      <w:bookmarkStart w:id="0" w:name="_Toc158699036"/>
      <w:r w:rsidRPr="001A09D9">
        <w:rPr>
          <w:rFonts w:ascii="Arial" w:hAnsi="Arial" w:cs="Arial"/>
          <w:b/>
          <w:bCs/>
          <w:kern w:val="32"/>
          <w:szCs w:val="32"/>
        </w:rPr>
        <w:t>1.</w:t>
      </w:r>
      <w:r w:rsidRPr="001A09D9">
        <w:rPr>
          <w:rFonts w:ascii="Arial" w:hAnsi="Arial" w:cs="Arial"/>
          <w:b/>
          <w:bCs/>
          <w:kern w:val="32"/>
          <w:szCs w:val="32"/>
        </w:rPr>
        <w:tab/>
        <w:t>Background</w:t>
      </w:r>
      <w:bookmarkEnd w:id="0"/>
    </w:p>
    <w:p w:rsidR="00814F08" w:rsidRDefault="00220854" w:rsidP="00220854">
      <w:pPr>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 xml:space="preserve">Section 1015D of the Act requires that a person must lodge an “in-use” notice with ASIC </w:t>
      </w:r>
      <w:r w:rsidR="004834B1">
        <w:rPr>
          <w:rFonts w:ascii="Times New Roman" w:hAnsi="Times New Roman"/>
          <w:iCs/>
        </w:rPr>
        <w:t xml:space="preserve">in certain circumstances, including where a Product Disclosure Statement (PDS) for a financial product is first made available. The in-use notice provisions only apply where the PDS for the product </w:t>
      </w:r>
      <w:r w:rsidR="00814F08">
        <w:rPr>
          <w:rFonts w:ascii="Times New Roman" w:hAnsi="Times New Roman"/>
          <w:iCs/>
        </w:rPr>
        <w:t xml:space="preserve">is not required to be lodged with ASIC. </w:t>
      </w:r>
      <w:r w:rsidR="00814F08" w:rsidRPr="00814F08">
        <w:rPr>
          <w:rFonts w:ascii="Times New Roman" w:hAnsi="Times New Roman"/>
          <w:iCs/>
        </w:rPr>
        <w:t>The in-use notice provisions apply to standard employer-sponsored superannuation products.</w:t>
      </w:r>
    </w:p>
    <w:p w:rsidR="0046188E" w:rsidRPr="0046188E" w:rsidRDefault="0046188E" w:rsidP="0046188E">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46188E">
        <w:rPr>
          <w:rFonts w:ascii="Times New Roman" w:hAnsi="Times New Roman"/>
          <w:iCs/>
        </w:rPr>
        <w:t xml:space="preserve">ASIC Class Order [CO 04/1030] (the </w:t>
      </w:r>
      <w:r w:rsidRPr="0046188E">
        <w:rPr>
          <w:rFonts w:ascii="Times New Roman" w:hAnsi="Times New Roman"/>
          <w:b/>
          <w:i/>
          <w:iCs/>
        </w:rPr>
        <w:t>original class order</w:t>
      </w:r>
      <w:r w:rsidRPr="0046188E">
        <w:rPr>
          <w:rFonts w:ascii="Times New Roman" w:hAnsi="Times New Roman"/>
          <w:iCs/>
        </w:rPr>
        <w:t xml:space="preserve">), which took effect on 14 October 2004,  provided relief so as to permit the lodgment of a single in-use notice in relation to the common part used by each PDS or Supplementary PDS for standard employer-sponsored superannuation products. </w:t>
      </w:r>
    </w:p>
    <w:p w:rsidR="0046188E" w:rsidRPr="0046188E" w:rsidRDefault="0046188E" w:rsidP="0046188E">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46188E">
        <w:rPr>
          <w:rFonts w:ascii="Times New Roman" w:hAnsi="Times New Roman"/>
          <w:iCs/>
        </w:rPr>
        <w:t>The original class order was inadvertently not registered on the Federal Register of Legislative Instruments (</w:t>
      </w:r>
      <w:r w:rsidRPr="0046188E">
        <w:rPr>
          <w:rFonts w:ascii="Times New Roman" w:hAnsi="Times New Roman"/>
          <w:b/>
          <w:i/>
          <w:iCs/>
        </w:rPr>
        <w:t>FRLI</w:t>
      </w:r>
      <w:r w:rsidRPr="0046188E">
        <w:rPr>
          <w:rFonts w:ascii="Times New Roman" w:hAnsi="Times New Roman"/>
          <w:iCs/>
        </w:rPr>
        <w:t xml:space="preserve">) within the meaning of section 4 of the </w:t>
      </w:r>
      <w:r w:rsidRPr="0046188E">
        <w:rPr>
          <w:rFonts w:ascii="Times New Roman" w:hAnsi="Times New Roman"/>
          <w:i/>
          <w:iCs/>
        </w:rPr>
        <w:t>Legislative Instruments Act 2003</w:t>
      </w:r>
      <w:r w:rsidRPr="0046188E">
        <w:rPr>
          <w:rFonts w:ascii="Times New Roman" w:hAnsi="Times New Roman"/>
          <w:iCs/>
        </w:rPr>
        <w:t xml:space="preserve"> (the </w:t>
      </w:r>
      <w:r w:rsidRPr="0046188E">
        <w:rPr>
          <w:rFonts w:ascii="Times New Roman" w:hAnsi="Times New Roman"/>
          <w:b/>
          <w:i/>
          <w:iCs/>
        </w:rPr>
        <w:t>LI Act</w:t>
      </w:r>
      <w:r w:rsidRPr="0046188E">
        <w:rPr>
          <w:rFonts w:ascii="Times New Roman" w:hAnsi="Times New Roman"/>
          <w:iCs/>
        </w:rPr>
        <w:t xml:space="preserve">) by the last day for lodging the instrument as originally made for registration under Division 3 of Part 4 of the LI Act. As a consequence, the original class order ceased to be enforceable by or against the Commonwealth, or by or against any other person or body, from 1 October 2006. </w:t>
      </w:r>
    </w:p>
    <w:p w:rsidR="002A1DD3" w:rsidRDefault="002A1DD3" w:rsidP="002A1DD3">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This class order is being made in conjunction with AS</w:t>
      </w:r>
      <w:r w:rsidRPr="002A1DD3">
        <w:rPr>
          <w:rFonts w:ascii="Times New Roman" w:hAnsi="Times New Roman"/>
          <w:iCs/>
        </w:rPr>
        <w:t>IC Class Order [CO</w:t>
      </w:r>
      <w:r>
        <w:rPr>
          <w:rFonts w:ascii="Times New Roman" w:hAnsi="Times New Roman"/>
          <w:iCs/>
        </w:rPr>
        <w:t> 12</w:t>
      </w:r>
      <w:r w:rsidRPr="002A1DD3">
        <w:rPr>
          <w:rFonts w:ascii="Times New Roman" w:hAnsi="Times New Roman"/>
          <w:iCs/>
        </w:rPr>
        <w:t>/</w:t>
      </w:r>
      <w:r>
        <w:rPr>
          <w:rFonts w:ascii="Times New Roman" w:hAnsi="Times New Roman"/>
          <w:iCs/>
        </w:rPr>
        <w:t>41</w:t>
      </w:r>
      <w:r w:rsidR="00220854">
        <w:rPr>
          <w:rFonts w:ascii="Times New Roman" w:hAnsi="Times New Roman"/>
          <w:iCs/>
        </w:rPr>
        <w:t>6</w:t>
      </w:r>
      <w:r w:rsidRPr="002A1DD3">
        <w:rPr>
          <w:rFonts w:ascii="Times New Roman" w:hAnsi="Times New Roman"/>
          <w:iCs/>
        </w:rPr>
        <w:t xml:space="preserve">] (the </w:t>
      </w:r>
      <w:r w:rsidR="001E5F23" w:rsidRPr="001E5F23">
        <w:rPr>
          <w:rFonts w:ascii="Times New Roman" w:hAnsi="Times New Roman"/>
          <w:b/>
          <w:i/>
          <w:iCs/>
        </w:rPr>
        <w:t>retros</w:t>
      </w:r>
      <w:r w:rsidR="00693C1B" w:rsidRPr="001E5F23">
        <w:rPr>
          <w:rFonts w:ascii="Times New Roman" w:hAnsi="Times New Roman"/>
          <w:b/>
          <w:i/>
          <w:iCs/>
        </w:rPr>
        <w:t>pective</w:t>
      </w:r>
      <w:r>
        <w:rPr>
          <w:rFonts w:ascii="Times New Roman" w:hAnsi="Times New Roman"/>
          <w:b/>
          <w:i/>
          <w:iCs/>
        </w:rPr>
        <w:t xml:space="preserve"> </w:t>
      </w:r>
      <w:r w:rsidRPr="002A1DD3">
        <w:rPr>
          <w:rFonts w:ascii="Times New Roman" w:hAnsi="Times New Roman"/>
          <w:b/>
          <w:i/>
          <w:iCs/>
        </w:rPr>
        <w:t>class order</w:t>
      </w:r>
      <w:r w:rsidRPr="002A1DD3">
        <w:rPr>
          <w:rFonts w:ascii="Times New Roman" w:hAnsi="Times New Roman"/>
          <w:iCs/>
        </w:rPr>
        <w:t>)</w:t>
      </w:r>
      <w:r>
        <w:rPr>
          <w:rFonts w:ascii="Times New Roman" w:hAnsi="Times New Roman"/>
          <w:iCs/>
        </w:rPr>
        <w:t xml:space="preserve">. The </w:t>
      </w:r>
      <w:r w:rsidR="001E5F23">
        <w:rPr>
          <w:rFonts w:ascii="Times New Roman" w:hAnsi="Times New Roman"/>
          <w:iCs/>
        </w:rPr>
        <w:t>retrospective</w:t>
      </w:r>
      <w:r>
        <w:rPr>
          <w:rFonts w:ascii="Times New Roman" w:hAnsi="Times New Roman"/>
          <w:iCs/>
        </w:rPr>
        <w:t xml:space="preserve"> class order </w:t>
      </w:r>
      <w:r w:rsidR="00435EB3">
        <w:rPr>
          <w:rFonts w:ascii="Times New Roman" w:hAnsi="Times New Roman"/>
          <w:iCs/>
        </w:rPr>
        <w:t xml:space="preserve">provides </w:t>
      </w:r>
      <w:r>
        <w:rPr>
          <w:rFonts w:ascii="Times New Roman" w:hAnsi="Times New Roman"/>
          <w:iCs/>
        </w:rPr>
        <w:t xml:space="preserve">the same relief as this class order but with </w:t>
      </w:r>
      <w:r w:rsidR="001E5F23">
        <w:rPr>
          <w:rFonts w:ascii="Times New Roman" w:hAnsi="Times New Roman"/>
          <w:iCs/>
        </w:rPr>
        <w:t>retro</w:t>
      </w:r>
      <w:r w:rsidR="00693C1B">
        <w:rPr>
          <w:rFonts w:ascii="Times New Roman" w:hAnsi="Times New Roman"/>
          <w:iCs/>
        </w:rPr>
        <w:t>spective</w:t>
      </w:r>
      <w:r>
        <w:rPr>
          <w:rFonts w:ascii="Times New Roman" w:hAnsi="Times New Roman"/>
          <w:iCs/>
        </w:rPr>
        <w:t xml:space="preserve"> effect from </w:t>
      </w:r>
      <w:r w:rsidR="001E5F23">
        <w:rPr>
          <w:rFonts w:ascii="Times New Roman" w:hAnsi="Times New Roman"/>
          <w:iCs/>
        </w:rPr>
        <w:t xml:space="preserve">1 October 2006 to the </w:t>
      </w:r>
      <w:r w:rsidR="00693C1B">
        <w:rPr>
          <w:rFonts w:ascii="Times New Roman" w:hAnsi="Times New Roman"/>
          <w:iCs/>
        </w:rPr>
        <w:t>date of commencement</w:t>
      </w:r>
      <w:r w:rsidR="001E5F23">
        <w:rPr>
          <w:rFonts w:ascii="Times New Roman" w:hAnsi="Times New Roman"/>
          <w:iCs/>
        </w:rPr>
        <w:t xml:space="preserve"> of this class order</w:t>
      </w:r>
      <w:r w:rsidR="00693C1B">
        <w:rPr>
          <w:rFonts w:ascii="Times New Roman" w:hAnsi="Times New Roman"/>
          <w:iCs/>
        </w:rPr>
        <w:t>.</w:t>
      </w:r>
      <w:r w:rsidRPr="002A1DD3">
        <w:rPr>
          <w:rFonts w:ascii="Times New Roman" w:hAnsi="Times New Roman"/>
          <w:iCs/>
        </w:rPr>
        <w:t xml:space="preserve"> </w:t>
      </w:r>
    </w:p>
    <w:p w:rsidR="001A09D9" w:rsidRPr="001A09D9" w:rsidRDefault="001A09D9" w:rsidP="00487B7A">
      <w:pPr>
        <w:tabs>
          <w:tab w:val="left" w:pos="567"/>
          <w:tab w:val="left" w:pos="680"/>
        </w:tabs>
        <w:overflowPunct w:val="0"/>
        <w:autoSpaceDE w:val="0"/>
        <w:autoSpaceDN w:val="0"/>
        <w:adjustRightInd w:val="0"/>
        <w:spacing w:before="200" w:line="300" w:lineRule="atLeast"/>
        <w:textAlignment w:val="baseline"/>
        <w:rPr>
          <w:rFonts w:ascii="Arial" w:hAnsi="Arial" w:cs="Arial"/>
          <w:b/>
          <w:bCs/>
          <w:kern w:val="32"/>
          <w:szCs w:val="32"/>
        </w:rPr>
      </w:pPr>
      <w:bookmarkStart w:id="1" w:name="_Toc158699037"/>
      <w:r w:rsidRPr="001A09D9">
        <w:rPr>
          <w:rFonts w:ascii="Arial" w:hAnsi="Arial" w:cs="Arial"/>
          <w:b/>
          <w:bCs/>
          <w:kern w:val="32"/>
          <w:szCs w:val="32"/>
        </w:rPr>
        <w:t>2.</w:t>
      </w:r>
      <w:r w:rsidRPr="001A09D9">
        <w:rPr>
          <w:rFonts w:ascii="Arial" w:hAnsi="Arial" w:cs="Arial"/>
          <w:b/>
          <w:bCs/>
          <w:kern w:val="32"/>
          <w:szCs w:val="32"/>
        </w:rPr>
        <w:tab/>
        <w:t>Purpose of the class order</w:t>
      </w:r>
      <w:bookmarkEnd w:id="1"/>
      <w:r w:rsidRPr="001A09D9">
        <w:rPr>
          <w:rFonts w:ascii="Arial" w:hAnsi="Arial" w:cs="Arial"/>
          <w:b/>
          <w:bCs/>
          <w:kern w:val="32"/>
          <w:szCs w:val="32"/>
        </w:rPr>
        <w:t xml:space="preserve"> </w:t>
      </w:r>
    </w:p>
    <w:p w:rsidR="006B4111" w:rsidRDefault="00C22C60" w:rsidP="006B4111">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C22C60">
        <w:rPr>
          <w:rFonts w:ascii="Times New Roman" w:hAnsi="Times New Roman"/>
          <w:iCs/>
        </w:rPr>
        <w:t xml:space="preserve">The purpose of the class order is to </w:t>
      </w:r>
      <w:r w:rsidR="001E5F23" w:rsidRPr="001E5F23">
        <w:rPr>
          <w:rFonts w:ascii="Times New Roman" w:hAnsi="Times New Roman"/>
          <w:iCs/>
        </w:rPr>
        <w:t>pro</w:t>
      </w:r>
      <w:r w:rsidRPr="001E5F23">
        <w:rPr>
          <w:rFonts w:ascii="Times New Roman" w:hAnsi="Times New Roman"/>
          <w:iCs/>
        </w:rPr>
        <w:t>spectively</w:t>
      </w:r>
      <w:r w:rsidRPr="00C22C60">
        <w:rPr>
          <w:rFonts w:ascii="Times New Roman" w:hAnsi="Times New Roman"/>
          <w:iCs/>
        </w:rPr>
        <w:t xml:space="preserve"> reinstate the effect of the original class order</w:t>
      </w:r>
      <w:r w:rsidR="001E5F23">
        <w:rPr>
          <w:rFonts w:ascii="Times New Roman" w:hAnsi="Times New Roman"/>
          <w:iCs/>
        </w:rPr>
        <w:t xml:space="preserve">. </w:t>
      </w:r>
    </w:p>
    <w:p w:rsidR="00814F08" w:rsidRDefault="00487B7A" w:rsidP="00C52BF6">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487B7A">
        <w:rPr>
          <w:rFonts w:ascii="Times New Roman" w:hAnsi="Times New Roman"/>
          <w:iCs/>
        </w:rPr>
        <w:lastRenderedPageBreak/>
        <w:t>T</w:t>
      </w:r>
      <w:r>
        <w:rPr>
          <w:rFonts w:ascii="Times New Roman" w:hAnsi="Times New Roman"/>
          <w:iCs/>
        </w:rPr>
        <w:t>he</w:t>
      </w:r>
      <w:r w:rsidRPr="00487B7A">
        <w:rPr>
          <w:rFonts w:ascii="Times New Roman" w:hAnsi="Times New Roman"/>
          <w:iCs/>
        </w:rPr>
        <w:t xml:space="preserve"> </w:t>
      </w:r>
      <w:r>
        <w:rPr>
          <w:rFonts w:ascii="Times New Roman" w:hAnsi="Times New Roman"/>
          <w:iCs/>
        </w:rPr>
        <w:t>purpose of th</w:t>
      </w:r>
      <w:r w:rsidR="00C22C60">
        <w:rPr>
          <w:rFonts w:ascii="Times New Roman" w:hAnsi="Times New Roman"/>
          <w:iCs/>
        </w:rPr>
        <w:t>e</w:t>
      </w:r>
      <w:r>
        <w:rPr>
          <w:rFonts w:ascii="Times New Roman" w:hAnsi="Times New Roman"/>
          <w:iCs/>
        </w:rPr>
        <w:t xml:space="preserve"> </w:t>
      </w:r>
      <w:r w:rsidR="00C22C60">
        <w:rPr>
          <w:rFonts w:ascii="Times New Roman" w:hAnsi="Times New Roman"/>
          <w:iCs/>
        </w:rPr>
        <w:t xml:space="preserve">original class order and this </w:t>
      </w:r>
      <w:r>
        <w:rPr>
          <w:rFonts w:ascii="Times New Roman" w:hAnsi="Times New Roman"/>
          <w:iCs/>
        </w:rPr>
        <w:t xml:space="preserve">class order is to </w:t>
      </w:r>
      <w:r w:rsidR="00814F08" w:rsidRPr="00814F08">
        <w:rPr>
          <w:rFonts w:ascii="Times New Roman" w:hAnsi="Times New Roman"/>
          <w:iCs/>
        </w:rPr>
        <w:t>allow in-use information to be provided to ASIC in a manner that reduces the administrative burden for the trustees of superannuation funds with large numbers of essentially identical products that would otherwise require the lodgement of a separate in-use notice for each product</w:t>
      </w:r>
      <w:r w:rsidR="00814F08">
        <w:rPr>
          <w:rFonts w:ascii="Times New Roman" w:hAnsi="Times New Roman"/>
          <w:iCs/>
        </w:rPr>
        <w:t xml:space="preserve">. </w:t>
      </w:r>
    </w:p>
    <w:p w:rsidR="001A09D9" w:rsidRPr="001A09D9" w:rsidRDefault="001A09D9" w:rsidP="00487B7A">
      <w:pPr>
        <w:tabs>
          <w:tab w:val="left" w:pos="567"/>
          <w:tab w:val="left" w:pos="680"/>
        </w:tabs>
        <w:overflowPunct w:val="0"/>
        <w:autoSpaceDE w:val="0"/>
        <w:autoSpaceDN w:val="0"/>
        <w:adjustRightInd w:val="0"/>
        <w:spacing w:before="200" w:line="300" w:lineRule="atLeast"/>
        <w:textAlignment w:val="baseline"/>
        <w:rPr>
          <w:rFonts w:ascii="Arial" w:hAnsi="Arial" w:cs="Arial"/>
          <w:b/>
          <w:bCs/>
          <w:kern w:val="32"/>
          <w:szCs w:val="32"/>
        </w:rPr>
      </w:pPr>
      <w:bookmarkStart w:id="2" w:name="_Toc158699040"/>
      <w:r w:rsidRPr="001A09D9">
        <w:rPr>
          <w:rFonts w:ascii="Arial" w:hAnsi="Arial" w:cs="Arial"/>
          <w:b/>
          <w:bCs/>
          <w:kern w:val="32"/>
          <w:szCs w:val="32"/>
        </w:rPr>
        <w:t>3.</w:t>
      </w:r>
      <w:r w:rsidRPr="001A09D9">
        <w:rPr>
          <w:rFonts w:ascii="Arial" w:hAnsi="Arial" w:cs="Arial"/>
          <w:b/>
          <w:bCs/>
          <w:kern w:val="32"/>
          <w:szCs w:val="32"/>
        </w:rPr>
        <w:tab/>
        <w:t>Operation of the class order</w:t>
      </w:r>
      <w:bookmarkEnd w:id="2"/>
      <w:r w:rsidRPr="001A09D9">
        <w:rPr>
          <w:rFonts w:ascii="Arial" w:hAnsi="Arial" w:cs="Arial"/>
          <w:b/>
          <w:bCs/>
          <w:kern w:val="32"/>
          <w:szCs w:val="32"/>
        </w:rPr>
        <w:t xml:space="preserve"> </w:t>
      </w:r>
    </w:p>
    <w:p w:rsidR="00614806" w:rsidRDefault="001A09D9" w:rsidP="009C1FEF">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1A09D9">
        <w:rPr>
          <w:rFonts w:ascii="Times New Roman" w:hAnsi="Times New Roman"/>
          <w:lang w:val="en-US"/>
        </w:rPr>
        <w:t>Th</w:t>
      </w:r>
      <w:r w:rsidR="0046188E">
        <w:rPr>
          <w:rFonts w:ascii="Times New Roman" w:hAnsi="Times New Roman"/>
          <w:lang w:val="en-US"/>
        </w:rPr>
        <w:t>e operative provisions of this class order are in substantially the same terms as the original class order.  They provide</w:t>
      </w:r>
      <w:r w:rsidR="00814F08" w:rsidRPr="00814F08">
        <w:rPr>
          <w:rFonts w:ascii="Times New Roman" w:hAnsi="Times New Roman"/>
          <w:iCs/>
        </w:rPr>
        <w:t xml:space="preserve"> an alternative to lodging multiple in-use notices under subsection 1015D(2) of the Act for certain standard-employer sponsored superannuation funds. </w:t>
      </w:r>
      <w:r w:rsidR="00614806" w:rsidRPr="00614806">
        <w:rPr>
          <w:rFonts w:ascii="Times New Roman" w:hAnsi="Times New Roman"/>
          <w:iCs/>
        </w:rPr>
        <w:t xml:space="preserve">Notification to ASIC under the existing </w:t>
      </w:r>
      <w:r w:rsidR="00614806">
        <w:rPr>
          <w:rFonts w:ascii="Times New Roman" w:hAnsi="Times New Roman"/>
          <w:iCs/>
        </w:rPr>
        <w:t xml:space="preserve">in-use provisions </w:t>
      </w:r>
      <w:r w:rsidR="00614806" w:rsidRPr="00614806">
        <w:rPr>
          <w:rFonts w:ascii="Times New Roman" w:hAnsi="Times New Roman"/>
          <w:iCs/>
        </w:rPr>
        <w:t>remain open to responsible persons not wishing to utilise the class order.</w:t>
      </w:r>
    </w:p>
    <w:p w:rsidR="00614806" w:rsidRDefault="009C1FEF" w:rsidP="009C1FEF">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 xml:space="preserve">The class order </w:t>
      </w:r>
      <w:r w:rsidR="00814F08" w:rsidRPr="00814F08">
        <w:rPr>
          <w:rFonts w:ascii="Times New Roman" w:hAnsi="Times New Roman"/>
          <w:iCs/>
        </w:rPr>
        <w:t>permit</w:t>
      </w:r>
      <w:r>
        <w:rPr>
          <w:rFonts w:ascii="Times New Roman" w:hAnsi="Times New Roman"/>
          <w:iCs/>
        </w:rPr>
        <w:t>s</w:t>
      </w:r>
      <w:r w:rsidR="00814F08" w:rsidRPr="00814F08">
        <w:rPr>
          <w:rFonts w:ascii="Times New Roman" w:hAnsi="Times New Roman"/>
          <w:iCs/>
        </w:rPr>
        <w:t xml:space="preserve"> the lodgment of a single in-use notice in relation to the common part used by each PDS for standard employer-sponsored superannuation products. Issuers using this new procedure will also be required to provide ASIC with a list of those superannuation products that have used that common part. This list </w:t>
      </w:r>
      <w:r>
        <w:rPr>
          <w:rFonts w:ascii="Times New Roman" w:hAnsi="Times New Roman"/>
          <w:iCs/>
        </w:rPr>
        <w:t xml:space="preserve">must </w:t>
      </w:r>
      <w:r w:rsidR="00814F08" w:rsidRPr="00814F08">
        <w:rPr>
          <w:rFonts w:ascii="Times New Roman" w:hAnsi="Times New Roman"/>
          <w:iCs/>
        </w:rPr>
        <w:t>be updated on a monthly basis.</w:t>
      </w:r>
    </w:p>
    <w:p w:rsidR="00614806" w:rsidRDefault="009C1FEF" w:rsidP="009C1FEF">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Pr>
          <w:rFonts w:ascii="Times New Roman" w:hAnsi="Times New Roman"/>
          <w:iCs/>
        </w:rPr>
        <w:t>I</w:t>
      </w:r>
      <w:r w:rsidR="00814F08" w:rsidRPr="00814F08">
        <w:rPr>
          <w:rFonts w:ascii="Times New Roman" w:hAnsi="Times New Roman"/>
          <w:iCs/>
        </w:rPr>
        <w:t>nstead of lodging a</w:t>
      </w:r>
      <w:r>
        <w:rPr>
          <w:rFonts w:ascii="Times New Roman" w:hAnsi="Times New Roman"/>
          <w:iCs/>
        </w:rPr>
        <w:t>n in-use</w:t>
      </w:r>
      <w:r w:rsidR="00814F08" w:rsidRPr="00814F08">
        <w:rPr>
          <w:rFonts w:ascii="Times New Roman" w:hAnsi="Times New Roman"/>
          <w:iCs/>
        </w:rPr>
        <w:t xml:space="preserve"> notice with ASIC in relation to every P</w:t>
      </w:r>
      <w:r>
        <w:rPr>
          <w:rFonts w:ascii="Times New Roman" w:hAnsi="Times New Roman"/>
          <w:iCs/>
        </w:rPr>
        <w:t xml:space="preserve">DS </w:t>
      </w:r>
      <w:r w:rsidR="00814F08" w:rsidRPr="00814F08">
        <w:rPr>
          <w:rFonts w:ascii="Times New Roman" w:hAnsi="Times New Roman"/>
          <w:iCs/>
        </w:rPr>
        <w:t xml:space="preserve">that is in use, </w:t>
      </w:r>
      <w:r>
        <w:rPr>
          <w:rFonts w:ascii="Times New Roman" w:hAnsi="Times New Roman"/>
          <w:iCs/>
        </w:rPr>
        <w:t xml:space="preserve">the </w:t>
      </w:r>
      <w:r w:rsidR="00814F08" w:rsidRPr="00814F08">
        <w:rPr>
          <w:rFonts w:ascii="Times New Roman" w:hAnsi="Times New Roman"/>
          <w:iCs/>
        </w:rPr>
        <w:t xml:space="preserve">class order allows the lodgement of one </w:t>
      </w:r>
      <w:r w:rsidR="00814F08" w:rsidRPr="009C1FEF">
        <w:rPr>
          <w:rFonts w:ascii="Times New Roman" w:hAnsi="Times New Roman"/>
          <w:bCs/>
          <w:iCs/>
        </w:rPr>
        <w:t>primary notice</w:t>
      </w:r>
      <w:r w:rsidR="00814F08" w:rsidRPr="009C1FEF">
        <w:rPr>
          <w:rFonts w:ascii="Times New Roman" w:hAnsi="Times New Roman"/>
          <w:iCs/>
        </w:rPr>
        <w:t xml:space="preserve"> in circumstances where a number of PDSs share the same </w:t>
      </w:r>
      <w:r w:rsidR="00814F08" w:rsidRPr="009C1FEF">
        <w:rPr>
          <w:rFonts w:ascii="Times New Roman" w:hAnsi="Times New Roman"/>
          <w:bCs/>
          <w:iCs/>
        </w:rPr>
        <w:t>common part</w:t>
      </w:r>
      <w:r w:rsidR="00814F08" w:rsidRPr="009C1FEF">
        <w:rPr>
          <w:rFonts w:ascii="Times New Roman" w:hAnsi="Times New Roman"/>
          <w:iCs/>
        </w:rPr>
        <w:t>.</w:t>
      </w:r>
    </w:p>
    <w:p w:rsidR="009C1FEF" w:rsidRDefault="00814F08" w:rsidP="009C1FEF">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9C1FEF">
        <w:rPr>
          <w:rFonts w:ascii="Times New Roman" w:hAnsi="Times New Roman"/>
          <w:iCs/>
          <w:u w:val="single"/>
        </w:rPr>
        <w:t>The primary notice</w:t>
      </w:r>
    </w:p>
    <w:p w:rsidR="00614806" w:rsidRDefault="00814F08" w:rsidP="00814F08">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14F08">
        <w:rPr>
          <w:rFonts w:ascii="Times New Roman" w:hAnsi="Times New Roman"/>
          <w:iCs/>
        </w:rPr>
        <w:t>If responsible persons for PDSs choose to rely on the class order, a primary notice in relation to the common part must be lodged with ASIC as soon as practicable, and in any event within five business days, after a copy of that common part is first given to someone as part of a PDS.</w:t>
      </w:r>
    </w:p>
    <w:p w:rsidR="00614806" w:rsidRDefault="00814F08" w:rsidP="00814F08">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614806">
        <w:rPr>
          <w:rFonts w:ascii="Times New Roman" w:hAnsi="Times New Roman"/>
          <w:iCs/>
          <w:u w:val="single"/>
        </w:rPr>
        <w:t>The secondary notice</w:t>
      </w:r>
    </w:p>
    <w:p w:rsidR="001A09D9" w:rsidRDefault="00814F08"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814F08">
        <w:rPr>
          <w:rFonts w:ascii="Times New Roman" w:hAnsi="Times New Roman"/>
          <w:iCs/>
        </w:rPr>
        <w:t xml:space="preserve">If responsible persons for PDSs choose to rely on the class order, for the life of the common part (ie the period over which the common part does not change), those responsible persons must lodge a secondary notice within five business days of the end of each month that the common part is used. </w:t>
      </w:r>
    </w:p>
    <w:p w:rsidR="0046188E" w:rsidRPr="00CE53CC" w:rsidRDefault="0046188E"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highlight w:val="yellow"/>
          <w:u w:val="single"/>
        </w:rPr>
      </w:pPr>
      <w:r w:rsidRPr="00D0336F">
        <w:rPr>
          <w:rFonts w:ascii="Times New Roman" w:hAnsi="Times New Roman"/>
          <w:iCs/>
          <w:u w:val="single"/>
        </w:rPr>
        <w:t>Review</w:t>
      </w:r>
    </w:p>
    <w:p w:rsidR="0046188E" w:rsidRDefault="0046188E"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r w:rsidRPr="00D0336F">
        <w:rPr>
          <w:rFonts w:ascii="Times New Roman" w:hAnsi="Times New Roman"/>
          <w:iCs/>
        </w:rPr>
        <w:t xml:space="preserve">It is expected that the operation of the </w:t>
      </w:r>
      <w:r w:rsidR="00D0336F">
        <w:rPr>
          <w:rFonts w:ascii="Times New Roman" w:hAnsi="Times New Roman"/>
          <w:iCs/>
        </w:rPr>
        <w:t>c</w:t>
      </w:r>
      <w:r w:rsidRPr="00D0336F">
        <w:rPr>
          <w:rFonts w:ascii="Times New Roman" w:hAnsi="Times New Roman"/>
          <w:iCs/>
        </w:rPr>
        <w:t xml:space="preserve">lass </w:t>
      </w:r>
      <w:r w:rsidR="00D0336F">
        <w:rPr>
          <w:rFonts w:ascii="Times New Roman" w:hAnsi="Times New Roman"/>
          <w:iCs/>
        </w:rPr>
        <w:t>o</w:t>
      </w:r>
      <w:r w:rsidRPr="00D0336F">
        <w:rPr>
          <w:rFonts w:ascii="Times New Roman" w:hAnsi="Times New Roman"/>
          <w:iCs/>
        </w:rPr>
        <w:t>rder will be reviewed, particularly in light of legislative changes and developments in industry practice since the making of the original class order.  Meantime, ASIC considers</w:t>
      </w:r>
      <w:r w:rsidR="00B31CB5" w:rsidRPr="00D0336F">
        <w:rPr>
          <w:rFonts w:ascii="Times New Roman" w:hAnsi="Times New Roman"/>
          <w:iCs/>
        </w:rPr>
        <w:t xml:space="preserve"> that the declaration in the original class order should be remade in its original form</w:t>
      </w:r>
      <w:r w:rsidR="00CE53CC" w:rsidRPr="00D0336F">
        <w:rPr>
          <w:rFonts w:ascii="Times New Roman" w:hAnsi="Times New Roman"/>
          <w:iCs/>
        </w:rPr>
        <w:t xml:space="preserve"> so as to put industry in the position they would have been </w:t>
      </w:r>
      <w:r w:rsidR="00D0336F">
        <w:rPr>
          <w:rFonts w:ascii="Times New Roman" w:hAnsi="Times New Roman"/>
          <w:iCs/>
        </w:rPr>
        <w:t xml:space="preserve">in </w:t>
      </w:r>
      <w:r w:rsidR="00CE53CC" w:rsidRPr="00D0336F">
        <w:rPr>
          <w:rFonts w:ascii="Times New Roman" w:hAnsi="Times New Roman"/>
          <w:iCs/>
        </w:rPr>
        <w:t>but for the failure to register the original class order</w:t>
      </w:r>
      <w:r w:rsidR="00B31CB5" w:rsidRPr="00D0336F">
        <w:rPr>
          <w:rFonts w:ascii="Times New Roman" w:hAnsi="Times New Roman"/>
          <w:iCs/>
        </w:rPr>
        <w:t>.</w:t>
      </w:r>
    </w:p>
    <w:p w:rsidR="00D0336F" w:rsidRDefault="00D0336F" w:rsidP="001A09D9">
      <w:pPr>
        <w:tabs>
          <w:tab w:val="left" w:pos="567"/>
          <w:tab w:val="left" w:pos="680"/>
        </w:tabs>
        <w:overflowPunct w:val="0"/>
        <w:autoSpaceDE w:val="0"/>
        <w:autoSpaceDN w:val="0"/>
        <w:adjustRightInd w:val="0"/>
        <w:spacing w:before="200" w:line="300" w:lineRule="atLeast"/>
        <w:textAlignment w:val="baseline"/>
        <w:rPr>
          <w:rFonts w:ascii="Times New Roman" w:hAnsi="Times New Roman"/>
          <w:iCs/>
        </w:rPr>
      </w:pPr>
    </w:p>
    <w:p w:rsidR="00C52BF6" w:rsidRPr="00C22C60" w:rsidRDefault="00C52BF6" w:rsidP="0006217F">
      <w:pPr>
        <w:keepNext/>
        <w:tabs>
          <w:tab w:val="left" w:pos="567"/>
          <w:tab w:val="left" w:pos="680"/>
        </w:tabs>
        <w:overflowPunct w:val="0"/>
        <w:autoSpaceDE w:val="0"/>
        <w:autoSpaceDN w:val="0"/>
        <w:adjustRightInd w:val="0"/>
        <w:spacing w:before="200" w:line="300" w:lineRule="atLeast"/>
        <w:textAlignment w:val="baseline"/>
        <w:rPr>
          <w:rFonts w:ascii="Arial" w:hAnsi="Arial" w:cs="Arial"/>
          <w:b/>
          <w:bCs/>
        </w:rPr>
      </w:pPr>
      <w:r w:rsidRPr="00C22C60">
        <w:rPr>
          <w:rFonts w:ascii="Arial" w:hAnsi="Arial" w:cs="Arial"/>
          <w:b/>
          <w:bCs/>
        </w:rPr>
        <w:lastRenderedPageBreak/>
        <w:t>4.</w:t>
      </w:r>
      <w:r w:rsidRPr="00C22C60">
        <w:rPr>
          <w:rFonts w:ascii="Arial" w:hAnsi="Arial" w:cs="Arial"/>
          <w:b/>
          <w:bCs/>
        </w:rPr>
        <w:tab/>
        <w:t xml:space="preserve">Statement of Compatibility with Human Rights </w:t>
      </w:r>
    </w:p>
    <w:p w:rsidR="00C52BF6" w:rsidRPr="00C52BF6" w:rsidRDefault="00C52BF6" w:rsidP="00C22C60">
      <w:pPr>
        <w:overflowPunct w:val="0"/>
        <w:autoSpaceDE w:val="0"/>
        <w:autoSpaceDN w:val="0"/>
        <w:adjustRightInd w:val="0"/>
        <w:spacing w:before="200" w:line="300" w:lineRule="atLeast"/>
        <w:textAlignment w:val="baseline"/>
        <w:rPr>
          <w:rFonts w:ascii="Times New Roman" w:hAnsi="Times New Roman"/>
          <w:bCs/>
        </w:rPr>
      </w:pPr>
      <w:r w:rsidRPr="00C52BF6">
        <w:rPr>
          <w:rFonts w:ascii="Times New Roman" w:hAnsi="Times New Roman"/>
          <w:bCs/>
        </w:rPr>
        <w:t xml:space="preserve">This statement is prepared in accordance with Part 3 of the </w:t>
      </w:r>
      <w:r w:rsidRPr="00C52BF6">
        <w:rPr>
          <w:rFonts w:ascii="Times New Roman" w:hAnsi="Times New Roman"/>
          <w:bCs/>
          <w:i/>
        </w:rPr>
        <w:t>Human Rights (Parliamentary Scrutiny) Act 2011</w:t>
      </w:r>
      <w:r w:rsidRPr="00C52BF6">
        <w:rPr>
          <w:rFonts w:ascii="Times New Roman" w:hAnsi="Times New Roman"/>
          <w:bCs/>
        </w:rPr>
        <w:t>.</w:t>
      </w:r>
      <w:r>
        <w:rPr>
          <w:rFonts w:ascii="Times New Roman" w:hAnsi="Times New Roman"/>
          <w:bCs/>
        </w:rPr>
        <w:t xml:space="preserve"> </w:t>
      </w:r>
      <w:r w:rsidRPr="00C52BF6">
        <w:rPr>
          <w:rFonts w:ascii="Times New Roman" w:hAnsi="Times New Roman"/>
          <w:bCs/>
        </w:rPr>
        <w:t xml:space="preserve">This </w:t>
      </w:r>
      <w:r>
        <w:rPr>
          <w:rFonts w:ascii="Times New Roman" w:hAnsi="Times New Roman"/>
          <w:bCs/>
        </w:rPr>
        <w:t>l</w:t>
      </w:r>
      <w:r w:rsidRPr="00C52BF6">
        <w:rPr>
          <w:rFonts w:ascii="Times New Roman" w:hAnsi="Times New Roman"/>
          <w:bCs/>
        </w:rPr>
        <w:t xml:space="preserve">egislative </w:t>
      </w:r>
      <w:r>
        <w:rPr>
          <w:rFonts w:ascii="Times New Roman" w:hAnsi="Times New Roman"/>
          <w:bCs/>
        </w:rPr>
        <w:t>i</w:t>
      </w:r>
      <w:r w:rsidRPr="00C52BF6">
        <w:rPr>
          <w:rFonts w:ascii="Times New Roman" w:hAnsi="Times New Roman"/>
          <w:bCs/>
        </w:rPr>
        <w:t xml:space="preserve">nstrument is compatible with the human rights and freedoms recognised or declared in the international instruments listed in section 3 of the </w:t>
      </w:r>
      <w:r w:rsidRPr="00C52BF6">
        <w:rPr>
          <w:rFonts w:ascii="Times New Roman" w:hAnsi="Times New Roman"/>
          <w:bCs/>
          <w:i/>
        </w:rPr>
        <w:t xml:space="preserve">Human Rights (Parliamentary Scrutiny) Act 2011 </w:t>
      </w:r>
      <w:r w:rsidRPr="00C52BF6">
        <w:rPr>
          <w:rFonts w:ascii="Times New Roman" w:hAnsi="Times New Roman"/>
          <w:bCs/>
        </w:rPr>
        <w:t>because it does not engage any of the applicable rights or freedoms.</w:t>
      </w:r>
    </w:p>
    <w:p w:rsidR="001A09D9" w:rsidRPr="001A09D9" w:rsidRDefault="000A460C" w:rsidP="0046188E">
      <w:pPr>
        <w:keepNext/>
        <w:spacing w:before="360" w:after="60"/>
        <w:outlineLvl w:val="0"/>
        <w:rPr>
          <w:rFonts w:ascii="Arial" w:hAnsi="Arial" w:cs="Arial"/>
          <w:b/>
          <w:bCs/>
          <w:kern w:val="32"/>
          <w:szCs w:val="32"/>
        </w:rPr>
      </w:pPr>
      <w:bookmarkStart w:id="3" w:name="_Toc158699042"/>
      <w:r>
        <w:rPr>
          <w:rFonts w:ascii="Arial" w:hAnsi="Arial" w:cs="Arial"/>
          <w:b/>
          <w:bCs/>
          <w:kern w:val="32"/>
          <w:szCs w:val="32"/>
        </w:rPr>
        <w:t>5</w:t>
      </w:r>
      <w:r w:rsidR="001A09D9" w:rsidRPr="001A09D9">
        <w:rPr>
          <w:rFonts w:ascii="Arial" w:hAnsi="Arial" w:cs="Arial"/>
          <w:b/>
          <w:bCs/>
          <w:kern w:val="32"/>
          <w:szCs w:val="32"/>
        </w:rPr>
        <w:t>.</w:t>
      </w:r>
      <w:r w:rsidR="001A09D9" w:rsidRPr="001A09D9">
        <w:rPr>
          <w:rFonts w:ascii="Arial" w:hAnsi="Arial" w:cs="Arial"/>
          <w:b/>
          <w:bCs/>
          <w:kern w:val="32"/>
          <w:szCs w:val="32"/>
        </w:rPr>
        <w:tab/>
        <w:t>Consultation</w:t>
      </w:r>
      <w:bookmarkEnd w:id="3"/>
    </w:p>
    <w:p w:rsidR="001A09D9" w:rsidRPr="001A09D9" w:rsidRDefault="001A09D9" w:rsidP="0046188E">
      <w:pPr>
        <w:keepNext/>
        <w:rPr>
          <w:rFonts w:ascii="Times New Roman" w:hAnsi="Times New Roman"/>
          <w:sz w:val="20"/>
        </w:rPr>
      </w:pPr>
    </w:p>
    <w:p w:rsidR="001A09D9" w:rsidRDefault="000A460C" w:rsidP="001A09D9">
      <w:r>
        <w:rPr>
          <w:rFonts w:ascii="Times New Roman" w:hAnsi="Times New Roman"/>
          <w:szCs w:val="24"/>
          <w:lang w:val="en-US"/>
        </w:rPr>
        <w:t>As</w:t>
      </w:r>
      <w:r w:rsidR="00C22C60">
        <w:rPr>
          <w:rFonts w:ascii="Times New Roman" w:hAnsi="Times New Roman"/>
          <w:szCs w:val="24"/>
          <w:lang w:val="en-US"/>
        </w:rPr>
        <w:t xml:space="preserve"> this class order </w:t>
      </w:r>
      <w:r w:rsidR="001E5F23">
        <w:rPr>
          <w:rFonts w:ascii="Times New Roman" w:hAnsi="Times New Roman"/>
          <w:szCs w:val="24"/>
          <w:lang w:val="en-US"/>
        </w:rPr>
        <w:t>pro</w:t>
      </w:r>
      <w:r w:rsidR="00C22C60">
        <w:rPr>
          <w:rFonts w:ascii="Times New Roman" w:hAnsi="Times New Roman"/>
          <w:szCs w:val="24"/>
          <w:lang w:val="en-US"/>
        </w:rPr>
        <w:t>spectively reinstates the effect of the original class order</w:t>
      </w:r>
      <w:r>
        <w:rPr>
          <w:rFonts w:ascii="Times New Roman" w:hAnsi="Times New Roman"/>
          <w:szCs w:val="24"/>
          <w:lang w:val="en-US"/>
        </w:rPr>
        <w:t xml:space="preserve"> on which the financial services industry had been relying, ASIC consider</w:t>
      </w:r>
      <w:r w:rsidR="006B4111">
        <w:rPr>
          <w:rFonts w:ascii="Times New Roman" w:hAnsi="Times New Roman"/>
          <w:szCs w:val="24"/>
          <w:lang w:val="en-US"/>
        </w:rPr>
        <w:t>s</w:t>
      </w:r>
      <w:r>
        <w:rPr>
          <w:rFonts w:ascii="Times New Roman" w:hAnsi="Times New Roman"/>
          <w:szCs w:val="24"/>
          <w:lang w:val="en-US"/>
        </w:rPr>
        <w:t xml:space="preserve"> </w:t>
      </w:r>
      <w:r w:rsidR="00C62B7C">
        <w:rPr>
          <w:rFonts w:ascii="Times New Roman" w:hAnsi="Times New Roman"/>
          <w:szCs w:val="24"/>
          <w:lang w:val="en-US"/>
        </w:rPr>
        <w:t xml:space="preserve">the making of </w:t>
      </w:r>
      <w:r>
        <w:rPr>
          <w:rFonts w:ascii="Times New Roman" w:hAnsi="Times New Roman"/>
          <w:szCs w:val="24"/>
          <w:lang w:val="en-US"/>
        </w:rPr>
        <w:t xml:space="preserve">this class order to be of a minor and technical nature </w:t>
      </w:r>
      <w:r w:rsidR="00C62B7C">
        <w:rPr>
          <w:rFonts w:ascii="Times New Roman" w:hAnsi="Times New Roman"/>
          <w:szCs w:val="24"/>
          <w:lang w:val="en-US"/>
        </w:rPr>
        <w:t xml:space="preserve">which </w:t>
      </w:r>
      <w:r>
        <w:rPr>
          <w:rFonts w:ascii="Times New Roman" w:hAnsi="Times New Roman"/>
          <w:szCs w:val="24"/>
          <w:lang w:val="en-US"/>
        </w:rPr>
        <w:t>d</w:t>
      </w:r>
      <w:r w:rsidR="006B4111">
        <w:rPr>
          <w:rFonts w:ascii="Times New Roman" w:hAnsi="Times New Roman"/>
          <w:szCs w:val="24"/>
          <w:lang w:val="en-US"/>
        </w:rPr>
        <w:t>oes</w:t>
      </w:r>
      <w:r>
        <w:rPr>
          <w:rFonts w:ascii="Times New Roman" w:hAnsi="Times New Roman"/>
          <w:szCs w:val="24"/>
          <w:lang w:val="en-US"/>
        </w:rPr>
        <w:t xml:space="preserve"> not require consultation</w:t>
      </w:r>
      <w:r w:rsidR="00C62B7C">
        <w:rPr>
          <w:rFonts w:ascii="Times New Roman" w:hAnsi="Times New Roman"/>
          <w:szCs w:val="24"/>
          <w:lang w:val="en-US"/>
        </w:rPr>
        <w:t xml:space="preserve">. </w:t>
      </w:r>
    </w:p>
    <w:sectPr w:rsidR="001A09D9" w:rsidSect="00C62B7C">
      <w:headerReference w:type="default" r:id="rId7"/>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4C" w:rsidRDefault="00D40C4C" w:rsidP="00C62B7C">
      <w:r>
        <w:separator/>
      </w:r>
    </w:p>
  </w:endnote>
  <w:endnote w:type="continuationSeparator" w:id="0">
    <w:p w:rsidR="00D40C4C" w:rsidRDefault="00D40C4C" w:rsidP="00C62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4C" w:rsidRDefault="00D40C4C" w:rsidP="00C62B7C">
      <w:r>
        <w:separator/>
      </w:r>
    </w:p>
  </w:footnote>
  <w:footnote w:type="continuationSeparator" w:id="0">
    <w:p w:rsidR="00D40C4C" w:rsidRDefault="00D40C4C" w:rsidP="00C6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161049"/>
      <w:docPartObj>
        <w:docPartGallery w:val="Page Numbers (Top of Page)"/>
        <w:docPartUnique/>
      </w:docPartObj>
    </w:sdtPr>
    <w:sdtContent>
      <w:p w:rsidR="00C62B7C" w:rsidRDefault="00994B25">
        <w:pPr>
          <w:pStyle w:val="Header"/>
          <w:jc w:val="center"/>
        </w:pPr>
        <w:fldSimple w:instr=" PAGE   \* MERGEFORMAT ">
          <w:r w:rsidR="00D0336F">
            <w:rPr>
              <w:noProof/>
            </w:rPr>
            <w:t>2</w:t>
          </w:r>
        </w:fldSimple>
      </w:p>
    </w:sdtContent>
  </w:sdt>
  <w:p w:rsidR="00C62B7C" w:rsidRDefault="00C62B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B2B"/>
    <w:multiLevelType w:val="multilevel"/>
    <w:tmpl w:val="4E32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641FE"/>
    <w:multiLevelType w:val="multilevel"/>
    <w:tmpl w:val="CAB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8C3322"/>
    <w:multiLevelType w:val="multilevel"/>
    <w:tmpl w:val="A39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9A5CCF"/>
    <w:multiLevelType w:val="multilevel"/>
    <w:tmpl w:val="5D4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B173D5"/>
    <w:multiLevelType w:val="hybridMultilevel"/>
    <w:tmpl w:val="281AC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1A09D9"/>
    <w:rsid w:val="00013AE2"/>
    <w:rsid w:val="0006217F"/>
    <w:rsid w:val="000A460C"/>
    <w:rsid w:val="000A4C60"/>
    <w:rsid w:val="00176E8B"/>
    <w:rsid w:val="001A09D9"/>
    <w:rsid w:val="001E5F23"/>
    <w:rsid w:val="00220854"/>
    <w:rsid w:val="002A1DD3"/>
    <w:rsid w:val="00310E85"/>
    <w:rsid w:val="00334718"/>
    <w:rsid w:val="00393590"/>
    <w:rsid w:val="003B2964"/>
    <w:rsid w:val="00435EB3"/>
    <w:rsid w:val="0046188E"/>
    <w:rsid w:val="004834B1"/>
    <w:rsid w:val="00487B7A"/>
    <w:rsid w:val="00614806"/>
    <w:rsid w:val="00693C1B"/>
    <w:rsid w:val="00694FA8"/>
    <w:rsid w:val="006B4111"/>
    <w:rsid w:val="006F1A9C"/>
    <w:rsid w:val="00814F08"/>
    <w:rsid w:val="008972F3"/>
    <w:rsid w:val="00994B25"/>
    <w:rsid w:val="009C1FEF"/>
    <w:rsid w:val="009D328A"/>
    <w:rsid w:val="00A42BE6"/>
    <w:rsid w:val="00B31CB5"/>
    <w:rsid w:val="00C22C60"/>
    <w:rsid w:val="00C52BF6"/>
    <w:rsid w:val="00C62B7C"/>
    <w:rsid w:val="00C637F6"/>
    <w:rsid w:val="00CE53CC"/>
    <w:rsid w:val="00D0336F"/>
    <w:rsid w:val="00D40C4C"/>
    <w:rsid w:val="00EE62EE"/>
    <w:rsid w:val="00FD63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9C"/>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7C"/>
    <w:pPr>
      <w:tabs>
        <w:tab w:val="center" w:pos="4513"/>
        <w:tab w:val="right" w:pos="9026"/>
      </w:tabs>
    </w:pPr>
  </w:style>
  <w:style w:type="character" w:customStyle="1" w:styleId="HeaderChar">
    <w:name w:val="Header Char"/>
    <w:basedOn w:val="DefaultParagraphFont"/>
    <w:link w:val="Header"/>
    <w:uiPriority w:val="99"/>
    <w:rsid w:val="00C62B7C"/>
    <w:rPr>
      <w:rFonts w:ascii="Times" w:hAnsi="Times"/>
      <w:sz w:val="24"/>
      <w:lang w:eastAsia="en-US"/>
    </w:rPr>
  </w:style>
  <w:style w:type="paragraph" w:styleId="Footer">
    <w:name w:val="footer"/>
    <w:basedOn w:val="Normal"/>
    <w:link w:val="FooterChar"/>
    <w:uiPriority w:val="99"/>
    <w:semiHidden/>
    <w:unhideWhenUsed/>
    <w:rsid w:val="00C62B7C"/>
    <w:pPr>
      <w:tabs>
        <w:tab w:val="center" w:pos="4513"/>
        <w:tab w:val="right" w:pos="9026"/>
      </w:tabs>
    </w:pPr>
  </w:style>
  <w:style w:type="character" w:customStyle="1" w:styleId="FooterChar">
    <w:name w:val="Footer Char"/>
    <w:basedOn w:val="DefaultParagraphFont"/>
    <w:link w:val="Footer"/>
    <w:uiPriority w:val="99"/>
    <w:semiHidden/>
    <w:rsid w:val="00C62B7C"/>
    <w:rPr>
      <w:rFonts w:ascii="Times" w:hAnsi="Times"/>
      <w:sz w:val="24"/>
      <w:lang w:eastAsia="en-US"/>
    </w:rPr>
  </w:style>
  <w:style w:type="character" w:styleId="Hyperlink">
    <w:name w:val="Hyperlink"/>
    <w:basedOn w:val="DefaultParagraphFont"/>
    <w:uiPriority w:val="99"/>
    <w:unhideWhenUsed/>
    <w:rsid w:val="002208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753868">
      <w:bodyDiv w:val="1"/>
      <w:marLeft w:val="0"/>
      <w:marRight w:val="0"/>
      <w:marTop w:val="0"/>
      <w:marBottom w:val="0"/>
      <w:divBdr>
        <w:top w:val="none" w:sz="0" w:space="0" w:color="auto"/>
        <w:left w:val="none" w:sz="0" w:space="0" w:color="auto"/>
        <w:bottom w:val="none" w:sz="0" w:space="0" w:color="auto"/>
        <w:right w:val="none" w:sz="0" w:space="0" w:color="auto"/>
      </w:divBdr>
      <w:divsChild>
        <w:div w:id="2090034533">
          <w:marLeft w:val="0"/>
          <w:marRight w:val="0"/>
          <w:marTop w:val="0"/>
          <w:marBottom w:val="0"/>
          <w:divBdr>
            <w:top w:val="none" w:sz="0" w:space="0" w:color="auto"/>
            <w:left w:val="none" w:sz="0" w:space="0" w:color="auto"/>
            <w:bottom w:val="none" w:sz="0" w:space="0" w:color="auto"/>
            <w:right w:val="none" w:sz="0" w:space="0" w:color="auto"/>
          </w:divBdr>
          <w:divsChild>
            <w:div w:id="491138384">
              <w:marLeft w:val="1958"/>
              <w:marRight w:val="3110"/>
              <w:marTop w:val="0"/>
              <w:marBottom w:val="0"/>
              <w:divBdr>
                <w:top w:val="none" w:sz="0" w:space="0" w:color="auto"/>
                <w:left w:val="none" w:sz="0" w:space="0" w:color="auto"/>
                <w:bottom w:val="none" w:sz="0" w:space="0" w:color="auto"/>
                <w:right w:val="none" w:sz="0" w:space="0" w:color="auto"/>
              </w:divBdr>
            </w:div>
          </w:divsChild>
        </w:div>
      </w:divsChild>
    </w:div>
    <w:div w:id="603421179">
      <w:bodyDiv w:val="1"/>
      <w:marLeft w:val="0"/>
      <w:marRight w:val="0"/>
      <w:marTop w:val="0"/>
      <w:marBottom w:val="0"/>
      <w:divBdr>
        <w:top w:val="none" w:sz="0" w:space="0" w:color="auto"/>
        <w:left w:val="none" w:sz="0" w:space="0" w:color="auto"/>
        <w:bottom w:val="none" w:sz="0" w:space="0" w:color="auto"/>
        <w:right w:val="none" w:sz="0" w:space="0" w:color="auto"/>
      </w:divBdr>
      <w:divsChild>
        <w:div w:id="1679773896">
          <w:marLeft w:val="0"/>
          <w:marRight w:val="0"/>
          <w:marTop w:val="0"/>
          <w:marBottom w:val="0"/>
          <w:divBdr>
            <w:top w:val="none" w:sz="0" w:space="0" w:color="auto"/>
            <w:left w:val="none" w:sz="0" w:space="0" w:color="auto"/>
            <w:bottom w:val="none" w:sz="0" w:space="0" w:color="auto"/>
            <w:right w:val="none" w:sz="0" w:space="0" w:color="auto"/>
          </w:divBdr>
          <w:divsChild>
            <w:div w:id="1349406381">
              <w:marLeft w:val="1958"/>
              <w:marRight w:val="3110"/>
              <w:marTop w:val="0"/>
              <w:marBottom w:val="0"/>
              <w:divBdr>
                <w:top w:val="none" w:sz="0" w:space="0" w:color="auto"/>
                <w:left w:val="none" w:sz="0" w:space="0" w:color="auto"/>
                <w:bottom w:val="none" w:sz="0" w:space="0" w:color="auto"/>
                <w:right w:val="none" w:sz="0" w:space="0" w:color="auto"/>
              </w:divBdr>
            </w:div>
          </w:divsChild>
        </w:div>
      </w:divsChild>
    </w:div>
    <w:div w:id="728383900">
      <w:bodyDiv w:val="1"/>
      <w:marLeft w:val="0"/>
      <w:marRight w:val="0"/>
      <w:marTop w:val="0"/>
      <w:marBottom w:val="0"/>
      <w:divBdr>
        <w:top w:val="none" w:sz="0" w:space="0" w:color="auto"/>
        <w:left w:val="none" w:sz="0" w:space="0" w:color="auto"/>
        <w:bottom w:val="none" w:sz="0" w:space="0" w:color="auto"/>
        <w:right w:val="none" w:sz="0" w:space="0" w:color="auto"/>
      </w:divBdr>
      <w:divsChild>
        <w:div w:id="1559589050">
          <w:marLeft w:val="0"/>
          <w:marRight w:val="0"/>
          <w:marTop w:val="0"/>
          <w:marBottom w:val="0"/>
          <w:divBdr>
            <w:top w:val="none" w:sz="0" w:space="0" w:color="auto"/>
            <w:left w:val="none" w:sz="0" w:space="0" w:color="auto"/>
            <w:bottom w:val="none" w:sz="0" w:space="0" w:color="auto"/>
            <w:right w:val="none" w:sz="0" w:space="0" w:color="auto"/>
          </w:divBdr>
          <w:divsChild>
            <w:div w:id="39139455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198539996">
      <w:bodyDiv w:val="1"/>
      <w:marLeft w:val="0"/>
      <w:marRight w:val="0"/>
      <w:marTop w:val="0"/>
      <w:marBottom w:val="0"/>
      <w:divBdr>
        <w:top w:val="none" w:sz="0" w:space="0" w:color="auto"/>
        <w:left w:val="none" w:sz="0" w:space="0" w:color="auto"/>
        <w:bottom w:val="none" w:sz="0" w:space="0" w:color="auto"/>
        <w:right w:val="none" w:sz="0" w:space="0" w:color="auto"/>
      </w:divBdr>
      <w:divsChild>
        <w:div w:id="1980959606">
          <w:marLeft w:val="0"/>
          <w:marRight w:val="0"/>
          <w:marTop w:val="0"/>
          <w:marBottom w:val="0"/>
          <w:divBdr>
            <w:top w:val="none" w:sz="0" w:space="0" w:color="auto"/>
            <w:left w:val="none" w:sz="0" w:space="0" w:color="auto"/>
            <w:bottom w:val="none" w:sz="0" w:space="0" w:color="auto"/>
            <w:right w:val="none" w:sz="0" w:space="0" w:color="auto"/>
          </w:divBdr>
          <w:divsChild>
            <w:div w:id="1845128126">
              <w:marLeft w:val="1958"/>
              <w:marRight w:val="3110"/>
              <w:marTop w:val="0"/>
              <w:marBottom w:val="0"/>
              <w:divBdr>
                <w:top w:val="none" w:sz="0" w:space="0" w:color="auto"/>
                <w:left w:val="none" w:sz="0" w:space="0" w:color="auto"/>
                <w:bottom w:val="none" w:sz="0" w:space="0" w:color="auto"/>
                <w:right w:val="none" w:sz="0" w:space="0" w:color="auto"/>
              </w:divBdr>
            </w:div>
          </w:divsChild>
        </w:div>
      </w:divsChild>
    </w:div>
    <w:div w:id="1314213901">
      <w:bodyDiv w:val="1"/>
      <w:marLeft w:val="0"/>
      <w:marRight w:val="0"/>
      <w:marTop w:val="0"/>
      <w:marBottom w:val="0"/>
      <w:divBdr>
        <w:top w:val="none" w:sz="0" w:space="0" w:color="auto"/>
        <w:left w:val="none" w:sz="0" w:space="0" w:color="auto"/>
        <w:bottom w:val="none" w:sz="0" w:space="0" w:color="auto"/>
        <w:right w:val="none" w:sz="0" w:space="0" w:color="auto"/>
      </w:divBdr>
      <w:divsChild>
        <w:div w:id="1296377210">
          <w:marLeft w:val="0"/>
          <w:marRight w:val="0"/>
          <w:marTop w:val="0"/>
          <w:marBottom w:val="0"/>
          <w:divBdr>
            <w:top w:val="none" w:sz="0" w:space="0" w:color="auto"/>
            <w:left w:val="none" w:sz="0" w:space="0" w:color="auto"/>
            <w:bottom w:val="none" w:sz="0" w:space="0" w:color="auto"/>
            <w:right w:val="none" w:sz="0" w:space="0" w:color="auto"/>
          </w:divBdr>
          <w:divsChild>
            <w:div w:id="547572193">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478956789">
      <w:bodyDiv w:val="1"/>
      <w:marLeft w:val="0"/>
      <w:marRight w:val="0"/>
      <w:marTop w:val="0"/>
      <w:marBottom w:val="0"/>
      <w:divBdr>
        <w:top w:val="none" w:sz="0" w:space="0" w:color="auto"/>
        <w:left w:val="none" w:sz="0" w:space="0" w:color="auto"/>
        <w:bottom w:val="none" w:sz="0" w:space="0" w:color="auto"/>
        <w:right w:val="none" w:sz="0" w:space="0" w:color="auto"/>
      </w:divBdr>
      <w:divsChild>
        <w:div w:id="1181819201">
          <w:marLeft w:val="0"/>
          <w:marRight w:val="0"/>
          <w:marTop w:val="0"/>
          <w:marBottom w:val="0"/>
          <w:divBdr>
            <w:top w:val="none" w:sz="0" w:space="0" w:color="auto"/>
            <w:left w:val="none" w:sz="0" w:space="0" w:color="auto"/>
            <w:bottom w:val="none" w:sz="0" w:space="0" w:color="auto"/>
            <w:right w:val="none" w:sz="0" w:space="0" w:color="auto"/>
          </w:divBdr>
          <w:divsChild>
            <w:div w:id="158232322">
              <w:marLeft w:val="1958"/>
              <w:marRight w:val="3110"/>
              <w:marTop w:val="0"/>
              <w:marBottom w:val="0"/>
              <w:divBdr>
                <w:top w:val="none" w:sz="0" w:space="0" w:color="auto"/>
                <w:left w:val="none" w:sz="0" w:space="0" w:color="auto"/>
                <w:bottom w:val="none" w:sz="0" w:space="0" w:color="auto"/>
                <w:right w:val="none" w:sz="0" w:space="0" w:color="auto"/>
              </w:divBdr>
            </w:div>
          </w:divsChild>
        </w:div>
      </w:divsChild>
    </w:div>
    <w:div w:id="1582714866">
      <w:bodyDiv w:val="1"/>
      <w:marLeft w:val="0"/>
      <w:marRight w:val="0"/>
      <w:marTop w:val="0"/>
      <w:marBottom w:val="0"/>
      <w:divBdr>
        <w:top w:val="none" w:sz="0" w:space="0" w:color="auto"/>
        <w:left w:val="none" w:sz="0" w:space="0" w:color="auto"/>
        <w:bottom w:val="none" w:sz="0" w:space="0" w:color="auto"/>
        <w:right w:val="none" w:sz="0" w:space="0" w:color="auto"/>
      </w:divBdr>
      <w:divsChild>
        <w:div w:id="1519387133">
          <w:marLeft w:val="0"/>
          <w:marRight w:val="0"/>
          <w:marTop w:val="0"/>
          <w:marBottom w:val="0"/>
          <w:divBdr>
            <w:top w:val="none" w:sz="0" w:space="0" w:color="auto"/>
            <w:left w:val="none" w:sz="0" w:space="0" w:color="auto"/>
            <w:bottom w:val="none" w:sz="0" w:space="0" w:color="auto"/>
            <w:right w:val="none" w:sz="0" w:space="0" w:color="auto"/>
          </w:divBdr>
          <w:divsChild>
            <w:div w:id="332029030">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Moodie</dc:creator>
  <cp:keywords/>
  <dc:description/>
  <cp:lastModifiedBy>Grant Moodie</cp:lastModifiedBy>
  <cp:revision>8</cp:revision>
  <cp:lastPrinted>2012-04-06T06:57:00Z</cp:lastPrinted>
  <dcterms:created xsi:type="dcterms:W3CDTF">2012-04-03T00:35:00Z</dcterms:created>
  <dcterms:modified xsi:type="dcterms:W3CDTF">2012-04-26T05:42:00Z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A3507585</vt:lpwstr>
  </property>
  <property fmtid="{D5CDD505-2E9C-101B-9397-08002B2CF9AE}" pid="4" name="Objective-Title">
    <vt:lpwstr>Class Order 12-415 (Explanatory Statement)</vt:lpwstr>
  </property>
  <property fmtid="{D5CDD505-2E9C-101B-9397-08002B2CF9AE}" pid="5" name="Objective-Comment">
    <vt:lpwstr/>
  </property>
  <property fmtid="{D5CDD505-2E9C-101B-9397-08002B2CF9AE}" pid="6" name="Objective-CreationStamp">
    <vt:filetime>2012-04-03T00:35:43Z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2012-04-26T05:42:48Z</vt:filetime>
  </property>
  <property fmtid="{D5CDD505-2E9C-101B-9397-08002B2CF9AE}" pid="10" name="Objective-ModificationStamp">
    <vt:filetime>2012-04-26T05:42:48Z</vt:filetime>
  </property>
  <property fmtid="{D5CDD505-2E9C-101B-9397-08002B2CF9AE}" pid="11" name="Objective-Owner">
    <vt:lpwstr>Grant Moodie</vt:lpwstr>
  </property>
  <property fmtid="{D5CDD505-2E9C-101B-9397-08002B2CF9AE}" pid="12" name="Objective-Path">
    <vt:lpwstr>ASIC BCS:LEGAL SERVICES:Advice:Class Orders:Class Orders 2012:</vt:lpwstr>
  </property>
  <property fmtid="{D5CDD505-2E9C-101B-9397-08002B2CF9AE}" pid="13" name="Objective-Parent">
    <vt:lpwstr>Class Orders 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2012 - 000142</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