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112" w:rsidRDefault="003A2112">
      <w:pPr>
        <w:rPr>
          <w:lang w:val="en-US"/>
        </w:rPr>
      </w:pPr>
    </w:p>
    <w:p w:rsidR="006042E5" w:rsidRDefault="006042E5">
      <w:pPr>
        <w:rPr>
          <w:lang w:val="en-US"/>
        </w:rPr>
      </w:pPr>
    </w:p>
    <w:p w:rsidR="006042E5" w:rsidRDefault="006042E5">
      <w:pPr>
        <w:rPr>
          <w:lang w:val="en-US"/>
        </w:rPr>
      </w:pPr>
    </w:p>
    <w:p w:rsidR="006042E5" w:rsidRDefault="006042E5">
      <w:pPr>
        <w:rPr>
          <w:lang w:val="en-US"/>
        </w:rPr>
      </w:pPr>
    </w:p>
    <w:p w:rsidR="003A2112" w:rsidRDefault="003A2112" w:rsidP="003A2112">
      <w:pPr>
        <w:jc w:val="center"/>
        <w:rPr>
          <w:b/>
          <w:bCs/>
        </w:rPr>
      </w:pPr>
      <w:r w:rsidRPr="00A627E5">
        <w:rPr>
          <w:b/>
          <w:bCs/>
        </w:rPr>
        <w:t>Australian Securities and Investments Commission</w:t>
      </w:r>
    </w:p>
    <w:p w:rsidR="003A2112" w:rsidRPr="00A627E5" w:rsidRDefault="003A2112" w:rsidP="003A2112">
      <w:pPr>
        <w:jc w:val="center"/>
      </w:pPr>
      <w:r w:rsidRPr="00A627E5">
        <w:rPr>
          <w:b/>
          <w:bCs/>
        </w:rPr>
        <w:t xml:space="preserve">Corporations Act 2001 — Paragraph </w:t>
      </w:r>
      <w:proofErr w:type="gramStart"/>
      <w:r w:rsidR="0026517B">
        <w:rPr>
          <w:b/>
          <w:bCs/>
        </w:rPr>
        <w:t>1020F(</w:t>
      </w:r>
      <w:proofErr w:type="gramEnd"/>
      <w:r w:rsidR="0026517B">
        <w:rPr>
          <w:b/>
          <w:bCs/>
        </w:rPr>
        <w:t>1)(c)</w:t>
      </w:r>
      <w:r w:rsidRPr="00A627E5">
        <w:rPr>
          <w:b/>
          <w:bCs/>
        </w:rPr>
        <w:t xml:space="preserve"> — </w:t>
      </w:r>
      <w:r>
        <w:rPr>
          <w:b/>
          <w:bCs/>
        </w:rPr>
        <w:t>Declaration</w:t>
      </w:r>
    </w:p>
    <w:p w:rsidR="003A2112" w:rsidRDefault="003A2112" w:rsidP="003A2112"/>
    <w:p w:rsidR="003A2112" w:rsidRDefault="003A2112" w:rsidP="003A2112">
      <w:pPr>
        <w:rPr>
          <w:b/>
          <w:bCs/>
        </w:rPr>
      </w:pPr>
      <w:r w:rsidRPr="00A627E5">
        <w:rPr>
          <w:b/>
          <w:bCs/>
        </w:rPr>
        <w:t xml:space="preserve">Enabling </w:t>
      </w:r>
      <w:r>
        <w:rPr>
          <w:b/>
          <w:bCs/>
        </w:rPr>
        <w:t>legislation</w:t>
      </w:r>
    </w:p>
    <w:p w:rsidR="003A2112" w:rsidRPr="00A627E5" w:rsidRDefault="003A2112" w:rsidP="003A2112"/>
    <w:p w:rsidR="003A2112" w:rsidRPr="00A627E5" w:rsidRDefault="003A2112" w:rsidP="003A2112">
      <w:pPr>
        <w:ind w:left="567" w:hanging="578"/>
      </w:pPr>
      <w:r w:rsidRPr="00A627E5">
        <w:t>1.</w:t>
      </w:r>
      <w:r>
        <w:tab/>
      </w:r>
      <w:r w:rsidRPr="00A627E5">
        <w:t xml:space="preserve">The Australian Securities and Investments Commission makes this instrument under paragraph </w:t>
      </w:r>
      <w:proofErr w:type="gramStart"/>
      <w:r w:rsidR="00E40418">
        <w:t>1020F</w:t>
      </w:r>
      <w:r>
        <w:t>(</w:t>
      </w:r>
      <w:proofErr w:type="gramEnd"/>
      <w:r>
        <w:t xml:space="preserve">1)(c) </w:t>
      </w:r>
      <w:r w:rsidRPr="00A627E5">
        <w:t xml:space="preserve">of the </w:t>
      </w:r>
      <w:r w:rsidRPr="003300EB">
        <w:rPr>
          <w:i/>
          <w:iCs/>
        </w:rPr>
        <w:t>Corporations Act 2001</w:t>
      </w:r>
      <w:r w:rsidR="008C2EB8">
        <w:rPr>
          <w:iCs/>
        </w:rPr>
        <w:t xml:space="preserve"> (the </w:t>
      </w:r>
      <w:r w:rsidR="008C2EB8" w:rsidRPr="008C2EB8">
        <w:rPr>
          <w:b/>
          <w:i/>
          <w:iCs/>
        </w:rPr>
        <w:t>Act</w:t>
      </w:r>
      <w:r w:rsidR="008C2EB8">
        <w:rPr>
          <w:iCs/>
        </w:rPr>
        <w:t>)</w:t>
      </w:r>
      <w:r>
        <w:rPr>
          <w:iCs/>
        </w:rPr>
        <w:t>.</w:t>
      </w:r>
    </w:p>
    <w:p w:rsidR="003A2112" w:rsidRDefault="003A2112" w:rsidP="003A2112">
      <w:pPr>
        <w:rPr>
          <w:b/>
          <w:bCs/>
        </w:rPr>
      </w:pPr>
    </w:p>
    <w:p w:rsidR="003A2112" w:rsidRDefault="003A2112" w:rsidP="003A2112">
      <w:pPr>
        <w:rPr>
          <w:b/>
          <w:bCs/>
        </w:rPr>
      </w:pPr>
      <w:r w:rsidRPr="00A627E5">
        <w:rPr>
          <w:b/>
          <w:bCs/>
        </w:rPr>
        <w:t xml:space="preserve">Title </w:t>
      </w:r>
    </w:p>
    <w:p w:rsidR="003A2112" w:rsidRPr="00A627E5" w:rsidRDefault="003A2112" w:rsidP="003A2112"/>
    <w:p w:rsidR="003A2112" w:rsidRPr="00A627E5" w:rsidRDefault="003A2112" w:rsidP="003A2112">
      <w:pPr>
        <w:ind w:left="567" w:hanging="567"/>
      </w:pPr>
      <w:r w:rsidRPr="00A627E5">
        <w:t>2.</w:t>
      </w:r>
      <w:r>
        <w:tab/>
      </w:r>
      <w:r w:rsidRPr="00A627E5">
        <w:t>This instrument is ASIC Class Order [CO 1</w:t>
      </w:r>
      <w:r>
        <w:t>2</w:t>
      </w:r>
      <w:r w:rsidRPr="00A627E5">
        <w:t>/</w:t>
      </w:r>
      <w:r w:rsidR="00F307BA">
        <w:t>415</w:t>
      </w:r>
      <w:r w:rsidRPr="003A2112">
        <w:t>]</w:t>
      </w:r>
      <w:r w:rsidRPr="00A627E5">
        <w:t>.</w:t>
      </w:r>
    </w:p>
    <w:p w:rsidR="003A2112" w:rsidRDefault="003A2112" w:rsidP="003A2112">
      <w:pPr>
        <w:rPr>
          <w:b/>
          <w:bCs/>
        </w:rPr>
      </w:pPr>
    </w:p>
    <w:p w:rsidR="003A2112" w:rsidRDefault="003A2112" w:rsidP="003A2112">
      <w:pPr>
        <w:rPr>
          <w:b/>
          <w:bCs/>
        </w:rPr>
      </w:pPr>
      <w:r w:rsidRPr="00A627E5">
        <w:rPr>
          <w:b/>
          <w:bCs/>
        </w:rPr>
        <w:t xml:space="preserve">Commencement </w:t>
      </w:r>
    </w:p>
    <w:p w:rsidR="003A2112" w:rsidRPr="00A627E5" w:rsidRDefault="003A2112" w:rsidP="003A2112"/>
    <w:p w:rsidR="003A2112" w:rsidRPr="00A627E5" w:rsidRDefault="003A2112" w:rsidP="003A2112">
      <w:pPr>
        <w:ind w:left="567" w:hanging="567"/>
      </w:pPr>
      <w:r w:rsidRPr="00A627E5">
        <w:t>3.</w:t>
      </w:r>
      <w:r>
        <w:tab/>
      </w:r>
      <w:r w:rsidRPr="00A627E5">
        <w:t xml:space="preserve">This instrument commences on the day it is registered under the </w:t>
      </w:r>
      <w:r w:rsidRPr="00A627E5">
        <w:rPr>
          <w:i/>
          <w:iCs/>
        </w:rPr>
        <w:t>Legislative Instruments Act 2003</w:t>
      </w:r>
      <w:r w:rsidRPr="00A627E5">
        <w:t>.</w:t>
      </w:r>
    </w:p>
    <w:p w:rsidR="003A2112" w:rsidRDefault="003A2112" w:rsidP="003A2112">
      <w:pPr>
        <w:ind w:left="720"/>
        <w:rPr>
          <w:sz w:val="18"/>
        </w:rPr>
      </w:pPr>
    </w:p>
    <w:p w:rsidR="003A2112" w:rsidRPr="00A627E5" w:rsidRDefault="003A2112" w:rsidP="003A2112">
      <w:pPr>
        <w:ind w:left="1134" w:hanging="567"/>
        <w:rPr>
          <w:sz w:val="18"/>
        </w:rPr>
      </w:pPr>
      <w:r w:rsidRPr="00A627E5">
        <w:rPr>
          <w:sz w:val="18"/>
        </w:rPr>
        <w:t xml:space="preserve">Note: </w:t>
      </w:r>
      <w:r>
        <w:rPr>
          <w:sz w:val="18"/>
        </w:rPr>
        <w:tab/>
      </w:r>
      <w:r w:rsidRPr="00A627E5">
        <w:rPr>
          <w:sz w:val="18"/>
        </w:rPr>
        <w:t>An instrument is registered when it is recorded on the Federal Register of Legislative Instruments (</w:t>
      </w:r>
      <w:r w:rsidRPr="00A627E5">
        <w:rPr>
          <w:b/>
          <w:bCs/>
          <w:i/>
          <w:iCs/>
          <w:sz w:val="18"/>
        </w:rPr>
        <w:t>FRLI</w:t>
      </w:r>
      <w:r w:rsidRPr="00A627E5">
        <w:rPr>
          <w:sz w:val="18"/>
        </w:rPr>
        <w:t xml:space="preserve">) in electronic form: see </w:t>
      </w:r>
      <w:r w:rsidRPr="00A627E5">
        <w:rPr>
          <w:i/>
          <w:iCs/>
          <w:sz w:val="18"/>
        </w:rPr>
        <w:t>Legislative Instruments Act 2003</w:t>
      </w:r>
      <w:r w:rsidRPr="00A627E5">
        <w:rPr>
          <w:sz w:val="18"/>
        </w:rPr>
        <w:t>, s</w:t>
      </w:r>
      <w:r>
        <w:rPr>
          <w:sz w:val="18"/>
        </w:rPr>
        <w:t>ection</w:t>
      </w:r>
      <w:r w:rsidRPr="00A627E5">
        <w:rPr>
          <w:sz w:val="18"/>
        </w:rPr>
        <w:t xml:space="preserve"> 4 (definition of </w:t>
      </w:r>
      <w:r w:rsidRPr="00A627E5">
        <w:rPr>
          <w:b/>
          <w:bCs/>
          <w:i/>
          <w:iCs/>
          <w:sz w:val="18"/>
        </w:rPr>
        <w:t>register</w:t>
      </w:r>
      <w:r w:rsidRPr="00A627E5">
        <w:rPr>
          <w:sz w:val="18"/>
        </w:rPr>
        <w:t xml:space="preserve">). The FRLI may be accessed at </w:t>
      </w:r>
      <w:r w:rsidRPr="00A627E5">
        <w:rPr>
          <w:sz w:val="18"/>
          <w:u w:val="single"/>
        </w:rPr>
        <w:t>http://www.frli.gov.au/</w:t>
      </w:r>
      <w:r w:rsidRPr="00A627E5">
        <w:rPr>
          <w:sz w:val="18"/>
        </w:rPr>
        <w:t>.</w:t>
      </w:r>
    </w:p>
    <w:p w:rsidR="003A2112" w:rsidRDefault="003A2112" w:rsidP="003A2112">
      <w:pPr>
        <w:rPr>
          <w:b/>
          <w:bCs/>
        </w:rPr>
      </w:pPr>
    </w:p>
    <w:p w:rsidR="003A2112" w:rsidRDefault="003A2112" w:rsidP="003A2112">
      <w:pPr>
        <w:rPr>
          <w:b/>
          <w:bCs/>
        </w:rPr>
      </w:pPr>
      <w:r>
        <w:rPr>
          <w:b/>
          <w:bCs/>
        </w:rPr>
        <w:t>Declaration</w:t>
      </w:r>
    </w:p>
    <w:p w:rsidR="003A2112" w:rsidRPr="00A627E5" w:rsidRDefault="003A2112" w:rsidP="003A2112"/>
    <w:p w:rsidR="00E40418" w:rsidRDefault="003A2112" w:rsidP="00E40418">
      <w:pPr>
        <w:pStyle w:val="Default"/>
        <w:ind w:left="567" w:hanging="567"/>
      </w:pPr>
      <w:r w:rsidRPr="003A2112">
        <w:t>4.</w:t>
      </w:r>
      <w:r w:rsidRPr="003A2112">
        <w:tab/>
      </w:r>
      <w:r>
        <w:t>Part 7.</w:t>
      </w:r>
      <w:r w:rsidR="00E40418">
        <w:t>9</w:t>
      </w:r>
      <w:r>
        <w:t xml:space="preserve"> </w:t>
      </w:r>
      <w:r w:rsidR="008C2EB8">
        <w:t xml:space="preserve">of the Act </w:t>
      </w:r>
      <w:r>
        <w:t xml:space="preserve">applies </w:t>
      </w:r>
      <w:r w:rsidRPr="003A2112">
        <w:t xml:space="preserve">in relation to a </w:t>
      </w:r>
      <w:r w:rsidR="00E40418">
        <w:t xml:space="preserve">responsible person for </w:t>
      </w:r>
      <w:r w:rsidR="00E40418" w:rsidRPr="00E40418">
        <w:t>a Product Disclosure Statement or Supplementary Product Disclosure Statement for an interest in a public offer superannuation fund that is a standard employer-sponsored fund as if provisions of that Part were modified or varied as follows</w:t>
      </w:r>
      <w:r w:rsidR="008C2EB8">
        <w:t>:</w:t>
      </w:r>
    </w:p>
    <w:p w:rsidR="00E40418" w:rsidRDefault="00E40418" w:rsidP="00E40418">
      <w:pPr>
        <w:pStyle w:val="Default"/>
        <w:ind w:left="567" w:hanging="567"/>
      </w:pPr>
    </w:p>
    <w:p w:rsidR="00E40418" w:rsidRDefault="00E40418" w:rsidP="00E40418">
      <w:pPr>
        <w:pStyle w:val="Default"/>
        <w:ind w:left="1134" w:hanging="567"/>
      </w:pPr>
      <w:r>
        <w:t>(a)</w:t>
      </w:r>
      <w:r>
        <w:tab/>
      </w:r>
      <w:proofErr w:type="gramStart"/>
      <w:r w:rsidRPr="00E40418">
        <w:t>in</w:t>
      </w:r>
      <w:proofErr w:type="gramEnd"/>
      <w:r w:rsidRPr="00E40418">
        <w:t xml:space="preserve"> subsection 1015D(2) omit “The”, substitute “Subject to subsection</w:t>
      </w:r>
      <w:r>
        <w:t> </w:t>
      </w:r>
      <w:r w:rsidRPr="00E40418">
        <w:t>(2A), the”;</w:t>
      </w:r>
    </w:p>
    <w:p w:rsidR="00E40418" w:rsidRDefault="00E40418" w:rsidP="00E40418">
      <w:pPr>
        <w:pStyle w:val="Default"/>
        <w:ind w:left="1134" w:hanging="567"/>
      </w:pPr>
    </w:p>
    <w:p w:rsidR="00E40418" w:rsidRDefault="00E40418" w:rsidP="00E40418">
      <w:pPr>
        <w:pStyle w:val="Default"/>
        <w:ind w:left="1134" w:hanging="567"/>
      </w:pPr>
      <w:r>
        <w:t>(b)</w:t>
      </w:r>
      <w:r>
        <w:tab/>
      </w:r>
      <w:proofErr w:type="gramStart"/>
      <w:r w:rsidRPr="00E40418">
        <w:t>after</w:t>
      </w:r>
      <w:proofErr w:type="gramEnd"/>
      <w:r w:rsidRPr="00E40418">
        <w:t xml:space="preserve"> subsection 1015D(2) insert:</w:t>
      </w:r>
    </w:p>
    <w:p w:rsidR="00E40418" w:rsidRPr="00E40418" w:rsidRDefault="00E40418" w:rsidP="00E40418">
      <w:pPr>
        <w:pStyle w:val="Default"/>
        <w:ind w:left="1134" w:hanging="567"/>
      </w:pPr>
    </w:p>
    <w:p w:rsidR="00E40418" w:rsidRDefault="00E40418" w:rsidP="00E40418">
      <w:pPr>
        <w:pStyle w:val="ListB"/>
        <w:ind w:left="1701" w:hanging="568"/>
        <w:rPr>
          <w:color w:val="000000"/>
        </w:rPr>
      </w:pPr>
      <w:r w:rsidRPr="00E40418">
        <w:rPr>
          <w:color w:val="000000"/>
        </w:rPr>
        <w:t>“(2A)</w:t>
      </w:r>
      <w:r>
        <w:rPr>
          <w:color w:val="000000"/>
        </w:rPr>
        <w:tab/>
      </w:r>
      <w:r w:rsidRPr="00E40418">
        <w:rPr>
          <w:color w:val="000000"/>
        </w:rPr>
        <w:t>Where section 1015DA applies in relation to the Statement, the responsible person for the Statement does not have to lodge a notice under subsection (2) for so long as the person complies with section</w:t>
      </w:r>
      <w:r>
        <w:rPr>
          <w:color w:val="000000"/>
        </w:rPr>
        <w:t> </w:t>
      </w:r>
      <w:r w:rsidRPr="00E40418">
        <w:rPr>
          <w:color w:val="000000"/>
        </w:rPr>
        <w:t>1015DA in relation to the Statement and:</w:t>
      </w:r>
    </w:p>
    <w:p w:rsidR="00E40418" w:rsidRPr="00E40418" w:rsidRDefault="00E40418" w:rsidP="00E40418">
      <w:pPr>
        <w:pStyle w:val="Default"/>
      </w:pPr>
    </w:p>
    <w:p w:rsidR="00E40418" w:rsidRDefault="00E40418" w:rsidP="00E40418">
      <w:pPr>
        <w:pStyle w:val="ListC"/>
        <w:ind w:left="2268" w:hanging="567"/>
        <w:rPr>
          <w:color w:val="000000"/>
        </w:rPr>
      </w:pPr>
      <w:r w:rsidRPr="00E40418">
        <w:rPr>
          <w:color w:val="000000"/>
        </w:rPr>
        <w:t>(a)</w:t>
      </w:r>
      <w:r>
        <w:rPr>
          <w:color w:val="000000"/>
        </w:rPr>
        <w:tab/>
      </w:r>
      <w:r w:rsidRPr="00E40418">
        <w:rPr>
          <w:color w:val="000000"/>
        </w:rPr>
        <w:t>in the case where the Statement is a Product Disclosure Statement—</w:t>
      </w:r>
      <w:r>
        <w:rPr>
          <w:color w:val="000000"/>
        </w:rPr>
        <w:t>i</w:t>
      </w:r>
      <w:r w:rsidRPr="00E40418">
        <w:rPr>
          <w:color w:val="000000"/>
        </w:rPr>
        <w:t>n relation to any document that forms part of the Statement; and</w:t>
      </w:r>
    </w:p>
    <w:p w:rsidR="00E40418" w:rsidRPr="00E40418" w:rsidRDefault="00E40418" w:rsidP="00E40418">
      <w:pPr>
        <w:pStyle w:val="ListC"/>
        <w:ind w:left="2268" w:hanging="567"/>
        <w:rPr>
          <w:color w:val="000000"/>
        </w:rPr>
      </w:pPr>
      <w:r w:rsidRPr="00E40418">
        <w:rPr>
          <w:color w:val="000000"/>
        </w:rPr>
        <w:t xml:space="preserve"> </w:t>
      </w:r>
    </w:p>
    <w:p w:rsidR="00E40418" w:rsidRDefault="00E40418" w:rsidP="00E40418">
      <w:pPr>
        <w:pStyle w:val="ListC"/>
        <w:ind w:left="2268" w:hanging="567"/>
        <w:rPr>
          <w:color w:val="000000"/>
        </w:rPr>
      </w:pPr>
      <w:r w:rsidRPr="00E40418">
        <w:rPr>
          <w:color w:val="000000"/>
        </w:rPr>
        <w:t>(b)</w:t>
      </w:r>
      <w:r>
        <w:rPr>
          <w:color w:val="000000"/>
        </w:rPr>
        <w:tab/>
      </w:r>
      <w:proofErr w:type="gramStart"/>
      <w:r w:rsidRPr="00E40418">
        <w:rPr>
          <w:color w:val="000000"/>
        </w:rPr>
        <w:t>in</w:t>
      </w:r>
      <w:proofErr w:type="gramEnd"/>
      <w:r w:rsidRPr="00E40418">
        <w:rPr>
          <w:color w:val="000000"/>
        </w:rPr>
        <w:t xml:space="preserve"> the case where the Statement is a Supplementary Product Disclosure Statement—in relation to any Statement supplemented by the Statement.”; and</w:t>
      </w:r>
    </w:p>
    <w:p w:rsidR="00E40418" w:rsidRPr="00E40418" w:rsidRDefault="00E40418" w:rsidP="00E40418">
      <w:pPr>
        <w:pStyle w:val="Default"/>
      </w:pPr>
    </w:p>
    <w:p w:rsidR="00E40418" w:rsidRPr="00E40418" w:rsidRDefault="00E40418" w:rsidP="00E40418">
      <w:pPr>
        <w:pStyle w:val="ListA"/>
        <w:ind w:left="1134" w:hanging="567"/>
        <w:rPr>
          <w:color w:val="000000"/>
        </w:rPr>
      </w:pPr>
      <w:r>
        <w:rPr>
          <w:color w:val="000000"/>
        </w:rPr>
        <w:t>(c)</w:t>
      </w:r>
      <w:r>
        <w:rPr>
          <w:color w:val="000000"/>
        </w:rPr>
        <w:tab/>
      </w:r>
      <w:proofErr w:type="gramStart"/>
      <w:r>
        <w:rPr>
          <w:color w:val="000000"/>
        </w:rPr>
        <w:t>a</w:t>
      </w:r>
      <w:r w:rsidRPr="00E40418">
        <w:rPr>
          <w:color w:val="000000"/>
        </w:rPr>
        <w:t>fter</w:t>
      </w:r>
      <w:proofErr w:type="gramEnd"/>
      <w:r w:rsidRPr="00E40418">
        <w:rPr>
          <w:color w:val="000000"/>
        </w:rPr>
        <w:t xml:space="preserve"> section 1015D insert:</w:t>
      </w:r>
    </w:p>
    <w:p w:rsidR="00E40418" w:rsidRDefault="00E40418" w:rsidP="00E40418">
      <w:pPr>
        <w:pStyle w:val="ListA"/>
        <w:ind w:left="567"/>
        <w:rPr>
          <w:color w:val="000000"/>
        </w:rPr>
      </w:pPr>
    </w:p>
    <w:p w:rsidR="00E40418" w:rsidRPr="00E40418" w:rsidRDefault="00E40418" w:rsidP="00E40418">
      <w:pPr>
        <w:pStyle w:val="ListA"/>
        <w:ind w:left="2127" w:hanging="993"/>
        <w:rPr>
          <w:color w:val="000000"/>
        </w:rPr>
      </w:pPr>
      <w:r w:rsidRPr="00E40418">
        <w:rPr>
          <w:color w:val="000000"/>
        </w:rPr>
        <w:t>“</w:t>
      </w:r>
      <w:r w:rsidRPr="00E40418">
        <w:rPr>
          <w:b/>
          <w:bCs/>
          <w:color w:val="000000"/>
        </w:rPr>
        <w:t>1015DA Alternative notice facility for certain superannuation Statements</w:t>
      </w:r>
    </w:p>
    <w:p w:rsidR="00E40418" w:rsidRPr="00E40418" w:rsidRDefault="00E40418" w:rsidP="00E40418">
      <w:pPr>
        <w:pStyle w:val="ListB"/>
        <w:ind w:left="1133"/>
        <w:rPr>
          <w:color w:val="000000"/>
        </w:rPr>
      </w:pPr>
    </w:p>
    <w:p w:rsidR="00E40418" w:rsidRPr="00E40418" w:rsidRDefault="00E40418" w:rsidP="00E40418">
      <w:pPr>
        <w:pStyle w:val="ListB"/>
        <w:ind w:left="1701" w:hanging="568"/>
        <w:rPr>
          <w:color w:val="000000"/>
        </w:rPr>
      </w:pPr>
      <w:r w:rsidRPr="00E40418">
        <w:rPr>
          <w:color w:val="000000"/>
        </w:rPr>
        <w:t>(1)</w:t>
      </w:r>
      <w:r>
        <w:rPr>
          <w:color w:val="000000"/>
        </w:rPr>
        <w:tab/>
      </w:r>
      <w:r w:rsidRPr="00E40418">
        <w:rPr>
          <w:color w:val="000000"/>
        </w:rPr>
        <w:t>This section applies in relation to:</w:t>
      </w:r>
    </w:p>
    <w:p w:rsidR="00E40418" w:rsidRPr="00E40418" w:rsidRDefault="00E40418" w:rsidP="00E40418">
      <w:pPr>
        <w:pStyle w:val="ListC"/>
        <w:ind w:left="1701"/>
        <w:rPr>
          <w:color w:val="000000"/>
        </w:rPr>
      </w:pPr>
    </w:p>
    <w:p w:rsidR="00E40418" w:rsidRPr="00E40418" w:rsidRDefault="00E40418" w:rsidP="00E40418">
      <w:pPr>
        <w:pStyle w:val="ListC"/>
        <w:ind w:left="2268" w:hanging="567"/>
        <w:rPr>
          <w:color w:val="000000"/>
        </w:rPr>
      </w:pPr>
      <w:r w:rsidRPr="00E40418">
        <w:rPr>
          <w:color w:val="000000"/>
        </w:rPr>
        <w:t>(a)</w:t>
      </w:r>
      <w:r>
        <w:rPr>
          <w:color w:val="000000"/>
        </w:rPr>
        <w:tab/>
      </w:r>
      <w:proofErr w:type="gramStart"/>
      <w:r w:rsidRPr="00E40418">
        <w:rPr>
          <w:color w:val="000000"/>
        </w:rPr>
        <w:t>a</w:t>
      </w:r>
      <w:proofErr w:type="gramEnd"/>
      <w:r w:rsidRPr="00E40418">
        <w:rPr>
          <w:color w:val="000000"/>
        </w:rPr>
        <w:t xml:space="preserve"> Product Disclosure Statement for a superannuation product that is both:</w:t>
      </w:r>
    </w:p>
    <w:p w:rsidR="00E40418" w:rsidRPr="00E40418" w:rsidRDefault="00E40418" w:rsidP="00E40418">
      <w:pPr>
        <w:pStyle w:val="Default"/>
      </w:pPr>
    </w:p>
    <w:p w:rsidR="00E40418" w:rsidRPr="00E40418" w:rsidRDefault="00E40418" w:rsidP="00E40418">
      <w:pPr>
        <w:pStyle w:val="ListD"/>
        <w:ind w:left="2835" w:hanging="567"/>
        <w:rPr>
          <w:color w:val="000000"/>
        </w:rPr>
      </w:pPr>
      <w:r w:rsidRPr="00E40418">
        <w:rPr>
          <w:color w:val="000000"/>
        </w:rPr>
        <w:t>(i)</w:t>
      </w:r>
      <w:r>
        <w:rPr>
          <w:color w:val="000000"/>
        </w:rPr>
        <w:tab/>
      </w:r>
      <w:proofErr w:type="gramStart"/>
      <w:r w:rsidRPr="00E40418">
        <w:rPr>
          <w:color w:val="000000"/>
        </w:rPr>
        <w:t>an</w:t>
      </w:r>
      <w:proofErr w:type="gramEnd"/>
      <w:r w:rsidRPr="00E40418">
        <w:rPr>
          <w:color w:val="000000"/>
        </w:rPr>
        <w:t xml:space="preserve"> accumulation product; and</w:t>
      </w:r>
    </w:p>
    <w:p w:rsidR="00E40418" w:rsidRPr="00E40418" w:rsidRDefault="00E40418" w:rsidP="00E40418">
      <w:pPr>
        <w:pStyle w:val="ListD"/>
        <w:ind w:left="2835" w:hanging="567"/>
        <w:rPr>
          <w:color w:val="000000"/>
        </w:rPr>
      </w:pPr>
    </w:p>
    <w:p w:rsidR="00E40418" w:rsidRPr="00E40418" w:rsidRDefault="00E40418" w:rsidP="00E40418">
      <w:pPr>
        <w:pStyle w:val="ListD"/>
        <w:ind w:left="2835" w:hanging="567"/>
        <w:rPr>
          <w:color w:val="000000"/>
        </w:rPr>
      </w:pPr>
      <w:r w:rsidRPr="00E40418">
        <w:rPr>
          <w:color w:val="000000"/>
        </w:rPr>
        <w:t>(ii)</w:t>
      </w:r>
      <w:r>
        <w:rPr>
          <w:color w:val="000000"/>
        </w:rPr>
        <w:tab/>
      </w:r>
      <w:proofErr w:type="gramStart"/>
      <w:r w:rsidRPr="00E40418">
        <w:rPr>
          <w:color w:val="000000"/>
        </w:rPr>
        <w:t>an</w:t>
      </w:r>
      <w:proofErr w:type="gramEnd"/>
      <w:r w:rsidRPr="00E40418">
        <w:rPr>
          <w:color w:val="000000"/>
        </w:rPr>
        <w:t xml:space="preserve"> interest in a public offer superannuation fund that is a standard employer-sponsored fund,</w:t>
      </w:r>
    </w:p>
    <w:p w:rsidR="00E40418" w:rsidRPr="00E40418" w:rsidRDefault="00E40418" w:rsidP="00E40418">
      <w:pPr>
        <w:pStyle w:val="Default"/>
      </w:pPr>
    </w:p>
    <w:p w:rsidR="00E40418" w:rsidRPr="00E40418" w:rsidRDefault="00E40418" w:rsidP="00E40418">
      <w:pPr>
        <w:pStyle w:val="ListC"/>
        <w:ind w:left="2268"/>
        <w:rPr>
          <w:color w:val="000000"/>
        </w:rPr>
      </w:pPr>
      <w:proofErr w:type="gramStart"/>
      <w:r w:rsidRPr="00E40418">
        <w:rPr>
          <w:color w:val="000000"/>
        </w:rPr>
        <w:t>where</w:t>
      </w:r>
      <w:proofErr w:type="gramEnd"/>
      <w:r w:rsidRPr="00E40418">
        <w:rPr>
          <w:color w:val="000000"/>
        </w:rPr>
        <w:t xml:space="preserve"> the Statement is made up of a common part and a variable choice part; and</w:t>
      </w:r>
    </w:p>
    <w:p w:rsidR="00E40418" w:rsidRPr="00E40418" w:rsidRDefault="00E40418" w:rsidP="00E40418">
      <w:pPr>
        <w:pStyle w:val="Default"/>
      </w:pPr>
    </w:p>
    <w:p w:rsidR="00E40418" w:rsidRPr="00E40418" w:rsidRDefault="00E40418" w:rsidP="00E40418">
      <w:pPr>
        <w:pStyle w:val="ListC"/>
        <w:ind w:left="2268" w:hanging="567"/>
        <w:rPr>
          <w:color w:val="000000"/>
        </w:rPr>
      </w:pPr>
      <w:r w:rsidRPr="00E40418">
        <w:rPr>
          <w:color w:val="000000"/>
        </w:rPr>
        <w:t>(b)</w:t>
      </w:r>
      <w:r>
        <w:rPr>
          <w:color w:val="000000"/>
        </w:rPr>
        <w:tab/>
      </w:r>
      <w:r w:rsidRPr="00E40418">
        <w:rPr>
          <w:color w:val="000000"/>
        </w:rPr>
        <w:t>a Supplementary Product Disclosure Statement that supplements a Product Disclosure Statement of the kind referred to in paragraph (a), in relation to which a notice has not been lodged under subsection 1015D(2).</w:t>
      </w:r>
    </w:p>
    <w:p w:rsidR="00E40418" w:rsidRPr="00E40418" w:rsidRDefault="00E40418" w:rsidP="00E40418">
      <w:pPr>
        <w:pStyle w:val="Default"/>
      </w:pPr>
    </w:p>
    <w:p w:rsidR="00E40418" w:rsidRPr="00E40418" w:rsidRDefault="00E40418" w:rsidP="00E40418">
      <w:pPr>
        <w:pStyle w:val="ListB"/>
        <w:ind w:left="1701" w:hanging="568"/>
        <w:rPr>
          <w:color w:val="000000"/>
        </w:rPr>
      </w:pPr>
      <w:r w:rsidRPr="00E40418">
        <w:rPr>
          <w:color w:val="000000"/>
        </w:rPr>
        <w:t>(2)</w:t>
      </w:r>
      <w:r>
        <w:rPr>
          <w:color w:val="000000"/>
        </w:rPr>
        <w:tab/>
      </w:r>
      <w:r w:rsidRPr="00E40418">
        <w:rPr>
          <w:color w:val="000000"/>
        </w:rPr>
        <w:t xml:space="preserve">The responsible person for the Statement must lodge with ASIC a notice (the </w:t>
      </w:r>
      <w:r w:rsidRPr="00E40418">
        <w:rPr>
          <w:b/>
          <w:bCs/>
          <w:i/>
          <w:iCs/>
          <w:color w:val="000000"/>
        </w:rPr>
        <w:t>primary notice</w:t>
      </w:r>
      <w:r w:rsidRPr="00E40418">
        <w:rPr>
          <w:color w:val="000000"/>
        </w:rPr>
        <w:t>) that complies with subsection (3) as soon as practicable, and in any event within 5 business days, after:</w:t>
      </w:r>
    </w:p>
    <w:p w:rsidR="00E40418" w:rsidRPr="00E40418" w:rsidRDefault="00E40418" w:rsidP="00E40418">
      <w:pPr>
        <w:pStyle w:val="Default"/>
      </w:pPr>
    </w:p>
    <w:p w:rsidR="00E40418" w:rsidRPr="00E40418" w:rsidRDefault="00E40418" w:rsidP="00E40418">
      <w:pPr>
        <w:pStyle w:val="ListC"/>
        <w:ind w:left="2268" w:hanging="567"/>
        <w:rPr>
          <w:color w:val="000000"/>
        </w:rPr>
      </w:pPr>
      <w:r w:rsidRPr="00E40418">
        <w:rPr>
          <w:color w:val="000000"/>
        </w:rPr>
        <w:t>(a)</w:t>
      </w:r>
      <w:r>
        <w:rPr>
          <w:color w:val="000000"/>
        </w:rPr>
        <w:tab/>
      </w:r>
      <w:proofErr w:type="gramStart"/>
      <w:r w:rsidRPr="00E40418">
        <w:rPr>
          <w:color w:val="000000"/>
        </w:rPr>
        <w:t>the</w:t>
      </w:r>
      <w:proofErr w:type="gramEnd"/>
      <w:r w:rsidRPr="00E40418">
        <w:rPr>
          <w:color w:val="000000"/>
        </w:rPr>
        <w:t xml:space="preserve"> common part is first given to someone as part of any Product Disclosure Statement in a recommendation, issue or sale situation; or</w:t>
      </w:r>
    </w:p>
    <w:p w:rsidR="00E40418" w:rsidRPr="00E40418" w:rsidRDefault="00E40418" w:rsidP="00E40418">
      <w:pPr>
        <w:pStyle w:val="ListC"/>
        <w:ind w:left="2268" w:hanging="567"/>
        <w:rPr>
          <w:color w:val="000000"/>
        </w:rPr>
      </w:pPr>
    </w:p>
    <w:p w:rsidR="00E40418" w:rsidRPr="00E40418" w:rsidRDefault="00E40418" w:rsidP="00E40418">
      <w:pPr>
        <w:pStyle w:val="ListC"/>
        <w:ind w:left="2268" w:hanging="567"/>
        <w:rPr>
          <w:color w:val="000000"/>
        </w:rPr>
      </w:pPr>
      <w:r w:rsidRPr="00E40418">
        <w:rPr>
          <w:color w:val="000000"/>
        </w:rPr>
        <w:t>(b)</w:t>
      </w:r>
      <w:r>
        <w:rPr>
          <w:color w:val="000000"/>
        </w:rPr>
        <w:tab/>
      </w:r>
      <w:proofErr w:type="gramStart"/>
      <w:r>
        <w:rPr>
          <w:color w:val="000000"/>
        </w:rPr>
        <w:t>t</w:t>
      </w:r>
      <w:r w:rsidRPr="00E40418">
        <w:rPr>
          <w:color w:val="000000"/>
        </w:rPr>
        <w:t>he</w:t>
      </w:r>
      <w:proofErr w:type="gramEnd"/>
      <w:r w:rsidRPr="00E40418">
        <w:rPr>
          <w:color w:val="000000"/>
        </w:rPr>
        <w:t xml:space="preserve"> Supplementary Product Disclosure Statement that relates to the common part is first given to someone in a recommendation, issue or sale situation to supplement any Product Disclosure Statement in relation to which this section applies.</w:t>
      </w:r>
    </w:p>
    <w:p w:rsidR="00E40418" w:rsidRPr="00E40418" w:rsidRDefault="00E40418" w:rsidP="00E40418">
      <w:pPr>
        <w:pStyle w:val="ListB"/>
        <w:ind w:left="1133"/>
        <w:rPr>
          <w:color w:val="000000"/>
        </w:rPr>
      </w:pPr>
    </w:p>
    <w:p w:rsidR="00E40418" w:rsidRPr="00E40418" w:rsidRDefault="00E40418" w:rsidP="00E40418">
      <w:pPr>
        <w:pStyle w:val="ListB"/>
        <w:ind w:left="1701" w:hanging="568"/>
        <w:rPr>
          <w:color w:val="000000"/>
        </w:rPr>
      </w:pPr>
      <w:r w:rsidRPr="00E40418">
        <w:rPr>
          <w:color w:val="000000"/>
        </w:rPr>
        <w:t>(3)</w:t>
      </w:r>
      <w:r>
        <w:rPr>
          <w:color w:val="000000"/>
        </w:rPr>
        <w:tab/>
      </w:r>
      <w:r w:rsidRPr="00E40418">
        <w:rPr>
          <w:color w:val="000000"/>
        </w:rPr>
        <w:t>The primary notice must specify each Product Disclosure Statement that:</w:t>
      </w:r>
    </w:p>
    <w:p w:rsidR="00E40418" w:rsidRPr="00E40418" w:rsidRDefault="00E40418" w:rsidP="00E40418">
      <w:pPr>
        <w:pStyle w:val="ListC"/>
        <w:ind w:left="1701"/>
        <w:rPr>
          <w:color w:val="000000"/>
        </w:rPr>
      </w:pPr>
    </w:p>
    <w:p w:rsidR="00E40418" w:rsidRPr="00E40418" w:rsidRDefault="00E40418" w:rsidP="00E40418">
      <w:pPr>
        <w:pStyle w:val="ListC"/>
        <w:ind w:left="2268" w:hanging="567"/>
        <w:rPr>
          <w:color w:val="000000"/>
        </w:rPr>
      </w:pPr>
      <w:r w:rsidRPr="00E40418">
        <w:rPr>
          <w:color w:val="000000"/>
        </w:rPr>
        <w:t>(a)</w:t>
      </w:r>
      <w:r>
        <w:rPr>
          <w:color w:val="000000"/>
        </w:rPr>
        <w:tab/>
      </w:r>
      <w:proofErr w:type="gramStart"/>
      <w:r w:rsidRPr="00E40418">
        <w:rPr>
          <w:color w:val="000000"/>
        </w:rPr>
        <w:t>includes</w:t>
      </w:r>
      <w:proofErr w:type="gramEnd"/>
      <w:r w:rsidRPr="00E40418">
        <w:rPr>
          <w:color w:val="000000"/>
        </w:rPr>
        <w:t xml:space="preserve"> the common part; and</w:t>
      </w:r>
    </w:p>
    <w:p w:rsidR="00E40418" w:rsidRPr="00E40418" w:rsidRDefault="00E40418" w:rsidP="00E40418">
      <w:pPr>
        <w:pStyle w:val="ListC"/>
        <w:ind w:left="2268" w:hanging="567"/>
        <w:rPr>
          <w:color w:val="000000"/>
        </w:rPr>
      </w:pPr>
    </w:p>
    <w:p w:rsidR="00E40418" w:rsidRPr="00E40418" w:rsidRDefault="00E40418" w:rsidP="00E40418">
      <w:pPr>
        <w:pStyle w:val="ListC"/>
        <w:ind w:left="2268" w:hanging="567"/>
        <w:rPr>
          <w:color w:val="000000"/>
        </w:rPr>
      </w:pPr>
      <w:r w:rsidRPr="00E40418">
        <w:rPr>
          <w:color w:val="000000"/>
        </w:rPr>
        <w:t>(b)</w:t>
      </w:r>
      <w:r>
        <w:rPr>
          <w:color w:val="000000"/>
        </w:rPr>
        <w:tab/>
      </w:r>
      <w:proofErr w:type="gramStart"/>
      <w:r w:rsidRPr="00E40418">
        <w:rPr>
          <w:color w:val="000000"/>
        </w:rPr>
        <w:t>where</w:t>
      </w:r>
      <w:proofErr w:type="gramEnd"/>
      <w:r w:rsidRPr="00E40418">
        <w:rPr>
          <w:color w:val="000000"/>
        </w:rPr>
        <w:t xml:space="preserve"> paragraph (2)(b) applies—is supplemented by the Supplementary Product Disclosure Statement; and</w:t>
      </w:r>
    </w:p>
    <w:p w:rsidR="00E40418" w:rsidRPr="00E40418" w:rsidRDefault="00E40418" w:rsidP="00E40418">
      <w:pPr>
        <w:pStyle w:val="ListC"/>
        <w:ind w:left="2268" w:hanging="567"/>
        <w:rPr>
          <w:color w:val="000000"/>
        </w:rPr>
      </w:pPr>
    </w:p>
    <w:p w:rsidR="00E40418" w:rsidRPr="00E40418" w:rsidRDefault="00E40418" w:rsidP="00E40418">
      <w:pPr>
        <w:pStyle w:val="ListC"/>
        <w:ind w:left="2268" w:hanging="567"/>
        <w:rPr>
          <w:color w:val="000000"/>
        </w:rPr>
      </w:pPr>
      <w:r w:rsidRPr="00E40418">
        <w:rPr>
          <w:color w:val="000000"/>
        </w:rPr>
        <w:t>(c)</w:t>
      </w:r>
      <w:r>
        <w:rPr>
          <w:color w:val="000000"/>
        </w:rPr>
        <w:tab/>
      </w:r>
      <w:proofErr w:type="gramStart"/>
      <w:r w:rsidRPr="00E40418">
        <w:rPr>
          <w:color w:val="000000"/>
        </w:rPr>
        <w:t>is</w:t>
      </w:r>
      <w:proofErr w:type="gramEnd"/>
      <w:r w:rsidRPr="00E40418">
        <w:rPr>
          <w:color w:val="000000"/>
        </w:rPr>
        <w:t xml:space="preserve"> given to someone in a recommendation, issue or sale situation before the lodgement of that notice.</w:t>
      </w:r>
    </w:p>
    <w:p w:rsidR="00E40418" w:rsidRPr="00E40418" w:rsidRDefault="00E40418" w:rsidP="00E40418">
      <w:pPr>
        <w:pStyle w:val="ListB"/>
        <w:ind w:left="1133"/>
        <w:rPr>
          <w:color w:val="000000"/>
        </w:rPr>
      </w:pPr>
    </w:p>
    <w:p w:rsidR="00E40418" w:rsidRPr="00E40418" w:rsidRDefault="00E40418" w:rsidP="008C2EB8">
      <w:pPr>
        <w:pStyle w:val="ListB"/>
        <w:ind w:left="1701" w:hanging="568"/>
        <w:rPr>
          <w:color w:val="000000"/>
        </w:rPr>
      </w:pPr>
      <w:r w:rsidRPr="00E40418">
        <w:rPr>
          <w:color w:val="000000"/>
        </w:rPr>
        <w:t>(4)</w:t>
      </w:r>
      <w:r w:rsidR="008C2EB8">
        <w:rPr>
          <w:color w:val="000000"/>
        </w:rPr>
        <w:tab/>
      </w:r>
      <w:r w:rsidRPr="00E40418">
        <w:rPr>
          <w:color w:val="000000"/>
        </w:rPr>
        <w:t xml:space="preserve">The responsible person for the Statement must lodge with ASIC as soon as practicable after the end of each month and in any event within 5 business days of the end of that month, a notice </w:t>
      </w:r>
      <w:r w:rsidRPr="00E40418">
        <w:rPr>
          <w:color w:val="000000"/>
        </w:rPr>
        <w:lastRenderedPageBreak/>
        <w:t>(a</w:t>
      </w:r>
      <w:r w:rsidR="008C2EB8">
        <w:rPr>
          <w:color w:val="000000"/>
        </w:rPr>
        <w:t> </w:t>
      </w:r>
      <w:r w:rsidRPr="00E40418">
        <w:rPr>
          <w:b/>
          <w:bCs/>
          <w:i/>
          <w:iCs/>
          <w:color w:val="000000"/>
        </w:rPr>
        <w:t>secondary notice</w:t>
      </w:r>
      <w:r w:rsidRPr="00E40418">
        <w:rPr>
          <w:color w:val="000000"/>
        </w:rPr>
        <w:t>) that complies with subsections (5) and (6). Such notices must be lodged unless and until no Product Disclosure Statement that includes the common part is available to be given to someone in a recommendation, issue or sale situation.</w:t>
      </w:r>
    </w:p>
    <w:p w:rsidR="00E40418" w:rsidRPr="00E40418" w:rsidRDefault="00E40418" w:rsidP="00E40418">
      <w:pPr>
        <w:pStyle w:val="ListB"/>
        <w:ind w:left="1133"/>
        <w:rPr>
          <w:color w:val="000000"/>
        </w:rPr>
      </w:pPr>
    </w:p>
    <w:p w:rsidR="00E40418" w:rsidRPr="00E40418" w:rsidRDefault="00E40418" w:rsidP="008C2EB8">
      <w:pPr>
        <w:pStyle w:val="ListB"/>
        <w:ind w:left="1701" w:hanging="568"/>
        <w:rPr>
          <w:color w:val="000000"/>
        </w:rPr>
      </w:pPr>
      <w:r w:rsidRPr="00E40418">
        <w:rPr>
          <w:color w:val="000000"/>
        </w:rPr>
        <w:t>(5)</w:t>
      </w:r>
      <w:r w:rsidR="008C2EB8">
        <w:rPr>
          <w:color w:val="000000"/>
        </w:rPr>
        <w:tab/>
      </w:r>
      <w:r w:rsidRPr="00E40418">
        <w:rPr>
          <w:color w:val="000000"/>
        </w:rPr>
        <w:t>The secondary notice must specify each Product Disclosure Statement that:</w:t>
      </w:r>
    </w:p>
    <w:p w:rsidR="008C2EB8" w:rsidRDefault="008C2EB8" w:rsidP="00E40418">
      <w:pPr>
        <w:pStyle w:val="ListC"/>
        <w:ind w:left="1701"/>
        <w:rPr>
          <w:color w:val="000000"/>
        </w:rPr>
      </w:pPr>
    </w:p>
    <w:p w:rsidR="00E40418" w:rsidRPr="00E40418" w:rsidRDefault="00E40418" w:rsidP="008C2EB8">
      <w:pPr>
        <w:pStyle w:val="ListC"/>
        <w:ind w:left="2268" w:hanging="567"/>
        <w:rPr>
          <w:color w:val="000000"/>
        </w:rPr>
      </w:pPr>
      <w:r w:rsidRPr="00E40418">
        <w:rPr>
          <w:color w:val="000000"/>
        </w:rPr>
        <w:t>(a)</w:t>
      </w:r>
      <w:r w:rsidR="008C2EB8">
        <w:rPr>
          <w:color w:val="000000"/>
        </w:rPr>
        <w:tab/>
      </w:r>
      <w:proofErr w:type="gramStart"/>
      <w:r w:rsidRPr="00E40418">
        <w:rPr>
          <w:color w:val="000000"/>
        </w:rPr>
        <w:t>includes</w:t>
      </w:r>
      <w:proofErr w:type="gramEnd"/>
      <w:r w:rsidRPr="00E40418">
        <w:rPr>
          <w:color w:val="000000"/>
        </w:rPr>
        <w:t xml:space="preserve"> the common part; and</w:t>
      </w:r>
    </w:p>
    <w:p w:rsidR="00E40418" w:rsidRPr="00E40418" w:rsidRDefault="00E40418" w:rsidP="008C2EB8">
      <w:pPr>
        <w:pStyle w:val="ListC"/>
        <w:ind w:left="2268" w:hanging="567"/>
        <w:rPr>
          <w:color w:val="000000"/>
        </w:rPr>
      </w:pPr>
    </w:p>
    <w:p w:rsidR="00E40418" w:rsidRPr="00E40418" w:rsidRDefault="00E40418" w:rsidP="008C2EB8">
      <w:pPr>
        <w:pStyle w:val="ListC"/>
        <w:ind w:left="2268" w:hanging="567"/>
      </w:pPr>
      <w:r w:rsidRPr="00E40418">
        <w:t>(b)</w:t>
      </w:r>
      <w:r w:rsidR="008C2EB8">
        <w:tab/>
      </w:r>
      <w:proofErr w:type="gramStart"/>
      <w:r w:rsidRPr="00E40418">
        <w:t>where</w:t>
      </w:r>
      <w:proofErr w:type="gramEnd"/>
      <w:r w:rsidRPr="00E40418">
        <w:t xml:space="preserve"> paragraph (2)(b) applies in relation to the primary notice—is supplemented by the Supplementary Product Disclosure Statement; and</w:t>
      </w:r>
    </w:p>
    <w:p w:rsidR="00E40418" w:rsidRPr="00E40418" w:rsidRDefault="00E40418" w:rsidP="008C2EB8">
      <w:pPr>
        <w:pStyle w:val="ListC"/>
        <w:ind w:left="2268" w:hanging="567"/>
      </w:pPr>
    </w:p>
    <w:p w:rsidR="00E40418" w:rsidRPr="00E40418" w:rsidRDefault="00E40418" w:rsidP="008C2EB8">
      <w:pPr>
        <w:pStyle w:val="ListC"/>
        <w:ind w:left="2268" w:hanging="567"/>
      </w:pPr>
      <w:r w:rsidRPr="00E40418">
        <w:t>(c)</w:t>
      </w:r>
      <w:r w:rsidR="008C2EB8">
        <w:tab/>
      </w:r>
      <w:proofErr w:type="gramStart"/>
      <w:r w:rsidRPr="00E40418">
        <w:t>at</w:t>
      </w:r>
      <w:proofErr w:type="gramEnd"/>
      <w:r w:rsidRPr="00E40418">
        <w:t xml:space="preserve"> any time before the end of the month to which the notice relates has been given to someone in a recommendation, issue or sale situation; and</w:t>
      </w:r>
    </w:p>
    <w:p w:rsidR="00E40418" w:rsidRPr="00E40418" w:rsidRDefault="00E40418" w:rsidP="008C2EB8">
      <w:pPr>
        <w:pStyle w:val="ListC"/>
        <w:ind w:left="2268" w:hanging="567"/>
      </w:pPr>
    </w:p>
    <w:p w:rsidR="00E40418" w:rsidRPr="00E40418" w:rsidRDefault="00E40418" w:rsidP="008C2EB8">
      <w:pPr>
        <w:pStyle w:val="ListC"/>
        <w:ind w:left="2268" w:hanging="567"/>
      </w:pPr>
      <w:r w:rsidRPr="00E40418">
        <w:t>(d)</w:t>
      </w:r>
      <w:r w:rsidR="008C2EB8">
        <w:tab/>
      </w:r>
      <w:proofErr w:type="gramStart"/>
      <w:r w:rsidRPr="00E40418">
        <w:t>at</w:t>
      </w:r>
      <w:proofErr w:type="gramEnd"/>
      <w:r w:rsidRPr="00E40418">
        <w:t xml:space="preserve"> the end of the month to which the notice relates, is available to be given to someone in a recommendation, issue or sale situation.</w:t>
      </w:r>
    </w:p>
    <w:p w:rsidR="00E40418" w:rsidRPr="00E40418" w:rsidRDefault="00E40418" w:rsidP="00E40418">
      <w:pPr>
        <w:pStyle w:val="ListB"/>
        <w:ind w:left="1133"/>
      </w:pPr>
    </w:p>
    <w:p w:rsidR="00E40418" w:rsidRPr="00E40418" w:rsidRDefault="00E40418" w:rsidP="008C2EB8">
      <w:pPr>
        <w:pStyle w:val="ListB"/>
        <w:ind w:left="1701" w:hanging="568"/>
      </w:pPr>
      <w:r w:rsidRPr="00E40418">
        <w:t>(6)</w:t>
      </w:r>
      <w:r w:rsidR="008C2EB8">
        <w:tab/>
      </w:r>
      <w:r w:rsidRPr="00E40418">
        <w:t>If a Supplementary Product Disclosure Statement that:</w:t>
      </w:r>
    </w:p>
    <w:p w:rsidR="00E40418" w:rsidRPr="00E40418" w:rsidRDefault="00E40418" w:rsidP="008C2EB8">
      <w:pPr>
        <w:pStyle w:val="ListC"/>
        <w:ind w:left="1701" w:hanging="568"/>
      </w:pPr>
    </w:p>
    <w:p w:rsidR="00E40418" w:rsidRPr="00E40418" w:rsidRDefault="00E40418" w:rsidP="008C2EB8">
      <w:pPr>
        <w:pStyle w:val="ListC"/>
        <w:ind w:left="2268" w:hanging="567"/>
      </w:pPr>
      <w:r w:rsidRPr="00E40418">
        <w:t>(a)</w:t>
      </w:r>
      <w:r w:rsidR="008C2EB8">
        <w:tab/>
      </w:r>
      <w:proofErr w:type="gramStart"/>
      <w:r w:rsidRPr="00E40418">
        <w:t>supplements</w:t>
      </w:r>
      <w:proofErr w:type="gramEnd"/>
      <w:r w:rsidRPr="00E40418">
        <w:t xml:space="preserve"> a Product Disclosure Statement covered by subsection (5); and</w:t>
      </w:r>
    </w:p>
    <w:p w:rsidR="00E40418" w:rsidRPr="00E40418" w:rsidRDefault="00E40418" w:rsidP="008C2EB8">
      <w:pPr>
        <w:pStyle w:val="ListC"/>
        <w:ind w:left="2268" w:hanging="567"/>
      </w:pPr>
    </w:p>
    <w:p w:rsidR="00E40418" w:rsidRDefault="00E40418" w:rsidP="008C2EB8">
      <w:pPr>
        <w:pStyle w:val="ListC"/>
        <w:ind w:left="2268" w:hanging="567"/>
      </w:pPr>
      <w:r w:rsidRPr="00E40418">
        <w:t>(</w:t>
      </w:r>
      <w:proofErr w:type="gramStart"/>
      <w:r w:rsidRPr="00E40418">
        <w:t>b</w:t>
      </w:r>
      <w:proofErr w:type="gramEnd"/>
      <w:r w:rsidRPr="00E40418">
        <w:t>)</w:t>
      </w:r>
      <w:r w:rsidR="008C2EB8">
        <w:tab/>
      </w:r>
      <w:r w:rsidRPr="00E40418">
        <w:t>relates to the variable choice part of the Product Disclosure Statement,</w:t>
      </w:r>
    </w:p>
    <w:p w:rsidR="008C2EB8" w:rsidRPr="008C2EB8" w:rsidRDefault="008C2EB8" w:rsidP="008C2EB8">
      <w:pPr>
        <w:pStyle w:val="Default"/>
      </w:pPr>
    </w:p>
    <w:p w:rsidR="00E40418" w:rsidRPr="00E40418" w:rsidRDefault="00E40418" w:rsidP="008C2EB8">
      <w:pPr>
        <w:pStyle w:val="ListB"/>
        <w:ind w:left="1701"/>
      </w:pPr>
      <w:r w:rsidRPr="00E40418">
        <w:t>has been given to someone in a recommendation, issue or sale situation, the secondary notice must also specify the Supplementary Product Disclosure Statement and which of the Product Disclosure Statements it supplements.</w:t>
      </w:r>
    </w:p>
    <w:p w:rsidR="00E40418" w:rsidRPr="00E40418" w:rsidRDefault="00E40418" w:rsidP="00E40418">
      <w:pPr>
        <w:pStyle w:val="ListB"/>
        <w:ind w:left="1133"/>
      </w:pPr>
    </w:p>
    <w:p w:rsidR="00E40418" w:rsidRPr="00E40418" w:rsidRDefault="00E40418" w:rsidP="008C2EB8">
      <w:pPr>
        <w:pStyle w:val="ListB"/>
        <w:ind w:left="1701" w:hanging="568"/>
      </w:pPr>
      <w:r w:rsidRPr="00E40418">
        <w:t>(7)</w:t>
      </w:r>
      <w:r w:rsidR="008C2EB8">
        <w:tab/>
      </w:r>
      <w:r w:rsidRPr="00E40418">
        <w:t xml:space="preserve">For the purposes of subsection (2) a common part is taken not to be </w:t>
      </w:r>
      <w:r w:rsidRPr="00E40418">
        <w:rPr>
          <w:b/>
          <w:bCs/>
          <w:i/>
          <w:iCs/>
        </w:rPr>
        <w:t xml:space="preserve">first given </w:t>
      </w:r>
      <w:r w:rsidRPr="00E40418">
        <w:t>as part of a Statement in a recommendation, issue or sale situation where a common part containing the same information and statements other than information and statements identifying the standard employer-sponsor in relation to the superannuation product to which the Statement relates has previously been given as part of another Statement in a recommendation, issue or sale situation.</w:t>
      </w:r>
    </w:p>
    <w:p w:rsidR="00E40418" w:rsidRPr="00E40418" w:rsidRDefault="00E40418" w:rsidP="00E40418">
      <w:pPr>
        <w:pStyle w:val="ListB"/>
        <w:ind w:left="1133"/>
      </w:pPr>
    </w:p>
    <w:p w:rsidR="00E40418" w:rsidRDefault="00E40418" w:rsidP="008C2EB8">
      <w:pPr>
        <w:pStyle w:val="ListB"/>
        <w:ind w:left="1701" w:hanging="568"/>
      </w:pPr>
      <w:r w:rsidRPr="00E40418">
        <w:t>(8)</w:t>
      </w:r>
      <w:r w:rsidR="008C2EB8">
        <w:tab/>
      </w:r>
      <w:r w:rsidRPr="00E40418">
        <w:t xml:space="preserve">For the purposes of this section, a Supplementary Product Disclosure Statement </w:t>
      </w:r>
      <w:r w:rsidRPr="00E40418">
        <w:rPr>
          <w:b/>
          <w:bCs/>
          <w:i/>
          <w:iCs/>
        </w:rPr>
        <w:t xml:space="preserve">relates </w:t>
      </w:r>
      <w:r w:rsidRPr="00E40418">
        <w:t>to the common part of a Product Disclosure Statement or the variable choice part of a Product Disclosure Statement (as the case may be) if it:</w:t>
      </w:r>
    </w:p>
    <w:p w:rsidR="008C2EB8" w:rsidRPr="008C2EB8" w:rsidRDefault="008C2EB8" w:rsidP="008C2EB8">
      <w:pPr>
        <w:pStyle w:val="Default"/>
      </w:pPr>
    </w:p>
    <w:p w:rsidR="00E40418" w:rsidRDefault="00E40418" w:rsidP="008C2EB8">
      <w:pPr>
        <w:pStyle w:val="ListC"/>
        <w:ind w:left="2268" w:hanging="567"/>
      </w:pPr>
      <w:r w:rsidRPr="00E40418">
        <w:t>(a)</w:t>
      </w:r>
      <w:r w:rsidR="008C2EB8">
        <w:tab/>
      </w:r>
      <w:proofErr w:type="gramStart"/>
      <w:r w:rsidRPr="00E40418">
        <w:t>corrects</w:t>
      </w:r>
      <w:proofErr w:type="gramEnd"/>
      <w:r w:rsidRPr="00E40418">
        <w:t xml:space="preserve"> a misleading or deceptive statement in that part; or</w:t>
      </w:r>
    </w:p>
    <w:p w:rsidR="008C2EB8" w:rsidRPr="008C2EB8" w:rsidRDefault="008C2EB8" w:rsidP="008C2EB8">
      <w:pPr>
        <w:pStyle w:val="Default"/>
        <w:ind w:left="2268" w:hanging="567"/>
      </w:pPr>
    </w:p>
    <w:p w:rsidR="00E40418" w:rsidRDefault="00E40418" w:rsidP="008C2EB8">
      <w:pPr>
        <w:pStyle w:val="ListC"/>
        <w:ind w:left="2268" w:hanging="567"/>
      </w:pPr>
      <w:r w:rsidRPr="00E40418">
        <w:lastRenderedPageBreak/>
        <w:t>(b)</w:t>
      </w:r>
      <w:r w:rsidR="008C2EB8">
        <w:tab/>
      </w:r>
      <w:proofErr w:type="gramStart"/>
      <w:r w:rsidRPr="00E40418">
        <w:t>corrects</w:t>
      </w:r>
      <w:proofErr w:type="gramEnd"/>
      <w:r w:rsidRPr="00E40418">
        <w:t xml:space="preserve"> an omission of information which the Product Disclosure Statement is required to contain, by adding that information to that part; or</w:t>
      </w:r>
    </w:p>
    <w:p w:rsidR="008C2EB8" w:rsidRPr="008C2EB8" w:rsidRDefault="008C2EB8" w:rsidP="008C2EB8">
      <w:pPr>
        <w:pStyle w:val="Default"/>
        <w:ind w:left="2268" w:hanging="567"/>
      </w:pPr>
    </w:p>
    <w:p w:rsidR="00E40418" w:rsidRDefault="00E40418" w:rsidP="008C2EB8">
      <w:pPr>
        <w:pStyle w:val="ListC"/>
        <w:ind w:left="2268" w:hanging="567"/>
      </w:pPr>
      <w:r w:rsidRPr="00E40418">
        <w:t>(c)</w:t>
      </w:r>
      <w:r w:rsidR="008C2EB8">
        <w:tab/>
      </w:r>
      <w:proofErr w:type="gramStart"/>
      <w:r w:rsidRPr="00E40418">
        <w:t>updates</w:t>
      </w:r>
      <w:proofErr w:type="gramEnd"/>
      <w:r w:rsidRPr="00E40418">
        <w:t xml:space="preserve"> or adds to the information in that part.</w:t>
      </w:r>
    </w:p>
    <w:p w:rsidR="008C2EB8" w:rsidRPr="008C2EB8" w:rsidRDefault="008C2EB8" w:rsidP="008C2EB8">
      <w:pPr>
        <w:pStyle w:val="Default"/>
      </w:pPr>
    </w:p>
    <w:p w:rsidR="008C2EB8" w:rsidRPr="008C2EB8" w:rsidRDefault="00E40418" w:rsidP="008C2EB8">
      <w:pPr>
        <w:pStyle w:val="ahist"/>
        <w:ind w:left="2268" w:hanging="567"/>
        <w:rPr>
          <w:sz w:val="20"/>
          <w:szCs w:val="20"/>
        </w:rPr>
      </w:pPr>
      <w:r w:rsidRPr="008C2EB8">
        <w:rPr>
          <w:sz w:val="20"/>
          <w:szCs w:val="20"/>
        </w:rPr>
        <w:t>Note:</w:t>
      </w:r>
      <w:r w:rsidR="008C2EB8" w:rsidRPr="008C2EB8">
        <w:rPr>
          <w:sz w:val="20"/>
          <w:szCs w:val="20"/>
        </w:rPr>
        <w:tab/>
      </w:r>
      <w:r w:rsidRPr="008C2EB8">
        <w:rPr>
          <w:sz w:val="20"/>
          <w:szCs w:val="20"/>
        </w:rPr>
        <w:t>A Supplementary Product Disclosure Statement may relate to both the common part and the variable choice part of a Product Disclosure Statement.</w:t>
      </w:r>
    </w:p>
    <w:p w:rsidR="008C2EB8" w:rsidRDefault="008C2EB8" w:rsidP="008C2EB8">
      <w:pPr>
        <w:pStyle w:val="ahist"/>
        <w:ind w:left="1133"/>
      </w:pPr>
    </w:p>
    <w:p w:rsidR="00E40418" w:rsidRPr="00E40418" w:rsidRDefault="00E40418" w:rsidP="008C2EB8">
      <w:pPr>
        <w:pStyle w:val="ahist"/>
        <w:ind w:left="1701" w:hanging="568"/>
      </w:pPr>
      <w:r w:rsidRPr="00E40418">
        <w:t>(9)</w:t>
      </w:r>
      <w:r w:rsidR="008C2EB8">
        <w:tab/>
      </w:r>
      <w:r w:rsidRPr="00E40418">
        <w:t>In this section:</w:t>
      </w:r>
    </w:p>
    <w:p w:rsidR="008C2EB8" w:rsidRDefault="008C2EB8" w:rsidP="00E40418">
      <w:pPr>
        <w:pStyle w:val="ListB"/>
        <w:ind w:left="1133"/>
        <w:rPr>
          <w:b/>
          <w:bCs/>
          <w:i/>
          <w:iCs/>
        </w:rPr>
      </w:pPr>
    </w:p>
    <w:p w:rsidR="00E40418" w:rsidRDefault="00E40418" w:rsidP="008C2EB8">
      <w:pPr>
        <w:pStyle w:val="ListB"/>
        <w:ind w:left="1701"/>
      </w:pPr>
      <w:proofErr w:type="gramStart"/>
      <w:r w:rsidRPr="00E40418">
        <w:rPr>
          <w:b/>
          <w:bCs/>
          <w:i/>
          <w:iCs/>
        </w:rPr>
        <w:t>accumulation</w:t>
      </w:r>
      <w:proofErr w:type="gramEnd"/>
      <w:r w:rsidRPr="00E40418">
        <w:rPr>
          <w:b/>
          <w:bCs/>
          <w:i/>
          <w:iCs/>
        </w:rPr>
        <w:t xml:space="preserve"> product </w:t>
      </w:r>
      <w:r w:rsidRPr="00E40418">
        <w:t>means a superannuation product other than a superannuation product in relation to which the holder would be a defined benefit member within the meaning of section 83A of the SIS Act.</w:t>
      </w:r>
    </w:p>
    <w:p w:rsidR="008C2EB8" w:rsidRPr="008C2EB8" w:rsidRDefault="008C2EB8" w:rsidP="008C2EB8">
      <w:pPr>
        <w:pStyle w:val="Default"/>
        <w:ind w:left="1701"/>
      </w:pPr>
    </w:p>
    <w:p w:rsidR="00E40418" w:rsidRDefault="00E40418" w:rsidP="008C2EB8">
      <w:pPr>
        <w:pStyle w:val="ListB"/>
        <w:ind w:left="1701"/>
      </w:pPr>
      <w:proofErr w:type="gramStart"/>
      <w:r w:rsidRPr="00E40418">
        <w:rPr>
          <w:b/>
          <w:bCs/>
          <w:i/>
          <w:iCs/>
        </w:rPr>
        <w:t>common</w:t>
      </w:r>
      <w:proofErr w:type="gramEnd"/>
      <w:r w:rsidRPr="00E40418">
        <w:rPr>
          <w:b/>
          <w:bCs/>
          <w:i/>
          <w:iCs/>
        </w:rPr>
        <w:t xml:space="preserve"> part </w:t>
      </w:r>
      <w:r w:rsidRPr="00E40418">
        <w:t>means the part of a Product Disclosure Statement that does not contain the statements and information set out in the variable choice part.</w:t>
      </w:r>
    </w:p>
    <w:p w:rsidR="008C2EB8" w:rsidRPr="008C2EB8" w:rsidRDefault="008C2EB8" w:rsidP="008C2EB8">
      <w:pPr>
        <w:pStyle w:val="Default"/>
      </w:pPr>
    </w:p>
    <w:p w:rsidR="00E40418" w:rsidRPr="008C2EB8" w:rsidRDefault="00E40418" w:rsidP="008C2EB8">
      <w:pPr>
        <w:pStyle w:val="ahist"/>
        <w:ind w:left="2268" w:hanging="567"/>
        <w:rPr>
          <w:sz w:val="20"/>
          <w:szCs w:val="20"/>
        </w:rPr>
      </w:pPr>
      <w:r w:rsidRPr="008C2EB8">
        <w:rPr>
          <w:sz w:val="20"/>
          <w:szCs w:val="20"/>
        </w:rPr>
        <w:t>Note:</w:t>
      </w:r>
      <w:r w:rsidR="008C2EB8">
        <w:rPr>
          <w:sz w:val="20"/>
          <w:szCs w:val="20"/>
        </w:rPr>
        <w:tab/>
      </w:r>
      <w:r w:rsidRPr="008C2EB8">
        <w:rPr>
          <w:sz w:val="20"/>
          <w:szCs w:val="20"/>
        </w:rPr>
        <w:t>By section 1013L,</w:t>
      </w:r>
      <w:r w:rsidR="008867F4">
        <w:rPr>
          <w:sz w:val="20"/>
          <w:szCs w:val="20"/>
        </w:rPr>
        <w:t xml:space="preserve"> </w:t>
      </w:r>
      <w:r w:rsidRPr="008C2EB8">
        <w:rPr>
          <w:sz w:val="20"/>
          <w:szCs w:val="20"/>
        </w:rPr>
        <w:t>a Product Disclosure Statement may be made up of 2 or more separate documents that are given at the same time. Similarly the common part may consist of such documents.</w:t>
      </w:r>
    </w:p>
    <w:p w:rsidR="008C2EB8" w:rsidRPr="008C2EB8" w:rsidRDefault="008C2EB8" w:rsidP="008C2EB8">
      <w:pPr>
        <w:pStyle w:val="Default"/>
      </w:pPr>
    </w:p>
    <w:p w:rsidR="00E40418" w:rsidRDefault="00E40418" w:rsidP="008C2EB8">
      <w:pPr>
        <w:pStyle w:val="ListB"/>
        <w:ind w:left="1701"/>
      </w:pPr>
      <w:proofErr w:type="gramStart"/>
      <w:r w:rsidRPr="00E40418">
        <w:rPr>
          <w:b/>
          <w:bCs/>
          <w:i/>
          <w:iCs/>
        </w:rPr>
        <w:t>public</w:t>
      </w:r>
      <w:proofErr w:type="gramEnd"/>
      <w:r w:rsidRPr="00E40418">
        <w:rPr>
          <w:b/>
          <w:bCs/>
          <w:i/>
          <w:iCs/>
        </w:rPr>
        <w:t xml:space="preserve"> offer superannuation fund </w:t>
      </w:r>
      <w:r w:rsidRPr="00E40418">
        <w:t>has the meaning given by section</w:t>
      </w:r>
      <w:r w:rsidR="008867F4">
        <w:t> </w:t>
      </w:r>
      <w:r w:rsidRPr="00E40418">
        <w:t>18 of the SIS Act.</w:t>
      </w:r>
    </w:p>
    <w:p w:rsidR="008C2EB8" w:rsidRPr="008C2EB8" w:rsidRDefault="008C2EB8" w:rsidP="008C2EB8">
      <w:pPr>
        <w:pStyle w:val="Default"/>
        <w:ind w:left="1701"/>
      </w:pPr>
    </w:p>
    <w:p w:rsidR="00E40418" w:rsidRDefault="00E40418" w:rsidP="008C2EB8">
      <w:pPr>
        <w:pStyle w:val="ListB"/>
        <w:ind w:left="1701"/>
      </w:pPr>
      <w:r w:rsidRPr="00E40418">
        <w:rPr>
          <w:b/>
          <w:bCs/>
          <w:i/>
          <w:iCs/>
        </w:rPr>
        <w:t xml:space="preserve">SIS Act </w:t>
      </w:r>
      <w:r w:rsidRPr="00E40418">
        <w:t>means the S</w:t>
      </w:r>
      <w:r w:rsidRPr="00E40418">
        <w:rPr>
          <w:i/>
          <w:iCs/>
        </w:rPr>
        <w:t>uperannuation Industry (Supervision) Act 1993</w:t>
      </w:r>
      <w:r w:rsidRPr="00E40418">
        <w:t>.</w:t>
      </w:r>
    </w:p>
    <w:p w:rsidR="008C2EB8" w:rsidRPr="008C2EB8" w:rsidRDefault="008C2EB8" w:rsidP="008C2EB8">
      <w:pPr>
        <w:pStyle w:val="Default"/>
        <w:ind w:left="1701"/>
      </w:pPr>
    </w:p>
    <w:p w:rsidR="008C2EB8" w:rsidRDefault="008C2EB8" w:rsidP="008C2EB8">
      <w:pPr>
        <w:pStyle w:val="ListB"/>
        <w:ind w:left="1701"/>
      </w:pPr>
      <w:proofErr w:type="gramStart"/>
      <w:r>
        <w:rPr>
          <w:b/>
          <w:bCs/>
          <w:i/>
          <w:iCs/>
        </w:rPr>
        <w:t>S</w:t>
      </w:r>
      <w:r w:rsidR="00E40418" w:rsidRPr="00E40418">
        <w:rPr>
          <w:b/>
          <w:bCs/>
          <w:i/>
          <w:iCs/>
        </w:rPr>
        <w:t xml:space="preserve">IS regulations </w:t>
      </w:r>
      <w:r w:rsidR="00E40418" w:rsidRPr="00E40418">
        <w:t>means</w:t>
      </w:r>
      <w:proofErr w:type="gramEnd"/>
      <w:r w:rsidR="00E40418" w:rsidRPr="00E40418">
        <w:t xml:space="preserve"> the </w:t>
      </w:r>
      <w:r w:rsidR="00E40418" w:rsidRPr="00E40418">
        <w:rPr>
          <w:i/>
          <w:iCs/>
        </w:rPr>
        <w:t>Superannuation Industry (Supervision) Regulations 1994</w:t>
      </w:r>
      <w:r w:rsidR="00E40418" w:rsidRPr="00E40418">
        <w:t>.</w:t>
      </w:r>
    </w:p>
    <w:p w:rsidR="00E40418" w:rsidRPr="00E40418" w:rsidRDefault="00E40418" w:rsidP="008C2EB8">
      <w:pPr>
        <w:pStyle w:val="ListB"/>
        <w:ind w:left="1701"/>
      </w:pPr>
      <w:r w:rsidRPr="00E40418">
        <w:t xml:space="preserve"> </w:t>
      </w:r>
    </w:p>
    <w:p w:rsidR="00E40418" w:rsidRDefault="00E40418" w:rsidP="008C2EB8">
      <w:pPr>
        <w:pStyle w:val="ListB"/>
        <w:ind w:left="1701"/>
      </w:pPr>
      <w:proofErr w:type="gramStart"/>
      <w:r w:rsidRPr="00E40418">
        <w:rPr>
          <w:b/>
          <w:bCs/>
          <w:i/>
          <w:iCs/>
        </w:rPr>
        <w:t>standard</w:t>
      </w:r>
      <w:proofErr w:type="gramEnd"/>
      <w:r w:rsidRPr="00E40418">
        <w:rPr>
          <w:b/>
          <w:bCs/>
          <w:i/>
          <w:iCs/>
        </w:rPr>
        <w:t xml:space="preserve"> employer-sponsor </w:t>
      </w:r>
      <w:r w:rsidRPr="00E40418">
        <w:t>has the meaning given by section 16 of the SIS Act.</w:t>
      </w:r>
    </w:p>
    <w:p w:rsidR="008C2EB8" w:rsidRPr="008C2EB8" w:rsidRDefault="008C2EB8" w:rsidP="008C2EB8">
      <w:pPr>
        <w:pStyle w:val="Default"/>
        <w:ind w:left="1701"/>
      </w:pPr>
    </w:p>
    <w:p w:rsidR="00E40418" w:rsidRDefault="00E40418" w:rsidP="008C2EB8">
      <w:pPr>
        <w:pStyle w:val="ListB"/>
        <w:ind w:left="1701"/>
      </w:pPr>
      <w:proofErr w:type="gramStart"/>
      <w:r w:rsidRPr="00E40418">
        <w:rPr>
          <w:b/>
          <w:bCs/>
          <w:i/>
          <w:iCs/>
        </w:rPr>
        <w:t>standard</w:t>
      </w:r>
      <w:proofErr w:type="gramEnd"/>
      <w:r w:rsidRPr="00E40418">
        <w:rPr>
          <w:b/>
          <w:bCs/>
          <w:i/>
          <w:iCs/>
        </w:rPr>
        <w:t xml:space="preserve"> employer-sponsored fund </w:t>
      </w:r>
      <w:r w:rsidRPr="00E40418">
        <w:t>has the meaning given by section 16 of the SIS Act.</w:t>
      </w:r>
    </w:p>
    <w:p w:rsidR="008C2EB8" w:rsidRPr="008C2EB8" w:rsidRDefault="008C2EB8" w:rsidP="008C2EB8">
      <w:pPr>
        <w:pStyle w:val="Default"/>
        <w:ind w:left="1701"/>
      </w:pPr>
    </w:p>
    <w:p w:rsidR="00E40418" w:rsidRDefault="00E40418" w:rsidP="008C2EB8">
      <w:pPr>
        <w:pStyle w:val="ListB"/>
        <w:ind w:left="1701"/>
      </w:pPr>
      <w:proofErr w:type="gramStart"/>
      <w:r w:rsidRPr="00E40418">
        <w:rPr>
          <w:b/>
          <w:bCs/>
          <w:i/>
          <w:iCs/>
        </w:rPr>
        <w:t>standard</w:t>
      </w:r>
      <w:proofErr w:type="gramEnd"/>
      <w:r w:rsidRPr="00E40418">
        <w:rPr>
          <w:b/>
          <w:bCs/>
          <w:i/>
          <w:iCs/>
        </w:rPr>
        <w:t xml:space="preserve"> employer-sponsored member </w:t>
      </w:r>
      <w:r w:rsidRPr="00E40418">
        <w:t>has the meaning given by section 16 of the SIS Act.</w:t>
      </w:r>
    </w:p>
    <w:p w:rsidR="008C2EB8" w:rsidRPr="008C2EB8" w:rsidRDefault="008C2EB8" w:rsidP="008C2EB8">
      <w:pPr>
        <w:pStyle w:val="Default"/>
        <w:ind w:left="1701"/>
      </w:pPr>
    </w:p>
    <w:p w:rsidR="00E40418" w:rsidRDefault="00E40418" w:rsidP="008C2EB8">
      <w:pPr>
        <w:pStyle w:val="ListB"/>
        <w:ind w:left="1701"/>
      </w:pPr>
      <w:r w:rsidRPr="00E40418">
        <w:rPr>
          <w:b/>
          <w:bCs/>
          <w:i/>
          <w:iCs/>
        </w:rPr>
        <w:t xml:space="preserve">variable choice part </w:t>
      </w:r>
      <w:r w:rsidRPr="00E40418">
        <w:t>means, in relation to a Product Disclosure Statement for a superannuation product that is an interest in a standard employer-sponsored fund, a document or documents that only include any or all of the following information relating to a feature of the product chosen by the standard employer-sponsor from a selection of features made available by the trustee of the fund:</w:t>
      </w:r>
    </w:p>
    <w:p w:rsidR="008C2EB8" w:rsidRPr="008C2EB8" w:rsidRDefault="008C2EB8" w:rsidP="008C2EB8">
      <w:pPr>
        <w:pStyle w:val="Default"/>
      </w:pPr>
    </w:p>
    <w:p w:rsidR="008C2EB8" w:rsidRDefault="00E40418" w:rsidP="008C2EB8">
      <w:pPr>
        <w:pStyle w:val="ListC"/>
        <w:ind w:left="2835" w:hanging="567"/>
      </w:pPr>
      <w:r w:rsidRPr="00E40418">
        <w:lastRenderedPageBreak/>
        <w:t>(a)</w:t>
      </w:r>
      <w:r w:rsidR="008C2EB8">
        <w:tab/>
      </w:r>
      <w:proofErr w:type="gramStart"/>
      <w:r w:rsidRPr="00E40418">
        <w:t>information</w:t>
      </w:r>
      <w:proofErr w:type="gramEnd"/>
      <w:r w:rsidRPr="00E40418">
        <w:t xml:space="preserve"> about matters set out in regulation 4.02 of the SIS regulations concerning investment strategies;</w:t>
      </w:r>
    </w:p>
    <w:p w:rsidR="008C2EB8" w:rsidRDefault="008C2EB8" w:rsidP="008C2EB8">
      <w:pPr>
        <w:pStyle w:val="ListC"/>
        <w:ind w:left="2835" w:hanging="567"/>
      </w:pPr>
    </w:p>
    <w:p w:rsidR="008C2EB8" w:rsidRDefault="00E40418" w:rsidP="008C2EB8">
      <w:pPr>
        <w:pStyle w:val="ListC"/>
        <w:ind w:left="2835" w:hanging="567"/>
      </w:pPr>
      <w:r w:rsidRPr="00E40418">
        <w:t>(b)</w:t>
      </w:r>
      <w:r w:rsidR="008C2EB8">
        <w:tab/>
      </w:r>
      <w:proofErr w:type="gramStart"/>
      <w:r w:rsidRPr="00E40418">
        <w:t>information</w:t>
      </w:r>
      <w:proofErr w:type="gramEnd"/>
      <w:r w:rsidRPr="00E40418">
        <w:t xml:space="preserve"> about any insurance product that provides insurance cover to standard employer-sponsored members who hold the product;</w:t>
      </w:r>
    </w:p>
    <w:p w:rsidR="008C2EB8" w:rsidRPr="008C2EB8" w:rsidRDefault="008C2EB8" w:rsidP="008C2EB8">
      <w:pPr>
        <w:pStyle w:val="Default"/>
      </w:pPr>
    </w:p>
    <w:p w:rsidR="008C2EB8" w:rsidRDefault="00E40418" w:rsidP="008C2EB8">
      <w:pPr>
        <w:pStyle w:val="ListC"/>
        <w:ind w:left="2835" w:hanging="567"/>
      </w:pPr>
      <w:r w:rsidRPr="00E40418">
        <w:t>(c)</w:t>
      </w:r>
      <w:r w:rsidR="008C2EB8">
        <w:tab/>
      </w:r>
      <w:proofErr w:type="gramStart"/>
      <w:r w:rsidRPr="00E40418">
        <w:t>the</w:t>
      </w:r>
      <w:proofErr w:type="gramEnd"/>
      <w:r w:rsidRPr="00E40418">
        <w:t xml:space="preserve"> fees which apply to the superannuation product including those that relate to particular investment strategies available in relation to the product;</w:t>
      </w:r>
    </w:p>
    <w:p w:rsidR="008C2EB8" w:rsidRDefault="008C2EB8" w:rsidP="008C2EB8">
      <w:pPr>
        <w:pStyle w:val="ListC"/>
        <w:ind w:left="2835" w:hanging="567"/>
      </w:pPr>
    </w:p>
    <w:p w:rsidR="00E40418" w:rsidRPr="00E40418" w:rsidRDefault="00E40418" w:rsidP="008C2EB8">
      <w:pPr>
        <w:pStyle w:val="ListC"/>
        <w:ind w:left="2835" w:hanging="567"/>
      </w:pPr>
      <w:r w:rsidRPr="00E40418">
        <w:t>(d)</w:t>
      </w:r>
      <w:r w:rsidR="008C2EB8">
        <w:tab/>
      </w:r>
      <w:proofErr w:type="gramStart"/>
      <w:r w:rsidRPr="00E40418">
        <w:t>information</w:t>
      </w:r>
      <w:proofErr w:type="gramEnd"/>
      <w:r w:rsidRPr="00E40418">
        <w:t xml:space="preserve"> about any written agreement relating to the vesting of benefits of the kind referred to in paragraph</w:t>
      </w:r>
      <w:r w:rsidR="008C2EB8">
        <w:t> </w:t>
      </w:r>
      <w:r w:rsidRPr="00E40418">
        <w:t>5.08(2)(b) of the SIS regulations;</w:t>
      </w:r>
    </w:p>
    <w:p w:rsidR="008C2EB8" w:rsidRDefault="008C2EB8" w:rsidP="008C2EB8">
      <w:pPr>
        <w:pStyle w:val="ListC"/>
        <w:ind w:left="2835" w:hanging="567"/>
      </w:pPr>
    </w:p>
    <w:p w:rsidR="00E40418" w:rsidRDefault="00E40418" w:rsidP="008C2EB8">
      <w:pPr>
        <w:pStyle w:val="ListC"/>
        <w:ind w:left="2835" w:hanging="567"/>
      </w:pPr>
      <w:r w:rsidRPr="00E40418">
        <w:t>(e)</w:t>
      </w:r>
      <w:r w:rsidR="008C2EB8">
        <w:tab/>
      </w:r>
      <w:proofErr w:type="gramStart"/>
      <w:r w:rsidRPr="00E40418">
        <w:t>the</w:t>
      </w:r>
      <w:proofErr w:type="gramEnd"/>
      <w:r w:rsidRPr="00E40418">
        <w:t xml:space="preserve"> level of employer contributions in respect of standard employer-sponsored members who hold the product.”.</w:t>
      </w:r>
    </w:p>
    <w:p w:rsidR="008C2EB8" w:rsidRPr="008C2EB8" w:rsidRDefault="008C2EB8" w:rsidP="008C2EB8">
      <w:pPr>
        <w:pStyle w:val="Default"/>
      </w:pPr>
    </w:p>
    <w:p w:rsidR="00E40418" w:rsidRPr="008C2EB8" w:rsidRDefault="00E40418" w:rsidP="00E40418">
      <w:pPr>
        <w:pStyle w:val="aheade"/>
      </w:pPr>
      <w:r w:rsidRPr="008C2EB8">
        <w:rPr>
          <w:b/>
          <w:bCs/>
        </w:rPr>
        <w:t>Interpretation</w:t>
      </w:r>
    </w:p>
    <w:p w:rsidR="008C2EB8" w:rsidRDefault="008C2EB8" w:rsidP="00E40418">
      <w:pPr>
        <w:pStyle w:val="abody"/>
      </w:pPr>
    </w:p>
    <w:p w:rsidR="00E40418" w:rsidRDefault="008C2EB8" w:rsidP="008C2EB8">
      <w:pPr>
        <w:pStyle w:val="abody"/>
        <w:ind w:left="567" w:hanging="567"/>
      </w:pPr>
      <w:r>
        <w:t>5.</w:t>
      </w:r>
      <w:r>
        <w:tab/>
      </w:r>
      <w:proofErr w:type="gramStart"/>
      <w:r w:rsidR="00E40418" w:rsidRPr="00E40418">
        <w:t>In</w:t>
      </w:r>
      <w:proofErr w:type="gramEnd"/>
      <w:r w:rsidR="00E40418" w:rsidRPr="00E40418">
        <w:t xml:space="preserve"> this instrument:</w:t>
      </w:r>
    </w:p>
    <w:p w:rsidR="008C2EB8" w:rsidRPr="008C2EB8" w:rsidRDefault="008C2EB8" w:rsidP="008C2EB8">
      <w:pPr>
        <w:pStyle w:val="Default"/>
      </w:pPr>
    </w:p>
    <w:p w:rsidR="00E40418" w:rsidRPr="00E40418" w:rsidRDefault="00E40418" w:rsidP="008C2EB8">
      <w:pPr>
        <w:pStyle w:val="abody"/>
        <w:ind w:left="567"/>
      </w:pPr>
      <w:proofErr w:type="gramStart"/>
      <w:r w:rsidRPr="00E40418">
        <w:rPr>
          <w:b/>
          <w:bCs/>
          <w:i/>
          <w:iCs/>
        </w:rPr>
        <w:t>public</w:t>
      </w:r>
      <w:proofErr w:type="gramEnd"/>
      <w:r w:rsidRPr="00E40418">
        <w:rPr>
          <w:b/>
          <w:bCs/>
          <w:i/>
          <w:iCs/>
        </w:rPr>
        <w:t xml:space="preserve"> offer superannuation fund </w:t>
      </w:r>
      <w:r w:rsidRPr="00E40418">
        <w:t xml:space="preserve">has the meaning given by section 18 of the </w:t>
      </w:r>
      <w:r w:rsidRPr="00E40418">
        <w:rPr>
          <w:i/>
          <w:iCs/>
        </w:rPr>
        <w:t>Superannuation Industry (Supervision) Act 1993</w:t>
      </w:r>
      <w:r w:rsidR="008C2EB8" w:rsidRPr="008C2EB8">
        <w:rPr>
          <w:iCs/>
        </w:rPr>
        <w:t>.</w:t>
      </w:r>
    </w:p>
    <w:p w:rsidR="008C2EB8" w:rsidRDefault="008C2EB8" w:rsidP="008C2EB8">
      <w:pPr>
        <w:pStyle w:val="abody"/>
        <w:ind w:left="567"/>
        <w:rPr>
          <w:b/>
          <w:bCs/>
          <w:i/>
          <w:iCs/>
        </w:rPr>
      </w:pPr>
    </w:p>
    <w:p w:rsidR="00E40418" w:rsidRPr="00E40418" w:rsidRDefault="00E40418" w:rsidP="008C2EB8">
      <w:pPr>
        <w:pStyle w:val="abody"/>
        <w:ind w:left="567"/>
      </w:pPr>
      <w:proofErr w:type="gramStart"/>
      <w:r w:rsidRPr="00E40418">
        <w:rPr>
          <w:b/>
          <w:bCs/>
          <w:i/>
          <w:iCs/>
        </w:rPr>
        <w:t>responsible</w:t>
      </w:r>
      <w:proofErr w:type="gramEnd"/>
      <w:r w:rsidRPr="00E40418">
        <w:rPr>
          <w:b/>
          <w:bCs/>
          <w:i/>
          <w:iCs/>
        </w:rPr>
        <w:t xml:space="preserve"> person </w:t>
      </w:r>
      <w:r w:rsidRPr="00E40418">
        <w:t>has the meaning given by subsection 1013A(3) of the Act</w:t>
      </w:r>
      <w:r w:rsidR="008C2EB8">
        <w:t>.</w:t>
      </w:r>
    </w:p>
    <w:p w:rsidR="008C2EB8" w:rsidRDefault="008C2EB8" w:rsidP="008C2EB8">
      <w:pPr>
        <w:pStyle w:val="Default"/>
        <w:ind w:left="567"/>
        <w:rPr>
          <w:b/>
          <w:bCs/>
          <w:i/>
          <w:iCs/>
        </w:rPr>
      </w:pPr>
    </w:p>
    <w:p w:rsidR="00E40418" w:rsidRPr="00E40418" w:rsidRDefault="00E40418" w:rsidP="008C2EB8">
      <w:pPr>
        <w:pStyle w:val="Default"/>
        <w:ind w:left="567"/>
      </w:pPr>
      <w:proofErr w:type="gramStart"/>
      <w:r w:rsidRPr="00E40418">
        <w:rPr>
          <w:b/>
          <w:bCs/>
          <w:i/>
          <w:iCs/>
        </w:rPr>
        <w:t>standard</w:t>
      </w:r>
      <w:proofErr w:type="gramEnd"/>
      <w:r w:rsidRPr="00E40418">
        <w:rPr>
          <w:b/>
          <w:bCs/>
          <w:i/>
          <w:iCs/>
        </w:rPr>
        <w:t xml:space="preserve"> employer-sponsored fund </w:t>
      </w:r>
      <w:r w:rsidRPr="00E40418">
        <w:t xml:space="preserve">has the meaning given by section 16 of the </w:t>
      </w:r>
      <w:r w:rsidRPr="00E40418">
        <w:rPr>
          <w:i/>
          <w:iCs/>
        </w:rPr>
        <w:t>Superannuation Industry (Supervision) Act 1993</w:t>
      </w:r>
      <w:r w:rsidRPr="008C2EB8">
        <w:t>.</w:t>
      </w:r>
    </w:p>
    <w:p w:rsidR="00E40418" w:rsidRPr="00E40418" w:rsidRDefault="00E40418" w:rsidP="00E40418">
      <w:pPr>
        <w:pStyle w:val="Default"/>
        <w:ind w:left="567" w:hanging="567"/>
      </w:pPr>
    </w:p>
    <w:p w:rsidR="003A2112" w:rsidRPr="00E40418" w:rsidRDefault="003A2112" w:rsidP="00E40418">
      <w:pPr>
        <w:ind w:left="567"/>
        <w:rPr>
          <w:color w:val="000000"/>
        </w:rPr>
      </w:pPr>
    </w:p>
    <w:p w:rsidR="003A2112" w:rsidRPr="00E40418" w:rsidRDefault="003A2112" w:rsidP="00E40418">
      <w:pPr>
        <w:ind w:left="720" w:hanging="720"/>
      </w:pPr>
    </w:p>
    <w:p w:rsidR="003A2112" w:rsidRPr="00E40418" w:rsidRDefault="003A2112" w:rsidP="00E40418">
      <w:pPr>
        <w:ind w:left="720" w:hanging="720"/>
      </w:pPr>
      <w:r w:rsidRPr="00E40418">
        <w:t>Dated this</w:t>
      </w:r>
      <w:r w:rsidR="002A092D">
        <w:t xml:space="preserve"> 26</w:t>
      </w:r>
      <w:r w:rsidR="002A092D" w:rsidRPr="002A092D">
        <w:rPr>
          <w:vertAlign w:val="superscript"/>
        </w:rPr>
        <w:t>th</w:t>
      </w:r>
      <w:r w:rsidRPr="00E40418">
        <w:t xml:space="preserve"> day of </w:t>
      </w:r>
      <w:r w:rsidR="00C10280">
        <w:t xml:space="preserve">April </w:t>
      </w:r>
      <w:r w:rsidRPr="00E40418">
        <w:t>2012</w:t>
      </w:r>
    </w:p>
    <w:p w:rsidR="003A2112" w:rsidRPr="00E40418" w:rsidRDefault="003A2112" w:rsidP="00E40418">
      <w:pPr>
        <w:ind w:left="720" w:hanging="720"/>
      </w:pPr>
    </w:p>
    <w:p w:rsidR="003A2112" w:rsidRPr="00E40418" w:rsidRDefault="003A2112" w:rsidP="00E40418">
      <w:pPr>
        <w:ind w:left="720" w:hanging="720"/>
      </w:pPr>
    </w:p>
    <w:p w:rsidR="003A2112" w:rsidRDefault="003A2112" w:rsidP="00E40418">
      <w:pPr>
        <w:ind w:left="720" w:hanging="720"/>
      </w:pPr>
    </w:p>
    <w:p w:rsidR="002A092D" w:rsidRPr="00E40418" w:rsidRDefault="002A092D" w:rsidP="00E40418">
      <w:pPr>
        <w:ind w:left="720" w:hanging="720"/>
      </w:pPr>
    </w:p>
    <w:p w:rsidR="003A2112" w:rsidRPr="00E40418" w:rsidRDefault="003A2112" w:rsidP="00E40418">
      <w:pPr>
        <w:ind w:left="720" w:hanging="720"/>
      </w:pPr>
      <w:r w:rsidRPr="00E40418">
        <w:t>Signed by Stephen Yen PSM</w:t>
      </w:r>
    </w:p>
    <w:p w:rsidR="003A2112" w:rsidRPr="00E40418" w:rsidRDefault="003A2112" w:rsidP="003A2112">
      <w:pPr>
        <w:ind w:left="720" w:hanging="720"/>
      </w:pPr>
      <w:proofErr w:type="gramStart"/>
      <w:r w:rsidRPr="00E40418">
        <w:t>as</w:t>
      </w:r>
      <w:proofErr w:type="gramEnd"/>
      <w:r w:rsidRPr="00E40418">
        <w:t xml:space="preserve"> a delegate of the Australian Securities and Investments Commission</w:t>
      </w:r>
    </w:p>
    <w:p w:rsidR="003A2112" w:rsidRDefault="003A2112">
      <w:pPr>
        <w:rPr>
          <w:lang w:val="en-US"/>
        </w:rPr>
      </w:pPr>
    </w:p>
    <w:p w:rsidR="003A2112" w:rsidRDefault="003A2112">
      <w:pPr>
        <w:rPr>
          <w:lang w:val="en-US"/>
        </w:rPr>
      </w:pPr>
    </w:p>
    <w:p w:rsidR="003A2112" w:rsidRPr="003A2112" w:rsidRDefault="003A2112">
      <w:pPr>
        <w:rPr>
          <w:lang w:val="en-US"/>
        </w:rPr>
      </w:pPr>
    </w:p>
    <w:sectPr w:rsidR="003A2112" w:rsidRPr="003A2112" w:rsidSect="008867F4">
      <w:headerReference w:type="default" r:id="rId6"/>
      <w:pgSz w:w="11906" w:h="16838" w:code="9"/>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C1D" w:rsidRDefault="00707C1D" w:rsidP="008867F4">
      <w:r>
        <w:separator/>
      </w:r>
    </w:p>
  </w:endnote>
  <w:endnote w:type="continuationSeparator" w:id="0">
    <w:p w:rsidR="00707C1D" w:rsidRDefault="00707C1D" w:rsidP="008867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C1D" w:rsidRDefault="00707C1D" w:rsidP="008867F4">
      <w:r>
        <w:separator/>
      </w:r>
    </w:p>
  </w:footnote>
  <w:footnote w:type="continuationSeparator" w:id="0">
    <w:p w:rsidR="00707C1D" w:rsidRDefault="00707C1D" w:rsidP="008867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794657"/>
      <w:docPartObj>
        <w:docPartGallery w:val="Page Numbers (Top of Page)"/>
        <w:docPartUnique/>
      </w:docPartObj>
    </w:sdtPr>
    <w:sdtContent>
      <w:p w:rsidR="008867F4" w:rsidRDefault="00D27D8C">
        <w:pPr>
          <w:pStyle w:val="Header"/>
          <w:jc w:val="center"/>
        </w:pPr>
        <w:fldSimple w:instr=" PAGE   \* MERGEFORMAT ">
          <w:r w:rsidR="002A092D">
            <w:rPr>
              <w:noProof/>
            </w:rPr>
            <w:t>5</w:t>
          </w:r>
        </w:fldSimple>
      </w:p>
    </w:sdtContent>
  </w:sdt>
  <w:p w:rsidR="008867F4" w:rsidRDefault="008867F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3A2112"/>
    <w:rsid w:val="0013285B"/>
    <w:rsid w:val="001577CF"/>
    <w:rsid w:val="0026517B"/>
    <w:rsid w:val="002A092D"/>
    <w:rsid w:val="002B0DBE"/>
    <w:rsid w:val="002B4396"/>
    <w:rsid w:val="002C4BE5"/>
    <w:rsid w:val="00372426"/>
    <w:rsid w:val="003A2112"/>
    <w:rsid w:val="0047111C"/>
    <w:rsid w:val="006042E5"/>
    <w:rsid w:val="006B2095"/>
    <w:rsid w:val="006B3B16"/>
    <w:rsid w:val="00707C1D"/>
    <w:rsid w:val="00847F9E"/>
    <w:rsid w:val="008867F4"/>
    <w:rsid w:val="008C2EB8"/>
    <w:rsid w:val="009C4E41"/>
    <w:rsid w:val="00A02A61"/>
    <w:rsid w:val="00A916AE"/>
    <w:rsid w:val="00AD5502"/>
    <w:rsid w:val="00C10280"/>
    <w:rsid w:val="00D27D8C"/>
    <w:rsid w:val="00E40418"/>
    <w:rsid w:val="00F307B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11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2112"/>
    <w:pPr>
      <w:autoSpaceDE w:val="0"/>
      <w:autoSpaceDN w:val="0"/>
      <w:adjustRightInd w:val="0"/>
    </w:pPr>
    <w:rPr>
      <w:color w:val="000000"/>
      <w:sz w:val="24"/>
      <w:szCs w:val="24"/>
    </w:rPr>
  </w:style>
  <w:style w:type="paragraph" w:customStyle="1" w:styleId="abody">
    <w:name w:val="abody"/>
    <w:basedOn w:val="Default"/>
    <w:next w:val="Default"/>
    <w:uiPriority w:val="99"/>
    <w:rsid w:val="003A2112"/>
    <w:rPr>
      <w:color w:val="auto"/>
    </w:rPr>
  </w:style>
  <w:style w:type="paragraph" w:customStyle="1" w:styleId="BodyTextbold">
    <w:name w:val="Body Text bold"/>
    <w:basedOn w:val="Default"/>
    <w:next w:val="Default"/>
    <w:uiPriority w:val="99"/>
    <w:rsid w:val="003A2112"/>
    <w:rPr>
      <w:color w:val="auto"/>
    </w:rPr>
  </w:style>
  <w:style w:type="paragraph" w:customStyle="1" w:styleId="ListA">
    <w:name w:val="ListA"/>
    <w:basedOn w:val="Default"/>
    <w:next w:val="Default"/>
    <w:uiPriority w:val="99"/>
    <w:rsid w:val="003A2112"/>
    <w:rPr>
      <w:color w:val="auto"/>
    </w:rPr>
  </w:style>
  <w:style w:type="paragraph" w:customStyle="1" w:styleId="ListB">
    <w:name w:val="ListB"/>
    <w:basedOn w:val="Default"/>
    <w:next w:val="Default"/>
    <w:uiPriority w:val="99"/>
    <w:rsid w:val="00E40418"/>
    <w:rPr>
      <w:color w:val="auto"/>
    </w:rPr>
  </w:style>
  <w:style w:type="paragraph" w:customStyle="1" w:styleId="ListC">
    <w:name w:val="ListC"/>
    <w:basedOn w:val="Default"/>
    <w:next w:val="Default"/>
    <w:uiPriority w:val="99"/>
    <w:rsid w:val="00E40418"/>
    <w:rPr>
      <w:color w:val="auto"/>
    </w:rPr>
  </w:style>
  <w:style w:type="paragraph" w:customStyle="1" w:styleId="ListD">
    <w:name w:val="ListD"/>
    <w:basedOn w:val="Default"/>
    <w:next w:val="Default"/>
    <w:uiPriority w:val="99"/>
    <w:rsid w:val="00E40418"/>
    <w:rPr>
      <w:color w:val="auto"/>
    </w:rPr>
  </w:style>
  <w:style w:type="paragraph" w:customStyle="1" w:styleId="ahist">
    <w:name w:val="ahist"/>
    <w:basedOn w:val="Default"/>
    <w:next w:val="Default"/>
    <w:uiPriority w:val="99"/>
    <w:rsid w:val="00E40418"/>
    <w:rPr>
      <w:color w:val="auto"/>
    </w:rPr>
  </w:style>
  <w:style w:type="paragraph" w:customStyle="1" w:styleId="aheade">
    <w:name w:val="aheade"/>
    <w:basedOn w:val="Default"/>
    <w:next w:val="Default"/>
    <w:uiPriority w:val="99"/>
    <w:rsid w:val="00E40418"/>
    <w:rPr>
      <w:color w:val="auto"/>
    </w:rPr>
  </w:style>
  <w:style w:type="paragraph" w:styleId="Header">
    <w:name w:val="header"/>
    <w:basedOn w:val="Normal"/>
    <w:link w:val="HeaderChar"/>
    <w:uiPriority w:val="99"/>
    <w:unhideWhenUsed/>
    <w:rsid w:val="008867F4"/>
    <w:pPr>
      <w:tabs>
        <w:tab w:val="center" w:pos="4513"/>
        <w:tab w:val="right" w:pos="9026"/>
      </w:tabs>
    </w:pPr>
  </w:style>
  <w:style w:type="character" w:customStyle="1" w:styleId="HeaderChar">
    <w:name w:val="Header Char"/>
    <w:basedOn w:val="DefaultParagraphFont"/>
    <w:link w:val="Header"/>
    <w:uiPriority w:val="99"/>
    <w:rsid w:val="008867F4"/>
    <w:rPr>
      <w:sz w:val="24"/>
      <w:szCs w:val="24"/>
      <w:lang w:eastAsia="en-US"/>
    </w:rPr>
  </w:style>
  <w:style w:type="paragraph" w:styleId="Footer">
    <w:name w:val="footer"/>
    <w:basedOn w:val="Normal"/>
    <w:link w:val="FooterChar"/>
    <w:uiPriority w:val="99"/>
    <w:semiHidden/>
    <w:unhideWhenUsed/>
    <w:rsid w:val="008867F4"/>
    <w:pPr>
      <w:tabs>
        <w:tab w:val="center" w:pos="4513"/>
        <w:tab w:val="right" w:pos="9026"/>
      </w:tabs>
    </w:pPr>
  </w:style>
  <w:style w:type="character" w:customStyle="1" w:styleId="FooterChar">
    <w:name w:val="Footer Char"/>
    <w:basedOn w:val="DefaultParagraphFont"/>
    <w:link w:val="Footer"/>
    <w:uiPriority w:val="99"/>
    <w:semiHidden/>
    <w:rsid w:val="008867F4"/>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1265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8466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Moodie</dc:creator>
  <cp:keywords/>
  <dc:description/>
  <cp:lastModifiedBy>Stephen Yen</cp:lastModifiedBy>
  <cp:revision>9</cp:revision>
  <cp:lastPrinted>2012-04-26T02:43:00Z</cp:lastPrinted>
  <dcterms:created xsi:type="dcterms:W3CDTF">2012-03-05T05:15:00Z</dcterms:created>
  <dcterms:modified xsi:type="dcterms:W3CDTF">2012-04-26T02:43:00Z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A3486077</vt:lpwstr>
  </property>
  <property fmtid="{D5CDD505-2E9C-101B-9397-08002B2CF9AE}" pid="4" name="Objective-Title">
    <vt:lpwstr>Class Order CO 12-415</vt:lpwstr>
  </property>
  <property fmtid="{D5CDD505-2E9C-101B-9397-08002B2CF9AE}" pid="5" name="Objective-Comment">
    <vt:lpwstr/>
  </property>
  <property fmtid="{D5CDD505-2E9C-101B-9397-08002B2CF9AE}" pid="6" name="Objective-CreationStamp">
    <vt:filetime>2012-03-05T06:15:11Z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2012-04-26T05:37:23Z</vt:filetime>
  </property>
  <property fmtid="{D5CDD505-2E9C-101B-9397-08002B2CF9AE}" pid="10" name="Objective-ModificationStamp">
    <vt:filetime>2012-04-26T05:37:23Z</vt:filetime>
  </property>
  <property fmtid="{D5CDD505-2E9C-101B-9397-08002B2CF9AE}" pid="11" name="Objective-Owner">
    <vt:lpwstr>Grant Moodie</vt:lpwstr>
  </property>
  <property fmtid="{D5CDD505-2E9C-101B-9397-08002B2CF9AE}" pid="12" name="Objective-Path">
    <vt:lpwstr>ASIC BCS:LEGAL SERVICES:Advice:Class Orders:Class Orders 2012:</vt:lpwstr>
  </property>
  <property fmtid="{D5CDD505-2E9C-101B-9397-08002B2CF9AE}" pid="13" name="Objective-Parent">
    <vt:lpwstr>Class Orders 2012</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9</vt:i4>
  </property>
  <property fmtid="{D5CDD505-2E9C-101B-9397-08002B2CF9AE}" pid="17" name="Objective-VersionComment">
    <vt:lpwstr/>
  </property>
  <property fmtid="{D5CDD505-2E9C-101B-9397-08002B2CF9AE}" pid="18" name="Objective-FileNumber">
    <vt:lpwstr>2012 - 000142</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ies>
</file>