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A6" w:rsidRPr="00097630" w:rsidRDefault="00C374A6" w:rsidP="00737F18">
      <w:pPr>
        <w:jc w:val="center"/>
        <w:rPr>
          <w:rFonts w:ascii="Arial" w:hAnsi="Arial" w:cs="Arial"/>
          <w:b/>
          <w:bCs/>
        </w:rPr>
      </w:pPr>
      <w:r w:rsidRPr="00097630">
        <w:rPr>
          <w:rFonts w:ascii="Arial" w:hAnsi="Arial" w:cs="Arial"/>
          <w:b/>
          <w:bCs/>
        </w:rPr>
        <w:t>EXPLANATORY STATEMENT</w:t>
      </w:r>
    </w:p>
    <w:p w:rsidR="00C374A6" w:rsidRPr="00097630" w:rsidRDefault="006F0D6D" w:rsidP="00737F18">
      <w:pPr>
        <w:spacing w:before="240"/>
        <w:jc w:val="center"/>
        <w:rPr>
          <w:rFonts w:ascii="Arial" w:hAnsi="Arial" w:cs="Arial"/>
          <w:b/>
          <w:bCs/>
        </w:rPr>
      </w:pPr>
      <w:r w:rsidRPr="00097630">
        <w:rPr>
          <w:rFonts w:ascii="Arial" w:hAnsi="Arial" w:cs="Arial"/>
          <w:b/>
          <w:bCs/>
        </w:rPr>
        <w:t xml:space="preserve">Social </w:t>
      </w:r>
      <w:r w:rsidR="004978FD" w:rsidRPr="00097630">
        <w:rPr>
          <w:rFonts w:ascii="Arial" w:hAnsi="Arial" w:cs="Arial"/>
          <w:b/>
          <w:bCs/>
        </w:rPr>
        <w:t>Security (</w:t>
      </w:r>
      <w:r w:rsidR="00310DAD">
        <w:rPr>
          <w:rFonts w:ascii="Arial" w:hAnsi="Arial" w:cs="Arial"/>
          <w:b/>
          <w:bCs/>
        </w:rPr>
        <w:t>Clean Energy</w:t>
      </w:r>
      <w:r w:rsidR="00B45275">
        <w:rPr>
          <w:rFonts w:ascii="Arial" w:hAnsi="Arial" w:cs="Arial"/>
          <w:b/>
          <w:bCs/>
        </w:rPr>
        <w:t xml:space="preserve">– </w:t>
      </w:r>
      <w:r w:rsidR="003E2F83">
        <w:rPr>
          <w:rFonts w:ascii="Arial" w:hAnsi="Arial" w:cs="Arial"/>
          <w:b/>
          <w:bCs/>
        </w:rPr>
        <w:t>Multiple Qualification Exclusion</w:t>
      </w:r>
      <w:r w:rsidR="00BC42FC">
        <w:rPr>
          <w:rFonts w:ascii="Arial" w:hAnsi="Arial" w:cs="Arial"/>
          <w:b/>
          <w:bCs/>
        </w:rPr>
        <w:t>)</w:t>
      </w:r>
      <w:r w:rsidR="00A05D46">
        <w:rPr>
          <w:rFonts w:ascii="Arial" w:hAnsi="Arial" w:cs="Arial"/>
          <w:b/>
          <w:bCs/>
        </w:rPr>
        <w:t xml:space="preserve"> </w:t>
      </w:r>
      <w:r w:rsidR="00D2414C">
        <w:rPr>
          <w:rFonts w:ascii="Arial" w:hAnsi="Arial" w:cs="Arial"/>
          <w:b/>
          <w:bCs/>
        </w:rPr>
        <w:t>(</w:t>
      </w:r>
      <w:r w:rsidR="00BB7715">
        <w:rPr>
          <w:rFonts w:ascii="Arial" w:hAnsi="Arial" w:cs="Arial"/>
          <w:b/>
          <w:bCs/>
        </w:rPr>
        <w:t>DEEWR</w:t>
      </w:r>
      <w:r w:rsidR="00D2414C">
        <w:rPr>
          <w:rFonts w:ascii="Arial" w:hAnsi="Arial" w:cs="Arial"/>
          <w:b/>
          <w:bCs/>
        </w:rPr>
        <w:t>)</w:t>
      </w:r>
      <w:r w:rsidR="00BC42FC">
        <w:rPr>
          <w:rFonts w:ascii="Arial" w:hAnsi="Arial" w:cs="Arial"/>
          <w:b/>
          <w:bCs/>
        </w:rPr>
        <w:t xml:space="preserve"> Determination</w:t>
      </w:r>
      <w:r w:rsidR="00CE6B21" w:rsidRPr="00097630">
        <w:rPr>
          <w:rFonts w:ascii="Arial" w:hAnsi="Arial" w:cs="Arial"/>
          <w:b/>
          <w:bCs/>
        </w:rPr>
        <w:t> </w:t>
      </w:r>
      <w:r w:rsidR="004978FD" w:rsidRPr="00097630">
        <w:rPr>
          <w:rFonts w:ascii="Arial" w:hAnsi="Arial" w:cs="Arial"/>
          <w:b/>
          <w:bCs/>
        </w:rPr>
        <w:t>20</w:t>
      </w:r>
      <w:r w:rsidR="00CD1CD6">
        <w:rPr>
          <w:rFonts w:ascii="Arial" w:hAnsi="Arial" w:cs="Arial"/>
          <w:b/>
          <w:bCs/>
        </w:rPr>
        <w:t>1</w:t>
      </w:r>
      <w:r w:rsidR="00310DAD">
        <w:rPr>
          <w:rFonts w:ascii="Arial" w:hAnsi="Arial" w:cs="Arial"/>
          <w:b/>
          <w:bCs/>
        </w:rPr>
        <w:t>2</w:t>
      </w:r>
    </w:p>
    <w:p w:rsidR="00085984" w:rsidRPr="00097630" w:rsidRDefault="004F38A6" w:rsidP="00521917">
      <w:pPr>
        <w:spacing w:before="240"/>
        <w:rPr>
          <w:rFonts w:ascii="Arial" w:hAnsi="Arial" w:cs="Arial"/>
          <w:bCs/>
        </w:rPr>
      </w:pPr>
      <w:r w:rsidRPr="00097630">
        <w:rPr>
          <w:rFonts w:ascii="Arial" w:hAnsi="Arial" w:cs="Arial"/>
          <w:bCs/>
        </w:rPr>
        <w:t>The</w:t>
      </w:r>
      <w:r w:rsidRPr="00097630">
        <w:rPr>
          <w:rFonts w:ascii="Arial" w:hAnsi="Arial" w:cs="Arial"/>
          <w:bCs/>
          <w:i/>
        </w:rPr>
        <w:t xml:space="preserve"> </w:t>
      </w:r>
      <w:r w:rsidR="00085984" w:rsidRPr="00097630">
        <w:rPr>
          <w:rFonts w:ascii="Arial" w:hAnsi="Arial" w:cs="Arial"/>
          <w:bCs/>
          <w:i/>
        </w:rPr>
        <w:t>Social Security (</w:t>
      </w:r>
      <w:r w:rsidR="00310DAD">
        <w:rPr>
          <w:rFonts w:ascii="Arial" w:hAnsi="Arial" w:cs="Arial"/>
          <w:bCs/>
          <w:i/>
        </w:rPr>
        <w:t xml:space="preserve">Clean Energy – </w:t>
      </w:r>
      <w:r w:rsidR="003E2F83">
        <w:rPr>
          <w:rFonts w:ascii="Arial" w:hAnsi="Arial" w:cs="Arial"/>
          <w:bCs/>
          <w:i/>
        </w:rPr>
        <w:t>Multiple Qualification Exclusion</w:t>
      </w:r>
      <w:r w:rsidR="00310DAD">
        <w:rPr>
          <w:rFonts w:ascii="Arial" w:hAnsi="Arial" w:cs="Arial"/>
          <w:bCs/>
          <w:i/>
        </w:rPr>
        <w:t>)</w:t>
      </w:r>
      <w:r w:rsidR="00B45275">
        <w:rPr>
          <w:rFonts w:ascii="Arial" w:hAnsi="Arial" w:cs="Arial"/>
          <w:bCs/>
          <w:i/>
        </w:rPr>
        <w:t xml:space="preserve"> </w:t>
      </w:r>
      <w:r w:rsidR="00B86E7D">
        <w:rPr>
          <w:rFonts w:ascii="Arial" w:hAnsi="Arial" w:cs="Arial"/>
          <w:bCs/>
          <w:i/>
        </w:rPr>
        <w:t>(</w:t>
      </w:r>
      <w:r w:rsidR="00BB7715">
        <w:rPr>
          <w:rFonts w:ascii="Arial" w:hAnsi="Arial" w:cs="Arial"/>
          <w:bCs/>
          <w:i/>
        </w:rPr>
        <w:t>DEEWR</w:t>
      </w:r>
      <w:r w:rsidR="00B86E7D">
        <w:rPr>
          <w:rFonts w:ascii="Arial" w:hAnsi="Arial" w:cs="Arial"/>
          <w:bCs/>
          <w:i/>
        </w:rPr>
        <w:t xml:space="preserve">) </w:t>
      </w:r>
      <w:r w:rsidR="00BC42FC">
        <w:rPr>
          <w:rFonts w:ascii="Arial" w:hAnsi="Arial" w:cs="Arial"/>
          <w:bCs/>
          <w:i/>
        </w:rPr>
        <w:t>Determination </w:t>
      </w:r>
      <w:r w:rsidR="00B45275">
        <w:rPr>
          <w:rFonts w:ascii="Arial" w:hAnsi="Arial" w:cs="Arial"/>
          <w:bCs/>
          <w:i/>
        </w:rPr>
        <w:t>201</w:t>
      </w:r>
      <w:r w:rsidR="00310DAD">
        <w:rPr>
          <w:rFonts w:ascii="Arial" w:hAnsi="Arial" w:cs="Arial"/>
          <w:bCs/>
          <w:i/>
        </w:rPr>
        <w:t xml:space="preserve">2 </w:t>
      </w:r>
      <w:r w:rsidR="00187F82">
        <w:rPr>
          <w:rFonts w:ascii="Arial" w:hAnsi="Arial" w:cs="Arial"/>
          <w:bCs/>
        </w:rPr>
        <w:t xml:space="preserve">is made under </w:t>
      </w:r>
      <w:r w:rsidR="00310DAD">
        <w:rPr>
          <w:rFonts w:ascii="Arial" w:hAnsi="Arial" w:cs="Arial"/>
          <w:bCs/>
        </w:rPr>
        <w:t>section </w:t>
      </w:r>
      <w:r w:rsidR="003E2F83">
        <w:rPr>
          <w:rFonts w:ascii="Arial" w:hAnsi="Arial" w:cs="Arial"/>
          <w:bCs/>
        </w:rPr>
        <w:t>918</w:t>
      </w:r>
      <w:r w:rsidR="00085984" w:rsidRPr="00097630">
        <w:rPr>
          <w:rFonts w:ascii="Arial" w:hAnsi="Arial" w:cs="Arial"/>
          <w:bCs/>
        </w:rPr>
        <w:t xml:space="preserve"> of the </w:t>
      </w:r>
      <w:r w:rsidR="004305D3">
        <w:rPr>
          <w:rFonts w:ascii="Arial" w:hAnsi="Arial" w:cs="Arial"/>
          <w:bCs/>
          <w:i/>
        </w:rPr>
        <w:t>Social Security</w:t>
      </w:r>
      <w:r w:rsidR="00310DAD">
        <w:rPr>
          <w:rFonts w:ascii="Arial" w:hAnsi="Arial" w:cs="Arial"/>
          <w:bCs/>
          <w:i/>
        </w:rPr>
        <w:t xml:space="preserve"> </w:t>
      </w:r>
      <w:r w:rsidR="00085984" w:rsidRPr="00097630">
        <w:rPr>
          <w:rFonts w:ascii="Arial" w:hAnsi="Arial" w:cs="Arial"/>
          <w:bCs/>
          <w:i/>
        </w:rPr>
        <w:t>Act 199</w:t>
      </w:r>
      <w:r w:rsidR="00310DAD">
        <w:rPr>
          <w:rFonts w:ascii="Arial" w:hAnsi="Arial" w:cs="Arial"/>
          <w:bCs/>
          <w:i/>
        </w:rPr>
        <w:t>1</w:t>
      </w:r>
      <w:r w:rsidR="00085984" w:rsidRPr="00097630">
        <w:rPr>
          <w:rFonts w:ascii="Arial" w:hAnsi="Arial" w:cs="Arial"/>
          <w:bCs/>
        </w:rPr>
        <w:t xml:space="preserve">.  </w:t>
      </w:r>
    </w:p>
    <w:p w:rsidR="001927E3" w:rsidRPr="00097630" w:rsidRDefault="001927E3" w:rsidP="00521917">
      <w:pPr>
        <w:spacing w:before="240"/>
        <w:jc w:val="both"/>
        <w:rPr>
          <w:rFonts w:ascii="Arial" w:hAnsi="Arial" w:cs="Arial"/>
          <w:b/>
          <w:bCs/>
        </w:rPr>
      </w:pPr>
      <w:r w:rsidRPr="00097630">
        <w:rPr>
          <w:rFonts w:ascii="Arial" w:hAnsi="Arial" w:cs="Arial"/>
          <w:b/>
          <w:bCs/>
        </w:rPr>
        <w:t>Background</w:t>
      </w:r>
    </w:p>
    <w:p w:rsidR="00A576BE" w:rsidRDefault="00A576BE" w:rsidP="00400D6D">
      <w:pPr>
        <w:jc w:val="both"/>
        <w:rPr>
          <w:rFonts w:ascii="Arial" w:hAnsi="Arial" w:cs="Arial"/>
        </w:rPr>
      </w:pPr>
    </w:p>
    <w:p w:rsidR="00400D6D" w:rsidRDefault="00400D6D" w:rsidP="00400D6D">
      <w:pPr>
        <w:jc w:val="both"/>
        <w:rPr>
          <w:rFonts w:ascii="Arial" w:hAnsi="Arial" w:cs="Arial"/>
        </w:rPr>
      </w:pPr>
      <w:r w:rsidRPr="00571877">
        <w:rPr>
          <w:rFonts w:ascii="Arial" w:hAnsi="Arial" w:cs="Arial"/>
        </w:rPr>
        <w:t xml:space="preserve">The </w:t>
      </w:r>
      <w:r w:rsidRPr="00EF2F56">
        <w:rPr>
          <w:rFonts w:ascii="Arial" w:hAnsi="Arial" w:cs="Arial"/>
          <w:i/>
        </w:rPr>
        <w:t xml:space="preserve">Clean Energy </w:t>
      </w:r>
      <w:r w:rsidR="00577AAB" w:rsidRPr="00EF2F56">
        <w:rPr>
          <w:rFonts w:ascii="Arial" w:hAnsi="Arial" w:cs="Arial"/>
          <w:i/>
        </w:rPr>
        <w:t>(</w:t>
      </w:r>
      <w:r w:rsidRPr="00EF2F56">
        <w:rPr>
          <w:rFonts w:ascii="Arial" w:hAnsi="Arial" w:cs="Arial"/>
          <w:i/>
        </w:rPr>
        <w:t>Household Assistance</w:t>
      </w:r>
      <w:r w:rsidR="00577AAB" w:rsidRPr="00EF2F56">
        <w:rPr>
          <w:rFonts w:ascii="Arial" w:hAnsi="Arial" w:cs="Arial"/>
          <w:i/>
        </w:rPr>
        <w:t xml:space="preserve"> Amendment)</w:t>
      </w:r>
      <w:r w:rsidRPr="00EF2F56">
        <w:rPr>
          <w:rFonts w:ascii="Arial" w:hAnsi="Arial" w:cs="Arial"/>
          <w:i/>
        </w:rPr>
        <w:t xml:space="preserve"> </w:t>
      </w:r>
      <w:r w:rsidR="00577AAB" w:rsidRPr="00EF2F56">
        <w:rPr>
          <w:rFonts w:ascii="Arial" w:hAnsi="Arial" w:cs="Arial"/>
          <w:i/>
        </w:rPr>
        <w:t>Act 2011</w:t>
      </w:r>
      <w:r w:rsidR="00EF2F56">
        <w:rPr>
          <w:rFonts w:ascii="Arial" w:hAnsi="Arial" w:cs="Arial"/>
          <w:i/>
        </w:rPr>
        <w:t xml:space="preserve"> </w:t>
      </w:r>
      <w:r w:rsidR="00EF2F56" w:rsidRPr="00EF2F56">
        <w:rPr>
          <w:rFonts w:ascii="Arial" w:hAnsi="Arial" w:cs="Arial"/>
        </w:rPr>
        <w:t>(the Household Assistance Act)</w:t>
      </w:r>
      <w:r w:rsidR="00577AAB">
        <w:rPr>
          <w:rFonts w:ascii="Arial" w:hAnsi="Arial" w:cs="Arial"/>
        </w:rPr>
        <w:t xml:space="preserve"> mak</w:t>
      </w:r>
      <w:r w:rsidR="00EF2F56">
        <w:rPr>
          <w:rFonts w:ascii="Arial" w:hAnsi="Arial" w:cs="Arial"/>
        </w:rPr>
        <w:t xml:space="preserve">es amendments to the </w:t>
      </w:r>
      <w:r w:rsidR="00EF2F56" w:rsidRPr="00891419">
        <w:rPr>
          <w:rFonts w:ascii="Arial" w:hAnsi="Arial" w:cs="Arial"/>
          <w:i/>
        </w:rPr>
        <w:t>Social Security Act</w:t>
      </w:r>
      <w:r w:rsidR="00891419" w:rsidRPr="00891419">
        <w:rPr>
          <w:rFonts w:ascii="Arial" w:hAnsi="Arial" w:cs="Arial"/>
          <w:i/>
        </w:rPr>
        <w:t xml:space="preserve"> 1991</w:t>
      </w:r>
      <w:r w:rsidR="00891419">
        <w:rPr>
          <w:rFonts w:ascii="Arial" w:hAnsi="Arial" w:cs="Arial"/>
        </w:rPr>
        <w:t xml:space="preserve"> (the Act)</w:t>
      </w:r>
      <w:r w:rsidR="00EF2F56">
        <w:rPr>
          <w:rFonts w:ascii="Arial" w:hAnsi="Arial" w:cs="Arial"/>
        </w:rPr>
        <w:t xml:space="preserve"> that includes </w:t>
      </w:r>
      <w:r w:rsidRPr="00571877">
        <w:rPr>
          <w:rFonts w:ascii="Arial" w:hAnsi="Arial" w:cs="Arial"/>
        </w:rPr>
        <w:t xml:space="preserve">financial assistance </w:t>
      </w:r>
      <w:r w:rsidR="00EF2F56">
        <w:rPr>
          <w:rFonts w:ascii="Arial" w:hAnsi="Arial" w:cs="Arial"/>
        </w:rPr>
        <w:t>for increases in the cost of living arising from the introduction of a carbon price on 1 July 2012.  The initial assistance will</w:t>
      </w:r>
      <w:r w:rsidR="00575438">
        <w:rPr>
          <w:rFonts w:ascii="Arial" w:hAnsi="Arial" w:cs="Arial"/>
        </w:rPr>
        <w:t xml:space="preserve"> generally</w:t>
      </w:r>
      <w:r w:rsidR="00EF2F56">
        <w:rPr>
          <w:rFonts w:ascii="Arial" w:hAnsi="Arial" w:cs="Arial"/>
        </w:rPr>
        <w:t xml:space="preserve"> be </w:t>
      </w:r>
      <w:r w:rsidRPr="00571877">
        <w:rPr>
          <w:rFonts w:ascii="Arial" w:hAnsi="Arial" w:cs="Arial"/>
        </w:rPr>
        <w:t>delivered in a lump sum clean energy advance before commenceme</w:t>
      </w:r>
      <w:r w:rsidR="00575438">
        <w:rPr>
          <w:rFonts w:ascii="Arial" w:hAnsi="Arial" w:cs="Arial"/>
        </w:rPr>
        <w:t xml:space="preserve">nt of the </w:t>
      </w:r>
      <w:proofErr w:type="gramStart"/>
      <w:r w:rsidR="00575438">
        <w:rPr>
          <w:rFonts w:ascii="Arial" w:hAnsi="Arial" w:cs="Arial"/>
        </w:rPr>
        <w:t>carbon pricing</w:t>
      </w:r>
      <w:proofErr w:type="gramEnd"/>
      <w:r w:rsidR="00575438">
        <w:rPr>
          <w:rFonts w:ascii="Arial" w:hAnsi="Arial" w:cs="Arial"/>
        </w:rPr>
        <w:t xml:space="preserve"> scheme</w:t>
      </w:r>
      <w:r w:rsidRPr="00571877">
        <w:rPr>
          <w:rFonts w:ascii="Arial" w:hAnsi="Arial" w:cs="Arial"/>
        </w:rPr>
        <w:t>.</w:t>
      </w:r>
      <w:r w:rsidR="003E2F83">
        <w:rPr>
          <w:rFonts w:ascii="Arial" w:hAnsi="Arial" w:cs="Arial"/>
        </w:rPr>
        <w:t xml:space="preserve">  </w:t>
      </w:r>
      <w:r w:rsidR="00575438">
        <w:rPr>
          <w:rFonts w:ascii="Arial" w:hAnsi="Arial" w:cs="Arial"/>
        </w:rPr>
        <w:t xml:space="preserve">Ongoing, permanent clean energy supplements </w:t>
      </w:r>
      <w:proofErr w:type="gramStart"/>
      <w:r w:rsidR="00575438">
        <w:rPr>
          <w:rFonts w:ascii="Arial" w:hAnsi="Arial" w:cs="Arial"/>
        </w:rPr>
        <w:t>will be paid</w:t>
      </w:r>
      <w:proofErr w:type="gramEnd"/>
      <w:r w:rsidR="00575438">
        <w:rPr>
          <w:rFonts w:ascii="Arial" w:hAnsi="Arial" w:cs="Arial"/>
        </w:rPr>
        <w:t xml:space="preserve"> from the end of the clean energy advance lump sum period as a distinct component of the person’s rate of social security payment.</w:t>
      </w:r>
      <w:r w:rsidRPr="00571877">
        <w:rPr>
          <w:rFonts w:ascii="Arial" w:hAnsi="Arial" w:cs="Arial"/>
        </w:rPr>
        <w:t xml:space="preserve">  </w:t>
      </w:r>
    </w:p>
    <w:p w:rsidR="00577AAB" w:rsidRDefault="00577AAB" w:rsidP="00400D6D">
      <w:pPr>
        <w:jc w:val="both"/>
        <w:rPr>
          <w:rFonts w:ascii="Arial" w:hAnsi="Arial" w:cs="Arial"/>
        </w:rPr>
      </w:pPr>
    </w:p>
    <w:p w:rsidR="001314E7" w:rsidRPr="00571877" w:rsidRDefault="00EF2F56" w:rsidP="00400D6D">
      <w:pPr>
        <w:autoSpaceDE w:val="0"/>
        <w:autoSpaceDN w:val="0"/>
        <w:adjustRightInd w:val="0"/>
        <w:jc w:val="both"/>
        <w:rPr>
          <w:rFonts w:ascii="Arial" w:hAnsi="Arial" w:cs="Arial"/>
          <w:lang w:eastAsia="en-AU"/>
        </w:rPr>
      </w:pPr>
      <w:r>
        <w:rPr>
          <w:rFonts w:ascii="Arial" w:hAnsi="Arial" w:cs="Arial"/>
          <w:lang w:eastAsia="en-AU"/>
        </w:rPr>
        <w:t>Section </w:t>
      </w:r>
      <w:r w:rsidR="003E2F83">
        <w:rPr>
          <w:rFonts w:ascii="Arial" w:hAnsi="Arial" w:cs="Arial"/>
          <w:lang w:eastAsia="en-AU"/>
        </w:rPr>
        <w:t>918</w:t>
      </w:r>
      <w:r>
        <w:rPr>
          <w:rFonts w:ascii="Arial" w:hAnsi="Arial" w:cs="Arial"/>
          <w:lang w:eastAsia="en-AU"/>
        </w:rPr>
        <w:t xml:space="preserve"> of the Act allows</w:t>
      </w:r>
      <w:r w:rsidR="00400D6D" w:rsidRPr="00571877">
        <w:rPr>
          <w:rFonts w:ascii="Arial" w:hAnsi="Arial" w:cs="Arial"/>
          <w:lang w:eastAsia="en-AU"/>
        </w:rPr>
        <w:t xml:space="preserve"> the Minister to determine, by legislative instrument</w:t>
      </w:r>
      <w:r w:rsidR="00575438">
        <w:rPr>
          <w:rFonts w:ascii="Arial" w:hAnsi="Arial" w:cs="Arial"/>
          <w:lang w:eastAsia="en-AU"/>
        </w:rPr>
        <w:t>,</w:t>
      </w:r>
      <w:r w:rsidR="00400D6D" w:rsidRPr="00571877">
        <w:rPr>
          <w:rFonts w:ascii="Arial" w:hAnsi="Arial" w:cs="Arial"/>
          <w:lang w:eastAsia="en-AU"/>
        </w:rPr>
        <w:t xml:space="preserve"> the circumstances in which </w:t>
      </w:r>
      <w:r w:rsidR="00575438">
        <w:rPr>
          <w:rFonts w:ascii="Arial" w:hAnsi="Arial" w:cs="Arial"/>
          <w:lang w:eastAsia="en-AU"/>
        </w:rPr>
        <w:t xml:space="preserve">people will not qualify for </w:t>
      </w:r>
      <w:r w:rsidR="00891419">
        <w:rPr>
          <w:rFonts w:ascii="Arial" w:hAnsi="Arial" w:cs="Arial"/>
          <w:lang w:eastAsia="en-AU"/>
        </w:rPr>
        <w:t xml:space="preserve">a </w:t>
      </w:r>
      <w:r w:rsidR="00400D6D" w:rsidRPr="00571877">
        <w:rPr>
          <w:rFonts w:ascii="Arial" w:hAnsi="Arial" w:cs="Arial"/>
          <w:lang w:eastAsia="en-AU"/>
        </w:rPr>
        <w:t xml:space="preserve">clean energy </w:t>
      </w:r>
      <w:r w:rsidR="00575438">
        <w:rPr>
          <w:rFonts w:ascii="Arial" w:hAnsi="Arial" w:cs="Arial"/>
          <w:lang w:eastAsia="en-AU"/>
        </w:rPr>
        <w:t xml:space="preserve">bonus under the Act if they </w:t>
      </w:r>
      <w:proofErr w:type="gramStart"/>
      <w:r w:rsidR="00575438">
        <w:rPr>
          <w:rFonts w:ascii="Arial" w:hAnsi="Arial" w:cs="Arial"/>
          <w:lang w:eastAsia="en-AU"/>
        </w:rPr>
        <w:t>have already been paid</w:t>
      </w:r>
      <w:proofErr w:type="gramEnd"/>
      <w:r w:rsidR="00575438">
        <w:rPr>
          <w:rFonts w:ascii="Arial" w:hAnsi="Arial" w:cs="Arial"/>
          <w:lang w:eastAsia="en-AU"/>
        </w:rPr>
        <w:t>, or are qualified for, a cl</w:t>
      </w:r>
      <w:r w:rsidR="00891419">
        <w:rPr>
          <w:rFonts w:ascii="Arial" w:hAnsi="Arial" w:cs="Arial"/>
          <w:lang w:eastAsia="en-AU"/>
        </w:rPr>
        <w:t xml:space="preserve">ean energy bonus under another </w:t>
      </w:r>
      <w:r w:rsidR="0032560C">
        <w:rPr>
          <w:rFonts w:ascii="Arial" w:hAnsi="Arial" w:cs="Arial"/>
          <w:lang w:eastAsia="en-AU"/>
        </w:rPr>
        <w:t>A</w:t>
      </w:r>
      <w:r w:rsidR="00575438">
        <w:rPr>
          <w:rFonts w:ascii="Arial" w:hAnsi="Arial" w:cs="Arial"/>
          <w:lang w:eastAsia="en-AU"/>
        </w:rPr>
        <w:t xml:space="preserve">ct or scheme.  </w:t>
      </w:r>
    </w:p>
    <w:p w:rsidR="001927E3" w:rsidRPr="00097630" w:rsidRDefault="001927E3" w:rsidP="00521917">
      <w:pPr>
        <w:spacing w:before="240"/>
        <w:jc w:val="both"/>
        <w:rPr>
          <w:rFonts w:ascii="Arial" w:hAnsi="Arial" w:cs="Arial"/>
          <w:b/>
          <w:bCs/>
        </w:rPr>
      </w:pPr>
      <w:r w:rsidRPr="00097630">
        <w:rPr>
          <w:rFonts w:ascii="Arial" w:hAnsi="Arial" w:cs="Arial"/>
          <w:b/>
          <w:bCs/>
        </w:rPr>
        <w:t>Purpose</w:t>
      </w:r>
    </w:p>
    <w:p w:rsidR="00A576BE" w:rsidRDefault="00A576BE" w:rsidP="0002125E">
      <w:pPr>
        <w:jc w:val="both"/>
        <w:rPr>
          <w:rFonts w:ascii="Arial" w:hAnsi="Arial" w:cs="Arial"/>
          <w:lang w:eastAsia="en-AU"/>
        </w:rPr>
      </w:pPr>
    </w:p>
    <w:p w:rsidR="0002125E" w:rsidRDefault="00244E80" w:rsidP="0002125E">
      <w:pPr>
        <w:jc w:val="both"/>
        <w:rPr>
          <w:rFonts w:ascii="Arial" w:hAnsi="Arial" w:cs="Arial"/>
          <w:color w:val="000000"/>
        </w:rPr>
      </w:pPr>
      <w:r w:rsidRPr="0002125E">
        <w:rPr>
          <w:rFonts w:ascii="Arial" w:hAnsi="Arial" w:cs="Arial"/>
          <w:lang w:eastAsia="en-AU"/>
        </w:rPr>
        <w:t>The operation of th</w:t>
      </w:r>
      <w:r w:rsidR="00575438">
        <w:rPr>
          <w:rFonts w:ascii="Arial" w:hAnsi="Arial" w:cs="Arial"/>
          <w:lang w:eastAsia="en-AU"/>
        </w:rPr>
        <w:t>e</w:t>
      </w:r>
      <w:r w:rsidRPr="0002125E">
        <w:rPr>
          <w:rFonts w:ascii="Arial" w:hAnsi="Arial" w:cs="Arial"/>
          <w:lang w:eastAsia="en-AU"/>
        </w:rPr>
        <w:t xml:space="preserve"> Determination </w:t>
      </w:r>
      <w:r w:rsidR="001314E7" w:rsidRPr="0002125E">
        <w:rPr>
          <w:rFonts w:ascii="Arial" w:hAnsi="Arial" w:cs="Arial"/>
          <w:lang w:eastAsia="en-AU"/>
        </w:rPr>
        <w:t xml:space="preserve">is to </w:t>
      </w:r>
      <w:r w:rsidR="0002125E" w:rsidRPr="0002125E">
        <w:rPr>
          <w:rFonts w:ascii="Arial" w:hAnsi="Arial" w:cs="Arial"/>
          <w:color w:val="000000"/>
        </w:rPr>
        <w:t xml:space="preserve">ensure that clean energy </w:t>
      </w:r>
      <w:r w:rsidR="00575438">
        <w:rPr>
          <w:rFonts w:ascii="Arial" w:hAnsi="Arial" w:cs="Arial"/>
          <w:color w:val="000000"/>
        </w:rPr>
        <w:t xml:space="preserve">bonuses </w:t>
      </w:r>
      <w:proofErr w:type="gramStart"/>
      <w:r w:rsidR="0002125E" w:rsidRPr="0002125E">
        <w:rPr>
          <w:rFonts w:ascii="Arial" w:hAnsi="Arial" w:cs="Arial"/>
          <w:color w:val="000000"/>
        </w:rPr>
        <w:t>are only paid</w:t>
      </w:r>
      <w:proofErr w:type="gramEnd"/>
      <w:r w:rsidR="0002125E" w:rsidRPr="0002125E">
        <w:rPr>
          <w:rFonts w:ascii="Arial" w:hAnsi="Arial" w:cs="Arial"/>
          <w:color w:val="000000"/>
        </w:rPr>
        <w:t xml:space="preserve"> to people who ought to receive them.  The Determination sets out the circumstances in which people are not able to receive a clean energy advance or clean energy supplement</w:t>
      </w:r>
      <w:r w:rsidR="0002125E" w:rsidRPr="00F75F54">
        <w:rPr>
          <w:rFonts w:ascii="Arial" w:hAnsi="Arial" w:cs="Arial"/>
          <w:color w:val="000000"/>
        </w:rPr>
        <w:t xml:space="preserve"> under the social </w:t>
      </w:r>
      <w:smartTag w:uri="urn:schemas-microsoft-com:office:smarttags" w:element="PersonName">
        <w:r w:rsidR="0002125E" w:rsidRPr="00F75F54">
          <w:rPr>
            <w:rFonts w:ascii="Arial" w:hAnsi="Arial" w:cs="Arial"/>
            <w:color w:val="000000"/>
          </w:rPr>
          <w:t>security</w:t>
        </w:r>
      </w:smartTag>
      <w:r w:rsidR="0002125E" w:rsidRPr="00F75F54">
        <w:rPr>
          <w:rFonts w:ascii="Arial" w:hAnsi="Arial" w:cs="Arial"/>
          <w:color w:val="000000"/>
        </w:rPr>
        <w:t xml:space="preserve"> law if they have already received a clean energy </w:t>
      </w:r>
      <w:r w:rsidR="0002125E">
        <w:rPr>
          <w:rFonts w:ascii="Arial" w:hAnsi="Arial" w:cs="Arial"/>
          <w:color w:val="000000"/>
        </w:rPr>
        <w:t xml:space="preserve">advance or supplement </w:t>
      </w:r>
      <w:r w:rsidR="0002125E" w:rsidRPr="00F75F54">
        <w:rPr>
          <w:rFonts w:ascii="Arial" w:hAnsi="Arial" w:cs="Arial"/>
          <w:color w:val="000000"/>
        </w:rPr>
        <w:t>under other legislation, such as the Veterans’ Entitlements Act, or under an administr</w:t>
      </w:r>
      <w:r w:rsidR="00B754E0">
        <w:rPr>
          <w:rFonts w:ascii="Arial" w:hAnsi="Arial" w:cs="Arial"/>
          <w:color w:val="000000"/>
        </w:rPr>
        <w:t>ative scheme such as ABSTUDY.</w:t>
      </w:r>
    </w:p>
    <w:p w:rsidR="0002125E" w:rsidRPr="00F75F54" w:rsidRDefault="0002125E" w:rsidP="0002125E">
      <w:pPr>
        <w:jc w:val="both"/>
        <w:rPr>
          <w:rFonts w:ascii="Arial" w:hAnsi="Arial" w:cs="Arial"/>
          <w:color w:val="000000"/>
        </w:rPr>
      </w:pPr>
    </w:p>
    <w:p w:rsidR="0002125E" w:rsidRPr="00F75F54" w:rsidRDefault="0002125E" w:rsidP="0002125E">
      <w:pPr>
        <w:jc w:val="both"/>
        <w:rPr>
          <w:rFonts w:ascii="Arial" w:hAnsi="Arial" w:cs="Arial"/>
          <w:color w:val="000000"/>
          <w:lang w:eastAsia="en-AU"/>
        </w:rPr>
      </w:pPr>
      <w:r w:rsidRPr="00F75F54">
        <w:rPr>
          <w:rFonts w:ascii="Arial" w:hAnsi="Arial" w:cs="Arial"/>
          <w:color w:val="000000"/>
          <w:lang w:eastAsia="en-AU"/>
        </w:rPr>
        <w:t xml:space="preserve">For example, </w:t>
      </w:r>
      <w:r w:rsidR="00410747">
        <w:rPr>
          <w:rFonts w:ascii="Arial" w:hAnsi="Arial" w:cs="Arial"/>
          <w:color w:val="000000"/>
          <w:lang w:eastAsia="en-AU"/>
        </w:rPr>
        <w:t>without th</w:t>
      </w:r>
      <w:r w:rsidR="00575438">
        <w:rPr>
          <w:rFonts w:ascii="Arial" w:hAnsi="Arial" w:cs="Arial"/>
          <w:color w:val="000000"/>
          <w:lang w:eastAsia="en-AU"/>
        </w:rPr>
        <w:t>e</w:t>
      </w:r>
      <w:r w:rsidR="00410747">
        <w:rPr>
          <w:rFonts w:ascii="Arial" w:hAnsi="Arial" w:cs="Arial"/>
          <w:color w:val="000000"/>
          <w:lang w:eastAsia="en-AU"/>
        </w:rPr>
        <w:t xml:space="preserve"> Determination, </w:t>
      </w:r>
      <w:r w:rsidRPr="00F75F54">
        <w:rPr>
          <w:rFonts w:ascii="Arial" w:hAnsi="Arial" w:cs="Arial"/>
          <w:color w:val="000000"/>
          <w:lang w:eastAsia="en-AU"/>
        </w:rPr>
        <w:t>a person who switches from a payment under the Veterans’ Entitlements Act to a payment under the</w:t>
      </w:r>
      <w:r w:rsidR="00410747">
        <w:rPr>
          <w:rFonts w:ascii="Arial" w:hAnsi="Arial" w:cs="Arial"/>
          <w:color w:val="000000"/>
          <w:lang w:eastAsia="en-AU"/>
        </w:rPr>
        <w:t xml:space="preserve"> Social Security</w:t>
      </w:r>
      <w:r w:rsidRPr="00F75F54">
        <w:rPr>
          <w:rFonts w:ascii="Arial" w:hAnsi="Arial" w:cs="Arial"/>
          <w:color w:val="000000"/>
          <w:lang w:eastAsia="en-AU"/>
        </w:rPr>
        <w:t xml:space="preserve"> Act would qualify for a further clean energy advance that would cover the same clean energy advance period.  This may result in the person receiving greater assistance than </w:t>
      </w:r>
      <w:r w:rsidR="00891419">
        <w:rPr>
          <w:rFonts w:ascii="Arial" w:hAnsi="Arial" w:cs="Arial"/>
          <w:color w:val="000000"/>
          <w:lang w:eastAsia="en-AU"/>
        </w:rPr>
        <w:t xml:space="preserve">other people in similar </w:t>
      </w:r>
      <w:proofErr w:type="gramStart"/>
      <w:r w:rsidR="00891419">
        <w:rPr>
          <w:rFonts w:ascii="Arial" w:hAnsi="Arial" w:cs="Arial"/>
          <w:color w:val="000000"/>
          <w:lang w:eastAsia="en-AU"/>
        </w:rPr>
        <w:t>circumstances</w:t>
      </w:r>
      <w:proofErr w:type="gramEnd"/>
      <w:r w:rsidRPr="00F75F54">
        <w:rPr>
          <w:rFonts w:ascii="Arial" w:hAnsi="Arial" w:cs="Arial"/>
          <w:color w:val="000000"/>
          <w:lang w:eastAsia="en-AU"/>
        </w:rPr>
        <w:t xml:space="preserve">.  </w:t>
      </w:r>
      <w:r w:rsidR="00575438">
        <w:rPr>
          <w:rFonts w:ascii="Arial" w:hAnsi="Arial" w:cs="Arial"/>
          <w:color w:val="000000"/>
          <w:lang w:eastAsia="en-AU"/>
        </w:rPr>
        <w:t xml:space="preserve">A person in this situation may still qualify for </w:t>
      </w:r>
      <w:r w:rsidRPr="00F75F54">
        <w:rPr>
          <w:rFonts w:ascii="Arial" w:hAnsi="Arial" w:cs="Arial"/>
          <w:color w:val="000000"/>
          <w:lang w:eastAsia="en-AU"/>
        </w:rPr>
        <w:t>a top</w:t>
      </w:r>
      <w:r w:rsidRPr="00F75F54">
        <w:rPr>
          <w:rFonts w:ascii="Arial" w:hAnsi="Arial" w:cs="Arial"/>
          <w:color w:val="000000"/>
          <w:lang w:eastAsia="en-AU"/>
        </w:rPr>
        <w:noBreakHyphen/>
        <w:t xml:space="preserve">up payment </w:t>
      </w:r>
      <w:r w:rsidR="00575438">
        <w:rPr>
          <w:rFonts w:ascii="Arial" w:hAnsi="Arial" w:cs="Arial"/>
          <w:color w:val="000000"/>
          <w:lang w:eastAsia="en-AU"/>
        </w:rPr>
        <w:t xml:space="preserve">under the </w:t>
      </w:r>
      <w:r w:rsidR="00A576BE">
        <w:rPr>
          <w:rFonts w:ascii="Arial" w:hAnsi="Arial" w:cs="Arial"/>
          <w:i/>
          <w:color w:val="000000"/>
          <w:lang w:eastAsia="en-AU"/>
        </w:rPr>
        <w:t>Veterans’ Entitlements</w:t>
      </w:r>
      <w:r w:rsidR="00575438" w:rsidRPr="00575438">
        <w:rPr>
          <w:rFonts w:ascii="Arial" w:hAnsi="Arial" w:cs="Arial"/>
          <w:i/>
          <w:color w:val="000000"/>
          <w:lang w:eastAsia="en-AU"/>
        </w:rPr>
        <w:t xml:space="preserve"> (Clean Energy Advance – Top</w:t>
      </w:r>
      <w:r w:rsidR="00575438" w:rsidRPr="00575438">
        <w:rPr>
          <w:rFonts w:ascii="Arial" w:hAnsi="Arial" w:cs="Arial"/>
          <w:i/>
          <w:color w:val="000000"/>
          <w:lang w:eastAsia="en-AU"/>
        </w:rPr>
        <w:noBreakHyphen/>
        <w:t>up Payment) Determination 2012</w:t>
      </w:r>
      <w:r w:rsidR="00891419">
        <w:rPr>
          <w:rFonts w:ascii="Arial" w:hAnsi="Arial" w:cs="Arial"/>
          <w:i/>
          <w:color w:val="000000"/>
          <w:lang w:eastAsia="en-AU"/>
        </w:rPr>
        <w:t xml:space="preserve">, </w:t>
      </w:r>
      <w:r w:rsidR="00891419" w:rsidRPr="00891419">
        <w:rPr>
          <w:rFonts w:ascii="Arial" w:hAnsi="Arial" w:cs="Arial"/>
          <w:color w:val="000000"/>
          <w:lang w:eastAsia="en-AU"/>
        </w:rPr>
        <w:t>where they have experienced a change in circumstances that would otherwise result in a higher rate of clean energy advance</w:t>
      </w:r>
      <w:r w:rsidRPr="00F75F54">
        <w:rPr>
          <w:rFonts w:ascii="Arial" w:hAnsi="Arial" w:cs="Arial"/>
          <w:color w:val="000000"/>
          <w:lang w:eastAsia="en-AU"/>
        </w:rPr>
        <w:t xml:space="preserve">.  </w:t>
      </w:r>
    </w:p>
    <w:p w:rsidR="0002125E" w:rsidRPr="00F75F54" w:rsidRDefault="00A576BE" w:rsidP="0002125E">
      <w:pPr>
        <w:jc w:val="both"/>
        <w:rPr>
          <w:rFonts w:ascii="Arial" w:hAnsi="Arial" w:cs="Arial"/>
          <w:color w:val="000000"/>
          <w:lang w:eastAsia="en-AU"/>
        </w:rPr>
      </w:pPr>
      <w:r>
        <w:rPr>
          <w:rFonts w:ascii="Arial" w:hAnsi="Arial" w:cs="Arial"/>
          <w:color w:val="000000"/>
          <w:lang w:eastAsia="en-AU"/>
        </w:rPr>
        <w:br w:type="page"/>
      </w:r>
      <w:r w:rsidR="0002125E" w:rsidRPr="00F75F54">
        <w:rPr>
          <w:rFonts w:ascii="Arial" w:hAnsi="Arial" w:cs="Arial"/>
          <w:color w:val="000000"/>
          <w:lang w:eastAsia="en-AU"/>
        </w:rPr>
        <w:lastRenderedPageBreak/>
        <w:t xml:space="preserve">Similarly, </w:t>
      </w:r>
      <w:r w:rsidR="00891419">
        <w:rPr>
          <w:rFonts w:ascii="Arial" w:hAnsi="Arial" w:cs="Arial"/>
          <w:color w:val="000000"/>
          <w:lang w:eastAsia="en-AU"/>
        </w:rPr>
        <w:t xml:space="preserve">without the Determination, </w:t>
      </w:r>
      <w:r w:rsidR="0002125E" w:rsidRPr="00F75F54">
        <w:rPr>
          <w:rFonts w:ascii="Arial" w:hAnsi="Arial" w:cs="Arial"/>
          <w:color w:val="000000"/>
          <w:lang w:eastAsia="en-AU"/>
        </w:rPr>
        <w:t>a person who receives a clean energy advance because they are receiving ABSTUDY (which is an administrat</w:t>
      </w:r>
      <w:r w:rsidR="00891419">
        <w:rPr>
          <w:rFonts w:ascii="Arial" w:hAnsi="Arial" w:cs="Arial"/>
          <w:color w:val="000000"/>
          <w:lang w:eastAsia="en-AU"/>
        </w:rPr>
        <w:t>ive scheme and not a legislated</w:t>
      </w:r>
      <w:r w:rsidR="0002125E" w:rsidRPr="00F75F54">
        <w:rPr>
          <w:rFonts w:ascii="Arial" w:hAnsi="Arial" w:cs="Arial"/>
          <w:color w:val="000000"/>
          <w:lang w:eastAsia="en-AU"/>
        </w:rPr>
        <w:t xml:space="preserve"> payment) and who switches to newstart allowance during the clean energy advance period, would qualify for a new clean energy advance.  This may result in the person receiving greater assistance </w:t>
      </w:r>
      <w:r w:rsidR="00891419">
        <w:rPr>
          <w:rFonts w:ascii="Arial" w:hAnsi="Arial" w:cs="Arial"/>
          <w:color w:val="000000"/>
          <w:lang w:eastAsia="en-AU"/>
        </w:rPr>
        <w:t>other people in similar circumstances</w:t>
      </w:r>
      <w:r w:rsidR="0002125E" w:rsidRPr="00F75F54">
        <w:rPr>
          <w:rFonts w:ascii="Arial" w:hAnsi="Arial" w:cs="Arial"/>
          <w:color w:val="000000"/>
          <w:lang w:eastAsia="en-AU"/>
        </w:rPr>
        <w:t>.  It would be more appropriate to provide this person with a top</w:t>
      </w:r>
      <w:r w:rsidR="0002125E" w:rsidRPr="00F75F54">
        <w:rPr>
          <w:rFonts w:ascii="Arial" w:hAnsi="Arial" w:cs="Arial"/>
          <w:color w:val="000000"/>
          <w:lang w:eastAsia="en-AU"/>
        </w:rPr>
        <w:noBreakHyphen/>
        <w:t>up payment</w:t>
      </w:r>
      <w:r w:rsidR="00891419">
        <w:rPr>
          <w:rFonts w:ascii="Arial" w:hAnsi="Arial" w:cs="Arial"/>
          <w:color w:val="000000"/>
          <w:lang w:eastAsia="en-AU"/>
        </w:rPr>
        <w:t xml:space="preserve"> under the ABSTUDY scheme</w:t>
      </w:r>
      <w:r w:rsidR="0002125E" w:rsidRPr="00F75F54">
        <w:rPr>
          <w:rFonts w:ascii="Arial" w:hAnsi="Arial" w:cs="Arial"/>
          <w:color w:val="000000"/>
          <w:lang w:eastAsia="en-AU"/>
        </w:rPr>
        <w:t xml:space="preserve"> rather than a further clean energy advance.</w:t>
      </w:r>
    </w:p>
    <w:p w:rsidR="0002125E" w:rsidRPr="00F75F54" w:rsidRDefault="0002125E" w:rsidP="0002125E">
      <w:pPr>
        <w:jc w:val="both"/>
        <w:rPr>
          <w:rFonts w:ascii="Arial" w:hAnsi="Arial" w:cs="Arial"/>
          <w:color w:val="000000"/>
          <w:lang w:eastAsia="en-AU"/>
        </w:rPr>
      </w:pPr>
    </w:p>
    <w:p w:rsidR="0002125E" w:rsidRPr="00F75F54" w:rsidRDefault="0002125E" w:rsidP="0002125E">
      <w:pPr>
        <w:jc w:val="both"/>
        <w:rPr>
          <w:rFonts w:ascii="Arial" w:hAnsi="Arial" w:cs="Arial"/>
          <w:color w:val="000000"/>
          <w:lang w:eastAsia="en-AU"/>
        </w:rPr>
      </w:pPr>
      <w:r w:rsidRPr="00F75F54">
        <w:rPr>
          <w:rFonts w:ascii="Arial" w:hAnsi="Arial" w:cs="Arial"/>
          <w:color w:val="000000"/>
          <w:lang w:eastAsia="en-AU"/>
        </w:rPr>
        <w:t xml:space="preserve">Additionally, there are some people who may receive </w:t>
      </w:r>
      <w:r>
        <w:rPr>
          <w:rFonts w:ascii="Arial" w:hAnsi="Arial" w:cs="Arial"/>
          <w:color w:val="000000"/>
          <w:lang w:eastAsia="en-AU"/>
        </w:rPr>
        <w:t xml:space="preserve">welfare </w:t>
      </w:r>
      <w:r w:rsidRPr="00F75F54">
        <w:rPr>
          <w:rFonts w:ascii="Arial" w:hAnsi="Arial" w:cs="Arial"/>
          <w:color w:val="000000"/>
          <w:lang w:eastAsia="en-AU"/>
        </w:rPr>
        <w:t>payments under more than one Act and, if they receive a clean energy supplement under more than one Act, they may receive greater</w:t>
      </w:r>
      <w:r w:rsidR="00B754E0">
        <w:rPr>
          <w:rFonts w:ascii="Arial" w:hAnsi="Arial" w:cs="Arial"/>
          <w:color w:val="000000"/>
          <w:lang w:eastAsia="en-AU"/>
        </w:rPr>
        <w:t xml:space="preserve"> assistance than </w:t>
      </w:r>
      <w:r w:rsidR="00891419">
        <w:rPr>
          <w:rFonts w:ascii="Arial" w:hAnsi="Arial" w:cs="Arial"/>
          <w:color w:val="000000"/>
          <w:lang w:eastAsia="en-AU"/>
        </w:rPr>
        <w:t xml:space="preserve">other people in similar </w:t>
      </w:r>
      <w:proofErr w:type="gramStart"/>
      <w:r w:rsidR="00891419">
        <w:rPr>
          <w:rFonts w:ascii="Arial" w:hAnsi="Arial" w:cs="Arial"/>
          <w:color w:val="000000"/>
          <w:lang w:eastAsia="en-AU"/>
        </w:rPr>
        <w:t>circumstances</w:t>
      </w:r>
      <w:proofErr w:type="gramEnd"/>
      <w:r w:rsidR="00B754E0">
        <w:rPr>
          <w:rFonts w:ascii="Arial" w:hAnsi="Arial" w:cs="Arial"/>
          <w:color w:val="000000"/>
          <w:lang w:eastAsia="en-AU"/>
        </w:rPr>
        <w:t>.</w:t>
      </w:r>
    </w:p>
    <w:p w:rsidR="001610D7" w:rsidRPr="008D3B41" w:rsidRDefault="001610D7" w:rsidP="00521917">
      <w:pPr>
        <w:spacing w:before="240"/>
        <w:rPr>
          <w:rFonts w:ascii="Arial" w:hAnsi="Arial" w:cs="Arial"/>
          <w:bCs/>
        </w:rPr>
      </w:pPr>
      <w:r w:rsidRPr="008D3B41">
        <w:rPr>
          <w:rFonts w:ascii="Arial" w:hAnsi="Arial" w:cs="Arial"/>
          <w:bCs/>
        </w:rPr>
        <w:t xml:space="preserve">The </w:t>
      </w:r>
      <w:r w:rsidR="00E6509D">
        <w:rPr>
          <w:rFonts w:ascii="Arial" w:hAnsi="Arial" w:cs="Arial"/>
          <w:bCs/>
        </w:rPr>
        <w:t>Determination</w:t>
      </w:r>
      <w:r w:rsidR="00797DA1">
        <w:rPr>
          <w:rFonts w:ascii="Arial" w:hAnsi="Arial" w:cs="Arial"/>
          <w:bCs/>
        </w:rPr>
        <w:t xml:space="preserve"> </w:t>
      </w:r>
      <w:r w:rsidR="00E6509D">
        <w:rPr>
          <w:rFonts w:ascii="Arial" w:hAnsi="Arial" w:cs="Arial"/>
          <w:bCs/>
        </w:rPr>
        <w:t>is</w:t>
      </w:r>
      <w:r w:rsidR="00797DA1">
        <w:rPr>
          <w:rFonts w:ascii="Arial" w:hAnsi="Arial" w:cs="Arial"/>
          <w:bCs/>
        </w:rPr>
        <w:t xml:space="preserve"> a legislative instrument. </w:t>
      </w:r>
    </w:p>
    <w:p w:rsidR="009706DE" w:rsidRDefault="000F75DC" w:rsidP="00521917">
      <w:pPr>
        <w:spacing w:before="240"/>
        <w:jc w:val="both"/>
        <w:rPr>
          <w:rFonts w:ascii="Arial" w:hAnsi="Arial" w:cs="Arial"/>
          <w:b/>
          <w:bCs/>
        </w:rPr>
      </w:pPr>
      <w:r>
        <w:rPr>
          <w:rFonts w:ascii="Arial" w:hAnsi="Arial" w:cs="Arial"/>
          <w:b/>
          <w:bCs/>
        </w:rPr>
        <w:t>Explanation of provisions</w:t>
      </w:r>
    </w:p>
    <w:p w:rsidR="009706DE" w:rsidRDefault="009706DE" w:rsidP="00521917">
      <w:pPr>
        <w:spacing w:before="240"/>
        <w:jc w:val="both"/>
        <w:rPr>
          <w:rFonts w:ascii="Arial" w:hAnsi="Arial" w:cs="Arial"/>
          <w:bCs/>
        </w:rPr>
      </w:pPr>
      <w:r>
        <w:rPr>
          <w:rFonts w:ascii="Arial" w:hAnsi="Arial" w:cs="Arial"/>
          <w:b/>
          <w:bCs/>
        </w:rPr>
        <w:t>Section 1</w:t>
      </w:r>
      <w:r>
        <w:rPr>
          <w:rFonts w:ascii="Arial" w:hAnsi="Arial" w:cs="Arial"/>
          <w:bCs/>
        </w:rPr>
        <w:t xml:space="preserve"> states the name of the Determination.</w:t>
      </w:r>
    </w:p>
    <w:p w:rsidR="009706DE" w:rsidRDefault="009706DE" w:rsidP="00521917">
      <w:pPr>
        <w:spacing w:before="240"/>
        <w:jc w:val="both"/>
        <w:rPr>
          <w:rFonts w:ascii="Arial" w:hAnsi="Arial" w:cs="Arial"/>
          <w:bCs/>
        </w:rPr>
      </w:pPr>
      <w:r w:rsidRPr="009706DE">
        <w:rPr>
          <w:rFonts w:ascii="Arial" w:hAnsi="Arial" w:cs="Arial"/>
          <w:b/>
          <w:bCs/>
        </w:rPr>
        <w:t xml:space="preserve">Section </w:t>
      </w:r>
      <w:proofErr w:type="gramStart"/>
      <w:r w:rsidRPr="009706DE">
        <w:rPr>
          <w:rFonts w:ascii="Arial" w:hAnsi="Arial" w:cs="Arial"/>
          <w:b/>
          <w:bCs/>
        </w:rPr>
        <w:t>2</w:t>
      </w:r>
      <w:proofErr w:type="gramEnd"/>
      <w:r>
        <w:rPr>
          <w:rFonts w:ascii="Arial" w:hAnsi="Arial" w:cs="Arial"/>
          <w:bCs/>
        </w:rPr>
        <w:t xml:space="preserve"> states that the Determination commences on </w:t>
      </w:r>
      <w:r w:rsidR="00310DAD">
        <w:rPr>
          <w:rFonts w:ascii="Arial" w:hAnsi="Arial" w:cs="Arial"/>
          <w:bCs/>
        </w:rPr>
        <w:t>14 May 2012</w:t>
      </w:r>
      <w:r>
        <w:rPr>
          <w:rFonts w:ascii="Arial" w:hAnsi="Arial" w:cs="Arial"/>
          <w:bCs/>
        </w:rPr>
        <w:t xml:space="preserve">.  This date corresponds with the commencement </w:t>
      </w:r>
      <w:r w:rsidR="00A908B5">
        <w:rPr>
          <w:rFonts w:ascii="Arial" w:hAnsi="Arial" w:cs="Arial"/>
          <w:bCs/>
        </w:rPr>
        <w:t xml:space="preserve">of the </w:t>
      </w:r>
      <w:r w:rsidR="00310DAD">
        <w:rPr>
          <w:rFonts w:ascii="Arial" w:hAnsi="Arial" w:cs="Arial"/>
          <w:bCs/>
        </w:rPr>
        <w:t xml:space="preserve">provisions of the </w:t>
      </w:r>
      <w:r w:rsidR="00575438">
        <w:rPr>
          <w:rFonts w:ascii="Arial" w:hAnsi="Arial" w:cs="Arial"/>
          <w:bCs/>
        </w:rPr>
        <w:t xml:space="preserve">Act under which the </w:t>
      </w:r>
      <w:r w:rsidR="00A908B5">
        <w:rPr>
          <w:rFonts w:ascii="Arial" w:hAnsi="Arial" w:cs="Arial"/>
          <w:bCs/>
        </w:rPr>
        <w:t>Determination</w:t>
      </w:r>
      <w:r>
        <w:rPr>
          <w:rFonts w:ascii="Arial" w:hAnsi="Arial" w:cs="Arial"/>
          <w:bCs/>
        </w:rPr>
        <w:t xml:space="preserve"> </w:t>
      </w:r>
      <w:proofErr w:type="gramStart"/>
      <w:r w:rsidR="00A908B5">
        <w:rPr>
          <w:rFonts w:ascii="Arial" w:hAnsi="Arial" w:cs="Arial"/>
          <w:bCs/>
        </w:rPr>
        <w:t>is</w:t>
      </w:r>
      <w:r>
        <w:rPr>
          <w:rFonts w:ascii="Arial" w:hAnsi="Arial" w:cs="Arial"/>
          <w:bCs/>
        </w:rPr>
        <w:t xml:space="preserve"> made</w:t>
      </w:r>
      <w:proofErr w:type="gramEnd"/>
      <w:r>
        <w:rPr>
          <w:rFonts w:ascii="Arial" w:hAnsi="Arial" w:cs="Arial"/>
          <w:bCs/>
        </w:rPr>
        <w:t>.</w:t>
      </w:r>
    </w:p>
    <w:p w:rsidR="009706DE" w:rsidRDefault="009706DE" w:rsidP="00521917">
      <w:pPr>
        <w:spacing w:before="240"/>
        <w:jc w:val="both"/>
        <w:rPr>
          <w:rFonts w:ascii="Arial" w:hAnsi="Arial" w:cs="Arial"/>
          <w:bCs/>
        </w:rPr>
      </w:pPr>
      <w:r w:rsidRPr="009706DE">
        <w:rPr>
          <w:rFonts w:ascii="Arial" w:hAnsi="Arial" w:cs="Arial"/>
          <w:b/>
          <w:bCs/>
        </w:rPr>
        <w:t>Section 3</w:t>
      </w:r>
      <w:r>
        <w:rPr>
          <w:rFonts w:ascii="Arial" w:hAnsi="Arial" w:cs="Arial"/>
          <w:b/>
          <w:bCs/>
        </w:rPr>
        <w:t xml:space="preserve"> </w:t>
      </w:r>
      <w:r>
        <w:rPr>
          <w:rFonts w:ascii="Arial" w:hAnsi="Arial" w:cs="Arial"/>
          <w:bCs/>
        </w:rPr>
        <w:t>contains the interpretation provisions.</w:t>
      </w:r>
    </w:p>
    <w:p w:rsidR="007F305E" w:rsidRDefault="000502BA" w:rsidP="00521917">
      <w:pPr>
        <w:spacing w:before="240"/>
        <w:jc w:val="both"/>
        <w:rPr>
          <w:rFonts w:ascii="Arial" w:hAnsi="Arial" w:cs="Arial"/>
          <w:bCs/>
        </w:rPr>
      </w:pPr>
      <w:r w:rsidRPr="000502BA">
        <w:rPr>
          <w:rFonts w:ascii="Arial" w:hAnsi="Arial" w:cs="Arial"/>
          <w:b/>
          <w:bCs/>
        </w:rPr>
        <w:t>Section 4</w:t>
      </w:r>
      <w:r>
        <w:rPr>
          <w:rFonts w:ascii="Arial" w:hAnsi="Arial" w:cs="Arial"/>
          <w:bCs/>
        </w:rPr>
        <w:t xml:space="preserve"> </w:t>
      </w:r>
      <w:r w:rsidR="007F06D5">
        <w:rPr>
          <w:rFonts w:ascii="Arial" w:hAnsi="Arial" w:cs="Arial"/>
          <w:bCs/>
        </w:rPr>
        <w:t xml:space="preserve">sets out the circumstances in which a person will </w:t>
      </w:r>
      <w:r w:rsidR="003E2F83">
        <w:rPr>
          <w:rFonts w:ascii="Arial" w:hAnsi="Arial" w:cs="Arial"/>
          <w:bCs/>
        </w:rPr>
        <w:t xml:space="preserve">not </w:t>
      </w:r>
      <w:r w:rsidR="007F06D5">
        <w:rPr>
          <w:rFonts w:ascii="Arial" w:hAnsi="Arial" w:cs="Arial"/>
          <w:bCs/>
        </w:rPr>
        <w:t xml:space="preserve">qualify for a </w:t>
      </w:r>
      <w:r w:rsidR="003E2F83">
        <w:rPr>
          <w:rFonts w:ascii="Arial" w:hAnsi="Arial" w:cs="Arial"/>
          <w:bCs/>
        </w:rPr>
        <w:t>clean energy advance payment despite any provision</w:t>
      </w:r>
      <w:r w:rsidR="00801E8E">
        <w:rPr>
          <w:rFonts w:ascii="Arial" w:hAnsi="Arial" w:cs="Arial"/>
          <w:bCs/>
        </w:rPr>
        <w:t>s in the Act or another Act or s</w:t>
      </w:r>
      <w:r w:rsidR="003E2F83">
        <w:rPr>
          <w:rFonts w:ascii="Arial" w:hAnsi="Arial" w:cs="Arial"/>
          <w:bCs/>
        </w:rPr>
        <w:t>cheme</w:t>
      </w:r>
      <w:r w:rsidR="007F06D5">
        <w:rPr>
          <w:rFonts w:ascii="Arial" w:hAnsi="Arial" w:cs="Arial"/>
          <w:bCs/>
        </w:rPr>
        <w:t>.</w:t>
      </w:r>
      <w:r w:rsidR="009F2213">
        <w:rPr>
          <w:rFonts w:ascii="Arial" w:hAnsi="Arial" w:cs="Arial"/>
          <w:bCs/>
        </w:rPr>
        <w:t xml:space="preserve">  </w:t>
      </w:r>
    </w:p>
    <w:p w:rsidR="00801E8E" w:rsidRDefault="00801E8E" w:rsidP="00521917">
      <w:pPr>
        <w:spacing w:before="240"/>
        <w:jc w:val="both"/>
        <w:rPr>
          <w:rFonts w:ascii="Arial" w:hAnsi="Arial" w:cs="Arial"/>
          <w:bCs/>
        </w:rPr>
      </w:pPr>
      <w:r>
        <w:rPr>
          <w:rFonts w:ascii="Arial" w:hAnsi="Arial" w:cs="Arial"/>
          <w:bCs/>
        </w:rPr>
        <w:t xml:space="preserve">Subsection 4(1) provides that a person will not qualify for a clean energy advance under the Act if they </w:t>
      </w:r>
      <w:proofErr w:type="gramStart"/>
      <w:r>
        <w:rPr>
          <w:rFonts w:ascii="Arial" w:hAnsi="Arial" w:cs="Arial"/>
          <w:bCs/>
        </w:rPr>
        <w:t>have previously been paid</w:t>
      </w:r>
      <w:proofErr w:type="gramEnd"/>
      <w:r>
        <w:rPr>
          <w:rFonts w:ascii="Arial" w:hAnsi="Arial" w:cs="Arial"/>
          <w:bCs/>
        </w:rPr>
        <w:t>, or are qualified for, a clean energy advance under;</w:t>
      </w:r>
    </w:p>
    <w:p w:rsidR="00801E8E" w:rsidRDefault="00801E8E" w:rsidP="00801E8E">
      <w:pPr>
        <w:numPr>
          <w:ilvl w:val="0"/>
          <w:numId w:val="16"/>
        </w:numPr>
        <w:spacing w:before="240"/>
        <w:jc w:val="both"/>
        <w:rPr>
          <w:rFonts w:ascii="Arial" w:hAnsi="Arial" w:cs="Arial"/>
          <w:bCs/>
        </w:rPr>
      </w:pPr>
      <w:r>
        <w:rPr>
          <w:rFonts w:ascii="Arial" w:hAnsi="Arial" w:cs="Arial"/>
          <w:bCs/>
        </w:rPr>
        <w:t>the Veterans’ Entitlements Act</w:t>
      </w:r>
      <w:r w:rsidR="00B754E0">
        <w:rPr>
          <w:rFonts w:ascii="Arial" w:hAnsi="Arial" w:cs="Arial"/>
          <w:bCs/>
        </w:rPr>
        <w:t xml:space="preserve"> except where the person is qualified for a pension under Part II or Part IV of that Act at a rate determined under or by reference to Division 4 of Part II of that Act</w:t>
      </w:r>
      <w:r>
        <w:rPr>
          <w:rFonts w:ascii="Arial" w:hAnsi="Arial" w:cs="Arial"/>
          <w:bCs/>
        </w:rPr>
        <w:t>;</w:t>
      </w:r>
      <w:r w:rsidR="00B754E0">
        <w:rPr>
          <w:rFonts w:ascii="Arial" w:hAnsi="Arial" w:cs="Arial"/>
          <w:bCs/>
        </w:rPr>
        <w:t xml:space="preserve"> or</w:t>
      </w:r>
    </w:p>
    <w:p w:rsidR="00801E8E" w:rsidRDefault="00801E8E" w:rsidP="00801E8E">
      <w:pPr>
        <w:numPr>
          <w:ilvl w:val="0"/>
          <w:numId w:val="16"/>
        </w:numPr>
        <w:spacing w:before="240"/>
        <w:jc w:val="both"/>
        <w:rPr>
          <w:rFonts w:ascii="Arial" w:hAnsi="Arial" w:cs="Arial"/>
          <w:bCs/>
        </w:rPr>
      </w:pPr>
      <w:r>
        <w:rPr>
          <w:rFonts w:ascii="Arial" w:hAnsi="Arial" w:cs="Arial"/>
          <w:bCs/>
        </w:rPr>
        <w:t>the MRCA</w:t>
      </w:r>
      <w:r w:rsidR="00B754E0">
        <w:rPr>
          <w:rFonts w:ascii="Arial" w:hAnsi="Arial" w:cs="Arial"/>
          <w:bCs/>
        </w:rPr>
        <w:t xml:space="preserve"> except where the person is in receipt of a permanent impairment payment or a Special Rate Disability Pension</w:t>
      </w:r>
      <w:r>
        <w:rPr>
          <w:rFonts w:ascii="Arial" w:hAnsi="Arial" w:cs="Arial"/>
          <w:bCs/>
        </w:rPr>
        <w:t>;</w:t>
      </w:r>
      <w:r w:rsidR="00B754E0">
        <w:rPr>
          <w:rFonts w:ascii="Arial" w:hAnsi="Arial" w:cs="Arial"/>
          <w:bCs/>
        </w:rPr>
        <w:t xml:space="preserve"> or</w:t>
      </w:r>
      <w:r>
        <w:rPr>
          <w:rFonts w:ascii="Arial" w:hAnsi="Arial" w:cs="Arial"/>
          <w:bCs/>
        </w:rPr>
        <w:t xml:space="preserve"> </w:t>
      </w:r>
    </w:p>
    <w:p w:rsidR="00801E8E" w:rsidRDefault="00801E8E" w:rsidP="00801E8E">
      <w:pPr>
        <w:numPr>
          <w:ilvl w:val="0"/>
          <w:numId w:val="16"/>
        </w:numPr>
        <w:spacing w:before="240"/>
        <w:jc w:val="both"/>
        <w:rPr>
          <w:rFonts w:ascii="Arial" w:hAnsi="Arial" w:cs="Arial"/>
          <w:bCs/>
        </w:rPr>
      </w:pPr>
      <w:r>
        <w:rPr>
          <w:rFonts w:ascii="Arial" w:hAnsi="Arial" w:cs="Arial"/>
          <w:bCs/>
        </w:rPr>
        <w:t>the ABSTUDY scheme;</w:t>
      </w:r>
      <w:r w:rsidR="00F56D69">
        <w:rPr>
          <w:rFonts w:ascii="Arial" w:hAnsi="Arial" w:cs="Arial"/>
          <w:bCs/>
        </w:rPr>
        <w:t xml:space="preserve"> or</w:t>
      </w:r>
    </w:p>
    <w:p w:rsidR="00B754E0" w:rsidRDefault="00B754E0" w:rsidP="00801E8E">
      <w:pPr>
        <w:numPr>
          <w:ilvl w:val="0"/>
          <w:numId w:val="16"/>
        </w:numPr>
        <w:spacing w:before="240"/>
        <w:jc w:val="both"/>
        <w:rPr>
          <w:rFonts w:ascii="Arial" w:hAnsi="Arial" w:cs="Arial"/>
          <w:bCs/>
        </w:rPr>
      </w:pPr>
      <w:r>
        <w:rPr>
          <w:rFonts w:ascii="Arial" w:hAnsi="Arial" w:cs="Arial"/>
          <w:bCs/>
        </w:rPr>
        <w:t>the VCES</w:t>
      </w:r>
      <w:r w:rsidR="00801E8E">
        <w:rPr>
          <w:rFonts w:ascii="Arial" w:hAnsi="Arial" w:cs="Arial"/>
          <w:bCs/>
        </w:rPr>
        <w:t>;</w:t>
      </w:r>
      <w:r>
        <w:rPr>
          <w:rFonts w:ascii="Arial" w:hAnsi="Arial" w:cs="Arial"/>
          <w:bCs/>
        </w:rPr>
        <w:t xml:space="preserve"> or</w:t>
      </w:r>
    </w:p>
    <w:p w:rsidR="00B754E0" w:rsidRDefault="00B754E0" w:rsidP="00801E8E">
      <w:pPr>
        <w:numPr>
          <w:ilvl w:val="0"/>
          <w:numId w:val="16"/>
        </w:numPr>
        <w:spacing w:before="240"/>
        <w:jc w:val="both"/>
        <w:rPr>
          <w:rFonts w:ascii="Arial" w:hAnsi="Arial" w:cs="Arial"/>
          <w:bCs/>
        </w:rPr>
      </w:pPr>
      <w:proofErr w:type="gramStart"/>
      <w:r>
        <w:rPr>
          <w:rFonts w:ascii="Arial" w:hAnsi="Arial" w:cs="Arial"/>
          <w:bCs/>
        </w:rPr>
        <w:t>the</w:t>
      </w:r>
      <w:proofErr w:type="gramEnd"/>
      <w:r>
        <w:rPr>
          <w:rFonts w:ascii="Arial" w:hAnsi="Arial" w:cs="Arial"/>
          <w:bCs/>
        </w:rPr>
        <w:t xml:space="preserve"> MRCAETS.</w:t>
      </w:r>
    </w:p>
    <w:p w:rsidR="00F56D69" w:rsidRDefault="00B754E0" w:rsidP="0043223A">
      <w:pPr>
        <w:jc w:val="both"/>
        <w:rPr>
          <w:rFonts w:ascii="Arial" w:hAnsi="Arial" w:cs="Arial"/>
          <w:bCs/>
        </w:rPr>
      </w:pPr>
      <w:r>
        <w:rPr>
          <w:rFonts w:ascii="Arial" w:hAnsi="Arial" w:cs="Arial"/>
          <w:bCs/>
        </w:rPr>
        <w:br w:type="page"/>
      </w:r>
      <w:proofErr w:type="gramStart"/>
      <w:r w:rsidR="00F56D69">
        <w:rPr>
          <w:rFonts w:ascii="Arial" w:hAnsi="Arial" w:cs="Arial"/>
          <w:bCs/>
        </w:rPr>
        <w:lastRenderedPageBreak/>
        <w:t xml:space="preserve">Subsection 4(2) provides that a person will not qualify for a clean energy advance if they have already been paid a clean energy advance because they were receiving a social security payment other </w:t>
      </w:r>
      <w:r w:rsidR="00C87DC5">
        <w:rPr>
          <w:rFonts w:ascii="Arial" w:hAnsi="Arial" w:cs="Arial"/>
          <w:bCs/>
        </w:rPr>
        <w:t xml:space="preserve">than </w:t>
      </w:r>
      <w:r w:rsidR="00F56D69">
        <w:rPr>
          <w:rFonts w:ascii="Arial" w:hAnsi="Arial" w:cs="Arial"/>
          <w:bCs/>
        </w:rPr>
        <w:t>austudy, youth allowance or disability support pension for a person who is under 21 years without dependent children</w:t>
      </w:r>
      <w:r w:rsidR="00891419">
        <w:rPr>
          <w:rFonts w:ascii="Arial" w:hAnsi="Arial" w:cs="Arial"/>
          <w:bCs/>
        </w:rPr>
        <w:t>,</w:t>
      </w:r>
      <w:r w:rsidR="00F56D69">
        <w:rPr>
          <w:rFonts w:ascii="Arial" w:hAnsi="Arial" w:cs="Arial"/>
          <w:bCs/>
        </w:rPr>
        <w:t xml:space="preserve"> and </w:t>
      </w:r>
      <w:r w:rsidR="00891419">
        <w:rPr>
          <w:rFonts w:ascii="Arial" w:hAnsi="Arial" w:cs="Arial"/>
          <w:bCs/>
        </w:rPr>
        <w:t>the person has a</w:t>
      </w:r>
      <w:r w:rsidR="00F56D69">
        <w:rPr>
          <w:rFonts w:ascii="Arial" w:hAnsi="Arial" w:cs="Arial"/>
          <w:bCs/>
        </w:rPr>
        <w:t xml:space="preserve"> change of circumstances that means they start to receive austudy, youth allowance or disability support pension</w:t>
      </w:r>
      <w:r w:rsidR="00F56D69" w:rsidRPr="00F56D69">
        <w:rPr>
          <w:rFonts w:ascii="Arial" w:hAnsi="Arial" w:cs="Arial"/>
          <w:bCs/>
        </w:rPr>
        <w:t xml:space="preserve"> </w:t>
      </w:r>
      <w:r w:rsidR="00F56D69">
        <w:rPr>
          <w:rFonts w:ascii="Arial" w:hAnsi="Arial" w:cs="Arial"/>
          <w:bCs/>
        </w:rPr>
        <w:t>for a person who is under 21 years without dependent children.</w:t>
      </w:r>
      <w:proofErr w:type="gramEnd"/>
    </w:p>
    <w:p w:rsidR="0043223A" w:rsidRDefault="0043223A" w:rsidP="0043223A">
      <w:pPr>
        <w:jc w:val="both"/>
        <w:rPr>
          <w:rFonts w:ascii="Arial" w:hAnsi="Arial" w:cs="Arial"/>
          <w:bCs/>
        </w:rPr>
      </w:pPr>
    </w:p>
    <w:p w:rsidR="0043223A" w:rsidRDefault="0043223A" w:rsidP="0043223A">
      <w:pPr>
        <w:jc w:val="both"/>
        <w:rPr>
          <w:rFonts w:ascii="Arial" w:hAnsi="Arial" w:cs="Arial"/>
          <w:bCs/>
        </w:rPr>
      </w:pPr>
      <w:proofErr w:type="gramStart"/>
      <w:r>
        <w:rPr>
          <w:rFonts w:ascii="Arial" w:hAnsi="Arial" w:cs="Arial"/>
          <w:bCs/>
        </w:rPr>
        <w:t xml:space="preserve">Subsection 4(3) provides that a person will not qualify for a clean energy advance if they have already been paid a clean energy advance because they were receiving a payment </w:t>
      </w:r>
      <w:r w:rsidR="00E435AB">
        <w:rPr>
          <w:rFonts w:ascii="Arial" w:hAnsi="Arial" w:cs="Arial"/>
          <w:bCs/>
        </w:rPr>
        <w:t xml:space="preserve">of </w:t>
      </w:r>
      <w:r>
        <w:rPr>
          <w:rFonts w:ascii="Arial" w:hAnsi="Arial" w:cs="Arial"/>
          <w:bCs/>
        </w:rPr>
        <w:t xml:space="preserve">austudy, youth allowance or disability support pension for a person who is under 21 years without dependent children, and the person has a change of circumstances that means they start to receive </w:t>
      </w:r>
      <w:r w:rsidR="00E435AB">
        <w:rPr>
          <w:rFonts w:ascii="Arial" w:hAnsi="Arial" w:cs="Arial"/>
          <w:bCs/>
        </w:rPr>
        <w:t xml:space="preserve">a social security </w:t>
      </w:r>
      <w:r w:rsidR="0032560C">
        <w:rPr>
          <w:rFonts w:ascii="Arial" w:hAnsi="Arial" w:cs="Arial"/>
          <w:bCs/>
        </w:rPr>
        <w:t>payment</w:t>
      </w:r>
      <w:r w:rsidR="00E435AB">
        <w:rPr>
          <w:rFonts w:ascii="Arial" w:hAnsi="Arial" w:cs="Arial"/>
          <w:bCs/>
        </w:rPr>
        <w:t xml:space="preserve"> other than </w:t>
      </w:r>
      <w:r>
        <w:rPr>
          <w:rFonts w:ascii="Arial" w:hAnsi="Arial" w:cs="Arial"/>
          <w:bCs/>
        </w:rPr>
        <w:t>austudy, youth allowance or disability support pension</w:t>
      </w:r>
      <w:r w:rsidRPr="00F56D69">
        <w:rPr>
          <w:rFonts w:ascii="Arial" w:hAnsi="Arial" w:cs="Arial"/>
          <w:bCs/>
        </w:rPr>
        <w:t xml:space="preserve"> </w:t>
      </w:r>
      <w:r>
        <w:rPr>
          <w:rFonts w:ascii="Arial" w:hAnsi="Arial" w:cs="Arial"/>
          <w:bCs/>
        </w:rPr>
        <w:t>for a person who is under 21 years without dependent children.</w:t>
      </w:r>
      <w:proofErr w:type="gramEnd"/>
    </w:p>
    <w:p w:rsidR="0043223A" w:rsidRDefault="0043223A" w:rsidP="0043223A">
      <w:pPr>
        <w:jc w:val="both"/>
        <w:rPr>
          <w:rFonts w:ascii="Arial" w:hAnsi="Arial" w:cs="Arial"/>
          <w:bCs/>
        </w:rPr>
      </w:pPr>
    </w:p>
    <w:p w:rsidR="00C87DC5" w:rsidRDefault="00C87DC5" w:rsidP="0043223A">
      <w:pPr>
        <w:jc w:val="both"/>
        <w:rPr>
          <w:rFonts w:ascii="Arial" w:hAnsi="Arial" w:cs="Arial"/>
          <w:b/>
        </w:rPr>
      </w:pPr>
      <w:r w:rsidRPr="00C87DC5">
        <w:rPr>
          <w:rFonts w:ascii="Arial" w:hAnsi="Arial" w:cs="Arial"/>
          <w:bCs/>
        </w:rPr>
        <w:t>Subsection 4(</w:t>
      </w:r>
      <w:r w:rsidR="0043223A">
        <w:rPr>
          <w:rFonts w:ascii="Arial" w:hAnsi="Arial" w:cs="Arial"/>
          <w:bCs/>
        </w:rPr>
        <w:t>4</w:t>
      </w:r>
      <w:r w:rsidRPr="00C87DC5">
        <w:rPr>
          <w:rFonts w:ascii="Arial" w:hAnsi="Arial" w:cs="Arial"/>
          <w:bCs/>
        </w:rPr>
        <w:t xml:space="preserve">) confirms that a person who is excluded from receiving a clean energy advance </w:t>
      </w:r>
      <w:proofErr w:type="gramStart"/>
      <w:r w:rsidRPr="00C87DC5">
        <w:rPr>
          <w:rFonts w:ascii="Arial" w:hAnsi="Arial" w:cs="Arial"/>
          <w:bCs/>
        </w:rPr>
        <w:t>as a result</w:t>
      </w:r>
      <w:proofErr w:type="gramEnd"/>
      <w:r w:rsidRPr="00C87DC5">
        <w:rPr>
          <w:rFonts w:ascii="Arial" w:hAnsi="Arial" w:cs="Arial"/>
          <w:bCs/>
        </w:rPr>
        <w:t xml:space="preserve"> of the Determination may still qualify for a top</w:t>
      </w:r>
      <w:r w:rsidRPr="00C87DC5">
        <w:rPr>
          <w:rFonts w:ascii="Arial" w:hAnsi="Arial" w:cs="Arial"/>
          <w:bCs/>
        </w:rPr>
        <w:noBreakHyphen/>
        <w:t xml:space="preserve">up payment under </w:t>
      </w:r>
      <w:r w:rsidR="00D2414C">
        <w:rPr>
          <w:rFonts w:ascii="Arial" w:hAnsi="Arial" w:cs="Arial"/>
          <w:bCs/>
        </w:rPr>
        <w:t>one of the top-up instruments</w:t>
      </w:r>
      <w:r w:rsidR="00B86E7D">
        <w:rPr>
          <w:rFonts w:ascii="Arial" w:hAnsi="Arial" w:cs="Arial"/>
          <w:bCs/>
        </w:rPr>
        <w:t xml:space="preserve"> or one of the schemes</w:t>
      </w:r>
      <w:r w:rsidR="00D2414C">
        <w:rPr>
          <w:rFonts w:ascii="Arial" w:hAnsi="Arial" w:cs="Arial"/>
          <w:bCs/>
        </w:rPr>
        <w:t xml:space="preserve"> listed</w:t>
      </w:r>
      <w:r w:rsidR="00587B16">
        <w:rPr>
          <w:rFonts w:ascii="Arial" w:hAnsi="Arial" w:cs="Arial"/>
          <w:b/>
          <w:i/>
        </w:rPr>
        <w:t>.</w:t>
      </w:r>
    </w:p>
    <w:p w:rsidR="0043223A" w:rsidRDefault="0043223A" w:rsidP="0043223A">
      <w:pPr>
        <w:jc w:val="both"/>
        <w:rPr>
          <w:rFonts w:ascii="Arial" w:hAnsi="Arial" w:cs="Arial"/>
          <w:b/>
        </w:rPr>
      </w:pPr>
    </w:p>
    <w:p w:rsidR="00587B16" w:rsidRDefault="00587B16" w:rsidP="0043223A">
      <w:pPr>
        <w:jc w:val="both"/>
        <w:rPr>
          <w:rFonts w:ascii="Arial" w:hAnsi="Arial" w:cs="Arial"/>
          <w:bCs/>
        </w:rPr>
      </w:pPr>
      <w:r>
        <w:rPr>
          <w:rFonts w:ascii="Arial" w:hAnsi="Arial" w:cs="Arial"/>
          <w:b/>
        </w:rPr>
        <w:t xml:space="preserve">Section 5 </w:t>
      </w:r>
      <w:r w:rsidRPr="00587B16">
        <w:rPr>
          <w:rFonts w:ascii="Arial" w:hAnsi="Arial" w:cs="Arial"/>
        </w:rPr>
        <w:t>provides that</w:t>
      </w:r>
      <w:r>
        <w:rPr>
          <w:rFonts w:ascii="Arial" w:hAnsi="Arial" w:cs="Arial"/>
          <w:b/>
        </w:rPr>
        <w:t xml:space="preserve"> </w:t>
      </w:r>
      <w:r>
        <w:rPr>
          <w:rFonts w:ascii="Arial" w:hAnsi="Arial" w:cs="Arial"/>
          <w:bCs/>
        </w:rPr>
        <w:t>a person will not qualif</w:t>
      </w:r>
      <w:r w:rsidR="00891419">
        <w:rPr>
          <w:rFonts w:ascii="Arial" w:hAnsi="Arial" w:cs="Arial"/>
          <w:bCs/>
        </w:rPr>
        <w:t>y</w:t>
      </w:r>
      <w:r>
        <w:rPr>
          <w:rFonts w:ascii="Arial" w:hAnsi="Arial" w:cs="Arial"/>
          <w:bCs/>
        </w:rPr>
        <w:t xml:space="preserve"> to have a clean energy supplement used to calculate their rate of social security payment if they are also in receipt of </w:t>
      </w:r>
      <w:r w:rsidR="00B754E0">
        <w:rPr>
          <w:rFonts w:ascii="Arial" w:hAnsi="Arial" w:cs="Arial"/>
          <w:bCs/>
        </w:rPr>
        <w:t xml:space="preserve">certain </w:t>
      </w:r>
      <w:r>
        <w:rPr>
          <w:rFonts w:ascii="Arial" w:hAnsi="Arial" w:cs="Arial"/>
          <w:bCs/>
        </w:rPr>
        <w:t xml:space="preserve">payments under the Veterans’ Entitlements Act or the MRCA and have a clean energy supplement added to their rate of payment under that </w:t>
      </w:r>
      <w:r w:rsidR="0032560C">
        <w:rPr>
          <w:rFonts w:ascii="Arial" w:hAnsi="Arial" w:cs="Arial"/>
          <w:bCs/>
        </w:rPr>
        <w:t>A</w:t>
      </w:r>
      <w:r>
        <w:rPr>
          <w:rFonts w:ascii="Arial" w:hAnsi="Arial" w:cs="Arial"/>
          <w:bCs/>
        </w:rPr>
        <w:t xml:space="preserve">ct.  </w:t>
      </w:r>
    </w:p>
    <w:p w:rsidR="0043223A" w:rsidRDefault="0043223A" w:rsidP="0043223A">
      <w:pPr>
        <w:jc w:val="both"/>
        <w:rPr>
          <w:rFonts w:ascii="Arial" w:hAnsi="Arial" w:cs="Arial"/>
          <w:bCs/>
        </w:rPr>
      </w:pPr>
    </w:p>
    <w:p w:rsidR="00B754E0" w:rsidRDefault="00B754E0" w:rsidP="0043223A">
      <w:pPr>
        <w:jc w:val="both"/>
        <w:rPr>
          <w:rFonts w:ascii="Arial" w:hAnsi="Arial" w:cs="Arial"/>
          <w:bCs/>
        </w:rPr>
      </w:pPr>
      <w:proofErr w:type="gramStart"/>
      <w:r>
        <w:rPr>
          <w:rFonts w:ascii="Arial" w:hAnsi="Arial" w:cs="Arial"/>
          <w:bCs/>
        </w:rPr>
        <w:t xml:space="preserve">Paragraph </w:t>
      </w:r>
      <w:r w:rsidR="002F6D3D">
        <w:rPr>
          <w:rFonts w:ascii="Arial" w:hAnsi="Arial" w:cs="Arial"/>
          <w:bCs/>
        </w:rPr>
        <w:t xml:space="preserve">5(a) provides that a person who is in receipt of a payment under the Veterans’ Entitlements Act will not qualify to have </w:t>
      </w:r>
      <w:r w:rsidR="00891419">
        <w:rPr>
          <w:rFonts w:ascii="Arial" w:hAnsi="Arial" w:cs="Arial"/>
          <w:bCs/>
        </w:rPr>
        <w:t xml:space="preserve">a </w:t>
      </w:r>
      <w:r w:rsidR="002F6D3D">
        <w:rPr>
          <w:rFonts w:ascii="Arial" w:hAnsi="Arial" w:cs="Arial"/>
          <w:bCs/>
        </w:rPr>
        <w:t>clean energy supplement added to their rate of social security payment unless their payment under the Veterans’ Entitlements Act is a pension under Part II or IV of that Act calculated by reference to Division 4 of Part II of that Act.</w:t>
      </w:r>
      <w:proofErr w:type="gramEnd"/>
    </w:p>
    <w:p w:rsidR="002F6D3D" w:rsidRDefault="002F6D3D" w:rsidP="0043223A">
      <w:pPr>
        <w:jc w:val="both"/>
        <w:rPr>
          <w:rFonts w:ascii="Arial" w:hAnsi="Arial" w:cs="Arial"/>
          <w:bCs/>
        </w:rPr>
      </w:pPr>
      <w:r>
        <w:rPr>
          <w:rFonts w:ascii="Arial" w:hAnsi="Arial" w:cs="Arial"/>
          <w:bCs/>
        </w:rPr>
        <w:t>Paragraph 5(b) provides that a person who is in receipt of payments under the MRCA will not qualify to have a clean energy supplement added to their rate of social security payment unless their payment under MRCA is a permanent impairment payment or a Special Rate Disability Pension under the MRCA.</w:t>
      </w:r>
    </w:p>
    <w:p w:rsidR="0043223A" w:rsidRDefault="0043223A" w:rsidP="0043223A">
      <w:pPr>
        <w:jc w:val="both"/>
        <w:rPr>
          <w:rFonts w:ascii="Arial" w:hAnsi="Arial" w:cs="Arial"/>
          <w:b/>
          <w:bCs/>
        </w:rPr>
      </w:pPr>
    </w:p>
    <w:p w:rsidR="00E71F27" w:rsidRPr="00097630" w:rsidRDefault="00E71F27" w:rsidP="0043223A">
      <w:pPr>
        <w:jc w:val="both"/>
        <w:rPr>
          <w:rFonts w:ascii="Arial" w:hAnsi="Arial" w:cs="Arial"/>
          <w:b/>
          <w:bCs/>
        </w:rPr>
      </w:pPr>
      <w:r w:rsidRPr="00097630">
        <w:rPr>
          <w:rFonts w:ascii="Arial" w:hAnsi="Arial" w:cs="Arial"/>
          <w:b/>
          <w:bCs/>
        </w:rPr>
        <w:t>Consultation</w:t>
      </w:r>
    </w:p>
    <w:p w:rsidR="00A576BE" w:rsidRDefault="00A576BE" w:rsidP="0043223A">
      <w:pPr>
        <w:autoSpaceDE w:val="0"/>
        <w:autoSpaceDN w:val="0"/>
        <w:adjustRightInd w:val="0"/>
        <w:rPr>
          <w:rFonts w:ascii="Arial" w:hAnsi="Arial" w:cs="Arial"/>
          <w:lang w:eastAsia="en-AU"/>
        </w:rPr>
      </w:pPr>
    </w:p>
    <w:p w:rsidR="003E2F83" w:rsidRDefault="00EF2F56" w:rsidP="0043223A">
      <w:pPr>
        <w:autoSpaceDE w:val="0"/>
        <w:autoSpaceDN w:val="0"/>
        <w:adjustRightInd w:val="0"/>
        <w:rPr>
          <w:rFonts w:ascii="Arial" w:hAnsi="Arial" w:cs="Arial"/>
          <w:lang w:eastAsia="en-AU"/>
        </w:rPr>
      </w:pPr>
      <w:r w:rsidRPr="00EF2F56">
        <w:rPr>
          <w:rFonts w:ascii="Arial" w:hAnsi="Arial" w:cs="Arial"/>
          <w:lang w:eastAsia="en-AU"/>
        </w:rPr>
        <w:t>The Government established a working group of community sector leaders to help advise the Government on an assistance pa</w:t>
      </w:r>
      <w:r w:rsidR="00891419">
        <w:rPr>
          <w:rFonts w:ascii="Arial" w:hAnsi="Arial" w:cs="Arial"/>
          <w:lang w:eastAsia="en-AU"/>
        </w:rPr>
        <w:t>ckage for Australian households</w:t>
      </w:r>
      <w:r w:rsidRPr="00EF2F56">
        <w:rPr>
          <w:rFonts w:ascii="Arial" w:hAnsi="Arial" w:cs="Arial"/>
          <w:lang w:eastAsia="en-AU"/>
        </w:rPr>
        <w:t xml:space="preserve"> under a carbon pricing mechanism. This Household Assistance Working Group, a sub-group advising the Multi Party Climate Change Committee, helped to inform the Government's policy-making process.</w:t>
      </w:r>
    </w:p>
    <w:p w:rsidR="003E2F83" w:rsidRDefault="0043223A" w:rsidP="003E2F83">
      <w:pPr>
        <w:autoSpaceDE w:val="0"/>
        <w:autoSpaceDN w:val="0"/>
        <w:adjustRightInd w:val="0"/>
        <w:rPr>
          <w:rFonts w:ascii="Arial" w:hAnsi="Arial" w:cs="Arial"/>
          <w:lang w:eastAsia="en-AU"/>
        </w:rPr>
      </w:pPr>
      <w:r>
        <w:rPr>
          <w:rFonts w:ascii="Arial" w:hAnsi="Arial" w:cs="Arial"/>
          <w:lang w:eastAsia="en-AU"/>
        </w:rPr>
        <w:br w:type="page"/>
      </w:r>
      <w:r w:rsidR="00EF2F56" w:rsidRPr="00EF2F56">
        <w:rPr>
          <w:rFonts w:ascii="Arial" w:hAnsi="Arial" w:cs="Arial"/>
          <w:lang w:eastAsia="en-AU"/>
        </w:rPr>
        <w:lastRenderedPageBreak/>
        <w:t xml:space="preserve">Members of the working group came from non-government organisations that represent those people the Government wanted to ensure received adequate assistance, especially people in low-income households.  The Government also consulted with State and Territory Governments on aspects of household assistance to ensure it connects with and complements programs and activities already in place across the country. </w:t>
      </w:r>
    </w:p>
    <w:p w:rsidR="003E2F83" w:rsidRDefault="003E2F83" w:rsidP="003E2F83">
      <w:pPr>
        <w:autoSpaceDE w:val="0"/>
        <w:autoSpaceDN w:val="0"/>
        <w:adjustRightInd w:val="0"/>
        <w:rPr>
          <w:rFonts w:ascii="Arial" w:hAnsi="Arial" w:cs="Arial"/>
          <w:lang w:eastAsia="en-AU"/>
        </w:rPr>
      </w:pPr>
    </w:p>
    <w:p w:rsidR="00E71F27" w:rsidRPr="00097630" w:rsidRDefault="00E71F27" w:rsidP="003E2F83">
      <w:pPr>
        <w:autoSpaceDE w:val="0"/>
        <w:autoSpaceDN w:val="0"/>
        <w:adjustRightInd w:val="0"/>
        <w:rPr>
          <w:rFonts w:ascii="Arial" w:hAnsi="Arial" w:cs="Arial"/>
          <w:b/>
          <w:bCs/>
        </w:rPr>
      </w:pPr>
      <w:r w:rsidRPr="00097630">
        <w:rPr>
          <w:rFonts w:ascii="Arial" w:hAnsi="Arial" w:cs="Arial"/>
          <w:b/>
          <w:bCs/>
        </w:rPr>
        <w:t>Regulatory Impact Analysis</w:t>
      </w:r>
    </w:p>
    <w:p w:rsidR="00A576BE" w:rsidRDefault="00A576BE" w:rsidP="004800CB">
      <w:pPr>
        <w:rPr>
          <w:rFonts w:ascii="Arial" w:hAnsi="Arial" w:cs="Arial"/>
          <w:bCs/>
        </w:rPr>
      </w:pPr>
    </w:p>
    <w:p w:rsidR="00A576BE" w:rsidRDefault="00E71F27" w:rsidP="004800CB">
      <w:pPr>
        <w:rPr>
          <w:rFonts w:ascii="Arial" w:hAnsi="Arial" w:cs="Arial"/>
          <w:bCs/>
        </w:rPr>
      </w:pPr>
      <w:r w:rsidRPr="00097630">
        <w:rPr>
          <w:rFonts w:ascii="Arial" w:hAnsi="Arial" w:cs="Arial"/>
          <w:bCs/>
        </w:rPr>
        <w:t xml:space="preserve">The </w:t>
      </w:r>
      <w:r w:rsidR="00D50339">
        <w:rPr>
          <w:rFonts w:ascii="Arial" w:hAnsi="Arial" w:cs="Arial"/>
          <w:bCs/>
        </w:rPr>
        <w:t>Determination</w:t>
      </w:r>
      <w:r w:rsidRPr="00097630">
        <w:rPr>
          <w:rFonts w:ascii="Arial" w:hAnsi="Arial" w:cs="Arial"/>
          <w:bCs/>
        </w:rPr>
        <w:t xml:space="preserve"> is not regulatory in nature, will not </w:t>
      </w:r>
      <w:proofErr w:type="gramStart"/>
      <w:r w:rsidRPr="00097630">
        <w:rPr>
          <w:rFonts w:ascii="Arial" w:hAnsi="Arial" w:cs="Arial"/>
          <w:bCs/>
        </w:rPr>
        <w:t>impact on</w:t>
      </w:r>
      <w:proofErr w:type="gramEnd"/>
      <w:r w:rsidRPr="00097630">
        <w:rPr>
          <w:rFonts w:ascii="Arial" w:hAnsi="Arial" w:cs="Arial"/>
          <w:bCs/>
        </w:rPr>
        <w:t xml:space="preserve"> business activity and will have no, or minimal, compliance costs or competition impact.  </w:t>
      </w:r>
    </w:p>
    <w:p w:rsidR="00142C06" w:rsidRPr="00891419" w:rsidRDefault="00A576BE" w:rsidP="00142C06">
      <w:pPr>
        <w:spacing w:before="360" w:after="120"/>
        <w:jc w:val="center"/>
        <w:rPr>
          <w:b/>
          <w:sz w:val="22"/>
          <w:szCs w:val="22"/>
        </w:rPr>
      </w:pPr>
      <w:r>
        <w:rPr>
          <w:rFonts w:ascii="Arial" w:hAnsi="Arial" w:cs="Arial"/>
          <w:bCs/>
        </w:rPr>
        <w:br w:type="page"/>
      </w:r>
      <w:r w:rsidR="00142C06" w:rsidRPr="00891419">
        <w:rPr>
          <w:b/>
          <w:sz w:val="22"/>
          <w:szCs w:val="22"/>
        </w:rPr>
        <w:lastRenderedPageBreak/>
        <w:t>Statement of Compatibility with Human Rights</w:t>
      </w:r>
    </w:p>
    <w:p w:rsidR="00142C06" w:rsidRPr="00891419" w:rsidRDefault="00142C06" w:rsidP="00142C06">
      <w:pPr>
        <w:spacing w:before="120" w:after="120"/>
        <w:jc w:val="center"/>
        <w:rPr>
          <w:sz w:val="22"/>
          <w:szCs w:val="22"/>
        </w:rPr>
      </w:pPr>
      <w:r w:rsidRPr="00891419">
        <w:rPr>
          <w:i/>
          <w:sz w:val="22"/>
          <w:szCs w:val="22"/>
        </w:rPr>
        <w:t>Prepared in accordance with Part 3 of the Human Rights (Parliamentary Scrutiny) Act 2011</w:t>
      </w:r>
    </w:p>
    <w:p w:rsidR="00142C06" w:rsidRPr="00891419" w:rsidRDefault="00142C06" w:rsidP="00142C06">
      <w:pPr>
        <w:spacing w:before="120" w:after="120"/>
        <w:jc w:val="center"/>
        <w:rPr>
          <w:sz w:val="22"/>
          <w:szCs w:val="22"/>
        </w:rPr>
      </w:pPr>
    </w:p>
    <w:p w:rsidR="00142C06" w:rsidRPr="00891419" w:rsidRDefault="00142C06" w:rsidP="00142C06">
      <w:pPr>
        <w:spacing w:before="120" w:after="120"/>
        <w:jc w:val="center"/>
        <w:rPr>
          <w:b/>
          <w:sz w:val="22"/>
          <w:szCs w:val="22"/>
        </w:rPr>
      </w:pPr>
      <w:r w:rsidRPr="00891419">
        <w:rPr>
          <w:rFonts w:cs="Calibri"/>
          <w:b/>
          <w:i/>
          <w:sz w:val="22"/>
          <w:szCs w:val="22"/>
        </w:rPr>
        <w:t>Social Security (Clean Energy – Multiple Qualification Exclusion) (</w:t>
      </w:r>
      <w:r w:rsidR="00DF6740">
        <w:rPr>
          <w:rFonts w:cs="Calibri"/>
          <w:b/>
          <w:i/>
          <w:sz w:val="22"/>
          <w:szCs w:val="22"/>
        </w:rPr>
        <w:t>DEEWR</w:t>
      </w:r>
      <w:r w:rsidRPr="00891419">
        <w:rPr>
          <w:rFonts w:cs="Calibri"/>
          <w:b/>
          <w:i/>
          <w:sz w:val="22"/>
          <w:szCs w:val="22"/>
        </w:rPr>
        <w:t>) Determination 2012</w:t>
      </w:r>
    </w:p>
    <w:p w:rsidR="00142C06" w:rsidRPr="00891419" w:rsidRDefault="00142C06" w:rsidP="00142C06">
      <w:pPr>
        <w:spacing w:before="120" w:after="120"/>
        <w:jc w:val="center"/>
        <w:rPr>
          <w:sz w:val="22"/>
          <w:szCs w:val="22"/>
        </w:rPr>
      </w:pPr>
      <w:r w:rsidRPr="00891419">
        <w:rPr>
          <w:sz w:val="22"/>
          <w:szCs w:val="22"/>
        </w:rPr>
        <w:t xml:space="preserve">This Legislative Instrument is compatible with the human rights and freedoms recognised or declared in the international instruments listed in section 3 of the </w:t>
      </w:r>
      <w:r w:rsidRPr="00891419">
        <w:rPr>
          <w:i/>
          <w:sz w:val="22"/>
          <w:szCs w:val="22"/>
        </w:rPr>
        <w:t>Human Rights (Parliamentary Scrutiny) Act 2011</w:t>
      </w:r>
      <w:r w:rsidRPr="00891419">
        <w:rPr>
          <w:sz w:val="22"/>
          <w:szCs w:val="22"/>
        </w:rPr>
        <w:t>.</w:t>
      </w:r>
    </w:p>
    <w:p w:rsidR="00142C06" w:rsidRPr="00891419" w:rsidRDefault="00142C06" w:rsidP="00142C06">
      <w:pPr>
        <w:spacing w:before="120" w:after="120"/>
        <w:rPr>
          <w:sz w:val="22"/>
          <w:szCs w:val="22"/>
        </w:rPr>
      </w:pPr>
    </w:p>
    <w:p w:rsidR="00142C06" w:rsidRPr="00891419" w:rsidRDefault="00142C06" w:rsidP="00142C06">
      <w:pPr>
        <w:spacing w:before="120" w:after="120"/>
        <w:jc w:val="both"/>
        <w:rPr>
          <w:b/>
          <w:sz w:val="22"/>
          <w:szCs w:val="22"/>
        </w:rPr>
      </w:pPr>
      <w:r w:rsidRPr="00891419">
        <w:rPr>
          <w:b/>
          <w:sz w:val="22"/>
          <w:szCs w:val="22"/>
        </w:rPr>
        <w:t>Overview of the Legislative Instrument</w:t>
      </w:r>
    </w:p>
    <w:p w:rsidR="00142C06" w:rsidRPr="00891419" w:rsidRDefault="00142C06" w:rsidP="00142C06">
      <w:pPr>
        <w:rPr>
          <w:sz w:val="22"/>
          <w:szCs w:val="22"/>
        </w:rPr>
      </w:pPr>
      <w:r w:rsidRPr="00891419">
        <w:rPr>
          <w:sz w:val="22"/>
          <w:szCs w:val="22"/>
        </w:rPr>
        <w:t xml:space="preserve">The introduction of a carbon price </w:t>
      </w:r>
      <w:proofErr w:type="gramStart"/>
      <w:r w:rsidRPr="00891419">
        <w:rPr>
          <w:sz w:val="22"/>
          <w:szCs w:val="22"/>
        </w:rPr>
        <w:t>is expected</w:t>
      </w:r>
      <w:proofErr w:type="gramEnd"/>
      <w:r w:rsidRPr="00891419">
        <w:rPr>
          <w:sz w:val="22"/>
          <w:szCs w:val="22"/>
        </w:rPr>
        <w:t xml:space="preserve"> to increase the Consumer Price Index by 0.7 per cent. Low- and middle-income households will receive financial assistance to help offset this price increase. People receiving government pensions and other government payments will receive assistance through a </w:t>
      </w:r>
      <w:r w:rsidR="00891419" w:rsidRPr="00891419">
        <w:rPr>
          <w:sz w:val="22"/>
          <w:szCs w:val="22"/>
        </w:rPr>
        <w:t>clean energy advance</w:t>
      </w:r>
      <w:r w:rsidRPr="00891419">
        <w:rPr>
          <w:sz w:val="22"/>
          <w:szCs w:val="22"/>
        </w:rPr>
        <w:t xml:space="preserve">, delivered before the carbon price starts on 1 July 2012, and through an ongoing </w:t>
      </w:r>
      <w:r w:rsidR="00891419" w:rsidRPr="00891419">
        <w:rPr>
          <w:sz w:val="22"/>
          <w:szCs w:val="22"/>
        </w:rPr>
        <w:t xml:space="preserve">clean energy </w:t>
      </w:r>
      <w:proofErr w:type="gramStart"/>
      <w:r w:rsidR="00891419" w:rsidRPr="00891419">
        <w:rPr>
          <w:sz w:val="22"/>
          <w:szCs w:val="22"/>
        </w:rPr>
        <w:t>supplement</w:t>
      </w:r>
      <w:proofErr w:type="gramEnd"/>
      <w:r w:rsidRPr="00891419">
        <w:rPr>
          <w:sz w:val="22"/>
          <w:szCs w:val="22"/>
        </w:rPr>
        <w:t xml:space="preserve"> once the carbon price impact is reflected in the normal indexation of government payments.</w:t>
      </w:r>
    </w:p>
    <w:p w:rsidR="00142C06" w:rsidRPr="00891419" w:rsidRDefault="00142C06" w:rsidP="00142C06">
      <w:pPr>
        <w:rPr>
          <w:sz w:val="22"/>
          <w:szCs w:val="22"/>
        </w:rPr>
      </w:pPr>
      <w:r w:rsidRPr="00891419">
        <w:rPr>
          <w:sz w:val="22"/>
          <w:szCs w:val="22"/>
        </w:rPr>
        <w:t xml:space="preserve">The objective of this instrument is to ensure that equitable levels of household assistance </w:t>
      </w:r>
      <w:proofErr w:type="gramStart"/>
      <w:r w:rsidRPr="00891419">
        <w:rPr>
          <w:sz w:val="22"/>
          <w:szCs w:val="22"/>
        </w:rPr>
        <w:t>are provided</w:t>
      </w:r>
      <w:proofErr w:type="gramEnd"/>
      <w:r w:rsidRPr="00891419">
        <w:rPr>
          <w:sz w:val="22"/>
          <w:szCs w:val="22"/>
        </w:rPr>
        <w:t xml:space="preserve"> to government payment recipients by preventing multiple clean energy payments to individuals in certain circumstances.</w:t>
      </w:r>
    </w:p>
    <w:p w:rsidR="00142C06" w:rsidRPr="00891419" w:rsidRDefault="00142C06" w:rsidP="00142C06">
      <w:pPr>
        <w:spacing w:before="120" w:after="120"/>
        <w:rPr>
          <w:b/>
          <w:sz w:val="22"/>
          <w:szCs w:val="22"/>
        </w:rPr>
      </w:pPr>
    </w:p>
    <w:p w:rsidR="00142C06" w:rsidRPr="00891419" w:rsidRDefault="00142C06" w:rsidP="00142C06">
      <w:pPr>
        <w:spacing w:before="120" w:after="120"/>
        <w:rPr>
          <w:b/>
          <w:sz w:val="22"/>
          <w:szCs w:val="22"/>
        </w:rPr>
      </w:pPr>
      <w:r w:rsidRPr="00891419">
        <w:rPr>
          <w:b/>
          <w:sz w:val="22"/>
          <w:szCs w:val="22"/>
        </w:rPr>
        <w:t>Human rights implications</w:t>
      </w:r>
    </w:p>
    <w:p w:rsidR="00142C06" w:rsidRPr="00891419" w:rsidRDefault="00142C06" w:rsidP="00142C06">
      <w:pPr>
        <w:rPr>
          <w:sz w:val="22"/>
          <w:szCs w:val="22"/>
        </w:rPr>
      </w:pPr>
      <w:r w:rsidRPr="00891419">
        <w:rPr>
          <w:sz w:val="22"/>
          <w:szCs w:val="22"/>
        </w:rPr>
        <w:t>The payment of clean energy advances and supplements is likely to engage the right to social security recognised in Article 9 of the International Covenant on Economic, Social and Cultural Rights (ICESCR).</w:t>
      </w:r>
    </w:p>
    <w:p w:rsidR="00891419" w:rsidRPr="00891419" w:rsidRDefault="00891419" w:rsidP="00142C06">
      <w:pPr>
        <w:rPr>
          <w:sz w:val="22"/>
          <w:szCs w:val="22"/>
        </w:rPr>
      </w:pPr>
    </w:p>
    <w:p w:rsidR="00142C06" w:rsidRPr="00891419" w:rsidRDefault="00142C06" w:rsidP="00142C06">
      <w:pPr>
        <w:rPr>
          <w:sz w:val="22"/>
          <w:szCs w:val="22"/>
        </w:rPr>
      </w:pPr>
      <w:proofErr w:type="gramStart"/>
      <w:r w:rsidRPr="00891419">
        <w:rPr>
          <w:sz w:val="22"/>
          <w:szCs w:val="22"/>
        </w:rPr>
        <w:t>The right to social security in article 9 of the ICESCR requires a social security system be established and that a country must,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w:t>
      </w:r>
      <w:proofErr w:type="gramEnd"/>
    </w:p>
    <w:p w:rsidR="00891419" w:rsidRPr="00891419" w:rsidRDefault="00891419" w:rsidP="00142C06">
      <w:pPr>
        <w:rPr>
          <w:sz w:val="22"/>
          <w:szCs w:val="22"/>
        </w:rPr>
      </w:pPr>
    </w:p>
    <w:p w:rsidR="00D40F6F" w:rsidRDefault="00142C06" w:rsidP="00D40F6F">
      <w:pPr>
        <w:rPr>
          <w:sz w:val="22"/>
          <w:szCs w:val="22"/>
        </w:rPr>
      </w:pPr>
      <w:r w:rsidRPr="00891419">
        <w:rPr>
          <w:sz w:val="22"/>
          <w:szCs w:val="22"/>
        </w:rPr>
        <w:t xml:space="preserve">While the instrument limits the number of clean energy payments that individuals can receive, it does not remove access to social security for any individual. The effect of the instrument will be to deliver equitable levels of assistance to individuals and meet the Government’s commitment </w:t>
      </w:r>
      <w:proofErr w:type="gramStart"/>
      <w:r w:rsidRPr="00891419">
        <w:rPr>
          <w:sz w:val="22"/>
          <w:szCs w:val="22"/>
        </w:rPr>
        <w:t>to at least offset</w:t>
      </w:r>
      <w:proofErr w:type="gramEnd"/>
      <w:r w:rsidRPr="00891419">
        <w:rPr>
          <w:sz w:val="22"/>
          <w:szCs w:val="22"/>
        </w:rPr>
        <w:t xml:space="preserve"> the expected average cost impact for all low-income households. </w:t>
      </w:r>
    </w:p>
    <w:p w:rsidR="00D40F6F" w:rsidRDefault="00D40F6F" w:rsidP="00D40F6F">
      <w:pPr>
        <w:rPr>
          <w:sz w:val="22"/>
          <w:szCs w:val="22"/>
        </w:rPr>
      </w:pPr>
    </w:p>
    <w:p w:rsidR="00142C06" w:rsidRPr="00891419" w:rsidRDefault="00142C06" w:rsidP="00D40F6F">
      <w:pPr>
        <w:rPr>
          <w:b/>
          <w:sz w:val="22"/>
          <w:szCs w:val="22"/>
        </w:rPr>
      </w:pPr>
      <w:r w:rsidRPr="00891419">
        <w:rPr>
          <w:b/>
          <w:sz w:val="22"/>
          <w:szCs w:val="22"/>
        </w:rPr>
        <w:t xml:space="preserve">Conclusion </w:t>
      </w:r>
    </w:p>
    <w:p w:rsidR="00142C06" w:rsidRDefault="00142C06" w:rsidP="00142C06">
      <w:pPr>
        <w:spacing w:before="120" w:after="120"/>
        <w:rPr>
          <w:sz w:val="22"/>
          <w:szCs w:val="22"/>
        </w:rPr>
      </w:pPr>
      <w:r w:rsidRPr="00891419">
        <w:rPr>
          <w:sz w:val="22"/>
          <w:szCs w:val="22"/>
        </w:rPr>
        <w:t xml:space="preserve">The Legislative Instrument is compatible with human rights because it delivers equitable levels of social security assistance to individuals.  </w:t>
      </w:r>
    </w:p>
    <w:p w:rsidR="00891419" w:rsidRPr="00891419" w:rsidRDefault="00891419" w:rsidP="00142C06">
      <w:pPr>
        <w:spacing w:before="120" w:after="120"/>
        <w:rPr>
          <w:sz w:val="22"/>
          <w:szCs w:val="22"/>
        </w:rPr>
      </w:pPr>
    </w:p>
    <w:p w:rsidR="00142C06" w:rsidRPr="00891419" w:rsidRDefault="00142C06" w:rsidP="00142C06">
      <w:pPr>
        <w:spacing w:before="120" w:after="120"/>
        <w:jc w:val="center"/>
        <w:rPr>
          <w:sz w:val="22"/>
          <w:szCs w:val="22"/>
        </w:rPr>
      </w:pPr>
      <w:r w:rsidRPr="00891419">
        <w:rPr>
          <w:b/>
          <w:bCs/>
          <w:sz w:val="22"/>
          <w:szCs w:val="22"/>
        </w:rPr>
        <w:t xml:space="preserve">Minister for </w:t>
      </w:r>
      <w:r w:rsidR="00703D69">
        <w:rPr>
          <w:b/>
          <w:bCs/>
          <w:sz w:val="22"/>
          <w:szCs w:val="22"/>
        </w:rPr>
        <w:t>Employment and Workplace Relations</w:t>
      </w:r>
      <w:r w:rsidRPr="00891419">
        <w:rPr>
          <w:b/>
          <w:bCs/>
          <w:sz w:val="22"/>
          <w:szCs w:val="22"/>
        </w:rPr>
        <w:t xml:space="preserve">, the Hon </w:t>
      </w:r>
      <w:r w:rsidR="00BB7715">
        <w:rPr>
          <w:b/>
          <w:bCs/>
          <w:sz w:val="22"/>
          <w:szCs w:val="22"/>
        </w:rPr>
        <w:t>Bill Shorten</w:t>
      </w:r>
      <w:r w:rsidRPr="00891419">
        <w:rPr>
          <w:b/>
          <w:bCs/>
          <w:sz w:val="22"/>
          <w:szCs w:val="22"/>
        </w:rPr>
        <w:t xml:space="preserve"> MP</w:t>
      </w:r>
    </w:p>
    <w:sectPr w:rsidR="00142C06" w:rsidRPr="00891419" w:rsidSect="00F226A2">
      <w:footerReference w:type="default" r:id="rId7"/>
      <w:pgSz w:w="11906" w:h="16838" w:code="9"/>
      <w:pgMar w:top="1296" w:right="1800" w:bottom="1296"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B8B" w:rsidRDefault="00082B8B">
      <w:r>
        <w:separator/>
      </w:r>
    </w:p>
  </w:endnote>
  <w:endnote w:type="continuationSeparator" w:id="0">
    <w:p w:rsidR="00082B8B" w:rsidRDefault="00082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DC5" w:rsidRDefault="00C87DC5" w:rsidP="00CE6B21">
    <w:pPr>
      <w:spacing w:line="200" w:lineRule="exact"/>
    </w:pPr>
  </w:p>
  <w:tbl>
    <w:tblPr>
      <w:tblW w:w="8388" w:type="dxa"/>
      <w:tblBorders>
        <w:top w:val="single" w:sz="4" w:space="0" w:color="auto"/>
      </w:tblBorders>
      <w:tblLayout w:type="fixed"/>
      <w:tblLook w:val="01E0"/>
    </w:tblPr>
    <w:tblGrid>
      <w:gridCol w:w="648"/>
      <w:gridCol w:w="7020"/>
      <w:gridCol w:w="720"/>
    </w:tblGrid>
    <w:tr w:rsidR="00C87DC5" w:rsidRPr="00521917">
      <w:tc>
        <w:tcPr>
          <w:tcW w:w="648" w:type="dxa"/>
        </w:tcPr>
        <w:p w:rsidR="00C87DC5" w:rsidRPr="00521917" w:rsidRDefault="00C87DC5" w:rsidP="00CE6B21">
          <w:pPr>
            <w:spacing w:line="240" w:lineRule="exact"/>
            <w:rPr>
              <w:rFonts w:ascii="Arial" w:hAnsi="Arial" w:cs="Arial"/>
            </w:rPr>
          </w:pPr>
        </w:p>
      </w:tc>
      <w:tc>
        <w:tcPr>
          <w:tcW w:w="7020" w:type="dxa"/>
        </w:tcPr>
        <w:p w:rsidR="00C87DC5" w:rsidRPr="00A576BE" w:rsidRDefault="00C87DC5" w:rsidP="00BB7715">
          <w:pPr>
            <w:spacing w:before="240"/>
            <w:jc w:val="center"/>
            <w:rPr>
              <w:rFonts w:ascii="Arial" w:hAnsi="Arial" w:cs="Arial"/>
              <w:b/>
              <w:bCs/>
              <w:sz w:val="22"/>
              <w:szCs w:val="22"/>
            </w:rPr>
          </w:pPr>
          <w:r w:rsidRPr="00A576BE">
            <w:rPr>
              <w:rFonts w:ascii="Arial" w:hAnsi="Arial" w:cs="Arial"/>
              <w:iCs/>
              <w:sz w:val="22"/>
              <w:szCs w:val="22"/>
            </w:rPr>
            <w:t xml:space="preserve">Explanatory Statement - </w:t>
          </w:r>
          <w:r w:rsidRPr="00A576BE">
            <w:rPr>
              <w:rFonts w:ascii="Arial" w:hAnsi="Arial" w:cs="Arial"/>
              <w:i/>
              <w:sz w:val="22"/>
              <w:szCs w:val="22"/>
            </w:rPr>
            <w:t>Social Security (Clean Energy – Multiple Qualification Exclusion)</w:t>
          </w:r>
          <w:r w:rsidR="00A576BE" w:rsidRPr="00A576BE">
            <w:rPr>
              <w:rFonts w:ascii="Arial" w:hAnsi="Arial" w:cs="Arial"/>
              <w:i/>
              <w:sz w:val="22"/>
              <w:szCs w:val="22"/>
            </w:rPr>
            <w:t xml:space="preserve"> </w:t>
          </w:r>
          <w:r w:rsidR="00D2414C" w:rsidRPr="00A576BE">
            <w:rPr>
              <w:rFonts w:ascii="Arial" w:hAnsi="Arial" w:cs="Arial"/>
              <w:i/>
              <w:sz w:val="22"/>
              <w:szCs w:val="22"/>
            </w:rPr>
            <w:t>(</w:t>
          </w:r>
          <w:r w:rsidR="00BB7715">
            <w:rPr>
              <w:rFonts w:ascii="Arial" w:hAnsi="Arial" w:cs="Arial"/>
              <w:i/>
              <w:sz w:val="22"/>
              <w:szCs w:val="22"/>
            </w:rPr>
            <w:t>DEEWR</w:t>
          </w:r>
          <w:r w:rsidR="00D2414C" w:rsidRPr="00A576BE">
            <w:rPr>
              <w:rFonts w:ascii="Arial" w:hAnsi="Arial" w:cs="Arial"/>
              <w:i/>
              <w:sz w:val="22"/>
              <w:szCs w:val="22"/>
            </w:rPr>
            <w:t>)</w:t>
          </w:r>
          <w:r w:rsidRPr="00A576BE">
            <w:rPr>
              <w:rFonts w:ascii="Arial" w:hAnsi="Arial" w:cs="Arial"/>
              <w:i/>
              <w:sz w:val="22"/>
              <w:szCs w:val="22"/>
            </w:rPr>
            <w:t xml:space="preserve"> Determination 2012</w:t>
          </w:r>
          <w:r w:rsidRPr="00A576BE">
            <w:rPr>
              <w:rFonts w:ascii="Arial" w:hAnsi="Arial" w:cs="Arial"/>
              <w:b/>
              <w:i/>
              <w:sz w:val="22"/>
              <w:szCs w:val="22"/>
            </w:rPr>
            <w:t> </w:t>
          </w:r>
        </w:p>
      </w:tc>
      <w:tc>
        <w:tcPr>
          <w:tcW w:w="720" w:type="dxa"/>
        </w:tcPr>
        <w:p w:rsidR="00C87DC5" w:rsidRPr="00521917" w:rsidRDefault="00513003" w:rsidP="00CE6B21">
          <w:pPr>
            <w:spacing w:before="60" w:after="60" w:line="240" w:lineRule="exact"/>
            <w:jc w:val="right"/>
            <w:rPr>
              <w:rStyle w:val="PageNumber"/>
              <w:rFonts w:ascii="Arial" w:hAnsi="Arial" w:cs="Arial"/>
              <w:sz w:val="20"/>
              <w:szCs w:val="20"/>
            </w:rPr>
          </w:pPr>
          <w:r w:rsidRPr="00521917">
            <w:rPr>
              <w:rStyle w:val="PageNumber"/>
              <w:rFonts w:ascii="Arial" w:hAnsi="Arial" w:cs="Arial"/>
              <w:sz w:val="20"/>
              <w:szCs w:val="20"/>
            </w:rPr>
            <w:fldChar w:fldCharType="begin"/>
          </w:r>
          <w:r w:rsidR="00C87DC5" w:rsidRPr="00521917">
            <w:rPr>
              <w:rStyle w:val="PageNumber"/>
              <w:rFonts w:ascii="Arial" w:hAnsi="Arial" w:cs="Arial"/>
              <w:sz w:val="20"/>
              <w:szCs w:val="20"/>
            </w:rPr>
            <w:instrText xml:space="preserve"> PAGE </w:instrText>
          </w:r>
          <w:r w:rsidRPr="00521917">
            <w:rPr>
              <w:rStyle w:val="PageNumber"/>
              <w:rFonts w:ascii="Arial" w:hAnsi="Arial" w:cs="Arial"/>
              <w:sz w:val="20"/>
              <w:szCs w:val="20"/>
            </w:rPr>
            <w:fldChar w:fldCharType="separate"/>
          </w:r>
          <w:r w:rsidR="00DF6740">
            <w:rPr>
              <w:rStyle w:val="PageNumber"/>
              <w:rFonts w:ascii="Arial" w:hAnsi="Arial" w:cs="Arial"/>
              <w:noProof/>
              <w:sz w:val="20"/>
              <w:szCs w:val="20"/>
            </w:rPr>
            <w:t>5</w:t>
          </w:r>
          <w:r w:rsidRPr="00521917">
            <w:rPr>
              <w:rStyle w:val="PageNumber"/>
              <w:rFonts w:ascii="Arial" w:hAnsi="Arial" w:cs="Arial"/>
              <w:sz w:val="20"/>
              <w:szCs w:val="20"/>
            </w:rPr>
            <w:fldChar w:fldCharType="end"/>
          </w:r>
        </w:p>
      </w:tc>
    </w:tr>
  </w:tbl>
  <w:p w:rsidR="00C87DC5" w:rsidRDefault="00C87DC5" w:rsidP="003045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B8B" w:rsidRDefault="00082B8B">
      <w:r>
        <w:separator/>
      </w:r>
    </w:p>
  </w:footnote>
  <w:footnote w:type="continuationSeparator" w:id="0">
    <w:p w:rsidR="00082B8B" w:rsidRDefault="00082B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6487"/>
    <w:multiLevelType w:val="hybridMultilevel"/>
    <w:tmpl w:val="B4F8FD64"/>
    <w:lvl w:ilvl="0" w:tplc="F266C35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92F66DA"/>
    <w:multiLevelType w:val="hybridMultilevel"/>
    <w:tmpl w:val="F7BEC360"/>
    <w:lvl w:ilvl="0" w:tplc="71A073C8">
      <w:start w:val="1"/>
      <w:numFmt w:val="bullet"/>
      <w:lvlText w:val=""/>
      <w:lvlJc w:val="left"/>
      <w:pPr>
        <w:tabs>
          <w:tab w:val="num" w:pos="397"/>
        </w:tabs>
        <w:ind w:left="397"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9F61DA4"/>
    <w:multiLevelType w:val="hybridMultilevel"/>
    <w:tmpl w:val="8D6CCE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D7473AA"/>
    <w:multiLevelType w:val="hybridMultilevel"/>
    <w:tmpl w:val="3052173C"/>
    <w:lvl w:ilvl="0" w:tplc="0C090001">
      <w:start w:val="1"/>
      <w:numFmt w:val="bullet"/>
      <w:lvlText w:val=""/>
      <w:lvlJc w:val="left"/>
      <w:pPr>
        <w:tabs>
          <w:tab w:val="num" w:pos="1500"/>
        </w:tabs>
        <w:ind w:left="150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4">
    <w:nsid w:val="369E0AD2"/>
    <w:multiLevelType w:val="hybridMultilevel"/>
    <w:tmpl w:val="9B44FB08"/>
    <w:lvl w:ilvl="0" w:tplc="92B83BC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399F54FF"/>
    <w:multiLevelType w:val="hybridMultilevel"/>
    <w:tmpl w:val="E6C80AF6"/>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nsid w:val="535664A0"/>
    <w:multiLevelType w:val="hybridMultilevel"/>
    <w:tmpl w:val="66868662"/>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7">
    <w:nsid w:val="53E42C59"/>
    <w:multiLevelType w:val="hybridMultilevel"/>
    <w:tmpl w:val="19226C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6E85386"/>
    <w:multiLevelType w:val="hybridMultilevel"/>
    <w:tmpl w:val="12CED68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5A856781"/>
    <w:multiLevelType w:val="hybridMultilevel"/>
    <w:tmpl w:val="6AEA304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4C350CD"/>
    <w:multiLevelType w:val="hybridMultilevel"/>
    <w:tmpl w:val="FE5490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83A43A1"/>
    <w:multiLevelType w:val="hybridMultilevel"/>
    <w:tmpl w:val="60E6F4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FAF4F3E"/>
    <w:multiLevelType w:val="hybridMultilevel"/>
    <w:tmpl w:val="69EA95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21278A2"/>
    <w:multiLevelType w:val="hybridMultilevel"/>
    <w:tmpl w:val="6D7A56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3FD056F"/>
    <w:multiLevelType w:val="hybridMultilevel"/>
    <w:tmpl w:val="2876A8D8"/>
    <w:lvl w:ilvl="0" w:tplc="0C090001">
      <w:start w:val="1"/>
      <w:numFmt w:val="bullet"/>
      <w:lvlText w:val=""/>
      <w:lvlJc w:val="left"/>
      <w:pPr>
        <w:tabs>
          <w:tab w:val="num" w:pos="790"/>
        </w:tabs>
        <w:ind w:left="790" w:hanging="360"/>
      </w:pPr>
      <w:rPr>
        <w:rFonts w:ascii="Symbol" w:hAnsi="Symbol"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5">
    <w:nsid w:val="77E43DCC"/>
    <w:multiLevelType w:val="hybridMultilevel"/>
    <w:tmpl w:val="FC54CEE0"/>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11"/>
  </w:num>
  <w:num w:numId="2">
    <w:abstractNumId w:val="0"/>
  </w:num>
  <w:num w:numId="3">
    <w:abstractNumId w:val="10"/>
  </w:num>
  <w:num w:numId="4">
    <w:abstractNumId w:val="1"/>
  </w:num>
  <w:num w:numId="5">
    <w:abstractNumId w:val="9"/>
  </w:num>
  <w:num w:numId="6">
    <w:abstractNumId w:val="5"/>
  </w:num>
  <w:num w:numId="7">
    <w:abstractNumId w:val="15"/>
  </w:num>
  <w:num w:numId="8">
    <w:abstractNumId w:val="4"/>
  </w:num>
  <w:num w:numId="9">
    <w:abstractNumId w:val="6"/>
  </w:num>
  <w:num w:numId="10">
    <w:abstractNumId w:val="14"/>
  </w:num>
  <w:num w:numId="11">
    <w:abstractNumId w:val="8"/>
  </w:num>
  <w:num w:numId="12">
    <w:abstractNumId w:val="2"/>
  </w:num>
  <w:num w:numId="13">
    <w:abstractNumId w:val="13"/>
  </w:num>
  <w:num w:numId="14">
    <w:abstractNumId w:val="7"/>
  </w:num>
  <w:num w:numId="15">
    <w:abstractNumId w:val="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0"/>
  <w:proofState w:spelling="clean" w:grammar="clean"/>
  <w:stylePaneFormatFilter w:val="3F01"/>
  <w:defaultTabStop w:val="720"/>
  <w:noPunctuationKerning/>
  <w:characterSpacingControl w:val="doNotCompress"/>
  <w:hdrShapeDefaults>
    <o:shapedefaults v:ext="edit" spidmax="11265"/>
  </w:hdrShapeDefaults>
  <w:footnotePr>
    <w:footnote w:id="-1"/>
    <w:footnote w:id="0"/>
  </w:footnotePr>
  <w:endnotePr>
    <w:endnote w:id="-1"/>
    <w:endnote w:id="0"/>
  </w:endnotePr>
  <w:compat/>
  <w:rsids>
    <w:rsidRoot w:val="00C374A6"/>
    <w:rsid w:val="00005A2E"/>
    <w:rsid w:val="00011967"/>
    <w:rsid w:val="0002125E"/>
    <w:rsid w:val="00026A40"/>
    <w:rsid w:val="00030BD6"/>
    <w:rsid w:val="00037748"/>
    <w:rsid w:val="0004047E"/>
    <w:rsid w:val="000459FE"/>
    <w:rsid w:val="00046E33"/>
    <w:rsid w:val="000502BA"/>
    <w:rsid w:val="00053D19"/>
    <w:rsid w:val="00056243"/>
    <w:rsid w:val="000622ED"/>
    <w:rsid w:val="000667A4"/>
    <w:rsid w:val="00071320"/>
    <w:rsid w:val="00082B8B"/>
    <w:rsid w:val="00085984"/>
    <w:rsid w:val="000973D3"/>
    <w:rsid w:val="00097630"/>
    <w:rsid w:val="000B0E18"/>
    <w:rsid w:val="000C5BE8"/>
    <w:rsid w:val="000D17BC"/>
    <w:rsid w:val="000D2C68"/>
    <w:rsid w:val="000F24FF"/>
    <w:rsid w:val="000F75DC"/>
    <w:rsid w:val="001031B5"/>
    <w:rsid w:val="001314E7"/>
    <w:rsid w:val="001322B7"/>
    <w:rsid w:val="00142C06"/>
    <w:rsid w:val="00146E8C"/>
    <w:rsid w:val="00155EB8"/>
    <w:rsid w:val="001610D7"/>
    <w:rsid w:val="00161DA0"/>
    <w:rsid w:val="00162ED9"/>
    <w:rsid w:val="001732F4"/>
    <w:rsid w:val="00187F82"/>
    <w:rsid w:val="001927E3"/>
    <w:rsid w:val="001A161C"/>
    <w:rsid w:val="001B117D"/>
    <w:rsid w:val="001C3DBD"/>
    <w:rsid w:val="001D0643"/>
    <w:rsid w:val="001D7179"/>
    <w:rsid w:val="001E47BE"/>
    <w:rsid w:val="001E4DF7"/>
    <w:rsid w:val="001F3C84"/>
    <w:rsid w:val="00205AC5"/>
    <w:rsid w:val="0021165F"/>
    <w:rsid w:val="00215C65"/>
    <w:rsid w:val="00215F1D"/>
    <w:rsid w:val="002349C9"/>
    <w:rsid w:val="00244E80"/>
    <w:rsid w:val="00256CD7"/>
    <w:rsid w:val="0026375B"/>
    <w:rsid w:val="00266E26"/>
    <w:rsid w:val="0027133E"/>
    <w:rsid w:val="002740EC"/>
    <w:rsid w:val="00275258"/>
    <w:rsid w:val="002A298B"/>
    <w:rsid w:val="002A360D"/>
    <w:rsid w:val="002C0E36"/>
    <w:rsid w:val="002D25E8"/>
    <w:rsid w:val="002E77B6"/>
    <w:rsid w:val="002F6D3D"/>
    <w:rsid w:val="00302F5F"/>
    <w:rsid w:val="003045F8"/>
    <w:rsid w:val="00310DAD"/>
    <w:rsid w:val="00321231"/>
    <w:rsid w:val="00322F3B"/>
    <w:rsid w:val="00324953"/>
    <w:rsid w:val="0032508D"/>
    <w:rsid w:val="0032560C"/>
    <w:rsid w:val="00344B1A"/>
    <w:rsid w:val="00346475"/>
    <w:rsid w:val="003826B2"/>
    <w:rsid w:val="003829C8"/>
    <w:rsid w:val="00383114"/>
    <w:rsid w:val="00385CC5"/>
    <w:rsid w:val="003B16A3"/>
    <w:rsid w:val="003C07A8"/>
    <w:rsid w:val="003E0D3C"/>
    <w:rsid w:val="003E134D"/>
    <w:rsid w:val="003E2F83"/>
    <w:rsid w:val="003E72C0"/>
    <w:rsid w:val="003F322E"/>
    <w:rsid w:val="00400D6D"/>
    <w:rsid w:val="00410747"/>
    <w:rsid w:val="00410DEE"/>
    <w:rsid w:val="00421B0C"/>
    <w:rsid w:val="00426CDA"/>
    <w:rsid w:val="004305D3"/>
    <w:rsid w:val="0043223A"/>
    <w:rsid w:val="00436D25"/>
    <w:rsid w:val="00444A3C"/>
    <w:rsid w:val="0045394C"/>
    <w:rsid w:val="00462046"/>
    <w:rsid w:val="0046670D"/>
    <w:rsid w:val="00470D94"/>
    <w:rsid w:val="004800CB"/>
    <w:rsid w:val="0048012E"/>
    <w:rsid w:val="00487BE8"/>
    <w:rsid w:val="004978FD"/>
    <w:rsid w:val="004D055E"/>
    <w:rsid w:val="004D1187"/>
    <w:rsid w:val="004D3AFB"/>
    <w:rsid w:val="004D7A34"/>
    <w:rsid w:val="004E0101"/>
    <w:rsid w:val="004E1ADB"/>
    <w:rsid w:val="004E3F45"/>
    <w:rsid w:val="004F38A6"/>
    <w:rsid w:val="0050143A"/>
    <w:rsid w:val="005017FF"/>
    <w:rsid w:val="00513003"/>
    <w:rsid w:val="00521917"/>
    <w:rsid w:val="005270BF"/>
    <w:rsid w:val="0053002C"/>
    <w:rsid w:val="00534487"/>
    <w:rsid w:val="005524D0"/>
    <w:rsid w:val="0055776C"/>
    <w:rsid w:val="00562D6C"/>
    <w:rsid w:val="005708CE"/>
    <w:rsid w:val="00571CBB"/>
    <w:rsid w:val="00572841"/>
    <w:rsid w:val="00575438"/>
    <w:rsid w:val="00577AAB"/>
    <w:rsid w:val="0058229F"/>
    <w:rsid w:val="00582978"/>
    <w:rsid w:val="00587B16"/>
    <w:rsid w:val="00596FA0"/>
    <w:rsid w:val="005B1A8F"/>
    <w:rsid w:val="005E75A6"/>
    <w:rsid w:val="00622451"/>
    <w:rsid w:val="006241FA"/>
    <w:rsid w:val="00626488"/>
    <w:rsid w:val="00631890"/>
    <w:rsid w:val="00635558"/>
    <w:rsid w:val="00647C28"/>
    <w:rsid w:val="00651008"/>
    <w:rsid w:val="00651A7D"/>
    <w:rsid w:val="00652B78"/>
    <w:rsid w:val="0067051A"/>
    <w:rsid w:val="006830BB"/>
    <w:rsid w:val="00683FC7"/>
    <w:rsid w:val="00685432"/>
    <w:rsid w:val="006958A9"/>
    <w:rsid w:val="006A4337"/>
    <w:rsid w:val="006A5731"/>
    <w:rsid w:val="006B7402"/>
    <w:rsid w:val="006D44BA"/>
    <w:rsid w:val="006D7C82"/>
    <w:rsid w:val="006E567C"/>
    <w:rsid w:val="006F0D6D"/>
    <w:rsid w:val="006F6C6F"/>
    <w:rsid w:val="006F784A"/>
    <w:rsid w:val="00700444"/>
    <w:rsid w:val="00703D69"/>
    <w:rsid w:val="00712C4B"/>
    <w:rsid w:val="007153F5"/>
    <w:rsid w:val="00715E04"/>
    <w:rsid w:val="00737508"/>
    <w:rsid w:val="00737F18"/>
    <w:rsid w:val="00740F63"/>
    <w:rsid w:val="00750CE0"/>
    <w:rsid w:val="00764922"/>
    <w:rsid w:val="00767B37"/>
    <w:rsid w:val="007769E3"/>
    <w:rsid w:val="00776ECD"/>
    <w:rsid w:val="007938CE"/>
    <w:rsid w:val="00794020"/>
    <w:rsid w:val="00797DA1"/>
    <w:rsid w:val="007A0C19"/>
    <w:rsid w:val="007A54FA"/>
    <w:rsid w:val="007C15FF"/>
    <w:rsid w:val="007C6797"/>
    <w:rsid w:val="007D5BC8"/>
    <w:rsid w:val="007D6E33"/>
    <w:rsid w:val="007F06D5"/>
    <w:rsid w:val="007F1A39"/>
    <w:rsid w:val="007F305E"/>
    <w:rsid w:val="0080131E"/>
    <w:rsid w:val="00801E8E"/>
    <w:rsid w:val="00805DB8"/>
    <w:rsid w:val="008102B4"/>
    <w:rsid w:val="00821C45"/>
    <w:rsid w:val="00842CA8"/>
    <w:rsid w:val="0086426A"/>
    <w:rsid w:val="00866191"/>
    <w:rsid w:val="0087651B"/>
    <w:rsid w:val="00880F44"/>
    <w:rsid w:val="00891419"/>
    <w:rsid w:val="00894E5D"/>
    <w:rsid w:val="008B2769"/>
    <w:rsid w:val="008D170E"/>
    <w:rsid w:val="008D3B41"/>
    <w:rsid w:val="008D7845"/>
    <w:rsid w:val="008E75E5"/>
    <w:rsid w:val="008F187A"/>
    <w:rsid w:val="00903433"/>
    <w:rsid w:val="00907B74"/>
    <w:rsid w:val="009101CB"/>
    <w:rsid w:val="00911F8F"/>
    <w:rsid w:val="0091514C"/>
    <w:rsid w:val="009151E0"/>
    <w:rsid w:val="009157AB"/>
    <w:rsid w:val="009220AA"/>
    <w:rsid w:val="00925E91"/>
    <w:rsid w:val="00927C28"/>
    <w:rsid w:val="00927EAA"/>
    <w:rsid w:val="009303E7"/>
    <w:rsid w:val="00964223"/>
    <w:rsid w:val="009706DE"/>
    <w:rsid w:val="00975A24"/>
    <w:rsid w:val="00984288"/>
    <w:rsid w:val="00985352"/>
    <w:rsid w:val="00996B00"/>
    <w:rsid w:val="00997390"/>
    <w:rsid w:val="009A50DD"/>
    <w:rsid w:val="009A7095"/>
    <w:rsid w:val="009D04FE"/>
    <w:rsid w:val="009D1747"/>
    <w:rsid w:val="009D2B2E"/>
    <w:rsid w:val="009D6BCA"/>
    <w:rsid w:val="009E2068"/>
    <w:rsid w:val="009E4C9F"/>
    <w:rsid w:val="009E704D"/>
    <w:rsid w:val="009E76C3"/>
    <w:rsid w:val="009F2213"/>
    <w:rsid w:val="009F3AC8"/>
    <w:rsid w:val="00A05BE4"/>
    <w:rsid w:val="00A05D46"/>
    <w:rsid w:val="00A06298"/>
    <w:rsid w:val="00A1238A"/>
    <w:rsid w:val="00A53C6C"/>
    <w:rsid w:val="00A551A4"/>
    <w:rsid w:val="00A576BE"/>
    <w:rsid w:val="00A57829"/>
    <w:rsid w:val="00A66791"/>
    <w:rsid w:val="00A66CA7"/>
    <w:rsid w:val="00A6707C"/>
    <w:rsid w:val="00A671D6"/>
    <w:rsid w:val="00A7634C"/>
    <w:rsid w:val="00A76973"/>
    <w:rsid w:val="00A7791D"/>
    <w:rsid w:val="00A82BCF"/>
    <w:rsid w:val="00A908B5"/>
    <w:rsid w:val="00A927C2"/>
    <w:rsid w:val="00A96F90"/>
    <w:rsid w:val="00AA3B98"/>
    <w:rsid w:val="00AA6E48"/>
    <w:rsid w:val="00AB08D4"/>
    <w:rsid w:val="00AB4664"/>
    <w:rsid w:val="00AC6EC7"/>
    <w:rsid w:val="00AD2871"/>
    <w:rsid w:val="00AE76E4"/>
    <w:rsid w:val="00AF2CC9"/>
    <w:rsid w:val="00B0121D"/>
    <w:rsid w:val="00B11C44"/>
    <w:rsid w:val="00B32A21"/>
    <w:rsid w:val="00B45275"/>
    <w:rsid w:val="00B50A31"/>
    <w:rsid w:val="00B623AF"/>
    <w:rsid w:val="00B6310C"/>
    <w:rsid w:val="00B670FE"/>
    <w:rsid w:val="00B754E0"/>
    <w:rsid w:val="00B75995"/>
    <w:rsid w:val="00B82D17"/>
    <w:rsid w:val="00B86E7D"/>
    <w:rsid w:val="00B9550B"/>
    <w:rsid w:val="00BA0BEF"/>
    <w:rsid w:val="00BA248D"/>
    <w:rsid w:val="00BB069F"/>
    <w:rsid w:val="00BB7715"/>
    <w:rsid w:val="00BC2CAF"/>
    <w:rsid w:val="00BC42FC"/>
    <w:rsid w:val="00BC76E5"/>
    <w:rsid w:val="00BD2EF9"/>
    <w:rsid w:val="00BE7F56"/>
    <w:rsid w:val="00BF553A"/>
    <w:rsid w:val="00BF6C45"/>
    <w:rsid w:val="00C03964"/>
    <w:rsid w:val="00C059C2"/>
    <w:rsid w:val="00C07693"/>
    <w:rsid w:val="00C163FE"/>
    <w:rsid w:val="00C34B6B"/>
    <w:rsid w:val="00C353AD"/>
    <w:rsid w:val="00C374A6"/>
    <w:rsid w:val="00C411DD"/>
    <w:rsid w:val="00C648ED"/>
    <w:rsid w:val="00C70707"/>
    <w:rsid w:val="00C72360"/>
    <w:rsid w:val="00C80889"/>
    <w:rsid w:val="00C81286"/>
    <w:rsid w:val="00C87DC5"/>
    <w:rsid w:val="00CB3C8B"/>
    <w:rsid w:val="00CC28A5"/>
    <w:rsid w:val="00CC5062"/>
    <w:rsid w:val="00CC710E"/>
    <w:rsid w:val="00CC7B29"/>
    <w:rsid w:val="00CD1CD6"/>
    <w:rsid w:val="00CE419B"/>
    <w:rsid w:val="00CE6A9F"/>
    <w:rsid w:val="00CE6B21"/>
    <w:rsid w:val="00D00079"/>
    <w:rsid w:val="00D020D2"/>
    <w:rsid w:val="00D05577"/>
    <w:rsid w:val="00D22E72"/>
    <w:rsid w:val="00D2414C"/>
    <w:rsid w:val="00D3506B"/>
    <w:rsid w:val="00D36FB8"/>
    <w:rsid w:val="00D40F6F"/>
    <w:rsid w:val="00D50339"/>
    <w:rsid w:val="00D56F7F"/>
    <w:rsid w:val="00D674A4"/>
    <w:rsid w:val="00D67FB7"/>
    <w:rsid w:val="00DA2418"/>
    <w:rsid w:val="00DA3C6A"/>
    <w:rsid w:val="00DA5077"/>
    <w:rsid w:val="00DA6D57"/>
    <w:rsid w:val="00DD0011"/>
    <w:rsid w:val="00DD2BC5"/>
    <w:rsid w:val="00DD32EB"/>
    <w:rsid w:val="00DD43EF"/>
    <w:rsid w:val="00DD530D"/>
    <w:rsid w:val="00DD7F2A"/>
    <w:rsid w:val="00DE745A"/>
    <w:rsid w:val="00DE79A2"/>
    <w:rsid w:val="00DF3764"/>
    <w:rsid w:val="00DF4D52"/>
    <w:rsid w:val="00DF6740"/>
    <w:rsid w:val="00E044F7"/>
    <w:rsid w:val="00E073A9"/>
    <w:rsid w:val="00E20A37"/>
    <w:rsid w:val="00E25292"/>
    <w:rsid w:val="00E32438"/>
    <w:rsid w:val="00E343B4"/>
    <w:rsid w:val="00E435AB"/>
    <w:rsid w:val="00E463D9"/>
    <w:rsid w:val="00E504EE"/>
    <w:rsid w:val="00E520CA"/>
    <w:rsid w:val="00E544DD"/>
    <w:rsid w:val="00E55BC7"/>
    <w:rsid w:val="00E56BFD"/>
    <w:rsid w:val="00E6509D"/>
    <w:rsid w:val="00E6689F"/>
    <w:rsid w:val="00E71F27"/>
    <w:rsid w:val="00E7792E"/>
    <w:rsid w:val="00E842C0"/>
    <w:rsid w:val="00E867CC"/>
    <w:rsid w:val="00E91428"/>
    <w:rsid w:val="00E91B1E"/>
    <w:rsid w:val="00EA7AC8"/>
    <w:rsid w:val="00EE3840"/>
    <w:rsid w:val="00EE4B22"/>
    <w:rsid w:val="00EE4D86"/>
    <w:rsid w:val="00EF2F56"/>
    <w:rsid w:val="00F12558"/>
    <w:rsid w:val="00F226A2"/>
    <w:rsid w:val="00F318E7"/>
    <w:rsid w:val="00F56D69"/>
    <w:rsid w:val="00F73707"/>
    <w:rsid w:val="00F80813"/>
    <w:rsid w:val="00F93EE9"/>
    <w:rsid w:val="00FA267C"/>
    <w:rsid w:val="00FA6911"/>
    <w:rsid w:val="00FA77F3"/>
    <w:rsid w:val="00FC1492"/>
    <w:rsid w:val="00FD59CA"/>
    <w:rsid w:val="00FF257B"/>
    <w:rsid w:val="00FF26B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390"/>
    <w:rPr>
      <w:sz w:val="24"/>
      <w:szCs w:val="24"/>
      <w:lang w:eastAsia="en-US"/>
    </w:rPr>
  </w:style>
  <w:style w:type="paragraph" w:styleId="Heading2">
    <w:name w:val="heading 2"/>
    <w:aliases w:val="h2,p"/>
    <w:basedOn w:val="Normal"/>
    <w:next w:val="Normal"/>
    <w:qFormat/>
    <w:rsid w:val="00805DB8"/>
    <w:pPr>
      <w:keepNext/>
      <w:spacing w:before="240" w:after="60"/>
      <w:outlineLvl w:val="1"/>
    </w:pPr>
    <w:rPr>
      <w:rFonts w:ascii="Arial"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2068"/>
    <w:rPr>
      <w:rFonts w:ascii="Tahoma" w:hAnsi="Tahoma" w:cs="Tahoma"/>
      <w:sz w:val="16"/>
      <w:szCs w:val="16"/>
    </w:rPr>
  </w:style>
  <w:style w:type="paragraph" w:styleId="Header">
    <w:name w:val="header"/>
    <w:basedOn w:val="Normal"/>
    <w:rsid w:val="007C15FF"/>
    <w:pPr>
      <w:tabs>
        <w:tab w:val="center" w:pos="4153"/>
        <w:tab w:val="right" w:pos="8306"/>
      </w:tabs>
    </w:pPr>
  </w:style>
  <w:style w:type="paragraph" w:styleId="Footer">
    <w:name w:val="footer"/>
    <w:basedOn w:val="Normal"/>
    <w:rsid w:val="007C15FF"/>
    <w:pPr>
      <w:tabs>
        <w:tab w:val="center" w:pos="4153"/>
        <w:tab w:val="right" w:pos="8306"/>
      </w:tabs>
    </w:pPr>
  </w:style>
  <w:style w:type="character" w:styleId="PageNumber">
    <w:name w:val="page number"/>
    <w:basedOn w:val="DefaultParagraphFont"/>
    <w:rsid w:val="00D22E72"/>
  </w:style>
  <w:style w:type="paragraph" w:customStyle="1" w:styleId="FooterCitation">
    <w:name w:val="FooterCitation"/>
    <w:basedOn w:val="Footer"/>
    <w:rsid w:val="00CE6B21"/>
    <w:pPr>
      <w:spacing w:before="20" w:line="240" w:lineRule="exact"/>
      <w:jc w:val="center"/>
    </w:pPr>
    <w:rPr>
      <w:rFonts w:ascii="Arial" w:hAnsi="Arial"/>
      <w:i/>
      <w:sz w:val="18"/>
      <w:lang w:eastAsia="en-AU"/>
    </w:rPr>
  </w:style>
  <w:style w:type="paragraph" w:customStyle="1" w:styleId="Char">
    <w:name w:val="Char"/>
    <w:basedOn w:val="Normal"/>
    <w:rsid w:val="00CE6B21"/>
    <w:pPr>
      <w:spacing w:after="160" w:line="240" w:lineRule="exact"/>
    </w:pPr>
    <w:rPr>
      <w:rFonts w:ascii="Verdana" w:hAnsi="Verdana"/>
      <w:sz w:val="20"/>
      <w:lang w:val="en-US"/>
    </w:rPr>
  </w:style>
  <w:style w:type="paragraph" w:customStyle="1" w:styleId="Char0">
    <w:name w:val="Char"/>
    <w:basedOn w:val="Normal"/>
    <w:rsid w:val="006830BB"/>
    <w:pPr>
      <w:spacing w:after="160" w:line="240" w:lineRule="exact"/>
    </w:pPr>
    <w:rPr>
      <w:rFonts w:ascii="Verdana" w:hAnsi="Verdana"/>
      <w:sz w:val="20"/>
      <w:lang w:val="en-US"/>
    </w:rPr>
  </w:style>
  <w:style w:type="character" w:customStyle="1" w:styleId="BoldItalic">
    <w:name w:val="BoldItalic"/>
    <w:rsid w:val="00400D6D"/>
    <w:rPr>
      <w:b/>
      <w:i/>
    </w:rPr>
  </w:style>
  <w:style w:type="paragraph" w:customStyle="1" w:styleId="cabbackground">
    <w:name w:val="cabbackground"/>
    <w:basedOn w:val="Normal"/>
    <w:rsid w:val="00400D6D"/>
    <w:pPr>
      <w:spacing w:line="360" w:lineRule="auto"/>
    </w:pPr>
    <w:rPr>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1560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Family and Community Services</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KIMBER,Geoff</dc:creator>
  <cp:lastModifiedBy>Melissa Bridge</cp:lastModifiedBy>
  <cp:revision>3</cp:revision>
  <cp:lastPrinted>2011-11-28T06:12:00Z</cp:lastPrinted>
  <dcterms:created xsi:type="dcterms:W3CDTF">2012-05-01T01:47:00Z</dcterms:created>
  <dcterms:modified xsi:type="dcterms:W3CDTF">2012-05-02T05:16:00Z</dcterms:modified>
</cp:coreProperties>
</file>