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ED" w:rsidRDefault="00BA6BED">
      <w:pPr>
        <w:rPr>
          <w:lang w:val="en-US"/>
        </w:rPr>
      </w:pPr>
    </w:p>
    <w:p w:rsidR="008C1976" w:rsidRDefault="008C1976">
      <w:pPr>
        <w:rPr>
          <w:lang w:val="en-US"/>
        </w:rPr>
      </w:pPr>
    </w:p>
    <w:p w:rsidR="008C1976" w:rsidRDefault="008C1976">
      <w:pPr>
        <w:rPr>
          <w:lang w:val="en-US"/>
        </w:rPr>
      </w:pPr>
    </w:p>
    <w:p w:rsidR="00BA6BED" w:rsidRPr="001A09D9" w:rsidRDefault="00BA6BED" w:rsidP="00BA6BED">
      <w:pPr>
        <w:overflowPunct w:val="0"/>
        <w:autoSpaceDE w:val="0"/>
        <w:autoSpaceDN w:val="0"/>
        <w:adjustRightInd w:val="0"/>
        <w:ind w:left="567" w:hanging="567"/>
        <w:jc w:val="center"/>
        <w:textAlignment w:val="baseline"/>
        <w:rPr>
          <w:rFonts w:ascii="Times New Roman" w:hAnsi="Times New Roman"/>
          <w:b/>
          <w:bCs/>
          <w:sz w:val="28"/>
        </w:rPr>
      </w:pPr>
      <w:r w:rsidRPr="001A09D9">
        <w:rPr>
          <w:rFonts w:ascii="Times New Roman" w:hAnsi="Times New Roman"/>
          <w:b/>
          <w:bCs/>
          <w:sz w:val="28"/>
        </w:rPr>
        <w:t>ASIC CLASS ORDER [CO 12/</w:t>
      </w:r>
      <w:r>
        <w:rPr>
          <w:rFonts w:ascii="Times New Roman" w:hAnsi="Times New Roman"/>
          <w:b/>
          <w:bCs/>
          <w:sz w:val="28"/>
        </w:rPr>
        <w:t>416</w:t>
      </w:r>
      <w:r w:rsidRPr="001A09D9">
        <w:rPr>
          <w:rFonts w:ascii="Times New Roman" w:hAnsi="Times New Roman"/>
          <w:b/>
          <w:bCs/>
          <w:sz w:val="28"/>
        </w:rPr>
        <w:t>]</w:t>
      </w:r>
    </w:p>
    <w:p w:rsidR="00BA6BED" w:rsidRPr="001A09D9" w:rsidRDefault="00BA6BED" w:rsidP="00BA6BED">
      <w:pPr>
        <w:overflowPunct w:val="0"/>
        <w:autoSpaceDE w:val="0"/>
        <w:autoSpaceDN w:val="0"/>
        <w:adjustRightInd w:val="0"/>
        <w:ind w:left="567" w:hanging="567"/>
        <w:jc w:val="center"/>
        <w:textAlignment w:val="baseline"/>
        <w:rPr>
          <w:rFonts w:ascii="Times New Roman" w:hAnsi="Times New Roman"/>
          <w:b/>
          <w:bCs/>
          <w:sz w:val="28"/>
        </w:rPr>
      </w:pPr>
    </w:p>
    <w:p w:rsidR="00BA6BED" w:rsidRPr="001A09D9" w:rsidRDefault="00BA6BED" w:rsidP="00BA6BED">
      <w:pPr>
        <w:overflowPunct w:val="0"/>
        <w:autoSpaceDE w:val="0"/>
        <w:autoSpaceDN w:val="0"/>
        <w:adjustRightInd w:val="0"/>
        <w:ind w:left="567" w:hanging="567"/>
        <w:jc w:val="center"/>
        <w:textAlignment w:val="baseline"/>
        <w:rPr>
          <w:rFonts w:ascii="Times New Roman" w:hAnsi="Times New Roman"/>
          <w:b/>
          <w:bCs/>
          <w:sz w:val="28"/>
        </w:rPr>
      </w:pPr>
      <w:r w:rsidRPr="001A09D9">
        <w:rPr>
          <w:rFonts w:ascii="Times New Roman" w:hAnsi="Times New Roman"/>
          <w:b/>
          <w:bCs/>
          <w:sz w:val="28"/>
        </w:rPr>
        <w:t>EXPLANATORY STATEMENT</w:t>
      </w:r>
    </w:p>
    <w:p w:rsidR="00BA6BED" w:rsidRPr="001A09D9" w:rsidRDefault="00BA6BED" w:rsidP="00BA6BED">
      <w:pPr>
        <w:ind w:right="-311"/>
        <w:jc w:val="center"/>
        <w:rPr>
          <w:rFonts w:ascii="Times New Roman" w:hAnsi="Times New Roman"/>
          <w:szCs w:val="24"/>
        </w:rPr>
      </w:pPr>
    </w:p>
    <w:p w:rsidR="00BA6BED" w:rsidRPr="001A09D9" w:rsidRDefault="00BA6BED" w:rsidP="00BA6BED">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rPr>
      </w:pPr>
      <w:r w:rsidRPr="001A09D9">
        <w:rPr>
          <w:rFonts w:ascii="Times New Roman" w:hAnsi="Times New Roman"/>
        </w:rPr>
        <w:t>Prepared by the Australian Securities and Investments Commission</w:t>
      </w:r>
    </w:p>
    <w:p w:rsidR="00BA6BED" w:rsidRPr="001A09D9" w:rsidRDefault="00BA6BED" w:rsidP="00BA6BED">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i/>
          <w:iCs/>
        </w:rPr>
      </w:pPr>
      <w:r w:rsidRPr="001A09D9">
        <w:rPr>
          <w:rFonts w:ascii="Times New Roman" w:hAnsi="Times New Roman"/>
          <w:i/>
          <w:iCs/>
        </w:rPr>
        <w:t>Corporations Act 2001</w:t>
      </w:r>
    </w:p>
    <w:p w:rsidR="00BA6BED" w:rsidRPr="001A09D9" w:rsidRDefault="00BA6BED"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1A09D9">
        <w:rPr>
          <w:rFonts w:ascii="Times New Roman" w:hAnsi="Times New Roman"/>
        </w:rPr>
        <w:t>The Australian Securities and Investments Commission (</w:t>
      </w:r>
      <w:r w:rsidRPr="001A09D9">
        <w:rPr>
          <w:rFonts w:ascii="Times New Roman" w:hAnsi="Times New Roman"/>
          <w:b/>
          <w:i/>
        </w:rPr>
        <w:t>ASIC</w:t>
      </w:r>
      <w:r w:rsidRPr="001A09D9">
        <w:rPr>
          <w:rFonts w:ascii="Times New Roman" w:hAnsi="Times New Roman"/>
        </w:rPr>
        <w:t>) makes ASIC Class Order [CO</w:t>
      </w:r>
      <w:r w:rsidRPr="001A09D9" w:rsidDel="006D625E">
        <w:rPr>
          <w:rFonts w:ascii="Times New Roman" w:hAnsi="Times New Roman"/>
          <w:color w:val="0000FF"/>
        </w:rPr>
        <w:t xml:space="preserve"> </w:t>
      </w:r>
      <w:r w:rsidRPr="001A09D9">
        <w:rPr>
          <w:rFonts w:ascii="Times New Roman" w:hAnsi="Times New Roman"/>
        </w:rPr>
        <w:t>12/</w:t>
      </w:r>
      <w:r>
        <w:rPr>
          <w:rFonts w:ascii="Times New Roman" w:hAnsi="Times New Roman"/>
        </w:rPr>
        <w:t>416</w:t>
      </w:r>
      <w:r w:rsidRPr="001A09D9">
        <w:rPr>
          <w:rFonts w:ascii="Times New Roman" w:hAnsi="Times New Roman"/>
        </w:rPr>
        <w:t xml:space="preserve">] under </w:t>
      </w:r>
      <w:r>
        <w:rPr>
          <w:rFonts w:ascii="Times New Roman" w:hAnsi="Times New Roman"/>
        </w:rPr>
        <w:t xml:space="preserve">paragraph </w:t>
      </w:r>
      <w:r w:rsidR="008D359D">
        <w:rPr>
          <w:rFonts w:ascii="Times New Roman" w:hAnsi="Times New Roman"/>
        </w:rPr>
        <w:t>1020F(1)(c)</w:t>
      </w:r>
      <w:r>
        <w:rPr>
          <w:rFonts w:ascii="Times New Roman" w:hAnsi="Times New Roman"/>
        </w:rPr>
        <w:t xml:space="preserve"> </w:t>
      </w:r>
      <w:r w:rsidRPr="001A09D9">
        <w:rPr>
          <w:rFonts w:ascii="Times New Roman" w:hAnsi="Times New Roman"/>
        </w:rPr>
        <w:t xml:space="preserve">of the </w:t>
      </w:r>
      <w:r w:rsidRPr="001A09D9">
        <w:rPr>
          <w:rFonts w:ascii="Times New Roman" w:hAnsi="Times New Roman"/>
          <w:i/>
          <w:iCs/>
        </w:rPr>
        <w:t>Corporations Act 2001</w:t>
      </w:r>
      <w:r w:rsidRPr="001A09D9">
        <w:rPr>
          <w:rFonts w:ascii="Times New Roman" w:hAnsi="Times New Roman"/>
        </w:rPr>
        <w:t xml:space="preserve"> (the</w:t>
      </w:r>
      <w:r>
        <w:rPr>
          <w:rFonts w:ascii="Times New Roman" w:hAnsi="Times New Roman"/>
        </w:rPr>
        <w:t> </w:t>
      </w:r>
      <w:r w:rsidRPr="001A09D9">
        <w:rPr>
          <w:rFonts w:ascii="Times New Roman" w:hAnsi="Times New Roman"/>
          <w:b/>
          <w:i/>
        </w:rPr>
        <w:t>Act</w:t>
      </w:r>
      <w:r w:rsidRPr="001A09D9">
        <w:rPr>
          <w:rFonts w:ascii="Times New Roman" w:hAnsi="Times New Roman"/>
        </w:rPr>
        <w:t xml:space="preserve">). </w:t>
      </w:r>
    </w:p>
    <w:p w:rsidR="00BA6BED" w:rsidRPr="001A09D9" w:rsidRDefault="00BA6BED"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lang w:val="en-US"/>
        </w:rPr>
      </w:pPr>
      <w:r>
        <w:rPr>
          <w:rFonts w:ascii="Times New Roman" w:hAnsi="Times New Roman"/>
        </w:rPr>
        <w:t xml:space="preserve">Paragraph </w:t>
      </w:r>
      <w:r w:rsidR="008D359D">
        <w:rPr>
          <w:rFonts w:ascii="Times New Roman" w:hAnsi="Times New Roman"/>
        </w:rPr>
        <w:t>1020F(1)(c)</w:t>
      </w:r>
      <w:r>
        <w:rPr>
          <w:rFonts w:ascii="Times New Roman" w:hAnsi="Times New Roman"/>
        </w:rPr>
        <w:t xml:space="preserve"> </w:t>
      </w:r>
      <w:r w:rsidRPr="001A09D9">
        <w:rPr>
          <w:rFonts w:ascii="Times New Roman" w:hAnsi="Times New Roman"/>
        </w:rPr>
        <w:t xml:space="preserve">provides that ASIC may </w:t>
      </w:r>
      <w:r w:rsidRPr="001A09D9">
        <w:rPr>
          <w:rFonts w:ascii="Times New Roman" w:hAnsi="Times New Roman"/>
          <w:lang w:val="en-US"/>
        </w:rPr>
        <w:t xml:space="preserve">declare that </w:t>
      </w:r>
      <w:r>
        <w:rPr>
          <w:rFonts w:ascii="Times New Roman" w:hAnsi="Times New Roman"/>
          <w:lang w:val="en-US"/>
        </w:rPr>
        <w:t>Part 7.</w:t>
      </w:r>
      <w:r w:rsidR="008D359D">
        <w:rPr>
          <w:rFonts w:ascii="Times New Roman" w:hAnsi="Times New Roman"/>
          <w:lang w:val="en-US"/>
        </w:rPr>
        <w:t>9</w:t>
      </w:r>
      <w:r>
        <w:rPr>
          <w:rFonts w:ascii="Times New Roman" w:hAnsi="Times New Roman"/>
          <w:lang w:val="en-US"/>
        </w:rPr>
        <w:t xml:space="preserve"> </w:t>
      </w:r>
      <w:r w:rsidRPr="001A09D9">
        <w:rPr>
          <w:rFonts w:ascii="Times New Roman" w:hAnsi="Times New Roman"/>
          <w:lang w:val="en-US"/>
        </w:rPr>
        <w:t>of the Act applies</w:t>
      </w:r>
      <w:r>
        <w:rPr>
          <w:rFonts w:ascii="Times New Roman" w:hAnsi="Times New Roman"/>
          <w:lang w:val="en-US"/>
        </w:rPr>
        <w:t xml:space="preserve"> in relation to a person or </w:t>
      </w:r>
      <w:r w:rsidRPr="001A09D9">
        <w:rPr>
          <w:rFonts w:ascii="Times New Roman" w:hAnsi="Times New Roman"/>
          <w:lang w:val="en-US"/>
        </w:rPr>
        <w:t>class of persons as if specified provisions were omitted, modified or varied as specified in the declaration.</w:t>
      </w:r>
    </w:p>
    <w:p w:rsidR="00BA6BED" w:rsidRPr="001A09D9" w:rsidRDefault="00BA6BED" w:rsidP="00BA6BED">
      <w:pPr>
        <w:keepNext/>
        <w:spacing w:before="360" w:after="60"/>
        <w:outlineLvl w:val="0"/>
        <w:rPr>
          <w:rFonts w:ascii="Arial" w:hAnsi="Arial" w:cs="Arial"/>
          <w:b/>
          <w:bCs/>
          <w:kern w:val="32"/>
          <w:szCs w:val="32"/>
        </w:rPr>
      </w:pPr>
      <w:bookmarkStart w:id="0" w:name="_Toc158699036"/>
      <w:r w:rsidRPr="001A09D9">
        <w:rPr>
          <w:rFonts w:ascii="Arial" w:hAnsi="Arial" w:cs="Arial"/>
          <w:b/>
          <w:bCs/>
          <w:kern w:val="32"/>
          <w:szCs w:val="32"/>
        </w:rPr>
        <w:t>1.</w:t>
      </w:r>
      <w:r w:rsidRPr="001A09D9">
        <w:rPr>
          <w:rFonts w:ascii="Arial" w:hAnsi="Arial" w:cs="Arial"/>
          <w:b/>
          <w:bCs/>
          <w:kern w:val="32"/>
          <w:szCs w:val="32"/>
        </w:rPr>
        <w:tab/>
        <w:t>Background</w:t>
      </w:r>
      <w:bookmarkEnd w:id="0"/>
    </w:p>
    <w:p w:rsidR="008C1976" w:rsidRDefault="008C1976" w:rsidP="008C197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 xml:space="preserve">Section 1015D of the Act requires that a person must lodge an “in-use” notice with ASIC in certain circumstances, including where a Product Disclosure Statement (PDS) for a financial product is first made available. The in-use notice provisions </w:t>
      </w:r>
      <w:r>
        <w:rPr>
          <w:rFonts w:ascii="Times New Roman" w:hAnsi="Times New Roman"/>
          <w:iCs/>
        </w:rPr>
        <w:t xml:space="preserve">only </w:t>
      </w:r>
      <w:r w:rsidRPr="008C1976">
        <w:rPr>
          <w:rFonts w:ascii="Times New Roman" w:hAnsi="Times New Roman"/>
          <w:iCs/>
        </w:rPr>
        <w:t>apply where the PDS for the product is not required to be lodged with ASIC. The in-use notice provisions apply to standard employer-sponsored superannuation products.</w:t>
      </w:r>
    </w:p>
    <w:p w:rsidR="00BA6BED" w:rsidRDefault="00BA6BED"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ASIC Class Order [CO 04/10</w:t>
      </w:r>
      <w:r w:rsidR="008C1976">
        <w:rPr>
          <w:rFonts w:ascii="Times New Roman" w:hAnsi="Times New Roman"/>
          <w:iCs/>
        </w:rPr>
        <w:t>30</w:t>
      </w:r>
      <w:r>
        <w:rPr>
          <w:rFonts w:ascii="Times New Roman" w:hAnsi="Times New Roman"/>
          <w:iCs/>
        </w:rPr>
        <w:t xml:space="preserve">] (the </w:t>
      </w:r>
      <w:r w:rsidRPr="00310E85">
        <w:rPr>
          <w:rFonts w:ascii="Times New Roman" w:hAnsi="Times New Roman"/>
          <w:b/>
          <w:i/>
          <w:iCs/>
        </w:rPr>
        <w:t>original class order</w:t>
      </w:r>
      <w:r>
        <w:rPr>
          <w:rFonts w:ascii="Times New Roman" w:hAnsi="Times New Roman"/>
          <w:iCs/>
        </w:rPr>
        <w:t xml:space="preserve">), which took effect on </w:t>
      </w:r>
      <w:r w:rsidR="008C1976">
        <w:rPr>
          <w:rFonts w:ascii="Times New Roman" w:hAnsi="Times New Roman"/>
          <w:iCs/>
        </w:rPr>
        <w:t>14 October 2004</w:t>
      </w:r>
      <w:r>
        <w:rPr>
          <w:rFonts w:ascii="Times New Roman" w:hAnsi="Times New Roman"/>
          <w:iCs/>
        </w:rPr>
        <w:t xml:space="preserve">,  provided relief </w:t>
      </w:r>
      <w:r w:rsidR="008C1976">
        <w:rPr>
          <w:rFonts w:ascii="Times New Roman" w:hAnsi="Times New Roman"/>
          <w:iCs/>
        </w:rPr>
        <w:t xml:space="preserve">so as to </w:t>
      </w:r>
      <w:r w:rsidR="008C1976" w:rsidRPr="008C1976">
        <w:rPr>
          <w:rFonts w:ascii="Times New Roman" w:hAnsi="Times New Roman"/>
          <w:iCs/>
        </w:rPr>
        <w:t>permit the lodgment of a single in-use notice in relation to the common part used by each PDS or Supplementary PDS for standard employer-sponsored superannuation products</w:t>
      </w:r>
      <w:r>
        <w:rPr>
          <w:rFonts w:ascii="Times New Roman" w:hAnsi="Times New Roman"/>
          <w:iCs/>
        </w:rPr>
        <w:t xml:space="preserve">. </w:t>
      </w:r>
    </w:p>
    <w:p w:rsidR="00BA6BED" w:rsidRDefault="00BA6BED"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The original class order was inadvertently not registered on the Federal Register of Legislative Instruments (</w:t>
      </w:r>
      <w:r w:rsidRPr="006B4111">
        <w:rPr>
          <w:rFonts w:ascii="Times New Roman" w:hAnsi="Times New Roman"/>
          <w:b/>
          <w:i/>
          <w:iCs/>
        </w:rPr>
        <w:t>FRLI</w:t>
      </w:r>
      <w:r>
        <w:rPr>
          <w:rFonts w:ascii="Times New Roman" w:hAnsi="Times New Roman"/>
          <w:iCs/>
        </w:rPr>
        <w:t xml:space="preserve">) within the meaning of section 4 of the </w:t>
      </w:r>
      <w:r w:rsidRPr="00310E85">
        <w:rPr>
          <w:rFonts w:ascii="Times New Roman" w:hAnsi="Times New Roman"/>
          <w:i/>
          <w:iCs/>
        </w:rPr>
        <w:t>Legislative Instruments Act 2003</w:t>
      </w:r>
      <w:r>
        <w:rPr>
          <w:rFonts w:ascii="Times New Roman" w:hAnsi="Times New Roman"/>
          <w:iCs/>
        </w:rPr>
        <w:t xml:space="preserve"> (the </w:t>
      </w:r>
      <w:r w:rsidRPr="00310E85">
        <w:rPr>
          <w:rFonts w:ascii="Times New Roman" w:hAnsi="Times New Roman"/>
          <w:b/>
          <w:i/>
          <w:iCs/>
        </w:rPr>
        <w:t>LI Act</w:t>
      </w:r>
      <w:r>
        <w:rPr>
          <w:rFonts w:ascii="Times New Roman" w:hAnsi="Times New Roman"/>
          <w:iCs/>
        </w:rPr>
        <w:t xml:space="preserve">) by the last </w:t>
      </w:r>
      <w:r w:rsidRPr="00C22C60">
        <w:rPr>
          <w:rFonts w:ascii="Times New Roman" w:hAnsi="Times New Roman"/>
          <w:iCs/>
        </w:rPr>
        <w:t>day for lodging the instrument as originally made for registration under Division 3 of Part 4 of the</w:t>
      </w:r>
      <w:r>
        <w:rPr>
          <w:rFonts w:ascii="Times New Roman" w:hAnsi="Times New Roman"/>
          <w:iCs/>
        </w:rPr>
        <w:t xml:space="preserve"> LI Act. As a consequence, the original class order ceased to be enforceable by or against the Commonwealth, or by or against any other person or body, from 1 October 2006. </w:t>
      </w:r>
    </w:p>
    <w:p w:rsidR="008C1976" w:rsidRPr="008C1976" w:rsidRDefault="008C1976" w:rsidP="008C197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 xml:space="preserve">To overcome this problem, ASIC has made two class orders: </w:t>
      </w:r>
    </w:p>
    <w:p w:rsidR="008C1976" w:rsidRPr="008C1976" w:rsidRDefault="008C1976" w:rsidP="008C1976">
      <w:pPr>
        <w:numPr>
          <w:ilvl w:val="0"/>
          <w:numId w:val="1"/>
        </w:numPr>
        <w:tabs>
          <w:tab w:val="left" w:pos="567"/>
          <w:tab w:val="left" w:pos="680"/>
        </w:tabs>
        <w:overflowPunct w:val="0"/>
        <w:autoSpaceDE w:val="0"/>
        <w:autoSpaceDN w:val="0"/>
        <w:adjustRightInd w:val="0"/>
        <w:spacing w:before="200" w:line="300" w:lineRule="atLeast"/>
        <w:textAlignment w:val="baseline"/>
        <w:rPr>
          <w:rFonts w:ascii="Times New Roman" w:hAnsi="Times New Roman"/>
          <w:iCs/>
          <w:u w:val="single"/>
        </w:rPr>
      </w:pPr>
      <w:r w:rsidRPr="008C1976">
        <w:rPr>
          <w:rFonts w:ascii="Times New Roman" w:hAnsi="Times New Roman"/>
          <w:iCs/>
        </w:rPr>
        <w:t>ASIC Class Order [CO 12/41</w:t>
      </w:r>
      <w:r>
        <w:rPr>
          <w:rFonts w:ascii="Times New Roman" w:hAnsi="Times New Roman"/>
          <w:iCs/>
        </w:rPr>
        <w:t>5</w:t>
      </w:r>
      <w:r w:rsidRPr="008C1976">
        <w:rPr>
          <w:rFonts w:ascii="Times New Roman" w:hAnsi="Times New Roman"/>
          <w:iCs/>
        </w:rPr>
        <w:t xml:space="preserve">] (the </w:t>
      </w:r>
      <w:r w:rsidRPr="008C1976">
        <w:rPr>
          <w:rFonts w:ascii="Times New Roman" w:hAnsi="Times New Roman"/>
          <w:b/>
          <w:i/>
          <w:iCs/>
        </w:rPr>
        <w:t>prospective class order</w:t>
      </w:r>
      <w:r w:rsidRPr="008C1976">
        <w:rPr>
          <w:rFonts w:ascii="Times New Roman" w:hAnsi="Times New Roman"/>
          <w:iCs/>
        </w:rPr>
        <w:t>); and</w:t>
      </w:r>
    </w:p>
    <w:p w:rsidR="008C1976" w:rsidRPr="008C1976" w:rsidRDefault="008C1976" w:rsidP="008C1976">
      <w:pPr>
        <w:numPr>
          <w:ilvl w:val="0"/>
          <w:numId w:val="1"/>
        </w:numPr>
        <w:tabs>
          <w:tab w:val="left" w:pos="567"/>
          <w:tab w:val="left" w:pos="680"/>
        </w:tabs>
        <w:overflowPunct w:val="0"/>
        <w:autoSpaceDE w:val="0"/>
        <w:autoSpaceDN w:val="0"/>
        <w:adjustRightInd w:val="0"/>
        <w:spacing w:before="200" w:line="300" w:lineRule="atLeast"/>
        <w:textAlignment w:val="baseline"/>
        <w:rPr>
          <w:rFonts w:ascii="Times New Roman" w:hAnsi="Times New Roman"/>
          <w:iCs/>
          <w:u w:val="single"/>
        </w:rPr>
      </w:pPr>
      <w:r w:rsidRPr="008C1976">
        <w:rPr>
          <w:rFonts w:ascii="Times New Roman" w:hAnsi="Times New Roman"/>
          <w:iCs/>
        </w:rPr>
        <w:t>ASIC Class Order [CO 12/41</w:t>
      </w:r>
      <w:r>
        <w:rPr>
          <w:rFonts w:ascii="Times New Roman" w:hAnsi="Times New Roman"/>
          <w:iCs/>
        </w:rPr>
        <w:t>6</w:t>
      </w:r>
      <w:r w:rsidRPr="008C1976">
        <w:rPr>
          <w:rFonts w:ascii="Times New Roman" w:hAnsi="Times New Roman"/>
          <w:iCs/>
        </w:rPr>
        <w:t xml:space="preserve">] (the </w:t>
      </w:r>
      <w:r w:rsidRPr="008C1976">
        <w:rPr>
          <w:rFonts w:ascii="Times New Roman" w:hAnsi="Times New Roman"/>
          <w:b/>
          <w:i/>
          <w:iCs/>
        </w:rPr>
        <w:t>retrospective class order</w:t>
      </w:r>
      <w:r w:rsidRPr="008C1976">
        <w:rPr>
          <w:rFonts w:ascii="Times New Roman" w:hAnsi="Times New Roman"/>
          <w:iCs/>
        </w:rPr>
        <w:t>).</w:t>
      </w:r>
      <w:r w:rsidRPr="008C1976">
        <w:rPr>
          <w:rFonts w:ascii="Times New Roman" w:hAnsi="Times New Roman"/>
          <w:iCs/>
        </w:rPr>
        <w:br/>
      </w:r>
    </w:p>
    <w:p w:rsidR="008C1976" w:rsidRDefault="008C1976"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p>
    <w:p w:rsidR="008C1976" w:rsidRDefault="008C1976"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p>
    <w:p w:rsidR="00BA6BED" w:rsidRPr="001A09D9" w:rsidRDefault="00BA6BED" w:rsidP="00BA6BED">
      <w:pPr>
        <w:tabs>
          <w:tab w:val="left" w:pos="567"/>
          <w:tab w:val="left" w:pos="680"/>
        </w:tabs>
        <w:overflowPunct w:val="0"/>
        <w:autoSpaceDE w:val="0"/>
        <w:autoSpaceDN w:val="0"/>
        <w:adjustRightInd w:val="0"/>
        <w:spacing w:before="200" w:line="300" w:lineRule="atLeast"/>
        <w:textAlignment w:val="baseline"/>
        <w:rPr>
          <w:rFonts w:ascii="Arial" w:hAnsi="Arial" w:cs="Arial"/>
          <w:b/>
          <w:bCs/>
          <w:kern w:val="32"/>
          <w:szCs w:val="32"/>
        </w:rPr>
      </w:pPr>
      <w:bookmarkStart w:id="1" w:name="_Toc158699037"/>
      <w:r w:rsidRPr="001A09D9">
        <w:rPr>
          <w:rFonts w:ascii="Arial" w:hAnsi="Arial" w:cs="Arial"/>
          <w:b/>
          <w:bCs/>
          <w:kern w:val="32"/>
          <w:szCs w:val="32"/>
        </w:rPr>
        <w:lastRenderedPageBreak/>
        <w:t>2.</w:t>
      </w:r>
      <w:r w:rsidRPr="001A09D9">
        <w:rPr>
          <w:rFonts w:ascii="Arial" w:hAnsi="Arial" w:cs="Arial"/>
          <w:b/>
          <w:bCs/>
          <w:kern w:val="32"/>
          <w:szCs w:val="32"/>
        </w:rPr>
        <w:tab/>
        <w:t>Purpose of the class order</w:t>
      </w:r>
      <w:bookmarkEnd w:id="1"/>
      <w:r w:rsidRPr="001A09D9">
        <w:rPr>
          <w:rFonts w:ascii="Arial" w:hAnsi="Arial" w:cs="Arial"/>
          <w:b/>
          <w:bCs/>
          <w:kern w:val="32"/>
          <w:szCs w:val="32"/>
        </w:rPr>
        <w:t xml:space="preserve"> </w:t>
      </w:r>
    </w:p>
    <w:p w:rsidR="00FF4525" w:rsidRDefault="008C1976" w:rsidP="008C197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 xml:space="preserve">The purpose of this class order is to </w:t>
      </w:r>
      <w:r w:rsidRPr="008C1976">
        <w:rPr>
          <w:rFonts w:ascii="Times New Roman" w:hAnsi="Times New Roman"/>
          <w:i/>
          <w:iCs/>
        </w:rPr>
        <w:t>retrospectively</w:t>
      </w:r>
      <w:r w:rsidRPr="008C1976">
        <w:rPr>
          <w:rFonts w:ascii="Times New Roman" w:hAnsi="Times New Roman"/>
          <w:iCs/>
        </w:rPr>
        <w:t xml:space="preserve"> reinstate the effect of the original class order from the date it became unenforceable (1 October 2006) until the commencement of the prospective class order. </w:t>
      </w:r>
    </w:p>
    <w:p w:rsidR="008C1976" w:rsidRPr="008C1976" w:rsidRDefault="008C1976" w:rsidP="008C197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The purpose of the original class order and the prospective class order are more fully set out in the Explanatory Statement for the prospective class order.</w:t>
      </w:r>
      <w:r w:rsidRPr="008C1976">
        <w:rPr>
          <w:rFonts w:ascii="Times New Roman" w:hAnsi="Times New Roman"/>
          <w:iCs/>
        </w:rPr>
        <w:br/>
      </w:r>
    </w:p>
    <w:p w:rsidR="00BA6BED" w:rsidRPr="001A09D9" w:rsidRDefault="00BA6BED" w:rsidP="00BA6BED">
      <w:pPr>
        <w:tabs>
          <w:tab w:val="left" w:pos="567"/>
          <w:tab w:val="left" w:pos="680"/>
        </w:tabs>
        <w:overflowPunct w:val="0"/>
        <w:autoSpaceDE w:val="0"/>
        <w:autoSpaceDN w:val="0"/>
        <w:adjustRightInd w:val="0"/>
        <w:spacing w:before="200" w:line="300" w:lineRule="atLeast"/>
        <w:textAlignment w:val="baseline"/>
        <w:rPr>
          <w:rFonts w:ascii="Arial" w:hAnsi="Arial" w:cs="Arial"/>
          <w:b/>
          <w:bCs/>
          <w:kern w:val="32"/>
          <w:szCs w:val="32"/>
        </w:rPr>
      </w:pPr>
      <w:bookmarkStart w:id="2" w:name="_Toc158699040"/>
      <w:r w:rsidRPr="001A09D9">
        <w:rPr>
          <w:rFonts w:ascii="Arial" w:hAnsi="Arial" w:cs="Arial"/>
          <w:b/>
          <w:bCs/>
          <w:kern w:val="32"/>
          <w:szCs w:val="32"/>
        </w:rPr>
        <w:t>3.</w:t>
      </w:r>
      <w:r w:rsidRPr="001A09D9">
        <w:rPr>
          <w:rFonts w:ascii="Arial" w:hAnsi="Arial" w:cs="Arial"/>
          <w:b/>
          <w:bCs/>
          <w:kern w:val="32"/>
          <w:szCs w:val="32"/>
        </w:rPr>
        <w:tab/>
        <w:t>Operation of the class order</w:t>
      </w:r>
      <w:bookmarkEnd w:id="2"/>
      <w:r w:rsidRPr="001A09D9">
        <w:rPr>
          <w:rFonts w:ascii="Arial" w:hAnsi="Arial" w:cs="Arial"/>
          <w:b/>
          <w:bCs/>
          <w:kern w:val="32"/>
          <w:szCs w:val="32"/>
        </w:rPr>
        <w:t xml:space="preserve"> </w:t>
      </w:r>
    </w:p>
    <w:p w:rsidR="008C1976" w:rsidRDefault="008C1976" w:rsidP="008C197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 xml:space="preserve">This class order </w:t>
      </w:r>
      <w:r w:rsidRPr="008C1976">
        <w:rPr>
          <w:rFonts w:ascii="Times New Roman" w:hAnsi="Times New Roman"/>
          <w:i/>
          <w:iCs/>
        </w:rPr>
        <w:t>retrospectively</w:t>
      </w:r>
      <w:r w:rsidRPr="008C1976">
        <w:rPr>
          <w:rFonts w:ascii="Times New Roman" w:hAnsi="Times New Roman"/>
          <w:iCs/>
        </w:rPr>
        <w:t xml:space="preserve"> reinstates the effect of the original class order from the date it became unenforceable (1 October 2006) until the commencement of the prospective class order. </w:t>
      </w:r>
    </w:p>
    <w:p w:rsidR="008C1976" w:rsidRDefault="008C1976"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C1976">
        <w:rPr>
          <w:rFonts w:ascii="Times New Roman" w:hAnsi="Times New Roman"/>
          <w:iCs/>
        </w:rPr>
        <w:t>The operation of the original class order and the prospective class order are more fully set out in the Explanatory Statement for the prospective class order.</w:t>
      </w:r>
    </w:p>
    <w:p w:rsidR="00BA6BED" w:rsidRDefault="00BA6BED" w:rsidP="00BA6BED">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6B4111">
        <w:rPr>
          <w:rFonts w:ascii="Times New Roman" w:hAnsi="Times New Roman"/>
          <w:iCs/>
        </w:rPr>
        <w:t>The retrospective operation of this class order from 1 October 2006 does not disadvantageously affect the rights of any person or impose liabilities on a person in respect of anything done or omitted to be done before the date this class order is registered on the FRLI: subsection 12(2) of the LI Act.</w:t>
      </w:r>
    </w:p>
    <w:p w:rsidR="00BA6BED" w:rsidRPr="00C22C60" w:rsidRDefault="00BA6BED" w:rsidP="00BA6BED">
      <w:pPr>
        <w:tabs>
          <w:tab w:val="left" w:pos="567"/>
          <w:tab w:val="left" w:pos="680"/>
        </w:tabs>
        <w:overflowPunct w:val="0"/>
        <w:autoSpaceDE w:val="0"/>
        <w:autoSpaceDN w:val="0"/>
        <w:adjustRightInd w:val="0"/>
        <w:spacing w:before="200" w:line="300" w:lineRule="atLeast"/>
        <w:textAlignment w:val="baseline"/>
        <w:rPr>
          <w:rFonts w:ascii="Arial" w:hAnsi="Arial" w:cs="Arial"/>
          <w:b/>
          <w:bCs/>
        </w:rPr>
      </w:pPr>
      <w:r w:rsidRPr="00C22C60">
        <w:rPr>
          <w:rFonts w:ascii="Arial" w:hAnsi="Arial" w:cs="Arial"/>
          <w:b/>
          <w:bCs/>
        </w:rPr>
        <w:t>4.</w:t>
      </w:r>
      <w:r w:rsidRPr="00C22C60">
        <w:rPr>
          <w:rFonts w:ascii="Arial" w:hAnsi="Arial" w:cs="Arial"/>
          <w:b/>
          <w:bCs/>
        </w:rPr>
        <w:tab/>
        <w:t xml:space="preserve">Statement of Compatibility with Human Rights </w:t>
      </w:r>
    </w:p>
    <w:p w:rsidR="00BA6BED" w:rsidRPr="00C52BF6" w:rsidRDefault="00BA6BED" w:rsidP="00BA6BED">
      <w:pPr>
        <w:overflowPunct w:val="0"/>
        <w:autoSpaceDE w:val="0"/>
        <w:autoSpaceDN w:val="0"/>
        <w:adjustRightInd w:val="0"/>
        <w:spacing w:before="200" w:line="300" w:lineRule="atLeast"/>
        <w:textAlignment w:val="baseline"/>
        <w:rPr>
          <w:rFonts w:ascii="Times New Roman" w:hAnsi="Times New Roman"/>
          <w:bCs/>
        </w:rPr>
      </w:pPr>
      <w:r w:rsidRPr="00C52BF6">
        <w:rPr>
          <w:rFonts w:ascii="Times New Roman" w:hAnsi="Times New Roman"/>
          <w:bCs/>
        </w:rPr>
        <w:t xml:space="preserve">This statement is prepared in accordance with Part 3 of the </w:t>
      </w:r>
      <w:r w:rsidRPr="00C52BF6">
        <w:rPr>
          <w:rFonts w:ascii="Times New Roman" w:hAnsi="Times New Roman"/>
          <w:bCs/>
          <w:i/>
        </w:rPr>
        <w:t>Human Rights (Parliamentary Scrutiny) Act 2011</w:t>
      </w:r>
      <w:r w:rsidRPr="00C52BF6">
        <w:rPr>
          <w:rFonts w:ascii="Times New Roman" w:hAnsi="Times New Roman"/>
          <w:bCs/>
        </w:rPr>
        <w:t>.</w:t>
      </w:r>
      <w:r>
        <w:rPr>
          <w:rFonts w:ascii="Times New Roman" w:hAnsi="Times New Roman"/>
          <w:bCs/>
        </w:rPr>
        <w:t xml:space="preserve"> </w:t>
      </w:r>
      <w:r w:rsidRPr="00C52BF6">
        <w:rPr>
          <w:rFonts w:ascii="Times New Roman" w:hAnsi="Times New Roman"/>
          <w:bCs/>
        </w:rPr>
        <w:t xml:space="preserve">This </w:t>
      </w:r>
      <w:r>
        <w:rPr>
          <w:rFonts w:ascii="Times New Roman" w:hAnsi="Times New Roman"/>
          <w:bCs/>
        </w:rPr>
        <w:t>l</w:t>
      </w:r>
      <w:r w:rsidRPr="00C52BF6">
        <w:rPr>
          <w:rFonts w:ascii="Times New Roman" w:hAnsi="Times New Roman"/>
          <w:bCs/>
        </w:rPr>
        <w:t xml:space="preserve">egislative </w:t>
      </w:r>
      <w:r>
        <w:rPr>
          <w:rFonts w:ascii="Times New Roman" w:hAnsi="Times New Roman"/>
          <w:bCs/>
        </w:rPr>
        <w:t>i</w:t>
      </w:r>
      <w:r w:rsidRPr="00C52BF6">
        <w:rPr>
          <w:rFonts w:ascii="Times New Roman" w:hAnsi="Times New Roman"/>
          <w:bCs/>
        </w:rPr>
        <w:t xml:space="preserve">nstrument is compatible with the human rights and freedoms recognised or declared in the international instruments listed in section 3 of the </w:t>
      </w:r>
      <w:r w:rsidRPr="00C52BF6">
        <w:rPr>
          <w:rFonts w:ascii="Times New Roman" w:hAnsi="Times New Roman"/>
          <w:bCs/>
          <w:i/>
        </w:rPr>
        <w:t xml:space="preserve">Human Rights (Parliamentary Scrutiny) Act 2011 </w:t>
      </w:r>
      <w:r w:rsidRPr="00C52BF6">
        <w:rPr>
          <w:rFonts w:ascii="Times New Roman" w:hAnsi="Times New Roman"/>
          <w:bCs/>
        </w:rPr>
        <w:t>because it does not engage any of the applicable rights or freedoms.</w:t>
      </w:r>
    </w:p>
    <w:p w:rsidR="00BA6BED" w:rsidRPr="001A09D9" w:rsidRDefault="00BA6BED" w:rsidP="00BA6BED">
      <w:pPr>
        <w:keepNext/>
        <w:spacing w:before="360" w:after="60"/>
        <w:outlineLvl w:val="0"/>
        <w:rPr>
          <w:rFonts w:ascii="Arial" w:hAnsi="Arial" w:cs="Arial"/>
          <w:b/>
          <w:bCs/>
          <w:kern w:val="32"/>
          <w:szCs w:val="32"/>
        </w:rPr>
      </w:pPr>
      <w:bookmarkStart w:id="3" w:name="_Toc158699042"/>
      <w:r>
        <w:rPr>
          <w:rFonts w:ascii="Arial" w:hAnsi="Arial" w:cs="Arial"/>
          <w:b/>
          <w:bCs/>
          <w:kern w:val="32"/>
          <w:szCs w:val="32"/>
        </w:rPr>
        <w:t>5</w:t>
      </w:r>
      <w:r w:rsidRPr="001A09D9">
        <w:rPr>
          <w:rFonts w:ascii="Arial" w:hAnsi="Arial" w:cs="Arial"/>
          <w:b/>
          <w:bCs/>
          <w:kern w:val="32"/>
          <w:szCs w:val="32"/>
        </w:rPr>
        <w:t>.</w:t>
      </w:r>
      <w:r w:rsidRPr="001A09D9">
        <w:rPr>
          <w:rFonts w:ascii="Arial" w:hAnsi="Arial" w:cs="Arial"/>
          <w:b/>
          <w:bCs/>
          <w:kern w:val="32"/>
          <w:szCs w:val="32"/>
        </w:rPr>
        <w:tab/>
        <w:t>Consultation</w:t>
      </w:r>
      <w:bookmarkEnd w:id="3"/>
    </w:p>
    <w:p w:rsidR="00BA6BED" w:rsidRPr="001A09D9" w:rsidRDefault="00BA6BED" w:rsidP="00BA6BED">
      <w:pPr>
        <w:rPr>
          <w:rFonts w:ascii="Times New Roman" w:hAnsi="Times New Roman"/>
          <w:sz w:val="20"/>
        </w:rPr>
      </w:pPr>
    </w:p>
    <w:p w:rsidR="00BA6BED" w:rsidRDefault="00BA6BED" w:rsidP="00BA6BED">
      <w:r>
        <w:rPr>
          <w:rFonts w:ascii="Times New Roman" w:hAnsi="Times New Roman"/>
          <w:szCs w:val="24"/>
          <w:lang w:val="en-US"/>
        </w:rPr>
        <w:t xml:space="preserve">As this class order retrospectively reinstates the effect of the original class order on which the financial services industry had been relying, ASIC considers the making of this class order to be of a minor and technical nature which does not require consultation. </w:t>
      </w:r>
    </w:p>
    <w:p w:rsidR="00BA6BED" w:rsidRDefault="00BA6BED">
      <w:pPr>
        <w:rPr>
          <w:lang w:val="en-US"/>
        </w:rPr>
      </w:pPr>
    </w:p>
    <w:p w:rsidR="00BA6BED" w:rsidRPr="00BA6BED" w:rsidRDefault="00BA6BED">
      <w:pPr>
        <w:rPr>
          <w:lang w:val="en-US"/>
        </w:rPr>
      </w:pPr>
    </w:p>
    <w:sectPr w:rsidR="00BA6BED" w:rsidRPr="00BA6BED" w:rsidSect="00384F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173D5"/>
    <w:multiLevelType w:val="hybridMultilevel"/>
    <w:tmpl w:val="281AC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noPunctuationKerning/>
  <w:characterSpacingControl w:val="doNotCompress"/>
  <w:compat/>
  <w:rsids>
    <w:rsidRoot w:val="00BA6BED"/>
    <w:rsid w:val="0004575C"/>
    <w:rsid w:val="00384F88"/>
    <w:rsid w:val="008C1976"/>
    <w:rsid w:val="008D359D"/>
    <w:rsid w:val="00BA6BED"/>
    <w:rsid w:val="00FF452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ED"/>
    <w:rPr>
      <w:rFonts w:ascii="Times" w:hAnsi="Times"/>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Grant Moodie</cp:lastModifiedBy>
  <cp:revision>3</cp:revision>
  <dcterms:created xsi:type="dcterms:W3CDTF">2012-04-03T00:33:00Z</dcterms:created>
  <dcterms:modified xsi:type="dcterms:W3CDTF">2012-04-03T04:29:00Z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A3507580</vt:lpwstr>
  </property>
  <property fmtid="{D5CDD505-2E9C-101B-9397-08002B2CF9AE}" pid="4" name="Objective-Title">
    <vt:lpwstr>Class Order 12-416 (Explanatory Statement)</vt:lpwstr>
  </property>
  <property fmtid="{D5CDD505-2E9C-101B-9397-08002B2CF9AE}" pid="5" name="Objective-Comment">
    <vt:lpwstr/>
  </property>
  <property fmtid="{D5CDD505-2E9C-101B-9397-08002B2CF9AE}" pid="6" name="Objective-CreationStamp">
    <vt:filetime>2012-04-03T00:34:52Z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2012-04-26T05:43:43Z</vt:filetime>
  </property>
  <property fmtid="{D5CDD505-2E9C-101B-9397-08002B2CF9AE}" pid="10" name="Objective-ModificationStamp">
    <vt:filetime>2012-04-26T05:43:43Z</vt:filetime>
  </property>
  <property fmtid="{D5CDD505-2E9C-101B-9397-08002B2CF9AE}" pid="11" name="Objective-Owner">
    <vt:lpwstr>Grant Moodie</vt:lpwstr>
  </property>
  <property fmtid="{D5CDD505-2E9C-101B-9397-08002B2CF9AE}" pid="12" name="Objective-Path">
    <vt:lpwstr>ASIC BCS:LEGAL SERVICES:Advice:Class Orders:Class Orders 2012:</vt:lpwstr>
  </property>
  <property fmtid="{D5CDD505-2E9C-101B-9397-08002B2CF9AE}" pid="13" name="Objective-Parent">
    <vt:lpwstr>Class Orders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2012 - 000142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