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7C8" w:rsidRPr="00BF17C8" w:rsidRDefault="00BF17C8" w:rsidP="00BF17C8">
      <w:pPr>
        <w:ind w:left="1440" w:firstLine="720"/>
        <w:rPr>
          <w:b/>
          <w:u w:val="single"/>
        </w:rPr>
      </w:pPr>
      <w:r w:rsidRPr="00BF17C8">
        <w:rPr>
          <w:b/>
          <w:u w:val="single"/>
        </w:rPr>
        <w:t>EXPLANATORY STATEMENT</w:t>
      </w:r>
    </w:p>
    <w:p w:rsidR="00BF17C8" w:rsidRDefault="00BF17C8" w:rsidP="00BF17C8"/>
    <w:p w:rsidR="00BF17C8" w:rsidRDefault="00BF17C8" w:rsidP="00BF17C8">
      <w:r>
        <w:t xml:space="preserve">Subject:           </w:t>
      </w:r>
      <w:r w:rsidRPr="00BF17C8">
        <w:rPr>
          <w:i/>
        </w:rPr>
        <w:t>Therapeutic Goods Act 1989</w:t>
      </w:r>
    </w:p>
    <w:p w:rsidR="00BF17C8" w:rsidRDefault="00BF17C8" w:rsidP="00BF17C8"/>
    <w:p w:rsidR="00BF17C8" w:rsidRPr="00BF17C8" w:rsidRDefault="00BF17C8" w:rsidP="00BF17C8">
      <w:pPr>
        <w:rPr>
          <w:i/>
        </w:rPr>
      </w:pPr>
      <w:r w:rsidRPr="00BF17C8">
        <w:rPr>
          <w:i/>
        </w:rPr>
        <w:t xml:space="preserve">Poisons Standard </w:t>
      </w:r>
      <w:r w:rsidRPr="00C11EF3">
        <w:rPr>
          <w:i/>
        </w:rPr>
        <w:t>201</w:t>
      </w:r>
      <w:r w:rsidR="00E7707E" w:rsidRPr="00C11EF3">
        <w:rPr>
          <w:i/>
        </w:rPr>
        <w:t>2</w:t>
      </w:r>
    </w:p>
    <w:p w:rsidR="00BF17C8" w:rsidRPr="005E6528" w:rsidRDefault="00BF17C8" w:rsidP="00BF17C8"/>
    <w:p w:rsidR="00BF17C8" w:rsidRPr="00F96DCD" w:rsidRDefault="00BF17C8" w:rsidP="00BF17C8">
      <w:r w:rsidRPr="00F96DCD">
        <w:t xml:space="preserve">The </w:t>
      </w:r>
      <w:r w:rsidRPr="00F96DCD">
        <w:rPr>
          <w:i/>
        </w:rPr>
        <w:t>Therapeutic Goods Act 1989</w:t>
      </w:r>
      <w:r w:rsidRPr="00F96DCD">
        <w:t xml:space="preserve"> (the TG Act) provides for the establishment and maintenance of a system of controls for the quality, safety, efficacy and timely </w:t>
      </w:r>
      <w:r w:rsidR="00985BE7">
        <w:t>a</w:t>
      </w:r>
      <w:r w:rsidRPr="00F96DCD">
        <w:t xml:space="preserve">vailability of therapeutic goods that are used in </w:t>
      </w:r>
      <w:smartTag w:uri="urn:schemas-microsoft-com:office:smarttags" w:element="country-region">
        <w:r w:rsidRPr="00F96DCD">
          <w:t>Australia</w:t>
        </w:r>
      </w:smartTag>
      <w:r w:rsidRPr="00F96DCD">
        <w:t xml:space="preserve"> or exported from </w:t>
      </w:r>
      <w:smartTag w:uri="urn:schemas-microsoft-com:office:smarttags" w:element="place">
        <w:smartTag w:uri="urn:schemas-microsoft-com:office:smarttags" w:element="country-region">
          <w:r w:rsidRPr="00F96DCD">
            <w:t>Australia</w:t>
          </w:r>
        </w:smartTag>
      </w:smartTag>
      <w:r w:rsidRPr="00F96DCD">
        <w:t xml:space="preserve">.  </w:t>
      </w:r>
      <w:r w:rsidR="007D192B" w:rsidRPr="00F96DCD">
        <w:t xml:space="preserve">The TG Act also provides for a framework for the States and Territories to adopt a uniform approach to control the availability and accessibility, and to ensure the safe handling, of poisons in </w:t>
      </w:r>
      <w:smartTag w:uri="urn:schemas-microsoft-com:office:smarttags" w:element="place">
        <w:smartTag w:uri="urn:schemas-microsoft-com:office:smarttags" w:element="country-region">
          <w:r w:rsidR="007D192B" w:rsidRPr="00F96DCD">
            <w:t>Australia</w:t>
          </w:r>
        </w:smartTag>
      </w:smartTag>
      <w:r w:rsidR="007D192B" w:rsidRPr="00F96DCD">
        <w:t>.</w:t>
      </w:r>
      <w:r w:rsidRPr="00F96DCD">
        <w:t xml:space="preserve">  The Therapeutic Goods Administration (the TGA) is responsible for administering the TG Act.</w:t>
      </w:r>
    </w:p>
    <w:p w:rsidR="00BF17C8" w:rsidRPr="00F96DCD" w:rsidRDefault="00BF17C8" w:rsidP="00BF17C8"/>
    <w:p w:rsidR="00BF17C8" w:rsidRPr="00F96DCD" w:rsidRDefault="00BF17C8" w:rsidP="00BF17C8">
      <w:r w:rsidRPr="00F96DCD">
        <w:t xml:space="preserve">Subsection </w:t>
      </w:r>
      <w:r w:rsidR="007F29DE" w:rsidRPr="00F96DCD">
        <w:t>52D (</w:t>
      </w:r>
      <w:r w:rsidRPr="00F96DCD">
        <w:t>2) of the TG Act</w:t>
      </w:r>
      <w:r w:rsidRPr="00F96DCD">
        <w:rPr>
          <w:lang w:val="en-AU"/>
        </w:rPr>
        <w:t xml:space="preserve"> authorises</w:t>
      </w:r>
      <w:r w:rsidRPr="00F96DCD">
        <w:t xml:space="preserve"> the Secretary to the Department of Health and Ageing, or a delegate of the Secretary, to amend the current Poisons Standard </w:t>
      </w:r>
      <w:r w:rsidR="00841313" w:rsidRPr="00F96DCD">
        <w:t xml:space="preserve">(known as the Standard for the Uniform Scheduling of Medicines and Poisons) </w:t>
      </w:r>
      <w:r w:rsidRPr="00F96DCD">
        <w:t>or</w:t>
      </w:r>
      <w:r w:rsidR="00985BE7">
        <w:t xml:space="preserve"> to</w:t>
      </w:r>
      <w:r w:rsidRPr="00F96DCD">
        <w:t xml:space="preserve"> prepare a document (a new Poisons Standard) that includes schedules containing the names or descriptions of substances, in substitution for the current Poisons Standard.</w:t>
      </w:r>
    </w:p>
    <w:p w:rsidR="00BF17C8" w:rsidRPr="00F96DCD" w:rsidRDefault="00BF17C8" w:rsidP="00BF17C8"/>
    <w:p w:rsidR="00FF452E" w:rsidRDefault="00BF17C8" w:rsidP="00BF17C8">
      <w:r w:rsidRPr="00F96DCD">
        <w:t xml:space="preserve">Part 6-3 of the TG Act provides the basis for a uniform system of access controls for goods containing scheduled substances.  The scheduling of substances allows </w:t>
      </w:r>
      <w:r w:rsidR="009D44D9" w:rsidRPr="00F96DCD">
        <w:t>r</w:t>
      </w:r>
      <w:r w:rsidRPr="00F96DCD">
        <w:t>estrictions to be placed on their supply to the public, in the interest</w:t>
      </w:r>
      <w:r w:rsidR="00AB53E4" w:rsidRPr="00F96DCD">
        <w:t>s</w:t>
      </w:r>
      <w:r w:rsidRPr="00F96DCD">
        <w:t xml:space="preserve"> of public health and safety.  The scheduling of substances is aimed at</w:t>
      </w:r>
      <w:r w:rsidRPr="00F96DCD">
        <w:rPr>
          <w:lang w:val="en-AU"/>
        </w:rPr>
        <w:t xml:space="preserve"> minimising</w:t>
      </w:r>
      <w:r w:rsidRPr="00F96DCD">
        <w:t xml:space="preserve"> the risks of poisoning from, and the misuse or abuse of, scheduled substances.  The TG Act establishes two expert advisory committees, the Advisory Committee on Medicines Scheduling (section 52B) and the Advisory Committee on Chemicals Scheduling (section 52C)</w:t>
      </w:r>
      <w:r w:rsidR="00985BE7">
        <w:t xml:space="preserve">, which </w:t>
      </w:r>
      <w:r w:rsidRPr="00F96DCD">
        <w:t xml:space="preserve">provide advice and make recommendations to the Secretary (or a delegate of the Secretary) on matters relating to medicines and chemicals scheduling decisions and </w:t>
      </w:r>
      <w:r w:rsidR="00985BE7">
        <w:t xml:space="preserve">on </w:t>
      </w:r>
      <w:r w:rsidRPr="00F96DCD">
        <w:t>any other matters refe</w:t>
      </w:r>
      <w:r w:rsidR="008F2F0C">
        <w:t>rred to them by the Secretary.</w:t>
      </w:r>
    </w:p>
    <w:p w:rsidR="00985BE7" w:rsidRPr="00F96DCD" w:rsidRDefault="00985BE7" w:rsidP="00BF17C8"/>
    <w:p w:rsidR="00BF17C8" w:rsidRDefault="00BF17C8" w:rsidP="00BF17C8">
      <w:r w:rsidRPr="00F96DCD">
        <w:t>The Poisons Standard consists of decisions of the Secretary or a delegate of the Secretary regarding the classification of poisons into nine different Schedules signifying the degree of control recommended to be exercised over their availability to the public.</w:t>
      </w:r>
    </w:p>
    <w:p w:rsidR="007F25CE" w:rsidRDefault="007F25CE" w:rsidP="00BF17C8"/>
    <w:p w:rsidR="007F25CE" w:rsidRDefault="007F25CE" w:rsidP="00BF17C8">
      <w:r w:rsidRPr="000573E7">
        <w:t>The purpose of this instrument is to prepare a new Poisons Standard (cited as Poisons Standard 201</w:t>
      </w:r>
      <w:r w:rsidR="00093EF5" w:rsidRPr="000573E7">
        <w:t>2</w:t>
      </w:r>
      <w:r w:rsidRPr="000573E7">
        <w:t>) in substitution for the previous Poisons Standard.  The previous Poisons Standard that is being substituted is the Poisons Standard 201</w:t>
      </w:r>
      <w:r w:rsidR="00093EF5" w:rsidRPr="000573E7">
        <w:t>1</w:t>
      </w:r>
      <w:r w:rsidRPr="000573E7">
        <w:t xml:space="preserve"> (which was registered on the Federal Regi</w:t>
      </w:r>
      <w:r w:rsidR="00B66B59" w:rsidRPr="000573E7">
        <w:t>ster of Legislative Instruments</w:t>
      </w:r>
      <w:r w:rsidRPr="000573E7">
        <w:t xml:space="preserve"> on </w:t>
      </w:r>
      <w:r w:rsidR="00093EF5" w:rsidRPr="000573E7">
        <w:t>8</w:t>
      </w:r>
      <w:r w:rsidRPr="000573E7">
        <w:t xml:space="preserve"> August</w:t>
      </w:r>
      <w:r w:rsidR="00093EF5" w:rsidRPr="000573E7">
        <w:t xml:space="preserve"> 2011</w:t>
      </w:r>
      <w:r w:rsidRPr="000573E7">
        <w:t xml:space="preserve">), together with the </w:t>
      </w:r>
      <w:r w:rsidR="00093EF5" w:rsidRPr="000573E7">
        <w:t>four</w:t>
      </w:r>
      <w:r w:rsidRPr="000573E7">
        <w:t xml:space="preserve"> subsequent amendments that have been made to the Poisons Standard 2</w:t>
      </w:r>
      <w:r w:rsidR="00093EF5" w:rsidRPr="000573E7">
        <w:t>011</w:t>
      </w:r>
      <w:r w:rsidRPr="000573E7">
        <w:t xml:space="preserve">: Poisons Standard Amendment No. </w:t>
      </w:r>
      <w:r w:rsidR="00093EF5" w:rsidRPr="000573E7">
        <w:t>3</w:t>
      </w:r>
      <w:r w:rsidRPr="000573E7">
        <w:t xml:space="preserve"> of 201</w:t>
      </w:r>
      <w:r w:rsidR="00093EF5" w:rsidRPr="000573E7">
        <w:t>1</w:t>
      </w:r>
      <w:r w:rsidRPr="000573E7">
        <w:t xml:space="preserve">, Poisons Standard Amendment No. </w:t>
      </w:r>
      <w:r w:rsidR="00093EF5" w:rsidRPr="000573E7">
        <w:t>4</w:t>
      </w:r>
      <w:r w:rsidRPr="000573E7">
        <w:t xml:space="preserve"> of 201</w:t>
      </w:r>
      <w:r w:rsidR="00093EF5" w:rsidRPr="000573E7">
        <w:t>1, Poisons Standard Amendment No. 5 of 2011 and Poisons Standard Amendment No. 1 of 2012</w:t>
      </w:r>
      <w:r w:rsidRPr="000573E7">
        <w:t>.</w:t>
      </w:r>
    </w:p>
    <w:p w:rsidR="00985BE7" w:rsidRDefault="00985BE7" w:rsidP="00BF17C8"/>
    <w:p w:rsidR="00827A8C" w:rsidRDefault="007F25CE" w:rsidP="00BF17C8">
      <w:r w:rsidRPr="00C33905">
        <w:t>As such, t</w:t>
      </w:r>
      <w:r w:rsidR="00AD15AE" w:rsidRPr="00C33905">
        <w:t>he Poisons Standard 201</w:t>
      </w:r>
      <w:r w:rsidR="00093EF5" w:rsidRPr="00C33905">
        <w:t>2</w:t>
      </w:r>
      <w:r w:rsidR="00AD15AE" w:rsidRPr="00C33905">
        <w:t xml:space="preserve"> is </w:t>
      </w:r>
      <w:r w:rsidR="00827A8C">
        <w:t xml:space="preserve">principally </w:t>
      </w:r>
      <w:r w:rsidR="00AD15AE" w:rsidRPr="00C33905">
        <w:t>a consolidation of the Poisons Standard 201</w:t>
      </w:r>
      <w:r w:rsidR="00093EF5" w:rsidRPr="00C33905">
        <w:t>1</w:t>
      </w:r>
      <w:r w:rsidR="00AD15AE" w:rsidRPr="00C33905">
        <w:t xml:space="preserve"> </w:t>
      </w:r>
      <w:r w:rsidR="00827A8C">
        <w:t>and</w:t>
      </w:r>
      <w:r w:rsidR="00AD15AE" w:rsidRPr="00C33905">
        <w:t xml:space="preserve"> its </w:t>
      </w:r>
      <w:r w:rsidR="00093EF5" w:rsidRPr="00C33905">
        <w:t>four</w:t>
      </w:r>
      <w:r w:rsidR="00AD15AE" w:rsidRPr="00C33905">
        <w:t xml:space="preserve"> amendments</w:t>
      </w:r>
      <w:r w:rsidR="00C82A63" w:rsidRPr="00C33905">
        <w:t>.</w:t>
      </w:r>
    </w:p>
    <w:p w:rsidR="00827A8C" w:rsidRDefault="00827A8C" w:rsidP="00BF17C8"/>
    <w:p w:rsidR="001E1A16" w:rsidRDefault="00827A8C" w:rsidP="00BF17C8">
      <w:r>
        <w:lastRenderedPageBreak/>
        <w:t xml:space="preserve">However, the Poisons Standard 2012 </w:t>
      </w:r>
      <w:r w:rsidR="00C82A63" w:rsidRPr="00C33905">
        <w:t xml:space="preserve">also incorporates a </w:t>
      </w:r>
      <w:r>
        <w:t xml:space="preserve">small </w:t>
      </w:r>
      <w:r w:rsidR="00C82A63" w:rsidRPr="00C33905">
        <w:t xml:space="preserve">number </w:t>
      </w:r>
      <w:r w:rsidR="00AB06DE">
        <w:t xml:space="preserve">of </w:t>
      </w:r>
      <w:r w:rsidR="00FE1AF0">
        <w:t>changes</w:t>
      </w:r>
      <w:r w:rsidR="00C82A63" w:rsidRPr="00C33905">
        <w:t xml:space="preserve"> to Poisons Standard 201</w:t>
      </w:r>
      <w:r w:rsidR="007952EB" w:rsidRPr="00C33905">
        <w:t>1</w:t>
      </w:r>
      <w:r w:rsidR="00C82A63" w:rsidRPr="00C33905">
        <w:t xml:space="preserve"> </w:t>
      </w:r>
      <w:r w:rsidR="007952EB" w:rsidRPr="00C33905">
        <w:t xml:space="preserve">which </w:t>
      </w:r>
      <w:r w:rsidR="00C82A63" w:rsidRPr="00C33905">
        <w:t xml:space="preserve">have </w:t>
      </w:r>
      <w:r w:rsidR="001E1A16">
        <w:t>not previously</w:t>
      </w:r>
      <w:r w:rsidR="00C82A63" w:rsidRPr="00C33905">
        <w:t xml:space="preserve"> been </w:t>
      </w:r>
      <w:r w:rsidR="001E1A16">
        <w:t>included</w:t>
      </w:r>
      <w:r w:rsidR="00C82A63" w:rsidRPr="00C33905">
        <w:t xml:space="preserve"> in </w:t>
      </w:r>
      <w:r w:rsidR="001E1A16">
        <w:t xml:space="preserve">any of </w:t>
      </w:r>
      <w:r w:rsidR="00C82A63" w:rsidRPr="00C33905">
        <w:t xml:space="preserve">the </w:t>
      </w:r>
      <w:r w:rsidR="001E1A16">
        <w:t>amendments to the Poisons Standard 2011 mentioned above</w:t>
      </w:r>
      <w:r w:rsidR="00C82A63" w:rsidRPr="00C33905">
        <w:t>.</w:t>
      </w:r>
    </w:p>
    <w:p w:rsidR="001E1A16" w:rsidRDefault="001E1A16" w:rsidP="00BF17C8"/>
    <w:p w:rsidR="00673016" w:rsidRDefault="001E1A16" w:rsidP="00BF17C8">
      <w:r>
        <w:t xml:space="preserve">These amendments involve minor changes to correct </w:t>
      </w:r>
      <w:r w:rsidR="00DF7553">
        <w:t xml:space="preserve">a number of </w:t>
      </w:r>
      <w:r>
        <w:t xml:space="preserve">outdated references to </w:t>
      </w:r>
      <w:r w:rsidR="00B42016">
        <w:t>relevant State and Territory government bodies, provisions of the Therapeutic Goods Regulations 1990</w:t>
      </w:r>
      <w:r w:rsidR="00673016">
        <w:t xml:space="preserve"> (the Regulations) and</w:t>
      </w:r>
      <w:r w:rsidR="001C519E">
        <w:t xml:space="preserve"> </w:t>
      </w:r>
      <w:r w:rsidR="00673016">
        <w:t xml:space="preserve">a number of therapeutic goods related </w:t>
      </w:r>
      <w:r>
        <w:t xml:space="preserve">legislative instruments </w:t>
      </w:r>
      <w:r w:rsidR="001C519E">
        <w:t xml:space="preserve">and </w:t>
      </w:r>
      <w:r w:rsidR="00673016">
        <w:t>other documents such as the ‘</w:t>
      </w:r>
      <w:r w:rsidR="00673016" w:rsidRPr="00673016">
        <w:rPr>
          <w:i/>
        </w:rPr>
        <w:t>International Cosmetic Ingredient Dictionary &amp; Handbook</w:t>
      </w:r>
      <w:r w:rsidR="00673016">
        <w:t>’.</w:t>
      </w:r>
    </w:p>
    <w:p w:rsidR="00673016" w:rsidRDefault="00673016" w:rsidP="00BF17C8"/>
    <w:p w:rsidR="001E1A16" w:rsidRDefault="00673016" w:rsidP="00BF17C8">
      <w:r>
        <w:t xml:space="preserve">An </w:t>
      </w:r>
      <w:r w:rsidR="001E1A16">
        <w:t>example</w:t>
      </w:r>
      <w:r>
        <w:t xml:space="preserve"> of these changes is the replacement of </w:t>
      </w:r>
      <w:r w:rsidR="001E1A16">
        <w:t xml:space="preserve">a reference to Therapeutic Goods Order 65 – </w:t>
      </w:r>
      <w:r w:rsidR="00DF7553">
        <w:t>‘</w:t>
      </w:r>
      <w:r w:rsidR="001E1A16" w:rsidRPr="00673016">
        <w:rPr>
          <w:i/>
        </w:rPr>
        <w:t xml:space="preserve">Child </w:t>
      </w:r>
      <w:r w:rsidR="00DF7553" w:rsidRPr="00673016">
        <w:rPr>
          <w:i/>
        </w:rPr>
        <w:t>r</w:t>
      </w:r>
      <w:r w:rsidR="001E1A16" w:rsidRPr="00673016">
        <w:rPr>
          <w:i/>
        </w:rPr>
        <w:t xml:space="preserve">esistant </w:t>
      </w:r>
      <w:r w:rsidR="00DF7553" w:rsidRPr="00673016">
        <w:rPr>
          <w:i/>
        </w:rPr>
        <w:t>packaging for therapeutic goods</w:t>
      </w:r>
      <w:r w:rsidR="00DF7553">
        <w:t>’ (TGO 65) with a reference to Therapeutic Goods Order 80 – ‘</w:t>
      </w:r>
      <w:r w:rsidR="00DF7553" w:rsidRPr="00673016">
        <w:rPr>
          <w:i/>
        </w:rPr>
        <w:t>Child-Resistant Packaging Requirements for Medicines</w:t>
      </w:r>
      <w:r w:rsidR="00DF7553">
        <w:t>’ (TGO 80)</w:t>
      </w:r>
      <w:r>
        <w:t>,</w:t>
      </w:r>
      <w:r w:rsidR="00DF7553">
        <w:t xml:space="preserve"> to reflect that </w:t>
      </w:r>
      <w:r>
        <w:t>TGO 80 has replaced TGO 65 (which is no longer in operation).</w:t>
      </w:r>
    </w:p>
    <w:p w:rsidR="001E1A16" w:rsidRDefault="001E1A16" w:rsidP="00BF17C8"/>
    <w:p w:rsidR="00FE1AF0" w:rsidRDefault="007C62E1" w:rsidP="007C62E1">
      <w:r w:rsidRPr="00F96DCD">
        <w:t>The Schedules contained in the Poisons Standard are referred to under State and Territory legislation for regulatory purposes</w:t>
      </w:r>
      <w:r w:rsidR="00E7525A">
        <w:t xml:space="preserve">, </w:t>
      </w:r>
      <w:r w:rsidR="007B6C7D">
        <w:t>which enables</w:t>
      </w:r>
      <w:r w:rsidR="00E7525A">
        <w:t xml:space="preserve"> restrictions to be placed on the supply of scheduled substances</w:t>
      </w:r>
      <w:r w:rsidR="00BE09AC">
        <w:t xml:space="preserve"> to the public</w:t>
      </w:r>
      <w:r w:rsidR="00E7525A">
        <w:t xml:space="preserve">, according to the degree of risk and the degree of control recommended to be exercised over their availability in the interest of public health and safety.  </w:t>
      </w:r>
      <w:r w:rsidRPr="00F96DCD">
        <w:t>The Commonwealth also takes into account the scheduling and classification of substances in the Poisons Standard for regulatory and enforcement purposes under the TG Act.</w:t>
      </w:r>
    </w:p>
    <w:p w:rsidR="00FE1AF0" w:rsidRDefault="00FE1AF0" w:rsidP="007C62E1"/>
    <w:p w:rsidR="007C62E1" w:rsidRPr="00F96DCD" w:rsidRDefault="007C62E1" w:rsidP="007C62E1">
      <w:r w:rsidRPr="00F96DCD">
        <w:t xml:space="preserve">For example, the TG Act and </w:t>
      </w:r>
      <w:r w:rsidR="00673016">
        <w:t xml:space="preserve">the </w:t>
      </w:r>
      <w:r w:rsidRPr="00F96DCD">
        <w:t xml:space="preserve">Regulations prohibit the publication of advertisements to consumers about prescription medicines included in Schedules 4 or 8 of the Poisons Standard or over the counter medicines included in Schedule 3 and not included in Appendix H of the Poisons Standard.  The advertising of substances included in Schedule 9 or Appendix </w:t>
      </w:r>
      <w:r w:rsidR="00542D33" w:rsidRPr="00F96DCD">
        <w:t>C</w:t>
      </w:r>
      <w:r w:rsidRPr="00F96DCD">
        <w:t xml:space="preserve"> of the Poisons Standard is also prohibited.</w:t>
      </w:r>
    </w:p>
    <w:p w:rsidR="007C62E1" w:rsidRDefault="007C62E1" w:rsidP="00BF17C8"/>
    <w:p w:rsidR="00F146D8" w:rsidRPr="005E1770" w:rsidRDefault="00B6384D" w:rsidP="00F146D8">
      <w:r w:rsidRPr="005E1770">
        <w:t xml:space="preserve">The </w:t>
      </w:r>
      <w:r w:rsidR="00673016">
        <w:t xml:space="preserve">four </w:t>
      </w:r>
      <w:r w:rsidRPr="005E1770">
        <w:t xml:space="preserve">amendments that have been made to </w:t>
      </w:r>
      <w:r w:rsidR="00FE1AF0">
        <w:t xml:space="preserve">the </w:t>
      </w:r>
      <w:r w:rsidRPr="005E1770">
        <w:t xml:space="preserve">Poisons Standard </w:t>
      </w:r>
      <w:r w:rsidRPr="00C33905">
        <w:t>201</w:t>
      </w:r>
      <w:r w:rsidR="00673016">
        <w:t>1</w:t>
      </w:r>
      <w:r w:rsidRPr="00C33905">
        <w:t xml:space="preserve"> </w:t>
      </w:r>
      <w:r w:rsidRPr="005E1770">
        <w:t>included scheduling decisions that were made by a delegate of the Secretary</w:t>
      </w:r>
      <w:r w:rsidR="00F146D8" w:rsidRPr="005E1770">
        <w:t xml:space="preserve">. </w:t>
      </w:r>
      <w:r w:rsidR="00A11BDB">
        <w:t xml:space="preserve"> </w:t>
      </w:r>
      <w:r w:rsidR="00F146D8" w:rsidRPr="005E1770">
        <w:t>Some, but not all</w:t>
      </w:r>
      <w:r w:rsidR="00666973">
        <w:t>,</w:t>
      </w:r>
      <w:r w:rsidR="00F146D8" w:rsidRPr="005E1770">
        <w:t xml:space="preserve"> of these amendments were delegate-initiated. </w:t>
      </w:r>
      <w:r w:rsidR="001C0B7A">
        <w:t xml:space="preserve"> </w:t>
      </w:r>
      <w:r w:rsidR="00F146D8" w:rsidRPr="005E1770">
        <w:t>I</w:t>
      </w:r>
      <w:r w:rsidRPr="005E1770">
        <w:t>n some cases</w:t>
      </w:r>
      <w:r w:rsidR="009B0BD3" w:rsidRPr="005E1770">
        <w:t>,</w:t>
      </w:r>
      <w:r w:rsidR="00F146D8" w:rsidRPr="005E1770">
        <w:t xml:space="preserve"> the decisions were made</w:t>
      </w:r>
      <w:r w:rsidRPr="005E1770">
        <w:t xml:space="preserve"> following </w:t>
      </w:r>
      <w:r w:rsidR="00AC6650" w:rsidRPr="005E1770">
        <w:t>referral</w:t>
      </w:r>
      <w:r w:rsidRPr="005E1770">
        <w:t xml:space="preserve"> to the relevant expert advisory committee</w:t>
      </w:r>
      <w:r w:rsidR="00AC6650" w:rsidRPr="005E1770">
        <w:t xml:space="preserve"> for advice</w:t>
      </w:r>
      <w:r w:rsidRPr="005E1770">
        <w:t xml:space="preserve">. </w:t>
      </w:r>
      <w:r w:rsidR="004D7637">
        <w:t xml:space="preserve"> </w:t>
      </w:r>
      <w:r w:rsidR="00673016">
        <w:t>Those four amendments</w:t>
      </w:r>
      <w:r w:rsidR="00F146D8" w:rsidRPr="005E1770">
        <w:t xml:space="preserve"> also </w:t>
      </w:r>
      <w:r w:rsidR="00673016">
        <w:t xml:space="preserve">included </w:t>
      </w:r>
      <w:r w:rsidR="00F146D8" w:rsidRPr="005E1770">
        <w:t>a number of minor editorial or errata amendments.</w:t>
      </w:r>
    </w:p>
    <w:p w:rsidR="00B6384D" w:rsidRDefault="00B6384D" w:rsidP="00F146D8">
      <w:pPr>
        <w:tabs>
          <w:tab w:val="left" w:pos="5355"/>
        </w:tabs>
      </w:pPr>
    </w:p>
    <w:p w:rsidR="002220FA" w:rsidRPr="00F96DCD" w:rsidRDefault="002220FA" w:rsidP="002220FA">
      <w:r w:rsidRPr="00F96DCD">
        <w:t xml:space="preserve">The Poisons Standard is a legislative instrument for the purposes of the </w:t>
      </w:r>
      <w:r w:rsidRPr="00F96DCD">
        <w:rPr>
          <w:i/>
        </w:rPr>
        <w:t xml:space="preserve">Legislative </w:t>
      </w:r>
      <w:r w:rsidR="00B6384D">
        <w:rPr>
          <w:i/>
        </w:rPr>
        <w:t>I</w:t>
      </w:r>
      <w:r w:rsidRPr="00F96DCD">
        <w:rPr>
          <w:i/>
        </w:rPr>
        <w:t>nstruments Act 2003</w:t>
      </w:r>
      <w:r w:rsidRPr="00F96DCD">
        <w:t xml:space="preserve"> (the LIA).  However, section 42 (disallowance) of the LIA does not apply (refer to subsection 52D(4A) of the TG Act).</w:t>
      </w:r>
    </w:p>
    <w:p w:rsidR="002220FA" w:rsidRDefault="002220FA" w:rsidP="002220FA"/>
    <w:p w:rsidR="000B672B" w:rsidRDefault="000B672B" w:rsidP="000B672B">
      <w:r>
        <w:t xml:space="preserve">In relation to compatibility with human rights, it is considered that the Poisons Standard 2012 is compatible with the human rights and freedoms recognised or declared in the international instruments listed in section 3 of the </w:t>
      </w:r>
      <w:r>
        <w:rPr>
          <w:i/>
        </w:rPr>
        <w:t>Human Rights (Parliamentary Scrutiny) Act 2011</w:t>
      </w:r>
      <w:r>
        <w:t>, and a Statement of Compatibility setting that out in further detail is attached.</w:t>
      </w:r>
    </w:p>
    <w:p w:rsidR="000B672B" w:rsidRDefault="000B672B" w:rsidP="000B672B"/>
    <w:p w:rsidR="000B672B" w:rsidRDefault="000B672B" w:rsidP="000B672B">
      <w:pPr>
        <w:rPr>
          <w:b/>
        </w:rPr>
      </w:pPr>
      <w:r>
        <w:rPr>
          <w:b/>
        </w:rPr>
        <w:t>ATTACHMENTS</w:t>
      </w:r>
    </w:p>
    <w:p w:rsidR="000B672B" w:rsidRDefault="000B672B" w:rsidP="000B672B"/>
    <w:p w:rsidR="00D81CBC" w:rsidRDefault="000B672B" w:rsidP="00E7525A">
      <w:pPr>
        <w:ind w:left="720" w:hanging="720"/>
      </w:pPr>
      <w:r>
        <w:t xml:space="preserve">1. </w:t>
      </w:r>
      <w:r>
        <w:tab/>
      </w:r>
      <w:r>
        <w:rPr>
          <w:bCs/>
        </w:rPr>
        <w:t>Statement of compatibility for a legislative instrument that does not raise any human rights issues (Poisons Standard 2012).</w:t>
      </w:r>
    </w:p>
    <w:sectPr w:rsidR="00D81CBC" w:rsidSect="001B282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D5EC4"/>
    <w:multiLevelType w:val="hybridMultilevel"/>
    <w:tmpl w:val="705E5116"/>
    <w:lvl w:ilvl="0" w:tplc="0409000B">
      <w:start w:val="3"/>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F17C8"/>
    <w:rsid w:val="00000499"/>
    <w:rsid w:val="00001D4F"/>
    <w:rsid w:val="00001E38"/>
    <w:rsid w:val="00005468"/>
    <w:rsid w:val="00005A98"/>
    <w:rsid w:val="00007117"/>
    <w:rsid w:val="00010412"/>
    <w:rsid w:val="00012810"/>
    <w:rsid w:val="00012940"/>
    <w:rsid w:val="00013B1B"/>
    <w:rsid w:val="00013F77"/>
    <w:rsid w:val="00015818"/>
    <w:rsid w:val="00015CD5"/>
    <w:rsid w:val="00015D4E"/>
    <w:rsid w:val="00016F39"/>
    <w:rsid w:val="00017E19"/>
    <w:rsid w:val="00020081"/>
    <w:rsid w:val="00020444"/>
    <w:rsid w:val="000205E8"/>
    <w:rsid w:val="000214A4"/>
    <w:rsid w:val="00022598"/>
    <w:rsid w:val="00022882"/>
    <w:rsid w:val="000229D9"/>
    <w:rsid w:val="00022C45"/>
    <w:rsid w:val="000238EF"/>
    <w:rsid w:val="000240BA"/>
    <w:rsid w:val="000251E7"/>
    <w:rsid w:val="000251FE"/>
    <w:rsid w:val="00025C9A"/>
    <w:rsid w:val="00026215"/>
    <w:rsid w:val="00026873"/>
    <w:rsid w:val="00026AF7"/>
    <w:rsid w:val="00027AC1"/>
    <w:rsid w:val="000304E7"/>
    <w:rsid w:val="00030CC8"/>
    <w:rsid w:val="00031477"/>
    <w:rsid w:val="0003160B"/>
    <w:rsid w:val="00032FE2"/>
    <w:rsid w:val="00033683"/>
    <w:rsid w:val="00033E23"/>
    <w:rsid w:val="0003656B"/>
    <w:rsid w:val="000367E5"/>
    <w:rsid w:val="00040C02"/>
    <w:rsid w:val="00041916"/>
    <w:rsid w:val="000443ED"/>
    <w:rsid w:val="0004466A"/>
    <w:rsid w:val="00044B12"/>
    <w:rsid w:val="00044B34"/>
    <w:rsid w:val="00045CC6"/>
    <w:rsid w:val="000475A1"/>
    <w:rsid w:val="00047B47"/>
    <w:rsid w:val="00047C96"/>
    <w:rsid w:val="00050886"/>
    <w:rsid w:val="00051E6B"/>
    <w:rsid w:val="00051FA6"/>
    <w:rsid w:val="00051FAA"/>
    <w:rsid w:val="0005260B"/>
    <w:rsid w:val="00052EBD"/>
    <w:rsid w:val="00052F14"/>
    <w:rsid w:val="00053C85"/>
    <w:rsid w:val="0005628F"/>
    <w:rsid w:val="000573E7"/>
    <w:rsid w:val="00057F6C"/>
    <w:rsid w:val="000609BF"/>
    <w:rsid w:val="00061912"/>
    <w:rsid w:val="000625B4"/>
    <w:rsid w:val="00063FE0"/>
    <w:rsid w:val="0006422D"/>
    <w:rsid w:val="00064241"/>
    <w:rsid w:val="00064564"/>
    <w:rsid w:val="000649AC"/>
    <w:rsid w:val="00064F9D"/>
    <w:rsid w:val="00065EB8"/>
    <w:rsid w:val="0006615F"/>
    <w:rsid w:val="00067058"/>
    <w:rsid w:val="0006712B"/>
    <w:rsid w:val="000671E3"/>
    <w:rsid w:val="00071154"/>
    <w:rsid w:val="00072136"/>
    <w:rsid w:val="0007268A"/>
    <w:rsid w:val="0007337F"/>
    <w:rsid w:val="000738C6"/>
    <w:rsid w:val="00074FC2"/>
    <w:rsid w:val="00075147"/>
    <w:rsid w:val="000755B6"/>
    <w:rsid w:val="0007626E"/>
    <w:rsid w:val="0007647E"/>
    <w:rsid w:val="000765EB"/>
    <w:rsid w:val="00076BB6"/>
    <w:rsid w:val="00077B3F"/>
    <w:rsid w:val="00077C4F"/>
    <w:rsid w:val="00080551"/>
    <w:rsid w:val="00080DD6"/>
    <w:rsid w:val="00080DE1"/>
    <w:rsid w:val="0008189B"/>
    <w:rsid w:val="00081A5F"/>
    <w:rsid w:val="00081B3A"/>
    <w:rsid w:val="00081D19"/>
    <w:rsid w:val="00081D5C"/>
    <w:rsid w:val="00082831"/>
    <w:rsid w:val="00083B31"/>
    <w:rsid w:val="00083FFA"/>
    <w:rsid w:val="000851F1"/>
    <w:rsid w:val="00085743"/>
    <w:rsid w:val="000879A6"/>
    <w:rsid w:val="000902C2"/>
    <w:rsid w:val="00090612"/>
    <w:rsid w:val="00090F91"/>
    <w:rsid w:val="00091932"/>
    <w:rsid w:val="000919F0"/>
    <w:rsid w:val="00092209"/>
    <w:rsid w:val="000922DD"/>
    <w:rsid w:val="00092548"/>
    <w:rsid w:val="000932AF"/>
    <w:rsid w:val="00093BF5"/>
    <w:rsid w:val="00093EC2"/>
    <w:rsid w:val="00093EF5"/>
    <w:rsid w:val="000940D8"/>
    <w:rsid w:val="0009424F"/>
    <w:rsid w:val="00094323"/>
    <w:rsid w:val="0009440A"/>
    <w:rsid w:val="000945DE"/>
    <w:rsid w:val="000957C8"/>
    <w:rsid w:val="00095C6C"/>
    <w:rsid w:val="00096CB3"/>
    <w:rsid w:val="000A1185"/>
    <w:rsid w:val="000A2689"/>
    <w:rsid w:val="000A51F6"/>
    <w:rsid w:val="000A58AE"/>
    <w:rsid w:val="000A686C"/>
    <w:rsid w:val="000A6F17"/>
    <w:rsid w:val="000A7090"/>
    <w:rsid w:val="000A7F3B"/>
    <w:rsid w:val="000B02E9"/>
    <w:rsid w:val="000B1080"/>
    <w:rsid w:val="000B13FE"/>
    <w:rsid w:val="000B1F5D"/>
    <w:rsid w:val="000B2D1C"/>
    <w:rsid w:val="000B2F77"/>
    <w:rsid w:val="000B42AC"/>
    <w:rsid w:val="000B4462"/>
    <w:rsid w:val="000B4510"/>
    <w:rsid w:val="000B4620"/>
    <w:rsid w:val="000B52FF"/>
    <w:rsid w:val="000B672B"/>
    <w:rsid w:val="000B6A3F"/>
    <w:rsid w:val="000C076C"/>
    <w:rsid w:val="000C0AC6"/>
    <w:rsid w:val="000C0CA5"/>
    <w:rsid w:val="000C0FF9"/>
    <w:rsid w:val="000C14BB"/>
    <w:rsid w:val="000C1B2B"/>
    <w:rsid w:val="000C2501"/>
    <w:rsid w:val="000C3852"/>
    <w:rsid w:val="000C38A7"/>
    <w:rsid w:val="000C3BE3"/>
    <w:rsid w:val="000C430A"/>
    <w:rsid w:val="000C476F"/>
    <w:rsid w:val="000C662F"/>
    <w:rsid w:val="000C6D43"/>
    <w:rsid w:val="000C6F15"/>
    <w:rsid w:val="000C76DE"/>
    <w:rsid w:val="000C784D"/>
    <w:rsid w:val="000C7910"/>
    <w:rsid w:val="000C7D7E"/>
    <w:rsid w:val="000D26CC"/>
    <w:rsid w:val="000D282A"/>
    <w:rsid w:val="000D2CB8"/>
    <w:rsid w:val="000D458A"/>
    <w:rsid w:val="000D50D8"/>
    <w:rsid w:val="000D5CED"/>
    <w:rsid w:val="000D6434"/>
    <w:rsid w:val="000D6FB1"/>
    <w:rsid w:val="000D75C2"/>
    <w:rsid w:val="000D7F8D"/>
    <w:rsid w:val="000E05C1"/>
    <w:rsid w:val="000E0CCD"/>
    <w:rsid w:val="000E154F"/>
    <w:rsid w:val="000E1592"/>
    <w:rsid w:val="000E1AA0"/>
    <w:rsid w:val="000E2485"/>
    <w:rsid w:val="000E2867"/>
    <w:rsid w:val="000E40B4"/>
    <w:rsid w:val="000E42D4"/>
    <w:rsid w:val="000E4383"/>
    <w:rsid w:val="000E4746"/>
    <w:rsid w:val="000E4B55"/>
    <w:rsid w:val="000E5120"/>
    <w:rsid w:val="000E5AEC"/>
    <w:rsid w:val="000E6902"/>
    <w:rsid w:val="000E6ACD"/>
    <w:rsid w:val="000F15D4"/>
    <w:rsid w:val="000F162E"/>
    <w:rsid w:val="000F227A"/>
    <w:rsid w:val="000F241F"/>
    <w:rsid w:val="000F355C"/>
    <w:rsid w:val="000F391F"/>
    <w:rsid w:val="000F5093"/>
    <w:rsid w:val="000F5B00"/>
    <w:rsid w:val="000F6659"/>
    <w:rsid w:val="00101C08"/>
    <w:rsid w:val="00101D9C"/>
    <w:rsid w:val="00103CA5"/>
    <w:rsid w:val="00104039"/>
    <w:rsid w:val="00105777"/>
    <w:rsid w:val="0010594F"/>
    <w:rsid w:val="00107097"/>
    <w:rsid w:val="00107488"/>
    <w:rsid w:val="00107E63"/>
    <w:rsid w:val="00111394"/>
    <w:rsid w:val="001113EB"/>
    <w:rsid w:val="0011142D"/>
    <w:rsid w:val="001121F3"/>
    <w:rsid w:val="0011387A"/>
    <w:rsid w:val="00114982"/>
    <w:rsid w:val="00114F0B"/>
    <w:rsid w:val="0011597E"/>
    <w:rsid w:val="001165A8"/>
    <w:rsid w:val="00116820"/>
    <w:rsid w:val="0011689E"/>
    <w:rsid w:val="00116DF5"/>
    <w:rsid w:val="001178E0"/>
    <w:rsid w:val="0012062A"/>
    <w:rsid w:val="001217F2"/>
    <w:rsid w:val="0012195F"/>
    <w:rsid w:val="00121CCB"/>
    <w:rsid w:val="00122BCA"/>
    <w:rsid w:val="00122F27"/>
    <w:rsid w:val="00123389"/>
    <w:rsid w:val="001237E9"/>
    <w:rsid w:val="001238AF"/>
    <w:rsid w:val="0012392C"/>
    <w:rsid w:val="00123E2D"/>
    <w:rsid w:val="001249F3"/>
    <w:rsid w:val="00124D24"/>
    <w:rsid w:val="0012528D"/>
    <w:rsid w:val="00126492"/>
    <w:rsid w:val="00127BF7"/>
    <w:rsid w:val="00127DAB"/>
    <w:rsid w:val="00130E68"/>
    <w:rsid w:val="00133BD4"/>
    <w:rsid w:val="001343F1"/>
    <w:rsid w:val="00134909"/>
    <w:rsid w:val="001369CB"/>
    <w:rsid w:val="00137003"/>
    <w:rsid w:val="00137765"/>
    <w:rsid w:val="00137D23"/>
    <w:rsid w:val="00141918"/>
    <w:rsid w:val="001421FE"/>
    <w:rsid w:val="00142CE9"/>
    <w:rsid w:val="00142D79"/>
    <w:rsid w:val="00143B37"/>
    <w:rsid w:val="0014502D"/>
    <w:rsid w:val="00145378"/>
    <w:rsid w:val="0014657E"/>
    <w:rsid w:val="001505CB"/>
    <w:rsid w:val="00150984"/>
    <w:rsid w:val="00150D52"/>
    <w:rsid w:val="00150E2F"/>
    <w:rsid w:val="00151B5A"/>
    <w:rsid w:val="00151F1A"/>
    <w:rsid w:val="00152EC0"/>
    <w:rsid w:val="00153052"/>
    <w:rsid w:val="00153417"/>
    <w:rsid w:val="001534E6"/>
    <w:rsid w:val="00154AB5"/>
    <w:rsid w:val="001563BB"/>
    <w:rsid w:val="00160C9E"/>
    <w:rsid w:val="00160E0B"/>
    <w:rsid w:val="001613D7"/>
    <w:rsid w:val="00161E6D"/>
    <w:rsid w:val="001624F8"/>
    <w:rsid w:val="00163430"/>
    <w:rsid w:val="0016378D"/>
    <w:rsid w:val="00163D2D"/>
    <w:rsid w:val="00164355"/>
    <w:rsid w:val="001643CE"/>
    <w:rsid w:val="001650AF"/>
    <w:rsid w:val="001660FD"/>
    <w:rsid w:val="00166DD7"/>
    <w:rsid w:val="00167F93"/>
    <w:rsid w:val="00170CE7"/>
    <w:rsid w:val="001717FE"/>
    <w:rsid w:val="00171E40"/>
    <w:rsid w:val="00173008"/>
    <w:rsid w:val="0017307A"/>
    <w:rsid w:val="001733DF"/>
    <w:rsid w:val="00174060"/>
    <w:rsid w:val="00174E0B"/>
    <w:rsid w:val="00174F6D"/>
    <w:rsid w:val="00175543"/>
    <w:rsid w:val="00175DD5"/>
    <w:rsid w:val="00175FD1"/>
    <w:rsid w:val="00176BC3"/>
    <w:rsid w:val="00181835"/>
    <w:rsid w:val="001818D5"/>
    <w:rsid w:val="00182182"/>
    <w:rsid w:val="001823C7"/>
    <w:rsid w:val="00182815"/>
    <w:rsid w:val="00182C48"/>
    <w:rsid w:val="00183CC7"/>
    <w:rsid w:val="00185102"/>
    <w:rsid w:val="00185EDF"/>
    <w:rsid w:val="001874BD"/>
    <w:rsid w:val="00187D14"/>
    <w:rsid w:val="00190186"/>
    <w:rsid w:val="00190320"/>
    <w:rsid w:val="00191794"/>
    <w:rsid w:val="001951F4"/>
    <w:rsid w:val="001A077B"/>
    <w:rsid w:val="001A0C8D"/>
    <w:rsid w:val="001A255A"/>
    <w:rsid w:val="001A3496"/>
    <w:rsid w:val="001A39F3"/>
    <w:rsid w:val="001A3CFA"/>
    <w:rsid w:val="001A4E4F"/>
    <w:rsid w:val="001A50F3"/>
    <w:rsid w:val="001A5328"/>
    <w:rsid w:val="001A68BD"/>
    <w:rsid w:val="001A7E3E"/>
    <w:rsid w:val="001B0A18"/>
    <w:rsid w:val="001B2820"/>
    <w:rsid w:val="001B3E24"/>
    <w:rsid w:val="001B48E1"/>
    <w:rsid w:val="001B570A"/>
    <w:rsid w:val="001B5872"/>
    <w:rsid w:val="001B5FAB"/>
    <w:rsid w:val="001B6394"/>
    <w:rsid w:val="001B727C"/>
    <w:rsid w:val="001C062F"/>
    <w:rsid w:val="001C0B7A"/>
    <w:rsid w:val="001C1010"/>
    <w:rsid w:val="001C1937"/>
    <w:rsid w:val="001C1D1B"/>
    <w:rsid w:val="001C1E56"/>
    <w:rsid w:val="001C25F6"/>
    <w:rsid w:val="001C2D58"/>
    <w:rsid w:val="001C2E35"/>
    <w:rsid w:val="001C322C"/>
    <w:rsid w:val="001C469E"/>
    <w:rsid w:val="001C4A4C"/>
    <w:rsid w:val="001C519E"/>
    <w:rsid w:val="001C6542"/>
    <w:rsid w:val="001C6A91"/>
    <w:rsid w:val="001D02A7"/>
    <w:rsid w:val="001D10A2"/>
    <w:rsid w:val="001D24EF"/>
    <w:rsid w:val="001D2D8C"/>
    <w:rsid w:val="001D30B6"/>
    <w:rsid w:val="001D3A14"/>
    <w:rsid w:val="001D4331"/>
    <w:rsid w:val="001D4788"/>
    <w:rsid w:val="001D478A"/>
    <w:rsid w:val="001D512C"/>
    <w:rsid w:val="001D7110"/>
    <w:rsid w:val="001D7DBD"/>
    <w:rsid w:val="001E027C"/>
    <w:rsid w:val="001E0473"/>
    <w:rsid w:val="001E120E"/>
    <w:rsid w:val="001E1A16"/>
    <w:rsid w:val="001E3C17"/>
    <w:rsid w:val="001E4D55"/>
    <w:rsid w:val="001E50C1"/>
    <w:rsid w:val="001E5344"/>
    <w:rsid w:val="001E612A"/>
    <w:rsid w:val="001E6409"/>
    <w:rsid w:val="001F0AB7"/>
    <w:rsid w:val="001F1DD4"/>
    <w:rsid w:val="001F2422"/>
    <w:rsid w:val="001F2595"/>
    <w:rsid w:val="001F2710"/>
    <w:rsid w:val="001F27DD"/>
    <w:rsid w:val="001F2972"/>
    <w:rsid w:val="001F2DD0"/>
    <w:rsid w:val="001F3148"/>
    <w:rsid w:val="001F379C"/>
    <w:rsid w:val="001F3D98"/>
    <w:rsid w:val="001F3EDC"/>
    <w:rsid w:val="001F3F5E"/>
    <w:rsid w:val="001F691D"/>
    <w:rsid w:val="001F6A4B"/>
    <w:rsid w:val="001F7B96"/>
    <w:rsid w:val="00200766"/>
    <w:rsid w:val="002019AD"/>
    <w:rsid w:val="00203331"/>
    <w:rsid w:val="00203C26"/>
    <w:rsid w:val="00203FD5"/>
    <w:rsid w:val="002040CB"/>
    <w:rsid w:val="00204236"/>
    <w:rsid w:val="00206373"/>
    <w:rsid w:val="0020731A"/>
    <w:rsid w:val="0020758A"/>
    <w:rsid w:val="00210595"/>
    <w:rsid w:val="00210886"/>
    <w:rsid w:val="002114D8"/>
    <w:rsid w:val="00212ECF"/>
    <w:rsid w:val="00213CF5"/>
    <w:rsid w:val="002152DC"/>
    <w:rsid w:val="0021690F"/>
    <w:rsid w:val="00217DFC"/>
    <w:rsid w:val="00220344"/>
    <w:rsid w:val="002209A3"/>
    <w:rsid w:val="00220CEA"/>
    <w:rsid w:val="00220D23"/>
    <w:rsid w:val="00221900"/>
    <w:rsid w:val="002219F0"/>
    <w:rsid w:val="002220FA"/>
    <w:rsid w:val="0022239A"/>
    <w:rsid w:val="002225FA"/>
    <w:rsid w:val="00222657"/>
    <w:rsid w:val="00222864"/>
    <w:rsid w:val="00223FFD"/>
    <w:rsid w:val="00224376"/>
    <w:rsid w:val="00224888"/>
    <w:rsid w:val="00224A97"/>
    <w:rsid w:val="00225353"/>
    <w:rsid w:val="002256F3"/>
    <w:rsid w:val="00225E7D"/>
    <w:rsid w:val="00226C9F"/>
    <w:rsid w:val="00226DFC"/>
    <w:rsid w:val="002278C3"/>
    <w:rsid w:val="002302C0"/>
    <w:rsid w:val="002303A0"/>
    <w:rsid w:val="00230657"/>
    <w:rsid w:val="0023118D"/>
    <w:rsid w:val="002317D0"/>
    <w:rsid w:val="002322F3"/>
    <w:rsid w:val="00232513"/>
    <w:rsid w:val="002326CE"/>
    <w:rsid w:val="00232C5A"/>
    <w:rsid w:val="00233907"/>
    <w:rsid w:val="0023499E"/>
    <w:rsid w:val="00235383"/>
    <w:rsid w:val="00235C9F"/>
    <w:rsid w:val="002362D7"/>
    <w:rsid w:val="0023635C"/>
    <w:rsid w:val="002363B3"/>
    <w:rsid w:val="0023660D"/>
    <w:rsid w:val="002369FD"/>
    <w:rsid w:val="002373BA"/>
    <w:rsid w:val="00237B86"/>
    <w:rsid w:val="00241B0B"/>
    <w:rsid w:val="00241E42"/>
    <w:rsid w:val="0024379D"/>
    <w:rsid w:val="00244060"/>
    <w:rsid w:val="00244CD1"/>
    <w:rsid w:val="00244E82"/>
    <w:rsid w:val="00245099"/>
    <w:rsid w:val="00245F1E"/>
    <w:rsid w:val="00246BB9"/>
    <w:rsid w:val="00246DB7"/>
    <w:rsid w:val="00247163"/>
    <w:rsid w:val="00247744"/>
    <w:rsid w:val="00250264"/>
    <w:rsid w:val="00250FC5"/>
    <w:rsid w:val="00251968"/>
    <w:rsid w:val="00251BE1"/>
    <w:rsid w:val="00251D0B"/>
    <w:rsid w:val="002530C2"/>
    <w:rsid w:val="002535C1"/>
    <w:rsid w:val="00253CA6"/>
    <w:rsid w:val="00255BAF"/>
    <w:rsid w:val="00256610"/>
    <w:rsid w:val="00257301"/>
    <w:rsid w:val="00262868"/>
    <w:rsid w:val="0026465F"/>
    <w:rsid w:val="00264A8F"/>
    <w:rsid w:val="002665CC"/>
    <w:rsid w:val="002672F0"/>
    <w:rsid w:val="002677BD"/>
    <w:rsid w:val="002679D3"/>
    <w:rsid w:val="00267BB6"/>
    <w:rsid w:val="00271475"/>
    <w:rsid w:val="00271902"/>
    <w:rsid w:val="00271BC9"/>
    <w:rsid w:val="00274762"/>
    <w:rsid w:val="0027502B"/>
    <w:rsid w:val="0027587E"/>
    <w:rsid w:val="0027690E"/>
    <w:rsid w:val="002769FC"/>
    <w:rsid w:val="00276DCB"/>
    <w:rsid w:val="0027737D"/>
    <w:rsid w:val="00280027"/>
    <w:rsid w:val="002809F7"/>
    <w:rsid w:val="00281232"/>
    <w:rsid w:val="00281EB0"/>
    <w:rsid w:val="00282733"/>
    <w:rsid w:val="00282C0E"/>
    <w:rsid w:val="00283839"/>
    <w:rsid w:val="00284957"/>
    <w:rsid w:val="00284A65"/>
    <w:rsid w:val="00284BBD"/>
    <w:rsid w:val="00284BD9"/>
    <w:rsid w:val="0028583C"/>
    <w:rsid w:val="00286C9B"/>
    <w:rsid w:val="002872F2"/>
    <w:rsid w:val="002925F2"/>
    <w:rsid w:val="00293B9F"/>
    <w:rsid w:val="0029401D"/>
    <w:rsid w:val="00294630"/>
    <w:rsid w:val="002949B2"/>
    <w:rsid w:val="00294AE1"/>
    <w:rsid w:val="00296195"/>
    <w:rsid w:val="00296688"/>
    <w:rsid w:val="00296B84"/>
    <w:rsid w:val="002A013A"/>
    <w:rsid w:val="002A09DA"/>
    <w:rsid w:val="002A129B"/>
    <w:rsid w:val="002A12F8"/>
    <w:rsid w:val="002A2169"/>
    <w:rsid w:val="002A33B1"/>
    <w:rsid w:val="002A38CC"/>
    <w:rsid w:val="002A401B"/>
    <w:rsid w:val="002A5541"/>
    <w:rsid w:val="002A55F3"/>
    <w:rsid w:val="002A56B2"/>
    <w:rsid w:val="002A68AF"/>
    <w:rsid w:val="002A7C87"/>
    <w:rsid w:val="002A7EF8"/>
    <w:rsid w:val="002B0115"/>
    <w:rsid w:val="002B01AF"/>
    <w:rsid w:val="002B1090"/>
    <w:rsid w:val="002B186F"/>
    <w:rsid w:val="002B1F43"/>
    <w:rsid w:val="002B23B0"/>
    <w:rsid w:val="002B2D4B"/>
    <w:rsid w:val="002B2DFA"/>
    <w:rsid w:val="002B2E37"/>
    <w:rsid w:val="002B2E66"/>
    <w:rsid w:val="002B58CC"/>
    <w:rsid w:val="002B6943"/>
    <w:rsid w:val="002B6ADC"/>
    <w:rsid w:val="002B7167"/>
    <w:rsid w:val="002C0119"/>
    <w:rsid w:val="002C0ED2"/>
    <w:rsid w:val="002C1077"/>
    <w:rsid w:val="002C1255"/>
    <w:rsid w:val="002C1F21"/>
    <w:rsid w:val="002C220E"/>
    <w:rsid w:val="002C3DE0"/>
    <w:rsid w:val="002C6F44"/>
    <w:rsid w:val="002D38BA"/>
    <w:rsid w:val="002D4741"/>
    <w:rsid w:val="002D4992"/>
    <w:rsid w:val="002D4AAF"/>
    <w:rsid w:val="002D5749"/>
    <w:rsid w:val="002E0D16"/>
    <w:rsid w:val="002E13B9"/>
    <w:rsid w:val="002E16AA"/>
    <w:rsid w:val="002E1809"/>
    <w:rsid w:val="002E1FA5"/>
    <w:rsid w:val="002E2241"/>
    <w:rsid w:val="002E5A40"/>
    <w:rsid w:val="002E776B"/>
    <w:rsid w:val="002F066C"/>
    <w:rsid w:val="002F078B"/>
    <w:rsid w:val="002F0D40"/>
    <w:rsid w:val="002F141E"/>
    <w:rsid w:val="002F1958"/>
    <w:rsid w:val="002F46A5"/>
    <w:rsid w:val="002F489D"/>
    <w:rsid w:val="002F4904"/>
    <w:rsid w:val="002F4F37"/>
    <w:rsid w:val="002F5572"/>
    <w:rsid w:val="002F6FBD"/>
    <w:rsid w:val="002F71E3"/>
    <w:rsid w:val="002F7702"/>
    <w:rsid w:val="003005FB"/>
    <w:rsid w:val="003010CB"/>
    <w:rsid w:val="0030182E"/>
    <w:rsid w:val="00302235"/>
    <w:rsid w:val="003023C8"/>
    <w:rsid w:val="00302E85"/>
    <w:rsid w:val="003040E5"/>
    <w:rsid w:val="00304364"/>
    <w:rsid w:val="00305112"/>
    <w:rsid w:val="00305840"/>
    <w:rsid w:val="003102BD"/>
    <w:rsid w:val="00310B01"/>
    <w:rsid w:val="00310E61"/>
    <w:rsid w:val="0031141A"/>
    <w:rsid w:val="00312312"/>
    <w:rsid w:val="00314207"/>
    <w:rsid w:val="0031473A"/>
    <w:rsid w:val="00314DF0"/>
    <w:rsid w:val="00315378"/>
    <w:rsid w:val="003157DF"/>
    <w:rsid w:val="003165BF"/>
    <w:rsid w:val="003168D3"/>
    <w:rsid w:val="003179EF"/>
    <w:rsid w:val="003205A0"/>
    <w:rsid w:val="003208C8"/>
    <w:rsid w:val="00320CD8"/>
    <w:rsid w:val="00321563"/>
    <w:rsid w:val="00321C43"/>
    <w:rsid w:val="00321E78"/>
    <w:rsid w:val="00322916"/>
    <w:rsid w:val="00322AA2"/>
    <w:rsid w:val="00322EBC"/>
    <w:rsid w:val="003232DB"/>
    <w:rsid w:val="003235BE"/>
    <w:rsid w:val="00324430"/>
    <w:rsid w:val="00324695"/>
    <w:rsid w:val="00325482"/>
    <w:rsid w:val="003265A7"/>
    <w:rsid w:val="003266E4"/>
    <w:rsid w:val="00326B94"/>
    <w:rsid w:val="00327F40"/>
    <w:rsid w:val="003301A9"/>
    <w:rsid w:val="00330E72"/>
    <w:rsid w:val="003313A7"/>
    <w:rsid w:val="00331E54"/>
    <w:rsid w:val="00332187"/>
    <w:rsid w:val="00332630"/>
    <w:rsid w:val="00332CA6"/>
    <w:rsid w:val="0033369B"/>
    <w:rsid w:val="0033383B"/>
    <w:rsid w:val="003347B1"/>
    <w:rsid w:val="003349EB"/>
    <w:rsid w:val="00334A95"/>
    <w:rsid w:val="00334AA6"/>
    <w:rsid w:val="003355AE"/>
    <w:rsid w:val="00337099"/>
    <w:rsid w:val="00337CA8"/>
    <w:rsid w:val="003401B0"/>
    <w:rsid w:val="00340C83"/>
    <w:rsid w:val="00343352"/>
    <w:rsid w:val="00343B56"/>
    <w:rsid w:val="00344E3A"/>
    <w:rsid w:val="00346366"/>
    <w:rsid w:val="00346C90"/>
    <w:rsid w:val="00347173"/>
    <w:rsid w:val="003473BC"/>
    <w:rsid w:val="00350733"/>
    <w:rsid w:val="00351396"/>
    <w:rsid w:val="00352C56"/>
    <w:rsid w:val="00352E49"/>
    <w:rsid w:val="00353169"/>
    <w:rsid w:val="003545F3"/>
    <w:rsid w:val="00354B06"/>
    <w:rsid w:val="00355917"/>
    <w:rsid w:val="003569E1"/>
    <w:rsid w:val="00357493"/>
    <w:rsid w:val="0036139C"/>
    <w:rsid w:val="0036144D"/>
    <w:rsid w:val="00361E26"/>
    <w:rsid w:val="00362350"/>
    <w:rsid w:val="003635B5"/>
    <w:rsid w:val="00363682"/>
    <w:rsid w:val="003636C0"/>
    <w:rsid w:val="00363A7B"/>
    <w:rsid w:val="00363D92"/>
    <w:rsid w:val="003641D7"/>
    <w:rsid w:val="003654ED"/>
    <w:rsid w:val="00366523"/>
    <w:rsid w:val="003666C5"/>
    <w:rsid w:val="00366783"/>
    <w:rsid w:val="00370C81"/>
    <w:rsid w:val="00371307"/>
    <w:rsid w:val="003726E5"/>
    <w:rsid w:val="00373C7C"/>
    <w:rsid w:val="003771A6"/>
    <w:rsid w:val="00381794"/>
    <w:rsid w:val="00381B21"/>
    <w:rsid w:val="00381F77"/>
    <w:rsid w:val="003828A5"/>
    <w:rsid w:val="00382AAF"/>
    <w:rsid w:val="00383761"/>
    <w:rsid w:val="003839F8"/>
    <w:rsid w:val="00385EE6"/>
    <w:rsid w:val="0038744A"/>
    <w:rsid w:val="0038781A"/>
    <w:rsid w:val="00391CC3"/>
    <w:rsid w:val="00393278"/>
    <w:rsid w:val="00393642"/>
    <w:rsid w:val="00394186"/>
    <w:rsid w:val="00394E5B"/>
    <w:rsid w:val="00395199"/>
    <w:rsid w:val="003953CE"/>
    <w:rsid w:val="003954B0"/>
    <w:rsid w:val="003956A0"/>
    <w:rsid w:val="00395C1E"/>
    <w:rsid w:val="00396301"/>
    <w:rsid w:val="003967E6"/>
    <w:rsid w:val="0039698E"/>
    <w:rsid w:val="003A0893"/>
    <w:rsid w:val="003A0A7E"/>
    <w:rsid w:val="003A13C4"/>
    <w:rsid w:val="003A1C32"/>
    <w:rsid w:val="003A1EC4"/>
    <w:rsid w:val="003A1F6A"/>
    <w:rsid w:val="003A1FB0"/>
    <w:rsid w:val="003A295A"/>
    <w:rsid w:val="003A36BC"/>
    <w:rsid w:val="003A3B44"/>
    <w:rsid w:val="003A4649"/>
    <w:rsid w:val="003A6206"/>
    <w:rsid w:val="003A6274"/>
    <w:rsid w:val="003A6CB2"/>
    <w:rsid w:val="003A6DEE"/>
    <w:rsid w:val="003A720F"/>
    <w:rsid w:val="003A75F7"/>
    <w:rsid w:val="003A7E28"/>
    <w:rsid w:val="003B027B"/>
    <w:rsid w:val="003B0476"/>
    <w:rsid w:val="003B05FC"/>
    <w:rsid w:val="003B0AB1"/>
    <w:rsid w:val="003B1431"/>
    <w:rsid w:val="003B1B32"/>
    <w:rsid w:val="003B43F1"/>
    <w:rsid w:val="003B4601"/>
    <w:rsid w:val="003B5E60"/>
    <w:rsid w:val="003C0AA5"/>
    <w:rsid w:val="003C0D7A"/>
    <w:rsid w:val="003C0FB2"/>
    <w:rsid w:val="003C11C6"/>
    <w:rsid w:val="003C2161"/>
    <w:rsid w:val="003C28A0"/>
    <w:rsid w:val="003C37EF"/>
    <w:rsid w:val="003C395B"/>
    <w:rsid w:val="003C455E"/>
    <w:rsid w:val="003C50A5"/>
    <w:rsid w:val="003C5ECF"/>
    <w:rsid w:val="003C61CF"/>
    <w:rsid w:val="003C797D"/>
    <w:rsid w:val="003D137E"/>
    <w:rsid w:val="003D2060"/>
    <w:rsid w:val="003D22D2"/>
    <w:rsid w:val="003D2E0C"/>
    <w:rsid w:val="003D3751"/>
    <w:rsid w:val="003D3C9D"/>
    <w:rsid w:val="003D43A3"/>
    <w:rsid w:val="003D452A"/>
    <w:rsid w:val="003D4FCA"/>
    <w:rsid w:val="003D601B"/>
    <w:rsid w:val="003E0942"/>
    <w:rsid w:val="003E1966"/>
    <w:rsid w:val="003E20F3"/>
    <w:rsid w:val="003E2319"/>
    <w:rsid w:val="003E54BD"/>
    <w:rsid w:val="003F15CD"/>
    <w:rsid w:val="003F1781"/>
    <w:rsid w:val="003F2B8A"/>
    <w:rsid w:val="003F3497"/>
    <w:rsid w:val="003F3C54"/>
    <w:rsid w:val="003F45CA"/>
    <w:rsid w:val="003F5252"/>
    <w:rsid w:val="003F6B06"/>
    <w:rsid w:val="003F7156"/>
    <w:rsid w:val="003F73CE"/>
    <w:rsid w:val="003F7593"/>
    <w:rsid w:val="003F77CD"/>
    <w:rsid w:val="00401519"/>
    <w:rsid w:val="00401F0B"/>
    <w:rsid w:val="00403548"/>
    <w:rsid w:val="0040437C"/>
    <w:rsid w:val="00404990"/>
    <w:rsid w:val="00404B84"/>
    <w:rsid w:val="00404E45"/>
    <w:rsid w:val="00405228"/>
    <w:rsid w:val="00405BC0"/>
    <w:rsid w:val="004068DA"/>
    <w:rsid w:val="00406C60"/>
    <w:rsid w:val="00406FD1"/>
    <w:rsid w:val="0041055E"/>
    <w:rsid w:val="00410BE7"/>
    <w:rsid w:val="00410FA0"/>
    <w:rsid w:val="00411645"/>
    <w:rsid w:val="004119AD"/>
    <w:rsid w:val="00411EDC"/>
    <w:rsid w:val="004125C3"/>
    <w:rsid w:val="004138F2"/>
    <w:rsid w:val="0041400D"/>
    <w:rsid w:val="00414641"/>
    <w:rsid w:val="0041489A"/>
    <w:rsid w:val="004158CC"/>
    <w:rsid w:val="00415BA5"/>
    <w:rsid w:val="00416AB8"/>
    <w:rsid w:val="004170CC"/>
    <w:rsid w:val="004176BA"/>
    <w:rsid w:val="00420DD8"/>
    <w:rsid w:val="0042188E"/>
    <w:rsid w:val="00421C9E"/>
    <w:rsid w:val="004230EA"/>
    <w:rsid w:val="00423DF4"/>
    <w:rsid w:val="004242B5"/>
    <w:rsid w:val="004255A9"/>
    <w:rsid w:val="00427AB1"/>
    <w:rsid w:val="00427E60"/>
    <w:rsid w:val="004308CB"/>
    <w:rsid w:val="0043209E"/>
    <w:rsid w:val="0043305D"/>
    <w:rsid w:val="004339BA"/>
    <w:rsid w:val="0043483C"/>
    <w:rsid w:val="00434E2C"/>
    <w:rsid w:val="00436AA6"/>
    <w:rsid w:val="004406C9"/>
    <w:rsid w:val="004408C2"/>
    <w:rsid w:val="00442477"/>
    <w:rsid w:val="0044254B"/>
    <w:rsid w:val="0044266D"/>
    <w:rsid w:val="00443685"/>
    <w:rsid w:val="00446D8D"/>
    <w:rsid w:val="004479C3"/>
    <w:rsid w:val="004510E0"/>
    <w:rsid w:val="004518F5"/>
    <w:rsid w:val="00451D74"/>
    <w:rsid w:val="00452141"/>
    <w:rsid w:val="0045796F"/>
    <w:rsid w:val="00457A8C"/>
    <w:rsid w:val="00460858"/>
    <w:rsid w:val="00461A3C"/>
    <w:rsid w:val="004621A5"/>
    <w:rsid w:val="00462A91"/>
    <w:rsid w:val="00463DBC"/>
    <w:rsid w:val="00464849"/>
    <w:rsid w:val="00464F40"/>
    <w:rsid w:val="00464F55"/>
    <w:rsid w:val="00465B3B"/>
    <w:rsid w:val="00465F93"/>
    <w:rsid w:val="004667A6"/>
    <w:rsid w:val="00467647"/>
    <w:rsid w:val="00471091"/>
    <w:rsid w:val="004717B7"/>
    <w:rsid w:val="00471FAF"/>
    <w:rsid w:val="00472410"/>
    <w:rsid w:val="00472A48"/>
    <w:rsid w:val="00472E88"/>
    <w:rsid w:val="00474BAA"/>
    <w:rsid w:val="004753FC"/>
    <w:rsid w:val="00480472"/>
    <w:rsid w:val="00480719"/>
    <w:rsid w:val="00480D6B"/>
    <w:rsid w:val="0048172B"/>
    <w:rsid w:val="00481AB5"/>
    <w:rsid w:val="00482EA7"/>
    <w:rsid w:val="00482EC1"/>
    <w:rsid w:val="004847A8"/>
    <w:rsid w:val="00484CE0"/>
    <w:rsid w:val="004850AE"/>
    <w:rsid w:val="00486422"/>
    <w:rsid w:val="00486496"/>
    <w:rsid w:val="00486A9C"/>
    <w:rsid w:val="00487393"/>
    <w:rsid w:val="004875A8"/>
    <w:rsid w:val="004900A3"/>
    <w:rsid w:val="00490818"/>
    <w:rsid w:val="00491124"/>
    <w:rsid w:val="00491CBB"/>
    <w:rsid w:val="00491F73"/>
    <w:rsid w:val="00492424"/>
    <w:rsid w:val="00494C28"/>
    <w:rsid w:val="00494F4B"/>
    <w:rsid w:val="00495ACD"/>
    <w:rsid w:val="004978DA"/>
    <w:rsid w:val="00497FF9"/>
    <w:rsid w:val="004A061E"/>
    <w:rsid w:val="004A0EB1"/>
    <w:rsid w:val="004A12C5"/>
    <w:rsid w:val="004A39A9"/>
    <w:rsid w:val="004A5A6D"/>
    <w:rsid w:val="004A5DC8"/>
    <w:rsid w:val="004A5EB0"/>
    <w:rsid w:val="004A628D"/>
    <w:rsid w:val="004A63AB"/>
    <w:rsid w:val="004A711A"/>
    <w:rsid w:val="004A7F5C"/>
    <w:rsid w:val="004B17FF"/>
    <w:rsid w:val="004B3936"/>
    <w:rsid w:val="004B3E07"/>
    <w:rsid w:val="004B753B"/>
    <w:rsid w:val="004B7620"/>
    <w:rsid w:val="004B763D"/>
    <w:rsid w:val="004B7C62"/>
    <w:rsid w:val="004C09B0"/>
    <w:rsid w:val="004C127F"/>
    <w:rsid w:val="004C2562"/>
    <w:rsid w:val="004C26C2"/>
    <w:rsid w:val="004C2724"/>
    <w:rsid w:val="004C3442"/>
    <w:rsid w:val="004C4AC1"/>
    <w:rsid w:val="004C546D"/>
    <w:rsid w:val="004C5522"/>
    <w:rsid w:val="004C5D4C"/>
    <w:rsid w:val="004C68E4"/>
    <w:rsid w:val="004D034C"/>
    <w:rsid w:val="004D33AD"/>
    <w:rsid w:val="004D3B66"/>
    <w:rsid w:val="004D3C5D"/>
    <w:rsid w:val="004D3FB4"/>
    <w:rsid w:val="004D459C"/>
    <w:rsid w:val="004D475F"/>
    <w:rsid w:val="004D518E"/>
    <w:rsid w:val="004D564B"/>
    <w:rsid w:val="004D6770"/>
    <w:rsid w:val="004D6BB7"/>
    <w:rsid w:val="004D7042"/>
    <w:rsid w:val="004D7637"/>
    <w:rsid w:val="004D7A6E"/>
    <w:rsid w:val="004E0AF7"/>
    <w:rsid w:val="004E0D01"/>
    <w:rsid w:val="004E1FA2"/>
    <w:rsid w:val="004E320A"/>
    <w:rsid w:val="004E3E74"/>
    <w:rsid w:val="004E404B"/>
    <w:rsid w:val="004E47EE"/>
    <w:rsid w:val="004E4CB7"/>
    <w:rsid w:val="004E59AB"/>
    <w:rsid w:val="004E7742"/>
    <w:rsid w:val="004F00DD"/>
    <w:rsid w:val="004F012F"/>
    <w:rsid w:val="004F1063"/>
    <w:rsid w:val="004F158F"/>
    <w:rsid w:val="004F1F93"/>
    <w:rsid w:val="004F22FF"/>
    <w:rsid w:val="004F2AAC"/>
    <w:rsid w:val="004F31DE"/>
    <w:rsid w:val="004F3528"/>
    <w:rsid w:val="004F510F"/>
    <w:rsid w:val="004F71F4"/>
    <w:rsid w:val="00500A61"/>
    <w:rsid w:val="005014B7"/>
    <w:rsid w:val="00501935"/>
    <w:rsid w:val="00502006"/>
    <w:rsid w:val="005025BA"/>
    <w:rsid w:val="00502D09"/>
    <w:rsid w:val="00502FBE"/>
    <w:rsid w:val="005032B7"/>
    <w:rsid w:val="00503315"/>
    <w:rsid w:val="005035B5"/>
    <w:rsid w:val="00504988"/>
    <w:rsid w:val="00505275"/>
    <w:rsid w:val="005065E9"/>
    <w:rsid w:val="005102E6"/>
    <w:rsid w:val="00510409"/>
    <w:rsid w:val="005108E8"/>
    <w:rsid w:val="00511AF1"/>
    <w:rsid w:val="00513515"/>
    <w:rsid w:val="00513A87"/>
    <w:rsid w:val="00513AF1"/>
    <w:rsid w:val="00515A5D"/>
    <w:rsid w:val="00516295"/>
    <w:rsid w:val="0051728B"/>
    <w:rsid w:val="00517F0F"/>
    <w:rsid w:val="00520D06"/>
    <w:rsid w:val="005210E3"/>
    <w:rsid w:val="00522540"/>
    <w:rsid w:val="00522E19"/>
    <w:rsid w:val="00523C6D"/>
    <w:rsid w:val="005248C0"/>
    <w:rsid w:val="00524D08"/>
    <w:rsid w:val="00524D95"/>
    <w:rsid w:val="0052577C"/>
    <w:rsid w:val="00526D5C"/>
    <w:rsid w:val="0052777E"/>
    <w:rsid w:val="00527CB9"/>
    <w:rsid w:val="00527E2C"/>
    <w:rsid w:val="00530346"/>
    <w:rsid w:val="0053055A"/>
    <w:rsid w:val="005307B2"/>
    <w:rsid w:val="00531014"/>
    <w:rsid w:val="005318BB"/>
    <w:rsid w:val="00531CA0"/>
    <w:rsid w:val="00531E44"/>
    <w:rsid w:val="00532420"/>
    <w:rsid w:val="00532FD8"/>
    <w:rsid w:val="0053341B"/>
    <w:rsid w:val="00534B8E"/>
    <w:rsid w:val="00534D28"/>
    <w:rsid w:val="00534EDD"/>
    <w:rsid w:val="005359D0"/>
    <w:rsid w:val="00535DB0"/>
    <w:rsid w:val="0053682F"/>
    <w:rsid w:val="005374A6"/>
    <w:rsid w:val="005409EC"/>
    <w:rsid w:val="005415CC"/>
    <w:rsid w:val="00541C44"/>
    <w:rsid w:val="00542652"/>
    <w:rsid w:val="00542D33"/>
    <w:rsid w:val="00542EFB"/>
    <w:rsid w:val="0054454C"/>
    <w:rsid w:val="00544B46"/>
    <w:rsid w:val="00547761"/>
    <w:rsid w:val="0055011B"/>
    <w:rsid w:val="00550C5C"/>
    <w:rsid w:val="00551A2E"/>
    <w:rsid w:val="00552521"/>
    <w:rsid w:val="0055284B"/>
    <w:rsid w:val="00552A00"/>
    <w:rsid w:val="005533F0"/>
    <w:rsid w:val="005536DF"/>
    <w:rsid w:val="00553BBE"/>
    <w:rsid w:val="00553D0F"/>
    <w:rsid w:val="00554706"/>
    <w:rsid w:val="005547ED"/>
    <w:rsid w:val="00554D39"/>
    <w:rsid w:val="005553C0"/>
    <w:rsid w:val="00556596"/>
    <w:rsid w:val="00557B98"/>
    <w:rsid w:val="00557F0D"/>
    <w:rsid w:val="00557F2A"/>
    <w:rsid w:val="00560AA7"/>
    <w:rsid w:val="00560E6F"/>
    <w:rsid w:val="00561C37"/>
    <w:rsid w:val="0056298E"/>
    <w:rsid w:val="0056364A"/>
    <w:rsid w:val="00563EFD"/>
    <w:rsid w:val="00564BCB"/>
    <w:rsid w:val="00564F6A"/>
    <w:rsid w:val="00565D8A"/>
    <w:rsid w:val="00566110"/>
    <w:rsid w:val="0056703E"/>
    <w:rsid w:val="0056712E"/>
    <w:rsid w:val="005677F5"/>
    <w:rsid w:val="00570075"/>
    <w:rsid w:val="005700C5"/>
    <w:rsid w:val="00570F51"/>
    <w:rsid w:val="00571094"/>
    <w:rsid w:val="00571F3B"/>
    <w:rsid w:val="00574D0E"/>
    <w:rsid w:val="00575464"/>
    <w:rsid w:val="0057568D"/>
    <w:rsid w:val="00576A78"/>
    <w:rsid w:val="00576DFC"/>
    <w:rsid w:val="0057745E"/>
    <w:rsid w:val="00577A56"/>
    <w:rsid w:val="0058070D"/>
    <w:rsid w:val="005809AC"/>
    <w:rsid w:val="005818B3"/>
    <w:rsid w:val="00581B4E"/>
    <w:rsid w:val="00582357"/>
    <w:rsid w:val="0058372C"/>
    <w:rsid w:val="00586FA7"/>
    <w:rsid w:val="00590565"/>
    <w:rsid w:val="0059119E"/>
    <w:rsid w:val="005917A2"/>
    <w:rsid w:val="00591A02"/>
    <w:rsid w:val="0059253E"/>
    <w:rsid w:val="005928B3"/>
    <w:rsid w:val="005929C3"/>
    <w:rsid w:val="00593A69"/>
    <w:rsid w:val="00593EA4"/>
    <w:rsid w:val="005955F2"/>
    <w:rsid w:val="0059650B"/>
    <w:rsid w:val="005965AF"/>
    <w:rsid w:val="00596B6C"/>
    <w:rsid w:val="00596C2E"/>
    <w:rsid w:val="00597225"/>
    <w:rsid w:val="005A00B1"/>
    <w:rsid w:val="005A0347"/>
    <w:rsid w:val="005A05BC"/>
    <w:rsid w:val="005A245E"/>
    <w:rsid w:val="005A24F3"/>
    <w:rsid w:val="005A2521"/>
    <w:rsid w:val="005A27D8"/>
    <w:rsid w:val="005A2EE9"/>
    <w:rsid w:val="005A3644"/>
    <w:rsid w:val="005A57E7"/>
    <w:rsid w:val="005A5CBB"/>
    <w:rsid w:val="005A7358"/>
    <w:rsid w:val="005A760D"/>
    <w:rsid w:val="005A7674"/>
    <w:rsid w:val="005A7690"/>
    <w:rsid w:val="005A7A27"/>
    <w:rsid w:val="005B144E"/>
    <w:rsid w:val="005B23D7"/>
    <w:rsid w:val="005B263B"/>
    <w:rsid w:val="005B2FAA"/>
    <w:rsid w:val="005B32A3"/>
    <w:rsid w:val="005B3776"/>
    <w:rsid w:val="005B4BEB"/>
    <w:rsid w:val="005B4F41"/>
    <w:rsid w:val="005B5130"/>
    <w:rsid w:val="005B563F"/>
    <w:rsid w:val="005B572C"/>
    <w:rsid w:val="005B5F94"/>
    <w:rsid w:val="005B66F9"/>
    <w:rsid w:val="005B7E72"/>
    <w:rsid w:val="005B7E9E"/>
    <w:rsid w:val="005C0184"/>
    <w:rsid w:val="005C03A4"/>
    <w:rsid w:val="005C0F65"/>
    <w:rsid w:val="005C1B95"/>
    <w:rsid w:val="005C1C0E"/>
    <w:rsid w:val="005C1FFB"/>
    <w:rsid w:val="005C24D6"/>
    <w:rsid w:val="005C2E86"/>
    <w:rsid w:val="005C5230"/>
    <w:rsid w:val="005C54BC"/>
    <w:rsid w:val="005C6554"/>
    <w:rsid w:val="005C6600"/>
    <w:rsid w:val="005C6BD1"/>
    <w:rsid w:val="005C70BF"/>
    <w:rsid w:val="005C739C"/>
    <w:rsid w:val="005D1949"/>
    <w:rsid w:val="005D2D97"/>
    <w:rsid w:val="005D2E60"/>
    <w:rsid w:val="005D35A1"/>
    <w:rsid w:val="005D37A8"/>
    <w:rsid w:val="005D4FD1"/>
    <w:rsid w:val="005D57E7"/>
    <w:rsid w:val="005D5ABC"/>
    <w:rsid w:val="005D69EA"/>
    <w:rsid w:val="005D7950"/>
    <w:rsid w:val="005D7E69"/>
    <w:rsid w:val="005E1145"/>
    <w:rsid w:val="005E1770"/>
    <w:rsid w:val="005E1E0D"/>
    <w:rsid w:val="005E292E"/>
    <w:rsid w:val="005E2AD1"/>
    <w:rsid w:val="005E2CC9"/>
    <w:rsid w:val="005E2D42"/>
    <w:rsid w:val="005E3ABE"/>
    <w:rsid w:val="005E3D1C"/>
    <w:rsid w:val="005E6324"/>
    <w:rsid w:val="005E6528"/>
    <w:rsid w:val="005F1A37"/>
    <w:rsid w:val="005F1D0B"/>
    <w:rsid w:val="005F2246"/>
    <w:rsid w:val="005F27D4"/>
    <w:rsid w:val="005F2BBE"/>
    <w:rsid w:val="005F35FE"/>
    <w:rsid w:val="005F4425"/>
    <w:rsid w:val="005F6B3D"/>
    <w:rsid w:val="005F741F"/>
    <w:rsid w:val="005F7FDE"/>
    <w:rsid w:val="006026DB"/>
    <w:rsid w:val="00604F4D"/>
    <w:rsid w:val="006064E2"/>
    <w:rsid w:val="00606979"/>
    <w:rsid w:val="00607DBC"/>
    <w:rsid w:val="006112DE"/>
    <w:rsid w:val="0061176F"/>
    <w:rsid w:val="006120D3"/>
    <w:rsid w:val="006129FB"/>
    <w:rsid w:val="00612D3A"/>
    <w:rsid w:val="006139D6"/>
    <w:rsid w:val="00613F17"/>
    <w:rsid w:val="006141DB"/>
    <w:rsid w:val="00614935"/>
    <w:rsid w:val="00614E26"/>
    <w:rsid w:val="00615439"/>
    <w:rsid w:val="00615925"/>
    <w:rsid w:val="00615B22"/>
    <w:rsid w:val="00617CFD"/>
    <w:rsid w:val="00617EA7"/>
    <w:rsid w:val="006201B1"/>
    <w:rsid w:val="00620D3E"/>
    <w:rsid w:val="00620DBD"/>
    <w:rsid w:val="00621ACC"/>
    <w:rsid w:val="00621E14"/>
    <w:rsid w:val="00622007"/>
    <w:rsid w:val="0062243D"/>
    <w:rsid w:val="0062311F"/>
    <w:rsid w:val="00624D70"/>
    <w:rsid w:val="006302BE"/>
    <w:rsid w:val="006307DD"/>
    <w:rsid w:val="00633201"/>
    <w:rsid w:val="00634991"/>
    <w:rsid w:val="0063633C"/>
    <w:rsid w:val="006365B9"/>
    <w:rsid w:val="00636B1E"/>
    <w:rsid w:val="00636C40"/>
    <w:rsid w:val="0063742D"/>
    <w:rsid w:val="006377F2"/>
    <w:rsid w:val="00637F59"/>
    <w:rsid w:val="006400BB"/>
    <w:rsid w:val="0064052C"/>
    <w:rsid w:val="00642751"/>
    <w:rsid w:val="006437E2"/>
    <w:rsid w:val="00644802"/>
    <w:rsid w:val="00645E0E"/>
    <w:rsid w:val="00645F9C"/>
    <w:rsid w:val="00646538"/>
    <w:rsid w:val="006470B6"/>
    <w:rsid w:val="006474D8"/>
    <w:rsid w:val="006505D9"/>
    <w:rsid w:val="00651443"/>
    <w:rsid w:val="00651539"/>
    <w:rsid w:val="006516D0"/>
    <w:rsid w:val="006543CD"/>
    <w:rsid w:val="00655515"/>
    <w:rsid w:val="006555B8"/>
    <w:rsid w:val="00660036"/>
    <w:rsid w:val="00661FAF"/>
    <w:rsid w:val="00663350"/>
    <w:rsid w:val="006644D0"/>
    <w:rsid w:val="00666950"/>
    <w:rsid w:val="00666973"/>
    <w:rsid w:val="00670228"/>
    <w:rsid w:val="006714E0"/>
    <w:rsid w:val="00673016"/>
    <w:rsid w:val="00674A6D"/>
    <w:rsid w:val="00675EBD"/>
    <w:rsid w:val="0067634B"/>
    <w:rsid w:val="00676407"/>
    <w:rsid w:val="006765E4"/>
    <w:rsid w:val="006770D9"/>
    <w:rsid w:val="006776C6"/>
    <w:rsid w:val="0067772C"/>
    <w:rsid w:val="00677BD9"/>
    <w:rsid w:val="00680370"/>
    <w:rsid w:val="006819D5"/>
    <w:rsid w:val="00681DF4"/>
    <w:rsid w:val="006822B2"/>
    <w:rsid w:val="006835AA"/>
    <w:rsid w:val="00683B5A"/>
    <w:rsid w:val="00684F35"/>
    <w:rsid w:val="006878FA"/>
    <w:rsid w:val="00690729"/>
    <w:rsid w:val="00690ECE"/>
    <w:rsid w:val="00692F2C"/>
    <w:rsid w:val="006931D3"/>
    <w:rsid w:val="00693F3A"/>
    <w:rsid w:val="00694654"/>
    <w:rsid w:val="006956AA"/>
    <w:rsid w:val="0069621B"/>
    <w:rsid w:val="0069655C"/>
    <w:rsid w:val="006976EA"/>
    <w:rsid w:val="00697AAE"/>
    <w:rsid w:val="006A0298"/>
    <w:rsid w:val="006A3C54"/>
    <w:rsid w:val="006A5B67"/>
    <w:rsid w:val="006A701A"/>
    <w:rsid w:val="006B3ED8"/>
    <w:rsid w:val="006B3F0D"/>
    <w:rsid w:val="006B50E4"/>
    <w:rsid w:val="006B51AB"/>
    <w:rsid w:val="006B52BA"/>
    <w:rsid w:val="006B5721"/>
    <w:rsid w:val="006B69C6"/>
    <w:rsid w:val="006B74D7"/>
    <w:rsid w:val="006B7CE2"/>
    <w:rsid w:val="006C1D0D"/>
    <w:rsid w:val="006C292B"/>
    <w:rsid w:val="006C30F9"/>
    <w:rsid w:val="006C33B1"/>
    <w:rsid w:val="006C33BE"/>
    <w:rsid w:val="006C33F5"/>
    <w:rsid w:val="006C417B"/>
    <w:rsid w:val="006C4F36"/>
    <w:rsid w:val="006C738A"/>
    <w:rsid w:val="006D0B89"/>
    <w:rsid w:val="006D3BD8"/>
    <w:rsid w:val="006D4297"/>
    <w:rsid w:val="006D4326"/>
    <w:rsid w:val="006D5D50"/>
    <w:rsid w:val="006D5FF2"/>
    <w:rsid w:val="006D6CC2"/>
    <w:rsid w:val="006D7647"/>
    <w:rsid w:val="006E01C8"/>
    <w:rsid w:val="006E07BD"/>
    <w:rsid w:val="006E260E"/>
    <w:rsid w:val="006E36ED"/>
    <w:rsid w:val="006E38AC"/>
    <w:rsid w:val="006E3CAC"/>
    <w:rsid w:val="006E45DB"/>
    <w:rsid w:val="006E47CB"/>
    <w:rsid w:val="006E54AE"/>
    <w:rsid w:val="006E5E46"/>
    <w:rsid w:val="006E6D5B"/>
    <w:rsid w:val="006E748C"/>
    <w:rsid w:val="006E7574"/>
    <w:rsid w:val="006E767D"/>
    <w:rsid w:val="006E78BC"/>
    <w:rsid w:val="006E7C18"/>
    <w:rsid w:val="006F0366"/>
    <w:rsid w:val="006F05EF"/>
    <w:rsid w:val="006F11EC"/>
    <w:rsid w:val="006F1ADA"/>
    <w:rsid w:val="006F4801"/>
    <w:rsid w:val="006F4C76"/>
    <w:rsid w:val="006F5420"/>
    <w:rsid w:val="006F6462"/>
    <w:rsid w:val="006F6B39"/>
    <w:rsid w:val="00700017"/>
    <w:rsid w:val="00700117"/>
    <w:rsid w:val="007022B2"/>
    <w:rsid w:val="007023D3"/>
    <w:rsid w:val="007024DE"/>
    <w:rsid w:val="00702786"/>
    <w:rsid w:val="00704A94"/>
    <w:rsid w:val="007057B4"/>
    <w:rsid w:val="007058AE"/>
    <w:rsid w:val="007059CB"/>
    <w:rsid w:val="00705EB9"/>
    <w:rsid w:val="007061EA"/>
    <w:rsid w:val="007066AC"/>
    <w:rsid w:val="00706A0A"/>
    <w:rsid w:val="00710854"/>
    <w:rsid w:val="00710C45"/>
    <w:rsid w:val="007113BE"/>
    <w:rsid w:val="00711472"/>
    <w:rsid w:val="00711EE2"/>
    <w:rsid w:val="007126E6"/>
    <w:rsid w:val="00713AB1"/>
    <w:rsid w:val="00713BC0"/>
    <w:rsid w:val="00713BF1"/>
    <w:rsid w:val="00715451"/>
    <w:rsid w:val="00716264"/>
    <w:rsid w:val="00717781"/>
    <w:rsid w:val="007208CF"/>
    <w:rsid w:val="00721277"/>
    <w:rsid w:val="00721615"/>
    <w:rsid w:val="00722F05"/>
    <w:rsid w:val="00723F33"/>
    <w:rsid w:val="007250B5"/>
    <w:rsid w:val="00725853"/>
    <w:rsid w:val="00726287"/>
    <w:rsid w:val="00727481"/>
    <w:rsid w:val="00731D7D"/>
    <w:rsid w:val="007320D9"/>
    <w:rsid w:val="007322A3"/>
    <w:rsid w:val="007336C5"/>
    <w:rsid w:val="00733AD7"/>
    <w:rsid w:val="00733BAE"/>
    <w:rsid w:val="00735018"/>
    <w:rsid w:val="00736431"/>
    <w:rsid w:val="00737FD4"/>
    <w:rsid w:val="007400F4"/>
    <w:rsid w:val="00740719"/>
    <w:rsid w:val="00741831"/>
    <w:rsid w:val="00741A4D"/>
    <w:rsid w:val="0074217B"/>
    <w:rsid w:val="00742303"/>
    <w:rsid w:val="007430F9"/>
    <w:rsid w:val="007451C8"/>
    <w:rsid w:val="007455F3"/>
    <w:rsid w:val="0074580D"/>
    <w:rsid w:val="00745FD2"/>
    <w:rsid w:val="00746B75"/>
    <w:rsid w:val="00746C80"/>
    <w:rsid w:val="0074771A"/>
    <w:rsid w:val="0074771E"/>
    <w:rsid w:val="007505DD"/>
    <w:rsid w:val="00751020"/>
    <w:rsid w:val="007530B9"/>
    <w:rsid w:val="007555A6"/>
    <w:rsid w:val="007575B9"/>
    <w:rsid w:val="00757B11"/>
    <w:rsid w:val="00757CFD"/>
    <w:rsid w:val="0076012D"/>
    <w:rsid w:val="007621E8"/>
    <w:rsid w:val="0076297F"/>
    <w:rsid w:val="007645AF"/>
    <w:rsid w:val="00765293"/>
    <w:rsid w:val="007664FE"/>
    <w:rsid w:val="00766AEC"/>
    <w:rsid w:val="007678E3"/>
    <w:rsid w:val="0077057E"/>
    <w:rsid w:val="00771203"/>
    <w:rsid w:val="0077150A"/>
    <w:rsid w:val="00773378"/>
    <w:rsid w:val="00773A9A"/>
    <w:rsid w:val="00773F42"/>
    <w:rsid w:val="00774661"/>
    <w:rsid w:val="00774D7D"/>
    <w:rsid w:val="00775699"/>
    <w:rsid w:val="007771C2"/>
    <w:rsid w:val="0078024E"/>
    <w:rsid w:val="007802C3"/>
    <w:rsid w:val="007810F8"/>
    <w:rsid w:val="00781D90"/>
    <w:rsid w:val="00781F8C"/>
    <w:rsid w:val="0078229F"/>
    <w:rsid w:val="00783B92"/>
    <w:rsid w:val="00783EE2"/>
    <w:rsid w:val="0078483A"/>
    <w:rsid w:val="00784AF6"/>
    <w:rsid w:val="007860D9"/>
    <w:rsid w:val="00786533"/>
    <w:rsid w:val="00787B59"/>
    <w:rsid w:val="00791DFC"/>
    <w:rsid w:val="00791E7D"/>
    <w:rsid w:val="00792989"/>
    <w:rsid w:val="00792B93"/>
    <w:rsid w:val="007930C2"/>
    <w:rsid w:val="007952EB"/>
    <w:rsid w:val="00795975"/>
    <w:rsid w:val="007969A0"/>
    <w:rsid w:val="007969DC"/>
    <w:rsid w:val="007A03CC"/>
    <w:rsid w:val="007A14FF"/>
    <w:rsid w:val="007A1628"/>
    <w:rsid w:val="007A21FB"/>
    <w:rsid w:val="007A228E"/>
    <w:rsid w:val="007A2ED1"/>
    <w:rsid w:val="007A348B"/>
    <w:rsid w:val="007A3711"/>
    <w:rsid w:val="007A42F5"/>
    <w:rsid w:val="007A4691"/>
    <w:rsid w:val="007A5945"/>
    <w:rsid w:val="007A5CA6"/>
    <w:rsid w:val="007A69A6"/>
    <w:rsid w:val="007A6B1F"/>
    <w:rsid w:val="007A7121"/>
    <w:rsid w:val="007A7401"/>
    <w:rsid w:val="007A7711"/>
    <w:rsid w:val="007A7775"/>
    <w:rsid w:val="007B077F"/>
    <w:rsid w:val="007B1B96"/>
    <w:rsid w:val="007B2B8D"/>
    <w:rsid w:val="007B3633"/>
    <w:rsid w:val="007B5310"/>
    <w:rsid w:val="007B5519"/>
    <w:rsid w:val="007B58DA"/>
    <w:rsid w:val="007B67D8"/>
    <w:rsid w:val="007B6C7D"/>
    <w:rsid w:val="007B79D2"/>
    <w:rsid w:val="007B7E7A"/>
    <w:rsid w:val="007C02C5"/>
    <w:rsid w:val="007C0609"/>
    <w:rsid w:val="007C063C"/>
    <w:rsid w:val="007C0C81"/>
    <w:rsid w:val="007C1B07"/>
    <w:rsid w:val="007C2099"/>
    <w:rsid w:val="007C2394"/>
    <w:rsid w:val="007C3FFB"/>
    <w:rsid w:val="007C4D17"/>
    <w:rsid w:val="007C5BD5"/>
    <w:rsid w:val="007C5C6A"/>
    <w:rsid w:val="007C60F3"/>
    <w:rsid w:val="007C62E1"/>
    <w:rsid w:val="007C66F5"/>
    <w:rsid w:val="007C66FF"/>
    <w:rsid w:val="007D01B2"/>
    <w:rsid w:val="007D026A"/>
    <w:rsid w:val="007D0CE7"/>
    <w:rsid w:val="007D0EE8"/>
    <w:rsid w:val="007D11FB"/>
    <w:rsid w:val="007D145A"/>
    <w:rsid w:val="007D192B"/>
    <w:rsid w:val="007D2756"/>
    <w:rsid w:val="007D2E98"/>
    <w:rsid w:val="007D4D46"/>
    <w:rsid w:val="007D61F5"/>
    <w:rsid w:val="007D7302"/>
    <w:rsid w:val="007D7838"/>
    <w:rsid w:val="007D788E"/>
    <w:rsid w:val="007D7BF1"/>
    <w:rsid w:val="007D7D74"/>
    <w:rsid w:val="007E0A68"/>
    <w:rsid w:val="007E3360"/>
    <w:rsid w:val="007E4F0D"/>
    <w:rsid w:val="007E555A"/>
    <w:rsid w:val="007E660C"/>
    <w:rsid w:val="007E7D3C"/>
    <w:rsid w:val="007F054C"/>
    <w:rsid w:val="007F1201"/>
    <w:rsid w:val="007F122E"/>
    <w:rsid w:val="007F1371"/>
    <w:rsid w:val="007F25C0"/>
    <w:rsid w:val="007F25CE"/>
    <w:rsid w:val="007F26A2"/>
    <w:rsid w:val="007F29DE"/>
    <w:rsid w:val="007F2A85"/>
    <w:rsid w:val="007F39F4"/>
    <w:rsid w:val="007F3D5D"/>
    <w:rsid w:val="007F4164"/>
    <w:rsid w:val="007F486B"/>
    <w:rsid w:val="007F5448"/>
    <w:rsid w:val="007F6020"/>
    <w:rsid w:val="007F6638"/>
    <w:rsid w:val="007F6785"/>
    <w:rsid w:val="007F7D4D"/>
    <w:rsid w:val="0080048E"/>
    <w:rsid w:val="0080094E"/>
    <w:rsid w:val="00800C38"/>
    <w:rsid w:val="00800DEF"/>
    <w:rsid w:val="0080154E"/>
    <w:rsid w:val="008027A4"/>
    <w:rsid w:val="00802C8F"/>
    <w:rsid w:val="00802D1A"/>
    <w:rsid w:val="00803328"/>
    <w:rsid w:val="00803F68"/>
    <w:rsid w:val="0080406B"/>
    <w:rsid w:val="008050C9"/>
    <w:rsid w:val="008058A2"/>
    <w:rsid w:val="00806F24"/>
    <w:rsid w:val="00807447"/>
    <w:rsid w:val="00807D30"/>
    <w:rsid w:val="00807F68"/>
    <w:rsid w:val="008110E0"/>
    <w:rsid w:val="00812C3C"/>
    <w:rsid w:val="0081321D"/>
    <w:rsid w:val="00813B23"/>
    <w:rsid w:val="00814349"/>
    <w:rsid w:val="00814991"/>
    <w:rsid w:val="00814B31"/>
    <w:rsid w:val="00814FBE"/>
    <w:rsid w:val="00815DE1"/>
    <w:rsid w:val="0081618D"/>
    <w:rsid w:val="00816207"/>
    <w:rsid w:val="00816242"/>
    <w:rsid w:val="008169CA"/>
    <w:rsid w:val="00820A95"/>
    <w:rsid w:val="00821202"/>
    <w:rsid w:val="0082334E"/>
    <w:rsid w:val="008237B0"/>
    <w:rsid w:val="00823A0A"/>
    <w:rsid w:val="00823B05"/>
    <w:rsid w:val="00824BB3"/>
    <w:rsid w:val="00826733"/>
    <w:rsid w:val="008268B6"/>
    <w:rsid w:val="00826BE6"/>
    <w:rsid w:val="00827049"/>
    <w:rsid w:val="00827A8C"/>
    <w:rsid w:val="00827CBF"/>
    <w:rsid w:val="00830FC3"/>
    <w:rsid w:val="008316A7"/>
    <w:rsid w:val="008319C9"/>
    <w:rsid w:val="00832185"/>
    <w:rsid w:val="00832BED"/>
    <w:rsid w:val="008335FB"/>
    <w:rsid w:val="0083372B"/>
    <w:rsid w:val="00833A7B"/>
    <w:rsid w:val="00834844"/>
    <w:rsid w:val="0083498F"/>
    <w:rsid w:val="00834A3A"/>
    <w:rsid w:val="00835114"/>
    <w:rsid w:val="00835F63"/>
    <w:rsid w:val="00835F75"/>
    <w:rsid w:val="00836362"/>
    <w:rsid w:val="00837244"/>
    <w:rsid w:val="008373D8"/>
    <w:rsid w:val="00837693"/>
    <w:rsid w:val="00840122"/>
    <w:rsid w:val="0084021A"/>
    <w:rsid w:val="00840ACA"/>
    <w:rsid w:val="00841313"/>
    <w:rsid w:val="008436D4"/>
    <w:rsid w:val="00844C30"/>
    <w:rsid w:val="00844CC2"/>
    <w:rsid w:val="0084583D"/>
    <w:rsid w:val="008462D0"/>
    <w:rsid w:val="0084691F"/>
    <w:rsid w:val="00846AB5"/>
    <w:rsid w:val="00846B1F"/>
    <w:rsid w:val="00846BA2"/>
    <w:rsid w:val="0084709D"/>
    <w:rsid w:val="008476BC"/>
    <w:rsid w:val="00847EDC"/>
    <w:rsid w:val="00851200"/>
    <w:rsid w:val="0085150B"/>
    <w:rsid w:val="00851AA4"/>
    <w:rsid w:val="00851F28"/>
    <w:rsid w:val="00852F29"/>
    <w:rsid w:val="00853593"/>
    <w:rsid w:val="008538BB"/>
    <w:rsid w:val="008538FA"/>
    <w:rsid w:val="00853B51"/>
    <w:rsid w:val="00854A70"/>
    <w:rsid w:val="00855587"/>
    <w:rsid w:val="00855721"/>
    <w:rsid w:val="00856210"/>
    <w:rsid w:val="008564C0"/>
    <w:rsid w:val="00856B64"/>
    <w:rsid w:val="008574EF"/>
    <w:rsid w:val="0086005F"/>
    <w:rsid w:val="00860110"/>
    <w:rsid w:val="00860678"/>
    <w:rsid w:val="00860FEF"/>
    <w:rsid w:val="00862426"/>
    <w:rsid w:val="00862E09"/>
    <w:rsid w:val="0086304E"/>
    <w:rsid w:val="00863596"/>
    <w:rsid w:val="008657E1"/>
    <w:rsid w:val="00865A60"/>
    <w:rsid w:val="00865D4C"/>
    <w:rsid w:val="008662B2"/>
    <w:rsid w:val="008665BA"/>
    <w:rsid w:val="0086693B"/>
    <w:rsid w:val="00866F89"/>
    <w:rsid w:val="00867F8F"/>
    <w:rsid w:val="00870969"/>
    <w:rsid w:val="00870BCB"/>
    <w:rsid w:val="00871A12"/>
    <w:rsid w:val="0087258B"/>
    <w:rsid w:val="008728DA"/>
    <w:rsid w:val="00872B66"/>
    <w:rsid w:val="008736D9"/>
    <w:rsid w:val="0087423E"/>
    <w:rsid w:val="008749E6"/>
    <w:rsid w:val="008758C9"/>
    <w:rsid w:val="00875AB3"/>
    <w:rsid w:val="00877738"/>
    <w:rsid w:val="008809E0"/>
    <w:rsid w:val="0088227C"/>
    <w:rsid w:val="00883A22"/>
    <w:rsid w:val="00884F47"/>
    <w:rsid w:val="00885067"/>
    <w:rsid w:val="00890612"/>
    <w:rsid w:val="00890E44"/>
    <w:rsid w:val="008913E6"/>
    <w:rsid w:val="008919C3"/>
    <w:rsid w:val="0089268E"/>
    <w:rsid w:val="00893477"/>
    <w:rsid w:val="0089367D"/>
    <w:rsid w:val="008939B0"/>
    <w:rsid w:val="00893BA2"/>
    <w:rsid w:val="00893CE9"/>
    <w:rsid w:val="00894069"/>
    <w:rsid w:val="00894285"/>
    <w:rsid w:val="00895779"/>
    <w:rsid w:val="00895F71"/>
    <w:rsid w:val="008A08E6"/>
    <w:rsid w:val="008A0C73"/>
    <w:rsid w:val="008A4BA2"/>
    <w:rsid w:val="008A5575"/>
    <w:rsid w:val="008A6439"/>
    <w:rsid w:val="008A6631"/>
    <w:rsid w:val="008A6E0C"/>
    <w:rsid w:val="008B02E5"/>
    <w:rsid w:val="008B0B27"/>
    <w:rsid w:val="008B171A"/>
    <w:rsid w:val="008B2735"/>
    <w:rsid w:val="008B2DD0"/>
    <w:rsid w:val="008B43CA"/>
    <w:rsid w:val="008B4C4E"/>
    <w:rsid w:val="008B5168"/>
    <w:rsid w:val="008B53AB"/>
    <w:rsid w:val="008B5634"/>
    <w:rsid w:val="008B6911"/>
    <w:rsid w:val="008B76B6"/>
    <w:rsid w:val="008C05D7"/>
    <w:rsid w:val="008C0709"/>
    <w:rsid w:val="008C0DB3"/>
    <w:rsid w:val="008C10DA"/>
    <w:rsid w:val="008C1102"/>
    <w:rsid w:val="008C1409"/>
    <w:rsid w:val="008C14C8"/>
    <w:rsid w:val="008C3DCD"/>
    <w:rsid w:val="008C3EDA"/>
    <w:rsid w:val="008C4156"/>
    <w:rsid w:val="008C5283"/>
    <w:rsid w:val="008C52AC"/>
    <w:rsid w:val="008C5855"/>
    <w:rsid w:val="008C68A3"/>
    <w:rsid w:val="008C7171"/>
    <w:rsid w:val="008C7D3B"/>
    <w:rsid w:val="008D056F"/>
    <w:rsid w:val="008D0D89"/>
    <w:rsid w:val="008D11A4"/>
    <w:rsid w:val="008D1940"/>
    <w:rsid w:val="008D248C"/>
    <w:rsid w:val="008D2A3C"/>
    <w:rsid w:val="008D2C0A"/>
    <w:rsid w:val="008D3808"/>
    <w:rsid w:val="008D39E6"/>
    <w:rsid w:val="008D564B"/>
    <w:rsid w:val="008D6170"/>
    <w:rsid w:val="008D6F08"/>
    <w:rsid w:val="008D74AC"/>
    <w:rsid w:val="008D7CDD"/>
    <w:rsid w:val="008E2C37"/>
    <w:rsid w:val="008E3E4A"/>
    <w:rsid w:val="008E4861"/>
    <w:rsid w:val="008E4A0F"/>
    <w:rsid w:val="008E674B"/>
    <w:rsid w:val="008E6FFE"/>
    <w:rsid w:val="008E729A"/>
    <w:rsid w:val="008E79B7"/>
    <w:rsid w:val="008E7B5C"/>
    <w:rsid w:val="008F0A82"/>
    <w:rsid w:val="008F21ED"/>
    <w:rsid w:val="008F28F3"/>
    <w:rsid w:val="008F2F0C"/>
    <w:rsid w:val="008F4998"/>
    <w:rsid w:val="008F4B1D"/>
    <w:rsid w:val="008F4DB0"/>
    <w:rsid w:val="008F5034"/>
    <w:rsid w:val="008F56EB"/>
    <w:rsid w:val="008F6CCC"/>
    <w:rsid w:val="008F78D5"/>
    <w:rsid w:val="008F79FB"/>
    <w:rsid w:val="00901C34"/>
    <w:rsid w:val="0090333B"/>
    <w:rsid w:val="00903404"/>
    <w:rsid w:val="00903E81"/>
    <w:rsid w:val="009052E0"/>
    <w:rsid w:val="009062E1"/>
    <w:rsid w:val="00906707"/>
    <w:rsid w:val="00907C1A"/>
    <w:rsid w:val="00910C40"/>
    <w:rsid w:val="00911A8D"/>
    <w:rsid w:val="00911CA7"/>
    <w:rsid w:val="00912606"/>
    <w:rsid w:val="009142A0"/>
    <w:rsid w:val="009147CD"/>
    <w:rsid w:val="009158D5"/>
    <w:rsid w:val="00915D43"/>
    <w:rsid w:val="009166C6"/>
    <w:rsid w:val="00917F52"/>
    <w:rsid w:val="009204D6"/>
    <w:rsid w:val="00920BAB"/>
    <w:rsid w:val="00922574"/>
    <w:rsid w:val="00922657"/>
    <w:rsid w:val="009227E4"/>
    <w:rsid w:val="00924A25"/>
    <w:rsid w:val="00924C55"/>
    <w:rsid w:val="00925421"/>
    <w:rsid w:val="009255F5"/>
    <w:rsid w:val="0092621A"/>
    <w:rsid w:val="009262AA"/>
    <w:rsid w:val="00927F2B"/>
    <w:rsid w:val="009302A4"/>
    <w:rsid w:val="009311DA"/>
    <w:rsid w:val="00931ACE"/>
    <w:rsid w:val="00931E85"/>
    <w:rsid w:val="00932BB7"/>
    <w:rsid w:val="009331D1"/>
    <w:rsid w:val="009348D2"/>
    <w:rsid w:val="00934E8A"/>
    <w:rsid w:val="009351A8"/>
    <w:rsid w:val="00937306"/>
    <w:rsid w:val="00937A8C"/>
    <w:rsid w:val="00941319"/>
    <w:rsid w:val="0094206B"/>
    <w:rsid w:val="00942433"/>
    <w:rsid w:val="009425BD"/>
    <w:rsid w:val="009431AC"/>
    <w:rsid w:val="00943759"/>
    <w:rsid w:val="00944770"/>
    <w:rsid w:val="009447E3"/>
    <w:rsid w:val="00944EC8"/>
    <w:rsid w:val="00945E9C"/>
    <w:rsid w:val="00946087"/>
    <w:rsid w:val="009463E9"/>
    <w:rsid w:val="00947D56"/>
    <w:rsid w:val="00950B26"/>
    <w:rsid w:val="00950F79"/>
    <w:rsid w:val="00951F79"/>
    <w:rsid w:val="009526D4"/>
    <w:rsid w:val="00953BB5"/>
    <w:rsid w:val="00953F6A"/>
    <w:rsid w:val="00954FB3"/>
    <w:rsid w:val="00955557"/>
    <w:rsid w:val="00956A48"/>
    <w:rsid w:val="0095770B"/>
    <w:rsid w:val="009600AD"/>
    <w:rsid w:val="009609AE"/>
    <w:rsid w:val="00961567"/>
    <w:rsid w:val="00962459"/>
    <w:rsid w:val="009624B5"/>
    <w:rsid w:val="00962B9F"/>
    <w:rsid w:val="0096433E"/>
    <w:rsid w:val="00964ED1"/>
    <w:rsid w:val="00967FF1"/>
    <w:rsid w:val="009715F8"/>
    <w:rsid w:val="00972A9F"/>
    <w:rsid w:val="00972D83"/>
    <w:rsid w:val="00973D9B"/>
    <w:rsid w:val="00973EC4"/>
    <w:rsid w:val="00975129"/>
    <w:rsid w:val="0097516E"/>
    <w:rsid w:val="00975F7F"/>
    <w:rsid w:val="00976B9E"/>
    <w:rsid w:val="009803AA"/>
    <w:rsid w:val="00981CF6"/>
    <w:rsid w:val="00982651"/>
    <w:rsid w:val="009834FC"/>
    <w:rsid w:val="00983DA5"/>
    <w:rsid w:val="009841A6"/>
    <w:rsid w:val="00984FE4"/>
    <w:rsid w:val="00985BE7"/>
    <w:rsid w:val="0098626C"/>
    <w:rsid w:val="0099064F"/>
    <w:rsid w:val="009907D7"/>
    <w:rsid w:val="00991093"/>
    <w:rsid w:val="0099359F"/>
    <w:rsid w:val="00994031"/>
    <w:rsid w:val="00995594"/>
    <w:rsid w:val="00995A51"/>
    <w:rsid w:val="00997C5E"/>
    <w:rsid w:val="00997EFF"/>
    <w:rsid w:val="009A0311"/>
    <w:rsid w:val="009A0786"/>
    <w:rsid w:val="009A1CBE"/>
    <w:rsid w:val="009A2E60"/>
    <w:rsid w:val="009A340D"/>
    <w:rsid w:val="009A3410"/>
    <w:rsid w:val="009A3AF7"/>
    <w:rsid w:val="009A3C9B"/>
    <w:rsid w:val="009A7569"/>
    <w:rsid w:val="009A773F"/>
    <w:rsid w:val="009A781A"/>
    <w:rsid w:val="009B019D"/>
    <w:rsid w:val="009B028D"/>
    <w:rsid w:val="009B0BD3"/>
    <w:rsid w:val="009B12C8"/>
    <w:rsid w:val="009B2D82"/>
    <w:rsid w:val="009B38B4"/>
    <w:rsid w:val="009B491C"/>
    <w:rsid w:val="009B560C"/>
    <w:rsid w:val="009B6EE5"/>
    <w:rsid w:val="009B73EB"/>
    <w:rsid w:val="009B746E"/>
    <w:rsid w:val="009C091F"/>
    <w:rsid w:val="009C0F70"/>
    <w:rsid w:val="009C3348"/>
    <w:rsid w:val="009C4C24"/>
    <w:rsid w:val="009C5105"/>
    <w:rsid w:val="009C6104"/>
    <w:rsid w:val="009C6BAB"/>
    <w:rsid w:val="009C7C10"/>
    <w:rsid w:val="009C7E6D"/>
    <w:rsid w:val="009D093C"/>
    <w:rsid w:val="009D096B"/>
    <w:rsid w:val="009D1FE2"/>
    <w:rsid w:val="009D2CD3"/>
    <w:rsid w:val="009D3305"/>
    <w:rsid w:val="009D33B2"/>
    <w:rsid w:val="009D44D9"/>
    <w:rsid w:val="009D4834"/>
    <w:rsid w:val="009D5252"/>
    <w:rsid w:val="009D637C"/>
    <w:rsid w:val="009D651C"/>
    <w:rsid w:val="009D6B4F"/>
    <w:rsid w:val="009D6D2F"/>
    <w:rsid w:val="009D727A"/>
    <w:rsid w:val="009E018E"/>
    <w:rsid w:val="009E0893"/>
    <w:rsid w:val="009E122D"/>
    <w:rsid w:val="009E1D4E"/>
    <w:rsid w:val="009E2340"/>
    <w:rsid w:val="009E2D3A"/>
    <w:rsid w:val="009E33B8"/>
    <w:rsid w:val="009E52A2"/>
    <w:rsid w:val="009E54E9"/>
    <w:rsid w:val="009E5553"/>
    <w:rsid w:val="009E770A"/>
    <w:rsid w:val="009E7757"/>
    <w:rsid w:val="009F05C9"/>
    <w:rsid w:val="009F0610"/>
    <w:rsid w:val="009F0861"/>
    <w:rsid w:val="009F1FF0"/>
    <w:rsid w:val="009F3743"/>
    <w:rsid w:val="009F45AC"/>
    <w:rsid w:val="009F538A"/>
    <w:rsid w:val="009F6DC9"/>
    <w:rsid w:val="009F75B0"/>
    <w:rsid w:val="00A01977"/>
    <w:rsid w:val="00A02533"/>
    <w:rsid w:val="00A03ACF"/>
    <w:rsid w:val="00A0421E"/>
    <w:rsid w:val="00A050B8"/>
    <w:rsid w:val="00A054ED"/>
    <w:rsid w:val="00A0575C"/>
    <w:rsid w:val="00A05A93"/>
    <w:rsid w:val="00A06337"/>
    <w:rsid w:val="00A064BC"/>
    <w:rsid w:val="00A066C2"/>
    <w:rsid w:val="00A06BF1"/>
    <w:rsid w:val="00A07257"/>
    <w:rsid w:val="00A103B7"/>
    <w:rsid w:val="00A1161E"/>
    <w:rsid w:val="00A1187E"/>
    <w:rsid w:val="00A1189B"/>
    <w:rsid w:val="00A11BDB"/>
    <w:rsid w:val="00A125C2"/>
    <w:rsid w:val="00A125DB"/>
    <w:rsid w:val="00A12C01"/>
    <w:rsid w:val="00A15006"/>
    <w:rsid w:val="00A1795D"/>
    <w:rsid w:val="00A2005D"/>
    <w:rsid w:val="00A2013F"/>
    <w:rsid w:val="00A20849"/>
    <w:rsid w:val="00A20AA7"/>
    <w:rsid w:val="00A214AD"/>
    <w:rsid w:val="00A22792"/>
    <w:rsid w:val="00A23702"/>
    <w:rsid w:val="00A23CF4"/>
    <w:rsid w:val="00A246B1"/>
    <w:rsid w:val="00A25553"/>
    <w:rsid w:val="00A2648C"/>
    <w:rsid w:val="00A274BD"/>
    <w:rsid w:val="00A27545"/>
    <w:rsid w:val="00A276C4"/>
    <w:rsid w:val="00A3280A"/>
    <w:rsid w:val="00A33276"/>
    <w:rsid w:val="00A33566"/>
    <w:rsid w:val="00A3386A"/>
    <w:rsid w:val="00A345D2"/>
    <w:rsid w:val="00A350D9"/>
    <w:rsid w:val="00A35724"/>
    <w:rsid w:val="00A35E4E"/>
    <w:rsid w:val="00A3705E"/>
    <w:rsid w:val="00A37F06"/>
    <w:rsid w:val="00A40CBF"/>
    <w:rsid w:val="00A41AED"/>
    <w:rsid w:val="00A44359"/>
    <w:rsid w:val="00A44521"/>
    <w:rsid w:val="00A4473C"/>
    <w:rsid w:val="00A453B3"/>
    <w:rsid w:val="00A45FB1"/>
    <w:rsid w:val="00A469D9"/>
    <w:rsid w:val="00A4793E"/>
    <w:rsid w:val="00A47CF9"/>
    <w:rsid w:val="00A47EDD"/>
    <w:rsid w:val="00A506A9"/>
    <w:rsid w:val="00A50B41"/>
    <w:rsid w:val="00A522CE"/>
    <w:rsid w:val="00A52C3D"/>
    <w:rsid w:val="00A5545B"/>
    <w:rsid w:val="00A5643E"/>
    <w:rsid w:val="00A57E39"/>
    <w:rsid w:val="00A601C5"/>
    <w:rsid w:val="00A62249"/>
    <w:rsid w:val="00A62F6A"/>
    <w:rsid w:val="00A62F8A"/>
    <w:rsid w:val="00A639F4"/>
    <w:rsid w:val="00A641C8"/>
    <w:rsid w:val="00A64B83"/>
    <w:rsid w:val="00A66E71"/>
    <w:rsid w:val="00A70D1B"/>
    <w:rsid w:val="00A718A0"/>
    <w:rsid w:val="00A71F8B"/>
    <w:rsid w:val="00A71FE9"/>
    <w:rsid w:val="00A725A3"/>
    <w:rsid w:val="00A72950"/>
    <w:rsid w:val="00A72953"/>
    <w:rsid w:val="00A7308F"/>
    <w:rsid w:val="00A73FA9"/>
    <w:rsid w:val="00A740EB"/>
    <w:rsid w:val="00A7446D"/>
    <w:rsid w:val="00A74D66"/>
    <w:rsid w:val="00A764C0"/>
    <w:rsid w:val="00A764F2"/>
    <w:rsid w:val="00A76877"/>
    <w:rsid w:val="00A76F1F"/>
    <w:rsid w:val="00A77401"/>
    <w:rsid w:val="00A813EA"/>
    <w:rsid w:val="00A82359"/>
    <w:rsid w:val="00A83644"/>
    <w:rsid w:val="00A83F2D"/>
    <w:rsid w:val="00A84E9C"/>
    <w:rsid w:val="00A84EF8"/>
    <w:rsid w:val="00A85192"/>
    <w:rsid w:val="00A85505"/>
    <w:rsid w:val="00A86024"/>
    <w:rsid w:val="00A8607E"/>
    <w:rsid w:val="00A860DA"/>
    <w:rsid w:val="00A90460"/>
    <w:rsid w:val="00A9221A"/>
    <w:rsid w:val="00A92A81"/>
    <w:rsid w:val="00A9448B"/>
    <w:rsid w:val="00A95865"/>
    <w:rsid w:val="00A96801"/>
    <w:rsid w:val="00A9707A"/>
    <w:rsid w:val="00A97A44"/>
    <w:rsid w:val="00A97BDB"/>
    <w:rsid w:val="00AA13AA"/>
    <w:rsid w:val="00AA1919"/>
    <w:rsid w:val="00AA1E1E"/>
    <w:rsid w:val="00AA23A0"/>
    <w:rsid w:val="00AA2A22"/>
    <w:rsid w:val="00AA38A2"/>
    <w:rsid w:val="00AA4203"/>
    <w:rsid w:val="00AA43F4"/>
    <w:rsid w:val="00AA46AB"/>
    <w:rsid w:val="00AA4F38"/>
    <w:rsid w:val="00AA558D"/>
    <w:rsid w:val="00AA66EB"/>
    <w:rsid w:val="00AA6F37"/>
    <w:rsid w:val="00AA7ADF"/>
    <w:rsid w:val="00AA7AFA"/>
    <w:rsid w:val="00AB06DE"/>
    <w:rsid w:val="00AB0FFA"/>
    <w:rsid w:val="00AB2276"/>
    <w:rsid w:val="00AB3F2B"/>
    <w:rsid w:val="00AB44D3"/>
    <w:rsid w:val="00AB4525"/>
    <w:rsid w:val="00AB4847"/>
    <w:rsid w:val="00AB4D9A"/>
    <w:rsid w:val="00AB53C3"/>
    <w:rsid w:val="00AB53E4"/>
    <w:rsid w:val="00AB6A5E"/>
    <w:rsid w:val="00AB6D9A"/>
    <w:rsid w:val="00AB738F"/>
    <w:rsid w:val="00AB7D2A"/>
    <w:rsid w:val="00AC0749"/>
    <w:rsid w:val="00AC0AED"/>
    <w:rsid w:val="00AC0D31"/>
    <w:rsid w:val="00AC12A5"/>
    <w:rsid w:val="00AC192C"/>
    <w:rsid w:val="00AC1E64"/>
    <w:rsid w:val="00AC3C7D"/>
    <w:rsid w:val="00AC3F69"/>
    <w:rsid w:val="00AC4F59"/>
    <w:rsid w:val="00AC4F96"/>
    <w:rsid w:val="00AC4FC5"/>
    <w:rsid w:val="00AC5AAC"/>
    <w:rsid w:val="00AC5D7C"/>
    <w:rsid w:val="00AC64C0"/>
    <w:rsid w:val="00AC6597"/>
    <w:rsid w:val="00AC6650"/>
    <w:rsid w:val="00AC67C7"/>
    <w:rsid w:val="00AC6D32"/>
    <w:rsid w:val="00AC6DD3"/>
    <w:rsid w:val="00AC6EDF"/>
    <w:rsid w:val="00AD1161"/>
    <w:rsid w:val="00AD15AE"/>
    <w:rsid w:val="00AD24A6"/>
    <w:rsid w:val="00AD24E5"/>
    <w:rsid w:val="00AD2AA4"/>
    <w:rsid w:val="00AD31A8"/>
    <w:rsid w:val="00AD3BB9"/>
    <w:rsid w:val="00AD4960"/>
    <w:rsid w:val="00AD541F"/>
    <w:rsid w:val="00AD5899"/>
    <w:rsid w:val="00AD61B2"/>
    <w:rsid w:val="00AD7623"/>
    <w:rsid w:val="00AD7903"/>
    <w:rsid w:val="00AD7BB5"/>
    <w:rsid w:val="00AE10D2"/>
    <w:rsid w:val="00AE17F7"/>
    <w:rsid w:val="00AE1F1F"/>
    <w:rsid w:val="00AE20BF"/>
    <w:rsid w:val="00AE20D1"/>
    <w:rsid w:val="00AE35F3"/>
    <w:rsid w:val="00AE46CB"/>
    <w:rsid w:val="00AE6330"/>
    <w:rsid w:val="00AE75E0"/>
    <w:rsid w:val="00AF0C4D"/>
    <w:rsid w:val="00AF33F4"/>
    <w:rsid w:val="00AF5519"/>
    <w:rsid w:val="00AF609D"/>
    <w:rsid w:val="00AF7017"/>
    <w:rsid w:val="00B0066D"/>
    <w:rsid w:val="00B0239C"/>
    <w:rsid w:val="00B0293B"/>
    <w:rsid w:val="00B02F76"/>
    <w:rsid w:val="00B042D9"/>
    <w:rsid w:val="00B0466B"/>
    <w:rsid w:val="00B0485B"/>
    <w:rsid w:val="00B071C9"/>
    <w:rsid w:val="00B0790F"/>
    <w:rsid w:val="00B07FC2"/>
    <w:rsid w:val="00B10C12"/>
    <w:rsid w:val="00B10D4F"/>
    <w:rsid w:val="00B11415"/>
    <w:rsid w:val="00B11617"/>
    <w:rsid w:val="00B11EC9"/>
    <w:rsid w:val="00B12999"/>
    <w:rsid w:val="00B13C21"/>
    <w:rsid w:val="00B14860"/>
    <w:rsid w:val="00B14F0A"/>
    <w:rsid w:val="00B15462"/>
    <w:rsid w:val="00B15A76"/>
    <w:rsid w:val="00B171BA"/>
    <w:rsid w:val="00B17767"/>
    <w:rsid w:val="00B17D4D"/>
    <w:rsid w:val="00B17E23"/>
    <w:rsid w:val="00B17EE9"/>
    <w:rsid w:val="00B20728"/>
    <w:rsid w:val="00B20F8B"/>
    <w:rsid w:val="00B2147A"/>
    <w:rsid w:val="00B2188F"/>
    <w:rsid w:val="00B21B99"/>
    <w:rsid w:val="00B21BE1"/>
    <w:rsid w:val="00B22339"/>
    <w:rsid w:val="00B22485"/>
    <w:rsid w:val="00B23DA2"/>
    <w:rsid w:val="00B242D2"/>
    <w:rsid w:val="00B2442E"/>
    <w:rsid w:val="00B24DC8"/>
    <w:rsid w:val="00B25FC8"/>
    <w:rsid w:val="00B26FBE"/>
    <w:rsid w:val="00B26FF0"/>
    <w:rsid w:val="00B30CFF"/>
    <w:rsid w:val="00B31573"/>
    <w:rsid w:val="00B32EB2"/>
    <w:rsid w:val="00B32EE1"/>
    <w:rsid w:val="00B332CF"/>
    <w:rsid w:val="00B33A0B"/>
    <w:rsid w:val="00B34659"/>
    <w:rsid w:val="00B34AD3"/>
    <w:rsid w:val="00B37992"/>
    <w:rsid w:val="00B379CD"/>
    <w:rsid w:val="00B41154"/>
    <w:rsid w:val="00B41421"/>
    <w:rsid w:val="00B41C94"/>
    <w:rsid w:val="00B42016"/>
    <w:rsid w:val="00B42105"/>
    <w:rsid w:val="00B425D0"/>
    <w:rsid w:val="00B4439D"/>
    <w:rsid w:val="00B452EB"/>
    <w:rsid w:val="00B50D0A"/>
    <w:rsid w:val="00B51CE3"/>
    <w:rsid w:val="00B52C8D"/>
    <w:rsid w:val="00B52F89"/>
    <w:rsid w:val="00B530A0"/>
    <w:rsid w:val="00B54C76"/>
    <w:rsid w:val="00B5509F"/>
    <w:rsid w:val="00B5527A"/>
    <w:rsid w:val="00B5573B"/>
    <w:rsid w:val="00B55FF5"/>
    <w:rsid w:val="00B56E76"/>
    <w:rsid w:val="00B57191"/>
    <w:rsid w:val="00B57D6B"/>
    <w:rsid w:val="00B60071"/>
    <w:rsid w:val="00B601A8"/>
    <w:rsid w:val="00B602DA"/>
    <w:rsid w:val="00B618C2"/>
    <w:rsid w:val="00B6197D"/>
    <w:rsid w:val="00B62161"/>
    <w:rsid w:val="00B627EC"/>
    <w:rsid w:val="00B62B15"/>
    <w:rsid w:val="00B6384D"/>
    <w:rsid w:val="00B638A5"/>
    <w:rsid w:val="00B66B59"/>
    <w:rsid w:val="00B66D52"/>
    <w:rsid w:val="00B675A8"/>
    <w:rsid w:val="00B67F8A"/>
    <w:rsid w:val="00B70701"/>
    <w:rsid w:val="00B70DC1"/>
    <w:rsid w:val="00B7223C"/>
    <w:rsid w:val="00B72D4C"/>
    <w:rsid w:val="00B758EF"/>
    <w:rsid w:val="00B75988"/>
    <w:rsid w:val="00B76EA9"/>
    <w:rsid w:val="00B77379"/>
    <w:rsid w:val="00B77461"/>
    <w:rsid w:val="00B776EA"/>
    <w:rsid w:val="00B77A28"/>
    <w:rsid w:val="00B80F62"/>
    <w:rsid w:val="00B81E8C"/>
    <w:rsid w:val="00B82F12"/>
    <w:rsid w:val="00B83446"/>
    <w:rsid w:val="00B8355D"/>
    <w:rsid w:val="00B839D5"/>
    <w:rsid w:val="00B8419B"/>
    <w:rsid w:val="00B850C3"/>
    <w:rsid w:val="00B851CE"/>
    <w:rsid w:val="00B85C6B"/>
    <w:rsid w:val="00B85E5C"/>
    <w:rsid w:val="00B85F51"/>
    <w:rsid w:val="00B86601"/>
    <w:rsid w:val="00B90F3E"/>
    <w:rsid w:val="00B9118C"/>
    <w:rsid w:val="00B91A59"/>
    <w:rsid w:val="00B9208D"/>
    <w:rsid w:val="00B9272A"/>
    <w:rsid w:val="00B92CBB"/>
    <w:rsid w:val="00B92CD9"/>
    <w:rsid w:val="00B92FC1"/>
    <w:rsid w:val="00B94EC7"/>
    <w:rsid w:val="00B95004"/>
    <w:rsid w:val="00BA0A5D"/>
    <w:rsid w:val="00BA0F14"/>
    <w:rsid w:val="00BA31EC"/>
    <w:rsid w:val="00BA3801"/>
    <w:rsid w:val="00BA3817"/>
    <w:rsid w:val="00BA3BF1"/>
    <w:rsid w:val="00BA3C3A"/>
    <w:rsid w:val="00BA43A5"/>
    <w:rsid w:val="00BA55E6"/>
    <w:rsid w:val="00BA5A8C"/>
    <w:rsid w:val="00BA69E9"/>
    <w:rsid w:val="00BA6ADD"/>
    <w:rsid w:val="00BA7B33"/>
    <w:rsid w:val="00BA7BBC"/>
    <w:rsid w:val="00BB16B5"/>
    <w:rsid w:val="00BB17D4"/>
    <w:rsid w:val="00BB1A46"/>
    <w:rsid w:val="00BB2312"/>
    <w:rsid w:val="00BB23EE"/>
    <w:rsid w:val="00BB3057"/>
    <w:rsid w:val="00BB3333"/>
    <w:rsid w:val="00BB36D3"/>
    <w:rsid w:val="00BB3BF5"/>
    <w:rsid w:val="00BB425F"/>
    <w:rsid w:val="00BB4D73"/>
    <w:rsid w:val="00BB4E8C"/>
    <w:rsid w:val="00BB5BE1"/>
    <w:rsid w:val="00BB5DCB"/>
    <w:rsid w:val="00BB611B"/>
    <w:rsid w:val="00BB642C"/>
    <w:rsid w:val="00BC036D"/>
    <w:rsid w:val="00BC039D"/>
    <w:rsid w:val="00BC0F48"/>
    <w:rsid w:val="00BC19A5"/>
    <w:rsid w:val="00BC1DDC"/>
    <w:rsid w:val="00BC42E6"/>
    <w:rsid w:val="00BC45DC"/>
    <w:rsid w:val="00BC4C7F"/>
    <w:rsid w:val="00BC56A4"/>
    <w:rsid w:val="00BC6317"/>
    <w:rsid w:val="00BC6ED7"/>
    <w:rsid w:val="00BC7E75"/>
    <w:rsid w:val="00BD0323"/>
    <w:rsid w:val="00BD0BE1"/>
    <w:rsid w:val="00BD1CD1"/>
    <w:rsid w:val="00BD2349"/>
    <w:rsid w:val="00BD3087"/>
    <w:rsid w:val="00BD4206"/>
    <w:rsid w:val="00BD44FB"/>
    <w:rsid w:val="00BD481D"/>
    <w:rsid w:val="00BD4C00"/>
    <w:rsid w:val="00BD57CD"/>
    <w:rsid w:val="00BD5C59"/>
    <w:rsid w:val="00BD6BDE"/>
    <w:rsid w:val="00BD7F75"/>
    <w:rsid w:val="00BE07D3"/>
    <w:rsid w:val="00BE09AC"/>
    <w:rsid w:val="00BE0C8A"/>
    <w:rsid w:val="00BE0CF4"/>
    <w:rsid w:val="00BE20CA"/>
    <w:rsid w:val="00BE26BD"/>
    <w:rsid w:val="00BE2D8F"/>
    <w:rsid w:val="00BE37C0"/>
    <w:rsid w:val="00BE3C89"/>
    <w:rsid w:val="00BE43AB"/>
    <w:rsid w:val="00BE6FE9"/>
    <w:rsid w:val="00BE760E"/>
    <w:rsid w:val="00BF1413"/>
    <w:rsid w:val="00BF17C8"/>
    <w:rsid w:val="00BF18B3"/>
    <w:rsid w:val="00BF1D04"/>
    <w:rsid w:val="00BF34FF"/>
    <w:rsid w:val="00BF417F"/>
    <w:rsid w:val="00BF572E"/>
    <w:rsid w:val="00BF6241"/>
    <w:rsid w:val="00BF66C0"/>
    <w:rsid w:val="00BF6E5A"/>
    <w:rsid w:val="00BF733C"/>
    <w:rsid w:val="00BF7F22"/>
    <w:rsid w:val="00C00399"/>
    <w:rsid w:val="00C00A26"/>
    <w:rsid w:val="00C00AF8"/>
    <w:rsid w:val="00C00EFE"/>
    <w:rsid w:val="00C013E3"/>
    <w:rsid w:val="00C036BD"/>
    <w:rsid w:val="00C03B23"/>
    <w:rsid w:val="00C0625A"/>
    <w:rsid w:val="00C06AE2"/>
    <w:rsid w:val="00C07B01"/>
    <w:rsid w:val="00C11BCD"/>
    <w:rsid w:val="00C11EF3"/>
    <w:rsid w:val="00C121DA"/>
    <w:rsid w:val="00C12871"/>
    <w:rsid w:val="00C14254"/>
    <w:rsid w:val="00C146EF"/>
    <w:rsid w:val="00C14FD1"/>
    <w:rsid w:val="00C15C86"/>
    <w:rsid w:val="00C1667D"/>
    <w:rsid w:val="00C17C14"/>
    <w:rsid w:val="00C17C1E"/>
    <w:rsid w:val="00C17E33"/>
    <w:rsid w:val="00C20387"/>
    <w:rsid w:val="00C203F7"/>
    <w:rsid w:val="00C205B4"/>
    <w:rsid w:val="00C20677"/>
    <w:rsid w:val="00C20C10"/>
    <w:rsid w:val="00C21E83"/>
    <w:rsid w:val="00C26BA7"/>
    <w:rsid w:val="00C27308"/>
    <w:rsid w:val="00C27AFA"/>
    <w:rsid w:val="00C27D90"/>
    <w:rsid w:val="00C301EF"/>
    <w:rsid w:val="00C31E8F"/>
    <w:rsid w:val="00C32162"/>
    <w:rsid w:val="00C32436"/>
    <w:rsid w:val="00C32AE5"/>
    <w:rsid w:val="00C32E60"/>
    <w:rsid w:val="00C33905"/>
    <w:rsid w:val="00C33C94"/>
    <w:rsid w:val="00C34E6E"/>
    <w:rsid w:val="00C35553"/>
    <w:rsid w:val="00C36C61"/>
    <w:rsid w:val="00C37CEB"/>
    <w:rsid w:val="00C4004E"/>
    <w:rsid w:val="00C4196E"/>
    <w:rsid w:val="00C42E3E"/>
    <w:rsid w:val="00C456FD"/>
    <w:rsid w:val="00C47294"/>
    <w:rsid w:val="00C50395"/>
    <w:rsid w:val="00C51259"/>
    <w:rsid w:val="00C512EE"/>
    <w:rsid w:val="00C51F3F"/>
    <w:rsid w:val="00C53850"/>
    <w:rsid w:val="00C5511F"/>
    <w:rsid w:val="00C558DF"/>
    <w:rsid w:val="00C56015"/>
    <w:rsid w:val="00C57D19"/>
    <w:rsid w:val="00C57E58"/>
    <w:rsid w:val="00C601D3"/>
    <w:rsid w:val="00C63640"/>
    <w:rsid w:val="00C63759"/>
    <w:rsid w:val="00C64237"/>
    <w:rsid w:val="00C64542"/>
    <w:rsid w:val="00C6463C"/>
    <w:rsid w:val="00C659CA"/>
    <w:rsid w:val="00C6705B"/>
    <w:rsid w:val="00C70472"/>
    <w:rsid w:val="00C7067C"/>
    <w:rsid w:val="00C719A1"/>
    <w:rsid w:val="00C725BB"/>
    <w:rsid w:val="00C74261"/>
    <w:rsid w:val="00C750E7"/>
    <w:rsid w:val="00C76389"/>
    <w:rsid w:val="00C771A7"/>
    <w:rsid w:val="00C77407"/>
    <w:rsid w:val="00C77485"/>
    <w:rsid w:val="00C77A9D"/>
    <w:rsid w:val="00C806E7"/>
    <w:rsid w:val="00C81F89"/>
    <w:rsid w:val="00C829E4"/>
    <w:rsid w:val="00C82A63"/>
    <w:rsid w:val="00C82C5C"/>
    <w:rsid w:val="00C83618"/>
    <w:rsid w:val="00C83A99"/>
    <w:rsid w:val="00C848F0"/>
    <w:rsid w:val="00C84D1B"/>
    <w:rsid w:val="00C85567"/>
    <w:rsid w:val="00C85A9A"/>
    <w:rsid w:val="00C85EE7"/>
    <w:rsid w:val="00C85F20"/>
    <w:rsid w:val="00C86A89"/>
    <w:rsid w:val="00C86CBB"/>
    <w:rsid w:val="00C874D4"/>
    <w:rsid w:val="00C87EDF"/>
    <w:rsid w:val="00C91239"/>
    <w:rsid w:val="00C912A4"/>
    <w:rsid w:val="00C91640"/>
    <w:rsid w:val="00C9213C"/>
    <w:rsid w:val="00C92370"/>
    <w:rsid w:val="00C9245C"/>
    <w:rsid w:val="00C928D7"/>
    <w:rsid w:val="00C93135"/>
    <w:rsid w:val="00C932EA"/>
    <w:rsid w:val="00C94AD4"/>
    <w:rsid w:val="00C94D44"/>
    <w:rsid w:val="00C958A4"/>
    <w:rsid w:val="00C95A96"/>
    <w:rsid w:val="00CA01B0"/>
    <w:rsid w:val="00CA08A0"/>
    <w:rsid w:val="00CA3A09"/>
    <w:rsid w:val="00CA4B81"/>
    <w:rsid w:val="00CA501D"/>
    <w:rsid w:val="00CA50F0"/>
    <w:rsid w:val="00CA5B8F"/>
    <w:rsid w:val="00CA5CDD"/>
    <w:rsid w:val="00CA6402"/>
    <w:rsid w:val="00CA775C"/>
    <w:rsid w:val="00CB0345"/>
    <w:rsid w:val="00CB0DB3"/>
    <w:rsid w:val="00CB16CB"/>
    <w:rsid w:val="00CB394F"/>
    <w:rsid w:val="00CB461E"/>
    <w:rsid w:val="00CB5163"/>
    <w:rsid w:val="00CB645F"/>
    <w:rsid w:val="00CB64D7"/>
    <w:rsid w:val="00CC0FCD"/>
    <w:rsid w:val="00CC22DF"/>
    <w:rsid w:val="00CC3C31"/>
    <w:rsid w:val="00CC46F7"/>
    <w:rsid w:val="00CC55FC"/>
    <w:rsid w:val="00CC675A"/>
    <w:rsid w:val="00CC6AEE"/>
    <w:rsid w:val="00CC7C59"/>
    <w:rsid w:val="00CC7EDD"/>
    <w:rsid w:val="00CD0711"/>
    <w:rsid w:val="00CD1384"/>
    <w:rsid w:val="00CD1472"/>
    <w:rsid w:val="00CD1CCD"/>
    <w:rsid w:val="00CD33BA"/>
    <w:rsid w:val="00CD392C"/>
    <w:rsid w:val="00CD3BD5"/>
    <w:rsid w:val="00CD3E8A"/>
    <w:rsid w:val="00CD6158"/>
    <w:rsid w:val="00CD6283"/>
    <w:rsid w:val="00CD6CDD"/>
    <w:rsid w:val="00CD6E75"/>
    <w:rsid w:val="00CD7844"/>
    <w:rsid w:val="00CD79FD"/>
    <w:rsid w:val="00CE3A10"/>
    <w:rsid w:val="00CE44E5"/>
    <w:rsid w:val="00CE50DB"/>
    <w:rsid w:val="00CE5842"/>
    <w:rsid w:val="00CE6356"/>
    <w:rsid w:val="00CE6371"/>
    <w:rsid w:val="00CE6F06"/>
    <w:rsid w:val="00CE716B"/>
    <w:rsid w:val="00CE797E"/>
    <w:rsid w:val="00CF035C"/>
    <w:rsid w:val="00CF1168"/>
    <w:rsid w:val="00CF144F"/>
    <w:rsid w:val="00CF1791"/>
    <w:rsid w:val="00CF2C65"/>
    <w:rsid w:val="00CF2FBA"/>
    <w:rsid w:val="00CF44E7"/>
    <w:rsid w:val="00CF6FF0"/>
    <w:rsid w:val="00CF7E4B"/>
    <w:rsid w:val="00D01230"/>
    <w:rsid w:val="00D023B7"/>
    <w:rsid w:val="00D028CA"/>
    <w:rsid w:val="00D03977"/>
    <w:rsid w:val="00D039C3"/>
    <w:rsid w:val="00D04EA2"/>
    <w:rsid w:val="00D0558B"/>
    <w:rsid w:val="00D06AE5"/>
    <w:rsid w:val="00D06DEF"/>
    <w:rsid w:val="00D07F07"/>
    <w:rsid w:val="00D10142"/>
    <w:rsid w:val="00D1105A"/>
    <w:rsid w:val="00D112AA"/>
    <w:rsid w:val="00D11433"/>
    <w:rsid w:val="00D12666"/>
    <w:rsid w:val="00D12A08"/>
    <w:rsid w:val="00D12C36"/>
    <w:rsid w:val="00D13DD4"/>
    <w:rsid w:val="00D147F9"/>
    <w:rsid w:val="00D14C98"/>
    <w:rsid w:val="00D15A59"/>
    <w:rsid w:val="00D15CAB"/>
    <w:rsid w:val="00D16A0C"/>
    <w:rsid w:val="00D16FE8"/>
    <w:rsid w:val="00D17586"/>
    <w:rsid w:val="00D20D43"/>
    <w:rsid w:val="00D20EEA"/>
    <w:rsid w:val="00D22D9A"/>
    <w:rsid w:val="00D22F2A"/>
    <w:rsid w:val="00D2464A"/>
    <w:rsid w:val="00D24ED3"/>
    <w:rsid w:val="00D24EDF"/>
    <w:rsid w:val="00D25300"/>
    <w:rsid w:val="00D26501"/>
    <w:rsid w:val="00D26AD0"/>
    <w:rsid w:val="00D27900"/>
    <w:rsid w:val="00D27B64"/>
    <w:rsid w:val="00D30D6F"/>
    <w:rsid w:val="00D315A0"/>
    <w:rsid w:val="00D328EB"/>
    <w:rsid w:val="00D331BF"/>
    <w:rsid w:val="00D34A01"/>
    <w:rsid w:val="00D35F94"/>
    <w:rsid w:val="00D369CB"/>
    <w:rsid w:val="00D37C4C"/>
    <w:rsid w:val="00D37F2C"/>
    <w:rsid w:val="00D41078"/>
    <w:rsid w:val="00D4185A"/>
    <w:rsid w:val="00D41A1E"/>
    <w:rsid w:val="00D425DB"/>
    <w:rsid w:val="00D42C17"/>
    <w:rsid w:val="00D438E5"/>
    <w:rsid w:val="00D44D4E"/>
    <w:rsid w:val="00D44D71"/>
    <w:rsid w:val="00D47147"/>
    <w:rsid w:val="00D478C5"/>
    <w:rsid w:val="00D50FCD"/>
    <w:rsid w:val="00D51ECF"/>
    <w:rsid w:val="00D51FD9"/>
    <w:rsid w:val="00D52BE0"/>
    <w:rsid w:val="00D52FD8"/>
    <w:rsid w:val="00D532D2"/>
    <w:rsid w:val="00D533AF"/>
    <w:rsid w:val="00D5395A"/>
    <w:rsid w:val="00D53A53"/>
    <w:rsid w:val="00D56733"/>
    <w:rsid w:val="00D56B1A"/>
    <w:rsid w:val="00D56D84"/>
    <w:rsid w:val="00D57162"/>
    <w:rsid w:val="00D5746C"/>
    <w:rsid w:val="00D57B47"/>
    <w:rsid w:val="00D62465"/>
    <w:rsid w:val="00D6278E"/>
    <w:rsid w:val="00D6292A"/>
    <w:rsid w:val="00D62DD3"/>
    <w:rsid w:val="00D643AA"/>
    <w:rsid w:val="00D64D0E"/>
    <w:rsid w:val="00D653C5"/>
    <w:rsid w:val="00D6559E"/>
    <w:rsid w:val="00D66BFE"/>
    <w:rsid w:val="00D67544"/>
    <w:rsid w:val="00D708C7"/>
    <w:rsid w:val="00D70948"/>
    <w:rsid w:val="00D71479"/>
    <w:rsid w:val="00D722AA"/>
    <w:rsid w:val="00D722CC"/>
    <w:rsid w:val="00D729FD"/>
    <w:rsid w:val="00D72BE6"/>
    <w:rsid w:val="00D7320F"/>
    <w:rsid w:val="00D7490D"/>
    <w:rsid w:val="00D74CB7"/>
    <w:rsid w:val="00D7594E"/>
    <w:rsid w:val="00D76A36"/>
    <w:rsid w:val="00D7732D"/>
    <w:rsid w:val="00D77AE7"/>
    <w:rsid w:val="00D80F71"/>
    <w:rsid w:val="00D81CBC"/>
    <w:rsid w:val="00D84F51"/>
    <w:rsid w:val="00D84F70"/>
    <w:rsid w:val="00D856C5"/>
    <w:rsid w:val="00D868C9"/>
    <w:rsid w:val="00D87882"/>
    <w:rsid w:val="00D90770"/>
    <w:rsid w:val="00D90855"/>
    <w:rsid w:val="00D90F4A"/>
    <w:rsid w:val="00D9104A"/>
    <w:rsid w:val="00D92000"/>
    <w:rsid w:val="00D9202E"/>
    <w:rsid w:val="00D92DC1"/>
    <w:rsid w:val="00D94983"/>
    <w:rsid w:val="00D94D81"/>
    <w:rsid w:val="00D9627F"/>
    <w:rsid w:val="00D96788"/>
    <w:rsid w:val="00D96A54"/>
    <w:rsid w:val="00D96AAF"/>
    <w:rsid w:val="00D97E8B"/>
    <w:rsid w:val="00DA0871"/>
    <w:rsid w:val="00DA2030"/>
    <w:rsid w:val="00DA2619"/>
    <w:rsid w:val="00DA30DF"/>
    <w:rsid w:val="00DA34C4"/>
    <w:rsid w:val="00DA3DB3"/>
    <w:rsid w:val="00DA513B"/>
    <w:rsid w:val="00DA65E7"/>
    <w:rsid w:val="00DA6A00"/>
    <w:rsid w:val="00DA795C"/>
    <w:rsid w:val="00DA7D82"/>
    <w:rsid w:val="00DB040A"/>
    <w:rsid w:val="00DB0BDF"/>
    <w:rsid w:val="00DB161F"/>
    <w:rsid w:val="00DB17E5"/>
    <w:rsid w:val="00DB24A7"/>
    <w:rsid w:val="00DB34C8"/>
    <w:rsid w:val="00DB3AD0"/>
    <w:rsid w:val="00DB3C59"/>
    <w:rsid w:val="00DB4E94"/>
    <w:rsid w:val="00DB5E34"/>
    <w:rsid w:val="00DB7C9F"/>
    <w:rsid w:val="00DC0CB3"/>
    <w:rsid w:val="00DC0D15"/>
    <w:rsid w:val="00DC2A26"/>
    <w:rsid w:val="00DC507F"/>
    <w:rsid w:val="00DC56DA"/>
    <w:rsid w:val="00DC6FA3"/>
    <w:rsid w:val="00DC74CA"/>
    <w:rsid w:val="00DC77B2"/>
    <w:rsid w:val="00DC78BB"/>
    <w:rsid w:val="00DC7B69"/>
    <w:rsid w:val="00DD0505"/>
    <w:rsid w:val="00DD0F8B"/>
    <w:rsid w:val="00DD1451"/>
    <w:rsid w:val="00DD3256"/>
    <w:rsid w:val="00DD38DA"/>
    <w:rsid w:val="00DD47B6"/>
    <w:rsid w:val="00DD4A6F"/>
    <w:rsid w:val="00DD51AE"/>
    <w:rsid w:val="00DD5CBB"/>
    <w:rsid w:val="00DD62D8"/>
    <w:rsid w:val="00DD73A4"/>
    <w:rsid w:val="00DD7DEE"/>
    <w:rsid w:val="00DD7E5B"/>
    <w:rsid w:val="00DE002F"/>
    <w:rsid w:val="00DE0445"/>
    <w:rsid w:val="00DE1EB3"/>
    <w:rsid w:val="00DE2571"/>
    <w:rsid w:val="00DE3091"/>
    <w:rsid w:val="00DE31E5"/>
    <w:rsid w:val="00DE3664"/>
    <w:rsid w:val="00DE4271"/>
    <w:rsid w:val="00DE57F7"/>
    <w:rsid w:val="00DE5895"/>
    <w:rsid w:val="00DE5B50"/>
    <w:rsid w:val="00DE5CE3"/>
    <w:rsid w:val="00DE6296"/>
    <w:rsid w:val="00DE6300"/>
    <w:rsid w:val="00DE7ABF"/>
    <w:rsid w:val="00DF00FF"/>
    <w:rsid w:val="00DF07AB"/>
    <w:rsid w:val="00DF0A70"/>
    <w:rsid w:val="00DF0B3C"/>
    <w:rsid w:val="00DF1708"/>
    <w:rsid w:val="00DF280D"/>
    <w:rsid w:val="00DF35FB"/>
    <w:rsid w:val="00DF39C1"/>
    <w:rsid w:val="00DF39ED"/>
    <w:rsid w:val="00DF40C1"/>
    <w:rsid w:val="00DF50AC"/>
    <w:rsid w:val="00DF7261"/>
    <w:rsid w:val="00DF7553"/>
    <w:rsid w:val="00DF79BF"/>
    <w:rsid w:val="00DF7F3C"/>
    <w:rsid w:val="00DF7F4E"/>
    <w:rsid w:val="00E00225"/>
    <w:rsid w:val="00E003A1"/>
    <w:rsid w:val="00E024E3"/>
    <w:rsid w:val="00E02755"/>
    <w:rsid w:val="00E028E0"/>
    <w:rsid w:val="00E033FE"/>
    <w:rsid w:val="00E03436"/>
    <w:rsid w:val="00E03CA2"/>
    <w:rsid w:val="00E0493B"/>
    <w:rsid w:val="00E04A6F"/>
    <w:rsid w:val="00E05D1D"/>
    <w:rsid w:val="00E07093"/>
    <w:rsid w:val="00E07495"/>
    <w:rsid w:val="00E11C65"/>
    <w:rsid w:val="00E1323D"/>
    <w:rsid w:val="00E13901"/>
    <w:rsid w:val="00E14AEC"/>
    <w:rsid w:val="00E14EF0"/>
    <w:rsid w:val="00E16254"/>
    <w:rsid w:val="00E16DA3"/>
    <w:rsid w:val="00E17FCB"/>
    <w:rsid w:val="00E20258"/>
    <w:rsid w:val="00E20339"/>
    <w:rsid w:val="00E20A7C"/>
    <w:rsid w:val="00E20CF8"/>
    <w:rsid w:val="00E20E10"/>
    <w:rsid w:val="00E21EA2"/>
    <w:rsid w:val="00E22188"/>
    <w:rsid w:val="00E221DB"/>
    <w:rsid w:val="00E239E5"/>
    <w:rsid w:val="00E24BF9"/>
    <w:rsid w:val="00E25AB4"/>
    <w:rsid w:val="00E25B59"/>
    <w:rsid w:val="00E272C7"/>
    <w:rsid w:val="00E27AE6"/>
    <w:rsid w:val="00E27B61"/>
    <w:rsid w:val="00E31266"/>
    <w:rsid w:val="00E31464"/>
    <w:rsid w:val="00E328C2"/>
    <w:rsid w:val="00E32BC5"/>
    <w:rsid w:val="00E33397"/>
    <w:rsid w:val="00E34A12"/>
    <w:rsid w:val="00E354F5"/>
    <w:rsid w:val="00E35756"/>
    <w:rsid w:val="00E35AD0"/>
    <w:rsid w:val="00E374AC"/>
    <w:rsid w:val="00E412F3"/>
    <w:rsid w:val="00E414A9"/>
    <w:rsid w:val="00E4166C"/>
    <w:rsid w:val="00E421DC"/>
    <w:rsid w:val="00E433D8"/>
    <w:rsid w:val="00E4474F"/>
    <w:rsid w:val="00E4553C"/>
    <w:rsid w:val="00E456B4"/>
    <w:rsid w:val="00E46BCC"/>
    <w:rsid w:val="00E47904"/>
    <w:rsid w:val="00E47BB9"/>
    <w:rsid w:val="00E504CD"/>
    <w:rsid w:val="00E5085C"/>
    <w:rsid w:val="00E508FC"/>
    <w:rsid w:val="00E52D7F"/>
    <w:rsid w:val="00E53831"/>
    <w:rsid w:val="00E539F8"/>
    <w:rsid w:val="00E5411E"/>
    <w:rsid w:val="00E541D5"/>
    <w:rsid w:val="00E5467C"/>
    <w:rsid w:val="00E557C2"/>
    <w:rsid w:val="00E55A6F"/>
    <w:rsid w:val="00E55DA3"/>
    <w:rsid w:val="00E56392"/>
    <w:rsid w:val="00E564B8"/>
    <w:rsid w:val="00E56588"/>
    <w:rsid w:val="00E57EB3"/>
    <w:rsid w:val="00E609A2"/>
    <w:rsid w:val="00E60E8E"/>
    <w:rsid w:val="00E61BBD"/>
    <w:rsid w:val="00E620F2"/>
    <w:rsid w:val="00E62942"/>
    <w:rsid w:val="00E629D3"/>
    <w:rsid w:val="00E648D2"/>
    <w:rsid w:val="00E64A96"/>
    <w:rsid w:val="00E65190"/>
    <w:rsid w:val="00E6534E"/>
    <w:rsid w:val="00E65735"/>
    <w:rsid w:val="00E660AE"/>
    <w:rsid w:val="00E66418"/>
    <w:rsid w:val="00E674B2"/>
    <w:rsid w:val="00E70567"/>
    <w:rsid w:val="00E71354"/>
    <w:rsid w:val="00E718E9"/>
    <w:rsid w:val="00E71965"/>
    <w:rsid w:val="00E72CD4"/>
    <w:rsid w:val="00E7474A"/>
    <w:rsid w:val="00E74BDF"/>
    <w:rsid w:val="00E7525A"/>
    <w:rsid w:val="00E75304"/>
    <w:rsid w:val="00E75CFF"/>
    <w:rsid w:val="00E7707E"/>
    <w:rsid w:val="00E7730A"/>
    <w:rsid w:val="00E7747C"/>
    <w:rsid w:val="00E775AC"/>
    <w:rsid w:val="00E776AD"/>
    <w:rsid w:val="00E77DF6"/>
    <w:rsid w:val="00E80519"/>
    <w:rsid w:val="00E812E9"/>
    <w:rsid w:val="00E816A8"/>
    <w:rsid w:val="00E81D61"/>
    <w:rsid w:val="00E827CA"/>
    <w:rsid w:val="00E827DA"/>
    <w:rsid w:val="00E8282A"/>
    <w:rsid w:val="00E85500"/>
    <w:rsid w:val="00E85E47"/>
    <w:rsid w:val="00E91655"/>
    <w:rsid w:val="00E918CC"/>
    <w:rsid w:val="00E9249F"/>
    <w:rsid w:val="00E932D0"/>
    <w:rsid w:val="00E93535"/>
    <w:rsid w:val="00E93736"/>
    <w:rsid w:val="00E94669"/>
    <w:rsid w:val="00E96275"/>
    <w:rsid w:val="00E96276"/>
    <w:rsid w:val="00E96BC4"/>
    <w:rsid w:val="00E9793C"/>
    <w:rsid w:val="00E97A87"/>
    <w:rsid w:val="00EA0BA9"/>
    <w:rsid w:val="00EA19EE"/>
    <w:rsid w:val="00EA2E32"/>
    <w:rsid w:val="00EA2E63"/>
    <w:rsid w:val="00EA311D"/>
    <w:rsid w:val="00EA3360"/>
    <w:rsid w:val="00EA3BF8"/>
    <w:rsid w:val="00EA4298"/>
    <w:rsid w:val="00EA44CE"/>
    <w:rsid w:val="00EA48F0"/>
    <w:rsid w:val="00EA4E3C"/>
    <w:rsid w:val="00EA53D1"/>
    <w:rsid w:val="00EA58E0"/>
    <w:rsid w:val="00EA5FB6"/>
    <w:rsid w:val="00EA6B9B"/>
    <w:rsid w:val="00EA6C27"/>
    <w:rsid w:val="00EA7933"/>
    <w:rsid w:val="00EB0207"/>
    <w:rsid w:val="00EB0E78"/>
    <w:rsid w:val="00EB12B7"/>
    <w:rsid w:val="00EB13A2"/>
    <w:rsid w:val="00EB14CB"/>
    <w:rsid w:val="00EB1A56"/>
    <w:rsid w:val="00EB1D07"/>
    <w:rsid w:val="00EB2D7E"/>
    <w:rsid w:val="00EB35E4"/>
    <w:rsid w:val="00EB3998"/>
    <w:rsid w:val="00EB42D0"/>
    <w:rsid w:val="00EB44E8"/>
    <w:rsid w:val="00EB4834"/>
    <w:rsid w:val="00EB493E"/>
    <w:rsid w:val="00EB53E5"/>
    <w:rsid w:val="00EB6DF0"/>
    <w:rsid w:val="00EB6ECF"/>
    <w:rsid w:val="00EB71DC"/>
    <w:rsid w:val="00EC020D"/>
    <w:rsid w:val="00EC02B9"/>
    <w:rsid w:val="00EC12AE"/>
    <w:rsid w:val="00EC4E82"/>
    <w:rsid w:val="00EC5343"/>
    <w:rsid w:val="00EC7A9E"/>
    <w:rsid w:val="00ED1874"/>
    <w:rsid w:val="00ED21BA"/>
    <w:rsid w:val="00ED2893"/>
    <w:rsid w:val="00ED2906"/>
    <w:rsid w:val="00ED383C"/>
    <w:rsid w:val="00ED43A3"/>
    <w:rsid w:val="00ED485D"/>
    <w:rsid w:val="00ED5B26"/>
    <w:rsid w:val="00ED71D2"/>
    <w:rsid w:val="00EE053A"/>
    <w:rsid w:val="00EE0A6A"/>
    <w:rsid w:val="00EE0DC6"/>
    <w:rsid w:val="00EE1270"/>
    <w:rsid w:val="00EE21EE"/>
    <w:rsid w:val="00EE2B28"/>
    <w:rsid w:val="00EE2B73"/>
    <w:rsid w:val="00EE2C1D"/>
    <w:rsid w:val="00EE3576"/>
    <w:rsid w:val="00EE3630"/>
    <w:rsid w:val="00EE4A3C"/>
    <w:rsid w:val="00EE763E"/>
    <w:rsid w:val="00EF0129"/>
    <w:rsid w:val="00EF0C74"/>
    <w:rsid w:val="00EF2CDE"/>
    <w:rsid w:val="00EF4D9A"/>
    <w:rsid w:val="00EF6357"/>
    <w:rsid w:val="00EF64B2"/>
    <w:rsid w:val="00EF6503"/>
    <w:rsid w:val="00EF65EB"/>
    <w:rsid w:val="00EF7291"/>
    <w:rsid w:val="00F0021D"/>
    <w:rsid w:val="00F0023A"/>
    <w:rsid w:val="00F004B8"/>
    <w:rsid w:val="00F00656"/>
    <w:rsid w:val="00F00933"/>
    <w:rsid w:val="00F00975"/>
    <w:rsid w:val="00F01107"/>
    <w:rsid w:val="00F021BB"/>
    <w:rsid w:val="00F0227D"/>
    <w:rsid w:val="00F02F52"/>
    <w:rsid w:val="00F047A5"/>
    <w:rsid w:val="00F04D8D"/>
    <w:rsid w:val="00F07985"/>
    <w:rsid w:val="00F10E27"/>
    <w:rsid w:val="00F11362"/>
    <w:rsid w:val="00F12D84"/>
    <w:rsid w:val="00F12FEC"/>
    <w:rsid w:val="00F13762"/>
    <w:rsid w:val="00F13C27"/>
    <w:rsid w:val="00F146D8"/>
    <w:rsid w:val="00F14F39"/>
    <w:rsid w:val="00F153F2"/>
    <w:rsid w:val="00F15AE5"/>
    <w:rsid w:val="00F16DEF"/>
    <w:rsid w:val="00F16F12"/>
    <w:rsid w:val="00F17CD9"/>
    <w:rsid w:val="00F21F3F"/>
    <w:rsid w:val="00F227A0"/>
    <w:rsid w:val="00F22F0A"/>
    <w:rsid w:val="00F25589"/>
    <w:rsid w:val="00F267A0"/>
    <w:rsid w:val="00F27E0A"/>
    <w:rsid w:val="00F27EEA"/>
    <w:rsid w:val="00F306C9"/>
    <w:rsid w:val="00F30B59"/>
    <w:rsid w:val="00F30CCC"/>
    <w:rsid w:val="00F31C59"/>
    <w:rsid w:val="00F3259B"/>
    <w:rsid w:val="00F34A6B"/>
    <w:rsid w:val="00F34CCA"/>
    <w:rsid w:val="00F34F76"/>
    <w:rsid w:val="00F36A8E"/>
    <w:rsid w:val="00F36F5D"/>
    <w:rsid w:val="00F414FD"/>
    <w:rsid w:val="00F434AC"/>
    <w:rsid w:val="00F43596"/>
    <w:rsid w:val="00F43C1F"/>
    <w:rsid w:val="00F43EBC"/>
    <w:rsid w:val="00F4415E"/>
    <w:rsid w:val="00F44479"/>
    <w:rsid w:val="00F44E20"/>
    <w:rsid w:val="00F45047"/>
    <w:rsid w:val="00F45C24"/>
    <w:rsid w:val="00F460D9"/>
    <w:rsid w:val="00F46B47"/>
    <w:rsid w:val="00F46E3E"/>
    <w:rsid w:val="00F501C9"/>
    <w:rsid w:val="00F50EBA"/>
    <w:rsid w:val="00F5169E"/>
    <w:rsid w:val="00F52C18"/>
    <w:rsid w:val="00F536C9"/>
    <w:rsid w:val="00F549F1"/>
    <w:rsid w:val="00F5517D"/>
    <w:rsid w:val="00F5551F"/>
    <w:rsid w:val="00F557BA"/>
    <w:rsid w:val="00F6002A"/>
    <w:rsid w:val="00F60782"/>
    <w:rsid w:val="00F6132D"/>
    <w:rsid w:val="00F6191F"/>
    <w:rsid w:val="00F61CAA"/>
    <w:rsid w:val="00F62777"/>
    <w:rsid w:val="00F62B70"/>
    <w:rsid w:val="00F64BB2"/>
    <w:rsid w:val="00F64ECA"/>
    <w:rsid w:val="00F67059"/>
    <w:rsid w:val="00F673C8"/>
    <w:rsid w:val="00F6792C"/>
    <w:rsid w:val="00F67C01"/>
    <w:rsid w:val="00F70149"/>
    <w:rsid w:val="00F70A00"/>
    <w:rsid w:val="00F72909"/>
    <w:rsid w:val="00F72CB0"/>
    <w:rsid w:val="00F735E2"/>
    <w:rsid w:val="00F740AF"/>
    <w:rsid w:val="00F74782"/>
    <w:rsid w:val="00F75669"/>
    <w:rsid w:val="00F77225"/>
    <w:rsid w:val="00F77FC5"/>
    <w:rsid w:val="00F80597"/>
    <w:rsid w:val="00F808DC"/>
    <w:rsid w:val="00F824D6"/>
    <w:rsid w:val="00F82650"/>
    <w:rsid w:val="00F8483E"/>
    <w:rsid w:val="00F862AA"/>
    <w:rsid w:val="00F8668C"/>
    <w:rsid w:val="00F872FA"/>
    <w:rsid w:val="00F873C2"/>
    <w:rsid w:val="00F87741"/>
    <w:rsid w:val="00F92C25"/>
    <w:rsid w:val="00F936C4"/>
    <w:rsid w:val="00F93A16"/>
    <w:rsid w:val="00F93B6B"/>
    <w:rsid w:val="00F9454D"/>
    <w:rsid w:val="00F95049"/>
    <w:rsid w:val="00F95458"/>
    <w:rsid w:val="00F95DE0"/>
    <w:rsid w:val="00F96DCD"/>
    <w:rsid w:val="00F96FAF"/>
    <w:rsid w:val="00FA022C"/>
    <w:rsid w:val="00FA09DA"/>
    <w:rsid w:val="00FA0ADC"/>
    <w:rsid w:val="00FA1171"/>
    <w:rsid w:val="00FA1647"/>
    <w:rsid w:val="00FA18B1"/>
    <w:rsid w:val="00FA28FB"/>
    <w:rsid w:val="00FA3794"/>
    <w:rsid w:val="00FA3968"/>
    <w:rsid w:val="00FA5265"/>
    <w:rsid w:val="00FA5E25"/>
    <w:rsid w:val="00FA686A"/>
    <w:rsid w:val="00FB02EF"/>
    <w:rsid w:val="00FB052A"/>
    <w:rsid w:val="00FB0C23"/>
    <w:rsid w:val="00FB0CF7"/>
    <w:rsid w:val="00FB1B7E"/>
    <w:rsid w:val="00FB264E"/>
    <w:rsid w:val="00FB28E9"/>
    <w:rsid w:val="00FB3467"/>
    <w:rsid w:val="00FB35D6"/>
    <w:rsid w:val="00FB4E03"/>
    <w:rsid w:val="00FB4FB3"/>
    <w:rsid w:val="00FB53EE"/>
    <w:rsid w:val="00FB5773"/>
    <w:rsid w:val="00FB5EC4"/>
    <w:rsid w:val="00FB6A17"/>
    <w:rsid w:val="00FB7EE6"/>
    <w:rsid w:val="00FC0059"/>
    <w:rsid w:val="00FC14C6"/>
    <w:rsid w:val="00FC2651"/>
    <w:rsid w:val="00FC2DD4"/>
    <w:rsid w:val="00FC354F"/>
    <w:rsid w:val="00FC369B"/>
    <w:rsid w:val="00FC39B5"/>
    <w:rsid w:val="00FC434C"/>
    <w:rsid w:val="00FC4781"/>
    <w:rsid w:val="00FC497B"/>
    <w:rsid w:val="00FC53B0"/>
    <w:rsid w:val="00FC5A6A"/>
    <w:rsid w:val="00FC5EB2"/>
    <w:rsid w:val="00FD056D"/>
    <w:rsid w:val="00FD0A07"/>
    <w:rsid w:val="00FD2613"/>
    <w:rsid w:val="00FD2618"/>
    <w:rsid w:val="00FD2AAA"/>
    <w:rsid w:val="00FD4F93"/>
    <w:rsid w:val="00FD6C3C"/>
    <w:rsid w:val="00FD7B61"/>
    <w:rsid w:val="00FD7BD4"/>
    <w:rsid w:val="00FE02C5"/>
    <w:rsid w:val="00FE1255"/>
    <w:rsid w:val="00FE13F6"/>
    <w:rsid w:val="00FE1997"/>
    <w:rsid w:val="00FE1AF0"/>
    <w:rsid w:val="00FE27E1"/>
    <w:rsid w:val="00FE2D6D"/>
    <w:rsid w:val="00FE372F"/>
    <w:rsid w:val="00FE3952"/>
    <w:rsid w:val="00FE4552"/>
    <w:rsid w:val="00FE47FA"/>
    <w:rsid w:val="00FE5147"/>
    <w:rsid w:val="00FE5613"/>
    <w:rsid w:val="00FE5FBB"/>
    <w:rsid w:val="00FE7935"/>
    <w:rsid w:val="00FF0405"/>
    <w:rsid w:val="00FF0FE7"/>
    <w:rsid w:val="00FF190C"/>
    <w:rsid w:val="00FF1C4B"/>
    <w:rsid w:val="00FF1EC0"/>
    <w:rsid w:val="00FF22D1"/>
    <w:rsid w:val="00FF377B"/>
    <w:rsid w:val="00FF3ADF"/>
    <w:rsid w:val="00FF452E"/>
    <w:rsid w:val="00FF45BB"/>
    <w:rsid w:val="00FF4E46"/>
    <w:rsid w:val="00FF54F1"/>
    <w:rsid w:val="00FF6762"/>
    <w:rsid w:val="00FF7A13"/>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282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25FC8"/>
    <w:rPr>
      <w:rFonts w:ascii="Tahoma" w:hAnsi="Tahoma" w:cs="Tahoma"/>
      <w:sz w:val="16"/>
      <w:szCs w:val="16"/>
    </w:rPr>
  </w:style>
  <w:style w:type="character" w:customStyle="1" w:styleId="BalloonTextChar">
    <w:name w:val="Balloon Text Char"/>
    <w:basedOn w:val="DefaultParagraphFont"/>
    <w:link w:val="BalloonText"/>
    <w:rsid w:val="00B25FC8"/>
    <w:rPr>
      <w:rFonts w:ascii="Tahoma" w:hAnsi="Tahoma" w:cs="Tahoma"/>
      <w:sz w:val="16"/>
      <w:szCs w:val="16"/>
      <w:lang w:val="en-US" w:eastAsia="en-US"/>
    </w:rPr>
  </w:style>
  <w:style w:type="character" w:styleId="CommentReference">
    <w:name w:val="annotation reference"/>
    <w:basedOn w:val="DefaultParagraphFont"/>
    <w:rsid w:val="00481AB5"/>
    <w:rPr>
      <w:sz w:val="16"/>
      <w:szCs w:val="16"/>
    </w:rPr>
  </w:style>
  <w:style w:type="paragraph" w:styleId="CommentText">
    <w:name w:val="annotation text"/>
    <w:basedOn w:val="Normal"/>
    <w:link w:val="CommentTextChar"/>
    <w:rsid w:val="00481AB5"/>
    <w:rPr>
      <w:sz w:val="20"/>
      <w:szCs w:val="20"/>
    </w:rPr>
  </w:style>
  <w:style w:type="character" w:customStyle="1" w:styleId="CommentTextChar">
    <w:name w:val="Comment Text Char"/>
    <w:basedOn w:val="DefaultParagraphFont"/>
    <w:link w:val="CommentText"/>
    <w:rsid w:val="00481AB5"/>
    <w:rPr>
      <w:lang w:val="en-US" w:eastAsia="en-US"/>
    </w:rPr>
  </w:style>
  <w:style w:type="paragraph" w:styleId="CommentSubject">
    <w:name w:val="annotation subject"/>
    <w:basedOn w:val="CommentText"/>
    <w:next w:val="CommentText"/>
    <w:link w:val="CommentSubjectChar"/>
    <w:rsid w:val="00481AB5"/>
    <w:rPr>
      <w:b/>
      <w:bCs/>
    </w:rPr>
  </w:style>
  <w:style w:type="character" w:customStyle="1" w:styleId="CommentSubjectChar">
    <w:name w:val="Comment Subject Char"/>
    <w:basedOn w:val="CommentTextChar"/>
    <w:link w:val="CommentSubject"/>
    <w:rsid w:val="00481AB5"/>
    <w:rPr>
      <w:b/>
      <w:bCs/>
    </w:rPr>
  </w:style>
  <w:style w:type="paragraph" w:styleId="Footer">
    <w:name w:val="footer"/>
    <w:basedOn w:val="Normal"/>
    <w:rsid w:val="00D81CBC"/>
    <w:pPr>
      <w:spacing w:before="100" w:beforeAutospacing="1" w:after="100" w:afterAutospacing="1"/>
    </w:pPr>
  </w:style>
  <w:style w:type="paragraph" w:customStyle="1" w:styleId="Char1">
    <w:name w:val="Char1"/>
    <w:basedOn w:val="Normal"/>
    <w:rsid w:val="007D7BF1"/>
    <w:rPr>
      <w:rFonts w:ascii="Arial" w:hAnsi="Arial" w:cs="Arial"/>
      <w:sz w:val="22"/>
      <w:szCs w:val="22"/>
      <w:lang w:val="en-AU"/>
    </w:rPr>
  </w:style>
</w:styles>
</file>

<file path=word/webSettings.xml><?xml version="1.0" encoding="utf-8"?>
<w:webSettings xmlns:r="http://schemas.openxmlformats.org/officeDocument/2006/relationships" xmlns:w="http://schemas.openxmlformats.org/wordprocessingml/2006/main">
  <w:divs>
    <w:div w:id="1943996131">
      <w:bodyDiv w:val="1"/>
      <w:marLeft w:val="0"/>
      <w:marRight w:val="0"/>
      <w:marTop w:val="0"/>
      <w:marBottom w:val="0"/>
      <w:divBdr>
        <w:top w:val="none" w:sz="0" w:space="0" w:color="auto"/>
        <w:left w:val="none" w:sz="0" w:space="0" w:color="auto"/>
        <w:bottom w:val="none" w:sz="0" w:space="0" w:color="auto"/>
        <w:right w:val="none" w:sz="0" w:space="0" w:color="auto"/>
      </w:divBdr>
      <w:divsChild>
        <w:div w:id="76247861">
          <w:marLeft w:val="0"/>
          <w:marRight w:val="0"/>
          <w:marTop w:val="0"/>
          <w:marBottom w:val="0"/>
          <w:divBdr>
            <w:top w:val="none" w:sz="0" w:space="0" w:color="auto"/>
            <w:left w:val="none" w:sz="0" w:space="0" w:color="auto"/>
            <w:bottom w:val="none" w:sz="0" w:space="0" w:color="auto"/>
            <w:right w:val="none" w:sz="0" w:space="0" w:color="auto"/>
          </w:divBdr>
          <w:divsChild>
            <w:div w:id="283194405">
              <w:marLeft w:val="0"/>
              <w:marRight w:val="0"/>
              <w:marTop w:val="0"/>
              <w:marBottom w:val="0"/>
              <w:divBdr>
                <w:top w:val="none" w:sz="0" w:space="0" w:color="auto"/>
                <w:left w:val="none" w:sz="0" w:space="0" w:color="auto"/>
                <w:bottom w:val="none" w:sz="0" w:space="0" w:color="auto"/>
                <w:right w:val="none" w:sz="0" w:space="0" w:color="auto"/>
              </w:divBdr>
              <w:divsChild>
                <w:div w:id="1982147621">
                  <w:marLeft w:val="0"/>
                  <w:marRight w:val="0"/>
                  <w:marTop w:val="0"/>
                  <w:marBottom w:val="0"/>
                  <w:divBdr>
                    <w:top w:val="none" w:sz="0" w:space="0" w:color="auto"/>
                    <w:left w:val="none" w:sz="0" w:space="0" w:color="auto"/>
                    <w:bottom w:val="none" w:sz="0" w:space="0" w:color="auto"/>
                    <w:right w:val="none" w:sz="0" w:space="0" w:color="auto"/>
                  </w:divBdr>
                </w:div>
              </w:divsChild>
            </w:div>
            <w:div w:id="1841310736">
              <w:marLeft w:val="0"/>
              <w:marRight w:val="0"/>
              <w:marTop w:val="0"/>
              <w:marBottom w:val="0"/>
              <w:divBdr>
                <w:top w:val="none" w:sz="0" w:space="0" w:color="auto"/>
                <w:left w:val="none" w:sz="0" w:space="0" w:color="auto"/>
                <w:bottom w:val="none" w:sz="0" w:space="0" w:color="auto"/>
                <w:right w:val="none" w:sz="0" w:space="0" w:color="auto"/>
              </w:divBdr>
              <w:divsChild>
                <w:div w:id="1411196630">
                  <w:marLeft w:val="0"/>
                  <w:marRight w:val="0"/>
                  <w:marTop w:val="0"/>
                  <w:marBottom w:val="0"/>
                  <w:divBdr>
                    <w:top w:val="none" w:sz="0" w:space="0" w:color="auto"/>
                    <w:left w:val="none" w:sz="0" w:space="0" w:color="auto"/>
                    <w:bottom w:val="none" w:sz="0" w:space="0" w:color="auto"/>
                    <w:right w:val="none" w:sz="0" w:space="0" w:color="auto"/>
                  </w:divBdr>
                  <w:divsChild>
                    <w:div w:id="720985323">
                      <w:marLeft w:val="0"/>
                      <w:marRight w:val="0"/>
                      <w:marTop w:val="0"/>
                      <w:marBottom w:val="0"/>
                      <w:divBdr>
                        <w:top w:val="none" w:sz="0" w:space="0" w:color="auto"/>
                        <w:left w:val="none" w:sz="0" w:space="0" w:color="auto"/>
                        <w:bottom w:val="none" w:sz="0" w:space="0" w:color="auto"/>
                        <w:right w:val="none" w:sz="0" w:space="0" w:color="auto"/>
                      </w:divBdr>
                      <w:divsChild>
                        <w:div w:id="2108651743">
                          <w:marLeft w:val="0"/>
                          <w:marRight w:val="0"/>
                          <w:marTop w:val="0"/>
                          <w:marBottom w:val="0"/>
                          <w:divBdr>
                            <w:top w:val="single" w:sz="6" w:space="0" w:color="828282"/>
                            <w:left w:val="single" w:sz="6" w:space="0" w:color="828282"/>
                            <w:bottom w:val="single" w:sz="6" w:space="0" w:color="828282"/>
                            <w:right w:val="single" w:sz="6" w:space="0" w:color="828282"/>
                          </w:divBdr>
                          <w:divsChild>
                            <w:div w:id="737215795">
                              <w:marLeft w:val="0"/>
                              <w:marRight w:val="0"/>
                              <w:marTop w:val="0"/>
                              <w:marBottom w:val="0"/>
                              <w:divBdr>
                                <w:top w:val="none" w:sz="0" w:space="0" w:color="auto"/>
                                <w:left w:val="none" w:sz="0" w:space="0" w:color="auto"/>
                                <w:bottom w:val="none" w:sz="0" w:space="0" w:color="auto"/>
                                <w:right w:val="none" w:sz="0" w:space="0" w:color="auto"/>
                              </w:divBdr>
                              <w:divsChild>
                                <w:div w:id="227542521">
                                  <w:marLeft w:val="0"/>
                                  <w:marRight w:val="0"/>
                                  <w:marTop w:val="0"/>
                                  <w:marBottom w:val="0"/>
                                  <w:divBdr>
                                    <w:top w:val="none" w:sz="0" w:space="0" w:color="auto"/>
                                    <w:left w:val="none" w:sz="0" w:space="0" w:color="auto"/>
                                    <w:bottom w:val="none" w:sz="0" w:space="0" w:color="auto"/>
                                    <w:right w:val="none" w:sz="0" w:space="0" w:color="auto"/>
                                  </w:divBdr>
                                  <w:divsChild>
                                    <w:div w:id="41366495">
                                      <w:marLeft w:val="0"/>
                                      <w:marRight w:val="0"/>
                                      <w:marTop w:val="0"/>
                                      <w:marBottom w:val="0"/>
                                      <w:divBdr>
                                        <w:top w:val="none" w:sz="0" w:space="0" w:color="auto"/>
                                        <w:left w:val="none" w:sz="0" w:space="0" w:color="auto"/>
                                        <w:bottom w:val="none" w:sz="0" w:space="0" w:color="auto"/>
                                        <w:right w:val="none" w:sz="0" w:space="0" w:color="auto"/>
                                      </w:divBdr>
                                      <w:divsChild>
                                        <w:div w:id="1457793988">
                                          <w:marLeft w:val="0"/>
                                          <w:marRight w:val="0"/>
                                          <w:marTop w:val="0"/>
                                          <w:marBottom w:val="0"/>
                                          <w:divBdr>
                                            <w:top w:val="none" w:sz="0" w:space="0" w:color="auto"/>
                                            <w:left w:val="none" w:sz="0" w:space="0" w:color="auto"/>
                                            <w:bottom w:val="none" w:sz="0" w:space="0" w:color="auto"/>
                                            <w:right w:val="none" w:sz="0" w:space="0" w:color="auto"/>
                                          </w:divBdr>
                                          <w:divsChild>
                                            <w:div w:id="976572507">
                                              <w:marLeft w:val="0"/>
                                              <w:marRight w:val="0"/>
                                              <w:marTop w:val="0"/>
                                              <w:marBottom w:val="0"/>
                                              <w:divBdr>
                                                <w:top w:val="none" w:sz="0" w:space="0" w:color="auto"/>
                                                <w:left w:val="none" w:sz="0" w:space="0" w:color="auto"/>
                                                <w:bottom w:val="none" w:sz="0" w:space="0" w:color="auto"/>
                                                <w:right w:val="none" w:sz="0" w:space="0" w:color="auto"/>
                                              </w:divBdr>
                                              <w:divsChild>
                                                <w:div w:id="1637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DHA</Company>
  <LinksUpToDate>false</LinksUpToDate>
  <CharactersWithSpaces>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carteb</dc:creator>
  <cp:lastModifiedBy>Carter, Bless</cp:lastModifiedBy>
  <cp:revision>2</cp:revision>
  <cp:lastPrinted>2012-06-07T08:33:00Z</cp:lastPrinted>
  <dcterms:created xsi:type="dcterms:W3CDTF">2012-06-12T02:42:00Z</dcterms:created>
  <dcterms:modified xsi:type="dcterms:W3CDTF">2012-06-12T02:42:00Z</dcterms:modified>
</cp:coreProperties>
</file>