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A7" w:rsidRDefault="00B67224" w:rsidP="00AE5500">
      <w:pPr>
        <w:jc w:val="center"/>
        <w:rPr>
          <w:b/>
        </w:rPr>
      </w:pPr>
      <w:r>
        <w:rPr>
          <w:b/>
          <w:u w:val="single"/>
        </w:rPr>
        <w:t>EXPLANATORY STATEMENT</w:t>
      </w:r>
    </w:p>
    <w:p w:rsidR="002C3BA7" w:rsidRDefault="002C3BA7" w:rsidP="00AE5500">
      <w:pPr>
        <w:jc w:val="center"/>
      </w:pPr>
    </w:p>
    <w:p w:rsidR="002C3BA7" w:rsidRDefault="00B67224" w:rsidP="00AE5500">
      <w:pPr>
        <w:jc w:val="center"/>
        <w:rPr>
          <w:u w:val="single"/>
        </w:rPr>
      </w:pPr>
      <w:r>
        <w:rPr>
          <w:u w:val="single"/>
        </w:rPr>
        <w:t>Issued by Authority of the Parliamentary Secretary for Agriculture, Fisheries and Forestry</w:t>
      </w:r>
    </w:p>
    <w:p w:rsidR="002C3BA7" w:rsidRDefault="002C3BA7" w:rsidP="00AE5500">
      <w:pPr>
        <w:jc w:val="center"/>
      </w:pPr>
    </w:p>
    <w:p w:rsidR="002C3BA7" w:rsidRDefault="00B67224" w:rsidP="00AE5500">
      <w:pPr>
        <w:jc w:val="center"/>
        <w:rPr>
          <w:i/>
        </w:rPr>
      </w:pPr>
      <w:r>
        <w:rPr>
          <w:i/>
        </w:rPr>
        <w:t>Export Control Act 1982</w:t>
      </w:r>
    </w:p>
    <w:p w:rsidR="002C3BA7" w:rsidRDefault="002C3BA7" w:rsidP="00AE5500">
      <w:pPr>
        <w:jc w:val="center"/>
      </w:pPr>
    </w:p>
    <w:p w:rsidR="002C3BA7" w:rsidRDefault="00B67224" w:rsidP="00AE5500">
      <w:pPr>
        <w:jc w:val="center"/>
        <w:rPr>
          <w:i/>
        </w:rPr>
      </w:pPr>
      <w:r>
        <w:rPr>
          <w:i/>
        </w:rPr>
        <w:t>Export Control (Prescribed Goods</w:t>
      </w:r>
      <w:r w:rsidR="000D5CC2">
        <w:rPr>
          <w:i/>
        </w:rPr>
        <w:t>–</w:t>
      </w:r>
      <w:r>
        <w:rPr>
          <w:i/>
        </w:rPr>
        <w:t>General) Amendment Order 201</w:t>
      </w:r>
      <w:r w:rsidR="00F55805">
        <w:rPr>
          <w:i/>
        </w:rPr>
        <w:t>2</w:t>
      </w:r>
      <w:r>
        <w:rPr>
          <w:i/>
        </w:rPr>
        <w:t xml:space="preserve"> (No.</w:t>
      </w:r>
      <w:r w:rsidR="00FC0D35">
        <w:rPr>
          <w:i/>
        </w:rPr>
        <w:t>1</w:t>
      </w:r>
      <w:r>
        <w:rPr>
          <w:i/>
        </w:rPr>
        <w:t>)</w:t>
      </w:r>
    </w:p>
    <w:p w:rsidR="003C1155" w:rsidRDefault="003C1155" w:rsidP="003C1155"/>
    <w:p w:rsidR="002C3BA7" w:rsidRDefault="00B67224" w:rsidP="00AE5500">
      <w:pPr>
        <w:rPr>
          <w:b/>
          <w:u w:val="single"/>
        </w:rPr>
      </w:pPr>
      <w:r>
        <w:rPr>
          <w:b/>
          <w:u w:val="single"/>
        </w:rPr>
        <w:t xml:space="preserve">Legislative Authority </w:t>
      </w:r>
    </w:p>
    <w:p w:rsidR="002C3BA7" w:rsidRDefault="002C3BA7" w:rsidP="00AE5500"/>
    <w:p w:rsidR="005A5B9B" w:rsidRDefault="005A5B9B" w:rsidP="00AE5500">
      <w:pPr>
        <w:rPr>
          <w:color w:val="000000"/>
        </w:rPr>
      </w:pPr>
      <w:r>
        <w:rPr>
          <w:color w:val="000000"/>
        </w:rPr>
        <w:t xml:space="preserve">Subsection 25(1) of the </w:t>
      </w:r>
      <w:r>
        <w:rPr>
          <w:i/>
          <w:color w:val="000000"/>
        </w:rPr>
        <w:t xml:space="preserve">Export Control Act 1982 </w:t>
      </w:r>
      <w:r>
        <w:rPr>
          <w:color w:val="000000"/>
        </w:rPr>
        <w:t>(</w:t>
      </w:r>
      <w:r w:rsidR="0022607D">
        <w:rPr>
          <w:color w:val="000000"/>
        </w:rPr>
        <w:t xml:space="preserve">the </w:t>
      </w:r>
      <w:r w:rsidR="00787508" w:rsidRPr="00787508">
        <w:rPr>
          <w:color w:val="000000"/>
        </w:rPr>
        <w:t>Act</w:t>
      </w:r>
      <w:r>
        <w:rPr>
          <w:color w:val="000000"/>
        </w:rPr>
        <w:t>) permits the Governor-General to make regulations prescribing matters required or permitted to be prescribed by the Act; or necessary or convenient to be prescribed for carrying out or giving effect to the Act.</w:t>
      </w:r>
    </w:p>
    <w:p w:rsidR="005A5B9B" w:rsidRDefault="005A5B9B" w:rsidP="00AE5500">
      <w:pPr>
        <w:rPr>
          <w:color w:val="000000"/>
        </w:rPr>
      </w:pPr>
    </w:p>
    <w:p w:rsidR="005A5B9B" w:rsidRDefault="005A5B9B" w:rsidP="00AE5500">
      <w:pPr>
        <w:rPr>
          <w:color w:val="000000"/>
        </w:rPr>
      </w:pPr>
      <w:r>
        <w:rPr>
          <w:color w:val="000000"/>
        </w:rPr>
        <w:t>Section 3 of the Act defines ‘official mark’ to mean any stamp, seal, label or mark that is declared to be an official mark.</w:t>
      </w:r>
    </w:p>
    <w:p w:rsidR="005A5B9B" w:rsidRDefault="005A5B9B" w:rsidP="00AE5500">
      <w:pPr>
        <w:rPr>
          <w:b/>
          <w:bCs/>
          <w:i/>
          <w:iCs/>
          <w:sz w:val="22"/>
          <w:szCs w:val="22"/>
        </w:rPr>
      </w:pPr>
    </w:p>
    <w:p w:rsidR="005A5B9B" w:rsidRDefault="005A5B9B" w:rsidP="00AE5500">
      <w:pPr>
        <w:rPr>
          <w:color w:val="000000"/>
        </w:rPr>
      </w:pPr>
      <w:r>
        <w:rPr>
          <w:color w:val="000000"/>
        </w:rPr>
        <w:t xml:space="preserve">Regulation 3 of the </w:t>
      </w:r>
      <w:r>
        <w:rPr>
          <w:i/>
          <w:color w:val="000000"/>
        </w:rPr>
        <w:t xml:space="preserve">Export Control (Orders) Regulations 1982 </w:t>
      </w:r>
      <w:r>
        <w:rPr>
          <w:color w:val="000000"/>
        </w:rPr>
        <w:t>(</w:t>
      </w:r>
      <w:r w:rsidR="0022607D">
        <w:rPr>
          <w:color w:val="000000"/>
        </w:rPr>
        <w:t xml:space="preserve">the </w:t>
      </w:r>
      <w:r w:rsidR="00787508" w:rsidRPr="00787508">
        <w:rPr>
          <w:color w:val="000000"/>
        </w:rPr>
        <w:t>Regulations</w:t>
      </w:r>
      <w:r>
        <w:rPr>
          <w:color w:val="000000"/>
        </w:rPr>
        <w:t xml:space="preserve">) provides that the Minister may, by instrument in writing, make orders, not inconsistent with regulations made under the Act, with respect to any matter for or in relation to which provision may be made by regulations under the Act. </w:t>
      </w:r>
    </w:p>
    <w:p w:rsidR="005A5B9B" w:rsidRDefault="005A5B9B" w:rsidP="00AE5500">
      <w:pPr>
        <w:pStyle w:val="MELegal1"/>
        <w:numPr>
          <w:ilvl w:val="0"/>
          <w:numId w:val="0"/>
        </w:numPr>
        <w:rPr>
          <w:b/>
        </w:rPr>
      </w:pPr>
    </w:p>
    <w:p w:rsidR="005A5B9B" w:rsidRDefault="005A5B9B" w:rsidP="00AE5500">
      <w:pPr>
        <w:pStyle w:val="MELegal1"/>
        <w:numPr>
          <w:ilvl w:val="0"/>
          <w:numId w:val="0"/>
        </w:numPr>
      </w:pPr>
      <w:r w:rsidRPr="00C430EC">
        <w:t xml:space="preserve">Section 13.05 </w:t>
      </w:r>
      <w:r>
        <w:t xml:space="preserve">of the </w:t>
      </w:r>
      <w:r>
        <w:rPr>
          <w:i/>
        </w:rPr>
        <w:t>Export Control (Prescribed Goods</w:t>
      </w:r>
      <w:r w:rsidR="000D5CC2">
        <w:rPr>
          <w:i/>
        </w:rPr>
        <w:t>–</w:t>
      </w:r>
      <w:r>
        <w:rPr>
          <w:i/>
        </w:rPr>
        <w:t xml:space="preserve">General) Order 2005 </w:t>
      </w:r>
      <w:r>
        <w:t>(</w:t>
      </w:r>
      <w:r w:rsidR="0022607D">
        <w:t xml:space="preserve">the </w:t>
      </w:r>
      <w:r w:rsidR="00787508" w:rsidRPr="00787508">
        <w:t>Order</w:t>
      </w:r>
      <w:r>
        <w:t xml:space="preserve">) declares that for the purposes of the definition of official mark in </w:t>
      </w:r>
      <w:r w:rsidR="007331BD">
        <w:t>S</w:t>
      </w:r>
      <w:r>
        <w:t xml:space="preserve">ection 3 of the Act, </w:t>
      </w:r>
      <w:r>
        <w:rPr>
          <w:color w:val="000000"/>
        </w:rPr>
        <w:t>the design of the marks for Halal meat must conform to the standards specified in the section.</w:t>
      </w:r>
    </w:p>
    <w:p w:rsidR="005A5B9B" w:rsidRDefault="005A5B9B" w:rsidP="00AE5500">
      <w:pPr>
        <w:widowControl w:val="0"/>
        <w:rPr>
          <w:color w:val="000000"/>
        </w:rPr>
      </w:pPr>
    </w:p>
    <w:p w:rsidR="005A5B9B" w:rsidRDefault="005A5B9B" w:rsidP="00AE5500">
      <w:pPr>
        <w:widowControl w:val="0"/>
      </w:pPr>
      <w:r>
        <w:rPr>
          <w:color w:val="000000"/>
        </w:rPr>
        <w:t>The</w:t>
      </w:r>
      <w:r w:rsidRPr="0041297C">
        <w:rPr>
          <w:color w:val="000000"/>
        </w:rPr>
        <w:t xml:space="preserve"> </w:t>
      </w:r>
      <w:r w:rsidRPr="0041297C">
        <w:rPr>
          <w:i/>
        </w:rPr>
        <w:t>Export Control (Prescribed Goods</w:t>
      </w:r>
      <w:r w:rsidR="000D5CC2">
        <w:rPr>
          <w:i/>
        </w:rPr>
        <w:t>–</w:t>
      </w:r>
      <w:r w:rsidRPr="0041297C">
        <w:rPr>
          <w:i/>
        </w:rPr>
        <w:t>General) Amendment Order 2011 (No.</w:t>
      </w:r>
      <w:r w:rsidR="00483343">
        <w:rPr>
          <w:i/>
        </w:rPr>
        <w:t>1</w:t>
      </w:r>
      <w:r w:rsidRPr="0041297C">
        <w:rPr>
          <w:i/>
        </w:rPr>
        <w:t>)</w:t>
      </w:r>
      <w:r>
        <w:rPr>
          <w:i/>
        </w:rPr>
        <w:t xml:space="preserve"> </w:t>
      </w:r>
      <w:r>
        <w:t>(</w:t>
      </w:r>
      <w:r w:rsidR="0022607D">
        <w:t xml:space="preserve">the </w:t>
      </w:r>
      <w:r w:rsidR="00787508" w:rsidRPr="00787508">
        <w:t>Amending Order</w:t>
      </w:r>
      <w:r>
        <w:t>)</w:t>
      </w:r>
      <w:r>
        <w:rPr>
          <w:i/>
        </w:rPr>
        <w:t xml:space="preserve"> </w:t>
      </w:r>
      <w:r w:rsidRPr="0041297C">
        <w:t xml:space="preserve">which commenced on 23 December 2011 introduced a new single Australian </w:t>
      </w:r>
      <w:r>
        <w:t>H</w:t>
      </w:r>
      <w:r w:rsidRPr="0041297C">
        <w:t xml:space="preserve">alal mark </w:t>
      </w:r>
      <w:r w:rsidR="003667DC">
        <w:t>(</w:t>
      </w:r>
      <w:r w:rsidR="00787508" w:rsidRPr="00787508">
        <w:t>new official mark</w:t>
      </w:r>
      <w:r w:rsidR="003667DC">
        <w:t xml:space="preserve">) </w:t>
      </w:r>
      <w:r w:rsidRPr="0041297C">
        <w:t>in subsection 13.05(3) of the Order, replacing the old official state-</w:t>
      </w:r>
      <w:r w:rsidRPr="00E711C4">
        <w:t>based mark</w:t>
      </w:r>
      <w:r w:rsidR="003667DC">
        <w:t xml:space="preserve"> (</w:t>
      </w:r>
      <w:r w:rsidR="00787508" w:rsidRPr="00787508">
        <w:t>old official mark</w:t>
      </w:r>
      <w:r w:rsidR="003667DC">
        <w:t>)</w:t>
      </w:r>
      <w:r w:rsidRPr="00E711C4">
        <w:t>. A transition period of 6 months from the commencement date of th</w:t>
      </w:r>
      <w:r w:rsidR="00757B68">
        <w:t>e</w:t>
      </w:r>
      <w:r w:rsidRPr="00E711C4">
        <w:t xml:space="preserve"> </w:t>
      </w:r>
      <w:r>
        <w:t>Amending</w:t>
      </w:r>
      <w:r w:rsidRPr="00E711C4">
        <w:t xml:space="preserve"> </w:t>
      </w:r>
      <w:r>
        <w:t>O</w:t>
      </w:r>
      <w:r w:rsidRPr="00E711C4">
        <w:t>rder was provided for in section 18.03 of th</w:t>
      </w:r>
      <w:r>
        <w:t>e O</w:t>
      </w:r>
      <w:r w:rsidRPr="00E711C4">
        <w:t>rder. This transition period is due to expire on 23 June 2012.</w:t>
      </w:r>
    </w:p>
    <w:p w:rsidR="00A01CDD" w:rsidRDefault="00A01CDD" w:rsidP="00AE5500">
      <w:pPr>
        <w:rPr>
          <w:color w:val="000000"/>
        </w:rPr>
      </w:pPr>
    </w:p>
    <w:p w:rsidR="002C3BA7" w:rsidRDefault="00B67224" w:rsidP="00AE5500">
      <w:pPr>
        <w:rPr>
          <w:b/>
          <w:u w:val="single"/>
        </w:rPr>
      </w:pPr>
      <w:r>
        <w:rPr>
          <w:b/>
          <w:color w:val="000000"/>
          <w:u w:val="single"/>
        </w:rPr>
        <w:t>Purpose</w:t>
      </w:r>
    </w:p>
    <w:p w:rsidR="002C3BA7" w:rsidRDefault="002C3BA7" w:rsidP="00AE5500"/>
    <w:p w:rsidR="003667DC" w:rsidRPr="003D62F1" w:rsidRDefault="003667DC" w:rsidP="007331BD">
      <w:r>
        <w:t xml:space="preserve">The purpose of the </w:t>
      </w:r>
      <w:r>
        <w:rPr>
          <w:i/>
        </w:rPr>
        <w:t>Export Control (Prescribed Goods</w:t>
      </w:r>
      <w:r w:rsidR="000D5CC2">
        <w:rPr>
          <w:i/>
        </w:rPr>
        <w:t>–</w:t>
      </w:r>
      <w:r>
        <w:rPr>
          <w:i/>
        </w:rPr>
        <w:t>General) Amendment Order</w:t>
      </w:r>
      <w:r w:rsidR="007331BD">
        <w:rPr>
          <w:i/>
        </w:rPr>
        <w:t> </w:t>
      </w:r>
      <w:r>
        <w:rPr>
          <w:i/>
        </w:rPr>
        <w:t>2012</w:t>
      </w:r>
      <w:r w:rsidR="007331BD">
        <w:rPr>
          <w:i/>
        </w:rPr>
        <w:t> </w:t>
      </w:r>
      <w:r>
        <w:rPr>
          <w:i/>
        </w:rPr>
        <w:t>(No.</w:t>
      </w:r>
      <w:r w:rsidR="005E01D4">
        <w:rPr>
          <w:i/>
        </w:rPr>
        <w:t>1</w:t>
      </w:r>
      <w:r>
        <w:rPr>
          <w:i/>
        </w:rPr>
        <w:t xml:space="preserve">) </w:t>
      </w:r>
      <w:r>
        <w:t>(</w:t>
      </w:r>
      <w:r w:rsidR="0022607D">
        <w:t xml:space="preserve">the </w:t>
      </w:r>
      <w:r w:rsidR="00787508" w:rsidRPr="00787508">
        <w:t>Amendment Order</w:t>
      </w:r>
      <w:r>
        <w:t xml:space="preserve">) is to amend the current transition period so that the </w:t>
      </w:r>
      <w:r w:rsidR="004648E6" w:rsidRPr="004648E6">
        <w:t>old official mark</w:t>
      </w:r>
      <w:r w:rsidRPr="003667DC">
        <w:t xml:space="preserve"> continues</w:t>
      </w:r>
      <w:r>
        <w:t xml:space="preserve"> in force for an additional 8 months after 22 June 2012, the commencement date of this amendment. It is intended that the current transition period continue to 23 February 2013.</w:t>
      </w:r>
    </w:p>
    <w:p w:rsidR="002C3BA7" w:rsidRDefault="002C3BA7" w:rsidP="00AE5500"/>
    <w:p w:rsidR="00496B86" w:rsidRDefault="00496B86" w:rsidP="00496B86">
      <w:r>
        <w:t xml:space="preserve">An extended transition period will allow industry to phase out the old </w:t>
      </w:r>
      <w:r w:rsidR="00082154">
        <w:t>official mark</w:t>
      </w:r>
      <w:r>
        <w:t xml:space="preserve"> and use up existing stocks of products marked with the old design.</w:t>
      </w:r>
    </w:p>
    <w:p w:rsidR="00496B86" w:rsidRDefault="00496B86" w:rsidP="00AE5500"/>
    <w:p w:rsidR="002C3BA7" w:rsidRDefault="00B67224" w:rsidP="00AE5500">
      <w:pPr>
        <w:rPr>
          <w:b/>
          <w:u w:val="single"/>
        </w:rPr>
      </w:pPr>
      <w:r>
        <w:rPr>
          <w:b/>
          <w:u w:val="single"/>
        </w:rPr>
        <w:t>Consultation</w:t>
      </w:r>
    </w:p>
    <w:p w:rsidR="00E370F7" w:rsidRDefault="00E370F7" w:rsidP="00AE5500">
      <w:pPr>
        <w:rPr>
          <w:b/>
          <w:u w:val="single"/>
        </w:rPr>
      </w:pPr>
    </w:p>
    <w:p w:rsidR="003B38BC" w:rsidRDefault="003B38BC" w:rsidP="00AE5500">
      <w:r>
        <w:t xml:space="preserve">The export meat industry through the AQIS Halal Consultative Committee (AHCC) supported and requested the new </w:t>
      </w:r>
      <w:r w:rsidR="0022607D">
        <w:t>H</w:t>
      </w:r>
      <w:r w:rsidR="00AE5500">
        <w:t xml:space="preserve">alal </w:t>
      </w:r>
      <w:r>
        <w:t xml:space="preserve">mark. The AHCC is comprised of representatives from the export meat industry processor sector, Islamic Organisations approved under the Regulations, AUS-MEAT and the </w:t>
      </w:r>
      <w:r w:rsidR="00757B68">
        <w:t>D</w:t>
      </w:r>
      <w:r>
        <w:t>epartment</w:t>
      </w:r>
      <w:r w:rsidR="00757B68">
        <w:t xml:space="preserve"> of Agriculture, Fisheries and Forestry (DAFF)</w:t>
      </w:r>
      <w:r>
        <w:t>.</w:t>
      </w:r>
    </w:p>
    <w:p w:rsidR="003B38BC" w:rsidRPr="003667DC" w:rsidRDefault="003B38BC" w:rsidP="00AE5500"/>
    <w:p w:rsidR="004648E6" w:rsidRDefault="007E2E76" w:rsidP="004648E6">
      <w:r>
        <w:t>I</w:t>
      </w:r>
      <w:r w:rsidR="00B2454E">
        <w:t xml:space="preserve">ndustry has advised that the current transition period to 23 June 2012 does not </w:t>
      </w:r>
      <w:r w:rsidR="0022607D">
        <w:t xml:space="preserve">provide sufficient </w:t>
      </w:r>
      <w:r w:rsidR="00B2454E">
        <w:t>time to update their systems to achieve compliance with the new regime.</w:t>
      </w:r>
    </w:p>
    <w:p w:rsidR="00E370F7" w:rsidRDefault="00E370F7" w:rsidP="00AE5500"/>
    <w:p w:rsidR="004648E6" w:rsidRDefault="00E370F7" w:rsidP="004648E6">
      <w:r>
        <w:t>Industry, via the Australian Meat Industry Council, has advised that a transition period ending in February 2013 would be sufficient</w:t>
      </w:r>
      <w:r w:rsidR="003B38BC">
        <w:t xml:space="preserve"> time.</w:t>
      </w:r>
    </w:p>
    <w:p w:rsidR="004648E6" w:rsidRDefault="004648E6" w:rsidP="004648E6"/>
    <w:p w:rsidR="004A7ACA" w:rsidRDefault="004A7ACA" w:rsidP="00AE5500">
      <w:r>
        <w:t xml:space="preserve">Prior to the commencement of the new </w:t>
      </w:r>
      <w:r w:rsidR="003667DC">
        <w:t>official</w:t>
      </w:r>
      <w:r>
        <w:t xml:space="preserve"> mark, DAFF </w:t>
      </w:r>
      <w:r w:rsidR="00AE5500">
        <w:t>advised</w:t>
      </w:r>
      <w:r>
        <w:t xml:space="preserve"> overseas trading partners </w:t>
      </w:r>
      <w:r w:rsidR="00AE5500">
        <w:t>o</w:t>
      </w:r>
      <w:r>
        <w:t xml:space="preserve">f the changes to the design of the mark and the transition period of 6 months from the commencement date provided for in the legislation. </w:t>
      </w:r>
    </w:p>
    <w:p w:rsidR="004648E6" w:rsidRDefault="004648E6" w:rsidP="004648E6"/>
    <w:p w:rsidR="004648E6" w:rsidRDefault="004A7ACA" w:rsidP="004648E6">
      <w:pPr>
        <w:rPr>
          <w:color w:val="000000"/>
        </w:rPr>
      </w:pPr>
      <w:r>
        <w:t>DAFF</w:t>
      </w:r>
      <w:r w:rsidRPr="00190F00">
        <w:t xml:space="preserve"> also advised importing countries and trading partner</w:t>
      </w:r>
      <w:r>
        <w:t>s that</w:t>
      </w:r>
      <w:r w:rsidRPr="00190F00">
        <w:t xml:space="preserve"> </w:t>
      </w:r>
      <w:r w:rsidRPr="006D2B2F">
        <w:rPr>
          <w:color w:val="000000"/>
        </w:rPr>
        <w:t xml:space="preserve">they could expect to see both the </w:t>
      </w:r>
      <w:r w:rsidR="00AE5500">
        <w:rPr>
          <w:color w:val="000000"/>
        </w:rPr>
        <w:t xml:space="preserve">new </w:t>
      </w:r>
      <w:r w:rsidR="003667DC">
        <w:rPr>
          <w:color w:val="000000"/>
        </w:rPr>
        <w:t>official</w:t>
      </w:r>
      <w:r w:rsidRPr="006D2B2F">
        <w:rPr>
          <w:color w:val="000000"/>
        </w:rPr>
        <w:t xml:space="preserve"> mark and </w:t>
      </w:r>
      <w:r w:rsidR="00AE5500">
        <w:rPr>
          <w:color w:val="000000"/>
        </w:rPr>
        <w:t xml:space="preserve">old </w:t>
      </w:r>
      <w:r w:rsidR="00886213">
        <w:rPr>
          <w:color w:val="000000"/>
        </w:rPr>
        <w:t xml:space="preserve">official mark </w:t>
      </w:r>
      <w:r w:rsidRPr="006D2B2F">
        <w:rPr>
          <w:color w:val="000000"/>
        </w:rPr>
        <w:t xml:space="preserve">during and after the end of the current transition period. </w:t>
      </w:r>
    </w:p>
    <w:p w:rsidR="004648E6" w:rsidRDefault="004648E6" w:rsidP="004648E6">
      <w:pPr>
        <w:rPr>
          <w:color w:val="000000"/>
        </w:rPr>
      </w:pPr>
    </w:p>
    <w:p w:rsidR="00E370F7" w:rsidRDefault="00E370F7" w:rsidP="00AE5500">
      <w:r>
        <w:t>The Office of Best Practice Regulation (OBPR) has been consulted and</w:t>
      </w:r>
      <w:r w:rsidR="0022607D">
        <w:t xml:space="preserve"> the</w:t>
      </w:r>
      <w:r>
        <w:t xml:space="preserve"> OBPR reference number is 13756.</w:t>
      </w:r>
    </w:p>
    <w:p w:rsidR="002C3BA7" w:rsidRDefault="002C3BA7" w:rsidP="00AE5500"/>
    <w:p w:rsidR="002C3BA7" w:rsidRDefault="00B67224" w:rsidP="00AE5500">
      <w:r>
        <w:t xml:space="preserve">The Amendment Order is a legislative instrument for the purposes of the </w:t>
      </w:r>
      <w:r>
        <w:rPr>
          <w:i/>
        </w:rPr>
        <w:t>Legislative Instruments Act</w:t>
      </w:r>
      <w:r w:rsidR="00850D0B">
        <w:rPr>
          <w:i/>
        </w:rPr>
        <w:t> </w:t>
      </w:r>
      <w:r>
        <w:rPr>
          <w:i/>
        </w:rPr>
        <w:t>2003</w:t>
      </w:r>
      <w:r>
        <w:t>.</w:t>
      </w:r>
    </w:p>
    <w:p w:rsidR="002C3BA7" w:rsidRDefault="002C3BA7" w:rsidP="00AE5500"/>
    <w:p w:rsidR="002C3BA7" w:rsidRDefault="00B67224" w:rsidP="00AE5500">
      <w:r>
        <w:t>Details of the Amendment Order are set out below:</w:t>
      </w:r>
    </w:p>
    <w:p w:rsidR="00CC2B71" w:rsidRDefault="00CC2B71" w:rsidP="00AE5500"/>
    <w:p w:rsidR="002C3BA7" w:rsidRPr="00CC2B71" w:rsidRDefault="00CC2B71" w:rsidP="00AE5500">
      <w:pPr>
        <w:rPr>
          <w:u w:val="single"/>
        </w:rPr>
      </w:pPr>
      <w:r w:rsidRPr="00CC2B71">
        <w:rPr>
          <w:u w:val="single"/>
        </w:rPr>
        <w:t xml:space="preserve">Section 1 </w:t>
      </w:r>
      <w:r w:rsidR="003C1155" w:rsidRPr="003C1155">
        <w:rPr>
          <w:u w:val="single"/>
        </w:rPr>
        <w:t xml:space="preserve">– </w:t>
      </w:r>
      <w:r w:rsidRPr="00CC2B71">
        <w:rPr>
          <w:u w:val="single"/>
        </w:rPr>
        <w:t>Name</w:t>
      </w:r>
      <w:r>
        <w:rPr>
          <w:u w:val="single"/>
        </w:rPr>
        <w:t xml:space="preserve"> of Regulation</w:t>
      </w:r>
    </w:p>
    <w:p w:rsidR="002C3BA7" w:rsidRDefault="002C3BA7" w:rsidP="00AE5500"/>
    <w:p w:rsidR="003C1155" w:rsidRDefault="00B67224" w:rsidP="003C1155">
      <w:r>
        <w:t xml:space="preserve">This Order provides that the name of the Amendment Order is the </w:t>
      </w:r>
      <w:r>
        <w:rPr>
          <w:i/>
        </w:rPr>
        <w:t>Export Control (Prescribed Goods</w:t>
      </w:r>
      <w:r w:rsidR="000D5CC2">
        <w:rPr>
          <w:i/>
        </w:rPr>
        <w:t>–</w:t>
      </w:r>
      <w:r>
        <w:rPr>
          <w:i/>
        </w:rPr>
        <w:t>General) Amendment Order 201</w:t>
      </w:r>
      <w:r w:rsidR="00AE5500">
        <w:rPr>
          <w:i/>
        </w:rPr>
        <w:t>2</w:t>
      </w:r>
      <w:r w:rsidR="00CC2B71">
        <w:rPr>
          <w:i/>
        </w:rPr>
        <w:t> </w:t>
      </w:r>
      <w:r>
        <w:rPr>
          <w:i/>
        </w:rPr>
        <w:t>(No.</w:t>
      </w:r>
      <w:r w:rsidR="00D90502">
        <w:rPr>
          <w:i/>
        </w:rPr>
        <w:t>1</w:t>
      </w:r>
      <w:r>
        <w:rPr>
          <w:i/>
        </w:rPr>
        <w:t>).</w:t>
      </w:r>
      <w:r>
        <w:t xml:space="preserve"> </w:t>
      </w:r>
    </w:p>
    <w:p w:rsidR="003C1155" w:rsidRDefault="003C1155" w:rsidP="003C1155"/>
    <w:p w:rsidR="003C1155" w:rsidRDefault="003C1155" w:rsidP="003C1155">
      <w:pPr>
        <w:rPr>
          <w:u w:val="single"/>
        </w:rPr>
      </w:pPr>
      <w:r w:rsidRPr="003C1155">
        <w:rPr>
          <w:u w:val="single"/>
        </w:rPr>
        <w:t>Section 2 – Commencement</w:t>
      </w:r>
    </w:p>
    <w:p w:rsidR="003C1155" w:rsidRPr="003C1155" w:rsidRDefault="003C1155" w:rsidP="003C1155">
      <w:pPr>
        <w:rPr>
          <w:u w:val="single"/>
        </w:rPr>
      </w:pPr>
    </w:p>
    <w:p w:rsidR="002C3BA7" w:rsidRDefault="00B67224" w:rsidP="00AE5500">
      <w:pPr>
        <w:ind w:left="360" w:hanging="360"/>
      </w:pPr>
      <w:r>
        <w:t xml:space="preserve">This Order </w:t>
      </w:r>
      <w:r w:rsidR="00DD601C">
        <w:t xml:space="preserve">provides that the Amendment Order </w:t>
      </w:r>
      <w:r>
        <w:t xml:space="preserve">commences on </w:t>
      </w:r>
      <w:r w:rsidR="00AE5500">
        <w:t>22 June 2012</w:t>
      </w:r>
      <w:r>
        <w:t>.</w:t>
      </w:r>
    </w:p>
    <w:p w:rsidR="002C3BA7" w:rsidRDefault="002C3BA7" w:rsidP="00AE5500"/>
    <w:p w:rsidR="00CC2B71" w:rsidRPr="00CC2B71" w:rsidRDefault="00CC2B71" w:rsidP="00CC2B71">
      <w:pPr>
        <w:rPr>
          <w:u w:val="single"/>
        </w:rPr>
      </w:pPr>
      <w:r w:rsidRPr="00CC2B71">
        <w:rPr>
          <w:u w:val="single"/>
        </w:rPr>
        <w:t xml:space="preserve">Section </w:t>
      </w:r>
      <w:r>
        <w:rPr>
          <w:u w:val="single"/>
        </w:rPr>
        <w:t>3</w:t>
      </w:r>
      <w:r w:rsidRPr="00CC2B71">
        <w:rPr>
          <w:u w:val="single"/>
        </w:rPr>
        <w:t xml:space="preserve"> – </w:t>
      </w:r>
      <w:r>
        <w:rPr>
          <w:u w:val="single"/>
        </w:rPr>
        <w:t xml:space="preserve">Amendment </w:t>
      </w:r>
      <w:r w:rsidRPr="00CC2B71">
        <w:rPr>
          <w:u w:val="single"/>
        </w:rPr>
        <w:t xml:space="preserve">of </w:t>
      </w:r>
      <w:r w:rsidR="003C1155" w:rsidRPr="003C1155">
        <w:rPr>
          <w:i/>
          <w:u w:val="single"/>
        </w:rPr>
        <w:t>Export Control (Prescribed Goods</w:t>
      </w:r>
      <w:r w:rsidR="000D5CC2">
        <w:rPr>
          <w:i/>
          <w:u w:val="single"/>
        </w:rPr>
        <w:t>–</w:t>
      </w:r>
      <w:r w:rsidR="003C1155" w:rsidRPr="003C1155">
        <w:rPr>
          <w:i/>
          <w:u w:val="single"/>
        </w:rPr>
        <w:t>General) Order 2005</w:t>
      </w:r>
    </w:p>
    <w:p w:rsidR="002C3BA7" w:rsidRDefault="002C3BA7" w:rsidP="00AE5500"/>
    <w:p w:rsidR="003C1155" w:rsidRDefault="00B67224" w:rsidP="003C1155">
      <w:r>
        <w:t xml:space="preserve">This Order provides that Schedule 1 amends the </w:t>
      </w:r>
      <w:r>
        <w:rPr>
          <w:i/>
        </w:rPr>
        <w:t>Export Control (Prescribed Goods</w:t>
      </w:r>
      <w:r w:rsidR="000D5CC2">
        <w:rPr>
          <w:i/>
        </w:rPr>
        <w:t>–</w:t>
      </w:r>
      <w:r>
        <w:rPr>
          <w:i/>
        </w:rPr>
        <w:t>General) Order</w:t>
      </w:r>
      <w:r w:rsidR="00104E53">
        <w:rPr>
          <w:i/>
        </w:rPr>
        <w:t> </w:t>
      </w:r>
      <w:r>
        <w:rPr>
          <w:i/>
        </w:rPr>
        <w:t>2005</w:t>
      </w:r>
      <w:r>
        <w:t xml:space="preserve">. </w:t>
      </w:r>
    </w:p>
    <w:p w:rsidR="00850D0B" w:rsidRDefault="00850D0B" w:rsidP="00AE5500"/>
    <w:p w:rsidR="002C3BA7" w:rsidRPr="0022607D" w:rsidRDefault="00787508" w:rsidP="00AE5500">
      <w:pPr>
        <w:rPr>
          <w:u w:val="single"/>
        </w:rPr>
      </w:pPr>
      <w:r w:rsidRPr="00787508">
        <w:rPr>
          <w:u w:val="single"/>
        </w:rPr>
        <w:t>Schedule 1</w:t>
      </w:r>
      <w:r w:rsidR="00104E53">
        <w:rPr>
          <w:u w:val="single"/>
        </w:rPr>
        <w:t xml:space="preserve"> – </w:t>
      </w:r>
      <w:r w:rsidRPr="00787508">
        <w:rPr>
          <w:u w:val="single"/>
        </w:rPr>
        <w:t>Amendments</w:t>
      </w:r>
    </w:p>
    <w:p w:rsidR="002C3BA7" w:rsidRDefault="002C3BA7" w:rsidP="00AE5500"/>
    <w:p w:rsidR="000B2CB9" w:rsidRDefault="003C1155" w:rsidP="00AE5500">
      <w:r w:rsidRPr="003C1155">
        <w:rPr>
          <w:b/>
        </w:rPr>
        <w:t>Item 1</w:t>
      </w:r>
      <w:r w:rsidR="00B67224">
        <w:t xml:space="preserve"> </w:t>
      </w:r>
      <w:r w:rsidR="000B2CB9">
        <w:t>substitutes an amended heading for section 13.05 of the Order which replaces the word “halal” with “Halal” with a capital letter.</w:t>
      </w:r>
      <w:r w:rsidR="007E2E76" w:rsidRPr="007E2E76">
        <w:t xml:space="preserve"> </w:t>
      </w:r>
      <w:r w:rsidR="007E2E76" w:rsidRPr="00F56E3D">
        <w:t xml:space="preserve">This </w:t>
      </w:r>
      <w:r w:rsidR="007E2E76">
        <w:t>is</w:t>
      </w:r>
      <w:r w:rsidR="007E2E76" w:rsidRPr="00F56E3D">
        <w:t xml:space="preserve"> a technical amendment to correct </w:t>
      </w:r>
      <w:r w:rsidR="007E2E76">
        <w:t xml:space="preserve">typography. </w:t>
      </w:r>
    </w:p>
    <w:p w:rsidR="000B2CB9" w:rsidRDefault="000B2CB9" w:rsidP="00AE5500"/>
    <w:p w:rsidR="000B2CB9" w:rsidRDefault="003C1155" w:rsidP="000B2CB9">
      <w:r w:rsidRPr="003C1155">
        <w:rPr>
          <w:b/>
        </w:rPr>
        <w:t>Item 2</w:t>
      </w:r>
      <w:r w:rsidR="00856880" w:rsidRPr="00856880">
        <w:t xml:space="preserve"> substitutes subsection </w:t>
      </w:r>
      <w:r w:rsidR="003E5907">
        <w:t>13.06</w:t>
      </w:r>
      <w:r w:rsidR="00856880" w:rsidRPr="00856880">
        <w:t xml:space="preserve">(1) of the Order with a new reference to </w:t>
      </w:r>
      <w:r w:rsidR="000B2CB9">
        <w:t>the Manual of Importing Country Requirements (MICoR), replacing the old “Export Meat Manual”. MICoR is an online database of importing country requirements for meat and other products.</w:t>
      </w:r>
    </w:p>
    <w:p w:rsidR="000B2CB9" w:rsidRDefault="000B2CB9" w:rsidP="000B2CB9"/>
    <w:p w:rsidR="000B2CB9" w:rsidRPr="004648E6" w:rsidRDefault="000B2CB9" w:rsidP="000B2CB9">
      <w:r>
        <w:t>A definition of MICoR is provided in subsection 13.06(1)</w:t>
      </w:r>
      <w:r w:rsidR="008B36E7">
        <w:t>:</w:t>
      </w:r>
      <w:r>
        <w:t xml:space="preserve"> MICoR means </w:t>
      </w:r>
      <w:r>
        <w:rPr>
          <w:i/>
          <w:iCs/>
        </w:rPr>
        <w:t>Manual of Importing Country Requirements</w:t>
      </w:r>
      <w:r>
        <w:t xml:space="preserve"> published by the Department of Agriculture, Fisheries and Forestry on 25 January 2012.</w:t>
      </w:r>
    </w:p>
    <w:p w:rsidR="000B2CB9" w:rsidRDefault="000B2CB9" w:rsidP="000B2CB9"/>
    <w:p w:rsidR="000B2CB9" w:rsidRDefault="000B2CB9" w:rsidP="000B2CB9">
      <w:r>
        <w:t>Th</w:t>
      </w:r>
      <w:r w:rsidR="008B36E7">
        <w:t>is</w:t>
      </w:r>
      <w:r>
        <w:t xml:space="preserve"> subsection also includes a notation with an available web link to MICoR</w:t>
      </w:r>
      <w:r w:rsidR="008B36E7">
        <w:t xml:space="preserve"> at</w:t>
      </w:r>
      <w:r>
        <w:t xml:space="preserve"> </w:t>
      </w:r>
      <w:r w:rsidR="00787508" w:rsidRPr="00787508">
        <w:t>www.daff.gov.au/micor</w:t>
      </w:r>
    </w:p>
    <w:p w:rsidR="000B2CB9" w:rsidRDefault="000B2CB9" w:rsidP="000B2CB9"/>
    <w:p w:rsidR="000B2CB9" w:rsidRDefault="008B36E7" w:rsidP="000B2CB9">
      <w:r>
        <w:t>The effect of the amendment is that f</w:t>
      </w:r>
      <w:r w:rsidR="000B2CB9">
        <w:t>oreign country identification marks in this section will now be specified on MICoR.</w:t>
      </w:r>
    </w:p>
    <w:p w:rsidR="00275941" w:rsidRDefault="00275941" w:rsidP="00AE5500"/>
    <w:p w:rsidR="00275941" w:rsidRDefault="003C1155" w:rsidP="00941E3C">
      <w:r w:rsidRPr="003C1155">
        <w:rPr>
          <w:b/>
        </w:rPr>
        <w:t>Item 3</w:t>
      </w:r>
      <w:r w:rsidR="00941E3C">
        <w:t xml:space="preserve"> </w:t>
      </w:r>
      <w:r w:rsidR="00275941">
        <w:t xml:space="preserve">omits “the Export Meat Manual” </w:t>
      </w:r>
      <w:r w:rsidR="008F1097">
        <w:t xml:space="preserve">from subsection 13.06(2) of the Order </w:t>
      </w:r>
      <w:r w:rsidR="00275941">
        <w:t>and inserts new reference to MICoR.</w:t>
      </w:r>
      <w:r w:rsidR="00131939">
        <w:t xml:space="preserve"> The purpose of the amendment is as outlined in item 2 above. </w:t>
      </w:r>
    </w:p>
    <w:p w:rsidR="008F1097" w:rsidRDefault="008F1097" w:rsidP="00941E3C"/>
    <w:p w:rsidR="008F1097" w:rsidRDefault="003C1155" w:rsidP="008F1097">
      <w:r w:rsidRPr="003C1155">
        <w:rPr>
          <w:b/>
        </w:rPr>
        <w:t>Item 4</w:t>
      </w:r>
      <w:r w:rsidR="008F1097">
        <w:t xml:space="preserve"> omits “the Export Meat Manual” from subsection 13.06(3)(c) of the Order and inserts new reference to MICoR.</w:t>
      </w:r>
      <w:r w:rsidR="00131939" w:rsidRPr="00131939">
        <w:t xml:space="preserve"> </w:t>
      </w:r>
      <w:r w:rsidR="00131939">
        <w:t>The purpose of the amendment is as outlined in item 3 above.</w:t>
      </w:r>
    </w:p>
    <w:p w:rsidR="008F1097" w:rsidRDefault="008F1097" w:rsidP="00941E3C"/>
    <w:p w:rsidR="00941E3C" w:rsidRDefault="003C1155" w:rsidP="00941E3C">
      <w:r w:rsidRPr="003C1155">
        <w:rPr>
          <w:b/>
        </w:rPr>
        <w:t>Item 5</w:t>
      </w:r>
      <w:r w:rsidR="008F1097">
        <w:t xml:space="preserve"> </w:t>
      </w:r>
      <w:r w:rsidR="00941E3C">
        <w:t>substitutes an amended heading for section 18.03 of the Order which replaces the word “halal” with “Halal” with a capital letter.</w:t>
      </w:r>
      <w:r w:rsidR="00131939" w:rsidRPr="00131939">
        <w:t xml:space="preserve"> </w:t>
      </w:r>
      <w:r w:rsidR="00131939" w:rsidRPr="00F56E3D">
        <w:t xml:space="preserve">This </w:t>
      </w:r>
      <w:r w:rsidR="00131939">
        <w:t>is</w:t>
      </w:r>
      <w:r w:rsidR="00131939" w:rsidRPr="00F56E3D">
        <w:t xml:space="preserve"> a technical amendment to correct </w:t>
      </w:r>
      <w:r w:rsidR="00131939">
        <w:t>typography.</w:t>
      </w:r>
    </w:p>
    <w:p w:rsidR="00941E3C" w:rsidRDefault="00941E3C" w:rsidP="00AE5500"/>
    <w:p w:rsidR="002C3BA7" w:rsidRDefault="003C1155" w:rsidP="00AE5500">
      <w:r w:rsidRPr="003C1155">
        <w:rPr>
          <w:b/>
        </w:rPr>
        <w:t>Item 6</w:t>
      </w:r>
      <w:r w:rsidR="002515D0">
        <w:t xml:space="preserve"> </w:t>
      </w:r>
      <w:r w:rsidR="000D6C9C">
        <w:t xml:space="preserve">omits </w:t>
      </w:r>
      <w:r w:rsidR="002515D0">
        <w:t xml:space="preserve">the words “for 6 months after the commencement date” </w:t>
      </w:r>
      <w:r w:rsidR="000D6C9C">
        <w:t>from subsection 18.03(2) of the Order, which is contained in the transitional provision relating to official marks for Halal meat, a</w:t>
      </w:r>
      <w:r w:rsidR="002515D0">
        <w:t>nd insert</w:t>
      </w:r>
      <w:r w:rsidR="000D6C9C">
        <w:t>s</w:t>
      </w:r>
      <w:r w:rsidR="002515D0">
        <w:t xml:space="preserve"> “until 23 February 2013.</w:t>
      </w:r>
      <w:r w:rsidR="00857C11">
        <w:t xml:space="preserve"> </w:t>
      </w:r>
    </w:p>
    <w:p w:rsidR="005565CD" w:rsidRDefault="005565CD" w:rsidP="00AE5500"/>
    <w:p w:rsidR="00857C11" w:rsidRDefault="00857C11" w:rsidP="00857C11">
      <w:r>
        <w:t xml:space="preserve">The purpose of the amendment is to provide industry with a transition period of an additional 8 months which will </w:t>
      </w:r>
      <w:r w:rsidR="002515D0">
        <w:t xml:space="preserve">now </w:t>
      </w:r>
      <w:r>
        <w:t xml:space="preserve">end on 23 February 2013. </w:t>
      </w:r>
    </w:p>
    <w:p w:rsidR="00857C11" w:rsidRDefault="00857C11" w:rsidP="00AE5500"/>
    <w:p w:rsidR="00857C11" w:rsidRDefault="00857C11" w:rsidP="00857C11">
      <w:r>
        <w:t xml:space="preserve">This will allow industry adequate time to replace the old official mark with the new </w:t>
      </w:r>
      <w:r w:rsidR="002515D0">
        <w:t xml:space="preserve">official </w:t>
      </w:r>
      <w:r>
        <w:t xml:space="preserve">mark and </w:t>
      </w:r>
      <w:r w:rsidR="002515D0">
        <w:t>use up</w:t>
      </w:r>
      <w:r>
        <w:t xml:space="preserve"> existing stocks of products marked with the old design.</w:t>
      </w:r>
    </w:p>
    <w:p w:rsidR="00857C11" w:rsidRDefault="00857C11" w:rsidP="00AE5500"/>
    <w:p w:rsidR="00385495" w:rsidRDefault="00385495">
      <w:r>
        <w:br w:type="page"/>
      </w:r>
    </w:p>
    <w:p w:rsidR="00385495" w:rsidRDefault="00385495" w:rsidP="00385495"/>
    <w:p w:rsidR="00385495" w:rsidRPr="00E4135E" w:rsidRDefault="00385495" w:rsidP="00385495">
      <w:pPr>
        <w:spacing w:before="360" w:after="120"/>
        <w:jc w:val="center"/>
        <w:rPr>
          <w:b/>
          <w:sz w:val="28"/>
          <w:szCs w:val="28"/>
        </w:rPr>
      </w:pPr>
      <w:r w:rsidRPr="00E4135E">
        <w:rPr>
          <w:b/>
          <w:sz w:val="28"/>
          <w:szCs w:val="28"/>
        </w:rPr>
        <w:t>Statement of Compatibility with Human Rights</w:t>
      </w:r>
    </w:p>
    <w:p w:rsidR="00385495" w:rsidRPr="00E4135E" w:rsidRDefault="00385495" w:rsidP="00385495">
      <w:pPr>
        <w:spacing w:before="120" w:after="120"/>
        <w:jc w:val="center"/>
      </w:pPr>
      <w:r w:rsidRPr="00E4135E">
        <w:rPr>
          <w:i/>
        </w:rPr>
        <w:t>Prepared in accordance with Part 3 of the Human Rights (Parliamentary Scrutiny) Act 2011</w:t>
      </w:r>
    </w:p>
    <w:p w:rsidR="00385495" w:rsidRDefault="00385495" w:rsidP="00385495">
      <w:pPr>
        <w:jc w:val="center"/>
      </w:pPr>
    </w:p>
    <w:p w:rsidR="00385495" w:rsidRPr="0065623F" w:rsidRDefault="00385495" w:rsidP="00385495">
      <w:pPr>
        <w:jc w:val="center"/>
        <w:rPr>
          <w:b/>
        </w:rPr>
      </w:pPr>
      <w:r w:rsidRPr="0065623F">
        <w:rPr>
          <w:b/>
        </w:rPr>
        <w:t>Export Control (Prescribed Goods</w:t>
      </w:r>
      <w:r w:rsidR="000D5CC2" w:rsidRPr="0065623F">
        <w:rPr>
          <w:b/>
        </w:rPr>
        <w:noBreakHyphen/>
      </w:r>
      <w:r w:rsidRPr="0065623F">
        <w:rPr>
          <w:b/>
        </w:rPr>
        <w:t>General) Amendment Order 2012 (No.</w:t>
      </w:r>
      <w:r w:rsidR="00D90502" w:rsidRPr="0065623F">
        <w:rPr>
          <w:b/>
        </w:rPr>
        <w:t>1</w:t>
      </w:r>
      <w:r w:rsidRPr="0065623F">
        <w:rPr>
          <w:b/>
        </w:rPr>
        <w:t>)</w:t>
      </w:r>
    </w:p>
    <w:p w:rsidR="00385495" w:rsidRPr="00E4135E" w:rsidRDefault="00385495" w:rsidP="00385495">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385495" w:rsidRDefault="00385495" w:rsidP="00385495"/>
    <w:p w:rsidR="00385495" w:rsidRPr="00E4135E" w:rsidRDefault="00385495" w:rsidP="00385495">
      <w:pPr>
        <w:spacing w:before="120" w:after="120"/>
        <w:jc w:val="both"/>
        <w:rPr>
          <w:b/>
        </w:rPr>
      </w:pPr>
      <w:r w:rsidRPr="00E4135E">
        <w:rPr>
          <w:b/>
        </w:rPr>
        <w:t>Overview of the Legislative Instrument</w:t>
      </w:r>
    </w:p>
    <w:p w:rsidR="00385495" w:rsidRDefault="00385495" w:rsidP="00385495">
      <w:r w:rsidRPr="00FE24A6">
        <w:t xml:space="preserve">The </w:t>
      </w:r>
      <w:r>
        <w:t xml:space="preserve">Legislative Instrument amends the transitional provision relating to official marks for halal meat. This provision provides that the old official mark continues to be in force for a transition period of 6 months after the amendment to introduce the new official mark. </w:t>
      </w:r>
    </w:p>
    <w:p w:rsidR="00385495" w:rsidRDefault="00385495" w:rsidP="00385495"/>
    <w:p w:rsidR="00385495" w:rsidRDefault="00385495" w:rsidP="00385495">
      <w:r>
        <w:t xml:space="preserve">The purpose of this instrument is to provide industry with a transition period of an additional 8 months until 23 February 2013. </w:t>
      </w:r>
    </w:p>
    <w:p w:rsidR="00385495" w:rsidRDefault="00385495" w:rsidP="00385495"/>
    <w:p w:rsidR="00385495" w:rsidRPr="00E4135E" w:rsidRDefault="00385495" w:rsidP="00385495">
      <w:pPr>
        <w:spacing w:before="120" w:after="120"/>
        <w:rPr>
          <w:b/>
        </w:rPr>
      </w:pPr>
      <w:r w:rsidRPr="00E4135E">
        <w:rPr>
          <w:b/>
        </w:rPr>
        <w:t>Human rights implications</w:t>
      </w:r>
    </w:p>
    <w:p w:rsidR="00385495" w:rsidRDefault="00385495" w:rsidP="00385495">
      <w:pPr>
        <w:spacing w:before="120" w:after="120"/>
      </w:pPr>
      <w:r w:rsidRPr="00E4135E">
        <w:t>This Legislative Instrument does not engage any of the applicable rights or freedoms.</w:t>
      </w:r>
    </w:p>
    <w:p w:rsidR="00385495" w:rsidRDefault="00385495" w:rsidP="00385495"/>
    <w:p w:rsidR="00385495" w:rsidRPr="00E4135E" w:rsidRDefault="00385495" w:rsidP="00385495">
      <w:pPr>
        <w:spacing w:before="120" w:after="120"/>
        <w:rPr>
          <w:b/>
        </w:rPr>
      </w:pPr>
      <w:r w:rsidRPr="00E4135E">
        <w:rPr>
          <w:b/>
        </w:rPr>
        <w:t>Conclusion</w:t>
      </w:r>
    </w:p>
    <w:p w:rsidR="00385495" w:rsidRDefault="00385495" w:rsidP="00385495">
      <w:pPr>
        <w:spacing w:before="120" w:after="120"/>
      </w:pPr>
      <w:r w:rsidRPr="00E4135E">
        <w:t>This Legislative Instrument is compatible with human rights as it does not raise any human rights issues.</w:t>
      </w:r>
    </w:p>
    <w:p w:rsidR="00385495" w:rsidRDefault="00385495" w:rsidP="00385495"/>
    <w:p w:rsidR="00385495" w:rsidRPr="00E4135E" w:rsidRDefault="00385495" w:rsidP="00385495">
      <w:pPr>
        <w:spacing w:before="120" w:after="120"/>
        <w:jc w:val="center"/>
      </w:pPr>
      <w:r>
        <w:rPr>
          <w:b/>
        </w:rPr>
        <w:t>The Hon. Peter Douglas Sidebottom MP, Parliamentary Secretary for Agriculture, Fisheries and Forestry</w:t>
      </w:r>
    </w:p>
    <w:p w:rsidR="00385495" w:rsidRDefault="00385495" w:rsidP="00385495">
      <w:pPr>
        <w:ind w:left="720" w:hanging="720"/>
      </w:pPr>
    </w:p>
    <w:p w:rsidR="00385495" w:rsidRDefault="00385495" w:rsidP="00385495">
      <w:pPr>
        <w:ind w:left="720" w:hanging="720"/>
      </w:pPr>
    </w:p>
    <w:p w:rsidR="00857C11" w:rsidRDefault="00857C11" w:rsidP="00AE5500"/>
    <w:p w:rsidR="002C3BA7" w:rsidRDefault="002C3BA7" w:rsidP="00857C11"/>
    <w:sectPr w:rsidR="002C3BA7" w:rsidSect="002E06BA">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D0B" w:rsidRDefault="00850D0B">
      <w:r>
        <w:separator/>
      </w:r>
    </w:p>
  </w:endnote>
  <w:endnote w:type="continuationSeparator" w:id="0">
    <w:p w:rsidR="00850D0B" w:rsidRDefault="00850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0B" w:rsidRDefault="001D6228">
    <w:pPr>
      <w:pStyle w:val="Footer"/>
      <w:framePr w:wrap="around" w:vAnchor="text" w:hAnchor="margin" w:xAlign="right" w:y="1"/>
      <w:rPr>
        <w:rStyle w:val="PageNumber"/>
      </w:rPr>
    </w:pPr>
    <w:r>
      <w:rPr>
        <w:rStyle w:val="PageNumber"/>
      </w:rPr>
      <w:fldChar w:fldCharType="begin"/>
    </w:r>
    <w:r w:rsidR="00850D0B">
      <w:rPr>
        <w:rStyle w:val="PageNumber"/>
      </w:rPr>
      <w:instrText xml:space="preserve">PAGE  </w:instrText>
    </w:r>
    <w:r>
      <w:rPr>
        <w:rStyle w:val="PageNumber"/>
      </w:rPr>
      <w:fldChar w:fldCharType="end"/>
    </w:r>
  </w:p>
  <w:p w:rsidR="00850D0B" w:rsidRDefault="00850D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0067"/>
      <w:docPartObj>
        <w:docPartGallery w:val="Page Numbers (Bottom of Page)"/>
        <w:docPartUnique/>
      </w:docPartObj>
    </w:sdtPr>
    <w:sdtContent>
      <w:p w:rsidR="003C1155" w:rsidRDefault="001D6228" w:rsidP="003C1155">
        <w:pPr>
          <w:pStyle w:val="Footer"/>
          <w:jc w:val="center"/>
        </w:pPr>
        <w:r>
          <w:fldChar w:fldCharType="begin"/>
        </w:r>
        <w:r w:rsidR="00850D0B">
          <w:instrText xml:space="preserve"> PAGE   \* MERGEFORMAT </w:instrText>
        </w:r>
        <w:r>
          <w:fldChar w:fldCharType="separate"/>
        </w:r>
        <w:r w:rsidR="0065623F">
          <w:rPr>
            <w:noProof/>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D0B" w:rsidRDefault="00850D0B">
      <w:r>
        <w:separator/>
      </w:r>
    </w:p>
  </w:footnote>
  <w:footnote w:type="continuationSeparator" w:id="0">
    <w:p w:rsidR="00850D0B" w:rsidRDefault="00850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1E2"/>
    <w:multiLevelType w:val="hybridMultilevel"/>
    <w:tmpl w:val="D25A68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B0E440C"/>
    <w:multiLevelType w:val="hybridMultilevel"/>
    <w:tmpl w:val="66C06F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8E94B8D"/>
    <w:multiLevelType w:val="hybridMultilevel"/>
    <w:tmpl w:val="2AC0698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B3F00E9"/>
    <w:multiLevelType w:val="hybridMultilevel"/>
    <w:tmpl w:val="A4643BE2"/>
    <w:lvl w:ilvl="0" w:tplc="EDB27D9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
    <w:nsid w:val="473F0C89"/>
    <w:multiLevelType w:val="hybridMultilevel"/>
    <w:tmpl w:val="11401098"/>
    <w:lvl w:ilvl="0" w:tplc="EDB27D96">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6496780"/>
    <w:multiLevelType w:val="hybridMultilevel"/>
    <w:tmpl w:val="E67CD336"/>
    <w:lvl w:ilvl="0" w:tplc="B53EB26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CE56BD4"/>
    <w:multiLevelType w:val="hybridMultilevel"/>
    <w:tmpl w:val="C0BEC122"/>
    <w:lvl w:ilvl="0" w:tplc="EDB27D96">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7">
    <w:nsid w:val="7EEC75CA"/>
    <w:multiLevelType w:val="multilevel"/>
    <w:tmpl w:val="FABEE316"/>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1701"/>
        </w:tabs>
        <w:ind w:left="1701"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footnotePr>
    <w:footnote w:id="-1"/>
    <w:footnote w:id="0"/>
  </w:footnotePr>
  <w:endnotePr>
    <w:endnote w:id="-1"/>
    <w:endnote w:id="0"/>
  </w:endnotePr>
  <w:compat/>
  <w:rsids>
    <w:rsidRoot w:val="00B67224"/>
    <w:rsid w:val="00056885"/>
    <w:rsid w:val="00075D44"/>
    <w:rsid w:val="00082154"/>
    <w:rsid w:val="000A18D7"/>
    <w:rsid w:val="000B2CB9"/>
    <w:rsid w:val="000D5CC2"/>
    <w:rsid w:val="000D6C9C"/>
    <w:rsid w:val="000E07F8"/>
    <w:rsid w:val="00104E53"/>
    <w:rsid w:val="00120305"/>
    <w:rsid w:val="00131939"/>
    <w:rsid w:val="001C75FC"/>
    <w:rsid w:val="001D6228"/>
    <w:rsid w:val="0022607D"/>
    <w:rsid w:val="002515D0"/>
    <w:rsid w:val="00275941"/>
    <w:rsid w:val="002C3BA7"/>
    <w:rsid w:val="002E06BA"/>
    <w:rsid w:val="002F1537"/>
    <w:rsid w:val="002F1803"/>
    <w:rsid w:val="00313F42"/>
    <w:rsid w:val="003667DC"/>
    <w:rsid w:val="00377876"/>
    <w:rsid w:val="00385495"/>
    <w:rsid w:val="003B38BC"/>
    <w:rsid w:val="003C1155"/>
    <w:rsid w:val="003E5907"/>
    <w:rsid w:val="004648E6"/>
    <w:rsid w:val="00483343"/>
    <w:rsid w:val="00496B86"/>
    <w:rsid w:val="004A7ACA"/>
    <w:rsid w:val="004E2364"/>
    <w:rsid w:val="00533F8B"/>
    <w:rsid w:val="005565CD"/>
    <w:rsid w:val="00596181"/>
    <w:rsid w:val="005A5B9B"/>
    <w:rsid w:val="005C2D95"/>
    <w:rsid w:val="005E01D4"/>
    <w:rsid w:val="00634802"/>
    <w:rsid w:val="0065623F"/>
    <w:rsid w:val="00682EE2"/>
    <w:rsid w:val="00696A65"/>
    <w:rsid w:val="006E2BE5"/>
    <w:rsid w:val="007331BD"/>
    <w:rsid w:val="00754F42"/>
    <w:rsid w:val="00757B68"/>
    <w:rsid w:val="00787508"/>
    <w:rsid w:val="007D03A4"/>
    <w:rsid w:val="007E2E76"/>
    <w:rsid w:val="00835B57"/>
    <w:rsid w:val="00850D0B"/>
    <w:rsid w:val="00856880"/>
    <w:rsid w:val="00857C11"/>
    <w:rsid w:val="008655BC"/>
    <w:rsid w:val="00886213"/>
    <w:rsid w:val="008B36E7"/>
    <w:rsid w:val="008D0E22"/>
    <w:rsid w:val="008F1097"/>
    <w:rsid w:val="00930C31"/>
    <w:rsid w:val="00941B2E"/>
    <w:rsid w:val="00941E3C"/>
    <w:rsid w:val="0099119B"/>
    <w:rsid w:val="009E762D"/>
    <w:rsid w:val="009F5F48"/>
    <w:rsid w:val="00A01CDD"/>
    <w:rsid w:val="00A17DA4"/>
    <w:rsid w:val="00A23AA3"/>
    <w:rsid w:val="00AE5500"/>
    <w:rsid w:val="00B2454E"/>
    <w:rsid w:val="00B67224"/>
    <w:rsid w:val="00C23923"/>
    <w:rsid w:val="00C32BED"/>
    <w:rsid w:val="00C77680"/>
    <w:rsid w:val="00CC2B71"/>
    <w:rsid w:val="00D41023"/>
    <w:rsid w:val="00D90502"/>
    <w:rsid w:val="00D91B00"/>
    <w:rsid w:val="00DD601C"/>
    <w:rsid w:val="00E370F7"/>
    <w:rsid w:val="00E91A6C"/>
    <w:rsid w:val="00EE77D0"/>
    <w:rsid w:val="00F37FD0"/>
    <w:rsid w:val="00F55805"/>
    <w:rsid w:val="00FC0D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3BA7"/>
    <w:pPr>
      <w:tabs>
        <w:tab w:val="center" w:pos="4153"/>
        <w:tab w:val="right" w:pos="8306"/>
      </w:tabs>
    </w:pPr>
  </w:style>
  <w:style w:type="paragraph" w:styleId="Footer">
    <w:name w:val="footer"/>
    <w:basedOn w:val="Normal"/>
    <w:link w:val="FooterChar"/>
    <w:uiPriority w:val="99"/>
    <w:rsid w:val="002C3BA7"/>
    <w:pPr>
      <w:tabs>
        <w:tab w:val="center" w:pos="4153"/>
        <w:tab w:val="right" w:pos="8306"/>
      </w:tabs>
    </w:pPr>
  </w:style>
  <w:style w:type="character" w:styleId="PageNumber">
    <w:name w:val="page number"/>
    <w:basedOn w:val="DefaultParagraphFont"/>
    <w:rsid w:val="002C3BA7"/>
  </w:style>
  <w:style w:type="paragraph" w:styleId="BalloonText">
    <w:name w:val="Balloon Text"/>
    <w:basedOn w:val="Normal"/>
    <w:semiHidden/>
    <w:rsid w:val="002C3BA7"/>
    <w:rPr>
      <w:rFonts w:ascii="Tahoma" w:hAnsi="Tahoma" w:cs="Tahoma"/>
      <w:sz w:val="16"/>
      <w:szCs w:val="16"/>
    </w:rPr>
  </w:style>
  <w:style w:type="character" w:styleId="CommentReference">
    <w:name w:val="annotation reference"/>
    <w:basedOn w:val="DefaultParagraphFont"/>
    <w:semiHidden/>
    <w:rsid w:val="002C3BA7"/>
    <w:rPr>
      <w:sz w:val="16"/>
      <w:szCs w:val="16"/>
    </w:rPr>
  </w:style>
  <w:style w:type="paragraph" w:styleId="CommentText">
    <w:name w:val="annotation text"/>
    <w:basedOn w:val="Normal"/>
    <w:semiHidden/>
    <w:rsid w:val="002C3BA7"/>
    <w:rPr>
      <w:sz w:val="20"/>
      <w:szCs w:val="20"/>
    </w:rPr>
  </w:style>
  <w:style w:type="paragraph" w:styleId="CommentSubject">
    <w:name w:val="annotation subject"/>
    <w:basedOn w:val="CommentText"/>
    <w:next w:val="CommentText"/>
    <w:semiHidden/>
    <w:rsid w:val="002C3BA7"/>
    <w:rPr>
      <w:b/>
      <w:bCs/>
    </w:rPr>
  </w:style>
  <w:style w:type="paragraph" w:customStyle="1" w:styleId="MELegal1">
    <w:name w:val="ME Legal 1"/>
    <w:basedOn w:val="Normal"/>
    <w:rsid w:val="002C3BA7"/>
    <w:pPr>
      <w:numPr>
        <w:numId w:val="3"/>
      </w:numPr>
      <w:overflowPunct w:val="0"/>
      <w:autoSpaceDE w:val="0"/>
      <w:autoSpaceDN w:val="0"/>
      <w:adjustRightInd w:val="0"/>
      <w:textAlignment w:val="baseline"/>
    </w:pPr>
    <w:rPr>
      <w:szCs w:val="20"/>
      <w:lang w:eastAsia="en-US"/>
    </w:rPr>
  </w:style>
  <w:style w:type="paragraph" w:customStyle="1" w:styleId="MELegal2">
    <w:name w:val="ME Legal 2"/>
    <w:basedOn w:val="Normal"/>
    <w:rsid w:val="002C3BA7"/>
    <w:pPr>
      <w:numPr>
        <w:ilvl w:val="1"/>
        <w:numId w:val="3"/>
      </w:numPr>
      <w:overflowPunct w:val="0"/>
      <w:autoSpaceDE w:val="0"/>
      <w:autoSpaceDN w:val="0"/>
      <w:adjustRightInd w:val="0"/>
      <w:textAlignment w:val="baseline"/>
    </w:pPr>
    <w:rPr>
      <w:szCs w:val="20"/>
      <w:lang w:eastAsia="en-US"/>
    </w:rPr>
  </w:style>
  <w:style w:type="paragraph" w:customStyle="1" w:styleId="MELegal3">
    <w:name w:val="ME Legal 3"/>
    <w:basedOn w:val="Normal"/>
    <w:rsid w:val="002C3BA7"/>
    <w:pPr>
      <w:numPr>
        <w:ilvl w:val="2"/>
        <w:numId w:val="3"/>
      </w:numPr>
      <w:overflowPunct w:val="0"/>
      <w:autoSpaceDE w:val="0"/>
      <w:autoSpaceDN w:val="0"/>
      <w:adjustRightInd w:val="0"/>
      <w:textAlignment w:val="baseline"/>
    </w:pPr>
    <w:rPr>
      <w:szCs w:val="20"/>
      <w:lang w:eastAsia="en-US"/>
    </w:rPr>
  </w:style>
  <w:style w:type="paragraph" w:customStyle="1" w:styleId="MELegal4">
    <w:name w:val="ME Legal 4"/>
    <w:basedOn w:val="Normal"/>
    <w:rsid w:val="002C3BA7"/>
    <w:pPr>
      <w:numPr>
        <w:ilvl w:val="3"/>
        <w:numId w:val="3"/>
      </w:numPr>
      <w:overflowPunct w:val="0"/>
      <w:autoSpaceDE w:val="0"/>
      <w:autoSpaceDN w:val="0"/>
      <w:adjustRightInd w:val="0"/>
      <w:textAlignment w:val="baseline"/>
    </w:pPr>
    <w:rPr>
      <w:szCs w:val="20"/>
      <w:lang w:eastAsia="en-US"/>
    </w:rPr>
  </w:style>
  <w:style w:type="paragraph" w:customStyle="1" w:styleId="MELegal5">
    <w:name w:val="ME Legal 5"/>
    <w:basedOn w:val="Normal"/>
    <w:rsid w:val="002C3BA7"/>
    <w:pPr>
      <w:numPr>
        <w:ilvl w:val="4"/>
        <w:numId w:val="3"/>
      </w:numPr>
      <w:overflowPunct w:val="0"/>
      <w:autoSpaceDE w:val="0"/>
      <w:autoSpaceDN w:val="0"/>
      <w:adjustRightInd w:val="0"/>
      <w:textAlignment w:val="baseline"/>
    </w:pPr>
    <w:rPr>
      <w:szCs w:val="20"/>
      <w:lang w:eastAsia="en-US"/>
    </w:rPr>
  </w:style>
  <w:style w:type="paragraph" w:customStyle="1" w:styleId="MELegal6">
    <w:name w:val="ME Legal 6"/>
    <w:basedOn w:val="Normal"/>
    <w:rsid w:val="002C3BA7"/>
    <w:pPr>
      <w:numPr>
        <w:ilvl w:val="5"/>
        <w:numId w:val="3"/>
      </w:numPr>
      <w:overflowPunct w:val="0"/>
      <w:autoSpaceDE w:val="0"/>
      <w:autoSpaceDN w:val="0"/>
      <w:adjustRightInd w:val="0"/>
      <w:textAlignment w:val="baseline"/>
    </w:pPr>
    <w:rPr>
      <w:szCs w:val="20"/>
      <w:lang w:eastAsia="en-US"/>
    </w:rPr>
  </w:style>
  <w:style w:type="paragraph" w:customStyle="1" w:styleId="MELegal7">
    <w:name w:val="ME Legal 7"/>
    <w:basedOn w:val="Normal"/>
    <w:rsid w:val="002C3BA7"/>
    <w:pPr>
      <w:numPr>
        <w:ilvl w:val="6"/>
        <w:numId w:val="3"/>
      </w:numPr>
      <w:overflowPunct w:val="0"/>
      <w:autoSpaceDE w:val="0"/>
      <w:autoSpaceDN w:val="0"/>
      <w:adjustRightInd w:val="0"/>
      <w:textAlignment w:val="baseline"/>
    </w:pPr>
    <w:rPr>
      <w:szCs w:val="20"/>
      <w:lang w:eastAsia="en-US"/>
    </w:rPr>
  </w:style>
  <w:style w:type="paragraph" w:styleId="NormalWeb">
    <w:name w:val="Normal (Web)"/>
    <w:basedOn w:val="Normal"/>
    <w:rsid w:val="009F5F48"/>
    <w:pPr>
      <w:spacing w:before="100" w:beforeAutospacing="1" w:after="100" w:afterAutospacing="1"/>
    </w:pPr>
    <w:rPr>
      <w:color w:val="000000"/>
    </w:rPr>
  </w:style>
  <w:style w:type="character" w:styleId="Hyperlink">
    <w:name w:val="Hyperlink"/>
    <w:basedOn w:val="DefaultParagraphFont"/>
    <w:uiPriority w:val="99"/>
    <w:unhideWhenUsed/>
    <w:rsid w:val="005565CD"/>
    <w:rPr>
      <w:color w:val="0000FF" w:themeColor="hyperlink"/>
      <w:u w:val="single"/>
    </w:rPr>
  </w:style>
  <w:style w:type="paragraph" w:styleId="Revision">
    <w:name w:val="Revision"/>
    <w:hidden/>
    <w:uiPriority w:val="99"/>
    <w:semiHidden/>
    <w:rsid w:val="008D0E22"/>
    <w:rPr>
      <w:sz w:val="24"/>
      <w:szCs w:val="24"/>
    </w:rPr>
  </w:style>
  <w:style w:type="character" w:customStyle="1" w:styleId="FooterChar">
    <w:name w:val="Footer Char"/>
    <w:basedOn w:val="DefaultParagraphFont"/>
    <w:link w:val="Footer"/>
    <w:uiPriority w:val="99"/>
    <w:rsid w:val="0059618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C7F0-AEA2-40C6-A2C1-591082C4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2009-02-17T23:12:00Z</cp:lastPrinted>
  <dcterms:created xsi:type="dcterms:W3CDTF">2012-05-29T02:05:00Z</dcterms:created>
  <dcterms:modified xsi:type="dcterms:W3CDTF">2012-06-14T22:30:00Z</dcterms:modified>
</cp:coreProperties>
</file>