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AE6" w:rsidRPr="00221207" w:rsidRDefault="009A3AE6" w:rsidP="00FA2275">
      <w:pPr>
        <w:rPr>
          <w:b/>
          <w:sz w:val="28"/>
          <w:szCs w:val="28"/>
        </w:rPr>
      </w:pPr>
      <w:bookmarkStart w:id="0" w:name="_Toc320801163"/>
      <w:bookmarkStart w:id="1" w:name="_Toc120358598"/>
      <w:bookmarkStart w:id="2" w:name="_Toc175381460"/>
      <w:r w:rsidRPr="00221207">
        <w:rPr>
          <w:b/>
          <w:sz w:val="28"/>
          <w:szCs w:val="28"/>
        </w:rPr>
        <w:t>Explanatory Statement</w:t>
      </w:r>
      <w:bookmarkEnd w:id="0"/>
    </w:p>
    <w:p w:rsidR="00FA2275" w:rsidRPr="00FA2275" w:rsidRDefault="00FA2275" w:rsidP="00FA2275"/>
    <w:p w:rsidR="009A3AE6" w:rsidRPr="00CA226A" w:rsidRDefault="009A3AE6" w:rsidP="009A3AE6">
      <w:pPr>
        <w:widowControl/>
        <w:numPr>
          <w:ilvl w:val="0"/>
          <w:numId w:val="11"/>
        </w:numPr>
        <w:autoSpaceDE w:val="0"/>
        <w:autoSpaceDN w:val="0"/>
        <w:adjustRightInd w:val="0"/>
        <w:ind w:left="567" w:hanging="567"/>
        <w:contextualSpacing/>
        <w:rPr>
          <w:rFonts w:eastAsia="Calibri" w:cs="Arial"/>
          <w:b/>
          <w:bCs/>
          <w:szCs w:val="22"/>
          <w:lang w:val="en-AU" w:bidi="ar-SA"/>
        </w:rPr>
      </w:pPr>
      <w:r w:rsidRPr="00CA226A">
        <w:rPr>
          <w:rFonts w:eastAsia="Calibri" w:cs="Arial"/>
          <w:b/>
          <w:bCs/>
          <w:szCs w:val="22"/>
          <w:lang w:val="en-AU" w:bidi="ar-SA"/>
        </w:rPr>
        <w:t>Authority</w:t>
      </w:r>
    </w:p>
    <w:p w:rsidR="009A3AE6" w:rsidRPr="00D13E34" w:rsidRDefault="009A3AE6" w:rsidP="009A3AE6">
      <w:pPr>
        <w:rPr>
          <w:rFonts w:eastAsia="Calibri"/>
          <w:lang w:val="en-AU" w:bidi="ar-SA"/>
        </w:rPr>
      </w:pPr>
    </w:p>
    <w:p w:rsidR="009A3AE6" w:rsidRPr="00D13E34" w:rsidRDefault="009A3AE6" w:rsidP="009A3AE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9A3AE6" w:rsidRPr="00D13E34" w:rsidRDefault="009A3AE6" w:rsidP="009A3AE6">
      <w:pPr>
        <w:widowControl/>
        <w:autoSpaceDE w:val="0"/>
        <w:autoSpaceDN w:val="0"/>
        <w:adjustRightInd w:val="0"/>
        <w:rPr>
          <w:rFonts w:eastAsia="Calibri" w:cs="Arial"/>
          <w:bCs/>
          <w:szCs w:val="22"/>
          <w:lang w:val="en-AU" w:bidi="ar-SA"/>
        </w:rPr>
      </w:pPr>
    </w:p>
    <w:p w:rsidR="009A3AE6" w:rsidRPr="00D13E34" w:rsidRDefault="009A3AE6" w:rsidP="009A3AE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Division 2 of Part 3 of the </w:t>
      </w:r>
      <w:r>
        <w:rPr>
          <w:rFonts w:eastAsia="Calibri" w:cs="Arial"/>
          <w:bCs/>
          <w:szCs w:val="22"/>
          <w:lang w:val="en-AU" w:bidi="ar-SA"/>
        </w:rPr>
        <w:t xml:space="preserve">FSANZ </w:t>
      </w:r>
      <w:r w:rsidRPr="00D13E34">
        <w:rPr>
          <w:rFonts w:eastAsia="Calibri" w:cs="Arial"/>
          <w:bCs/>
          <w:szCs w:val="22"/>
          <w:lang w:val="en-AU" w:bidi="ar-SA"/>
        </w:rPr>
        <w:t xml:space="preserve">Act specifies that </w:t>
      </w:r>
      <w:r>
        <w:rPr>
          <w:rFonts w:eastAsia="Calibri" w:cs="Arial"/>
          <w:bCs/>
          <w:szCs w:val="22"/>
          <w:lang w:val="en-AU" w:bidi="ar-SA"/>
        </w:rPr>
        <w:t>the Authority may prepare a p</w:t>
      </w:r>
      <w:r w:rsidRPr="00D13E34">
        <w:rPr>
          <w:rFonts w:eastAsia="Calibri" w:cs="Arial"/>
          <w:bCs/>
          <w:szCs w:val="22"/>
          <w:lang w:val="en-AU" w:bidi="ar-SA"/>
        </w:rPr>
        <w:t>roposal for the development or variation of food regulatory measures, including standards. This Division also stipulates the procedure for considering a Proposal for the development or variation of food regulatory measures</w:t>
      </w:r>
      <w:r>
        <w:rPr>
          <w:rFonts w:eastAsia="Calibri" w:cs="Arial"/>
          <w:bCs/>
          <w:szCs w:val="22"/>
          <w:lang w:val="en-AU" w:bidi="ar-SA"/>
        </w:rPr>
        <w:t xml:space="preserve">. </w:t>
      </w:r>
      <w:r w:rsidRPr="00D13E34">
        <w:rPr>
          <w:rFonts w:eastAsia="Calibri" w:cs="Arial"/>
          <w:bCs/>
          <w:szCs w:val="22"/>
          <w:lang w:val="en-AU" w:bidi="ar-SA"/>
        </w:rPr>
        <w:t xml:space="preserve"> </w:t>
      </w:r>
    </w:p>
    <w:p w:rsidR="009A3AE6" w:rsidRPr="00D13E34" w:rsidRDefault="009A3AE6" w:rsidP="009A3AE6">
      <w:pPr>
        <w:widowControl/>
        <w:autoSpaceDE w:val="0"/>
        <w:autoSpaceDN w:val="0"/>
        <w:adjustRightInd w:val="0"/>
        <w:rPr>
          <w:rFonts w:eastAsia="Calibri" w:cs="Arial"/>
          <w:bCs/>
          <w:szCs w:val="22"/>
          <w:lang w:val="en-AU" w:bidi="ar-SA"/>
        </w:rPr>
      </w:pPr>
    </w:p>
    <w:p w:rsidR="009A3AE6" w:rsidRPr="00D13E34" w:rsidRDefault="009A3AE6" w:rsidP="009A3AE6">
      <w:pPr>
        <w:widowControl/>
        <w:autoSpaceDE w:val="0"/>
        <w:autoSpaceDN w:val="0"/>
        <w:adjustRightInd w:val="0"/>
        <w:rPr>
          <w:rFonts w:eastAsia="Calibri" w:cs="Arial"/>
          <w:bCs/>
          <w:szCs w:val="22"/>
          <w:lang w:val="en-AU" w:bidi="ar-SA"/>
        </w:rPr>
      </w:pPr>
      <w:r>
        <w:rPr>
          <w:rFonts w:eastAsia="Calibri" w:cs="Arial"/>
          <w:bCs/>
          <w:szCs w:val="22"/>
          <w:lang w:val="en-AU" w:bidi="ar-SA"/>
        </w:rPr>
        <w:t>FSANZ</w:t>
      </w:r>
      <w:r w:rsidRPr="00D13E34">
        <w:rPr>
          <w:rFonts w:eastAsia="Calibri" w:cs="Arial"/>
          <w:bCs/>
          <w:szCs w:val="22"/>
          <w:lang w:val="en-AU" w:bidi="ar-SA"/>
        </w:rPr>
        <w:t xml:space="preserve"> prepared Proposal P1007 to </w:t>
      </w:r>
      <w:r>
        <w:rPr>
          <w:rFonts w:eastAsia="Calibri" w:cs="Arial"/>
          <w:bCs/>
          <w:szCs w:val="22"/>
          <w:lang w:val="en-AU" w:bidi="ar-SA"/>
        </w:rPr>
        <w:t>examine whether the processing requirements currently mandated for milk and milk products in the Code were appropriate. That is, could an acceptable level of public health and safety be achieved through alternative processing and/or production measures to those currently required.</w:t>
      </w:r>
      <w:r w:rsidRPr="00D13E34">
        <w:rPr>
          <w:rFonts w:eastAsia="Calibri" w:cs="Arial"/>
          <w:bCs/>
          <w:szCs w:val="22"/>
          <w:lang w:val="en-AU" w:bidi="ar-SA"/>
        </w:rPr>
        <w:t xml:space="preserve"> </w:t>
      </w:r>
      <w:r>
        <w:rPr>
          <w:rFonts w:eastAsia="Calibri" w:cs="Arial"/>
          <w:bCs/>
          <w:szCs w:val="22"/>
          <w:lang w:val="en-AU" w:bidi="ar-SA"/>
        </w:rPr>
        <w:t>The Authority</w:t>
      </w:r>
      <w:r w:rsidRPr="00D13E34">
        <w:rPr>
          <w:rFonts w:eastAsia="Calibri" w:cs="Arial"/>
          <w:bCs/>
          <w:szCs w:val="22"/>
          <w:lang w:val="en-AU" w:bidi="ar-SA"/>
        </w:rPr>
        <w:t xml:space="preserve"> considered Proposal P1007 in accordance with Division 2 of Part 3 </w:t>
      </w:r>
      <w:r>
        <w:rPr>
          <w:rFonts w:eastAsia="Calibri" w:cs="Arial"/>
          <w:bCs/>
          <w:szCs w:val="22"/>
          <w:lang w:val="en-AU" w:bidi="ar-SA"/>
        </w:rPr>
        <w:t xml:space="preserve">of the FSANZ Act </w:t>
      </w:r>
      <w:r w:rsidRPr="00D13E34">
        <w:rPr>
          <w:rFonts w:eastAsia="Calibri" w:cs="Arial"/>
          <w:bCs/>
          <w:szCs w:val="22"/>
          <w:lang w:val="en-AU" w:bidi="ar-SA"/>
        </w:rPr>
        <w:t xml:space="preserve">and has </w:t>
      </w:r>
      <w:r>
        <w:rPr>
          <w:rFonts w:eastAsia="Calibri" w:cs="Arial"/>
          <w:bCs/>
          <w:szCs w:val="22"/>
          <w:lang w:val="en-AU" w:bidi="ar-SA"/>
        </w:rPr>
        <w:t xml:space="preserve">prepared </w:t>
      </w:r>
      <w:r w:rsidRPr="00D13E34">
        <w:rPr>
          <w:rFonts w:eastAsia="Calibri" w:cs="Arial"/>
          <w:bCs/>
          <w:szCs w:val="22"/>
          <w:lang w:val="en-AU" w:bidi="ar-SA"/>
        </w:rPr>
        <w:t xml:space="preserve">draft variations </w:t>
      </w:r>
      <w:r>
        <w:rPr>
          <w:rFonts w:eastAsia="Calibri" w:cs="Arial"/>
          <w:bCs/>
          <w:szCs w:val="22"/>
          <w:lang w:val="en-AU" w:bidi="ar-SA"/>
        </w:rPr>
        <w:t>to</w:t>
      </w:r>
      <w:r w:rsidRPr="00D13E34">
        <w:rPr>
          <w:rFonts w:eastAsia="Calibri" w:cs="Arial"/>
          <w:bCs/>
          <w:szCs w:val="22"/>
          <w:lang w:val="en-AU" w:bidi="ar-SA"/>
        </w:rPr>
        <w:t xml:space="preserve"> Standard</w:t>
      </w:r>
      <w:r>
        <w:rPr>
          <w:rFonts w:eastAsia="Calibri" w:cs="Arial"/>
          <w:bCs/>
          <w:szCs w:val="22"/>
          <w:lang w:val="en-AU" w:bidi="ar-SA"/>
        </w:rPr>
        <w:t>s 4.2.4 and 4.2.4A.</w:t>
      </w:r>
      <w:r w:rsidRPr="00D13E34">
        <w:rPr>
          <w:rFonts w:eastAsia="Calibri" w:cs="Arial"/>
          <w:bCs/>
          <w:szCs w:val="22"/>
          <w:lang w:val="en-AU" w:bidi="ar-SA"/>
        </w:rPr>
        <w:t xml:space="preserve"> </w:t>
      </w:r>
    </w:p>
    <w:p w:rsidR="009A3AE6" w:rsidRPr="00D13E34" w:rsidRDefault="009A3AE6" w:rsidP="009A3AE6">
      <w:pPr>
        <w:widowControl/>
        <w:autoSpaceDE w:val="0"/>
        <w:autoSpaceDN w:val="0"/>
        <w:adjustRightInd w:val="0"/>
        <w:rPr>
          <w:rFonts w:eastAsia="Calibri" w:cs="Arial"/>
          <w:bCs/>
          <w:szCs w:val="22"/>
          <w:lang w:val="en-AU" w:bidi="ar-SA"/>
        </w:rPr>
      </w:pPr>
    </w:p>
    <w:p w:rsidR="009A3AE6" w:rsidRPr="00D13E34" w:rsidRDefault="009A3AE6" w:rsidP="009A3AE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Following consideration by</w:t>
      </w:r>
      <w:r>
        <w:rPr>
          <w:rFonts w:eastAsia="Calibri" w:cs="Arial"/>
          <w:bCs/>
          <w:szCs w:val="22"/>
          <w:lang w:val="en-AU" w:bidi="ar-SA"/>
        </w:rPr>
        <w:t xml:space="preserve"> the</w:t>
      </w:r>
      <w:r w:rsidRPr="00D13E34">
        <w:rPr>
          <w:rFonts w:eastAsia="Calibri" w:cs="Arial"/>
          <w:bCs/>
          <w:szCs w:val="22"/>
          <w:lang w:val="en-AU" w:bidi="ar-SA"/>
        </w:rPr>
        <w:t xml:space="preserve"> </w:t>
      </w:r>
      <w:r>
        <w:rPr>
          <w:lang w:bidi="ar-SA"/>
        </w:rPr>
        <w:t>Legislative and Governance Forum on Food 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standard or draft variation of a standard</w:t>
      </w:r>
      <w:r>
        <w:rPr>
          <w:rFonts w:eastAsia="Calibri" w:cs="Arial"/>
          <w:bCs/>
          <w:szCs w:val="22"/>
          <w:lang w:val="en-AU" w:bidi="ar-SA"/>
        </w:rPr>
        <w:t xml:space="preserve">. </w:t>
      </w:r>
    </w:p>
    <w:p w:rsidR="009A3AE6" w:rsidRPr="00D13E34" w:rsidRDefault="009A3AE6" w:rsidP="009A3AE6">
      <w:pPr>
        <w:widowControl/>
        <w:autoSpaceDE w:val="0"/>
        <w:autoSpaceDN w:val="0"/>
        <w:adjustRightInd w:val="0"/>
        <w:rPr>
          <w:rFonts w:eastAsia="Calibri" w:cs="Arial"/>
          <w:bCs/>
          <w:szCs w:val="22"/>
          <w:lang w:val="en-AU" w:bidi="ar-SA"/>
        </w:rPr>
      </w:pPr>
    </w:p>
    <w:p w:rsidR="009A3AE6" w:rsidRPr="00D13E34" w:rsidRDefault="009A3AE6" w:rsidP="009A3AE6">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p>
    <w:p w:rsidR="009A3AE6" w:rsidRPr="00CA226A" w:rsidRDefault="009A3AE6" w:rsidP="009A3AE6">
      <w:pPr>
        <w:widowControl/>
        <w:autoSpaceDE w:val="0"/>
        <w:autoSpaceDN w:val="0"/>
        <w:adjustRightInd w:val="0"/>
        <w:rPr>
          <w:rFonts w:eastAsia="Calibri" w:cs="Arial"/>
          <w:b/>
          <w:bCs/>
          <w:szCs w:val="22"/>
          <w:lang w:val="en-AU" w:bidi="ar-SA"/>
        </w:rPr>
      </w:pPr>
    </w:p>
    <w:p w:rsidR="009A3AE6" w:rsidRPr="00CA226A" w:rsidRDefault="009A3AE6" w:rsidP="009A3AE6">
      <w:pPr>
        <w:widowControl/>
        <w:numPr>
          <w:ilvl w:val="0"/>
          <w:numId w:val="11"/>
        </w:numPr>
        <w:autoSpaceDE w:val="0"/>
        <w:autoSpaceDN w:val="0"/>
        <w:adjustRightInd w:val="0"/>
        <w:ind w:left="567" w:hanging="567"/>
        <w:contextualSpacing/>
        <w:rPr>
          <w:rFonts w:eastAsia="Calibri" w:cs="Arial"/>
          <w:b/>
          <w:bCs/>
          <w:szCs w:val="22"/>
          <w:lang w:val="en-AU" w:bidi="ar-SA"/>
        </w:rPr>
      </w:pPr>
      <w:r w:rsidRPr="00CA226A">
        <w:rPr>
          <w:rFonts w:eastAsia="Calibri" w:cs="Arial"/>
          <w:b/>
          <w:bCs/>
          <w:szCs w:val="22"/>
          <w:lang w:val="en-AU" w:bidi="ar-SA"/>
        </w:rPr>
        <w:t>Purpose and Operation</w:t>
      </w:r>
    </w:p>
    <w:p w:rsidR="009A3AE6" w:rsidRPr="00D13E34" w:rsidRDefault="009A3AE6" w:rsidP="009A3AE6">
      <w:pPr>
        <w:rPr>
          <w:rFonts w:eastAsia="Calibri"/>
          <w:lang w:val="en-AU" w:bidi="ar-SA"/>
        </w:rPr>
      </w:pPr>
    </w:p>
    <w:p w:rsidR="009A3AE6" w:rsidRPr="00D13E34" w:rsidRDefault="009A3AE6" w:rsidP="009A3AE6">
      <w:pPr>
        <w:widowControl/>
        <w:autoSpaceDE w:val="0"/>
        <w:autoSpaceDN w:val="0"/>
        <w:adjustRightInd w:val="0"/>
      </w:pPr>
      <w:r>
        <w:rPr>
          <w:rFonts w:eastAsia="Calibri" w:cs="Arial"/>
          <w:bCs/>
          <w:szCs w:val="22"/>
          <w:lang w:val="en-AU" w:bidi="ar-SA"/>
        </w:rPr>
        <w:t>The Authority</w:t>
      </w:r>
      <w:r w:rsidRPr="00D13E34">
        <w:t xml:space="preserve"> has </w:t>
      </w:r>
      <w:r>
        <w:t>prepared</w:t>
      </w:r>
      <w:r w:rsidRPr="00D13E34">
        <w:t xml:space="preserve"> variations to the processing requirements in Standard 4.2.4 </w:t>
      </w:r>
      <w:r>
        <w:t xml:space="preserve">of the Code </w:t>
      </w:r>
      <w:r w:rsidRPr="00D13E34">
        <w:t>to provide increased flexibility in the measures a dairy processing business must take to reduce to safe levels any pathogens that may be present in</w:t>
      </w:r>
      <w:r>
        <w:t xml:space="preserve"> cheeses and cheese products</w:t>
      </w:r>
      <w:r w:rsidRPr="00D13E34">
        <w:t>. In particular, a broader range of production parameters will be specified for cheese and cheese products e.g. minimum moisture content</w:t>
      </w:r>
      <w:r>
        <w:t xml:space="preserve"> and</w:t>
      </w:r>
      <w:r w:rsidRPr="00D13E34">
        <w:t xml:space="preserve"> minimum storage time. </w:t>
      </w:r>
      <w:r>
        <w:t>The v</w:t>
      </w:r>
      <w:r w:rsidRPr="00D13E34">
        <w:t xml:space="preserve">ariations </w:t>
      </w:r>
      <w:r>
        <w:t>will also mean that specific cheeses previously covered by Standard 4.2.4A will now be covered by the processing provisions of subclause 16(3) of Standard 4.2.4 instead.</w:t>
      </w:r>
    </w:p>
    <w:p w:rsidR="009A3AE6" w:rsidRPr="00D13E34" w:rsidRDefault="009A3AE6" w:rsidP="009A3AE6">
      <w:pPr>
        <w:widowControl/>
        <w:autoSpaceDE w:val="0"/>
        <w:autoSpaceDN w:val="0"/>
        <w:adjustRightInd w:val="0"/>
        <w:rPr>
          <w:rFonts w:eastAsia="Calibri" w:cs="Arial"/>
          <w:bCs/>
          <w:szCs w:val="22"/>
          <w:lang w:val="en-AU" w:bidi="ar-SA"/>
        </w:rPr>
      </w:pPr>
    </w:p>
    <w:p w:rsidR="009A3AE6" w:rsidRPr="00CA226A" w:rsidRDefault="009A3AE6" w:rsidP="009A3AE6">
      <w:pPr>
        <w:widowControl/>
        <w:numPr>
          <w:ilvl w:val="0"/>
          <w:numId w:val="11"/>
        </w:numPr>
        <w:autoSpaceDE w:val="0"/>
        <w:autoSpaceDN w:val="0"/>
        <w:adjustRightInd w:val="0"/>
        <w:ind w:left="567" w:hanging="567"/>
        <w:contextualSpacing/>
        <w:rPr>
          <w:rFonts w:eastAsia="Calibri" w:cs="Arial"/>
          <w:b/>
          <w:bCs/>
          <w:szCs w:val="22"/>
          <w:lang w:val="en-AU" w:bidi="ar-SA"/>
        </w:rPr>
      </w:pPr>
      <w:r w:rsidRPr="00CA226A">
        <w:rPr>
          <w:rFonts w:eastAsia="Calibri" w:cs="Arial"/>
          <w:b/>
          <w:bCs/>
          <w:szCs w:val="22"/>
          <w:lang w:val="en-AU" w:bidi="ar-SA"/>
        </w:rPr>
        <w:t>Documents incorporated by reference</w:t>
      </w:r>
    </w:p>
    <w:p w:rsidR="009A3AE6" w:rsidRPr="00D13E34" w:rsidRDefault="009A3AE6" w:rsidP="009A3AE6">
      <w:pPr>
        <w:rPr>
          <w:rFonts w:eastAsia="Calibri"/>
          <w:lang w:val="en-AU" w:bidi="ar-SA"/>
        </w:rPr>
      </w:pPr>
    </w:p>
    <w:p w:rsidR="009A3AE6" w:rsidRPr="00D13E34" w:rsidRDefault="009A3AE6" w:rsidP="009A3AE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9A3AE6" w:rsidRPr="00CA226A" w:rsidRDefault="009A3AE6" w:rsidP="009A3AE6">
      <w:pPr>
        <w:widowControl/>
        <w:autoSpaceDE w:val="0"/>
        <w:autoSpaceDN w:val="0"/>
        <w:adjustRightInd w:val="0"/>
        <w:rPr>
          <w:rFonts w:eastAsia="Calibri" w:cs="Arial"/>
          <w:b/>
          <w:bCs/>
          <w:szCs w:val="22"/>
          <w:lang w:val="en-AU" w:bidi="ar-SA"/>
        </w:rPr>
      </w:pPr>
    </w:p>
    <w:p w:rsidR="009A3AE6" w:rsidRPr="00CA226A" w:rsidRDefault="009A3AE6" w:rsidP="009A3AE6">
      <w:pPr>
        <w:widowControl/>
        <w:numPr>
          <w:ilvl w:val="0"/>
          <w:numId w:val="11"/>
        </w:numPr>
        <w:autoSpaceDE w:val="0"/>
        <w:autoSpaceDN w:val="0"/>
        <w:adjustRightInd w:val="0"/>
        <w:ind w:left="567" w:hanging="567"/>
        <w:contextualSpacing/>
        <w:rPr>
          <w:rFonts w:eastAsia="Calibri" w:cs="Arial"/>
          <w:b/>
          <w:bCs/>
          <w:szCs w:val="22"/>
          <w:lang w:val="en-AU" w:bidi="ar-SA"/>
        </w:rPr>
      </w:pPr>
      <w:r w:rsidRPr="00CA226A">
        <w:rPr>
          <w:rFonts w:eastAsia="Calibri" w:cs="Arial"/>
          <w:b/>
          <w:bCs/>
          <w:szCs w:val="22"/>
          <w:lang w:val="en-AU" w:bidi="ar-SA"/>
        </w:rPr>
        <w:t>Consultation</w:t>
      </w:r>
    </w:p>
    <w:p w:rsidR="009A3AE6" w:rsidRPr="00D13E34" w:rsidRDefault="009A3AE6" w:rsidP="009A3AE6">
      <w:pPr>
        <w:rPr>
          <w:rFonts w:eastAsia="Calibri"/>
          <w:lang w:val="en-AU" w:bidi="ar-SA"/>
        </w:rPr>
      </w:pPr>
    </w:p>
    <w:p w:rsidR="009A3AE6" w:rsidRPr="00D13E34" w:rsidRDefault="009A3AE6" w:rsidP="009A3AE6">
      <w:pPr>
        <w:rPr>
          <w:szCs w:val="22"/>
        </w:rPr>
      </w:pPr>
      <w:r w:rsidRPr="00D13E34">
        <w:rPr>
          <w:szCs w:val="22"/>
        </w:rPr>
        <w:t xml:space="preserve">In accordance with the procedure in Division 2 of Part 3 of the </w:t>
      </w:r>
      <w:r>
        <w:rPr>
          <w:szCs w:val="22"/>
        </w:rPr>
        <w:t xml:space="preserve">FSANZ </w:t>
      </w:r>
      <w:r w:rsidRPr="00D13E34">
        <w:rPr>
          <w:szCs w:val="22"/>
        </w:rPr>
        <w:t xml:space="preserve">Act, </w:t>
      </w:r>
      <w:r>
        <w:rPr>
          <w:rFonts w:eastAsia="Calibri" w:cs="Arial"/>
          <w:bCs/>
          <w:szCs w:val="22"/>
          <w:lang w:val="en-AU" w:bidi="ar-SA"/>
        </w:rPr>
        <w:t>the Authority</w:t>
      </w:r>
      <w:r w:rsidRPr="00D13E34">
        <w:rPr>
          <w:szCs w:val="22"/>
        </w:rPr>
        <w:t xml:space="preserve">’s consideration of Proposal P1007 has included </w:t>
      </w:r>
      <w:r>
        <w:rPr>
          <w:szCs w:val="22"/>
        </w:rPr>
        <w:t>two</w:t>
      </w:r>
      <w:r w:rsidRPr="00D13E34">
        <w:rPr>
          <w:szCs w:val="22"/>
        </w:rPr>
        <w:t xml:space="preserve"> round</w:t>
      </w:r>
      <w:r>
        <w:rPr>
          <w:szCs w:val="22"/>
        </w:rPr>
        <w:t>s</w:t>
      </w:r>
      <w:r w:rsidRPr="00D13E34">
        <w:rPr>
          <w:szCs w:val="22"/>
        </w:rPr>
        <w:t xml:space="preserve"> of public consultation, at 1</w:t>
      </w:r>
      <w:r w:rsidRPr="00D13E34">
        <w:rPr>
          <w:szCs w:val="22"/>
          <w:vertAlign w:val="superscript"/>
        </w:rPr>
        <w:t>st</w:t>
      </w:r>
      <w:r w:rsidRPr="00D13E34">
        <w:rPr>
          <w:szCs w:val="22"/>
        </w:rPr>
        <w:t xml:space="preserve"> Assessment</w:t>
      </w:r>
      <w:r>
        <w:rPr>
          <w:szCs w:val="22"/>
        </w:rPr>
        <w:t xml:space="preserve"> and 2</w:t>
      </w:r>
      <w:r w:rsidRPr="00D81D68">
        <w:rPr>
          <w:szCs w:val="22"/>
          <w:vertAlign w:val="superscript"/>
        </w:rPr>
        <w:t>nd</w:t>
      </w:r>
      <w:r>
        <w:rPr>
          <w:szCs w:val="22"/>
        </w:rPr>
        <w:t xml:space="preserve"> Assessment,</w:t>
      </w:r>
      <w:r w:rsidRPr="00D13E34">
        <w:rPr>
          <w:szCs w:val="22"/>
        </w:rPr>
        <w:t xml:space="preserve"> as well as public consultation on a Discussion Paper. </w:t>
      </w:r>
      <w:r>
        <w:rPr>
          <w:szCs w:val="22"/>
        </w:rPr>
        <w:t>The</w:t>
      </w:r>
      <w:r w:rsidRPr="00D13E34">
        <w:rPr>
          <w:szCs w:val="22"/>
        </w:rPr>
        <w:t xml:space="preserve"> Discussion Paper was released for consultation on </w:t>
      </w:r>
      <w:r>
        <w:rPr>
          <w:szCs w:val="22"/>
        </w:rPr>
        <w:t>6 August 2008 for a six-</w:t>
      </w:r>
      <w:r w:rsidRPr="00D13E34">
        <w:rPr>
          <w:szCs w:val="22"/>
        </w:rPr>
        <w:t>week consultation period. The 1</w:t>
      </w:r>
      <w:r w:rsidRPr="00D13E34">
        <w:rPr>
          <w:szCs w:val="22"/>
          <w:vertAlign w:val="superscript"/>
        </w:rPr>
        <w:t>st</w:t>
      </w:r>
      <w:r w:rsidRPr="00D13E34">
        <w:rPr>
          <w:szCs w:val="22"/>
        </w:rPr>
        <w:t xml:space="preserve"> Assessment Report for P1007 was released for public comment on 16 December 2009 for a consultation period of 11 weeks</w:t>
      </w:r>
      <w:r>
        <w:rPr>
          <w:szCs w:val="22"/>
        </w:rPr>
        <w:t>. The 2</w:t>
      </w:r>
      <w:r w:rsidRPr="00D81D68">
        <w:rPr>
          <w:szCs w:val="22"/>
          <w:vertAlign w:val="superscript"/>
        </w:rPr>
        <w:t>nd</w:t>
      </w:r>
      <w:r>
        <w:rPr>
          <w:szCs w:val="22"/>
        </w:rPr>
        <w:t xml:space="preserve"> Assessment Report was released </w:t>
      </w:r>
      <w:r>
        <w:rPr>
          <w:rFonts w:cs="Arial"/>
        </w:rPr>
        <w:t>for public comment from 19 August to 14 October 2011.</w:t>
      </w:r>
    </w:p>
    <w:p w:rsidR="009A3AE6" w:rsidRDefault="009A3AE6" w:rsidP="009A3AE6">
      <w:pPr>
        <w:rPr>
          <w:lang w:val="en-AU"/>
        </w:rPr>
      </w:pPr>
    </w:p>
    <w:p w:rsidR="009A3AE6" w:rsidRDefault="009A3AE6" w:rsidP="009A3AE6">
      <w:pPr>
        <w:widowControl/>
        <w:autoSpaceDE w:val="0"/>
        <w:autoSpaceDN w:val="0"/>
        <w:adjustRightInd w:val="0"/>
      </w:pPr>
      <w:r>
        <w:br w:type="page"/>
      </w:r>
    </w:p>
    <w:p w:rsidR="009A3AE6" w:rsidRDefault="009A3AE6" w:rsidP="009A3AE6">
      <w:pPr>
        <w:widowControl/>
        <w:autoSpaceDE w:val="0"/>
        <w:autoSpaceDN w:val="0"/>
        <w:adjustRightInd w:val="0"/>
      </w:pPr>
      <w:r w:rsidRPr="00D13E34">
        <w:lastRenderedPageBreak/>
        <w:t xml:space="preserve">A Standard Development Committee (SDC) was established with representatives from the industry sector, the relevant State and Territory government agencies and consumer organisations to provide ongoing advice to </w:t>
      </w:r>
      <w:r>
        <w:rPr>
          <w:rFonts w:eastAsia="Calibri" w:cs="Arial"/>
          <w:bCs/>
          <w:szCs w:val="22"/>
          <w:lang w:val="en-AU" w:bidi="ar-SA"/>
        </w:rPr>
        <w:t>the Authority</w:t>
      </w:r>
      <w:r w:rsidRPr="00D13E34">
        <w:t xml:space="preserve"> throughout the standard development process. The SDC contributed a broad spectrum of knowledge and expertise covering industry, government, research and consumers</w:t>
      </w:r>
      <w:r>
        <w:t>.</w:t>
      </w:r>
    </w:p>
    <w:p w:rsidR="009A3AE6" w:rsidRDefault="009A3AE6" w:rsidP="009A3AE6">
      <w:pPr>
        <w:widowControl/>
        <w:autoSpaceDE w:val="0"/>
        <w:autoSpaceDN w:val="0"/>
        <w:adjustRightInd w:val="0"/>
      </w:pPr>
    </w:p>
    <w:p w:rsidR="009A3AE6" w:rsidRDefault="009A3AE6" w:rsidP="009A3AE6">
      <w:pPr>
        <w:widowControl/>
        <w:autoSpaceDE w:val="0"/>
        <w:autoSpaceDN w:val="0"/>
        <w:adjustRightInd w:val="0"/>
      </w:pPr>
      <w:r w:rsidRPr="00D13E34">
        <w:rPr>
          <w:rFonts w:eastAsia="Calibri" w:cs="Arial"/>
          <w:bCs/>
          <w:szCs w:val="22"/>
          <w:lang w:val="en-AU" w:bidi="ar-SA"/>
        </w:rPr>
        <w:t xml:space="preserve">A Regulation Impact Statement (RIS) is not required because the proposed variations to Standard 4.2.4 </w:t>
      </w:r>
      <w:r w:rsidRPr="00D13E34">
        <w:t>are likely to have a minor impact on business and individuals</w:t>
      </w:r>
      <w:r>
        <w:t xml:space="preserve">. </w:t>
      </w:r>
      <w:r w:rsidRPr="00D13E34">
        <w:t xml:space="preserve">  </w:t>
      </w:r>
    </w:p>
    <w:p w:rsidR="009A3AE6" w:rsidRDefault="009A3AE6" w:rsidP="009A3AE6">
      <w:pPr>
        <w:widowControl/>
        <w:autoSpaceDE w:val="0"/>
        <w:autoSpaceDN w:val="0"/>
        <w:adjustRightInd w:val="0"/>
      </w:pPr>
    </w:p>
    <w:p w:rsidR="009A3AE6" w:rsidRDefault="009A3AE6" w:rsidP="009A3AE6">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9A3AE6" w:rsidRDefault="009A3AE6" w:rsidP="009A3AE6">
      <w:pPr>
        <w:rPr>
          <w:rFonts w:eastAsiaTheme="minorHAnsi"/>
          <w:lang w:val="en-AU" w:bidi="ar-SA"/>
        </w:rPr>
      </w:pPr>
    </w:p>
    <w:p w:rsidR="009A3AE6" w:rsidRDefault="009A3AE6" w:rsidP="009A3AE6">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9A3AE6" w:rsidRPr="00D13E34" w:rsidRDefault="009A3AE6" w:rsidP="009A3AE6">
      <w:pPr>
        <w:rPr>
          <w:rFonts w:eastAsia="Calibri"/>
          <w:lang w:val="en-AU" w:bidi="ar-SA"/>
        </w:rPr>
      </w:pPr>
    </w:p>
    <w:p w:rsidR="009A3AE6" w:rsidRPr="006F68FD" w:rsidRDefault="009A3AE6" w:rsidP="009A3AE6">
      <w:pPr>
        <w:widowControl/>
        <w:rPr>
          <w:rFonts w:eastAsia="Calibri" w:cs="Arial"/>
          <w:b/>
          <w:bCs/>
          <w:lang w:val="en-AU"/>
        </w:rPr>
      </w:pPr>
      <w:r>
        <w:rPr>
          <w:rFonts w:eastAsia="Calibri" w:cs="Arial"/>
          <w:b/>
          <w:bCs/>
          <w:lang w:val="en-AU"/>
        </w:rPr>
        <w:t>6.</w:t>
      </w:r>
      <w:r>
        <w:rPr>
          <w:rFonts w:eastAsia="Calibri" w:cs="Arial"/>
          <w:b/>
          <w:bCs/>
          <w:lang w:val="en-AU"/>
        </w:rPr>
        <w:tab/>
      </w:r>
      <w:r w:rsidRPr="006F68FD">
        <w:rPr>
          <w:rFonts w:eastAsia="Calibri" w:cs="Arial"/>
          <w:b/>
          <w:bCs/>
          <w:lang w:val="en-AU"/>
        </w:rPr>
        <w:t xml:space="preserve">Contents of the Variations </w:t>
      </w:r>
    </w:p>
    <w:p w:rsidR="009A3AE6" w:rsidRDefault="009A3AE6" w:rsidP="009A3AE6">
      <w:pPr>
        <w:rPr>
          <w:rFonts w:eastAsia="Calibri"/>
          <w:lang w:val="en-AU"/>
        </w:rPr>
      </w:pPr>
    </w:p>
    <w:p w:rsidR="009A3AE6" w:rsidRDefault="009A3AE6" w:rsidP="009A3AE6">
      <w:pPr>
        <w:rPr>
          <w:rFonts w:eastAsia="Calibri"/>
          <w:lang w:val="en-AU"/>
        </w:rPr>
      </w:pPr>
      <w:r w:rsidRPr="0077332D">
        <w:rPr>
          <w:rFonts w:eastAsia="Calibri"/>
          <w:b/>
          <w:i/>
          <w:lang w:val="en-AU"/>
        </w:rPr>
        <w:t>6.1</w:t>
      </w:r>
      <w:r>
        <w:rPr>
          <w:rFonts w:eastAsia="Calibri"/>
          <w:b/>
          <w:i/>
          <w:lang w:val="en-AU"/>
        </w:rPr>
        <w:tab/>
      </w:r>
      <w:r w:rsidRPr="0077332D">
        <w:rPr>
          <w:rFonts w:eastAsia="Calibri"/>
          <w:b/>
          <w:i/>
          <w:lang w:val="en-AU"/>
        </w:rPr>
        <w:t>Clause 16 of Standard 4.2.4</w:t>
      </w:r>
    </w:p>
    <w:p w:rsidR="009A3AE6" w:rsidRPr="00B5344C" w:rsidRDefault="009A3AE6" w:rsidP="009A3AE6">
      <w:pPr>
        <w:rPr>
          <w:rFonts w:eastAsia="Calibri"/>
          <w:lang w:val="en-AU"/>
        </w:rPr>
      </w:pPr>
    </w:p>
    <w:p w:rsidR="009A3AE6" w:rsidRDefault="009A3AE6" w:rsidP="009A3AE6">
      <w:pPr>
        <w:widowControl/>
        <w:autoSpaceDE w:val="0"/>
        <w:autoSpaceDN w:val="0"/>
        <w:adjustRightInd w:val="0"/>
        <w:rPr>
          <w:rFonts w:eastAsia="Calibri" w:cs="Arial"/>
          <w:bCs/>
          <w:szCs w:val="22"/>
          <w:lang w:val="en-AU" w:bidi="ar-SA"/>
        </w:rPr>
      </w:pPr>
      <w:r>
        <w:rPr>
          <w:rFonts w:eastAsia="Calibri" w:cs="Arial"/>
          <w:bCs/>
          <w:szCs w:val="22"/>
          <w:lang w:val="en-AU" w:bidi="ar-SA"/>
        </w:rPr>
        <w:t>Clause 16 has been expanded into three subclauses (1), (2) and (3).</w:t>
      </w:r>
    </w:p>
    <w:p w:rsidR="009A3AE6" w:rsidRDefault="009A3AE6" w:rsidP="009A3AE6">
      <w:pPr>
        <w:widowControl/>
        <w:autoSpaceDE w:val="0"/>
        <w:autoSpaceDN w:val="0"/>
        <w:adjustRightInd w:val="0"/>
        <w:rPr>
          <w:rFonts w:eastAsia="Calibri" w:cs="Arial"/>
          <w:bCs/>
          <w:szCs w:val="22"/>
          <w:lang w:val="en-AU" w:bidi="ar-SA"/>
        </w:rPr>
      </w:pPr>
    </w:p>
    <w:p w:rsidR="009A3AE6" w:rsidRDefault="009A3AE6" w:rsidP="009A3AE6">
      <w:pPr>
        <w:widowControl/>
        <w:autoSpaceDE w:val="0"/>
        <w:autoSpaceDN w:val="0"/>
        <w:adjustRightInd w:val="0"/>
        <w:rPr>
          <w:rFonts w:eastAsia="Calibri" w:cs="Arial"/>
          <w:bCs/>
          <w:szCs w:val="22"/>
          <w:lang w:val="en-AU" w:bidi="ar-SA"/>
        </w:rPr>
      </w:pPr>
      <w:r>
        <w:rPr>
          <w:rFonts w:eastAsia="Calibri" w:cs="Arial"/>
          <w:bCs/>
          <w:szCs w:val="22"/>
          <w:lang w:val="en-AU" w:bidi="ar-SA"/>
        </w:rPr>
        <w:t>Subclause 16(1) specifies processing requirements for milk used to make cheese or cheese products.</w:t>
      </w:r>
    </w:p>
    <w:p w:rsidR="009A3AE6" w:rsidRDefault="009A3AE6" w:rsidP="009A3AE6">
      <w:pPr>
        <w:widowControl/>
        <w:autoSpaceDE w:val="0"/>
        <w:autoSpaceDN w:val="0"/>
        <w:adjustRightInd w:val="0"/>
        <w:rPr>
          <w:rFonts w:eastAsia="Calibri" w:cs="Arial"/>
          <w:bCs/>
          <w:szCs w:val="22"/>
          <w:lang w:val="en-AU" w:bidi="ar-SA"/>
        </w:rPr>
      </w:pPr>
    </w:p>
    <w:p w:rsidR="009A3AE6" w:rsidRDefault="009A3AE6" w:rsidP="009A3AE6">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Subclause 16(2) specifies processing requirements for dairy products used to make cheese or cheese products.  The combination of time and temperature required for dairy products differs from the combination required for milk because of the variation in fat or solids content of dairy products. This reflects the approach in clause 15 for the processing of milk and dairy products. </w:t>
      </w:r>
    </w:p>
    <w:p w:rsidR="009A3AE6" w:rsidRDefault="009A3AE6" w:rsidP="009A3AE6">
      <w:pPr>
        <w:widowControl/>
        <w:autoSpaceDE w:val="0"/>
        <w:autoSpaceDN w:val="0"/>
        <w:adjustRightInd w:val="0"/>
        <w:rPr>
          <w:rFonts w:eastAsia="Calibri" w:cs="Arial"/>
          <w:bCs/>
          <w:szCs w:val="22"/>
          <w:lang w:val="en-AU" w:bidi="ar-SA"/>
        </w:rPr>
      </w:pPr>
    </w:p>
    <w:p w:rsidR="009A3AE6" w:rsidRDefault="009A3AE6" w:rsidP="009A3AE6">
      <w:pPr>
        <w:widowControl/>
        <w:autoSpaceDE w:val="0"/>
        <w:autoSpaceDN w:val="0"/>
        <w:adjustRightInd w:val="0"/>
        <w:rPr>
          <w:rFonts w:eastAsia="Calibri" w:cs="Arial"/>
          <w:bCs/>
          <w:szCs w:val="22"/>
          <w:lang w:val="en-AU" w:bidi="ar-SA"/>
        </w:rPr>
      </w:pPr>
      <w:r>
        <w:rPr>
          <w:rFonts w:eastAsia="Calibri" w:cs="Arial"/>
          <w:bCs/>
          <w:szCs w:val="22"/>
          <w:lang w:val="en-AU" w:bidi="ar-SA"/>
        </w:rPr>
        <w:t>Subclause 16(3) permits cheese or cheese products to be made using processing and product controls other than those specified in subclauses 16(1) and 16(2). These controls include a combination of curd cooking, minimum moisture content and storage time. Alternatively, the cheese or cheese products may be processed in accordance with clause 1 of Standard 4.2.4A.</w:t>
      </w:r>
    </w:p>
    <w:p w:rsidR="009A3AE6" w:rsidRDefault="009A3AE6" w:rsidP="009A3AE6">
      <w:pPr>
        <w:widowControl/>
        <w:autoSpaceDE w:val="0"/>
        <w:autoSpaceDN w:val="0"/>
        <w:adjustRightInd w:val="0"/>
        <w:rPr>
          <w:rFonts w:eastAsia="Calibri" w:cs="Arial"/>
          <w:bCs/>
          <w:szCs w:val="22"/>
          <w:lang w:val="en-AU" w:bidi="ar-SA"/>
        </w:rPr>
      </w:pPr>
    </w:p>
    <w:p w:rsidR="009A3AE6" w:rsidRPr="00D13E34" w:rsidRDefault="009A3AE6" w:rsidP="009A3AE6">
      <w:pPr>
        <w:widowControl/>
        <w:autoSpaceDE w:val="0"/>
        <w:autoSpaceDN w:val="0"/>
        <w:adjustRightInd w:val="0"/>
        <w:rPr>
          <w:rFonts w:eastAsia="Calibri" w:cs="Arial"/>
          <w:bCs/>
          <w:szCs w:val="22"/>
          <w:lang w:val="en-AU" w:bidi="ar-SA"/>
        </w:rPr>
      </w:pPr>
      <w:r>
        <w:rPr>
          <w:rFonts w:eastAsia="Calibri" w:cs="Arial"/>
          <w:bCs/>
          <w:szCs w:val="22"/>
          <w:lang w:val="en-AU" w:bidi="ar-SA"/>
        </w:rPr>
        <w:t>The requirement contained previously in paragraph</w:t>
      </w:r>
      <w:r w:rsidRPr="00D13E34">
        <w:rPr>
          <w:rFonts w:eastAsia="Calibri" w:cs="Arial"/>
          <w:bCs/>
          <w:szCs w:val="22"/>
          <w:lang w:val="en-AU" w:bidi="ar-SA"/>
        </w:rPr>
        <w:t xml:space="preserve"> 16(b)</w:t>
      </w:r>
      <w:r>
        <w:rPr>
          <w:rFonts w:eastAsia="Calibri" w:cs="Arial"/>
          <w:bCs/>
          <w:szCs w:val="22"/>
          <w:lang w:val="en-AU" w:bidi="ar-SA"/>
        </w:rPr>
        <w:t xml:space="preserve"> has been replaced with paragraph 16(1</w:t>
      </w:r>
      <w:proofErr w:type="gramStart"/>
      <w:r>
        <w:rPr>
          <w:rFonts w:eastAsia="Calibri" w:cs="Arial"/>
          <w:bCs/>
          <w:szCs w:val="22"/>
          <w:lang w:val="en-AU" w:bidi="ar-SA"/>
        </w:rPr>
        <w:t>)(</w:t>
      </w:r>
      <w:proofErr w:type="gramEnd"/>
      <w:r>
        <w:rPr>
          <w:rFonts w:eastAsia="Calibri" w:cs="Arial"/>
          <w:bCs/>
          <w:szCs w:val="22"/>
          <w:lang w:val="en-AU" w:bidi="ar-SA"/>
        </w:rPr>
        <w:t xml:space="preserve">b).  The parameters have been amended to increase the required processing temperature to no less than </w:t>
      </w:r>
      <w:r w:rsidRPr="00D13E34">
        <w:rPr>
          <w:rFonts w:eastAsia="Calibri" w:cs="Arial"/>
          <w:bCs/>
          <w:szCs w:val="22"/>
          <w:lang w:val="en-AU" w:bidi="ar-SA"/>
        </w:rPr>
        <w:t>64.5°C</w:t>
      </w:r>
      <w:r>
        <w:rPr>
          <w:rFonts w:eastAsia="Calibri" w:cs="Arial"/>
          <w:bCs/>
          <w:szCs w:val="22"/>
          <w:lang w:val="en-AU" w:bidi="ar-SA"/>
        </w:rPr>
        <w:t>, the required time period to no less than</w:t>
      </w:r>
      <w:r w:rsidRPr="00D13E34">
        <w:rPr>
          <w:rFonts w:eastAsia="Calibri" w:cs="Arial"/>
          <w:bCs/>
          <w:szCs w:val="22"/>
          <w:lang w:val="en-AU" w:bidi="ar-SA"/>
        </w:rPr>
        <w:t xml:space="preserve"> 16 seconds</w:t>
      </w:r>
      <w:r>
        <w:rPr>
          <w:rFonts w:eastAsia="Calibri" w:cs="Arial"/>
          <w:bCs/>
          <w:szCs w:val="22"/>
          <w:lang w:val="en-AU" w:bidi="ar-SA"/>
        </w:rPr>
        <w:t xml:space="preserve">, and the required </w:t>
      </w:r>
      <w:r w:rsidRPr="00D13E34">
        <w:rPr>
          <w:rFonts w:eastAsia="Calibri" w:cs="Arial"/>
          <w:bCs/>
          <w:szCs w:val="22"/>
          <w:lang w:val="en-AU" w:bidi="ar-SA"/>
        </w:rPr>
        <w:t>storage</w:t>
      </w:r>
      <w:r>
        <w:rPr>
          <w:rFonts w:eastAsia="Calibri" w:cs="Arial"/>
          <w:bCs/>
          <w:szCs w:val="22"/>
          <w:lang w:val="en-AU" w:bidi="ar-SA"/>
        </w:rPr>
        <w:t xml:space="preserve"> temperature</w:t>
      </w:r>
      <w:r w:rsidRPr="00D13E34">
        <w:rPr>
          <w:rFonts w:eastAsia="Calibri" w:cs="Arial"/>
          <w:bCs/>
          <w:szCs w:val="22"/>
          <w:lang w:val="en-AU" w:bidi="ar-SA"/>
        </w:rPr>
        <w:t xml:space="preserve"> to</w:t>
      </w:r>
      <w:r>
        <w:rPr>
          <w:rFonts w:eastAsia="Calibri" w:cs="Arial"/>
          <w:bCs/>
          <w:szCs w:val="22"/>
          <w:lang w:val="en-AU" w:bidi="ar-SA"/>
        </w:rPr>
        <w:t xml:space="preserve"> no less than</w:t>
      </w:r>
      <w:r w:rsidRPr="00D13E34">
        <w:rPr>
          <w:rFonts w:eastAsia="Calibri" w:cs="Arial"/>
          <w:bCs/>
          <w:szCs w:val="22"/>
          <w:lang w:val="en-AU" w:bidi="ar-SA"/>
        </w:rPr>
        <w:t xml:space="preserve"> 7°C.</w:t>
      </w:r>
      <w:r>
        <w:rPr>
          <w:rFonts w:eastAsia="Calibri" w:cs="Arial"/>
          <w:bCs/>
          <w:szCs w:val="22"/>
          <w:lang w:val="en-AU" w:bidi="ar-SA"/>
        </w:rPr>
        <w:t xml:space="preserve"> </w:t>
      </w:r>
    </w:p>
    <w:p w:rsidR="009A3AE6" w:rsidRPr="00D13E34" w:rsidRDefault="009A3AE6" w:rsidP="009A3AE6">
      <w:pPr>
        <w:widowControl/>
        <w:autoSpaceDE w:val="0"/>
        <w:autoSpaceDN w:val="0"/>
        <w:adjustRightInd w:val="0"/>
        <w:rPr>
          <w:rFonts w:eastAsia="Calibri" w:cs="Arial"/>
          <w:bCs/>
          <w:szCs w:val="22"/>
          <w:lang w:val="en-AU" w:bidi="ar-SA"/>
        </w:rPr>
      </w:pPr>
    </w:p>
    <w:p w:rsidR="009A3AE6" w:rsidRPr="00D13E34" w:rsidRDefault="009A3AE6" w:rsidP="009A3AE6">
      <w:pPr>
        <w:widowControl/>
        <w:autoSpaceDE w:val="0"/>
        <w:autoSpaceDN w:val="0"/>
        <w:adjustRightInd w:val="0"/>
        <w:rPr>
          <w:rFonts w:eastAsia="Calibri" w:cs="Arial"/>
          <w:bCs/>
          <w:szCs w:val="22"/>
          <w:lang w:val="en-AU" w:bidi="ar-SA"/>
        </w:rPr>
      </w:pPr>
      <w:r>
        <w:rPr>
          <w:rFonts w:eastAsia="Calibri" w:cs="Arial"/>
          <w:bCs/>
          <w:szCs w:val="22"/>
          <w:lang w:val="en-AU" w:bidi="ar-SA"/>
        </w:rPr>
        <w:t>The requirement previously contained in paragraph</w:t>
      </w:r>
      <w:r w:rsidRPr="00D13E34">
        <w:rPr>
          <w:rFonts w:eastAsia="Calibri" w:cs="Arial"/>
          <w:bCs/>
          <w:szCs w:val="22"/>
          <w:lang w:val="en-AU" w:bidi="ar-SA"/>
        </w:rPr>
        <w:t xml:space="preserve"> 16(c) </w:t>
      </w:r>
      <w:r>
        <w:rPr>
          <w:rFonts w:eastAsia="Calibri" w:cs="Arial"/>
          <w:bCs/>
          <w:szCs w:val="22"/>
          <w:lang w:val="en-AU" w:bidi="ar-SA"/>
        </w:rPr>
        <w:t>has been replaced with paragraph 16(3</w:t>
      </w:r>
      <w:proofErr w:type="gramStart"/>
      <w:r>
        <w:rPr>
          <w:rFonts w:eastAsia="Calibri" w:cs="Arial"/>
          <w:bCs/>
          <w:szCs w:val="22"/>
          <w:lang w:val="en-AU" w:bidi="ar-SA"/>
        </w:rPr>
        <w:t>)(</w:t>
      </w:r>
      <w:proofErr w:type="gramEnd"/>
      <w:r>
        <w:rPr>
          <w:rFonts w:eastAsia="Calibri" w:cs="Arial"/>
          <w:bCs/>
          <w:szCs w:val="22"/>
          <w:lang w:val="en-AU" w:bidi="ar-SA"/>
        </w:rPr>
        <w:t xml:space="preserve">a).  The </w:t>
      </w:r>
      <w:r w:rsidRPr="00D13E34">
        <w:rPr>
          <w:rFonts w:eastAsia="Calibri" w:cs="Arial"/>
          <w:bCs/>
          <w:szCs w:val="22"/>
          <w:lang w:val="en-AU" w:bidi="ar-SA"/>
        </w:rPr>
        <w:t xml:space="preserve">parameters </w:t>
      </w:r>
      <w:r>
        <w:rPr>
          <w:rFonts w:eastAsia="Calibri" w:cs="Arial"/>
          <w:bCs/>
          <w:szCs w:val="22"/>
          <w:lang w:val="en-AU" w:bidi="ar-SA"/>
        </w:rPr>
        <w:t>have been amended</w:t>
      </w:r>
      <w:r w:rsidRPr="00D13E34">
        <w:rPr>
          <w:rFonts w:eastAsia="Calibri" w:cs="Arial"/>
          <w:bCs/>
          <w:szCs w:val="22"/>
          <w:lang w:val="en-AU" w:bidi="ar-SA"/>
        </w:rPr>
        <w:t xml:space="preserve"> such that the moisture content </w:t>
      </w:r>
      <w:r>
        <w:rPr>
          <w:rFonts w:eastAsia="Calibri" w:cs="Arial"/>
          <w:bCs/>
          <w:szCs w:val="22"/>
          <w:lang w:val="en-AU" w:bidi="ar-SA"/>
        </w:rPr>
        <w:t xml:space="preserve">must be less than </w:t>
      </w:r>
      <w:r w:rsidRPr="00D13E34">
        <w:rPr>
          <w:rFonts w:eastAsia="Calibri" w:cs="Arial"/>
          <w:bCs/>
          <w:szCs w:val="22"/>
          <w:lang w:val="en-AU" w:bidi="ar-SA"/>
        </w:rPr>
        <w:t>39%</w:t>
      </w:r>
      <w:r>
        <w:rPr>
          <w:rFonts w:eastAsia="Calibri" w:cs="Arial"/>
          <w:bCs/>
          <w:szCs w:val="22"/>
          <w:lang w:val="en-AU" w:bidi="ar-SA"/>
        </w:rPr>
        <w:t xml:space="preserve"> (replacing 36%)</w:t>
      </w:r>
      <w:r w:rsidRPr="00D13E34">
        <w:rPr>
          <w:rFonts w:eastAsia="Calibri" w:cs="Arial"/>
          <w:bCs/>
          <w:szCs w:val="22"/>
          <w:lang w:val="en-AU" w:bidi="ar-SA"/>
        </w:rPr>
        <w:t xml:space="preserve"> and the storage period</w:t>
      </w:r>
      <w:r>
        <w:rPr>
          <w:rFonts w:eastAsia="Calibri" w:cs="Arial"/>
          <w:bCs/>
          <w:szCs w:val="22"/>
          <w:lang w:val="en-AU" w:bidi="ar-SA"/>
        </w:rPr>
        <w:t xml:space="preserve"> must be no less than</w:t>
      </w:r>
      <w:r w:rsidRPr="00D13E34">
        <w:rPr>
          <w:rFonts w:eastAsia="Calibri" w:cs="Arial"/>
          <w:bCs/>
          <w:szCs w:val="22"/>
          <w:lang w:val="en-AU" w:bidi="ar-SA"/>
        </w:rPr>
        <w:t xml:space="preserve"> 120 day</w:t>
      </w:r>
      <w:r>
        <w:rPr>
          <w:rFonts w:eastAsia="Calibri" w:cs="Arial"/>
          <w:bCs/>
          <w:szCs w:val="22"/>
          <w:lang w:val="en-AU" w:bidi="ar-SA"/>
        </w:rPr>
        <w:t xml:space="preserve">s from the date of processing (reduced from 6 months). </w:t>
      </w:r>
    </w:p>
    <w:p w:rsidR="009A3AE6" w:rsidRPr="00D13E34" w:rsidRDefault="009A3AE6" w:rsidP="009A3AE6">
      <w:pPr>
        <w:widowControl/>
        <w:autoSpaceDE w:val="0"/>
        <w:autoSpaceDN w:val="0"/>
        <w:adjustRightInd w:val="0"/>
        <w:rPr>
          <w:rFonts w:eastAsia="Calibri" w:cs="Arial"/>
          <w:bCs/>
          <w:szCs w:val="22"/>
          <w:lang w:val="en-AU" w:bidi="ar-SA"/>
        </w:rPr>
      </w:pPr>
    </w:p>
    <w:p w:rsidR="009A3AE6" w:rsidRDefault="009A3AE6" w:rsidP="009A3AE6">
      <w:pPr>
        <w:widowControl/>
        <w:autoSpaceDE w:val="0"/>
        <w:autoSpaceDN w:val="0"/>
        <w:adjustRightInd w:val="0"/>
        <w:rPr>
          <w:rFonts w:eastAsia="Calibri" w:cs="Arial"/>
          <w:bCs/>
          <w:szCs w:val="22"/>
          <w:lang w:val="en-AU" w:bidi="ar-SA"/>
        </w:rPr>
      </w:pPr>
      <w:r>
        <w:rPr>
          <w:rFonts w:eastAsia="Calibri" w:cs="Arial"/>
          <w:bCs/>
          <w:szCs w:val="22"/>
          <w:lang w:val="en-AU" w:bidi="ar-SA"/>
        </w:rPr>
        <w:t>The amended processing parameters and product characteristics in clause 16 have been assessed as achieving an acceptable level of safety.</w:t>
      </w:r>
    </w:p>
    <w:p w:rsidR="009A3AE6" w:rsidRDefault="009A3AE6" w:rsidP="009A3AE6">
      <w:pPr>
        <w:widowControl/>
        <w:autoSpaceDE w:val="0"/>
        <w:autoSpaceDN w:val="0"/>
        <w:adjustRightInd w:val="0"/>
        <w:rPr>
          <w:rFonts w:eastAsia="Calibri" w:cs="Arial"/>
          <w:bCs/>
          <w:szCs w:val="22"/>
          <w:lang w:val="en-AU" w:bidi="ar-SA"/>
        </w:rPr>
      </w:pPr>
    </w:p>
    <w:p w:rsidR="009A3AE6" w:rsidRPr="00D93779" w:rsidRDefault="009A3AE6" w:rsidP="009A3AE6">
      <w:pPr>
        <w:rPr>
          <w:rFonts w:eastAsia="Calibri"/>
          <w:lang w:val="en-AU"/>
        </w:rPr>
      </w:pPr>
      <w:r w:rsidRPr="0077332D">
        <w:rPr>
          <w:rFonts w:eastAsia="Calibri"/>
          <w:b/>
          <w:i/>
          <w:lang w:val="en-AU"/>
        </w:rPr>
        <w:t>6.2</w:t>
      </w:r>
      <w:r w:rsidRPr="0077332D">
        <w:rPr>
          <w:rFonts w:eastAsia="Calibri"/>
          <w:b/>
          <w:i/>
          <w:lang w:val="en-AU"/>
        </w:rPr>
        <w:tab/>
        <w:t>Table to Clause 1 of Standard 4.2.4A</w:t>
      </w:r>
    </w:p>
    <w:p w:rsidR="009A3AE6" w:rsidRDefault="009A3AE6" w:rsidP="009A3AE6">
      <w:pPr>
        <w:widowControl/>
        <w:autoSpaceDE w:val="0"/>
        <w:autoSpaceDN w:val="0"/>
        <w:adjustRightInd w:val="0"/>
        <w:rPr>
          <w:rFonts w:eastAsia="Calibri" w:cs="Arial"/>
          <w:bCs/>
          <w:szCs w:val="22"/>
          <w:lang w:val="en-AU" w:bidi="ar-SA"/>
        </w:rPr>
      </w:pPr>
    </w:p>
    <w:p w:rsidR="009A3AE6" w:rsidRDefault="009A3AE6" w:rsidP="009A3AE6">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table to clause 1</w:t>
      </w:r>
      <w:r>
        <w:rPr>
          <w:rFonts w:eastAsia="Calibri" w:cs="Arial"/>
          <w:bCs/>
          <w:szCs w:val="22"/>
          <w:lang w:val="en-AU" w:bidi="ar-SA"/>
        </w:rPr>
        <w:t xml:space="preserve"> of Standard 4.2.4A</w:t>
      </w:r>
      <w:r w:rsidRPr="00D13E34">
        <w:rPr>
          <w:rFonts w:eastAsia="Calibri" w:cs="Arial"/>
          <w:bCs/>
          <w:szCs w:val="22"/>
          <w:lang w:val="en-AU" w:bidi="ar-SA"/>
        </w:rPr>
        <w:t xml:space="preserve"> is amended to delete the entry</w:t>
      </w:r>
      <w:r>
        <w:rPr>
          <w:rFonts w:eastAsia="Calibri" w:cs="Arial"/>
          <w:bCs/>
          <w:szCs w:val="22"/>
          <w:lang w:val="en-AU" w:bidi="ar-SA"/>
        </w:rPr>
        <w:t xml:space="preserve"> for</w:t>
      </w:r>
      <w:r w:rsidRPr="00D13E34">
        <w:rPr>
          <w:rFonts w:eastAsia="Calibri" w:cs="Arial"/>
          <w:bCs/>
          <w:szCs w:val="22"/>
          <w:lang w:val="en-AU" w:bidi="ar-SA"/>
        </w:rPr>
        <w:t xml:space="preserve"> “Gruyere, Sbrinz or Emmental cheese”</w:t>
      </w:r>
      <w:r>
        <w:rPr>
          <w:rFonts w:eastAsia="Calibri" w:cs="Arial"/>
          <w:bCs/>
          <w:szCs w:val="22"/>
          <w:lang w:val="en-AU" w:bidi="ar-SA"/>
        </w:rPr>
        <w:t>. Conditions for the manufacture of these cheeses are now covered by the Standard 4.2.4 requirements.</w:t>
      </w:r>
    </w:p>
    <w:p w:rsidR="009A3AE6" w:rsidRDefault="009A3AE6" w:rsidP="009A3AE6">
      <w:pPr>
        <w:widowControl/>
        <w:autoSpaceDE w:val="0"/>
        <w:autoSpaceDN w:val="0"/>
        <w:adjustRightInd w:val="0"/>
        <w:rPr>
          <w:rFonts w:eastAsia="Calibri" w:cs="Arial"/>
          <w:bCs/>
          <w:szCs w:val="22"/>
          <w:lang w:val="en-AU" w:bidi="ar-SA"/>
        </w:rPr>
      </w:pPr>
    </w:p>
    <w:p w:rsidR="009A3AE6" w:rsidRDefault="009A3AE6" w:rsidP="009A3AE6">
      <w:pPr>
        <w:rPr>
          <w:rFonts w:eastAsia="Calibri"/>
          <w:b/>
          <w:i/>
          <w:lang w:val="en-AU"/>
        </w:rPr>
      </w:pPr>
      <w:r>
        <w:rPr>
          <w:rFonts w:eastAsia="Calibri"/>
          <w:b/>
          <w:i/>
          <w:lang w:val="en-AU"/>
        </w:rPr>
        <w:br w:type="page"/>
      </w:r>
    </w:p>
    <w:p w:rsidR="009A3AE6" w:rsidRDefault="009A3AE6" w:rsidP="009A3AE6">
      <w:pPr>
        <w:rPr>
          <w:rFonts w:eastAsia="Calibri"/>
          <w:lang w:val="en-AU"/>
        </w:rPr>
      </w:pPr>
      <w:r w:rsidRPr="0077332D">
        <w:rPr>
          <w:rFonts w:eastAsia="Calibri"/>
          <w:b/>
          <w:i/>
          <w:lang w:val="en-AU"/>
        </w:rPr>
        <w:lastRenderedPageBreak/>
        <w:t>6.3</w:t>
      </w:r>
      <w:r w:rsidRPr="0077332D">
        <w:rPr>
          <w:rFonts w:eastAsia="Calibri"/>
          <w:b/>
          <w:i/>
          <w:lang w:val="en-AU"/>
        </w:rPr>
        <w:tab/>
        <w:t>Editorial note following clause 1 of Standard 4.2.4A</w:t>
      </w:r>
    </w:p>
    <w:p w:rsidR="009A3AE6" w:rsidRPr="00B5344C" w:rsidRDefault="009A3AE6" w:rsidP="009A3AE6">
      <w:pPr>
        <w:rPr>
          <w:rFonts w:eastAsia="Calibri"/>
          <w:lang w:val="en-AU"/>
        </w:rPr>
      </w:pPr>
    </w:p>
    <w:p w:rsidR="009A3AE6" w:rsidRPr="00D13E34" w:rsidRDefault="009A3AE6" w:rsidP="009A3AE6">
      <w:pPr>
        <w:widowControl/>
        <w:autoSpaceDE w:val="0"/>
        <w:autoSpaceDN w:val="0"/>
        <w:adjustRightInd w:val="0"/>
        <w:rPr>
          <w:rFonts w:eastAsia="Calibri" w:cs="Arial"/>
          <w:bCs/>
          <w:szCs w:val="22"/>
          <w:lang w:val="en-AU" w:bidi="ar-SA"/>
        </w:rPr>
      </w:pPr>
      <w:r>
        <w:rPr>
          <w:rFonts w:eastAsia="Calibri" w:cs="Arial"/>
          <w:bCs/>
          <w:szCs w:val="22"/>
          <w:lang w:val="en-AU" w:bidi="ar-SA"/>
        </w:rPr>
        <w:t>The Editorial note has also been amended to remove material that reflects an historical approach to permitting individual cheeses prior to the development of primary production and processing requirements in Standard 4.2.4 and the amendments made through Proposal P1007.</w:t>
      </w:r>
    </w:p>
    <w:bookmarkEnd w:id="1"/>
    <w:bookmarkEnd w:id="2"/>
    <w:p w:rsidR="009A3AE6" w:rsidRDefault="009A3AE6" w:rsidP="009A3AE6">
      <w:pPr>
        <w:rPr>
          <w:rFonts w:cs="Arial"/>
        </w:rPr>
      </w:pPr>
    </w:p>
    <w:p w:rsidR="00041643" w:rsidRDefault="00041643"/>
    <w:sectPr w:rsidR="00041643" w:rsidSect="0077332D">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9C5" w:rsidRDefault="00AD79C5" w:rsidP="00AD79C5">
      <w:r>
        <w:separator/>
      </w:r>
    </w:p>
  </w:endnote>
  <w:endnote w:type="continuationSeparator" w:id="0">
    <w:p w:rsidR="00AD79C5" w:rsidRDefault="00AD79C5" w:rsidP="00AD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C5" w:rsidRDefault="00AD7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071929"/>
      <w:docPartObj>
        <w:docPartGallery w:val="Page Numbers (Bottom of Page)"/>
        <w:docPartUnique/>
      </w:docPartObj>
    </w:sdtPr>
    <w:sdtEndPr>
      <w:rPr>
        <w:noProof/>
      </w:rPr>
    </w:sdtEndPr>
    <w:sdtContent>
      <w:p w:rsidR="00AD79C5" w:rsidRDefault="00AD79C5" w:rsidP="00AD79C5">
        <w:pPr>
          <w:pStyle w:val="Footer"/>
          <w:jc w:val="center"/>
        </w:pPr>
        <w:r>
          <w:fldChar w:fldCharType="begin"/>
        </w:r>
        <w:r>
          <w:instrText xml:space="preserve"> PAGE   \* MERGEFORMAT </w:instrText>
        </w:r>
        <w:r>
          <w:fldChar w:fldCharType="separate"/>
        </w:r>
        <w:r>
          <w:rPr>
            <w:noProof/>
          </w:rPr>
          <w:t>1</w:t>
        </w:r>
        <w:r>
          <w:rPr>
            <w:noProof/>
          </w:rPr>
          <w:fldChar w:fldCharType="end"/>
        </w:r>
      </w:p>
      <w:bookmarkStart w:id="3" w:name="_GoBack" w:displacedByCustomXml="next"/>
      <w:bookmarkEnd w:id="3"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C5" w:rsidRDefault="00AD7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9C5" w:rsidRDefault="00AD79C5" w:rsidP="00AD79C5">
      <w:r>
        <w:separator/>
      </w:r>
    </w:p>
  </w:footnote>
  <w:footnote w:type="continuationSeparator" w:id="0">
    <w:p w:rsidR="00AD79C5" w:rsidRDefault="00AD79C5" w:rsidP="00AD7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C5" w:rsidRDefault="00AD7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C5" w:rsidRDefault="00AD7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C5" w:rsidRDefault="00AD7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nsid w:val="77496BD5"/>
    <w:multiLevelType w:val="hybridMultilevel"/>
    <w:tmpl w:val="02105AE8"/>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E6"/>
    <w:rsid w:val="00041643"/>
    <w:rsid w:val="001E696B"/>
    <w:rsid w:val="00221207"/>
    <w:rsid w:val="0054036E"/>
    <w:rsid w:val="008931F6"/>
    <w:rsid w:val="009A3AE6"/>
    <w:rsid w:val="00AD79C5"/>
    <w:rsid w:val="00F76F95"/>
    <w:rsid w:val="00FA2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9A3AE6"/>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cs="Arial"/>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9A3AE6"/>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numPr>
        <w:numId w:val="8"/>
      </w:numPr>
    </w:pPr>
    <w:rPr>
      <w:rFonts w:cs="Arial"/>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909</Words>
  <Characters>5182</Characters>
  <Application>Microsoft Office Word</Application>
  <DocSecurity>0</DocSecurity>
  <Lines>43</Lines>
  <Paragraphs>12</Paragraphs>
  <ScaleCrop>false</ScaleCrop>
  <Company>Food Standards Australia New Zealand</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Humphries, Cathie</cp:lastModifiedBy>
  <cp:revision>4</cp:revision>
  <dcterms:created xsi:type="dcterms:W3CDTF">2012-04-27T02:09:00Z</dcterms:created>
  <dcterms:modified xsi:type="dcterms:W3CDTF">2012-04-27T02:26:00Z</dcterms:modified>
</cp:coreProperties>
</file>