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7BB" w:rsidRPr="00CD7DCA" w:rsidRDefault="008367BB" w:rsidP="008367BB">
      <w:pPr>
        <w:tabs>
          <w:tab w:val="left" w:pos="851"/>
        </w:tabs>
        <w:rPr>
          <w:noProof/>
          <w:szCs w:val="20"/>
          <w:lang w:val="en-AU" w:eastAsia="en-AU"/>
        </w:rPr>
      </w:pPr>
      <w:r w:rsidRPr="00CD7DCA">
        <w:rPr>
          <w:noProof/>
          <w:sz w:val="26"/>
          <w:szCs w:val="20"/>
          <w:lang w:eastAsia="en-GB"/>
        </w:rPr>
        <w:drawing>
          <wp:inline distT="0" distB="0" distL="0" distR="0" wp14:anchorId="04D450AA" wp14:editId="60274ACB">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8367BB" w:rsidRPr="00CD7DCA" w:rsidRDefault="008367BB" w:rsidP="008367BB">
      <w:pPr>
        <w:pBdr>
          <w:bottom w:val="single" w:sz="4" w:space="3" w:color="auto"/>
        </w:pBdr>
        <w:tabs>
          <w:tab w:val="left" w:pos="851"/>
        </w:tabs>
        <w:jc w:val="center"/>
        <w:rPr>
          <w:szCs w:val="20"/>
        </w:rPr>
      </w:pPr>
    </w:p>
    <w:p w:rsidR="008367BB" w:rsidRPr="00CD7DCA" w:rsidRDefault="008367BB" w:rsidP="008367BB">
      <w:pPr>
        <w:pBdr>
          <w:bottom w:val="single" w:sz="4" w:space="3" w:color="auto"/>
        </w:pBdr>
        <w:tabs>
          <w:tab w:val="left" w:pos="851"/>
        </w:tabs>
        <w:rPr>
          <w:b/>
          <w:bCs/>
          <w:lang w:val="en-AU"/>
        </w:rPr>
      </w:pPr>
      <w:r w:rsidRPr="00CD7DCA">
        <w:rPr>
          <w:b/>
          <w:bCs/>
          <w:lang w:val="en-AU"/>
        </w:rPr>
        <w:t>Food Standards (Proposal P1007 – Primary Production &amp; Processing Requirements for Raw Milk Products) Variation</w:t>
      </w:r>
    </w:p>
    <w:p w:rsidR="008367BB" w:rsidRPr="00CD7DCA" w:rsidRDefault="008367BB" w:rsidP="008367BB">
      <w:pPr>
        <w:tabs>
          <w:tab w:val="left" w:pos="851"/>
        </w:tabs>
        <w:rPr>
          <w:szCs w:val="20"/>
        </w:rPr>
      </w:pPr>
    </w:p>
    <w:p w:rsidR="008367BB" w:rsidRPr="00CD7DCA" w:rsidRDefault="008367BB" w:rsidP="008367BB">
      <w:pPr>
        <w:tabs>
          <w:tab w:val="left" w:pos="851"/>
        </w:tabs>
        <w:rPr>
          <w:szCs w:val="20"/>
        </w:rPr>
      </w:pPr>
      <w:r w:rsidRPr="00CD7DCA">
        <w:rPr>
          <w:szCs w:val="20"/>
        </w:rPr>
        <w:t xml:space="preserve">The Board of Food Standards Australia New Zealand gives notice of the making of this variation under section 92 of the </w:t>
      </w:r>
      <w:r w:rsidRPr="00CD7DCA">
        <w:rPr>
          <w:i/>
          <w:szCs w:val="20"/>
        </w:rPr>
        <w:t>Food Standards Australia New Zealand Act 1991</w:t>
      </w:r>
      <w:r w:rsidRPr="00CD7DCA">
        <w:rPr>
          <w:szCs w:val="20"/>
        </w:rPr>
        <w:t>.  The Standard commences on the date specified in clause 3 of this variation.</w:t>
      </w:r>
    </w:p>
    <w:p w:rsidR="008367BB" w:rsidRPr="00CD7DCA" w:rsidRDefault="008367BB" w:rsidP="008367BB">
      <w:pPr>
        <w:tabs>
          <w:tab w:val="left" w:pos="851"/>
        </w:tabs>
        <w:rPr>
          <w:szCs w:val="20"/>
        </w:rPr>
      </w:pPr>
    </w:p>
    <w:p w:rsidR="00F11077" w:rsidRDefault="00F11077" w:rsidP="00F11077">
      <w:pPr>
        <w:tabs>
          <w:tab w:val="left" w:pos="720"/>
        </w:tabs>
      </w:pPr>
      <w:r>
        <w:t xml:space="preserve">Dated 22 June 2012 </w:t>
      </w:r>
    </w:p>
    <w:p w:rsidR="00702472" w:rsidRPr="00CD7DCA" w:rsidRDefault="00702472" w:rsidP="008367BB">
      <w:pPr>
        <w:tabs>
          <w:tab w:val="left" w:pos="851"/>
        </w:tabs>
        <w:rPr>
          <w:noProof/>
          <w:szCs w:val="20"/>
          <w:lang w:val="en-AU" w:eastAsia="en-AU"/>
        </w:rPr>
      </w:pPr>
      <w:r>
        <w:rPr>
          <w:noProof/>
          <w:lang w:eastAsia="en-GB"/>
        </w:rPr>
        <w:drawing>
          <wp:inline distT="0" distB="0" distL="0" distR="0" wp14:anchorId="07FDB187" wp14:editId="2A9037D9">
            <wp:extent cx="1343025" cy="787400"/>
            <wp:effectExtent l="0" t="0" r="9525" b="0"/>
            <wp:docPr id="1" name="Picture 1" descr="H:\cathieh\Cathiesignature.jpg"/>
            <wp:cNvGraphicFramePr/>
            <a:graphic xmlns:a="http://schemas.openxmlformats.org/drawingml/2006/main">
              <a:graphicData uri="http://schemas.openxmlformats.org/drawingml/2006/picture">
                <pic:pic xmlns:pic="http://schemas.openxmlformats.org/drawingml/2006/picture">
                  <pic:nvPicPr>
                    <pic:cNvPr id="2" name="Picture 2" descr="H:\cathieh\Cathiesignature.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87400"/>
                    </a:xfrm>
                    <a:prstGeom prst="rect">
                      <a:avLst/>
                    </a:prstGeom>
                    <a:noFill/>
                    <a:ln>
                      <a:noFill/>
                    </a:ln>
                  </pic:spPr>
                </pic:pic>
              </a:graphicData>
            </a:graphic>
          </wp:inline>
        </w:drawing>
      </w:r>
    </w:p>
    <w:p w:rsidR="008367BB" w:rsidRPr="00CD7DCA" w:rsidRDefault="008367BB" w:rsidP="008367BB">
      <w:pPr>
        <w:tabs>
          <w:tab w:val="left" w:pos="851"/>
        </w:tabs>
        <w:rPr>
          <w:szCs w:val="20"/>
        </w:rPr>
      </w:pPr>
      <w:r w:rsidRPr="00CD7DCA">
        <w:rPr>
          <w:szCs w:val="20"/>
        </w:rPr>
        <w:t>Standards Management Officer</w:t>
      </w:r>
    </w:p>
    <w:p w:rsidR="008367BB" w:rsidRPr="00CD7DCA" w:rsidRDefault="008367BB" w:rsidP="008367BB">
      <w:pPr>
        <w:tabs>
          <w:tab w:val="left" w:pos="851"/>
        </w:tabs>
        <w:rPr>
          <w:szCs w:val="20"/>
        </w:rPr>
      </w:pPr>
      <w:r w:rsidRPr="00CD7DCA">
        <w:rPr>
          <w:szCs w:val="20"/>
        </w:rPr>
        <w:t>Delegate of the Board of Food Standards Australia New Zealand</w:t>
      </w:r>
    </w:p>
    <w:p w:rsidR="008367BB" w:rsidRPr="00CD7DCA" w:rsidRDefault="008367BB" w:rsidP="008367BB">
      <w:pPr>
        <w:tabs>
          <w:tab w:val="left" w:pos="851"/>
        </w:tabs>
        <w:rPr>
          <w:szCs w:val="20"/>
        </w:rPr>
      </w:pPr>
    </w:p>
    <w:p w:rsidR="008367BB" w:rsidRPr="00CD7DCA" w:rsidRDefault="008367BB" w:rsidP="008367BB">
      <w:pPr>
        <w:tabs>
          <w:tab w:val="left" w:pos="851"/>
        </w:tabs>
        <w:rPr>
          <w:szCs w:val="20"/>
        </w:rPr>
      </w:pPr>
    </w:p>
    <w:p w:rsidR="008367BB" w:rsidRPr="00CD7DCA" w:rsidRDefault="008367BB" w:rsidP="008367BB">
      <w:pPr>
        <w:pStyle w:val="Clauseheading"/>
      </w:pPr>
      <w:r w:rsidRPr="00CD7DCA">
        <w:rPr>
          <w:color w:val="7030A0"/>
          <w:sz w:val="28"/>
          <w:szCs w:val="28"/>
        </w:rPr>
        <w:br w:type="page"/>
      </w:r>
      <w:r w:rsidRPr="00CD7DCA">
        <w:lastRenderedPageBreak/>
        <w:t>1</w:t>
      </w:r>
      <w:r w:rsidRPr="00CD7DCA">
        <w:tab/>
        <w:t>Name</w:t>
      </w:r>
    </w:p>
    <w:p w:rsidR="008367BB" w:rsidRPr="00CD7DCA" w:rsidRDefault="008367BB" w:rsidP="008367BB">
      <w:pPr>
        <w:tabs>
          <w:tab w:val="left" w:pos="851"/>
        </w:tabs>
        <w:rPr>
          <w:szCs w:val="20"/>
        </w:rPr>
      </w:pPr>
    </w:p>
    <w:p w:rsidR="008367BB" w:rsidRPr="00CD7DCA" w:rsidRDefault="008367BB" w:rsidP="008367BB">
      <w:pPr>
        <w:pStyle w:val="Clause"/>
      </w:pPr>
      <w:r w:rsidRPr="00CD7DCA">
        <w:t>This instrument is the</w:t>
      </w:r>
      <w:r w:rsidRPr="00502362">
        <w:rPr>
          <w:i/>
        </w:rPr>
        <w:t xml:space="preserve"> Food Standards (Proposal P1007 – Primary Production &amp; Processing Requirements for Raw Milk Products) Variation</w:t>
      </w:r>
      <w:r w:rsidRPr="00CD7DCA">
        <w:t>.</w:t>
      </w:r>
    </w:p>
    <w:p w:rsidR="008367BB" w:rsidRPr="00CD7DCA" w:rsidRDefault="008367BB" w:rsidP="008367BB">
      <w:pPr>
        <w:tabs>
          <w:tab w:val="left" w:pos="851"/>
        </w:tabs>
        <w:rPr>
          <w:szCs w:val="20"/>
        </w:rPr>
      </w:pPr>
    </w:p>
    <w:p w:rsidR="008367BB" w:rsidRPr="00CD7DCA" w:rsidRDefault="008367BB" w:rsidP="008367BB">
      <w:pPr>
        <w:pStyle w:val="Clauseheading"/>
      </w:pPr>
      <w:r w:rsidRPr="00CD7DCA">
        <w:t>2</w:t>
      </w:r>
      <w:r w:rsidRPr="00CD7DCA">
        <w:tab/>
        <w:t xml:space="preserve">Variation to Standards in the </w:t>
      </w:r>
      <w:r w:rsidRPr="00502362">
        <w:rPr>
          <w:i/>
        </w:rPr>
        <w:t>Australia New Zealand Food Standards Code</w:t>
      </w:r>
    </w:p>
    <w:p w:rsidR="008367BB" w:rsidRPr="00CD7DCA" w:rsidRDefault="008367BB" w:rsidP="008367BB">
      <w:pPr>
        <w:tabs>
          <w:tab w:val="left" w:pos="851"/>
        </w:tabs>
        <w:rPr>
          <w:szCs w:val="20"/>
        </w:rPr>
      </w:pPr>
    </w:p>
    <w:p w:rsidR="008367BB" w:rsidRPr="00CD7DCA" w:rsidRDefault="008367BB" w:rsidP="008367BB">
      <w:pPr>
        <w:tabs>
          <w:tab w:val="left" w:pos="851"/>
        </w:tabs>
        <w:rPr>
          <w:szCs w:val="20"/>
        </w:rPr>
      </w:pPr>
      <w:r w:rsidRPr="00CD7DCA">
        <w:rPr>
          <w:szCs w:val="20"/>
        </w:rPr>
        <w:t xml:space="preserve">The Schedule varies the Standards in the </w:t>
      </w:r>
      <w:r w:rsidRPr="00CD7DCA">
        <w:rPr>
          <w:i/>
          <w:szCs w:val="20"/>
        </w:rPr>
        <w:t>Australia New Zealand Food Standards Code</w:t>
      </w:r>
      <w:r w:rsidRPr="00CD7DCA">
        <w:rPr>
          <w:szCs w:val="20"/>
        </w:rPr>
        <w:t>.</w:t>
      </w:r>
    </w:p>
    <w:p w:rsidR="008367BB" w:rsidRPr="00CD7DCA" w:rsidRDefault="008367BB" w:rsidP="008367BB">
      <w:pPr>
        <w:tabs>
          <w:tab w:val="left" w:pos="851"/>
        </w:tabs>
        <w:rPr>
          <w:szCs w:val="20"/>
        </w:rPr>
      </w:pPr>
    </w:p>
    <w:p w:rsidR="008367BB" w:rsidRPr="00CD7DCA" w:rsidRDefault="008367BB" w:rsidP="008367BB">
      <w:pPr>
        <w:pStyle w:val="Clauseheading"/>
      </w:pPr>
      <w:r w:rsidRPr="00CD7DCA">
        <w:t>3</w:t>
      </w:r>
      <w:r w:rsidRPr="00CD7DCA">
        <w:tab/>
        <w:t>Commencement</w:t>
      </w:r>
    </w:p>
    <w:p w:rsidR="008367BB" w:rsidRPr="00CD7DCA" w:rsidRDefault="008367BB" w:rsidP="008367BB">
      <w:pPr>
        <w:pStyle w:val="Clause"/>
      </w:pPr>
    </w:p>
    <w:p w:rsidR="008367BB" w:rsidRPr="00702472" w:rsidRDefault="008367BB" w:rsidP="008367BB">
      <w:pPr>
        <w:tabs>
          <w:tab w:val="left" w:pos="851"/>
        </w:tabs>
        <w:rPr>
          <w:szCs w:val="20"/>
        </w:rPr>
      </w:pPr>
      <w:r w:rsidRPr="00CD7DCA">
        <w:rPr>
          <w:szCs w:val="20"/>
        </w:rPr>
        <w:t>Th</w:t>
      </w:r>
      <w:r>
        <w:rPr>
          <w:szCs w:val="20"/>
        </w:rPr>
        <w:t>is variation</w:t>
      </w:r>
      <w:r w:rsidRPr="00CD7DCA">
        <w:rPr>
          <w:szCs w:val="20"/>
        </w:rPr>
        <w:t xml:space="preserve"> commence</w:t>
      </w:r>
      <w:r w:rsidRPr="00702472">
        <w:rPr>
          <w:szCs w:val="20"/>
        </w:rPr>
        <w:t xml:space="preserve">s on </w:t>
      </w:r>
      <w:r w:rsidR="008E0AB1">
        <w:rPr>
          <w:szCs w:val="20"/>
        </w:rPr>
        <w:t>28</w:t>
      </w:r>
      <w:bookmarkStart w:id="0" w:name="_GoBack"/>
      <w:bookmarkEnd w:id="0"/>
      <w:r w:rsidR="00702472" w:rsidRPr="00702472">
        <w:rPr>
          <w:szCs w:val="20"/>
        </w:rPr>
        <w:t xml:space="preserve"> June 2012</w:t>
      </w:r>
      <w:r w:rsidRPr="00702472">
        <w:rPr>
          <w:szCs w:val="20"/>
        </w:rPr>
        <w:t>.</w:t>
      </w:r>
    </w:p>
    <w:p w:rsidR="008367BB" w:rsidRPr="00CD7DCA" w:rsidRDefault="008367BB" w:rsidP="008367BB">
      <w:pPr>
        <w:tabs>
          <w:tab w:val="left" w:pos="851"/>
        </w:tabs>
        <w:rPr>
          <w:b/>
          <w:szCs w:val="20"/>
        </w:rPr>
      </w:pPr>
    </w:p>
    <w:p w:rsidR="008367BB" w:rsidRPr="00CD7DCA" w:rsidRDefault="008367BB" w:rsidP="008367BB">
      <w:pPr>
        <w:pStyle w:val="ScheduleHeading"/>
      </w:pPr>
      <w:r w:rsidRPr="00CD7DCA">
        <w:t>SCHEDULE</w:t>
      </w:r>
    </w:p>
    <w:p w:rsidR="008367BB" w:rsidRPr="00CD7DCA" w:rsidRDefault="008367BB" w:rsidP="008367BB">
      <w:pPr>
        <w:tabs>
          <w:tab w:val="left" w:pos="851"/>
        </w:tabs>
        <w:rPr>
          <w:szCs w:val="20"/>
        </w:rPr>
      </w:pPr>
    </w:p>
    <w:p w:rsidR="008367BB" w:rsidRPr="00CD7DCA" w:rsidRDefault="008367BB" w:rsidP="008367BB">
      <w:pPr>
        <w:pStyle w:val="Clause"/>
      </w:pPr>
      <w:r w:rsidRPr="00CD7DCA">
        <w:rPr>
          <w:b/>
        </w:rPr>
        <w:t>[1]</w:t>
      </w:r>
      <w:r w:rsidRPr="00CD7DCA">
        <w:tab/>
      </w:r>
      <w:r w:rsidRPr="00502362">
        <w:rPr>
          <w:b/>
          <w:i/>
        </w:rPr>
        <w:t>Standard 4.2.4</w:t>
      </w:r>
      <w:r w:rsidRPr="00502362">
        <w:rPr>
          <w:i/>
        </w:rPr>
        <w:t xml:space="preserve"> is varied by omitting clause 16, substituting </w:t>
      </w:r>
      <w:r w:rsidRPr="00CD7DCA">
        <w:t xml:space="preserve">– </w:t>
      </w:r>
    </w:p>
    <w:p w:rsidR="008367BB" w:rsidRPr="00CD7DCA" w:rsidRDefault="008367BB" w:rsidP="008367BB">
      <w:pPr>
        <w:pStyle w:val="Subclause"/>
      </w:pPr>
    </w:p>
    <w:p w:rsidR="008367BB" w:rsidRPr="00CD7DCA" w:rsidRDefault="008367BB" w:rsidP="008367BB">
      <w:pPr>
        <w:pStyle w:val="Clauseheading"/>
      </w:pPr>
      <w:r w:rsidRPr="00CD7DCA">
        <w:t>16</w:t>
      </w:r>
      <w:r w:rsidRPr="00CD7DCA">
        <w:tab/>
        <w:t>Processing of dairy products to make cheese and cheese products</w:t>
      </w:r>
    </w:p>
    <w:p w:rsidR="008367BB" w:rsidRPr="00CD7DCA" w:rsidRDefault="008367BB" w:rsidP="008367BB">
      <w:pPr>
        <w:tabs>
          <w:tab w:val="left" w:pos="851"/>
        </w:tabs>
        <w:rPr>
          <w:szCs w:val="20"/>
        </w:rPr>
      </w:pPr>
    </w:p>
    <w:p w:rsidR="008367BB" w:rsidRPr="00CD7DCA" w:rsidRDefault="008367BB" w:rsidP="008367BB">
      <w:pPr>
        <w:pStyle w:val="Subclause"/>
      </w:pPr>
      <w:r w:rsidRPr="00CD7DCA">
        <w:t>(1)</w:t>
      </w:r>
      <w:r w:rsidRPr="00CD7DCA">
        <w:tab/>
        <w:t>Milk used to make cheese or cheese products must be processed –</w:t>
      </w:r>
    </w:p>
    <w:p w:rsidR="008367BB" w:rsidRPr="00CD7DCA" w:rsidRDefault="008367BB" w:rsidP="008367BB">
      <w:pPr>
        <w:pStyle w:val="Subclause"/>
      </w:pPr>
    </w:p>
    <w:p w:rsidR="008367BB" w:rsidRPr="00CD7DCA" w:rsidRDefault="008367BB" w:rsidP="008367BB">
      <w:pPr>
        <w:pStyle w:val="Paragraph"/>
      </w:pPr>
      <w:r w:rsidRPr="00CD7DCA">
        <w:t>(a)</w:t>
      </w:r>
      <w:r w:rsidRPr="00CD7DCA">
        <w:tab/>
      </w:r>
      <w:proofErr w:type="gramStart"/>
      <w:r w:rsidRPr="00CD7DCA">
        <w:t>in</w:t>
      </w:r>
      <w:proofErr w:type="gramEnd"/>
      <w:r w:rsidRPr="00CD7DCA">
        <w:t xml:space="preserve"> accordance with subclause 15(1); or</w:t>
      </w:r>
    </w:p>
    <w:p w:rsidR="008367BB" w:rsidRPr="00CD7DCA" w:rsidRDefault="008367BB" w:rsidP="008367BB">
      <w:pPr>
        <w:pStyle w:val="Paragraph"/>
      </w:pPr>
      <w:r w:rsidRPr="00CD7DCA">
        <w:t>(b)</w:t>
      </w:r>
      <w:r w:rsidRPr="00CD7DCA">
        <w:tab/>
        <w:t>by being held at a temperature of no less than 64.5°C for a period of no less than 16 seconds, and the cheese or cheese product stored at a temperature of no less than 7°C for a period of no less than 90 days from the date of processing.</w:t>
      </w:r>
    </w:p>
    <w:p w:rsidR="008367BB" w:rsidRPr="00CD7DCA" w:rsidRDefault="008367BB" w:rsidP="008367BB">
      <w:pPr>
        <w:pStyle w:val="Subclause"/>
      </w:pPr>
    </w:p>
    <w:p w:rsidR="008367BB" w:rsidRPr="00CD7DCA" w:rsidRDefault="008367BB" w:rsidP="008367BB">
      <w:pPr>
        <w:pStyle w:val="Subclause"/>
      </w:pPr>
      <w:r w:rsidRPr="00CD7DCA">
        <w:t>(2)</w:t>
      </w:r>
      <w:r w:rsidRPr="00CD7DCA">
        <w:tab/>
        <w:t>Dairy products used to make cheese or cheese products must be processed –</w:t>
      </w:r>
    </w:p>
    <w:p w:rsidR="008367BB" w:rsidRPr="00CD7DCA" w:rsidRDefault="008367BB" w:rsidP="008367BB">
      <w:pPr>
        <w:pStyle w:val="Subclause"/>
      </w:pPr>
    </w:p>
    <w:p w:rsidR="008367BB" w:rsidRPr="00CD7DCA" w:rsidRDefault="008367BB" w:rsidP="008367BB">
      <w:pPr>
        <w:pStyle w:val="Paragraph"/>
      </w:pPr>
      <w:r w:rsidRPr="00CD7DCA">
        <w:t>(a)</w:t>
      </w:r>
      <w:r w:rsidRPr="00CD7DCA">
        <w:tab/>
      </w:r>
      <w:proofErr w:type="gramStart"/>
      <w:r w:rsidRPr="00CD7DCA">
        <w:t>in</w:t>
      </w:r>
      <w:proofErr w:type="gramEnd"/>
      <w:r w:rsidRPr="00CD7DCA">
        <w:t xml:space="preserve"> accordance with subclause 15(3); or</w:t>
      </w:r>
    </w:p>
    <w:p w:rsidR="008367BB" w:rsidRPr="00CD7DCA" w:rsidRDefault="008367BB" w:rsidP="008367BB">
      <w:pPr>
        <w:pStyle w:val="Paragraph"/>
      </w:pPr>
      <w:r w:rsidRPr="00CD7DCA">
        <w:t>(b)</w:t>
      </w:r>
      <w:r w:rsidRPr="00CD7DCA">
        <w:tab/>
      </w:r>
      <w:proofErr w:type="gramStart"/>
      <w:r w:rsidRPr="00CD7DCA">
        <w:t>using</w:t>
      </w:r>
      <w:proofErr w:type="gramEnd"/>
      <w:r w:rsidRPr="00CD7DCA">
        <w:t xml:space="preserve"> a heat treatment that uses a combination of time and temperature of equal or greater lethal effect on any pathogenic micro-organisms in the dairy product achieved by paragraph 16(1)(b).</w:t>
      </w:r>
    </w:p>
    <w:p w:rsidR="008367BB" w:rsidRPr="00CD7DCA" w:rsidRDefault="008367BB" w:rsidP="008367BB">
      <w:pPr>
        <w:pStyle w:val="Paragraph"/>
      </w:pPr>
    </w:p>
    <w:p w:rsidR="008367BB" w:rsidRPr="00CD7DCA" w:rsidRDefault="008367BB" w:rsidP="008367BB">
      <w:pPr>
        <w:pStyle w:val="Subclause"/>
      </w:pPr>
      <w:r w:rsidRPr="00CD7DCA">
        <w:t>(3)</w:t>
      </w:r>
      <w:r w:rsidRPr="00CD7DCA">
        <w:tab/>
        <w:t>However, milk or dairy products used to make cheese or cheese products do not need to be processed in accordance with subclauses 16(1) and 16(2) if the cheese or cheese product is processed –</w:t>
      </w:r>
    </w:p>
    <w:p w:rsidR="008367BB" w:rsidRPr="00CD7DCA" w:rsidRDefault="008367BB" w:rsidP="008367BB">
      <w:pPr>
        <w:tabs>
          <w:tab w:val="left" w:pos="851"/>
        </w:tabs>
        <w:rPr>
          <w:szCs w:val="20"/>
        </w:rPr>
      </w:pPr>
    </w:p>
    <w:p w:rsidR="008367BB" w:rsidRPr="00CD7DCA" w:rsidRDefault="008367BB" w:rsidP="008367BB">
      <w:pPr>
        <w:pStyle w:val="Paragraph"/>
      </w:pPr>
      <w:r w:rsidRPr="00CD7DCA">
        <w:t>(a)</w:t>
      </w:r>
      <w:r w:rsidRPr="00CD7DCA">
        <w:tab/>
      </w:r>
      <w:proofErr w:type="gramStart"/>
      <w:r w:rsidRPr="00CD7DCA">
        <w:t>such</w:t>
      </w:r>
      <w:proofErr w:type="gramEnd"/>
      <w:r w:rsidRPr="00CD7DCA">
        <w:t xml:space="preserve"> that –</w:t>
      </w:r>
    </w:p>
    <w:p w:rsidR="008367BB" w:rsidRPr="00CD7DCA" w:rsidRDefault="008367BB" w:rsidP="008367BB">
      <w:pPr>
        <w:tabs>
          <w:tab w:val="left" w:pos="851"/>
        </w:tabs>
        <w:rPr>
          <w:szCs w:val="20"/>
        </w:rPr>
      </w:pPr>
    </w:p>
    <w:p w:rsidR="008367BB" w:rsidRPr="00CD7DCA" w:rsidRDefault="008367BB" w:rsidP="008367BB">
      <w:pPr>
        <w:pStyle w:val="Subparagraph"/>
      </w:pPr>
      <w:r w:rsidRPr="00CD7DCA">
        <w:t>(i)</w:t>
      </w:r>
      <w:r w:rsidRPr="00CD7DCA">
        <w:tab/>
      </w:r>
      <w:proofErr w:type="gramStart"/>
      <w:r w:rsidRPr="00CD7DCA">
        <w:t>the</w:t>
      </w:r>
      <w:proofErr w:type="gramEnd"/>
      <w:r w:rsidRPr="00CD7DCA">
        <w:t xml:space="preserve"> curd is heated to a temperature of no less than 48°C; and</w:t>
      </w:r>
    </w:p>
    <w:p w:rsidR="008367BB" w:rsidRPr="00CD7DCA" w:rsidRDefault="008367BB" w:rsidP="008367BB">
      <w:pPr>
        <w:pStyle w:val="Subparagraph"/>
      </w:pPr>
      <w:r w:rsidRPr="00CD7DCA">
        <w:t>(ii)</w:t>
      </w:r>
      <w:r w:rsidRPr="00CD7DCA">
        <w:tab/>
        <w:t>the cheese or cheese product has a moisture content of less than 39%, after being stored at a temperature of no less than 10°C for a period of no less than 120 days from the date of processing; or</w:t>
      </w:r>
    </w:p>
    <w:p w:rsidR="008367BB" w:rsidRPr="00CD7DCA" w:rsidRDefault="008367BB" w:rsidP="008367BB">
      <w:pPr>
        <w:tabs>
          <w:tab w:val="left" w:pos="851"/>
        </w:tabs>
        <w:rPr>
          <w:szCs w:val="20"/>
        </w:rPr>
      </w:pPr>
    </w:p>
    <w:p w:rsidR="008367BB" w:rsidRPr="00CD7DCA" w:rsidRDefault="008367BB" w:rsidP="008367BB">
      <w:pPr>
        <w:pStyle w:val="Paragraph"/>
      </w:pPr>
      <w:r w:rsidRPr="00CD7DCA">
        <w:t>(b)</w:t>
      </w:r>
      <w:r w:rsidRPr="00CD7DCA">
        <w:tab/>
      </w:r>
      <w:proofErr w:type="gramStart"/>
      <w:r w:rsidRPr="00CD7DCA">
        <w:t>in</w:t>
      </w:r>
      <w:proofErr w:type="gramEnd"/>
      <w:r w:rsidRPr="00CD7DCA">
        <w:t xml:space="preserve"> accordance with clause 1 of Standard 4.2.4A.</w:t>
      </w:r>
    </w:p>
    <w:p w:rsidR="008367BB" w:rsidRPr="00CD7DCA" w:rsidRDefault="008367BB" w:rsidP="008367BB">
      <w:pPr>
        <w:tabs>
          <w:tab w:val="left" w:pos="851"/>
        </w:tabs>
        <w:rPr>
          <w:szCs w:val="20"/>
        </w:rPr>
      </w:pPr>
    </w:p>
    <w:p w:rsidR="008367BB" w:rsidRPr="00CD7DCA" w:rsidRDefault="008367BB" w:rsidP="008367BB">
      <w:pPr>
        <w:pStyle w:val="ClauseList"/>
      </w:pPr>
      <w:r w:rsidRPr="00502362">
        <w:rPr>
          <w:b/>
        </w:rPr>
        <w:t>[2]</w:t>
      </w:r>
      <w:r w:rsidRPr="00502362">
        <w:rPr>
          <w:b/>
        </w:rPr>
        <w:tab/>
      </w:r>
      <w:r w:rsidRPr="00502362">
        <w:rPr>
          <w:b/>
          <w:i/>
        </w:rPr>
        <w:t xml:space="preserve">Standard 4.2.4A </w:t>
      </w:r>
      <w:r w:rsidRPr="00502362">
        <w:rPr>
          <w:i/>
        </w:rPr>
        <w:t xml:space="preserve">is varied by </w:t>
      </w:r>
      <w:r w:rsidRPr="00CD7DCA">
        <w:t xml:space="preserve">– </w:t>
      </w:r>
    </w:p>
    <w:p w:rsidR="008367BB" w:rsidRPr="00CD7DCA" w:rsidRDefault="008367BB" w:rsidP="008367BB">
      <w:pPr>
        <w:tabs>
          <w:tab w:val="left" w:pos="851"/>
        </w:tabs>
        <w:rPr>
          <w:i/>
          <w:szCs w:val="20"/>
        </w:rPr>
      </w:pPr>
    </w:p>
    <w:p w:rsidR="008367BB" w:rsidRPr="00CD7DCA" w:rsidRDefault="008367BB" w:rsidP="008367BB">
      <w:pPr>
        <w:pStyle w:val="Subclause"/>
      </w:pPr>
      <w:r w:rsidRPr="00CD7DCA">
        <w:t>[2.1]</w:t>
      </w:r>
      <w:r w:rsidRPr="00CD7DCA">
        <w:tab/>
      </w:r>
      <w:r w:rsidRPr="00CD7DCA">
        <w:rPr>
          <w:i/>
        </w:rPr>
        <w:t xml:space="preserve">omitting from the </w:t>
      </w:r>
      <w:r w:rsidRPr="00CD7DCA">
        <w:t xml:space="preserve">Table to clause 1 – </w:t>
      </w:r>
    </w:p>
    <w:p w:rsidR="008367BB" w:rsidRPr="00CD7DCA" w:rsidRDefault="008367BB" w:rsidP="008367BB">
      <w:pPr>
        <w:tabs>
          <w:tab w:val="left" w:pos="851"/>
        </w:tabs>
        <w:rPr>
          <w:szCs w:val="20"/>
        </w:rPr>
      </w:pPr>
    </w:p>
    <w:tbl>
      <w:tblPr>
        <w:tblW w:w="9072" w:type="dxa"/>
        <w:jc w:val="center"/>
        <w:tblLayout w:type="fixed"/>
        <w:tblLook w:val="0000" w:firstRow="0" w:lastRow="0" w:firstColumn="0" w:lastColumn="0" w:noHBand="0" w:noVBand="0"/>
      </w:tblPr>
      <w:tblGrid>
        <w:gridCol w:w="1780"/>
        <w:gridCol w:w="4590"/>
        <w:gridCol w:w="2702"/>
      </w:tblGrid>
      <w:tr w:rsidR="008367BB" w:rsidRPr="00CD7DCA" w:rsidTr="00C4126E">
        <w:trPr>
          <w:cantSplit/>
          <w:jc w:val="center"/>
        </w:trPr>
        <w:tc>
          <w:tcPr>
            <w:tcW w:w="1812" w:type="dxa"/>
            <w:tcBorders>
              <w:top w:val="single" w:sz="6" w:space="0" w:color="auto"/>
              <w:left w:val="single" w:sz="6" w:space="0" w:color="auto"/>
              <w:bottom w:val="single" w:sz="6" w:space="0" w:color="auto"/>
            </w:tcBorders>
          </w:tcPr>
          <w:p w:rsidR="008367BB" w:rsidRPr="00CD7DCA" w:rsidRDefault="008367BB" w:rsidP="00C4126E">
            <w:pPr>
              <w:pStyle w:val="Table2"/>
            </w:pPr>
            <w:r w:rsidRPr="00CD7DCA">
              <w:t>Gruyere, Sbrinz or Emmental cheese</w:t>
            </w:r>
          </w:p>
        </w:tc>
        <w:tc>
          <w:tcPr>
            <w:tcW w:w="4678" w:type="dxa"/>
            <w:tcBorders>
              <w:top w:val="single" w:sz="6" w:space="0" w:color="auto"/>
              <w:left w:val="single" w:sz="6" w:space="0" w:color="auto"/>
              <w:bottom w:val="single" w:sz="6" w:space="0" w:color="auto"/>
              <w:right w:val="single" w:sz="6" w:space="0" w:color="auto"/>
            </w:tcBorders>
          </w:tcPr>
          <w:p w:rsidR="008367BB" w:rsidRPr="00CD7DCA" w:rsidRDefault="008367BB" w:rsidP="00C4126E">
            <w:pPr>
              <w:pStyle w:val="Table2"/>
            </w:pPr>
            <w:r w:rsidRPr="00CD7DCA">
              <w:t xml:space="preserve">The </w:t>
            </w:r>
            <w:r w:rsidRPr="00CD7DCA">
              <w:rPr>
                <w:i/>
                <w:iCs/>
              </w:rPr>
              <w:t>Ordinance on Quality Assurance in the Dairy Industry</w:t>
            </w:r>
            <w:r w:rsidRPr="00CD7DCA">
              <w:t xml:space="preserve"> of the Swiss Federal Council of 18 October 1995</w:t>
            </w:r>
          </w:p>
        </w:tc>
        <w:tc>
          <w:tcPr>
            <w:tcW w:w="2752" w:type="dxa"/>
            <w:tcBorders>
              <w:top w:val="single" w:sz="6" w:space="0" w:color="auto"/>
              <w:left w:val="single" w:sz="6" w:space="0" w:color="auto"/>
              <w:bottom w:val="single" w:sz="6" w:space="0" w:color="auto"/>
              <w:right w:val="single" w:sz="6" w:space="0" w:color="auto"/>
            </w:tcBorders>
          </w:tcPr>
          <w:p w:rsidR="008367BB" w:rsidRPr="00CD7DCA" w:rsidRDefault="008367BB" w:rsidP="00C4126E">
            <w:pPr>
              <w:ind w:left="142" w:hanging="142"/>
              <w:rPr>
                <w:bCs/>
                <w:sz w:val="18"/>
                <w:szCs w:val="20"/>
                <w:lang w:val="en-AU"/>
              </w:rPr>
            </w:pPr>
          </w:p>
        </w:tc>
      </w:tr>
    </w:tbl>
    <w:p w:rsidR="008367BB" w:rsidRPr="00CD7DCA" w:rsidRDefault="008367BB" w:rsidP="008367BB">
      <w:pPr>
        <w:tabs>
          <w:tab w:val="left" w:pos="851"/>
        </w:tabs>
        <w:rPr>
          <w:szCs w:val="20"/>
        </w:rPr>
      </w:pPr>
    </w:p>
    <w:p w:rsidR="008367BB" w:rsidRPr="00CD7DCA" w:rsidRDefault="008367BB" w:rsidP="008367BB">
      <w:pPr>
        <w:pStyle w:val="Subclause"/>
      </w:pPr>
      <w:r w:rsidRPr="00CD7DCA">
        <w:t>[2.2]</w:t>
      </w:r>
      <w:r w:rsidRPr="00CD7DCA">
        <w:tab/>
      </w:r>
      <w:r w:rsidRPr="00502362">
        <w:rPr>
          <w:i/>
        </w:rPr>
        <w:t xml:space="preserve">omitting the </w:t>
      </w:r>
      <w:r w:rsidRPr="00CD7DCA">
        <w:t>Editorial note</w:t>
      </w:r>
      <w:r w:rsidRPr="00502362">
        <w:rPr>
          <w:i/>
        </w:rPr>
        <w:t xml:space="preserve"> following clause 1, substituting</w:t>
      </w:r>
      <w:r w:rsidRPr="00CD7DCA">
        <w:t xml:space="preserve"> –</w:t>
      </w:r>
    </w:p>
    <w:p w:rsidR="008367BB" w:rsidRPr="00CD7DCA" w:rsidRDefault="008367BB" w:rsidP="008367BB">
      <w:pPr>
        <w:tabs>
          <w:tab w:val="left" w:pos="851"/>
        </w:tabs>
        <w:rPr>
          <w:szCs w:val="20"/>
        </w:rPr>
      </w:pPr>
    </w:p>
    <w:p w:rsidR="008367BB" w:rsidRDefault="008367BB" w:rsidP="008367BB">
      <w:pPr>
        <w:pStyle w:val="EditorialNoteLine1"/>
      </w:pPr>
      <w:r>
        <w:br w:type="page"/>
      </w:r>
    </w:p>
    <w:p w:rsidR="008367BB" w:rsidRPr="00CD7DCA" w:rsidRDefault="008367BB" w:rsidP="008367BB">
      <w:pPr>
        <w:pStyle w:val="EditorialNoteLine1"/>
      </w:pPr>
      <w:r w:rsidRPr="00CD7DCA">
        <w:lastRenderedPageBreak/>
        <w:t>Editorial note:</w:t>
      </w:r>
    </w:p>
    <w:p w:rsidR="008367BB" w:rsidRPr="00CD7DCA" w:rsidRDefault="008367BB" w:rsidP="008367BB">
      <w:pPr>
        <w:pStyle w:val="EditorialNotetext"/>
      </w:pPr>
    </w:p>
    <w:p w:rsidR="008367BB" w:rsidRPr="00CD7DCA" w:rsidRDefault="008367BB" w:rsidP="008367BB">
      <w:pPr>
        <w:pStyle w:val="EditorialNotetext"/>
      </w:pPr>
      <w:r w:rsidRPr="00CD7DCA">
        <w:t xml:space="preserve">Clause 4 of Standard 1.2.4 requires ingredients to be declared using the common name of the ingredient, or a name that describes the true nature of the ingredient, or if applicable a generic name.  This requirement means that in relation to cheese made from unpasteurised milk, the ingredient declaration should include a statement that the milk is unpasteurised, and in the case of cheese made other than from </w:t>
      </w:r>
      <w:proofErr w:type="gramStart"/>
      <w:r w:rsidRPr="00CD7DCA">
        <w:t>cow’s</w:t>
      </w:r>
      <w:proofErr w:type="gramEnd"/>
      <w:r w:rsidRPr="00CD7DCA">
        <w:t xml:space="preserve"> milk, should also include the common name of the species from which the milk is sourced.</w:t>
      </w:r>
    </w:p>
    <w:p w:rsidR="00041643" w:rsidRDefault="00041643"/>
    <w:sectPr w:rsidR="00041643" w:rsidSect="00021515">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515" w:rsidRDefault="00021515" w:rsidP="00021515">
      <w:r>
        <w:separator/>
      </w:r>
    </w:p>
  </w:endnote>
  <w:endnote w:type="continuationSeparator" w:id="0">
    <w:p w:rsidR="00021515" w:rsidRDefault="00021515" w:rsidP="0002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515" w:rsidRDefault="000215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488872"/>
      <w:docPartObj>
        <w:docPartGallery w:val="Page Numbers (Bottom of Page)"/>
        <w:docPartUnique/>
      </w:docPartObj>
    </w:sdtPr>
    <w:sdtEndPr>
      <w:rPr>
        <w:noProof/>
      </w:rPr>
    </w:sdtEndPr>
    <w:sdtContent>
      <w:p w:rsidR="00021515" w:rsidRDefault="00021515" w:rsidP="00021515">
        <w:pPr>
          <w:pStyle w:val="Footer"/>
          <w:jc w:val="center"/>
        </w:pPr>
        <w:r>
          <w:fldChar w:fldCharType="begin"/>
        </w:r>
        <w:r>
          <w:instrText xml:space="preserve"> PAGE   \* MERGEFORMAT </w:instrText>
        </w:r>
        <w:r>
          <w:fldChar w:fldCharType="separate"/>
        </w:r>
        <w:r w:rsidR="008E0AB1">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515" w:rsidRDefault="00021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515" w:rsidRDefault="00021515" w:rsidP="00021515">
      <w:r>
        <w:separator/>
      </w:r>
    </w:p>
  </w:footnote>
  <w:footnote w:type="continuationSeparator" w:id="0">
    <w:p w:rsidR="00021515" w:rsidRDefault="00021515" w:rsidP="00021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515" w:rsidRDefault="00021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515" w:rsidRDefault="000215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515" w:rsidRDefault="00021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
    <w:nsid w:val="77496BD5"/>
    <w:multiLevelType w:val="hybridMultilevel"/>
    <w:tmpl w:val="02105AE8"/>
    <w:lvl w:ilvl="0" w:tplc="08090001">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7BB"/>
    <w:rsid w:val="00021515"/>
    <w:rsid w:val="00041643"/>
    <w:rsid w:val="001E696B"/>
    <w:rsid w:val="0054036E"/>
    <w:rsid w:val="005B018C"/>
    <w:rsid w:val="00702472"/>
    <w:rsid w:val="008367BB"/>
    <w:rsid w:val="008931F6"/>
    <w:rsid w:val="008E0AB1"/>
    <w:rsid w:val="00F11077"/>
    <w:rsid w:val="00F76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021515"/>
    <w:pPr>
      <w:spacing w:after="0" w:line="240" w:lineRule="auto"/>
    </w:pPr>
    <w:rPr>
      <w:rFonts w:cstheme="minorBidi"/>
      <w:sz w:val="20"/>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F76F95"/>
    <w:pPr>
      <w:keepNext/>
      <w:widowControl w:val="0"/>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Cs w:val="20"/>
    </w:rPr>
  </w:style>
  <w:style w:type="paragraph" w:customStyle="1" w:styleId="FSTableColumnRowheading">
    <w:name w:val="FSTable Column/Row heading"/>
    <w:basedOn w:val="Normal"/>
    <w:qFormat/>
    <w:rsid w:val="00F76F95"/>
    <w:pPr>
      <w:spacing w:before="120" w:after="120"/>
    </w:pPr>
    <w:rPr>
      <w:b/>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Cs w:val="20"/>
    </w:rPr>
  </w:style>
  <w:style w:type="paragraph" w:styleId="BalloonText">
    <w:name w:val="Balloon Text"/>
    <w:basedOn w:val="Normal"/>
    <w:link w:val="BalloonTextChar"/>
    <w:uiPriority w:val="99"/>
    <w:semiHidden/>
    <w:unhideWhenUsed/>
    <w:rsid w:val="008367BB"/>
    <w:rPr>
      <w:rFonts w:ascii="Tahoma" w:hAnsi="Tahoma" w:cs="Tahoma"/>
      <w:sz w:val="16"/>
      <w:szCs w:val="16"/>
    </w:rPr>
  </w:style>
  <w:style w:type="character" w:customStyle="1" w:styleId="BalloonTextChar">
    <w:name w:val="Balloon Text Char"/>
    <w:basedOn w:val="DefaultParagraphFont"/>
    <w:link w:val="BalloonText"/>
    <w:uiPriority w:val="99"/>
    <w:semiHidden/>
    <w:rsid w:val="008367BB"/>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021515"/>
    <w:pPr>
      <w:spacing w:after="0" w:line="240" w:lineRule="auto"/>
    </w:pPr>
    <w:rPr>
      <w:rFonts w:cstheme="minorBidi"/>
      <w:sz w:val="20"/>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F76F95"/>
    <w:pPr>
      <w:keepNext/>
      <w:widowControl w:val="0"/>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Cs w:val="20"/>
    </w:rPr>
  </w:style>
  <w:style w:type="paragraph" w:customStyle="1" w:styleId="FSTableColumnRowheading">
    <w:name w:val="FSTable Column/Row heading"/>
    <w:basedOn w:val="Normal"/>
    <w:qFormat/>
    <w:rsid w:val="00F76F95"/>
    <w:pPr>
      <w:spacing w:before="120" w:after="120"/>
    </w:pPr>
    <w:rPr>
      <w:b/>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Cs w:val="20"/>
    </w:rPr>
  </w:style>
  <w:style w:type="paragraph" w:styleId="BalloonText">
    <w:name w:val="Balloon Text"/>
    <w:basedOn w:val="Normal"/>
    <w:link w:val="BalloonTextChar"/>
    <w:uiPriority w:val="99"/>
    <w:semiHidden/>
    <w:unhideWhenUsed/>
    <w:rsid w:val="008367BB"/>
    <w:rPr>
      <w:rFonts w:ascii="Tahoma" w:hAnsi="Tahoma" w:cs="Tahoma"/>
      <w:sz w:val="16"/>
      <w:szCs w:val="16"/>
    </w:rPr>
  </w:style>
  <w:style w:type="character" w:customStyle="1" w:styleId="BalloonTextChar">
    <w:name w:val="Balloon Text Char"/>
    <w:basedOn w:val="DefaultParagraphFont"/>
    <w:link w:val="BalloonText"/>
    <w:uiPriority w:val="99"/>
    <w:semiHidden/>
    <w:rsid w:val="008367B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55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450</Words>
  <Characters>2567</Characters>
  <Application>Microsoft Office Word</Application>
  <DocSecurity>0</DocSecurity>
  <Lines>21</Lines>
  <Paragraphs>6</Paragraphs>
  <ScaleCrop>false</ScaleCrop>
  <Company>Food Standards Australia New Zealand</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Humphries, Cathie</dc:creator>
  <cp:lastModifiedBy>Humphries, Cathie</cp:lastModifiedBy>
  <cp:revision>6</cp:revision>
  <cp:lastPrinted>2012-06-20T05:24:00Z</cp:lastPrinted>
  <dcterms:created xsi:type="dcterms:W3CDTF">2012-04-27T02:09:00Z</dcterms:created>
  <dcterms:modified xsi:type="dcterms:W3CDTF">2012-06-22T00:26:00Z</dcterms:modified>
</cp:coreProperties>
</file>