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A5" w:rsidRPr="000052E3" w:rsidRDefault="00EF48A5" w:rsidP="00EF48A5">
      <w:pPr>
        <w:jc w:val="center"/>
        <w:rPr>
          <w:u w:val="single"/>
          <w:lang w:val="en-AU"/>
        </w:rPr>
      </w:pPr>
      <w:r w:rsidRPr="000052E3">
        <w:rPr>
          <w:b/>
          <w:u w:val="single"/>
          <w:lang w:val="en-AU"/>
        </w:rPr>
        <w:t xml:space="preserve">EXPLANATORY </w:t>
      </w:r>
      <w:r w:rsidR="001F544B">
        <w:rPr>
          <w:b/>
          <w:u w:val="single"/>
          <w:lang w:val="en-AU"/>
        </w:rPr>
        <w:t>STATEMENT</w:t>
      </w:r>
    </w:p>
    <w:p w:rsidR="00EF48A5" w:rsidRPr="00E23274" w:rsidRDefault="00EF48A5" w:rsidP="00EF48A5">
      <w:pPr>
        <w:jc w:val="center"/>
        <w:rPr>
          <w:lang w:val="en-AU"/>
        </w:rPr>
      </w:pPr>
    </w:p>
    <w:p w:rsidR="009A3BC0" w:rsidRPr="0051400E" w:rsidRDefault="001F544B" w:rsidP="001F544B">
      <w:pPr>
        <w:pStyle w:val="Subtitle"/>
        <w:jc w:val="center"/>
        <w:rPr>
          <w:b/>
        </w:rPr>
      </w:pPr>
      <w:r w:rsidRPr="0051400E">
        <w:rPr>
          <w:b/>
        </w:rPr>
        <w:t>Select Legislative Instrument 2012 No.</w:t>
      </w:r>
      <w:r w:rsidR="0051400E">
        <w:rPr>
          <w:b/>
        </w:rPr>
        <w:t xml:space="preserve"> 160</w:t>
      </w:r>
    </w:p>
    <w:p w:rsidR="009A3BC0" w:rsidRPr="00E23274" w:rsidRDefault="009A3BC0" w:rsidP="009A3BC0">
      <w:pPr>
        <w:pStyle w:val="Subtitle"/>
      </w:pPr>
    </w:p>
    <w:p w:rsidR="009A3BC0" w:rsidRPr="00E23274" w:rsidRDefault="009E506E" w:rsidP="001F544B">
      <w:pPr>
        <w:pStyle w:val="Subtitle"/>
        <w:jc w:val="center"/>
        <w:rPr>
          <w:i/>
          <w:u w:val="none"/>
        </w:rPr>
      </w:pPr>
      <w:r>
        <w:rPr>
          <w:i/>
          <w:u w:val="none"/>
        </w:rPr>
        <w:t>Healthcare Identifiers Act 2010</w:t>
      </w:r>
    </w:p>
    <w:p w:rsidR="009A3BC0" w:rsidRPr="00E23274" w:rsidRDefault="009A3BC0" w:rsidP="001F544B">
      <w:pPr>
        <w:pStyle w:val="Subtitle"/>
        <w:jc w:val="center"/>
        <w:rPr>
          <w:i/>
          <w:u w:val="none"/>
        </w:rPr>
      </w:pPr>
    </w:p>
    <w:p w:rsidR="009A3BC0" w:rsidRPr="00E23274" w:rsidRDefault="009E506E" w:rsidP="001F544B">
      <w:pPr>
        <w:pStyle w:val="Subtitle"/>
        <w:jc w:val="center"/>
        <w:rPr>
          <w:i/>
          <w:u w:val="none"/>
        </w:rPr>
      </w:pPr>
      <w:r>
        <w:rPr>
          <w:i/>
          <w:u w:val="none"/>
        </w:rPr>
        <w:t xml:space="preserve">Healthcare Identifiers </w:t>
      </w:r>
      <w:r w:rsidR="0061111A">
        <w:rPr>
          <w:i/>
          <w:u w:val="none"/>
        </w:rPr>
        <w:t xml:space="preserve">Amendment </w:t>
      </w:r>
      <w:r>
        <w:rPr>
          <w:i/>
          <w:u w:val="none"/>
        </w:rPr>
        <w:t>Regulation 2012</w:t>
      </w:r>
      <w:r w:rsidR="0051400E">
        <w:rPr>
          <w:i/>
          <w:u w:val="none"/>
        </w:rPr>
        <w:t xml:space="preserve"> (No. 1</w:t>
      </w:r>
      <w:r w:rsidR="008C5FB7">
        <w:rPr>
          <w:i/>
          <w:u w:val="none"/>
        </w:rPr>
        <w:t>)</w:t>
      </w:r>
    </w:p>
    <w:p w:rsidR="009A3BC0" w:rsidRPr="00E23274" w:rsidRDefault="009A3BC0" w:rsidP="009A3BC0">
      <w:pPr>
        <w:pStyle w:val="Subtitle"/>
        <w:ind w:left="993"/>
        <w:rPr>
          <w:u w:val="none"/>
        </w:rPr>
      </w:pPr>
    </w:p>
    <w:p w:rsidR="005131F6" w:rsidRPr="00E23274" w:rsidRDefault="005131F6" w:rsidP="009A3BC0">
      <w:pPr>
        <w:pStyle w:val="Subtitle"/>
        <w:ind w:left="993"/>
        <w:rPr>
          <w:u w:val="none"/>
        </w:rPr>
      </w:pPr>
    </w:p>
    <w:p w:rsidR="00FD54BB" w:rsidRDefault="009A3BC0" w:rsidP="009A3BC0">
      <w:r w:rsidRPr="00E23274">
        <w:t>S</w:t>
      </w:r>
      <w:r w:rsidR="00FD54BB">
        <w:t>ubs</w:t>
      </w:r>
      <w:r w:rsidRPr="00E23274">
        <w:t xml:space="preserve">ection </w:t>
      </w:r>
      <w:r w:rsidR="00FD54BB">
        <w:t xml:space="preserve">39(1) </w:t>
      </w:r>
      <w:r w:rsidRPr="00E23274">
        <w:t xml:space="preserve">of the </w:t>
      </w:r>
      <w:r w:rsidR="009E506E">
        <w:rPr>
          <w:i/>
        </w:rPr>
        <w:t>Healthcare Identifiers Act 2010</w:t>
      </w:r>
      <w:r w:rsidRPr="00E23274">
        <w:t xml:space="preserve"> (</w:t>
      </w:r>
      <w:r w:rsidR="009E506E">
        <w:t xml:space="preserve">HI </w:t>
      </w:r>
      <w:r w:rsidRPr="00E23274">
        <w:t xml:space="preserve">Act) provides that the </w:t>
      </w:r>
      <w:proofErr w:type="spellStart"/>
      <w:r w:rsidRPr="00E23274">
        <w:t>Governor</w:t>
      </w:r>
      <w:r w:rsidR="009E506E">
        <w:noBreakHyphen/>
      </w:r>
      <w:r w:rsidRPr="00E23274">
        <w:t>General</w:t>
      </w:r>
      <w:proofErr w:type="spellEnd"/>
      <w:r w:rsidRPr="00E23274">
        <w:t xml:space="preserve"> may make regulations</w:t>
      </w:r>
      <w:r w:rsidR="009E506E">
        <w:t xml:space="preserve"> </w:t>
      </w:r>
      <w:r w:rsidR="00FD54BB">
        <w:t>prescribing matters which are required or permitted by the HI Act, or matters which are necessary or convenient in order to carry out or give effect to the HI Act.</w:t>
      </w:r>
    </w:p>
    <w:p w:rsidR="00FD54BB" w:rsidRDefault="00FD54BB" w:rsidP="009A3BC0"/>
    <w:p w:rsidR="009E506E" w:rsidRPr="00FD54BB" w:rsidRDefault="0094209C" w:rsidP="009A3BC0">
      <w:pPr>
        <w:pStyle w:val="Subtitle"/>
        <w:rPr>
          <w:u w:val="none"/>
        </w:rPr>
      </w:pPr>
      <w:r>
        <w:rPr>
          <w:u w:val="none"/>
        </w:rPr>
        <w:t>The HI Act implements a national system, the Healthcare Identifiers Service</w:t>
      </w:r>
      <w:r w:rsidR="00850EA9">
        <w:rPr>
          <w:u w:val="none"/>
        </w:rPr>
        <w:t xml:space="preserve"> (HI Service)</w:t>
      </w:r>
      <w:r>
        <w:rPr>
          <w:u w:val="none"/>
        </w:rPr>
        <w:t xml:space="preserve">, for </w:t>
      </w:r>
      <w:r w:rsidR="00850EA9">
        <w:rPr>
          <w:u w:val="none"/>
        </w:rPr>
        <w:t xml:space="preserve">assigning unique identifiers to </w:t>
      </w:r>
      <w:r>
        <w:rPr>
          <w:u w:val="none"/>
        </w:rPr>
        <w:t>consumers</w:t>
      </w:r>
      <w:r w:rsidR="00850EA9">
        <w:rPr>
          <w:u w:val="none"/>
        </w:rPr>
        <w:t>,</w:t>
      </w:r>
      <w:r>
        <w:rPr>
          <w:u w:val="none"/>
        </w:rPr>
        <w:t xml:space="preserve"> healthcare providers</w:t>
      </w:r>
      <w:r w:rsidR="00850EA9">
        <w:rPr>
          <w:u w:val="none"/>
        </w:rPr>
        <w:t xml:space="preserve"> and healthcare provider organisations for the purpose of healthcare.  The HI Act</w:t>
      </w:r>
      <w:r>
        <w:rPr>
          <w:u w:val="none"/>
        </w:rPr>
        <w:t xml:space="preserve"> sets out clear purposes for which healthcare identifiers may be used.</w:t>
      </w:r>
      <w:r w:rsidR="002435AE">
        <w:rPr>
          <w:u w:val="none"/>
        </w:rPr>
        <w:t xml:space="preserve">  </w:t>
      </w:r>
      <w:r>
        <w:rPr>
          <w:u w:val="none"/>
        </w:rPr>
        <w:t>Division 2A of Part 3 of the HI Act</w:t>
      </w:r>
      <w:r w:rsidR="00D23B4B">
        <w:rPr>
          <w:u w:val="none"/>
        </w:rPr>
        <w:t xml:space="preserve"> provides for the collection, use and disclosure of healthcare identifiers and identifying information for the purposes of the</w:t>
      </w:r>
      <w:r w:rsidR="00D23B4B" w:rsidRPr="00FD54BB">
        <w:rPr>
          <w:u w:val="none"/>
        </w:rPr>
        <w:t xml:space="preserve"> </w:t>
      </w:r>
      <w:r w:rsidR="00FD54BB" w:rsidRPr="00FD54BB">
        <w:rPr>
          <w:u w:val="none"/>
        </w:rPr>
        <w:t>personally controlled electronic health record system</w:t>
      </w:r>
      <w:r w:rsidR="00FD54BB">
        <w:rPr>
          <w:u w:val="none"/>
        </w:rPr>
        <w:t xml:space="preserve"> (PCEHR</w:t>
      </w:r>
      <w:r w:rsidR="00B25E39">
        <w:rPr>
          <w:u w:val="none"/>
        </w:rPr>
        <w:t>)</w:t>
      </w:r>
      <w:r w:rsidR="00FD54BB">
        <w:rPr>
          <w:u w:val="none"/>
        </w:rPr>
        <w:t xml:space="preserve"> system</w:t>
      </w:r>
      <w:r w:rsidR="00D23B4B" w:rsidRPr="00FD54BB">
        <w:rPr>
          <w:u w:val="none"/>
        </w:rPr>
        <w:t>.</w:t>
      </w:r>
    </w:p>
    <w:p w:rsidR="00D23B4B" w:rsidRDefault="00D23B4B" w:rsidP="009A3BC0">
      <w:pPr>
        <w:pStyle w:val="Subtitle"/>
        <w:rPr>
          <w:u w:val="none"/>
        </w:rPr>
      </w:pPr>
    </w:p>
    <w:p w:rsidR="00FD54BB" w:rsidRDefault="00FD54BB" w:rsidP="009A3BC0">
      <w:pPr>
        <w:pStyle w:val="Subtitle"/>
        <w:rPr>
          <w:u w:val="none"/>
        </w:rPr>
      </w:pPr>
      <w:r>
        <w:rPr>
          <w:u w:val="none"/>
        </w:rPr>
        <w:t xml:space="preserve">The </w:t>
      </w:r>
      <w:r w:rsidRPr="00FD54BB">
        <w:rPr>
          <w:i/>
          <w:iCs/>
          <w:u w:val="none"/>
        </w:rPr>
        <w:t>Personally Controlled Electronic Health Records Act 2012</w:t>
      </w:r>
      <w:r w:rsidRPr="00FD54BB">
        <w:rPr>
          <w:u w:val="none"/>
        </w:rPr>
        <w:t xml:space="preserve"> (PCEHR Act) </w:t>
      </w:r>
      <w:r>
        <w:rPr>
          <w:u w:val="none"/>
        </w:rPr>
        <w:t>p</w:t>
      </w:r>
      <w:r w:rsidRPr="00E23274">
        <w:rPr>
          <w:u w:val="none"/>
        </w:rPr>
        <w:t>rovides for the establishment and operation of the PCEHR system to provide access to health information relating to consumers’ healthcare.  From 1 July 2012 consumers will be able to register for a PCEHR, if they choose to do so, and will be able to control access to their PCEHR by healthcare provider organisations.</w:t>
      </w:r>
    </w:p>
    <w:p w:rsidR="00FD54BB" w:rsidRDefault="00FD54BB" w:rsidP="009A3BC0">
      <w:pPr>
        <w:pStyle w:val="Subtitle"/>
        <w:rPr>
          <w:u w:val="none"/>
        </w:rPr>
      </w:pPr>
    </w:p>
    <w:p w:rsidR="00F9044D" w:rsidRDefault="007B228D" w:rsidP="00E700DA">
      <w:pPr>
        <w:pStyle w:val="Subtitle"/>
        <w:spacing w:after="120"/>
        <w:rPr>
          <w:u w:val="none"/>
        </w:rPr>
      </w:pPr>
      <w:r w:rsidRPr="00E23274">
        <w:rPr>
          <w:u w:val="none"/>
        </w:rPr>
        <w:t xml:space="preserve">The purpose of the </w:t>
      </w:r>
      <w:r w:rsidR="00CD076F">
        <w:rPr>
          <w:u w:val="none"/>
        </w:rPr>
        <w:t>r</w:t>
      </w:r>
      <w:r w:rsidRPr="00E23274">
        <w:rPr>
          <w:u w:val="none"/>
        </w:rPr>
        <w:t xml:space="preserve">egulation is </w:t>
      </w:r>
      <w:r w:rsidR="00DD0B2A">
        <w:rPr>
          <w:u w:val="none"/>
        </w:rPr>
        <w:t xml:space="preserve">to amend the </w:t>
      </w:r>
      <w:r w:rsidR="00DD0B2A">
        <w:rPr>
          <w:i/>
          <w:iCs/>
          <w:u w:val="none"/>
        </w:rPr>
        <w:t xml:space="preserve">Healthcare Identifiers Regulations 2010 </w:t>
      </w:r>
      <w:r w:rsidRPr="00E23274">
        <w:rPr>
          <w:u w:val="none"/>
        </w:rPr>
        <w:t>to support the effective operation of the PCEHR system by</w:t>
      </w:r>
      <w:r w:rsidR="00F9044D">
        <w:rPr>
          <w:u w:val="none"/>
        </w:rPr>
        <w:t>:</w:t>
      </w:r>
    </w:p>
    <w:p w:rsidR="00F9044D" w:rsidRPr="00850EA9" w:rsidRDefault="007B228D" w:rsidP="00E700DA">
      <w:pPr>
        <w:numPr>
          <w:ilvl w:val="0"/>
          <w:numId w:val="15"/>
        </w:numPr>
        <w:spacing w:after="120"/>
        <w:ind w:left="568" w:hanging="284"/>
      </w:pPr>
      <w:r w:rsidRPr="00F9044D">
        <w:t>enabling facilitated registration</w:t>
      </w:r>
      <w:r w:rsidR="00F9044D">
        <w:t>;</w:t>
      </w:r>
    </w:p>
    <w:p w:rsidR="00F9044D" w:rsidRPr="00850EA9" w:rsidRDefault="007B228D" w:rsidP="00E700DA">
      <w:pPr>
        <w:numPr>
          <w:ilvl w:val="0"/>
          <w:numId w:val="15"/>
        </w:numPr>
        <w:spacing w:after="120"/>
        <w:ind w:left="568" w:hanging="284"/>
      </w:pPr>
      <w:r w:rsidRPr="00F9044D">
        <w:t>support</w:t>
      </w:r>
      <w:r w:rsidR="00FC35F9" w:rsidRPr="00850EA9">
        <w:t>ing</w:t>
      </w:r>
      <w:r w:rsidRPr="00850EA9">
        <w:t xml:space="preserve"> the inclusion of Department of Veterans’ Affairs</w:t>
      </w:r>
      <w:r w:rsidR="00CD076F" w:rsidRPr="00850EA9">
        <w:t xml:space="preserve"> (DVA)</w:t>
      </w:r>
      <w:r w:rsidRPr="00850EA9">
        <w:t xml:space="preserve"> information in a consumer’s PCEHR</w:t>
      </w:r>
      <w:r w:rsidR="00F9044D">
        <w:t>;</w:t>
      </w:r>
      <w:r w:rsidRPr="00850EA9">
        <w:t xml:space="preserve"> and</w:t>
      </w:r>
    </w:p>
    <w:p w:rsidR="007B228D" w:rsidRPr="00E700DA" w:rsidRDefault="007B228D" w:rsidP="00E700DA">
      <w:pPr>
        <w:numPr>
          <w:ilvl w:val="0"/>
          <w:numId w:val="15"/>
        </w:numPr>
        <w:ind w:left="568" w:hanging="284"/>
      </w:pPr>
      <w:r w:rsidRPr="00850EA9">
        <w:t>ensur</w:t>
      </w:r>
      <w:r w:rsidR="00FC35F9" w:rsidRPr="00E700DA">
        <w:t>ing</w:t>
      </w:r>
      <w:r w:rsidRPr="00E700DA">
        <w:t xml:space="preserve"> that the Healthcare Identifier</w:t>
      </w:r>
      <w:r w:rsidR="002B143B" w:rsidRPr="00E700DA">
        <w:t>s</w:t>
      </w:r>
      <w:r w:rsidRPr="00E700DA">
        <w:t xml:space="preserve"> Service Operator</w:t>
      </w:r>
      <w:r w:rsidR="008D506C" w:rsidRPr="00E700DA">
        <w:t xml:space="preserve"> (HI Service Operator)</w:t>
      </w:r>
      <w:r w:rsidRPr="00E700DA">
        <w:t xml:space="preserve"> can share critical information with the PCEHR System Operator.</w:t>
      </w:r>
    </w:p>
    <w:p w:rsidR="007B228D" w:rsidRPr="00E23274" w:rsidRDefault="007B228D" w:rsidP="007B228D">
      <w:pPr>
        <w:pStyle w:val="Subtitle"/>
        <w:rPr>
          <w:u w:val="none"/>
        </w:rPr>
      </w:pPr>
    </w:p>
    <w:p w:rsidR="00CF3979" w:rsidRDefault="00FD54BB" w:rsidP="007B228D">
      <w:r>
        <w:t>Section 22E of the HI Act provide</w:t>
      </w:r>
      <w:r w:rsidR="002435AE">
        <w:t>s</w:t>
      </w:r>
      <w:r>
        <w:t xml:space="preserve"> that regulations may </w:t>
      </w:r>
      <w:proofErr w:type="spellStart"/>
      <w:r>
        <w:t>authorise</w:t>
      </w:r>
      <w:proofErr w:type="spellEnd"/>
      <w:r>
        <w:t xml:space="preserve"> a person to collect, use and disclose the identifying information and healthcare identifier of a consumer (or their </w:t>
      </w:r>
      <w:proofErr w:type="spellStart"/>
      <w:r>
        <w:t>authorised</w:t>
      </w:r>
      <w:proofErr w:type="spellEnd"/>
      <w:r>
        <w:t xml:space="preserve"> or nominated representative) or a healthcare provider as </w:t>
      </w:r>
      <w:proofErr w:type="spellStart"/>
      <w:r>
        <w:t>authorised</w:t>
      </w:r>
      <w:proofErr w:type="spellEnd"/>
      <w:r>
        <w:t xml:space="preserve"> by the </w:t>
      </w:r>
      <w:r w:rsidR="008870AE">
        <w:t xml:space="preserve">PCEHR Act </w:t>
      </w:r>
      <w:r>
        <w:t>and as necessary in relation to the PCEHR system.</w:t>
      </w:r>
      <w:r w:rsidRPr="00E23274">
        <w:t xml:space="preserve"> </w:t>
      </w:r>
      <w:r w:rsidR="007B228D">
        <w:t xml:space="preserve"> The </w:t>
      </w:r>
      <w:r w:rsidR="00CD076F">
        <w:t>r</w:t>
      </w:r>
      <w:r w:rsidR="007B228D">
        <w:t xml:space="preserve">egulation </w:t>
      </w:r>
      <w:proofErr w:type="spellStart"/>
      <w:r w:rsidR="007B228D">
        <w:t>authorise</w:t>
      </w:r>
      <w:r w:rsidR="007E22C6">
        <w:t>s</w:t>
      </w:r>
      <w:proofErr w:type="spellEnd"/>
      <w:r w:rsidR="007B228D">
        <w:t xml:space="preserve"> healthcare provider </w:t>
      </w:r>
      <w:proofErr w:type="spellStart"/>
      <w:r w:rsidR="007B228D">
        <w:t>organisations</w:t>
      </w:r>
      <w:proofErr w:type="spellEnd"/>
      <w:r w:rsidR="007B228D">
        <w:t xml:space="preserve"> to </w:t>
      </w:r>
      <w:r w:rsidR="00CF3979">
        <w:t>disclose to the PCEHR System Operator identifying information and the healthcare identifier of a consumer</w:t>
      </w:r>
      <w:r w:rsidR="002435AE">
        <w:t>.  This ensures that healthcare providers will be able to assist consumers in registering for a PCEHR.</w:t>
      </w:r>
    </w:p>
    <w:p w:rsidR="002435AE" w:rsidRDefault="002435AE" w:rsidP="007B228D"/>
    <w:p w:rsidR="00CF3979" w:rsidRDefault="002435AE" w:rsidP="002435AE">
      <w:r>
        <w:t xml:space="preserve">Subsection 22D(1) of the HI Act provides that certain departments are </w:t>
      </w:r>
      <w:proofErr w:type="spellStart"/>
      <w:r>
        <w:t>authorised</w:t>
      </w:r>
      <w:proofErr w:type="spellEnd"/>
      <w:r>
        <w:t xml:space="preserve"> to collect, use and disclose identifying information and the healthcare identifier of a consumer for the purpose of including </w:t>
      </w:r>
      <w:r w:rsidR="00C65008">
        <w:t xml:space="preserve">prescribed information </w:t>
      </w:r>
      <w:r>
        <w:t>in the consumer’s PCEHR.  Subsection 22D(3) provides that</w:t>
      </w:r>
      <w:r w:rsidR="002B143B">
        <w:t xml:space="preserve"> this </w:t>
      </w:r>
      <w:proofErr w:type="spellStart"/>
      <w:r w:rsidR="002B143B">
        <w:t>authorisation</w:t>
      </w:r>
      <w:proofErr w:type="spellEnd"/>
      <w:r w:rsidR="002B143B">
        <w:t xml:space="preserve"> applies only to information prescribed by the regulations and which a consumer has consented to being included in their PCEHR</w:t>
      </w:r>
      <w:r w:rsidR="001F544B">
        <w:t>.  The</w:t>
      </w:r>
      <w:r>
        <w:t xml:space="preserve"> </w:t>
      </w:r>
      <w:r w:rsidR="00CD076F">
        <w:t>r</w:t>
      </w:r>
      <w:r>
        <w:t xml:space="preserve">egulation </w:t>
      </w:r>
      <w:proofErr w:type="spellStart"/>
      <w:r>
        <w:t>authorise</w:t>
      </w:r>
      <w:r w:rsidR="007E22C6">
        <w:t>s</w:t>
      </w:r>
      <w:proofErr w:type="spellEnd"/>
      <w:r>
        <w:t xml:space="preserve"> the DVA to</w:t>
      </w:r>
      <w:r w:rsidR="00CF3979">
        <w:t xml:space="preserve"> include DVA claims information and Repatriation Pharmaceutical Benefits </w:t>
      </w:r>
      <w:r>
        <w:t>Scheme</w:t>
      </w:r>
      <w:r w:rsidR="00CF3979">
        <w:t xml:space="preserve"> information in a consumer’s PCEHR, subject to the </w:t>
      </w:r>
      <w:r>
        <w:t>consumer’s consent.</w:t>
      </w:r>
    </w:p>
    <w:p w:rsidR="002435AE" w:rsidRPr="003E62A2" w:rsidRDefault="002435AE" w:rsidP="00C955A5">
      <w:r>
        <w:lastRenderedPageBreak/>
        <w:t xml:space="preserve">Subsection 7(2) of the HI Act defines certain types of </w:t>
      </w:r>
      <w:r w:rsidR="003E62A2">
        <w:t xml:space="preserve">information about a </w:t>
      </w:r>
      <w:r w:rsidR="005D084B">
        <w:t xml:space="preserve">healthcare provider and </w:t>
      </w:r>
      <w:r w:rsidR="003E62A2">
        <w:t xml:space="preserve">healthcare provider </w:t>
      </w:r>
      <w:proofErr w:type="spellStart"/>
      <w:r w:rsidR="003855D3">
        <w:t>organisation</w:t>
      </w:r>
      <w:proofErr w:type="spellEnd"/>
      <w:r w:rsidR="003855D3">
        <w:t xml:space="preserve"> </w:t>
      </w:r>
      <w:r w:rsidR="003E62A2">
        <w:t xml:space="preserve">as </w:t>
      </w:r>
      <w:r w:rsidR="00CD076F">
        <w:t>‘</w:t>
      </w:r>
      <w:r w:rsidR="003E62A2" w:rsidRPr="00A8286D">
        <w:rPr>
          <w:bCs/>
          <w:iCs/>
        </w:rPr>
        <w:t>identifying information</w:t>
      </w:r>
      <w:r w:rsidR="00CD076F">
        <w:rPr>
          <w:bCs/>
          <w:iCs/>
        </w:rPr>
        <w:t>’</w:t>
      </w:r>
      <w:r w:rsidR="003E62A2" w:rsidRPr="003E62A2">
        <w:t xml:space="preserve"> to </w:t>
      </w:r>
      <w:r w:rsidR="003E62A2">
        <w:t xml:space="preserve">enable the </w:t>
      </w:r>
      <w:r w:rsidR="00C955A5">
        <w:t>HI</w:t>
      </w:r>
      <w:r w:rsidR="003E62A2">
        <w:t xml:space="preserve"> Service Operator to perform its functions under the HI Act.  With the implementation of the PCEHR system, the functions of the </w:t>
      </w:r>
      <w:r w:rsidR="00C955A5">
        <w:t>HI</w:t>
      </w:r>
      <w:r w:rsidR="003E62A2">
        <w:t xml:space="preserve"> Service Operator have been expanded, so the </w:t>
      </w:r>
      <w:r w:rsidR="00CD076F">
        <w:t>r</w:t>
      </w:r>
      <w:r w:rsidR="003E62A2">
        <w:t>egulation ensure</w:t>
      </w:r>
      <w:r w:rsidR="007E22C6">
        <w:t>s</w:t>
      </w:r>
      <w:r w:rsidR="003E62A2">
        <w:t xml:space="preserve"> that additional information on a </w:t>
      </w:r>
      <w:r w:rsidR="005D084B">
        <w:t xml:space="preserve">healthcare provider and </w:t>
      </w:r>
      <w:r w:rsidR="003E62A2">
        <w:t>healthcare provider</w:t>
      </w:r>
      <w:r w:rsidR="0011667A">
        <w:t xml:space="preserve"> </w:t>
      </w:r>
      <w:proofErr w:type="spellStart"/>
      <w:r w:rsidR="0011667A">
        <w:t>organisation</w:t>
      </w:r>
      <w:proofErr w:type="spellEnd"/>
      <w:r w:rsidR="003E62A2">
        <w:t xml:space="preserve"> is defined </w:t>
      </w:r>
      <w:r w:rsidR="003E62A2" w:rsidRPr="00CD076F">
        <w:t xml:space="preserve">as </w:t>
      </w:r>
      <w:r w:rsidR="003E62A2" w:rsidRPr="00A8286D">
        <w:rPr>
          <w:bCs/>
          <w:iCs/>
        </w:rPr>
        <w:t>identifying information</w:t>
      </w:r>
      <w:r w:rsidR="003E62A2">
        <w:t xml:space="preserve"> and can </w:t>
      </w:r>
      <w:r w:rsidR="00F9044D">
        <w:t xml:space="preserve">therefore </w:t>
      </w:r>
      <w:r w:rsidR="003E62A2">
        <w:t>be disclosed to the PCEHR System Operator for PCEHR system purposes.</w:t>
      </w:r>
    </w:p>
    <w:p w:rsidR="00614089" w:rsidRPr="00E23274" w:rsidRDefault="00614089" w:rsidP="00614089">
      <w:pPr>
        <w:pStyle w:val="Header"/>
        <w:widowControl/>
        <w:tabs>
          <w:tab w:val="clear" w:pos="4153"/>
          <w:tab w:val="clear" w:pos="8306"/>
        </w:tabs>
        <w:rPr>
          <w:snapToGrid/>
          <w:lang w:val="en-AU"/>
        </w:rPr>
      </w:pPr>
    </w:p>
    <w:p w:rsidR="00614089" w:rsidRPr="00610C55" w:rsidRDefault="00614089" w:rsidP="00614089">
      <w:pPr>
        <w:pStyle w:val="Header"/>
        <w:widowControl/>
        <w:tabs>
          <w:tab w:val="clear" w:pos="4153"/>
          <w:tab w:val="clear" w:pos="8306"/>
        </w:tabs>
        <w:ind w:right="804"/>
        <w:rPr>
          <w:szCs w:val="24"/>
        </w:rPr>
      </w:pPr>
      <w:r w:rsidRPr="00610C55">
        <w:rPr>
          <w:szCs w:val="24"/>
        </w:rPr>
        <w:t>Detail</w:t>
      </w:r>
      <w:r w:rsidR="00F9044D" w:rsidRPr="00610C55">
        <w:rPr>
          <w:szCs w:val="24"/>
        </w:rPr>
        <w:t>s</w:t>
      </w:r>
      <w:r w:rsidRPr="00610C55">
        <w:rPr>
          <w:szCs w:val="24"/>
        </w:rPr>
        <w:t xml:space="preserve"> of the </w:t>
      </w:r>
      <w:r w:rsidR="00CD076F" w:rsidRPr="00610C55">
        <w:rPr>
          <w:szCs w:val="24"/>
        </w:rPr>
        <w:t>r</w:t>
      </w:r>
      <w:r w:rsidRPr="00610C55">
        <w:rPr>
          <w:szCs w:val="24"/>
        </w:rPr>
        <w:t xml:space="preserve">egulation </w:t>
      </w:r>
      <w:r w:rsidR="00F9044D" w:rsidRPr="00610C55">
        <w:rPr>
          <w:szCs w:val="24"/>
        </w:rPr>
        <w:t>are</w:t>
      </w:r>
      <w:r w:rsidRPr="00610C55">
        <w:rPr>
          <w:szCs w:val="24"/>
        </w:rPr>
        <w:t xml:space="preserve"> set out in the </w:t>
      </w:r>
      <w:r w:rsidRPr="00610C55">
        <w:rPr>
          <w:szCs w:val="24"/>
          <w:u w:val="single"/>
        </w:rPr>
        <w:t>Attachment</w:t>
      </w:r>
      <w:r w:rsidRPr="00610C55">
        <w:rPr>
          <w:szCs w:val="24"/>
        </w:rPr>
        <w:t>.</w:t>
      </w:r>
    </w:p>
    <w:p w:rsidR="00614089" w:rsidRPr="00610C55" w:rsidRDefault="00614089" w:rsidP="009A3BC0">
      <w:pPr>
        <w:pStyle w:val="Header"/>
        <w:widowControl/>
        <w:tabs>
          <w:tab w:val="clear" w:pos="4153"/>
          <w:tab w:val="clear" w:pos="8306"/>
        </w:tabs>
        <w:ind w:right="804"/>
        <w:rPr>
          <w:szCs w:val="24"/>
        </w:rPr>
      </w:pPr>
    </w:p>
    <w:p w:rsidR="00C97418" w:rsidRPr="00743678" w:rsidRDefault="00C97418" w:rsidP="00C97418">
      <w:pPr>
        <w:autoSpaceDE w:val="0"/>
        <w:autoSpaceDN w:val="0"/>
        <w:adjustRightInd w:val="0"/>
        <w:rPr>
          <w:color w:val="000000"/>
          <w:lang w:val="en-AU" w:eastAsia="en-AU"/>
        </w:rPr>
      </w:pPr>
      <w:r w:rsidRPr="00743678">
        <w:rPr>
          <w:color w:val="000000"/>
          <w:lang w:val="en-AU" w:eastAsia="en-AU"/>
        </w:rPr>
        <w:t>The proposals for the regulations were developed in consultation with a working group of representatives from Commonwealth, state and territory health departments, the Departments of Human Services and Veterans' Affairs and the National E-Health Transition Authority.  The proposals took into account the outcomes from public consultation processes on several papers and ongoing workshops and targeted meetings.</w:t>
      </w:r>
    </w:p>
    <w:p w:rsidR="00C97418" w:rsidRPr="00743678" w:rsidRDefault="00C97418" w:rsidP="00C97418"/>
    <w:p w:rsidR="00AD7E80" w:rsidRPr="00610C55" w:rsidRDefault="00030A5C" w:rsidP="009A3BC0">
      <w:pPr>
        <w:pStyle w:val="Header"/>
        <w:widowControl/>
        <w:tabs>
          <w:tab w:val="clear" w:pos="4153"/>
          <w:tab w:val="clear" w:pos="8306"/>
        </w:tabs>
        <w:ind w:right="804"/>
        <w:rPr>
          <w:szCs w:val="24"/>
        </w:rPr>
      </w:pPr>
      <w:r w:rsidRPr="00610C55">
        <w:rPr>
          <w:szCs w:val="24"/>
        </w:rPr>
        <w:t xml:space="preserve">Section </w:t>
      </w:r>
      <w:r w:rsidR="0094209C" w:rsidRPr="00610C55">
        <w:rPr>
          <w:szCs w:val="24"/>
        </w:rPr>
        <w:t>33</w:t>
      </w:r>
      <w:r w:rsidRPr="00610C55">
        <w:rPr>
          <w:szCs w:val="24"/>
        </w:rPr>
        <w:t xml:space="preserve"> of t</w:t>
      </w:r>
      <w:r w:rsidR="009A3BC0" w:rsidRPr="00610C55">
        <w:rPr>
          <w:szCs w:val="24"/>
        </w:rPr>
        <w:t xml:space="preserve">he </w:t>
      </w:r>
      <w:r w:rsidR="0094209C" w:rsidRPr="00610C55">
        <w:rPr>
          <w:szCs w:val="24"/>
        </w:rPr>
        <w:t xml:space="preserve">HI </w:t>
      </w:r>
      <w:r w:rsidR="009A3BC0" w:rsidRPr="00610C55">
        <w:rPr>
          <w:szCs w:val="24"/>
        </w:rPr>
        <w:t xml:space="preserve">Act specifies </w:t>
      </w:r>
      <w:r w:rsidRPr="00610C55">
        <w:rPr>
          <w:szCs w:val="24"/>
        </w:rPr>
        <w:t>that the Minister must consult the Ministerial Council before the Governor-General makes regulations.</w:t>
      </w:r>
      <w:r w:rsidR="00F9044D" w:rsidRPr="00610C55">
        <w:rPr>
          <w:szCs w:val="24"/>
        </w:rPr>
        <w:t xml:space="preserve">  On 27 April 2012 the Minister for Health consulted the Standing Council on Health which agreed to the regulation without change.</w:t>
      </w:r>
      <w:r w:rsidRPr="00610C55">
        <w:rPr>
          <w:szCs w:val="24"/>
        </w:rPr>
        <w:t xml:space="preserve"> </w:t>
      </w:r>
    </w:p>
    <w:p w:rsidR="00AD7E80" w:rsidRPr="00610C55" w:rsidRDefault="00AD7E80" w:rsidP="009A3BC0">
      <w:pPr>
        <w:pStyle w:val="Header"/>
        <w:widowControl/>
        <w:tabs>
          <w:tab w:val="clear" w:pos="4153"/>
          <w:tab w:val="clear" w:pos="8306"/>
        </w:tabs>
        <w:ind w:right="804"/>
        <w:rPr>
          <w:szCs w:val="24"/>
        </w:rPr>
      </w:pPr>
    </w:p>
    <w:p w:rsidR="009A3BC0" w:rsidRPr="00610C55" w:rsidRDefault="0094209C" w:rsidP="009A3BC0">
      <w:pPr>
        <w:pStyle w:val="Header"/>
        <w:widowControl/>
        <w:tabs>
          <w:tab w:val="clear" w:pos="4153"/>
          <w:tab w:val="clear" w:pos="8306"/>
        </w:tabs>
        <w:ind w:right="804"/>
        <w:rPr>
          <w:szCs w:val="24"/>
        </w:rPr>
      </w:pPr>
      <w:r w:rsidRPr="00610C55">
        <w:rPr>
          <w:szCs w:val="24"/>
        </w:rPr>
        <w:t>The HI Act specifies no other conditions that need to be m</w:t>
      </w:r>
      <w:r w:rsidR="001F544B" w:rsidRPr="00610C55">
        <w:rPr>
          <w:szCs w:val="24"/>
        </w:rPr>
        <w:t>et before the power to make the</w:t>
      </w:r>
      <w:r w:rsidR="00614089" w:rsidRPr="00610C55">
        <w:rPr>
          <w:szCs w:val="24"/>
        </w:rPr>
        <w:t xml:space="preserve"> </w:t>
      </w:r>
      <w:r w:rsidR="00CD076F" w:rsidRPr="00610C55">
        <w:rPr>
          <w:szCs w:val="24"/>
        </w:rPr>
        <w:t>r</w:t>
      </w:r>
      <w:r w:rsidRPr="00610C55">
        <w:rPr>
          <w:szCs w:val="24"/>
        </w:rPr>
        <w:t>egulation may be exercised.</w:t>
      </w:r>
    </w:p>
    <w:p w:rsidR="008E7D06" w:rsidRDefault="008E7D06" w:rsidP="008E7D06">
      <w:pPr>
        <w:pStyle w:val="Header"/>
        <w:widowControl/>
        <w:tabs>
          <w:tab w:val="clear" w:pos="4153"/>
          <w:tab w:val="clear" w:pos="8306"/>
        </w:tabs>
        <w:ind w:right="804"/>
      </w:pPr>
    </w:p>
    <w:p w:rsidR="009A3BC0" w:rsidRPr="00E23274" w:rsidRDefault="009A3BC0" w:rsidP="009A3BC0">
      <w:r w:rsidRPr="00E23274">
        <w:t xml:space="preserve">The </w:t>
      </w:r>
      <w:r w:rsidR="00CD076F">
        <w:t>r</w:t>
      </w:r>
      <w:r w:rsidRPr="00E23274">
        <w:t>egulation</w:t>
      </w:r>
      <w:r w:rsidR="00FE327D" w:rsidRPr="00E23274">
        <w:t xml:space="preserve"> </w:t>
      </w:r>
      <w:r w:rsidR="001F544B">
        <w:t>is</w:t>
      </w:r>
      <w:r w:rsidRPr="00E23274">
        <w:t xml:space="preserve"> a legislative instrument for the purposes of the </w:t>
      </w:r>
      <w:r w:rsidRPr="00E23274">
        <w:rPr>
          <w:i/>
        </w:rPr>
        <w:t>Legislative</w:t>
      </w:r>
      <w:r w:rsidR="00F9044D">
        <w:rPr>
          <w:i/>
        </w:rPr>
        <w:t> </w:t>
      </w:r>
      <w:r w:rsidRPr="00E23274">
        <w:rPr>
          <w:i/>
        </w:rPr>
        <w:t>Instruments Act 2003</w:t>
      </w:r>
      <w:r w:rsidRPr="00E23274">
        <w:t xml:space="preserve">.  </w:t>
      </w:r>
    </w:p>
    <w:p w:rsidR="00577975" w:rsidRPr="00E23274" w:rsidRDefault="00577975" w:rsidP="009A3BC0"/>
    <w:p w:rsidR="009A3BC0" w:rsidRPr="00E23274" w:rsidRDefault="009A3BC0" w:rsidP="009A3BC0">
      <w:r w:rsidRPr="00E23274">
        <w:t xml:space="preserve">The </w:t>
      </w:r>
      <w:r w:rsidR="00CD076F">
        <w:t>r</w:t>
      </w:r>
      <w:r w:rsidR="001F544B">
        <w:t>egulation</w:t>
      </w:r>
      <w:r w:rsidRPr="00E23274">
        <w:t xml:space="preserve"> commence</w:t>
      </w:r>
      <w:r w:rsidR="001F544B">
        <w:t>s</w:t>
      </w:r>
      <w:r w:rsidRPr="00E23274">
        <w:t xml:space="preserve"> on the day </w:t>
      </w:r>
      <w:r w:rsidR="00E90DFF">
        <w:t>after registration on the Federal Register of Legislative Instruments.</w:t>
      </w:r>
    </w:p>
    <w:p w:rsidR="009A3BC0" w:rsidRPr="00E23274" w:rsidRDefault="009A3BC0" w:rsidP="00577975">
      <w:pPr>
        <w:pStyle w:val="Subtitle"/>
        <w:ind w:left="5760" w:hanging="1080"/>
        <w:rPr>
          <w:i/>
          <w:u w:val="none"/>
        </w:rPr>
        <w:sectPr w:rsidR="009A3BC0" w:rsidRPr="00E23274" w:rsidSect="009A3BC0">
          <w:headerReference w:type="even" r:id="rId7"/>
          <w:headerReference w:type="default" r:id="rId8"/>
          <w:pgSz w:w="11906" w:h="16838"/>
          <w:pgMar w:top="1134" w:right="1361" w:bottom="1134" w:left="1418" w:header="720" w:footer="720" w:gutter="0"/>
          <w:paperSrc w:first="7" w:other="7"/>
          <w:cols w:space="720"/>
          <w:titlePg/>
        </w:sectPr>
      </w:pPr>
    </w:p>
    <w:p w:rsidR="00EF48A5" w:rsidRPr="00CD2C5E" w:rsidRDefault="00577975" w:rsidP="00577975">
      <w:pPr>
        <w:jc w:val="right"/>
        <w:rPr>
          <w:b/>
          <w:u w:val="single"/>
          <w:lang w:val="en-AU"/>
        </w:rPr>
      </w:pPr>
      <w:r w:rsidRPr="00CD2C5E">
        <w:rPr>
          <w:b/>
          <w:u w:val="single"/>
          <w:lang w:val="en-AU"/>
        </w:rPr>
        <w:lastRenderedPageBreak/>
        <w:t>ATTACHMENT</w:t>
      </w:r>
    </w:p>
    <w:p w:rsidR="00577975" w:rsidRPr="00E23274" w:rsidRDefault="00577975" w:rsidP="00577975">
      <w:pPr>
        <w:rPr>
          <w:b/>
          <w:u w:val="single"/>
          <w:lang w:val="en-AU"/>
        </w:rPr>
      </w:pPr>
    </w:p>
    <w:p w:rsidR="00577975" w:rsidRPr="00E23274" w:rsidRDefault="00AD7E80" w:rsidP="00577975">
      <w:pPr>
        <w:rPr>
          <w:i/>
          <w:lang w:val="en-AU"/>
        </w:rPr>
      </w:pPr>
      <w:r>
        <w:rPr>
          <w:b/>
          <w:u w:val="single"/>
          <w:lang w:val="en-AU"/>
        </w:rPr>
        <w:t xml:space="preserve">Details of the </w:t>
      </w:r>
      <w:r>
        <w:rPr>
          <w:b/>
          <w:i/>
          <w:u w:val="single"/>
          <w:lang w:val="en-AU"/>
        </w:rPr>
        <w:t xml:space="preserve">Healthcare Identifiers Amendment </w:t>
      </w:r>
      <w:r w:rsidRPr="00E23274">
        <w:rPr>
          <w:b/>
          <w:i/>
          <w:u w:val="single"/>
          <w:lang w:val="en-AU"/>
        </w:rPr>
        <w:t>Regulation 2012</w:t>
      </w:r>
      <w:r w:rsidR="0051400E">
        <w:rPr>
          <w:b/>
          <w:i/>
          <w:u w:val="single"/>
          <w:lang w:val="en-AU"/>
        </w:rPr>
        <w:t xml:space="preserve"> (No. 1</w:t>
      </w:r>
      <w:r>
        <w:rPr>
          <w:b/>
          <w:i/>
          <w:u w:val="single"/>
          <w:lang w:val="en-AU"/>
        </w:rPr>
        <w:t>)</w:t>
      </w:r>
    </w:p>
    <w:p w:rsidR="00577975" w:rsidRPr="00E23274" w:rsidRDefault="00577975" w:rsidP="00577975">
      <w:pPr>
        <w:rPr>
          <w:lang w:val="en-AU"/>
        </w:rPr>
      </w:pPr>
    </w:p>
    <w:p w:rsidR="00577975" w:rsidRPr="00E23274" w:rsidRDefault="00577975" w:rsidP="00577975">
      <w:pPr>
        <w:rPr>
          <w:lang w:val="en-AU"/>
        </w:rPr>
      </w:pPr>
    </w:p>
    <w:p w:rsidR="00D54AD5" w:rsidRPr="00E23274" w:rsidRDefault="0085331D" w:rsidP="00D54AD5">
      <w:r>
        <w:rPr>
          <w:u w:val="single"/>
        </w:rPr>
        <w:t>Sec</w:t>
      </w:r>
      <w:r w:rsidRPr="00E23274">
        <w:rPr>
          <w:u w:val="single"/>
        </w:rPr>
        <w:t xml:space="preserve">tion </w:t>
      </w:r>
      <w:r w:rsidR="00D54AD5">
        <w:rPr>
          <w:u w:val="single"/>
        </w:rPr>
        <w:t>1</w:t>
      </w:r>
      <w:r>
        <w:rPr>
          <w:u w:val="single"/>
        </w:rPr>
        <w:t xml:space="preserve"> – N</w:t>
      </w:r>
      <w:r w:rsidR="00D54AD5">
        <w:rPr>
          <w:u w:val="single"/>
        </w:rPr>
        <w:t>ame of regulation</w:t>
      </w:r>
    </w:p>
    <w:p w:rsidR="00577975" w:rsidRPr="00E23274" w:rsidRDefault="00577975" w:rsidP="00577975">
      <w:pPr>
        <w:rPr>
          <w:i/>
          <w:iCs/>
        </w:rPr>
      </w:pPr>
      <w:r w:rsidRPr="00E23274">
        <w:t xml:space="preserve">This </w:t>
      </w:r>
      <w:r w:rsidR="0085331D">
        <w:t>sec</w:t>
      </w:r>
      <w:r w:rsidR="001F544B">
        <w:t>tion</w:t>
      </w:r>
      <w:r w:rsidRPr="00E23274">
        <w:t xml:space="preserve"> provide</w:t>
      </w:r>
      <w:r w:rsidR="001F544B">
        <w:t>s</w:t>
      </w:r>
      <w:r w:rsidRPr="00E23274">
        <w:t xml:space="preserve"> that the title of the </w:t>
      </w:r>
      <w:r w:rsidR="00CD076F">
        <w:t>r</w:t>
      </w:r>
      <w:r w:rsidRPr="00E23274">
        <w:t xml:space="preserve">egulation is </w:t>
      </w:r>
      <w:r w:rsidR="00D23B4B">
        <w:rPr>
          <w:i/>
          <w:iCs/>
        </w:rPr>
        <w:t>Healthcare Identifiers</w:t>
      </w:r>
      <w:r w:rsidRPr="00E23274">
        <w:rPr>
          <w:i/>
          <w:iCs/>
        </w:rPr>
        <w:t xml:space="preserve"> </w:t>
      </w:r>
      <w:r w:rsidR="0061111A">
        <w:rPr>
          <w:i/>
          <w:iCs/>
        </w:rPr>
        <w:t xml:space="preserve">Amendment </w:t>
      </w:r>
      <w:r w:rsidRPr="00E23274">
        <w:rPr>
          <w:i/>
          <w:iCs/>
        </w:rPr>
        <w:t>Regulation 2012</w:t>
      </w:r>
      <w:r w:rsidR="0051400E">
        <w:rPr>
          <w:i/>
          <w:iCs/>
        </w:rPr>
        <w:t xml:space="preserve"> (No. 1</w:t>
      </w:r>
      <w:r w:rsidR="008C5FB7">
        <w:rPr>
          <w:i/>
          <w:iCs/>
        </w:rPr>
        <w:t>)</w:t>
      </w:r>
      <w:r w:rsidRPr="00E23274">
        <w:rPr>
          <w:i/>
          <w:iCs/>
        </w:rPr>
        <w:t>.</w:t>
      </w:r>
    </w:p>
    <w:p w:rsidR="00577975" w:rsidRPr="00E23274" w:rsidRDefault="00577975" w:rsidP="00577975">
      <w:pPr>
        <w:tabs>
          <w:tab w:val="left" w:pos="6465"/>
        </w:tabs>
      </w:pPr>
      <w:r w:rsidRPr="00E23274">
        <w:tab/>
      </w:r>
    </w:p>
    <w:p w:rsidR="00577975" w:rsidRPr="00E23274" w:rsidRDefault="0085331D" w:rsidP="00577975">
      <w:r>
        <w:rPr>
          <w:u w:val="single"/>
        </w:rPr>
        <w:t>Sec</w:t>
      </w:r>
      <w:r w:rsidRPr="00E23274">
        <w:rPr>
          <w:u w:val="single"/>
        </w:rPr>
        <w:t xml:space="preserve">tion </w:t>
      </w:r>
      <w:r w:rsidR="00577975" w:rsidRPr="00E23274">
        <w:rPr>
          <w:u w:val="single"/>
        </w:rPr>
        <w:t>2</w:t>
      </w:r>
      <w:r>
        <w:rPr>
          <w:u w:val="single"/>
        </w:rPr>
        <w:t xml:space="preserve"> – </w:t>
      </w:r>
      <w:r w:rsidR="00577975" w:rsidRPr="00E23274">
        <w:rPr>
          <w:u w:val="single"/>
        </w:rPr>
        <w:t>Commencement</w:t>
      </w:r>
    </w:p>
    <w:p w:rsidR="00577975" w:rsidRPr="00E23274" w:rsidRDefault="00577975" w:rsidP="00577975"/>
    <w:p w:rsidR="00577975" w:rsidRPr="00E23274" w:rsidRDefault="00577975" w:rsidP="00577975">
      <w:r w:rsidRPr="00E23274">
        <w:t xml:space="preserve">This </w:t>
      </w:r>
      <w:r w:rsidR="0085331D">
        <w:t>sec</w:t>
      </w:r>
      <w:r w:rsidR="0085331D" w:rsidRPr="00E23274">
        <w:t xml:space="preserve">tion </w:t>
      </w:r>
      <w:r w:rsidRPr="00E23274">
        <w:t>provide</w:t>
      </w:r>
      <w:r w:rsidR="001F544B">
        <w:t>s</w:t>
      </w:r>
      <w:r w:rsidRPr="00E23274">
        <w:t xml:space="preserve"> for the </w:t>
      </w:r>
      <w:r w:rsidR="00CD076F">
        <w:t>r</w:t>
      </w:r>
      <w:r w:rsidRPr="00E23274">
        <w:t xml:space="preserve">egulation to commence </w:t>
      </w:r>
      <w:r w:rsidR="00E90DFF">
        <w:t>on the day after it is registered on the Federal Register of Legislative Instruments.</w:t>
      </w:r>
    </w:p>
    <w:p w:rsidR="00577975" w:rsidRPr="00E23274" w:rsidRDefault="00577975" w:rsidP="00577975">
      <w:pPr>
        <w:rPr>
          <w:b/>
          <w:bCs/>
          <w:u w:val="single"/>
        </w:rPr>
      </w:pPr>
    </w:p>
    <w:p w:rsidR="00577975" w:rsidRPr="0031145E" w:rsidRDefault="0085331D" w:rsidP="00577975">
      <w:pPr>
        <w:rPr>
          <w:i/>
          <w:iCs/>
        </w:rPr>
      </w:pPr>
      <w:r>
        <w:rPr>
          <w:u w:val="single"/>
        </w:rPr>
        <w:t>Sec</w:t>
      </w:r>
      <w:r w:rsidRPr="00E23274">
        <w:rPr>
          <w:u w:val="single"/>
        </w:rPr>
        <w:t xml:space="preserve">tion </w:t>
      </w:r>
      <w:r w:rsidR="00577975" w:rsidRPr="00E23274">
        <w:rPr>
          <w:u w:val="single"/>
        </w:rPr>
        <w:t>3</w:t>
      </w:r>
      <w:r>
        <w:rPr>
          <w:u w:val="single"/>
        </w:rPr>
        <w:t xml:space="preserve"> – </w:t>
      </w:r>
      <w:r w:rsidR="0031145E">
        <w:rPr>
          <w:u w:val="single"/>
        </w:rPr>
        <w:t xml:space="preserve">Amendment of </w:t>
      </w:r>
      <w:r w:rsidR="0031145E">
        <w:rPr>
          <w:i/>
          <w:iCs/>
          <w:u w:val="single"/>
        </w:rPr>
        <w:t>Healthcare Identifiers Regulations 2010</w:t>
      </w:r>
    </w:p>
    <w:p w:rsidR="00577975" w:rsidRPr="00E23274" w:rsidRDefault="00577975" w:rsidP="00577975"/>
    <w:p w:rsidR="0061111A" w:rsidRPr="00760C85" w:rsidRDefault="00577975" w:rsidP="00577975">
      <w:r w:rsidRPr="00E23274">
        <w:t xml:space="preserve">This </w:t>
      </w:r>
      <w:r w:rsidR="0085331D">
        <w:t>sec</w:t>
      </w:r>
      <w:r w:rsidR="001F544B">
        <w:t>tion</w:t>
      </w:r>
      <w:r w:rsidR="0031145E">
        <w:t xml:space="preserve"> </w:t>
      </w:r>
      <w:r w:rsidR="0061111A">
        <w:t>provide</w:t>
      </w:r>
      <w:r w:rsidR="001F544B">
        <w:t>s</w:t>
      </w:r>
      <w:r w:rsidR="0061111A">
        <w:t xml:space="preserve"> that Schedule 1 of the </w:t>
      </w:r>
      <w:r w:rsidR="00CD076F">
        <w:t>r</w:t>
      </w:r>
      <w:r w:rsidR="0061111A">
        <w:t>egulati</w:t>
      </w:r>
      <w:r w:rsidR="001F544B">
        <w:t>on</w:t>
      </w:r>
      <w:r w:rsidR="0061111A">
        <w:t xml:space="preserve"> amend</w:t>
      </w:r>
      <w:r w:rsidR="001F544B">
        <w:t>s</w:t>
      </w:r>
      <w:r w:rsidR="0061111A">
        <w:t xml:space="preserve"> the </w:t>
      </w:r>
      <w:r w:rsidR="0085331D" w:rsidRPr="00760C85">
        <w:rPr>
          <w:i/>
          <w:iCs/>
        </w:rPr>
        <w:t xml:space="preserve">Healthcare Identifiers Regulations 2010 </w:t>
      </w:r>
      <w:r w:rsidR="0085331D" w:rsidRPr="00760C85">
        <w:rPr>
          <w:iCs/>
        </w:rPr>
        <w:t xml:space="preserve">(the </w:t>
      </w:r>
      <w:r w:rsidR="0031145E" w:rsidRPr="00760C85">
        <w:t>Principal Regulations</w:t>
      </w:r>
      <w:r w:rsidR="0085331D" w:rsidRPr="00760C85">
        <w:t>)</w:t>
      </w:r>
      <w:r w:rsidR="0061111A" w:rsidRPr="00760C85">
        <w:t>.</w:t>
      </w:r>
    </w:p>
    <w:p w:rsidR="00FE327D" w:rsidRDefault="00FE327D" w:rsidP="00577975"/>
    <w:p w:rsidR="0031145E" w:rsidRPr="00E23274" w:rsidRDefault="0031145E" w:rsidP="0031145E">
      <w:r>
        <w:rPr>
          <w:u w:val="single"/>
        </w:rPr>
        <w:t>Schedule 1</w:t>
      </w:r>
      <w:r w:rsidR="00760C85">
        <w:rPr>
          <w:u w:val="single"/>
        </w:rPr>
        <w:t xml:space="preserve"> – </w:t>
      </w:r>
      <w:r>
        <w:rPr>
          <w:u w:val="single"/>
        </w:rPr>
        <w:t>Amendments</w:t>
      </w:r>
    </w:p>
    <w:p w:rsidR="0061111A" w:rsidRPr="00E23274" w:rsidRDefault="0061111A" w:rsidP="00577975"/>
    <w:p w:rsidR="00FE327D" w:rsidRPr="0031145E" w:rsidRDefault="005B6100" w:rsidP="00FE327D">
      <w:pPr>
        <w:rPr>
          <w:b/>
          <w:bCs/>
        </w:rPr>
      </w:pPr>
      <w:r w:rsidRPr="0031145E">
        <w:rPr>
          <w:b/>
          <w:bCs/>
        </w:rPr>
        <w:t>Item</w:t>
      </w:r>
      <w:r w:rsidR="001C6043">
        <w:rPr>
          <w:b/>
          <w:bCs/>
        </w:rPr>
        <w:t>s</w:t>
      </w:r>
      <w:r w:rsidRPr="0031145E">
        <w:rPr>
          <w:b/>
          <w:bCs/>
        </w:rPr>
        <w:t xml:space="preserve"> [1]</w:t>
      </w:r>
      <w:r w:rsidR="001C6043">
        <w:rPr>
          <w:b/>
          <w:bCs/>
        </w:rPr>
        <w:t xml:space="preserve"> and [2]</w:t>
      </w:r>
      <w:r w:rsidR="00760C85">
        <w:rPr>
          <w:b/>
          <w:bCs/>
        </w:rPr>
        <w:t xml:space="preserve"> – Regulation 3</w:t>
      </w:r>
    </w:p>
    <w:p w:rsidR="00FE327D" w:rsidRPr="00E23274" w:rsidRDefault="00FE327D" w:rsidP="00FE327D"/>
    <w:p w:rsidR="00254E16" w:rsidRPr="00E23274" w:rsidRDefault="00254E16" w:rsidP="00254E16">
      <w:r w:rsidRPr="00E23274">
        <w:t>Th</w:t>
      </w:r>
      <w:r w:rsidR="001C6043">
        <w:t>ese items</w:t>
      </w:r>
      <w:r w:rsidRPr="00E23274">
        <w:t xml:space="preserve"> </w:t>
      </w:r>
      <w:r>
        <w:t>insert new definitions into section 3 of the Principal Regulations.</w:t>
      </w:r>
      <w:r w:rsidRPr="00E23274">
        <w:t xml:space="preserve"> </w:t>
      </w:r>
    </w:p>
    <w:p w:rsidR="00254E16" w:rsidRPr="00E23274" w:rsidRDefault="00254E16" w:rsidP="00254E16"/>
    <w:p w:rsidR="005B6100" w:rsidRDefault="00254E16" w:rsidP="00254E16">
      <w:r w:rsidRPr="00E23274">
        <w:t>For example</w:t>
      </w:r>
      <w:r w:rsidR="001C6043">
        <w:t>,</w:t>
      </w:r>
      <w:r w:rsidR="005B6100">
        <w:t xml:space="preserve"> </w:t>
      </w:r>
      <w:r w:rsidR="00CD076F">
        <w:t>‘</w:t>
      </w:r>
      <w:r w:rsidR="005B6100" w:rsidRPr="00A8286D">
        <w:rPr>
          <w:bCs/>
          <w:iCs/>
        </w:rPr>
        <w:t xml:space="preserve">PCEHR </w:t>
      </w:r>
      <w:r w:rsidR="00332B22" w:rsidRPr="00A8286D">
        <w:rPr>
          <w:bCs/>
          <w:iCs/>
        </w:rPr>
        <w:t>Act</w:t>
      </w:r>
      <w:r w:rsidR="00CD076F">
        <w:rPr>
          <w:bCs/>
          <w:iCs/>
        </w:rPr>
        <w:t>’</w:t>
      </w:r>
      <w:r w:rsidR="005B6100" w:rsidRPr="00332B22">
        <w:rPr>
          <w:b/>
          <w:bCs/>
        </w:rPr>
        <w:t xml:space="preserve"> </w:t>
      </w:r>
      <w:r w:rsidR="001F544B">
        <w:rPr>
          <w:bCs/>
        </w:rPr>
        <w:t>is</w:t>
      </w:r>
      <w:r>
        <w:rPr>
          <w:bCs/>
        </w:rPr>
        <w:t xml:space="preserve"> inserted </w:t>
      </w:r>
      <w:r w:rsidR="00332B22">
        <w:t xml:space="preserve">to reflect that the amendments broaden the scope of the Principal Regulations to deal with matters associated with the PCEHR system in accordance with the </w:t>
      </w:r>
      <w:r w:rsidR="00760C85" w:rsidRPr="00760C85">
        <w:rPr>
          <w:i/>
          <w:iCs/>
        </w:rPr>
        <w:t>Personally Controlled Electronic Health Records Act 2012</w:t>
      </w:r>
      <w:r w:rsidR="00760C85">
        <w:t xml:space="preserve"> (</w:t>
      </w:r>
      <w:r w:rsidR="00332B22">
        <w:t>PCEHR Act</w:t>
      </w:r>
      <w:r w:rsidR="00760C85">
        <w:t>)</w:t>
      </w:r>
      <w:r w:rsidR="00332B22">
        <w:t>.</w:t>
      </w:r>
    </w:p>
    <w:p w:rsidR="004019AE" w:rsidRDefault="004019AE" w:rsidP="00FE327D"/>
    <w:p w:rsidR="005942CB" w:rsidRPr="0031145E" w:rsidRDefault="005942CB" w:rsidP="005942CB">
      <w:pPr>
        <w:rPr>
          <w:b/>
          <w:bCs/>
        </w:rPr>
      </w:pPr>
      <w:r w:rsidRPr="0031145E">
        <w:rPr>
          <w:b/>
          <w:bCs/>
        </w:rPr>
        <w:t>Item [</w:t>
      </w:r>
      <w:r>
        <w:rPr>
          <w:b/>
          <w:bCs/>
        </w:rPr>
        <w:t>3</w:t>
      </w:r>
      <w:r w:rsidRPr="0031145E">
        <w:rPr>
          <w:b/>
          <w:bCs/>
        </w:rPr>
        <w:t>]</w:t>
      </w:r>
      <w:r>
        <w:rPr>
          <w:b/>
          <w:bCs/>
        </w:rPr>
        <w:t xml:space="preserve"> – Paragraph 5(1)(c)</w:t>
      </w:r>
    </w:p>
    <w:p w:rsidR="005942CB" w:rsidRDefault="005942CB" w:rsidP="005942CB"/>
    <w:p w:rsidR="005942CB" w:rsidRDefault="005942CB" w:rsidP="005942CB">
      <w:r>
        <w:t>This item makes a typographical change to reflect the addition of new paragraph 5(1)(d) by Item [4].</w:t>
      </w:r>
    </w:p>
    <w:p w:rsidR="005942CB" w:rsidRDefault="005942CB" w:rsidP="005942CB"/>
    <w:p w:rsidR="005942CB" w:rsidRPr="0031145E" w:rsidRDefault="005942CB" w:rsidP="005942CB">
      <w:pPr>
        <w:rPr>
          <w:b/>
          <w:bCs/>
        </w:rPr>
      </w:pPr>
      <w:r w:rsidRPr="0031145E">
        <w:rPr>
          <w:b/>
          <w:bCs/>
        </w:rPr>
        <w:t>Item [</w:t>
      </w:r>
      <w:r>
        <w:rPr>
          <w:b/>
          <w:bCs/>
        </w:rPr>
        <w:t>4</w:t>
      </w:r>
      <w:r w:rsidRPr="0031145E">
        <w:rPr>
          <w:b/>
          <w:bCs/>
        </w:rPr>
        <w:t>]</w:t>
      </w:r>
      <w:r>
        <w:rPr>
          <w:b/>
          <w:bCs/>
        </w:rPr>
        <w:t xml:space="preserve"> – After paragraph 5(1)(c)</w:t>
      </w:r>
    </w:p>
    <w:p w:rsidR="005942CB" w:rsidRDefault="005942CB" w:rsidP="005942CB"/>
    <w:p w:rsidR="005942CB" w:rsidRPr="00E23274" w:rsidRDefault="005942CB" w:rsidP="005942CB">
      <w:r>
        <w:t>This item inserts a new paragraph into subsection 5(1) to expand the meaning of ‘</w:t>
      </w:r>
      <w:r w:rsidRPr="00A8286D">
        <w:rPr>
          <w:bCs/>
          <w:iCs/>
        </w:rPr>
        <w:t>identifying information</w:t>
      </w:r>
      <w:r>
        <w:rPr>
          <w:bCs/>
          <w:iCs/>
        </w:rPr>
        <w:t>’</w:t>
      </w:r>
      <w:r>
        <w:t xml:space="preserve"> to include</w:t>
      </w:r>
      <w:r w:rsidRPr="00FD0CDA">
        <w:rPr>
          <w:lang w:val="en-AU"/>
        </w:rPr>
        <w:t xml:space="preserve"> </w:t>
      </w:r>
      <w:r>
        <w:rPr>
          <w:lang w:val="en-AU"/>
        </w:rPr>
        <w:t xml:space="preserve">the status of the healthcare provider’s healthcare identifier, for example, whether it is active, deactivated or retired.  This </w:t>
      </w:r>
      <w:r>
        <w:t>ensures the HI Service Operator can share critical information with the PCEHR System Operator for PCEHR system purposes.</w:t>
      </w:r>
    </w:p>
    <w:p w:rsidR="005942CB" w:rsidRDefault="005942CB" w:rsidP="005942CB">
      <w:pPr>
        <w:rPr>
          <w:lang w:val="en-AU"/>
        </w:rPr>
      </w:pPr>
    </w:p>
    <w:p w:rsidR="005B6100" w:rsidRPr="0031145E" w:rsidRDefault="004019AE" w:rsidP="00FE327D">
      <w:pPr>
        <w:rPr>
          <w:b/>
          <w:bCs/>
        </w:rPr>
      </w:pPr>
      <w:r w:rsidRPr="0031145E">
        <w:rPr>
          <w:b/>
          <w:bCs/>
        </w:rPr>
        <w:t>Item [</w:t>
      </w:r>
      <w:r w:rsidR="005942CB">
        <w:rPr>
          <w:b/>
          <w:bCs/>
        </w:rPr>
        <w:t>5</w:t>
      </w:r>
      <w:r w:rsidRPr="0031145E">
        <w:rPr>
          <w:b/>
          <w:bCs/>
        </w:rPr>
        <w:t>]</w:t>
      </w:r>
      <w:r w:rsidR="00760C85">
        <w:rPr>
          <w:b/>
          <w:bCs/>
        </w:rPr>
        <w:t xml:space="preserve"> – Paragraph 5(2)(c)</w:t>
      </w:r>
    </w:p>
    <w:p w:rsidR="004019AE" w:rsidRDefault="004019AE" w:rsidP="00FE327D"/>
    <w:p w:rsidR="004019AE" w:rsidRDefault="004019AE" w:rsidP="00FE327D">
      <w:r>
        <w:t>This item make</w:t>
      </w:r>
      <w:r w:rsidR="001F544B">
        <w:t>s</w:t>
      </w:r>
      <w:r>
        <w:t xml:space="preserve"> a typographical change to reflect the addition of new paragraph</w:t>
      </w:r>
      <w:r w:rsidR="002B143B">
        <w:t>s</w:t>
      </w:r>
      <w:r>
        <w:t xml:space="preserve"> 5(2)(d)</w:t>
      </w:r>
      <w:r w:rsidR="00D22DF5">
        <w:t xml:space="preserve"> to (k)</w:t>
      </w:r>
      <w:r>
        <w:t xml:space="preserve"> by Item [</w:t>
      </w:r>
      <w:r w:rsidR="005942CB">
        <w:t>6</w:t>
      </w:r>
      <w:r>
        <w:t>].</w:t>
      </w:r>
    </w:p>
    <w:p w:rsidR="004019AE" w:rsidRDefault="004019AE" w:rsidP="00FE327D"/>
    <w:p w:rsidR="005942CB" w:rsidRDefault="005942CB">
      <w:pPr>
        <w:rPr>
          <w:b/>
          <w:bCs/>
        </w:rPr>
      </w:pPr>
      <w:r>
        <w:rPr>
          <w:b/>
          <w:bCs/>
        </w:rPr>
        <w:br w:type="page"/>
      </w:r>
    </w:p>
    <w:p w:rsidR="004019AE" w:rsidRPr="0031145E" w:rsidRDefault="004019AE" w:rsidP="00FE327D">
      <w:pPr>
        <w:rPr>
          <w:b/>
          <w:bCs/>
        </w:rPr>
      </w:pPr>
      <w:r w:rsidRPr="0031145E">
        <w:rPr>
          <w:b/>
          <w:bCs/>
        </w:rPr>
        <w:lastRenderedPageBreak/>
        <w:t>Item [</w:t>
      </w:r>
      <w:r w:rsidR="005942CB">
        <w:rPr>
          <w:b/>
          <w:bCs/>
        </w:rPr>
        <w:t>6</w:t>
      </w:r>
      <w:r w:rsidRPr="0031145E">
        <w:rPr>
          <w:b/>
          <w:bCs/>
        </w:rPr>
        <w:t>]</w:t>
      </w:r>
      <w:r w:rsidR="00760C85">
        <w:rPr>
          <w:b/>
          <w:bCs/>
        </w:rPr>
        <w:t xml:space="preserve"> – After paragraph 5(2)(c)</w:t>
      </w:r>
    </w:p>
    <w:p w:rsidR="004019AE" w:rsidRDefault="004019AE" w:rsidP="00FE327D"/>
    <w:p w:rsidR="004019AE" w:rsidRPr="00E23274" w:rsidRDefault="001F544B" w:rsidP="004019AE">
      <w:r>
        <w:t>This item</w:t>
      </w:r>
      <w:r w:rsidR="004019AE">
        <w:t xml:space="preserve"> insert</w:t>
      </w:r>
      <w:r>
        <w:t>s</w:t>
      </w:r>
      <w:r w:rsidR="004019AE">
        <w:t xml:space="preserve"> new paragraph</w:t>
      </w:r>
      <w:r w:rsidR="001C6043">
        <w:t>s</w:t>
      </w:r>
      <w:r w:rsidR="004019AE">
        <w:t xml:space="preserve"> into sub</w:t>
      </w:r>
      <w:r w:rsidR="002B143B">
        <w:t>section</w:t>
      </w:r>
      <w:r w:rsidR="004019AE">
        <w:t xml:space="preserve"> 5(2) to </w:t>
      </w:r>
      <w:r w:rsidR="00F9044D">
        <w:t>expand the</w:t>
      </w:r>
      <w:r w:rsidR="004019AE">
        <w:t xml:space="preserve"> meaning of </w:t>
      </w:r>
      <w:r w:rsidR="00413F6F">
        <w:t>‘</w:t>
      </w:r>
      <w:r w:rsidR="004019AE" w:rsidRPr="00A8286D">
        <w:rPr>
          <w:bCs/>
          <w:iCs/>
        </w:rPr>
        <w:t>identifying information</w:t>
      </w:r>
      <w:r w:rsidR="00413F6F">
        <w:rPr>
          <w:bCs/>
          <w:iCs/>
        </w:rPr>
        <w:t>’</w:t>
      </w:r>
      <w:r w:rsidR="004019AE">
        <w:t xml:space="preserve"> </w:t>
      </w:r>
      <w:r w:rsidR="00F9044D">
        <w:t xml:space="preserve">to </w:t>
      </w:r>
      <w:r w:rsidR="004019AE">
        <w:t xml:space="preserve">include </w:t>
      </w:r>
      <w:r w:rsidR="00D22DF5">
        <w:t>additional</w:t>
      </w:r>
      <w:r w:rsidR="004019AE">
        <w:t xml:space="preserve"> </w:t>
      </w:r>
      <w:r w:rsidR="00F9044D">
        <w:t>details</w:t>
      </w:r>
      <w:r w:rsidR="00332B22">
        <w:t xml:space="preserve">, </w:t>
      </w:r>
      <w:r w:rsidR="004019AE">
        <w:t>ensur</w:t>
      </w:r>
      <w:r w:rsidR="00332B22">
        <w:t>ing</w:t>
      </w:r>
      <w:r w:rsidR="004019AE">
        <w:t xml:space="preserve"> the HI Service Operator can share critical information with the PCEHR System Operator</w:t>
      </w:r>
      <w:r w:rsidR="00332B22">
        <w:t xml:space="preserve"> for PCEHR system purposes</w:t>
      </w:r>
      <w:r w:rsidR="004019AE">
        <w:t>.</w:t>
      </w:r>
    </w:p>
    <w:p w:rsidR="004019AE" w:rsidRDefault="004019AE" w:rsidP="004019AE">
      <w:pPr>
        <w:rPr>
          <w:lang w:val="en-AU"/>
        </w:rPr>
      </w:pPr>
    </w:p>
    <w:p w:rsidR="004019AE" w:rsidRDefault="004019AE" w:rsidP="004019AE">
      <w:pPr>
        <w:rPr>
          <w:lang w:val="en-AU"/>
        </w:rPr>
      </w:pPr>
      <w:r>
        <w:rPr>
          <w:lang w:val="en-AU"/>
        </w:rPr>
        <w:t xml:space="preserve">Under subsection 7(2) of the </w:t>
      </w:r>
      <w:r w:rsidR="00760C85" w:rsidRPr="00760C85">
        <w:rPr>
          <w:i/>
          <w:iCs/>
          <w:lang w:val="en-AU"/>
        </w:rPr>
        <w:t>Healthcare Identifiers Act 2010</w:t>
      </w:r>
      <w:r w:rsidR="00760C85">
        <w:rPr>
          <w:lang w:val="en-AU"/>
        </w:rPr>
        <w:t xml:space="preserve"> (</w:t>
      </w:r>
      <w:r>
        <w:rPr>
          <w:lang w:val="en-AU"/>
        </w:rPr>
        <w:t>HI Act</w:t>
      </w:r>
      <w:r w:rsidR="00760C85">
        <w:rPr>
          <w:lang w:val="en-AU"/>
        </w:rPr>
        <w:t>)</w:t>
      </w:r>
      <w:r>
        <w:rPr>
          <w:lang w:val="en-AU"/>
        </w:rPr>
        <w:t xml:space="preserve">, certain information about healthcare provider organisations is defined as </w:t>
      </w:r>
      <w:r w:rsidRPr="00A8286D">
        <w:rPr>
          <w:bCs/>
          <w:iCs/>
          <w:lang w:val="en-AU"/>
        </w:rPr>
        <w:t>identifying information</w:t>
      </w:r>
      <w:r>
        <w:rPr>
          <w:lang w:val="en-AU"/>
        </w:rPr>
        <w:t>.  Paragraph 7(2)(e) provides that regulations may prescribe other information for the purposes of this definition.</w:t>
      </w:r>
    </w:p>
    <w:p w:rsidR="004019AE" w:rsidRDefault="004019AE" w:rsidP="004019AE">
      <w:pPr>
        <w:rPr>
          <w:lang w:val="en-AU"/>
        </w:rPr>
      </w:pPr>
    </w:p>
    <w:p w:rsidR="004019AE" w:rsidRDefault="004019AE" w:rsidP="00CD076F">
      <w:pPr>
        <w:spacing w:after="120"/>
        <w:rPr>
          <w:lang w:val="en-AU"/>
        </w:rPr>
      </w:pPr>
      <w:r>
        <w:rPr>
          <w:lang w:val="en-AU"/>
        </w:rPr>
        <w:t>It is necessary that the following information be prescribed to be identifying information:</w:t>
      </w:r>
    </w:p>
    <w:p w:rsidR="004019AE" w:rsidRDefault="004019AE" w:rsidP="00A8286D">
      <w:pPr>
        <w:numPr>
          <w:ilvl w:val="0"/>
          <w:numId w:val="15"/>
        </w:numPr>
        <w:spacing w:after="120"/>
        <w:ind w:left="568" w:hanging="284"/>
        <w:rPr>
          <w:lang w:val="en-AU"/>
        </w:rPr>
      </w:pPr>
      <w:r>
        <w:rPr>
          <w:lang w:val="en-AU"/>
        </w:rPr>
        <w:t>the status of the healthcare provider organisation’s healthcare identifier, for example, whether it is active, deactivated or retired;</w:t>
      </w:r>
    </w:p>
    <w:p w:rsidR="004019AE" w:rsidRDefault="004019AE" w:rsidP="00A8286D">
      <w:pPr>
        <w:numPr>
          <w:ilvl w:val="0"/>
          <w:numId w:val="15"/>
        </w:numPr>
        <w:spacing w:after="120"/>
        <w:ind w:left="568" w:hanging="284"/>
        <w:rPr>
          <w:lang w:val="en-AU"/>
        </w:rPr>
      </w:pPr>
      <w:r>
        <w:rPr>
          <w:lang w:val="en-AU"/>
        </w:rPr>
        <w:t xml:space="preserve">to the extent it is not already covered by paragraph 7(2)(a) </w:t>
      </w:r>
      <w:r w:rsidR="00332B22">
        <w:rPr>
          <w:lang w:val="en-AU"/>
        </w:rPr>
        <w:t xml:space="preserve">of the HI Act </w:t>
      </w:r>
      <w:r>
        <w:rPr>
          <w:lang w:val="en-AU"/>
        </w:rPr>
        <w:t>(that is, the name of the healthcare provider), the trading name of the healthcare provider organisation;</w:t>
      </w:r>
    </w:p>
    <w:p w:rsidR="004019AE" w:rsidRDefault="004019AE" w:rsidP="00A8286D">
      <w:pPr>
        <w:numPr>
          <w:ilvl w:val="0"/>
          <w:numId w:val="15"/>
        </w:numPr>
        <w:spacing w:after="120"/>
        <w:ind w:left="568" w:hanging="284"/>
        <w:rPr>
          <w:lang w:val="en-AU"/>
        </w:rPr>
      </w:pPr>
      <w:r>
        <w:rPr>
          <w:lang w:val="en-AU"/>
        </w:rPr>
        <w:t>the healthcare provider organisation’s service type</w:t>
      </w:r>
      <w:r w:rsidR="00F9044D">
        <w:rPr>
          <w:lang w:val="en-AU"/>
        </w:rPr>
        <w:t xml:space="preserve"> (e.g.</w:t>
      </w:r>
      <w:r>
        <w:rPr>
          <w:lang w:val="en-AU"/>
        </w:rPr>
        <w:t xml:space="preserve"> hospital or general practice</w:t>
      </w:r>
      <w:r w:rsidR="00F9044D">
        <w:rPr>
          <w:lang w:val="en-AU"/>
        </w:rPr>
        <w:t>)</w:t>
      </w:r>
      <w:r>
        <w:rPr>
          <w:lang w:val="en-AU"/>
        </w:rPr>
        <w:t>;</w:t>
      </w:r>
    </w:p>
    <w:p w:rsidR="004019AE" w:rsidRDefault="004019AE" w:rsidP="00A8286D">
      <w:pPr>
        <w:numPr>
          <w:ilvl w:val="0"/>
          <w:numId w:val="15"/>
        </w:numPr>
        <w:spacing w:after="120"/>
        <w:ind w:left="568" w:hanging="284"/>
        <w:rPr>
          <w:lang w:val="en-AU"/>
        </w:rPr>
      </w:pPr>
      <w:r>
        <w:rPr>
          <w:lang w:val="en-AU"/>
        </w:rPr>
        <w:t>the names</w:t>
      </w:r>
      <w:r w:rsidR="00963A88">
        <w:rPr>
          <w:lang w:val="en-AU"/>
        </w:rPr>
        <w:t>,</w:t>
      </w:r>
      <w:r>
        <w:rPr>
          <w:lang w:val="en-AU"/>
        </w:rPr>
        <w:t xml:space="preserve"> </w:t>
      </w:r>
      <w:r w:rsidR="00324419">
        <w:rPr>
          <w:lang w:val="en-AU"/>
        </w:rPr>
        <w:t xml:space="preserve">personal and </w:t>
      </w:r>
      <w:r w:rsidR="00332B22">
        <w:rPr>
          <w:lang w:val="en-AU"/>
        </w:rPr>
        <w:t xml:space="preserve">contact details </w:t>
      </w:r>
      <w:r w:rsidR="00963A88">
        <w:rPr>
          <w:lang w:val="en-AU"/>
        </w:rPr>
        <w:t xml:space="preserve">and </w:t>
      </w:r>
      <w:r w:rsidR="001456A6">
        <w:rPr>
          <w:lang w:val="en-AU"/>
        </w:rPr>
        <w:t>identifying numbers</w:t>
      </w:r>
      <w:r w:rsidR="00963A88">
        <w:rPr>
          <w:lang w:val="en-AU"/>
        </w:rPr>
        <w:t xml:space="preserve"> </w:t>
      </w:r>
      <w:r>
        <w:rPr>
          <w:lang w:val="en-AU"/>
        </w:rPr>
        <w:t>of the healthcare provider organisation’s Responsible Officer (</w:t>
      </w:r>
      <w:r w:rsidR="00850EA9">
        <w:rPr>
          <w:lang w:val="en-AU"/>
        </w:rPr>
        <w:t xml:space="preserve">the officer with </w:t>
      </w:r>
      <w:proofErr w:type="spellStart"/>
      <w:r w:rsidR="00850EA9">
        <w:rPr>
          <w:lang w:val="en-AU"/>
        </w:rPr>
        <w:t>day</w:t>
      </w:r>
      <w:r w:rsidR="001456A6">
        <w:rPr>
          <w:lang w:val="en-AU"/>
        </w:rPr>
        <w:noBreakHyphen/>
      </w:r>
      <w:r w:rsidR="00850EA9">
        <w:rPr>
          <w:lang w:val="en-AU"/>
        </w:rPr>
        <w:t>to</w:t>
      </w:r>
      <w:r w:rsidR="001456A6">
        <w:rPr>
          <w:lang w:val="en-AU"/>
        </w:rPr>
        <w:noBreakHyphen/>
      </w:r>
      <w:r w:rsidR="00850EA9">
        <w:rPr>
          <w:lang w:val="en-AU"/>
        </w:rPr>
        <w:t>day</w:t>
      </w:r>
      <w:proofErr w:type="spellEnd"/>
      <w:r w:rsidR="00850EA9">
        <w:rPr>
          <w:lang w:val="en-AU"/>
        </w:rPr>
        <w:t xml:space="preserve"> contact with the HI Service Operator to manage the healthcare identifiers of the organisation</w:t>
      </w:r>
      <w:r w:rsidR="00332B22">
        <w:rPr>
          <w:lang w:val="en-AU"/>
        </w:rPr>
        <w:t>)</w:t>
      </w:r>
      <w:r>
        <w:rPr>
          <w:lang w:val="en-AU"/>
        </w:rPr>
        <w:t xml:space="preserve"> and Organisation Maintenance Officer(s) (</w:t>
      </w:r>
      <w:r w:rsidR="00850EA9">
        <w:rPr>
          <w:lang w:val="en-AU"/>
        </w:rPr>
        <w:t>a delegate of the Responsible Officer</w:t>
      </w:r>
      <w:r>
        <w:rPr>
          <w:lang w:val="en-AU"/>
        </w:rPr>
        <w:t>);</w:t>
      </w:r>
    </w:p>
    <w:p w:rsidR="004019AE" w:rsidRDefault="004019AE" w:rsidP="00A8286D">
      <w:pPr>
        <w:numPr>
          <w:ilvl w:val="0"/>
          <w:numId w:val="15"/>
        </w:numPr>
        <w:spacing w:after="120"/>
        <w:ind w:left="568" w:hanging="284"/>
        <w:rPr>
          <w:lang w:val="en-AU"/>
        </w:rPr>
      </w:pPr>
      <w:r>
        <w:rPr>
          <w:lang w:val="en-AU"/>
        </w:rPr>
        <w:t>the identifying number assigned to the healthcare provider organisation’s Responsible Officer and Organisation Maintenance Officer(s) by the HI Service Operator;</w:t>
      </w:r>
    </w:p>
    <w:p w:rsidR="004019AE" w:rsidRDefault="004019AE" w:rsidP="00A8286D">
      <w:pPr>
        <w:numPr>
          <w:ilvl w:val="0"/>
          <w:numId w:val="15"/>
        </w:numPr>
        <w:spacing w:after="120"/>
        <w:ind w:left="568" w:hanging="284"/>
        <w:rPr>
          <w:lang w:val="en-AU"/>
        </w:rPr>
      </w:pPr>
      <w:r>
        <w:rPr>
          <w:lang w:val="en-AU"/>
        </w:rPr>
        <w:t>evidence of identity (</w:t>
      </w:r>
      <w:r>
        <w:rPr>
          <w:bCs/>
          <w:lang w:val="en-AU"/>
        </w:rPr>
        <w:t>EOI</w:t>
      </w:r>
      <w:r>
        <w:rPr>
          <w:lang w:val="en-AU"/>
        </w:rPr>
        <w:t>) details in relation to the healthcare provider organisation’s Responsible Officer and Organisation Maintenance Officer(s).  EOI checks will be performed by the HI Service Operator or</w:t>
      </w:r>
      <w:r w:rsidR="00850EA9" w:rsidRPr="00850EA9">
        <w:rPr>
          <w:lang w:val="en-AU"/>
        </w:rPr>
        <w:t xml:space="preserve"> </w:t>
      </w:r>
      <w:r w:rsidR="00850EA9">
        <w:rPr>
          <w:lang w:val="en-AU"/>
        </w:rPr>
        <w:t xml:space="preserve">the Australian Health Practitioner Regulation Agency (AHPRA), depending on whether the </w:t>
      </w:r>
      <w:r w:rsidR="009E4A76">
        <w:rPr>
          <w:lang w:val="en-AU"/>
        </w:rPr>
        <w:t xml:space="preserve">Responsible Officer or Organisation Maintenance Officer is a healthcare provider registered by </w:t>
      </w:r>
      <w:r w:rsidR="00850EA9">
        <w:rPr>
          <w:lang w:val="en-AU"/>
        </w:rPr>
        <w:t>AHPRA (e.g. medical practitioners)</w:t>
      </w:r>
      <w:r>
        <w:rPr>
          <w:lang w:val="en-AU"/>
        </w:rPr>
        <w:t xml:space="preserve">.  EOI details may include whether a Responsible Officer or Organisation Maintenance Officer has undertaken an EOI process and, if so, whether the process was successful, the name of the organisation performing the EOI check </w:t>
      </w:r>
      <w:r w:rsidR="00F9044D">
        <w:rPr>
          <w:lang w:val="en-AU"/>
        </w:rPr>
        <w:t xml:space="preserve">and </w:t>
      </w:r>
      <w:r>
        <w:rPr>
          <w:lang w:val="en-AU"/>
        </w:rPr>
        <w:t xml:space="preserve">when the EOI was performed; </w:t>
      </w:r>
    </w:p>
    <w:p w:rsidR="004019AE" w:rsidRDefault="004019AE" w:rsidP="00A8286D">
      <w:pPr>
        <w:numPr>
          <w:ilvl w:val="0"/>
          <w:numId w:val="15"/>
        </w:numPr>
        <w:spacing w:after="120"/>
        <w:ind w:left="568" w:hanging="284"/>
        <w:rPr>
          <w:lang w:val="en-AU"/>
        </w:rPr>
      </w:pPr>
      <w:r>
        <w:rPr>
          <w:lang w:val="en-AU"/>
        </w:rPr>
        <w:t xml:space="preserve">the </w:t>
      </w:r>
      <w:r w:rsidR="00F9044D">
        <w:rPr>
          <w:lang w:val="en-AU"/>
        </w:rPr>
        <w:t xml:space="preserve">network address and technical requirements of the </w:t>
      </w:r>
      <w:r>
        <w:rPr>
          <w:lang w:val="en-AU"/>
        </w:rPr>
        <w:t>healthcare provider organisation</w:t>
      </w:r>
      <w:r w:rsidR="00F9044D">
        <w:rPr>
          <w:lang w:val="en-AU"/>
        </w:rPr>
        <w:t xml:space="preserve"> that enable</w:t>
      </w:r>
      <w:r w:rsidR="00944201">
        <w:rPr>
          <w:lang w:val="en-AU"/>
        </w:rPr>
        <w:t>s</w:t>
      </w:r>
      <w:r w:rsidR="00F9044D">
        <w:rPr>
          <w:lang w:val="en-AU"/>
        </w:rPr>
        <w:t xml:space="preserve"> secure electronic messages to be sent to the organisation</w:t>
      </w:r>
      <w:r>
        <w:rPr>
          <w:lang w:val="en-AU"/>
        </w:rPr>
        <w:t>; and</w:t>
      </w:r>
    </w:p>
    <w:p w:rsidR="004019AE" w:rsidRPr="00A765B7" w:rsidRDefault="004019AE" w:rsidP="00A8286D">
      <w:pPr>
        <w:numPr>
          <w:ilvl w:val="0"/>
          <w:numId w:val="15"/>
        </w:numPr>
        <w:ind w:left="568" w:hanging="284"/>
        <w:rPr>
          <w:lang w:val="en-AU"/>
        </w:rPr>
      </w:pPr>
      <w:r>
        <w:rPr>
          <w:lang w:val="en-AU"/>
        </w:rPr>
        <w:t>where a healthcare provider organisation (‘</w:t>
      </w:r>
      <w:r w:rsidRPr="008D613E">
        <w:rPr>
          <w:bCs/>
          <w:lang w:val="en-AU"/>
        </w:rPr>
        <w:t>the first provider</w:t>
      </w:r>
      <w:r>
        <w:rPr>
          <w:bCs/>
          <w:lang w:val="en-AU"/>
        </w:rPr>
        <w:t>’</w:t>
      </w:r>
      <w:r>
        <w:rPr>
          <w:lang w:val="en-AU"/>
        </w:rPr>
        <w:t xml:space="preserve">) is part of a network hierarchy (that is, the first provider is a ‘seed organisation’ with subordinate network organisations, or is itself a ‘network organisation’, as defined in </w:t>
      </w:r>
      <w:r w:rsidR="00006DB8">
        <w:rPr>
          <w:lang w:val="en-AU"/>
        </w:rPr>
        <w:t>sub</w:t>
      </w:r>
      <w:r>
        <w:rPr>
          <w:lang w:val="en-AU"/>
        </w:rPr>
        <w:t xml:space="preserve">sections 9A(3) and 9A(6) of the HI Act), the other healthcare </w:t>
      </w:r>
      <w:r>
        <w:rPr>
          <w:lang w:val="en-AU"/>
        </w:rPr>
        <w:lastRenderedPageBreak/>
        <w:t>provider organisations that are linked to the first provider</w:t>
      </w:r>
      <w:r w:rsidR="00BC1EE4">
        <w:rPr>
          <w:lang w:val="en-AU"/>
        </w:rPr>
        <w:t>,</w:t>
      </w:r>
      <w:r w:rsidR="00BC1EE4" w:rsidRPr="00BC1EE4">
        <w:rPr>
          <w:lang w:val="en-AU"/>
        </w:rPr>
        <w:t xml:space="preserve"> </w:t>
      </w:r>
      <w:r w:rsidR="00BC1EE4">
        <w:rPr>
          <w:lang w:val="en-AU"/>
        </w:rPr>
        <w:t>and whether the first provider is a seed organisation or network organisation</w:t>
      </w:r>
      <w:r>
        <w:rPr>
          <w:lang w:val="en-AU"/>
        </w:rPr>
        <w:t>.</w:t>
      </w:r>
    </w:p>
    <w:p w:rsidR="004019AE" w:rsidRDefault="004019AE" w:rsidP="004019AE">
      <w:pPr>
        <w:rPr>
          <w:lang w:val="en-AU"/>
        </w:rPr>
      </w:pPr>
    </w:p>
    <w:p w:rsidR="00006DB8" w:rsidRDefault="00006DB8" w:rsidP="00CD076F">
      <w:pPr>
        <w:spacing w:after="120"/>
        <w:rPr>
          <w:lang w:val="en-AU"/>
        </w:rPr>
      </w:pPr>
      <w:r>
        <w:rPr>
          <w:lang w:val="en-AU"/>
        </w:rPr>
        <w:t>This information is necessary for the performance of the HI Service Operator’s functions under a number of provisions in the HI Act, including:</w:t>
      </w:r>
    </w:p>
    <w:p w:rsidR="004019AE" w:rsidRDefault="004019AE" w:rsidP="00A8286D">
      <w:pPr>
        <w:numPr>
          <w:ilvl w:val="0"/>
          <w:numId w:val="16"/>
        </w:numPr>
        <w:spacing w:after="120"/>
        <w:ind w:left="568" w:hanging="284"/>
        <w:rPr>
          <w:lang w:val="en-AU"/>
        </w:rPr>
      </w:pPr>
      <w:r>
        <w:rPr>
          <w:lang w:val="en-AU"/>
        </w:rPr>
        <w:t xml:space="preserve">assigning healthcare identifiers to healthcare provider organisations; </w:t>
      </w:r>
    </w:p>
    <w:p w:rsidR="004019AE" w:rsidRDefault="004019AE" w:rsidP="00A8286D">
      <w:pPr>
        <w:numPr>
          <w:ilvl w:val="0"/>
          <w:numId w:val="16"/>
        </w:numPr>
        <w:spacing w:after="120"/>
        <w:ind w:left="568" w:hanging="284"/>
        <w:rPr>
          <w:lang w:val="en-AU"/>
        </w:rPr>
      </w:pPr>
      <w:r>
        <w:rPr>
          <w:lang w:val="en-AU"/>
        </w:rPr>
        <w:t>publishing professional and business details of a healthcare provider organisation to the healthcare provider directory; and</w:t>
      </w:r>
    </w:p>
    <w:p w:rsidR="004019AE" w:rsidRDefault="00F9044D" w:rsidP="00A8286D">
      <w:pPr>
        <w:numPr>
          <w:ilvl w:val="0"/>
          <w:numId w:val="16"/>
        </w:numPr>
        <w:ind w:left="568" w:hanging="284"/>
        <w:rPr>
          <w:lang w:val="en-AU"/>
        </w:rPr>
      </w:pPr>
      <w:r>
        <w:rPr>
          <w:lang w:val="en-AU"/>
        </w:rPr>
        <w:t>enabling the</w:t>
      </w:r>
      <w:r w:rsidR="004019AE">
        <w:rPr>
          <w:lang w:val="en-AU"/>
        </w:rPr>
        <w:t xml:space="preserve"> PCEHR System Operator to create and maintain a database of healthcare provider organisations registered to participate in the PCEHR system for the purposes of section 56 of the PCEHR Act.</w:t>
      </w:r>
    </w:p>
    <w:p w:rsidR="004019AE" w:rsidRDefault="004019AE" w:rsidP="00FE327D"/>
    <w:p w:rsidR="00963A88" w:rsidRDefault="001F544B" w:rsidP="00006DB8">
      <w:pPr>
        <w:rPr>
          <w:lang w:val="en-AU"/>
        </w:rPr>
      </w:pPr>
      <w:r>
        <w:rPr>
          <w:lang w:val="en-AU"/>
        </w:rPr>
        <w:t>Paragraphs 5(3)(d) to (</w:t>
      </w:r>
      <w:r w:rsidR="00963A88">
        <w:rPr>
          <w:lang w:val="en-AU"/>
        </w:rPr>
        <w:t>n</w:t>
      </w:r>
      <w:r>
        <w:rPr>
          <w:lang w:val="en-AU"/>
        </w:rPr>
        <w:t>)</w:t>
      </w:r>
      <w:r w:rsidR="00006DB8">
        <w:rPr>
          <w:lang w:val="en-AU"/>
        </w:rPr>
        <w:t xml:space="preserve"> prescribe the information described above as identifying information in order to enable the HI Service Operator to carry out its expanded functions.</w:t>
      </w:r>
    </w:p>
    <w:p w:rsidR="00006DB8" w:rsidRDefault="00006DB8" w:rsidP="00006DB8">
      <w:pPr>
        <w:rPr>
          <w:lang w:val="en-AU"/>
        </w:rPr>
      </w:pPr>
      <w:r>
        <w:rPr>
          <w:lang w:val="en-AU"/>
        </w:rPr>
        <w:t xml:space="preserve"> </w:t>
      </w:r>
    </w:p>
    <w:p w:rsidR="004019AE" w:rsidRPr="0031145E" w:rsidRDefault="004019AE" w:rsidP="00FE327D">
      <w:pPr>
        <w:rPr>
          <w:b/>
          <w:bCs/>
        </w:rPr>
      </w:pPr>
      <w:r w:rsidRPr="0031145E">
        <w:rPr>
          <w:b/>
          <w:bCs/>
        </w:rPr>
        <w:t>Item [</w:t>
      </w:r>
      <w:r w:rsidR="005942CB">
        <w:rPr>
          <w:b/>
          <w:bCs/>
        </w:rPr>
        <w:t>7</w:t>
      </w:r>
      <w:r w:rsidRPr="0031145E">
        <w:rPr>
          <w:b/>
          <w:bCs/>
        </w:rPr>
        <w:t>]</w:t>
      </w:r>
      <w:r w:rsidR="00760C85">
        <w:rPr>
          <w:b/>
          <w:bCs/>
        </w:rPr>
        <w:t xml:space="preserve"> – After regulation 8</w:t>
      </w:r>
    </w:p>
    <w:p w:rsidR="004019AE" w:rsidRDefault="004019AE" w:rsidP="00FE327D"/>
    <w:p w:rsidR="00177721" w:rsidRDefault="001F544B" w:rsidP="00FE327D">
      <w:r>
        <w:t>This item</w:t>
      </w:r>
      <w:r w:rsidR="004019AE">
        <w:t xml:space="preserve"> insert</w:t>
      </w:r>
      <w:r>
        <w:t>s</w:t>
      </w:r>
      <w:r w:rsidR="004019AE">
        <w:t xml:space="preserve"> new </w:t>
      </w:r>
      <w:r w:rsidR="002B143B">
        <w:t>section</w:t>
      </w:r>
      <w:r w:rsidR="004019AE">
        <w:t xml:space="preserve"> </w:t>
      </w:r>
      <w:r w:rsidR="00100952">
        <w:t xml:space="preserve">12 </w:t>
      </w:r>
      <w:r w:rsidR="004019AE">
        <w:t xml:space="preserve">to </w:t>
      </w:r>
      <w:r w:rsidR="00177721">
        <w:t>prescribe additional types of Commonwealth records under paragraph 22D(3)(a) of the HI Act that may be collected, used and disclosed.</w:t>
      </w:r>
    </w:p>
    <w:p w:rsidR="00177721" w:rsidRDefault="00177721" w:rsidP="00FE327D"/>
    <w:p w:rsidR="004019AE" w:rsidRDefault="004019AE" w:rsidP="004019AE">
      <w:pPr>
        <w:rPr>
          <w:lang w:val="en-AU"/>
        </w:rPr>
      </w:pPr>
      <w:r>
        <w:t xml:space="preserve">Certain information held by DVA </w:t>
      </w:r>
      <w:r w:rsidR="007E22C6">
        <w:t>will</w:t>
      </w:r>
      <w:r>
        <w:t xml:space="preserve"> be of value</w:t>
      </w:r>
      <w:r w:rsidR="00F9044D">
        <w:t xml:space="preserve"> to the PCEHR system</w:t>
      </w:r>
      <w:r>
        <w:t xml:space="preserve"> if it were included in a consumer’s PCEHR, such as Repatriation Pharmaceutical Benefits Scheme information and DVA claims information.  DVA claims information refers to claims relating to DVA program</w:t>
      </w:r>
      <w:r w:rsidR="00D22DF5">
        <w:t>s</w:t>
      </w:r>
      <w:r>
        <w:t xml:space="preserve"> operating under the </w:t>
      </w:r>
      <w:r w:rsidRPr="000C3B23">
        <w:rPr>
          <w:i/>
          <w:iCs/>
        </w:rPr>
        <w:t>V</w:t>
      </w:r>
      <w:proofErr w:type="spellStart"/>
      <w:r w:rsidRPr="007E5D29">
        <w:rPr>
          <w:i/>
          <w:lang w:val="en-AU"/>
        </w:rPr>
        <w:t>eterans</w:t>
      </w:r>
      <w:proofErr w:type="spellEnd"/>
      <w:r w:rsidRPr="007E5D29">
        <w:rPr>
          <w:i/>
          <w:lang w:val="en-AU"/>
        </w:rPr>
        <w:t>’ Entitlements Act 1986</w:t>
      </w:r>
      <w:r>
        <w:rPr>
          <w:iCs/>
          <w:lang w:val="en-AU"/>
        </w:rPr>
        <w:t>,</w:t>
      </w:r>
      <w:r w:rsidR="00F9044D">
        <w:rPr>
          <w:iCs/>
          <w:lang w:val="en-AU"/>
        </w:rPr>
        <w:t xml:space="preserve"> the</w:t>
      </w:r>
      <w:r>
        <w:rPr>
          <w:iCs/>
          <w:lang w:val="en-AU"/>
        </w:rPr>
        <w:t xml:space="preserve"> </w:t>
      </w:r>
      <w:r w:rsidRPr="007E5D29">
        <w:rPr>
          <w:i/>
          <w:lang w:val="en-AU"/>
        </w:rPr>
        <w:t>Safety, Rehabilitation and Compensation Act 1988</w:t>
      </w:r>
      <w:r>
        <w:rPr>
          <w:i/>
          <w:lang w:val="en-AU"/>
        </w:rPr>
        <w:t xml:space="preserve"> </w:t>
      </w:r>
      <w:r>
        <w:rPr>
          <w:lang w:val="en-AU"/>
        </w:rPr>
        <w:t>and</w:t>
      </w:r>
      <w:r w:rsidR="00F9044D">
        <w:rPr>
          <w:lang w:val="en-AU"/>
        </w:rPr>
        <w:t xml:space="preserve"> the</w:t>
      </w:r>
      <w:r>
        <w:rPr>
          <w:lang w:val="en-AU"/>
        </w:rPr>
        <w:t xml:space="preserve"> </w:t>
      </w:r>
      <w:r w:rsidRPr="009A5650">
        <w:rPr>
          <w:i/>
          <w:lang w:val="en-AU"/>
        </w:rPr>
        <w:t xml:space="preserve">Military Rehabilitation </w:t>
      </w:r>
      <w:r w:rsidR="00980C42">
        <w:rPr>
          <w:i/>
          <w:lang w:val="en-AU"/>
        </w:rPr>
        <w:t xml:space="preserve">and </w:t>
      </w:r>
      <w:r w:rsidR="00980C42" w:rsidRPr="009A5650">
        <w:rPr>
          <w:i/>
          <w:lang w:val="en-AU"/>
        </w:rPr>
        <w:t xml:space="preserve">Compensation </w:t>
      </w:r>
      <w:r w:rsidRPr="009A5650">
        <w:rPr>
          <w:i/>
          <w:lang w:val="en-AU"/>
        </w:rPr>
        <w:t>Act 2004</w:t>
      </w:r>
      <w:r>
        <w:rPr>
          <w:iCs/>
          <w:lang w:val="en-AU"/>
        </w:rPr>
        <w:t>.</w:t>
      </w:r>
    </w:p>
    <w:p w:rsidR="004019AE" w:rsidRDefault="004019AE" w:rsidP="004019AE"/>
    <w:p w:rsidR="004019AE" w:rsidRDefault="004019AE" w:rsidP="004019AE">
      <w:r>
        <w:t xml:space="preserve">Subsection 22D(3) of the HI Act provides that regulations may be made to prescribe information for which </w:t>
      </w:r>
      <w:r w:rsidR="00F9044D">
        <w:t xml:space="preserve">Government </w:t>
      </w:r>
      <w:r>
        <w:t xml:space="preserve">departments are </w:t>
      </w:r>
      <w:proofErr w:type="spellStart"/>
      <w:r>
        <w:t>authorised</w:t>
      </w:r>
      <w:proofErr w:type="spellEnd"/>
      <w:r>
        <w:t xml:space="preserve"> to collect, use and disclose identifying information and the healthcare identifier of a consumer, for the inclusion of the prescribed information in the consumer’s PCEHR, subject to the consumer’s consent.</w:t>
      </w:r>
    </w:p>
    <w:p w:rsidR="004019AE" w:rsidRDefault="004019AE" w:rsidP="004019AE"/>
    <w:p w:rsidR="004019AE" w:rsidRDefault="004019AE" w:rsidP="004019AE">
      <w:r>
        <w:t xml:space="preserve">The </w:t>
      </w:r>
      <w:r w:rsidR="001F544B">
        <w:t xml:space="preserve">new </w:t>
      </w:r>
      <w:r w:rsidR="002B143B">
        <w:t xml:space="preserve">section </w:t>
      </w:r>
      <w:r w:rsidR="002F380E">
        <w:t>12</w:t>
      </w:r>
      <w:r>
        <w:t xml:space="preserve"> </w:t>
      </w:r>
      <w:proofErr w:type="spellStart"/>
      <w:r>
        <w:t>authorise</w:t>
      </w:r>
      <w:r w:rsidR="007E22C6">
        <w:t>s</w:t>
      </w:r>
      <w:proofErr w:type="spellEnd"/>
      <w:r>
        <w:t xml:space="preserve"> DVA to collect, use and disclose a consumer’s identifying information and healthcare identifier in order to include</w:t>
      </w:r>
      <w:r w:rsidRPr="00D6668F">
        <w:t xml:space="preserve"> </w:t>
      </w:r>
      <w:r>
        <w:t>DVA claims information and Repatriation Pharmaceutical Benefits Scheme information in a consumer’s PCEHR.  This allow</w:t>
      </w:r>
      <w:r w:rsidR="007E22C6">
        <w:t>s</w:t>
      </w:r>
      <w:r>
        <w:t xml:space="preserve"> DVA to attach a healthcare identifier to the information so that it is included in the correct PCEHR.</w:t>
      </w:r>
    </w:p>
    <w:p w:rsidR="004019AE" w:rsidRDefault="004019AE" w:rsidP="004019AE">
      <w:pPr>
        <w:rPr>
          <w:lang w:val="en-AU"/>
        </w:rPr>
      </w:pPr>
    </w:p>
    <w:p w:rsidR="00CF3979" w:rsidRDefault="004019AE" w:rsidP="00CF3979">
      <w:pPr>
        <w:pStyle w:val="Subtitle"/>
        <w:rPr>
          <w:u w:val="none"/>
        </w:rPr>
      </w:pPr>
      <w:r w:rsidRPr="00E700DA">
        <w:rPr>
          <w:szCs w:val="24"/>
          <w:u w:val="none"/>
          <w:lang w:val="en-US"/>
        </w:rPr>
        <w:t xml:space="preserve">This item </w:t>
      </w:r>
      <w:r w:rsidR="00760C85" w:rsidRPr="00E700DA">
        <w:rPr>
          <w:szCs w:val="24"/>
          <w:u w:val="none"/>
          <w:lang w:val="en-US"/>
        </w:rPr>
        <w:t xml:space="preserve">also </w:t>
      </w:r>
      <w:r w:rsidRPr="00E700DA">
        <w:rPr>
          <w:szCs w:val="24"/>
          <w:u w:val="none"/>
          <w:lang w:val="en-US"/>
        </w:rPr>
        <w:t>insert</w:t>
      </w:r>
      <w:r w:rsidR="001F544B">
        <w:rPr>
          <w:szCs w:val="24"/>
          <w:u w:val="none"/>
          <w:lang w:val="en-US"/>
        </w:rPr>
        <w:t>s</w:t>
      </w:r>
      <w:r w:rsidRPr="00E700DA">
        <w:rPr>
          <w:szCs w:val="24"/>
          <w:u w:val="none"/>
          <w:lang w:val="en-US"/>
        </w:rPr>
        <w:t xml:space="preserve"> new </w:t>
      </w:r>
      <w:r w:rsidR="002B143B" w:rsidRPr="00E700DA">
        <w:rPr>
          <w:szCs w:val="24"/>
          <w:u w:val="none"/>
          <w:lang w:val="en-US"/>
        </w:rPr>
        <w:t xml:space="preserve">section </w:t>
      </w:r>
      <w:r w:rsidR="00177721" w:rsidRPr="00E700DA">
        <w:rPr>
          <w:szCs w:val="24"/>
          <w:u w:val="none"/>
          <w:lang w:val="en-US"/>
        </w:rPr>
        <w:t>13</w:t>
      </w:r>
      <w:r w:rsidRPr="00E700DA">
        <w:rPr>
          <w:szCs w:val="24"/>
          <w:u w:val="none"/>
          <w:lang w:val="en-US"/>
        </w:rPr>
        <w:t xml:space="preserve"> to </w:t>
      </w:r>
      <w:r w:rsidR="00F92A57" w:rsidRPr="00E700DA">
        <w:rPr>
          <w:szCs w:val="24"/>
          <w:u w:val="none"/>
          <w:lang w:val="en-US"/>
        </w:rPr>
        <w:t>enable facilitated registration of consumers</w:t>
      </w:r>
      <w:r w:rsidR="00C65008" w:rsidRPr="00E700DA">
        <w:rPr>
          <w:szCs w:val="24"/>
          <w:u w:val="none"/>
          <w:lang w:val="en-US"/>
        </w:rPr>
        <w:t xml:space="preserve"> by healthcare providers</w:t>
      </w:r>
      <w:r w:rsidR="00F92A57" w:rsidRPr="00E700DA">
        <w:rPr>
          <w:szCs w:val="24"/>
          <w:u w:val="none"/>
          <w:lang w:val="en-US"/>
        </w:rPr>
        <w:t>.</w:t>
      </w:r>
      <w:r w:rsidR="00F9044D" w:rsidRPr="00E700DA">
        <w:rPr>
          <w:szCs w:val="24"/>
          <w:u w:val="none"/>
          <w:lang w:val="en-US"/>
        </w:rPr>
        <w:t xml:space="preserve">  </w:t>
      </w:r>
      <w:r w:rsidR="00CF3979" w:rsidRPr="009E6CAD">
        <w:rPr>
          <w:u w:val="none"/>
        </w:rPr>
        <w:t xml:space="preserve">Consumers will be able to register for a PCEHR using a variety of channels, one of which </w:t>
      </w:r>
      <w:r w:rsidR="00201ED8">
        <w:rPr>
          <w:u w:val="none"/>
        </w:rPr>
        <w:t>is</w:t>
      </w:r>
      <w:r w:rsidR="00CF3979" w:rsidRPr="009E6CAD">
        <w:rPr>
          <w:u w:val="none"/>
        </w:rPr>
        <w:t xml:space="preserve"> referred to as facilitated registration.  Facilitated registration is where a healthcare provider </w:t>
      </w:r>
      <w:r w:rsidR="001944D7">
        <w:rPr>
          <w:u w:val="none"/>
        </w:rPr>
        <w:t xml:space="preserve">will assist a consumer </w:t>
      </w:r>
      <w:r w:rsidR="00CF3979" w:rsidRPr="009E6CAD">
        <w:rPr>
          <w:u w:val="none"/>
        </w:rPr>
        <w:t>to register for a PCEHR</w:t>
      </w:r>
      <w:r w:rsidR="001944D7">
        <w:rPr>
          <w:u w:val="none"/>
        </w:rPr>
        <w:t xml:space="preserve">.  This </w:t>
      </w:r>
      <w:r w:rsidR="00CF3979" w:rsidRPr="009E6CAD">
        <w:rPr>
          <w:u w:val="none"/>
        </w:rPr>
        <w:t xml:space="preserve">will require the healthcare provider to disclose identifying information </w:t>
      </w:r>
      <w:r w:rsidR="001A1FBE">
        <w:rPr>
          <w:u w:val="none"/>
        </w:rPr>
        <w:t>and the healthcare identifier of the consumer to the PCEHR System Operator.</w:t>
      </w:r>
    </w:p>
    <w:p w:rsidR="00CF3979" w:rsidRDefault="00CF3979" w:rsidP="00CF3979">
      <w:pPr>
        <w:pStyle w:val="Subtitle"/>
        <w:rPr>
          <w:u w:val="none"/>
        </w:rPr>
      </w:pPr>
    </w:p>
    <w:p w:rsidR="00A53238" w:rsidRDefault="00CF3979" w:rsidP="00CF3979">
      <w:pPr>
        <w:pStyle w:val="Subtitle"/>
        <w:rPr>
          <w:u w:val="none"/>
        </w:rPr>
      </w:pPr>
      <w:r>
        <w:rPr>
          <w:u w:val="none"/>
        </w:rPr>
        <w:lastRenderedPageBreak/>
        <w:t xml:space="preserve">The </w:t>
      </w:r>
      <w:r w:rsidRPr="009E6CAD">
        <w:rPr>
          <w:u w:val="none"/>
        </w:rPr>
        <w:t xml:space="preserve">HI Act </w:t>
      </w:r>
      <w:r>
        <w:rPr>
          <w:u w:val="none"/>
        </w:rPr>
        <w:t xml:space="preserve">does not </w:t>
      </w:r>
      <w:r w:rsidRPr="009E6CAD">
        <w:rPr>
          <w:u w:val="none"/>
        </w:rPr>
        <w:t>authorise</w:t>
      </w:r>
      <w:r>
        <w:rPr>
          <w:u w:val="none"/>
        </w:rPr>
        <w:t xml:space="preserve"> healthcare providers </w:t>
      </w:r>
      <w:r w:rsidRPr="009E6CAD">
        <w:rPr>
          <w:u w:val="none"/>
        </w:rPr>
        <w:t xml:space="preserve">to </w:t>
      </w:r>
      <w:r w:rsidR="00254E16">
        <w:rPr>
          <w:u w:val="none"/>
        </w:rPr>
        <w:t xml:space="preserve">collect, use or </w:t>
      </w:r>
      <w:r w:rsidRPr="009E6CAD">
        <w:rPr>
          <w:u w:val="none"/>
        </w:rPr>
        <w:t xml:space="preserve">disclose a consumer’s healthcare identifier to the PCEHR System Operator </w:t>
      </w:r>
      <w:r>
        <w:rPr>
          <w:u w:val="none"/>
        </w:rPr>
        <w:t>for this purpose.</w:t>
      </w:r>
    </w:p>
    <w:p w:rsidR="00254E16" w:rsidRDefault="00254E16" w:rsidP="00CF3979">
      <w:pPr>
        <w:pStyle w:val="Subtitle"/>
        <w:rPr>
          <w:u w:val="none"/>
        </w:rPr>
      </w:pPr>
    </w:p>
    <w:p w:rsidR="00CF3979" w:rsidRDefault="00CF3979" w:rsidP="00CF3979">
      <w:pPr>
        <w:pStyle w:val="Subtitle"/>
        <w:rPr>
          <w:u w:val="none"/>
        </w:rPr>
      </w:pPr>
      <w:r>
        <w:rPr>
          <w:u w:val="none"/>
        </w:rPr>
        <w:t xml:space="preserve">The </w:t>
      </w:r>
      <w:r w:rsidR="001F544B">
        <w:rPr>
          <w:u w:val="none"/>
        </w:rPr>
        <w:t xml:space="preserve">new </w:t>
      </w:r>
      <w:r w:rsidR="002B143B">
        <w:rPr>
          <w:u w:val="none"/>
        </w:rPr>
        <w:t xml:space="preserve">section </w:t>
      </w:r>
      <w:r w:rsidR="004019AE">
        <w:rPr>
          <w:u w:val="none"/>
        </w:rPr>
        <w:t xml:space="preserve">13 </w:t>
      </w:r>
      <w:r w:rsidR="00F92A57">
        <w:rPr>
          <w:u w:val="none"/>
        </w:rPr>
        <w:t>authorise</w:t>
      </w:r>
      <w:r w:rsidR="007E22C6">
        <w:rPr>
          <w:u w:val="none"/>
        </w:rPr>
        <w:t>s</w:t>
      </w:r>
      <w:r w:rsidR="00F92A57">
        <w:rPr>
          <w:u w:val="none"/>
        </w:rPr>
        <w:t xml:space="preserve"> the healthcare provider</w:t>
      </w:r>
      <w:r w:rsidR="00CD076F">
        <w:rPr>
          <w:u w:val="none"/>
        </w:rPr>
        <w:t>, under paragraph 22E(d),</w:t>
      </w:r>
      <w:r w:rsidR="00F92A57">
        <w:rPr>
          <w:u w:val="none"/>
        </w:rPr>
        <w:t xml:space="preserve"> to </w:t>
      </w:r>
      <w:r w:rsidR="00254E16">
        <w:rPr>
          <w:u w:val="none"/>
        </w:rPr>
        <w:t xml:space="preserve">collect, use and </w:t>
      </w:r>
      <w:r w:rsidR="00F92A57">
        <w:rPr>
          <w:u w:val="none"/>
        </w:rPr>
        <w:t>disclose to the PCEHR System Operator identifying information and the healthcare identifier of the consumer undertaking registration.</w:t>
      </w:r>
    </w:p>
    <w:p w:rsidR="00F92A57" w:rsidRDefault="00F92A57" w:rsidP="00CF3979">
      <w:pPr>
        <w:pStyle w:val="Subtitle"/>
        <w:rPr>
          <w:u w:val="none"/>
        </w:rPr>
      </w:pPr>
    </w:p>
    <w:p w:rsidR="00ED126D" w:rsidRDefault="00F92A57" w:rsidP="004019AE">
      <w:pPr>
        <w:pStyle w:val="Subtitle"/>
        <w:rPr>
          <w:u w:val="none"/>
        </w:rPr>
      </w:pPr>
      <w:r w:rsidRPr="004019AE">
        <w:rPr>
          <w:u w:val="none"/>
        </w:rPr>
        <w:t xml:space="preserve">The PCEHR System Operator is </w:t>
      </w:r>
      <w:r w:rsidR="00046766" w:rsidRPr="004019AE">
        <w:rPr>
          <w:u w:val="none"/>
        </w:rPr>
        <w:t xml:space="preserve">already </w:t>
      </w:r>
      <w:r w:rsidRPr="004019AE">
        <w:rPr>
          <w:u w:val="none"/>
        </w:rPr>
        <w:t xml:space="preserve">authorised to collect, use and disclose the </w:t>
      </w:r>
      <w:r w:rsidR="00046766" w:rsidRPr="004019AE">
        <w:rPr>
          <w:u w:val="none"/>
        </w:rPr>
        <w:t>identifying information and healthcare identifier of a consumer as part of registration under section 22A of the HI Act.</w:t>
      </w:r>
    </w:p>
    <w:p w:rsidR="00B12F7F" w:rsidRDefault="00B12F7F" w:rsidP="00B12F7F">
      <w:pPr>
        <w:pStyle w:val="Subtitle"/>
        <w:rPr>
          <w:u w:val="none"/>
        </w:rPr>
      </w:pPr>
    </w:p>
    <w:p w:rsidR="00B12F7F" w:rsidRDefault="00B12F7F" w:rsidP="00B12F7F">
      <w:pPr>
        <w:pStyle w:val="Subtitle"/>
        <w:rPr>
          <w:szCs w:val="24"/>
          <w:u w:val="none"/>
          <w:lang w:val="en-US"/>
        </w:rPr>
      </w:pPr>
      <w:r w:rsidRPr="00E700DA">
        <w:rPr>
          <w:szCs w:val="24"/>
          <w:u w:val="none"/>
          <w:lang w:val="en-US"/>
        </w:rPr>
        <w:t>This item also insert</w:t>
      </w:r>
      <w:r>
        <w:rPr>
          <w:szCs w:val="24"/>
          <w:u w:val="none"/>
          <w:lang w:val="en-US"/>
        </w:rPr>
        <w:t>s</w:t>
      </w:r>
      <w:r w:rsidRPr="00E700DA">
        <w:rPr>
          <w:szCs w:val="24"/>
          <w:u w:val="none"/>
          <w:lang w:val="en-US"/>
        </w:rPr>
        <w:t xml:space="preserve"> new section 1</w:t>
      </w:r>
      <w:r>
        <w:rPr>
          <w:szCs w:val="24"/>
          <w:u w:val="none"/>
          <w:lang w:val="en-US"/>
        </w:rPr>
        <w:t>4</w:t>
      </w:r>
      <w:r w:rsidRPr="00E700DA">
        <w:rPr>
          <w:szCs w:val="24"/>
          <w:u w:val="none"/>
          <w:lang w:val="en-US"/>
        </w:rPr>
        <w:t xml:space="preserve"> to </w:t>
      </w:r>
      <w:r>
        <w:rPr>
          <w:szCs w:val="24"/>
          <w:u w:val="none"/>
          <w:lang w:val="en-US"/>
        </w:rPr>
        <w:t xml:space="preserve">support the registration of healthcare provider </w:t>
      </w:r>
      <w:proofErr w:type="spellStart"/>
      <w:r>
        <w:rPr>
          <w:szCs w:val="24"/>
          <w:u w:val="none"/>
          <w:lang w:val="en-US"/>
        </w:rPr>
        <w:t>organisations</w:t>
      </w:r>
      <w:proofErr w:type="spellEnd"/>
      <w:r>
        <w:rPr>
          <w:szCs w:val="24"/>
          <w:u w:val="none"/>
          <w:lang w:val="en-US"/>
        </w:rPr>
        <w:t>.</w:t>
      </w:r>
    </w:p>
    <w:p w:rsidR="00B12F7F" w:rsidRDefault="00B12F7F" w:rsidP="00B12F7F">
      <w:pPr>
        <w:pStyle w:val="Subtitle"/>
        <w:rPr>
          <w:szCs w:val="24"/>
          <w:u w:val="none"/>
          <w:lang w:val="en-US"/>
        </w:rPr>
      </w:pPr>
    </w:p>
    <w:p w:rsidR="00B12F7F" w:rsidRDefault="00B12F7F" w:rsidP="00B12F7F">
      <w:pPr>
        <w:pStyle w:val="Subtitle"/>
        <w:rPr>
          <w:szCs w:val="24"/>
          <w:u w:val="none"/>
          <w:lang w:val="en-US"/>
        </w:rPr>
      </w:pPr>
      <w:r>
        <w:rPr>
          <w:szCs w:val="24"/>
          <w:u w:val="none"/>
          <w:lang w:val="en-US"/>
        </w:rPr>
        <w:t xml:space="preserve">When a healthcare provider </w:t>
      </w:r>
      <w:proofErr w:type="spellStart"/>
      <w:r>
        <w:rPr>
          <w:szCs w:val="24"/>
          <w:u w:val="none"/>
          <w:lang w:val="en-US"/>
        </w:rPr>
        <w:t>organisation</w:t>
      </w:r>
      <w:proofErr w:type="spellEnd"/>
      <w:r>
        <w:rPr>
          <w:szCs w:val="24"/>
          <w:u w:val="none"/>
          <w:lang w:val="en-US"/>
        </w:rPr>
        <w:t xml:space="preserve"> is registered by the PCEHR System Operator, it will be necessary to record the individual healthcare providers that are associated with that </w:t>
      </w:r>
      <w:proofErr w:type="spellStart"/>
      <w:r>
        <w:rPr>
          <w:szCs w:val="24"/>
          <w:u w:val="none"/>
          <w:lang w:val="en-US"/>
        </w:rPr>
        <w:t>organisation</w:t>
      </w:r>
      <w:proofErr w:type="spellEnd"/>
      <w:r>
        <w:rPr>
          <w:szCs w:val="24"/>
          <w:u w:val="none"/>
          <w:lang w:val="en-US"/>
        </w:rPr>
        <w:t>.  This will ensure that, for example, e</w:t>
      </w:r>
      <w:bookmarkStart w:id="0" w:name="_GoBack"/>
      <w:bookmarkEnd w:id="0"/>
      <w:r>
        <w:rPr>
          <w:szCs w:val="24"/>
          <w:u w:val="none"/>
          <w:lang w:val="en-US"/>
        </w:rPr>
        <w:t xml:space="preserve">ach time a healthcare provider accesses the PCEHR system on behalf of a healthcare provider </w:t>
      </w:r>
      <w:proofErr w:type="spellStart"/>
      <w:r>
        <w:rPr>
          <w:szCs w:val="24"/>
          <w:u w:val="none"/>
          <w:lang w:val="en-US"/>
        </w:rPr>
        <w:t>organisation</w:t>
      </w:r>
      <w:proofErr w:type="spellEnd"/>
      <w:r>
        <w:rPr>
          <w:szCs w:val="24"/>
          <w:u w:val="none"/>
          <w:lang w:val="en-US"/>
        </w:rPr>
        <w:t xml:space="preserve">, their association with that </w:t>
      </w:r>
      <w:proofErr w:type="spellStart"/>
      <w:r>
        <w:rPr>
          <w:szCs w:val="24"/>
          <w:u w:val="none"/>
          <w:lang w:val="en-US"/>
        </w:rPr>
        <w:t>organisation</w:t>
      </w:r>
      <w:proofErr w:type="spellEnd"/>
      <w:r>
        <w:rPr>
          <w:szCs w:val="24"/>
          <w:u w:val="none"/>
          <w:lang w:val="en-US"/>
        </w:rPr>
        <w:t xml:space="preserve"> can be authenticated.</w:t>
      </w:r>
    </w:p>
    <w:p w:rsidR="00B12F7F" w:rsidRDefault="00B12F7F" w:rsidP="00B12F7F">
      <w:pPr>
        <w:pStyle w:val="Subtitle"/>
        <w:rPr>
          <w:szCs w:val="24"/>
          <w:u w:val="none"/>
          <w:lang w:val="en-US"/>
        </w:rPr>
      </w:pPr>
    </w:p>
    <w:p w:rsidR="00B12F7F" w:rsidRDefault="00B12F7F" w:rsidP="00B12F7F">
      <w:pPr>
        <w:pStyle w:val="Subtitle"/>
        <w:rPr>
          <w:u w:val="none"/>
        </w:rPr>
      </w:pPr>
      <w:r>
        <w:rPr>
          <w:u w:val="none"/>
        </w:rPr>
        <w:t xml:space="preserve">The </w:t>
      </w:r>
      <w:r w:rsidRPr="009E6CAD">
        <w:rPr>
          <w:u w:val="none"/>
        </w:rPr>
        <w:t xml:space="preserve">HI Act </w:t>
      </w:r>
      <w:r>
        <w:rPr>
          <w:u w:val="none"/>
        </w:rPr>
        <w:t xml:space="preserve">does not </w:t>
      </w:r>
      <w:r w:rsidRPr="009E6CAD">
        <w:rPr>
          <w:u w:val="none"/>
        </w:rPr>
        <w:t>authorise</w:t>
      </w:r>
      <w:r>
        <w:rPr>
          <w:u w:val="none"/>
        </w:rPr>
        <w:t xml:space="preserve"> the</w:t>
      </w:r>
      <w:r w:rsidRPr="009E6CAD">
        <w:rPr>
          <w:u w:val="none"/>
        </w:rPr>
        <w:t xml:space="preserve"> </w:t>
      </w:r>
      <w:r>
        <w:rPr>
          <w:u w:val="none"/>
        </w:rPr>
        <w:t>collection, use or disclosure of a healthcare provider’s healthcare identifier or identifying information</w:t>
      </w:r>
      <w:r w:rsidRPr="009E6CAD">
        <w:rPr>
          <w:u w:val="none"/>
        </w:rPr>
        <w:t xml:space="preserve"> </w:t>
      </w:r>
      <w:r>
        <w:rPr>
          <w:u w:val="none"/>
        </w:rPr>
        <w:t>for this purpose.</w:t>
      </w:r>
    </w:p>
    <w:p w:rsidR="00B12F7F" w:rsidRDefault="00B12F7F" w:rsidP="00B12F7F">
      <w:pPr>
        <w:pStyle w:val="Subtitle"/>
        <w:rPr>
          <w:u w:val="none"/>
        </w:rPr>
      </w:pPr>
    </w:p>
    <w:p w:rsidR="00B12F7F" w:rsidRDefault="00B12F7F" w:rsidP="00B12F7F">
      <w:pPr>
        <w:pStyle w:val="Subtitle"/>
        <w:rPr>
          <w:u w:val="none"/>
        </w:rPr>
      </w:pPr>
      <w:r>
        <w:rPr>
          <w:u w:val="none"/>
        </w:rPr>
        <w:t>The new section 14 authorises the PCEHR System Operator, the HI Service Operator and healthcare provider organisations, under section 22E of the HI Act, to collect, use and disclose to a participant in the PCEHR system the healthcare identifier and identifying information of a healthcare provider.</w:t>
      </w:r>
    </w:p>
    <w:p w:rsidR="00B12F7F" w:rsidRDefault="00B12F7F" w:rsidP="00B12F7F">
      <w:pPr>
        <w:pStyle w:val="Subtitle"/>
        <w:rPr>
          <w:u w:val="none"/>
        </w:rPr>
      </w:pPr>
    </w:p>
    <w:p w:rsidR="00ED126D" w:rsidRDefault="00ED126D">
      <w:pPr>
        <w:rPr>
          <w:szCs w:val="20"/>
          <w:lang w:val="en-AU"/>
        </w:rPr>
      </w:pPr>
      <w:r>
        <w:br w:type="page"/>
      </w:r>
    </w:p>
    <w:p w:rsidR="00ED126D" w:rsidRPr="00ED126D" w:rsidRDefault="00ED126D" w:rsidP="00ED126D">
      <w:pPr>
        <w:pStyle w:val="Heading1"/>
        <w:jc w:val="center"/>
        <w:rPr>
          <w:rFonts w:ascii="Times New Roman" w:hAnsi="Times New Roman"/>
          <w:color w:val="auto"/>
          <w:sz w:val="24"/>
          <w:szCs w:val="24"/>
        </w:rPr>
      </w:pPr>
      <w:bookmarkStart w:id="1" w:name="_Toc290210738"/>
      <w:r w:rsidRPr="00ED126D">
        <w:rPr>
          <w:rFonts w:ascii="Times New Roman" w:hAnsi="Times New Roman"/>
          <w:color w:val="auto"/>
          <w:sz w:val="24"/>
          <w:szCs w:val="24"/>
        </w:rPr>
        <w:lastRenderedPageBreak/>
        <w:t>STATEMENT OF COMPATIBILITY FOR A BILL OR LEGISLATIVE INSTRUMENT THAT RAISES HUMAN RIGHTS ISSUES</w:t>
      </w:r>
      <w:bookmarkEnd w:id="1"/>
    </w:p>
    <w:p w:rsidR="00ED126D" w:rsidRPr="00ED126D" w:rsidRDefault="00ED126D" w:rsidP="00ED126D">
      <w:pPr>
        <w:ind w:left="720" w:hanging="720"/>
      </w:pPr>
    </w:p>
    <w:p w:rsidR="00ED126D" w:rsidRDefault="005D4C8C" w:rsidP="00ED126D">
      <w:pPr>
        <w:ind w:left="720" w:hanging="720"/>
      </w:pPr>
      <w:r w:rsidRPr="005D4C8C">
        <w:rPr>
          <w:noProof/>
          <w:sz w:val="28"/>
          <w:szCs w:val="28"/>
          <w:lang w:val="en-AU" w:eastAsia="en-AU"/>
        </w:rPr>
        <w:pict>
          <v:rect id="Rectangle 2" o:spid="_x0000_s1026" style="position:absolute;left:0;text-align:left;margin-left:0;margin-top:1.35pt;width:485.25pt;height: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r4LAIAAFYEAAAOAAAAZHJzL2Uyb0RvYy54bWysVNuO0zAQfUfiHyy/06SBtquo6WrVpQhp&#10;gRULH+A4TmLhG2O3Sfl6xk63tMATIg+WL+PjM+fMZH07akUOAry0pqLzWU6JMNw20nQV/fpl9+qG&#10;Eh+YaZiyRlT0KDy93bx8sR5cKQrbW9UIIAhifDm4ivYhuDLLPO+FZn5mnTB42FrQLOASuqwBNiC6&#10;VlmR58tssNA4sFx4j7v30yHdJPy2FTx8alsvAlEVRW4hjZDGOo7ZZs3KDpjrJT/RYP/AQjNp8NEz&#10;1D0LjOxB/gGlJQfrbRtm3OrMtq3kIuWA2czz37J56pkTKRcUx7uzTP7/wfKPh0cgskHvKDFMo0Wf&#10;UTRmOiVIEeUZnC8x6sk9QkzQuwfLv3li7LbHKHEHYIdesAZJzWN8dnUhLjxeJfXwwTaIzvbBJqXG&#10;FnQERA3ImAw5ng0RYyAcN5fzZbFcLSjheHbzepEXi2RZxsrn6w58eCesJnFSUUDyCZ4dHnyIdFj5&#10;HJLoWyWbnVQqLaCrtwrIgWF17NKXMsAsL8OUIUNFV0usN2SiHYoVQKZXruL8JVyevr/BaRmw5JXU&#10;mNI5iJVRw7emSQUZmFTTHOkrcxI16jj5EcZ6PFlT2+aI8oKdShtbESe9hR+UDFjWFfXf9wwEJeq9&#10;iRalJ7ER0urNYlVgTnB1VF8eMcMRDBOmZJpuw9Q9ewey6/GteRLC2Ds0tpVJ8mj6xOvEHIs3OXFq&#10;tNgdl+sU9et3sPkJAAD//wMAUEsDBBQABgAIAAAAIQACrMPB3gAAAAcBAAAPAAAAZHJzL2Rvd25y&#10;ZXYueG1sTI9BS8NAFITvgv9heYI3u2lju23MpkhRCoUerILXTfaZBLNvQ3bbpP/e50mPwwwz3+Tb&#10;yXXigkNoPWmYzxIQSJW3LdUaPt5fH9YgQjRkTecJNVwxwLa4vclNZv1Ib3g5xVpwCYXMaGhi7DMp&#10;Q9WgM2HmeyT2vvzgTGQ51NIOZuRy18lFkqykMy3xQmN63DVYfZ/OTsN4SHfXz/S4f1HLx7Jfyf1h&#10;GlKt7++m5ycQEaf4F4ZffEaHgplKfyYbRKeBj0QNCwWCzY1KliBKTqVzpUAWufzPX/wAAAD//wMA&#10;UEsBAi0AFAAGAAgAAAAhALaDOJL+AAAA4QEAABMAAAAAAAAAAAAAAAAAAAAAAFtDb250ZW50X1R5&#10;cGVzXS54bWxQSwECLQAUAAYACAAAACEAOP0h/9YAAACUAQAACwAAAAAAAAAAAAAAAAAvAQAAX3Jl&#10;bHMvLnJlbHNQSwECLQAUAAYACAAAACEA20Qa+CwCAABWBAAADgAAAAAAAAAAAAAAAAAuAgAAZHJz&#10;L2Uyb0RvYy54bWxQSwECLQAUAAYACAAAACEAAqzDwd4AAAAHAQAADwAAAAAAAAAAAAAAAACGBAAA&#10;ZHJzL2Rvd25yZXYueG1sUEsFBgAAAAAEAAQA8wAAAJEFAAAAAA==&#10;" strokeweight="6pt">
            <v:stroke linestyle="thickBetweenThin"/>
            <v:textbox inset="5mm,,5mm">
              <w:txbxContent>
                <w:p w:rsidR="001456A6" w:rsidRPr="00D664E6" w:rsidRDefault="001456A6" w:rsidP="00ED126D">
                  <w:pPr>
                    <w:spacing w:before="120" w:after="120"/>
                    <w:jc w:val="center"/>
                    <w:rPr>
                      <w:b/>
                      <w:sz w:val="28"/>
                      <w:szCs w:val="28"/>
                    </w:rPr>
                  </w:pPr>
                  <w:r w:rsidRPr="00D664E6">
                    <w:rPr>
                      <w:b/>
                      <w:sz w:val="28"/>
                      <w:szCs w:val="28"/>
                    </w:rPr>
                    <w:t>Statement of Compatibility with Human Rights</w:t>
                  </w:r>
                </w:p>
                <w:p w:rsidR="001456A6" w:rsidRPr="00D664E6" w:rsidRDefault="001456A6" w:rsidP="00ED126D">
                  <w:pPr>
                    <w:spacing w:before="120" w:after="120"/>
                    <w:jc w:val="center"/>
                  </w:pPr>
                  <w:r w:rsidRPr="00D664E6">
                    <w:rPr>
                      <w:i/>
                    </w:rPr>
                    <w:t>Prepared in accordance with Part 3 of the Human Rights (Parliamentary Scrutiny) Act 2011</w:t>
                  </w:r>
                </w:p>
                <w:p w:rsidR="001456A6" w:rsidRPr="00934C38" w:rsidRDefault="001456A6" w:rsidP="00ED126D">
                  <w:pPr>
                    <w:jc w:val="both"/>
                    <w:rPr>
                      <w:b/>
                      <w:sz w:val="12"/>
                      <w:szCs w:val="12"/>
                    </w:rPr>
                  </w:pPr>
                </w:p>
                <w:p w:rsidR="001456A6" w:rsidRPr="00D664E6" w:rsidRDefault="001456A6" w:rsidP="00ED126D">
                  <w:pPr>
                    <w:spacing w:after="120"/>
                    <w:jc w:val="center"/>
                    <w:rPr>
                      <w:b/>
                    </w:rPr>
                  </w:pPr>
                  <w:r>
                    <w:rPr>
                      <w:b/>
                    </w:rPr>
                    <w:t>Healthcare Identifiers Am</w:t>
                  </w:r>
                  <w:r w:rsidR="0051400E">
                    <w:rPr>
                      <w:b/>
                    </w:rPr>
                    <w:t>endment Regulation 2012 (No. 1</w:t>
                  </w:r>
                  <w:r>
                    <w:rPr>
                      <w:b/>
                    </w:rPr>
                    <w:t>)</w:t>
                  </w:r>
                </w:p>
                <w:p w:rsidR="001456A6" w:rsidRPr="00D664E6" w:rsidRDefault="001456A6" w:rsidP="00ED126D">
                  <w:pPr>
                    <w:spacing w:before="120" w:after="120"/>
                    <w:jc w:val="center"/>
                  </w:pPr>
                  <w:r w:rsidRPr="00D664E6">
                    <w:t>Th</w:t>
                  </w:r>
                  <w:r>
                    <w:t>is Regulation is</w:t>
                  </w:r>
                  <w:r w:rsidRPr="00D664E6">
                    <w:t xml:space="preserve"> compatible with the human rights and freedoms </w:t>
                  </w:r>
                  <w:proofErr w:type="spellStart"/>
                  <w:r w:rsidRPr="00D664E6">
                    <w:t>recognised</w:t>
                  </w:r>
                  <w:proofErr w:type="spellEnd"/>
                  <w:r w:rsidRPr="00D664E6">
                    <w:t xml:space="preserve"> or declared in the international instruments listed in section 3 of the </w:t>
                  </w:r>
                  <w:r w:rsidRPr="00D664E6">
                    <w:rPr>
                      <w:i/>
                    </w:rPr>
                    <w:t>Human Rights (Parliamentary Scrutiny) Act 2011</w:t>
                  </w:r>
                  <w:r w:rsidRPr="00D664E6">
                    <w:t>.</w:t>
                  </w:r>
                </w:p>
                <w:p w:rsidR="001456A6" w:rsidRPr="00E96ACD" w:rsidRDefault="001456A6" w:rsidP="00ED126D">
                  <w:pPr>
                    <w:jc w:val="both"/>
                    <w:rPr>
                      <w:b/>
                      <w:sz w:val="12"/>
                      <w:szCs w:val="12"/>
                    </w:rPr>
                  </w:pPr>
                </w:p>
                <w:p w:rsidR="001456A6" w:rsidRPr="00D664E6" w:rsidRDefault="001456A6" w:rsidP="00ED126D">
                  <w:pPr>
                    <w:spacing w:after="120"/>
                    <w:jc w:val="both"/>
                    <w:rPr>
                      <w:b/>
                    </w:rPr>
                  </w:pPr>
                  <w:r w:rsidRPr="00D664E6">
                    <w:rPr>
                      <w:b/>
                    </w:rPr>
                    <w:t xml:space="preserve">Overview of the </w:t>
                  </w:r>
                  <w:r>
                    <w:rPr>
                      <w:b/>
                    </w:rPr>
                    <w:t>Regulations</w:t>
                  </w:r>
                </w:p>
                <w:p w:rsidR="001456A6" w:rsidRPr="003B2804" w:rsidRDefault="001456A6" w:rsidP="00ED126D">
                  <w:pPr>
                    <w:spacing w:before="120" w:after="120"/>
                  </w:pPr>
                  <w:r>
                    <w:t xml:space="preserve">The Regulation makes amendments to the </w:t>
                  </w:r>
                  <w:r>
                    <w:rPr>
                      <w:i/>
                      <w:iCs/>
                    </w:rPr>
                    <w:t>Healthcare Identifiers Regulations 2010</w:t>
                  </w:r>
                  <w:r>
                    <w:t xml:space="preserve"> to support the additional processes and information flows that have arisen as a result of the personally controlled electronic health record (PCEHR) system as established by the </w:t>
                  </w:r>
                  <w:r>
                    <w:rPr>
                      <w:i/>
                      <w:iCs/>
                    </w:rPr>
                    <w:t>Personally Controlled Electronic Health</w:t>
                  </w:r>
                  <w:r w:rsidRPr="003B2804">
                    <w:rPr>
                      <w:i/>
                      <w:iCs/>
                    </w:rPr>
                    <w:t xml:space="preserve"> Records Act 2012</w:t>
                  </w:r>
                  <w:r>
                    <w:rPr>
                      <w:i/>
                      <w:iCs/>
                    </w:rPr>
                    <w:t xml:space="preserve"> </w:t>
                  </w:r>
                  <w:r w:rsidRPr="003B2804">
                    <w:t>(PCEHR Act).</w:t>
                  </w:r>
                </w:p>
                <w:p w:rsidR="001456A6" w:rsidRPr="003B2804" w:rsidRDefault="001456A6" w:rsidP="00ED126D">
                  <w:pPr>
                    <w:spacing w:before="120" w:after="60"/>
                  </w:pPr>
                  <w:r w:rsidRPr="003B2804">
                    <w:t>The Regulation</w:t>
                  </w:r>
                  <w:r>
                    <w:t xml:space="preserve"> will</w:t>
                  </w:r>
                  <w:r w:rsidRPr="003B2804">
                    <w:t>:</w:t>
                  </w:r>
                </w:p>
                <w:p w:rsidR="001456A6" w:rsidRDefault="001456A6" w:rsidP="00ED126D">
                  <w:pPr>
                    <w:numPr>
                      <w:ilvl w:val="0"/>
                      <w:numId w:val="17"/>
                    </w:numPr>
                    <w:spacing w:before="60" w:after="60"/>
                  </w:pPr>
                  <w:r>
                    <w:t>enable healthcare providers to assist consumers to register for a PCEHR (referred to as facilitated registration);</w:t>
                  </w:r>
                </w:p>
                <w:p w:rsidR="001456A6" w:rsidRDefault="001456A6" w:rsidP="00ED126D">
                  <w:pPr>
                    <w:numPr>
                      <w:ilvl w:val="0"/>
                      <w:numId w:val="17"/>
                    </w:numPr>
                    <w:spacing w:before="60" w:after="60"/>
                  </w:pPr>
                  <w:r>
                    <w:t>support the inclusion of Department of Veterans’ Affairs information in a consumer’s PCEHR; and</w:t>
                  </w:r>
                </w:p>
                <w:p w:rsidR="001456A6" w:rsidRDefault="001456A6" w:rsidP="00ED126D">
                  <w:pPr>
                    <w:numPr>
                      <w:ilvl w:val="0"/>
                      <w:numId w:val="17"/>
                    </w:numPr>
                    <w:spacing w:before="60" w:after="120"/>
                  </w:pPr>
                  <w:r>
                    <w:t>ensure that the Healthcare Identifiers Service Operator can carry out its functions and share critical information with the PCEHR System Operator.</w:t>
                  </w:r>
                </w:p>
                <w:p w:rsidR="001456A6" w:rsidRPr="00934C38" w:rsidRDefault="001456A6" w:rsidP="00ED126D">
                  <w:pPr>
                    <w:jc w:val="both"/>
                    <w:rPr>
                      <w:b/>
                      <w:sz w:val="12"/>
                      <w:szCs w:val="12"/>
                    </w:rPr>
                  </w:pPr>
                </w:p>
                <w:p w:rsidR="001456A6" w:rsidRDefault="001456A6" w:rsidP="00ED126D">
                  <w:pPr>
                    <w:spacing w:after="120"/>
                    <w:rPr>
                      <w:b/>
                    </w:rPr>
                  </w:pPr>
                  <w:r w:rsidRPr="00D664E6">
                    <w:rPr>
                      <w:b/>
                    </w:rPr>
                    <w:t>Human rights implications</w:t>
                  </w:r>
                </w:p>
                <w:p w:rsidR="001456A6" w:rsidRDefault="001456A6" w:rsidP="00ED126D">
                  <w:pPr>
                    <w:spacing w:before="120" w:after="120"/>
                    <w:rPr>
                      <w:bCs/>
                    </w:rPr>
                  </w:pPr>
                  <w:r>
                    <w:rPr>
                      <w:bCs/>
                    </w:rPr>
                    <w:t>The Regulation engages the following human rights:</w:t>
                  </w:r>
                </w:p>
                <w:p w:rsidR="001456A6" w:rsidRPr="00366E19" w:rsidRDefault="001456A6" w:rsidP="00ED126D">
                  <w:pPr>
                    <w:spacing w:before="120" w:after="120"/>
                    <w:rPr>
                      <w:bCs/>
                    </w:rPr>
                  </w:pPr>
                  <w:r w:rsidRPr="00366E19">
                    <w:rPr>
                      <w:bCs/>
                      <w:i/>
                      <w:iCs/>
                    </w:rPr>
                    <w:t xml:space="preserve">Right to </w:t>
                  </w:r>
                  <w:r w:rsidRPr="00366E19">
                    <w:rPr>
                      <w:bCs/>
                      <w:i/>
                    </w:rPr>
                    <w:t>Protection of privacy and reputation</w:t>
                  </w:r>
                </w:p>
                <w:p w:rsidR="001456A6" w:rsidRDefault="001456A6" w:rsidP="00ED126D">
                  <w:pPr>
                    <w:spacing w:before="120" w:after="120"/>
                    <w:rPr>
                      <w:bCs/>
                    </w:rPr>
                  </w:pPr>
                  <w:r w:rsidRPr="00366E19">
                    <w:rPr>
                      <w:bCs/>
                    </w:rPr>
                    <w:t>Article 17 of the I</w:t>
                  </w:r>
                  <w:r>
                    <w:rPr>
                      <w:bCs/>
                    </w:rPr>
                    <w:t>nternational Covenant on Civil and Political Rights</w:t>
                  </w:r>
                  <w:r w:rsidRPr="00366E19">
                    <w:rPr>
                      <w:bCs/>
                    </w:rPr>
                    <w:t xml:space="preserve"> guarantees protection from unlawful interference with a person’s privacy and from unlawful attacks on a person’s </w:t>
                  </w:r>
                  <w:proofErr w:type="spellStart"/>
                  <w:r w:rsidRPr="00366E19">
                    <w:rPr>
                      <w:bCs/>
                    </w:rPr>
                    <w:t>honour</w:t>
                  </w:r>
                  <w:proofErr w:type="spellEnd"/>
                  <w:r w:rsidRPr="00366E19">
                    <w:rPr>
                      <w:bCs/>
                    </w:rPr>
                    <w:t xml:space="preserve"> and reputation. </w:t>
                  </w:r>
                  <w:r>
                    <w:rPr>
                      <w:bCs/>
                    </w:rPr>
                    <w:t xml:space="preserve"> </w:t>
                  </w:r>
                </w:p>
                <w:p w:rsidR="001456A6" w:rsidRDefault="001456A6" w:rsidP="00ED126D">
                  <w:pPr>
                    <w:spacing w:before="120" w:after="120"/>
                    <w:rPr>
                      <w:bCs/>
                    </w:rPr>
                  </w:pPr>
                  <w:r>
                    <w:rPr>
                      <w:bCs/>
                    </w:rPr>
                    <w:t xml:space="preserve">The Regulation prescribes circumstances, additional to those prescribed in the </w:t>
                  </w:r>
                  <w:r>
                    <w:rPr>
                      <w:bCs/>
                      <w:i/>
                      <w:iCs/>
                    </w:rPr>
                    <w:t xml:space="preserve">Healthcare Identifiers Act 2010 </w:t>
                  </w:r>
                  <w:r>
                    <w:rPr>
                      <w:bCs/>
                    </w:rPr>
                    <w:t xml:space="preserve">(HI Act), in which identifying information and healthcare identifiers of consumers, their representatives and healthcare providers can be collected, used and disclosed.  These additional circumstances are necessary for the operation of the PCEHR system and any </w:t>
                  </w:r>
                  <w:proofErr w:type="spellStart"/>
                  <w:r>
                    <w:rPr>
                      <w:bCs/>
                    </w:rPr>
                    <w:t>unauthorised</w:t>
                  </w:r>
                  <w:proofErr w:type="spellEnd"/>
                  <w:r>
                    <w:rPr>
                      <w:bCs/>
                    </w:rPr>
                    <w:t xml:space="preserve"> collection, use or disclosure of healthcare identifiers or identifying information is subject to the penalties and remedies set out in the HI Act, PCEHR Act and </w:t>
                  </w:r>
                  <w:r>
                    <w:rPr>
                      <w:bCs/>
                      <w:i/>
                      <w:iCs/>
                    </w:rPr>
                    <w:t>Privacy Act 1988</w:t>
                  </w:r>
                  <w:r>
                    <w:rPr>
                      <w:bCs/>
                    </w:rPr>
                    <w:t>.</w:t>
                  </w:r>
                </w:p>
                <w:p w:rsidR="001456A6" w:rsidRPr="00934C38" w:rsidRDefault="001456A6" w:rsidP="00ED126D">
                  <w:pPr>
                    <w:jc w:val="both"/>
                    <w:rPr>
                      <w:b/>
                      <w:sz w:val="12"/>
                      <w:szCs w:val="12"/>
                    </w:rPr>
                  </w:pPr>
                </w:p>
                <w:p w:rsidR="001456A6" w:rsidRPr="00211998" w:rsidRDefault="001456A6" w:rsidP="00ED126D">
                  <w:pPr>
                    <w:spacing w:after="120"/>
                    <w:rPr>
                      <w:b/>
                    </w:rPr>
                  </w:pPr>
                  <w:r w:rsidRPr="00211998">
                    <w:rPr>
                      <w:b/>
                    </w:rPr>
                    <w:t xml:space="preserve">Conclusion </w:t>
                  </w:r>
                </w:p>
                <w:p w:rsidR="001456A6" w:rsidRDefault="001456A6" w:rsidP="00ED126D">
                  <w:pPr>
                    <w:spacing w:before="120" w:after="120"/>
                  </w:pPr>
                  <w:r w:rsidRPr="003B2804">
                    <w:t xml:space="preserve">The </w:t>
                  </w:r>
                  <w:r>
                    <w:t>amendments made by this Regulation</w:t>
                  </w:r>
                  <w:r w:rsidRPr="003B2804">
                    <w:t xml:space="preserve"> are compatible with human rights because they advance the protection of human rights, specifically the right to privacy.</w:t>
                  </w:r>
                </w:p>
                <w:p w:rsidR="001456A6" w:rsidRPr="00934C38" w:rsidRDefault="001456A6" w:rsidP="00ED126D">
                  <w:pPr>
                    <w:jc w:val="both"/>
                    <w:rPr>
                      <w:b/>
                      <w:sz w:val="12"/>
                      <w:szCs w:val="12"/>
                    </w:rPr>
                  </w:pPr>
                </w:p>
                <w:p w:rsidR="001456A6" w:rsidRPr="00E96ACD" w:rsidRDefault="001456A6" w:rsidP="00ED126D">
                  <w:pPr>
                    <w:spacing w:before="120" w:after="120"/>
                    <w:jc w:val="center"/>
                    <w:rPr>
                      <w:bCs/>
                    </w:rPr>
                  </w:pPr>
                  <w:r>
                    <w:rPr>
                      <w:b/>
                    </w:rPr>
                    <w:t>Minister for Health, the Hon Tanya Plibersek MP</w:t>
                  </w:r>
                </w:p>
              </w:txbxContent>
            </v:textbox>
            <w10:wrap anchorx="margin"/>
          </v:rect>
        </w:pict>
      </w: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Pr>
        <w:ind w:left="720" w:hanging="720"/>
      </w:pPr>
    </w:p>
    <w:p w:rsidR="00ED126D" w:rsidRDefault="00ED126D" w:rsidP="00ED126D"/>
    <w:p w:rsidR="00ED126D" w:rsidRDefault="00ED126D" w:rsidP="00ED126D">
      <w:pPr>
        <w:ind w:left="720" w:hanging="720"/>
      </w:pPr>
    </w:p>
    <w:p w:rsidR="00ED126D" w:rsidRDefault="00ED126D" w:rsidP="00ED126D">
      <w:pPr>
        <w:ind w:left="720" w:hanging="720"/>
      </w:pPr>
    </w:p>
    <w:p w:rsidR="00ED126D" w:rsidRDefault="00ED126D" w:rsidP="00ED126D"/>
    <w:p w:rsidR="008D613E" w:rsidRDefault="008D613E" w:rsidP="004019AE">
      <w:pPr>
        <w:pStyle w:val="Subtitle"/>
        <w:rPr>
          <w:u w:val="none"/>
        </w:rPr>
      </w:pPr>
    </w:p>
    <w:sectPr w:rsidR="008D613E" w:rsidSect="00E700DA">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A6" w:rsidRDefault="001456A6">
      <w:r>
        <w:separator/>
      </w:r>
    </w:p>
  </w:endnote>
  <w:endnote w:type="continuationSeparator" w:id="0">
    <w:p w:rsidR="001456A6" w:rsidRDefault="00145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A6" w:rsidRDefault="001456A6">
      <w:r>
        <w:separator/>
      </w:r>
    </w:p>
  </w:footnote>
  <w:footnote w:type="continuationSeparator" w:id="0">
    <w:p w:rsidR="001456A6" w:rsidRDefault="0014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6" w:rsidRDefault="005D4C8C">
    <w:pPr>
      <w:pStyle w:val="Header"/>
      <w:framePr w:wrap="around" w:vAnchor="text" w:hAnchor="margin" w:xAlign="center" w:y="1"/>
      <w:rPr>
        <w:rStyle w:val="PageNumber"/>
      </w:rPr>
    </w:pPr>
    <w:r>
      <w:rPr>
        <w:rStyle w:val="PageNumber"/>
      </w:rPr>
      <w:fldChar w:fldCharType="begin"/>
    </w:r>
    <w:r w:rsidR="001456A6">
      <w:rPr>
        <w:rStyle w:val="PageNumber"/>
      </w:rPr>
      <w:instrText xml:space="preserve">PAGE  </w:instrText>
    </w:r>
    <w:r>
      <w:rPr>
        <w:rStyle w:val="PageNumber"/>
      </w:rPr>
      <w:fldChar w:fldCharType="separate"/>
    </w:r>
    <w:r w:rsidR="001456A6">
      <w:rPr>
        <w:rStyle w:val="PageNumber"/>
        <w:noProof/>
      </w:rPr>
      <w:t>2</w:t>
    </w:r>
    <w:r>
      <w:rPr>
        <w:rStyle w:val="PageNumber"/>
      </w:rPr>
      <w:fldChar w:fldCharType="end"/>
    </w:r>
  </w:p>
  <w:p w:rsidR="001456A6" w:rsidRDefault="00145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6" w:rsidRDefault="005D4C8C">
    <w:pPr>
      <w:pStyle w:val="Header"/>
      <w:framePr w:wrap="around" w:vAnchor="text" w:hAnchor="margin" w:xAlign="center" w:y="1"/>
      <w:jc w:val="center"/>
      <w:rPr>
        <w:rStyle w:val="PageNumber"/>
      </w:rPr>
    </w:pPr>
    <w:r>
      <w:rPr>
        <w:rStyle w:val="PageNumber"/>
      </w:rPr>
      <w:fldChar w:fldCharType="begin"/>
    </w:r>
    <w:r w:rsidR="001456A6">
      <w:rPr>
        <w:rStyle w:val="PageNumber"/>
      </w:rPr>
      <w:instrText xml:space="preserve">PAGE  </w:instrText>
    </w:r>
    <w:r>
      <w:rPr>
        <w:rStyle w:val="PageNumber"/>
      </w:rPr>
      <w:fldChar w:fldCharType="separate"/>
    </w:r>
    <w:r w:rsidR="0051400E">
      <w:rPr>
        <w:rStyle w:val="PageNumber"/>
        <w:noProof/>
      </w:rPr>
      <w:t>2</w:t>
    </w:r>
    <w:r>
      <w:rPr>
        <w:rStyle w:val="PageNumber"/>
      </w:rPr>
      <w:fldChar w:fldCharType="end"/>
    </w:r>
  </w:p>
  <w:p w:rsidR="001456A6" w:rsidRDefault="001456A6">
    <w:pPr>
      <w:pStyle w:val="Header"/>
      <w:framePr w:wrap="around" w:vAnchor="text" w:hAnchor="margin" w:xAlign="center" w:y="1"/>
      <w:rPr>
        <w:rStyle w:val="PageNumber"/>
      </w:rPr>
    </w:pPr>
  </w:p>
  <w:p w:rsidR="001456A6" w:rsidRDefault="001456A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1CE"/>
    <w:multiLevelType w:val="hybridMultilevel"/>
    <w:tmpl w:val="31F4E678"/>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44B71"/>
    <w:multiLevelType w:val="hybridMultilevel"/>
    <w:tmpl w:val="FB3E0410"/>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86D5E"/>
    <w:multiLevelType w:val="hybridMultilevel"/>
    <w:tmpl w:val="E2D23310"/>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543A4"/>
    <w:multiLevelType w:val="hybridMultilevel"/>
    <w:tmpl w:val="3902604A"/>
    <w:lvl w:ilvl="0" w:tplc="B92C5376">
      <w:start w:val="1"/>
      <w:numFmt w:val="lowerLetter"/>
      <w:lvlText w:val="(%1)"/>
      <w:lvlJc w:val="left"/>
      <w:pPr>
        <w:tabs>
          <w:tab w:val="num" w:pos="720"/>
        </w:tabs>
        <w:ind w:left="720" w:hanging="360"/>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57044"/>
    <w:multiLevelType w:val="hybridMultilevel"/>
    <w:tmpl w:val="43EC4A1C"/>
    <w:lvl w:ilvl="0" w:tplc="B92C5376">
      <w:start w:val="1"/>
      <w:numFmt w:val="lowerLetter"/>
      <w:lvlText w:val="(%1)"/>
      <w:lvlJc w:val="left"/>
      <w:pPr>
        <w:tabs>
          <w:tab w:val="num" w:pos="720"/>
        </w:tabs>
        <w:ind w:left="720" w:hanging="360"/>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B0CAE"/>
    <w:multiLevelType w:val="hybridMultilevel"/>
    <w:tmpl w:val="5B148970"/>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16768"/>
    <w:multiLevelType w:val="hybridMultilevel"/>
    <w:tmpl w:val="1B829F2C"/>
    <w:lvl w:ilvl="0" w:tplc="AF1441B4">
      <w:start w:val="1"/>
      <w:numFmt w:val="bullet"/>
      <w:lvlText w:val="-"/>
      <w:lvlJc w:val="left"/>
      <w:pPr>
        <w:tabs>
          <w:tab w:val="num" w:pos="930"/>
        </w:tabs>
        <w:ind w:left="930" w:hanging="57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A03B96"/>
    <w:multiLevelType w:val="hybridMultilevel"/>
    <w:tmpl w:val="42A4032C"/>
    <w:lvl w:ilvl="0" w:tplc="5E2E80D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993290"/>
    <w:multiLevelType w:val="multilevel"/>
    <w:tmpl w:val="85883E1C"/>
    <w:lvl w:ilvl="0">
      <w:start w:val="1"/>
      <w:numFmt w:val="decimal"/>
      <w:lvlText w:val="%1"/>
      <w:lvlJc w:val="left"/>
      <w:pPr>
        <w:tabs>
          <w:tab w:val="num" w:pos="1134"/>
        </w:tabs>
        <w:ind w:hanging="1134"/>
      </w:pPr>
      <w:rPr>
        <w:rFonts w:cs="Times New Roman" w:hint="default"/>
      </w:rPr>
    </w:lvl>
    <w:lvl w:ilvl="1">
      <w:start w:val="1"/>
      <w:numFmt w:val="decimal"/>
      <w:lvlText w:val="%1.%2"/>
      <w:lvlJc w:val="left"/>
      <w:pPr>
        <w:tabs>
          <w:tab w:val="num" w:pos="1134"/>
        </w:tabs>
        <w:ind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68"/>
        </w:tabs>
        <w:ind w:left="2268" w:hanging="1134"/>
      </w:pPr>
      <w:rPr>
        <w:rFonts w:cs="Times New Roman" w:hint="default"/>
      </w:rPr>
    </w:lvl>
    <w:lvl w:ilvl="4">
      <w:start w:val="1"/>
      <w:numFmt w:val="decimal"/>
      <w:lvlText w:val="%1.%2.%3.%4.%5"/>
      <w:lvlJc w:val="left"/>
      <w:pPr>
        <w:tabs>
          <w:tab w:val="num" w:pos="2268"/>
        </w:tabs>
        <w:ind w:left="2268" w:hanging="113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1BB5680"/>
    <w:multiLevelType w:val="hybridMultilevel"/>
    <w:tmpl w:val="6D5E2060"/>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1E0863"/>
    <w:multiLevelType w:val="hybridMultilevel"/>
    <w:tmpl w:val="E690AB96"/>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2314BB"/>
    <w:multiLevelType w:val="hybridMultilevel"/>
    <w:tmpl w:val="1E40C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642782"/>
    <w:multiLevelType w:val="hybridMultilevel"/>
    <w:tmpl w:val="9CCEF9FA"/>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A13BC2"/>
    <w:multiLevelType w:val="hybridMultilevel"/>
    <w:tmpl w:val="87762ED6"/>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E46E32"/>
    <w:multiLevelType w:val="hybridMultilevel"/>
    <w:tmpl w:val="C9AEAB06"/>
    <w:lvl w:ilvl="0" w:tplc="11926F6A">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DA21B9"/>
    <w:multiLevelType w:val="hybridMultilevel"/>
    <w:tmpl w:val="299237CE"/>
    <w:lvl w:ilvl="0" w:tplc="91700758">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7694A20"/>
    <w:multiLevelType w:val="hybridMultilevel"/>
    <w:tmpl w:val="FE92BB7E"/>
    <w:lvl w:ilvl="0" w:tplc="0B865C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
  </w:num>
  <w:num w:numId="4">
    <w:abstractNumId w:val="0"/>
  </w:num>
  <w:num w:numId="5">
    <w:abstractNumId w:val="9"/>
  </w:num>
  <w:num w:numId="6">
    <w:abstractNumId w:val="16"/>
  </w:num>
  <w:num w:numId="7">
    <w:abstractNumId w:val="8"/>
  </w:num>
  <w:num w:numId="8">
    <w:abstractNumId w:val="11"/>
  </w:num>
  <w:num w:numId="9">
    <w:abstractNumId w:val="4"/>
  </w:num>
  <w:num w:numId="10">
    <w:abstractNumId w:val="3"/>
  </w:num>
  <w:num w:numId="11">
    <w:abstractNumId w:val="10"/>
  </w:num>
  <w:num w:numId="12">
    <w:abstractNumId w:val="14"/>
  </w:num>
  <w:num w:numId="13">
    <w:abstractNumId w:val="7"/>
  </w:num>
  <w:num w:numId="14">
    <w:abstractNumId w:val="5"/>
  </w:num>
  <w:num w:numId="15">
    <w:abstractNumId w:val="1"/>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EF48A5"/>
    <w:rsid w:val="000052E3"/>
    <w:rsid w:val="00006DB8"/>
    <w:rsid w:val="00030A5C"/>
    <w:rsid w:val="00046766"/>
    <w:rsid w:val="00047166"/>
    <w:rsid w:val="000523B5"/>
    <w:rsid w:val="00074415"/>
    <w:rsid w:val="00081B85"/>
    <w:rsid w:val="000946FC"/>
    <w:rsid w:val="000C3B23"/>
    <w:rsid w:val="00100952"/>
    <w:rsid w:val="0011667A"/>
    <w:rsid w:val="001456A6"/>
    <w:rsid w:val="00174845"/>
    <w:rsid w:val="00177721"/>
    <w:rsid w:val="00184567"/>
    <w:rsid w:val="001944D7"/>
    <w:rsid w:val="001A1FBE"/>
    <w:rsid w:val="001B367A"/>
    <w:rsid w:val="001C6043"/>
    <w:rsid w:val="001D097D"/>
    <w:rsid w:val="001D2807"/>
    <w:rsid w:val="001F14AE"/>
    <w:rsid w:val="001F544B"/>
    <w:rsid w:val="00201ED8"/>
    <w:rsid w:val="002149EE"/>
    <w:rsid w:val="00242A64"/>
    <w:rsid w:val="002435AE"/>
    <w:rsid w:val="00254E16"/>
    <w:rsid w:val="00260C5D"/>
    <w:rsid w:val="00262330"/>
    <w:rsid w:val="00272BB5"/>
    <w:rsid w:val="00281155"/>
    <w:rsid w:val="002B143B"/>
    <w:rsid w:val="002B451B"/>
    <w:rsid w:val="002F380E"/>
    <w:rsid w:val="00300536"/>
    <w:rsid w:val="0031145E"/>
    <w:rsid w:val="0032165A"/>
    <w:rsid w:val="00324419"/>
    <w:rsid w:val="00332B22"/>
    <w:rsid w:val="00362B96"/>
    <w:rsid w:val="003733C3"/>
    <w:rsid w:val="003855D3"/>
    <w:rsid w:val="003B6A0E"/>
    <w:rsid w:val="003E62A2"/>
    <w:rsid w:val="004019AE"/>
    <w:rsid w:val="00413F6F"/>
    <w:rsid w:val="0045403F"/>
    <w:rsid w:val="00482C4B"/>
    <w:rsid w:val="004F418F"/>
    <w:rsid w:val="00510E5E"/>
    <w:rsid w:val="005131F6"/>
    <w:rsid w:val="0051400E"/>
    <w:rsid w:val="005646BB"/>
    <w:rsid w:val="00577975"/>
    <w:rsid w:val="005942CB"/>
    <w:rsid w:val="005B6100"/>
    <w:rsid w:val="005C02C6"/>
    <w:rsid w:val="005D084B"/>
    <w:rsid w:val="005D1B2F"/>
    <w:rsid w:val="005D4C8C"/>
    <w:rsid w:val="005F3C52"/>
    <w:rsid w:val="005F3DE2"/>
    <w:rsid w:val="00610BB7"/>
    <w:rsid w:val="00610C55"/>
    <w:rsid w:val="0061111A"/>
    <w:rsid w:val="00614089"/>
    <w:rsid w:val="00662784"/>
    <w:rsid w:val="006A1940"/>
    <w:rsid w:val="006D213F"/>
    <w:rsid w:val="006F1D47"/>
    <w:rsid w:val="007375EB"/>
    <w:rsid w:val="00737F44"/>
    <w:rsid w:val="00760C85"/>
    <w:rsid w:val="007631DF"/>
    <w:rsid w:val="007B228D"/>
    <w:rsid w:val="007D063A"/>
    <w:rsid w:val="007E22C6"/>
    <w:rsid w:val="0082201E"/>
    <w:rsid w:val="00850EA9"/>
    <w:rsid w:val="00850FB0"/>
    <w:rsid w:val="0085331D"/>
    <w:rsid w:val="008870AE"/>
    <w:rsid w:val="008A6B51"/>
    <w:rsid w:val="008C5FB7"/>
    <w:rsid w:val="008D506C"/>
    <w:rsid w:val="008D5161"/>
    <w:rsid w:val="008D613E"/>
    <w:rsid w:val="008E31D7"/>
    <w:rsid w:val="008E7D06"/>
    <w:rsid w:val="0094209C"/>
    <w:rsid w:val="00944201"/>
    <w:rsid w:val="00954E76"/>
    <w:rsid w:val="00963A88"/>
    <w:rsid w:val="00980C42"/>
    <w:rsid w:val="009A3BC0"/>
    <w:rsid w:val="009B46AC"/>
    <w:rsid w:val="009D2856"/>
    <w:rsid w:val="009E4A76"/>
    <w:rsid w:val="009E506E"/>
    <w:rsid w:val="009E6CAD"/>
    <w:rsid w:val="00A00A81"/>
    <w:rsid w:val="00A05001"/>
    <w:rsid w:val="00A43041"/>
    <w:rsid w:val="00A43760"/>
    <w:rsid w:val="00A53238"/>
    <w:rsid w:val="00A8286D"/>
    <w:rsid w:val="00AA1A19"/>
    <w:rsid w:val="00AA66A7"/>
    <w:rsid w:val="00AC1F73"/>
    <w:rsid w:val="00AC2E56"/>
    <w:rsid w:val="00AD717A"/>
    <w:rsid w:val="00AD7E80"/>
    <w:rsid w:val="00B07DEE"/>
    <w:rsid w:val="00B12F7F"/>
    <w:rsid w:val="00B25E39"/>
    <w:rsid w:val="00BC1EE4"/>
    <w:rsid w:val="00BD32E3"/>
    <w:rsid w:val="00BE56D9"/>
    <w:rsid w:val="00C211BD"/>
    <w:rsid w:val="00C25A0A"/>
    <w:rsid w:val="00C4155C"/>
    <w:rsid w:val="00C575A2"/>
    <w:rsid w:val="00C65008"/>
    <w:rsid w:val="00C77492"/>
    <w:rsid w:val="00C84E01"/>
    <w:rsid w:val="00C955A5"/>
    <w:rsid w:val="00C97418"/>
    <w:rsid w:val="00CA4AEC"/>
    <w:rsid w:val="00CD076F"/>
    <w:rsid w:val="00CD2C5E"/>
    <w:rsid w:val="00CE332A"/>
    <w:rsid w:val="00CF3979"/>
    <w:rsid w:val="00D036F6"/>
    <w:rsid w:val="00D22DF5"/>
    <w:rsid w:val="00D239CC"/>
    <w:rsid w:val="00D23B4B"/>
    <w:rsid w:val="00D43222"/>
    <w:rsid w:val="00D54AD5"/>
    <w:rsid w:val="00D6668F"/>
    <w:rsid w:val="00D750E7"/>
    <w:rsid w:val="00D76000"/>
    <w:rsid w:val="00D82BFB"/>
    <w:rsid w:val="00D867B9"/>
    <w:rsid w:val="00D91D8A"/>
    <w:rsid w:val="00DB0722"/>
    <w:rsid w:val="00DD0B2A"/>
    <w:rsid w:val="00DD7E7A"/>
    <w:rsid w:val="00E23274"/>
    <w:rsid w:val="00E2672C"/>
    <w:rsid w:val="00E700DA"/>
    <w:rsid w:val="00E82006"/>
    <w:rsid w:val="00E90DFF"/>
    <w:rsid w:val="00ED126D"/>
    <w:rsid w:val="00ED78EB"/>
    <w:rsid w:val="00EF48A5"/>
    <w:rsid w:val="00F66169"/>
    <w:rsid w:val="00F9044D"/>
    <w:rsid w:val="00F92A57"/>
    <w:rsid w:val="00FA5FFC"/>
    <w:rsid w:val="00FC35F9"/>
    <w:rsid w:val="00FD54BB"/>
    <w:rsid w:val="00FE327D"/>
    <w:rsid w:val="00FE4324"/>
    <w:rsid w:val="00FF2F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C8C"/>
    <w:rPr>
      <w:sz w:val="24"/>
      <w:szCs w:val="24"/>
      <w:lang w:val="en-US" w:eastAsia="en-US"/>
    </w:rPr>
  </w:style>
  <w:style w:type="paragraph" w:styleId="Heading1">
    <w:name w:val="heading 1"/>
    <w:basedOn w:val="Normal"/>
    <w:next w:val="Normal"/>
    <w:link w:val="Heading1Char"/>
    <w:qFormat/>
    <w:rsid w:val="00ED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F14AE"/>
    <w:pPr>
      <w:keepNext/>
      <w:spacing w:before="240" w:after="60"/>
      <w:outlineLvl w:val="1"/>
    </w:pPr>
    <w:rPr>
      <w:rFonts w:ascii="Arial" w:hAnsi="Arial"/>
      <w:b/>
      <w:bCs/>
      <w:i/>
      <w:iCs/>
      <w:sz w:val="28"/>
      <w:szCs w:val="28"/>
    </w:rPr>
  </w:style>
  <w:style w:type="paragraph" w:styleId="Heading4">
    <w:name w:val="heading 4"/>
    <w:basedOn w:val="Normal"/>
    <w:qFormat/>
    <w:rsid w:val="00C84E01"/>
    <w:pPr>
      <w:spacing w:before="100" w:beforeAutospacing="1" w:after="100" w:afterAutospacing="1"/>
      <w:outlineLvl w:val="3"/>
    </w:pPr>
    <w:rPr>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A3BC0"/>
    <w:rPr>
      <w:szCs w:val="20"/>
      <w:u w:val="single"/>
      <w:lang w:val="en-AU"/>
    </w:rPr>
  </w:style>
  <w:style w:type="paragraph" w:styleId="Header">
    <w:name w:val="header"/>
    <w:basedOn w:val="Normal"/>
    <w:link w:val="HeaderChar"/>
    <w:rsid w:val="009A3BC0"/>
    <w:pPr>
      <w:widowControl w:val="0"/>
      <w:tabs>
        <w:tab w:val="center" w:pos="4153"/>
        <w:tab w:val="right" w:pos="8306"/>
      </w:tabs>
    </w:pPr>
    <w:rPr>
      <w:snapToGrid w:val="0"/>
      <w:szCs w:val="20"/>
    </w:rPr>
  </w:style>
  <w:style w:type="character" w:styleId="PageNumber">
    <w:name w:val="page number"/>
    <w:basedOn w:val="DefaultParagraphFont"/>
    <w:rsid w:val="009A3BC0"/>
  </w:style>
  <w:style w:type="paragraph" w:styleId="NormalWeb">
    <w:name w:val="Normal (Web)"/>
    <w:basedOn w:val="Normal"/>
    <w:rsid w:val="00DB0722"/>
    <w:pPr>
      <w:spacing w:before="100" w:beforeAutospacing="1" w:after="300"/>
    </w:pPr>
  </w:style>
  <w:style w:type="character" w:styleId="Hyperlink">
    <w:name w:val="Hyperlink"/>
    <w:basedOn w:val="DefaultParagraphFont"/>
    <w:rsid w:val="00262330"/>
    <w:rPr>
      <w:color w:val="0000FF"/>
      <w:u w:val="single"/>
    </w:rPr>
  </w:style>
  <w:style w:type="paragraph" w:customStyle="1" w:styleId="clause">
    <w:name w:val="clause"/>
    <w:basedOn w:val="Normal"/>
    <w:rsid w:val="00C84E01"/>
    <w:pPr>
      <w:spacing w:before="100" w:beforeAutospacing="1" w:after="100" w:afterAutospacing="1"/>
    </w:pPr>
    <w:rPr>
      <w:lang w:bidi="hi-IN"/>
    </w:rPr>
  </w:style>
  <w:style w:type="paragraph" w:customStyle="1" w:styleId="Default">
    <w:name w:val="Default"/>
    <w:rsid w:val="00E82006"/>
    <w:pPr>
      <w:autoSpaceDE w:val="0"/>
      <w:autoSpaceDN w:val="0"/>
      <w:adjustRightInd w:val="0"/>
    </w:pPr>
    <w:rPr>
      <w:rFonts w:ascii="Calibri" w:hAnsi="Calibri" w:cs="Calibri"/>
      <w:color w:val="000000"/>
      <w:sz w:val="24"/>
      <w:szCs w:val="24"/>
      <w:lang w:val="en-US" w:eastAsia="en-US"/>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1F14AE"/>
    <w:pPr>
      <w:keepLines/>
      <w:spacing w:after="120"/>
    </w:pPr>
    <w:rPr>
      <w:rFonts w:ascii="Verdana" w:hAnsi="Verdana"/>
      <w:color w:val="000000"/>
      <w:sz w:val="20"/>
      <w:lang w:val="en-AU" w:eastAsia="en-AU"/>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locked/>
    <w:rsid w:val="001F14AE"/>
    <w:rPr>
      <w:rFonts w:ascii="Verdana" w:hAnsi="Verdana"/>
      <w:color w:val="000000"/>
      <w:szCs w:val="24"/>
      <w:lang w:val="en-AU" w:eastAsia="en-AU" w:bidi="ar-SA"/>
    </w:rPr>
  </w:style>
  <w:style w:type="paragraph" w:styleId="FootnoteText">
    <w:name w:val="footnote text"/>
    <w:basedOn w:val="Normal"/>
    <w:semiHidden/>
    <w:rsid w:val="009E506E"/>
    <w:rPr>
      <w:sz w:val="20"/>
      <w:szCs w:val="20"/>
    </w:rPr>
  </w:style>
  <w:style w:type="character" w:styleId="FootnoteReference">
    <w:name w:val="footnote reference"/>
    <w:basedOn w:val="DefaultParagraphFont"/>
    <w:semiHidden/>
    <w:rsid w:val="009E506E"/>
    <w:rPr>
      <w:vertAlign w:val="superscript"/>
    </w:rPr>
  </w:style>
  <w:style w:type="character" w:customStyle="1" w:styleId="char">
    <w:name w:val="char"/>
    <w:basedOn w:val="DefaultParagraphFont"/>
    <w:rsid w:val="009E506E"/>
  </w:style>
  <w:style w:type="paragraph" w:customStyle="1" w:styleId="subsection">
    <w:name w:val="subsection"/>
    <w:aliases w:val="ss"/>
    <w:link w:val="subsectionChar"/>
    <w:rsid w:val="00177721"/>
    <w:pPr>
      <w:tabs>
        <w:tab w:val="right" w:pos="1021"/>
      </w:tabs>
      <w:spacing w:before="180"/>
      <w:ind w:left="1134" w:hanging="1134"/>
    </w:pPr>
    <w:rPr>
      <w:sz w:val="22"/>
      <w:szCs w:val="24"/>
    </w:rPr>
  </w:style>
  <w:style w:type="paragraph" w:customStyle="1" w:styleId="paragraph">
    <w:name w:val="paragraph"/>
    <w:aliases w:val="a"/>
    <w:link w:val="paragraphChar"/>
    <w:rsid w:val="00177721"/>
    <w:pPr>
      <w:tabs>
        <w:tab w:val="right" w:pos="1531"/>
      </w:tabs>
      <w:spacing w:before="40"/>
      <w:ind w:left="1644" w:hanging="1644"/>
    </w:pPr>
    <w:rPr>
      <w:sz w:val="22"/>
      <w:szCs w:val="24"/>
    </w:rPr>
  </w:style>
  <w:style w:type="character" w:customStyle="1" w:styleId="subsectionChar">
    <w:name w:val="subsection Char"/>
    <w:aliases w:val="ss Char"/>
    <w:basedOn w:val="DefaultParagraphFont"/>
    <w:link w:val="subsection"/>
    <w:rsid w:val="00177721"/>
    <w:rPr>
      <w:sz w:val="22"/>
      <w:szCs w:val="24"/>
      <w:lang w:val="en-AU" w:eastAsia="en-AU" w:bidi="ar-SA"/>
    </w:rPr>
  </w:style>
  <w:style w:type="character" w:customStyle="1" w:styleId="paragraphChar">
    <w:name w:val="paragraph Char"/>
    <w:aliases w:val="a Char"/>
    <w:basedOn w:val="DefaultParagraphFont"/>
    <w:link w:val="paragraph"/>
    <w:rsid w:val="00177721"/>
    <w:rPr>
      <w:sz w:val="22"/>
      <w:szCs w:val="24"/>
      <w:lang w:val="en-AU" w:eastAsia="en-AU" w:bidi="ar-SA"/>
    </w:rPr>
  </w:style>
  <w:style w:type="paragraph" w:customStyle="1" w:styleId="ActHead5">
    <w:name w:val="ActHead 5"/>
    <w:aliases w:val="s"/>
    <w:basedOn w:val="Normal"/>
    <w:next w:val="Normal"/>
    <w:link w:val="ActHead5Char"/>
    <w:rsid w:val="00177721"/>
    <w:pPr>
      <w:keepNext/>
      <w:keepLines/>
      <w:spacing w:before="280"/>
      <w:ind w:left="1134" w:hanging="1134"/>
      <w:outlineLvl w:val="4"/>
    </w:pPr>
    <w:rPr>
      <w:b/>
      <w:bCs/>
      <w:kern w:val="28"/>
      <w:szCs w:val="32"/>
      <w:lang w:val="en-AU" w:eastAsia="en-AU"/>
    </w:rPr>
  </w:style>
  <w:style w:type="character" w:customStyle="1" w:styleId="CharDivNo">
    <w:name w:val="CharDivNo"/>
    <w:basedOn w:val="DefaultParagraphFont"/>
    <w:rsid w:val="00177721"/>
  </w:style>
  <w:style w:type="character" w:customStyle="1" w:styleId="CharSectno">
    <w:name w:val="CharSectno"/>
    <w:basedOn w:val="DefaultParagraphFont"/>
    <w:rsid w:val="00177721"/>
  </w:style>
  <w:style w:type="paragraph" w:customStyle="1" w:styleId="subsection2">
    <w:name w:val="subsection2"/>
    <w:aliases w:val="ss2"/>
    <w:basedOn w:val="subsection"/>
    <w:next w:val="subsection"/>
    <w:rsid w:val="00177721"/>
    <w:pPr>
      <w:tabs>
        <w:tab w:val="clear" w:pos="1021"/>
      </w:tabs>
      <w:spacing w:before="40"/>
      <w:ind w:firstLine="0"/>
    </w:pPr>
  </w:style>
  <w:style w:type="character" w:customStyle="1" w:styleId="ActHead5Char">
    <w:name w:val="ActHead 5 Char"/>
    <w:aliases w:val="s Char"/>
    <w:basedOn w:val="DefaultParagraphFont"/>
    <w:link w:val="ActHead5"/>
    <w:rsid w:val="00177721"/>
    <w:rPr>
      <w:b/>
      <w:bCs/>
      <w:kern w:val="28"/>
      <w:sz w:val="24"/>
      <w:szCs w:val="32"/>
      <w:lang w:val="en-AU" w:eastAsia="en-AU" w:bidi="ar-SA"/>
    </w:rPr>
  </w:style>
  <w:style w:type="paragraph" w:styleId="BalloonText">
    <w:name w:val="Balloon Text"/>
    <w:basedOn w:val="Normal"/>
    <w:semiHidden/>
    <w:rsid w:val="00AD7E80"/>
    <w:rPr>
      <w:rFonts w:ascii="Tahoma" w:hAnsi="Tahoma" w:cs="Tahoma"/>
      <w:sz w:val="16"/>
      <w:szCs w:val="16"/>
    </w:rPr>
  </w:style>
  <w:style w:type="character" w:styleId="CommentReference">
    <w:name w:val="annotation reference"/>
    <w:basedOn w:val="DefaultParagraphFont"/>
    <w:semiHidden/>
    <w:rsid w:val="00DD7E7A"/>
    <w:rPr>
      <w:sz w:val="16"/>
      <w:szCs w:val="16"/>
    </w:rPr>
  </w:style>
  <w:style w:type="paragraph" w:styleId="CommentText">
    <w:name w:val="annotation text"/>
    <w:basedOn w:val="Normal"/>
    <w:semiHidden/>
    <w:rsid w:val="00DD7E7A"/>
    <w:rPr>
      <w:sz w:val="20"/>
      <w:szCs w:val="20"/>
    </w:rPr>
  </w:style>
  <w:style w:type="paragraph" w:styleId="CommentSubject">
    <w:name w:val="annotation subject"/>
    <w:basedOn w:val="CommentText"/>
    <w:next w:val="CommentText"/>
    <w:semiHidden/>
    <w:rsid w:val="00DD7E7A"/>
    <w:rPr>
      <w:b/>
      <w:bCs/>
    </w:rPr>
  </w:style>
  <w:style w:type="character" w:customStyle="1" w:styleId="HeaderChar">
    <w:name w:val="Header Char"/>
    <w:basedOn w:val="DefaultParagraphFont"/>
    <w:link w:val="Header"/>
    <w:rsid w:val="00F9044D"/>
    <w:rPr>
      <w:snapToGrid w:val="0"/>
      <w:sz w:val="24"/>
      <w:lang w:val="en-US" w:eastAsia="en-US"/>
    </w:rPr>
  </w:style>
  <w:style w:type="paragraph" w:styleId="Footer">
    <w:name w:val="footer"/>
    <w:basedOn w:val="Normal"/>
    <w:link w:val="FooterChar"/>
    <w:rsid w:val="00F9044D"/>
    <w:pPr>
      <w:tabs>
        <w:tab w:val="center" w:pos="4513"/>
        <w:tab w:val="right" w:pos="9026"/>
      </w:tabs>
    </w:pPr>
  </w:style>
  <w:style w:type="character" w:customStyle="1" w:styleId="FooterChar">
    <w:name w:val="Footer Char"/>
    <w:basedOn w:val="DefaultParagraphFont"/>
    <w:link w:val="Footer"/>
    <w:rsid w:val="00F9044D"/>
    <w:rPr>
      <w:sz w:val="24"/>
      <w:szCs w:val="24"/>
      <w:lang w:val="en-US" w:eastAsia="en-US"/>
    </w:rPr>
  </w:style>
  <w:style w:type="character" w:customStyle="1" w:styleId="SubtitleChar">
    <w:name w:val="Subtitle Char"/>
    <w:basedOn w:val="DefaultParagraphFont"/>
    <w:link w:val="Subtitle"/>
    <w:rsid w:val="00850EA9"/>
    <w:rPr>
      <w:sz w:val="24"/>
      <w:u w:val="single"/>
      <w:lang w:eastAsia="en-US"/>
    </w:rPr>
  </w:style>
  <w:style w:type="character" w:customStyle="1" w:styleId="Heading1Char">
    <w:name w:val="Heading 1 Char"/>
    <w:basedOn w:val="DefaultParagraphFont"/>
    <w:link w:val="Heading1"/>
    <w:rsid w:val="00ED126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D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F14AE"/>
    <w:pPr>
      <w:keepNext/>
      <w:spacing w:before="240" w:after="60"/>
      <w:outlineLvl w:val="1"/>
    </w:pPr>
    <w:rPr>
      <w:rFonts w:ascii="Arial" w:hAnsi="Arial"/>
      <w:b/>
      <w:bCs/>
      <w:i/>
      <w:iCs/>
      <w:sz w:val="28"/>
      <w:szCs w:val="28"/>
    </w:rPr>
  </w:style>
  <w:style w:type="paragraph" w:styleId="Heading4">
    <w:name w:val="heading 4"/>
    <w:basedOn w:val="Normal"/>
    <w:qFormat/>
    <w:rsid w:val="00C84E01"/>
    <w:pPr>
      <w:spacing w:before="100" w:beforeAutospacing="1" w:after="100" w:afterAutospacing="1"/>
      <w:outlineLvl w:val="3"/>
    </w:pPr>
    <w:rPr>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A3BC0"/>
    <w:rPr>
      <w:szCs w:val="20"/>
      <w:u w:val="single"/>
      <w:lang w:val="en-AU"/>
    </w:rPr>
  </w:style>
  <w:style w:type="paragraph" w:styleId="Header">
    <w:name w:val="header"/>
    <w:basedOn w:val="Normal"/>
    <w:link w:val="HeaderChar"/>
    <w:rsid w:val="009A3BC0"/>
    <w:pPr>
      <w:widowControl w:val="0"/>
      <w:tabs>
        <w:tab w:val="center" w:pos="4153"/>
        <w:tab w:val="right" w:pos="8306"/>
      </w:tabs>
    </w:pPr>
    <w:rPr>
      <w:snapToGrid w:val="0"/>
      <w:szCs w:val="20"/>
    </w:rPr>
  </w:style>
  <w:style w:type="character" w:styleId="PageNumber">
    <w:name w:val="page number"/>
    <w:basedOn w:val="DefaultParagraphFont"/>
    <w:rsid w:val="009A3BC0"/>
  </w:style>
  <w:style w:type="paragraph" w:styleId="NormalWeb">
    <w:name w:val="Normal (Web)"/>
    <w:basedOn w:val="Normal"/>
    <w:rsid w:val="00DB0722"/>
    <w:pPr>
      <w:spacing w:before="100" w:beforeAutospacing="1" w:after="300"/>
    </w:pPr>
  </w:style>
  <w:style w:type="character" w:styleId="Hyperlink">
    <w:name w:val="Hyperlink"/>
    <w:basedOn w:val="DefaultParagraphFont"/>
    <w:rsid w:val="00262330"/>
    <w:rPr>
      <w:color w:val="0000FF"/>
      <w:u w:val="single"/>
    </w:rPr>
  </w:style>
  <w:style w:type="paragraph" w:customStyle="1" w:styleId="clause">
    <w:name w:val="clause"/>
    <w:basedOn w:val="Normal"/>
    <w:rsid w:val="00C84E01"/>
    <w:pPr>
      <w:spacing w:before="100" w:beforeAutospacing="1" w:after="100" w:afterAutospacing="1"/>
    </w:pPr>
    <w:rPr>
      <w:lang w:bidi="hi-IN"/>
    </w:rPr>
  </w:style>
  <w:style w:type="paragraph" w:customStyle="1" w:styleId="Default">
    <w:name w:val="Default"/>
    <w:rsid w:val="00E82006"/>
    <w:pPr>
      <w:autoSpaceDE w:val="0"/>
      <w:autoSpaceDN w:val="0"/>
      <w:adjustRightInd w:val="0"/>
    </w:pPr>
    <w:rPr>
      <w:rFonts w:ascii="Calibri" w:hAnsi="Calibri" w:cs="Calibri"/>
      <w:color w:val="000000"/>
      <w:sz w:val="24"/>
      <w:szCs w:val="24"/>
      <w:lang w:val="en-US" w:eastAsia="en-US"/>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1F14AE"/>
    <w:pPr>
      <w:keepLines/>
      <w:spacing w:after="120"/>
    </w:pPr>
    <w:rPr>
      <w:rFonts w:ascii="Verdana" w:hAnsi="Verdana"/>
      <w:color w:val="000000"/>
      <w:sz w:val="20"/>
      <w:lang w:val="en-AU" w:eastAsia="en-AU"/>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locked/>
    <w:rsid w:val="001F14AE"/>
    <w:rPr>
      <w:rFonts w:ascii="Verdana" w:hAnsi="Verdana"/>
      <w:color w:val="000000"/>
      <w:szCs w:val="24"/>
      <w:lang w:val="en-AU" w:eastAsia="en-AU" w:bidi="ar-SA"/>
    </w:rPr>
  </w:style>
  <w:style w:type="paragraph" w:styleId="FootnoteText">
    <w:name w:val="footnote text"/>
    <w:basedOn w:val="Normal"/>
    <w:semiHidden/>
    <w:rsid w:val="009E506E"/>
    <w:rPr>
      <w:sz w:val="20"/>
      <w:szCs w:val="20"/>
    </w:rPr>
  </w:style>
  <w:style w:type="character" w:styleId="FootnoteReference">
    <w:name w:val="footnote reference"/>
    <w:basedOn w:val="DefaultParagraphFont"/>
    <w:semiHidden/>
    <w:rsid w:val="009E506E"/>
    <w:rPr>
      <w:vertAlign w:val="superscript"/>
    </w:rPr>
  </w:style>
  <w:style w:type="character" w:customStyle="1" w:styleId="char">
    <w:name w:val="char"/>
    <w:basedOn w:val="DefaultParagraphFont"/>
    <w:rsid w:val="009E506E"/>
  </w:style>
  <w:style w:type="paragraph" w:customStyle="1" w:styleId="subsection">
    <w:name w:val="subsection"/>
    <w:aliases w:val="ss"/>
    <w:link w:val="subsectionChar"/>
    <w:rsid w:val="00177721"/>
    <w:pPr>
      <w:tabs>
        <w:tab w:val="right" w:pos="1021"/>
      </w:tabs>
      <w:spacing w:before="180"/>
      <w:ind w:left="1134" w:hanging="1134"/>
    </w:pPr>
    <w:rPr>
      <w:sz w:val="22"/>
      <w:szCs w:val="24"/>
    </w:rPr>
  </w:style>
  <w:style w:type="paragraph" w:customStyle="1" w:styleId="paragraph">
    <w:name w:val="paragraph"/>
    <w:aliases w:val="a"/>
    <w:link w:val="paragraphChar"/>
    <w:rsid w:val="00177721"/>
    <w:pPr>
      <w:tabs>
        <w:tab w:val="right" w:pos="1531"/>
      </w:tabs>
      <w:spacing w:before="40"/>
      <w:ind w:left="1644" w:hanging="1644"/>
    </w:pPr>
    <w:rPr>
      <w:sz w:val="22"/>
      <w:szCs w:val="24"/>
    </w:rPr>
  </w:style>
  <w:style w:type="character" w:customStyle="1" w:styleId="subsectionChar">
    <w:name w:val="subsection Char"/>
    <w:aliases w:val="ss Char"/>
    <w:basedOn w:val="DefaultParagraphFont"/>
    <w:link w:val="subsection"/>
    <w:rsid w:val="00177721"/>
    <w:rPr>
      <w:sz w:val="22"/>
      <w:szCs w:val="24"/>
      <w:lang w:val="en-AU" w:eastAsia="en-AU" w:bidi="ar-SA"/>
    </w:rPr>
  </w:style>
  <w:style w:type="character" w:customStyle="1" w:styleId="paragraphChar">
    <w:name w:val="paragraph Char"/>
    <w:aliases w:val="a Char"/>
    <w:basedOn w:val="DefaultParagraphFont"/>
    <w:link w:val="paragraph"/>
    <w:rsid w:val="00177721"/>
    <w:rPr>
      <w:sz w:val="22"/>
      <w:szCs w:val="24"/>
      <w:lang w:val="en-AU" w:eastAsia="en-AU" w:bidi="ar-SA"/>
    </w:rPr>
  </w:style>
  <w:style w:type="paragraph" w:customStyle="1" w:styleId="ActHead5">
    <w:name w:val="ActHead 5"/>
    <w:aliases w:val="s"/>
    <w:basedOn w:val="Normal"/>
    <w:next w:val="Normal"/>
    <w:link w:val="ActHead5Char"/>
    <w:rsid w:val="00177721"/>
    <w:pPr>
      <w:keepNext/>
      <w:keepLines/>
      <w:spacing w:before="280"/>
      <w:ind w:left="1134" w:hanging="1134"/>
      <w:outlineLvl w:val="4"/>
    </w:pPr>
    <w:rPr>
      <w:b/>
      <w:bCs/>
      <w:kern w:val="28"/>
      <w:szCs w:val="32"/>
      <w:lang w:val="en-AU" w:eastAsia="en-AU"/>
    </w:rPr>
  </w:style>
  <w:style w:type="character" w:customStyle="1" w:styleId="CharDivNo">
    <w:name w:val="CharDivNo"/>
    <w:basedOn w:val="DefaultParagraphFont"/>
    <w:rsid w:val="00177721"/>
  </w:style>
  <w:style w:type="character" w:customStyle="1" w:styleId="CharSectno">
    <w:name w:val="CharSectno"/>
    <w:basedOn w:val="DefaultParagraphFont"/>
    <w:rsid w:val="00177721"/>
  </w:style>
  <w:style w:type="paragraph" w:customStyle="1" w:styleId="subsection2">
    <w:name w:val="subsection2"/>
    <w:aliases w:val="ss2"/>
    <w:basedOn w:val="subsection"/>
    <w:next w:val="subsection"/>
    <w:rsid w:val="00177721"/>
    <w:pPr>
      <w:tabs>
        <w:tab w:val="clear" w:pos="1021"/>
      </w:tabs>
      <w:spacing w:before="40"/>
      <w:ind w:firstLine="0"/>
    </w:pPr>
  </w:style>
  <w:style w:type="character" w:customStyle="1" w:styleId="ActHead5Char">
    <w:name w:val="ActHead 5 Char"/>
    <w:aliases w:val="s Char"/>
    <w:basedOn w:val="DefaultParagraphFont"/>
    <w:link w:val="ActHead5"/>
    <w:rsid w:val="00177721"/>
    <w:rPr>
      <w:b/>
      <w:bCs/>
      <w:kern w:val="28"/>
      <w:sz w:val="24"/>
      <w:szCs w:val="32"/>
      <w:lang w:val="en-AU" w:eastAsia="en-AU" w:bidi="ar-SA"/>
    </w:rPr>
  </w:style>
  <w:style w:type="paragraph" w:styleId="BalloonText">
    <w:name w:val="Balloon Text"/>
    <w:basedOn w:val="Normal"/>
    <w:semiHidden/>
    <w:rsid w:val="00AD7E80"/>
    <w:rPr>
      <w:rFonts w:ascii="Tahoma" w:hAnsi="Tahoma" w:cs="Tahoma"/>
      <w:sz w:val="16"/>
      <w:szCs w:val="16"/>
    </w:rPr>
  </w:style>
  <w:style w:type="character" w:styleId="CommentReference">
    <w:name w:val="annotation reference"/>
    <w:basedOn w:val="DefaultParagraphFont"/>
    <w:semiHidden/>
    <w:rsid w:val="00DD7E7A"/>
    <w:rPr>
      <w:sz w:val="16"/>
      <w:szCs w:val="16"/>
    </w:rPr>
  </w:style>
  <w:style w:type="paragraph" w:styleId="CommentText">
    <w:name w:val="annotation text"/>
    <w:basedOn w:val="Normal"/>
    <w:semiHidden/>
    <w:rsid w:val="00DD7E7A"/>
    <w:rPr>
      <w:sz w:val="20"/>
      <w:szCs w:val="20"/>
    </w:rPr>
  </w:style>
  <w:style w:type="paragraph" w:styleId="CommentSubject">
    <w:name w:val="annotation subject"/>
    <w:basedOn w:val="CommentText"/>
    <w:next w:val="CommentText"/>
    <w:semiHidden/>
    <w:rsid w:val="00DD7E7A"/>
    <w:rPr>
      <w:b/>
      <w:bCs/>
    </w:rPr>
  </w:style>
  <w:style w:type="character" w:customStyle="1" w:styleId="HeaderChar">
    <w:name w:val="Header Char"/>
    <w:basedOn w:val="DefaultParagraphFont"/>
    <w:link w:val="Header"/>
    <w:rsid w:val="00F9044D"/>
    <w:rPr>
      <w:snapToGrid w:val="0"/>
      <w:sz w:val="24"/>
      <w:lang w:val="en-US" w:eastAsia="en-US"/>
    </w:rPr>
  </w:style>
  <w:style w:type="paragraph" w:styleId="Footer">
    <w:name w:val="footer"/>
    <w:basedOn w:val="Normal"/>
    <w:link w:val="FooterChar"/>
    <w:rsid w:val="00F9044D"/>
    <w:pPr>
      <w:tabs>
        <w:tab w:val="center" w:pos="4513"/>
        <w:tab w:val="right" w:pos="9026"/>
      </w:tabs>
    </w:pPr>
  </w:style>
  <w:style w:type="character" w:customStyle="1" w:styleId="FooterChar">
    <w:name w:val="Footer Char"/>
    <w:basedOn w:val="DefaultParagraphFont"/>
    <w:link w:val="Footer"/>
    <w:rsid w:val="00F9044D"/>
    <w:rPr>
      <w:sz w:val="24"/>
      <w:szCs w:val="24"/>
      <w:lang w:val="en-US" w:eastAsia="en-US"/>
    </w:rPr>
  </w:style>
  <w:style w:type="character" w:customStyle="1" w:styleId="SubtitleChar">
    <w:name w:val="Subtitle Char"/>
    <w:basedOn w:val="DefaultParagraphFont"/>
    <w:link w:val="Subtitle"/>
    <w:rsid w:val="00850EA9"/>
    <w:rPr>
      <w:sz w:val="24"/>
      <w:u w:val="single"/>
      <w:lang w:eastAsia="en-US"/>
    </w:rPr>
  </w:style>
  <w:style w:type="character" w:customStyle="1" w:styleId="Heading1Char">
    <w:name w:val="Heading 1 Char"/>
    <w:basedOn w:val="DefaultParagraphFont"/>
    <w:link w:val="Heading1"/>
    <w:rsid w:val="00ED126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2836424">
      <w:bodyDiv w:val="1"/>
      <w:marLeft w:val="0"/>
      <w:marRight w:val="0"/>
      <w:marTop w:val="0"/>
      <w:marBottom w:val="0"/>
      <w:divBdr>
        <w:top w:val="none" w:sz="0" w:space="0" w:color="auto"/>
        <w:left w:val="none" w:sz="0" w:space="0" w:color="auto"/>
        <w:bottom w:val="none" w:sz="0" w:space="0" w:color="auto"/>
        <w:right w:val="none" w:sz="0" w:space="0" w:color="auto"/>
      </w:divBdr>
    </w:div>
    <w:div w:id="349719609">
      <w:bodyDiv w:val="1"/>
      <w:marLeft w:val="0"/>
      <w:marRight w:val="0"/>
      <w:marTop w:val="0"/>
      <w:marBottom w:val="0"/>
      <w:divBdr>
        <w:top w:val="none" w:sz="0" w:space="0" w:color="auto"/>
        <w:left w:val="none" w:sz="0" w:space="0" w:color="auto"/>
        <w:bottom w:val="none" w:sz="0" w:space="0" w:color="auto"/>
        <w:right w:val="none" w:sz="0" w:space="0" w:color="auto"/>
      </w:divBdr>
    </w:div>
    <w:div w:id="792480940">
      <w:bodyDiv w:val="1"/>
      <w:marLeft w:val="0"/>
      <w:marRight w:val="0"/>
      <w:marTop w:val="0"/>
      <w:marBottom w:val="0"/>
      <w:divBdr>
        <w:top w:val="none" w:sz="0" w:space="0" w:color="auto"/>
        <w:left w:val="none" w:sz="0" w:space="0" w:color="auto"/>
        <w:bottom w:val="none" w:sz="0" w:space="0" w:color="auto"/>
        <w:right w:val="none" w:sz="0" w:space="0" w:color="auto"/>
      </w:divBdr>
    </w:div>
    <w:div w:id="938178973">
      <w:bodyDiv w:val="1"/>
      <w:marLeft w:val="0"/>
      <w:marRight w:val="0"/>
      <w:marTop w:val="0"/>
      <w:marBottom w:val="0"/>
      <w:divBdr>
        <w:top w:val="none" w:sz="0" w:space="0" w:color="auto"/>
        <w:left w:val="none" w:sz="0" w:space="0" w:color="auto"/>
        <w:bottom w:val="none" w:sz="0" w:space="0" w:color="auto"/>
        <w:right w:val="none" w:sz="0" w:space="0" w:color="auto"/>
      </w:divBdr>
    </w:div>
    <w:div w:id="996569802">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540317610">
      <w:bodyDiv w:val="1"/>
      <w:marLeft w:val="0"/>
      <w:marRight w:val="0"/>
      <w:marTop w:val="0"/>
      <w:marBottom w:val="0"/>
      <w:divBdr>
        <w:top w:val="none" w:sz="0" w:space="0" w:color="auto"/>
        <w:left w:val="none" w:sz="0" w:space="0" w:color="auto"/>
        <w:bottom w:val="none" w:sz="0" w:space="0" w:color="auto"/>
        <w:right w:val="none" w:sz="0" w:space="0" w:color="auto"/>
      </w:divBdr>
      <w:divsChild>
        <w:div w:id="16602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12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710928">
      <w:bodyDiv w:val="1"/>
      <w:marLeft w:val="0"/>
      <w:marRight w:val="0"/>
      <w:marTop w:val="0"/>
      <w:marBottom w:val="0"/>
      <w:divBdr>
        <w:top w:val="none" w:sz="0" w:space="0" w:color="auto"/>
        <w:left w:val="none" w:sz="0" w:space="0" w:color="auto"/>
        <w:bottom w:val="none" w:sz="0" w:space="0" w:color="auto"/>
        <w:right w:val="none" w:sz="0" w:space="0" w:color="auto"/>
      </w:divBdr>
      <w:divsChild>
        <w:div w:id="22664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2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54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7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68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8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12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5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10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0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14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957030">
      <w:bodyDiv w:val="1"/>
      <w:marLeft w:val="0"/>
      <w:marRight w:val="0"/>
      <w:marTop w:val="0"/>
      <w:marBottom w:val="0"/>
      <w:divBdr>
        <w:top w:val="none" w:sz="0" w:space="0" w:color="auto"/>
        <w:left w:val="none" w:sz="0" w:space="0" w:color="auto"/>
        <w:bottom w:val="none" w:sz="0" w:space="0" w:color="auto"/>
        <w:right w:val="none" w:sz="0" w:space="0" w:color="auto"/>
      </w:divBdr>
      <w:divsChild>
        <w:div w:id="5442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2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4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4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9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77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1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76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389171">
      <w:bodyDiv w:val="1"/>
      <w:marLeft w:val="0"/>
      <w:marRight w:val="0"/>
      <w:marTop w:val="0"/>
      <w:marBottom w:val="0"/>
      <w:divBdr>
        <w:top w:val="none" w:sz="0" w:space="0" w:color="auto"/>
        <w:left w:val="none" w:sz="0" w:space="0" w:color="auto"/>
        <w:bottom w:val="none" w:sz="0" w:space="0" w:color="auto"/>
        <w:right w:val="none" w:sz="0" w:space="0" w:color="auto"/>
      </w:divBdr>
      <w:divsChild>
        <w:div w:id="5657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2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62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624311">
      <w:bodyDiv w:val="1"/>
      <w:marLeft w:val="0"/>
      <w:marRight w:val="0"/>
      <w:marTop w:val="0"/>
      <w:marBottom w:val="0"/>
      <w:divBdr>
        <w:top w:val="none" w:sz="0" w:space="0" w:color="auto"/>
        <w:left w:val="none" w:sz="0" w:space="0" w:color="auto"/>
        <w:bottom w:val="none" w:sz="0" w:space="0" w:color="auto"/>
        <w:right w:val="none" w:sz="0" w:space="0" w:color="auto"/>
      </w:divBdr>
      <w:divsChild>
        <w:div w:id="60438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8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87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0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10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28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23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4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329614">
      <w:bodyDiv w:val="1"/>
      <w:marLeft w:val="0"/>
      <w:marRight w:val="0"/>
      <w:marTop w:val="0"/>
      <w:marBottom w:val="0"/>
      <w:divBdr>
        <w:top w:val="none" w:sz="0" w:space="0" w:color="auto"/>
        <w:left w:val="none" w:sz="0" w:space="0" w:color="auto"/>
        <w:bottom w:val="none" w:sz="0" w:space="0" w:color="auto"/>
        <w:right w:val="none" w:sz="0" w:space="0" w:color="auto"/>
      </w:divBdr>
      <w:divsChild>
        <w:div w:id="89531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6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2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1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0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8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35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11437</Characters>
  <Application>Microsoft Office Word</Application>
  <DocSecurity>0</DocSecurity>
  <Lines>281</Lines>
  <Paragraphs>71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DHA</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Kim Richter</dc:creator>
  <cp:lastModifiedBy>hilhma</cp:lastModifiedBy>
  <cp:revision>2</cp:revision>
  <cp:lastPrinted>2012-06-22T08:09:00Z</cp:lastPrinted>
  <dcterms:created xsi:type="dcterms:W3CDTF">2012-06-27T01:59:00Z</dcterms:created>
  <dcterms:modified xsi:type="dcterms:W3CDTF">2012-06-27T01:59:00Z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