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96" w:rsidRPr="00EC03E5" w:rsidRDefault="008A3D96" w:rsidP="008A3D96">
      <w:pPr>
        <w:spacing w:before="360"/>
        <w:ind w:left="-720" w:right="-540"/>
        <w:jc w:val="center"/>
        <w:rPr>
          <w:b/>
          <w:szCs w:val="24"/>
          <w:u w:val="single"/>
        </w:rPr>
      </w:pPr>
      <w:r w:rsidRPr="00EC03E5">
        <w:rPr>
          <w:b/>
          <w:szCs w:val="24"/>
          <w:u w:val="single"/>
        </w:rPr>
        <w:t>EXPLANATORY STATEMENT</w:t>
      </w:r>
    </w:p>
    <w:p w:rsidR="008A3D96" w:rsidRPr="00EC03E5" w:rsidRDefault="008A3D96" w:rsidP="008A3D96">
      <w:pPr>
        <w:jc w:val="center"/>
        <w:rPr>
          <w:b/>
          <w:szCs w:val="24"/>
          <w:u w:val="single"/>
        </w:rPr>
      </w:pPr>
      <w:r w:rsidRPr="00EC03E5">
        <w:rPr>
          <w:b/>
          <w:szCs w:val="24"/>
          <w:u w:val="single"/>
        </w:rPr>
        <w:t>Select Legislative Instrument 201</w:t>
      </w:r>
      <w:r w:rsidR="004454E6">
        <w:rPr>
          <w:b/>
          <w:szCs w:val="24"/>
          <w:u w:val="single"/>
        </w:rPr>
        <w:t>2</w:t>
      </w:r>
      <w:r w:rsidR="00B63724">
        <w:rPr>
          <w:b/>
          <w:szCs w:val="24"/>
          <w:u w:val="single"/>
        </w:rPr>
        <w:t xml:space="preserve"> No.</w:t>
      </w:r>
      <w:r w:rsidRPr="00EC03E5">
        <w:rPr>
          <w:b/>
          <w:szCs w:val="24"/>
          <w:u w:val="single"/>
        </w:rPr>
        <w:t xml:space="preserve"> </w:t>
      </w:r>
      <w:r w:rsidR="00B63724">
        <w:rPr>
          <w:b/>
          <w:szCs w:val="24"/>
          <w:u w:val="single"/>
        </w:rPr>
        <w:t>121</w:t>
      </w:r>
    </w:p>
    <w:p w:rsidR="008A3D96" w:rsidRPr="00EC03E5" w:rsidRDefault="008A3D96" w:rsidP="008A3D96">
      <w:pPr>
        <w:spacing w:before="220"/>
        <w:jc w:val="center"/>
        <w:rPr>
          <w:szCs w:val="24"/>
        </w:rPr>
      </w:pPr>
      <w:r w:rsidRPr="00EC03E5">
        <w:rPr>
          <w:szCs w:val="24"/>
        </w:rPr>
        <w:t>Issued by the authority of the Attorney-General</w:t>
      </w:r>
    </w:p>
    <w:p w:rsidR="008A3D96" w:rsidRPr="00EC03E5" w:rsidRDefault="008A3D96" w:rsidP="008A3D96">
      <w:pPr>
        <w:spacing w:before="180"/>
        <w:jc w:val="center"/>
        <w:rPr>
          <w:i/>
          <w:szCs w:val="24"/>
        </w:rPr>
      </w:pPr>
      <w:r w:rsidRPr="00EC03E5">
        <w:rPr>
          <w:i/>
          <w:szCs w:val="24"/>
        </w:rPr>
        <w:t>Personal Property Securities 2009</w:t>
      </w:r>
    </w:p>
    <w:p w:rsidR="008A3D96" w:rsidRPr="00EC03E5" w:rsidRDefault="00EB5862" w:rsidP="008A3D96">
      <w:pPr>
        <w:spacing w:before="180"/>
        <w:jc w:val="center"/>
        <w:rPr>
          <w:i/>
          <w:szCs w:val="24"/>
        </w:rPr>
      </w:pPr>
      <w:r w:rsidRPr="00EB5862">
        <w:rPr>
          <w:i/>
          <w:szCs w:val="24"/>
        </w:rPr>
        <w:t xml:space="preserve">Personal Property </w:t>
      </w:r>
      <w:r w:rsidR="000B64C9">
        <w:rPr>
          <w:i/>
          <w:szCs w:val="24"/>
        </w:rPr>
        <w:t>Securities Amendment Regulation</w:t>
      </w:r>
      <w:r w:rsidRPr="00EB5862">
        <w:rPr>
          <w:i/>
          <w:szCs w:val="24"/>
        </w:rPr>
        <w:t xml:space="preserve"> 201</w:t>
      </w:r>
      <w:r w:rsidR="004454E6">
        <w:rPr>
          <w:i/>
          <w:szCs w:val="24"/>
        </w:rPr>
        <w:t>2</w:t>
      </w:r>
      <w:r w:rsidRPr="00EB5862">
        <w:rPr>
          <w:i/>
          <w:szCs w:val="24"/>
        </w:rPr>
        <w:t xml:space="preserve"> </w:t>
      </w:r>
      <w:r w:rsidR="00B63724">
        <w:rPr>
          <w:i/>
          <w:szCs w:val="24"/>
        </w:rPr>
        <w:t>(No</w:t>
      </w:r>
      <w:r w:rsidR="000C3A12">
        <w:rPr>
          <w:i/>
          <w:szCs w:val="24"/>
        </w:rPr>
        <w:t>.</w:t>
      </w:r>
      <w:r w:rsidR="00B63724">
        <w:rPr>
          <w:i/>
          <w:szCs w:val="24"/>
        </w:rPr>
        <w:t xml:space="preserve"> 1</w:t>
      </w:r>
      <w:r w:rsidR="00B31C50">
        <w:rPr>
          <w:i/>
          <w:szCs w:val="24"/>
        </w:rPr>
        <w:t>)</w:t>
      </w:r>
    </w:p>
    <w:p w:rsidR="00577350" w:rsidRPr="00EC03E5" w:rsidRDefault="00577350" w:rsidP="00577350">
      <w:pPr>
        <w:ind w:right="91"/>
      </w:pPr>
      <w:r w:rsidRPr="00EC03E5">
        <w:t xml:space="preserve">Section 303 of the </w:t>
      </w:r>
      <w:r w:rsidRPr="00EC03E5">
        <w:rPr>
          <w:i/>
        </w:rPr>
        <w:t>Personal Property Securities Act 2009</w:t>
      </w:r>
      <w:r w:rsidRPr="00EC03E5">
        <w:t xml:space="preserve"> (the Act) provides that the Governor</w:t>
      </w:r>
      <w:r w:rsidRPr="00EC03E5">
        <w:noBreakHyphen/>
        <w:t>General may make regulations prescribing matters required or permitted by the Act to be prescribed, or necessary or convenient to be prescribed, for carrying out or giving effect to the Act.</w:t>
      </w:r>
    </w:p>
    <w:p w:rsidR="00577350" w:rsidRPr="00EC03E5" w:rsidRDefault="00685858" w:rsidP="00577350">
      <w:pPr>
        <w:ind w:right="91"/>
      </w:pPr>
      <w:r>
        <w:t>The Act</w:t>
      </w:r>
      <w:r w:rsidR="009202AF">
        <w:t xml:space="preserve"> provides for</w:t>
      </w:r>
      <w:r w:rsidR="00755A69" w:rsidRPr="00EC03E5">
        <w:t xml:space="preserve"> a single national law creating a uniform and functional approach to personal pro</w:t>
      </w:r>
      <w:r w:rsidR="00132806">
        <w:t>perty securities. It establishes</w:t>
      </w:r>
      <w:r w:rsidR="00755A69" w:rsidRPr="00EC03E5">
        <w:t xml:space="preserve"> uniform rules for creating a valid security interest, provides coherent rules governing the priority between competing security interests (and othe</w:t>
      </w:r>
      <w:r w:rsidR="00132806">
        <w:t>r interests), establishes</w:t>
      </w:r>
      <w:r w:rsidR="00755A69" w:rsidRPr="00EC03E5">
        <w:t xml:space="preserve"> when a person acquires personal property free of a s</w:t>
      </w:r>
      <w:r w:rsidR="00132806">
        <w:t>ecurity interest and streamlines</w:t>
      </w:r>
      <w:r w:rsidR="00755A69" w:rsidRPr="00EC03E5">
        <w:t xml:space="preserve"> the enforcement of security interests.  </w:t>
      </w:r>
    </w:p>
    <w:p w:rsidR="00577350" w:rsidRPr="00EC03E5" w:rsidRDefault="00755A69" w:rsidP="00577350">
      <w:pPr>
        <w:ind w:right="91"/>
      </w:pPr>
      <w:r w:rsidRPr="00EC03E5">
        <w:t xml:space="preserve">The Act </w:t>
      </w:r>
      <w:r w:rsidR="00685858">
        <w:t xml:space="preserve">is </w:t>
      </w:r>
      <w:r w:rsidRPr="00EC03E5">
        <w:t>supported by a single national online register of personal property securities (</w:t>
      </w:r>
      <w:r w:rsidR="000B64C9">
        <w:t xml:space="preserve">the </w:t>
      </w:r>
      <w:r w:rsidR="00B57BEF" w:rsidRPr="00EC03E5">
        <w:t>PPS</w:t>
      </w:r>
      <w:r w:rsidR="00577350" w:rsidRPr="00EC03E5">
        <w:t xml:space="preserve"> </w:t>
      </w:r>
      <w:r w:rsidR="00B57BEF" w:rsidRPr="00EC03E5">
        <w:t>R</w:t>
      </w:r>
      <w:r w:rsidR="00577350" w:rsidRPr="00EC03E5">
        <w:t xml:space="preserve">egister).  The </w:t>
      </w:r>
      <w:r w:rsidR="00B57BEF" w:rsidRPr="00EC03E5">
        <w:t>PPS R</w:t>
      </w:r>
      <w:r w:rsidR="00577350" w:rsidRPr="00EC03E5">
        <w:t>egister replace</w:t>
      </w:r>
      <w:r w:rsidR="00685858">
        <w:t>d</w:t>
      </w:r>
      <w:r w:rsidR="00577350" w:rsidRPr="00EC03E5">
        <w:t xml:space="preserve"> </w:t>
      </w:r>
      <w:r w:rsidR="00685858">
        <w:t>a</w:t>
      </w:r>
      <w:r w:rsidR="00577350" w:rsidRPr="00EC03E5">
        <w:t xml:space="preserve"> confusing array of both electronic and paper-based national, State and Territory registers of personal property securities.</w:t>
      </w:r>
    </w:p>
    <w:p w:rsidR="00685858" w:rsidRDefault="008B1484" w:rsidP="00414A5C">
      <w:pPr>
        <w:ind w:right="91"/>
      </w:pPr>
      <w:r w:rsidRPr="00EC03E5">
        <w:t xml:space="preserve">The additional </w:t>
      </w:r>
      <w:r>
        <w:t>r</w:t>
      </w:r>
      <w:r w:rsidR="000B64C9">
        <w:t>egulation</w:t>
      </w:r>
      <w:r w:rsidRPr="00EC03E5">
        <w:t xml:space="preserve"> </w:t>
      </w:r>
      <w:r>
        <w:t>amend</w:t>
      </w:r>
      <w:r w:rsidR="000B64C9">
        <w:t>s</w:t>
      </w:r>
      <w:r>
        <w:t xml:space="preserve"> the </w:t>
      </w:r>
      <w:r w:rsidRPr="005B35A7">
        <w:rPr>
          <w:i/>
        </w:rPr>
        <w:t>Personal Property Securities Regulations 2010</w:t>
      </w:r>
      <w:r>
        <w:t xml:space="preserve"> to prescribe</w:t>
      </w:r>
      <w:r w:rsidRPr="00132806">
        <w:t xml:space="preserve"> </w:t>
      </w:r>
      <w:r w:rsidRPr="00377B89">
        <w:t>carbon units issued under the Clean Energy Legislation</w:t>
      </w:r>
      <w:r>
        <w:t>,</w:t>
      </w:r>
      <w:r w:rsidRPr="00377B89">
        <w:t xml:space="preserve"> </w:t>
      </w:r>
      <w:r w:rsidRPr="00132806">
        <w:t xml:space="preserve">Australian carbon credit units issued under the Carbon Farming Initiative, </w:t>
      </w:r>
      <w:r>
        <w:t xml:space="preserve">and certain </w:t>
      </w:r>
      <w:r w:rsidRPr="00132806">
        <w:t xml:space="preserve">eligible international emissions units issued in accordance with the Kyoto rules as </w:t>
      </w:r>
      <w:r>
        <w:t>‘investment instruments’ under the Act.</w:t>
      </w:r>
      <w:r w:rsidR="00132806">
        <w:t xml:space="preserve"> </w:t>
      </w:r>
    </w:p>
    <w:p w:rsidR="00577350" w:rsidRPr="00EC03E5" w:rsidRDefault="00755A69" w:rsidP="00577350">
      <w:pPr>
        <w:tabs>
          <w:tab w:val="left" w:pos="6521"/>
        </w:tabs>
        <w:ind w:right="91"/>
      </w:pPr>
      <w:r w:rsidRPr="00EC03E5">
        <w:t>Details of the</w:t>
      </w:r>
      <w:r w:rsidR="00EC03E5">
        <w:t xml:space="preserve"> </w:t>
      </w:r>
      <w:r w:rsidR="001C1B96">
        <w:t>r</w:t>
      </w:r>
      <w:r w:rsidR="000B64C9">
        <w:t>egulation</w:t>
      </w:r>
      <w:r w:rsidRPr="00EC03E5">
        <w:t xml:space="preserve"> are set out in the </w:t>
      </w:r>
      <w:r w:rsidRPr="00EC03E5">
        <w:rPr>
          <w:u w:val="single"/>
        </w:rPr>
        <w:t>Attachment</w:t>
      </w:r>
      <w:r w:rsidRPr="00EC03E5">
        <w:t>.</w:t>
      </w:r>
    </w:p>
    <w:p w:rsidR="0076374B" w:rsidRDefault="0051642D" w:rsidP="0076374B">
      <w:pPr>
        <w:tabs>
          <w:tab w:val="left" w:pos="6521"/>
        </w:tabs>
        <w:ind w:right="91"/>
      </w:pPr>
      <w:r w:rsidRPr="0054281A">
        <w:t xml:space="preserve">Constitutional authority for the Act is partly based on a referral of power from the States and Territories. The Personal Property Securities Law Agreement 2008 provides that the Commonwealth may not make certain regulations without approval from the State and Territory parties. </w:t>
      </w:r>
      <w:r w:rsidR="000B64C9">
        <w:t>However, the</w:t>
      </w:r>
      <w:r w:rsidR="007109E1">
        <w:t xml:space="preserve"> </w:t>
      </w:r>
      <w:r w:rsidR="000B64C9">
        <w:t xml:space="preserve">regulation </w:t>
      </w:r>
      <w:r w:rsidR="000B64C9" w:rsidRPr="0054281A">
        <w:t>does</w:t>
      </w:r>
      <w:r w:rsidR="0076374B" w:rsidRPr="0054281A">
        <w:t xml:space="preserve"> not require approval</w:t>
      </w:r>
      <w:r w:rsidR="00D95B0A" w:rsidRPr="0054281A">
        <w:t xml:space="preserve"> as </w:t>
      </w:r>
      <w:r w:rsidR="000B64C9">
        <w:t>it</w:t>
      </w:r>
      <w:r w:rsidR="00D95B0A" w:rsidRPr="0054281A">
        <w:t xml:space="preserve"> relate</w:t>
      </w:r>
      <w:r w:rsidR="000B64C9">
        <w:t>s</w:t>
      </w:r>
      <w:r w:rsidR="00D95B0A" w:rsidRPr="0054281A">
        <w:t xml:space="preserve"> to matters </w:t>
      </w:r>
      <w:r w:rsidR="00186486" w:rsidRPr="0054281A">
        <w:t>for</w:t>
      </w:r>
      <w:r w:rsidR="00D95B0A" w:rsidRPr="0054281A">
        <w:t xml:space="preserve"> which the Commonwealth </w:t>
      </w:r>
      <w:r w:rsidR="00186486" w:rsidRPr="0054281A">
        <w:t>may</w:t>
      </w:r>
      <w:r w:rsidR="00D95B0A" w:rsidRPr="0054281A">
        <w:t xml:space="preserve"> </w:t>
      </w:r>
      <w:r w:rsidR="004932DF" w:rsidRPr="0054281A">
        <w:t xml:space="preserve">legislate </w:t>
      </w:r>
      <w:r w:rsidR="00D95B0A" w:rsidRPr="0054281A">
        <w:t xml:space="preserve">without </w:t>
      </w:r>
      <w:r w:rsidR="00186486" w:rsidRPr="0054281A">
        <w:t>approval</w:t>
      </w:r>
      <w:r w:rsidR="00D95B0A" w:rsidRPr="0054281A">
        <w:t xml:space="preserve"> </w:t>
      </w:r>
      <w:r w:rsidR="000B50E0" w:rsidRPr="0054281A">
        <w:t>from the States</w:t>
      </w:r>
      <w:r w:rsidR="00186486" w:rsidRPr="0054281A">
        <w:t xml:space="preserve"> and Territories</w:t>
      </w:r>
      <w:r w:rsidR="0076374B" w:rsidRPr="0054281A">
        <w:t>.</w:t>
      </w:r>
    </w:p>
    <w:p w:rsidR="000D4D6D" w:rsidRDefault="000D4D6D" w:rsidP="001D6F0B">
      <w:pPr>
        <w:pStyle w:val="Paragraph"/>
      </w:pPr>
      <w:r w:rsidRPr="0054281A">
        <w:t xml:space="preserve">The regulation </w:t>
      </w:r>
      <w:r w:rsidR="000B64C9">
        <w:t>was</w:t>
      </w:r>
      <w:r w:rsidR="002A0129" w:rsidRPr="0054281A">
        <w:t xml:space="preserve"> </w:t>
      </w:r>
      <w:r w:rsidRPr="0054281A">
        <w:t xml:space="preserve">prepared in consultation with the </w:t>
      </w:r>
      <w:r w:rsidR="005A5E5B" w:rsidRPr="0054281A">
        <w:t xml:space="preserve">Department of Climate Change and Energy Efficiency and the </w:t>
      </w:r>
      <w:r w:rsidRPr="0054281A">
        <w:t>Department of the Treasury.</w:t>
      </w:r>
      <w:r w:rsidR="00594CD1" w:rsidRPr="0054281A">
        <w:t xml:space="preserve"> </w:t>
      </w:r>
      <w:r w:rsidR="0054281A" w:rsidRPr="0054281A">
        <w:t xml:space="preserve">The regulation </w:t>
      </w:r>
      <w:r w:rsidR="000B64C9">
        <w:t>is</w:t>
      </w:r>
      <w:r w:rsidR="0054281A" w:rsidRPr="0054281A">
        <w:t xml:space="preserve"> consi</w:t>
      </w:r>
      <w:r w:rsidR="00E5724C">
        <w:t>stent with the treatment of th</w:t>
      </w:r>
      <w:r w:rsidR="0054281A" w:rsidRPr="0054281A">
        <w:t>e</w:t>
      </w:r>
      <w:r w:rsidR="00E5724C">
        <w:t xml:space="preserve"> carbon and emissions</w:t>
      </w:r>
      <w:r w:rsidR="0054281A" w:rsidRPr="0054281A">
        <w:t xml:space="preserve"> units as ‘financial products’ for the purposes of the </w:t>
      </w:r>
      <w:r w:rsidR="0054281A" w:rsidRPr="0054281A">
        <w:rPr>
          <w:i/>
        </w:rPr>
        <w:t>Corporations Act 2001</w:t>
      </w:r>
      <w:r w:rsidR="008402C4">
        <w:t xml:space="preserve"> and remove</w:t>
      </w:r>
      <w:r w:rsidR="000B64C9">
        <w:t>s</w:t>
      </w:r>
      <w:r w:rsidR="0054281A" w:rsidRPr="0054281A">
        <w:t xml:space="preserve"> ambiguity that was previously raised in stakeholder forums regarding how the units would be treated under the Act.</w:t>
      </w:r>
    </w:p>
    <w:p w:rsidR="00577350" w:rsidRPr="00EC03E5" w:rsidRDefault="00577350" w:rsidP="0076374B">
      <w:pPr>
        <w:tabs>
          <w:tab w:val="left" w:pos="6521"/>
        </w:tabs>
        <w:ind w:right="91"/>
      </w:pPr>
      <w:r w:rsidRPr="00EC03E5">
        <w:t>The Act specifies no other conditions that need to be satisfied before the power to</w:t>
      </w:r>
      <w:r w:rsidR="001C1B96">
        <w:t xml:space="preserve"> make the r</w:t>
      </w:r>
      <w:r w:rsidR="000B64C9">
        <w:t>egulation</w:t>
      </w:r>
      <w:r w:rsidRPr="00EC03E5">
        <w:t xml:space="preserve"> may be exercised.</w:t>
      </w:r>
    </w:p>
    <w:p w:rsidR="00577350" w:rsidRPr="00EC03E5" w:rsidRDefault="00577350" w:rsidP="00577350">
      <w:pPr>
        <w:tabs>
          <w:tab w:val="left" w:pos="6521"/>
        </w:tabs>
        <w:ind w:right="91"/>
      </w:pPr>
      <w:r w:rsidRPr="00EC03E5">
        <w:t xml:space="preserve">The </w:t>
      </w:r>
      <w:r w:rsidR="001C1B96">
        <w:t>r</w:t>
      </w:r>
      <w:r w:rsidR="0097531E">
        <w:t>egulation</w:t>
      </w:r>
      <w:r w:rsidRPr="00EC03E5">
        <w:t xml:space="preserve"> </w:t>
      </w:r>
      <w:r w:rsidR="0097531E">
        <w:t>is</w:t>
      </w:r>
      <w:r w:rsidRPr="00EC03E5">
        <w:t xml:space="preserve"> a legislative instrument for the purposes of the </w:t>
      </w:r>
      <w:r w:rsidRPr="00EC03E5">
        <w:rPr>
          <w:i/>
        </w:rPr>
        <w:t>Legislative Instruments Act 2003</w:t>
      </w:r>
      <w:r w:rsidRPr="00EC03E5">
        <w:t>.</w:t>
      </w:r>
    </w:p>
    <w:p w:rsidR="00751FD2" w:rsidRPr="00EC03E5" w:rsidRDefault="00751FD2">
      <w:pPr>
        <w:spacing w:after="200" w:line="276" w:lineRule="auto"/>
      </w:pPr>
      <w:r w:rsidRPr="00EC03E5">
        <w:br w:type="page"/>
      </w:r>
    </w:p>
    <w:p w:rsidR="00457589" w:rsidRPr="00EC03E5" w:rsidRDefault="00751FD2" w:rsidP="00B31C50">
      <w:pPr>
        <w:ind w:right="91"/>
        <w:jc w:val="right"/>
        <w:rPr>
          <w:u w:val="single"/>
        </w:rPr>
      </w:pPr>
      <w:r w:rsidRPr="00EC03E5">
        <w:rPr>
          <w:b/>
          <w:u w:val="single"/>
        </w:rPr>
        <w:t>ATTACHMENT</w:t>
      </w:r>
    </w:p>
    <w:p w:rsidR="00751FD2" w:rsidRPr="00B80F9F" w:rsidRDefault="00751FD2" w:rsidP="00751FD2">
      <w:pPr>
        <w:ind w:right="91"/>
        <w:rPr>
          <w:b/>
          <w:smallCaps/>
        </w:rPr>
      </w:pPr>
      <w:r w:rsidRPr="00B80F9F">
        <w:rPr>
          <w:b/>
          <w:u w:val="single"/>
        </w:rPr>
        <w:t xml:space="preserve">Details of the </w:t>
      </w:r>
      <w:r w:rsidRPr="00B80F9F">
        <w:rPr>
          <w:b/>
          <w:i/>
          <w:u w:val="single"/>
        </w:rPr>
        <w:t xml:space="preserve">Personal Property Securities </w:t>
      </w:r>
      <w:r w:rsidR="002E6497" w:rsidRPr="00B80F9F">
        <w:rPr>
          <w:b/>
          <w:i/>
          <w:u w:val="single"/>
        </w:rPr>
        <w:t xml:space="preserve">Amendment </w:t>
      </w:r>
      <w:r w:rsidR="000B64C9">
        <w:rPr>
          <w:b/>
          <w:i/>
          <w:u w:val="single"/>
        </w:rPr>
        <w:t>Regulation</w:t>
      </w:r>
      <w:r w:rsidRPr="00B80F9F">
        <w:rPr>
          <w:b/>
          <w:i/>
          <w:u w:val="single"/>
        </w:rPr>
        <w:t xml:space="preserve"> 201</w:t>
      </w:r>
      <w:r w:rsidR="00002173">
        <w:rPr>
          <w:b/>
          <w:i/>
          <w:u w:val="single"/>
        </w:rPr>
        <w:t>2</w:t>
      </w:r>
      <w:r w:rsidR="00B63724">
        <w:rPr>
          <w:b/>
          <w:i/>
          <w:u w:val="single"/>
        </w:rPr>
        <w:t xml:space="preserve"> (No. 1</w:t>
      </w:r>
      <w:r w:rsidR="00B31C50">
        <w:rPr>
          <w:b/>
          <w:i/>
          <w:u w:val="single"/>
        </w:rPr>
        <w:t>)</w:t>
      </w:r>
    </w:p>
    <w:p w:rsidR="00E85876" w:rsidRPr="00BB2C45" w:rsidRDefault="000B64C9" w:rsidP="00E85876">
      <w:pPr>
        <w:pStyle w:val="Heading3"/>
        <w:ind w:right="91"/>
      </w:pPr>
      <w:r>
        <w:t>Section</w:t>
      </w:r>
      <w:r w:rsidR="00E85876">
        <w:t xml:space="preserve"> 1 </w:t>
      </w:r>
      <w:r w:rsidR="0097531E">
        <w:t>– Name of Regulation</w:t>
      </w:r>
      <w:r w:rsidR="00E85876" w:rsidRPr="00BB2C45">
        <w:t xml:space="preserve"> </w:t>
      </w:r>
    </w:p>
    <w:p w:rsidR="00E85876" w:rsidRPr="00BB2C45" w:rsidRDefault="00E85876" w:rsidP="00E85876">
      <w:pPr>
        <w:ind w:right="91"/>
        <w:rPr>
          <w:i/>
        </w:rPr>
      </w:pPr>
      <w:r w:rsidRPr="00BB2C45">
        <w:t xml:space="preserve">This regulation </w:t>
      </w:r>
      <w:r w:rsidR="00BE277D">
        <w:t>provides</w:t>
      </w:r>
      <w:r w:rsidR="001C1B96">
        <w:t xml:space="preserve"> that the title of the r</w:t>
      </w:r>
      <w:r w:rsidR="000B64C9">
        <w:t>egulation</w:t>
      </w:r>
      <w:r w:rsidRPr="00BB2C45">
        <w:t xml:space="preserve"> is the </w:t>
      </w:r>
      <w:r w:rsidRPr="00BB2C45">
        <w:rPr>
          <w:i/>
        </w:rPr>
        <w:t xml:space="preserve">Personal </w:t>
      </w:r>
      <w:r w:rsidR="00C27720" w:rsidRPr="00C27720">
        <w:rPr>
          <w:i/>
        </w:rPr>
        <w:t xml:space="preserve">Property </w:t>
      </w:r>
      <w:r w:rsidR="000B64C9">
        <w:rPr>
          <w:i/>
        </w:rPr>
        <w:t>Securities Amendment Regulation</w:t>
      </w:r>
      <w:r w:rsidR="00C27720" w:rsidRPr="00C27720">
        <w:rPr>
          <w:i/>
        </w:rPr>
        <w:t xml:space="preserve"> 201</w:t>
      </w:r>
      <w:r w:rsidR="00002173">
        <w:rPr>
          <w:i/>
        </w:rPr>
        <w:t>2</w:t>
      </w:r>
      <w:r w:rsidR="000B50E0">
        <w:rPr>
          <w:i/>
        </w:rPr>
        <w:t xml:space="preserve"> </w:t>
      </w:r>
      <w:r w:rsidR="00B63724">
        <w:rPr>
          <w:i/>
        </w:rPr>
        <w:t>(No. 1</w:t>
      </w:r>
      <w:r w:rsidR="007855E4">
        <w:rPr>
          <w:i/>
        </w:rPr>
        <w:t>)</w:t>
      </w:r>
      <w:r w:rsidRPr="00BB2C45">
        <w:t>.</w:t>
      </w:r>
    </w:p>
    <w:p w:rsidR="00E85876" w:rsidRPr="00BB2C45" w:rsidRDefault="000B64C9" w:rsidP="00E85876">
      <w:pPr>
        <w:pStyle w:val="Heading3"/>
        <w:ind w:right="91"/>
      </w:pPr>
      <w:r>
        <w:t>Section</w:t>
      </w:r>
      <w:r w:rsidR="00E85876">
        <w:t xml:space="preserve"> 2 </w:t>
      </w:r>
      <w:r w:rsidR="00E85876" w:rsidRPr="00BB2C45">
        <w:t xml:space="preserve">– Commencement </w:t>
      </w:r>
    </w:p>
    <w:p w:rsidR="00E85876" w:rsidRPr="00B45DE4" w:rsidRDefault="00E85876" w:rsidP="00E85876">
      <w:pPr>
        <w:ind w:right="91"/>
      </w:pPr>
      <w:r w:rsidRPr="00510C82">
        <w:t>This regulation provide</w:t>
      </w:r>
      <w:r w:rsidR="00BE277D" w:rsidRPr="00510C82">
        <w:t>s</w:t>
      </w:r>
      <w:r w:rsidR="0097531E">
        <w:t xml:space="preserve"> for the regulation</w:t>
      </w:r>
      <w:r w:rsidRPr="00510C82">
        <w:t xml:space="preserve"> to commence on </w:t>
      </w:r>
      <w:r w:rsidR="005A5E5B" w:rsidRPr="00510C82">
        <w:t>1 July 2012</w:t>
      </w:r>
      <w:r w:rsidRPr="00510C82">
        <w:t>.</w:t>
      </w:r>
    </w:p>
    <w:p w:rsidR="00E85876" w:rsidRDefault="000B64C9" w:rsidP="00E85876">
      <w:pPr>
        <w:pStyle w:val="Heading2"/>
        <w:ind w:left="856" w:right="91" w:hanging="856"/>
        <w:rPr>
          <w:b w:val="0"/>
          <w:i/>
          <w:u w:val="single"/>
        </w:rPr>
      </w:pPr>
      <w:r>
        <w:rPr>
          <w:b w:val="0"/>
          <w:i/>
          <w:u w:val="single"/>
        </w:rPr>
        <w:t>Section</w:t>
      </w:r>
      <w:r w:rsidR="002B34D9" w:rsidRPr="00435C4F">
        <w:rPr>
          <w:b w:val="0"/>
          <w:i/>
          <w:u w:val="single"/>
        </w:rPr>
        <w:t xml:space="preserve"> 3</w:t>
      </w:r>
      <w:r w:rsidR="002B34D9">
        <w:rPr>
          <w:b w:val="0"/>
          <w:i/>
          <w:u w:val="single"/>
        </w:rPr>
        <w:t xml:space="preserve"> – Amendment of Personal Property Securities Regulations 2010</w:t>
      </w:r>
    </w:p>
    <w:p w:rsidR="002B34D9" w:rsidRPr="002B34D9" w:rsidRDefault="002B34D9" w:rsidP="002B34D9">
      <w:pPr>
        <w:pStyle w:val="Paragraph"/>
      </w:pPr>
      <w:r w:rsidRPr="002B34D9">
        <w:t>This regulation provide</w:t>
      </w:r>
      <w:r>
        <w:t>s</w:t>
      </w:r>
      <w:r w:rsidRPr="002B34D9">
        <w:t xml:space="preserve"> that Schedule 1 amend</w:t>
      </w:r>
      <w:r>
        <w:t>s</w:t>
      </w:r>
      <w:r w:rsidRPr="002B34D9">
        <w:t xml:space="preserve"> the </w:t>
      </w:r>
      <w:r w:rsidRPr="002B34D9">
        <w:rPr>
          <w:i/>
        </w:rPr>
        <w:t>Personal Property Securities Regulations 2010.</w:t>
      </w:r>
    </w:p>
    <w:p w:rsidR="00B1742B" w:rsidRDefault="00E85876" w:rsidP="00B1742B">
      <w:pPr>
        <w:pStyle w:val="Heading2"/>
        <w:ind w:left="856" w:right="91" w:hanging="856"/>
      </w:pPr>
      <w:r w:rsidRPr="00B6172D">
        <w:t>Schedule 1 – Amendments</w:t>
      </w:r>
    </w:p>
    <w:p w:rsidR="009C0678" w:rsidRDefault="009C0678" w:rsidP="00B1742B">
      <w:pPr>
        <w:pStyle w:val="Heading2"/>
        <w:ind w:left="856" w:right="91" w:hanging="856"/>
        <w:rPr>
          <w:b w:val="0"/>
          <w:i/>
          <w:u w:val="single"/>
        </w:rPr>
      </w:pPr>
      <w:r w:rsidRPr="00B1742B">
        <w:rPr>
          <w:b w:val="0"/>
          <w:i/>
          <w:u w:val="single"/>
        </w:rPr>
        <w:t>Item</w:t>
      </w:r>
      <w:r w:rsidR="000F7063">
        <w:rPr>
          <w:b w:val="0"/>
          <w:i/>
          <w:u w:val="single"/>
        </w:rPr>
        <w:t>s</w:t>
      </w:r>
      <w:r w:rsidRPr="00B1742B">
        <w:rPr>
          <w:b w:val="0"/>
          <w:i/>
          <w:u w:val="single"/>
        </w:rPr>
        <w:t xml:space="preserve"> 1</w:t>
      </w:r>
      <w:r w:rsidR="00510C82">
        <w:rPr>
          <w:b w:val="0"/>
          <w:i/>
          <w:u w:val="single"/>
        </w:rPr>
        <w:t xml:space="preserve">,2,5 and 6 </w:t>
      </w:r>
      <w:r w:rsidRPr="00B1742B">
        <w:rPr>
          <w:b w:val="0"/>
          <w:i/>
          <w:u w:val="single"/>
        </w:rPr>
        <w:t xml:space="preserve"> –</w:t>
      </w:r>
      <w:r w:rsidR="000F7063">
        <w:rPr>
          <w:b w:val="0"/>
          <w:i/>
          <w:u w:val="single"/>
        </w:rPr>
        <w:t xml:space="preserve"> </w:t>
      </w:r>
      <w:proofErr w:type="spellStart"/>
      <w:r w:rsidR="00BE0221" w:rsidRPr="00BE0221">
        <w:rPr>
          <w:b w:val="0"/>
          <w:i/>
          <w:u w:val="single"/>
        </w:rPr>
        <w:t>Subregulations</w:t>
      </w:r>
      <w:proofErr w:type="spellEnd"/>
      <w:r w:rsidR="00BE0221" w:rsidRPr="00BE0221">
        <w:rPr>
          <w:b w:val="0"/>
          <w:i/>
          <w:u w:val="single"/>
        </w:rPr>
        <w:t xml:space="preserve"> 1.4(1A),(1B),(1C),(2)</w:t>
      </w:r>
    </w:p>
    <w:p w:rsidR="00BE0221" w:rsidRPr="00BE0221" w:rsidRDefault="00BE0221" w:rsidP="00BE0221">
      <w:pPr>
        <w:pStyle w:val="Paragraph"/>
      </w:pPr>
      <w:r w:rsidRPr="00BE0221">
        <w:t>This is a minor technical amendment to ensure consecutive numbering of the regulations.</w:t>
      </w:r>
    </w:p>
    <w:p w:rsidR="000F7063" w:rsidRDefault="00C07290" w:rsidP="0051642D">
      <w:pPr>
        <w:pStyle w:val="Paragraph"/>
        <w:rPr>
          <w:i/>
          <w:u w:val="single"/>
        </w:rPr>
      </w:pPr>
      <w:r w:rsidRPr="00C07290">
        <w:rPr>
          <w:i/>
          <w:u w:val="single"/>
        </w:rPr>
        <w:t xml:space="preserve">Items </w:t>
      </w:r>
      <w:r>
        <w:rPr>
          <w:i/>
          <w:u w:val="single"/>
        </w:rPr>
        <w:t>3</w:t>
      </w:r>
      <w:r w:rsidRPr="00C07290">
        <w:rPr>
          <w:i/>
          <w:u w:val="single"/>
        </w:rPr>
        <w:t xml:space="preserve"> and </w:t>
      </w:r>
      <w:r>
        <w:rPr>
          <w:i/>
          <w:u w:val="single"/>
        </w:rPr>
        <w:t>4</w:t>
      </w:r>
      <w:r w:rsidRPr="00C07290">
        <w:rPr>
          <w:i/>
          <w:u w:val="single"/>
        </w:rPr>
        <w:t xml:space="preserve"> – </w:t>
      </w:r>
      <w:proofErr w:type="spellStart"/>
      <w:r w:rsidRPr="00C07290">
        <w:rPr>
          <w:i/>
          <w:u w:val="single"/>
        </w:rPr>
        <w:t>Subregulation</w:t>
      </w:r>
      <w:proofErr w:type="spellEnd"/>
      <w:r w:rsidRPr="00C07290">
        <w:rPr>
          <w:i/>
          <w:u w:val="single"/>
        </w:rPr>
        <w:t xml:space="preserve"> 1.4(1C)</w:t>
      </w:r>
    </w:p>
    <w:p w:rsidR="00BE0221" w:rsidRPr="00BE0221" w:rsidRDefault="00BE0221" w:rsidP="0051642D">
      <w:pPr>
        <w:pStyle w:val="Paragraph"/>
        <w:rPr>
          <w:bCs/>
        </w:rPr>
      </w:pPr>
      <w:r>
        <w:rPr>
          <w:bCs/>
        </w:rPr>
        <w:t>These</w:t>
      </w:r>
      <w:r w:rsidRPr="00BE0221">
        <w:rPr>
          <w:bCs/>
        </w:rPr>
        <w:t xml:space="preserve"> </w:t>
      </w:r>
      <w:r>
        <w:rPr>
          <w:bCs/>
        </w:rPr>
        <w:t xml:space="preserve">are </w:t>
      </w:r>
      <w:r w:rsidRPr="00BE0221">
        <w:rPr>
          <w:bCs/>
        </w:rPr>
        <w:t>minor technical amendment</w:t>
      </w:r>
      <w:r>
        <w:rPr>
          <w:bCs/>
        </w:rPr>
        <w:t>s</w:t>
      </w:r>
      <w:r w:rsidRPr="00BE0221">
        <w:rPr>
          <w:bCs/>
        </w:rPr>
        <w:t xml:space="preserve"> </w:t>
      </w:r>
      <w:r>
        <w:rPr>
          <w:bCs/>
        </w:rPr>
        <w:t>that more clearly state</w:t>
      </w:r>
      <w:r w:rsidRPr="00BE0221">
        <w:rPr>
          <w:bCs/>
        </w:rPr>
        <w:t xml:space="preserve"> that </w:t>
      </w:r>
      <w:r>
        <w:rPr>
          <w:bCs/>
        </w:rPr>
        <w:t>it is the</w:t>
      </w:r>
      <w:r w:rsidRPr="00BE0221">
        <w:rPr>
          <w:bCs/>
        </w:rPr>
        <w:t xml:space="preserve"> interest granted by </w:t>
      </w:r>
      <w:r>
        <w:rPr>
          <w:bCs/>
        </w:rPr>
        <w:t>the</w:t>
      </w:r>
      <w:r w:rsidRPr="00BE0221">
        <w:rPr>
          <w:bCs/>
        </w:rPr>
        <w:t xml:space="preserve"> grantor within the meaning of the Act</w:t>
      </w:r>
      <w:r>
        <w:rPr>
          <w:bCs/>
        </w:rPr>
        <w:t xml:space="preserve"> that</w:t>
      </w:r>
      <w:r w:rsidRPr="00BE0221">
        <w:rPr>
          <w:bCs/>
        </w:rPr>
        <w:t xml:space="preserve"> is </w:t>
      </w:r>
      <w:r>
        <w:rPr>
          <w:bCs/>
        </w:rPr>
        <w:t>the</w:t>
      </w:r>
      <w:r w:rsidRPr="00BE0221">
        <w:rPr>
          <w:bCs/>
        </w:rPr>
        <w:t xml:space="preserve"> interest to which the Act does not apply.</w:t>
      </w:r>
    </w:p>
    <w:p w:rsidR="0051642D" w:rsidRPr="0051642D" w:rsidRDefault="009C0678" w:rsidP="0051642D">
      <w:pPr>
        <w:pStyle w:val="Paragraph"/>
        <w:rPr>
          <w:i/>
          <w:u w:val="single"/>
        </w:rPr>
      </w:pPr>
      <w:r>
        <w:rPr>
          <w:i/>
          <w:u w:val="single"/>
        </w:rPr>
        <w:t xml:space="preserve">Item </w:t>
      </w:r>
      <w:r w:rsidR="00510C82">
        <w:rPr>
          <w:i/>
          <w:u w:val="single"/>
        </w:rPr>
        <w:t>7</w:t>
      </w:r>
      <w:r w:rsidR="0051642D" w:rsidRPr="0051642D">
        <w:rPr>
          <w:i/>
          <w:u w:val="single"/>
        </w:rPr>
        <w:t xml:space="preserve"> – </w:t>
      </w:r>
      <w:r w:rsidR="000F7063">
        <w:rPr>
          <w:i/>
          <w:u w:val="single"/>
        </w:rPr>
        <w:t>Regulation 1.10</w:t>
      </w:r>
      <w:r w:rsidR="0051642D" w:rsidRPr="0051642D">
        <w:rPr>
          <w:i/>
          <w:u w:val="single"/>
        </w:rPr>
        <w:t xml:space="preserve"> </w:t>
      </w:r>
    </w:p>
    <w:p w:rsidR="00414A5C" w:rsidRDefault="0054281A" w:rsidP="00EA4898">
      <w:pPr>
        <w:pStyle w:val="Paragraph"/>
      </w:pPr>
      <w:r>
        <w:t xml:space="preserve">This item inserts a new </w:t>
      </w:r>
      <w:r w:rsidR="00414A5C">
        <w:t>regulation.</w:t>
      </w:r>
    </w:p>
    <w:p w:rsidR="00883B17" w:rsidRDefault="004932DF" w:rsidP="00EA4898">
      <w:pPr>
        <w:pStyle w:val="Paragraph"/>
      </w:pPr>
      <w:r>
        <w:t xml:space="preserve">The following units are </w:t>
      </w:r>
      <w:r w:rsidR="006E7018">
        <w:t>declared</w:t>
      </w:r>
      <w:r>
        <w:t xml:space="preserve"> as personal property under their respective legislation</w:t>
      </w:r>
      <w:r w:rsidR="00CE4B9D" w:rsidRPr="00CE4B9D">
        <w:t xml:space="preserve"> </w:t>
      </w:r>
      <w:r w:rsidR="00CE4B9D">
        <w:t>and therefore personal property for the purposes of the Act</w:t>
      </w:r>
      <w:r w:rsidR="00883B17">
        <w:t>:</w:t>
      </w:r>
    </w:p>
    <w:p w:rsidR="00883B17" w:rsidRPr="00883B17" w:rsidRDefault="00883B17" w:rsidP="00883B17">
      <w:pPr>
        <w:pStyle w:val="Paragraph"/>
        <w:numPr>
          <w:ilvl w:val="0"/>
          <w:numId w:val="2"/>
        </w:numPr>
      </w:pPr>
      <w:r w:rsidRPr="00883B17">
        <w:t xml:space="preserve">A </w:t>
      </w:r>
      <w:r w:rsidR="0085509E">
        <w:t>‘</w:t>
      </w:r>
      <w:r w:rsidRPr="00883B17">
        <w:t>carbon unit</w:t>
      </w:r>
      <w:r w:rsidR="0085509E">
        <w:t>’</w:t>
      </w:r>
      <w:r w:rsidRPr="00883B17">
        <w:t xml:space="preserve"> within the meaning of the </w:t>
      </w:r>
      <w:r w:rsidRPr="00FD4535">
        <w:rPr>
          <w:i/>
        </w:rPr>
        <w:t>Clean Energy Act 2011</w:t>
      </w:r>
      <w:r w:rsidRPr="00883B17">
        <w:t>;</w:t>
      </w:r>
    </w:p>
    <w:p w:rsidR="00883B17" w:rsidRPr="00883B17" w:rsidRDefault="00883B17" w:rsidP="00883B17">
      <w:pPr>
        <w:pStyle w:val="Paragraph"/>
        <w:numPr>
          <w:ilvl w:val="0"/>
          <w:numId w:val="2"/>
        </w:numPr>
      </w:pPr>
      <w:r w:rsidRPr="00883B17">
        <w:t xml:space="preserve">An </w:t>
      </w:r>
      <w:r w:rsidR="0085509E">
        <w:t>‘</w:t>
      </w:r>
      <w:r w:rsidRPr="00883B17">
        <w:t>Australian carbon credit unit</w:t>
      </w:r>
      <w:r w:rsidR="0085509E">
        <w:t>’</w:t>
      </w:r>
      <w:r w:rsidRPr="00883B17">
        <w:rPr>
          <w:b/>
        </w:rPr>
        <w:t xml:space="preserve"> </w:t>
      </w:r>
      <w:r w:rsidRPr="00883B17">
        <w:t xml:space="preserve">within the meaning of the </w:t>
      </w:r>
      <w:r w:rsidRPr="00883B17">
        <w:rPr>
          <w:i/>
          <w:iCs/>
        </w:rPr>
        <w:t xml:space="preserve">Carbon Credits (Carbon Farming Initiative) Act </w:t>
      </w:r>
      <w:r w:rsidRPr="00883B17">
        <w:rPr>
          <w:iCs/>
        </w:rPr>
        <w:t>2011;</w:t>
      </w:r>
    </w:p>
    <w:p w:rsidR="00883B17" w:rsidRPr="005A5E5B" w:rsidRDefault="00883B17" w:rsidP="00883B17">
      <w:pPr>
        <w:pStyle w:val="Paragraph"/>
        <w:numPr>
          <w:ilvl w:val="0"/>
          <w:numId w:val="2"/>
        </w:numPr>
      </w:pPr>
      <w:r w:rsidRPr="00883B17">
        <w:t xml:space="preserve">An </w:t>
      </w:r>
      <w:r w:rsidR="0085509E">
        <w:t>‘</w:t>
      </w:r>
      <w:r w:rsidRPr="00883B17">
        <w:t>eligible international emissions unit</w:t>
      </w:r>
      <w:r w:rsidR="0085509E">
        <w:t>’</w:t>
      </w:r>
      <w:r w:rsidRPr="00883B17">
        <w:t xml:space="preserve"> </w:t>
      </w:r>
      <w:r w:rsidR="005A5E5B">
        <w:t>mentioned in paragraphs (a), (b), (c) and (d)</w:t>
      </w:r>
      <w:r w:rsidRPr="00883B17">
        <w:t xml:space="preserve"> of </w:t>
      </w:r>
      <w:r w:rsidR="004D04F2">
        <w:t xml:space="preserve">section 4 of </w:t>
      </w:r>
      <w:r w:rsidR="007421C4">
        <w:t>that</w:t>
      </w:r>
      <w:r w:rsidR="004D04F2">
        <w:t xml:space="preserve"> definition in the</w:t>
      </w:r>
      <w:r w:rsidRPr="00883B17">
        <w:t xml:space="preserve"> </w:t>
      </w:r>
      <w:r w:rsidRPr="00883B17">
        <w:rPr>
          <w:i/>
          <w:iCs/>
        </w:rPr>
        <w:t xml:space="preserve">Australian National Registry of Emissions Units Act </w:t>
      </w:r>
      <w:r w:rsidRPr="008B1484">
        <w:rPr>
          <w:i/>
          <w:iCs/>
        </w:rPr>
        <w:t>2011</w:t>
      </w:r>
      <w:r w:rsidR="008B1484">
        <w:rPr>
          <w:iCs/>
        </w:rPr>
        <w:t xml:space="preserve"> (the ANREU Act)</w:t>
      </w:r>
      <w:r w:rsidRPr="00883B17">
        <w:rPr>
          <w:iCs/>
        </w:rPr>
        <w:t>.</w:t>
      </w:r>
      <w:r w:rsidR="008B1484">
        <w:rPr>
          <w:iCs/>
        </w:rPr>
        <w:t xml:space="preserve">  (Each </w:t>
      </w:r>
      <w:r w:rsidR="00C80137">
        <w:rPr>
          <w:iCs/>
        </w:rPr>
        <w:t>unit</w:t>
      </w:r>
      <w:r w:rsidR="008B1484">
        <w:rPr>
          <w:iCs/>
        </w:rPr>
        <w:t xml:space="preserve"> </w:t>
      </w:r>
      <w:r w:rsidR="00F86F73">
        <w:rPr>
          <w:iCs/>
        </w:rPr>
        <w:t>is also a</w:t>
      </w:r>
      <w:r w:rsidR="008B1484">
        <w:rPr>
          <w:iCs/>
        </w:rPr>
        <w:t xml:space="preserve"> </w:t>
      </w:r>
      <w:r w:rsidR="00F86F73">
        <w:rPr>
          <w:iCs/>
        </w:rPr>
        <w:t>‘</w:t>
      </w:r>
      <w:r w:rsidR="008B1484">
        <w:rPr>
          <w:iCs/>
        </w:rPr>
        <w:t>Kyoto unit</w:t>
      </w:r>
      <w:r w:rsidR="00F86F73">
        <w:rPr>
          <w:iCs/>
        </w:rPr>
        <w:t>’</w:t>
      </w:r>
      <w:r w:rsidR="008B1484">
        <w:rPr>
          <w:iCs/>
        </w:rPr>
        <w:t xml:space="preserve"> </w:t>
      </w:r>
      <w:r w:rsidR="00F86F73">
        <w:rPr>
          <w:iCs/>
        </w:rPr>
        <w:t xml:space="preserve">as defined </w:t>
      </w:r>
      <w:r w:rsidR="00C80137">
        <w:rPr>
          <w:iCs/>
        </w:rPr>
        <w:t>in</w:t>
      </w:r>
      <w:r w:rsidR="008B1484">
        <w:rPr>
          <w:iCs/>
        </w:rPr>
        <w:t xml:space="preserve"> section 4 of the ANREU Act.  A</w:t>
      </w:r>
      <w:r w:rsidR="00F86F73">
        <w:rPr>
          <w:iCs/>
        </w:rPr>
        <w:t>’</w:t>
      </w:r>
      <w:r w:rsidR="008B1484">
        <w:rPr>
          <w:iCs/>
        </w:rPr>
        <w:t xml:space="preserve"> Kyoto unit</w:t>
      </w:r>
      <w:r w:rsidR="00F86F73">
        <w:rPr>
          <w:iCs/>
        </w:rPr>
        <w:t xml:space="preserve">’ registered in an </w:t>
      </w:r>
      <w:r w:rsidR="00F86F73" w:rsidRPr="00F86F73">
        <w:rPr>
          <w:iCs/>
        </w:rPr>
        <w:t>Australian National Registry of Emissions Units</w:t>
      </w:r>
      <w:r w:rsidR="008B1484">
        <w:rPr>
          <w:iCs/>
        </w:rPr>
        <w:t xml:space="preserve"> </w:t>
      </w:r>
      <w:r w:rsidR="00F86F73">
        <w:rPr>
          <w:iCs/>
        </w:rPr>
        <w:t xml:space="preserve">account </w:t>
      </w:r>
      <w:r w:rsidR="008B1484">
        <w:rPr>
          <w:iCs/>
        </w:rPr>
        <w:t>is personal property for the purposes of the Act.</w:t>
      </w:r>
      <w:r w:rsidR="00A7290A">
        <w:rPr>
          <w:iCs/>
        </w:rPr>
        <w:t>)</w:t>
      </w:r>
    </w:p>
    <w:p w:rsidR="005A5E5B" w:rsidRPr="00883B17" w:rsidRDefault="004932DF" w:rsidP="005A5E5B">
      <w:pPr>
        <w:pStyle w:val="Paragraph"/>
        <w:numPr>
          <w:ilvl w:val="0"/>
          <w:numId w:val="0"/>
        </w:numPr>
      </w:pPr>
      <w:r w:rsidRPr="004932DF">
        <w:t xml:space="preserve">This regulation </w:t>
      </w:r>
      <w:r>
        <w:t xml:space="preserve">prescribes each of those units as being an </w:t>
      </w:r>
      <w:r w:rsidRPr="004932DF">
        <w:t xml:space="preserve">‘investment instrument’ in section 10 of the </w:t>
      </w:r>
      <w:r w:rsidRPr="004932DF">
        <w:rPr>
          <w:i/>
        </w:rPr>
        <w:t>Personal Property Securities Act 2009</w:t>
      </w:r>
      <w:r>
        <w:t xml:space="preserve">.  </w:t>
      </w:r>
      <w:r w:rsidR="005A5E5B" w:rsidRPr="005A5E5B">
        <w:t xml:space="preserve">This </w:t>
      </w:r>
      <w:r>
        <w:t>regulation</w:t>
      </w:r>
      <w:r w:rsidR="005A5E5B" w:rsidRPr="005A5E5B">
        <w:t xml:space="preserve"> is consistent with </w:t>
      </w:r>
      <w:r>
        <w:t xml:space="preserve">the treatment of those units as ‘financial products’ for the purposes of </w:t>
      </w:r>
      <w:r w:rsidR="005A5E5B" w:rsidRPr="005A5E5B">
        <w:t xml:space="preserve">the </w:t>
      </w:r>
      <w:r w:rsidR="005A5E5B" w:rsidRPr="005A5E5B">
        <w:rPr>
          <w:i/>
        </w:rPr>
        <w:t>Corporations Act 2001</w:t>
      </w:r>
      <w:r w:rsidR="005A5E5B" w:rsidRPr="005A5E5B">
        <w:t>.</w:t>
      </w:r>
    </w:p>
    <w:p w:rsidR="00B1742B" w:rsidRPr="00B1742B" w:rsidRDefault="00B1742B" w:rsidP="00B1742B">
      <w:pPr>
        <w:pStyle w:val="Paragraph"/>
        <w:rPr>
          <w:i/>
          <w:u w:val="single"/>
        </w:rPr>
      </w:pPr>
      <w:r w:rsidRPr="00B1742B">
        <w:rPr>
          <w:i/>
          <w:u w:val="single"/>
        </w:rPr>
        <w:lastRenderedPageBreak/>
        <w:t xml:space="preserve">Item </w:t>
      </w:r>
      <w:r w:rsidR="00510C82">
        <w:rPr>
          <w:i/>
          <w:u w:val="single"/>
        </w:rPr>
        <w:t>8</w:t>
      </w:r>
      <w:r w:rsidRPr="00B1742B">
        <w:rPr>
          <w:i/>
          <w:u w:val="single"/>
        </w:rPr>
        <w:t xml:space="preserve"> – Amend Part 2.2(2), Schedule 1 of PPS Regulations</w:t>
      </w:r>
    </w:p>
    <w:p w:rsidR="005A5E5B" w:rsidRPr="001969D2" w:rsidRDefault="00B1742B" w:rsidP="001969D2">
      <w:pPr>
        <w:pStyle w:val="Paragraph"/>
        <w:rPr>
          <w:bCs/>
          <w:lang w:val="en-US"/>
        </w:rPr>
      </w:pPr>
      <w:r w:rsidRPr="00B1742B">
        <w:rPr>
          <w:bCs/>
        </w:rPr>
        <w:t xml:space="preserve">This </w:t>
      </w:r>
      <w:r w:rsidR="0076666F">
        <w:rPr>
          <w:bCs/>
        </w:rPr>
        <w:t>is</w:t>
      </w:r>
      <w:r w:rsidRPr="00B1742B">
        <w:rPr>
          <w:bCs/>
        </w:rPr>
        <w:t xml:space="preserve"> a minor</w:t>
      </w:r>
      <w:r>
        <w:rPr>
          <w:bCs/>
        </w:rPr>
        <w:t xml:space="preserve"> t</w:t>
      </w:r>
      <w:r w:rsidR="0076666F">
        <w:rPr>
          <w:bCs/>
        </w:rPr>
        <w:t xml:space="preserve">echnical amendment to correct </w:t>
      </w:r>
      <w:r w:rsidR="00704BE9">
        <w:rPr>
          <w:bCs/>
        </w:rPr>
        <w:t xml:space="preserve">an incorrect cross-reference. </w:t>
      </w:r>
    </w:p>
    <w:p w:rsidR="0097531E" w:rsidRDefault="0097531E" w:rsidP="00523ACA">
      <w:pPr>
        <w:pStyle w:val="Paragraph"/>
        <w:jc w:val="center"/>
        <w:rPr>
          <w:b/>
          <w:bCs/>
          <w:lang w:val="en-US"/>
        </w:rPr>
      </w:pPr>
    </w:p>
    <w:p w:rsidR="0097531E" w:rsidRDefault="0097531E" w:rsidP="00523ACA">
      <w:pPr>
        <w:pStyle w:val="Paragraph"/>
        <w:jc w:val="center"/>
        <w:rPr>
          <w:b/>
          <w:bCs/>
          <w:lang w:val="en-US"/>
        </w:rPr>
      </w:pPr>
    </w:p>
    <w:p w:rsidR="00523ACA" w:rsidRPr="00523ACA" w:rsidRDefault="00523ACA" w:rsidP="00523ACA">
      <w:pPr>
        <w:pStyle w:val="Paragraph"/>
        <w:jc w:val="center"/>
      </w:pPr>
      <w:r w:rsidRPr="00523ACA">
        <w:rPr>
          <w:b/>
          <w:bCs/>
          <w:lang w:val="en-US"/>
        </w:rPr>
        <w:t>Statement of Compatibility with Human Rights</w:t>
      </w:r>
    </w:p>
    <w:p w:rsidR="00523ACA" w:rsidRPr="00523ACA" w:rsidRDefault="00523ACA" w:rsidP="00523ACA">
      <w:pPr>
        <w:pStyle w:val="Paragraph"/>
      </w:pPr>
      <w:r w:rsidRPr="00523ACA">
        <w:rPr>
          <w:i/>
          <w:iCs/>
          <w:lang w:val="en-US"/>
        </w:rPr>
        <w:t>Prepared in accordance with Part 3 of the Human Rights (Parliamentary Scrutiny) Act 2011</w:t>
      </w:r>
    </w:p>
    <w:p w:rsidR="00523ACA" w:rsidRPr="00523ACA" w:rsidRDefault="00523ACA" w:rsidP="001969D2">
      <w:pPr>
        <w:pStyle w:val="Paragraph"/>
        <w:jc w:val="center"/>
      </w:pPr>
      <w:r>
        <w:rPr>
          <w:b/>
          <w:bCs/>
          <w:i/>
          <w:iCs/>
          <w:lang w:val="en-US"/>
        </w:rPr>
        <w:t>Personal Property Securities</w:t>
      </w:r>
      <w:r w:rsidRPr="00523ACA">
        <w:rPr>
          <w:b/>
          <w:bCs/>
          <w:i/>
          <w:iCs/>
          <w:lang w:val="en-US"/>
        </w:rPr>
        <w:t xml:space="preserve"> Amendment Regulation 2012 (No.</w:t>
      </w:r>
      <w:r w:rsidR="00B63724">
        <w:rPr>
          <w:b/>
          <w:bCs/>
          <w:i/>
          <w:iCs/>
          <w:lang w:val="en-US"/>
        </w:rPr>
        <w:t xml:space="preserve"> 1</w:t>
      </w:r>
      <w:r w:rsidRPr="00523ACA">
        <w:rPr>
          <w:b/>
          <w:bCs/>
          <w:i/>
          <w:iCs/>
          <w:lang w:val="en-US"/>
        </w:rPr>
        <w:t>)</w:t>
      </w:r>
    </w:p>
    <w:p w:rsidR="00523ACA" w:rsidRPr="00523ACA" w:rsidRDefault="00523ACA" w:rsidP="00523ACA">
      <w:pPr>
        <w:pStyle w:val="Paragraph"/>
      </w:pPr>
      <w:r w:rsidRPr="00E97FC1">
        <w:rPr>
          <w:lang w:val="en-US"/>
        </w:rPr>
        <w:t xml:space="preserve">This Legislative Instrument is compatible with the human rights and freedoms </w:t>
      </w:r>
      <w:proofErr w:type="spellStart"/>
      <w:r w:rsidRPr="00E97FC1">
        <w:rPr>
          <w:lang w:val="en-US"/>
        </w:rPr>
        <w:t>recognised</w:t>
      </w:r>
      <w:proofErr w:type="spellEnd"/>
      <w:r w:rsidRPr="00E97FC1">
        <w:rPr>
          <w:lang w:val="en-US"/>
        </w:rPr>
        <w:t xml:space="preserve"> or declared in the international instruments listed in section 3 of the </w:t>
      </w:r>
      <w:r w:rsidRPr="00E97FC1">
        <w:rPr>
          <w:i/>
          <w:iCs/>
          <w:lang w:val="en-US"/>
        </w:rPr>
        <w:t>Human Rights (Parliamentary Scrutiny) Act 2011</w:t>
      </w:r>
      <w:r w:rsidRPr="00E97FC1">
        <w:rPr>
          <w:lang w:val="en-US"/>
        </w:rPr>
        <w:t>.</w:t>
      </w:r>
    </w:p>
    <w:p w:rsidR="00523ACA" w:rsidRPr="00523ACA" w:rsidRDefault="00523ACA" w:rsidP="00523ACA">
      <w:pPr>
        <w:pStyle w:val="Paragraph"/>
      </w:pPr>
      <w:r w:rsidRPr="00523ACA">
        <w:rPr>
          <w:b/>
          <w:bCs/>
          <w:lang w:val="en-US"/>
        </w:rPr>
        <w:t>Overview of the Legislative Instrument</w:t>
      </w:r>
    </w:p>
    <w:p w:rsidR="00523ACA" w:rsidRPr="00523ACA" w:rsidRDefault="00523ACA" w:rsidP="00523ACA">
      <w:pPr>
        <w:pStyle w:val="Paragraph"/>
      </w:pPr>
      <w:r w:rsidRPr="00E97FC1">
        <w:rPr>
          <w:lang w:val="en-US"/>
        </w:rPr>
        <w:t xml:space="preserve">The purpose of the Legislative Instrument is to </w:t>
      </w:r>
      <w:r w:rsidR="005A5E5B" w:rsidRPr="00E97FC1">
        <w:rPr>
          <w:lang w:val="en-US"/>
        </w:rPr>
        <w:t>identify</w:t>
      </w:r>
      <w:r w:rsidRPr="00E97FC1">
        <w:rPr>
          <w:lang w:val="en-US"/>
        </w:rPr>
        <w:t xml:space="preserve"> Australian carbon credit units issued under the Carbon Farming Initiative, eligible international emissions units issued in accordance with the Kyoto rules and carbon units issued under the Clean Energy Legislation, as </w:t>
      </w:r>
      <w:r w:rsidR="005A5E5B" w:rsidRPr="00E97FC1">
        <w:rPr>
          <w:lang w:val="en-US"/>
        </w:rPr>
        <w:t xml:space="preserve">investment instruments for the purposes of the </w:t>
      </w:r>
      <w:r w:rsidR="005A5E5B" w:rsidRPr="00E97FC1">
        <w:rPr>
          <w:i/>
          <w:lang w:val="en-US"/>
        </w:rPr>
        <w:t>Personal Property Securities Act 2009</w:t>
      </w:r>
      <w:r w:rsidRPr="00E97FC1">
        <w:rPr>
          <w:lang w:val="en-US"/>
        </w:rPr>
        <w:t>.</w:t>
      </w:r>
      <w:r w:rsidRPr="00523ACA">
        <w:rPr>
          <w:lang w:val="en-US"/>
        </w:rPr>
        <w:t xml:space="preserve"> </w:t>
      </w:r>
    </w:p>
    <w:p w:rsidR="00523ACA" w:rsidRPr="00523ACA" w:rsidRDefault="00523ACA" w:rsidP="00523ACA">
      <w:pPr>
        <w:pStyle w:val="Paragraph"/>
      </w:pPr>
      <w:r w:rsidRPr="00523ACA">
        <w:rPr>
          <w:b/>
          <w:bCs/>
          <w:lang w:val="en-US"/>
        </w:rPr>
        <w:t>Human rights implications</w:t>
      </w:r>
    </w:p>
    <w:p w:rsidR="00523ACA" w:rsidRPr="00523ACA" w:rsidRDefault="00523ACA" w:rsidP="00523ACA">
      <w:pPr>
        <w:pStyle w:val="Paragraph"/>
      </w:pPr>
      <w:r w:rsidRPr="00523ACA">
        <w:rPr>
          <w:lang w:val="en-US"/>
        </w:rPr>
        <w:t xml:space="preserve">This Legislative Instrument does not </w:t>
      </w:r>
      <w:r w:rsidR="00E97FC1">
        <w:rPr>
          <w:lang w:val="en-US"/>
        </w:rPr>
        <w:t>engage</w:t>
      </w:r>
      <w:r w:rsidR="005A5E5B">
        <w:rPr>
          <w:lang w:val="en-US"/>
        </w:rPr>
        <w:t xml:space="preserve"> </w:t>
      </w:r>
      <w:r w:rsidRPr="00523ACA">
        <w:rPr>
          <w:lang w:val="en-US"/>
        </w:rPr>
        <w:t>any of the applicable rights or freedoms.</w:t>
      </w:r>
    </w:p>
    <w:p w:rsidR="00E97FC1" w:rsidRPr="00E97FC1" w:rsidRDefault="00E97FC1" w:rsidP="00E97FC1">
      <w:pPr>
        <w:pStyle w:val="Default"/>
        <w:spacing w:after="240"/>
      </w:pPr>
      <w:r w:rsidRPr="00E97FC1">
        <w:rPr>
          <w:b/>
          <w:bCs/>
        </w:rPr>
        <w:t xml:space="preserve">Conclusion </w:t>
      </w:r>
    </w:p>
    <w:p w:rsidR="00B65F5B" w:rsidRDefault="00E97FC1" w:rsidP="00E97FC1">
      <w:pPr>
        <w:pStyle w:val="Paragraph"/>
        <w:rPr>
          <w:szCs w:val="24"/>
        </w:rPr>
      </w:pPr>
      <w:r w:rsidRPr="00E97FC1">
        <w:rPr>
          <w:szCs w:val="24"/>
        </w:rPr>
        <w:t>This Legislative Instrument is compatible with human rights as it does not raise any human rights issues.</w:t>
      </w:r>
    </w:p>
    <w:p w:rsidR="00E97FC1" w:rsidRDefault="00E97FC1" w:rsidP="00E97FC1">
      <w:pPr>
        <w:pStyle w:val="Paragraph"/>
        <w:rPr>
          <w:szCs w:val="24"/>
        </w:rPr>
      </w:pPr>
    </w:p>
    <w:p w:rsidR="00E97FC1" w:rsidRPr="00E97FC1" w:rsidRDefault="00E97FC1" w:rsidP="00E97FC1">
      <w:pPr>
        <w:spacing w:before="120" w:after="120"/>
        <w:jc w:val="center"/>
        <w:rPr>
          <w:szCs w:val="24"/>
        </w:rPr>
      </w:pPr>
      <w:r>
        <w:rPr>
          <w:b/>
          <w:bCs/>
          <w:szCs w:val="24"/>
        </w:rPr>
        <w:t>Nicola Roxon</w:t>
      </w:r>
    </w:p>
    <w:p w:rsidR="00E97FC1" w:rsidRPr="00E97FC1" w:rsidRDefault="00E97FC1" w:rsidP="00E97FC1">
      <w:pPr>
        <w:spacing w:before="120" w:after="120"/>
        <w:jc w:val="center"/>
        <w:rPr>
          <w:szCs w:val="24"/>
        </w:rPr>
      </w:pPr>
      <w:r>
        <w:rPr>
          <w:b/>
          <w:bCs/>
          <w:szCs w:val="24"/>
        </w:rPr>
        <w:t>Attorney-General</w:t>
      </w:r>
    </w:p>
    <w:p w:rsidR="00E97FC1" w:rsidRPr="00E97FC1" w:rsidRDefault="00E97FC1" w:rsidP="00E97FC1">
      <w:pPr>
        <w:pStyle w:val="Paragraph"/>
        <w:rPr>
          <w:szCs w:val="24"/>
        </w:rPr>
      </w:pPr>
    </w:p>
    <w:sectPr w:rsidR="00E97FC1" w:rsidRPr="00E97FC1" w:rsidSect="00773805">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4F5" w:rsidRDefault="005B74F5" w:rsidP="00751FD2">
      <w:pPr>
        <w:spacing w:after="0"/>
      </w:pPr>
      <w:r>
        <w:separator/>
      </w:r>
    </w:p>
  </w:endnote>
  <w:endnote w:type="continuationSeparator" w:id="0">
    <w:p w:rsidR="005B74F5" w:rsidRDefault="005B74F5" w:rsidP="00751F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4F5" w:rsidRDefault="005B74F5" w:rsidP="00751FD2">
      <w:pPr>
        <w:spacing w:after="0"/>
      </w:pPr>
      <w:r>
        <w:separator/>
      </w:r>
    </w:p>
  </w:footnote>
  <w:footnote w:type="continuationSeparator" w:id="0">
    <w:p w:rsidR="005B74F5" w:rsidRDefault="005B74F5" w:rsidP="00751FD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A" w:rsidRDefault="00CA056A">
    <w:pPr>
      <w:pStyle w:val="Balloon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0F26"/>
    <w:multiLevelType w:val="hybridMultilevel"/>
    <w:tmpl w:val="DFE63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EAD58F3"/>
    <w:multiLevelType w:val="hybridMultilevel"/>
    <w:tmpl w:val="4650E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414C5D"/>
    <w:multiLevelType w:val="hybridMultilevel"/>
    <w:tmpl w:val="B00406A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7350"/>
    <w:rsid w:val="00002173"/>
    <w:rsid w:val="000312D3"/>
    <w:rsid w:val="000742AC"/>
    <w:rsid w:val="000978C0"/>
    <w:rsid w:val="000B50E0"/>
    <w:rsid w:val="000B63D6"/>
    <w:rsid w:val="000B64C9"/>
    <w:rsid w:val="000C3A12"/>
    <w:rsid w:val="000C58E4"/>
    <w:rsid w:val="000D45F6"/>
    <w:rsid w:val="000D4D6D"/>
    <w:rsid w:val="000E25E1"/>
    <w:rsid w:val="000E5845"/>
    <w:rsid w:val="000F7063"/>
    <w:rsid w:val="0010608E"/>
    <w:rsid w:val="00107977"/>
    <w:rsid w:val="00124A66"/>
    <w:rsid w:val="00125169"/>
    <w:rsid w:val="001321A2"/>
    <w:rsid w:val="00132806"/>
    <w:rsid w:val="0014538A"/>
    <w:rsid w:val="00161306"/>
    <w:rsid w:val="00166AA3"/>
    <w:rsid w:val="00170895"/>
    <w:rsid w:val="001813D7"/>
    <w:rsid w:val="00186486"/>
    <w:rsid w:val="001969D2"/>
    <w:rsid w:val="001B033C"/>
    <w:rsid w:val="001B51CB"/>
    <w:rsid w:val="001C1B96"/>
    <w:rsid w:val="001C2C31"/>
    <w:rsid w:val="001D6F0B"/>
    <w:rsid w:val="00215576"/>
    <w:rsid w:val="00225040"/>
    <w:rsid w:val="00235B44"/>
    <w:rsid w:val="002431C5"/>
    <w:rsid w:val="00247216"/>
    <w:rsid w:val="002527C3"/>
    <w:rsid w:val="00255D47"/>
    <w:rsid w:val="00270184"/>
    <w:rsid w:val="0027328C"/>
    <w:rsid w:val="00273446"/>
    <w:rsid w:val="002905B3"/>
    <w:rsid w:val="00294366"/>
    <w:rsid w:val="00296AF7"/>
    <w:rsid w:val="002A0129"/>
    <w:rsid w:val="002B34D9"/>
    <w:rsid w:val="002C74C6"/>
    <w:rsid w:val="002E63A6"/>
    <w:rsid w:val="002E6497"/>
    <w:rsid w:val="002F6C7B"/>
    <w:rsid w:val="003031A0"/>
    <w:rsid w:val="00303A79"/>
    <w:rsid w:val="00313D31"/>
    <w:rsid w:val="0032134F"/>
    <w:rsid w:val="00346948"/>
    <w:rsid w:val="0035740B"/>
    <w:rsid w:val="00386AFE"/>
    <w:rsid w:val="003943F7"/>
    <w:rsid w:val="003C7BF2"/>
    <w:rsid w:val="003D5029"/>
    <w:rsid w:val="003F3933"/>
    <w:rsid w:val="003F3CD2"/>
    <w:rsid w:val="003F70D9"/>
    <w:rsid w:val="00400F9F"/>
    <w:rsid w:val="00414A5C"/>
    <w:rsid w:val="00420A15"/>
    <w:rsid w:val="004277C1"/>
    <w:rsid w:val="00443059"/>
    <w:rsid w:val="004454E6"/>
    <w:rsid w:val="00457589"/>
    <w:rsid w:val="004767E2"/>
    <w:rsid w:val="00482AB3"/>
    <w:rsid w:val="004932DF"/>
    <w:rsid w:val="0049585D"/>
    <w:rsid w:val="004B4A0B"/>
    <w:rsid w:val="004C0E44"/>
    <w:rsid w:val="004C6CF0"/>
    <w:rsid w:val="004D04F2"/>
    <w:rsid w:val="00510C82"/>
    <w:rsid w:val="0051642D"/>
    <w:rsid w:val="00516706"/>
    <w:rsid w:val="00523ACA"/>
    <w:rsid w:val="00526950"/>
    <w:rsid w:val="005337A0"/>
    <w:rsid w:val="0054281A"/>
    <w:rsid w:val="005431D2"/>
    <w:rsid w:val="00554A08"/>
    <w:rsid w:val="00570588"/>
    <w:rsid w:val="00577350"/>
    <w:rsid w:val="00580C7E"/>
    <w:rsid w:val="005834BD"/>
    <w:rsid w:val="005859AA"/>
    <w:rsid w:val="005930B7"/>
    <w:rsid w:val="00594CD1"/>
    <w:rsid w:val="0059528D"/>
    <w:rsid w:val="005A5E5B"/>
    <w:rsid w:val="005B2ABE"/>
    <w:rsid w:val="005B35A7"/>
    <w:rsid w:val="005B74F5"/>
    <w:rsid w:val="005C1D1E"/>
    <w:rsid w:val="006215D8"/>
    <w:rsid w:val="00627F72"/>
    <w:rsid w:val="00643C76"/>
    <w:rsid w:val="00644536"/>
    <w:rsid w:val="006539C3"/>
    <w:rsid w:val="00685858"/>
    <w:rsid w:val="006B639B"/>
    <w:rsid w:val="006B799D"/>
    <w:rsid w:val="006E7018"/>
    <w:rsid w:val="00704774"/>
    <w:rsid w:val="00704BE9"/>
    <w:rsid w:val="007109E1"/>
    <w:rsid w:val="00726228"/>
    <w:rsid w:val="00731536"/>
    <w:rsid w:val="007421C4"/>
    <w:rsid w:val="00747BC2"/>
    <w:rsid w:val="00751FD2"/>
    <w:rsid w:val="00755A69"/>
    <w:rsid w:val="0076374B"/>
    <w:rsid w:val="0076666F"/>
    <w:rsid w:val="00773805"/>
    <w:rsid w:val="007855E4"/>
    <w:rsid w:val="00787A02"/>
    <w:rsid w:val="007903B3"/>
    <w:rsid w:val="00792022"/>
    <w:rsid w:val="007A560F"/>
    <w:rsid w:val="007B3F9D"/>
    <w:rsid w:val="007E3C51"/>
    <w:rsid w:val="00811D66"/>
    <w:rsid w:val="00813CE6"/>
    <w:rsid w:val="00833AB8"/>
    <w:rsid w:val="008402C4"/>
    <w:rsid w:val="0085509E"/>
    <w:rsid w:val="008628E7"/>
    <w:rsid w:val="00883B17"/>
    <w:rsid w:val="00883EAB"/>
    <w:rsid w:val="0088579E"/>
    <w:rsid w:val="008A3D96"/>
    <w:rsid w:val="008B1484"/>
    <w:rsid w:val="008C6F9E"/>
    <w:rsid w:val="008D0283"/>
    <w:rsid w:val="008D47B6"/>
    <w:rsid w:val="008D6FB1"/>
    <w:rsid w:val="008E7FC5"/>
    <w:rsid w:val="008F5919"/>
    <w:rsid w:val="008F699B"/>
    <w:rsid w:val="00907676"/>
    <w:rsid w:val="00915129"/>
    <w:rsid w:val="009202AF"/>
    <w:rsid w:val="0092703E"/>
    <w:rsid w:val="009322B4"/>
    <w:rsid w:val="00940A8F"/>
    <w:rsid w:val="00945C58"/>
    <w:rsid w:val="0097531E"/>
    <w:rsid w:val="0098385C"/>
    <w:rsid w:val="00985FEF"/>
    <w:rsid w:val="00996137"/>
    <w:rsid w:val="009C0678"/>
    <w:rsid w:val="009D062E"/>
    <w:rsid w:val="009E2F76"/>
    <w:rsid w:val="00A0167C"/>
    <w:rsid w:val="00A12319"/>
    <w:rsid w:val="00A31CF0"/>
    <w:rsid w:val="00A32355"/>
    <w:rsid w:val="00A3269E"/>
    <w:rsid w:val="00A43E69"/>
    <w:rsid w:val="00A475AC"/>
    <w:rsid w:val="00A47F74"/>
    <w:rsid w:val="00A656A9"/>
    <w:rsid w:val="00A6641A"/>
    <w:rsid w:val="00A7290A"/>
    <w:rsid w:val="00A73CB3"/>
    <w:rsid w:val="00A7599B"/>
    <w:rsid w:val="00AA0785"/>
    <w:rsid w:val="00AA55CF"/>
    <w:rsid w:val="00AC0775"/>
    <w:rsid w:val="00AC267B"/>
    <w:rsid w:val="00AC7B9A"/>
    <w:rsid w:val="00AE0804"/>
    <w:rsid w:val="00AF503F"/>
    <w:rsid w:val="00AF6D9F"/>
    <w:rsid w:val="00B06698"/>
    <w:rsid w:val="00B15A04"/>
    <w:rsid w:val="00B1742B"/>
    <w:rsid w:val="00B17B96"/>
    <w:rsid w:val="00B22D77"/>
    <w:rsid w:val="00B234BC"/>
    <w:rsid w:val="00B24515"/>
    <w:rsid w:val="00B31C50"/>
    <w:rsid w:val="00B34F87"/>
    <w:rsid w:val="00B53B24"/>
    <w:rsid w:val="00B57BEF"/>
    <w:rsid w:val="00B63724"/>
    <w:rsid w:val="00B65F5B"/>
    <w:rsid w:val="00B75F0D"/>
    <w:rsid w:val="00B76495"/>
    <w:rsid w:val="00B803C2"/>
    <w:rsid w:val="00B80F9F"/>
    <w:rsid w:val="00B86521"/>
    <w:rsid w:val="00B90E8A"/>
    <w:rsid w:val="00BA39E1"/>
    <w:rsid w:val="00BA55DF"/>
    <w:rsid w:val="00BA7F87"/>
    <w:rsid w:val="00BB2F15"/>
    <w:rsid w:val="00BC1704"/>
    <w:rsid w:val="00BD7AFB"/>
    <w:rsid w:val="00BE0221"/>
    <w:rsid w:val="00BE0E9D"/>
    <w:rsid w:val="00BE277D"/>
    <w:rsid w:val="00BE7EA8"/>
    <w:rsid w:val="00C0395C"/>
    <w:rsid w:val="00C04F79"/>
    <w:rsid w:val="00C07290"/>
    <w:rsid w:val="00C125DA"/>
    <w:rsid w:val="00C27720"/>
    <w:rsid w:val="00C40D15"/>
    <w:rsid w:val="00C51A30"/>
    <w:rsid w:val="00C72EBE"/>
    <w:rsid w:val="00C80137"/>
    <w:rsid w:val="00C8538E"/>
    <w:rsid w:val="00C87883"/>
    <w:rsid w:val="00C90E73"/>
    <w:rsid w:val="00C97E52"/>
    <w:rsid w:val="00CA056A"/>
    <w:rsid w:val="00CA3941"/>
    <w:rsid w:val="00CC15BD"/>
    <w:rsid w:val="00CC3DDC"/>
    <w:rsid w:val="00CE4B9D"/>
    <w:rsid w:val="00CE6F40"/>
    <w:rsid w:val="00D0120E"/>
    <w:rsid w:val="00D123CA"/>
    <w:rsid w:val="00D30C8B"/>
    <w:rsid w:val="00D50F97"/>
    <w:rsid w:val="00D5594B"/>
    <w:rsid w:val="00D56B8F"/>
    <w:rsid w:val="00D62847"/>
    <w:rsid w:val="00D71FEC"/>
    <w:rsid w:val="00D73681"/>
    <w:rsid w:val="00D769FB"/>
    <w:rsid w:val="00D84A33"/>
    <w:rsid w:val="00D90166"/>
    <w:rsid w:val="00D95385"/>
    <w:rsid w:val="00D95B0A"/>
    <w:rsid w:val="00DB5CD5"/>
    <w:rsid w:val="00DC0734"/>
    <w:rsid w:val="00DC34F5"/>
    <w:rsid w:val="00DD275D"/>
    <w:rsid w:val="00DD355C"/>
    <w:rsid w:val="00DF5140"/>
    <w:rsid w:val="00E044B1"/>
    <w:rsid w:val="00E338A6"/>
    <w:rsid w:val="00E3763E"/>
    <w:rsid w:val="00E5724C"/>
    <w:rsid w:val="00E612F4"/>
    <w:rsid w:val="00E6251F"/>
    <w:rsid w:val="00E763E3"/>
    <w:rsid w:val="00E85876"/>
    <w:rsid w:val="00E963B7"/>
    <w:rsid w:val="00E97FC1"/>
    <w:rsid w:val="00EA4317"/>
    <w:rsid w:val="00EA4898"/>
    <w:rsid w:val="00EA4D8B"/>
    <w:rsid w:val="00EA63D5"/>
    <w:rsid w:val="00EA7BD8"/>
    <w:rsid w:val="00EB5862"/>
    <w:rsid w:val="00EC03E5"/>
    <w:rsid w:val="00EC0AB2"/>
    <w:rsid w:val="00EE3579"/>
    <w:rsid w:val="00EE4A58"/>
    <w:rsid w:val="00F0270C"/>
    <w:rsid w:val="00F03041"/>
    <w:rsid w:val="00F15292"/>
    <w:rsid w:val="00F21F3F"/>
    <w:rsid w:val="00F227B9"/>
    <w:rsid w:val="00F25C14"/>
    <w:rsid w:val="00F2732D"/>
    <w:rsid w:val="00F705C8"/>
    <w:rsid w:val="00F86F73"/>
    <w:rsid w:val="00FC2540"/>
    <w:rsid w:val="00FD0D54"/>
    <w:rsid w:val="00FD4535"/>
    <w:rsid w:val="00FF28C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50"/>
    <w:pPr>
      <w:spacing w:after="240"/>
    </w:pPr>
    <w:rPr>
      <w:rFonts w:ascii="Times New Roman" w:eastAsia="Times New Roman" w:hAnsi="Times New Roman"/>
      <w:sz w:val="24"/>
    </w:rPr>
  </w:style>
  <w:style w:type="paragraph" w:styleId="Heading1">
    <w:name w:val="heading 1"/>
    <w:basedOn w:val="Normal"/>
    <w:next w:val="Normal"/>
    <w:link w:val="Heading1Char"/>
    <w:uiPriority w:val="9"/>
    <w:qFormat/>
    <w:rsid w:val="00751FD2"/>
    <w:pPr>
      <w:keepNext/>
      <w:spacing w:before="240" w:after="60"/>
      <w:outlineLvl w:val="0"/>
    </w:pPr>
    <w:rPr>
      <w:rFonts w:ascii="Cambria" w:hAnsi="Cambria"/>
      <w:b/>
      <w:bCs/>
      <w:kern w:val="32"/>
      <w:sz w:val="32"/>
      <w:szCs w:val="32"/>
    </w:rPr>
  </w:style>
  <w:style w:type="paragraph" w:styleId="Heading2">
    <w:name w:val="heading 2"/>
    <w:aliases w:val="h2"/>
    <w:basedOn w:val="Heading1"/>
    <w:next w:val="Paragraph"/>
    <w:link w:val="Heading2Char"/>
    <w:qFormat/>
    <w:rsid w:val="00751FD2"/>
    <w:pPr>
      <w:keepLines/>
      <w:spacing w:before="60" w:after="240"/>
      <w:outlineLvl w:val="1"/>
    </w:pPr>
    <w:rPr>
      <w:rFonts w:ascii="Times New Roman" w:hAnsi="Times New Roman"/>
      <w:bCs w:val="0"/>
      <w:kern w:val="0"/>
      <w:sz w:val="24"/>
      <w:szCs w:val="20"/>
    </w:rPr>
  </w:style>
  <w:style w:type="paragraph" w:styleId="Heading3">
    <w:name w:val="heading 3"/>
    <w:aliases w:val="h3"/>
    <w:basedOn w:val="Heading2"/>
    <w:next w:val="Paragraph"/>
    <w:link w:val="Heading3Char"/>
    <w:qFormat/>
    <w:rsid w:val="00751FD2"/>
    <w:pPr>
      <w:spacing w:before="0" w:after="120"/>
      <w:outlineLvl w:val="2"/>
    </w:pPr>
    <w:rPr>
      <w:b w:val="0"/>
      <w:i/>
      <w:u w:val="single"/>
    </w:rPr>
  </w:style>
  <w:style w:type="paragraph" w:styleId="Heading6">
    <w:name w:val="heading 6"/>
    <w:basedOn w:val="Normal"/>
    <w:next w:val="Normal"/>
    <w:link w:val="Heading6Char"/>
    <w:unhideWhenUsed/>
    <w:qFormat/>
    <w:rsid w:val="00A1231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7350"/>
    <w:pPr>
      <w:numPr>
        <w:ilvl w:val="12"/>
      </w:numPr>
    </w:pPr>
  </w:style>
  <w:style w:type="character" w:customStyle="1" w:styleId="Heading2Char">
    <w:name w:val="Heading 2 Char"/>
    <w:aliases w:val="h2 Char"/>
    <w:link w:val="Heading2"/>
    <w:rsid w:val="00751FD2"/>
    <w:rPr>
      <w:rFonts w:ascii="Times New Roman" w:eastAsia="Times New Roman" w:hAnsi="Times New Roman" w:cs="Times New Roman"/>
      <w:b/>
      <w:sz w:val="24"/>
      <w:szCs w:val="20"/>
      <w:lang w:eastAsia="en-AU"/>
    </w:rPr>
  </w:style>
  <w:style w:type="character" w:customStyle="1" w:styleId="Heading3Char">
    <w:name w:val="Heading 3 Char"/>
    <w:aliases w:val="h3 Char"/>
    <w:link w:val="Heading3"/>
    <w:rsid w:val="00751FD2"/>
    <w:rPr>
      <w:rFonts w:ascii="Times New Roman" w:eastAsia="Times New Roman" w:hAnsi="Times New Roman" w:cs="Times New Roman"/>
      <w:i/>
      <w:sz w:val="24"/>
      <w:szCs w:val="20"/>
      <w:u w:val="single"/>
      <w:lang w:eastAsia="en-AU"/>
    </w:rPr>
  </w:style>
  <w:style w:type="character" w:customStyle="1" w:styleId="Heading1Char">
    <w:name w:val="Heading 1 Char"/>
    <w:link w:val="Heading1"/>
    <w:uiPriority w:val="9"/>
    <w:rsid w:val="00751FD2"/>
    <w:rPr>
      <w:rFonts w:ascii="Cambria" w:eastAsia="Times New Roman" w:hAnsi="Cambria" w:cs="Times New Roman"/>
      <w:b/>
      <w:bCs/>
      <w:kern w:val="32"/>
      <w:sz w:val="32"/>
      <w:szCs w:val="32"/>
      <w:lang w:eastAsia="en-AU"/>
    </w:rPr>
  </w:style>
  <w:style w:type="paragraph" w:styleId="BalloonText">
    <w:name w:val="Balloon Text"/>
    <w:basedOn w:val="Normal"/>
    <w:link w:val="BalloonTextChar"/>
    <w:uiPriority w:val="99"/>
    <w:semiHidden/>
    <w:unhideWhenUsed/>
    <w:rsid w:val="00CA3941"/>
    <w:pPr>
      <w:spacing w:after="0"/>
    </w:pPr>
    <w:rPr>
      <w:rFonts w:ascii="Tahoma" w:hAnsi="Tahoma" w:cs="Tahoma"/>
      <w:sz w:val="16"/>
      <w:szCs w:val="16"/>
    </w:rPr>
  </w:style>
  <w:style w:type="character" w:customStyle="1" w:styleId="BalloonTextChar">
    <w:name w:val="Balloon Text Char"/>
    <w:link w:val="BalloonText"/>
    <w:uiPriority w:val="99"/>
    <w:semiHidden/>
    <w:rsid w:val="00CA3941"/>
    <w:rPr>
      <w:rFonts w:ascii="Tahoma" w:eastAsia="Times New Roman" w:hAnsi="Tahoma" w:cs="Tahoma"/>
      <w:sz w:val="16"/>
      <w:szCs w:val="16"/>
    </w:rPr>
  </w:style>
  <w:style w:type="character" w:customStyle="1" w:styleId="Heading6Char">
    <w:name w:val="Heading 6 Char"/>
    <w:link w:val="Heading6"/>
    <w:uiPriority w:val="9"/>
    <w:semiHidden/>
    <w:rsid w:val="00A12319"/>
    <w:rPr>
      <w:rFonts w:ascii="Calibri" w:eastAsia="Times New Roman" w:hAnsi="Calibri" w:cs="Times New Roman"/>
      <w:b/>
      <w:bCs/>
      <w:sz w:val="22"/>
      <w:szCs w:val="22"/>
    </w:rPr>
  </w:style>
  <w:style w:type="paragraph" w:customStyle="1" w:styleId="ms-rteelement-p">
    <w:name w:val="ms-rteelement-p"/>
    <w:basedOn w:val="Normal"/>
    <w:rsid w:val="00F15292"/>
    <w:pPr>
      <w:spacing w:after="75" w:line="384" w:lineRule="atLeast"/>
    </w:pPr>
    <w:rPr>
      <w:color w:val="576170"/>
      <w:szCs w:val="24"/>
    </w:rPr>
  </w:style>
  <w:style w:type="character" w:styleId="CommentReference">
    <w:name w:val="annotation reference"/>
    <w:uiPriority w:val="99"/>
    <w:semiHidden/>
    <w:unhideWhenUsed/>
    <w:rsid w:val="005B2ABE"/>
    <w:rPr>
      <w:sz w:val="16"/>
      <w:szCs w:val="16"/>
    </w:rPr>
  </w:style>
  <w:style w:type="paragraph" w:styleId="CommentText">
    <w:name w:val="annotation text"/>
    <w:basedOn w:val="Normal"/>
    <w:link w:val="CommentTextChar"/>
    <w:uiPriority w:val="99"/>
    <w:semiHidden/>
    <w:unhideWhenUsed/>
    <w:rsid w:val="005B2ABE"/>
    <w:rPr>
      <w:sz w:val="20"/>
    </w:rPr>
  </w:style>
  <w:style w:type="character" w:customStyle="1" w:styleId="CommentTextChar">
    <w:name w:val="Comment Text Char"/>
    <w:link w:val="CommentText"/>
    <w:uiPriority w:val="99"/>
    <w:semiHidden/>
    <w:rsid w:val="005B2AB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B2ABE"/>
    <w:rPr>
      <w:b/>
      <w:bCs/>
    </w:rPr>
  </w:style>
  <w:style w:type="character" w:customStyle="1" w:styleId="CommentSubjectChar">
    <w:name w:val="Comment Subject Char"/>
    <w:link w:val="CommentSubject"/>
    <w:uiPriority w:val="99"/>
    <w:semiHidden/>
    <w:rsid w:val="005B2ABE"/>
    <w:rPr>
      <w:rFonts w:ascii="Times New Roman" w:eastAsia="Times New Roman" w:hAnsi="Times New Roman"/>
      <w:b/>
      <w:bCs/>
    </w:rPr>
  </w:style>
  <w:style w:type="paragraph" w:styleId="Header">
    <w:name w:val="header"/>
    <w:basedOn w:val="Normal"/>
    <w:link w:val="HeaderChar"/>
    <w:uiPriority w:val="99"/>
    <w:semiHidden/>
    <w:unhideWhenUsed/>
    <w:rsid w:val="00813CE6"/>
    <w:pPr>
      <w:tabs>
        <w:tab w:val="center" w:pos="4513"/>
        <w:tab w:val="right" w:pos="9026"/>
      </w:tabs>
    </w:pPr>
  </w:style>
  <w:style w:type="character" w:customStyle="1" w:styleId="HeaderChar">
    <w:name w:val="Header Char"/>
    <w:link w:val="Header"/>
    <w:uiPriority w:val="99"/>
    <w:semiHidden/>
    <w:rsid w:val="00813CE6"/>
    <w:rPr>
      <w:rFonts w:ascii="Times New Roman" w:eastAsia="Times New Roman" w:hAnsi="Times New Roman"/>
      <w:sz w:val="24"/>
    </w:rPr>
  </w:style>
  <w:style w:type="paragraph" w:styleId="Footer">
    <w:name w:val="footer"/>
    <w:basedOn w:val="Normal"/>
    <w:link w:val="FooterChar"/>
    <w:uiPriority w:val="99"/>
    <w:semiHidden/>
    <w:unhideWhenUsed/>
    <w:rsid w:val="00813CE6"/>
    <w:pPr>
      <w:tabs>
        <w:tab w:val="center" w:pos="4513"/>
        <w:tab w:val="right" w:pos="9026"/>
      </w:tabs>
    </w:pPr>
  </w:style>
  <w:style w:type="character" w:customStyle="1" w:styleId="FooterChar">
    <w:name w:val="Footer Char"/>
    <w:link w:val="Footer"/>
    <w:uiPriority w:val="99"/>
    <w:semiHidden/>
    <w:rsid w:val="00813CE6"/>
    <w:rPr>
      <w:rFonts w:ascii="Times New Roman" w:eastAsia="Times New Roman" w:hAnsi="Times New Roman"/>
      <w:sz w:val="24"/>
    </w:rPr>
  </w:style>
  <w:style w:type="paragraph" w:styleId="ListParagraph">
    <w:name w:val="List Paragraph"/>
    <w:basedOn w:val="Normal"/>
    <w:uiPriority w:val="34"/>
    <w:qFormat/>
    <w:rsid w:val="009C0678"/>
    <w:pPr>
      <w:spacing w:after="200" w:line="276" w:lineRule="auto"/>
      <w:ind w:left="720"/>
    </w:pPr>
    <w:rPr>
      <w:rFonts w:ascii="Calibri" w:eastAsia="Calibri" w:hAnsi="Calibri"/>
      <w:sz w:val="22"/>
      <w:szCs w:val="22"/>
      <w:lang w:eastAsia="en-US"/>
    </w:rPr>
  </w:style>
  <w:style w:type="paragraph" w:styleId="Subtitle">
    <w:name w:val="Subtitle"/>
    <w:basedOn w:val="Normal"/>
    <w:next w:val="Normal"/>
    <w:link w:val="SubtitleChar"/>
    <w:uiPriority w:val="11"/>
    <w:qFormat/>
    <w:rsid w:val="00B1742B"/>
    <w:pPr>
      <w:spacing w:after="60" w:line="276" w:lineRule="auto"/>
      <w:jc w:val="center"/>
      <w:outlineLvl w:val="1"/>
    </w:pPr>
    <w:rPr>
      <w:rFonts w:ascii="Cambria" w:hAnsi="Cambria"/>
      <w:szCs w:val="24"/>
      <w:lang w:eastAsia="en-US"/>
    </w:rPr>
  </w:style>
  <w:style w:type="character" w:customStyle="1" w:styleId="SubtitleChar">
    <w:name w:val="Subtitle Char"/>
    <w:link w:val="Subtitle"/>
    <w:uiPriority w:val="11"/>
    <w:rsid w:val="00B1742B"/>
    <w:rPr>
      <w:rFonts w:ascii="Cambria" w:eastAsia="Times New Roman" w:hAnsi="Cambria" w:cs="Times New Roman"/>
      <w:sz w:val="24"/>
      <w:szCs w:val="24"/>
      <w:lang w:eastAsia="en-US"/>
    </w:rPr>
  </w:style>
  <w:style w:type="paragraph" w:customStyle="1" w:styleId="Default">
    <w:name w:val="Default"/>
    <w:rsid w:val="00E97FC1"/>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1026709">
      <w:bodyDiv w:val="1"/>
      <w:marLeft w:val="0"/>
      <w:marRight w:val="0"/>
      <w:marTop w:val="0"/>
      <w:marBottom w:val="0"/>
      <w:divBdr>
        <w:top w:val="none" w:sz="0" w:space="0" w:color="auto"/>
        <w:left w:val="none" w:sz="0" w:space="0" w:color="auto"/>
        <w:bottom w:val="none" w:sz="0" w:space="0" w:color="auto"/>
        <w:right w:val="none" w:sz="0" w:space="0" w:color="auto"/>
      </w:divBdr>
      <w:divsChild>
        <w:div w:id="1046639154">
          <w:marLeft w:val="0"/>
          <w:marRight w:val="0"/>
          <w:marTop w:val="0"/>
          <w:marBottom w:val="0"/>
          <w:divBdr>
            <w:top w:val="none" w:sz="0" w:space="0" w:color="auto"/>
            <w:left w:val="none" w:sz="0" w:space="0" w:color="auto"/>
            <w:bottom w:val="none" w:sz="0" w:space="0" w:color="auto"/>
            <w:right w:val="none" w:sz="0" w:space="0" w:color="auto"/>
          </w:divBdr>
          <w:divsChild>
            <w:div w:id="1306738183">
              <w:marLeft w:val="0"/>
              <w:marRight w:val="0"/>
              <w:marTop w:val="100"/>
              <w:marBottom w:val="100"/>
              <w:divBdr>
                <w:top w:val="none" w:sz="0" w:space="0" w:color="auto"/>
                <w:left w:val="none" w:sz="0" w:space="0" w:color="auto"/>
                <w:bottom w:val="none" w:sz="0" w:space="0" w:color="auto"/>
                <w:right w:val="none" w:sz="0" w:space="0" w:color="auto"/>
              </w:divBdr>
              <w:divsChild>
                <w:div w:id="595015319">
                  <w:marLeft w:val="0"/>
                  <w:marRight w:val="0"/>
                  <w:marTop w:val="0"/>
                  <w:marBottom w:val="0"/>
                  <w:divBdr>
                    <w:top w:val="none" w:sz="0" w:space="0" w:color="auto"/>
                    <w:left w:val="none" w:sz="0" w:space="0" w:color="auto"/>
                    <w:bottom w:val="none" w:sz="0" w:space="0" w:color="auto"/>
                    <w:right w:val="none" w:sz="0" w:space="0" w:color="auto"/>
                  </w:divBdr>
                  <w:divsChild>
                    <w:div w:id="1153571042">
                      <w:marLeft w:val="0"/>
                      <w:marRight w:val="0"/>
                      <w:marTop w:val="0"/>
                      <w:marBottom w:val="0"/>
                      <w:divBdr>
                        <w:top w:val="none" w:sz="0" w:space="0" w:color="auto"/>
                        <w:left w:val="none" w:sz="0" w:space="0" w:color="auto"/>
                        <w:bottom w:val="none" w:sz="0" w:space="0" w:color="auto"/>
                        <w:right w:val="none" w:sz="0" w:space="0" w:color="auto"/>
                      </w:divBdr>
                      <w:divsChild>
                        <w:div w:id="1257136313">
                          <w:marLeft w:val="300"/>
                          <w:marRight w:val="0"/>
                          <w:marTop w:val="0"/>
                          <w:marBottom w:val="0"/>
                          <w:divBdr>
                            <w:top w:val="none" w:sz="0" w:space="0" w:color="auto"/>
                            <w:left w:val="none" w:sz="0" w:space="0" w:color="auto"/>
                            <w:bottom w:val="none" w:sz="0" w:space="0" w:color="auto"/>
                            <w:right w:val="none" w:sz="0" w:space="0" w:color="auto"/>
                          </w:divBdr>
                          <w:divsChild>
                            <w:div w:id="713623771">
                              <w:marLeft w:val="0"/>
                              <w:marRight w:val="0"/>
                              <w:marTop w:val="0"/>
                              <w:marBottom w:val="0"/>
                              <w:divBdr>
                                <w:top w:val="none" w:sz="0" w:space="0" w:color="auto"/>
                                <w:left w:val="none" w:sz="0" w:space="0" w:color="auto"/>
                                <w:bottom w:val="none" w:sz="0" w:space="0" w:color="auto"/>
                                <w:right w:val="none" w:sz="0" w:space="0" w:color="auto"/>
                              </w:divBdr>
                              <w:divsChild>
                                <w:div w:id="1342968728">
                                  <w:marLeft w:val="0"/>
                                  <w:marRight w:val="0"/>
                                  <w:marTop w:val="0"/>
                                  <w:marBottom w:val="0"/>
                                  <w:divBdr>
                                    <w:top w:val="none" w:sz="0" w:space="0" w:color="auto"/>
                                    <w:left w:val="none" w:sz="0" w:space="0" w:color="auto"/>
                                    <w:bottom w:val="none" w:sz="0" w:space="0" w:color="auto"/>
                                    <w:right w:val="none" w:sz="0" w:space="0" w:color="auto"/>
                                  </w:divBdr>
                                  <w:divsChild>
                                    <w:div w:id="583419177">
                                      <w:marLeft w:val="0"/>
                                      <w:marRight w:val="0"/>
                                      <w:marTop w:val="0"/>
                                      <w:marBottom w:val="0"/>
                                      <w:divBdr>
                                        <w:top w:val="none" w:sz="0" w:space="0" w:color="auto"/>
                                        <w:left w:val="none" w:sz="0" w:space="0" w:color="auto"/>
                                        <w:bottom w:val="none" w:sz="0" w:space="0" w:color="auto"/>
                                        <w:right w:val="none" w:sz="0" w:space="0" w:color="auto"/>
                                      </w:divBdr>
                                      <w:divsChild>
                                        <w:div w:id="948128210">
                                          <w:marLeft w:val="0"/>
                                          <w:marRight w:val="0"/>
                                          <w:marTop w:val="0"/>
                                          <w:marBottom w:val="0"/>
                                          <w:divBdr>
                                            <w:top w:val="none" w:sz="0" w:space="0" w:color="auto"/>
                                            <w:left w:val="none" w:sz="0" w:space="0" w:color="auto"/>
                                            <w:bottom w:val="none" w:sz="0" w:space="0" w:color="auto"/>
                                            <w:right w:val="none" w:sz="0" w:space="0" w:color="auto"/>
                                          </w:divBdr>
                                          <w:divsChild>
                                            <w:div w:id="7566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640203">
      <w:bodyDiv w:val="1"/>
      <w:marLeft w:val="0"/>
      <w:marRight w:val="0"/>
      <w:marTop w:val="0"/>
      <w:marBottom w:val="0"/>
      <w:divBdr>
        <w:top w:val="none" w:sz="0" w:space="0" w:color="auto"/>
        <w:left w:val="none" w:sz="0" w:space="0" w:color="auto"/>
        <w:bottom w:val="none" w:sz="0" w:space="0" w:color="auto"/>
        <w:right w:val="none" w:sz="0" w:space="0" w:color="auto"/>
      </w:divBdr>
      <w:divsChild>
        <w:div w:id="1736195393">
          <w:marLeft w:val="0"/>
          <w:marRight w:val="0"/>
          <w:marTop w:val="0"/>
          <w:marBottom w:val="0"/>
          <w:divBdr>
            <w:top w:val="none" w:sz="0" w:space="0" w:color="auto"/>
            <w:left w:val="none" w:sz="0" w:space="0" w:color="auto"/>
            <w:bottom w:val="none" w:sz="0" w:space="0" w:color="auto"/>
            <w:right w:val="none" w:sz="0" w:space="0" w:color="auto"/>
          </w:divBdr>
          <w:divsChild>
            <w:div w:id="1991786350">
              <w:marLeft w:val="0"/>
              <w:marRight w:val="0"/>
              <w:marTop w:val="0"/>
              <w:marBottom w:val="0"/>
              <w:divBdr>
                <w:top w:val="none" w:sz="0" w:space="0" w:color="auto"/>
                <w:left w:val="none" w:sz="0" w:space="0" w:color="auto"/>
                <w:bottom w:val="none" w:sz="0" w:space="0" w:color="auto"/>
                <w:right w:val="none" w:sz="0" w:space="0" w:color="auto"/>
              </w:divBdr>
              <w:divsChild>
                <w:div w:id="805927777">
                  <w:marLeft w:val="0"/>
                  <w:marRight w:val="0"/>
                  <w:marTop w:val="0"/>
                  <w:marBottom w:val="0"/>
                  <w:divBdr>
                    <w:top w:val="none" w:sz="0" w:space="0" w:color="auto"/>
                    <w:left w:val="none" w:sz="0" w:space="0" w:color="auto"/>
                    <w:bottom w:val="none" w:sz="0" w:space="0" w:color="auto"/>
                    <w:right w:val="none" w:sz="0" w:space="0" w:color="auto"/>
                  </w:divBdr>
                  <w:divsChild>
                    <w:div w:id="58133249">
                      <w:marLeft w:val="0"/>
                      <w:marRight w:val="0"/>
                      <w:marTop w:val="0"/>
                      <w:marBottom w:val="0"/>
                      <w:divBdr>
                        <w:top w:val="none" w:sz="0" w:space="0" w:color="auto"/>
                        <w:left w:val="none" w:sz="0" w:space="0" w:color="auto"/>
                        <w:bottom w:val="none" w:sz="0" w:space="0" w:color="auto"/>
                        <w:right w:val="none" w:sz="0" w:space="0" w:color="auto"/>
                      </w:divBdr>
                      <w:divsChild>
                        <w:div w:id="815612462">
                          <w:marLeft w:val="0"/>
                          <w:marRight w:val="0"/>
                          <w:marTop w:val="0"/>
                          <w:marBottom w:val="0"/>
                          <w:divBdr>
                            <w:top w:val="single" w:sz="6" w:space="0" w:color="828282"/>
                            <w:left w:val="single" w:sz="6" w:space="0" w:color="828282"/>
                            <w:bottom w:val="single" w:sz="6" w:space="0" w:color="828282"/>
                            <w:right w:val="single" w:sz="6" w:space="0" w:color="828282"/>
                          </w:divBdr>
                          <w:divsChild>
                            <w:div w:id="150100569">
                              <w:marLeft w:val="0"/>
                              <w:marRight w:val="0"/>
                              <w:marTop w:val="0"/>
                              <w:marBottom w:val="0"/>
                              <w:divBdr>
                                <w:top w:val="none" w:sz="0" w:space="0" w:color="auto"/>
                                <w:left w:val="none" w:sz="0" w:space="0" w:color="auto"/>
                                <w:bottom w:val="none" w:sz="0" w:space="0" w:color="auto"/>
                                <w:right w:val="none" w:sz="0" w:space="0" w:color="auto"/>
                              </w:divBdr>
                              <w:divsChild>
                                <w:div w:id="2082671573">
                                  <w:marLeft w:val="0"/>
                                  <w:marRight w:val="0"/>
                                  <w:marTop w:val="0"/>
                                  <w:marBottom w:val="0"/>
                                  <w:divBdr>
                                    <w:top w:val="none" w:sz="0" w:space="0" w:color="auto"/>
                                    <w:left w:val="none" w:sz="0" w:space="0" w:color="auto"/>
                                    <w:bottom w:val="none" w:sz="0" w:space="0" w:color="auto"/>
                                    <w:right w:val="none" w:sz="0" w:space="0" w:color="auto"/>
                                  </w:divBdr>
                                  <w:divsChild>
                                    <w:div w:id="1452894649">
                                      <w:marLeft w:val="0"/>
                                      <w:marRight w:val="0"/>
                                      <w:marTop w:val="0"/>
                                      <w:marBottom w:val="0"/>
                                      <w:divBdr>
                                        <w:top w:val="none" w:sz="0" w:space="0" w:color="auto"/>
                                        <w:left w:val="none" w:sz="0" w:space="0" w:color="auto"/>
                                        <w:bottom w:val="none" w:sz="0" w:space="0" w:color="auto"/>
                                        <w:right w:val="none" w:sz="0" w:space="0" w:color="auto"/>
                                      </w:divBdr>
                                      <w:divsChild>
                                        <w:div w:id="1409620349">
                                          <w:marLeft w:val="0"/>
                                          <w:marRight w:val="0"/>
                                          <w:marTop w:val="0"/>
                                          <w:marBottom w:val="0"/>
                                          <w:divBdr>
                                            <w:top w:val="none" w:sz="0" w:space="0" w:color="auto"/>
                                            <w:left w:val="none" w:sz="0" w:space="0" w:color="auto"/>
                                            <w:bottom w:val="none" w:sz="0" w:space="0" w:color="auto"/>
                                            <w:right w:val="none" w:sz="0" w:space="0" w:color="auto"/>
                                          </w:divBdr>
                                          <w:divsChild>
                                            <w:div w:id="1254047390">
                                              <w:marLeft w:val="0"/>
                                              <w:marRight w:val="0"/>
                                              <w:marTop w:val="0"/>
                                              <w:marBottom w:val="0"/>
                                              <w:divBdr>
                                                <w:top w:val="none" w:sz="0" w:space="0" w:color="auto"/>
                                                <w:left w:val="none" w:sz="0" w:space="0" w:color="auto"/>
                                                <w:bottom w:val="none" w:sz="0" w:space="0" w:color="auto"/>
                                                <w:right w:val="none" w:sz="0" w:space="0" w:color="auto"/>
                                              </w:divBdr>
                                              <w:divsChild>
                                                <w:div w:id="20560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495302">
      <w:bodyDiv w:val="1"/>
      <w:marLeft w:val="0"/>
      <w:marRight w:val="0"/>
      <w:marTop w:val="0"/>
      <w:marBottom w:val="0"/>
      <w:divBdr>
        <w:top w:val="none" w:sz="0" w:space="0" w:color="auto"/>
        <w:left w:val="none" w:sz="0" w:space="0" w:color="auto"/>
        <w:bottom w:val="none" w:sz="0" w:space="0" w:color="auto"/>
        <w:right w:val="none" w:sz="0" w:space="0" w:color="auto"/>
      </w:divBdr>
    </w:div>
    <w:div w:id="1620987894">
      <w:bodyDiv w:val="1"/>
      <w:marLeft w:val="0"/>
      <w:marRight w:val="0"/>
      <w:marTop w:val="0"/>
      <w:marBottom w:val="0"/>
      <w:divBdr>
        <w:top w:val="none" w:sz="0" w:space="0" w:color="auto"/>
        <w:left w:val="none" w:sz="0" w:space="0" w:color="auto"/>
        <w:bottom w:val="none" w:sz="0" w:space="0" w:color="auto"/>
        <w:right w:val="none" w:sz="0" w:space="0" w:color="auto"/>
      </w:divBdr>
      <w:divsChild>
        <w:div w:id="355547202">
          <w:marLeft w:val="0"/>
          <w:marRight w:val="0"/>
          <w:marTop w:val="0"/>
          <w:marBottom w:val="0"/>
          <w:divBdr>
            <w:top w:val="none" w:sz="0" w:space="0" w:color="auto"/>
            <w:left w:val="none" w:sz="0" w:space="0" w:color="auto"/>
            <w:bottom w:val="none" w:sz="0" w:space="0" w:color="auto"/>
            <w:right w:val="none" w:sz="0" w:space="0" w:color="auto"/>
          </w:divBdr>
          <w:divsChild>
            <w:div w:id="962879181">
              <w:marLeft w:val="0"/>
              <w:marRight w:val="0"/>
              <w:marTop w:val="0"/>
              <w:marBottom w:val="0"/>
              <w:divBdr>
                <w:top w:val="none" w:sz="0" w:space="0" w:color="auto"/>
                <w:left w:val="none" w:sz="0" w:space="0" w:color="auto"/>
                <w:bottom w:val="none" w:sz="0" w:space="0" w:color="auto"/>
                <w:right w:val="none" w:sz="0" w:space="0" w:color="auto"/>
              </w:divBdr>
              <w:divsChild>
                <w:div w:id="1627007217">
                  <w:marLeft w:val="0"/>
                  <w:marRight w:val="0"/>
                  <w:marTop w:val="0"/>
                  <w:marBottom w:val="0"/>
                  <w:divBdr>
                    <w:top w:val="none" w:sz="0" w:space="0" w:color="auto"/>
                    <w:left w:val="none" w:sz="0" w:space="0" w:color="auto"/>
                    <w:bottom w:val="none" w:sz="0" w:space="0" w:color="auto"/>
                    <w:right w:val="none" w:sz="0" w:space="0" w:color="auto"/>
                  </w:divBdr>
                  <w:divsChild>
                    <w:div w:id="2065568265">
                      <w:marLeft w:val="0"/>
                      <w:marRight w:val="0"/>
                      <w:marTop w:val="0"/>
                      <w:marBottom w:val="0"/>
                      <w:divBdr>
                        <w:top w:val="none" w:sz="0" w:space="0" w:color="auto"/>
                        <w:left w:val="none" w:sz="0" w:space="0" w:color="auto"/>
                        <w:bottom w:val="none" w:sz="0" w:space="0" w:color="auto"/>
                        <w:right w:val="none" w:sz="0" w:space="0" w:color="auto"/>
                      </w:divBdr>
                      <w:divsChild>
                        <w:div w:id="1950966540">
                          <w:marLeft w:val="0"/>
                          <w:marRight w:val="0"/>
                          <w:marTop w:val="0"/>
                          <w:marBottom w:val="0"/>
                          <w:divBdr>
                            <w:top w:val="single" w:sz="6" w:space="0" w:color="828282"/>
                            <w:left w:val="single" w:sz="6" w:space="0" w:color="828282"/>
                            <w:bottom w:val="single" w:sz="6" w:space="0" w:color="828282"/>
                            <w:right w:val="single" w:sz="6" w:space="0" w:color="828282"/>
                          </w:divBdr>
                          <w:divsChild>
                            <w:div w:id="677729869">
                              <w:marLeft w:val="0"/>
                              <w:marRight w:val="0"/>
                              <w:marTop w:val="0"/>
                              <w:marBottom w:val="0"/>
                              <w:divBdr>
                                <w:top w:val="none" w:sz="0" w:space="0" w:color="auto"/>
                                <w:left w:val="none" w:sz="0" w:space="0" w:color="auto"/>
                                <w:bottom w:val="none" w:sz="0" w:space="0" w:color="auto"/>
                                <w:right w:val="none" w:sz="0" w:space="0" w:color="auto"/>
                              </w:divBdr>
                              <w:divsChild>
                                <w:div w:id="1134981653">
                                  <w:marLeft w:val="0"/>
                                  <w:marRight w:val="0"/>
                                  <w:marTop w:val="0"/>
                                  <w:marBottom w:val="0"/>
                                  <w:divBdr>
                                    <w:top w:val="none" w:sz="0" w:space="0" w:color="auto"/>
                                    <w:left w:val="none" w:sz="0" w:space="0" w:color="auto"/>
                                    <w:bottom w:val="none" w:sz="0" w:space="0" w:color="auto"/>
                                    <w:right w:val="none" w:sz="0" w:space="0" w:color="auto"/>
                                  </w:divBdr>
                                  <w:divsChild>
                                    <w:div w:id="1775975090">
                                      <w:marLeft w:val="0"/>
                                      <w:marRight w:val="0"/>
                                      <w:marTop w:val="0"/>
                                      <w:marBottom w:val="0"/>
                                      <w:divBdr>
                                        <w:top w:val="none" w:sz="0" w:space="0" w:color="auto"/>
                                        <w:left w:val="none" w:sz="0" w:space="0" w:color="auto"/>
                                        <w:bottom w:val="none" w:sz="0" w:space="0" w:color="auto"/>
                                        <w:right w:val="none" w:sz="0" w:space="0" w:color="auto"/>
                                      </w:divBdr>
                                      <w:divsChild>
                                        <w:div w:id="293558755">
                                          <w:marLeft w:val="0"/>
                                          <w:marRight w:val="0"/>
                                          <w:marTop w:val="0"/>
                                          <w:marBottom w:val="0"/>
                                          <w:divBdr>
                                            <w:top w:val="none" w:sz="0" w:space="0" w:color="auto"/>
                                            <w:left w:val="none" w:sz="0" w:space="0" w:color="auto"/>
                                            <w:bottom w:val="none" w:sz="0" w:space="0" w:color="auto"/>
                                            <w:right w:val="none" w:sz="0" w:space="0" w:color="auto"/>
                                          </w:divBdr>
                                          <w:divsChild>
                                            <w:div w:id="152263069">
                                              <w:marLeft w:val="0"/>
                                              <w:marRight w:val="0"/>
                                              <w:marTop w:val="0"/>
                                              <w:marBottom w:val="0"/>
                                              <w:divBdr>
                                                <w:top w:val="none" w:sz="0" w:space="0" w:color="auto"/>
                                                <w:left w:val="none" w:sz="0" w:space="0" w:color="auto"/>
                                                <w:bottom w:val="none" w:sz="0" w:space="0" w:color="auto"/>
                                                <w:right w:val="none" w:sz="0" w:space="0" w:color="auto"/>
                                              </w:divBdr>
                                              <w:divsChild>
                                                <w:div w:id="19860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085030">
      <w:bodyDiv w:val="1"/>
      <w:marLeft w:val="0"/>
      <w:marRight w:val="0"/>
      <w:marTop w:val="0"/>
      <w:marBottom w:val="0"/>
      <w:divBdr>
        <w:top w:val="none" w:sz="0" w:space="0" w:color="auto"/>
        <w:left w:val="none" w:sz="0" w:space="0" w:color="auto"/>
        <w:bottom w:val="none" w:sz="0" w:space="0" w:color="auto"/>
        <w:right w:val="none" w:sz="0" w:space="0" w:color="auto"/>
      </w:divBdr>
    </w:div>
    <w:div w:id="1936396490">
      <w:bodyDiv w:val="1"/>
      <w:marLeft w:val="0"/>
      <w:marRight w:val="0"/>
      <w:marTop w:val="0"/>
      <w:marBottom w:val="0"/>
      <w:divBdr>
        <w:top w:val="none" w:sz="0" w:space="0" w:color="auto"/>
        <w:left w:val="none" w:sz="0" w:space="0" w:color="auto"/>
        <w:bottom w:val="none" w:sz="0" w:space="0" w:color="auto"/>
        <w:right w:val="none" w:sz="0" w:space="0" w:color="auto"/>
      </w:divBdr>
      <w:divsChild>
        <w:div w:id="494731781">
          <w:marLeft w:val="0"/>
          <w:marRight w:val="0"/>
          <w:marTop w:val="0"/>
          <w:marBottom w:val="0"/>
          <w:divBdr>
            <w:top w:val="none" w:sz="0" w:space="0" w:color="auto"/>
            <w:left w:val="none" w:sz="0" w:space="0" w:color="auto"/>
            <w:bottom w:val="none" w:sz="0" w:space="0" w:color="auto"/>
            <w:right w:val="none" w:sz="0" w:space="0" w:color="auto"/>
          </w:divBdr>
          <w:divsChild>
            <w:div w:id="1220744848">
              <w:marLeft w:val="0"/>
              <w:marRight w:val="0"/>
              <w:marTop w:val="0"/>
              <w:marBottom w:val="0"/>
              <w:divBdr>
                <w:top w:val="none" w:sz="0" w:space="0" w:color="auto"/>
                <w:left w:val="none" w:sz="0" w:space="0" w:color="auto"/>
                <w:bottom w:val="none" w:sz="0" w:space="0" w:color="auto"/>
                <w:right w:val="none" w:sz="0" w:space="0" w:color="auto"/>
              </w:divBdr>
              <w:divsChild>
                <w:div w:id="1759445414">
                  <w:marLeft w:val="0"/>
                  <w:marRight w:val="0"/>
                  <w:marTop w:val="0"/>
                  <w:marBottom w:val="0"/>
                  <w:divBdr>
                    <w:top w:val="none" w:sz="0" w:space="0" w:color="auto"/>
                    <w:left w:val="none" w:sz="0" w:space="0" w:color="auto"/>
                    <w:bottom w:val="none" w:sz="0" w:space="0" w:color="auto"/>
                    <w:right w:val="none" w:sz="0" w:space="0" w:color="auto"/>
                  </w:divBdr>
                  <w:divsChild>
                    <w:div w:id="112873323">
                      <w:marLeft w:val="0"/>
                      <w:marRight w:val="0"/>
                      <w:marTop w:val="0"/>
                      <w:marBottom w:val="0"/>
                      <w:divBdr>
                        <w:top w:val="none" w:sz="0" w:space="0" w:color="auto"/>
                        <w:left w:val="none" w:sz="0" w:space="0" w:color="auto"/>
                        <w:bottom w:val="none" w:sz="0" w:space="0" w:color="auto"/>
                        <w:right w:val="none" w:sz="0" w:space="0" w:color="auto"/>
                      </w:divBdr>
                      <w:divsChild>
                        <w:div w:id="1464931643">
                          <w:marLeft w:val="0"/>
                          <w:marRight w:val="0"/>
                          <w:marTop w:val="0"/>
                          <w:marBottom w:val="0"/>
                          <w:divBdr>
                            <w:top w:val="single" w:sz="6" w:space="0" w:color="828282"/>
                            <w:left w:val="single" w:sz="6" w:space="0" w:color="828282"/>
                            <w:bottom w:val="single" w:sz="6" w:space="0" w:color="828282"/>
                            <w:right w:val="single" w:sz="6" w:space="0" w:color="828282"/>
                          </w:divBdr>
                          <w:divsChild>
                            <w:div w:id="461316167">
                              <w:marLeft w:val="0"/>
                              <w:marRight w:val="0"/>
                              <w:marTop w:val="0"/>
                              <w:marBottom w:val="0"/>
                              <w:divBdr>
                                <w:top w:val="none" w:sz="0" w:space="0" w:color="auto"/>
                                <w:left w:val="none" w:sz="0" w:space="0" w:color="auto"/>
                                <w:bottom w:val="none" w:sz="0" w:space="0" w:color="auto"/>
                                <w:right w:val="none" w:sz="0" w:space="0" w:color="auto"/>
                              </w:divBdr>
                              <w:divsChild>
                                <w:div w:id="701052235">
                                  <w:marLeft w:val="0"/>
                                  <w:marRight w:val="0"/>
                                  <w:marTop w:val="0"/>
                                  <w:marBottom w:val="0"/>
                                  <w:divBdr>
                                    <w:top w:val="none" w:sz="0" w:space="0" w:color="auto"/>
                                    <w:left w:val="none" w:sz="0" w:space="0" w:color="auto"/>
                                    <w:bottom w:val="none" w:sz="0" w:space="0" w:color="auto"/>
                                    <w:right w:val="none" w:sz="0" w:space="0" w:color="auto"/>
                                  </w:divBdr>
                                  <w:divsChild>
                                    <w:div w:id="1740251206">
                                      <w:marLeft w:val="0"/>
                                      <w:marRight w:val="0"/>
                                      <w:marTop w:val="0"/>
                                      <w:marBottom w:val="0"/>
                                      <w:divBdr>
                                        <w:top w:val="none" w:sz="0" w:space="0" w:color="auto"/>
                                        <w:left w:val="none" w:sz="0" w:space="0" w:color="auto"/>
                                        <w:bottom w:val="none" w:sz="0" w:space="0" w:color="auto"/>
                                        <w:right w:val="none" w:sz="0" w:space="0" w:color="auto"/>
                                      </w:divBdr>
                                      <w:divsChild>
                                        <w:div w:id="2074423762">
                                          <w:marLeft w:val="0"/>
                                          <w:marRight w:val="0"/>
                                          <w:marTop w:val="0"/>
                                          <w:marBottom w:val="0"/>
                                          <w:divBdr>
                                            <w:top w:val="none" w:sz="0" w:space="0" w:color="auto"/>
                                            <w:left w:val="none" w:sz="0" w:space="0" w:color="auto"/>
                                            <w:bottom w:val="none" w:sz="0" w:space="0" w:color="auto"/>
                                            <w:right w:val="none" w:sz="0" w:space="0" w:color="auto"/>
                                          </w:divBdr>
                                          <w:divsChild>
                                            <w:div w:id="1837064699">
                                              <w:marLeft w:val="0"/>
                                              <w:marRight w:val="0"/>
                                              <w:marTop w:val="0"/>
                                              <w:marBottom w:val="0"/>
                                              <w:divBdr>
                                                <w:top w:val="none" w:sz="0" w:space="0" w:color="auto"/>
                                                <w:left w:val="none" w:sz="0" w:space="0" w:color="auto"/>
                                                <w:bottom w:val="none" w:sz="0" w:space="0" w:color="auto"/>
                                                <w:right w:val="none" w:sz="0" w:space="0" w:color="auto"/>
                                              </w:divBdr>
                                              <w:divsChild>
                                                <w:div w:id="3144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6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5B1A8-969D-4A35-A43F-A1671F45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5011</Characters>
  <Application>Microsoft Office Word</Application>
  <DocSecurity>0</DocSecurity>
  <Lines>93</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piotrm</dc:creator>
  <cp:keywords/>
  <cp:lastModifiedBy>hilhma</cp:lastModifiedBy>
  <cp:revision>2</cp:revision>
  <dcterms:created xsi:type="dcterms:W3CDTF">2012-06-27T04:49:00Z</dcterms:created>
  <dcterms:modified xsi:type="dcterms:W3CDTF">2012-06-27T04:49:00Z</dcterms:modified>
</cp:coreProperties>
</file>