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4C" w:rsidRPr="004073EC" w:rsidRDefault="00AA4E4C" w:rsidP="00C23DF1">
      <w:pPr>
        <w:jc w:val="center"/>
        <w:rPr>
          <w:b/>
          <w:u w:val="single"/>
        </w:rPr>
      </w:pPr>
      <w:r w:rsidRPr="004073EC">
        <w:rPr>
          <w:b/>
          <w:u w:val="single"/>
        </w:rPr>
        <w:t xml:space="preserve">EXPLANATORY </w:t>
      </w:r>
      <w:r>
        <w:rPr>
          <w:b/>
          <w:u w:val="single"/>
        </w:rPr>
        <w:t>STATEMENT</w:t>
      </w:r>
    </w:p>
    <w:p w:rsidR="00AA4E4C" w:rsidRDefault="00AA4E4C" w:rsidP="00082AA4"/>
    <w:p w:rsidR="00AA4E4C" w:rsidRPr="00B967BC" w:rsidRDefault="00AA4E4C" w:rsidP="00B967BC">
      <w:pPr>
        <w:jc w:val="center"/>
        <w:rPr>
          <w:b/>
        </w:rPr>
      </w:pPr>
      <w:r>
        <w:rPr>
          <w:b/>
          <w:u w:val="single"/>
        </w:rPr>
        <w:t>Select Legislative Instrument 2012</w:t>
      </w:r>
      <w:r w:rsidRPr="00B967BC">
        <w:rPr>
          <w:b/>
          <w:u w:val="single"/>
        </w:rPr>
        <w:t xml:space="preserve"> No.</w:t>
      </w:r>
      <w:r w:rsidR="00F5088B">
        <w:rPr>
          <w:b/>
          <w:u w:val="single"/>
        </w:rPr>
        <w:t xml:space="preserve"> 128</w:t>
      </w:r>
    </w:p>
    <w:p w:rsidR="00AA4E4C" w:rsidRPr="004073EC" w:rsidRDefault="00AA4E4C" w:rsidP="00C23DF1">
      <w:pPr>
        <w:rPr>
          <w:u w:val="single"/>
        </w:rPr>
      </w:pPr>
    </w:p>
    <w:p w:rsidR="00AA4E4C" w:rsidRPr="004073EC" w:rsidRDefault="00AA4E4C" w:rsidP="00FF2BCF">
      <w:pPr>
        <w:tabs>
          <w:tab w:val="left" w:pos="1080"/>
        </w:tabs>
        <w:ind w:left="960" w:hanging="960"/>
        <w:jc w:val="center"/>
        <w:rPr>
          <w:i/>
          <w:iCs/>
        </w:rPr>
      </w:pPr>
      <w:r w:rsidRPr="004073EC">
        <w:rPr>
          <w:i/>
          <w:iCs/>
        </w:rPr>
        <w:t>Education Services for Overseas Students Act 20</w:t>
      </w:r>
      <w:r>
        <w:rPr>
          <w:i/>
          <w:iCs/>
        </w:rPr>
        <w:t>0</w:t>
      </w:r>
      <w:r w:rsidRPr="004073EC">
        <w:rPr>
          <w:i/>
          <w:iCs/>
        </w:rPr>
        <w:t>0</w:t>
      </w:r>
    </w:p>
    <w:p w:rsidR="00AA4E4C" w:rsidRPr="004073EC" w:rsidRDefault="00AA4E4C" w:rsidP="00FF2BCF">
      <w:pPr>
        <w:tabs>
          <w:tab w:val="left" w:pos="1080"/>
        </w:tabs>
        <w:ind w:left="960" w:hanging="960"/>
        <w:jc w:val="center"/>
        <w:rPr>
          <w:i/>
          <w:iCs/>
        </w:rPr>
      </w:pPr>
    </w:p>
    <w:p w:rsidR="00AA4E4C" w:rsidRPr="004073EC" w:rsidRDefault="00AA4E4C" w:rsidP="00FF2BCF">
      <w:pPr>
        <w:tabs>
          <w:tab w:val="left" w:pos="1080"/>
        </w:tabs>
        <w:ind w:left="960" w:hanging="960"/>
        <w:jc w:val="center"/>
        <w:rPr>
          <w:i/>
          <w:iCs/>
        </w:rPr>
      </w:pPr>
      <w:r w:rsidRPr="004073EC">
        <w:rPr>
          <w:i/>
          <w:iCs/>
        </w:rPr>
        <w:t>Education Services for Oversea</w:t>
      </w:r>
      <w:r>
        <w:rPr>
          <w:i/>
          <w:iCs/>
        </w:rPr>
        <w:t>s Students Amendment Regulation</w:t>
      </w:r>
      <w:r w:rsidRPr="004073EC">
        <w:rPr>
          <w:i/>
          <w:iCs/>
        </w:rPr>
        <w:t xml:space="preserve"> 2012 (No. </w:t>
      </w:r>
      <w:r w:rsidR="00F5088B">
        <w:rPr>
          <w:i/>
          <w:iCs/>
        </w:rPr>
        <w:t>1</w:t>
      </w:r>
      <w:r w:rsidRPr="004073EC">
        <w:rPr>
          <w:i/>
          <w:iCs/>
        </w:rPr>
        <w:t>)</w:t>
      </w:r>
    </w:p>
    <w:p w:rsidR="00AA4E4C" w:rsidRDefault="00AA4E4C" w:rsidP="00916C07">
      <w:pPr>
        <w:rPr>
          <w:b/>
        </w:rPr>
      </w:pPr>
    </w:p>
    <w:p w:rsidR="00AA4E4C" w:rsidRDefault="00AA4E4C" w:rsidP="00916C07">
      <w:pPr>
        <w:rPr>
          <w:b/>
        </w:rPr>
      </w:pPr>
      <w:r>
        <w:rPr>
          <w:b/>
        </w:rPr>
        <w:t>Authority</w:t>
      </w:r>
    </w:p>
    <w:p w:rsidR="00AA4E4C" w:rsidRPr="00B967BC" w:rsidRDefault="00AA4E4C" w:rsidP="00916C07">
      <w:pPr>
        <w:rPr>
          <w:b/>
        </w:rPr>
      </w:pPr>
    </w:p>
    <w:p w:rsidR="00AA4E4C" w:rsidRPr="004073EC" w:rsidRDefault="00AA4E4C" w:rsidP="00916C07">
      <w:r w:rsidRPr="004073EC">
        <w:t xml:space="preserve">Section 177 of </w:t>
      </w:r>
      <w:r>
        <w:t xml:space="preserve">the </w:t>
      </w:r>
      <w:r>
        <w:rPr>
          <w:i/>
        </w:rPr>
        <w:t xml:space="preserve">Education Services for Overseas Students Act 2000 </w:t>
      </w:r>
      <w:r>
        <w:t xml:space="preserve">(the </w:t>
      </w:r>
      <w:r w:rsidRPr="004073EC">
        <w:t>ESOS Act</w:t>
      </w:r>
      <w:r>
        <w:t>)</w:t>
      </w:r>
      <w:r w:rsidRPr="004073EC">
        <w:t xml:space="preserve"> provides that the Governor</w:t>
      </w:r>
      <w:r w:rsidRPr="004073EC">
        <w:rPr>
          <w:rFonts w:ascii="MS Gothic" w:eastAsia="MS Gothic" w:hAnsi="MS Gothic" w:cs="MS Gothic"/>
        </w:rPr>
        <w:t>-</w:t>
      </w:r>
      <w:r w:rsidRPr="004073EC">
        <w:rPr>
          <w:rFonts w:cs="Calibri"/>
        </w:rPr>
        <w:t xml:space="preserve">General may make regulations prescribing matters </w:t>
      </w:r>
      <w:r w:rsidRPr="004073EC">
        <w:t>required or permitted by the ESOS Act to be prescribed, or necessary or convenient to be prescribed for carrying out or giving effect to the ESOS Act.</w:t>
      </w:r>
    </w:p>
    <w:p w:rsidR="00AA4E4C" w:rsidRPr="004073EC" w:rsidRDefault="00AA4E4C" w:rsidP="00082AA4"/>
    <w:p w:rsidR="00AA4E4C" w:rsidRPr="004073EC" w:rsidRDefault="00AA4E4C" w:rsidP="00C23DF1">
      <w:r w:rsidRPr="004073EC">
        <w:t xml:space="preserve">The </w:t>
      </w:r>
      <w:r>
        <w:t>Regulation</w:t>
      </w:r>
      <w:r w:rsidRPr="004073EC">
        <w:t xml:space="preserve"> </w:t>
      </w:r>
      <w:r>
        <w:t>is</w:t>
      </w:r>
      <w:r w:rsidRPr="004073EC">
        <w:t xml:space="preserve"> a legislative instrument for the purposes of the </w:t>
      </w:r>
      <w:r w:rsidRPr="004073EC">
        <w:rPr>
          <w:i/>
        </w:rPr>
        <w:t>Legislative Instruments Act 2003</w:t>
      </w:r>
      <w:r w:rsidRPr="004073EC">
        <w:t>.</w:t>
      </w:r>
    </w:p>
    <w:p w:rsidR="00AA4E4C" w:rsidRPr="004073EC" w:rsidRDefault="00AA4E4C" w:rsidP="00C23DF1"/>
    <w:p w:rsidR="00AA4E4C" w:rsidRDefault="00AA4E4C" w:rsidP="00AB2FDD">
      <w:pPr>
        <w:ind w:right="91"/>
        <w:rPr>
          <w:b/>
        </w:rPr>
      </w:pPr>
      <w:r w:rsidRPr="00503414">
        <w:rPr>
          <w:b/>
        </w:rPr>
        <w:t>Legislative background</w:t>
      </w:r>
    </w:p>
    <w:p w:rsidR="00AA4E4C" w:rsidRPr="00503414" w:rsidRDefault="00AA4E4C" w:rsidP="00AB2FDD">
      <w:pPr>
        <w:ind w:right="91"/>
        <w:rPr>
          <w:b/>
        </w:rPr>
      </w:pPr>
    </w:p>
    <w:p w:rsidR="00AA4E4C" w:rsidRDefault="00AA4E4C" w:rsidP="00AB2FDD">
      <w:pPr>
        <w:ind w:right="91"/>
      </w:pPr>
      <w:r w:rsidRPr="004073EC">
        <w:t xml:space="preserve">The Hon Bruce Baird AM undertook a review of the Education Services for Overseas Students legislative framework, titled </w:t>
      </w:r>
      <w:r w:rsidRPr="004073EC">
        <w:rPr>
          <w:i/>
        </w:rPr>
        <w:t>Stronger, simpler, smarter ESOS: supporting international students</w:t>
      </w:r>
      <w:r w:rsidRPr="004073EC">
        <w:t xml:space="preserve"> (the ESOS Review), which reported February 2010. A number of the review recommendations related to the </w:t>
      </w:r>
      <w:r>
        <w:t>creation</w:t>
      </w:r>
      <w:r w:rsidRPr="004073EC">
        <w:t xml:space="preserve"> of a new tuition protection framework for international students studying in Australia on a student visa including; </w:t>
      </w:r>
      <w:r>
        <w:t xml:space="preserve">the establishment of </w:t>
      </w:r>
      <w:r w:rsidRPr="004073EC">
        <w:t xml:space="preserve">a new Tuition Protection Service; partial rather than full refund requirements; strengthened student record keeping requirements and the removal of all current exemptions from tuition assurance requirements.  </w:t>
      </w:r>
    </w:p>
    <w:p w:rsidR="00AA4E4C" w:rsidRDefault="00AA4E4C" w:rsidP="00AB2FDD">
      <w:pPr>
        <w:ind w:right="91"/>
      </w:pPr>
    </w:p>
    <w:p w:rsidR="00AA4E4C" w:rsidRPr="004073EC" w:rsidRDefault="00AA4E4C" w:rsidP="00AB2FDD">
      <w:pPr>
        <w:ind w:right="91"/>
      </w:pPr>
      <w:r w:rsidRPr="004073EC">
        <w:t xml:space="preserve">Mr Baird also reported the finding that taking 100 per cent of fees upfront was poor business practice. Additionally, the review recommended the introduction of national registration for providers operating in more than jurisdiction and provision of better information for students about the provider, course, student cohort and costs to ensure students can accurately compare potential study choices.  </w:t>
      </w:r>
    </w:p>
    <w:p w:rsidR="00AA4E4C" w:rsidRPr="004073EC" w:rsidRDefault="00AA4E4C" w:rsidP="00AB2FDD">
      <w:pPr>
        <w:ind w:right="91"/>
      </w:pPr>
    </w:p>
    <w:p w:rsidR="00AA4E4C" w:rsidRPr="004073EC" w:rsidRDefault="00AA4E4C" w:rsidP="00AB2FDD">
      <w:pPr>
        <w:ind w:right="91"/>
      </w:pPr>
      <w:r w:rsidRPr="004073EC">
        <w:t xml:space="preserve">The </w:t>
      </w:r>
      <w:r w:rsidRPr="004073EC">
        <w:rPr>
          <w:i/>
          <w:iCs/>
        </w:rPr>
        <w:t>Education Services for Oversea</w:t>
      </w:r>
      <w:r>
        <w:rPr>
          <w:i/>
          <w:iCs/>
        </w:rPr>
        <w:t>s Students Legislation Amendment</w:t>
      </w:r>
      <w:r>
        <w:t xml:space="preserve"> </w:t>
      </w:r>
      <w:r>
        <w:rPr>
          <w:i/>
        </w:rPr>
        <w:t xml:space="preserve">(Tuition Protection Service and Other Measures) Act 2012 </w:t>
      </w:r>
      <w:r>
        <w:t xml:space="preserve">(the Amendment Act) </w:t>
      </w:r>
      <w:r w:rsidRPr="004073EC">
        <w:t xml:space="preserve">was enacted on 20 March 2012 in response to these recommendations.  </w:t>
      </w:r>
      <w:r>
        <w:t>Among the key recommendations of the ESOS Review, t</w:t>
      </w:r>
      <w:r w:rsidRPr="004073EC">
        <w:t xml:space="preserve">he </w:t>
      </w:r>
      <w:r>
        <w:t>Amendment Act amended</w:t>
      </w:r>
      <w:r w:rsidRPr="004073EC">
        <w:t xml:space="preserve"> the ESOS Act to:</w:t>
      </w:r>
    </w:p>
    <w:p w:rsidR="00AA4E4C" w:rsidRPr="004073EC" w:rsidRDefault="00AA4E4C" w:rsidP="005679F3"/>
    <w:p w:rsidR="00AA4E4C" w:rsidRPr="004073EC" w:rsidRDefault="00AA4E4C" w:rsidP="005679F3">
      <w:pPr>
        <w:pStyle w:val="ListParagraph"/>
        <w:numPr>
          <w:ilvl w:val="0"/>
          <w:numId w:val="2"/>
        </w:numPr>
      </w:pPr>
      <w:r w:rsidRPr="004073EC">
        <w:t xml:space="preserve">establish a new tuition protection framework for international students studying in </w:t>
      </w:r>
      <w:smartTag w:uri="urn:schemas-microsoft-com:office:smarttags" w:element="country-region">
        <w:smartTag w:uri="urn:schemas-microsoft-com:office:smarttags" w:element="place">
          <w:r w:rsidRPr="004073EC">
            <w:t>Australia</w:t>
          </w:r>
        </w:smartTag>
      </w:smartTag>
      <w:r w:rsidRPr="004073EC">
        <w:t xml:space="preserve"> on a student visa; </w:t>
      </w:r>
    </w:p>
    <w:p w:rsidR="00AA4E4C" w:rsidRPr="004073EC" w:rsidRDefault="00AA4E4C" w:rsidP="005679F3">
      <w:pPr>
        <w:pStyle w:val="ListParagraph"/>
        <w:numPr>
          <w:ilvl w:val="0"/>
          <w:numId w:val="2"/>
        </w:numPr>
      </w:pPr>
      <w:r w:rsidRPr="004073EC">
        <w:t xml:space="preserve">introduce national registration for providers operating in multiple jurisdictions; and </w:t>
      </w:r>
    </w:p>
    <w:p w:rsidR="00AA4E4C" w:rsidRPr="004073EC" w:rsidRDefault="00AA4E4C" w:rsidP="005679F3">
      <w:pPr>
        <w:pStyle w:val="ListParagraph"/>
        <w:numPr>
          <w:ilvl w:val="0"/>
          <w:numId w:val="2"/>
        </w:numPr>
      </w:pPr>
      <w:r w:rsidRPr="004073EC">
        <w:t>make technical amendments to strengthen tuition protection to ensure students receive the tuition they have paid for or, as a last resort, a refund.</w:t>
      </w:r>
    </w:p>
    <w:p w:rsidR="00AA4E4C" w:rsidRDefault="00AA4E4C" w:rsidP="005679F3"/>
    <w:p w:rsidR="00AA4E4C" w:rsidRDefault="00AA4E4C" w:rsidP="00AE413A">
      <w:pPr>
        <w:ind w:right="91"/>
        <w:rPr>
          <w:b/>
        </w:rPr>
      </w:pPr>
      <w:r>
        <w:rPr>
          <w:b/>
        </w:rPr>
        <w:br w:type="page"/>
      </w:r>
      <w:r>
        <w:rPr>
          <w:b/>
        </w:rPr>
        <w:lastRenderedPageBreak/>
        <w:t>Purpose and operation</w:t>
      </w:r>
    </w:p>
    <w:p w:rsidR="00AA4E4C" w:rsidRDefault="00AA4E4C" w:rsidP="005679F3">
      <w:pPr>
        <w:rPr>
          <w:iCs/>
        </w:rPr>
      </w:pPr>
    </w:p>
    <w:p w:rsidR="00AA4E4C" w:rsidRDefault="00AA4E4C" w:rsidP="00572B03">
      <w:pPr>
        <w:rPr>
          <w:iCs/>
        </w:rPr>
      </w:pPr>
      <w:r>
        <w:t xml:space="preserve">Following on from the enactment of the Amendment Act, the purpose of the </w:t>
      </w:r>
      <w:r w:rsidRPr="004073EC">
        <w:rPr>
          <w:i/>
          <w:iCs/>
        </w:rPr>
        <w:t>Education Services for Oversea</w:t>
      </w:r>
      <w:r>
        <w:rPr>
          <w:i/>
          <w:iCs/>
        </w:rPr>
        <w:t>s Students Amendment Regulation 2012</w:t>
      </w:r>
      <w:r w:rsidR="00F5088B">
        <w:rPr>
          <w:i/>
          <w:iCs/>
        </w:rPr>
        <w:t xml:space="preserve"> (No. 1)</w:t>
      </w:r>
      <w:r>
        <w:rPr>
          <w:iCs/>
        </w:rPr>
        <w:t xml:space="preserve"> (the Regulation) </w:t>
      </w:r>
      <w:r>
        <w:t xml:space="preserve">is to amend the </w:t>
      </w:r>
      <w:r w:rsidRPr="004073EC">
        <w:rPr>
          <w:i/>
          <w:iCs/>
        </w:rPr>
        <w:t>Education Services for Oversea</w:t>
      </w:r>
      <w:r>
        <w:rPr>
          <w:i/>
          <w:iCs/>
        </w:rPr>
        <w:t>s Students Regulations 2001</w:t>
      </w:r>
      <w:r>
        <w:rPr>
          <w:iCs/>
        </w:rPr>
        <w:t xml:space="preserve"> (the Principal Regulations) to implement the final stages of the legislative reforms introduced by the Amendment Act. </w:t>
      </w:r>
    </w:p>
    <w:p w:rsidR="00AA4E4C" w:rsidRDefault="00AA4E4C" w:rsidP="00AE413A"/>
    <w:p w:rsidR="00AA4E4C" w:rsidRDefault="00AA4E4C" w:rsidP="005679F3">
      <w:r>
        <w:rPr>
          <w:iCs/>
        </w:rPr>
        <w:t>The Regulation will:</w:t>
      </w:r>
    </w:p>
    <w:p w:rsidR="00AA4E4C" w:rsidRPr="004073EC" w:rsidRDefault="00AA4E4C" w:rsidP="005679F3"/>
    <w:p w:rsidR="00AA4E4C" w:rsidRPr="004073EC" w:rsidRDefault="00AA4E4C" w:rsidP="005679F3">
      <w:pPr>
        <w:pStyle w:val="ListParagraph"/>
        <w:numPr>
          <w:ilvl w:val="0"/>
          <w:numId w:val="2"/>
        </w:numPr>
      </w:pPr>
      <w:r w:rsidRPr="004073EC">
        <w:t xml:space="preserve">introduce new terms and update existing definitions to reflect new terminology introduced by the </w:t>
      </w:r>
      <w:r>
        <w:t>Amendment Act</w:t>
      </w:r>
      <w:r w:rsidRPr="004073EC">
        <w:t>;</w:t>
      </w:r>
    </w:p>
    <w:p w:rsidR="00AA4E4C" w:rsidRPr="004073EC" w:rsidRDefault="00AA4E4C" w:rsidP="005679F3">
      <w:pPr>
        <w:pStyle w:val="ListParagraph"/>
        <w:numPr>
          <w:ilvl w:val="0"/>
          <w:numId w:val="2"/>
        </w:numPr>
      </w:pPr>
      <w:r w:rsidRPr="004073EC">
        <w:t xml:space="preserve">specify information that must be included on the Commonwealth Register of Institutions and Courses for Overseas Students </w:t>
      </w:r>
      <w:r>
        <w:t xml:space="preserve">(CRICOS) </w:t>
      </w:r>
      <w:r w:rsidRPr="004073EC">
        <w:t>to support greater transparency around course fees and student cohort, and to specify course information by location rather that by State in line with national registration of multi-jurisdictional providers;</w:t>
      </w:r>
    </w:p>
    <w:p w:rsidR="00AA4E4C" w:rsidRPr="004073EC" w:rsidRDefault="00AA4E4C" w:rsidP="005679F3">
      <w:pPr>
        <w:pStyle w:val="ListParagraph"/>
        <w:numPr>
          <w:ilvl w:val="0"/>
          <w:numId w:val="2"/>
        </w:numPr>
      </w:pPr>
      <w:r w:rsidRPr="004073EC">
        <w:t>specify information required from registered providers to be entered into the Provider Registration and International Students Management System to support the calculation of refunds in the event of a provider default, and to prescribe information about the contact details of responsible persons able to act for students under 18 in the event of a provider closure or a welfare-related incident;</w:t>
      </w:r>
    </w:p>
    <w:p w:rsidR="00AA4E4C" w:rsidRPr="004073EC" w:rsidRDefault="00AA4E4C" w:rsidP="005679F3">
      <w:pPr>
        <w:pStyle w:val="ListParagraph"/>
        <w:numPr>
          <w:ilvl w:val="0"/>
          <w:numId w:val="2"/>
        </w:numPr>
      </w:pPr>
      <w:r w:rsidRPr="004073EC">
        <w:t>prescribe details of how provider-held records must be kept, including information about the collection of fees from students and the maximum amount that providers may charge students to access their academic records.</w:t>
      </w:r>
    </w:p>
    <w:p w:rsidR="00AA4E4C" w:rsidRPr="00503414" w:rsidRDefault="00AA4E4C" w:rsidP="004E6B34">
      <w:pPr>
        <w:ind w:right="91"/>
        <w:rPr>
          <w:b/>
        </w:rPr>
      </w:pPr>
    </w:p>
    <w:p w:rsidR="00AA4E4C" w:rsidRPr="008D5548" w:rsidRDefault="00AA4E4C" w:rsidP="009B42F0">
      <w:pPr>
        <w:ind w:right="91"/>
        <w:rPr>
          <w:b/>
        </w:rPr>
      </w:pPr>
      <w:r w:rsidRPr="008D5548">
        <w:rPr>
          <w:b/>
        </w:rPr>
        <w:t>Commencement</w:t>
      </w:r>
    </w:p>
    <w:p w:rsidR="00AA4E4C" w:rsidRPr="004073EC" w:rsidRDefault="00AA4E4C" w:rsidP="009B42F0">
      <w:pPr>
        <w:ind w:right="91"/>
      </w:pPr>
    </w:p>
    <w:p w:rsidR="00AA4E4C" w:rsidRDefault="00AA4E4C" w:rsidP="008D5548">
      <w:pPr>
        <w:autoSpaceDE w:val="0"/>
        <w:autoSpaceDN w:val="0"/>
        <w:adjustRightInd w:val="0"/>
      </w:pPr>
      <w:bookmarkStart w:id="0" w:name="OLE_LINK1"/>
      <w:bookmarkStart w:id="1" w:name="OLE_LINK2"/>
      <w:r w:rsidRPr="004073EC">
        <w:t xml:space="preserve">The </w:t>
      </w:r>
      <w:r>
        <w:t xml:space="preserve">Regulation </w:t>
      </w:r>
      <w:r w:rsidRPr="004073EC">
        <w:t>commence</w:t>
      </w:r>
      <w:r>
        <w:t>s</w:t>
      </w:r>
      <w:r w:rsidRPr="004073EC">
        <w:t xml:space="preserve"> on 1 July 2012</w:t>
      </w:r>
      <w:bookmarkEnd w:id="0"/>
      <w:bookmarkEnd w:id="1"/>
      <w:r w:rsidRPr="004073EC">
        <w:t>.</w:t>
      </w:r>
    </w:p>
    <w:p w:rsidR="00AA4E4C" w:rsidRDefault="00AA4E4C" w:rsidP="008D5548">
      <w:pPr>
        <w:autoSpaceDE w:val="0"/>
        <w:autoSpaceDN w:val="0"/>
        <w:adjustRightInd w:val="0"/>
      </w:pPr>
    </w:p>
    <w:p w:rsidR="00AA4E4C" w:rsidRPr="008D5548" w:rsidRDefault="00AA4E4C" w:rsidP="008D5548">
      <w:pPr>
        <w:autoSpaceDE w:val="0"/>
        <w:autoSpaceDN w:val="0"/>
        <w:adjustRightInd w:val="0"/>
        <w:rPr>
          <w:b/>
        </w:rPr>
      </w:pPr>
      <w:r>
        <w:rPr>
          <w:b/>
        </w:rPr>
        <w:t>Detailed explanation of the Regulation’s provisions</w:t>
      </w:r>
    </w:p>
    <w:p w:rsidR="00AA4E4C" w:rsidRPr="004073EC" w:rsidRDefault="00AA4E4C" w:rsidP="004E6B34">
      <w:pPr>
        <w:ind w:right="91"/>
        <w:rPr>
          <w:u w:val="single"/>
        </w:rPr>
      </w:pPr>
    </w:p>
    <w:p w:rsidR="00AA4E4C" w:rsidRPr="000E334A" w:rsidRDefault="00AA4E4C" w:rsidP="00777FBD">
      <w:pPr>
        <w:ind w:right="91"/>
        <w:rPr>
          <w:bCs/>
          <w:u w:val="single"/>
        </w:rPr>
      </w:pPr>
      <w:r w:rsidRPr="000E334A">
        <w:rPr>
          <w:bCs/>
          <w:u w:val="single"/>
        </w:rPr>
        <w:t>Regulation 1 – Name of regulation</w:t>
      </w:r>
    </w:p>
    <w:p w:rsidR="00AA4E4C" w:rsidRPr="004073EC" w:rsidRDefault="00AA4E4C" w:rsidP="00777FBD">
      <w:pPr>
        <w:ind w:right="91"/>
      </w:pPr>
    </w:p>
    <w:p w:rsidR="00AA4E4C" w:rsidRPr="004073EC" w:rsidRDefault="00AA4E4C" w:rsidP="00777FBD">
      <w:pPr>
        <w:ind w:right="91"/>
      </w:pPr>
      <w:r w:rsidRPr="004073EC">
        <w:t>This regulation provide</w:t>
      </w:r>
      <w:r>
        <w:t>s</w:t>
      </w:r>
      <w:r w:rsidRPr="004073EC">
        <w:t xml:space="preserve"> that the title of the Regulation is the </w:t>
      </w:r>
      <w:r w:rsidRPr="004073EC">
        <w:rPr>
          <w:i/>
        </w:rPr>
        <w:t xml:space="preserve">Education Services for Overseas Students Amendment Regulation 2012 </w:t>
      </w:r>
      <w:r w:rsidR="00F5088B">
        <w:rPr>
          <w:i/>
        </w:rPr>
        <w:t>(No. 1</w:t>
      </w:r>
      <w:r w:rsidRPr="004073EC">
        <w:rPr>
          <w:i/>
        </w:rPr>
        <w:t>).</w:t>
      </w:r>
    </w:p>
    <w:p w:rsidR="00AA4E4C" w:rsidRPr="004073EC" w:rsidRDefault="00AA4E4C" w:rsidP="00777FBD">
      <w:pPr>
        <w:ind w:right="91"/>
      </w:pPr>
    </w:p>
    <w:p w:rsidR="00AA4E4C" w:rsidRPr="000E334A" w:rsidRDefault="00AA4E4C" w:rsidP="00777FBD">
      <w:pPr>
        <w:ind w:right="91"/>
        <w:rPr>
          <w:bCs/>
          <w:u w:val="single"/>
        </w:rPr>
      </w:pPr>
      <w:r w:rsidRPr="000E334A">
        <w:rPr>
          <w:bCs/>
          <w:u w:val="single"/>
        </w:rPr>
        <w:t>Regulation 2 – Commencement</w:t>
      </w:r>
    </w:p>
    <w:p w:rsidR="00AA4E4C" w:rsidRPr="004073EC" w:rsidRDefault="00AA4E4C" w:rsidP="00777FBD">
      <w:pPr>
        <w:ind w:right="91"/>
      </w:pPr>
    </w:p>
    <w:p w:rsidR="00AA4E4C" w:rsidRPr="004073EC" w:rsidRDefault="00AA4E4C" w:rsidP="00777FBD">
      <w:pPr>
        <w:ind w:right="91"/>
      </w:pPr>
      <w:r w:rsidRPr="004073EC">
        <w:t>This regulation provide</w:t>
      </w:r>
      <w:r>
        <w:t>s</w:t>
      </w:r>
      <w:r w:rsidRPr="004073EC">
        <w:t xml:space="preserve"> for the Regulation to commence on 1 July 2012. </w:t>
      </w:r>
    </w:p>
    <w:p w:rsidR="00AA4E4C" w:rsidRPr="004073EC" w:rsidRDefault="00AA4E4C" w:rsidP="00777FBD">
      <w:pPr>
        <w:ind w:right="91"/>
        <w:rPr>
          <w:color w:val="FF6600"/>
        </w:rPr>
      </w:pPr>
    </w:p>
    <w:p w:rsidR="00AA4E4C" w:rsidRPr="000E334A" w:rsidRDefault="00AA4E4C" w:rsidP="00777FBD">
      <w:pPr>
        <w:ind w:right="91"/>
        <w:rPr>
          <w:bCs/>
          <w:u w:val="single"/>
        </w:rPr>
      </w:pPr>
      <w:r w:rsidRPr="000E334A">
        <w:rPr>
          <w:bCs/>
          <w:u w:val="single"/>
        </w:rPr>
        <w:t>Regulation 3 – Amendment of Education Services for Overseas Students Regulations 2001</w:t>
      </w:r>
    </w:p>
    <w:p w:rsidR="00AA4E4C" w:rsidRPr="004073EC" w:rsidRDefault="00AA4E4C" w:rsidP="00777FBD">
      <w:pPr>
        <w:ind w:right="91"/>
      </w:pPr>
    </w:p>
    <w:p w:rsidR="00AA4E4C" w:rsidRPr="004073EC" w:rsidRDefault="00AA4E4C" w:rsidP="00777FBD">
      <w:pPr>
        <w:ind w:right="91"/>
      </w:pPr>
      <w:r w:rsidRPr="004073EC">
        <w:t>This regulation provide</w:t>
      </w:r>
      <w:r>
        <w:t>s</w:t>
      </w:r>
      <w:r w:rsidRPr="004073EC">
        <w:t xml:space="preserve"> that the Principal Regulations are amended as set out in Schedule 1. </w:t>
      </w:r>
    </w:p>
    <w:p w:rsidR="00AA4E4C" w:rsidRPr="004073EC" w:rsidRDefault="00AA4E4C" w:rsidP="00777FBD">
      <w:pPr>
        <w:ind w:right="91"/>
      </w:pPr>
    </w:p>
    <w:p w:rsidR="00AA4E4C" w:rsidRPr="00572B03" w:rsidRDefault="00AA4E4C" w:rsidP="00777FBD">
      <w:pPr>
        <w:ind w:right="91"/>
        <w:rPr>
          <w:u w:val="single"/>
        </w:rPr>
      </w:pPr>
      <w:r w:rsidRPr="00572B03">
        <w:rPr>
          <w:u w:val="single"/>
        </w:rPr>
        <w:t>Schedule 1 - Amendments</w:t>
      </w:r>
    </w:p>
    <w:p w:rsidR="00AA4E4C" w:rsidRPr="004073EC" w:rsidRDefault="00AA4E4C" w:rsidP="004E6B34">
      <w:pPr>
        <w:ind w:right="91"/>
        <w:rPr>
          <w:u w:val="single"/>
        </w:rPr>
      </w:pPr>
    </w:p>
    <w:p w:rsidR="00AA4E4C" w:rsidRPr="00572B03" w:rsidRDefault="00AA4E4C" w:rsidP="00286459">
      <w:pPr>
        <w:ind w:right="91"/>
        <w:rPr>
          <w:bCs/>
          <w:i/>
        </w:rPr>
      </w:pPr>
      <w:r w:rsidRPr="00572B03">
        <w:rPr>
          <w:bCs/>
          <w:i/>
        </w:rPr>
        <w:t>Items [1], [2], [3], [4] and [5] – Regulation 1.03</w:t>
      </w:r>
    </w:p>
    <w:p w:rsidR="00AA4E4C" w:rsidRPr="004073EC" w:rsidRDefault="00AA4E4C" w:rsidP="00286459">
      <w:pPr>
        <w:ind w:right="91"/>
        <w:rPr>
          <w:b/>
          <w:bCs/>
        </w:rPr>
      </w:pPr>
    </w:p>
    <w:p w:rsidR="00AA4E4C" w:rsidRPr="004073EC" w:rsidRDefault="00AA4E4C" w:rsidP="00286459">
      <w:r w:rsidRPr="004073EC">
        <w:rPr>
          <w:bCs/>
        </w:rPr>
        <w:t xml:space="preserve">Items [1] to [5], inclusive, </w:t>
      </w:r>
      <w:r w:rsidRPr="004073EC">
        <w:t xml:space="preserve">introduce new definitions and amend existing definitions under Regulation 1.03. </w:t>
      </w:r>
    </w:p>
    <w:p w:rsidR="00AA4E4C" w:rsidRPr="004073EC" w:rsidRDefault="00AA4E4C" w:rsidP="00286459"/>
    <w:p w:rsidR="00AA4E4C" w:rsidRPr="004073EC" w:rsidRDefault="00AA4E4C" w:rsidP="00286459">
      <w:r w:rsidRPr="004073EC">
        <w:lastRenderedPageBreak/>
        <w:t>Item [1] substitute</w:t>
      </w:r>
      <w:r>
        <w:t>s</w:t>
      </w:r>
      <w:r w:rsidRPr="004073EC">
        <w:t xml:space="preserve"> </w:t>
      </w:r>
      <w:r>
        <w:t xml:space="preserve">a new </w:t>
      </w:r>
      <w:r w:rsidRPr="004073EC">
        <w:t xml:space="preserve">definition </w:t>
      </w:r>
      <w:r>
        <w:t>for the term,</w:t>
      </w:r>
      <w:r w:rsidRPr="004073EC">
        <w:t xml:space="preserve"> </w:t>
      </w:r>
      <w:r w:rsidRPr="004073EC">
        <w:rPr>
          <w:i/>
        </w:rPr>
        <w:t>agreed starting day</w:t>
      </w:r>
      <w:r w:rsidRPr="004073EC">
        <w:t xml:space="preserve">. Under the amendment, </w:t>
      </w:r>
      <w:r w:rsidRPr="004073EC">
        <w:rPr>
          <w:i/>
        </w:rPr>
        <w:t xml:space="preserve">agreed starting day, </w:t>
      </w:r>
      <w:r w:rsidRPr="004073EC">
        <w:t>for a course provided to a student, mean</w:t>
      </w:r>
      <w:r>
        <w:t>s</w:t>
      </w:r>
      <w:r w:rsidRPr="004073EC">
        <w:t xml:space="preserve"> the day on which the course is scheduled to start, or a later day agreed between the provider for the course and the student. </w:t>
      </w:r>
    </w:p>
    <w:p w:rsidR="00AA4E4C" w:rsidRPr="004073EC" w:rsidRDefault="00AA4E4C" w:rsidP="00286459"/>
    <w:p w:rsidR="00AA4E4C" w:rsidRPr="004073EC" w:rsidRDefault="00AA4E4C" w:rsidP="00E00EE4">
      <w:pPr>
        <w:autoSpaceDE w:val="0"/>
        <w:autoSpaceDN w:val="0"/>
        <w:adjustRightInd w:val="0"/>
      </w:pPr>
      <w:r w:rsidRPr="004073EC">
        <w:t>Item [2] insert</w:t>
      </w:r>
      <w:r>
        <w:t>s</w:t>
      </w:r>
      <w:r w:rsidRPr="004073EC">
        <w:t xml:space="preserve"> a new definition for</w:t>
      </w:r>
      <w:r>
        <w:t xml:space="preserve"> the new term</w:t>
      </w:r>
      <w:r w:rsidRPr="004073EC">
        <w:t xml:space="preserve"> </w:t>
      </w:r>
      <w:r w:rsidRPr="004073EC">
        <w:rPr>
          <w:i/>
        </w:rPr>
        <w:t>confirmation of enrolment</w:t>
      </w:r>
      <w:r>
        <w:t xml:space="preserve"> </w:t>
      </w:r>
      <w:r w:rsidRPr="004073EC">
        <w:t>which mean</w:t>
      </w:r>
      <w:r>
        <w:t>s</w:t>
      </w:r>
      <w:r w:rsidRPr="004073EC">
        <w:t xml:space="preserve"> the information a registered provider must give the Secretary under section 19 of the Act when a person becomes an accepted student of that provider.</w:t>
      </w:r>
    </w:p>
    <w:p w:rsidR="00AA4E4C" w:rsidRPr="004073EC" w:rsidRDefault="00AA4E4C" w:rsidP="00E00EE4">
      <w:pPr>
        <w:autoSpaceDE w:val="0"/>
        <w:autoSpaceDN w:val="0"/>
        <w:adjustRightInd w:val="0"/>
      </w:pPr>
    </w:p>
    <w:p w:rsidR="00AA4E4C" w:rsidRPr="004073EC" w:rsidRDefault="00AA4E4C" w:rsidP="00E00EE4">
      <w:pPr>
        <w:autoSpaceDE w:val="0"/>
        <w:autoSpaceDN w:val="0"/>
        <w:adjustRightInd w:val="0"/>
      </w:pPr>
      <w:r w:rsidRPr="004073EC">
        <w:t xml:space="preserve">Item [3] </w:t>
      </w:r>
      <w:r>
        <w:t xml:space="preserve">repeals </w:t>
      </w:r>
      <w:r w:rsidRPr="004073EC">
        <w:t xml:space="preserve">the definition </w:t>
      </w:r>
      <w:r>
        <w:t xml:space="preserve">for the redundant term, </w:t>
      </w:r>
      <w:r w:rsidRPr="004073EC">
        <w:rPr>
          <w:i/>
        </w:rPr>
        <w:t>parent organisation</w:t>
      </w:r>
      <w:r w:rsidRPr="004073EC">
        <w:t>.</w:t>
      </w:r>
    </w:p>
    <w:p w:rsidR="00AA4E4C" w:rsidRPr="004073EC" w:rsidRDefault="00AA4E4C" w:rsidP="00E00EE4">
      <w:pPr>
        <w:autoSpaceDE w:val="0"/>
        <w:autoSpaceDN w:val="0"/>
        <w:adjustRightInd w:val="0"/>
      </w:pPr>
    </w:p>
    <w:p w:rsidR="00AA4E4C" w:rsidRPr="004073EC" w:rsidRDefault="00AA4E4C" w:rsidP="00F63499">
      <w:pPr>
        <w:autoSpaceDE w:val="0"/>
        <w:autoSpaceDN w:val="0"/>
        <w:adjustRightInd w:val="0"/>
      </w:pPr>
      <w:r w:rsidRPr="004073EC">
        <w:t>Item [4] insert</w:t>
      </w:r>
      <w:r>
        <w:t>s</w:t>
      </w:r>
      <w:r w:rsidRPr="004073EC">
        <w:t xml:space="preserve"> a new definition for </w:t>
      </w:r>
      <w:r w:rsidRPr="004073EC">
        <w:rPr>
          <w:i/>
        </w:rPr>
        <w:t>public provider</w:t>
      </w:r>
      <w:r w:rsidRPr="004073EC">
        <w:t xml:space="preserve"> which mean</w:t>
      </w:r>
      <w:r>
        <w:t>s</w:t>
      </w:r>
      <w:r w:rsidRPr="004073EC">
        <w:t xml:space="preserve"> either</w:t>
      </w:r>
      <w:r>
        <w:t>,</w:t>
      </w:r>
      <w:r w:rsidRPr="004073EC">
        <w:t xml:space="preserve"> a government school</w:t>
      </w:r>
      <w:r>
        <w:t>,</w:t>
      </w:r>
      <w:r w:rsidRPr="004073EC">
        <w:t xml:space="preserve"> or a vocational education and training institution that is owned or controlled (whether directly or indirectly) by a State or Territory</w:t>
      </w:r>
      <w:r>
        <w:t>,</w:t>
      </w:r>
      <w:r w:rsidRPr="004073EC">
        <w:t xml:space="preserve"> or a Table A provider within the meaning of the </w:t>
      </w:r>
      <w:r w:rsidRPr="004073EC">
        <w:rPr>
          <w:i/>
          <w:iCs/>
        </w:rPr>
        <w:t>Higher Education Support Act 2003</w:t>
      </w:r>
      <w:r w:rsidRPr="004073EC">
        <w:t>.</w:t>
      </w:r>
    </w:p>
    <w:p w:rsidR="00AA4E4C" w:rsidRPr="004073EC" w:rsidRDefault="00AA4E4C" w:rsidP="00E00EE4">
      <w:pPr>
        <w:autoSpaceDE w:val="0"/>
        <w:autoSpaceDN w:val="0"/>
        <w:adjustRightInd w:val="0"/>
      </w:pPr>
    </w:p>
    <w:p w:rsidR="00AA4E4C" w:rsidRPr="004073EC" w:rsidRDefault="00AA4E4C" w:rsidP="00E00EE4">
      <w:pPr>
        <w:autoSpaceDE w:val="0"/>
        <w:autoSpaceDN w:val="0"/>
        <w:adjustRightInd w:val="0"/>
      </w:pPr>
      <w:r w:rsidRPr="004073EC">
        <w:t>Item [5] substitute</w:t>
      </w:r>
      <w:r>
        <w:t>s</w:t>
      </w:r>
      <w:r w:rsidRPr="004073EC">
        <w:t xml:space="preserve"> the Note to Regulation 1.03. The Note to Regulation 1.03 refers readers to key definitions under the ESOS Act. In accordance with the amendments made by </w:t>
      </w:r>
      <w:r>
        <w:t>the Amendment Act</w:t>
      </w:r>
      <w:r w:rsidRPr="004073EC">
        <w:t>, definitions which have been repealed from section 5 of the ESOS Act are removed from the Note and</w:t>
      </w:r>
      <w:r>
        <w:t xml:space="preserve"> a reference to</w:t>
      </w:r>
      <w:r w:rsidRPr="004073EC">
        <w:t xml:space="preserve"> the new term ‘tuition fees’ is added.</w:t>
      </w:r>
    </w:p>
    <w:p w:rsidR="00AA4E4C" w:rsidRDefault="00AA4E4C" w:rsidP="00E00EE4">
      <w:pPr>
        <w:ind w:right="91"/>
      </w:pPr>
    </w:p>
    <w:p w:rsidR="00AA4E4C" w:rsidRPr="004073EC" w:rsidRDefault="00AA4E4C" w:rsidP="00E00EE4">
      <w:pPr>
        <w:ind w:right="91"/>
      </w:pPr>
    </w:p>
    <w:p w:rsidR="00AA4E4C" w:rsidRPr="00572B03" w:rsidRDefault="00AA4E4C" w:rsidP="00E00EE4">
      <w:pPr>
        <w:ind w:right="91"/>
        <w:rPr>
          <w:i/>
        </w:rPr>
      </w:pPr>
      <w:r w:rsidRPr="00572B03">
        <w:rPr>
          <w:i/>
        </w:rPr>
        <w:t>Items [6], [7] and [8] - Regulation 2.01</w:t>
      </w:r>
    </w:p>
    <w:p w:rsidR="00AA4E4C" w:rsidRPr="004073EC" w:rsidRDefault="00AA4E4C" w:rsidP="00E00EE4">
      <w:pPr>
        <w:ind w:right="91"/>
        <w:rPr>
          <w:b/>
        </w:rPr>
      </w:pPr>
    </w:p>
    <w:p w:rsidR="00AA4E4C" w:rsidRDefault="00AA4E4C" w:rsidP="00290E39">
      <w:pPr>
        <w:autoSpaceDE w:val="0"/>
        <w:autoSpaceDN w:val="0"/>
        <w:adjustRightInd w:val="0"/>
      </w:pPr>
      <w:bookmarkStart w:id="2" w:name="OLE_LINK13"/>
      <w:bookmarkStart w:id="3" w:name="OLE_LINK14"/>
      <w:r>
        <w:t xml:space="preserve">Regulation 2.01 prescribes information which the Secretary must cause to be entered on the CRICOS. Among the amendments made by Items </w:t>
      </w:r>
      <w:r w:rsidRPr="00AB54BA">
        <w:t>[6], [7] and [8]</w:t>
      </w:r>
      <w:r>
        <w:t>, are consequential amendments to reflect new terminology introduced by the Amendment Act and the repeal of redundant provisions under the ESOS Act.</w:t>
      </w:r>
    </w:p>
    <w:p w:rsidR="00AA4E4C" w:rsidRDefault="00AA4E4C" w:rsidP="00290E39">
      <w:pPr>
        <w:autoSpaceDE w:val="0"/>
        <w:autoSpaceDN w:val="0"/>
        <w:adjustRightInd w:val="0"/>
      </w:pPr>
    </w:p>
    <w:p w:rsidR="00AA4E4C" w:rsidRPr="004073EC" w:rsidRDefault="00AA4E4C" w:rsidP="00290E39">
      <w:pPr>
        <w:autoSpaceDE w:val="0"/>
        <w:autoSpaceDN w:val="0"/>
        <w:adjustRightInd w:val="0"/>
      </w:pPr>
      <w:r w:rsidRPr="004073EC">
        <w:t>Item [6] substitute</w:t>
      </w:r>
      <w:r>
        <w:t>s</w:t>
      </w:r>
      <w:r w:rsidRPr="004073EC">
        <w:t xml:space="preserve"> the reference to ‘For paragraph 10(4)(d)’ in </w:t>
      </w:r>
      <w:proofErr w:type="spellStart"/>
      <w:r w:rsidRPr="004073EC">
        <w:t>subregulation</w:t>
      </w:r>
      <w:proofErr w:type="spellEnd"/>
      <w:r w:rsidRPr="004073EC">
        <w:t xml:space="preserve"> 2.01(1) with ‘For paragraph 14A(4)(</w:t>
      </w:r>
      <w:proofErr w:type="spellStart"/>
      <w:r w:rsidRPr="004073EC">
        <w:t>i</w:t>
      </w:r>
      <w:proofErr w:type="spellEnd"/>
      <w:r w:rsidRPr="004073EC">
        <w:t>)’. This amendment is necessary to reflect the renumbering of section 10 (to section 14) of the ESOS Act by the Amendment Act.</w:t>
      </w:r>
    </w:p>
    <w:p w:rsidR="00AA4E4C" w:rsidRPr="004073EC" w:rsidRDefault="00AA4E4C" w:rsidP="00290E39">
      <w:pPr>
        <w:autoSpaceDE w:val="0"/>
        <w:autoSpaceDN w:val="0"/>
        <w:adjustRightInd w:val="0"/>
      </w:pPr>
    </w:p>
    <w:p w:rsidR="00AA4E4C" w:rsidRPr="004073EC" w:rsidRDefault="00AA4E4C" w:rsidP="00290E39">
      <w:pPr>
        <w:autoSpaceDE w:val="0"/>
        <w:autoSpaceDN w:val="0"/>
        <w:adjustRightInd w:val="0"/>
      </w:pPr>
      <w:r w:rsidRPr="004073EC">
        <w:t>Item [7] substitute</w:t>
      </w:r>
      <w:r>
        <w:t>s</w:t>
      </w:r>
      <w:r w:rsidRPr="004073EC">
        <w:t xml:space="preserve"> existing paragraph 2.01(1)(g) with new paragraph 2.01(1)(g). This amendment remove</w:t>
      </w:r>
      <w:r>
        <w:t>s</w:t>
      </w:r>
      <w:r w:rsidRPr="004073EC">
        <w:t xml:space="preserve"> the requirement to provide information about approval periods as this information is now required under paragraphs 14A(4)(e) and (f) of the ESOS Act. Instead new paragraph (g) prescribe</w:t>
      </w:r>
      <w:r>
        <w:t xml:space="preserve">s </w:t>
      </w:r>
      <w:r w:rsidRPr="004073EC">
        <w:t xml:space="preserve">information about the estimated annual number of domestic students (based on full-time attendance excluding on-line study). </w:t>
      </w:r>
    </w:p>
    <w:p w:rsidR="00AA4E4C" w:rsidRPr="004073EC" w:rsidRDefault="00AA4E4C" w:rsidP="00290E39">
      <w:pPr>
        <w:autoSpaceDE w:val="0"/>
        <w:autoSpaceDN w:val="0"/>
        <w:adjustRightInd w:val="0"/>
      </w:pPr>
    </w:p>
    <w:p w:rsidR="00AA4E4C" w:rsidRPr="004073EC" w:rsidRDefault="00AA4E4C" w:rsidP="00290E39">
      <w:pPr>
        <w:autoSpaceDE w:val="0"/>
        <w:autoSpaceDN w:val="0"/>
        <w:adjustRightInd w:val="0"/>
      </w:pPr>
      <w:r>
        <w:t xml:space="preserve">Item [8] </w:t>
      </w:r>
      <w:r w:rsidRPr="004073EC">
        <w:t>make</w:t>
      </w:r>
      <w:r>
        <w:t>s</w:t>
      </w:r>
      <w:r w:rsidRPr="004073EC">
        <w:t xml:space="preserve"> amendments to existing prescribed information and also prescribe</w:t>
      </w:r>
      <w:r>
        <w:t>s</w:t>
      </w:r>
      <w:r w:rsidRPr="004073EC">
        <w:t xml:space="preserve"> new information that the Secretary must cause to be entered on the </w:t>
      </w:r>
      <w:r>
        <w:t xml:space="preserve">CRICOS under </w:t>
      </w:r>
      <w:proofErr w:type="spellStart"/>
      <w:r>
        <w:t>subregulation</w:t>
      </w:r>
      <w:proofErr w:type="spellEnd"/>
      <w:r>
        <w:t xml:space="preserve"> 2.01(2). </w:t>
      </w:r>
      <w:proofErr w:type="spellStart"/>
      <w:r>
        <w:t>Subregulation</w:t>
      </w:r>
      <w:proofErr w:type="spellEnd"/>
      <w:r>
        <w:t xml:space="preserve"> 2.01(2) prescribes certain information for each course that the provider mentioned in </w:t>
      </w:r>
      <w:proofErr w:type="spellStart"/>
      <w:r>
        <w:t>subregulation</w:t>
      </w:r>
      <w:proofErr w:type="spellEnd"/>
      <w:r>
        <w:t xml:space="preserve"> (1) is registered to provide. </w:t>
      </w:r>
    </w:p>
    <w:p w:rsidR="00AA4E4C" w:rsidRPr="004073EC" w:rsidRDefault="00AA4E4C" w:rsidP="00290E39">
      <w:pPr>
        <w:autoSpaceDE w:val="0"/>
        <w:autoSpaceDN w:val="0"/>
        <w:adjustRightInd w:val="0"/>
      </w:pPr>
    </w:p>
    <w:p w:rsidR="00AA4E4C" w:rsidRPr="004073EC" w:rsidRDefault="00AA4E4C" w:rsidP="00290E39">
      <w:pPr>
        <w:autoSpaceDE w:val="0"/>
        <w:autoSpaceDN w:val="0"/>
        <w:adjustRightInd w:val="0"/>
      </w:pPr>
      <w:r w:rsidRPr="004073EC">
        <w:t xml:space="preserve">Under this amendment, information about the estimated course cost, prescribed under paragraph (b), </w:t>
      </w:r>
      <w:r>
        <w:t xml:space="preserve">is </w:t>
      </w:r>
      <w:r w:rsidRPr="004073EC">
        <w:t xml:space="preserve">amended to require information about both tuition fees and non-tuition fees to be entered on the CRICOS. Also, all references to “students” </w:t>
      </w:r>
      <w:r>
        <w:t xml:space="preserve">is </w:t>
      </w:r>
      <w:r w:rsidRPr="004073EC">
        <w:t xml:space="preserve">amended to mean “students on a student visa” to distinguish from international students on another form of visa. </w:t>
      </w:r>
    </w:p>
    <w:p w:rsidR="00AA4E4C" w:rsidRPr="004073EC" w:rsidRDefault="00AA4E4C" w:rsidP="00290E39">
      <w:pPr>
        <w:autoSpaceDE w:val="0"/>
        <w:autoSpaceDN w:val="0"/>
        <w:adjustRightInd w:val="0"/>
      </w:pPr>
    </w:p>
    <w:p w:rsidR="00AA4E4C" w:rsidRDefault="00AA4E4C" w:rsidP="00290E39">
      <w:pPr>
        <w:autoSpaceDE w:val="0"/>
        <w:autoSpaceDN w:val="0"/>
        <w:adjustRightInd w:val="0"/>
      </w:pPr>
      <w:r w:rsidRPr="004073EC">
        <w:t xml:space="preserve">A new requirement </w:t>
      </w:r>
      <w:r>
        <w:t xml:space="preserve">is </w:t>
      </w:r>
      <w:r w:rsidRPr="004073EC">
        <w:t xml:space="preserve">prescribed to require information about whether the provider only accepts payment in arrears for a course to also be entered on CRICOS.  </w:t>
      </w:r>
    </w:p>
    <w:p w:rsidR="00AA4E4C" w:rsidRPr="00572B03" w:rsidRDefault="00AA4E4C" w:rsidP="00290E39">
      <w:pPr>
        <w:autoSpaceDE w:val="0"/>
        <w:autoSpaceDN w:val="0"/>
        <w:adjustRightInd w:val="0"/>
        <w:rPr>
          <w:i/>
        </w:rPr>
      </w:pPr>
      <w:r w:rsidRPr="00572B03">
        <w:rPr>
          <w:i/>
        </w:rPr>
        <w:lastRenderedPageBreak/>
        <w:t>Item [9], [10] and [11] – Regulation 3.01</w:t>
      </w:r>
    </w:p>
    <w:p w:rsidR="00AA4E4C" w:rsidRPr="004073EC" w:rsidRDefault="00AA4E4C" w:rsidP="00290E39">
      <w:pPr>
        <w:autoSpaceDE w:val="0"/>
        <w:autoSpaceDN w:val="0"/>
        <w:adjustRightInd w:val="0"/>
        <w:rPr>
          <w:b/>
        </w:rPr>
      </w:pPr>
    </w:p>
    <w:p w:rsidR="00AA4E4C" w:rsidRPr="004073EC" w:rsidRDefault="00AA4E4C" w:rsidP="00290E39">
      <w:pPr>
        <w:ind w:right="91"/>
      </w:pPr>
      <w:r w:rsidRPr="004073EC">
        <w:rPr>
          <w:bCs/>
        </w:rPr>
        <w:t>Regulation 3.01 prescribes, for paragraph 19(1)(a) of the ESOS Act</w:t>
      </w:r>
      <w:r w:rsidRPr="004073EC">
        <w:t xml:space="preserve">, </w:t>
      </w:r>
      <w:r>
        <w:t>information</w:t>
      </w:r>
      <w:r w:rsidRPr="004073EC">
        <w:t xml:space="preserve"> relating to accepted students. </w:t>
      </w:r>
      <w:r w:rsidRPr="004073EC">
        <w:rPr>
          <w:bCs/>
        </w:rPr>
        <w:t>Items [9] to [11], inclusive, amend</w:t>
      </w:r>
      <w:r>
        <w:rPr>
          <w:bCs/>
        </w:rPr>
        <w:t>s</w:t>
      </w:r>
      <w:r w:rsidRPr="004073EC">
        <w:rPr>
          <w:bCs/>
        </w:rPr>
        <w:t xml:space="preserve"> information specified under Regulation 3.01.</w:t>
      </w:r>
    </w:p>
    <w:p w:rsidR="00AA4E4C" w:rsidRPr="004073EC" w:rsidRDefault="00AA4E4C" w:rsidP="00290E39">
      <w:pPr>
        <w:ind w:right="91"/>
      </w:pPr>
    </w:p>
    <w:p w:rsidR="00AA4E4C" w:rsidRPr="004073EC" w:rsidRDefault="00AA4E4C" w:rsidP="00290E39">
      <w:pPr>
        <w:ind w:right="91"/>
      </w:pPr>
      <w:r w:rsidRPr="004073EC">
        <w:t>Item [9] prescribe</w:t>
      </w:r>
      <w:r>
        <w:t xml:space="preserve">s a new requirement to provide information </w:t>
      </w:r>
      <w:r w:rsidRPr="004073EC">
        <w:t xml:space="preserve">in relation </w:t>
      </w:r>
      <w:r>
        <w:t xml:space="preserve">to </w:t>
      </w:r>
      <w:r w:rsidRPr="004073EC">
        <w:t>an accepted student who is under 18 years of age</w:t>
      </w:r>
      <w:r>
        <w:t xml:space="preserve">. Under this amendment, </w:t>
      </w:r>
      <w:r w:rsidRPr="004073EC">
        <w:t xml:space="preserve">the </w:t>
      </w:r>
      <w:r>
        <w:t xml:space="preserve">current residential address, mobile phone number (if any) and email address (if any) </w:t>
      </w:r>
      <w:r w:rsidRPr="004073EC">
        <w:t>of a person (other than the provider who has legal authority to act on the student’s behalf)</w:t>
      </w:r>
      <w:r>
        <w:t>, together with</w:t>
      </w:r>
      <w:r w:rsidRPr="004073EC">
        <w:t xml:space="preserve"> </w:t>
      </w:r>
      <w:r>
        <w:t xml:space="preserve">information about </w:t>
      </w:r>
      <w:r w:rsidRPr="004073EC">
        <w:t>the nature of the relationship of that person to the student</w:t>
      </w:r>
      <w:r>
        <w:t xml:space="preserve"> is prescribed</w:t>
      </w:r>
      <w:r w:rsidRPr="004073EC">
        <w:t>.</w:t>
      </w:r>
    </w:p>
    <w:p w:rsidR="00AA4E4C" w:rsidRPr="004073EC" w:rsidRDefault="00AA4E4C" w:rsidP="00290E39">
      <w:pPr>
        <w:ind w:right="91"/>
      </w:pPr>
    </w:p>
    <w:p w:rsidR="00AA4E4C" w:rsidRPr="004073EC" w:rsidRDefault="00AA4E4C" w:rsidP="00290E39">
      <w:pPr>
        <w:ind w:right="91"/>
      </w:pPr>
      <w:r w:rsidRPr="004073EC">
        <w:t>Item [10] amend</w:t>
      </w:r>
      <w:r>
        <w:t>s</w:t>
      </w:r>
      <w:r w:rsidRPr="004073EC">
        <w:t xml:space="preserve"> paragraph (f) of </w:t>
      </w:r>
      <w:r w:rsidRPr="004073EC">
        <w:rPr>
          <w:bCs/>
        </w:rPr>
        <w:t xml:space="preserve">Regulation 3.01 to </w:t>
      </w:r>
      <w:r w:rsidRPr="004073EC">
        <w:t xml:space="preserve">replace the term </w:t>
      </w:r>
      <w:r w:rsidRPr="004073EC">
        <w:rPr>
          <w:i/>
        </w:rPr>
        <w:t xml:space="preserve">alphanumeric code </w:t>
      </w:r>
      <w:r w:rsidRPr="004073EC">
        <w:t xml:space="preserve">with </w:t>
      </w:r>
      <w:r w:rsidRPr="004073EC">
        <w:rPr>
          <w:i/>
        </w:rPr>
        <w:t>unique identifier</w:t>
      </w:r>
      <w:r w:rsidRPr="004073EC">
        <w:t xml:space="preserve">. </w:t>
      </w:r>
    </w:p>
    <w:p w:rsidR="00AA4E4C" w:rsidRPr="004073EC" w:rsidRDefault="00AA4E4C" w:rsidP="00290E39">
      <w:pPr>
        <w:ind w:right="91"/>
      </w:pPr>
    </w:p>
    <w:p w:rsidR="00AA4E4C" w:rsidRPr="004073EC" w:rsidRDefault="00AA4E4C" w:rsidP="00290E39">
      <w:pPr>
        <w:ind w:right="91"/>
      </w:pPr>
      <w:r w:rsidRPr="004073EC">
        <w:t xml:space="preserve">Item [11] </w:t>
      </w:r>
      <w:r>
        <w:t xml:space="preserve">substitutes </w:t>
      </w:r>
      <w:r w:rsidRPr="004073EC">
        <w:t>paragraph (</w:t>
      </w:r>
      <w:proofErr w:type="spellStart"/>
      <w:r w:rsidRPr="004073EC">
        <w:t>i</w:t>
      </w:r>
      <w:proofErr w:type="spellEnd"/>
      <w:r w:rsidRPr="004073EC">
        <w:t xml:space="preserve">) </w:t>
      </w:r>
      <w:r>
        <w:t>and insert new paragraph (j)</w:t>
      </w:r>
      <w:r w:rsidRPr="004073EC">
        <w:t xml:space="preserve"> to </w:t>
      </w:r>
      <w:r>
        <w:t>make amendments to existing prescribed information and to prescribe new information providers must provide about accepted students. Under this amendment, information about course money (prescribed under paragraph (</w:t>
      </w:r>
      <w:proofErr w:type="spellStart"/>
      <w:r>
        <w:t>i</w:t>
      </w:r>
      <w:proofErr w:type="spellEnd"/>
      <w:r>
        <w:t>)) is amended to require more specific information about both tuition fees and non tuition fees that a provider received for a student</w:t>
      </w:r>
      <w:r w:rsidRPr="004073EC">
        <w:t xml:space="preserve">. </w:t>
      </w:r>
    </w:p>
    <w:p w:rsidR="00AA4E4C" w:rsidRPr="004073EC" w:rsidRDefault="00AA4E4C" w:rsidP="00290E39">
      <w:pPr>
        <w:ind w:right="91"/>
      </w:pPr>
    </w:p>
    <w:p w:rsidR="00AA4E4C" w:rsidRPr="004073EC" w:rsidRDefault="00AA4E4C" w:rsidP="00881D98">
      <w:r>
        <w:t>Item 11 also inserts new</w:t>
      </w:r>
      <w:r w:rsidRPr="004073EC">
        <w:t xml:space="preserve"> paragraph (</w:t>
      </w:r>
      <w:proofErr w:type="spellStart"/>
      <w:r>
        <w:t>ia</w:t>
      </w:r>
      <w:proofErr w:type="spellEnd"/>
      <w:r w:rsidRPr="004073EC">
        <w:t xml:space="preserve">) </w:t>
      </w:r>
      <w:r>
        <w:t xml:space="preserve">to </w:t>
      </w:r>
      <w:r w:rsidRPr="004073EC">
        <w:t>prescribe for a non public provider</w:t>
      </w:r>
      <w:r>
        <w:t>, the start</w:t>
      </w:r>
      <w:r w:rsidRPr="004073EC">
        <w:t xml:space="preserve"> and end dates of the period relating to the amount </w:t>
      </w:r>
      <w:r>
        <w:t xml:space="preserve">of tuition fees that a provider received under </w:t>
      </w:r>
      <w:r w:rsidRPr="004073EC">
        <w:t>paragraph (</w:t>
      </w:r>
      <w:proofErr w:type="spellStart"/>
      <w:r w:rsidRPr="004073EC">
        <w:t>i</w:t>
      </w:r>
      <w:proofErr w:type="spellEnd"/>
      <w:r w:rsidRPr="004073EC">
        <w:t>) of Regulation 3.01.</w:t>
      </w:r>
    </w:p>
    <w:p w:rsidR="00AA4E4C" w:rsidRDefault="00AA4E4C" w:rsidP="00881D98"/>
    <w:p w:rsidR="00AA4E4C" w:rsidRPr="004073EC" w:rsidRDefault="00AA4E4C" w:rsidP="00881D98"/>
    <w:bookmarkEnd w:id="2"/>
    <w:bookmarkEnd w:id="3"/>
    <w:p w:rsidR="00AA4E4C" w:rsidRPr="00572B03" w:rsidRDefault="00AA4E4C" w:rsidP="00E00EE4">
      <w:pPr>
        <w:ind w:right="91"/>
        <w:rPr>
          <w:i/>
        </w:rPr>
      </w:pPr>
      <w:r w:rsidRPr="00572B03">
        <w:rPr>
          <w:i/>
        </w:rPr>
        <w:t>Item [12] – Paragraphs 3.02(1)(b), 3.03(1)(b) and 3.03(2)(b)</w:t>
      </w:r>
    </w:p>
    <w:p w:rsidR="00AA4E4C" w:rsidRPr="004073EC" w:rsidRDefault="00AA4E4C" w:rsidP="00E00EE4">
      <w:pPr>
        <w:ind w:right="91"/>
      </w:pPr>
    </w:p>
    <w:p w:rsidR="00AA4E4C" w:rsidRDefault="00AA4E4C" w:rsidP="00E00EE4">
      <w:pPr>
        <w:ind w:right="91"/>
        <w:rPr>
          <w:bCs/>
        </w:rPr>
      </w:pPr>
      <w:r>
        <w:rPr>
          <w:bCs/>
        </w:rPr>
        <w:t>Regulation</w:t>
      </w:r>
      <w:r w:rsidRPr="004073EC">
        <w:rPr>
          <w:bCs/>
        </w:rPr>
        <w:t xml:space="preserve"> 3.02 prescribes, for paragraph 19(1)(c) of the ESOS Act</w:t>
      </w:r>
      <w:r w:rsidRPr="004073EC">
        <w:t xml:space="preserve">, matters relating to accepted students who do not begin their courses when expected. Regulation 3.03 </w:t>
      </w:r>
      <w:r w:rsidRPr="004073EC">
        <w:rPr>
          <w:bCs/>
        </w:rPr>
        <w:t xml:space="preserve">prescribes, for paragraph 19(1)(f) other matters relating to accepted students. </w:t>
      </w:r>
    </w:p>
    <w:p w:rsidR="00AA4E4C" w:rsidRPr="004073EC" w:rsidRDefault="00AA4E4C" w:rsidP="00E00EE4">
      <w:pPr>
        <w:ind w:right="91"/>
        <w:rPr>
          <w:bCs/>
        </w:rPr>
      </w:pPr>
    </w:p>
    <w:p w:rsidR="00AA4E4C" w:rsidRPr="004073EC" w:rsidRDefault="00AA4E4C" w:rsidP="00E00EE4">
      <w:pPr>
        <w:ind w:right="91"/>
      </w:pPr>
      <w:r w:rsidRPr="004073EC">
        <w:t xml:space="preserve">Item [12] </w:t>
      </w:r>
      <w:r>
        <w:t>expands the existing prescribed information about a student (currently only residential address) to also include</w:t>
      </w:r>
      <w:r w:rsidRPr="004073EC">
        <w:t xml:space="preserve"> </w:t>
      </w:r>
      <w:r w:rsidRPr="00D94EC9">
        <w:t>residential address, mobile phone number</w:t>
      </w:r>
      <w:r>
        <w:t xml:space="preserve"> (if any)</w:t>
      </w:r>
      <w:r w:rsidRPr="00D94EC9">
        <w:t xml:space="preserve"> and email address</w:t>
      </w:r>
      <w:r>
        <w:t xml:space="preserve"> (if any)</w:t>
      </w:r>
      <w:r w:rsidRPr="004073EC">
        <w:t xml:space="preserve"> in paragraphs 3.02(1)(b), 3.03(1)(b) and 3.03(2)(b).</w:t>
      </w:r>
    </w:p>
    <w:p w:rsidR="00AA4E4C" w:rsidRDefault="00AA4E4C" w:rsidP="00A61FE3">
      <w:pPr>
        <w:ind w:right="91"/>
        <w:rPr>
          <w:i/>
        </w:rPr>
      </w:pPr>
    </w:p>
    <w:p w:rsidR="00AA4E4C" w:rsidRPr="00572B03" w:rsidRDefault="00AA4E4C" w:rsidP="00A61FE3">
      <w:pPr>
        <w:ind w:right="91"/>
        <w:rPr>
          <w:i/>
        </w:rPr>
      </w:pPr>
      <w:r w:rsidRPr="00572B03">
        <w:rPr>
          <w:i/>
        </w:rPr>
        <w:t xml:space="preserve">Item [13] – After paragraph 3.03(4) </w:t>
      </w:r>
    </w:p>
    <w:p w:rsidR="00AA4E4C" w:rsidRDefault="00AA4E4C" w:rsidP="00A61FE3">
      <w:pPr>
        <w:ind w:right="91"/>
      </w:pPr>
    </w:p>
    <w:p w:rsidR="00AA4E4C" w:rsidRDefault="00AA4E4C" w:rsidP="00A61FE3">
      <w:pPr>
        <w:ind w:right="91"/>
      </w:pPr>
      <w:r>
        <w:t>Regulation 3.03 prescribes, for paragraph 19(1)(4) of the ESOS Act, information about other matters relating to accepted students.</w:t>
      </w:r>
    </w:p>
    <w:p w:rsidR="00AA4E4C" w:rsidRPr="004073EC" w:rsidRDefault="00AA4E4C" w:rsidP="00A61FE3">
      <w:pPr>
        <w:ind w:right="91"/>
      </w:pPr>
    </w:p>
    <w:p w:rsidR="00AA4E4C" w:rsidRPr="00BE4981" w:rsidRDefault="00AA4E4C" w:rsidP="00A61FE3">
      <w:pPr>
        <w:ind w:right="91"/>
      </w:pPr>
      <w:r>
        <w:t>Item [13] inserts new p</w:t>
      </w:r>
      <w:r w:rsidRPr="004073EC">
        <w:t>aragraph 3.03(5)</w:t>
      </w:r>
      <w:r>
        <w:t xml:space="preserve"> to prescribe new information relating to an accepted student of a provider (that is a non-public provider) for whom the provider</w:t>
      </w:r>
      <w:r w:rsidRPr="004073EC">
        <w:t xml:space="preserve"> receive</w:t>
      </w:r>
      <w:r>
        <w:t>s</w:t>
      </w:r>
      <w:r w:rsidRPr="004073EC">
        <w:t xml:space="preserve"> tuition fees during a calendar month</w:t>
      </w:r>
      <w:r>
        <w:t>.</w:t>
      </w:r>
      <w:r w:rsidRPr="004073EC">
        <w:t xml:space="preserve"> </w:t>
      </w:r>
      <w:r>
        <w:t xml:space="preserve">Under this amendment, information about </w:t>
      </w:r>
      <w:r w:rsidRPr="004073EC">
        <w:t>the amount of tuition fees that the pr</w:t>
      </w:r>
      <w:r>
        <w:t xml:space="preserve">ovider received for the </w:t>
      </w:r>
      <w:r w:rsidRPr="00BE4981">
        <w:t>student, the date the payment was made by the student and the start and end dates of the period to which the payment relates are prescribed.</w:t>
      </w:r>
    </w:p>
    <w:p w:rsidR="00AA4E4C" w:rsidRDefault="00AA4E4C" w:rsidP="00A61FE3">
      <w:pPr>
        <w:ind w:right="91"/>
      </w:pPr>
    </w:p>
    <w:p w:rsidR="00AA4E4C" w:rsidRDefault="00AA4E4C" w:rsidP="00A61FE3">
      <w:pPr>
        <w:ind w:right="91"/>
      </w:pPr>
    </w:p>
    <w:p w:rsidR="00AA4E4C" w:rsidRDefault="00AA4E4C" w:rsidP="00A61FE3">
      <w:pPr>
        <w:ind w:right="91"/>
      </w:pPr>
    </w:p>
    <w:p w:rsidR="00AA4E4C" w:rsidRPr="00BE4981" w:rsidRDefault="00AA4E4C" w:rsidP="00A61FE3">
      <w:pPr>
        <w:ind w:right="91"/>
      </w:pPr>
    </w:p>
    <w:p w:rsidR="00AA4E4C" w:rsidRPr="00572B03" w:rsidRDefault="00AA4E4C" w:rsidP="008C1D43">
      <w:pPr>
        <w:ind w:right="91"/>
        <w:rPr>
          <w:i/>
        </w:rPr>
      </w:pPr>
      <w:r w:rsidRPr="00572B03">
        <w:rPr>
          <w:i/>
        </w:rPr>
        <w:lastRenderedPageBreak/>
        <w:t>Items [14], [15] and [16] – Regulation 3.04</w:t>
      </w:r>
    </w:p>
    <w:p w:rsidR="00AA4E4C" w:rsidRPr="00BE4981" w:rsidRDefault="00AA4E4C" w:rsidP="00FD018A">
      <w:pPr>
        <w:ind w:right="91"/>
      </w:pPr>
    </w:p>
    <w:p w:rsidR="00AA4E4C" w:rsidRPr="00BE4981" w:rsidRDefault="00AA4E4C" w:rsidP="00FD018A">
      <w:pPr>
        <w:ind w:right="91"/>
      </w:pPr>
      <w:r w:rsidRPr="00BE4981">
        <w:t>Regulation 3.04 prescribes, for subsection 21(2) of the ESOS Act, the information for each accepted student for whom registered providers must keep records.</w:t>
      </w:r>
    </w:p>
    <w:p w:rsidR="00AA4E4C" w:rsidRPr="00BE4981" w:rsidRDefault="00AA4E4C" w:rsidP="00FD018A">
      <w:pPr>
        <w:ind w:right="91"/>
      </w:pPr>
    </w:p>
    <w:p w:rsidR="00AA4E4C" w:rsidRPr="00BE4981" w:rsidRDefault="00AA4E4C" w:rsidP="008C1D43">
      <w:pPr>
        <w:ind w:right="91"/>
      </w:pPr>
      <w:r w:rsidRPr="00BE4981">
        <w:t>Item [14] to [16], inclusive, make</w:t>
      </w:r>
      <w:r>
        <w:t>s</w:t>
      </w:r>
      <w:r w:rsidRPr="00BE4981">
        <w:t xml:space="preserve"> amend</w:t>
      </w:r>
      <w:r>
        <w:t>ment</w:t>
      </w:r>
      <w:r w:rsidRPr="00BE4981">
        <w:t>s to the existing prescribed information under Regulation 3.04 to specify information about both tuition fees and non tuition fees for which records must be kept.</w:t>
      </w:r>
    </w:p>
    <w:p w:rsidR="00AA4E4C" w:rsidRDefault="00AA4E4C" w:rsidP="008C1D43">
      <w:pPr>
        <w:ind w:right="91"/>
      </w:pPr>
    </w:p>
    <w:p w:rsidR="00AA4E4C" w:rsidRPr="00BE4981" w:rsidRDefault="00AA4E4C" w:rsidP="008C1D43">
      <w:pPr>
        <w:ind w:right="91"/>
      </w:pPr>
    </w:p>
    <w:p w:rsidR="00AA4E4C" w:rsidRPr="00572B03" w:rsidRDefault="00AA4E4C" w:rsidP="008C1D43">
      <w:pPr>
        <w:ind w:right="91"/>
        <w:rPr>
          <w:i/>
        </w:rPr>
      </w:pPr>
      <w:r w:rsidRPr="00572B03">
        <w:rPr>
          <w:i/>
        </w:rPr>
        <w:t>Item [17] and [18] – Subparagraphs 3.04(d)(ii) and paragraph 3.04(e)</w:t>
      </w:r>
    </w:p>
    <w:p w:rsidR="00AA4E4C" w:rsidRPr="00BE4981" w:rsidRDefault="00AA4E4C" w:rsidP="008C1D43">
      <w:pPr>
        <w:ind w:right="91"/>
      </w:pPr>
    </w:p>
    <w:p w:rsidR="00AA4E4C" w:rsidRPr="00BE4981" w:rsidRDefault="00AA4E4C" w:rsidP="00DE0228">
      <w:pPr>
        <w:ind w:right="91"/>
      </w:pPr>
      <w:r w:rsidRPr="00BE4981">
        <w:t>Item [17] make</w:t>
      </w:r>
      <w:r>
        <w:t>s</w:t>
      </w:r>
      <w:r w:rsidRPr="00BE4981">
        <w:t xml:space="preserve"> a technical amendment to paragraph 3.04(d)(ii) for the purposes of the amendment made by Item [18].</w:t>
      </w:r>
    </w:p>
    <w:p w:rsidR="00AA4E4C" w:rsidRDefault="00AA4E4C" w:rsidP="00591C31">
      <w:pPr>
        <w:ind w:right="91"/>
      </w:pPr>
    </w:p>
    <w:p w:rsidR="00AA4E4C" w:rsidRPr="004073EC" w:rsidRDefault="00AA4E4C" w:rsidP="00591C31">
      <w:pPr>
        <w:ind w:right="91"/>
      </w:pPr>
      <w:r w:rsidRPr="004073EC">
        <w:t>Item [18] insert</w:t>
      </w:r>
      <w:r>
        <w:t>s</w:t>
      </w:r>
      <w:r w:rsidRPr="004073EC">
        <w:t xml:space="preserve"> </w:t>
      </w:r>
      <w:r>
        <w:t>new p</w:t>
      </w:r>
      <w:r w:rsidRPr="004073EC">
        <w:t>aragraph 3.04(d)</w:t>
      </w:r>
      <w:r>
        <w:t xml:space="preserve"> to prescribe </w:t>
      </w:r>
      <w:r w:rsidRPr="004073EC">
        <w:t xml:space="preserve">new </w:t>
      </w:r>
      <w:r>
        <w:t xml:space="preserve">information about </w:t>
      </w:r>
      <w:r w:rsidRPr="004073EC">
        <w:t>the amount that a student will be charged to access the student’s records</w:t>
      </w:r>
      <w:r>
        <w:t xml:space="preserve"> for which </w:t>
      </w:r>
      <w:proofErr w:type="spellStart"/>
      <w:r>
        <w:t>the</w:t>
      </w:r>
      <w:proofErr w:type="spellEnd"/>
      <w:r>
        <w:t xml:space="preserve"> provide must keep records.</w:t>
      </w:r>
    </w:p>
    <w:p w:rsidR="00AA4E4C" w:rsidRDefault="00AA4E4C" w:rsidP="00FD018A">
      <w:pPr>
        <w:ind w:right="91"/>
      </w:pPr>
    </w:p>
    <w:p w:rsidR="00AA4E4C" w:rsidRPr="004073EC" w:rsidRDefault="00AA4E4C" w:rsidP="00FD018A">
      <w:pPr>
        <w:ind w:right="91"/>
      </w:pPr>
    </w:p>
    <w:p w:rsidR="00AA4E4C" w:rsidRPr="00572B03" w:rsidRDefault="00AA4E4C" w:rsidP="008C1D43">
      <w:pPr>
        <w:ind w:right="91"/>
        <w:rPr>
          <w:i/>
        </w:rPr>
      </w:pPr>
      <w:r w:rsidRPr="00572B03">
        <w:rPr>
          <w:i/>
        </w:rPr>
        <w:t>Item [19] – After regulation 3.04</w:t>
      </w:r>
    </w:p>
    <w:p w:rsidR="00AA4E4C" w:rsidRPr="004073EC" w:rsidRDefault="00AA4E4C" w:rsidP="008C1D43">
      <w:pPr>
        <w:ind w:right="91"/>
      </w:pPr>
    </w:p>
    <w:p w:rsidR="00AA4E4C" w:rsidRDefault="00AA4E4C" w:rsidP="00CB3561">
      <w:pPr>
        <w:ind w:right="91"/>
      </w:pPr>
      <w:r w:rsidRPr="004073EC">
        <w:t>Item [19] insert</w:t>
      </w:r>
      <w:r>
        <w:t>s two new r</w:t>
      </w:r>
      <w:r w:rsidRPr="004073EC">
        <w:t>egulation</w:t>
      </w:r>
      <w:r>
        <w:t>s</w:t>
      </w:r>
      <w:r w:rsidRPr="004073EC">
        <w:t xml:space="preserve"> </w:t>
      </w:r>
      <w:r>
        <w:t xml:space="preserve">after regulation 3.04. </w:t>
      </w:r>
    </w:p>
    <w:p w:rsidR="00AA4E4C" w:rsidRDefault="00AA4E4C" w:rsidP="00CB3561">
      <w:pPr>
        <w:ind w:right="91"/>
      </w:pPr>
    </w:p>
    <w:p w:rsidR="00AA4E4C" w:rsidRPr="004073EC" w:rsidRDefault="00AA4E4C" w:rsidP="00CB3561">
      <w:pPr>
        <w:ind w:right="91"/>
      </w:pPr>
      <w:r>
        <w:t xml:space="preserve">New regulation </w:t>
      </w:r>
      <w:r w:rsidRPr="004073EC">
        <w:t>3.05 require</w:t>
      </w:r>
      <w:r>
        <w:t>s</w:t>
      </w:r>
      <w:r w:rsidRPr="004073EC">
        <w:t xml:space="preserve"> electronic records </w:t>
      </w:r>
      <w:r>
        <w:t xml:space="preserve">(which are </w:t>
      </w:r>
      <w:r w:rsidRPr="004073EC">
        <w:t>kept for the purpose of section 21 of the Act</w:t>
      </w:r>
      <w:r>
        <w:t>)</w:t>
      </w:r>
      <w:r w:rsidRPr="004073EC">
        <w:t xml:space="preserve"> to be backed up to ensure they are </w:t>
      </w:r>
      <w:r>
        <w:t xml:space="preserve">securely maintained </w:t>
      </w:r>
      <w:r w:rsidRPr="004073EC">
        <w:t>and accessible.</w:t>
      </w:r>
    </w:p>
    <w:p w:rsidR="00AA4E4C" w:rsidRPr="004073EC" w:rsidRDefault="00AA4E4C" w:rsidP="00CB3561">
      <w:pPr>
        <w:ind w:right="91"/>
      </w:pPr>
    </w:p>
    <w:p w:rsidR="00AA4E4C" w:rsidRPr="004073EC" w:rsidRDefault="00AA4E4C" w:rsidP="00E66BF5">
      <w:pPr>
        <w:ind w:right="91"/>
      </w:pPr>
      <w:r>
        <w:t>New r</w:t>
      </w:r>
      <w:r w:rsidRPr="004073EC">
        <w:t>egulation 3.06 prescribe</w:t>
      </w:r>
      <w:r>
        <w:t>s</w:t>
      </w:r>
      <w:r w:rsidRPr="004073EC">
        <w:t xml:space="preserve"> </w:t>
      </w:r>
      <w:r>
        <w:t xml:space="preserve">a new requirement </w:t>
      </w:r>
      <w:r w:rsidRPr="004073EC">
        <w:t>that provider</w:t>
      </w:r>
      <w:r>
        <w:t xml:space="preserve">s must </w:t>
      </w:r>
      <w:r w:rsidRPr="004073EC">
        <w:t>not charge student</w:t>
      </w:r>
      <w:r>
        <w:t>s</w:t>
      </w:r>
      <w:r w:rsidRPr="004073EC">
        <w:t xml:space="preserve"> a fee to access their records </w:t>
      </w:r>
      <w:r>
        <w:t>in excess of the actual cost incurred by the provider.</w:t>
      </w:r>
    </w:p>
    <w:p w:rsidR="00AA4E4C" w:rsidRDefault="00AA4E4C" w:rsidP="008C1D43">
      <w:pPr>
        <w:ind w:right="91"/>
      </w:pPr>
    </w:p>
    <w:p w:rsidR="00AA4E4C" w:rsidRPr="004073EC" w:rsidRDefault="00AA4E4C" w:rsidP="008C1D43">
      <w:pPr>
        <w:ind w:right="91"/>
      </w:pPr>
    </w:p>
    <w:p w:rsidR="00AA4E4C" w:rsidRPr="00572B03" w:rsidRDefault="00AA4E4C" w:rsidP="00347B80">
      <w:pPr>
        <w:pStyle w:val="Default"/>
        <w:rPr>
          <w:i/>
        </w:rPr>
      </w:pPr>
      <w:r w:rsidRPr="00572B03">
        <w:rPr>
          <w:i/>
        </w:rPr>
        <w:t xml:space="preserve">Items [20], [21] </w:t>
      </w:r>
      <w:r w:rsidRPr="00572B03">
        <w:rPr>
          <w:i/>
          <w:color w:val="auto"/>
        </w:rPr>
        <w:t xml:space="preserve">and [22] – </w:t>
      </w:r>
      <w:r w:rsidRPr="00572B03">
        <w:rPr>
          <w:i/>
        </w:rPr>
        <w:t xml:space="preserve">Divisions 3.2 to 3.4, Parts 5, 8 and 9 and </w:t>
      </w:r>
      <w:r w:rsidRPr="00572B03">
        <w:rPr>
          <w:i/>
          <w:color w:val="auto"/>
        </w:rPr>
        <w:t>Schedule 1</w:t>
      </w:r>
    </w:p>
    <w:p w:rsidR="00AA4E4C" w:rsidRPr="004073EC" w:rsidRDefault="00AA4E4C" w:rsidP="008C1D43">
      <w:pPr>
        <w:ind w:right="91"/>
        <w:rPr>
          <w:b/>
        </w:rPr>
      </w:pPr>
    </w:p>
    <w:p w:rsidR="00AA4E4C" w:rsidRDefault="00AA4E4C" w:rsidP="00DE49F1">
      <w:pPr>
        <w:pStyle w:val="Default"/>
        <w:rPr>
          <w:color w:val="auto"/>
        </w:rPr>
      </w:pPr>
      <w:r>
        <w:rPr>
          <w:color w:val="auto"/>
        </w:rPr>
        <w:t xml:space="preserve">As a result of the </w:t>
      </w:r>
      <w:r w:rsidRPr="004073EC">
        <w:rPr>
          <w:color w:val="auto"/>
        </w:rPr>
        <w:t>new Tuition Protection Service established by the</w:t>
      </w:r>
      <w:r w:rsidRPr="004073EC">
        <w:t xml:space="preserve"> </w:t>
      </w:r>
      <w:r>
        <w:t xml:space="preserve">Amendment Act, </w:t>
      </w:r>
      <w:r>
        <w:rPr>
          <w:color w:val="auto"/>
        </w:rPr>
        <w:t xml:space="preserve">Items </w:t>
      </w:r>
      <w:r w:rsidRPr="006B5109">
        <w:t xml:space="preserve">[20], [21] </w:t>
      </w:r>
      <w:r w:rsidRPr="006B5109">
        <w:rPr>
          <w:color w:val="auto"/>
        </w:rPr>
        <w:t>and [22]</w:t>
      </w:r>
      <w:r w:rsidRPr="00347B80">
        <w:rPr>
          <w:b/>
          <w:color w:val="auto"/>
        </w:rPr>
        <w:t xml:space="preserve"> </w:t>
      </w:r>
      <w:r>
        <w:rPr>
          <w:color w:val="auto"/>
        </w:rPr>
        <w:t>repeal the following redundant provisions of the Principal Regulations:</w:t>
      </w:r>
    </w:p>
    <w:p w:rsidR="00AA4E4C" w:rsidRDefault="00AA4E4C" w:rsidP="00DE49F1">
      <w:pPr>
        <w:pStyle w:val="Default"/>
        <w:rPr>
          <w:color w:val="auto"/>
        </w:rPr>
      </w:pPr>
    </w:p>
    <w:p w:rsidR="00AA4E4C" w:rsidRDefault="00AA4E4C" w:rsidP="006B5109">
      <w:pPr>
        <w:pStyle w:val="Default"/>
        <w:numPr>
          <w:ilvl w:val="0"/>
          <w:numId w:val="9"/>
        </w:numPr>
        <w:rPr>
          <w:color w:val="auto"/>
        </w:rPr>
      </w:pPr>
      <w:r w:rsidRPr="004073EC">
        <w:rPr>
          <w:color w:val="auto"/>
        </w:rPr>
        <w:t xml:space="preserve">Division 3.2 </w:t>
      </w:r>
      <w:r>
        <w:rPr>
          <w:color w:val="auto"/>
        </w:rPr>
        <w:t xml:space="preserve">in relation to the </w:t>
      </w:r>
      <w:r w:rsidRPr="004073EC">
        <w:rPr>
          <w:color w:val="auto"/>
        </w:rPr>
        <w:t xml:space="preserve">Tuition </w:t>
      </w:r>
      <w:r>
        <w:rPr>
          <w:color w:val="auto"/>
        </w:rPr>
        <w:t>a</w:t>
      </w:r>
      <w:r w:rsidRPr="004073EC">
        <w:rPr>
          <w:color w:val="auto"/>
        </w:rPr>
        <w:t xml:space="preserve">ssurance </w:t>
      </w:r>
      <w:r>
        <w:rPr>
          <w:color w:val="auto"/>
        </w:rPr>
        <w:t>s</w:t>
      </w:r>
      <w:r w:rsidRPr="004073EC">
        <w:rPr>
          <w:color w:val="auto"/>
        </w:rPr>
        <w:t>cheme</w:t>
      </w:r>
      <w:r>
        <w:rPr>
          <w:color w:val="auto"/>
        </w:rPr>
        <w:t>;</w:t>
      </w:r>
    </w:p>
    <w:p w:rsidR="00AA4E4C" w:rsidRDefault="00AA4E4C" w:rsidP="006B5109">
      <w:pPr>
        <w:pStyle w:val="Default"/>
        <w:numPr>
          <w:ilvl w:val="0"/>
          <w:numId w:val="9"/>
        </w:numPr>
        <w:rPr>
          <w:color w:val="auto"/>
        </w:rPr>
      </w:pPr>
      <w:r>
        <w:rPr>
          <w:color w:val="auto"/>
        </w:rPr>
        <w:t xml:space="preserve">Division </w:t>
      </w:r>
      <w:r w:rsidRPr="004073EC">
        <w:rPr>
          <w:color w:val="auto"/>
        </w:rPr>
        <w:t xml:space="preserve">3.3 </w:t>
      </w:r>
      <w:r>
        <w:rPr>
          <w:color w:val="auto"/>
        </w:rPr>
        <w:t xml:space="preserve">in relation to the Annual Fund contributions; </w:t>
      </w:r>
    </w:p>
    <w:p w:rsidR="00AA4E4C" w:rsidRDefault="00AA4E4C" w:rsidP="006B5109">
      <w:pPr>
        <w:pStyle w:val="Default"/>
        <w:numPr>
          <w:ilvl w:val="0"/>
          <w:numId w:val="9"/>
        </w:numPr>
        <w:rPr>
          <w:color w:val="auto"/>
        </w:rPr>
      </w:pPr>
      <w:r>
        <w:rPr>
          <w:color w:val="auto"/>
        </w:rPr>
        <w:t>Division 3.4 in relation to Refunds of course money;</w:t>
      </w:r>
    </w:p>
    <w:p w:rsidR="00AA4E4C" w:rsidRDefault="00AA4E4C" w:rsidP="006B5109">
      <w:pPr>
        <w:pStyle w:val="Default"/>
        <w:numPr>
          <w:ilvl w:val="0"/>
          <w:numId w:val="9"/>
        </w:numPr>
        <w:rPr>
          <w:color w:val="auto"/>
        </w:rPr>
      </w:pPr>
      <w:r>
        <w:rPr>
          <w:color w:val="auto"/>
        </w:rPr>
        <w:t>Part</w:t>
      </w:r>
      <w:r w:rsidRPr="004073EC">
        <w:rPr>
          <w:color w:val="auto"/>
        </w:rPr>
        <w:t xml:space="preserve"> 5</w:t>
      </w:r>
      <w:r>
        <w:rPr>
          <w:color w:val="auto"/>
        </w:rPr>
        <w:t xml:space="preserve"> in relation to the ESOS Assurance Fund;</w:t>
      </w:r>
    </w:p>
    <w:p w:rsidR="00AA4E4C" w:rsidRDefault="00AA4E4C" w:rsidP="006B5109">
      <w:pPr>
        <w:pStyle w:val="Default"/>
        <w:numPr>
          <w:ilvl w:val="0"/>
          <w:numId w:val="9"/>
        </w:numPr>
        <w:rPr>
          <w:color w:val="auto"/>
        </w:rPr>
      </w:pPr>
      <w:r>
        <w:rPr>
          <w:color w:val="auto"/>
        </w:rPr>
        <w:t xml:space="preserve">Part </w:t>
      </w:r>
      <w:r w:rsidRPr="004073EC">
        <w:rPr>
          <w:color w:val="auto"/>
        </w:rPr>
        <w:t xml:space="preserve">8 </w:t>
      </w:r>
      <w:r>
        <w:rPr>
          <w:color w:val="auto"/>
        </w:rPr>
        <w:t>in relation to Miscellaneous matters;</w:t>
      </w:r>
    </w:p>
    <w:p w:rsidR="00AA4E4C" w:rsidRDefault="00AA4E4C" w:rsidP="006B5109">
      <w:pPr>
        <w:pStyle w:val="Default"/>
        <w:numPr>
          <w:ilvl w:val="0"/>
          <w:numId w:val="9"/>
        </w:numPr>
        <w:rPr>
          <w:color w:val="auto"/>
        </w:rPr>
      </w:pPr>
      <w:r>
        <w:rPr>
          <w:color w:val="auto"/>
        </w:rPr>
        <w:t xml:space="preserve">Part </w:t>
      </w:r>
      <w:r w:rsidRPr="004073EC">
        <w:rPr>
          <w:color w:val="auto"/>
        </w:rPr>
        <w:t xml:space="preserve">9 </w:t>
      </w:r>
      <w:r>
        <w:rPr>
          <w:color w:val="auto"/>
        </w:rPr>
        <w:t xml:space="preserve">in relation to Transitional matters; and </w:t>
      </w:r>
    </w:p>
    <w:p w:rsidR="00AA4E4C" w:rsidRDefault="00AA4E4C" w:rsidP="00851C59">
      <w:pPr>
        <w:pStyle w:val="Default"/>
        <w:numPr>
          <w:ilvl w:val="0"/>
          <w:numId w:val="9"/>
        </w:numPr>
        <w:rPr>
          <w:color w:val="auto"/>
        </w:rPr>
      </w:pPr>
      <w:r>
        <w:rPr>
          <w:color w:val="auto"/>
        </w:rPr>
        <w:t>Schedule 1 in relation to the Text of national code provisions for Part 4.</w:t>
      </w:r>
    </w:p>
    <w:p w:rsidR="00AA4E4C" w:rsidRPr="002B49D3" w:rsidRDefault="00AA4E4C" w:rsidP="002B49D3">
      <w:pPr>
        <w:ind w:right="91"/>
        <w:jc w:val="center"/>
        <w:rPr>
          <w:rFonts w:cs="Arial"/>
          <w:b/>
          <w:u w:val="single"/>
        </w:rPr>
      </w:pPr>
      <w:r>
        <w:rPr>
          <w:rFonts w:cs="Arial"/>
          <w:b/>
          <w:u w:val="single"/>
        </w:rPr>
        <w:br w:type="page"/>
      </w:r>
      <w:r w:rsidRPr="002B49D3">
        <w:rPr>
          <w:rFonts w:cs="Arial"/>
          <w:b/>
          <w:u w:val="single"/>
        </w:rPr>
        <w:lastRenderedPageBreak/>
        <w:t>Statement of Compatibility with Human Rights</w:t>
      </w:r>
    </w:p>
    <w:p w:rsidR="00AA4E4C" w:rsidRPr="002B49D3" w:rsidRDefault="00AA4E4C" w:rsidP="002B49D3">
      <w:pPr>
        <w:ind w:right="91"/>
      </w:pPr>
    </w:p>
    <w:p w:rsidR="00AA4E4C" w:rsidRPr="002B49D3" w:rsidRDefault="00AA4E4C" w:rsidP="002B49D3">
      <w:pPr>
        <w:ind w:right="91"/>
        <w:jc w:val="center"/>
        <w:rPr>
          <w:rFonts w:ascii="Calibri" w:hAnsi="Calibri" w:cs="Calibri"/>
          <w:i/>
        </w:rPr>
      </w:pPr>
      <w:r w:rsidRPr="002B49D3">
        <w:t xml:space="preserve">Prepared in accordance with Part 3 of the </w:t>
      </w:r>
      <w:r w:rsidRPr="002B49D3">
        <w:rPr>
          <w:i/>
        </w:rPr>
        <w:t>Human Rights (Parliamentary Scrutiny) Act 2011</w:t>
      </w:r>
      <w:r w:rsidRPr="002B49D3">
        <w:t>.</w:t>
      </w:r>
    </w:p>
    <w:p w:rsidR="00AA4E4C" w:rsidRPr="002B49D3" w:rsidRDefault="00AA4E4C" w:rsidP="002B49D3">
      <w:pPr>
        <w:jc w:val="center"/>
        <w:rPr>
          <w:rFonts w:ascii="Calibri" w:hAnsi="Calibri" w:cs="Calibri"/>
        </w:rPr>
      </w:pPr>
    </w:p>
    <w:p w:rsidR="00AA4E4C" w:rsidRPr="002B49D3" w:rsidRDefault="00AA4E4C" w:rsidP="002B49D3">
      <w:pPr>
        <w:ind w:right="91"/>
        <w:jc w:val="center"/>
        <w:rPr>
          <w:b/>
          <w:i/>
        </w:rPr>
      </w:pPr>
      <w:r w:rsidRPr="002B49D3">
        <w:rPr>
          <w:b/>
          <w:i/>
        </w:rPr>
        <w:t xml:space="preserve">Education Services for Overseas Students Amendment Regulation 2012 (No. </w:t>
      </w:r>
      <w:r w:rsidR="00F5088B">
        <w:rPr>
          <w:b/>
          <w:i/>
        </w:rPr>
        <w:t>1</w:t>
      </w:r>
      <w:r w:rsidRPr="002B49D3">
        <w:rPr>
          <w:b/>
          <w:i/>
        </w:rPr>
        <w:t>)</w:t>
      </w:r>
    </w:p>
    <w:p w:rsidR="00AA4E4C" w:rsidRPr="002B49D3" w:rsidRDefault="00AA4E4C" w:rsidP="002B49D3">
      <w:pPr>
        <w:jc w:val="center"/>
        <w:rPr>
          <w:rFonts w:ascii="Calibri" w:hAnsi="Calibri" w:cs="Calibri"/>
          <w:b/>
        </w:rPr>
      </w:pPr>
    </w:p>
    <w:p w:rsidR="00AA4E4C" w:rsidRPr="002B49D3" w:rsidRDefault="00AA4E4C" w:rsidP="002B49D3">
      <w:pPr>
        <w:jc w:val="center"/>
      </w:pPr>
      <w:r w:rsidRPr="002B49D3">
        <w:t xml:space="preserve">This Regulation is compatible with the human rights and freedoms recognised or declared in the international instruments listed in section 3 of the </w:t>
      </w:r>
      <w:r w:rsidRPr="002B49D3">
        <w:rPr>
          <w:i/>
        </w:rPr>
        <w:t>Human Rights (Parliamentary Scrutiny) Act 2011</w:t>
      </w:r>
      <w:r w:rsidRPr="002B49D3">
        <w:t>.</w:t>
      </w:r>
    </w:p>
    <w:p w:rsidR="00AA4E4C" w:rsidRPr="002B49D3" w:rsidRDefault="00AA4E4C" w:rsidP="002B49D3">
      <w:pPr>
        <w:jc w:val="center"/>
        <w:rPr>
          <w:rFonts w:ascii="Calibri" w:hAnsi="Calibri" w:cs="Calibri"/>
        </w:rPr>
      </w:pPr>
    </w:p>
    <w:p w:rsidR="00AA4E4C" w:rsidRPr="008B2A56" w:rsidRDefault="00AA4E4C" w:rsidP="002B49D3">
      <w:pPr>
        <w:rPr>
          <w:b/>
        </w:rPr>
      </w:pPr>
      <w:r w:rsidRPr="008B2A56">
        <w:rPr>
          <w:b/>
        </w:rPr>
        <w:t>Overview of the Regulation</w:t>
      </w:r>
    </w:p>
    <w:p w:rsidR="00AA4E4C" w:rsidRPr="008B2A56" w:rsidRDefault="00AA4E4C" w:rsidP="002B49D3">
      <w:pPr>
        <w:rPr>
          <w:b/>
        </w:rPr>
      </w:pPr>
    </w:p>
    <w:p w:rsidR="00AA4E4C" w:rsidRPr="008B2A56" w:rsidRDefault="00AA4E4C" w:rsidP="002B49D3">
      <w:r w:rsidRPr="008B2A56">
        <w:t xml:space="preserve">The Regulation is made under Section 177 of </w:t>
      </w:r>
      <w:r w:rsidRPr="008B2A56">
        <w:rPr>
          <w:i/>
        </w:rPr>
        <w:t xml:space="preserve">Education Services for Overseas Students Act 2000 </w:t>
      </w:r>
      <w:r w:rsidRPr="008B2A56">
        <w:t>(the ESOS Act), by the Governor-General on the advice of the Minister for Tertiary Education, Skills, Science and Research.</w:t>
      </w:r>
    </w:p>
    <w:p w:rsidR="00AA4E4C" w:rsidRPr="008B2A56" w:rsidRDefault="00AA4E4C" w:rsidP="002B49D3"/>
    <w:p w:rsidR="00AA4E4C" w:rsidRPr="002B49D3" w:rsidRDefault="00AA4E4C" w:rsidP="002B49D3">
      <w:pPr>
        <w:autoSpaceDE w:val="0"/>
        <w:autoSpaceDN w:val="0"/>
        <w:adjustRightInd w:val="0"/>
        <w:rPr>
          <w:color w:val="800000"/>
        </w:rPr>
      </w:pPr>
      <w:r>
        <w:t xml:space="preserve">Following on from the enactment of the Amendment Act, the purpose of the </w:t>
      </w:r>
      <w:r w:rsidRPr="004073EC">
        <w:rPr>
          <w:i/>
          <w:iCs/>
        </w:rPr>
        <w:t>Education Services for Oversea</w:t>
      </w:r>
      <w:r>
        <w:rPr>
          <w:i/>
          <w:iCs/>
        </w:rPr>
        <w:t>s Students Amendment Regulation 2012</w:t>
      </w:r>
      <w:r w:rsidR="00A87D1F">
        <w:rPr>
          <w:i/>
          <w:iCs/>
        </w:rPr>
        <w:t xml:space="preserve"> (No. 1)</w:t>
      </w:r>
      <w:r>
        <w:rPr>
          <w:iCs/>
        </w:rPr>
        <w:t xml:space="preserve"> (the Regulation) </w:t>
      </w:r>
      <w:r>
        <w:t xml:space="preserve">is to amend the </w:t>
      </w:r>
      <w:r w:rsidRPr="004073EC">
        <w:rPr>
          <w:i/>
          <w:iCs/>
        </w:rPr>
        <w:t>Education Services for Oversea</w:t>
      </w:r>
      <w:r>
        <w:rPr>
          <w:i/>
          <w:iCs/>
        </w:rPr>
        <w:t>s Students Regulations 2001</w:t>
      </w:r>
      <w:r>
        <w:rPr>
          <w:iCs/>
        </w:rPr>
        <w:t xml:space="preserve"> (the Principal Regulations) to implement the final stages of the legislative reforms introduced by the Amendment Act</w:t>
      </w:r>
      <w:r w:rsidRPr="002B49D3">
        <w:rPr>
          <w:color w:val="800000"/>
        </w:rPr>
        <w:t>.</w:t>
      </w:r>
    </w:p>
    <w:p w:rsidR="00AA4E4C" w:rsidRPr="002B49D3" w:rsidRDefault="00AA4E4C" w:rsidP="002B49D3">
      <w:pPr>
        <w:rPr>
          <w:color w:val="800000"/>
        </w:rPr>
      </w:pPr>
    </w:p>
    <w:p w:rsidR="00AA4E4C" w:rsidRPr="004073EC" w:rsidRDefault="00AA4E4C" w:rsidP="008B2A56">
      <w:pPr>
        <w:ind w:right="91"/>
      </w:pPr>
      <w:r w:rsidRPr="004073EC">
        <w:t xml:space="preserve">The </w:t>
      </w:r>
      <w:r>
        <w:t xml:space="preserve">Amendment Act </w:t>
      </w:r>
      <w:r w:rsidRPr="004073EC">
        <w:t>was enacted on 20 March 2012 in response to recommendations</w:t>
      </w:r>
      <w:r>
        <w:t xml:space="preserve"> made as a result of the </w:t>
      </w:r>
      <w:r w:rsidRPr="004073EC">
        <w:t xml:space="preserve">review of the Education Services for Overseas Students legislative framework, titled </w:t>
      </w:r>
      <w:r w:rsidRPr="004073EC">
        <w:rPr>
          <w:i/>
        </w:rPr>
        <w:t>Stronger, simpler, smarter ESOS: supporting international students</w:t>
      </w:r>
      <w:r>
        <w:rPr>
          <w:i/>
        </w:rPr>
        <w:t xml:space="preserve"> </w:t>
      </w:r>
      <w:r>
        <w:t xml:space="preserve">undertaken by the </w:t>
      </w:r>
      <w:r w:rsidRPr="004073EC">
        <w:t>Hon Bruce Baird AM</w:t>
      </w:r>
      <w:r>
        <w:t xml:space="preserve"> in 2010</w:t>
      </w:r>
      <w:r w:rsidRPr="004073EC">
        <w:t xml:space="preserve">.  The </w:t>
      </w:r>
      <w:r>
        <w:t>Amendment Act</w:t>
      </w:r>
      <w:r w:rsidRPr="004073EC">
        <w:t xml:space="preserve"> amends </w:t>
      </w:r>
      <w:r w:rsidRPr="004073EC">
        <w:rPr>
          <w:i/>
        </w:rPr>
        <w:t>the Education Services for Overseas Students Act 2000</w:t>
      </w:r>
      <w:r w:rsidRPr="004073EC">
        <w:t xml:space="preserve"> (the ESOS Act) to:</w:t>
      </w:r>
    </w:p>
    <w:p w:rsidR="00AA4E4C" w:rsidRPr="004073EC" w:rsidRDefault="00AA4E4C" w:rsidP="008B2A56"/>
    <w:p w:rsidR="00AA4E4C" w:rsidRPr="004073EC" w:rsidRDefault="00AA4E4C" w:rsidP="008B2A56">
      <w:pPr>
        <w:pStyle w:val="ListParagraph"/>
        <w:numPr>
          <w:ilvl w:val="0"/>
          <w:numId w:val="2"/>
        </w:numPr>
      </w:pPr>
      <w:r w:rsidRPr="004073EC">
        <w:t xml:space="preserve">establish a new tuition protection framework for international students studying in Australia on a student visa; </w:t>
      </w:r>
    </w:p>
    <w:p w:rsidR="00AA4E4C" w:rsidRPr="004073EC" w:rsidRDefault="00AA4E4C" w:rsidP="008B2A56">
      <w:pPr>
        <w:pStyle w:val="ListParagraph"/>
        <w:numPr>
          <w:ilvl w:val="0"/>
          <w:numId w:val="2"/>
        </w:numPr>
      </w:pPr>
      <w:r w:rsidRPr="004073EC">
        <w:t xml:space="preserve">introduce national registration for providers operating in multiple jurisdictions; and </w:t>
      </w:r>
    </w:p>
    <w:p w:rsidR="00AA4E4C" w:rsidRPr="004073EC" w:rsidRDefault="00AA4E4C" w:rsidP="008B2A56">
      <w:pPr>
        <w:pStyle w:val="ListParagraph"/>
        <w:numPr>
          <w:ilvl w:val="0"/>
          <w:numId w:val="2"/>
        </w:numPr>
      </w:pPr>
      <w:r w:rsidRPr="004073EC">
        <w:t>make technical amendments to strengthen tuition protection to ensure students receive the tuition they have paid for or, as a last resort, a refund.</w:t>
      </w:r>
    </w:p>
    <w:p w:rsidR="00AA4E4C" w:rsidRPr="002B49D3" w:rsidRDefault="00AA4E4C" w:rsidP="002B49D3">
      <w:pPr>
        <w:rPr>
          <w:color w:val="800000"/>
        </w:rPr>
      </w:pPr>
    </w:p>
    <w:p w:rsidR="00AA4E4C" w:rsidRPr="00182229" w:rsidRDefault="00AA4E4C" w:rsidP="002B49D3">
      <w:pPr>
        <w:rPr>
          <w:b/>
        </w:rPr>
      </w:pPr>
      <w:r w:rsidRPr="00182229">
        <w:rPr>
          <w:b/>
        </w:rPr>
        <w:t>Human rights implications</w:t>
      </w:r>
    </w:p>
    <w:p w:rsidR="00AA4E4C" w:rsidRPr="00182229" w:rsidRDefault="00AA4E4C" w:rsidP="002B49D3">
      <w:pPr>
        <w:rPr>
          <w:b/>
        </w:rPr>
      </w:pPr>
    </w:p>
    <w:p w:rsidR="00AA4E4C" w:rsidRPr="00182229" w:rsidRDefault="00AA4E4C" w:rsidP="002B49D3">
      <w:pPr>
        <w:rPr>
          <w:i/>
        </w:rPr>
      </w:pPr>
      <w:r w:rsidRPr="00182229">
        <w:rPr>
          <w:i/>
        </w:rPr>
        <w:t>Right to education</w:t>
      </w:r>
    </w:p>
    <w:p w:rsidR="00AA4E4C" w:rsidRPr="00182229" w:rsidRDefault="00AA4E4C" w:rsidP="002B49D3">
      <w:pPr>
        <w:rPr>
          <w:i/>
        </w:rPr>
      </w:pPr>
    </w:p>
    <w:p w:rsidR="00AA4E4C" w:rsidRPr="00182229" w:rsidRDefault="00AA4E4C" w:rsidP="002B49D3">
      <w:r w:rsidRPr="00182229">
        <w:t>The Instrument engages the right to education, contained in Article 13 of the International Covenant on Economic, Social, and Cultural Rights. In particular, this Instrument has an effect on the provision of education services to international students by bodies corporate registered on the CRICOS.</w:t>
      </w:r>
    </w:p>
    <w:p w:rsidR="00AA4E4C" w:rsidRPr="00182229" w:rsidRDefault="00AA4E4C" w:rsidP="002B49D3"/>
    <w:p w:rsidR="00AA4E4C" w:rsidRPr="00182229" w:rsidRDefault="00AA4E4C" w:rsidP="002B49D3">
      <w:r w:rsidRPr="00182229">
        <w:t>To the extent that the right to education is engaged, this right is promoted by the Regulation.</w:t>
      </w:r>
    </w:p>
    <w:p w:rsidR="00AA4E4C" w:rsidRPr="00182229" w:rsidRDefault="00AA4E4C" w:rsidP="002B49D3"/>
    <w:p w:rsidR="00AA4E4C" w:rsidRPr="00182229" w:rsidRDefault="00AA4E4C" w:rsidP="002B49D3">
      <w:pPr>
        <w:rPr>
          <w:b/>
        </w:rPr>
      </w:pPr>
      <w:r w:rsidRPr="00182229">
        <w:rPr>
          <w:b/>
        </w:rPr>
        <w:t>Conclusion</w:t>
      </w:r>
    </w:p>
    <w:p w:rsidR="00AA4E4C" w:rsidRPr="00182229" w:rsidRDefault="00AA4E4C" w:rsidP="002B49D3">
      <w:pPr>
        <w:rPr>
          <w:b/>
        </w:rPr>
      </w:pPr>
    </w:p>
    <w:p w:rsidR="00AA4E4C" w:rsidRPr="00182229" w:rsidRDefault="00AA4E4C" w:rsidP="00182229">
      <w:r w:rsidRPr="00182229">
        <w:t xml:space="preserve">This Instrument is compatible with human rights because it advances the protection of human rights. </w:t>
      </w:r>
    </w:p>
    <w:sectPr w:rsidR="00AA4E4C" w:rsidRPr="00182229" w:rsidSect="0028494E">
      <w:footerReference w:type="even" r:id="rId7"/>
      <w:footerReference w:type="default" r:id="rId8"/>
      <w:pgSz w:w="11906" w:h="16838"/>
      <w:pgMar w:top="1440" w:right="1134" w:bottom="1440"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4C" w:rsidRDefault="00AA4E4C">
      <w:r>
        <w:separator/>
      </w:r>
    </w:p>
  </w:endnote>
  <w:endnote w:type="continuationSeparator" w:id="0">
    <w:p w:rsidR="00AA4E4C" w:rsidRDefault="00AA4E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4C" w:rsidRDefault="000146BC" w:rsidP="00D50836">
    <w:pPr>
      <w:pStyle w:val="Footer"/>
      <w:framePr w:wrap="around" w:vAnchor="text" w:hAnchor="margin" w:xAlign="right" w:y="1"/>
      <w:rPr>
        <w:rStyle w:val="PageNumber"/>
      </w:rPr>
    </w:pPr>
    <w:r>
      <w:rPr>
        <w:rStyle w:val="PageNumber"/>
      </w:rPr>
      <w:fldChar w:fldCharType="begin"/>
    </w:r>
    <w:r w:rsidR="00AA4E4C">
      <w:rPr>
        <w:rStyle w:val="PageNumber"/>
      </w:rPr>
      <w:instrText xml:space="preserve">PAGE  </w:instrText>
    </w:r>
    <w:r>
      <w:rPr>
        <w:rStyle w:val="PageNumber"/>
      </w:rPr>
      <w:fldChar w:fldCharType="end"/>
    </w:r>
  </w:p>
  <w:p w:rsidR="00AA4E4C" w:rsidRDefault="00AA4E4C" w:rsidP="002849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E4C" w:rsidRDefault="000146BC" w:rsidP="00D50836">
    <w:pPr>
      <w:pStyle w:val="Footer"/>
      <w:framePr w:wrap="around" w:vAnchor="text" w:hAnchor="margin" w:xAlign="right" w:y="1"/>
      <w:rPr>
        <w:rStyle w:val="PageNumber"/>
      </w:rPr>
    </w:pPr>
    <w:r>
      <w:rPr>
        <w:rStyle w:val="PageNumber"/>
      </w:rPr>
      <w:fldChar w:fldCharType="begin"/>
    </w:r>
    <w:r w:rsidR="00AA4E4C">
      <w:rPr>
        <w:rStyle w:val="PageNumber"/>
      </w:rPr>
      <w:instrText xml:space="preserve">PAGE  </w:instrText>
    </w:r>
    <w:r>
      <w:rPr>
        <w:rStyle w:val="PageNumber"/>
      </w:rPr>
      <w:fldChar w:fldCharType="separate"/>
    </w:r>
    <w:r w:rsidR="00A87D1F">
      <w:rPr>
        <w:rStyle w:val="PageNumber"/>
        <w:noProof/>
      </w:rPr>
      <w:t>6</w:t>
    </w:r>
    <w:r>
      <w:rPr>
        <w:rStyle w:val="PageNumber"/>
      </w:rPr>
      <w:fldChar w:fldCharType="end"/>
    </w:r>
  </w:p>
  <w:p w:rsidR="00AA4E4C" w:rsidRDefault="00AA4E4C" w:rsidP="002849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4C" w:rsidRDefault="00AA4E4C">
      <w:r>
        <w:separator/>
      </w:r>
    </w:p>
  </w:footnote>
  <w:footnote w:type="continuationSeparator" w:id="0">
    <w:p w:rsidR="00AA4E4C" w:rsidRDefault="00AA4E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43B"/>
    <w:multiLevelType w:val="hybridMultilevel"/>
    <w:tmpl w:val="09AC8F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845A33"/>
    <w:multiLevelType w:val="hybridMultilevel"/>
    <w:tmpl w:val="510C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F43855"/>
    <w:multiLevelType w:val="hybridMultilevel"/>
    <w:tmpl w:val="978E9D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9244EF2"/>
    <w:multiLevelType w:val="hybridMultilevel"/>
    <w:tmpl w:val="A42CCB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30C637E"/>
    <w:multiLevelType w:val="hybridMultilevel"/>
    <w:tmpl w:val="410E3B3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nsid w:val="1CF46A67"/>
    <w:multiLevelType w:val="hybridMultilevel"/>
    <w:tmpl w:val="7F789AC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nsid w:val="6A58113F"/>
    <w:multiLevelType w:val="hybridMultilevel"/>
    <w:tmpl w:val="885E1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2E3BCC"/>
    <w:multiLevelType w:val="hybridMultilevel"/>
    <w:tmpl w:val="1F72C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8">
    <w:nsid w:val="72D06F53"/>
    <w:multiLevelType w:val="hybridMultilevel"/>
    <w:tmpl w:val="8B90B68E"/>
    <w:lvl w:ilvl="0" w:tplc="0CC08144">
      <w:start w:val="1"/>
      <w:numFmt w:val="decimal"/>
      <w:lvlText w:val="(%1)"/>
      <w:lvlJc w:val="left"/>
      <w:pPr>
        <w:ind w:left="360" w:hanging="360"/>
      </w:pPr>
      <w:rPr>
        <w:rFonts w:ascii="Times New Roman" w:eastAsia="Times New Roman" w:hAnsi="Times New Roman"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8"/>
  </w:num>
  <w:num w:numId="2">
    <w:abstractNumId w:val="6"/>
  </w:num>
  <w:num w:numId="3">
    <w:abstractNumId w:val="2"/>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3DF1"/>
    <w:rsid w:val="000004DD"/>
    <w:rsid w:val="000069B2"/>
    <w:rsid w:val="000069C4"/>
    <w:rsid w:val="000103CB"/>
    <w:rsid w:val="00010FFA"/>
    <w:rsid w:val="0001160A"/>
    <w:rsid w:val="00014524"/>
    <w:rsid w:val="000146BC"/>
    <w:rsid w:val="00014704"/>
    <w:rsid w:val="00015C94"/>
    <w:rsid w:val="00015D30"/>
    <w:rsid w:val="0002170A"/>
    <w:rsid w:val="0002308D"/>
    <w:rsid w:val="0002459E"/>
    <w:rsid w:val="00027C86"/>
    <w:rsid w:val="00032038"/>
    <w:rsid w:val="00032CB9"/>
    <w:rsid w:val="00033C8F"/>
    <w:rsid w:val="00036404"/>
    <w:rsid w:val="00042156"/>
    <w:rsid w:val="000442FA"/>
    <w:rsid w:val="00044F2E"/>
    <w:rsid w:val="00045249"/>
    <w:rsid w:val="00051130"/>
    <w:rsid w:val="0005378B"/>
    <w:rsid w:val="00061C00"/>
    <w:rsid w:val="00063941"/>
    <w:rsid w:val="0006476D"/>
    <w:rsid w:val="00065172"/>
    <w:rsid w:val="000712F3"/>
    <w:rsid w:val="00072A59"/>
    <w:rsid w:val="00074C21"/>
    <w:rsid w:val="00074EC2"/>
    <w:rsid w:val="00075DF6"/>
    <w:rsid w:val="000767AF"/>
    <w:rsid w:val="000775BD"/>
    <w:rsid w:val="00082AA4"/>
    <w:rsid w:val="00082B5C"/>
    <w:rsid w:val="00083AE5"/>
    <w:rsid w:val="00090DB3"/>
    <w:rsid w:val="000934CB"/>
    <w:rsid w:val="00093D56"/>
    <w:rsid w:val="00093E37"/>
    <w:rsid w:val="00094D41"/>
    <w:rsid w:val="000977AB"/>
    <w:rsid w:val="000A19B4"/>
    <w:rsid w:val="000A690F"/>
    <w:rsid w:val="000B0FB3"/>
    <w:rsid w:val="000B2857"/>
    <w:rsid w:val="000B2EA7"/>
    <w:rsid w:val="000B398E"/>
    <w:rsid w:val="000B5008"/>
    <w:rsid w:val="000C02DE"/>
    <w:rsid w:val="000D2925"/>
    <w:rsid w:val="000D492C"/>
    <w:rsid w:val="000E0ABC"/>
    <w:rsid w:val="000E1263"/>
    <w:rsid w:val="000E334A"/>
    <w:rsid w:val="000E5FCA"/>
    <w:rsid w:val="000F032B"/>
    <w:rsid w:val="000F2FC8"/>
    <w:rsid w:val="000F727D"/>
    <w:rsid w:val="00103224"/>
    <w:rsid w:val="00103AFD"/>
    <w:rsid w:val="00103F01"/>
    <w:rsid w:val="00105A59"/>
    <w:rsid w:val="00110545"/>
    <w:rsid w:val="0011072F"/>
    <w:rsid w:val="00115B18"/>
    <w:rsid w:val="0011701D"/>
    <w:rsid w:val="00122D7C"/>
    <w:rsid w:val="00125D84"/>
    <w:rsid w:val="001308E1"/>
    <w:rsid w:val="00134829"/>
    <w:rsid w:val="001349FF"/>
    <w:rsid w:val="001354C3"/>
    <w:rsid w:val="00140B78"/>
    <w:rsid w:val="00141943"/>
    <w:rsid w:val="00143924"/>
    <w:rsid w:val="00144FFF"/>
    <w:rsid w:val="0015597D"/>
    <w:rsid w:val="00155D78"/>
    <w:rsid w:val="00173335"/>
    <w:rsid w:val="00175337"/>
    <w:rsid w:val="001771F4"/>
    <w:rsid w:val="001775C7"/>
    <w:rsid w:val="00182229"/>
    <w:rsid w:val="001822E9"/>
    <w:rsid w:val="00183D67"/>
    <w:rsid w:val="0018507D"/>
    <w:rsid w:val="00190F2F"/>
    <w:rsid w:val="00193AE6"/>
    <w:rsid w:val="00194A5D"/>
    <w:rsid w:val="00196CFD"/>
    <w:rsid w:val="001A197A"/>
    <w:rsid w:val="001A1B7B"/>
    <w:rsid w:val="001A4118"/>
    <w:rsid w:val="001A438A"/>
    <w:rsid w:val="001A4492"/>
    <w:rsid w:val="001A5185"/>
    <w:rsid w:val="001B01C3"/>
    <w:rsid w:val="001B27E4"/>
    <w:rsid w:val="001B4165"/>
    <w:rsid w:val="001B4868"/>
    <w:rsid w:val="001B5436"/>
    <w:rsid w:val="001B7C53"/>
    <w:rsid w:val="001C024D"/>
    <w:rsid w:val="001C73FD"/>
    <w:rsid w:val="001C77C4"/>
    <w:rsid w:val="001D66A9"/>
    <w:rsid w:val="001E1038"/>
    <w:rsid w:val="001E6979"/>
    <w:rsid w:val="001E7E14"/>
    <w:rsid w:val="001F0132"/>
    <w:rsid w:val="001F0C99"/>
    <w:rsid w:val="001F22DE"/>
    <w:rsid w:val="001F5723"/>
    <w:rsid w:val="0020239E"/>
    <w:rsid w:val="0020405C"/>
    <w:rsid w:val="00205BC4"/>
    <w:rsid w:val="00210259"/>
    <w:rsid w:val="00210D23"/>
    <w:rsid w:val="00212DD6"/>
    <w:rsid w:val="00213D10"/>
    <w:rsid w:val="002140FA"/>
    <w:rsid w:val="00214638"/>
    <w:rsid w:val="00215DD9"/>
    <w:rsid w:val="002262E3"/>
    <w:rsid w:val="0023396B"/>
    <w:rsid w:val="0023536E"/>
    <w:rsid w:val="00241119"/>
    <w:rsid w:val="00243753"/>
    <w:rsid w:val="00243BB7"/>
    <w:rsid w:val="00245A6A"/>
    <w:rsid w:val="002469F0"/>
    <w:rsid w:val="00246D4C"/>
    <w:rsid w:val="00247657"/>
    <w:rsid w:val="00250827"/>
    <w:rsid w:val="00252C53"/>
    <w:rsid w:val="00255D4A"/>
    <w:rsid w:val="00264240"/>
    <w:rsid w:val="0026543B"/>
    <w:rsid w:val="0026586F"/>
    <w:rsid w:val="002658AD"/>
    <w:rsid w:val="002670C5"/>
    <w:rsid w:val="00276F2A"/>
    <w:rsid w:val="0028494E"/>
    <w:rsid w:val="002852DA"/>
    <w:rsid w:val="00286459"/>
    <w:rsid w:val="00290480"/>
    <w:rsid w:val="00290E39"/>
    <w:rsid w:val="00291FCF"/>
    <w:rsid w:val="00293152"/>
    <w:rsid w:val="00293C2F"/>
    <w:rsid w:val="00295973"/>
    <w:rsid w:val="00295A4C"/>
    <w:rsid w:val="00296F9F"/>
    <w:rsid w:val="002A3D7D"/>
    <w:rsid w:val="002A5754"/>
    <w:rsid w:val="002A7601"/>
    <w:rsid w:val="002B0742"/>
    <w:rsid w:val="002B43F7"/>
    <w:rsid w:val="002B49D3"/>
    <w:rsid w:val="002C4A28"/>
    <w:rsid w:val="002C4EFA"/>
    <w:rsid w:val="002C66BA"/>
    <w:rsid w:val="002C7724"/>
    <w:rsid w:val="002D4C0B"/>
    <w:rsid w:val="002D5D85"/>
    <w:rsid w:val="002D75BF"/>
    <w:rsid w:val="002E0105"/>
    <w:rsid w:val="002E3947"/>
    <w:rsid w:val="002F1E91"/>
    <w:rsid w:val="002F2837"/>
    <w:rsid w:val="003008BD"/>
    <w:rsid w:val="003023AF"/>
    <w:rsid w:val="00302522"/>
    <w:rsid w:val="003028E4"/>
    <w:rsid w:val="00303121"/>
    <w:rsid w:val="003051FF"/>
    <w:rsid w:val="0031026D"/>
    <w:rsid w:val="003108D5"/>
    <w:rsid w:val="00312A21"/>
    <w:rsid w:val="00312BF1"/>
    <w:rsid w:val="00316144"/>
    <w:rsid w:val="00316CEF"/>
    <w:rsid w:val="00317D5B"/>
    <w:rsid w:val="00320F1A"/>
    <w:rsid w:val="00321A59"/>
    <w:rsid w:val="00325933"/>
    <w:rsid w:val="00332E86"/>
    <w:rsid w:val="00340301"/>
    <w:rsid w:val="00347B80"/>
    <w:rsid w:val="00352FCA"/>
    <w:rsid w:val="00361860"/>
    <w:rsid w:val="003649A3"/>
    <w:rsid w:val="00366813"/>
    <w:rsid w:val="00373336"/>
    <w:rsid w:val="00373D6C"/>
    <w:rsid w:val="003755DF"/>
    <w:rsid w:val="003816B6"/>
    <w:rsid w:val="00382B44"/>
    <w:rsid w:val="00382F6E"/>
    <w:rsid w:val="00385201"/>
    <w:rsid w:val="00385D1C"/>
    <w:rsid w:val="00386994"/>
    <w:rsid w:val="00387B53"/>
    <w:rsid w:val="003925B9"/>
    <w:rsid w:val="003925E6"/>
    <w:rsid w:val="003A1A37"/>
    <w:rsid w:val="003A3991"/>
    <w:rsid w:val="003B35AF"/>
    <w:rsid w:val="003C4857"/>
    <w:rsid w:val="003C7C66"/>
    <w:rsid w:val="003E04DE"/>
    <w:rsid w:val="003E30B9"/>
    <w:rsid w:val="003E640D"/>
    <w:rsid w:val="003F1A05"/>
    <w:rsid w:val="003F5773"/>
    <w:rsid w:val="003F6A43"/>
    <w:rsid w:val="003F6DBB"/>
    <w:rsid w:val="003F7075"/>
    <w:rsid w:val="004033AA"/>
    <w:rsid w:val="004069DC"/>
    <w:rsid w:val="004073EC"/>
    <w:rsid w:val="004125CC"/>
    <w:rsid w:val="00415BBA"/>
    <w:rsid w:val="00417FE0"/>
    <w:rsid w:val="0042060F"/>
    <w:rsid w:val="004208BA"/>
    <w:rsid w:val="00420B0A"/>
    <w:rsid w:val="00422B59"/>
    <w:rsid w:val="00424819"/>
    <w:rsid w:val="0042606D"/>
    <w:rsid w:val="00427D77"/>
    <w:rsid w:val="00430C71"/>
    <w:rsid w:val="00440DE2"/>
    <w:rsid w:val="00441ED1"/>
    <w:rsid w:val="0044347D"/>
    <w:rsid w:val="00443AC4"/>
    <w:rsid w:val="004453FE"/>
    <w:rsid w:val="00460A9F"/>
    <w:rsid w:val="00461066"/>
    <w:rsid w:val="00461793"/>
    <w:rsid w:val="00462F6C"/>
    <w:rsid w:val="0046459D"/>
    <w:rsid w:val="0046782B"/>
    <w:rsid w:val="004731D3"/>
    <w:rsid w:val="00481955"/>
    <w:rsid w:val="00483D60"/>
    <w:rsid w:val="00490018"/>
    <w:rsid w:val="00491482"/>
    <w:rsid w:val="00491FDA"/>
    <w:rsid w:val="0049440F"/>
    <w:rsid w:val="0049516A"/>
    <w:rsid w:val="004A1AAB"/>
    <w:rsid w:val="004A3089"/>
    <w:rsid w:val="004B28E6"/>
    <w:rsid w:val="004B3F0D"/>
    <w:rsid w:val="004B4502"/>
    <w:rsid w:val="004C17B8"/>
    <w:rsid w:val="004C1C85"/>
    <w:rsid w:val="004C5152"/>
    <w:rsid w:val="004C796A"/>
    <w:rsid w:val="004D039B"/>
    <w:rsid w:val="004D14BF"/>
    <w:rsid w:val="004E4565"/>
    <w:rsid w:val="004E4DB8"/>
    <w:rsid w:val="004E6B34"/>
    <w:rsid w:val="004F3AC5"/>
    <w:rsid w:val="004F4704"/>
    <w:rsid w:val="004F5247"/>
    <w:rsid w:val="004F7469"/>
    <w:rsid w:val="004F746A"/>
    <w:rsid w:val="005022A4"/>
    <w:rsid w:val="00503414"/>
    <w:rsid w:val="00503690"/>
    <w:rsid w:val="00517658"/>
    <w:rsid w:val="0052219E"/>
    <w:rsid w:val="00530CB3"/>
    <w:rsid w:val="00534C78"/>
    <w:rsid w:val="005412B6"/>
    <w:rsid w:val="005454B4"/>
    <w:rsid w:val="00550F4A"/>
    <w:rsid w:val="00552A86"/>
    <w:rsid w:val="005535D8"/>
    <w:rsid w:val="005603E6"/>
    <w:rsid w:val="00565F44"/>
    <w:rsid w:val="00566270"/>
    <w:rsid w:val="005679F3"/>
    <w:rsid w:val="00567EC7"/>
    <w:rsid w:val="00571400"/>
    <w:rsid w:val="00572B03"/>
    <w:rsid w:val="005764D6"/>
    <w:rsid w:val="0057652A"/>
    <w:rsid w:val="0057745E"/>
    <w:rsid w:val="00580E9C"/>
    <w:rsid w:val="00581FF5"/>
    <w:rsid w:val="0058300A"/>
    <w:rsid w:val="0058475A"/>
    <w:rsid w:val="005859B5"/>
    <w:rsid w:val="00586CC7"/>
    <w:rsid w:val="005872BC"/>
    <w:rsid w:val="005915EC"/>
    <w:rsid w:val="00591C31"/>
    <w:rsid w:val="00592094"/>
    <w:rsid w:val="00594300"/>
    <w:rsid w:val="00595786"/>
    <w:rsid w:val="0059589D"/>
    <w:rsid w:val="005969DF"/>
    <w:rsid w:val="005A117C"/>
    <w:rsid w:val="005A3429"/>
    <w:rsid w:val="005A48AF"/>
    <w:rsid w:val="005A48ED"/>
    <w:rsid w:val="005B18C8"/>
    <w:rsid w:val="005B3AB9"/>
    <w:rsid w:val="005C3223"/>
    <w:rsid w:val="005C36F9"/>
    <w:rsid w:val="005C4D92"/>
    <w:rsid w:val="005C5DF7"/>
    <w:rsid w:val="005D2C22"/>
    <w:rsid w:val="005D54A8"/>
    <w:rsid w:val="005D6E74"/>
    <w:rsid w:val="005D7753"/>
    <w:rsid w:val="005E4C33"/>
    <w:rsid w:val="005E5397"/>
    <w:rsid w:val="005F296A"/>
    <w:rsid w:val="005F385F"/>
    <w:rsid w:val="005F4989"/>
    <w:rsid w:val="005F5617"/>
    <w:rsid w:val="005F65DC"/>
    <w:rsid w:val="005F7872"/>
    <w:rsid w:val="00600502"/>
    <w:rsid w:val="00600D76"/>
    <w:rsid w:val="006066CC"/>
    <w:rsid w:val="00607AC8"/>
    <w:rsid w:val="00612C19"/>
    <w:rsid w:val="00614C4D"/>
    <w:rsid w:val="006176B9"/>
    <w:rsid w:val="006179BB"/>
    <w:rsid w:val="00623554"/>
    <w:rsid w:val="00627387"/>
    <w:rsid w:val="006304AE"/>
    <w:rsid w:val="00630751"/>
    <w:rsid w:val="00632308"/>
    <w:rsid w:val="0063402C"/>
    <w:rsid w:val="00640A9B"/>
    <w:rsid w:val="00641784"/>
    <w:rsid w:val="00657E91"/>
    <w:rsid w:val="00660006"/>
    <w:rsid w:val="00663DE9"/>
    <w:rsid w:val="00670E96"/>
    <w:rsid w:val="006732DA"/>
    <w:rsid w:val="00674DDF"/>
    <w:rsid w:val="006767CD"/>
    <w:rsid w:val="00676E45"/>
    <w:rsid w:val="00677698"/>
    <w:rsid w:val="00680D77"/>
    <w:rsid w:val="00681498"/>
    <w:rsid w:val="006828AE"/>
    <w:rsid w:val="00690BC5"/>
    <w:rsid w:val="00691D36"/>
    <w:rsid w:val="006B2897"/>
    <w:rsid w:val="006B5109"/>
    <w:rsid w:val="006C0F90"/>
    <w:rsid w:val="006C1572"/>
    <w:rsid w:val="006C2BB1"/>
    <w:rsid w:val="006C3E9B"/>
    <w:rsid w:val="006D059A"/>
    <w:rsid w:val="006D0923"/>
    <w:rsid w:val="006D0C4E"/>
    <w:rsid w:val="006E0921"/>
    <w:rsid w:val="006E1902"/>
    <w:rsid w:val="006E32F3"/>
    <w:rsid w:val="006E42D0"/>
    <w:rsid w:val="006E69AD"/>
    <w:rsid w:val="006E6C03"/>
    <w:rsid w:val="006F3CC3"/>
    <w:rsid w:val="006F647D"/>
    <w:rsid w:val="00701DC4"/>
    <w:rsid w:val="0070568D"/>
    <w:rsid w:val="0070743F"/>
    <w:rsid w:val="00712F87"/>
    <w:rsid w:val="0071460C"/>
    <w:rsid w:val="00715CFA"/>
    <w:rsid w:val="00720FFE"/>
    <w:rsid w:val="0072584C"/>
    <w:rsid w:val="00725DDE"/>
    <w:rsid w:val="00726226"/>
    <w:rsid w:val="00731EDA"/>
    <w:rsid w:val="007323F3"/>
    <w:rsid w:val="00734425"/>
    <w:rsid w:val="00742681"/>
    <w:rsid w:val="007441C3"/>
    <w:rsid w:val="007448CC"/>
    <w:rsid w:val="00745885"/>
    <w:rsid w:val="00751EC6"/>
    <w:rsid w:val="00760CCD"/>
    <w:rsid w:val="007617B0"/>
    <w:rsid w:val="00761A2E"/>
    <w:rsid w:val="007626B1"/>
    <w:rsid w:val="007667FE"/>
    <w:rsid w:val="00771633"/>
    <w:rsid w:val="007732F4"/>
    <w:rsid w:val="0077370B"/>
    <w:rsid w:val="00774375"/>
    <w:rsid w:val="007746AC"/>
    <w:rsid w:val="00774996"/>
    <w:rsid w:val="0077742E"/>
    <w:rsid w:val="00777FBD"/>
    <w:rsid w:val="007837E9"/>
    <w:rsid w:val="007865F2"/>
    <w:rsid w:val="00786919"/>
    <w:rsid w:val="00790CD3"/>
    <w:rsid w:val="007920D2"/>
    <w:rsid w:val="00793BEE"/>
    <w:rsid w:val="007A0682"/>
    <w:rsid w:val="007A1BD9"/>
    <w:rsid w:val="007B34B9"/>
    <w:rsid w:val="007B37D1"/>
    <w:rsid w:val="007C16AB"/>
    <w:rsid w:val="007C3F94"/>
    <w:rsid w:val="007C4D7E"/>
    <w:rsid w:val="007C7B3C"/>
    <w:rsid w:val="007D0F32"/>
    <w:rsid w:val="007D230E"/>
    <w:rsid w:val="007D66B7"/>
    <w:rsid w:val="007D6FD0"/>
    <w:rsid w:val="007E4BB2"/>
    <w:rsid w:val="007E57F9"/>
    <w:rsid w:val="007F02FC"/>
    <w:rsid w:val="007F05C0"/>
    <w:rsid w:val="007F2193"/>
    <w:rsid w:val="007F24E3"/>
    <w:rsid w:val="007F2996"/>
    <w:rsid w:val="007F4C12"/>
    <w:rsid w:val="0080122C"/>
    <w:rsid w:val="008032D1"/>
    <w:rsid w:val="00806B0F"/>
    <w:rsid w:val="00806D4A"/>
    <w:rsid w:val="0081051B"/>
    <w:rsid w:val="00811936"/>
    <w:rsid w:val="008119D5"/>
    <w:rsid w:val="00816DD5"/>
    <w:rsid w:val="00817998"/>
    <w:rsid w:val="00820F20"/>
    <w:rsid w:val="008260E3"/>
    <w:rsid w:val="0082728C"/>
    <w:rsid w:val="0083373E"/>
    <w:rsid w:val="0083515E"/>
    <w:rsid w:val="00844A85"/>
    <w:rsid w:val="00851C59"/>
    <w:rsid w:val="0085292F"/>
    <w:rsid w:val="008571AD"/>
    <w:rsid w:val="00857E12"/>
    <w:rsid w:val="0086058F"/>
    <w:rsid w:val="008619ED"/>
    <w:rsid w:val="00864C60"/>
    <w:rsid w:val="00872CB9"/>
    <w:rsid w:val="008749D7"/>
    <w:rsid w:val="00875B7D"/>
    <w:rsid w:val="00876554"/>
    <w:rsid w:val="00880C92"/>
    <w:rsid w:val="00881D98"/>
    <w:rsid w:val="00882023"/>
    <w:rsid w:val="008836EE"/>
    <w:rsid w:val="00883843"/>
    <w:rsid w:val="00885CDC"/>
    <w:rsid w:val="00887866"/>
    <w:rsid w:val="00890D56"/>
    <w:rsid w:val="00891086"/>
    <w:rsid w:val="008919CF"/>
    <w:rsid w:val="00891C63"/>
    <w:rsid w:val="00895236"/>
    <w:rsid w:val="00895AD0"/>
    <w:rsid w:val="00895FCB"/>
    <w:rsid w:val="008A0FB3"/>
    <w:rsid w:val="008A21E7"/>
    <w:rsid w:val="008A6E90"/>
    <w:rsid w:val="008A7BCF"/>
    <w:rsid w:val="008B098D"/>
    <w:rsid w:val="008B2A56"/>
    <w:rsid w:val="008B4456"/>
    <w:rsid w:val="008B5323"/>
    <w:rsid w:val="008B6E17"/>
    <w:rsid w:val="008B7CBC"/>
    <w:rsid w:val="008C193C"/>
    <w:rsid w:val="008C1D43"/>
    <w:rsid w:val="008C598B"/>
    <w:rsid w:val="008D0107"/>
    <w:rsid w:val="008D5548"/>
    <w:rsid w:val="008D6941"/>
    <w:rsid w:val="008E44CE"/>
    <w:rsid w:val="008F1FFD"/>
    <w:rsid w:val="008F62BC"/>
    <w:rsid w:val="00901F93"/>
    <w:rsid w:val="00904A4B"/>
    <w:rsid w:val="009110BC"/>
    <w:rsid w:val="00911229"/>
    <w:rsid w:val="009159F1"/>
    <w:rsid w:val="0091603C"/>
    <w:rsid w:val="00916C07"/>
    <w:rsid w:val="00916CCA"/>
    <w:rsid w:val="00917800"/>
    <w:rsid w:val="00921253"/>
    <w:rsid w:val="0092364B"/>
    <w:rsid w:val="0092436E"/>
    <w:rsid w:val="009311C4"/>
    <w:rsid w:val="00931762"/>
    <w:rsid w:val="00942321"/>
    <w:rsid w:val="00942BE7"/>
    <w:rsid w:val="009450D8"/>
    <w:rsid w:val="0094660E"/>
    <w:rsid w:val="00946D7B"/>
    <w:rsid w:val="00957B3F"/>
    <w:rsid w:val="00964587"/>
    <w:rsid w:val="009724E3"/>
    <w:rsid w:val="00983B70"/>
    <w:rsid w:val="00994B9F"/>
    <w:rsid w:val="009A473D"/>
    <w:rsid w:val="009A4DE7"/>
    <w:rsid w:val="009A52AB"/>
    <w:rsid w:val="009A6BD2"/>
    <w:rsid w:val="009A7D68"/>
    <w:rsid w:val="009B42F0"/>
    <w:rsid w:val="009B7933"/>
    <w:rsid w:val="009C4CC2"/>
    <w:rsid w:val="009D0C01"/>
    <w:rsid w:val="009D62F4"/>
    <w:rsid w:val="009D7A1F"/>
    <w:rsid w:val="009E075E"/>
    <w:rsid w:val="009E4859"/>
    <w:rsid w:val="009E7CD1"/>
    <w:rsid w:val="009F4D7A"/>
    <w:rsid w:val="009F6B8E"/>
    <w:rsid w:val="00A0112B"/>
    <w:rsid w:val="00A04087"/>
    <w:rsid w:val="00A0518B"/>
    <w:rsid w:val="00A079AC"/>
    <w:rsid w:val="00A1332D"/>
    <w:rsid w:val="00A16D60"/>
    <w:rsid w:val="00A17D58"/>
    <w:rsid w:val="00A20F32"/>
    <w:rsid w:val="00A22272"/>
    <w:rsid w:val="00A245FE"/>
    <w:rsid w:val="00A3619B"/>
    <w:rsid w:val="00A46D16"/>
    <w:rsid w:val="00A46E9B"/>
    <w:rsid w:val="00A51C05"/>
    <w:rsid w:val="00A52BCD"/>
    <w:rsid w:val="00A56E5B"/>
    <w:rsid w:val="00A61E2F"/>
    <w:rsid w:val="00A61FE3"/>
    <w:rsid w:val="00A62380"/>
    <w:rsid w:val="00A630D9"/>
    <w:rsid w:val="00A668B3"/>
    <w:rsid w:val="00A70381"/>
    <w:rsid w:val="00A706F7"/>
    <w:rsid w:val="00A72078"/>
    <w:rsid w:val="00A733BE"/>
    <w:rsid w:val="00A76CFF"/>
    <w:rsid w:val="00A7726D"/>
    <w:rsid w:val="00A87A21"/>
    <w:rsid w:val="00A87D1F"/>
    <w:rsid w:val="00A904A6"/>
    <w:rsid w:val="00A90B6A"/>
    <w:rsid w:val="00A90F04"/>
    <w:rsid w:val="00A96C03"/>
    <w:rsid w:val="00AA2603"/>
    <w:rsid w:val="00AA4E4C"/>
    <w:rsid w:val="00AA5DAC"/>
    <w:rsid w:val="00AA789A"/>
    <w:rsid w:val="00AB2FDD"/>
    <w:rsid w:val="00AB54BA"/>
    <w:rsid w:val="00AB7DBF"/>
    <w:rsid w:val="00AC1D60"/>
    <w:rsid w:val="00AC4127"/>
    <w:rsid w:val="00AC5A89"/>
    <w:rsid w:val="00AC6A14"/>
    <w:rsid w:val="00AD5DF6"/>
    <w:rsid w:val="00AD74BF"/>
    <w:rsid w:val="00AD7EF2"/>
    <w:rsid w:val="00AE289E"/>
    <w:rsid w:val="00AE413A"/>
    <w:rsid w:val="00AE4863"/>
    <w:rsid w:val="00AE4C03"/>
    <w:rsid w:val="00AF184B"/>
    <w:rsid w:val="00AF1CEE"/>
    <w:rsid w:val="00AF49E1"/>
    <w:rsid w:val="00AF7A69"/>
    <w:rsid w:val="00B03435"/>
    <w:rsid w:val="00B03F57"/>
    <w:rsid w:val="00B04800"/>
    <w:rsid w:val="00B06BC3"/>
    <w:rsid w:val="00B1392D"/>
    <w:rsid w:val="00B141C2"/>
    <w:rsid w:val="00B2148B"/>
    <w:rsid w:val="00B21A41"/>
    <w:rsid w:val="00B23516"/>
    <w:rsid w:val="00B23A03"/>
    <w:rsid w:val="00B24340"/>
    <w:rsid w:val="00B247CC"/>
    <w:rsid w:val="00B2788F"/>
    <w:rsid w:val="00B32E33"/>
    <w:rsid w:val="00B37FEA"/>
    <w:rsid w:val="00B40C6B"/>
    <w:rsid w:val="00B4183D"/>
    <w:rsid w:val="00B47F43"/>
    <w:rsid w:val="00B50449"/>
    <w:rsid w:val="00B514FB"/>
    <w:rsid w:val="00B542EF"/>
    <w:rsid w:val="00B545C6"/>
    <w:rsid w:val="00B65CA1"/>
    <w:rsid w:val="00B704DC"/>
    <w:rsid w:val="00B72461"/>
    <w:rsid w:val="00B76F5C"/>
    <w:rsid w:val="00B77656"/>
    <w:rsid w:val="00B77D30"/>
    <w:rsid w:val="00B967BC"/>
    <w:rsid w:val="00BA05A8"/>
    <w:rsid w:val="00BA4136"/>
    <w:rsid w:val="00BA51CE"/>
    <w:rsid w:val="00BB1347"/>
    <w:rsid w:val="00BB3F17"/>
    <w:rsid w:val="00BB678A"/>
    <w:rsid w:val="00BB71F4"/>
    <w:rsid w:val="00BC2B37"/>
    <w:rsid w:val="00BC30D8"/>
    <w:rsid w:val="00BC490C"/>
    <w:rsid w:val="00BC7E42"/>
    <w:rsid w:val="00BD06F0"/>
    <w:rsid w:val="00BD5C3A"/>
    <w:rsid w:val="00BD7003"/>
    <w:rsid w:val="00BD7A44"/>
    <w:rsid w:val="00BE22C6"/>
    <w:rsid w:val="00BE4981"/>
    <w:rsid w:val="00BE7191"/>
    <w:rsid w:val="00BF280D"/>
    <w:rsid w:val="00BF2B66"/>
    <w:rsid w:val="00BF4210"/>
    <w:rsid w:val="00BF49FC"/>
    <w:rsid w:val="00BF4E52"/>
    <w:rsid w:val="00BF6434"/>
    <w:rsid w:val="00BF7EA7"/>
    <w:rsid w:val="00C01B85"/>
    <w:rsid w:val="00C063CA"/>
    <w:rsid w:val="00C07742"/>
    <w:rsid w:val="00C111F3"/>
    <w:rsid w:val="00C12ACB"/>
    <w:rsid w:val="00C16773"/>
    <w:rsid w:val="00C23410"/>
    <w:rsid w:val="00C23DF1"/>
    <w:rsid w:val="00C304E8"/>
    <w:rsid w:val="00C355AB"/>
    <w:rsid w:val="00C43386"/>
    <w:rsid w:val="00C464AA"/>
    <w:rsid w:val="00C467D0"/>
    <w:rsid w:val="00C5263A"/>
    <w:rsid w:val="00C546AA"/>
    <w:rsid w:val="00C547E0"/>
    <w:rsid w:val="00C55E1B"/>
    <w:rsid w:val="00C57FFA"/>
    <w:rsid w:val="00C603DE"/>
    <w:rsid w:val="00C62A62"/>
    <w:rsid w:val="00C6581E"/>
    <w:rsid w:val="00C66654"/>
    <w:rsid w:val="00C67534"/>
    <w:rsid w:val="00C70983"/>
    <w:rsid w:val="00C74E43"/>
    <w:rsid w:val="00C751AB"/>
    <w:rsid w:val="00C80AA2"/>
    <w:rsid w:val="00C83EEF"/>
    <w:rsid w:val="00C84089"/>
    <w:rsid w:val="00C8683C"/>
    <w:rsid w:val="00C870AB"/>
    <w:rsid w:val="00C92E52"/>
    <w:rsid w:val="00C97F23"/>
    <w:rsid w:val="00CA1785"/>
    <w:rsid w:val="00CA1BBD"/>
    <w:rsid w:val="00CB0E88"/>
    <w:rsid w:val="00CB1AEC"/>
    <w:rsid w:val="00CB32B4"/>
    <w:rsid w:val="00CB3561"/>
    <w:rsid w:val="00CB531F"/>
    <w:rsid w:val="00CC0A07"/>
    <w:rsid w:val="00CC15A4"/>
    <w:rsid w:val="00CC2CCA"/>
    <w:rsid w:val="00CC369E"/>
    <w:rsid w:val="00CD24DC"/>
    <w:rsid w:val="00CD255C"/>
    <w:rsid w:val="00CD2B14"/>
    <w:rsid w:val="00CD3B3A"/>
    <w:rsid w:val="00CD5BBC"/>
    <w:rsid w:val="00CD6A8A"/>
    <w:rsid w:val="00CD7793"/>
    <w:rsid w:val="00CE266E"/>
    <w:rsid w:val="00CE51EB"/>
    <w:rsid w:val="00CE5897"/>
    <w:rsid w:val="00CE58A1"/>
    <w:rsid w:val="00CE72E6"/>
    <w:rsid w:val="00CF5CEC"/>
    <w:rsid w:val="00CF7250"/>
    <w:rsid w:val="00D0095C"/>
    <w:rsid w:val="00D0145F"/>
    <w:rsid w:val="00D02A51"/>
    <w:rsid w:val="00D046B4"/>
    <w:rsid w:val="00D053BD"/>
    <w:rsid w:val="00D05A31"/>
    <w:rsid w:val="00D07B54"/>
    <w:rsid w:val="00D15A4B"/>
    <w:rsid w:val="00D2284D"/>
    <w:rsid w:val="00D254F2"/>
    <w:rsid w:val="00D30A99"/>
    <w:rsid w:val="00D36564"/>
    <w:rsid w:val="00D45DD4"/>
    <w:rsid w:val="00D46D7C"/>
    <w:rsid w:val="00D50836"/>
    <w:rsid w:val="00D51539"/>
    <w:rsid w:val="00D53583"/>
    <w:rsid w:val="00D60E4F"/>
    <w:rsid w:val="00D613BB"/>
    <w:rsid w:val="00D61C71"/>
    <w:rsid w:val="00D62C7A"/>
    <w:rsid w:val="00D640C9"/>
    <w:rsid w:val="00D65AE2"/>
    <w:rsid w:val="00D668AF"/>
    <w:rsid w:val="00D74F1A"/>
    <w:rsid w:val="00D77A06"/>
    <w:rsid w:val="00D83A3B"/>
    <w:rsid w:val="00D92937"/>
    <w:rsid w:val="00D933B7"/>
    <w:rsid w:val="00D94755"/>
    <w:rsid w:val="00D94EC9"/>
    <w:rsid w:val="00DA0A4B"/>
    <w:rsid w:val="00DA11C6"/>
    <w:rsid w:val="00DA1A7C"/>
    <w:rsid w:val="00DA2730"/>
    <w:rsid w:val="00DA6DFA"/>
    <w:rsid w:val="00DB17D1"/>
    <w:rsid w:val="00DB2919"/>
    <w:rsid w:val="00DB3CF9"/>
    <w:rsid w:val="00DB4F5C"/>
    <w:rsid w:val="00DC3EB3"/>
    <w:rsid w:val="00DD01C3"/>
    <w:rsid w:val="00DD1173"/>
    <w:rsid w:val="00DD171C"/>
    <w:rsid w:val="00DD17C4"/>
    <w:rsid w:val="00DE0228"/>
    <w:rsid w:val="00DE1997"/>
    <w:rsid w:val="00DE422B"/>
    <w:rsid w:val="00DE49F1"/>
    <w:rsid w:val="00DE7448"/>
    <w:rsid w:val="00DF0951"/>
    <w:rsid w:val="00E00411"/>
    <w:rsid w:val="00E00EE4"/>
    <w:rsid w:val="00E0264C"/>
    <w:rsid w:val="00E02C45"/>
    <w:rsid w:val="00E055C5"/>
    <w:rsid w:val="00E05C8D"/>
    <w:rsid w:val="00E06134"/>
    <w:rsid w:val="00E07128"/>
    <w:rsid w:val="00E0777E"/>
    <w:rsid w:val="00E07885"/>
    <w:rsid w:val="00E127F6"/>
    <w:rsid w:val="00E1411D"/>
    <w:rsid w:val="00E1770B"/>
    <w:rsid w:val="00E23ABE"/>
    <w:rsid w:val="00E24C96"/>
    <w:rsid w:val="00E32A95"/>
    <w:rsid w:val="00E32F6B"/>
    <w:rsid w:val="00E348EF"/>
    <w:rsid w:val="00E35EFE"/>
    <w:rsid w:val="00E37722"/>
    <w:rsid w:val="00E41FA1"/>
    <w:rsid w:val="00E420DB"/>
    <w:rsid w:val="00E4315C"/>
    <w:rsid w:val="00E43553"/>
    <w:rsid w:val="00E444BB"/>
    <w:rsid w:val="00E47539"/>
    <w:rsid w:val="00E537A9"/>
    <w:rsid w:val="00E53EA3"/>
    <w:rsid w:val="00E57D19"/>
    <w:rsid w:val="00E60D35"/>
    <w:rsid w:val="00E66BF5"/>
    <w:rsid w:val="00E71838"/>
    <w:rsid w:val="00E808A0"/>
    <w:rsid w:val="00E82975"/>
    <w:rsid w:val="00E837EA"/>
    <w:rsid w:val="00E92DE7"/>
    <w:rsid w:val="00E96054"/>
    <w:rsid w:val="00EA4B44"/>
    <w:rsid w:val="00EA533B"/>
    <w:rsid w:val="00EB10F3"/>
    <w:rsid w:val="00EB55B6"/>
    <w:rsid w:val="00ED179C"/>
    <w:rsid w:val="00ED2F94"/>
    <w:rsid w:val="00ED73C8"/>
    <w:rsid w:val="00EE0121"/>
    <w:rsid w:val="00EE4AB9"/>
    <w:rsid w:val="00EF2E6D"/>
    <w:rsid w:val="00EF660E"/>
    <w:rsid w:val="00F07EF3"/>
    <w:rsid w:val="00F10075"/>
    <w:rsid w:val="00F1415F"/>
    <w:rsid w:val="00F215EF"/>
    <w:rsid w:val="00F23B82"/>
    <w:rsid w:val="00F272E0"/>
    <w:rsid w:val="00F32747"/>
    <w:rsid w:val="00F32853"/>
    <w:rsid w:val="00F34759"/>
    <w:rsid w:val="00F4036E"/>
    <w:rsid w:val="00F445C5"/>
    <w:rsid w:val="00F5088B"/>
    <w:rsid w:val="00F50B04"/>
    <w:rsid w:val="00F53CF0"/>
    <w:rsid w:val="00F5527B"/>
    <w:rsid w:val="00F626DE"/>
    <w:rsid w:val="00F63499"/>
    <w:rsid w:val="00F65F32"/>
    <w:rsid w:val="00F703E3"/>
    <w:rsid w:val="00F70487"/>
    <w:rsid w:val="00F71963"/>
    <w:rsid w:val="00F71FEE"/>
    <w:rsid w:val="00F7287C"/>
    <w:rsid w:val="00F76B20"/>
    <w:rsid w:val="00F815A8"/>
    <w:rsid w:val="00F821C6"/>
    <w:rsid w:val="00F8304C"/>
    <w:rsid w:val="00F84A6F"/>
    <w:rsid w:val="00F84EBC"/>
    <w:rsid w:val="00F90048"/>
    <w:rsid w:val="00F94FAC"/>
    <w:rsid w:val="00F95BE0"/>
    <w:rsid w:val="00FA23F9"/>
    <w:rsid w:val="00FA29D7"/>
    <w:rsid w:val="00FA31E8"/>
    <w:rsid w:val="00FA3858"/>
    <w:rsid w:val="00FA5150"/>
    <w:rsid w:val="00FA7810"/>
    <w:rsid w:val="00FB05E2"/>
    <w:rsid w:val="00FB3F0E"/>
    <w:rsid w:val="00FC7545"/>
    <w:rsid w:val="00FD018A"/>
    <w:rsid w:val="00FE0B8C"/>
    <w:rsid w:val="00FE0E26"/>
    <w:rsid w:val="00FE124B"/>
    <w:rsid w:val="00FE6D7C"/>
    <w:rsid w:val="00FF2BCF"/>
    <w:rsid w:val="00FF3A68"/>
    <w:rsid w:val="00FF3B0C"/>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C23DF1"/>
    <w:pPr>
      <w:autoSpaceDE w:val="0"/>
      <w:autoSpaceDN w:val="0"/>
      <w:adjustRightInd w:val="0"/>
      <w:spacing w:after="0" w:line="240" w:lineRule="auto"/>
    </w:pPr>
    <w:rPr>
      <w:color w:val="000000"/>
      <w:sz w:val="24"/>
      <w:szCs w:val="24"/>
    </w:rPr>
  </w:style>
  <w:style w:type="character" w:customStyle="1" w:styleId="EmailStyle181">
    <w:name w:val="EmailStyle18"/>
    <w:aliases w:val="EmailStyle18"/>
    <w:basedOn w:val="DefaultParagraphFont"/>
    <w:uiPriority w:val="99"/>
    <w:personal/>
    <w:rsid w:val="00303121"/>
    <w:rPr>
      <w:rFonts w:ascii="Arial" w:hAnsi="Arial" w:cs="Arial"/>
      <w:color w:val="000000"/>
      <w:sz w:val="20"/>
      <w:szCs w:val="20"/>
    </w:rPr>
  </w:style>
  <w:style w:type="paragraph" w:styleId="ListParagraph">
    <w:name w:val="List Paragraph"/>
    <w:basedOn w:val="Normal"/>
    <w:uiPriority w:val="99"/>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s>
</file>

<file path=word/webSettings.xml><?xml version="1.0" encoding="utf-8"?>
<w:webSettings xmlns:r="http://schemas.openxmlformats.org/officeDocument/2006/relationships" xmlns:w="http://schemas.openxmlformats.org/wordprocessingml/2006/main">
  <w:divs>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12346</Characters>
  <Application>Microsoft Office Word</Application>
  <DocSecurity>0</DocSecurity>
  <Lines>102</Lines>
  <Paragraphs>29</Paragraphs>
  <ScaleCrop>false</ScaleCrop>
  <Company>Australian Government</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Zoe Nadimi</dc:creator>
  <cp:keywords/>
  <dc:description/>
  <cp:lastModifiedBy>hilhma</cp:lastModifiedBy>
  <cp:revision>3</cp:revision>
  <cp:lastPrinted>2012-06-13T03:09:00Z</cp:lastPrinted>
  <dcterms:created xsi:type="dcterms:W3CDTF">2012-06-26T05:15:00Z</dcterms:created>
  <dcterms:modified xsi:type="dcterms:W3CDTF">2012-06-29T02:05:00Z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