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1D" w:rsidRPr="00360C99" w:rsidRDefault="00F6001D" w:rsidP="0022340F">
      <w:pPr>
        <w:pStyle w:val="Title"/>
        <w:rPr>
          <w:szCs w:val="24"/>
        </w:rPr>
      </w:pPr>
      <w:bookmarkStart w:id="0" w:name="_GoBack"/>
      <w:bookmarkEnd w:id="0"/>
      <w:r w:rsidRPr="00360C99">
        <w:rPr>
          <w:szCs w:val="24"/>
        </w:rPr>
        <w:t xml:space="preserve">EXPLANATORY </w:t>
      </w:r>
      <w:r w:rsidR="00842F6E" w:rsidRPr="00360C99">
        <w:rPr>
          <w:szCs w:val="24"/>
        </w:rPr>
        <w:t>STATEMENT</w:t>
      </w:r>
    </w:p>
    <w:p w:rsidR="00F6001D" w:rsidRPr="00360C99" w:rsidRDefault="00F6001D" w:rsidP="0022340F">
      <w:pPr>
        <w:rPr>
          <w:b/>
          <w:szCs w:val="24"/>
        </w:rPr>
      </w:pPr>
    </w:p>
    <w:p w:rsidR="00F6001D" w:rsidRPr="00360C99" w:rsidRDefault="00842F6E" w:rsidP="00842F6E">
      <w:pPr>
        <w:jc w:val="center"/>
        <w:rPr>
          <w:b/>
          <w:szCs w:val="24"/>
        </w:rPr>
      </w:pPr>
      <w:r w:rsidRPr="00360C99">
        <w:rPr>
          <w:b/>
          <w:szCs w:val="24"/>
          <w:u w:val="single"/>
        </w:rPr>
        <w:t>Select Legislative Instruments 2012 No.</w:t>
      </w:r>
      <w:r w:rsidR="00204C82" w:rsidRPr="00360C99">
        <w:rPr>
          <w:b/>
          <w:szCs w:val="24"/>
          <w:u w:val="single"/>
        </w:rPr>
        <w:t xml:space="preserve"> 144</w:t>
      </w:r>
    </w:p>
    <w:p w:rsidR="00F6001D" w:rsidRPr="00360C99" w:rsidRDefault="00F6001D" w:rsidP="00842F6E">
      <w:pPr>
        <w:jc w:val="center"/>
        <w:rPr>
          <w:b/>
          <w:szCs w:val="24"/>
        </w:rPr>
      </w:pPr>
    </w:p>
    <w:p w:rsidR="00F6001D" w:rsidRPr="00360C99" w:rsidRDefault="00F6001D" w:rsidP="00842F6E">
      <w:pPr>
        <w:jc w:val="center"/>
        <w:rPr>
          <w:i/>
          <w:szCs w:val="24"/>
        </w:rPr>
      </w:pPr>
      <w:r w:rsidRPr="00360C99">
        <w:rPr>
          <w:i/>
          <w:szCs w:val="24"/>
        </w:rPr>
        <w:t>Therapeutic Goods (Charges) Act 1989</w:t>
      </w:r>
    </w:p>
    <w:p w:rsidR="00F6001D" w:rsidRPr="00360C99" w:rsidRDefault="00F6001D" w:rsidP="00842F6E">
      <w:pPr>
        <w:tabs>
          <w:tab w:val="left" w:pos="1134"/>
        </w:tabs>
        <w:jc w:val="center"/>
        <w:rPr>
          <w:szCs w:val="24"/>
        </w:rPr>
      </w:pPr>
    </w:p>
    <w:p w:rsidR="00F6001D" w:rsidRPr="00360C99" w:rsidRDefault="00F6001D" w:rsidP="00204C82">
      <w:pPr>
        <w:ind w:left="567" w:firstLine="567"/>
        <w:rPr>
          <w:i/>
          <w:szCs w:val="24"/>
        </w:rPr>
      </w:pPr>
      <w:r w:rsidRPr="00360C99">
        <w:rPr>
          <w:i/>
          <w:szCs w:val="24"/>
        </w:rPr>
        <w:t>Therapeutic Goods (Charges) Amendment Regulation 2012</w:t>
      </w:r>
      <w:r w:rsidR="00204C82" w:rsidRPr="00360C99">
        <w:rPr>
          <w:i/>
          <w:szCs w:val="24"/>
        </w:rPr>
        <w:t xml:space="preserve"> (No. 1</w:t>
      </w:r>
      <w:r w:rsidRPr="00360C99">
        <w:rPr>
          <w:i/>
          <w:szCs w:val="24"/>
        </w:rPr>
        <w:t>)</w:t>
      </w:r>
    </w:p>
    <w:p w:rsidR="00F6001D" w:rsidRPr="00360C99" w:rsidRDefault="00F6001D">
      <w:pPr>
        <w:rPr>
          <w:szCs w:val="24"/>
        </w:rPr>
      </w:pPr>
    </w:p>
    <w:p w:rsidR="00F6001D" w:rsidRPr="00360C99" w:rsidRDefault="0014262F">
      <w:pPr>
        <w:rPr>
          <w:szCs w:val="24"/>
        </w:rPr>
      </w:pPr>
      <w:r w:rsidRPr="00360C99">
        <w:rPr>
          <w:szCs w:val="24"/>
        </w:rPr>
        <w:t>T</w:t>
      </w:r>
      <w:r w:rsidR="00F6001D" w:rsidRPr="00360C99">
        <w:rPr>
          <w:szCs w:val="24"/>
        </w:rPr>
        <w:t xml:space="preserve">he </w:t>
      </w:r>
      <w:r w:rsidR="00F6001D" w:rsidRPr="00360C99">
        <w:rPr>
          <w:i/>
          <w:szCs w:val="24"/>
        </w:rPr>
        <w:t>Therapeutic Goods (Charges) Act 1989</w:t>
      </w:r>
      <w:r w:rsidR="00F6001D" w:rsidRPr="00360C99">
        <w:rPr>
          <w:szCs w:val="24"/>
        </w:rPr>
        <w:t xml:space="preserve"> (the Act) </w:t>
      </w:r>
      <w:r w:rsidRPr="00360C99">
        <w:rPr>
          <w:szCs w:val="24"/>
        </w:rPr>
        <w:t xml:space="preserve">imposes annual charges </w:t>
      </w:r>
      <w:r w:rsidR="00F6001D" w:rsidRPr="00360C99">
        <w:rPr>
          <w:szCs w:val="24"/>
        </w:rPr>
        <w:t>on the registration, listing and inclusion of therapeutic goods in the Australian Register of Therapeutic Goods (the Register), and on the licensing of manufacturers of therapeutic goods.  The Therapeutic Goods Administration (the TGA) is responsible for administering the Act.</w:t>
      </w:r>
    </w:p>
    <w:p w:rsidR="00F6001D" w:rsidRPr="00360C99" w:rsidRDefault="00F6001D">
      <w:pPr>
        <w:rPr>
          <w:szCs w:val="24"/>
        </w:rPr>
      </w:pPr>
    </w:p>
    <w:p w:rsidR="00F6001D" w:rsidRPr="00360C99" w:rsidRDefault="00F6001D">
      <w:pPr>
        <w:rPr>
          <w:szCs w:val="24"/>
        </w:rPr>
      </w:pPr>
      <w:r w:rsidRPr="00360C99">
        <w:rPr>
          <w:szCs w:val="24"/>
        </w:rPr>
        <w:t xml:space="preserve">Section 4 of the Act provides that annual charges of such amounts as are </w:t>
      </w:r>
      <w:r w:rsidR="0014262F" w:rsidRPr="00360C99">
        <w:rPr>
          <w:szCs w:val="24"/>
        </w:rPr>
        <w:t>set out in regulations are p</w:t>
      </w:r>
      <w:r w:rsidRPr="00360C99">
        <w:rPr>
          <w:szCs w:val="24"/>
        </w:rPr>
        <w:t>ayable in respect of entries of therapeutic goods in the Register</w:t>
      </w:r>
      <w:r w:rsidR="0014262F" w:rsidRPr="00360C99">
        <w:rPr>
          <w:szCs w:val="24"/>
        </w:rPr>
        <w:t>, and of manufacturing licences that are in fo</w:t>
      </w:r>
      <w:r w:rsidRPr="00360C99">
        <w:rPr>
          <w:szCs w:val="24"/>
        </w:rPr>
        <w:t>rce at any time within a financial year.</w:t>
      </w:r>
    </w:p>
    <w:p w:rsidR="00F6001D" w:rsidRPr="00360C99" w:rsidRDefault="00F6001D">
      <w:pPr>
        <w:rPr>
          <w:szCs w:val="24"/>
        </w:rPr>
      </w:pPr>
    </w:p>
    <w:p w:rsidR="00F6001D" w:rsidRPr="00360C99" w:rsidRDefault="00F6001D" w:rsidP="00AF721A">
      <w:pPr>
        <w:rPr>
          <w:szCs w:val="24"/>
        </w:rPr>
      </w:pPr>
      <w:bookmarkStart w:id="1" w:name="OLE_LINK1"/>
      <w:r w:rsidRPr="00360C99">
        <w:rPr>
          <w:szCs w:val="24"/>
        </w:rPr>
        <w:t>Subsection 5(1) of the Act provides that the Governor-General may make regulations, not inconsistent with the Act, prescribing the amounts of charges.  Subsection 5(2) of the Act enables the Governor-General to prescribe different levels of charges for different classes of goods or, in the case of annual licensing charges, for different steps in the manufacture of therapeutic goods.</w:t>
      </w:r>
    </w:p>
    <w:p w:rsidR="00F6001D" w:rsidRPr="00360C99" w:rsidRDefault="00F6001D" w:rsidP="00AF721A">
      <w:pPr>
        <w:rPr>
          <w:szCs w:val="24"/>
        </w:rPr>
      </w:pPr>
    </w:p>
    <w:p w:rsidR="00F6001D" w:rsidRPr="00360C99" w:rsidRDefault="00F6001D" w:rsidP="00D76899">
      <w:pPr>
        <w:rPr>
          <w:szCs w:val="24"/>
        </w:rPr>
      </w:pPr>
      <w:r w:rsidRPr="00360C99">
        <w:rPr>
          <w:szCs w:val="24"/>
        </w:rPr>
        <w:t xml:space="preserve">The purpose of the regulation is to amend the </w:t>
      </w:r>
      <w:r w:rsidRPr="00360C99">
        <w:rPr>
          <w:i/>
          <w:szCs w:val="24"/>
        </w:rPr>
        <w:t>Therapeutic Goods (Charges) Regulations 1990</w:t>
      </w:r>
      <w:r w:rsidRPr="00360C99">
        <w:rPr>
          <w:szCs w:val="24"/>
        </w:rPr>
        <w:t xml:space="preserve"> (the Principal Regulations) to make a small number of minor amendments, principally in order to ensure that manufacturers who manufacture only biologicals are not required to pay an annual charge </w:t>
      </w:r>
      <w:r w:rsidR="00D05940" w:rsidRPr="00360C99">
        <w:rPr>
          <w:szCs w:val="24"/>
        </w:rPr>
        <w:t>arising from the fact they hold</w:t>
      </w:r>
      <w:r w:rsidR="002A5789" w:rsidRPr="00360C99">
        <w:rPr>
          <w:szCs w:val="24"/>
        </w:rPr>
        <w:t xml:space="preserve"> a</w:t>
      </w:r>
      <w:r w:rsidRPr="00360C99">
        <w:rPr>
          <w:szCs w:val="24"/>
        </w:rPr>
        <w:t xml:space="preserve"> manufacturing licence.</w:t>
      </w:r>
    </w:p>
    <w:p w:rsidR="00F6001D" w:rsidRPr="00360C99" w:rsidRDefault="00F6001D" w:rsidP="00D76899">
      <w:pPr>
        <w:rPr>
          <w:szCs w:val="24"/>
        </w:rPr>
      </w:pPr>
    </w:p>
    <w:p w:rsidR="00F6001D" w:rsidRPr="00360C99" w:rsidRDefault="00F6001D" w:rsidP="00D76899">
      <w:pPr>
        <w:rPr>
          <w:szCs w:val="24"/>
        </w:rPr>
      </w:pPr>
      <w:r w:rsidRPr="00360C99">
        <w:rPr>
          <w:szCs w:val="24"/>
        </w:rPr>
        <w:t xml:space="preserve">A ‘biological’ is defined in subsection 32A(1) of the </w:t>
      </w:r>
      <w:r w:rsidRPr="00360C99">
        <w:rPr>
          <w:i/>
          <w:szCs w:val="24"/>
        </w:rPr>
        <w:t>Therapeutic Goods Act 1989</w:t>
      </w:r>
      <w:r w:rsidRPr="00360C99">
        <w:rPr>
          <w:szCs w:val="24"/>
        </w:rPr>
        <w:t xml:space="preserve"> as a thing that either comprises, contains or is derived from, human cells or tissues or that is specified by the Secretary of the Department of Health and Ageing as being a biological in a legislative instrument under subsection 32BA(2) of that Act.  Examples of biologicals include human cardiovascular tissues such as heart valves and human musculoskeletal tissue such as muscles, ligaments and bones.</w:t>
      </w:r>
    </w:p>
    <w:p w:rsidR="00F6001D" w:rsidRPr="00360C99" w:rsidRDefault="00F6001D" w:rsidP="00D76899">
      <w:pPr>
        <w:rPr>
          <w:szCs w:val="24"/>
        </w:rPr>
      </w:pPr>
    </w:p>
    <w:p w:rsidR="00F6001D" w:rsidRPr="00360C99" w:rsidRDefault="00F6001D" w:rsidP="00D76899">
      <w:pPr>
        <w:rPr>
          <w:szCs w:val="24"/>
        </w:rPr>
      </w:pPr>
      <w:r w:rsidRPr="00360C99">
        <w:rPr>
          <w:szCs w:val="24"/>
        </w:rPr>
        <w:t xml:space="preserve">Measures setting out that such manufacturers are not required to pay an annual licence charge were inadvertently not included in amendments to the Principal Regulations in 2011 that commenced on 31 May 2011 (the </w:t>
      </w:r>
      <w:r w:rsidRPr="00360C99">
        <w:rPr>
          <w:i/>
          <w:szCs w:val="24"/>
        </w:rPr>
        <w:t>Therapeutic Goods (Charges) Amendment Regulations 2011 (No.1)</w:t>
      </w:r>
      <w:r w:rsidRPr="00360C99">
        <w:rPr>
          <w:szCs w:val="24"/>
        </w:rPr>
        <w:t>). The regulation therefore remove</w:t>
      </w:r>
      <w:r w:rsidR="00842F6E" w:rsidRPr="00360C99">
        <w:rPr>
          <w:szCs w:val="24"/>
        </w:rPr>
        <w:t>s</w:t>
      </w:r>
      <w:r w:rsidRPr="00360C99">
        <w:rPr>
          <w:szCs w:val="24"/>
        </w:rPr>
        <w:t xml:space="preserve"> the existing obligation for affected manufacturers to pay an annual manufacturing licence charge.</w:t>
      </w:r>
    </w:p>
    <w:p w:rsidR="00F6001D" w:rsidRPr="00360C99" w:rsidRDefault="00F6001D" w:rsidP="00D76899">
      <w:pPr>
        <w:rPr>
          <w:szCs w:val="24"/>
        </w:rPr>
      </w:pPr>
    </w:p>
    <w:p w:rsidR="00F6001D" w:rsidRPr="00360C99" w:rsidRDefault="00F6001D" w:rsidP="00D76899">
      <w:pPr>
        <w:rPr>
          <w:szCs w:val="24"/>
        </w:rPr>
      </w:pPr>
      <w:r w:rsidRPr="00360C99">
        <w:rPr>
          <w:szCs w:val="24"/>
        </w:rPr>
        <w:t xml:space="preserve">This change </w:t>
      </w:r>
      <w:r w:rsidR="00842F6E" w:rsidRPr="00360C99">
        <w:rPr>
          <w:szCs w:val="24"/>
        </w:rPr>
        <w:t xml:space="preserve">is </w:t>
      </w:r>
      <w:r w:rsidRPr="00360C99">
        <w:rPr>
          <w:szCs w:val="24"/>
        </w:rPr>
        <w:t>taken to have commenced from 31 May 2011, in order to ensure that affected manufacturers will not be regarded as having been liable to pay such a charge for financial year 2010-11 (or for subsequent financial years).</w:t>
      </w:r>
    </w:p>
    <w:p w:rsidR="00F6001D" w:rsidRPr="00360C99" w:rsidRDefault="00F6001D" w:rsidP="00D76899">
      <w:pPr>
        <w:rPr>
          <w:szCs w:val="24"/>
        </w:rPr>
      </w:pPr>
    </w:p>
    <w:p w:rsidR="00F6001D" w:rsidRPr="00360C99" w:rsidRDefault="00F6001D" w:rsidP="00D76899">
      <w:pPr>
        <w:rPr>
          <w:szCs w:val="24"/>
        </w:rPr>
      </w:pPr>
      <w:r w:rsidRPr="00360C99">
        <w:rPr>
          <w:szCs w:val="24"/>
        </w:rPr>
        <w:t xml:space="preserve">As this measure entails a benefit </w:t>
      </w:r>
      <w:r w:rsidR="00801582" w:rsidRPr="00360C99">
        <w:rPr>
          <w:szCs w:val="24"/>
        </w:rPr>
        <w:t xml:space="preserve">by removing </w:t>
      </w:r>
      <w:r w:rsidR="002A5789" w:rsidRPr="00360C99">
        <w:rPr>
          <w:szCs w:val="24"/>
        </w:rPr>
        <w:t xml:space="preserve">the existing obligation </w:t>
      </w:r>
      <w:r w:rsidR="00801582" w:rsidRPr="00360C99">
        <w:rPr>
          <w:szCs w:val="24"/>
        </w:rPr>
        <w:t xml:space="preserve">on </w:t>
      </w:r>
      <w:r w:rsidR="002A5789" w:rsidRPr="00360C99">
        <w:rPr>
          <w:szCs w:val="24"/>
        </w:rPr>
        <w:t>affected manufacturers to pay annual licence charges</w:t>
      </w:r>
      <w:r w:rsidRPr="00360C99">
        <w:rPr>
          <w:szCs w:val="24"/>
        </w:rPr>
        <w:t xml:space="preserve">, it is not considered that there </w:t>
      </w:r>
      <w:r w:rsidR="00842F6E" w:rsidRPr="00360C99">
        <w:rPr>
          <w:szCs w:val="24"/>
        </w:rPr>
        <w:t xml:space="preserve">will </w:t>
      </w:r>
      <w:r w:rsidRPr="00360C99">
        <w:rPr>
          <w:szCs w:val="24"/>
        </w:rPr>
        <w:t>be any disadvantage or liability for any person as a result of this retrospectivity.</w:t>
      </w:r>
    </w:p>
    <w:p w:rsidR="00F6001D" w:rsidRPr="00360C99" w:rsidRDefault="00F6001D" w:rsidP="00D76899">
      <w:pPr>
        <w:rPr>
          <w:szCs w:val="24"/>
        </w:rPr>
      </w:pPr>
    </w:p>
    <w:bookmarkEnd w:id="1"/>
    <w:p w:rsidR="00F6001D" w:rsidRPr="00360C99" w:rsidRDefault="00F6001D">
      <w:pPr>
        <w:rPr>
          <w:szCs w:val="24"/>
        </w:rPr>
      </w:pPr>
      <w:r w:rsidRPr="00360C99">
        <w:rPr>
          <w:szCs w:val="24"/>
        </w:rPr>
        <w:t xml:space="preserve">Details of the regulation are set out in the </w:t>
      </w:r>
      <w:r w:rsidRPr="00360C99">
        <w:rPr>
          <w:szCs w:val="24"/>
          <w:u w:val="single"/>
        </w:rPr>
        <w:t>Attachment</w:t>
      </w:r>
      <w:r w:rsidRPr="00360C99">
        <w:rPr>
          <w:szCs w:val="24"/>
        </w:rPr>
        <w:t>.</w:t>
      </w:r>
    </w:p>
    <w:p w:rsidR="0077185A" w:rsidRPr="00360C99" w:rsidRDefault="0077185A">
      <w:pPr>
        <w:rPr>
          <w:szCs w:val="24"/>
        </w:rPr>
      </w:pPr>
    </w:p>
    <w:p w:rsidR="0077185A" w:rsidRPr="00360C99" w:rsidRDefault="0077185A">
      <w:pPr>
        <w:rPr>
          <w:szCs w:val="24"/>
        </w:rPr>
      </w:pPr>
    </w:p>
    <w:p w:rsidR="0077185A" w:rsidRPr="00360C99" w:rsidRDefault="00AB407C">
      <w:pPr>
        <w:rPr>
          <w:szCs w:val="24"/>
        </w:rPr>
      </w:pPr>
      <w:r w:rsidRPr="00360C99">
        <w:rPr>
          <w:color w:val="000000"/>
          <w:szCs w:val="24"/>
        </w:rPr>
        <w:lastRenderedPageBreak/>
        <w:t xml:space="preserve">The removal </w:t>
      </w:r>
      <w:r w:rsidRPr="00360C99">
        <w:rPr>
          <w:szCs w:val="24"/>
        </w:rPr>
        <w:t xml:space="preserve">of the requirement for manufacturers of only </w:t>
      </w:r>
      <w:proofErr w:type="spellStart"/>
      <w:r w:rsidRPr="00360C99">
        <w:rPr>
          <w:szCs w:val="24"/>
        </w:rPr>
        <w:t>biologicals</w:t>
      </w:r>
      <w:proofErr w:type="spellEnd"/>
      <w:r w:rsidRPr="00360C99">
        <w:rPr>
          <w:szCs w:val="24"/>
        </w:rPr>
        <w:t xml:space="preserve"> to pay an annual licence charge was not the subject of separate industry consultation. However, this measure reflects the overall policy relating to the establishment and implementation of the regulatory framework for </w:t>
      </w:r>
      <w:proofErr w:type="spellStart"/>
      <w:r w:rsidRPr="00360C99">
        <w:rPr>
          <w:szCs w:val="24"/>
        </w:rPr>
        <w:t>biologicals</w:t>
      </w:r>
      <w:proofErr w:type="spellEnd"/>
      <w:r w:rsidRPr="00360C99">
        <w:rPr>
          <w:szCs w:val="24"/>
        </w:rPr>
        <w:t xml:space="preserve"> that was introduced in May 2011. This policy was set out in the Cost Recovery Impact Statement for the Regulation of </w:t>
      </w:r>
      <w:proofErr w:type="spellStart"/>
      <w:r w:rsidRPr="00360C99">
        <w:rPr>
          <w:szCs w:val="24"/>
        </w:rPr>
        <w:t>Biologicals</w:t>
      </w:r>
      <w:proofErr w:type="spellEnd"/>
      <w:r w:rsidRPr="00360C99">
        <w:rPr>
          <w:szCs w:val="24"/>
        </w:rPr>
        <w:t xml:space="preserve"> (Human Cell and Tissue Therapy Products), which was released for consultation between October and November 2010.</w:t>
      </w:r>
    </w:p>
    <w:p w:rsidR="00AB407C" w:rsidRPr="00360C99" w:rsidRDefault="00AB407C">
      <w:pPr>
        <w:rPr>
          <w:i/>
          <w:szCs w:val="24"/>
        </w:rPr>
      </w:pPr>
    </w:p>
    <w:p w:rsidR="00F6001D" w:rsidRPr="00360C99" w:rsidRDefault="00F6001D">
      <w:pPr>
        <w:rPr>
          <w:szCs w:val="24"/>
        </w:rPr>
      </w:pPr>
      <w:r w:rsidRPr="00360C99">
        <w:rPr>
          <w:szCs w:val="24"/>
        </w:rPr>
        <w:t>The Act specifies no conditions that need to be met before the power to make the regulation may be exercised.</w:t>
      </w:r>
    </w:p>
    <w:p w:rsidR="00F6001D" w:rsidRPr="00360C99" w:rsidRDefault="00F6001D">
      <w:pPr>
        <w:rPr>
          <w:szCs w:val="24"/>
        </w:rPr>
      </w:pPr>
    </w:p>
    <w:p w:rsidR="00F6001D" w:rsidRPr="00360C99" w:rsidRDefault="00F6001D" w:rsidP="007358E6">
      <w:pPr>
        <w:rPr>
          <w:szCs w:val="24"/>
        </w:rPr>
      </w:pPr>
      <w:r w:rsidRPr="00360C99">
        <w:rPr>
          <w:szCs w:val="24"/>
        </w:rPr>
        <w:t xml:space="preserve">The regulation </w:t>
      </w:r>
      <w:r w:rsidR="00842F6E" w:rsidRPr="00360C99">
        <w:rPr>
          <w:szCs w:val="24"/>
        </w:rPr>
        <w:t>is</w:t>
      </w:r>
      <w:r w:rsidRPr="00360C99">
        <w:rPr>
          <w:szCs w:val="24"/>
        </w:rPr>
        <w:t xml:space="preserve"> a legislative instrument for the purposes of the </w:t>
      </w:r>
      <w:r w:rsidRPr="00360C99">
        <w:rPr>
          <w:i/>
          <w:szCs w:val="24"/>
        </w:rPr>
        <w:t>Legislative Instruments Act 2003</w:t>
      </w:r>
      <w:r w:rsidRPr="00360C99">
        <w:rPr>
          <w:szCs w:val="24"/>
        </w:rPr>
        <w:t>.</w:t>
      </w:r>
    </w:p>
    <w:p w:rsidR="00F6001D" w:rsidRPr="00360C99" w:rsidRDefault="00F6001D">
      <w:pPr>
        <w:rPr>
          <w:szCs w:val="24"/>
        </w:rPr>
      </w:pPr>
    </w:p>
    <w:p w:rsidR="00F6001D" w:rsidRPr="00360C99" w:rsidRDefault="00F6001D" w:rsidP="00A13389">
      <w:pPr>
        <w:ind w:right="-188"/>
        <w:rPr>
          <w:szCs w:val="24"/>
        </w:rPr>
      </w:pPr>
      <w:r w:rsidRPr="00360C99">
        <w:rPr>
          <w:szCs w:val="24"/>
        </w:rPr>
        <w:t xml:space="preserve">The regulation </w:t>
      </w:r>
      <w:r w:rsidR="00842F6E" w:rsidRPr="00360C99">
        <w:rPr>
          <w:szCs w:val="24"/>
        </w:rPr>
        <w:t xml:space="preserve">is </w:t>
      </w:r>
      <w:r w:rsidRPr="00360C99">
        <w:rPr>
          <w:szCs w:val="24"/>
        </w:rPr>
        <w:t xml:space="preserve">taken to have commenced on 31 May 2011.  The retrospective nature of the amendments do not disadvantage any person or impose a liability on any person other than the Commonwealth, therefore subsection 12(2) of the </w:t>
      </w:r>
      <w:r w:rsidRPr="00360C99">
        <w:rPr>
          <w:i/>
          <w:szCs w:val="24"/>
        </w:rPr>
        <w:t xml:space="preserve">Legislative Instruments Act 2003 </w:t>
      </w:r>
      <w:r w:rsidRPr="00360C99">
        <w:rPr>
          <w:szCs w:val="24"/>
        </w:rPr>
        <w:t>does not prevent the retrospective amendments f</w:t>
      </w:r>
      <w:r w:rsidR="002A5789" w:rsidRPr="00360C99">
        <w:rPr>
          <w:szCs w:val="24"/>
        </w:rPr>
        <w:t>ro</w:t>
      </w:r>
      <w:r w:rsidRPr="00360C99">
        <w:rPr>
          <w:szCs w:val="24"/>
        </w:rPr>
        <w:t>m taking effect.</w:t>
      </w:r>
    </w:p>
    <w:p w:rsidR="00F6001D" w:rsidRPr="00360C99" w:rsidRDefault="00F6001D" w:rsidP="00A13389">
      <w:pPr>
        <w:ind w:right="-188"/>
        <w:rPr>
          <w:szCs w:val="24"/>
        </w:rPr>
      </w:pPr>
    </w:p>
    <w:p w:rsidR="00F6001D" w:rsidRPr="00360C99" w:rsidRDefault="00F6001D">
      <w:pPr>
        <w:rPr>
          <w:szCs w:val="24"/>
        </w:rPr>
      </w:pPr>
    </w:p>
    <w:p w:rsidR="00F6001D" w:rsidRPr="00360C99" w:rsidRDefault="00F6001D">
      <w:pPr>
        <w:ind w:left="5670" w:hanging="1134"/>
        <w:rPr>
          <w:szCs w:val="24"/>
        </w:rPr>
      </w:pPr>
      <w:r w:rsidRPr="00360C99">
        <w:rPr>
          <w:szCs w:val="24"/>
        </w:rPr>
        <w:t xml:space="preserve">  </w:t>
      </w:r>
      <w:r w:rsidRPr="00360C99">
        <w:rPr>
          <w:szCs w:val="24"/>
          <w:u w:val="single"/>
        </w:rPr>
        <w:t>Authority:</w:t>
      </w:r>
      <w:r w:rsidRPr="00360C99">
        <w:rPr>
          <w:szCs w:val="24"/>
        </w:rPr>
        <w:t xml:space="preserve">  Subsection 5(1) of the </w:t>
      </w:r>
    </w:p>
    <w:p w:rsidR="00F6001D" w:rsidRPr="00360C99" w:rsidRDefault="00F6001D" w:rsidP="007358E6">
      <w:pPr>
        <w:ind w:left="5670"/>
        <w:rPr>
          <w:i/>
          <w:szCs w:val="24"/>
        </w:rPr>
      </w:pPr>
      <w:r w:rsidRPr="00360C99">
        <w:rPr>
          <w:i/>
          <w:szCs w:val="24"/>
        </w:rPr>
        <w:t xml:space="preserve">  Therapeutic Goods (Charges)  </w:t>
      </w:r>
      <w:r w:rsidRPr="00360C99">
        <w:rPr>
          <w:i/>
          <w:szCs w:val="24"/>
        </w:rPr>
        <w:br/>
        <w:t xml:space="preserve">  Act 1989</w:t>
      </w:r>
    </w:p>
    <w:p w:rsidR="00F6001D" w:rsidRPr="00360C99" w:rsidRDefault="00F6001D" w:rsidP="009E2626">
      <w:pPr>
        <w:ind w:left="6237" w:firstLine="3"/>
        <w:jc w:val="right"/>
        <w:rPr>
          <w:b/>
          <w:szCs w:val="24"/>
          <w:u w:val="single"/>
        </w:rPr>
      </w:pPr>
      <w:r w:rsidRPr="00360C99">
        <w:rPr>
          <w:szCs w:val="24"/>
          <w:u w:val="single"/>
        </w:rPr>
        <w:br w:type="page"/>
      </w:r>
      <w:r w:rsidRPr="00360C99">
        <w:rPr>
          <w:b/>
          <w:szCs w:val="24"/>
          <w:u w:val="single"/>
        </w:rPr>
        <w:lastRenderedPageBreak/>
        <w:t>ATTACHMENT</w:t>
      </w:r>
    </w:p>
    <w:p w:rsidR="00F6001D" w:rsidRPr="00360C99" w:rsidRDefault="00F6001D">
      <w:pPr>
        <w:ind w:firstLine="3"/>
        <w:rPr>
          <w:b/>
          <w:szCs w:val="24"/>
        </w:rPr>
      </w:pPr>
    </w:p>
    <w:p w:rsidR="00F6001D" w:rsidRPr="00360C99" w:rsidRDefault="00F6001D">
      <w:pPr>
        <w:ind w:firstLine="3"/>
        <w:rPr>
          <w:b/>
          <w:i/>
          <w:caps/>
          <w:szCs w:val="24"/>
        </w:rPr>
      </w:pPr>
      <w:r w:rsidRPr="00360C99">
        <w:rPr>
          <w:b/>
          <w:szCs w:val="24"/>
        </w:rPr>
        <w:t xml:space="preserve">Details of the </w:t>
      </w:r>
      <w:r w:rsidRPr="00360C99">
        <w:rPr>
          <w:b/>
          <w:i/>
          <w:szCs w:val="24"/>
        </w:rPr>
        <w:t xml:space="preserve">Therapeutic Goods (Charges) Amendment Regulation 2012 (No. </w:t>
      </w:r>
      <w:r w:rsidR="00204C82" w:rsidRPr="00360C99">
        <w:rPr>
          <w:b/>
          <w:i/>
          <w:szCs w:val="24"/>
        </w:rPr>
        <w:t>1</w:t>
      </w:r>
      <w:r w:rsidRPr="00360C99">
        <w:rPr>
          <w:b/>
          <w:i/>
          <w:szCs w:val="24"/>
        </w:rPr>
        <w:t>)</w:t>
      </w:r>
    </w:p>
    <w:p w:rsidR="00F6001D" w:rsidRPr="00360C99" w:rsidRDefault="00F6001D">
      <w:pPr>
        <w:ind w:firstLine="3"/>
        <w:rPr>
          <w:b/>
          <w:szCs w:val="24"/>
        </w:rPr>
      </w:pPr>
    </w:p>
    <w:p w:rsidR="00F6001D" w:rsidRPr="00360C99" w:rsidRDefault="00F6001D">
      <w:pPr>
        <w:ind w:firstLine="3"/>
        <w:rPr>
          <w:szCs w:val="24"/>
        </w:rPr>
      </w:pPr>
      <w:r w:rsidRPr="00360C99">
        <w:rPr>
          <w:szCs w:val="24"/>
          <w:u w:val="single"/>
        </w:rPr>
        <w:t>Section 1 – Name of Regulation</w:t>
      </w:r>
    </w:p>
    <w:p w:rsidR="00F6001D" w:rsidRPr="00360C99" w:rsidRDefault="00F6001D">
      <w:pPr>
        <w:ind w:firstLine="3"/>
        <w:rPr>
          <w:szCs w:val="24"/>
        </w:rPr>
      </w:pPr>
      <w:r w:rsidRPr="00360C99">
        <w:rPr>
          <w:szCs w:val="24"/>
        </w:rPr>
        <w:t>This section provide</w:t>
      </w:r>
      <w:r w:rsidR="00842F6E" w:rsidRPr="00360C99">
        <w:rPr>
          <w:szCs w:val="24"/>
        </w:rPr>
        <w:t>s</w:t>
      </w:r>
      <w:r w:rsidRPr="00360C99">
        <w:rPr>
          <w:szCs w:val="24"/>
        </w:rPr>
        <w:t xml:space="preserve"> for the regulation to be referred to as the </w:t>
      </w:r>
      <w:r w:rsidRPr="00360C99">
        <w:rPr>
          <w:i/>
          <w:szCs w:val="24"/>
        </w:rPr>
        <w:t xml:space="preserve">Therapeutic Goods (Charges) Amendment Regulation 2012 (No. </w:t>
      </w:r>
      <w:r w:rsidR="00204C82" w:rsidRPr="00360C99">
        <w:rPr>
          <w:i/>
          <w:szCs w:val="24"/>
        </w:rPr>
        <w:t>1</w:t>
      </w:r>
      <w:r w:rsidRPr="00360C99">
        <w:rPr>
          <w:i/>
          <w:szCs w:val="24"/>
        </w:rPr>
        <w:t>).</w:t>
      </w:r>
    </w:p>
    <w:p w:rsidR="00F6001D" w:rsidRPr="00360C99" w:rsidRDefault="00F6001D">
      <w:pPr>
        <w:ind w:firstLine="3"/>
        <w:rPr>
          <w:szCs w:val="24"/>
        </w:rPr>
      </w:pPr>
    </w:p>
    <w:p w:rsidR="00F6001D" w:rsidRPr="00360C99" w:rsidRDefault="00F6001D">
      <w:pPr>
        <w:ind w:firstLine="3"/>
        <w:rPr>
          <w:b/>
          <w:szCs w:val="24"/>
        </w:rPr>
      </w:pPr>
      <w:r w:rsidRPr="00360C99">
        <w:rPr>
          <w:szCs w:val="24"/>
          <w:u w:val="single"/>
        </w:rPr>
        <w:t>Section 2 - Commencement</w:t>
      </w:r>
    </w:p>
    <w:p w:rsidR="00F6001D" w:rsidRPr="00360C99" w:rsidRDefault="00F6001D" w:rsidP="00A13389">
      <w:pPr>
        <w:ind w:right="-188" w:firstLine="3"/>
        <w:rPr>
          <w:szCs w:val="24"/>
        </w:rPr>
      </w:pPr>
      <w:r w:rsidRPr="00360C99">
        <w:rPr>
          <w:szCs w:val="24"/>
        </w:rPr>
        <w:t>This section provide</w:t>
      </w:r>
      <w:r w:rsidR="00842F6E" w:rsidRPr="00360C99">
        <w:rPr>
          <w:szCs w:val="24"/>
        </w:rPr>
        <w:t>s</w:t>
      </w:r>
      <w:r w:rsidRPr="00360C99">
        <w:rPr>
          <w:szCs w:val="24"/>
        </w:rPr>
        <w:t xml:space="preserve"> for the regulation to be taken to have commenced on 31 May 2011.</w:t>
      </w:r>
    </w:p>
    <w:p w:rsidR="00F6001D" w:rsidRPr="00360C99" w:rsidRDefault="00F6001D">
      <w:pPr>
        <w:ind w:firstLine="3"/>
        <w:rPr>
          <w:szCs w:val="24"/>
        </w:rPr>
      </w:pPr>
    </w:p>
    <w:p w:rsidR="00F6001D" w:rsidRPr="00360C99" w:rsidRDefault="00F6001D">
      <w:pPr>
        <w:ind w:firstLine="3"/>
        <w:rPr>
          <w:b/>
          <w:szCs w:val="24"/>
        </w:rPr>
      </w:pPr>
      <w:r w:rsidRPr="00360C99">
        <w:rPr>
          <w:szCs w:val="24"/>
          <w:u w:val="single"/>
        </w:rPr>
        <w:t xml:space="preserve">Section 3 – Amendment of </w:t>
      </w:r>
      <w:r w:rsidRPr="00360C99">
        <w:rPr>
          <w:i/>
          <w:szCs w:val="24"/>
          <w:u w:val="single"/>
        </w:rPr>
        <w:t>Therapeutic Goods (Charges) Regulations 1990</w:t>
      </w:r>
    </w:p>
    <w:p w:rsidR="00F6001D" w:rsidRPr="00360C99" w:rsidRDefault="00F6001D" w:rsidP="00A13389">
      <w:pPr>
        <w:ind w:right="-188" w:firstLine="3"/>
        <w:rPr>
          <w:szCs w:val="24"/>
        </w:rPr>
      </w:pPr>
      <w:r w:rsidRPr="00360C99">
        <w:rPr>
          <w:szCs w:val="24"/>
        </w:rPr>
        <w:t>This section provide</w:t>
      </w:r>
      <w:r w:rsidR="00842F6E" w:rsidRPr="00360C99">
        <w:rPr>
          <w:szCs w:val="24"/>
        </w:rPr>
        <w:t>s</w:t>
      </w:r>
      <w:r w:rsidRPr="00360C99">
        <w:rPr>
          <w:szCs w:val="24"/>
        </w:rPr>
        <w:t xml:space="preserve"> for Schedule 1 to amend the </w:t>
      </w:r>
      <w:r w:rsidRPr="00360C99">
        <w:rPr>
          <w:i/>
          <w:szCs w:val="24"/>
        </w:rPr>
        <w:t>Therapeutic Goods (Charges) Regulations 1990</w:t>
      </w:r>
      <w:r w:rsidRPr="00360C99">
        <w:rPr>
          <w:szCs w:val="24"/>
        </w:rPr>
        <w:t xml:space="preserve"> (the Principal Regulations).</w:t>
      </w:r>
    </w:p>
    <w:p w:rsidR="00F6001D" w:rsidRPr="00360C99" w:rsidRDefault="00F6001D">
      <w:pPr>
        <w:pStyle w:val="Heading1"/>
        <w:rPr>
          <w:b w:val="0"/>
          <w:szCs w:val="24"/>
          <w:u w:val="single"/>
        </w:rPr>
      </w:pPr>
    </w:p>
    <w:p w:rsidR="00F6001D" w:rsidRPr="00360C99" w:rsidRDefault="00F6001D" w:rsidP="0047151C">
      <w:pPr>
        <w:pStyle w:val="Heading1"/>
        <w:spacing w:after="120"/>
        <w:rPr>
          <w:szCs w:val="24"/>
          <w:u w:val="single"/>
        </w:rPr>
      </w:pPr>
      <w:r w:rsidRPr="00360C99">
        <w:rPr>
          <w:szCs w:val="24"/>
          <w:u w:val="single"/>
        </w:rPr>
        <w:t>Schedule 1</w:t>
      </w:r>
      <w:r w:rsidRPr="00360C99">
        <w:rPr>
          <w:szCs w:val="24"/>
          <w:u w:val="single"/>
        </w:rPr>
        <w:tab/>
        <w:t>- Amendments</w:t>
      </w:r>
    </w:p>
    <w:p w:rsidR="00F6001D" w:rsidRPr="00360C99" w:rsidRDefault="00F6001D"/>
    <w:p w:rsidR="00F6001D" w:rsidRPr="00360C99" w:rsidRDefault="00842F6E" w:rsidP="00AD3C72">
      <w:pPr>
        <w:spacing w:after="120"/>
        <w:ind w:firstLine="3"/>
        <w:rPr>
          <w:b/>
          <w:szCs w:val="24"/>
        </w:rPr>
      </w:pPr>
      <w:r w:rsidRPr="00360C99">
        <w:rPr>
          <w:b/>
          <w:szCs w:val="24"/>
        </w:rPr>
        <w:t>I</w:t>
      </w:r>
      <w:r w:rsidR="00F6001D" w:rsidRPr="00360C99">
        <w:rPr>
          <w:b/>
          <w:szCs w:val="24"/>
        </w:rPr>
        <w:t>tem [1] – Paragraph 3(2)(l)</w:t>
      </w:r>
    </w:p>
    <w:p w:rsidR="00F6001D" w:rsidRPr="00360C99" w:rsidRDefault="00842F6E" w:rsidP="0047151C">
      <w:r w:rsidRPr="00360C99">
        <w:t>I</w:t>
      </w:r>
      <w:r w:rsidR="00F6001D" w:rsidRPr="00360C99">
        <w:t>tem [1] make</w:t>
      </w:r>
      <w:r w:rsidRPr="00360C99">
        <w:t>s</w:t>
      </w:r>
      <w:r w:rsidR="00F6001D" w:rsidRPr="00360C99">
        <w:t xml:space="preserve"> a minor formatting change to paragraph 3(2)(l) of the Principal Regu</w:t>
      </w:r>
      <w:r w:rsidR="0077185A" w:rsidRPr="00360C99">
        <w:t xml:space="preserve">lations in order to accommodate </w:t>
      </w:r>
      <w:r w:rsidR="00F6001D" w:rsidRPr="00360C99">
        <w:t>item [2].</w:t>
      </w:r>
    </w:p>
    <w:p w:rsidR="00F6001D" w:rsidRPr="00360C99" w:rsidRDefault="00F6001D" w:rsidP="00573320">
      <w:pPr>
        <w:ind w:firstLine="3"/>
        <w:rPr>
          <w:szCs w:val="24"/>
        </w:rPr>
      </w:pPr>
    </w:p>
    <w:p w:rsidR="00F6001D" w:rsidRPr="00360C99" w:rsidRDefault="00842F6E" w:rsidP="00533D59">
      <w:pPr>
        <w:spacing w:after="120"/>
        <w:ind w:firstLine="3"/>
        <w:rPr>
          <w:b/>
          <w:szCs w:val="24"/>
        </w:rPr>
      </w:pPr>
      <w:r w:rsidRPr="00360C99">
        <w:rPr>
          <w:b/>
          <w:szCs w:val="24"/>
        </w:rPr>
        <w:t>I</w:t>
      </w:r>
      <w:r w:rsidR="00F6001D" w:rsidRPr="00360C99">
        <w:rPr>
          <w:b/>
          <w:szCs w:val="24"/>
        </w:rPr>
        <w:t>tem [2] – After paragraph 3(2)(l)</w:t>
      </w:r>
    </w:p>
    <w:p w:rsidR="00F6001D" w:rsidRPr="00360C99" w:rsidRDefault="00842F6E" w:rsidP="00182C4B">
      <w:pPr>
        <w:ind w:firstLine="3"/>
        <w:rPr>
          <w:szCs w:val="24"/>
        </w:rPr>
      </w:pPr>
      <w:r w:rsidRPr="00360C99">
        <w:rPr>
          <w:szCs w:val="24"/>
        </w:rPr>
        <w:t>I</w:t>
      </w:r>
      <w:r w:rsidR="00F6001D" w:rsidRPr="00360C99">
        <w:rPr>
          <w:szCs w:val="24"/>
        </w:rPr>
        <w:t>tem [2] insert</w:t>
      </w:r>
      <w:r w:rsidRPr="00360C99">
        <w:rPr>
          <w:szCs w:val="24"/>
        </w:rPr>
        <w:t>s</w:t>
      </w:r>
      <w:r w:rsidR="00F6001D" w:rsidRPr="00360C99">
        <w:rPr>
          <w:szCs w:val="24"/>
        </w:rPr>
        <w:t xml:space="preserve"> a new paragraph 3(2)(m) in the Principal Regulations, which specif</w:t>
      </w:r>
      <w:r w:rsidRPr="00360C99">
        <w:rPr>
          <w:szCs w:val="24"/>
        </w:rPr>
        <w:t>ies</w:t>
      </w:r>
      <w:r w:rsidR="00F6001D" w:rsidRPr="00360C99">
        <w:rPr>
          <w:szCs w:val="24"/>
        </w:rPr>
        <w:t xml:space="preserve"> that, despite paragraphs 3(2)(a) to (l) of the Principal Regulations, the annual charge for a licence for the manufacture of a biological only is nil.</w:t>
      </w:r>
    </w:p>
    <w:p w:rsidR="00F6001D" w:rsidRPr="00360C99" w:rsidRDefault="00F6001D" w:rsidP="00182C4B">
      <w:pPr>
        <w:ind w:firstLine="3"/>
        <w:rPr>
          <w:szCs w:val="24"/>
        </w:rPr>
      </w:pPr>
    </w:p>
    <w:p w:rsidR="00F6001D" w:rsidRPr="00360C99" w:rsidRDefault="0077185A" w:rsidP="00526267">
      <w:pPr>
        <w:ind w:firstLine="3"/>
        <w:rPr>
          <w:szCs w:val="24"/>
        </w:rPr>
      </w:pPr>
      <w:r w:rsidRPr="00360C99">
        <w:rPr>
          <w:szCs w:val="24"/>
        </w:rPr>
        <w:t xml:space="preserve">The intended effect </w:t>
      </w:r>
      <w:r w:rsidR="00F6001D" w:rsidRPr="00360C99">
        <w:rPr>
          <w:szCs w:val="24"/>
        </w:rPr>
        <w:t>of new paragraph 3(2)(m) is that where the only products manufactured by a licence holder, or in relation to which a licence holder engages in a step in manufacture, are biologicals (and not other therapeutic goods), the applicable annual licence charge will be nil.</w:t>
      </w:r>
    </w:p>
    <w:p w:rsidR="00F6001D" w:rsidRPr="00360C99" w:rsidRDefault="00F6001D" w:rsidP="00526267">
      <w:pPr>
        <w:ind w:firstLine="3"/>
        <w:rPr>
          <w:szCs w:val="24"/>
        </w:rPr>
      </w:pPr>
    </w:p>
    <w:p w:rsidR="00F6001D" w:rsidRPr="00360C99" w:rsidRDefault="002A5789" w:rsidP="00845A80">
      <w:pPr>
        <w:rPr>
          <w:szCs w:val="24"/>
        </w:rPr>
      </w:pPr>
      <w:r w:rsidRPr="00360C99">
        <w:rPr>
          <w:szCs w:val="24"/>
        </w:rPr>
        <w:t xml:space="preserve">Amendments were made to the </w:t>
      </w:r>
      <w:r w:rsidR="00F6001D" w:rsidRPr="00360C99">
        <w:rPr>
          <w:i/>
          <w:szCs w:val="24"/>
        </w:rPr>
        <w:t>Therapeutic Goods Act 1989</w:t>
      </w:r>
      <w:r w:rsidR="00F6001D" w:rsidRPr="00360C99">
        <w:rPr>
          <w:szCs w:val="24"/>
        </w:rPr>
        <w:t xml:space="preserve"> by the </w:t>
      </w:r>
      <w:r w:rsidR="00F6001D" w:rsidRPr="00360C99">
        <w:rPr>
          <w:i/>
          <w:szCs w:val="24"/>
        </w:rPr>
        <w:t>Therapeutic Goods Amendment (2009 Measures No.3) Act 2010</w:t>
      </w:r>
      <w:r w:rsidR="00F6001D" w:rsidRPr="00360C99">
        <w:rPr>
          <w:szCs w:val="24"/>
        </w:rPr>
        <w:t xml:space="preserve"> to establish a new regulatory framework for </w:t>
      </w:r>
      <w:proofErr w:type="spellStart"/>
      <w:r w:rsidRPr="00360C99">
        <w:rPr>
          <w:szCs w:val="24"/>
        </w:rPr>
        <w:t>biological</w:t>
      </w:r>
      <w:r w:rsidR="00187697" w:rsidRPr="00360C99">
        <w:rPr>
          <w:szCs w:val="24"/>
        </w:rPr>
        <w:t>s</w:t>
      </w:r>
      <w:proofErr w:type="spellEnd"/>
      <w:r w:rsidRPr="00360C99">
        <w:rPr>
          <w:szCs w:val="24"/>
        </w:rPr>
        <w:t xml:space="preserve">.  These amendments commenced on 31 </w:t>
      </w:r>
      <w:r w:rsidR="00187697" w:rsidRPr="00360C99">
        <w:rPr>
          <w:szCs w:val="24"/>
        </w:rPr>
        <w:t>M</w:t>
      </w:r>
      <w:r w:rsidRPr="00360C99">
        <w:rPr>
          <w:szCs w:val="24"/>
        </w:rPr>
        <w:t>ay 2011.</w:t>
      </w:r>
    </w:p>
    <w:p w:rsidR="00F6001D" w:rsidRPr="00360C99" w:rsidRDefault="00F6001D" w:rsidP="00845A80">
      <w:pPr>
        <w:rPr>
          <w:szCs w:val="24"/>
        </w:rPr>
      </w:pPr>
    </w:p>
    <w:p w:rsidR="00F6001D" w:rsidRPr="00360C99" w:rsidRDefault="00F6001D" w:rsidP="00845A80">
      <w:pPr>
        <w:rPr>
          <w:szCs w:val="24"/>
        </w:rPr>
      </w:pPr>
      <w:r w:rsidRPr="00360C99">
        <w:rPr>
          <w:szCs w:val="24"/>
        </w:rPr>
        <w:t xml:space="preserve">Amendments, commencing on the same day, were also made to the Principal Regulations, the </w:t>
      </w:r>
      <w:r w:rsidRPr="00360C99">
        <w:rPr>
          <w:i/>
          <w:szCs w:val="24"/>
        </w:rPr>
        <w:t>Therapeutic Goods Regulations 1990</w:t>
      </w:r>
      <w:r w:rsidRPr="00360C99">
        <w:rPr>
          <w:szCs w:val="24"/>
        </w:rPr>
        <w:t xml:space="preserve"> and the </w:t>
      </w:r>
      <w:r w:rsidRPr="00360C99">
        <w:rPr>
          <w:i/>
          <w:szCs w:val="24"/>
        </w:rPr>
        <w:t>Therapeutic Goods (Medical Devices) Regulations 2002</w:t>
      </w:r>
      <w:r w:rsidRPr="00360C99">
        <w:rPr>
          <w:szCs w:val="24"/>
        </w:rPr>
        <w:t xml:space="preserve"> to implement many of the details of the new framework.</w:t>
      </w:r>
    </w:p>
    <w:p w:rsidR="00F6001D" w:rsidRPr="00360C99" w:rsidRDefault="00F6001D" w:rsidP="00845A80">
      <w:pPr>
        <w:rPr>
          <w:szCs w:val="24"/>
        </w:rPr>
      </w:pPr>
    </w:p>
    <w:p w:rsidR="00F6001D" w:rsidRPr="00360C99" w:rsidRDefault="00F6001D" w:rsidP="00845A80">
      <w:pPr>
        <w:rPr>
          <w:szCs w:val="24"/>
        </w:rPr>
      </w:pPr>
      <w:r w:rsidRPr="00360C99">
        <w:rPr>
          <w:szCs w:val="24"/>
        </w:rPr>
        <w:t>However, this measure was inadvertently not included in the abovementioned amendments to the Principal Regulations that commenced on 31 May 2011 and, as such, annual licence charges have remained in place in relation to relevant manufacturers of biologicals.</w:t>
      </w:r>
    </w:p>
    <w:p w:rsidR="00F6001D" w:rsidRPr="00360C99" w:rsidRDefault="00F6001D" w:rsidP="00845A80">
      <w:pPr>
        <w:rPr>
          <w:szCs w:val="24"/>
        </w:rPr>
      </w:pPr>
    </w:p>
    <w:p w:rsidR="00F6001D" w:rsidRPr="00360C99" w:rsidRDefault="00842F6E" w:rsidP="00845A80">
      <w:pPr>
        <w:rPr>
          <w:szCs w:val="24"/>
        </w:rPr>
      </w:pPr>
      <w:r w:rsidRPr="00360C99">
        <w:rPr>
          <w:szCs w:val="24"/>
        </w:rPr>
        <w:t>I</w:t>
      </w:r>
      <w:r w:rsidR="00F6001D" w:rsidRPr="00360C99">
        <w:rPr>
          <w:szCs w:val="24"/>
        </w:rPr>
        <w:t>tem [2] therefore address</w:t>
      </w:r>
      <w:r w:rsidRPr="00360C99">
        <w:rPr>
          <w:szCs w:val="24"/>
        </w:rPr>
        <w:t>es</w:t>
      </w:r>
      <w:r w:rsidR="00F6001D" w:rsidRPr="00360C99">
        <w:rPr>
          <w:szCs w:val="24"/>
        </w:rPr>
        <w:t xml:space="preserve"> that inadvertent omission.</w:t>
      </w:r>
    </w:p>
    <w:p w:rsidR="00F6001D" w:rsidRPr="00360C99" w:rsidRDefault="00F6001D" w:rsidP="00182C4B">
      <w:pPr>
        <w:ind w:firstLine="3"/>
        <w:rPr>
          <w:szCs w:val="24"/>
        </w:rPr>
      </w:pPr>
    </w:p>
    <w:p w:rsidR="00F6001D" w:rsidRPr="00360C99" w:rsidRDefault="00842F6E" w:rsidP="00455216">
      <w:pPr>
        <w:spacing w:after="120"/>
        <w:ind w:firstLine="3"/>
        <w:rPr>
          <w:b/>
          <w:szCs w:val="24"/>
        </w:rPr>
      </w:pPr>
      <w:r w:rsidRPr="00360C99">
        <w:rPr>
          <w:b/>
          <w:szCs w:val="24"/>
        </w:rPr>
        <w:t>I</w:t>
      </w:r>
      <w:r w:rsidR="00F6001D" w:rsidRPr="00360C99">
        <w:rPr>
          <w:b/>
          <w:szCs w:val="24"/>
        </w:rPr>
        <w:t xml:space="preserve">tem [3] – </w:t>
      </w:r>
      <w:proofErr w:type="spellStart"/>
      <w:r w:rsidR="00F6001D" w:rsidRPr="00360C99">
        <w:rPr>
          <w:b/>
          <w:szCs w:val="24"/>
        </w:rPr>
        <w:t>Subregulation</w:t>
      </w:r>
      <w:proofErr w:type="spellEnd"/>
      <w:r w:rsidR="00F6001D" w:rsidRPr="00360C99">
        <w:rPr>
          <w:b/>
          <w:szCs w:val="24"/>
        </w:rPr>
        <w:t xml:space="preserve"> 3(3)</w:t>
      </w:r>
    </w:p>
    <w:p w:rsidR="00F6001D" w:rsidRPr="00360C99" w:rsidRDefault="00F6001D" w:rsidP="0077185A">
      <w:pPr>
        <w:rPr>
          <w:szCs w:val="24"/>
        </w:rPr>
      </w:pPr>
      <w:proofErr w:type="spellStart"/>
      <w:r w:rsidRPr="00360C99">
        <w:rPr>
          <w:szCs w:val="24"/>
        </w:rPr>
        <w:t>Subregulation</w:t>
      </w:r>
      <w:proofErr w:type="spellEnd"/>
      <w:r w:rsidRPr="00360C99">
        <w:rPr>
          <w:szCs w:val="24"/>
        </w:rPr>
        <w:t xml:space="preserve"> 3(3) of the Principal Regulations currently sets out that if, but for that subregulation, more than one of the annual charges listed in </w:t>
      </w:r>
      <w:proofErr w:type="spellStart"/>
      <w:r w:rsidRPr="00360C99">
        <w:rPr>
          <w:szCs w:val="24"/>
        </w:rPr>
        <w:t>subregulation</w:t>
      </w:r>
      <w:proofErr w:type="spellEnd"/>
      <w:r w:rsidRPr="00360C99">
        <w:rPr>
          <w:szCs w:val="24"/>
        </w:rPr>
        <w:t xml:space="preserve"> 3(2) </w:t>
      </w:r>
      <w:r w:rsidR="00842F6E" w:rsidRPr="00360C99">
        <w:rPr>
          <w:szCs w:val="24"/>
        </w:rPr>
        <w:t xml:space="preserve">will </w:t>
      </w:r>
      <w:r w:rsidRPr="00360C99">
        <w:rPr>
          <w:szCs w:val="24"/>
        </w:rPr>
        <w:t>otherwise apply to a manufacturing licence holder for a financial year in relation to the registration or listing of particular therapeutic goods or for a particular manufacturing licence, the licence holder need only pay the greatest such charge.</w:t>
      </w:r>
    </w:p>
    <w:p w:rsidR="00F6001D" w:rsidRPr="00360C99" w:rsidRDefault="00F6001D" w:rsidP="008D02D3">
      <w:pPr>
        <w:ind w:firstLine="3"/>
        <w:rPr>
          <w:szCs w:val="24"/>
        </w:rPr>
      </w:pPr>
    </w:p>
    <w:p w:rsidR="00F6001D" w:rsidRPr="00360C99" w:rsidRDefault="00F6001D" w:rsidP="008D02D3">
      <w:pPr>
        <w:ind w:firstLine="3"/>
        <w:rPr>
          <w:szCs w:val="24"/>
        </w:rPr>
      </w:pPr>
      <w:r w:rsidRPr="00360C99">
        <w:rPr>
          <w:szCs w:val="24"/>
        </w:rPr>
        <w:t xml:space="preserve">Subregulation 3(3) is in place because paragraphs 3(2)(a) to (l) of the Principal Regulations list a number of annual charges relating the manufacture of different kinds of products, and a manufacturer who manufactures across those categories </w:t>
      </w:r>
      <w:r w:rsidR="00842F6E" w:rsidRPr="00360C99">
        <w:rPr>
          <w:szCs w:val="24"/>
        </w:rPr>
        <w:t>will</w:t>
      </w:r>
      <w:r w:rsidRPr="00360C99">
        <w:rPr>
          <w:szCs w:val="24"/>
        </w:rPr>
        <w:t xml:space="preserve"> otherwise be liable to pay a number of annual charges in relation to the same manufacturing licence.</w:t>
      </w:r>
    </w:p>
    <w:p w:rsidR="00F6001D" w:rsidRPr="00360C99" w:rsidRDefault="00F6001D" w:rsidP="008D02D3">
      <w:pPr>
        <w:ind w:firstLine="3"/>
        <w:rPr>
          <w:szCs w:val="24"/>
        </w:rPr>
      </w:pPr>
    </w:p>
    <w:p w:rsidR="00F6001D" w:rsidRPr="00360C99" w:rsidRDefault="00F6001D" w:rsidP="008D02D3">
      <w:pPr>
        <w:ind w:firstLine="3"/>
        <w:rPr>
          <w:szCs w:val="24"/>
        </w:rPr>
      </w:pPr>
      <w:r w:rsidRPr="00360C99">
        <w:rPr>
          <w:szCs w:val="24"/>
        </w:rPr>
        <w:t>As explained above, item [2] make</w:t>
      </w:r>
      <w:r w:rsidR="00842F6E" w:rsidRPr="00360C99">
        <w:rPr>
          <w:szCs w:val="24"/>
        </w:rPr>
        <w:t>s</w:t>
      </w:r>
      <w:r w:rsidRPr="00360C99">
        <w:rPr>
          <w:szCs w:val="24"/>
        </w:rPr>
        <w:t xml:space="preserve"> it clear that where a licence holder only manufactures biologicals, the applicable annual licence charge is nil.</w:t>
      </w:r>
    </w:p>
    <w:p w:rsidR="00F6001D" w:rsidRPr="00360C99" w:rsidRDefault="00F6001D" w:rsidP="008D02D3">
      <w:pPr>
        <w:ind w:firstLine="3"/>
        <w:rPr>
          <w:szCs w:val="24"/>
        </w:rPr>
      </w:pPr>
    </w:p>
    <w:p w:rsidR="00F6001D" w:rsidRPr="00360C99" w:rsidRDefault="00F6001D" w:rsidP="008D02D3">
      <w:pPr>
        <w:ind w:firstLine="3"/>
        <w:rPr>
          <w:szCs w:val="24"/>
        </w:rPr>
      </w:pPr>
      <w:r w:rsidRPr="00360C99">
        <w:rPr>
          <w:szCs w:val="24"/>
        </w:rPr>
        <w:t xml:space="preserve">A licence holder who manufactures, or who engages in a step in the manufacture of, both biologicals and other therapeutic goods could not rely on new paragraph 3(2)(m), because in such circumstances they could not be said to be manufacturing </w:t>
      </w:r>
      <w:r w:rsidRPr="00360C99">
        <w:rPr>
          <w:i/>
          <w:szCs w:val="24"/>
        </w:rPr>
        <w:t>only</w:t>
      </w:r>
      <w:r w:rsidRPr="00360C99">
        <w:rPr>
          <w:szCs w:val="24"/>
        </w:rPr>
        <w:t xml:space="preserve"> biologicals.</w:t>
      </w:r>
    </w:p>
    <w:p w:rsidR="00F6001D" w:rsidRPr="00360C99" w:rsidRDefault="00F6001D" w:rsidP="008D02D3">
      <w:pPr>
        <w:ind w:firstLine="3"/>
        <w:rPr>
          <w:szCs w:val="24"/>
        </w:rPr>
      </w:pPr>
    </w:p>
    <w:p w:rsidR="00F6001D" w:rsidRPr="00360C99" w:rsidRDefault="00F6001D" w:rsidP="008D02D3">
      <w:pPr>
        <w:ind w:firstLine="3"/>
        <w:rPr>
          <w:szCs w:val="24"/>
        </w:rPr>
      </w:pPr>
      <w:r w:rsidRPr="00360C99">
        <w:rPr>
          <w:szCs w:val="24"/>
        </w:rPr>
        <w:t>As such, a situation could occur where:</w:t>
      </w:r>
    </w:p>
    <w:p w:rsidR="00F6001D" w:rsidRPr="00360C99" w:rsidRDefault="00F6001D" w:rsidP="008D02D3">
      <w:pPr>
        <w:ind w:firstLine="3"/>
        <w:rPr>
          <w:szCs w:val="24"/>
        </w:rPr>
      </w:pPr>
    </w:p>
    <w:p w:rsidR="00F6001D" w:rsidRPr="00360C99" w:rsidRDefault="00F6001D" w:rsidP="002A5789">
      <w:pPr>
        <w:numPr>
          <w:ilvl w:val="0"/>
          <w:numId w:val="16"/>
        </w:numPr>
        <w:ind w:hanging="439"/>
        <w:rPr>
          <w:szCs w:val="24"/>
        </w:rPr>
      </w:pPr>
      <w:r w:rsidRPr="00360C99">
        <w:rPr>
          <w:szCs w:val="24"/>
        </w:rPr>
        <w:t>a licence holder:</w:t>
      </w:r>
    </w:p>
    <w:p w:rsidR="00F6001D" w:rsidRPr="00360C99" w:rsidRDefault="00F6001D" w:rsidP="002C36F0">
      <w:pPr>
        <w:numPr>
          <w:ilvl w:val="1"/>
          <w:numId w:val="17"/>
        </w:numPr>
        <w:rPr>
          <w:szCs w:val="24"/>
        </w:rPr>
      </w:pPr>
      <w:r w:rsidRPr="00360C99">
        <w:rPr>
          <w:szCs w:val="24"/>
        </w:rPr>
        <w:t>manufactures biologicals and other therapeutic goods under a manufacturing licence; and</w:t>
      </w:r>
    </w:p>
    <w:p w:rsidR="00F6001D" w:rsidRPr="00360C99" w:rsidRDefault="00F6001D" w:rsidP="002C36F0">
      <w:pPr>
        <w:numPr>
          <w:ilvl w:val="1"/>
          <w:numId w:val="17"/>
        </w:numPr>
        <w:rPr>
          <w:szCs w:val="24"/>
        </w:rPr>
      </w:pPr>
      <w:r w:rsidRPr="00360C99">
        <w:rPr>
          <w:szCs w:val="24"/>
        </w:rPr>
        <w:t xml:space="preserve">manufactures in such a manner that they </w:t>
      </w:r>
      <w:r w:rsidR="00842F6E" w:rsidRPr="00360C99">
        <w:rPr>
          <w:szCs w:val="24"/>
        </w:rPr>
        <w:t>will</w:t>
      </w:r>
      <w:r w:rsidRPr="00360C99">
        <w:rPr>
          <w:szCs w:val="24"/>
        </w:rPr>
        <w:t xml:space="preserve">, but for </w:t>
      </w:r>
      <w:proofErr w:type="spellStart"/>
      <w:r w:rsidRPr="00360C99">
        <w:rPr>
          <w:szCs w:val="24"/>
        </w:rPr>
        <w:t>subregulation</w:t>
      </w:r>
      <w:proofErr w:type="spellEnd"/>
      <w:r w:rsidRPr="00360C99">
        <w:rPr>
          <w:szCs w:val="24"/>
        </w:rPr>
        <w:t xml:space="preserve"> 3(3), be required to pay more than one of the annual charges set out in paragraphs 3(2)(a) to (l) in relation to that licence; and</w:t>
      </w:r>
    </w:p>
    <w:p w:rsidR="00F6001D" w:rsidRPr="00360C99" w:rsidRDefault="00F6001D" w:rsidP="002A5789">
      <w:pPr>
        <w:numPr>
          <w:ilvl w:val="0"/>
          <w:numId w:val="16"/>
        </w:numPr>
        <w:ind w:hanging="439"/>
        <w:rPr>
          <w:szCs w:val="24"/>
        </w:rPr>
      </w:pPr>
      <w:r w:rsidRPr="00360C99">
        <w:rPr>
          <w:szCs w:val="24"/>
        </w:rPr>
        <w:t>in relation to the greatest such charge, the licence holder only manufactures, or only engages in a step in the manufacture of, biologicals.</w:t>
      </w:r>
    </w:p>
    <w:p w:rsidR="00F6001D" w:rsidRPr="00360C99" w:rsidRDefault="00F6001D" w:rsidP="008D02D3">
      <w:pPr>
        <w:ind w:firstLine="3"/>
        <w:rPr>
          <w:szCs w:val="24"/>
        </w:rPr>
      </w:pPr>
    </w:p>
    <w:p w:rsidR="00F6001D" w:rsidRPr="00360C99" w:rsidRDefault="00F6001D" w:rsidP="008D02D3">
      <w:pPr>
        <w:ind w:firstLine="3"/>
        <w:rPr>
          <w:szCs w:val="24"/>
        </w:rPr>
      </w:pPr>
      <w:r w:rsidRPr="00360C99">
        <w:rPr>
          <w:szCs w:val="24"/>
        </w:rPr>
        <w:t>For example, if a manufacturer:</w:t>
      </w:r>
    </w:p>
    <w:p w:rsidR="00F6001D" w:rsidRPr="00360C99" w:rsidRDefault="00F6001D" w:rsidP="008D02D3">
      <w:pPr>
        <w:ind w:firstLine="3"/>
        <w:rPr>
          <w:szCs w:val="24"/>
        </w:rPr>
      </w:pPr>
    </w:p>
    <w:p w:rsidR="00F6001D" w:rsidRPr="00360C99" w:rsidRDefault="00F6001D" w:rsidP="002A5789">
      <w:pPr>
        <w:numPr>
          <w:ilvl w:val="0"/>
          <w:numId w:val="16"/>
        </w:numPr>
        <w:ind w:hanging="439"/>
        <w:rPr>
          <w:szCs w:val="24"/>
        </w:rPr>
      </w:pPr>
      <w:r w:rsidRPr="00360C99">
        <w:rPr>
          <w:szCs w:val="24"/>
        </w:rPr>
        <w:t xml:space="preserve">produces sterile goods that are all </w:t>
      </w:r>
      <w:proofErr w:type="spellStart"/>
      <w:r w:rsidRPr="00360C99">
        <w:rPr>
          <w:szCs w:val="24"/>
        </w:rPr>
        <w:t>biologicals</w:t>
      </w:r>
      <w:proofErr w:type="spellEnd"/>
      <w:r w:rsidRPr="00360C99">
        <w:rPr>
          <w:szCs w:val="24"/>
        </w:rPr>
        <w:t xml:space="preserve">, which </w:t>
      </w:r>
      <w:r w:rsidR="00842F6E" w:rsidRPr="00360C99">
        <w:rPr>
          <w:szCs w:val="24"/>
        </w:rPr>
        <w:t xml:space="preserve">would </w:t>
      </w:r>
      <w:r w:rsidRPr="00360C99">
        <w:rPr>
          <w:szCs w:val="24"/>
        </w:rPr>
        <w:t>result in an annual charge of $10,300 under paragraph 3(2)(a); and</w:t>
      </w:r>
    </w:p>
    <w:p w:rsidR="00F6001D" w:rsidRPr="00360C99" w:rsidRDefault="00F6001D" w:rsidP="002A5789">
      <w:pPr>
        <w:numPr>
          <w:ilvl w:val="0"/>
          <w:numId w:val="16"/>
        </w:numPr>
        <w:ind w:hanging="439"/>
        <w:rPr>
          <w:szCs w:val="24"/>
        </w:rPr>
      </w:pPr>
      <w:r w:rsidRPr="00360C99">
        <w:rPr>
          <w:szCs w:val="24"/>
        </w:rPr>
        <w:t xml:space="preserve">produces ingredients, being ingredients that are not </w:t>
      </w:r>
      <w:proofErr w:type="spellStart"/>
      <w:r w:rsidRPr="00360C99">
        <w:rPr>
          <w:szCs w:val="24"/>
        </w:rPr>
        <w:t>biologicals</w:t>
      </w:r>
      <w:proofErr w:type="spellEnd"/>
      <w:r w:rsidRPr="00360C99">
        <w:rPr>
          <w:szCs w:val="24"/>
        </w:rPr>
        <w:t xml:space="preserve">, which </w:t>
      </w:r>
      <w:r w:rsidR="00842F6E" w:rsidRPr="00360C99">
        <w:rPr>
          <w:szCs w:val="24"/>
        </w:rPr>
        <w:t>would</w:t>
      </w:r>
      <w:r w:rsidRPr="00360C99">
        <w:rPr>
          <w:szCs w:val="24"/>
        </w:rPr>
        <w:t xml:space="preserve"> result in an annual charge of $5,300 under paragraph 3(2)(c).</w:t>
      </w:r>
    </w:p>
    <w:p w:rsidR="00F6001D" w:rsidRPr="00360C99" w:rsidRDefault="00F6001D" w:rsidP="008D02D3">
      <w:pPr>
        <w:ind w:firstLine="3"/>
        <w:rPr>
          <w:szCs w:val="24"/>
        </w:rPr>
      </w:pPr>
    </w:p>
    <w:p w:rsidR="00F6001D" w:rsidRPr="00360C99" w:rsidRDefault="00F6001D" w:rsidP="008D02D3">
      <w:pPr>
        <w:ind w:firstLine="3"/>
        <w:rPr>
          <w:szCs w:val="24"/>
        </w:rPr>
      </w:pPr>
      <w:r w:rsidRPr="00360C99">
        <w:rPr>
          <w:szCs w:val="24"/>
        </w:rPr>
        <w:t xml:space="preserve">In such a situation, the manufacturer could not, as explained above, rely on new paragraph 3(2)(m) because they </w:t>
      </w:r>
      <w:r w:rsidR="0077185A" w:rsidRPr="00360C99">
        <w:rPr>
          <w:szCs w:val="24"/>
        </w:rPr>
        <w:t xml:space="preserve">would </w:t>
      </w:r>
      <w:r w:rsidRPr="00360C99">
        <w:rPr>
          <w:szCs w:val="24"/>
        </w:rPr>
        <w:t>not be producing solely biologicals.</w:t>
      </w:r>
    </w:p>
    <w:p w:rsidR="00F6001D" w:rsidRPr="00360C99" w:rsidRDefault="00F6001D" w:rsidP="008D02D3">
      <w:pPr>
        <w:ind w:firstLine="3"/>
        <w:rPr>
          <w:szCs w:val="24"/>
        </w:rPr>
      </w:pPr>
    </w:p>
    <w:p w:rsidR="00F6001D" w:rsidRPr="00360C99" w:rsidRDefault="00F6001D" w:rsidP="008D02D3">
      <w:pPr>
        <w:ind w:firstLine="3"/>
        <w:rPr>
          <w:szCs w:val="24"/>
        </w:rPr>
      </w:pPr>
      <w:r w:rsidRPr="00360C99">
        <w:rPr>
          <w:szCs w:val="24"/>
        </w:rPr>
        <w:t xml:space="preserve">Further, in this situation the manufacturer </w:t>
      </w:r>
      <w:r w:rsidR="0077185A" w:rsidRPr="00360C99">
        <w:rPr>
          <w:szCs w:val="24"/>
        </w:rPr>
        <w:t>would</w:t>
      </w:r>
      <w:r w:rsidRPr="00360C99">
        <w:rPr>
          <w:szCs w:val="24"/>
        </w:rPr>
        <w:t xml:space="preserve">, through the operation of subregulation 3(3), be required to pay the </w:t>
      </w:r>
      <w:r w:rsidRPr="00360C99">
        <w:rPr>
          <w:i/>
          <w:szCs w:val="24"/>
        </w:rPr>
        <w:t>higher</w:t>
      </w:r>
      <w:r w:rsidRPr="00360C99">
        <w:rPr>
          <w:szCs w:val="24"/>
        </w:rPr>
        <w:t xml:space="preserve"> annual charge of $10,300 notwithstanding that the only goods produced by the manufacturer in relation to that charge were biologicals.</w:t>
      </w:r>
    </w:p>
    <w:p w:rsidR="00F6001D" w:rsidRPr="00360C99" w:rsidRDefault="00F6001D" w:rsidP="008D02D3">
      <w:pPr>
        <w:ind w:firstLine="3"/>
        <w:rPr>
          <w:szCs w:val="24"/>
        </w:rPr>
      </w:pPr>
    </w:p>
    <w:p w:rsidR="00F6001D" w:rsidRPr="00360C99" w:rsidRDefault="00F6001D" w:rsidP="00AB7E35">
      <w:pPr>
        <w:ind w:firstLine="3"/>
        <w:rPr>
          <w:szCs w:val="24"/>
        </w:rPr>
      </w:pPr>
      <w:r w:rsidRPr="00360C99">
        <w:rPr>
          <w:szCs w:val="24"/>
        </w:rPr>
        <w:t xml:space="preserve">As it is not intended that a manufacturer should pay a higher charge in relation to a licence by reason of manufacturing biologicals, an amendment is </w:t>
      </w:r>
      <w:r w:rsidR="0077185A" w:rsidRPr="00360C99">
        <w:rPr>
          <w:szCs w:val="24"/>
        </w:rPr>
        <w:t>made</w:t>
      </w:r>
      <w:r w:rsidRPr="00360C99">
        <w:rPr>
          <w:szCs w:val="24"/>
        </w:rPr>
        <w:t xml:space="preserve"> to </w:t>
      </w:r>
      <w:proofErr w:type="spellStart"/>
      <w:r w:rsidRPr="00360C99">
        <w:rPr>
          <w:szCs w:val="24"/>
        </w:rPr>
        <w:t>subregulation</w:t>
      </w:r>
      <w:proofErr w:type="spellEnd"/>
      <w:r w:rsidRPr="00360C99">
        <w:rPr>
          <w:szCs w:val="24"/>
        </w:rPr>
        <w:t xml:space="preserve"> 3(3) to ensure this cannot happen.</w:t>
      </w:r>
    </w:p>
    <w:p w:rsidR="00F6001D" w:rsidRPr="00360C99" w:rsidRDefault="00F6001D" w:rsidP="00AB7E35">
      <w:pPr>
        <w:ind w:firstLine="3"/>
        <w:rPr>
          <w:szCs w:val="24"/>
        </w:rPr>
      </w:pPr>
    </w:p>
    <w:p w:rsidR="00F6001D" w:rsidRPr="00360C99" w:rsidRDefault="0077185A" w:rsidP="008D02D3">
      <w:pPr>
        <w:ind w:firstLine="3"/>
        <w:rPr>
          <w:szCs w:val="24"/>
        </w:rPr>
      </w:pPr>
      <w:r w:rsidRPr="00360C99">
        <w:rPr>
          <w:szCs w:val="24"/>
        </w:rPr>
        <w:t>I</w:t>
      </w:r>
      <w:r w:rsidR="00F6001D" w:rsidRPr="00360C99">
        <w:rPr>
          <w:szCs w:val="24"/>
        </w:rPr>
        <w:t xml:space="preserve">tem [3] is intended to address this possibility by amending </w:t>
      </w:r>
      <w:proofErr w:type="spellStart"/>
      <w:r w:rsidR="00F6001D" w:rsidRPr="00360C99">
        <w:rPr>
          <w:szCs w:val="24"/>
        </w:rPr>
        <w:t>subregulation</w:t>
      </w:r>
      <w:proofErr w:type="spellEnd"/>
      <w:r w:rsidR="00F6001D" w:rsidRPr="00360C99">
        <w:rPr>
          <w:szCs w:val="24"/>
        </w:rPr>
        <w:t xml:space="preserve"> 3(3) of the Principal Regulations to provide that, when determining under that provision which of a number of annual licence charges is the greater, a charge payable only because </w:t>
      </w:r>
      <w:proofErr w:type="spellStart"/>
      <w:r w:rsidR="00F6001D" w:rsidRPr="00360C99">
        <w:rPr>
          <w:szCs w:val="24"/>
        </w:rPr>
        <w:t>biologicals</w:t>
      </w:r>
      <w:proofErr w:type="spellEnd"/>
      <w:r w:rsidR="00F6001D" w:rsidRPr="00360C99">
        <w:rPr>
          <w:szCs w:val="24"/>
        </w:rPr>
        <w:t xml:space="preserve"> are manufactured is not to be considered.</w:t>
      </w:r>
    </w:p>
    <w:p w:rsidR="00F6001D" w:rsidRPr="00360C99" w:rsidRDefault="00F6001D" w:rsidP="008D02D3">
      <w:pPr>
        <w:ind w:firstLine="3"/>
        <w:rPr>
          <w:szCs w:val="24"/>
        </w:rPr>
      </w:pPr>
    </w:p>
    <w:p w:rsidR="004476D7" w:rsidRPr="00360C99" w:rsidRDefault="004476D7">
      <w:pPr>
        <w:rPr>
          <w:szCs w:val="24"/>
        </w:rPr>
      </w:pPr>
      <w:r w:rsidRPr="00360C99">
        <w:rPr>
          <w:szCs w:val="24"/>
        </w:rPr>
        <w:br w:type="page"/>
      </w:r>
    </w:p>
    <w:p w:rsidR="004476D7" w:rsidRPr="00360C99" w:rsidRDefault="004476D7" w:rsidP="004476D7">
      <w:pPr>
        <w:spacing w:before="360" w:after="120"/>
        <w:jc w:val="center"/>
        <w:rPr>
          <w:b/>
          <w:sz w:val="28"/>
          <w:szCs w:val="28"/>
        </w:rPr>
      </w:pPr>
    </w:p>
    <w:p w:rsidR="004476D7" w:rsidRPr="00360C99" w:rsidRDefault="004476D7" w:rsidP="004476D7">
      <w:pPr>
        <w:spacing w:before="360" w:after="120"/>
        <w:jc w:val="center"/>
        <w:rPr>
          <w:b/>
          <w:sz w:val="28"/>
          <w:szCs w:val="28"/>
        </w:rPr>
      </w:pPr>
      <w:r w:rsidRPr="00360C99">
        <w:rPr>
          <w:b/>
          <w:sz w:val="28"/>
          <w:szCs w:val="28"/>
        </w:rPr>
        <w:t>Statement of Compatibility with Human Rights</w:t>
      </w:r>
    </w:p>
    <w:p w:rsidR="004476D7" w:rsidRPr="00360C99" w:rsidRDefault="004476D7" w:rsidP="004476D7">
      <w:pPr>
        <w:spacing w:before="120" w:after="120"/>
        <w:jc w:val="center"/>
        <w:rPr>
          <w:szCs w:val="24"/>
        </w:rPr>
      </w:pPr>
      <w:r w:rsidRPr="00360C99">
        <w:rPr>
          <w:i/>
          <w:szCs w:val="24"/>
        </w:rPr>
        <w:t>Prepared in accordance with Part 3 of the Human Rights (Parliamentary Scrutiny) Act 2011</w:t>
      </w:r>
    </w:p>
    <w:p w:rsidR="004476D7" w:rsidRPr="00360C99" w:rsidRDefault="004476D7" w:rsidP="004476D7">
      <w:pPr>
        <w:spacing w:before="120" w:after="120"/>
        <w:jc w:val="center"/>
        <w:rPr>
          <w:szCs w:val="24"/>
        </w:rPr>
      </w:pPr>
    </w:p>
    <w:p w:rsidR="004476D7" w:rsidRPr="00360C99" w:rsidRDefault="004476D7" w:rsidP="004476D7">
      <w:pPr>
        <w:spacing w:before="120" w:after="120"/>
        <w:jc w:val="center"/>
        <w:rPr>
          <w:b/>
          <w:szCs w:val="24"/>
        </w:rPr>
      </w:pPr>
      <w:r w:rsidRPr="00360C99">
        <w:rPr>
          <w:b/>
          <w:szCs w:val="24"/>
        </w:rPr>
        <w:t xml:space="preserve">Therapeutic Goods (Charges) </w:t>
      </w:r>
      <w:r w:rsidR="00204C82" w:rsidRPr="00360C99">
        <w:rPr>
          <w:b/>
          <w:szCs w:val="24"/>
        </w:rPr>
        <w:t>Amendment Regulation 2012 (No. 1</w:t>
      </w:r>
      <w:r w:rsidRPr="00360C99">
        <w:rPr>
          <w:b/>
          <w:szCs w:val="24"/>
        </w:rPr>
        <w:t>)</w:t>
      </w:r>
    </w:p>
    <w:p w:rsidR="004476D7" w:rsidRPr="00360C99" w:rsidRDefault="004476D7" w:rsidP="004476D7">
      <w:pPr>
        <w:spacing w:before="120" w:after="120"/>
        <w:jc w:val="center"/>
        <w:rPr>
          <w:szCs w:val="24"/>
        </w:rPr>
      </w:pPr>
    </w:p>
    <w:p w:rsidR="004476D7" w:rsidRPr="00360C99" w:rsidRDefault="004476D7" w:rsidP="004476D7">
      <w:pPr>
        <w:spacing w:before="120" w:after="120"/>
        <w:jc w:val="center"/>
        <w:rPr>
          <w:szCs w:val="24"/>
        </w:rPr>
      </w:pPr>
      <w:r w:rsidRPr="00360C99">
        <w:rPr>
          <w:szCs w:val="24"/>
        </w:rPr>
        <w:t xml:space="preserve">This legislative instrument is compatible with the human rights and freedoms recognised or declared in the international instruments listed in section 3 of the </w:t>
      </w:r>
      <w:r w:rsidRPr="00360C99">
        <w:rPr>
          <w:i/>
          <w:szCs w:val="24"/>
        </w:rPr>
        <w:t>Human Rights (Parliamentary Scrutiny) Act 2011</w:t>
      </w:r>
      <w:r w:rsidRPr="00360C99">
        <w:rPr>
          <w:szCs w:val="24"/>
        </w:rPr>
        <w:t>.</w:t>
      </w:r>
    </w:p>
    <w:p w:rsidR="004476D7" w:rsidRPr="00360C99" w:rsidRDefault="004476D7" w:rsidP="004476D7">
      <w:pPr>
        <w:spacing w:before="120" w:after="120"/>
        <w:jc w:val="center"/>
        <w:rPr>
          <w:szCs w:val="24"/>
        </w:rPr>
      </w:pPr>
    </w:p>
    <w:p w:rsidR="004476D7" w:rsidRPr="00360C99" w:rsidRDefault="004476D7" w:rsidP="004476D7">
      <w:pPr>
        <w:spacing w:before="120" w:after="120"/>
        <w:jc w:val="both"/>
        <w:rPr>
          <w:b/>
          <w:szCs w:val="24"/>
        </w:rPr>
      </w:pPr>
      <w:r w:rsidRPr="00360C99">
        <w:rPr>
          <w:b/>
          <w:szCs w:val="24"/>
        </w:rPr>
        <w:t>Overview of the Legislative Instrument</w:t>
      </w:r>
    </w:p>
    <w:p w:rsidR="004476D7" w:rsidRPr="00360C99" w:rsidRDefault="004476D7" w:rsidP="004476D7">
      <w:pPr>
        <w:spacing w:before="120" w:after="120"/>
        <w:rPr>
          <w:szCs w:val="24"/>
        </w:rPr>
      </w:pPr>
      <w:r w:rsidRPr="00360C99">
        <w:rPr>
          <w:szCs w:val="24"/>
        </w:rPr>
        <w:t xml:space="preserve">The </w:t>
      </w:r>
      <w:r w:rsidRPr="00360C99">
        <w:rPr>
          <w:i/>
          <w:szCs w:val="24"/>
        </w:rPr>
        <w:t>Therapeutic Goods (Charges) Amendment Regulation 2012 (No.</w:t>
      </w:r>
      <w:r w:rsidR="00204C82" w:rsidRPr="00360C99">
        <w:rPr>
          <w:i/>
          <w:szCs w:val="24"/>
        </w:rPr>
        <w:t xml:space="preserve"> 1</w:t>
      </w:r>
      <w:r w:rsidRPr="00360C99">
        <w:rPr>
          <w:i/>
          <w:szCs w:val="24"/>
        </w:rPr>
        <w:t>)</w:t>
      </w:r>
      <w:r w:rsidRPr="00360C99">
        <w:rPr>
          <w:szCs w:val="24"/>
        </w:rPr>
        <w:t xml:space="preserve"> (the Amendment Regulations) is made under subsection 5(1) of the </w:t>
      </w:r>
      <w:r w:rsidRPr="00360C99">
        <w:rPr>
          <w:i/>
          <w:szCs w:val="24"/>
        </w:rPr>
        <w:t xml:space="preserve">Therapeutic Goods (Charges) Act 1989 </w:t>
      </w:r>
      <w:r w:rsidRPr="00360C99">
        <w:rPr>
          <w:szCs w:val="24"/>
        </w:rPr>
        <w:t>(the Charges Act).</w:t>
      </w:r>
    </w:p>
    <w:p w:rsidR="004476D7" w:rsidRPr="00360C99" w:rsidRDefault="004476D7" w:rsidP="004476D7">
      <w:pPr>
        <w:spacing w:before="120" w:after="120"/>
        <w:rPr>
          <w:szCs w:val="24"/>
        </w:rPr>
      </w:pPr>
      <w:r w:rsidRPr="00360C99">
        <w:rPr>
          <w:szCs w:val="24"/>
        </w:rPr>
        <w:t xml:space="preserve">The purpose of the Amendment Regulation is to amend the </w:t>
      </w:r>
      <w:r w:rsidRPr="00360C99">
        <w:rPr>
          <w:i/>
          <w:szCs w:val="24"/>
        </w:rPr>
        <w:t>Therapeutic Goods (Charges) Regulations 1990</w:t>
      </w:r>
      <w:r w:rsidRPr="00360C99">
        <w:rPr>
          <w:szCs w:val="24"/>
        </w:rPr>
        <w:t xml:space="preserve"> to, principally, specify that manufacturers who manufacture solely </w:t>
      </w:r>
      <w:proofErr w:type="spellStart"/>
      <w:r w:rsidRPr="00360C99">
        <w:rPr>
          <w:szCs w:val="24"/>
        </w:rPr>
        <w:t>biologicals</w:t>
      </w:r>
      <w:proofErr w:type="spellEnd"/>
      <w:r w:rsidRPr="00360C99">
        <w:rPr>
          <w:szCs w:val="24"/>
        </w:rPr>
        <w:t xml:space="preserve"> are not required to pay an annual charge for their manufacturing licence. This measure was inadvertently not included in amending regulations which implemented many of the details of the new regulatory framework for </w:t>
      </w:r>
      <w:proofErr w:type="spellStart"/>
      <w:r w:rsidRPr="00360C99">
        <w:rPr>
          <w:szCs w:val="24"/>
        </w:rPr>
        <w:t>biologicals</w:t>
      </w:r>
      <w:proofErr w:type="spellEnd"/>
      <w:r w:rsidRPr="00360C99">
        <w:rPr>
          <w:szCs w:val="24"/>
        </w:rPr>
        <w:t xml:space="preserve"> which came into effect on 31 May 2011.</w:t>
      </w:r>
    </w:p>
    <w:p w:rsidR="004476D7" w:rsidRPr="00360C99" w:rsidRDefault="004476D7" w:rsidP="004476D7">
      <w:pPr>
        <w:spacing w:before="120" w:after="120"/>
        <w:rPr>
          <w:b/>
          <w:szCs w:val="24"/>
        </w:rPr>
      </w:pPr>
    </w:p>
    <w:p w:rsidR="004476D7" w:rsidRPr="00360C99" w:rsidRDefault="004476D7" w:rsidP="004476D7">
      <w:pPr>
        <w:spacing w:before="120" w:after="120"/>
        <w:rPr>
          <w:b/>
          <w:szCs w:val="24"/>
        </w:rPr>
      </w:pPr>
      <w:r w:rsidRPr="00360C99">
        <w:rPr>
          <w:b/>
          <w:szCs w:val="24"/>
        </w:rPr>
        <w:t>Human rights implications</w:t>
      </w:r>
    </w:p>
    <w:p w:rsidR="004476D7" w:rsidRPr="00360C99" w:rsidRDefault="004476D7" w:rsidP="004476D7">
      <w:pPr>
        <w:spacing w:before="120" w:after="120"/>
        <w:rPr>
          <w:szCs w:val="24"/>
        </w:rPr>
      </w:pPr>
      <w:r w:rsidRPr="00360C99">
        <w:rPr>
          <w:szCs w:val="24"/>
        </w:rPr>
        <w:t>This legislative instrument does not engage any of the applicable rights or freedoms.</w:t>
      </w:r>
    </w:p>
    <w:p w:rsidR="004476D7" w:rsidRPr="00360C99" w:rsidRDefault="004476D7" w:rsidP="004476D7">
      <w:pPr>
        <w:spacing w:before="120" w:after="120"/>
        <w:rPr>
          <w:szCs w:val="24"/>
        </w:rPr>
      </w:pPr>
    </w:p>
    <w:p w:rsidR="004476D7" w:rsidRPr="00360C99" w:rsidRDefault="004476D7" w:rsidP="004476D7">
      <w:pPr>
        <w:spacing w:before="120" w:after="120"/>
        <w:rPr>
          <w:b/>
          <w:szCs w:val="24"/>
        </w:rPr>
      </w:pPr>
      <w:r w:rsidRPr="00360C99">
        <w:rPr>
          <w:b/>
          <w:szCs w:val="24"/>
        </w:rPr>
        <w:t>Conclusion</w:t>
      </w:r>
    </w:p>
    <w:p w:rsidR="004476D7" w:rsidRPr="00360C99" w:rsidRDefault="004476D7" w:rsidP="004476D7">
      <w:pPr>
        <w:spacing w:before="120" w:after="120"/>
        <w:rPr>
          <w:szCs w:val="24"/>
        </w:rPr>
      </w:pPr>
      <w:r w:rsidRPr="00360C99">
        <w:rPr>
          <w:szCs w:val="24"/>
        </w:rPr>
        <w:t>This legislative instrument is compatible with human rights as it does not raise any human rights issues.</w:t>
      </w:r>
    </w:p>
    <w:p w:rsidR="004476D7" w:rsidRPr="00360C99" w:rsidRDefault="004476D7" w:rsidP="004476D7">
      <w:pPr>
        <w:spacing w:before="120" w:after="120"/>
        <w:rPr>
          <w:szCs w:val="24"/>
        </w:rPr>
      </w:pPr>
    </w:p>
    <w:p w:rsidR="004476D7" w:rsidRPr="00360C99" w:rsidRDefault="004476D7" w:rsidP="004476D7">
      <w:pPr>
        <w:spacing w:before="120" w:after="120"/>
        <w:rPr>
          <w:szCs w:val="24"/>
        </w:rPr>
      </w:pPr>
    </w:p>
    <w:p w:rsidR="004476D7" w:rsidRPr="00360C99" w:rsidRDefault="004476D7" w:rsidP="004476D7">
      <w:pPr>
        <w:spacing w:before="120" w:after="120"/>
        <w:rPr>
          <w:szCs w:val="24"/>
        </w:rPr>
      </w:pPr>
    </w:p>
    <w:p w:rsidR="004476D7" w:rsidRPr="00360C99" w:rsidRDefault="004476D7" w:rsidP="004476D7">
      <w:pPr>
        <w:spacing w:before="120" w:after="120"/>
        <w:rPr>
          <w:szCs w:val="24"/>
        </w:rPr>
      </w:pPr>
    </w:p>
    <w:p w:rsidR="004476D7" w:rsidRPr="00360C99" w:rsidRDefault="004476D7" w:rsidP="004476D7">
      <w:pPr>
        <w:spacing w:before="120" w:after="120"/>
        <w:jc w:val="center"/>
        <w:rPr>
          <w:b/>
          <w:szCs w:val="24"/>
        </w:rPr>
      </w:pPr>
      <w:r w:rsidRPr="00360C99">
        <w:rPr>
          <w:b/>
          <w:szCs w:val="24"/>
        </w:rPr>
        <w:t>Catherine King</w:t>
      </w:r>
    </w:p>
    <w:p w:rsidR="004476D7" w:rsidRPr="00562F2C" w:rsidRDefault="004476D7" w:rsidP="004476D7">
      <w:pPr>
        <w:spacing w:before="120" w:after="120"/>
        <w:jc w:val="center"/>
        <w:rPr>
          <w:b/>
          <w:szCs w:val="24"/>
        </w:rPr>
      </w:pPr>
      <w:r w:rsidRPr="00360C99">
        <w:rPr>
          <w:b/>
          <w:szCs w:val="24"/>
        </w:rPr>
        <w:t>Parliamentary Secretary for Health and Ageing</w:t>
      </w:r>
    </w:p>
    <w:p w:rsidR="004476D7" w:rsidRDefault="004476D7" w:rsidP="008D02D3">
      <w:pPr>
        <w:ind w:firstLine="3"/>
        <w:rPr>
          <w:szCs w:val="24"/>
        </w:rPr>
      </w:pPr>
    </w:p>
    <w:sectPr w:rsidR="004476D7" w:rsidSect="00E352D1">
      <w:headerReference w:type="even" r:id="rId7"/>
      <w:headerReference w:type="default" r:id="rId8"/>
      <w:pgSz w:w="11906" w:h="16838"/>
      <w:pgMar w:top="1134" w:right="1440" w:bottom="1134" w:left="1440" w:header="720" w:footer="720" w:gutter="0"/>
      <w:paperSrc w:first="7" w:other="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85A" w:rsidRDefault="0077185A">
      <w:r>
        <w:separator/>
      </w:r>
    </w:p>
  </w:endnote>
  <w:endnote w:type="continuationSeparator" w:id="0">
    <w:p w:rsidR="0077185A" w:rsidRDefault="007718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85A" w:rsidRDefault="0077185A">
      <w:r>
        <w:separator/>
      </w:r>
    </w:p>
  </w:footnote>
  <w:footnote w:type="continuationSeparator" w:id="0">
    <w:p w:rsidR="0077185A" w:rsidRDefault="0077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5A" w:rsidRDefault="00602EA3">
    <w:pPr>
      <w:pStyle w:val="Header"/>
      <w:framePr w:wrap="around" w:vAnchor="text" w:hAnchor="margin" w:xAlign="center" w:y="1"/>
      <w:rPr>
        <w:rStyle w:val="PageNumber"/>
      </w:rPr>
    </w:pPr>
    <w:r>
      <w:rPr>
        <w:rStyle w:val="PageNumber"/>
      </w:rPr>
      <w:fldChar w:fldCharType="begin"/>
    </w:r>
    <w:r w:rsidR="0077185A">
      <w:rPr>
        <w:rStyle w:val="PageNumber"/>
      </w:rPr>
      <w:instrText xml:space="preserve">PAGE  </w:instrText>
    </w:r>
    <w:r>
      <w:rPr>
        <w:rStyle w:val="PageNumber"/>
      </w:rPr>
      <w:fldChar w:fldCharType="separate"/>
    </w:r>
    <w:r w:rsidR="0077185A">
      <w:rPr>
        <w:rStyle w:val="PageNumber"/>
        <w:noProof/>
      </w:rPr>
      <w:t>1</w:t>
    </w:r>
    <w:r>
      <w:rPr>
        <w:rStyle w:val="PageNumber"/>
      </w:rPr>
      <w:fldChar w:fldCharType="end"/>
    </w:r>
  </w:p>
  <w:p w:rsidR="0077185A" w:rsidRDefault="007718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5A" w:rsidRDefault="00602EA3">
    <w:pPr>
      <w:pStyle w:val="Header"/>
      <w:framePr w:wrap="around" w:vAnchor="text" w:hAnchor="margin" w:xAlign="center" w:y="1"/>
      <w:rPr>
        <w:rStyle w:val="PageNumber"/>
      </w:rPr>
    </w:pPr>
    <w:r>
      <w:rPr>
        <w:rStyle w:val="PageNumber"/>
      </w:rPr>
      <w:fldChar w:fldCharType="begin"/>
    </w:r>
    <w:r w:rsidR="0077185A">
      <w:rPr>
        <w:rStyle w:val="PageNumber"/>
      </w:rPr>
      <w:instrText xml:space="preserve">PAGE  </w:instrText>
    </w:r>
    <w:r>
      <w:rPr>
        <w:rStyle w:val="PageNumber"/>
      </w:rPr>
      <w:fldChar w:fldCharType="separate"/>
    </w:r>
    <w:r w:rsidR="00360C99">
      <w:rPr>
        <w:rStyle w:val="PageNumber"/>
        <w:noProof/>
      </w:rPr>
      <w:t>5</w:t>
    </w:r>
    <w:r>
      <w:rPr>
        <w:rStyle w:val="PageNumber"/>
      </w:rPr>
      <w:fldChar w:fldCharType="end"/>
    </w:r>
  </w:p>
  <w:p w:rsidR="0077185A" w:rsidRDefault="007718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612"/>
    <w:multiLevelType w:val="hybridMultilevel"/>
    <w:tmpl w:val="C40C911C"/>
    <w:lvl w:ilvl="0" w:tplc="3224091C">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nsid w:val="073076DA"/>
    <w:multiLevelType w:val="multilevel"/>
    <w:tmpl w:val="6B086A7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087234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43D75BA"/>
    <w:multiLevelType w:val="hybridMultilevel"/>
    <w:tmpl w:val="2EA254F2"/>
    <w:lvl w:ilvl="0" w:tplc="B0D0C4F8">
      <w:start w:val="1"/>
      <w:numFmt w:val="bullet"/>
      <w:lvlText w:val=""/>
      <w:lvlJc w:val="left"/>
      <w:pPr>
        <w:tabs>
          <w:tab w:val="num" w:pos="506"/>
        </w:tabs>
        <w:ind w:left="506"/>
      </w:pPr>
      <w:rPr>
        <w:rFonts w:ascii="Symbol" w:hAnsi="Symbol" w:hint="default"/>
      </w:rPr>
    </w:lvl>
    <w:lvl w:ilvl="1" w:tplc="0C090003" w:tentative="1">
      <w:start w:val="1"/>
      <w:numFmt w:val="bullet"/>
      <w:lvlText w:val="o"/>
      <w:lvlJc w:val="left"/>
      <w:pPr>
        <w:tabs>
          <w:tab w:val="num" w:pos="1566"/>
        </w:tabs>
        <w:ind w:left="1566" w:hanging="360"/>
      </w:pPr>
      <w:rPr>
        <w:rFonts w:ascii="Courier New" w:hAnsi="Courier New" w:hint="default"/>
      </w:rPr>
    </w:lvl>
    <w:lvl w:ilvl="2" w:tplc="0C090005" w:tentative="1">
      <w:start w:val="1"/>
      <w:numFmt w:val="bullet"/>
      <w:lvlText w:val=""/>
      <w:lvlJc w:val="left"/>
      <w:pPr>
        <w:tabs>
          <w:tab w:val="num" w:pos="2286"/>
        </w:tabs>
        <w:ind w:left="2286" w:hanging="360"/>
      </w:pPr>
      <w:rPr>
        <w:rFonts w:ascii="Wingdings" w:hAnsi="Wingdings" w:hint="default"/>
      </w:rPr>
    </w:lvl>
    <w:lvl w:ilvl="3" w:tplc="0C090001" w:tentative="1">
      <w:start w:val="1"/>
      <w:numFmt w:val="bullet"/>
      <w:lvlText w:val=""/>
      <w:lvlJc w:val="left"/>
      <w:pPr>
        <w:tabs>
          <w:tab w:val="num" w:pos="3006"/>
        </w:tabs>
        <w:ind w:left="3006" w:hanging="360"/>
      </w:pPr>
      <w:rPr>
        <w:rFonts w:ascii="Symbol" w:hAnsi="Symbol" w:hint="default"/>
      </w:rPr>
    </w:lvl>
    <w:lvl w:ilvl="4" w:tplc="0C090003" w:tentative="1">
      <w:start w:val="1"/>
      <w:numFmt w:val="bullet"/>
      <w:lvlText w:val="o"/>
      <w:lvlJc w:val="left"/>
      <w:pPr>
        <w:tabs>
          <w:tab w:val="num" w:pos="3726"/>
        </w:tabs>
        <w:ind w:left="3726" w:hanging="360"/>
      </w:pPr>
      <w:rPr>
        <w:rFonts w:ascii="Courier New" w:hAnsi="Courier New" w:hint="default"/>
      </w:rPr>
    </w:lvl>
    <w:lvl w:ilvl="5" w:tplc="0C090005" w:tentative="1">
      <w:start w:val="1"/>
      <w:numFmt w:val="bullet"/>
      <w:lvlText w:val=""/>
      <w:lvlJc w:val="left"/>
      <w:pPr>
        <w:tabs>
          <w:tab w:val="num" w:pos="4446"/>
        </w:tabs>
        <w:ind w:left="4446" w:hanging="360"/>
      </w:pPr>
      <w:rPr>
        <w:rFonts w:ascii="Wingdings" w:hAnsi="Wingdings" w:hint="default"/>
      </w:rPr>
    </w:lvl>
    <w:lvl w:ilvl="6" w:tplc="0C090001" w:tentative="1">
      <w:start w:val="1"/>
      <w:numFmt w:val="bullet"/>
      <w:lvlText w:val=""/>
      <w:lvlJc w:val="left"/>
      <w:pPr>
        <w:tabs>
          <w:tab w:val="num" w:pos="5166"/>
        </w:tabs>
        <w:ind w:left="5166" w:hanging="360"/>
      </w:pPr>
      <w:rPr>
        <w:rFonts w:ascii="Symbol" w:hAnsi="Symbol" w:hint="default"/>
      </w:rPr>
    </w:lvl>
    <w:lvl w:ilvl="7" w:tplc="0C090003" w:tentative="1">
      <w:start w:val="1"/>
      <w:numFmt w:val="bullet"/>
      <w:lvlText w:val="o"/>
      <w:lvlJc w:val="left"/>
      <w:pPr>
        <w:tabs>
          <w:tab w:val="num" w:pos="5886"/>
        </w:tabs>
        <w:ind w:left="5886" w:hanging="360"/>
      </w:pPr>
      <w:rPr>
        <w:rFonts w:ascii="Courier New" w:hAnsi="Courier New" w:hint="default"/>
      </w:rPr>
    </w:lvl>
    <w:lvl w:ilvl="8" w:tplc="0C090005" w:tentative="1">
      <w:start w:val="1"/>
      <w:numFmt w:val="bullet"/>
      <w:lvlText w:val=""/>
      <w:lvlJc w:val="left"/>
      <w:pPr>
        <w:tabs>
          <w:tab w:val="num" w:pos="6606"/>
        </w:tabs>
        <w:ind w:left="6606" w:hanging="360"/>
      </w:pPr>
      <w:rPr>
        <w:rFonts w:ascii="Wingdings" w:hAnsi="Wingdings" w:hint="default"/>
      </w:rPr>
    </w:lvl>
  </w:abstractNum>
  <w:abstractNum w:abstractNumId="4">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75A04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49877A84"/>
    <w:multiLevelType w:val="hybridMultilevel"/>
    <w:tmpl w:val="32A650F0"/>
    <w:lvl w:ilvl="0" w:tplc="0C090001">
      <w:start w:val="1"/>
      <w:numFmt w:val="bullet"/>
      <w:lvlText w:val=""/>
      <w:lvlJc w:val="left"/>
      <w:pPr>
        <w:ind w:left="723" w:hanging="360"/>
      </w:pPr>
      <w:rPr>
        <w:rFonts w:ascii="Symbol" w:hAnsi="Symbol" w:hint="default"/>
      </w:rPr>
    </w:lvl>
    <w:lvl w:ilvl="1" w:tplc="0C090001">
      <w:start w:val="1"/>
      <w:numFmt w:val="bullet"/>
      <w:lvlText w:val=""/>
      <w:lvlJc w:val="left"/>
      <w:pPr>
        <w:ind w:left="1443" w:hanging="360"/>
      </w:pPr>
      <w:rPr>
        <w:rFonts w:ascii="Symbol" w:hAnsi="Symbol"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7">
    <w:nsid w:val="4B3D2B1A"/>
    <w:multiLevelType w:val="hybridMultilevel"/>
    <w:tmpl w:val="10803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484901"/>
    <w:multiLevelType w:val="hybridMultilevel"/>
    <w:tmpl w:val="D95A05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F733072"/>
    <w:multiLevelType w:val="hybridMultilevel"/>
    <w:tmpl w:val="7EEA78C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55D927B2"/>
    <w:multiLevelType w:val="hybridMultilevel"/>
    <w:tmpl w:val="2D5EDF2C"/>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
    <w:nsid w:val="56734358"/>
    <w:multiLevelType w:val="hybridMultilevel"/>
    <w:tmpl w:val="92F09240"/>
    <w:lvl w:ilvl="0" w:tplc="E4A8A6F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64BD75DF"/>
    <w:multiLevelType w:val="hybridMultilevel"/>
    <w:tmpl w:val="72361936"/>
    <w:lvl w:ilvl="0" w:tplc="0C090001">
      <w:start w:val="1"/>
      <w:numFmt w:val="bullet"/>
      <w:lvlText w:val=""/>
      <w:lvlJc w:val="left"/>
      <w:pPr>
        <w:tabs>
          <w:tab w:val="num" w:pos="723"/>
        </w:tabs>
        <w:ind w:left="723" w:hanging="360"/>
      </w:pPr>
      <w:rPr>
        <w:rFonts w:ascii="Symbol" w:hAnsi="Symbol" w:hint="default"/>
      </w:rPr>
    </w:lvl>
    <w:lvl w:ilvl="1" w:tplc="0C090003" w:tentative="1">
      <w:start w:val="1"/>
      <w:numFmt w:val="bullet"/>
      <w:lvlText w:val="o"/>
      <w:lvlJc w:val="left"/>
      <w:pPr>
        <w:tabs>
          <w:tab w:val="num" w:pos="1443"/>
        </w:tabs>
        <w:ind w:left="1443" w:hanging="360"/>
      </w:pPr>
      <w:rPr>
        <w:rFonts w:ascii="Courier New" w:hAnsi="Courier New" w:hint="default"/>
      </w:rPr>
    </w:lvl>
    <w:lvl w:ilvl="2" w:tplc="0C090005" w:tentative="1">
      <w:start w:val="1"/>
      <w:numFmt w:val="bullet"/>
      <w:lvlText w:val=""/>
      <w:lvlJc w:val="left"/>
      <w:pPr>
        <w:tabs>
          <w:tab w:val="num" w:pos="2163"/>
        </w:tabs>
        <w:ind w:left="2163" w:hanging="360"/>
      </w:pPr>
      <w:rPr>
        <w:rFonts w:ascii="Wingdings" w:hAnsi="Wingdings" w:hint="default"/>
      </w:rPr>
    </w:lvl>
    <w:lvl w:ilvl="3" w:tplc="0C090001" w:tentative="1">
      <w:start w:val="1"/>
      <w:numFmt w:val="bullet"/>
      <w:lvlText w:val=""/>
      <w:lvlJc w:val="left"/>
      <w:pPr>
        <w:tabs>
          <w:tab w:val="num" w:pos="2883"/>
        </w:tabs>
        <w:ind w:left="2883" w:hanging="360"/>
      </w:pPr>
      <w:rPr>
        <w:rFonts w:ascii="Symbol" w:hAnsi="Symbol" w:hint="default"/>
      </w:rPr>
    </w:lvl>
    <w:lvl w:ilvl="4" w:tplc="0C090003" w:tentative="1">
      <w:start w:val="1"/>
      <w:numFmt w:val="bullet"/>
      <w:lvlText w:val="o"/>
      <w:lvlJc w:val="left"/>
      <w:pPr>
        <w:tabs>
          <w:tab w:val="num" w:pos="3603"/>
        </w:tabs>
        <w:ind w:left="3603" w:hanging="360"/>
      </w:pPr>
      <w:rPr>
        <w:rFonts w:ascii="Courier New" w:hAnsi="Courier New" w:hint="default"/>
      </w:rPr>
    </w:lvl>
    <w:lvl w:ilvl="5" w:tplc="0C090005" w:tentative="1">
      <w:start w:val="1"/>
      <w:numFmt w:val="bullet"/>
      <w:lvlText w:val=""/>
      <w:lvlJc w:val="left"/>
      <w:pPr>
        <w:tabs>
          <w:tab w:val="num" w:pos="4323"/>
        </w:tabs>
        <w:ind w:left="4323" w:hanging="360"/>
      </w:pPr>
      <w:rPr>
        <w:rFonts w:ascii="Wingdings" w:hAnsi="Wingdings" w:hint="default"/>
      </w:rPr>
    </w:lvl>
    <w:lvl w:ilvl="6" w:tplc="0C090001" w:tentative="1">
      <w:start w:val="1"/>
      <w:numFmt w:val="bullet"/>
      <w:lvlText w:val=""/>
      <w:lvlJc w:val="left"/>
      <w:pPr>
        <w:tabs>
          <w:tab w:val="num" w:pos="5043"/>
        </w:tabs>
        <w:ind w:left="5043" w:hanging="360"/>
      </w:pPr>
      <w:rPr>
        <w:rFonts w:ascii="Symbol" w:hAnsi="Symbol" w:hint="default"/>
      </w:rPr>
    </w:lvl>
    <w:lvl w:ilvl="7" w:tplc="0C090003" w:tentative="1">
      <w:start w:val="1"/>
      <w:numFmt w:val="bullet"/>
      <w:lvlText w:val="o"/>
      <w:lvlJc w:val="left"/>
      <w:pPr>
        <w:tabs>
          <w:tab w:val="num" w:pos="5763"/>
        </w:tabs>
        <w:ind w:left="5763" w:hanging="360"/>
      </w:pPr>
      <w:rPr>
        <w:rFonts w:ascii="Courier New" w:hAnsi="Courier New" w:hint="default"/>
      </w:rPr>
    </w:lvl>
    <w:lvl w:ilvl="8" w:tplc="0C090005" w:tentative="1">
      <w:start w:val="1"/>
      <w:numFmt w:val="bullet"/>
      <w:lvlText w:val=""/>
      <w:lvlJc w:val="left"/>
      <w:pPr>
        <w:tabs>
          <w:tab w:val="num" w:pos="6483"/>
        </w:tabs>
        <w:ind w:left="6483" w:hanging="360"/>
      </w:pPr>
      <w:rPr>
        <w:rFonts w:ascii="Wingdings" w:hAnsi="Wingdings" w:hint="default"/>
      </w:rPr>
    </w:lvl>
  </w:abstractNum>
  <w:abstractNum w:abstractNumId="13">
    <w:nsid w:val="64ED325A"/>
    <w:multiLevelType w:val="hybridMultilevel"/>
    <w:tmpl w:val="3BBE30C4"/>
    <w:lvl w:ilvl="0" w:tplc="0C09000F">
      <w:start w:val="1"/>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4">
    <w:nsid w:val="6BDB113E"/>
    <w:multiLevelType w:val="hybridMultilevel"/>
    <w:tmpl w:val="5D76F1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05A6B61"/>
    <w:multiLevelType w:val="hybridMultilevel"/>
    <w:tmpl w:val="6B086A7C"/>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76794F41"/>
    <w:multiLevelType w:val="hybridMultilevel"/>
    <w:tmpl w:val="4A5E69E6"/>
    <w:lvl w:ilvl="0" w:tplc="0C090001">
      <w:start w:val="1"/>
      <w:numFmt w:val="bullet"/>
      <w:lvlText w:val=""/>
      <w:lvlJc w:val="left"/>
      <w:pPr>
        <w:ind w:left="723" w:hanging="360"/>
      </w:pPr>
      <w:rPr>
        <w:rFonts w:ascii="Symbol" w:hAnsi="Symbol" w:hint="default"/>
      </w:rPr>
    </w:lvl>
    <w:lvl w:ilvl="1" w:tplc="0C090003">
      <w:start w:val="1"/>
      <w:numFmt w:val="bullet"/>
      <w:lvlText w:val="o"/>
      <w:lvlJc w:val="left"/>
      <w:pPr>
        <w:ind w:left="1443" w:hanging="360"/>
      </w:pPr>
      <w:rPr>
        <w:rFonts w:ascii="Courier New" w:hAnsi="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7">
    <w:nsid w:val="77820D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7C0C1BBE"/>
    <w:multiLevelType w:val="hybridMultilevel"/>
    <w:tmpl w:val="CBBC930C"/>
    <w:lvl w:ilvl="0" w:tplc="52F6F954">
      <w:numFmt w:val="bullet"/>
      <w:lvlText w:val="-"/>
      <w:lvlJc w:val="left"/>
      <w:pPr>
        <w:ind w:left="363" w:hanging="360"/>
      </w:pPr>
      <w:rPr>
        <w:rFonts w:ascii="Times New Roman" w:eastAsia="Times New Roman" w:hAnsi="Times New Roman" w:hint="default"/>
      </w:rPr>
    </w:lvl>
    <w:lvl w:ilvl="1" w:tplc="0C090003" w:tentative="1">
      <w:start w:val="1"/>
      <w:numFmt w:val="bullet"/>
      <w:lvlText w:val="o"/>
      <w:lvlJc w:val="left"/>
      <w:pPr>
        <w:ind w:left="1083" w:hanging="360"/>
      </w:pPr>
      <w:rPr>
        <w:rFonts w:ascii="Courier New" w:hAnsi="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5"/>
  </w:num>
  <w:num w:numId="2">
    <w:abstractNumId w:val="17"/>
  </w:num>
  <w:num w:numId="3">
    <w:abstractNumId w:val="7"/>
  </w:num>
  <w:num w:numId="4">
    <w:abstractNumId w:val="3"/>
  </w:num>
  <w:num w:numId="5">
    <w:abstractNumId w:val="13"/>
  </w:num>
  <w:num w:numId="6">
    <w:abstractNumId w:val="15"/>
  </w:num>
  <w:num w:numId="7">
    <w:abstractNumId w:val="1"/>
  </w:num>
  <w:num w:numId="8">
    <w:abstractNumId w:val="11"/>
  </w:num>
  <w:num w:numId="9">
    <w:abstractNumId w:val="12"/>
  </w:num>
  <w:num w:numId="10">
    <w:abstractNumId w:val="8"/>
  </w:num>
  <w:num w:numId="11">
    <w:abstractNumId w:val="14"/>
  </w:num>
  <w:num w:numId="12">
    <w:abstractNumId w:val="2"/>
  </w:num>
  <w:num w:numId="13">
    <w:abstractNumId w:val="4"/>
  </w:num>
  <w:num w:numId="14">
    <w:abstractNumId w:val="9"/>
  </w:num>
  <w:num w:numId="15">
    <w:abstractNumId w:val="0"/>
  </w:num>
  <w:num w:numId="16">
    <w:abstractNumId w:val="6"/>
  </w:num>
  <w:num w:numId="17">
    <w:abstractNumId w:val="16"/>
  </w:num>
  <w:num w:numId="18">
    <w:abstractNumId w:val="1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701"/>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B290E"/>
    <w:rsid w:val="00000826"/>
    <w:rsid w:val="00003D10"/>
    <w:rsid w:val="00005D6D"/>
    <w:rsid w:val="0001633B"/>
    <w:rsid w:val="0001655B"/>
    <w:rsid w:val="0001770F"/>
    <w:rsid w:val="00017E97"/>
    <w:rsid w:val="00024532"/>
    <w:rsid w:val="00025F14"/>
    <w:rsid w:val="0002724E"/>
    <w:rsid w:val="000304E3"/>
    <w:rsid w:val="00034F1F"/>
    <w:rsid w:val="00035B19"/>
    <w:rsid w:val="00041907"/>
    <w:rsid w:val="00051595"/>
    <w:rsid w:val="00054986"/>
    <w:rsid w:val="0006544A"/>
    <w:rsid w:val="00066E08"/>
    <w:rsid w:val="000731B6"/>
    <w:rsid w:val="00073BAD"/>
    <w:rsid w:val="000846D3"/>
    <w:rsid w:val="000855C4"/>
    <w:rsid w:val="000863A4"/>
    <w:rsid w:val="00091F7A"/>
    <w:rsid w:val="000946B5"/>
    <w:rsid w:val="000946F3"/>
    <w:rsid w:val="000A0675"/>
    <w:rsid w:val="000A2723"/>
    <w:rsid w:val="000A5056"/>
    <w:rsid w:val="000B393D"/>
    <w:rsid w:val="000B3E1B"/>
    <w:rsid w:val="000B600A"/>
    <w:rsid w:val="000C40E0"/>
    <w:rsid w:val="000D1E3B"/>
    <w:rsid w:val="000D2DC7"/>
    <w:rsid w:val="000D52D5"/>
    <w:rsid w:val="000D5BA0"/>
    <w:rsid w:val="000D5BFD"/>
    <w:rsid w:val="000E0967"/>
    <w:rsid w:val="000E20DB"/>
    <w:rsid w:val="000E2DAD"/>
    <w:rsid w:val="000E36A1"/>
    <w:rsid w:val="000E3A32"/>
    <w:rsid w:val="000E3CE5"/>
    <w:rsid w:val="000E531A"/>
    <w:rsid w:val="000F6E69"/>
    <w:rsid w:val="00100025"/>
    <w:rsid w:val="00104C6D"/>
    <w:rsid w:val="00106A94"/>
    <w:rsid w:val="001113BD"/>
    <w:rsid w:val="001134F0"/>
    <w:rsid w:val="001135B7"/>
    <w:rsid w:val="00114C45"/>
    <w:rsid w:val="00116B1F"/>
    <w:rsid w:val="00136426"/>
    <w:rsid w:val="00141DC0"/>
    <w:rsid w:val="0014262F"/>
    <w:rsid w:val="00143BA9"/>
    <w:rsid w:val="00147843"/>
    <w:rsid w:val="00152E8E"/>
    <w:rsid w:val="00157944"/>
    <w:rsid w:val="001604FD"/>
    <w:rsid w:val="00161025"/>
    <w:rsid w:val="00161834"/>
    <w:rsid w:val="00162EAE"/>
    <w:rsid w:val="00166418"/>
    <w:rsid w:val="00167336"/>
    <w:rsid w:val="00174D83"/>
    <w:rsid w:val="00175D04"/>
    <w:rsid w:val="00177ABE"/>
    <w:rsid w:val="00181CB6"/>
    <w:rsid w:val="001824E9"/>
    <w:rsid w:val="001825EA"/>
    <w:rsid w:val="00182C4B"/>
    <w:rsid w:val="00184A20"/>
    <w:rsid w:val="00187015"/>
    <w:rsid w:val="00187697"/>
    <w:rsid w:val="00187889"/>
    <w:rsid w:val="00190869"/>
    <w:rsid w:val="001A08C9"/>
    <w:rsid w:val="001A4D5E"/>
    <w:rsid w:val="001A6C2E"/>
    <w:rsid w:val="001A7077"/>
    <w:rsid w:val="001B0704"/>
    <w:rsid w:val="001C0DBF"/>
    <w:rsid w:val="001C1E4F"/>
    <w:rsid w:val="001C425F"/>
    <w:rsid w:val="001C5A33"/>
    <w:rsid w:val="001D0363"/>
    <w:rsid w:val="001D18B4"/>
    <w:rsid w:val="001D7C38"/>
    <w:rsid w:val="001E0E82"/>
    <w:rsid w:val="001E2F02"/>
    <w:rsid w:val="001E3CAF"/>
    <w:rsid w:val="001E73D9"/>
    <w:rsid w:val="00200328"/>
    <w:rsid w:val="00200EAB"/>
    <w:rsid w:val="00204C82"/>
    <w:rsid w:val="00211434"/>
    <w:rsid w:val="00211EDD"/>
    <w:rsid w:val="00215651"/>
    <w:rsid w:val="00216106"/>
    <w:rsid w:val="0022130E"/>
    <w:rsid w:val="00222C78"/>
    <w:rsid w:val="0022340F"/>
    <w:rsid w:val="00231867"/>
    <w:rsid w:val="002359AB"/>
    <w:rsid w:val="00247C59"/>
    <w:rsid w:val="00263D90"/>
    <w:rsid w:val="00274A44"/>
    <w:rsid w:val="0028694F"/>
    <w:rsid w:val="00295D11"/>
    <w:rsid w:val="002A3F7E"/>
    <w:rsid w:val="002A4020"/>
    <w:rsid w:val="002A49AD"/>
    <w:rsid w:val="002A5789"/>
    <w:rsid w:val="002B0E93"/>
    <w:rsid w:val="002B4024"/>
    <w:rsid w:val="002B671E"/>
    <w:rsid w:val="002C03A7"/>
    <w:rsid w:val="002C08FD"/>
    <w:rsid w:val="002C36F0"/>
    <w:rsid w:val="002C5E6E"/>
    <w:rsid w:val="002D1D01"/>
    <w:rsid w:val="002D260B"/>
    <w:rsid w:val="002E2AF4"/>
    <w:rsid w:val="002E66FB"/>
    <w:rsid w:val="002F1CCE"/>
    <w:rsid w:val="002F2BCF"/>
    <w:rsid w:val="002F528C"/>
    <w:rsid w:val="003028D7"/>
    <w:rsid w:val="00311F8D"/>
    <w:rsid w:val="00315578"/>
    <w:rsid w:val="0032445E"/>
    <w:rsid w:val="00324761"/>
    <w:rsid w:val="003326EF"/>
    <w:rsid w:val="00334E94"/>
    <w:rsid w:val="003401DB"/>
    <w:rsid w:val="0034260B"/>
    <w:rsid w:val="00344426"/>
    <w:rsid w:val="0034660B"/>
    <w:rsid w:val="0034788C"/>
    <w:rsid w:val="00353015"/>
    <w:rsid w:val="00360C99"/>
    <w:rsid w:val="003641CE"/>
    <w:rsid w:val="0036576C"/>
    <w:rsid w:val="003669B6"/>
    <w:rsid w:val="0037111A"/>
    <w:rsid w:val="00372A56"/>
    <w:rsid w:val="0037714A"/>
    <w:rsid w:val="00380829"/>
    <w:rsid w:val="0038162C"/>
    <w:rsid w:val="00387CCB"/>
    <w:rsid w:val="00393A6C"/>
    <w:rsid w:val="003965FA"/>
    <w:rsid w:val="00396CD6"/>
    <w:rsid w:val="003973BF"/>
    <w:rsid w:val="003A017F"/>
    <w:rsid w:val="003A03DE"/>
    <w:rsid w:val="003A1C23"/>
    <w:rsid w:val="003A5AC6"/>
    <w:rsid w:val="003A64DA"/>
    <w:rsid w:val="003B2B7B"/>
    <w:rsid w:val="003B561F"/>
    <w:rsid w:val="003B68B7"/>
    <w:rsid w:val="003C2F1A"/>
    <w:rsid w:val="003C36B2"/>
    <w:rsid w:val="003C3C0B"/>
    <w:rsid w:val="003C3F3C"/>
    <w:rsid w:val="003C7991"/>
    <w:rsid w:val="003D304D"/>
    <w:rsid w:val="003D32D7"/>
    <w:rsid w:val="003D675A"/>
    <w:rsid w:val="003D7C9A"/>
    <w:rsid w:val="003E164B"/>
    <w:rsid w:val="003E2D1D"/>
    <w:rsid w:val="003E4BC8"/>
    <w:rsid w:val="003E59EA"/>
    <w:rsid w:val="003E7202"/>
    <w:rsid w:val="004029A1"/>
    <w:rsid w:val="0040366B"/>
    <w:rsid w:val="00412421"/>
    <w:rsid w:val="00414111"/>
    <w:rsid w:val="00415384"/>
    <w:rsid w:val="004179AD"/>
    <w:rsid w:val="0042108E"/>
    <w:rsid w:val="00425894"/>
    <w:rsid w:val="00426554"/>
    <w:rsid w:val="0043177F"/>
    <w:rsid w:val="0043413A"/>
    <w:rsid w:val="004345F7"/>
    <w:rsid w:val="0044098F"/>
    <w:rsid w:val="0044439B"/>
    <w:rsid w:val="0044461A"/>
    <w:rsid w:val="004476D7"/>
    <w:rsid w:val="00447A5D"/>
    <w:rsid w:val="00450810"/>
    <w:rsid w:val="004530CA"/>
    <w:rsid w:val="00455216"/>
    <w:rsid w:val="0045597E"/>
    <w:rsid w:val="004676A3"/>
    <w:rsid w:val="00467B13"/>
    <w:rsid w:val="0047151C"/>
    <w:rsid w:val="00472F85"/>
    <w:rsid w:val="00475974"/>
    <w:rsid w:val="00481629"/>
    <w:rsid w:val="0049345C"/>
    <w:rsid w:val="00495FE8"/>
    <w:rsid w:val="004A0DAE"/>
    <w:rsid w:val="004A2617"/>
    <w:rsid w:val="004A595D"/>
    <w:rsid w:val="004A7250"/>
    <w:rsid w:val="004A7D0A"/>
    <w:rsid w:val="004B38D3"/>
    <w:rsid w:val="004B632D"/>
    <w:rsid w:val="004C0CA5"/>
    <w:rsid w:val="004C1C37"/>
    <w:rsid w:val="004C7FF5"/>
    <w:rsid w:val="004D49AA"/>
    <w:rsid w:val="004E2BD6"/>
    <w:rsid w:val="004F2DB6"/>
    <w:rsid w:val="004F60E8"/>
    <w:rsid w:val="00500825"/>
    <w:rsid w:val="00502496"/>
    <w:rsid w:val="00504D81"/>
    <w:rsid w:val="00506875"/>
    <w:rsid w:val="00512DFA"/>
    <w:rsid w:val="00512FBB"/>
    <w:rsid w:val="00515FF9"/>
    <w:rsid w:val="005235B7"/>
    <w:rsid w:val="00526267"/>
    <w:rsid w:val="00530535"/>
    <w:rsid w:val="00533D59"/>
    <w:rsid w:val="00533DF7"/>
    <w:rsid w:val="00536321"/>
    <w:rsid w:val="00542701"/>
    <w:rsid w:val="00542D43"/>
    <w:rsid w:val="00553BF2"/>
    <w:rsid w:val="00554D34"/>
    <w:rsid w:val="005557B1"/>
    <w:rsid w:val="0056280C"/>
    <w:rsid w:val="00562BA6"/>
    <w:rsid w:val="0056448B"/>
    <w:rsid w:val="00567ED0"/>
    <w:rsid w:val="005704D2"/>
    <w:rsid w:val="00573320"/>
    <w:rsid w:val="00583345"/>
    <w:rsid w:val="0058533F"/>
    <w:rsid w:val="00586986"/>
    <w:rsid w:val="005903DF"/>
    <w:rsid w:val="00591BBF"/>
    <w:rsid w:val="005A5924"/>
    <w:rsid w:val="005A65C4"/>
    <w:rsid w:val="005B1AA7"/>
    <w:rsid w:val="005B40AA"/>
    <w:rsid w:val="005B5E81"/>
    <w:rsid w:val="005C1AF3"/>
    <w:rsid w:val="005C55F2"/>
    <w:rsid w:val="005D2C85"/>
    <w:rsid w:val="005D6A44"/>
    <w:rsid w:val="005D6E13"/>
    <w:rsid w:val="005D7759"/>
    <w:rsid w:val="005E1D19"/>
    <w:rsid w:val="005E22ED"/>
    <w:rsid w:val="005E4F61"/>
    <w:rsid w:val="005F50A9"/>
    <w:rsid w:val="005F6DC0"/>
    <w:rsid w:val="00601229"/>
    <w:rsid w:val="00602AD4"/>
    <w:rsid w:val="00602EA3"/>
    <w:rsid w:val="00613BEF"/>
    <w:rsid w:val="00613C78"/>
    <w:rsid w:val="00615024"/>
    <w:rsid w:val="006156EE"/>
    <w:rsid w:val="006163A7"/>
    <w:rsid w:val="006174EC"/>
    <w:rsid w:val="006223B8"/>
    <w:rsid w:val="00625FF6"/>
    <w:rsid w:val="00641A42"/>
    <w:rsid w:val="00644C96"/>
    <w:rsid w:val="00645077"/>
    <w:rsid w:val="006456F8"/>
    <w:rsid w:val="00646823"/>
    <w:rsid w:val="00650F35"/>
    <w:rsid w:val="00651936"/>
    <w:rsid w:val="0065512F"/>
    <w:rsid w:val="00656D0D"/>
    <w:rsid w:val="006618F0"/>
    <w:rsid w:val="00665A69"/>
    <w:rsid w:val="00666F12"/>
    <w:rsid w:val="00672186"/>
    <w:rsid w:val="00674B92"/>
    <w:rsid w:val="00674E41"/>
    <w:rsid w:val="006756E6"/>
    <w:rsid w:val="00680F47"/>
    <w:rsid w:val="00684198"/>
    <w:rsid w:val="00687A9F"/>
    <w:rsid w:val="0069606D"/>
    <w:rsid w:val="00697976"/>
    <w:rsid w:val="00697B84"/>
    <w:rsid w:val="006A162B"/>
    <w:rsid w:val="006A5145"/>
    <w:rsid w:val="006B3E07"/>
    <w:rsid w:val="006B5354"/>
    <w:rsid w:val="006B7BAF"/>
    <w:rsid w:val="006C2988"/>
    <w:rsid w:val="006C3B09"/>
    <w:rsid w:val="006C5985"/>
    <w:rsid w:val="006D2B13"/>
    <w:rsid w:val="006D548C"/>
    <w:rsid w:val="006E327D"/>
    <w:rsid w:val="006F3AA5"/>
    <w:rsid w:val="006F6732"/>
    <w:rsid w:val="00704057"/>
    <w:rsid w:val="00704E86"/>
    <w:rsid w:val="0070630A"/>
    <w:rsid w:val="00707386"/>
    <w:rsid w:val="00712F84"/>
    <w:rsid w:val="00715C4A"/>
    <w:rsid w:val="00724C8A"/>
    <w:rsid w:val="00730AEE"/>
    <w:rsid w:val="00734B28"/>
    <w:rsid w:val="007358E6"/>
    <w:rsid w:val="00736658"/>
    <w:rsid w:val="00741347"/>
    <w:rsid w:val="00741596"/>
    <w:rsid w:val="00743EB9"/>
    <w:rsid w:val="00744D57"/>
    <w:rsid w:val="007501DC"/>
    <w:rsid w:val="00757E5C"/>
    <w:rsid w:val="00761101"/>
    <w:rsid w:val="00767401"/>
    <w:rsid w:val="00770A5B"/>
    <w:rsid w:val="0077185A"/>
    <w:rsid w:val="007731BB"/>
    <w:rsid w:val="0077516A"/>
    <w:rsid w:val="00780976"/>
    <w:rsid w:val="00791135"/>
    <w:rsid w:val="007A2992"/>
    <w:rsid w:val="007A60E4"/>
    <w:rsid w:val="007A6426"/>
    <w:rsid w:val="007B08C4"/>
    <w:rsid w:val="007B7E0F"/>
    <w:rsid w:val="007C4F28"/>
    <w:rsid w:val="007C74C8"/>
    <w:rsid w:val="007D23F3"/>
    <w:rsid w:val="007D6001"/>
    <w:rsid w:val="007E065E"/>
    <w:rsid w:val="007F0D58"/>
    <w:rsid w:val="007F2E11"/>
    <w:rsid w:val="007F3DA1"/>
    <w:rsid w:val="007F4C76"/>
    <w:rsid w:val="0080099E"/>
    <w:rsid w:val="00801582"/>
    <w:rsid w:val="00803D58"/>
    <w:rsid w:val="0080478F"/>
    <w:rsid w:val="00804AC9"/>
    <w:rsid w:val="008132C4"/>
    <w:rsid w:val="00815944"/>
    <w:rsid w:val="00816B40"/>
    <w:rsid w:val="008219A9"/>
    <w:rsid w:val="00821A8A"/>
    <w:rsid w:val="0082292E"/>
    <w:rsid w:val="00823A2F"/>
    <w:rsid w:val="008353AF"/>
    <w:rsid w:val="00836D86"/>
    <w:rsid w:val="00837732"/>
    <w:rsid w:val="00842343"/>
    <w:rsid w:val="00842C18"/>
    <w:rsid w:val="00842F6E"/>
    <w:rsid w:val="00843839"/>
    <w:rsid w:val="00845A80"/>
    <w:rsid w:val="0085099F"/>
    <w:rsid w:val="00854068"/>
    <w:rsid w:val="00854706"/>
    <w:rsid w:val="0086281E"/>
    <w:rsid w:val="00862E03"/>
    <w:rsid w:val="008675A9"/>
    <w:rsid w:val="00875BAD"/>
    <w:rsid w:val="00876947"/>
    <w:rsid w:val="00880083"/>
    <w:rsid w:val="008859AE"/>
    <w:rsid w:val="00890F13"/>
    <w:rsid w:val="008A6496"/>
    <w:rsid w:val="008A6CD1"/>
    <w:rsid w:val="008C0252"/>
    <w:rsid w:val="008C2A30"/>
    <w:rsid w:val="008C524A"/>
    <w:rsid w:val="008C646C"/>
    <w:rsid w:val="008C78AF"/>
    <w:rsid w:val="008D02D3"/>
    <w:rsid w:val="008D0A27"/>
    <w:rsid w:val="008D6341"/>
    <w:rsid w:val="008E1BAA"/>
    <w:rsid w:val="008E52E2"/>
    <w:rsid w:val="008E752A"/>
    <w:rsid w:val="008E7D64"/>
    <w:rsid w:val="008F1BDC"/>
    <w:rsid w:val="008F4D72"/>
    <w:rsid w:val="008F55B9"/>
    <w:rsid w:val="008F5FCF"/>
    <w:rsid w:val="008F7293"/>
    <w:rsid w:val="008F7573"/>
    <w:rsid w:val="00901C14"/>
    <w:rsid w:val="0090639C"/>
    <w:rsid w:val="0091087D"/>
    <w:rsid w:val="00910B32"/>
    <w:rsid w:val="0091140A"/>
    <w:rsid w:val="0091207A"/>
    <w:rsid w:val="009126DE"/>
    <w:rsid w:val="009144B5"/>
    <w:rsid w:val="00915518"/>
    <w:rsid w:val="00915E0C"/>
    <w:rsid w:val="00916F36"/>
    <w:rsid w:val="00917ADB"/>
    <w:rsid w:val="00922884"/>
    <w:rsid w:val="00927AA8"/>
    <w:rsid w:val="00932E7A"/>
    <w:rsid w:val="009339CC"/>
    <w:rsid w:val="0093542F"/>
    <w:rsid w:val="0093639C"/>
    <w:rsid w:val="009420D2"/>
    <w:rsid w:val="00946AB5"/>
    <w:rsid w:val="00952E35"/>
    <w:rsid w:val="009558FB"/>
    <w:rsid w:val="00960C15"/>
    <w:rsid w:val="00961D37"/>
    <w:rsid w:val="00973DE5"/>
    <w:rsid w:val="009743DC"/>
    <w:rsid w:val="00982C50"/>
    <w:rsid w:val="00984B07"/>
    <w:rsid w:val="0099226F"/>
    <w:rsid w:val="0099453B"/>
    <w:rsid w:val="009A1BC1"/>
    <w:rsid w:val="009A522C"/>
    <w:rsid w:val="009A7496"/>
    <w:rsid w:val="009B324E"/>
    <w:rsid w:val="009B51F5"/>
    <w:rsid w:val="009B7E8A"/>
    <w:rsid w:val="009C592E"/>
    <w:rsid w:val="009D1589"/>
    <w:rsid w:val="009D4A0F"/>
    <w:rsid w:val="009D4B7D"/>
    <w:rsid w:val="009D6BA7"/>
    <w:rsid w:val="009E2626"/>
    <w:rsid w:val="009E6BE0"/>
    <w:rsid w:val="009F00D1"/>
    <w:rsid w:val="009F2FD9"/>
    <w:rsid w:val="009F3420"/>
    <w:rsid w:val="009F4F40"/>
    <w:rsid w:val="009F5BAF"/>
    <w:rsid w:val="00A07FBD"/>
    <w:rsid w:val="00A10FBE"/>
    <w:rsid w:val="00A122E8"/>
    <w:rsid w:val="00A12936"/>
    <w:rsid w:val="00A13389"/>
    <w:rsid w:val="00A13AC2"/>
    <w:rsid w:val="00A14595"/>
    <w:rsid w:val="00A2618C"/>
    <w:rsid w:val="00A27552"/>
    <w:rsid w:val="00A2783D"/>
    <w:rsid w:val="00A310B9"/>
    <w:rsid w:val="00A311AF"/>
    <w:rsid w:val="00A3686A"/>
    <w:rsid w:val="00A45DC9"/>
    <w:rsid w:val="00A538C8"/>
    <w:rsid w:val="00A62EE5"/>
    <w:rsid w:val="00A63AC4"/>
    <w:rsid w:val="00A63E02"/>
    <w:rsid w:val="00A64255"/>
    <w:rsid w:val="00A76A6C"/>
    <w:rsid w:val="00A836AB"/>
    <w:rsid w:val="00A83707"/>
    <w:rsid w:val="00A931E8"/>
    <w:rsid w:val="00A95A5E"/>
    <w:rsid w:val="00A97457"/>
    <w:rsid w:val="00AA5657"/>
    <w:rsid w:val="00AB407C"/>
    <w:rsid w:val="00AB7E35"/>
    <w:rsid w:val="00AC32D2"/>
    <w:rsid w:val="00AC3EE9"/>
    <w:rsid w:val="00AC4E70"/>
    <w:rsid w:val="00AC5D83"/>
    <w:rsid w:val="00AC65C2"/>
    <w:rsid w:val="00AC7792"/>
    <w:rsid w:val="00AD20D1"/>
    <w:rsid w:val="00AD3C72"/>
    <w:rsid w:val="00AD68A7"/>
    <w:rsid w:val="00AD7E8E"/>
    <w:rsid w:val="00AE26E2"/>
    <w:rsid w:val="00AE4661"/>
    <w:rsid w:val="00AE6DB9"/>
    <w:rsid w:val="00AE79F4"/>
    <w:rsid w:val="00AF721A"/>
    <w:rsid w:val="00B05E1C"/>
    <w:rsid w:val="00B06FC4"/>
    <w:rsid w:val="00B07F8B"/>
    <w:rsid w:val="00B11A5C"/>
    <w:rsid w:val="00B11DB1"/>
    <w:rsid w:val="00B13B93"/>
    <w:rsid w:val="00B16CEE"/>
    <w:rsid w:val="00B25089"/>
    <w:rsid w:val="00B26C59"/>
    <w:rsid w:val="00B314C8"/>
    <w:rsid w:val="00B34997"/>
    <w:rsid w:val="00B36267"/>
    <w:rsid w:val="00B40E74"/>
    <w:rsid w:val="00B41973"/>
    <w:rsid w:val="00B531BB"/>
    <w:rsid w:val="00B67A48"/>
    <w:rsid w:val="00B71B72"/>
    <w:rsid w:val="00B722AE"/>
    <w:rsid w:val="00B7446E"/>
    <w:rsid w:val="00B819B5"/>
    <w:rsid w:val="00B861E2"/>
    <w:rsid w:val="00B87874"/>
    <w:rsid w:val="00B87A1F"/>
    <w:rsid w:val="00B92034"/>
    <w:rsid w:val="00B93FF0"/>
    <w:rsid w:val="00BA306B"/>
    <w:rsid w:val="00BA472C"/>
    <w:rsid w:val="00BA47B0"/>
    <w:rsid w:val="00BA4EB5"/>
    <w:rsid w:val="00BB21C0"/>
    <w:rsid w:val="00BC2393"/>
    <w:rsid w:val="00BD0B4F"/>
    <w:rsid w:val="00BD773D"/>
    <w:rsid w:val="00BD7FAB"/>
    <w:rsid w:val="00BE24E2"/>
    <w:rsid w:val="00BE298F"/>
    <w:rsid w:val="00BE4BBF"/>
    <w:rsid w:val="00BE7F8E"/>
    <w:rsid w:val="00BE7FE4"/>
    <w:rsid w:val="00BF2C21"/>
    <w:rsid w:val="00BF5B43"/>
    <w:rsid w:val="00C05549"/>
    <w:rsid w:val="00C1397B"/>
    <w:rsid w:val="00C2093F"/>
    <w:rsid w:val="00C2610A"/>
    <w:rsid w:val="00C265D3"/>
    <w:rsid w:val="00C30A91"/>
    <w:rsid w:val="00C30EFF"/>
    <w:rsid w:val="00C32E39"/>
    <w:rsid w:val="00C3585F"/>
    <w:rsid w:val="00C4740F"/>
    <w:rsid w:val="00C5050D"/>
    <w:rsid w:val="00C51D12"/>
    <w:rsid w:val="00C523F5"/>
    <w:rsid w:val="00C53897"/>
    <w:rsid w:val="00C552DF"/>
    <w:rsid w:val="00C57F61"/>
    <w:rsid w:val="00C62B74"/>
    <w:rsid w:val="00C74748"/>
    <w:rsid w:val="00C75484"/>
    <w:rsid w:val="00C77B4E"/>
    <w:rsid w:val="00C811EF"/>
    <w:rsid w:val="00C83985"/>
    <w:rsid w:val="00C8445B"/>
    <w:rsid w:val="00C84890"/>
    <w:rsid w:val="00C91363"/>
    <w:rsid w:val="00C942DF"/>
    <w:rsid w:val="00C971F1"/>
    <w:rsid w:val="00CA3482"/>
    <w:rsid w:val="00CA7FCC"/>
    <w:rsid w:val="00CB2BB9"/>
    <w:rsid w:val="00CC0EA5"/>
    <w:rsid w:val="00CC167A"/>
    <w:rsid w:val="00CC20B2"/>
    <w:rsid w:val="00CC7754"/>
    <w:rsid w:val="00CD0BDA"/>
    <w:rsid w:val="00CD2932"/>
    <w:rsid w:val="00CD3B38"/>
    <w:rsid w:val="00CE1C59"/>
    <w:rsid w:val="00CE2F62"/>
    <w:rsid w:val="00CE429B"/>
    <w:rsid w:val="00CE4338"/>
    <w:rsid w:val="00CE529C"/>
    <w:rsid w:val="00CF3E0A"/>
    <w:rsid w:val="00CF7E2A"/>
    <w:rsid w:val="00D03108"/>
    <w:rsid w:val="00D03625"/>
    <w:rsid w:val="00D03B40"/>
    <w:rsid w:val="00D0529E"/>
    <w:rsid w:val="00D05940"/>
    <w:rsid w:val="00D12BFE"/>
    <w:rsid w:val="00D13D4C"/>
    <w:rsid w:val="00D159D7"/>
    <w:rsid w:val="00D23ACF"/>
    <w:rsid w:val="00D24CF2"/>
    <w:rsid w:val="00D26189"/>
    <w:rsid w:val="00D2716E"/>
    <w:rsid w:val="00D3085A"/>
    <w:rsid w:val="00D3293B"/>
    <w:rsid w:val="00D32FA4"/>
    <w:rsid w:val="00D37BD7"/>
    <w:rsid w:val="00D40071"/>
    <w:rsid w:val="00D448D3"/>
    <w:rsid w:val="00D53EC2"/>
    <w:rsid w:val="00D550D1"/>
    <w:rsid w:val="00D642AE"/>
    <w:rsid w:val="00D652D6"/>
    <w:rsid w:val="00D66B31"/>
    <w:rsid w:val="00D679E1"/>
    <w:rsid w:val="00D70755"/>
    <w:rsid w:val="00D75705"/>
    <w:rsid w:val="00D76899"/>
    <w:rsid w:val="00D821F4"/>
    <w:rsid w:val="00D8557C"/>
    <w:rsid w:val="00D871C8"/>
    <w:rsid w:val="00D87E9D"/>
    <w:rsid w:val="00D9345F"/>
    <w:rsid w:val="00D954A7"/>
    <w:rsid w:val="00D970F6"/>
    <w:rsid w:val="00DA031B"/>
    <w:rsid w:val="00DA1C9C"/>
    <w:rsid w:val="00DB4A47"/>
    <w:rsid w:val="00DB6AD1"/>
    <w:rsid w:val="00DB7AD9"/>
    <w:rsid w:val="00DC2CA0"/>
    <w:rsid w:val="00DC6681"/>
    <w:rsid w:val="00DC7E17"/>
    <w:rsid w:val="00DD0995"/>
    <w:rsid w:val="00DD2264"/>
    <w:rsid w:val="00DD2C24"/>
    <w:rsid w:val="00DD3943"/>
    <w:rsid w:val="00DD50DA"/>
    <w:rsid w:val="00DE466A"/>
    <w:rsid w:val="00DE5270"/>
    <w:rsid w:val="00DE59C6"/>
    <w:rsid w:val="00DE778E"/>
    <w:rsid w:val="00DF184B"/>
    <w:rsid w:val="00DF60C2"/>
    <w:rsid w:val="00E0058A"/>
    <w:rsid w:val="00E02203"/>
    <w:rsid w:val="00E03682"/>
    <w:rsid w:val="00E06FFD"/>
    <w:rsid w:val="00E14496"/>
    <w:rsid w:val="00E1541D"/>
    <w:rsid w:val="00E15978"/>
    <w:rsid w:val="00E22B1B"/>
    <w:rsid w:val="00E23C95"/>
    <w:rsid w:val="00E2626A"/>
    <w:rsid w:val="00E27F07"/>
    <w:rsid w:val="00E32B5F"/>
    <w:rsid w:val="00E352D1"/>
    <w:rsid w:val="00E42514"/>
    <w:rsid w:val="00E476A3"/>
    <w:rsid w:val="00E57C07"/>
    <w:rsid w:val="00E647CE"/>
    <w:rsid w:val="00E64E8D"/>
    <w:rsid w:val="00E70116"/>
    <w:rsid w:val="00E724E1"/>
    <w:rsid w:val="00E74044"/>
    <w:rsid w:val="00E775D5"/>
    <w:rsid w:val="00E77638"/>
    <w:rsid w:val="00E804DD"/>
    <w:rsid w:val="00E82AAE"/>
    <w:rsid w:val="00E97854"/>
    <w:rsid w:val="00E97DD5"/>
    <w:rsid w:val="00EA01F4"/>
    <w:rsid w:val="00EA0472"/>
    <w:rsid w:val="00EA09C6"/>
    <w:rsid w:val="00EB04B0"/>
    <w:rsid w:val="00ED34A6"/>
    <w:rsid w:val="00ED40E3"/>
    <w:rsid w:val="00ED483F"/>
    <w:rsid w:val="00ED53E2"/>
    <w:rsid w:val="00EF2F2F"/>
    <w:rsid w:val="00EF375A"/>
    <w:rsid w:val="00EF3963"/>
    <w:rsid w:val="00EF63FE"/>
    <w:rsid w:val="00EF6412"/>
    <w:rsid w:val="00F01255"/>
    <w:rsid w:val="00F015C9"/>
    <w:rsid w:val="00F05EFF"/>
    <w:rsid w:val="00F10C2D"/>
    <w:rsid w:val="00F1215C"/>
    <w:rsid w:val="00F16113"/>
    <w:rsid w:val="00F176FD"/>
    <w:rsid w:val="00F201DE"/>
    <w:rsid w:val="00F237E0"/>
    <w:rsid w:val="00F30897"/>
    <w:rsid w:val="00F33B33"/>
    <w:rsid w:val="00F372F2"/>
    <w:rsid w:val="00F40191"/>
    <w:rsid w:val="00F40544"/>
    <w:rsid w:val="00F45331"/>
    <w:rsid w:val="00F54F33"/>
    <w:rsid w:val="00F55855"/>
    <w:rsid w:val="00F57CF0"/>
    <w:rsid w:val="00F6001D"/>
    <w:rsid w:val="00F64381"/>
    <w:rsid w:val="00F6461F"/>
    <w:rsid w:val="00F66124"/>
    <w:rsid w:val="00F66682"/>
    <w:rsid w:val="00F66B79"/>
    <w:rsid w:val="00F704E7"/>
    <w:rsid w:val="00F806B0"/>
    <w:rsid w:val="00F838A8"/>
    <w:rsid w:val="00F86AC8"/>
    <w:rsid w:val="00F870CF"/>
    <w:rsid w:val="00F90B6E"/>
    <w:rsid w:val="00FA2039"/>
    <w:rsid w:val="00FA5795"/>
    <w:rsid w:val="00FA64DA"/>
    <w:rsid w:val="00FB114A"/>
    <w:rsid w:val="00FB290E"/>
    <w:rsid w:val="00FB2F71"/>
    <w:rsid w:val="00FC22AD"/>
    <w:rsid w:val="00FE0DFB"/>
    <w:rsid w:val="00FE547B"/>
    <w:rsid w:val="00FF0C89"/>
    <w:rsid w:val="00FF2686"/>
    <w:rsid w:val="00FF39C9"/>
    <w:rsid w:val="00FF45CC"/>
    <w:rsid w:val="00FF523E"/>
    <w:rsid w:val="00FF77A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D1"/>
    <w:rPr>
      <w:sz w:val="24"/>
      <w:szCs w:val="20"/>
      <w:lang w:val="en-AU" w:eastAsia="en-AU"/>
    </w:rPr>
  </w:style>
  <w:style w:type="paragraph" w:styleId="Heading1">
    <w:name w:val="heading 1"/>
    <w:basedOn w:val="Normal"/>
    <w:next w:val="Normal"/>
    <w:link w:val="Heading1Char"/>
    <w:uiPriority w:val="99"/>
    <w:qFormat/>
    <w:rsid w:val="00E352D1"/>
    <w:pPr>
      <w:keepNext/>
      <w:ind w:firstLine="3"/>
      <w:outlineLvl w:val="0"/>
    </w:pPr>
    <w:rPr>
      <w:b/>
    </w:rPr>
  </w:style>
  <w:style w:type="paragraph" w:styleId="Heading2">
    <w:name w:val="heading 2"/>
    <w:basedOn w:val="Normal"/>
    <w:next w:val="Normal"/>
    <w:link w:val="Heading2Char"/>
    <w:uiPriority w:val="99"/>
    <w:qFormat/>
    <w:rsid w:val="00E352D1"/>
    <w:pPr>
      <w:keepNext/>
      <w:ind w:firstLine="3"/>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1C14"/>
    <w:rPr>
      <w:rFonts w:ascii="Cambria" w:hAnsi="Cambria" w:cs="Times New Roman"/>
      <w:b/>
      <w:bCs/>
      <w:kern w:val="32"/>
      <w:sz w:val="32"/>
      <w:szCs w:val="32"/>
      <w:lang w:val="en-AU" w:eastAsia="en-AU"/>
    </w:rPr>
  </w:style>
  <w:style w:type="character" w:customStyle="1" w:styleId="Heading2Char">
    <w:name w:val="Heading 2 Char"/>
    <w:basedOn w:val="DefaultParagraphFont"/>
    <w:link w:val="Heading2"/>
    <w:uiPriority w:val="99"/>
    <w:semiHidden/>
    <w:locked/>
    <w:rsid w:val="00901C14"/>
    <w:rPr>
      <w:rFonts w:ascii="Cambria" w:hAnsi="Cambria" w:cs="Times New Roman"/>
      <w:b/>
      <w:bCs/>
      <w:i/>
      <w:iCs/>
      <w:sz w:val="28"/>
      <w:szCs w:val="28"/>
      <w:lang w:val="en-AU" w:eastAsia="en-AU"/>
    </w:rPr>
  </w:style>
  <w:style w:type="paragraph" w:customStyle="1" w:styleId="DefinitionTerm">
    <w:name w:val="Definition Term"/>
    <w:basedOn w:val="Normal"/>
    <w:next w:val="DefinitionList"/>
    <w:uiPriority w:val="99"/>
    <w:rsid w:val="00E352D1"/>
    <w:rPr>
      <w:lang w:eastAsia="en-US"/>
    </w:rPr>
  </w:style>
  <w:style w:type="paragraph" w:customStyle="1" w:styleId="DefinitionList">
    <w:name w:val="Definition List"/>
    <w:basedOn w:val="Normal"/>
    <w:next w:val="DefinitionTerm"/>
    <w:uiPriority w:val="99"/>
    <w:rsid w:val="00E352D1"/>
    <w:pPr>
      <w:ind w:left="360"/>
    </w:pPr>
    <w:rPr>
      <w:lang w:eastAsia="en-US"/>
    </w:rPr>
  </w:style>
  <w:style w:type="paragraph" w:styleId="Title">
    <w:name w:val="Title"/>
    <w:basedOn w:val="Normal"/>
    <w:link w:val="TitleChar"/>
    <w:uiPriority w:val="99"/>
    <w:qFormat/>
    <w:rsid w:val="00E352D1"/>
    <w:pPr>
      <w:jc w:val="center"/>
    </w:pPr>
    <w:rPr>
      <w:b/>
      <w:u w:val="single"/>
    </w:rPr>
  </w:style>
  <w:style w:type="character" w:customStyle="1" w:styleId="TitleChar">
    <w:name w:val="Title Char"/>
    <w:basedOn w:val="DefaultParagraphFont"/>
    <w:link w:val="Title"/>
    <w:uiPriority w:val="99"/>
    <w:locked/>
    <w:rsid w:val="00901C14"/>
    <w:rPr>
      <w:rFonts w:ascii="Cambria" w:hAnsi="Cambria" w:cs="Times New Roman"/>
      <w:b/>
      <w:bCs/>
      <w:kern w:val="28"/>
      <w:sz w:val="32"/>
      <w:szCs w:val="32"/>
      <w:lang w:val="en-AU" w:eastAsia="en-AU"/>
    </w:rPr>
  </w:style>
  <w:style w:type="paragraph" w:styleId="Header">
    <w:name w:val="header"/>
    <w:basedOn w:val="Normal"/>
    <w:link w:val="HeaderChar"/>
    <w:uiPriority w:val="99"/>
    <w:rsid w:val="00E352D1"/>
    <w:pPr>
      <w:tabs>
        <w:tab w:val="center" w:pos="4153"/>
        <w:tab w:val="right" w:pos="8306"/>
      </w:tabs>
    </w:pPr>
  </w:style>
  <w:style w:type="character" w:customStyle="1" w:styleId="HeaderChar">
    <w:name w:val="Header Char"/>
    <w:basedOn w:val="DefaultParagraphFont"/>
    <w:link w:val="Header"/>
    <w:uiPriority w:val="99"/>
    <w:semiHidden/>
    <w:locked/>
    <w:rsid w:val="00901C14"/>
    <w:rPr>
      <w:rFonts w:cs="Times New Roman"/>
      <w:sz w:val="20"/>
      <w:szCs w:val="20"/>
      <w:lang w:val="en-AU" w:eastAsia="en-AU"/>
    </w:rPr>
  </w:style>
  <w:style w:type="character" w:styleId="PageNumber">
    <w:name w:val="page number"/>
    <w:basedOn w:val="DefaultParagraphFont"/>
    <w:uiPriority w:val="99"/>
    <w:rsid w:val="00E352D1"/>
    <w:rPr>
      <w:rFonts w:cs="Times New Roman"/>
    </w:rPr>
  </w:style>
  <w:style w:type="character" w:styleId="CommentReference">
    <w:name w:val="annotation reference"/>
    <w:basedOn w:val="DefaultParagraphFont"/>
    <w:uiPriority w:val="99"/>
    <w:semiHidden/>
    <w:rsid w:val="00E352D1"/>
    <w:rPr>
      <w:rFonts w:cs="Times New Roman"/>
      <w:sz w:val="16"/>
    </w:rPr>
  </w:style>
  <w:style w:type="paragraph" w:styleId="CommentText">
    <w:name w:val="annotation text"/>
    <w:basedOn w:val="Normal"/>
    <w:link w:val="CommentTextChar"/>
    <w:uiPriority w:val="99"/>
    <w:semiHidden/>
    <w:rsid w:val="00E352D1"/>
    <w:rPr>
      <w:sz w:val="20"/>
    </w:rPr>
  </w:style>
  <w:style w:type="character" w:customStyle="1" w:styleId="CommentTextChar">
    <w:name w:val="Comment Text Char"/>
    <w:basedOn w:val="DefaultParagraphFont"/>
    <w:link w:val="CommentText"/>
    <w:uiPriority w:val="99"/>
    <w:semiHidden/>
    <w:locked/>
    <w:rsid w:val="00901C14"/>
    <w:rPr>
      <w:rFonts w:cs="Times New Roman"/>
      <w:sz w:val="20"/>
      <w:szCs w:val="20"/>
      <w:lang w:val="en-AU" w:eastAsia="en-AU"/>
    </w:rPr>
  </w:style>
  <w:style w:type="paragraph" w:styleId="BalloonText">
    <w:name w:val="Balloon Text"/>
    <w:basedOn w:val="Normal"/>
    <w:link w:val="BalloonTextChar"/>
    <w:uiPriority w:val="99"/>
    <w:semiHidden/>
    <w:rsid w:val="00E352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C14"/>
    <w:rPr>
      <w:rFonts w:cs="Times New Roman"/>
      <w:sz w:val="2"/>
      <w:lang w:val="en-AU" w:eastAsia="en-AU"/>
    </w:rPr>
  </w:style>
  <w:style w:type="paragraph" w:styleId="BodyText2">
    <w:name w:val="Body Text 2"/>
    <w:basedOn w:val="Normal"/>
    <w:link w:val="BodyText2Char"/>
    <w:uiPriority w:val="99"/>
    <w:rsid w:val="00E352D1"/>
    <w:rPr>
      <w:color w:val="0000FF"/>
    </w:rPr>
  </w:style>
  <w:style w:type="character" w:customStyle="1" w:styleId="BodyText2Char">
    <w:name w:val="Body Text 2 Char"/>
    <w:basedOn w:val="DefaultParagraphFont"/>
    <w:link w:val="BodyText2"/>
    <w:uiPriority w:val="99"/>
    <w:semiHidden/>
    <w:locked/>
    <w:rsid w:val="00901C14"/>
    <w:rPr>
      <w:rFonts w:cs="Times New Roman"/>
      <w:sz w:val="20"/>
      <w:szCs w:val="20"/>
      <w:lang w:val="en-AU" w:eastAsia="en-AU"/>
    </w:rPr>
  </w:style>
  <w:style w:type="paragraph" w:styleId="CommentSubject">
    <w:name w:val="annotation subject"/>
    <w:basedOn w:val="CommentText"/>
    <w:next w:val="CommentText"/>
    <w:link w:val="CommentSubjectChar"/>
    <w:uiPriority w:val="99"/>
    <w:semiHidden/>
    <w:rsid w:val="00495FE8"/>
    <w:rPr>
      <w:b/>
      <w:bCs/>
    </w:rPr>
  </w:style>
  <w:style w:type="character" w:customStyle="1" w:styleId="CommentSubjectChar">
    <w:name w:val="Comment Subject Char"/>
    <w:basedOn w:val="CommentTextChar"/>
    <w:link w:val="CommentSubject"/>
    <w:uiPriority w:val="99"/>
    <w:semiHidden/>
    <w:locked/>
    <w:rsid w:val="00901C14"/>
    <w:rPr>
      <w:rFonts w:cs="Times New Roman"/>
      <w:b/>
      <w:bCs/>
      <w:sz w:val="20"/>
      <w:szCs w:val="20"/>
      <w:lang w:val="en-AU" w:eastAsia="en-AU"/>
    </w:rPr>
  </w:style>
  <w:style w:type="paragraph" w:customStyle="1" w:styleId="CharCharChar">
    <w:name w:val="Char Char Char"/>
    <w:basedOn w:val="Normal"/>
    <w:uiPriority w:val="99"/>
    <w:rsid w:val="00C91363"/>
    <w:rPr>
      <w:rFonts w:ascii="Arial" w:hAnsi="Arial" w:cs="Arial"/>
      <w:sz w:val="22"/>
      <w:szCs w:val="22"/>
      <w:lang w:eastAsia="en-US"/>
    </w:rPr>
  </w:style>
  <w:style w:type="character" w:styleId="Hyperlink">
    <w:name w:val="Hyperlink"/>
    <w:basedOn w:val="DefaultParagraphFont"/>
    <w:uiPriority w:val="99"/>
    <w:rsid w:val="00F66B7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menegj</dc:creator>
  <cp:lastModifiedBy>douglj</cp:lastModifiedBy>
  <cp:revision>3</cp:revision>
  <cp:lastPrinted>2012-05-15T22:43:00Z</cp:lastPrinted>
  <dcterms:created xsi:type="dcterms:W3CDTF">2012-06-26T07:42:00Z</dcterms:created>
  <dcterms:modified xsi:type="dcterms:W3CDTF">2012-06-29T06:36:00Z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