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9F57B6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8" o:title=""/>
          </v:shape>
        </w:pict>
      </w:r>
    </w:p>
    <w:p w:rsidR="009F57B6" w:rsidRDefault="009F57B6" w:rsidP="009F57B6">
      <w:pPr>
        <w:pStyle w:val="Title"/>
        <w:ind w:left="397" w:right="397"/>
      </w:pPr>
      <w:bookmarkStart w:id="0" w:name="Citation"/>
      <w:r>
        <w:t xml:space="preserve">Therapeutic Goods (Charges) Amendment Regulation </w:t>
      </w:r>
      <w:fldSimple w:instr=" REF Year \* charformat ">
        <w:r w:rsidR="00E41A69">
          <w:t>2012</w:t>
        </w:r>
      </w:fldSimple>
      <w:r>
        <w:t xml:space="preserve"> (No.</w:t>
      </w:r>
      <w:r w:rsidR="008F2C2F">
        <w:t> </w:t>
      </w:r>
      <w:r w:rsidR="00E41A69">
        <w:t>1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9F57B6" w:rsidRDefault="009F57B6" w:rsidP="009F57B6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E41A69">
        <w:t>144</w:t>
      </w:r>
      <w:bookmarkEnd w:id="2"/>
    </w:p>
    <w:p w:rsidR="009F57B6" w:rsidRDefault="009F57B6" w:rsidP="009F57B6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9F57B6">
        <w:rPr>
          <w:i/>
        </w:rPr>
        <w:t>Therapeutic Goods (Charges) Act 1989</w:t>
      </w:r>
      <w:r>
        <w:t>.</w:t>
      </w:r>
    </w:p>
    <w:p w:rsidR="009F57B6" w:rsidRDefault="009F57B6" w:rsidP="009F57B6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E41A69">
        <w:t xml:space="preserve"> 28 June </w:t>
      </w:r>
      <w:fldSimple w:instr=" REF Year \* charformat ">
        <w:r w:rsidR="00E41A69">
          <w:t>2012</w:t>
        </w:r>
      </w:fldSimple>
    </w:p>
    <w:p w:rsidR="009F57B6" w:rsidRDefault="00E41A69" w:rsidP="009F57B6">
      <w:pPr>
        <w:spacing w:before="1080" w:line="300" w:lineRule="atLeast"/>
        <w:ind w:left="397" w:right="397"/>
        <w:jc w:val="right"/>
      </w:pPr>
      <w:r>
        <w:t>QUENTIN BRYCE</w:t>
      </w:r>
    </w:p>
    <w:p w:rsidR="009F57B6" w:rsidRDefault="009F57B6" w:rsidP="009F57B6">
      <w:pPr>
        <w:spacing w:line="300" w:lineRule="atLeast"/>
        <w:ind w:left="397" w:right="397"/>
        <w:jc w:val="right"/>
      </w:pPr>
      <w:r>
        <w:t>Governor-General</w:t>
      </w:r>
    </w:p>
    <w:p w:rsidR="009F57B6" w:rsidRDefault="009F57B6" w:rsidP="009F57B6">
      <w:pPr>
        <w:spacing w:after="800" w:line="300" w:lineRule="atLeast"/>
        <w:ind w:left="397" w:right="397"/>
      </w:pPr>
      <w:r>
        <w:t>By Her Excellency’s Command</w:t>
      </w:r>
    </w:p>
    <w:p w:rsidR="009F57B6" w:rsidRDefault="00E51E24" w:rsidP="009F57B6">
      <w:pPr>
        <w:spacing w:before="480" w:line="300" w:lineRule="atLeast"/>
        <w:ind w:left="397" w:right="397"/>
        <w:rPr>
          <w:b/>
        </w:rPr>
      </w:pPr>
      <w:r w:rsidRPr="00E51E24">
        <w:t>CATHERINE KING</w:t>
      </w:r>
    </w:p>
    <w:p w:rsidR="009F57B6" w:rsidRDefault="009F57B6" w:rsidP="009F57B6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Parliamentary Secretary for Health and Ageing</w:t>
      </w:r>
      <w:bookmarkEnd w:id="3"/>
    </w:p>
    <w:p w:rsidR="009F57B6" w:rsidRDefault="009F57B6" w:rsidP="009F57B6">
      <w:pPr>
        <w:pStyle w:val="SigningPageBreak"/>
        <w:ind w:left="397" w:right="397"/>
        <w:sectPr w:rsidR="009F57B6" w:rsidSect="00703FEA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9F57B6" w:rsidRDefault="009F57B6" w:rsidP="009F57B6">
      <w:pPr>
        <w:pStyle w:val="A1"/>
      </w:pPr>
      <w:r w:rsidRPr="008F2C2F">
        <w:rPr>
          <w:rStyle w:val="CharSectnoAm"/>
        </w:rPr>
        <w:lastRenderedPageBreak/>
        <w:t>1</w:t>
      </w:r>
      <w:r>
        <w:tab/>
        <w:t>Name of regulation</w:t>
      </w:r>
    </w:p>
    <w:p w:rsidR="009F57B6" w:rsidRDefault="009F57B6" w:rsidP="009F57B6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E41A69" w:rsidRPr="00E41A69">
        <w:rPr>
          <w:i/>
        </w:rPr>
        <w:t>Therapeutic Goods (Charges) Amendment Regulation 2012 (No. 1)</w:t>
      </w:r>
      <w:r>
        <w:rPr>
          <w:i/>
        </w:rPr>
        <w:fldChar w:fldCharType="end"/>
      </w:r>
      <w:r>
        <w:t>.</w:t>
      </w:r>
    </w:p>
    <w:p w:rsidR="009F57B6" w:rsidRDefault="009F57B6" w:rsidP="009F57B6">
      <w:pPr>
        <w:pStyle w:val="A1"/>
      </w:pPr>
      <w:r w:rsidRPr="008F2C2F">
        <w:rPr>
          <w:rStyle w:val="CharSectnoAm"/>
        </w:rPr>
        <w:t>2</w:t>
      </w:r>
      <w:r>
        <w:tab/>
        <w:t>Commencement</w:t>
      </w:r>
    </w:p>
    <w:p w:rsidR="009F57B6" w:rsidRDefault="009F57B6" w:rsidP="009F57B6">
      <w:pPr>
        <w:pStyle w:val="A2"/>
      </w:pPr>
      <w:r>
        <w:tab/>
      </w:r>
      <w:r>
        <w:tab/>
        <w:t xml:space="preserve">This regulation </w:t>
      </w:r>
      <w:r w:rsidR="00703FEA">
        <w:t xml:space="preserve">is taken to have </w:t>
      </w:r>
      <w:r>
        <w:t>commence</w:t>
      </w:r>
      <w:r w:rsidR="00703FEA">
        <w:t>d</w:t>
      </w:r>
      <w:r>
        <w:t xml:space="preserve"> on</w:t>
      </w:r>
      <w:r w:rsidR="00703FEA">
        <w:t xml:space="preserve"> 31 May 2011</w:t>
      </w:r>
      <w:r>
        <w:t>.</w:t>
      </w:r>
    </w:p>
    <w:p w:rsidR="009F57B6" w:rsidRDefault="009F57B6" w:rsidP="009F57B6">
      <w:pPr>
        <w:pStyle w:val="A1"/>
      </w:pPr>
      <w:r w:rsidRPr="008F2C2F">
        <w:rPr>
          <w:rStyle w:val="CharSectnoAm"/>
        </w:rPr>
        <w:t>3</w:t>
      </w:r>
      <w:r>
        <w:tab/>
        <w:t xml:space="preserve">Amendment of </w:t>
      </w:r>
      <w:r w:rsidRPr="009F57B6">
        <w:rPr>
          <w:i/>
        </w:rPr>
        <w:t>Therapeutic Goods (Charges) Regulations 1990</w:t>
      </w:r>
    </w:p>
    <w:p w:rsidR="009F57B6" w:rsidRDefault="009F57B6" w:rsidP="009F57B6">
      <w:pPr>
        <w:pStyle w:val="A2"/>
      </w:pPr>
      <w:r>
        <w:tab/>
      </w:r>
      <w:r>
        <w:tab/>
        <w:t xml:space="preserve">Schedule 1 amends the </w:t>
      </w:r>
      <w:r w:rsidRPr="009F57B6">
        <w:rPr>
          <w:i/>
        </w:rPr>
        <w:t>Therapeutic Goods (Charges) Regulations 1990</w:t>
      </w:r>
      <w:r>
        <w:t>.</w:t>
      </w:r>
    </w:p>
    <w:p w:rsidR="009F57B6" w:rsidRDefault="009F57B6" w:rsidP="00703FEA">
      <w:pPr>
        <w:pStyle w:val="MainBodySectionBreak"/>
        <w:sectPr w:rsidR="009F57B6" w:rsidSect="009F57B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9F57B6" w:rsidRDefault="009F57B6" w:rsidP="00703FEA">
      <w:pPr>
        <w:pStyle w:val="AS"/>
      </w:pPr>
      <w:r w:rsidRPr="008F2C2F">
        <w:rPr>
          <w:rStyle w:val="CharAmSchNo"/>
        </w:rPr>
        <w:lastRenderedPageBreak/>
        <w:t>Schedule 1</w:t>
      </w:r>
      <w:r>
        <w:tab/>
      </w:r>
      <w:r w:rsidRPr="008F2C2F">
        <w:rPr>
          <w:rStyle w:val="CharAmSchText"/>
        </w:rPr>
        <w:t>Amendments</w:t>
      </w:r>
    </w:p>
    <w:p w:rsidR="009F57B6" w:rsidRDefault="009F57B6" w:rsidP="00703FEA">
      <w:pPr>
        <w:pStyle w:val="ASref"/>
      </w:pPr>
      <w:r>
        <w:t>(section 3)</w:t>
      </w:r>
    </w:p>
    <w:p w:rsidR="00E51E24" w:rsidRPr="00E51E24" w:rsidRDefault="00E51E24" w:rsidP="00E51E24">
      <w:pPr>
        <w:pStyle w:val="Header"/>
        <w:rPr>
          <w:vanish/>
        </w:rPr>
      </w:pPr>
      <w:r w:rsidRPr="00E51E24">
        <w:rPr>
          <w:vanish/>
        </w:rPr>
        <w:t xml:space="preserve">  </w:t>
      </w:r>
    </w:p>
    <w:p w:rsidR="009F57B6" w:rsidRDefault="009F57B6" w:rsidP="009F57B6">
      <w:pPr>
        <w:pStyle w:val="A1S"/>
      </w:pPr>
      <w:r>
        <w:t>[</w:t>
      </w:r>
      <w:fldSimple w:instr=" SEQ Sch1Item " w:fldLock="1">
        <w:r w:rsidR="00E41A69">
          <w:rPr>
            <w:noProof/>
          </w:rPr>
          <w:t>1</w:t>
        </w:r>
      </w:fldSimple>
      <w:r>
        <w:t>]</w:t>
      </w:r>
      <w:r>
        <w:tab/>
      </w:r>
      <w:r w:rsidR="00192C83">
        <w:t>Paragraph 3</w:t>
      </w:r>
      <w:r w:rsidR="008F2C2F">
        <w:t> </w:t>
      </w:r>
      <w:r w:rsidR="00192C83">
        <w:t>(2)</w:t>
      </w:r>
      <w:r w:rsidR="008F2C2F">
        <w:t> </w:t>
      </w:r>
      <w:r w:rsidR="00192C83">
        <w:t>(l)</w:t>
      </w:r>
    </w:p>
    <w:p w:rsidR="00192C83" w:rsidRDefault="00192C83" w:rsidP="00192C83">
      <w:pPr>
        <w:pStyle w:val="A2S"/>
      </w:pPr>
      <w:r w:rsidRPr="006C0394">
        <w:t>omit</w:t>
      </w:r>
    </w:p>
    <w:p w:rsidR="00192C83" w:rsidRDefault="00192C83" w:rsidP="00192C83">
      <w:pPr>
        <w:pStyle w:val="A3S"/>
      </w:pPr>
      <w:r w:rsidRPr="00192C83">
        <w:t>$1</w:t>
      </w:r>
      <w:r w:rsidR="00C61CDB">
        <w:t>0</w:t>
      </w:r>
      <w:r w:rsidR="008F2C2F">
        <w:t> </w:t>
      </w:r>
      <w:r w:rsidR="00C61CDB">
        <w:t>8</w:t>
      </w:r>
      <w:r w:rsidRPr="00192C83">
        <w:t>00.</w:t>
      </w:r>
    </w:p>
    <w:p w:rsidR="00192C83" w:rsidRDefault="00192C83" w:rsidP="00192C83">
      <w:pPr>
        <w:pStyle w:val="A2S"/>
      </w:pPr>
      <w:r>
        <w:t>insert</w:t>
      </w:r>
    </w:p>
    <w:p w:rsidR="00192C83" w:rsidRDefault="00192C83" w:rsidP="00192C83">
      <w:pPr>
        <w:pStyle w:val="A3S"/>
      </w:pPr>
      <w:r w:rsidRPr="00192C83">
        <w:t>$1</w:t>
      </w:r>
      <w:r w:rsidR="00C61CDB">
        <w:t>0</w:t>
      </w:r>
      <w:r w:rsidR="008F2C2F">
        <w:t> </w:t>
      </w:r>
      <w:r w:rsidR="00C61CDB">
        <w:t>8</w:t>
      </w:r>
      <w:r>
        <w:t>00;</w:t>
      </w:r>
    </w:p>
    <w:p w:rsidR="00192C83" w:rsidRDefault="00192C83" w:rsidP="00192C83">
      <w:pPr>
        <w:pStyle w:val="A1S"/>
      </w:pPr>
      <w:r>
        <w:t>[</w:t>
      </w:r>
      <w:fldSimple w:instr=" SEQ Sch1Item " w:fldLock="1">
        <w:r w:rsidR="00E41A69">
          <w:rPr>
            <w:noProof/>
          </w:rPr>
          <w:t>2</w:t>
        </w:r>
      </w:fldSimple>
      <w:r>
        <w:t>]</w:t>
      </w:r>
      <w:r>
        <w:tab/>
        <w:t>After paragraph 3</w:t>
      </w:r>
      <w:r w:rsidR="008F2C2F">
        <w:t> </w:t>
      </w:r>
      <w:r>
        <w:t>(2)</w:t>
      </w:r>
      <w:r w:rsidR="008F2C2F">
        <w:t> </w:t>
      </w:r>
      <w:r>
        <w:t>(l)</w:t>
      </w:r>
    </w:p>
    <w:p w:rsidR="00192C83" w:rsidRDefault="00192C83" w:rsidP="00192C83">
      <w:pPr>
        <w:pStyle w:val="A2S"/>
      </w:pPr>
      <w:r>
        <w:t>insert</w:t>
      </w:r>
    </w:p>
    <w:p w:rsidR="00192C83" w:rsidRDefault="00192C83" w:rsidP="00192C83">
      <w:pPr>
        <w:pStyle w:val="P1"/>
      </w:pPr>
      <w:r>
        <w:tab/>
        <w:t>(m)</w:t>
      </w:r>
      <w:r w:rsidR="00A83702">
        <w:tab/>
      </w:r>
      <w:r w:rsidR="006D5445">
        <w:t>despite paragraphs (a) to (l)—</w:t>
      </w:r>
      <w:r>
        <w:t>for a licence for the manufacture of</w:t>
      </w:r>
      <w:r w:rsidR="001F11DA">
        <w:t xml:space="preserve"> </w:t>
      </w:r>
      <w:r w:rsidR="009F1CD1">
        <w:t xml:space="preserve">a </w:t>
      </w:r>
      <w:r w:rsidR="002A1AEF">
        <w:t>biological</w:t>
      </w:r>
      <w:r w:rsidR="001A56BD">
        <w:t xml:space="preserve"> </w:t>
      </w:r>
      <w:r w:rsidR="002A1AEF">
        <w:t>only—Nil.</w:t>
      </w:r>
    </w:p>
    <w:p w:rsidR="00192C83" w:rsidRDefault="00A83702" w:rsidP="00A83702">
      <w:pPr>
        <w:pStyle w:val="A1S"/>
      </w:pPr>
      <w:r>
        <w:lastRenderedPageBreak/>
        <w:t>[</w:t>
      </w:r>
      <w:fldSimple w:instr=" SEQ Sch1Item " w:fldLock="1">
        <w:r w:rsidR="00E41A69">
          <w:rPr>
            <w:noProof/>
          </w:rPr>
          <w:t>3</w:t>
        </w:r>
      </w:fldSimple>
      <w:r>
        <w:t>]</w:t>
      </w:r>
      <w:r>
        <w:tab/>
      </w:r>
      <w:r w:rsidR="005C3ED0">
        <w:t>S</w:t>
      </w:r>
      <w:r w:rsidR="00192C83">
        <w:t>ubregulation 3</w:t>
      </w:r>
      <w:r w:rsidR="008F2C2F">
        <w:t> </w:t>
      </w:r>
      <w:r w:rsidR="00192C83">
        <w:t>(</w:t>
      </w:r>
      <w:r w:rsidR="00896CED">
        <w:t>3</w:t>
      </w:r>
      <w:r w:rsidR="00192C83">
        <w:t>)</w:t>
      </w:r>
    </w:p>
    <w:p w:rsidR="00192C83" w:rsidRDefault="005C3ED0" w:rsidP="00192C83">
      <w:pPr>
        <w:pStyle w:val="A2S"/>
      </w:pPr>
      <w:r>
        <w:t>substitute</w:t>
      </w:r>
    </w:p>
    <w:p w:rsidR="005C3ED0" w:rsidRDefault="005C3ED0" w:rsidP="008F2C2F">
      <w:pPr>
        <w:pStyle w:val="ZR2"/>
      </w:pPr>
      <w:r>
        <w:tab/>
        <w:t>(3)</w:t>
      </w:r>
      <w:r>
        <w:tab/>
        <w:t>If, but for this subregulation, more than one charge referred to in subregulation (1) or any of paragraphs (2) (a) to (l) would otherwise apply in respect of a financial year in relation to:</w:t>
      </w:r>
    </w:p>
    <w:p w:rsidR="005C3ED0" w:rsidRDefault="005C3ED0" w:rsidP="005C3ED0">
      <w:pPr>
        <w:pStyle w:val="P1"/>
      </w:pPr>
      <w:r>
        <w:tab/>
        <w:t>(a)</w:t>
      </w:r>
      <w:r>
        <w:tab/>
        <w:t>the registration or listing of particular goods; or</w:t>
      </w:r>
    </w:p>
    <w:p w:rsidR="005C3ED0" w:rsidRDefault="005C3ED0" w:rsidP="005C3ED0">
      <w:pPr>
        <w:pStyle w:val="P1"/>
      </w:pPr>
      <w:r>
        <w:tab/>
        <w:t>(b)</w:t>
      </w:r>
      <w:r>
        <w:tab/>
        <w:t>a particular licence;</w:t>
      </w:r>
    </w:p>
    <w:p w:rsidR="00896CED" w:rsidRDefault="005C3ED0" w:rsidP="005C3ED0">
      <w:pPr>
        <w:pStyle w:val="Rc"/>
      </w:pPr>
      <w:r>
        <w:t xml:space="preserve">the charge that is the greatest applicable charge </w:t>
      </w:r>
      <w:r w:rsidR="00614718" w:rsidRPr="00614718">
        <w:t>(other than a charge payable under any of paragraphs (2)</w:t>
      </w:r>
      <w:r w:rsidR="008F2C2F">
        <w:t> </w:t>
      </w:r>
      <w:r w:rsidR="00614718" w:rsidRPr="00614718">
        <w:t>(a) to (l) only because biologicals are manufactured)</w:t>
      </w:r>
      <w:r w:rsidR="00614718">
        <w:t xml:space="preserve"> </w:t>
      </w:r>
      <w:r>
        <w:t>is the only charge that applies in respect of the registration or listing of those goods or in relation to that licence in that year.</w:t>
      </w:r>
    </w:p>
    <w:p w:rsidR="009F57B6" w:rsidRDefault="009F57B6" w:rsidP="00703FEA">
      <w:pPr>
        <w:pStyle w:val="SchedSectionBreak"/>
        <w:sectPr w:rsidR="009F57B6" w:rsidSect="00703FE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9F57B6" w:rsidRDefault="009F57B6" w:rsidP="00703FEA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9F57B6" w:rsidRDefault="009F57B6" w:rsidP="00703FEA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6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9F57B6" w:rsidRDefault="009F57B6" w:rsidP="00703FEA">
      <w:pPr>
        <w:pStyle w:val="NotesSectionBreak"/>
        <w:sectPr w:rsidR="009F57B6" w:rsidSect="00703FEA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9F57B6" w:rsidRPr="009F57B6" w:rsidRDefault="009F57B6" w:rsidP="009F57B6"/>
    <w:sectPr w:rsidR="009F57B6" w:rsidRPr="009F57B6" w:rsidSect="009F57B6">
      <w:headerReference w:type="even" r:id="rId33"/>
      <w:headerReference w:type="default" r:id="rId34"/>
      <w:footerReference w:type="even" r:id="rId35"/>
      <w:footerReference w:type="default" r:id="rId36"/>
      <w:footerReference w:type="first" r:id="rId37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29A" w:rsidRDefault="00FA229A">
      <w:r>
        <w:separator/>
      </w:r>
    </w:p>
  </w:endnote>
  <w:endnote w:type="continuationSeparator" w:id="0">
    <w:p w:rsidR="00FA229A" w:rsidRDefault="00FA2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6B" w:rsidRDefault="00321C6B" w:rsidP="00703FEA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321C6B">
      <w:tc>
        <w:tcPr>
          <w:tcW w:w="1134" w:type="dxa"/>
          <w:shd w:val="clear" w:color="auto" w:fill="auto"/>
        </w:tcPr>
        <w:p w:rsidR="00321C6B" w:rsidRPr="007F6065" w:rsidRDefault="00321C6B" w:rsidP="00703FEA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41A69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321C6B" w:rsidRPr="00EF2F9D" w:rsidRDefault="00321C6B" w:rsidP="00703FEA">
          <w:pPr>
            <w:pStyle w:val="FooterCitation"/>
          </w:pPr>
          <w:fldSimple w:instr=" REF  Citation\*charformat ">
            <w:r w:rsidR="00E41A69">
              <w:t>Therapeutic Goods (Charges)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321C6B" w:rsidRPr="007F6065" w:rsidRDefault="00321C6B" w:rsidP="00703FEA">
          <w:pPr>
            <w:pStyle w:val="Footer"/>
            <w:spacing w:before="20"/>
            <w:jc w:val="right"/>
          </w:pPr>
          <w:fldSimple w:instr=" REF Year \*Charformat ">
            <w:r w:rsidR="00E41A69">
              <w:t>2012</w:t>
            </w:r>
          </w:fldSimple>
          <w:r w:rsidRPr="007F6065">
            <w:t xml:space="preserve">, </w:t>
          </w:r>
          <w:fldSimple w:instr=" REF refno \*Charformat ">
            <w:r w:rsidR="00E41A69">
              <w:t>144</w:t>
            </w:r>
          </w:fldSimple>
        </w:p>
      </w:tc>
    </w:tr>
  </w:tbl>
  <w:p w:rsidR="00321C6B" w:rsidRDefault="00321C6B" w:rsidP="00703FE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321C6B" w:rsidRPr="00E41A69" w:rsidRDefault="00321C6B" w:rsidP="00E41A69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321C6B" w:rsidRPr="004675CE" w:rsidRDefault="00321C6B" w:rsidP="008F2C2F">
                <w:pPr>
                  <w:pStyle w:val="FooterDraft"/>
                </w:pPr>
              </w:p>
              <w:p w:rsidR="00321C6B" w:rsidRPr="004675CE" w:rsidRDefault="0071578C" w:rsidP="00703FE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1578C">
                  <w:rPr>
                    <w:rFonts w:ascii="Arial" w:hAnsi="Arial" w:cs="Arial"/>
                    <w:noProof/>
                    <w:sz w:val="12"/>
                    <w:szCs w:val="12"/>
                  </w:rPr>
                  <w:t>1205913C-120522Z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321C6B" w:rsidRPr="004675CE" w:rsidRDefault="00321C6B" w:rsidP="008F2C2F">
                <w:pPr>
                  <w:pStyle w:val="FooterDraft"/>
                </w:pPr>
              </w:p>
              <w:p w:rsidR="00321C6B" w:rsidRPr="004675CE" w:rsidRDefault="0071578C" w:rsidP="00703FE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1578C">
                  <w:rPr>
                    <w:rFonts w:ascii="Arial" w:hAnsi="Arial" w:cs="Arial"/>
                    <w:noProof/>
                    <w:sz w:val="12"/>
                    <w:szCs w:val="12"/>
                  </w:rPr>
                  <w:t>1205913C-120522Z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6B" w:rsidRDefault="00321C6B" w:rsidP="00703FEA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321C6B">
      <w:tc>
        <w:tcPr>
          <w:tcW w:w="1134" w:type="dxa"/>
          <w:shd w:val="clear" w:color="auto" w:fill="auto"/>
        </w:tcPr>
        <w:p w:rsidR="00321C6B" w:rsidRPr="007F6065" w:rsidRDefault="00321C6B" w:rsidP="00703FEA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41A69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321C6B" w:rsidRPr="00EF2F9D" w:rsidRDefault="00321C6B" w:rsidP="00703FEA">
          <w:pPr>
            <w:pStyle w:val="FooterCitation"/>
          </w:pPr>
          <w:fldSimple w:instr=" REF  Citation\*charformat ">
            <w:r w:rsidR="00E41A69">
              <w:t>Therapeutic Goods (Charges)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321C6B" w:rsidRPr="007F6065" w:rsidRDefault="00321C6B" w:rsidP="00703FEA">
          <w:pPr>
            <w:pStyle w:val="Footer"/>
            <w:spacing w:before="20"/>
            <w:jc w:val="right"/>
          </w:pPr>
          <w:fldSimple w:instr=" REF Year \*Charformat ">
            <w:r w:rsidR="00E41A69">
              <w:t>2012</w:t>
            </w:r>
          </w:fldSimple>
          <w:r w:rsidRPr="007F6065">
            <w:t xml:space="preserve">, </w:t>
          </w:r>
          <w:fldSimple w:instr=" REF refno \*Charformat ">
            <w:r w:rsidR="00E41A69">
              <w:t>144</w:t>
            </w:r>
          </w:fldSimple>
        </w:p>
      </w:tc>
    </w:tr>
  </w:tbl>
  <w:p w:rsidR="00321C6B" w:rsidRDefault="00321C6B" w:rsidP="00703FE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321C6B" w:rsidRPr="00E41A69" w:rsidRDefault="00321C6B" w:rsidP="00E41A69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321C6B" w:rsidRPr="004675CE" w:rsidRDefault="00321C6B" w:rsidP="008F2C2F">
                <w:pPr>
                  <w:pStyle w:val="FooterDraft"/>
                </w:pPr>
              </w:p>
              <w:p w:rsidR="00321C6B" w:rsidRPr="004675CE" w:rsidRDefault="0071578C" w:rsidP="00703FE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1578C">
                  <w:rPr>
                    <w:rFonts w:ascii="Arial" w:hAnsi="Arial" w:cs="Arial"/>
                    <w:noProof/>
                    <w:sz w:val="12"/>
                    <w:szCs w:val="12"/>
                  </w:rPr>
                  <w:t>1205913C-120522Z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321C6B" w:rsidRPr="004675CE" w:rsidRDefault="00321C6B" w:rsidP="008F2C2F">
                <w:pPr>
                  <w:pStyle w:val="FooterDraft"/>
                </w:pPr>
              </w:p>
              <w:p w:rsidR="00321C6B" w:rsidRPr="004675CE" w:rsidRDefault="0071578C" w:rsidP="00703FE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1578C">
                  <w:rPr>
                    <w:rFonts w:ascii="Arial" w:hAnsi="Arial" w:cs="Arial"/>
                    <w:noProof/>
                    <w:sz w:val="12"/>
                    <w:szCs w:val="12"/>
                  </w:rPr>
                  <w:t>1205913C-120522Z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6B" w:rsidRPr="00A41806" w:rsidRDefault="00321C6B" w:rsidP="00703FEA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321C6B" w:rsidRPr="00A41806">
      <w:tc>
        <w:tcPr>
          <w:tcW w:w="1191" w:type="dxa"/>
          <w:shd w:val="clear" w:color="auto" w:fill="auto"/>
        </w:tcPr>
        <w:p w:rsidR="00321C6B" w:rsidRPr="00A41806" w:rsidRDefault="00321C6B" w:rsidP="00703FEA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E41A69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E41A69">
            <w:fldChar w:fldCharType="separate"/>
          </w:r>
          <w:r w:rsidR="00E41A69">
            <w:t>144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321C6B" w:rsidRPr="00EF2F9D" w:rsidRDefault="00321C6B" w:rsidP="00703FEA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E41A69">
            <w:t>Therapeutic Goods (Charges)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321C6B" w:rsidRPr="005968DD" w:rsidRDefault="00321C6B" w:rsidP="00703FEA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E41A69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321C6B" w:rsidRPr="00A41806" w:rsidRDefault="00321C6B" w:rsidP="00703FEA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321C6B" w:rsidRPr="00E41A69" w:rsidRDefault="00321C6B" w:rsidP="00E41A69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6B" w:rsidRPr="00556EB9" w:rsidRDefault="0071578C" w:rsidP="00703FEA">
    <w:pPr>
      <w:pStyle w:val="FooterCitation"/>
    </w:pPr>
    <w:r>
      <w:rPr>
        <w:noProof/>
      </w:rPr>
      <w:t>G:\Drafting-Unit 1\#edit\1205913C Drafts\1205913C-120522Z.doc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6B" w:rsidRPr="00A41806" w:rsidRDefault="00321C6B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321C6B" w:rsidRPr="00A41806">
      <w:tc>
        <w:tcPr>
          <w:tcW w:w="1134" w:type="dxa"/>
        </w:tcPr>
        <w:p w:rsidR="00321C6B" w:rsidRPr="00A41806" w:rsidRDefault="00321C6B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E41A69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321C6B" w:rsidRPr="00EF2F9D" w:rsidRDefault="00321C6B" w:rsidP="008C15A7">
          <w:pPr>
            <w:pStyle w:val="FooterCitation"/>
          </w:pPr>
          <w:fldSimple w:instr=" REF  Citation\*charformat ">
            <w:r w:rsidR="00E41A69">
              <w:t>Therapeutic Goods (Charges) Amendment Regulation 2012 (No. 1)</w:t>
            </w:r>
          </w:fldSimple>
        </w:p>
      </w:tc>
      <w:tc>
        <w:tcPr>
          <w:tcW w:w="1191" w:type="dxa"/>
        </w:tcPr>
        <w:p w:rsidR="00321C6B" w:rsidRPr="00A41806" w:rsidRDefault="00321C6B" w:rsidP="008C15A7">
          <w:pPr>
            <w:pStyle w:val="Footer"/>
            <w:spacing w:before="20"/>
            <w:jc w:val="right"/>
          </w:pPr>
          <w:fldSimple w:instr=" REF Year \*Charformat ">
            <w:r w:rsidR="00E41A69">
              <w:t>2012</w:t>
            </w:r>
          </w:fldSimple>
          <w:r w:rsidRPr="00A41806">
            <w:t xml:space="preserve">, </w:t>
          </w:r>
          <w:fldSimple w:instr=" REF refno \*Charformat ">
            <w:r w:rsidR="00E41A69">
              <w:t>144</w:t>
            </w:r>
          </w:fldSimple>
        </w:p>
      </w:tc>
    </w:tr>
  </w:tbl>
  <w:p w:rsidR="00321C6B" w:rsidRPr="00A41806" w:rsidRDefault="00321C6B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321C6B" w:rsidRPr="00E41A69" w:rsidRDefault="00321C6B" w:rsidP="00E41A69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321C6B" w:rsidRPr="004675CE" w:rsidRDefault="00321C6B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321C6B" w:rsidRPr="004675CE" w:rsidRDefault="0071578C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1578C">
                  <w:rPr>
                    <w:rFonts w:ascii="Arial" w:hAnsi="Arial" w:cs="Arial"/>
                    <w:noProof/>
                    <w:sz w:val="12"/>
                    <w:szCs w:val="12"/>
                  </w:rPr>
                  <w:t>1205913C-120522Z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321C6B" w:rsidRPr="004675CE" w:rsidRDefault="00321C6B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321C6B" w:rsidRPr="004675CE" w:rsidRDefault="0071578C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1578C">
                  <w:rPr>
                    <w:rFonts w:ascii="Arial" w:hAnsi="Arial" w:cs="Arial"/>
                    <w:noProof/>
                    <w:sz w:val="12"/>
                    <w:szCs w:val="12"/>
                  </w:rPr>
                  <w:t>1205913C-120522Z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6B" w:rsidRDefault="00321C6B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321C6B" w:rsidRPr="008D3896">
      <w:tc>
        <w:tcPr>
          <w:tcW w:w="1191" w:type="dxa"/>
        </w:tcPr>
        <w:p w:rsidR="00321C6B" w:rsidRPr="008D3896" w:rsidRDefault="00321C6B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321C6B" w:rsidRPr="00EF2F9D" w:rsidRDefault="00321C6B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321C6B" w:rsidRPr="008D3896" w:rsidRDefault="00321C6B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E41A69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321C6B" w:rsidRDefault="00321C6B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321C6B" w:rsidRPr="00E41A69" w:rsidRDefault="00321C6B" w:rsidP="00E41A69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6B" w:rsidRDefault="00321C6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321C6B" w:rsidRPr="004675CE" w:rsidRDefault="00321C6B">
                <w:pPr>
                  <w:pStyle w:val="FooterDraft"/>
                </w:pPr>
                <w:r w:rsidRPr="004675CE">
                  <w:t>DRAFT ONLY</w:t>
                </w:r>
              </w:p>
              <w:p w:rsidR="00321C6B" w:rsidRPr="004675CE" w:rsidRDefault="0071578C">
                <w:pPr>
                  <w:pStyle w:val="FooterInfo"/>
                </w:pPr>
                <w:r>
                  <w:rPr>
                    <w:noProof/>
                  </w:rPr>
                  <w:t>1205913C-120522Z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6B" w:rsidRPr="00A41806" w:rsidRDefault="00321C6B" w:rsidP="00703FEA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321C6B" w:rsidRPr="00A41806">
      <w:tc>
        <w:tcPr>
          <w:tcW w:w="1191" w:type="dxa"/>
          <w:shd w:val="clear" w:color="auto" w:fill="auto"/>
        </w:tcPr>
        <w:p w:rsidR="00321C6B" w:rsidRPr="00A41806" w:rsidRDefault="00321C6B" w:rsidP="00703FEA">
          <w:pPr>
            <w:pStyle w:val="Footer"/>
            <w:spacing w:before="20"/>
          </w:pPr>
          <w:fldSimple w:instr=" REF Year \*Charformat ">
            <w:r w:rsidR="00E41A69">
              <w:t>2012</w:t>
            </w:r>
          </w:fldSimple>
          <w:r w:rsidRPr="00A41806">
            <w:t xml:space="preserve">, </w:t>
          </w:r>
          <w:fldSimple w:instr=" REF refno \*Charformat ">
            <w:r w:rsidR="00E41A69">
              <w:t>144</w:t>
            </w:r>
          </w:fldSimple>
        </w:p>
      </w:tc>
      <w:tc>
        <w:tcPr>
          <w:tcW w:w="4820" w:type="dxa"/>
          <w:shd w:val="clear" w:color="auto" w:fill="auto"/>
        </w:tcPr>
        <w:p w:rsidR="00321C6B" w:rsidRPr="00EF2F9D" w:rsidRDefault="00321C6B" w:rsidP="00703FEA">
          <w:pPr>
            <w:pStyle w:val="FooterCitation"/>
          </w:pPr>
          <w:fldSimple w:instr=" REF  Citation\*charformat ">
            <w:r w:rsidR="00E41A69">
              <w:t>Therapeutic Goods (Charges)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321C6B" w:rsidRPr="0014079B" w:rsidRDefault="00321C6B" w:rsidP="00703FEA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E41A69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321C6B" w:rsidRPr="00094457" w:rsidRDefault="00321C6B" w:rsidP="00703FEA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321C6B" w:rsidRPr="00E41A69" w:rsidRDefault="00321C6B" w:rsidP="00E41A69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6B" w:rsidRDefault="00321C6B" w:rsidP="00703FE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321C6B" w:rsidRPr="004675CE" w:rsidRDefault="00321C6B" w:rsidP="00703FEA">
                <w:pPr>
                  <w:pStyle w:val="FooterDraft"/>
                </w:pPr>
              </w:p>
              <w:p w:rsidR="00321C6B" w:rsidRPr="004675CE" w:rsidRDefault="0071578C" w:rsidP="00703FEA">
                <w:pPr>
                  <w:pStyle w:val="FooterInfo"/>
                </w:pPr>
                <w:r>
                  <w:rPr>
                    <w:noProof/>
                  </w:rPr>
                  <w:t>1205913C-120522Z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6B" w:rsidRDefault="00321C6B" w:rsidP="00703FEA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321C6B">
      <w:tc>
        <w:tcPr>
          <w:tcW w:w="1134" w:type="dxa"/>
          <w:shd w:val="clear" w:color="auto" w:fill="auto"/>
        </w:tcPr>
        <w:p w:rsidR="00321C6B" w:rsidRPr="007F6065" w:rsidRDefault="00321C6B" w:rsidP="00703FEA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41A69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321C6B" w:rsidRPr="00EF2F9D" w:rsidRDefault="00321C6B" w:rsidP="00703FEA">
          <w:pPr>
            <w:pStyle w:val="FooterCitation"/>
          </w:pPr>
          <w:fldSimple w:instr=" REF  Citation\*charformat ">
            <w:r w:rsidR="00E41A69">
              <w:t>Therapeutic Goods (Charges)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321C6B" w:rsidRPr="007F6065" w:rsidRDefault="00321C6B" w:rsidP="00703FEA">
          <w:pPr>
            <w:pStyle w:val="Footer"/>
            <w:spacing w:before="20"/>
            <w:jc w:val="right"/>
          </w:pPr>
          <w:fldSimple w:instr=" REF Year \*Charformat ">
            <w:r w:rsidR="00E41A69">
              <w:t>2012</w:t>
            </w:r>
          </w:fldSimple>
          <w:r w:rsidRPr="007F6065">
            <w:t xml:space="preserve">, </w:t>
          </w:r>
          <w:fldSimple w:instr=" REF refno \*Charformat ">
            <w:r w:rsidR="00E41A69">
              <w:t>144</w:t>
            </w:r>
          </w:fldSimple>
        </w:p>
      </w:tc>
    </w:tr>
  </w:tbl>
  <w:p w:rsidR="00321C6B" w:rsidRDefault="00321C6B" w:rsidP="00703FE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321C6B" w:rsidRPr="00E41A69" w:rsidRDefault="00321C6B" w:rsidP="00E41A69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321C6B" w:rsidRPr="004675CE" w:rsidRDefault="00321C6B" w:rsidP="008F2C2F">
                <w:pPr>
                  <w:pStyle w:val="FooterDraft"/>
                </w:pPr>
              </w:p>
              <w:p w:rsidR="00321C6B" w:rsidRPr="004675CE" w:rsidRDefault="0071578C" w:rsidP="00703FE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1578C">
                  <w:rPr>
                    <w:rFonts w:ascii="Arial" w:hAnsi="Arial" w:cs="Arial"/>
                    <w:noProof/>
                    <w:sz w:val="12"/>
                    <w:szCs w:val="12"/>
                  </w:rPr>
                  <w:t>1205913C-120522Z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321C6B" w:rsidRPr="004675CE" w:rsidRDefault="00321C6B" w:rsidP="008F2C2F">
                <w:pPr>
                  <w:pStyle w:val="FooterDraft"/>
                </w:pPr>
              </w:p>
              <w:p w:rsidR="00321C6B" w:rsidRPr="004675CE" w:rsidRDefault="0071578C" w:rsidP="00703FE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1578C">
                  <w:rPr>
                    <w:rFonts w:ascii="Arial" w:hAnsi="Arial" w:cs="Arial"/>
                    <w:noProof/>
                    <w:sz w:val="12"/>
                    <w:szCs w:val="12"/>
                  </w:rPr>
                  <w:t>1205913C-120522Z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6B" w:rsidRPr="00A41806" w:rsidRDefault="00321C6B" w:rsidP="00703FEA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321C6B" w:rsidRPr="00A41806">
      <w:tc>
        <w:tcPr>
          <w:tcW w:w="1191" w:type="dxa"/>
          <w:shd w:val="clear" w:color="auto" w:fill="auto"/>
        </w:tcPr>
        <w:p w:rsidR="00321C6B" w:rsidRPr="00A41806" w:rsidRDefault="00321C6B" w:rsidP="00703FEA">
          <w:pPr>
            <w:pStyle w:val="Footer"/>
            <w:spacing w:before="20"/>
          </w:pPr>
          <w:fldSimple w:instr=" REF Year \*Charformat ">
            <w:r w:rsidR="00E41A69">
              <w:t>2012</w:t>
            </w:r>
          </w:fldSimple>
          <w:r w:rsidRPr="00A41806">
            <w:t xml:space="preserve">, </w:t>
          </w:r>
          <w:fldSimple w:instr=" REF refno \*Charformat ">
            <w:r w:rsidR="00E41A69">
              <w:t>144</w:t>
            </w:r>
          </w:fldSimple>
        </w:p>
      </w:tc>
      <w:tc>
        <w:tcPr>
          <w:tcW w:w="4820" w:type="dxa"/>
          <w:shd w:val="clear" w:color="auto" w:fill="auto"/>
        </w:tcPr>
        <w:p w:rsidR="00321C6B" w:rsidRPr="00EF2F9D" w:rsidRDefault="00321C6B" w:rsidP="00703FEA">
          <w:pPr>
            <w:pStyle w:val="FooterCitation"/>
          </w:pPr>
          <w:fldSimple w:instr=" REF  Citation\*charformat ">
            <w:r w:rsidR="00E41A69">
              <w:t>Therapeutic Goods (Charges)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321C6B" w:rsidRPr="00845B98" w:rsidRDefault="00321C6B" w:rsidP="00703FEA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E41A69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321C6B" w:rsidRPr="00A41806" w:rsidRDefault="00321C6B" w:rsidP="00703FEA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321C6B" w:rsidRPr="00E41A69" w:rsidRDefault="00321C6B" w:rsidP="00E41A69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6B" w:rsidRPr="00556EB9" w:rsidRDefault="0071578C" w:rsidP="00703FEA">
    <w:pPr>
      <w:pStyle w:val="FooterCitation"/>
    </w:pPr>
    <w:r>
      <w:rPr>
        <w:noProof/>
      </w:rPr>
      <w:t>G:\Drafting-Unit 1\#edit\1205913C Drafts\1205913C-120522Z.doc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6B" w:rsidRDefault="00321C6B" w:rsidP="00703FEA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321C6B">
      <w:tc>
        <w:tcPr>
          <w:tcW w:w="1134" w:type="dxa"/>
          <w:shd w:val="clear" w:color="auto" w:fill="auto"/>
        </w:tcPr>
        <w:p w:rsidR="00321C6B" w:rsidRPr="007F6065" w:rsidRDefault="00321C6B" w:rsidP="00703FEA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E41A69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321C6B" w:rsidRPr="00EF2F9D" w:rsidRDefault="00321C6B" w:rsidP="00703FEA">
          <w:pPr>
            <w:pStyle w:val="FooterCitation"/>
          </w:pPr>
          <w:fldSimple w:instr=" REF  Citation\*charformat ">
            <w:r w:rsidR="00E41A69">
              <w:t>Therapeutic Goods (Charges)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321C6B" w:rsidRPr="007F6065" w:rsidRDefault="00321C6B" w:rsidP="00703FEA">
          <w:pPr>
            <w:pStyle w:val="Footer"/>
            <w:spacing w:before="20"/>
            <w:jc w:val="right"/>
          </w:pPr>
          <w:fldSimple w:instr=" REF Year \*Charformat ">
            <w:r w:rsidR="00E41A69">
              <w:t>2012</w:t>
            </w:r>
          </w:fldSimple>
          <w:r w:rsidRPr="007F6065">
            <w:t xml:space="preserve">, </w:t>
          </w:r>
          <w:fldSimple w:instr=" REF refno \*Charformat ">
            <w:r w:rsidR="00E41A69">
              <w:t>144</w:t>
            </w:r>
          </w:fldSimple>
        </w:p>
      </w:tc>
    </w:tr>
  </w:tbl>
  <w:p w:rsidR="00321C6B" w:rsidRDefault="00321C6B" w:rsidP="00703FE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321C6B" w:rsidRPr="00E41A69" w:rsidRDefault="00321C6B" w:rsidP="00E41A69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321C6B" w:rsidRPr="004675CE" w:rsidRDefault="00321C6B" w:rsidP="008F2C2F">
                <w:pPr>
                  <w:pStyle w:val="FooterDraft"/>
                </w:pPr>
              </w:p>
              <w:p w:rsidR="00321C6B" w:rsidRPr="004675CE" w:rsidRDefault="0071578C" w:rsidP="00703FE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1578C">
                  <w:rPr>
                    <w:rFonts w:ascii="Arial" w:hAnsi="Arial" w:cs="Arial"/>
                    <w:noProof/>
                    <w:sz w:val="12"/>
                    <w:szCs w:val="12"/>
                  </w:rPr>
                  <w:t>1205913C-120522Z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321C6B" w:rsidRPr="004675CE" w:rsidRDefault="00321C6B" w:rsidP="008F2C2F">
                <w:pPr>
                  <w:pStyle w:val="FooterDraft"/>
                </w:pPr>
              </w:p>
              <w:p w:rsidR="00321C6B" w:rsidRPr="004675CE" w:rsidRDefault="0071578C" w:rsidP="00703FE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71578C">
                  <w:rPr>
                    <w:rFonts w:ascii="Arial" w:hAnsi="Arial" w:cs="Arial"/>
                    <w:noProof/>
                    <w:sz w:val="12"/>
                    <w:szCs w:val="12"/>
                  </w:rPr>
                  <w:t>1205913C-120522Z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6B" w:rsidRPr="00A41806" w:rsidRDefault="00321C6B" w:rsidP="00703FEA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321C6B" w:rsidRPr="00845B98">
      <w:tc>
        <w:tcPr>
          <w:tcW w:w="1191" w:type="dxa"/>
          <w:shd w:val="clear" w:color="auto" w:fill="auto"/>
        </w:tcPr>
        <w:p w:rsidR="00321C6B" w:rsidRPr="00A41806" w:rsidRDefault="00321C6B" w:rsidP="00703FEA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E41A69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E41A69">
            <w:fldChar w:fldCharType="separate"/>
          </w:r>
          <w:r w:rsidR="00E41A69">
            <w:t>144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321C6B" w:rsidRPr="00EF2F9D" w:rsidRDefault="00321C6B" w:rsidP="00703FEA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E41A69">
            <w:t>Therapeutic Goods (Charges)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321C6B" w:rsidRPr="00845B98" w:rsidRDefault="00321C6B" w:rsidP="00703FEA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E41A69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321C6B" w:rsidRPr="00A41806" w:rsidRDefault="00321C6B" w:rsidP="00703FEA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321C6B" w:rsidRPr="00E41A69" w:rsidRDefault="00321C6B" w:rsidP="00E41A69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6B" w:rsidRPr="00556EB9" w:rsidRDefault="0071578C" w:rsidP="00703FEA">
    <w:pPr>
      <w:pStyle w:val="FooterCitation"/>
    </w:pPr>
    <w:r>
      <w:rPr>
        <w:noProof/>
      </w:rPr>
      <w:t>G:\Drafting-Unit 1\#edit\1205913C Drafts\1205913C-120522Z.doc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29A" w:rsidRDefault="00FA229A">
      <w:r>
        <w:separator/>
      </w:r>
    </w:p>
  </w:footnote>
  <w:footnote w:type="continuationSeparator" w:id="0">
    <w:p w:rsidR="00FA229A" w:rsidRDefault="00FA2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321C6B">
      <w:tc>
        <w:tcPr>
          <w:tcW w:w="1531" w:type="dxa"/>
        </w:tcPr>
        <w:p w:rsidR="00321C6B" w:rsidRDefault="00321C6B">
          <w:pPr>
            <w:pStyle w:val="HeaderLiteEven"/>
          </w:pPr>
        </w:p>
      </w:tc>
      <w:tc>
        <w:tcPr>
          <w:tcW w:w="5636" w:type="dxa"/>
          <w:vAlign w:val="bottom"/>
        </w:tcPr>
        <w:p w:rsidR="00321C6B" w:rsidRDefault="00321C6B">
          <w:pPr>
            <w:pStyle w:val="HeaderLiteEven"/>
          </w:pPr>
        </w:p>
      </w:tc>
    </w:tr>
    <w:tr w:rsidR="00321C6B">
      <w:tc>
        <w:tcPr>
          <w:tcW w:w="1531" w:type="dxa"/>
        </w:tcPr>
        <w:p w:rsidR="00321C6B" w:rsidRDefault="00321C6B">
          <w:pPr>
            <w:pStyle w:val="HeaderLiteEven"/>
          </w:pPr>
        </w:p>
      </w:tc>
      <w:tc>
        <w:tcPr>
          <w:tcW w:w="5636" w:type="dxa"/>
          <w:vAlign w:val="bottom"/>
        </w:tcPr>
        <w:p w:rsidR="00321C6B" w:rsidRDefault="00321C6B">
          <w:pPr>
            <w:pStyle w:val="HeaderLiteEven"/>
          </w:pPr>
        </w:p>
      </w:tc>
    </w:tr>
    <w:tr w:rsidR="00321C6B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21C6B" w:rsidRDefault="00321C6B">
          <w:pPr>
            <w:pStyle w:val="HeaderBoldEven"/>
          </w:pPr>
        </w:p>
      </w:tc>
    </w:tr>
  </w:tbl>
  <w:p w:rsidR="00321C6B" w:rsidRDefault="00321C6B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321C6B">
      <w:tc>
        <w:tcPr>
          <w:tcW w:w="7167" w:type="dxa"/>
        </w:tcPr>
        <w:p w:rsidR="00321C6B" w:rsidRDefault="00321C6B">
          <w:pPr>
            <w:pStyle w:val="HeaderLiteOdd"/>
          </w:pPr>
          <w:r>
            <w:t>Note</w:t>
          </w:r>
        </w:p>
      </w:tc>
    </w:tr>
    <w:tr w:rsidR="00321C6B">
      <w:tc>
        <w:tcPr>
          <w:tcW w:w="7167" w:type="dxa"/>
        </w:tcPr>
        <w:p w:rsidR="00321C6B" w:rsidRDefault="00321C6B">
          <w:pPr>
            <w:pStyle w:val="HeaderLiteOdd"/>
          </w:pPr>
        </w:p>
      </w:tc>
    </w:tr>
    <w:tr w:rsidR="00321C6B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321C6B" w:rsidRDefault="00321C6B">
          <w:pPr>
            <w:pStyle w:val="HeaderBoldOdd"/>
          </w:pPr>
        </w:p>
      </w:tc>
    </w:tr>
  </w:tbl>
  <w:p w:rsidR="00321C6B" w:rsidRDefault="00321C6B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6B" w:rsidRDefault="00321C6B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321C6B">
      <w:tc>
        <w:tcPr>
          <w:tcW w:w="1531" w:type="dxa"/>
        </w:tcPr>
        <w:p w:rsidR="00321C6B" w:rsidRDefault="00321C6B" w:rsidP="004B0996">
          <w:pPr>
            <w:pStyle w:val="HeaderLiteEven"/>
          </w:pPr>
        </w:p>
      </w:tc>
      <w:tc>
        <w:tcPr>
          <w:tcW w:w="5636" w:type="dxa"/>
        </w:tcPr>
        <w:p w:rsidR="00321C6B" w:rsidRDefault="00321C6B" w:rsidP="004B0996">
          <w:pPr>
            <w:pStyle w:val="HeaderLiteEven"/>
          </w:pPr>
        </w:p>
      </w:tc>
    </w:tr>
    <w:tr w:rsidR="00321C6B">
      <w:tc>
        <w:tcPr>
          <w:tcW w:w="1531" w:type="dxa"/>
        </w:tcPr>
        <w:p w:rsidR="00321C6B" w:rsidRDefault="00321C6B" w:rsidP="004B0996">
          <w:pPr>
            <w:pStyle w:val="HeaderLiteEven"/>
          </w:pPr>
        </w:p>
      </w:tc>
      <w:tc>
        <w:tcPr>
          <w:tcW w:w="5636" w:type="dxa"/>
        </w:tcPr>
        <w:p w:rsidR="00321C6B" w:rsidRDefault="00321C6B" w:rsidP="004B0996">
          <w:pPr>
            <w:pStyle w:val="HeaderLiteEven"/>
          </w:pPr>
        </w:p>
      </w:tc>
    </w:tr>
    <w:tr w:rsidR="00321C6B">
      <w:tc>
        <w:tcPr>
          <w:tcW w:w="1531" w:type="dxa"/>
        </w:tcPr>
        <w:p w:rsidR="00321C6B" w:rsidRDefault="00321C6B" w:rsidP="004B0996">
          <w:pPr>
            <w:pStyle w:val="HeaderBoldEven"/>
          </w:pPr>
        </w:p>
      </w:tc>
      <w:tc>
        <w:tcPr>
          <w:tcW w:w="5636" w:type="dxa"/>
        </w:tcPr>
        <w:p w:rsidR="00321C6B" w:rsidRDefault="00321C6B" w:rsidP="004B0996">
          <w:pPr>
            <w:pStyle w:val="HeaderBoldEven"/>
          </w:pPr>
        </w:p>
      </w:tc>
    </w:tr>
  </w:tbl>
  <w:p w:rsidR="00321C6B" w:rsidRDefault="00321C6B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321C6B">
      <w:tc>
        <w:tcPr>
          <w:tcW w:w="1531" w:type="dxa"/>
        </w:tcPr>
        <w:p w:rsidR="00321C6B" w:rsidRDefault="00321C6B">
          <w:pPr>
            <w:pStyle w:val="HeaderLiteOdd"/>
          </w:pPr>
        </w:p>
      </w:tc>
      <w:tc>
        <w:tcPr>
          <w:tcW w:w="1531" w:type="dxa"/>
        </w:tcPr>
        <w:p w:rsidR="00321C6B" w:rsidRDefault="00321C6B">
          <w:pPr>
            <w:pStyle w:val="HeaderLiteOdd"/>
          </w:pPr>
        </w:p>
      </w:tc>
    </w:tr>
    <w:tr w:rsidR="00321C6B">
      <w:tc>
        <w:tcPr>
          <w:tcW w:w="1531" w:type="dxa"/>
        </w:tcPr>
        <w:p w:rsidR="00321C6B" w:rsidRDefault="00321C6B">
          <w:pPr>
            <w:pStyle w:val="HeaderLiteOdd"/>
          </w:pPr>
        </w:p>
      </w:tc>
      <w:tc>
        <w:tcPr>
          <w:tcW w:w="1531" w:type="dxa"/>
        </w:tcPr>
        <w:p w:rsidR="00321C6B" w:rsidRDefault="00321C6B">
          <w:pPr>
            <w:pStyle w:val="HeaderLiteOdd"/>
          </w:pPr>
        </w:p>
      </w:tc>
    </w:tr>
    <w:tr w:rsidR="00321C6B">
      <w:tc>
        <w:tcPr>
          <w:tcW w:w="5636" w:type="dxa"/>
          <w:tcBorders>
            <w:bottom w:val="single" w:sz="4" w:space="0" w:color="auto"/>
          </w:tcBorders>
        </w:tcPr>
        <w:p w:rsidR="00321C6B" w:rsidRDefault="00321C6B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321C6B" w:rsidRDefault="00321C6B">
          <w:pPr>
            <w:pStyle w:val="HeaderBoldOdd"/>
          </w:pPr>
        </w:p>
      </w:tc>
    </w:tr>
  </w:tbl>
  <w:p w:rsidR="00321C6B" w:rsidRDefault="00321C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321C6B">
      <w:tc>
        <w:tcPr>
          <w:tcW w:w="5636" w:type="dxa"/>
          <w:vAlign w:val="bottom"/>
        </w:tcPr>
        <w:p w:rsidR="00321C6B" w:rsidRDefault="00321C6B">
          <w:pPr>
            <w:pStyle w:val="HeaderLiteOdd"/>
          </w:pPr>
        </w:p>
      </w:tc>
      <w:tc>
        <w:tcPr>
          <w:tcW w:w="1531" w:type="dxa"/>
        </w:tcPr>
        <w:p w:rsidR="00321C6B" w:rsidRDefault="00321C6B">
          <w:pPr>
            <w:pStyle w:val="HeaderLiteOdd"/>
          </w:pPr>
        </w:p>
      </w:tc>
    </w:tr>
    <w:tr w:rsidR="00321C6B">
      <w:tc>
        <w:tcPr>
          <w:tcW w:w="5636" w:type="dxa"/>
          <w:vAlign w:val="bottom"/>
        </w:tcPr>
        <w:p w:rsidR="00321C6B" w:rsidRDefault="00321C6B">
          <w:pPr>
            <w:pStyle w:val="HeaderLiteOdd"/>
          </w:pPr>
        </w:p>
      </w:tc>
      <w:tc>
        <w:tcPr>
          <w:tcW w:w="1531" w:type="dxa"/>
        </w:tcPr>
        <w:p w:rsidR="00321C6B" w:rsidRDefault="00321C6B">
          <w:pPr>
            <w:pStyle w:val="HeaderLiteOdd"/>
          </w:pPr>
        </w:p>
      </w:tc>
    </w:tr>
    <w:tr w:rsidR="00321C6B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21C6B" w:rsidRDefault="00321C6B">
          <w:pPr>
            <w:pStyle w:val="HeaderBoldOdd"/>
          </w:pPr>
        </w:p>
      </w:tc>
    </w:tr>
  </w:tbl>
  <w:p w:rsidR="00321C6B" w:rsidRDefault="00321C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321C6B">
      <w:tc>
        <w:tcPr>
          <w:tcW w:w="1531" w:type="dxa"/>
        </w:tcPr>
        <w:p w:rsidR="00321C6B" w:rsidRDefault="00321C6B">
          <w:pPr>
            <w:pStyle w:val="HeaderLiteEven"/>
          </w:pPr>
        </w:p>
      </w:tc>
      <w:tc>
        <w:tcPr>
          <w:tcW w:w="5636" w:type="dxa"/>
          <w:vAlign w:val="bottom"/>
        </w:tcPr>
        <w:p w:rsidR="00321C6B" w:rsidRDefault="00321C6B">
          <w:pPr>
            <w:pStyle w:val="HeaderLiteEven"/>
          </w:pPr>
        </w:p>
      </w:tc>
    </w:tr>
    <w:tr w:rsidR="00321C6B">
      <w:tc>
        <w:tcPr>
          <w:tcW w:w="1531" w:type="dxa"/>
        </w:tcPr>
        <w:p w:rsidR="00321C6B" w:rsidRDefault="00321C6B">
          <w:pPr>
            <w:pStyle w:val="HeaderLiteEven"/>
          </w:pPr>
        </w:p>
      </w:tc>
      <w:tc>
        <w:tcPr>
          <w:tcW w:w="5636" w:type="dxa"/>
          <w:vAlign w:val="bottom"/>
        </w:tcPr>
        <w:p w:rsidR="00321C6B" w:rsidRDefault="00321C6B">
          <w:pPr>
            <w:pStyle w:val="HeaderLiteEven"/>
          </w:pPr>
        </w:p>
      </w:tc>
    </w:tr>
    <w:tr w:rsidR="00321C6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21C6B" w:rsidRPr="008F2C2F" w:rsidRDefault="008F2C2F" w:rsidP="00703FEA">
          <w:pPr>
            <w:pStyle w:val="HeaderBoldEven"/>
          </w:pPr>
          <w:r>
            <w:t xml:space="preserve">Section </w:t>
          </w:r>
          <w:r w:rsidRPr="008F2C2F">
            <w:fldChar w:fldCharType="begin"/>
          </w:r>
          <w:r w:rsidRPr="008F2C2F">
            <w:instrText xml:space="preserve"> If </w:instrText>
          </w:r>
          <w:fldSimple w:instr=" STYLEREF CharSectnoAm \*Charformat ">
            <w:r w:rsidR="00E41A69">
              <w:rPr>
                <w:noProof/>
              </w:rPr>
              <w:instrText>1</w:instrText>
            </w:r>
          </w:fldSimple>
          <w:r w:rsidRPr="008F2C2F">
            <w:instrText xml:space="preserve"> &lt;&gt; "Error*" </w:instrText>
          </w:r>
          <w:fldSimple w:instr=" STYLEREF CharSectnoAm \*Charformat ">
            <w:r w:rsidR="00E41A69">
              <w:rPr>
                <w:noProof/>
              </w:rPr>
              <w:instrText>1</w:instrText>
            </w:r>
          </w:fldSimple>
          <w:r w:rsidRPr="008F2C2F">
            <w:instrText xml:space="preserve"> </w:instrText>
          </w:r>
          <w:r w:rsidRPr="008F2C2F">
            <w:fldChar w:fldCharType="separate"/>
          </w:r>
          <w:r w:rsidR="00E41A69">
            <w:rPr>
              <w:noProof/>
            </w:rPr>
            <w:t>1</w:t>
          </w:r>
          <w:r w:rsidRPr="008F2C2F">
            <w:fldChar w:fldCharType="end"/>
          </w:r>
        </w:p>
      </w:tc>
    </w:tr>
  </w:tbl>
  <w:p w:rsidR="00321C6B" w:rsidRDefault="00321C6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321C6B">
      <w:tc>
        <w:tcPr>
          <w:tcW w:w="5636" w:type="dxa"/>
          <w:vAlign w:val="bottom"/>
        </w:tcPr>
        <w:p w:rsidR="00321C6B" w:rsidRDefault="00321C6B">
          <w:pPr>
            <w:pStyle w:val="HeaderLiteOdd"/>
          </w:pPr>
        </w:p>
      </w:tc>
      <w:tc>
        <w:tcPr>
          <w:tcW w:w="1531" w:type="dxa"/>
        </w:tcPr>
        <w:p w:rsidR="00321C6B" w:rsidRDefault="00321C6B">
          <w:pPr>
            <w:pStyle w:val="HeaderLiteOdd"/>
          </w:pPr>
        </w:p>
      </w:tc>
    </w:tr>
    <w:tr w:rsidR="00321C6B">
      <w:tc>
        <w:tcPr>
          <w:tcW w:w="5636" w:type="dxa"/>
          <w:vAlign w:val="bottom"/>
        </w:tcPr>
        <w:p w:rsidR="00321C6B" w:rsidRDefault="00321C6B">
          <w:pPr>
            <w:pStyle w:val="HeaderLiteOdd"/>
          </w:pPr>
        </w:p>
      </w:tc>
      <w:tc>
        <w:tcPr>
          <w:tcW w:w="1531" w:type="dxa"/>
        </w:tcPr>
        <w:p w:rsidR="00321C6B" w:rsidRDefault="00321C6B">
          <w:pPr>
            <w:pStyle w:val="HeaderLiteOdd"/>
          </w:pPr>
        </w:p>
      </w:tc>
    </w:tr>
    <w:tr w:rsidR="00321C6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21C6B" w:rsidRPr="008F2C2F" w:rsidRDefault="008F2C2F">
          <w:pPr>
            <w:pStyle w:val="HeaderBoldOdd"/>
          </w:pPr>
          <w:r>
            <w:t xml:space="preserve">Section </w:t>
          </w:r>
          <w:r w:rsidRPr="008F2C2F">
            <w:fldChar w:fldCharType="begin"/>
          </w:r>
          <w:r w:rsidRPr="008F2C2F">
            <w:instrText xml:space="preserve"> If </w:instrText>
          </w:r>
          <w:fldSimple w:instr=" STYLEREF CharSectnoAm \*Charformat \l ">
            <w:r w:rsidR="00E41A69">
              <w:rPr>
                <w:noProof/>
              </w:rPr>
              <w:instrText>1</w:instrText>
            </w:r>
          </w:fldSimple>
          <w:r w:rsidRPr="008F2C2F">
            <w:instrText xml:space="preserve"> &lt;&gt; "Error*" </w:instrText>
          </w:r>
          <w:fldSimple w:instr=" STYLEREF CharSectnoAm \*Charformat \l ">
            <w:r w:rsidR="00E41A69">
              <w:rPr>
                <w:noProof/>
              </w:rPr>
              <w:instrText>1</w:instrText>
            </w:r>
          </w:fldSimple>
          <w:r w:rsidRPr="008F2C2F">
            <w:instrText xml:space="preserve"> </w:instrText>
          </w:r>
          <w:r w:rsidRPr="008F2C2F">
            <w:fldChar w:fldCharType="separate"/>
          </w:r>
          <w:r w:rsidR="00E41A69">
            <w:rPr>
              <w:noProof/>
            </w:rPr>
            <w:t>1</w:t>
          </w:r>
          <w:r w:rsidRPr="008F2C2F">
            <w:fldChar w:fldCharType="end"/>
          </w:r>
        </w:p>
      </w:tc>
    </w:tr>
  </w:tbl>
  <w:p w:rsidR="00321C6B" w:rsidRDefault="00321C6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6B" w:rsidRDefault="00321C6B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321C6B">
      <w:tc>
        <w:tcPr>
          <w:tcW w:w="1531" w:type="dxa"/>
        </w:tcPr>
        <w:p w:rsidR="00321C6B" w:rsidRDefault="008F2C2F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E41A69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E41A69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E41A69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321C6B" w:rsidRDefault="008F2C2F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E41A69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E41A69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E41A69">
            <w:rPr>
              <w:noProof/>
            </w:rPr>
            <w:t>Amendments</w:t>
          </w:r>
          <w:r>
            <w:fldChar w:fldCharType="end"/>
          </w:r>
        </w:p>
      </w:tc>
    </w:tr>
    <w:tr w:rsidR="00321C6B">
      <w:tc>
        <w:tcPr>
          <w:tcW w:w="1531" w:type="dxa"/>
        </w:tcPr>
        <w:p w:rsidR="00321C6B" w:rsidRDefault="00321C6B">
          <w:pPr>
            <w:pStyle w:val="HeaderLiteEven"/>
          </w:pPr>
        </w:p>
      </w:tc>
      <w:tc>
        <w:tcPr>
          <w:tcW w:w="5636" w:type="dxa"/>
          <w:vAlign w:val="bottom"/>
        </w:tcPr>
        <w:p w:rsidR="00321C6B" w:rsidRDefault="00321C6B">
          <w:pPr>
            <w:pStyle w:val="HeaderLiteEven"/>
          </w:pPr>
        </w:p>
      </w:tc>
    </w:tr>
    <w:tr w:rsidR="00321C6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21C6B" w:rsidRDefault="00321C6B" w:rsidP="00703FEA">
          <w:pPr>
            <w:pStyle w:val="HeaderBoldEven"/>
          </w:pPr>
        </w:p>
      </w:tc>
    </w:tr>
  </w:tbl>
  <w:p w:rsidR="00321C6B" w:rsidRDefault="00321C6B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321C6B">
      <w:tc>
        <w:tcPr>
          <w:tcW w:w="5636" w:type="dxa"/>
          <w:vAlign w:val="bottom"/>
        </w:tcPr>
        <w:p w:rsidR="00321C6B" w:rsidRDefault="008F2C2F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E41A69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E41A69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E41A69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321C6B" w:rsidRDefault="008F2C2F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E41A69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E41A69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E41A69">
            <w:rPr>
              <w:noProof/>
            </w:rPr>
            <w:t>Schedule 1</w:t>
          </w:r>
          <w:r>
            <w:fldChar w:fldCharType="end"/>
          </w:r>
        </w:p>
      </w:tc>
    </w:tr>
    <w:tr w:rsidR="00321C6B">
      <w:tc>
        <w:tcPr>
          <w:tcW w:w="5636" w:type="dxa"/>
          <w:vAlign w:val="bottom"/>
        </w:tcPr>
        <w:p w:rsidR="00321C6B" w:rsidRDefault="00321C6B">
          <w:pPr>
            <w:pStyle w:val="HeaderLiteOdd"/>
          </w:pPr>
        </w:p>
      </w:tc>
      <w:tc>
        <w:tcPr>
          <w:tcW w:w="1531" w:type="dxa"/>
        </w:tcPr>
        <w:p w:rsidR="00321C6B" w:rsidRDefault="00321C6B">
          <w:pPr>
            <w:pStyle w:val="HeaderLiteOdd"/>
          </w:pPr>
        </w:p>
      </w:tc>
    </w:tr>
    <w:tr w:rsidR="00321C6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321C6B" w:rsidRDefault="00321C6B" w:rsidP="00703FEA">
          <w:pPr>
            <w:pStyle w:val="HeaderBoldOdd"/>
          </w:pPr>
        </w:p>
      </w:tc>
    </w:tr>
  </w:tbl>
  <w:p w:rsidR="00321C6B" w:rsidRDefault="00321C6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6B" w:rsidRDefault="00321C6B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321C6B">
      <w:tc>
        <w:tcPr>
          <w:tcW w:w="7167" w:type="dxa"/>
        </w:tcPr>
        <w:p w:rsidR="00321C6B" w:rsidRDefault="00321C6B">
          <w:pPr>
            <w:pStyle w:val="HeaderLiteEven"/>
          </w:pPr>
          <w:r>
            <w:t>Note</w:t>
          </w:r>
        </w:p>
      </w:tc>
    </w:tr>
    <w:tr w:rsidR="00321C6B">
      <w:tc>
        <w:tcPr>
          <w:tcW w:w="7167" w:type="dxa"/>
        </w:tcPr>
        <w:p w:rsidR="00321C6B" w:rsidRDefault="00321C6B">
          <w:pPr>
            <w:pStyle w:val="HeaderLiteEven"/>
          </w:pPr>
        </w:p>
      </w:tc>
    </w:tr>
    <w:tr w:rsidR="00321C6B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321C6B" w:rsidRDefault="00321C6B">
          <w:pPr>
            <w:pStyle w:val="HeaderBoldEven"/>
          </w:pPr>
        </w:p>
      </w:tc>
    </w:tr>
  </w:tbl>
  <w:p w:rsidR="00321C6B" w:rsidRDefault="00321C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FEA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50120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A63F6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5560"/>
    <w:rsid w:val="000D7167"/>
    <w:rsid w:val="000D736B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2A36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92C83"/>
    <w:rsid w:val="001A062E"/>
    <w:rsid w:val="001A25BD"/>
    <w:rsid w:val="001A2921"/>
    <w:rsid w:val="001A2B82"/>
    <w:rsid w:val="001A56BD"/>
    <w:rsid w:val="001A745A"/>
    <w:rsid w:val="001B4168"/>
    <w:rsid w:val="001B680B"/>
    <w:rsid w:val="001B6D98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374C"/>
    <w:rsid w:val="001E551F"/>
    <w:rsid w:val="001F0F35"/>
    <w:rsid w:val="001F11DA"/>
    <w:rsid w:val="001F1819"/>
    <w:rsid w:val="001F204C"/>
    <w:rsid w:val="001F24CF"/>
    <w:rsid w:val="001F3D0A"/>
    <w:rsid w:val="0020253A"/>
    <w:rsid w:val="00202942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53E2D"/>
    <w:rsid w:val="00253EE7"/>
    <w:rsid w:val="00254B2F"/>
    <w:rsid w:val="00254C12"/>
    <w:rsid w:val="00260641"/>
    <w:rsid w:val="00262431"/>
    <w:rsid w:val="00263AA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1AEF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A15"/>
    <w:rsid w:val="002F7F66"/>
    <w:rsid w:val="00302D1D"/>
    <w:rsid w:val="00304F86"/>
    <w:rsid w:val="0030627F"/>
    <w:rsid w:val="00307011"/>
    <w:rsid w:val="00312BF2"/>
    <w:rsid w:val="00321C6B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3709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6638B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4665"/>
    <w:rsid w:val="00416A06"/>
    <w:rsid w:val="004207D7"/>
    <w:rsid w:val="00420E93"/>
    <w:rsid w:val="00424431"/>
    <w:rsid w:val="0042496B"/>
    <w:rsid w:val="00425581"/>
    <w:rsid w:val="00427249"/>
    <w:rsid w:val="004372EA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0EE5"/>
    <w:rsid w:val="00471344"/>
    <w:rsid w:val="0047221D"/>
    <w:rsid w:val="004742DF"/>
    <w:rsid w:val="00477B83"/>
    <w:rsid w:val="00480BB9"/>
    <w:rsid w:val="004825F7"/>
    <w:rsid w:val="00482B0A"/>
    <w:rsid w:val="0048777D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C74D5"/>
    <w:rsid w:val="004D25B2"/>
    <w:rsid w:val="004D2CCB"/>
    <w:rsid w:val="004D460F"/>
    <w:rsid w:val="004D7267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22FD"/>
    <w:rsid w:val="00535BFA"/>
    <w:rsid w:val="00536AFA"/>
    <w:rsid w:val="005405BC"/>
    <w:rsid w:val="005430FE"/>
    <w:rsid w:val="005455EF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3ED0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14718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A7AD1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D5445"/>
    <w:rsid w:val="006E23CD"/>
    <w:rsid w:val="006E6AF8"/>
    <w:rsid w:val="006F2504"/>
    <w:rsid w:val="006F4850"/>
    <w:rsid w:val="007014F3"/>
    <w:rsid w:val="0070264A"/>
    <w:rsid w:val="007037DD"/>
    <w:rsid w:val="00703FEA"/>
    <w:rsid w:val="00711719"/>
    <w:rsid w:val="00714984"/>
    <w:rsid w:val="0071578C"/>
    <w:rsid w:val="00715A1B"/>
    <w:rsid w:val="00715B04"/>
    <w:rsid w:val="00717563"/>
    <w:rsid w:val="00725A0B"/>
    <w:rsid w:val="00725A68"/>
    <w:rsid w:val="00730AB3"/>
    <w:rsid w:val="00730BB1"/>
    <w:rsid w:val="00732425"/>
    <w:rsid w:val="00733D1E"/>
    <w:rsid w:val="00733ED9"/>
    <w:rsid w:val="00734A34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402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6AAD"/>
    <w:rsid w:val="007C7ED2"/>
    <w:rsid w:val="007D1730"/>
    <w:rsid w:val="007D2042"/>
    <w:rsid w:val="007D4230"/>
    <w:rsid w:val="007D4D7B"/>
    <w:rsid w:val="007D567A"/>
    <w:rsid w:val="007E1B3E"/>
    <w:rsid w:val="007E21C3"/>
    <w:rsid w:val="007F6065"/>
    <w:rsid w:val="007F6B43"/>
    <w:rsid w:val="00800EE9"/>
    <w:rsid w:val="00802693"/>
    <w:rsid w:val="00805B1D"/>
    <w:rsid w:val="00812773"/>
    <w:rsid w:val="00812E73"/>
    <w:rsid w:val="008200F1"/>
    <w:rsid w:val="00820E6A"/>
    <w:rsid w:val="00823CE5"/>
    <w:rsid w:val="00826D3D"/>
    <w:rsid w:val="0083232E"/>
    <w:rsid w:val="00833881"/>
    <w:rsid w:val="00834026"/>
    <w:rsid w:val="00834556"/>
    <w:rsid w:val="00836F81"/>
    <w:rsid w:val="00837950"/>
    <w:rsid w:val="008405E8"/>
    <w:rsid w:val="008421EA"/>
    <w:rsid w:val="008529D0"/>
    <w:rsid w:val="00855B7C"/>
    <w:rsid w:val="008621D6"/>
    <w:rsid w:val="00871BD1"/>
    <w:rsid w:val="00872D79"/>
    <w:rsid w:val="0087769B"/>
    <w:rsid w:val="008800E2"/>
    <w:rsid w:val="00880302"/>
    <w:rsid w:val="00884A91"/>
    <w:rsid w:val="00884AF0"/>
    <w:rsid w:val="00885A66"/>
    <w:rsid w:val="00890489"/>
    <w:rsid w:val="00890A16"/>
    <w:rsid w:val="008911A6"/>
    <w:rsid w:val="00896CED"/>
    <w:rsid w:val="008A0D3A"/>
    <w:rsid w:val="008A0EF2"/>
    <w:rsid w:val="008A1B60"/>
    <w:rsid w:val="008A3D32"/>
    <w:rsid w:val="008A5870"/>
    <w:rsid w:val="008A5DD5"/>
    <w:rsid w:val="008B00C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1E1A"/>
    <w:rsid w:val="008E2675"/>
    <w:rsid w:val="008E45F9"/>
    <w:rsid w:val="008E74ED"/>
    <w:rsid w:val="008E7D39"/>
    <w:rsid w:val="008F2C2F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7BB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3361"/>
    <w:rsid w:val="009955A7"/>
    <w:rsid w:val="00996B0A"/>
    <w:rsid w:val="009A0AFD"/>
    <w:rsid w:val="009A4BDC"/>
    <w:rsid w:val="009A595E"/>
    <w:rsid w:val="009B10B3"/>
    <w:rsid w:val="009B242B"/>
    <w:rsid w:val="009B252C"/>
    <w:rsid w:val="009B35E7"/>
    <w:rsid w:val="009B4251"/>
    <w:rsid w:val="009B4882"/>
    <w:rsid w:val="009B5820"/>
    <w:rsid w:val="009E2539"/>
    <w:rsid w:val="009E3171"/>
    <w:rsid w:val="009E39CE"/>
    <w:rsid w:val="009E5220"/>
    <w:rsid w:val="009E6F97"/>
    <w:rsid w:val="009F1CD1"/>
    <w:rsid w:val="009F3211"/>
    <w:rsid w:val="009F3F34"/>
    <w:rsid w:val="009F46E7"/>
    <w:rsid w:val="009F57B6"/>
    <w:rsid w:val="00A01333"/>
    <w:rsid w:val="00A01FB2"/>
    <w:rsid w:val="00A02ECC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0D8D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83702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565A"/>
    <w:rsid w:val="00AC7CC2"/>
    <w:rsid w:val="00AD2FDA"/>
    <w:rsid w:val="00AD3862"/>
    <w:rsid w:val="00AD4C82"/>
    <w:rsid w:val="00AD56FF"/>
    <w:rsid w:val="00AD6369"/>
    <w:rsid w:val="00AD644D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6AE9"/>
    <w:rsid w:val="00B27149"/>
    <w:rsid w:val="00B2730F"/>
    <w:rsid w:val="00B30277"/>
    <w:rsid w:val="00B312AC"/>
    <w:rsid w:val="00B32109"/>
    <w:rsid w:val="00B341F1"/>
    <w:rsid w:val="00B35329"/>
    <w:rsid w:val="00B35813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6BCB"/>
    <w:rsid w:val="00BA761C"/>
    <w:rsid w:val="00BB28E1"/>
    <w:rsid w:val="00BB4AFF"/>
    <w:rsid w:val="00BB626D"/>
    <w:rsid w:val="00BC3D9E"/>
    <w:rsid w:val="00BC4A31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1CDB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6B8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045A3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18"/>
    <w:rsid w:val="00D40E4E"/>
    <w:rsid w:val="00D4327E"/>
    <w:rsid w:val="00D43C47"/>
    <w:rsid w:val="00D4502B"/>
    <w:rsid w:val="00D45E14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1D67"/>
    <w:rsid w:val="00D81DBE"/>
    <w:rsid w:val="00D873E7"/>
    <w:rsid w:val="00D93293"/>
    <w:rsid w:val="00D93C5A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592"/>
    <w:rsid w:val="00E34B83"/>
    <w:rsid w:val="00E36DF4"/>
    <w:rsid w:val="00E371BB"/>
    <w:rsid w:val="00E41A69"/>
    <w:rsid w:val="00E42DB0"/>
    <w:rsid w:val="00E476B6"/>
    <w:rsid w:val="00E51B0C"/>
    <w:rsid w:val="00E51E24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A746F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12EB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229A"/>
    <w:rsid w:val="00FA33E4"/>
    <w:rsid w:val="00FA61AA"/>
    <w:rsid w:val="00FA6DE7"/>
    <w:rsid w:val="00FB2A3E"/>
    <w:rsid w:val="00FB515C"/>
    <w:rsid w:val="00FC1CF1"/>
    <w:rsid w:val="00FC7A4F"/>
    <w:rsid w:val="00FD0E8A"/>
    <w:rsid w:val="00FD189C"/>
    <w:rsid w:val="00FD212A"/>
    <w:rsid w:val="00FD41B2"/>
    <w:rsid w:val="00FD4915"/>
    <w:rsid w:val="00FD4B3A"/>
    <w:rsid w:val="00FD4C92"/>
    <w:rsid w:val="00FE1926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8F2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yperlink" Target="http://www.comlaw.gov.a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footer" Target="footer12.xml"/><Relationship Id="rId37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A5BA-8DAD-4320-BD8C-AE37D044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1500</Characters>
  <Application>Microsoft Office Word</Application>
  <DocSecurity>0</DocSecurity>
  <Lines>55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(Charges) Amendment Regulation 2012 (No.   )</vt:lpstr>
    </vt:vector>
  </TitlesOfParts>
  <Manager/>
  <Company/>
  <LinksUpToDate>false</LinksUpToDate>
  <CharactersWithSpaces>1749</CharactersWithSpaces>
  <SharedDoc>false</SharedDoc>
  <HLinks>
    <vt:vector size="6" baseType="variant"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Therapeutic Goods (Charges) Amendment Regulation 2012 (No.   )</dc:title>
  <dc:subject/>
  <dc:creator/>
  <cp:keywords/>
  <cp:lastModifiedBy/>
  <cp:revision>1</cp:revision>
  <cp:lastPrinted>2012-05-22T04:43:00Z</cp:lastPrinted>
  <dcterms:created xsi:type="dcterms:W3CDTF">2012-06-26T07:38:00Z</dcterms:created>
  <dcterms:modified xsi:type="dcterms:W3CDTF">2012-06-26T07:38:00Z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918</vt:lpwstr>
  </property>
  <property fmtid="{D5CDD505-2E9C-101B-9397-08002B2CF9AE}" pid="3" name="IndexMatter">
    <vt:lpwstr>1205913C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