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DC" w:rsidRPr="00105ABD" w:rsidRDefault="009077DC" w:rsidP="009077DC">
      <w:pPr>
        <w:pStyle w:val="Style3"/>
        <w:spacing w:before="240"/>
      </w:pPr>
      <w:r w:rsidRPr="00105ABD">
        <w:t xml:space="preserve">EXPLANATORY </w:t>
      </w:r>
      <w:r w:rsidR="00906346">
        <w:t>STATEMENT</w:t>
      </w:r>
    </w:p>
    <w:p w:rsidR="008D647B" w:rsidRPr="00BB6DA8" w:rsidRDefault="008D647B" w:rsidP="008D647B">
      <w:pPr>
        <w:pStyle w:val="Style3"/>
      </w:pPr>
      <w:r w:rsidRPr="00E71D82">
        <w:t>Select Legislative Instrument</w:t>
      </w:r>
      <w:r>
        <w:t xml:space="preserve"> 2012</w:t>
      </w:r>
      <w:r w:rsidR="00A413DD">
        <w:t xml:space="preserve"> No.</w:t>
      </w:r>
      <w:r w:rsidR="00106068">
        <w:t xml:space="preserve"> </w:t>
      </w:r>
      <w:r w:rsidR="00A413DD">
        <w:t>127</w:t>
      </w:r>
    </w:p>
    <w:p w:rsidR="008D647B" w:rsidRDefault="008D647B" w:rsidP="008D647B">
      <w:pPr>
        <w:pStyle w:val="Heading6"/>
        <w:keepNext/>
        <w:ind w:right="91"/>
        <w:jc w:val="center"/>
        <w:rPr>
          <w:u w:val="single"/>
        </w:rPr>
      </w:pPr>
      <w:r>
        <w:rPr>
          <w:u w:val="single"/>
        </w:rPr>
        <w:t>Issued by the Authority of the Minister for Climate Change and Energy Efficiency</w:t>
      </w:r>
    </w:p>
    <w:p w:rsidR="008D647B" w:rsidRDefault="008D647B" w:rsidP="008D647B">
      <w:pPr>
        <w:ind w:right="91"/>
        <w:jc w:val="center"/>
        <w:rPr>
          <w:i/>
          <w:iCs/>
        </w:rPr>
      </w:pPr>
      <w:r w:rsidRPr="0041593B">
        <w:rPr>
          <w:i/>
          <w:iCs/>
        </w:rPr>
        <w:t>Renewable Energy (Electricity) Act 2000</w:t>
      </w:r>
    </w:p>
    <w:p w:rsidR="008D647B" w:rsidRPr="00105ABD" w:rsidRDefault="008D647B" w:rsidP="008D647B">
      <w:pPr>
        <w:ind w:left="720" w:right="91" w:firstLine="720"/>
        <w:rPr>
          <w:i/>
          <w:iCs/>
        </w:rPr>
      </w:pPr>
      <w:r w:rsidRPr="0041593B">
        <w:rPr>
          <w:i/>
          <w:iCs/>
        </w:rPr>
        <w:t xml:space="preserve">Renewable Energy (Electricity) Amendment Regulation 2012 (No. </w:t>
      </w:r>
      <w:r w:rsidR="00106068">
        <w:rPr>
          <w:i/>
          <w:iCs/>
        </w:rPr>
        <w:t>5</w:t>
      </w:r>
      <w:r w:rsidRPr="0041593B">
        <w:rPr>
          <w:i/>
          <w:iCs/>
        </w:rPr>
        <w:t>)</w:t>
      </w:r>
    </w:p>
    <w:p w:rsidR="00726CA5" w:rsidRDefault="00726CA5" w:rsidP="00726CA5">
      <w:pPr>
        <w:spacing w:before="0"/>
      </w:pPr>
      <w:r w:rsidRPr="00583C11">
        <w:t xml:space="preserve">Section 161 of the </w:t>
      </w:r>
      <w:r w:rsidRPr="00583C11">
        <w:rPr>
          <w:i/>
          <w:iCs/>
        </w:rPr>
        <w:t xml:space="preserve">Renewable Energy (Electricity) Act 2000 </w:t>
      </w:r>
      <w:r w:rsidRPr="00726CA5">
        <w:rPr>
          <w:iCs/>
        </w:rPr>
        <w:t xml:space="preserve">(the </w:t>
      </w:r>
      <w:r w:rsidRPr="00726CA5">
        <w:t>Act</w:t>
      </w:r>
      <w:r>
        <w:t xml:space="preserve">) </w:t>
      </w:r>
      <w:r w:rsidRPr="00583C11">
        <w:t>provides, in part, that the Governor-General may make regulations prescribing matters required or permitted by the Act, or necessary or convenient to be prescribed for carrying out or giving effect to the Act.</w:t>
      </w:r>
    </w:p>
    <w:p w:rsidR="0034269A" w:rsidRDefault="0034269A" w:rsidP="0034269A">
      <w:pPr>
        <w:spacing w:before="0"/>
      </w:pPr>
      <w:r w:rsidRPr="00583C11">
        <w:t>The Act establishes a Renewable Energy Target (RET) scheme to encourage additional electricity generation from eligible energy sources. The RET scheme is designed to ensure that 20</w:t>
      </w:r>
      <w:r>
        <w:t xml:space="preserve"> per cent </w:t>
      </w:r>
      <w:r w:rsidRPr="00583C11">
        <w:t>of Australia’s electricity supply is generated from renewable sources by 2020.</w:t>
      </w:r>
    </w:p>
    <w:p w:rsidR="0034269A" w:rsidRPr="00583C11" w:rsidRDefault="0034269A" w:rsidP="0034269A">
      <w:pPr>
        <w:spacing w:before="0"/>
      </w:pPr>
      <w:r w:rsidRPr="00583C11">
        <w:t xml:space="preserve">Under the Act, wholesale purchasers of electricity (‘liable parties’) </w:t>
      </w:r>
      <w:r w:rsidR="00516437">
        <w:t>must</w:t>
      </w:r>
      <w:r w:rsidRPr="00583C11">
        <w:t xml:space="preserve"> meet a share of the RET in proportion to their share of the national wholesale electricity market. The Act provides for the creation of Renewable Energy Certificates (RECs) by generators of renewable energy. One REC generally represents one megawatt-hour of electricity from eligible energy sources.</w:t>
      </w:r>
      <w:r>
        <w:t xml:space="preserve"> Assistance is provided under the Act in the form of partial exemption certificates </w:t>
      </w:r>
      <w:r w:rsidR="00516437">
        <w:t xml:space="preserve">for </w:t>
      </w:r>
      <w:r>
        <w:t>electricity used in activities that are considered to be emissions</w:t>
      </w:r>
      <w:r>
        <w:noBreakHyphen/>
        <w:t>intensive and trade</w:t>
      </w:r>
      <w:r>
        <w:noBreakHyphen/>
        <w:t>exposed</w:t>
      </w:r>
      <w:r w:rsidR="00516437">
        <w:t xml:space="preserve"> (EITE)</w:t>
      </w:r>
      <w:r>
        <w:t>.</w:t>
      </w:r>
    </w:p>
    <w:p w:rsidR="0034269A" w:rsidRPr="00470CF0" w:rsidRDefault="0034269A" w:rsidP="00470CF0">
      <w:pPr>
        <w:ind w:right="91"/>
        <w:rPr>
          <w:i/>
          <w:iCs/>
        </w:rPr>
      </w:pPr>
      <w:r w:rsidRPr="00583C11">
        <w:t xml:space="preserve">The </w:t>
      </w:r>
      <w:r w:rsidR="00470CF0" w:rsidRPr="0041593B">
        <w:rPr>
          <w:i/>
          <w:iCs/>
        </w:rPr>
        <w:t xml:space="preserve">Renewable Energy (Electricity) Amendment Regulation 2012 (No. </w:t>
      </w:r>
      <w:r w:rsidR="00106068">
        <w:rPr>
          <w:i/>
          <w:iCs/>
        </w:rPr>
        <w:t>5</w:t>
      </w:r>
      <w:r w:rsidR="00470CF0" w:rsidRPr="0041593B">
        <w:rPr>
          <w:i/>
          <w:iCs/>
        </w:rPr>
        <w:t>)</w:t>
      </w:r>
      <w:r w:rsidR="00470CF0">
        <w:rPr>
          <w:i/>
          <w:iCs/>
        </w:rPr>
        <w:t xml:space="preserve"> </w:t>
      </w:r>
      <w:r w:rsidR="00470CF0" w:rsidRPr="00470CF0">
        <w:rPr>
          <w:iCs/>
        </w:rPr>
        <w:t xml:space="preserve">(the </w:t>
      </w:r>
      <w:r w:rsidRPr="00470CF0">
        <w:t>Regulation</w:t>
      </w:r>
      <w:r w:rsidR="00470CF0" w:rsidRPr="00470CF0">
        <w:t>)</w:t>
      </w:r>
      <w:r w:rsidRPr="00583C11">
        <w:t xml:space="preserve"> amend</w:t>
      </w:r>
      <w:r w:rsidR="006B1E24">
        <w:t>s</w:t>
      </w:r>
      <w:r w:rsidRPr="00583C11">
        <w:t xml:space="preserve"> the </w:t>
      </w:r>
      <w:r w:rsidRPr="00583C11">
        <w:rPr>
          <w:i/>
          <w:iCs/>
        </w:rPr>
        <w:t>Renewable Energy (Electricity) Regulations 2001</w:t>
      </w:r>
      <w:r w:rsidRPr="00583C11">
        <w:t xml:space="preserve"> (the Principal Regulations)</w:t>
      </w:r>
      <w:r w:rsidRPr="00583C11">
        <w:rPr>
          <w:i/>
          <w:iCs/>
        </w:rPr>
        <w:t xml:space="preserve"> </w:t>
      </w:r>
      <w:r w:rsidRPr="00583C11">
        <w:t xml:space="preserve">to support the provisions of the Act that deal with the provision of partial exemptions from liability in respect of the electricity acquired for use in carrying on </w:t>
      </w:r>
      <w:r>
        <w:t xml:space="preserve">EITE </w:t>
      </w:r>
      <w:r w:rsidRPr="00583C11">
        <w:t>activities for the purposes of the Act.</w:t>
      </w:r>
    </w:p>
    <w:p w:rsidR="00726CA5" w:rsidRDefault="00516437" w:rsidP="00726CA5">
      <w:pPr>
        <w:spacing w:before="0"/>
      </w:pPr>
      <w:r>
        <w:t>T</w:t>
      </w:r>
      <w:r w:rsidRPr="00583C11">
        <w:t>he Regulation prescribe</w:t>
      </w:r>
      <w:r w:rsidR="006B1E24">
        <w:t>s</w:t>
      </w:r>
      <w:r w:rsidRPr="00583C11">
        <w:t xml:space="preserve"> </w:t>
      </w:r>
      <w:r w:rsidR="00DE73CF">
        <w:t xml:space="preserve">the </w:t>
      </w:r>
      <w:r w:rsidR="00DE73CF" w:rsidRPr="00DE73CF">
        <w:t xml:space="preserve">manufacture of reconstituted wood-based panels </w:t>
      </w:r>
      <w:r w:rsidR="00DE73CF">
        <w:t xml:space="preserve">as </w:t>
      </w:r>
      <w:r w:rsidR="00AA2C06">
        <w:t xml:space="preserve">an </w:t>
      </w:r>
      <w:r w:rsidRPr="00583C11">
        <w:t>additional EITE activit</w:t>
      </w:r>
      <w:r w:rsidR="00AA2C06">
        <w:t>y</w:t>
      </w:r>
      <w:r w:rsidRPr="00583C11">
        <w:t xml:space="preserve"> </w:t>
      </w:r>
      <w:r>
        <w:t>t</w:t>
      </w:r>
      <w:r w:rsidR="005837AC">
        <w:t xml:space="preserve">hat </w:t>
      </w:r>
      <w:r w:rsidR="00AA2C06">
        <w:t>is</w:t>
      </w:r>
      <w:r w:rsidR="005837AC">
        <w:t xml:space="preserve"> eligible under the Act.</w:t>
      </w:r>
    </w:p>
    <w:p w:rsidR="00E9666A" w:rsidRDefault="00E9666A" w:rsidP="009077DC">
      <w:pPr>
        <w:widowControl/>
        <w:autoSpaceDE/>
        <w:autoSpaceDN/>
        <w:adjustRightInd/>
        <w:spacing w:before="100" w:beforeAutospacing="1" w:after="100" w:afterAutospacing="1"/>
        <w:rPr>
          <w:color w:val="000000"/>
        </w:rPr>
      </w:pPr>
      <w:r>
        <w:rPr>
          <w:color w:val="000000"/>
        </w:rPr>
        <w:t xml:space="preserve">A Human Rights Statement in respect of the Regulation is included at </w:t>
      </w:r>
      <w:r w:rsidRPr="003F38BC">
        <w:rPr>
          <w:color w:val="000000"/>
          <w:u w:val="single"/>
        </w:rPr>
        <w:t>Attachment A</w:t>
      </w:r>
      <w:r>
        <w:rPr>
          <w:color w:val="000000"/>
        </w:rPr>
        <w:t>.</w:t>
      </w:r>
    </w:p>
    <w:p w:rsidR="009077DC" w:rsidRPr="00105ABD" w:rsidRDefault="009077DC" w:rsidP="009077DC">
      <w:pPr>
        <w:widowControl/>
        <w:autoSpaceDE/>
        <w:autoSpaceDN/>
        <w:adjustRightInd/>
        <w:spacing w:before="100" w:beforeAutospacing="1" w:after="100" w:afterAutospacing="1"/>
        <w:rPr>
          <w:color w:val="000000"/>
        </w:rPr>
      </w:pPr>
      <w:r>
        <w:rPr>
          <w:color w:val="000000"/>
        </w:rPr>
        <w:t xml:space="preserve">Details of the Regulation </w:t>
      </w:r>
      <w:r w:rsidR="006B1E24">
        <w:rPr>
          <w:color w:val="000000"/>
        </w:rPr>
        <w:t>are</w:t>
      </w:r>
      <w:r>
        <w:rPr>
          <w:color w:val="000000"/>
        </w:rPr>
        <w:t xml:space="preserve"> set out in </w:t>
      </w:r>
      <w:r>
        <w:rPr>
          <w:color w:val="000000"/>
          <w:u w:val="single"/>
        </w:rPr>
        <w:t xml:space="preserve">Attachment </w:t>
      </w:r>
      <w:r w:rsidR="00E9666A">
        <w:rPr>
          <w:color w:val="000000"/>
          <w:u w:val="single"/>
        </w:rPr>
        <w:t>B</w:t>
      </w:r>
      <w:r>
        <w:rPr>
          <w:color w:val="000000"/>
        </w:rPr>
        <w:t>.</w:t>
      </w:r>
    </w:p>
    <w:p w:rsidR="0034269A" w:rsidRDefault="009077DC" w:rsidP="009077DC">
      <w:pPr>
        <w:widowControl/>
        <w:autoSpaceDE/>
        <w:autoSpaceDN/>
        <w:adjustRightInd/>
        <w:spacing w:before="100" w:beforeAutospacing="1" w:after="100" w:afterAutospacing="1"/>
        <w:ind w:right="91"/>
      </w:pPr>
      <w:r w:rsidRPr="0034269A">
        <w:t xml:space="preserve">The </w:t>
      </w:r>
      <w:r w:rsidR="006152A8" w:rsidRPr="0034269A">
        <w:t>Act</w:t>
      </w:r>
      <w:r w:rsidRPr="0034269A">
        <w:t xml:space="preserve"> specif</w:t>
      </w:r>
      <w:r w:rsidR="00516437">
        <w:t>ies no</w:t>
      </w:r>
      <w:r w:rsidRPr="0034269A">
        <w:t xml:space="preserve"> conditions that </w:t>
      </w:r>
      <w:r w:rsidR="00516437">
        <w:t>must</w:t>
      </w:r>
      <w:r w:rsidRPr="0034269A">
        <w:t xml:space="preserve"> be satisfied before the power to make the Regulation may be exercised.</w:t>
      </w:r>
    </w:p>
    <w:p w:rsidR="009077DC" w:rsidRPr="00105ABD" w:rsidRDefault="009077DC" w:rsidP="009077DC">
      <w:pPr>
        <w:widowControl/>
        <w:autoSpaceDE/>
        <w:autoSpaceDN/>
        <w:adjustRightInd/>
        <w:spacing w:before="100" w:beforeAutospacing="1" w:after="100" w:afterAutospacing="1"/>
        <w:ind w:right="91"/>
      </w:pPr>
      <w:r>
        <w:t>The Regulation</w:t>
      </w:r>
      <w:r w:rsidR="006B1E24">
        <w:t xml:space="preserve"> i</w:t>
      </w:r>
      <w:r>
        <w:t xml:space="preserve">s a legislative instrument for the purposes of the </w:t>
      </w:r>
      <w:r>
        <w:rPr>
          <w:i/>
          <w:iCs/>
        </w:rPr>
        <w:t>Legislative Instruments Act 2003</w:t>
      </w:r>
      <w:r>
        <w:t>.</w:t>
      </w:r>
    </w:p>
    <w:p w:rsidR="009077DC" w:rsidRDefault="009077DC" w:rsidP="009077DC">
      <w:r>
        <w:rPr>
          <w:iCs/>
        </w:rPr>
        <w:t>The Regulation commence</w:t>
      </w:r>
      <w:r w:rsidR="006B1E24">
        <w:rPr>
          <w:iCs/>
        </w:rPr>
        <w:t>s</w:t>
      </w:r>
      <w:r>
        <w:rPr>
          <w:iCs/>
        </w:rPr>
        <w:t xml:space="preserve"> </w:t>
      </w:r>
      <w:r>
        <w:t>on</w:t>
      </w:r>
      <w:r w:rsidR="0034269A" w:rsidRPr="0034269A">
        <w:t xml:space="preserve"> </w:t>
      </w:r>
      <w:r w:rsidR="0034269A">
        <w:t xml:space="preserve">the day after </w:t>
      </w:r>
      <w:r w:rsidR="006B1E24">
        <w:t>it is</w:t>
      </w:r>
      <w:r w:rsidR="0034269A">
        <w:t xml:space="preserve"> registered on the Federal Register of Legislative Instruments.</w:t>
      </w:r>
    </w:p>
    <w:p w:rsidR="005837AC" w:rsidRDefault="005837AC" w:rsidP="009077DC">
      <w:pPr>
        <w:rPr>
          <w:color w:val="000000"/>
        </w:rPr>
      </w:pPr>
    </w:p>
    <w:p w:rsidR="009077DC" w:rsidRPr="00105ABD" w:rsidRDefault="009077DC" w:rsidP="009077DC">
      <w:pPr>
        <w:widowControl/>
        <w:autoSpaceDE/>
        <w:autoSpaceDN/>
        <w:adjustRightInd/>
        <w:rPr>
          <w:b/>
          <w:color w:val="000000"/>
        </w:rPr>
      </w:pPr>
      <w:r>
        <w:rPr>
          <w:b/>
          <w:color w:val="000000"/>
        </w:rPr>
        <w:t>Consultation</w:t>
      </w:r>
    </w:p>
    <w:p w:rsidR="0034269A" w:rsidRDefault="0034269A" w:rsidP="0034269A">
      <w:pPr>
        <w:widowControl/>
        <w:autoSpaceDE/>
        <w:autoSpaceDN/>
        <w:adjustRightInd/>
      </w:pPr>
      <w:r>
        <w:t xml:space="preserve">The </w:t>
      </w:r>
      <w:r w:rsidRPr="003D4694">
        <w:rPr>
          <w:i/>
        </w:rPr>
        <w:t>Renewable Energy (Electricity) Amendment Regulation 2012</w:t>
      </w:r>
      <w:r w:rsidR="00106068">
        <w:rPr>
          <w:i/>
        </w:rPr>
        <w:t xml:space="preserve"> (No. 5)</w:t>
      </w:r>
      <w:r>
        <w:t xml:space="preserve"> reflect</w:t>
      </w:r>
      <w:r w:rsidR="0041593B">
        <w:t>s</w:t>
      </w:r>
      <w:r>
        <w:t xml:space="preserve"> the outcomes of comprehensive consultation </w:t>
      </w:r>
      <w:r w:rsidR="003F38BC">
        <w:t xml:space="preserve">by the Department </w:t>
      </w:r>
      <w:r>
        <w:t xml:space="preserve">with the public and stakeholders in assessing activities for eligibility as </w:t>
      </w:r>
      <w:r w:rsidR="003F38BC">
        <w:t xml:space="preserve">EITE </w:t>
      </w:r>
      <w:r>
        <w:t xml:space="preserve">activities </w:t>
      </w:r>
      <w:r w:rsidR="00E9666A">
        <w:t xml:space="preserve">primarily </w:t>
      </w:r>
      <w:r>
        <w:t>under the Jobs and Competitiveness Program</w:t>
      </w:r>
      <w:r w:rsidR="00470CF0">
        <w:t xml:space="preserve"> (the Program)</w:t>
      </w:r>
      <w:r>
        <w:t>.</w:t>
      </w:r>
      <w:r w:rsidR="00E9666A">
        <w:t xml:space="preserve"> The eligibility requirements are the same for EITE activities under the RET scheme.</w:t>
      </w:r>
    </w:p>
    <w:p w:rsidR="0034269A" w:rsidRPr="00513296" w:rsidRDefault="003F38BC" w:rsidP="0034269A">
      <w:r>
        <w:t xml:space="preserve">The Department </w:t>
      </w:r>
      <w:r w:rsidR="00470CF0">
        <w:t xml:space="preserve">of Climate Change and Energy Efficiency (the Department) </w:t>
      </w:r>
      <w:r>
        <w:t xml:space="preserve">commenced a </w:t>
      </w:r>
      <w:r w:rsidR="0034269A" w:rsidRPr="00513296">
        <w:t xml:space="preserve">formal process for defining and determining the eligibility of EITE activities in February 2009 and has involved stakeholder workshops to assist in the creation of appropriate definition and boundaries for activities. The process also involved the approval of activity definitions by the Minister for Climate Change and Energy Efficiency for the purposes of data collection and publication on the Department's website. Audited data has been submitted to the Government on the basis of the approved activity definitions. Relevant industries that submitted data to the Government for the formal assessment of respective activities were consulted in regard to the </w:t>
      </w:r>
      <w:r w:rsidR="00470CF0">
        <w:t>drafting</w:t>
      </w:r>
      <w:r w:rsidR="0034269A" w:rsidRPr="00513296">
        <w:t xml:space="preserve"> of the definitions to be included in the Regulations to ensure that the structure of the definitions generally reflects the conduct of the activities generally.</w:t>
      </w:r>
    </w:p>
    <w:p w:rsidR="0034269A" w:rsidRPr="00513296" w:rsidRDefault="0034269A" w:rsidP="0034269A">
      <w:pPr>
        <w:pStyle w:val="NumberLevel1"/>
        <w:numPr>
          <w:ilvl w:val="0"/>
          <w:numId w:val="0"/>
        </w:numPr>
        <w:spacing w:after="240"/>
        <w:rPr>
          <w:rFonts w:ascii="Times New Roman" w:hAnsi="Times New Roman" w:cs="Times New Roman"/>
          <w:sz w:val="24"/>
          <w:szCs w:val="24"/>
          <w:lang w:val="en-GB"/>
        </w:rPr>
      </w:pPr>
      <w:r w:rsidRPr="00513296">
        <w:rPr>
          <w:rFonts w:ascii="Times New Roman" w:hAnsi="Times New Roman" w:cs="Times New Roman"/>
          <w:sz w:val="24"/>
          <w:szCs w:val="24"/>
          <w:lang w:val="en-GB"/>
        </w:rPr>
        <w:t xml:space="preserve">The policy framework for determining the eligibility of EITE activities for assistance under the Program was originally developed in 2009 and has been used to establish the eligibility of activities </w:t>
      </w:r>
      <w:r w:rsidR="00E9666A">
        <w:rPr>
          <w:rFonts w:ascii="Times New Roman" w:hAnsi="Times New Roman" w:cs="Times New Roman"/>
          <w:sz w:val="24"/>
          <w:szCs w:val="24"/>
          <w:lang w:val="en-GB"/>
        </w:rPr>
        <w:t xml:space="preserve">defined to date under the </w:t>
      </w:r>
      <w:r w:rsidRPr="00513296">
        <w:rPr>
          <w:rFonts w:ascii="Times New Roman" w:hAnsi="Times New Roman" w:cs="Times New Roman"/>
          <w:sz w:val="24"/>
          <w:szCs w:val="24"/>
          <w:lang w:val="en-GB"/>
        </w:rPr>
        <w:t>Renewable Energy Target (RET) scheme</w:t>
      </w:r>
      <w:r w:rsidR="003F38BC">
        <w:rPr>
          <w:rFonts w:ascii="Times New Roman" w:hAnsi="Times New Roman" w:cs="Times New Roman"/>
          <w:sz w:val="24"/>
          <w:szCs w:val="24"/>
          <w:lang w:val="en-GB"/>
        </w:rPr>
        <w:t xml:space="preserve"> under the</w:t>
      </w:r>
      <w:r w:rsidRPr="00513296">
        <w:rPr>
          <w:rFonts w:ascii="Times New Roman" w:hAnsi="Times New Roman" w:cs="Times New Roman"/>
          <w:sz w:val="24"/>
          <w:szCs w:val="24"/>
          <w:lang w:val="en-GB"/>
        </w:rPr>
        <w:t xml:space="preserve"> </w:t>
      </w:r>
      <w:r w:rsidR="00470CF0">
        <w:rPr>
          <w:rFonts w:ascii="Times New Roman" w:hAnsi="Times New Roman" w:cs="Times New Roman"/>
          <w:sz w:val="24"/>
          <w:szCs w:val="24"/>
          <w:lang w:val="en-GB"/>
        </w:rPr>
        <w:t>Act</w:t>
      </w:r>
      <w:r w:rsidRPr="00513296">
        <w:rPr>
          <w:rFonts w:ascii="Times New Roman" w:hAnsi="Times New Roman" w:cs="Times New Roman"/>
          <w:sz w:val="24"/>
          <w:szCs w:val="24"/>
          <w:lang w:val="en-GB"/>
        </w:rPr>
        <w:t xml:space="preserve">. The process for assessing activities and defining the technical aspects of the activities, including setting assistance rates and allocative baselines, is outlined in the paper titled </w:t>
      </w:r>
      <w:r w:rsidRPr="00513296">
        <w:rPr>
          <w:rFonts w:ascii="Times New Roman" w:hAnsi="Times New Roman" w:cs="Times New Roman"/>
          <w:i/>
          <w:iCs/>
          <w:sz w:val="24"/>
          <w:szCs w:val="24"/>
          <w:lang w:val="en-GB"/>
        </w:rPr>
        <w:t>Establishing the eligibility of activities under the Jo</w:t>
      </w:r>
      <w:r w:rsidR="003F38BC">
        <w:rPr>
          <w:rFonts w:ascii="Times New Roman" w:hAnsi="Times New Roman" w:cs="Times New Roman"/>
          <w:i/>
          <w:iCs/>
          <w:sz w:val="24"/>
          <w:szCs w:val="24"/>
          <w:lang w:val="en-GB"/>
        </w:rPr>
        <w:t xml:space="preserve">bs and Competitiveness Program </w:t>
      </w:r>
      <w:r w:rsidR="003F38BC">
        <w:rPr>
          <w:rFonts w:ascii="Times New Roman" w:hAnsi="Times New Roman" w:cs="Times New Roman"/>
          <w:iCs/>
          <w:sz w:val="24"/>
          <w:szCs w:val="24"/>
          <w:lang w:val="en-GB"/>
        </w:rPr>
        <w:t xml:space="preserve">(which is available </w:t>
      </w:r>
      <w:r w:rsidR="00470CF0">
        <w:rPr>
          <w:rFonts w:ascii="Times New Roman" w:hAnsi="Times New Roman" w:cs="Times New Roman"/>
          <w:iCs/>
          <w:sz w:val="24"/>
          <w:szCs w:val="24"/>
          <w:lang w:val="en-GB"/>
        </w:rPr>
        <w:t xml:space="preserve">from </w:t>
      </w:r>
      <w:r w:rsidR="003F38BC">
        <w:rPr>
          <w:rFonts w:ascii="Times New Roman" w:hAnsi="Times New Roman" w:cs="Times New Roman"/>
          <w:iCs/>
          <w:sz w:val="24"/>
          <w:szCs w:val="24"/>
          <w:lang w:val="en-GB"/>
        </w:rPr>
        <w:t>the Department’s website</w:t>
      </w:r>
      <w:r w:rsidR="00470CF0">
        <w:rPr>
          <w:rFonts w:ascii="Times New Roman" w:hAnsi="Times New Roman" w:cs="Times New Roman"/>
          <w:iCs/>
          <w:sz w:val="24"/>
          <w:szCs w:val="24"/>
          <w:lang w:val="en-GB"/>
        </w:rPr>
        <w:t xml:space="preserve"> </w:t>
      </w:r>
      <w:hyperlink r:id="rId7" w:history="1">
        <w:r w:rsidR="00470CF0" w:rsidRPr="00D36D18">
          <w:rPr>
            <w:rStyle w:val="Hyperlink"/>
            <w:rFonts w:ascii="Times New Roman" w:hAnsi="Times New Roman" w:cs="Times New Roman"/>
            <w:iCs/>
            <w:sz w:val="24"/>
            <w:szCs w:val="24"/>
            <w:lang w:val="en-GB"/>
          </w:rPr>
          <w:t>www.climatechange.gov.au</w:t>
        </w:r>
      </w:hyperlink>
      <w:r w:rsidR="00470CF0">
        <w:rPr>
          <w:rFonts w:ascii="Times New Roman" w:hAnsi="Times New Roman" w:cs="Times New Roman"/>
          <w:iCs/>
          <w:sz w:val="24"/>
          <w:szCs w:val="24"/>
          <w:lang w:val="en-GB"/>
        </w:rPr>
        <w:t>)</w:t>
      </w:r>
      <w:r w:rsidR="003F38BC">
        <w:rPr>
          <w:rFonts w:ascii="Times New Roman" w:hAnsi="Times New Roman" w:cs="Times New Roman"/>
          <w:iCs/>
          <w:sz w:val="24"/>
          <w:szCs w:val="24"/>
          <w:lang w:val="en-GB"/>
        </w:rPr>
        <w:t>.</w:t>
      </w:r>
    </w:p>
    <w:p w:rsidR="009077DC" w:rsidRDefault="009077DC" w:rsidP="00726CA5">
      <w:pPr>
        <w:tabs>
          <w:tab w:val="left" w:pos="3969"/>
          <w:tab w:val="left" w:pos="5245"/>
        </w:tabs>
        <w:spacing w:before="0"/>
        <w:ind w:left="5040" w:right="91" w:hanging="1212"/>
        <w:rPr>
          <w:i/>
        </w:rPr>
      </w:pPr>
      <w:r>
        <w:rPr>
          <w:u w:val="single"/>
        </w:rPr>
        <w:t>Authority</w:t>
      </w:r>
      <w:r w:rsidR="00726CA5">
        <w:t>:</w:t>
      </w:r>
      <w:r w:rsidR="00726CA5">
        <w:tab/>
      </w:r>
      <w:r w:rsidR="00E9666A">
        <w:t xml:space="preserve">Section 161 of the </w:t>
      </w:r>
      <w:r w:rsidR="00E9666A">
        <w:rPr>
          <w:i/>
        </w:rPr>
        <w:t>Renewable Energy</w:t>
      </w:r>
      <w:r w:rsidR="00726CA5">
        <w:rPr>
          <w:i/>
        </w:rPr>
        <w:br/>
      </w:r>
      <w:r w:rsidR="00E9666A">
        <w:rPr>
          <w:i/>
        </w:rPr>
        <w:t>(Electricity) Act 2000</w:t>
      </w:r>
    </w:p>
    <w:p w:rsidR="00E9666A" w:rsidRDefault="00E9666A" w:rsidP="00E9666A">
      <w:pPr>
        <w:tabs>
          <w:tab w:val="left" w:pos="3969"/>
          <w:tab w:val="left" w:pos="5245"/>
        </w:tabs>
        <w:spacing w:before="0"/>
        <w:ind w:right="91"/>
        <w:jc w:val="right"/>
        <w:rPr>
          <w:i/>
        </w:rPr>
      </w:pPr>
    </w:p>
    <w:p w:rsidR="00E9666A" w:rsidRDefault="00E9666A">
      <w:pPr>
        <w:widowControl/>
        <w:autoSpaceDE/>
        <w:autoSpaceDN/>
        <w:adjustRightInd/>
        <w:spacing w:before="0" w:after="200" w:line="276" w:lineRule="auto"/>
        <w:rPr>
          <w:i/>
        </w:rPr>
      </w:pPr>
      <w:r>
        <w:rPr>
          <w:i/>
        </w:rPr>
        <w:br w:type="page"/>
      </w:r>
    </w:p>
    <w:p w:rsidR="00E9666A" w:rsidRPr="00FF50AC" w:rsidRDefault="00E9666A" w:rsidP="00E9666A">
      <w:pPr>
        <w:tabs>
          <w:tab w:val="left" w:pos="3969"/>
          <w:tab w:val="left" w:pos="5245"/>
        </w:tabs>
        <w:spacing w:before="0"/>
        <w:ind w:right="91"/>
        <w:jc w:val="right"/>
        <w:rPr>
          <w:b/>
          <w:u w:val="single"/>
        </w:rPr>
      </w:pPr>
      <w:r w:rsidRPr="00FF50AC">
        <w:rPr>
          <w:b/>
          <w:u w:val="single"/>
        </w:rPr>
        <w:lastRenderedPageBreak/>
        <w:t>Attachment A</w:t>
      </w:r>
    </w:p>
    <w:p w:rsidR="00E9666A" w:rsidRPr="00E4135E" w:rsidRDefault="00E9666A" w:rsidP="00E9666A">
      <w:pPr>
        <w:spacing w:before="360" w:after="120"/>
        <w:jc w:val="center"/>
        <w:rPr>
          <w:b/>
          <w:sz w:val="28"/>
          <w:szCs w:val="28"/>
        </w:rPr>
      </w:pPr>
      <w:r w:rsidRPr="00E4135E">
        <w:rPr>
          <w:b/>
          <w:sz w:val="28"/>
          <w:szCs w:val="28"/>
        </w:rPr>
        <w:t>Statement of Compatibility with Human Rights</w:t>
      </w:r>
    </w:p>
    <w:p w:rsidR="00E9666A" w:rsidRPr="00E4135E" w:rsidRDefault="00E9666A" w:rsidP="00E9666A">
      <w:pPr>
        <w:spacing w:before="120" w:after="120"/>
        <w:jc w:val="center"/>
      </w:pPr>
      <w:r w:rsidRPr="00E4135E">
        <w:rPr>
          <w:i/>
        </w:rPr>
        <w:t>Prepared in accordance with Part 3 of the Human Rights (Parliamentary Scrutiny) Act 2011</w:t>
      </w:r>
    </w:p>
    <w:p w:rsidR="00E9666A" w:rsidRPr="00E4135E" w:rsidRDefault="00E9666A" w:rsidP="00E9666A">
      <w:pPr>
        <w:spacing w:before="120" w:after="120"/>
        <w:jc w:val="center"/>
      </w:pPr>
    </w:p>
    <w:p w:rsidR="00E9666A" w:rsidRPr="00E4135E" w:rsidRDefault="00E9666A" w:rsidP="00E9666A">
      <w:pPr>
        <w:spacing w:before="120" w:after="120"/>
        <w:jc w:val="center"/>
      </w:pPr>
      <w:r w:rsidRPr="0041593B">
        <w:rPr>
          <w:b/>
        </w:rPr>
        <w:t xml:space="preserve">Renewable Energy (Electricity) Amendment Regulation 2012 (No. </w:t>
      </w:r>
      <w:r w:rsidR="00106068">
        <w:rPr>
          <w:b/>
        </w:rPr>
        <w:t>5</w:t>
      </w:r>
      <w:r w:rsidRPr="0041593B">
        <w:rPr>
          <w:b/>
        </w:rPr>
        <w:t>)</w:t>
      </w:r>
    </w:p>
    <w:p w:rsidR="00E9666A" w:rsidRPr="00E4135E" w:rsidRDefault="00E9666A" w:rsidP="00E9666A">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E9666A" w:rsidRPr="00E4135E" w:rsidRDefault="00E9666A" w:rsidP="00E9666A">
      <w:pPr>
        <w:spacing w:before="120" w:after="120"/>
        <w:jc w:val="center"/>
      </w:pPr>
    </w:p>
    <w:p w:rsidR="00E9666A" w:rsidRPr="00E4135E" w:rsidRDefault="00E9666A" w:rsidP="00E9666A">
      <w:pPr>
        <w:spacing w:before="120" w:after="120"/>
        <w:jc w:val="both"/>
        <w:rPr>
          <w:b/>
        </w:rPr>
      </w:pPr>
      <w:r w:rsidRPr="0041593B">
        <w:rPr>
          <w:b/>
        </w:rPr>
        <w:t xml:space="preserve">Overview of the Renewable Energy (Electricity) Amendment Regulation 2012 (No. </w:t>
      </w:r>
      <w:r w:rsidR="00106068">
        <w:rPr>
          <w:b/>
        </w:rPr>
        <w:t>5</w:t>
      </w:r>
      <w:r w:rsidRPr="0041593B">
        <w:rPr>
          <w:b/>
        </w:rPr>
        <w:t>)</w:t>
      </w:r>
    </w:p>
    <w:p w:rsidR="00E9666A" w:rsidRDefault="00E9666A" w:rsidP="00E9666A">
      <w:pPr>
        <w:spacing w:before="120" w:after="120"/>
      </w:pPr>
      <w:r w:rsidRPr="00470CF0">
        <w:t xml:space="preserve">The </w:t>
      </w:r>
      <w:r w:rsidR="00470CF0" w:rsidRPr="00470CF0">
        <w:rPr>
          <w:i/>
        </w:rPr>
        <w:t xml:space="preserve">Renewable Energy (Electricity) Amendment Regulation 2012 (No. </w:t>
      </w:r>
      <w:r w:rsidR="00106068">
        <w:rPr>
          <w:i/>
        </w:rPr>
        <w:t>5</w:t>
      </w:r>
      <w:r w:rsidR="00470CF0" w:rsidRPr="00470CF0">
        <w:rPr>
          <w:i/>
        </w:rPr>
        <w:t>)</w:t>
      </w:r>
      <w:r w:rsidR="00470CF0" w:rsidRPr="00470CF0">
        <w:t xml:space="preserve"> (the R</w:t>
      </w:r>
      <w:r w:rsidRPr="00470CF0">
        <w:t>egulation</w:t>
      </w:r>
      <w:r w:rsidR="00470CF0" w:rsidRPr="00470CF0">
        <w:t>)</w:t>
      </w:r>
      <w:r w:rsidRPr="007E1AB0">
        <w:t xml:space="preserve"> </w:t>
      </w:r>
      <w:r>
        <w:t>amend</w:t>
      </w:r>
      <w:r w:rsidR="006B1E24">
        <w:t>s</w:t>
      </w:r>
      <w:r>
        <w:t xml:space="preserve"> the existing </w:t>
      </w:r>
      <w:r w:rsidRPr="004711FE">
        <w:rPr>
          <w:i/>
        </w:rPr>
        <w:t>Renewable Energy (Electricity) Regulations 2001</w:t>
      </w:r>
      <w:r w:rsidR="00470CF0">
        <w:t xml:space="preserve"> (the Principal Regulations). </w:t>
      </w:r>
      <w:r>
        <w:t xml:space="preserve">The </w:t>
      </w:r>
      <w:r w:rsidR="00470CF0">
        <w:t xml:space="preserve">Principal Regulations provide </w:t>
      </w:r>
      <w:r w:rsidRPr="007E1AB0">
        <w:t xml:space="preserve">an administrative framework to implement </w:t>
      </w:r>
      <w:r>
        <w:t xml:space="preserve">aspects of the </w:t>
      </w:r>
      <w:r w:rsidRPr="005E6587">
        <w:rPr>
          <w:i/>
        </w:rPr>
        <w:t>Renewable Energy (Electricity) Act 2000</w:t>
      </w:r>
      <w:r>
        <w:t xml:space="preserve"> (the Act) </w:t>
      </w:r>
      <w:r w:rsidR="00FF50AC">
        <w:t xml:space="preserve">to establish the Renewable Energy Target (RET) scheme, including </w:t>
      </w:r>
      <w:r w:rsidRPr="007E1AB0">
        <w:t xml:space="preserve">in relation to power station accreditation, eligibility requirements for renewable energy sources, eligibility requirements for solar water heaters and </w:t>
      </w:r>
      <w:r>
        <w:t>small generation unit</w:t>
      </w:r>
      <w:r w:rsidRPr="007E1AB0">
        <w:t xml:space="preserve">s, </w:t>
      </w:r>
      <w:r>
        <w:t xml:space="preserve">the </w:t>
      </w:r>
      <w:r w:rsidRPr="007E1AB0">
        <w:t>calculation methods for determining the number of certificates</w:t>
      </w:r>
      <w:r>
        <w:t xml:space="preserve"> and establish the eligibility of activities for partial exemption certificates</w:t>
      </w:r>
      <w:r w:rsidRPr="007E1AB0">
        <w:t>.</w:t>
      </w:r>
    </w:p>
    <w:p w:rsidR="00E9666A" w:rsidRPr="00E9666A" w:rsidRDefault="00E9666A" w:rsidP="00E9666A">
      <w:pPr>
        <w:spacing w:before="120" w:after="120"/>
      </w:pPr>
      <w:r w:rsidRPr="0041593B">
        <w:t xml:space="preserve">The </w:t>
      </w:r>
      <w:r w:rsidR="00470CF0">
        <w:t xml:space="preserve">Regulation </w:t>
      </w:r>
      <w:r w:rsidRPr="0041593B">
        <w:t>prescribe</w:t>
      </w:r>
      <w:r w:rsidR="006B1E24" w:rsidRPr="0041593B">
        <w:t>s</w:t>
      </w:r>
      <w:r w:rsidRPr="00583C11">
        <w:t xml:space="preserve"> </w:t>
      </w:r>
      <w:r w:rsidR="00AA2C06">
        <w:t xml:space="preserve">an </w:t>
      </w:r>
      <w:r w:rsidRPr="00583C11">
        <w:t>additional activit</w:t>
      </w:r>
      <w:r w:rsidR="00AA2C06">
        <w:t>y</w:t>
      </w:r>
      <w:r w:rsidRPr="00583C11">
        <w:t xml:space="preserve"> </w:t>
      </w:r>
      <w:r>
        <w:t xml:space="preserve">that </w:t>
      </w:r>
      <w:r w:rsidR="00AA2C06">
        <w:t>is</w:t>
      </w:r>
      <w:r w:rsidR="00FF50AC">
        <w:t xml:space="preserve"> </w:t>
      </w:r>
      <w:r w:rsidR="00960D7B">
        <w:t xml:space="preserve">an </w:t>
      </w:r>
      <w:r w:rsidR="00FF50AC">
        <w:t>emissions</w:t>
      </w:r>
      <w:r w:rsidR="00FF50AC">
        <w:noBreakHyphen/>
        <w:t>intensive trade</w:t>
      </w:r>
      <w:r w:rsidR="00FF50AC">
        <w:noBreakHyphen/>
        <w:t>exposed activit</w:t>
      </w:r>
      <w:r w:rsidR="00AA2C06">
        <w:t>y</w:t>
      </w:r>
      <w:r w:rsidR="00FF50AC">
        <w:t xml:space="preserve"> for the purpose of eligibility for partial exemptions</w:t>
      </w:r>
      <w:r>
        <w:t xml:space="preserve"> </w:t>
      </w:r>
      <w:r w:rsidR="00FF50AC">
        <w:t>from liability under the RET scheme.</w:t>
      </w:r>
    </w:p>
    <w:p w:rsidR="00E9666A" w:rsidRPr="00E4135E" w:rsidRDefault="00E9666A" w:rsidP="00E9666A">
      <w:pPr>
        <w:spacing w:before="120" w:after="120"/>
        <w:rPr>
          <w:b/>
        </w:rPr>
      </w:pPr>
      <w:r w:rsidRPr="00E4135E">
        <w:rPr>
          <w:b/>
        </w:rPr>
        <w:t>Human rights implications</w:t>
      </w:r>
    </w:p>
    <w:p w:rsidR="00E9666A" w:rsidRPr="00E4135E" w:rsidRDefault="00E9666A" w:rsidP="00E9666A">
      <w:pPr>
        <w:spacing w:before="120" w:after="120"/>
      </w:pPr>
      <w:r w:rsidRPr="00E4135E">
        <w:t>This Legislative Instrument does not engage any of the applicable rights or freedoms.</w:t>
      </w:r>
    </w:p>
    <w:p w:rsidR="00E9666A" w:rsidRPr="00E4135E" w:rsidRDefault="00E9666A" w:rsidP="00E9666A">
      <w:pPr>
        <w:spacing w:before="120" w:after="120"/>
      </w:pPr>
    </w:p>
    <w:p w:rsidR="00E9666A" w:rsidRPr="00E4135E" w:rsidRDefault="00E9666A" w:rsidP="00E9666A">
      <w:pPr>
        <w:spacing w:before="120" w:after="120"/>
        <w:rPr>
          <w:b/>
        </w:rPr>
      </w:pPr>
      <w:r w:rsidRPr="00E4135E">
        <w:rPr>
          <w:b/>
        </w:rPr>
        <w:t>Conclusion</w:t>
      </w:r>
    </w:p>
    <w:p w:rsidR="00E9666A" w:rsidRPr="00E4135E" w:rsidRDefault="00E9666A" w:rsidP="00E9666A">
      <w:pPr>
        <w:spacing w:before="120" w:after="120"/>
      </w:pPr>
      <w:r w:rsidRPr="00E4135E">
        <w:t>This Legislative Instrument is compatible with human rights as it does not raise any human rights issues.</w:t>
      </w:r>
    </w:p>
    <w:p w:rsidR="00E9666A" w:rsidRPr="00E4135E" w:rsidRDefault="00E9666A" w:rsidP="00E9666A">
      <w:pPr>
        <w:spacing w:before="120" w:after="120"/>
        <w:jc w:val="center"/>
      </w:pPr>
    </w:p>
    <w:p w:rsidR="00E9666A" w:rsidRPr="00E4135E" w:rsidRDefault="00E9666A" w:rsidP="00E9666A">
      <w:pPr>
        <w:spacing w:before="120" w:after="120"/>
        <w:jc w:val="center"/>
      </w:pPr>
    </w:p>
    <w:p w:rsidR="00E9666A" w:rsidRDefault="00E9666A" w:rsidP="00E9666A">
      <w:pPr>
        <w:spacing w:before="120" w:after="120"/>
        <w:jc w:val="center"/>
        <w:rPr>
          <w:b/>
        </w:rPr>
      </w:pPr>
      <w:r>
        <w:rPr>
          <w:b/>
        </w:rPr>
        <w:t>Greg Combet</w:t>
      </w:r>
    </w:p>
    <w:p w:rsidR="00E9666A" w:rsidRPr="00E4135E" w:rsidRDefault="00E9666A" w:rsidP="00E9666A">
      <w:pPr>
        <w:spacing w:before="120" w:after="120"/>
        <w:jc w:val="center"/>
      </w:pPr>
      <w:r>
        <w:rPr>
          <w:b/>
        </w:rPr>
        <w:t>Minister for Climate Change and Energy Efficiency</w:t>
      </w:r>
    </w:p>
    <w:p w:rsidR="00E9666A" w:rsidRPr="00E9666A" w:rsidRDefault="00E9666A" w:rsidP="00E9666A">
      <w:pPr>
        <w:tabs>
          <w:tab w:val="left" w:pos="3969"/>
          <w:tab w:val="left" w:pos="5245"/>
        </w:tabs>
        <w:spacing w:before="0"/>
        <w:ind w:right="91"/>
      </w:pPr>
    </w:p>
    <w:p w:rsidR="00E9666A" w:rsidRPr="00E9666A" w:rsidRDefault="00E9666A" w:rsidP="00E9666A">
      <w:pPr>
        <w:tabs>
          <w:tab w:val="left" w:pos="3969"/>
          <w:tab w:val="left" w:pos="5245"/>
        </w:tabs>
        <w:spacing w:before="0"/>
        <w:ind w:right="91"/>
      </w:pPr>
    </w:p>
    <w:p w:rsidR="009077DC" w:rsidRPr="00105ABD" w:rsidRDefault="009077DC" w:rsidP="009077DC">
      <w:pPr>
        <w:widowControl/>
        <w:autoSpaceDE/>
        <w:autoSpaceDN/>
        <w:adjustRightInd/>
        <w:spacing w:before="100" w:beforeAutospacing="1" w:after="100" w:afterAutospacing="1"/>
        <w:jc w:val="right"/>
        <w:rPr>
          <w:b/>
          <w:u w:val="single"/>
        </w:rPr>
      </w:pPr>
      <w:r>
        <w:br w:type="page"/>
      </w:r>
      <w:r>
        <w:rPr>
          <w:b/>
          <w:u w:val="single"/>
        </w:rPr>
        <w:lastRenderedPageBreak/>
        <w:t xml:space="preserve">Attachment </w:t>
      </w:r>
      <w:r w:rsidR="00FF50AC">
        <w:rPr>
          <w:b/>
          <w:u w:val="single"/>
        </w:rPr>
        <w:t>B</w:t>
      </w:r>
    </w:p>
    <w:p w:rsidR="00FF50AC" w:rsidRPr="009C7A63" w:rsidRDefault="00FF50AC" w:rsidP="00FF50AC">
      <w:pPr>
        <w:ind w:right="91"/>
        <w:rPr>
          <w:u w:val="single"/>
        </w:rPr>
      </w:pPr>
      <w:r w:rsidRPr="0041593B">
        <w:rPr>
          <w:b/>
          <w:u w:val="single"/>
        </w:rPr>
        <w:t xml:space="preserve">Details of the </w:t>
      </w:r>
      <w:r w:rsidRPr="0041593B">
        <w:rPr>
          <w:b/>
          <w:i/>
          <w:u w:val="single"/>
        </w:rPr>
        <w:t xml:space="preserve">Renewable Energy (Electricity) Amendment Regulation 2012 (No. </w:t>
      </w:r>
      <w:r w:rsidR="00106068">
        <w:rPr>
          <w:b/>
          <w:i/>
          <w:u w:val="single"/>
        </w:rPr>
        <w:t>5</w:t>
      </w:r>
      <w:r w:rsidRPr="0041593B">
        <w:rPr>
          <w:b/>
          <w:i/>
          <w:u w:val="single"/>
        </w:rPr>
        <w:t>)</w:t>
      </w:r>
    </w:p>
    <w:p w:rsidR="00FF50AC" w:rsidRPr="006B1E24" w:rsidRDefault="00726CA5" w:rsidP="00FF50AC">
      <w:pPr>
        <w:ind w:right="91"/>
      </w:pPr>
      <w:r>
        <w:rPr>
          <w:u w:val="single"/>
        </w:rPr>
        <w:t>Section</w:t>
      </w:r>
      <w:r w:rsidR="00FF50AC" w:rsidRPr="006B1E24">
        <w:rPr>
          <w:u w:val="single"/>
        </w:rPr>
        <w:t xml:space="preserve"> 1 – Name of Regulation</w:t>
      </w:r>
    </w:p>
    <w:p w:rsidR="00FF50AC" w:rsidRPr="00470CF0" w:rsidRDefault="00726CA5" w:rsidP="00FF50AC">
      <w:pPr>
        <w:ind w:right="91"/>
      </w:pPr>
      <w:r>
        <w:t>Sect</w:t>
      </w:r>
      <w:r w:rsidR="00FF50AC" w:rsidRPr="006B1E24">
        <w:t>ion</w:t>
      </w:r>
      <w:r w:rsidR="00516437" w:rsidRPr="006B1E24">
        <w:t xml:space="preserve"> 1 </w:t>
      </w:r>
      <w:r w:rsidR="00FF50AC" w:rsidRPr="006B1E24">
        <w:t>provide</w:t>
      </w:r>
      <w:r w:rsidR="00501A69" w:rsidRPr="006B1E24">
        <w:t>s</w:t>
      </w:r>
      <w:r w:rsidR="00FF50AC" w:rsidRPr="006B1E24">
        <w:t xml:space="preserve"> that the title of the Regulation is the </w:t>
      </w:r>
      <w:r w:rsidR="00FF50AC" w:rsidRPr="006B1E24">
        <w:rPr>
          <w:i/>
        </w:rPr>
        <w:t xml:space="preserve">Renewable Energy (Electricity) </w:t>
      </w:r>
      <w:r w:rsidR="00106068">
        <w:rPr>
          <w:i/>
        </w:rPr>
        <w:t>Amendment Regulation 2012 (No. 5</w:t>
      </w:r>
      <w:r w:rsidR="00FF50AC" w:rsidRPr="0041593B">
        <w:rPr>
          <w:i/>
        </w:rPr>
        <w:t>)</w:t>
      </w:r>
      <w:r w:rsidR="00470CF0">
        <w:t xml:space="preserve"> (the Regulation).</w:t>
      </w:r>
    </w:p>
    <w:p w:rsidR="00FF50AC" w:rsidRPr="00AE63D2" w:rsidRDefault="00726CA5" w:rsidP="00FF50AC">
      <w:pPr>
        <w:ind w:right="91"/>
        <w:rPr>
          <w:u w:val="single"/>
        </w:rPr>
      </w:pPr>
      <w:r>
        <w:rPr>
          <w:u w:val="single"/>
        </w:rPr>
        <w:t>Sect</w:t>
      </w:r>
      <w:r w:rsidR="00FF50AC" w:rsidRPr="00AE63D2">
        <w:rPr>
          <w:u w:val="single"/>
        </w:rPr>
        <w:t>ion 2 – Commencement</w:t>
      </w:r>
    </w:p>
    <w:p w:rsidR="00FF50AC" w:rsidRDefault="00726CA5" w:rsidP="00FF50AC">
      <w:pPr>
        <w:ind w:right="91"/>
      </w:pPr>
      <w:r>
        <w:t>Sect</w:t>
      </w:r>
      <w:r w:rsidR="00FF50AC">
        <w:t>ion</w:t>
      </w:r>
      <w:r w:rsidR="00516437">
        <w:t> 2</w:t>
      </w:r>
      <w:r w:rsidR="00FF50AC">
        <w:t xml:space="preserve"> provide</w:t>
      </w:r>
      <w:r w:rsidR="00501A69">
        <w:t>s</w:t>
      </w:r>
      <w:r w:rsidR="00FF50AC">
        <w:t xml:space="preserve"> </w:t>
      </w:r>
      <w:r w:rsidR="00470CF0">
        <w:t xml:space="preserve">that the </w:t>
      </w:r>
      <w:r w:rsidR="00FF50AC">
        <w:t>Regulation commence</w:t>
      </w:r>
      <w:r w:rsidR="00470CF0">
        <w:t>s</w:t>
      </w:r>
      <w:r w:rsidR="00FF50AC">
        <w:t xml:space="preserve"> on the day after </w:t>
      </w:r>
      <w:r w:rsidR="006B1E24">
        <w:t>it is</w:t>
      </w:r>
      <w:r w:rsidR="00FF50AC">
        <w:t xml:space="preserve"> registered on the Federal Register of Legislative Instruments.</w:t>
      </w:r>
    </w:p>
    <w:p w:rsidR="00FF50AC" w:rsidRDefault="00726CA5" w:rsidP="00FF50AC">
      <w:pPr>
        <w:ind w:right="91"/>
      </w:pPr>
      <w:r>
        <w:rPr>
          <w:u w:val="single"/>
        </w:rPr>
        <w:t>Sect</w:t>
      </w:r>
      <w:r w:rsidR="00FF50AC">
        <w:rPr>
          <w:u w:val="single"/>
        </w:rPr>
        <w:t xml:space="preserve">ion 3 – </w:t>
      </w:r>
      <w:r w:rsidR="00FF50AC" w:rsidRPr="009C7A63">
        <w:rPr>
          <w:u w:val="single"/>
        </w:rPr>
        <w:t>Amendment of</w:t>
      </w:r>
      <w:r w:rsidR="00FF50AC" w:rsidRPr="009C7A63">
        <w:rPr>
          <w:i/>
          <w:u w:val="single"/>
        </w:rPr>
        <w:t xml:space="preserve"> </w:t>
      </w:r>
      <w:r w:rsidR="00FF50AC">
        <w:rPr>
          <w:i/>
          <w:u w:val="single"/>
        </w:rPr>
        <w:t>Renewable Energy (Electricity) Reg</w:t>
      </w:r>
      <w:r w:rsidR="00FF50AC" w:rsidRPr="009C7A63">
        <w:rPr>
          <w:i/>
          <w:u w:val="single"/>
        </w:rPr>
        <w:t>ulations 20</w:t>
      </w:r>
      <w:r w:rsidR="00FF50AC">
        <w:rPr>
          <w:i/>
          <w:u w:val="single"/>
        </w:rPr>
        <w:t>01</w:t>
      </w:r>
    </w:p>
    <w:p w:rsidR="00FF50AC" w:rsidRDefault="00726CA5" w:rsidP="00FF50AC">
      <w:pPr>
        <w:ind w:right="91"/>
      </w:pPr>
      <w:r>
        <w:t>Sect</w:t>
      </w:r>
      <w:r w:rsidR="00FF50AC">
        <w:t>ion</w:t>
      </w:r>
      <w:r w:rsidR="00516437">
        <w:t> 3</w:t>
      </w:r>
      <w:r w:rsidR="00FF50AC">
        <w:t xml:space="preserve"> provide</w:t>
      </w:r>
      <w:r w:rsidR="00501A69">
        <w:t>s</w:t>
      </w:r>
      <w:r w:rsidR="00FF50AC">
        <w:t xml:space="preserve"> that the </w:t>
      </w:r>
      <w:r w:rsidR="00FF50AC">
        <w:rPr>
          <w:i/>
        </w:rPr>
        <w:t>Renewable Energy (Electricity) R</w:t>
      </w:r>
      <w:r w:rsidR="00FF50AC" w:rsidRPr="009C7A63">
        <w:rPr>
          <w:i/>
        </w:rPr>
        <w:t>egulations 200</w:t>
      </w:r>
      <w:r w:rsidR="00FF50AC">
        <w:rPr>
          <w:i/>
        </w:rPr>
        <w:t>1</w:t>
      </w:r>
      <w:r w:rsidR="00FF50AC">
        <w:t xml:space="preserve"> (the Principal Regulations) are amended as set out in Schedule 1.</w:t>
      </w:r>
    </w:p>
    <w:p w:rsidR="00FF50AC" w:rsidRDefault="00FF50AC" w:rsidP="00FF50AC">
      <w:pPr>
        <w:ind w:right="91"/>
      </w:pPr>
      <w:r>
        <w:rPr>
          <w:u w:val="single"/>
        </w:rPr>
        <w:t>Schedule 1 – Amendments</w:t>
      </w:r>
    </w:p>
    <w:p w:rsidR="00726CA5" w:rsidRDefault="00726CA5" w:rsidP="00726CA5">
      <w:pPr>
        <w:spacing w:before="0"/>
        <w:ind w:right="91"/>
        <w:rPr>
          <w:b/>
        </w:rPr>
      </w:pPr>
      <w:r w:rsidRPr="008C48DC">
        <w:rPr>
          <w:b/>
        </w:rPr>
        <w:t>Item [1] –</w:t>
      </w:r>
      <w:r>
        <w:rPr>
          <w:b/>
        </w:rPr>
        <w:t xml:space="preserve"> </w:t>
      </w:r>
      <w:r w:rsidR="00960D7B">
        <w:rPr>
          <w:b/>
        </w:rPr>
        <w:t xml:space="preserve">Paragraph </w:t>
      </w:r>
      <w:r>
        <w:rPr>
          <w:b/>
        </w:rPr>
        <w:t>22X (1</w:t>
      </w:r>
      <w:r w:rsidR="00EC341A">
        <w:rPr>
          <w:b/>
        </w:rPr>
        <w:t>B</w:t>
      </w:r>
      <w:r>
        <w:rPr>
          <w:b/>
        </w:rPr>
        <w:t>)</w:t>
      </w:r>
      <w:r w:rsidR="00EC341A">
        <w:rPr>
          <w:b/>
        </w:rPr>
        <w:t xml:space="preserve"> (b)</w:t>
      </w:r>
    </w:p>
    <w:p w:rsidR="00960D7B" w:rsidRDefault="00960D7B" w:rsidP="00960D7B">
      <w:pPr>
        <w:spacing w:before="0"/>
        <w:ind w:right="91"/>
      </w:pPr>
      <w:r w:rsidRPr="00E61A6D">
        <w:t xml:space="preserve">Item </w:t>
      </w:r>
      <w:r>
        <w:t>1 amends paragraph 22X(1B) to provide that applications for the 2012 calendar year only in respect of the new activity to be prescribed in the Regulations under Part 44 of Schedule 6 (manufacture of reconstituted wood</w:t>
      </w:r>
      <w:r>
        <w:noBreakHyphen/>
        <w:t>based panels) may be made up until 31 July 2012. This is intended to provide extra time to applicants that are undertaking the newly prescribed activity to prepare the application and meet audit requirements. If additional activities are assessed as eligible and are included in the regulation before 31 July 2012, it is intended that an extension to the application date would also apply, where this is practicable and having regard to the timing of the regulation and the application.</w:t>
      </w:r>
    </w:p>
    <w:p w:rsidR="00726CA5" w:rsidRPr="00E7437A" w:rsidRDefault="00726CA5" w:rsidP="00726CA5">
      <w:pPr>
        <w:spacing w:before="0"/>
        <w:ind w:right="91"/>
      </w:pPr>
      <w:r>
        <w:rPr>
          <w:b/>
        </w:rPr>
        <w:t>Item [</w:t>
      </w:r>
      <w:r w:rsidR="00EC341A">
        <w:rPr>
          <w:b/>
        </w:rPr>
        <w:t>2</w:t>
      </w:r>
      <w:r>
        <w:rPr>
          <w:b/>
        </w:rPr>
        <w:t xml:space="preserve">] - </w:t>
      </w:r>
      <w:r w:rsidRPr="008C48DC">
        <w:rPr>
          <w:b/>
        </w:rPr>
        <w:t xml:space="preserve">Schedule 6, after Part </w:t>
      </w:r>
      <w:r w:rsidR="00953F04">
        <w:rPr>
          <w:b/>
        </w:rPr>
        <w:t>43</w:t>
      </w:r>
    </w:p>
    <w:p w:rsidR="00960D7B" w:rsidRPr="008C48DC" w:rsidRDefault="00960D7B" w:rsidP="00960D7B">
      <w:pPr>
        <w:spacing w:before="0" w:after="120"/>
        <w:ind w:right="91"/>
      </w:pPr>
      <w:r>
        <w:t>This i</w:t>
      </w:r>
      <w:r w:rsidRPr="00C710BA">
        <w:t>tem insert</w:t>
      </w:r>
      <w:r>
        <w:t>s a new part in Schedule 6 of the Principal Regulations to add a new EITE activity eligible for assistance under the Renewable Energy Target (RET) scheme – the m</w:t>
      </w:r>
      <w:r w:rsidRPr="00FD66D8">
        <w:t>anufacture of reconstituted wood-based panels</w:t>
      </w:r>
      <w:r>
        <w:t>.</w:t>
      </w:r>
    </w:p>
    <w:p w:rsidR="00960D7B" w:rsidRDefault="00960D7B" w:rsidP="00960D7B">
      <w:pPr>
        <w:spacing w:before="0"/>
        <w:ind w:right="91"/>
      </w:pPr>
      <w:r>
        <w:t xml:space="preserve">Part 44 would set out a description of the EITE activity, the rate of assistance of the activity and the electricity baseline for the relevant product produced by undertaking the activity for the purpose of calculating a partial exemption from </w:t>
      </w:r>
      <w:r w:rsidRPr="00A13390">
        <w:t>Large-scale Renewable Energy Target and Small-scale Renewable Energy Scheme</w:t>
      </w:r>
      <w:r>
        <w:t xml:space="preserve"> liability for electricity used.</w:t>
      </w:r>
    </w:p>
    <w:p w:rsidR="003F38BC" w:rsidRDefault="003F38BC" w:rsidP="00F56C0D">
      <w:pPr>
        <w:widowControl/>
        <w:autoSpaceDE/>
        <w:autoSpaceDN/>
        <w:adjustRightInd/>
        <w:ind w:right="91"/>
      </w:pPr>
      <w:r>
        <w:t xml:space="preserve">For </w:t>
      </w:r>
      <w:r w:rsidR="00960D7B">
        <w:t xml:space="preserve">this and </w:t>
      </w:r>
      <w:r>
        <w:t>all EITE activities, the assessment of eligibility was based on the operations of the activity in the baseline period July 2004 to December 2008. This is referred to as the period used to assess the eligibility of the activity in the descriptions of the activity outlined below.</w:t>
      </w:r>
    </w:p>
    <w:p w:rsidR="00960D7B" w:rsidRDefault="00960D7B" w:rsidP="00F56C0D">
      <w:pPr>
        <w:widowControl/>
        <w:autoSpaceDE/>
        <w:autoSpaceDN/>
        <w:adjustRightInd/>
        <w:ind w:right="91"/>
      </w:pPr>
    </w:p>
    <w:p w:rsidR="00FF50AC" w:rsidRPr="00960D7B" w:rsidRDefault="00FF50AC" w:rsidP="00FF50AC">
      <w:pPr>
        <w:rPr>
          <w:b/>
          <w:iCs/>
        </w:rPr>
      </w:pPr>
      <w:r w:rsidRPr="00960D7B">
        <w:rPr>
          <w:b/>
          <w:iCs/>
        </w:rPr>
        <w:lastRenderedPageBreak/>
        <w:t xml:space="preserve">Part </w:t>
      </w:r>
      <w:r w:rsidR="005837AC" w:rsidRPr="00960D7B">
        <w:rPr>
          <w:b/>
          <w:iCs/>
        </w:rPr>
        <w:t>4</w:t>
      </w:r>
      <w:r w:rsidR="00AA2C06" w:rsidRPr="00960D7B">
        <w:rPr>
          <w:b/>
          <w:iCs/>
        </w:rPr>
        <w:t>4</w:t>
      </w:r>
      <w:r w:rsidRPr="00960D7B">
        <w:rPr>
          <w:b/>
          <w:iCs/>
        </w:rPr>
        <w:t xml:space="preserve"> - </w:t>
      </w:r>
      <w:r w:rsidR="00616D66" w:rsidRPr="00960D7B">
        <w:rPr>
          <w:b/>
        </w:rPr>
        <w:t>M</w:t>
      </w:r>
      <w:r w:rsidR="00AA2C06" w:rsidRPr="00960D7B">
        <w:rPr>
          <w:b/>
          <w:iCs/>
        </w:rPr>
        <w:t>anufacture of reconstituted wood-based panels</w:t>
      </w:r>
    </w:p>
    <w:p w:rsidR="00FF50AC" w:rsidRPr="00960D7B" w:rsidRDefault="00FF50AC" w:rsidP="00FF50AC">
      <w:pPr>
        <w:pStyle w:val="Bullet"/>
        <w:numPr>
          <w:ilvl w:val="0"/>
          <w:numId w:val="0"/>
        </w:numPr>
        <w:rPr>
          <w:b/>
          <w:iCs/>
        </w:rPr>
      </w:pPr>
      <w:r w:rsidRPr="00960D7B">
        <w:rPr>
          <w:b/>
          <w:iCs/>
        </w:rPr>
        <w:t xml:space="preserve">Division 1 - </w:t>
      </w:r>
      <w:r w:rsidR="00AA2C06" w:rsidRPr="00960D7B">
        <w:rPr>
          <w:b/>
        </w:rPr>
        <w:t>M</w:t>
      </w:r>
      <w:r w:rsidR="00AA2C06" w:rsidRPr="00960D7B">
        <w:rPr>
          <w:b/>
          <w:iCs/>
        </w:rPr>
        <w:t>anufacture of reconstituted wood-based panels</w:t>
      </w:r>
    </w:p>
    <w:p w:rsidR="00FF50AC" w:rsidRPr="00960D7B" w:rsidRDefault="00616D66" w:rsidP="00FF50AC">
      <w:pPr>
        <w:pStyle w:val="Bullet"/>
        <w:numPr>
          <w:ilvl w:val="0"/>
          <w:numId w:val="0"/>
        </w:numPr>
        <w:rPr>
          <w:iCs/>
          <w:u w:val="single"/>
        </w:rPr>
      </w:pPr>
      <w:r w:rsidRPr="00960D7B">
        <w:rPr>
          <w:iCs/>
          <w:u w:val="single"/>
        </w:rPr>
        <w:t xml:space="preserve">Clause </w:t>
      </w:r>
      <w:r w:rsidR="00B00F15" w:rsidRPr="00960D7B">
        <w:rPr>
          <w:iCs/>
          <w:u w:val="single"/>
        </w:rPr>
        <w:t>728</w:t>
      </w:r>
      <w:r w:rsidRPr="00960D7B">
        <w:rPr>
          <w:iCs/>
          <w:u w:val="single"/>
        </w:rPr>
        <w:t xml:space="preserve"> - </w:t>
      </w:r>
      <w:r w:rsidR="00B00F15" w:rsidRPr="00960D7B">
        <w:rPr>
          <w:iCs/>
          <w:u w:val="single"/>
        </w:rPr>
        <w:t>Manufacture of reconstituted wood-based panels</w:t>
      </w:r>
    </w:p>
    <w:p w:rsidR="005837AC" w:rsidRPr="00AA2C06" w:rsidRDefault="00616D66" w:rsidP="005837AC">
      <w:pPr>
        <w:pStyle w:val="Bullet"/>
        <w:numPr>
          <w:ilvl w:val="0"/>
          <w:numId w:val="0"/>
        </w:numPr>
        <w:rPr>
          <w:highlight w:val="yellow"/>
        </w:rPr>
      </w:pPr>
      <w:r w:rsidRPr="00960D7B">
        <w:t>Clause 7</w:t>
      </w:r>
      <w:r w:rsidR="00B00F15" w:rsidRPr="00960D7B">
        <w:t>28</w:t>
      </w:r>
      <w:r w:rsidRPr="00960D7B">
        <w:t xml:space="preserve"> </w:t>
      </w:r>
      <w:r w:rsidR="00B00F15" w:rsidRPr="00960D7B">
        <w:t>provides that the manufacture of reconstituted wood-based panels is the physical or</w:t>
      </w:r>
      <w:r w:rsidR="00B00F15">
        <w:t xml:space="preserve"> chemical transformation of wood, including wood particles and residues (such as chips, savings, sawdust) into a reconstituted wood-based panel (such as particleboard and medium density fibreboard) with a density of greater than 500 </w:t>
      </w:r>
      <w:r w:rsidR="00960D7B">
        <w:t>kilograms per cubic metre (</w:t>
      </w:r>
      <w:r w:rsidR="00B00F15">
        <w:t>kg/m</w:t>
      </w:r>
      <w:r w:rsidR="00B00F15">
        <w:rPr>
          <w:vertAlign w:val="superscript"/>
        </w:rPr>
        <w:t>3</w:t>
      </w:r>
      <w:r w:rsidR="00960D7B">
        <w:t xml:space="preserve">) </w:t>
      </w:r>
      <w:r w:rsidR="00B00F15">
        <w:t>and where the individual wood particles or fibres in the wood based panel have an average maximum dimension of no greater than 30</w:t>
      </w:r>
      <w:r w:rsidR="00960D7B">
        <w:t> millimetres (</w:t>
      </w:r>
      <w:r w:rsidR="00B00F15">
        <w:t>mm</w:t>
      </w:r>
      <w:r w:rsidR="00960D7B">
        <w:t>)</w:t>
      </w:r>
      <w:r w:rsidR="00B00F15">
        <w:t>.</w:t>
      </w:r>
    </w:p>
    <w:p w:rsidR="00EC341A" w:rsidRDefault="00EC341A" w:rsidP="00EC341A">
      <w:r>
        <w:t xml:space="preserve">The inputs of the activity have been defined to include woodchips, sawdust and wood-shavings. The outputs of this activity are saleable raw </w:t>
      </w:r>
      <w:r w:rsidR="00960D7B">
        <w:t>re</w:t>
      </w:r>
      <w:r>
        <w:t>constituted wood-based panel with a density of greater than 500 kg/m</w:t>
      </w:r>
      <w:r>
        <w:rPr>
          <w:vertAlign w:val="superscript"/>
        </w:rPr>
        <w:t>3</w:t>
      </w:r>
      <w:r>
        <w:t xml:space="preserve"> and where the wood-based panels have an average maximum dimension of no greater than 30 mm.</w:t>
      </w:r>
    </w:p>
    <w:p w:rsidR="00EC341A" w:rsidRDefault="00EC341A" w:rsidP="00EC341A">
      <w:r>
        <w:t>The activity does not include the upstream preparation of raw log, such as de-barking and chipping or the downstream processing of raw board into subsequent products. As such, the relevant facility is that where the output is actually produced and does not extend to separate facilities that may conduct upstream or downstream processing but not the activity as described.</w:t>
      </w:r>
    </w:p>
    <w:p w:rsidR="00FF50AC" w:rsidRPr="00960D7B" w:rsidRDefault="00616D66" w:rsidP="00FF50AC">
      <w:pPr>
        <w:pStyle w:val="Bullet"/>
        <w:numPr>
          <w:ilvl w:val="0"/>
          <w:numId w:val="0"/>
        </w:numPr>
        <w:rPr>
          <w:b/>
          <w:iCs/>
        </w:rPr>
      </w:pPr>
      <w:r w:rsidRPr="00960D7B">
        <w:rPr>
          <w:b/>
          <w:iCs/>
        </w:rPr>
        <w:t>Division 2 – Classification of activity</w:t>
      </w:r>
    </w:p>
    <w:p w:rsidR="00FF50AC" w:rsidRPr="00960D7B" w:rsidRDefault="00616D66" w:rsidP="00FF50AC">
      <w:pPr>
        <w:pStyle w:val="Bullet"/>
        <w:numPr>
          <w:ilvl w:val="0"/>
          <w:numId w:val="0"/>
        </w:numPr>
        <w:rPr>
          <w:iCs/>
          <w:u w:val="single"/>
        </w:rPr>
      </w:pPr>
      <w:r w:rsidRPr="00960D7B">
        <w:rPr>
          <w:iCs/>
          <w:u w:val="single"/>
        </w:rPr>
        <w:t>Clause 7</w:t>
      </w:r>
      <w:r w:rsidR="00EC341A" w:rsidRPr="00960D7B">
        <w:rPr>
          <w:iCs/>
          <w:u w:val="single"/>
        </w:rPr>
        <w:t>29</w:t>
      </w:r>
      <w:r w:rsidRPr="00960D7B">
        <w:rPr>
          <w:iCs/>
          <w:u w:val="single"/>
        </w:rPr>
        <w:t xml:space="preserve"> – Classification of activity</w:t>
      </w:r>
    </w:p>
    <w:p w:rsidR="00616D66" w:rsidRPr="00960D7B" w:rsidRDefault="00616D66" w:rsidP="00616D66">
      <w:pPr>
        <w:rPr>
          <w:lang w:val="en-GB"/>
        </w:rPr>
      </w:pPr>
      <w:r w:rsidRPr="00960D7B">
        <w:rPr>
          <w:lang w:val="en-GB"/>
        </w:rPr>
        <w:t>Clause 7</w:t>
      </w:r>
      <w:r w:rsidR="00EC341A" w:rsidRPr="00960D7B">
        <w:rPr>
          <w:lang w:val="en-GB"/>
        </w:rPr>
        <w:t>29</w:t>
      </w:r>
      <w:r w:rsidRPr="00960D7B">
        <w:rPr>
          <w:lang w:val="en-GB"/>
        </w:rPr>
        <w:t xml:space="preserve"> provides that the </w:t>
      </w:r>
      <w:r w:rsidR="00B00F15" w:rsidRPr="00960D7B">
        <w:t>manufacture of reconstituted wood-based panels is an EITE activity eligible for assistance at the moderately emissions-intensive rate.</w:t>
      </w:r>
    </w:p>
    <w:p w:rsidR="00FF50AC" w:rsidRPr="00960D7B" w:rsidRDefault="00616D66" w:rsidP="00FF50AC">
      <w:pPr>
        <w:pStyle w:val="Bullet"/>
        <w:numPr>
          <w:ilvl w:val="0"/>
          <w:numId w:val="0"/>
        </w:numPr>
        <w:rPr>
          <w:b/>
          <w:iCs/>
        </w:rPr>
      </w:pPr>
      <w:r w:rsidRPr="00960D7B">
        <w:rPr>
          <w:b/>
          <w:iCs/>
        </w:rPr>
        <w:t>Division 3 – Electricity baseline for calculating partial exemption</w:t>
      </w:r>
    </w:p>
    <w:p w:rsidR="00FF50AC" w:rsidRPr="00960D7B" w:rsidRDefault="00616D66" w:rsidP="00FF50AC">
      <w:pPr>
        <w:pStyle w:val="Bullet"/>
        <w:numPr>
          <w:ilvl w:val="0"/>
          <w:numId w:val="0"/>
        </w:numPr>
        <w:rPr>
          <w:iCs/>
          <w:u w:val="single"/>
        </w:rPr>
      </w:pPr>
      <w:r w:rsidRPr="00960D7B">
        <w:rPr>
          <w:iCs/>
          <w:u w:val="single"/>
        </w:rPr>
        <w:t>Clause 730 – Electricity baseline for product</w:t>
      </w:r>
    </w:p>
    <w:p w:rsidR="00616D66" w:rsidRPr="00960D7B" w:rsidRDefault="00616D66" w:rsidP="00960D7B">
      <w:r w:rsidRPr="00960D7B">
        <w:t>Clause 730 provides that the electricity baseline for calculating the amount of a liable entity’s partial exemption for the manufacture of reconstituted wood-based panels is 0.372</w:t>
      </w:r>
      <w:r w:rsidR="00960D7B">
        <w:t> </w:t>
      </w:r>
      <w:r w:rsidRPr="00960D7B">
        <w:t>megawatt</w:t>
      </w:r>
      <w:r w:rsidRPr="00960D7B">
        <w:noBreakHyphen/>
        <w:t xml:space="preserve">hours (MWh) per tonne of raw </w:t>
      </w:r>
      <w:r w:rsidR="00960D7B">
        <w:t>re</w:t>
      </w:r>
      <w:r w:rsidRPr="00960D7B">
        <w:t xml:space="preserve">constituted wood-based panel that has a density of greater than 500 kg </w:t>
      </w:r>
      <w:r w:rsidR="00960D7B">
        <w:t xml:space="preserve">per </w:t>
      </w:r>
      <w:r w:rsidRPr="00960D7B">
        <w:t>cubic metre and has individual wood particles or fibres with an average maximum dimension of no more than 30 mm where the product is produced by carrying out the activity (as described in clause 728) and is of saleable quality (as defined in Regulation 22C of the Principal Regulations).</w:t>
      </w:r>
    </w:p>
    <w:p w:rsidR="00960D7B" w:rsidRDefault="00960D7B" w:rsidP="00960D7B">
      <w:r w:rsidRPr="00960D7B">
        <w:t>The reconstituted wood-based panels must be of saleable quality. Wood panels that are discarded or reprocessed because they do not meet output specifications are not of saleable quality. Wood panels of saleable quality do not include cover boards and other materials used for packaging.</w:t>
      </w:r>
      <w:r w:rsidR="00AF7B69">
        <w:t xml:space="preserve"> </w:t>
      </w:r>
    </w:p>
    <w:sectPr w:rsidR="00960D7B" w:rsidSect="00387433">
      <w:footerReference w:type="default" r:id="rId8"/>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7B" w:rsidRDefault="00960D7B" w:rsidP="0056784D">
      <w:pPr>
        <w:spacing w:before="0" w:after="0"/>
      </w:pPr>
      <w:r>
        <w:separator/>
      </w:r>
    </w:p>
  </w:endnote>
  <w:endnote w:type="continuationSeparator" w:id="0">
    <w:p w:rsidR="00960D7B" w:rsidRDefault="00960D7B" w:rsidP="0056784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7B" w:rsidRDefault="00DB1F9B">
    <w:pPr>
      <w:pStyle w:val="Footer"/>
      <w:jc w:val="right"/>
    </w:pPr>
    <w:fldSimple w:instr=" PAGE   \* MERGEFORMAT ">
      <w:r w:rsidR="00B52F4C">
        <w:rPr>
          <w:noProof/>
        </w:rPr>
        <w:t>2</w:t>
      </w:r>
    </w:fldSimple>
  </w:p>
  <w:p w:rsidR="00960D7B" w:rsidRDefault="00960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7B" w:rsidRDefault="00960D7B" w:rsidP="0056784D">
      <w:pPr>
        <w:spacing w:before="0" w:after="0"/>
      </w:pPr>
      <w:r>
        <w:separator/>
      </w:r>
    </w:p>
  </w:footnote>
  <w:footnote w:type="continuationSeparator" w:id="0">
    <w:p w:rsidR="00960D7B" w:rsidRDefault="00960D7B" w:rsidP="0056784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23"/>
    <w:multiLevelType w:val="hybridMultilevel"/>
    <w:tmpl w:val="A0289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F87154"/>
    <w:multiLevelType w:val="hybridMultilevel"/>
    <w:tmpl w:val="4FACD712"/>
    <w:lvl w:ilvl="0" w:tplc="8A08B62A">
      <w:start w:val="1"/>
      <w:numFmt w:val="lowerLetter"/>
      <w:lvlText w:val="%1."/>
      <w:lvlJc w:val="left"/>
      <w:pPr>
        <w:ind w:left="1440" w:hanging="360"/>
      </w:pPr>
    </w:lvl>
    <w:lvl w:ilvl="1" w:tplc="D93A3228" w:tentative="1">
      <w:start w:val="1"/>
      <w:numFmt w:val="lowerLetter"/>
      <w:lvlText w:val="%2."/>
      <w:lvlJc w:val="left"/>
      <w:pPr>
        <w:ind w:left="2160" w:hanging="360"/>
      </w:pPr>
    </w:lvl>
    <w:lvl w:ilvl="2" w:tplc="72B02AA6" w:tentative="1">
      <w:start w:val="1"/>
      <w:numFmt w:val="lowerRoman"/>
      <w:lvlText w:val="%3."/>
      <w:lvlJc w:val="right"/>
      <w:pPr>
        <w:ind w:left="2880" w:hanging="180"/>
      </w:pPr>
    </w:lvl>
    <w:lvl w:ilvl="3" w:tplc="80A0107A" w:tentative="1">
      <w:start w:val="1"/>
      <w:numFmt w:val="decimal"/>
      <w:lvlText w:val="%4."/>
      <w:lvlJc w:val="left"/>
      <w:pPr>
        <w:ind w:left="3600" w:hanging="360"/>
      </w:pPr>
    </w:lvl>
    <w:lvl w:ilvl="4" w:tplc="636C961C" w:tentative="1">
      <w:start w:val="1"/>
      <w:numFmt w:val="lowerLetter"/>
      <w:lvlText w:val="%5."/>
      <w:lvlJc w:val="left"/>
      <w:pPr>
        <w:ind w:left="4320" w:hanging="360"/>
      </w:pPr>
    </w:lvl>
    <w:lvl w:ilvl="5" w:tplc="268A034E" w:tentative="1">
      <w:start w:val="1"/>
      <w:numFmt w:val="lowerRoman"/>
      <w:lvlText w:val="%6."/>
      <w:lvlJc w:val="right"/>
      <w:pPr>
        <w:ind w:left="5040" w:hanging="180"/>
      </w:pPr>
    </w:lvl>
    <w:lvl w:ilvl="6" w:tplc="23EC6ECA" w:tentative="1">
      <w:start w:val="1"/>
      <w:numFmt w:val="decimal"/>
      <w:lvlText w:val="%7."/>
      <w:lvlJc w:val="left"/>
      <w:pPr>
        <w:ind w:left="5760" w:hanging="360"/>
      </w:pPr>
    </w:lvl>
    <w:lvl w:ilvl="7" w:tplc="C21E76FE" w:tentative="1">
      <w:start w:val="1"/>
      <w:numFmt w:val="lowerLetter"/>
      <w:lvlText w:val="%8."/>
      <w:lvlJc w:val="left"/>
      <w:pPr>
        <w:ind w:left="6480" w:hanging="360"/>
      </w:pPr>
    </w:lvl>
    <w:lvl w:ilvl="8" w:tplc="4F34FEFA" w:tentative="1">
      <w:start w:val="1"/>
      <w:numFmt w:val="lowerRoman"/>
      <w:lvlText w:val="%9."/>
      <w:lvlJc w:val="right"/>
      <w:pPr>
        <w:ind w:left="7200" w:hanging="180"/>
      </w:pPr>
    </w:lvl>
  </w:abstractNum>
  <w:abstractNum w:abstractNumId="2">
    <w:nsid w:val="04206B53"/>
    <w:multiLevelType w:val="hybridMultilevel"/>
    <w:tmpl w:val="20B63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872C93"/>
    <w:multiLevelType w:val="hybridMultilevel"/>
    <w:tmpl w:val="95A8D44A"/>
    <w:lvl w:ilvl="0" w:tplc="D6B8F466">
      <w:start w:val="1"/>
      <w:numFmt w:val="bullet"/>
      <w:lvlText w:val=""/>
      <w:lvlJc w:val="left"/>
      <w:pPr>
        <w:ind w:left="720" w:hanging="360"/>
      </w:pPr>
      <w:rPr>
        <w:rFonts w:ascii="Symbol" w:hAnsi="Symbol" w:hint="default"/>
      </w:rPr>
    </w:lvl>
    <w:lvl w:ilvl="1" w:tplc="B162A36A" w:tentative="1">
      <w:start w:val="1"/>
      <w:numFmt w:val="bullet"/>
      <w:lvlText w:val="o"/>
      <w:lvlJc w:val="left"/>
      <w:pPr>
        <w:ind w:left="1440" w:hanging="360"/>
      </w:pPr>
      <w:rPr>
        <w:rFonts w:ascii="Courier New" w:hAnsi="Courier New" w:cs="Courier New" w:hint="default"/>
      </w:rPr>
    </w:lvl>
    <w:lvl w:ilvl="2" w:tplc="A2AE749A" w:tentative="1">
      <w:start w:val="1"/>
      <w:numFmt w:val="bullet"/>
      <w:lvlText w:val=""/>
      <w:lvlJc w:val="left"/>
      <w:pPr>
        <w:ind w:left="2160" w:hanging="360"/>
      </w:pPr>
      <w:rPr>
        <w:rFonts w:ascii="Wingdings" w:hAnsi="Wingdings" w:hint="default"/>
      </w:rPr>
    </w:lvl>
    <w:lvl w:ilvl="3" w:tplc="C6568592" w:tentative="1">
      <w:start w:val="1"/>
      <w:numFmt w:val="bullet"/>
      <w:lvlText w:val=""/>
      <w:lvlJc w:val="left"/>
      <w:pPr>
        <w:ind w:left="2880" w:hanging="360"/>
      </w:pPr>
      <w:rPr>
        <w:rFonts w:ascii="Symbol" w:hAnsi="Symbol" w:hint="default"/>
      </w:rPr>
    </w:lvl>
    <w:lvl w:ilvl="4" w:tplc="AF1E89F6" w:tentative="1">
      <w:start w:val="1"/>
      <w:numFmt w:val="bullet"/>
      <w:lvlText w:val="o"/>
      <w:lvlJc w:val="left"/>
      <w:pPr>
        <w:ind w:left="3600" w:hanging="360"/>
      </w:pPr>
      <w:rPr>
        <w:rFonts w:ascii="Courier New" w:hAnsi="Courier New" w:cs="Courier New" w:hint="default"/>
      </w:rPr>
    </w:lvl>
    <w:lvl w:ilvl="5" w:tplc="18A4D55A" w:tentative="1">
      <w:start w:val="1"/>
      <w:numFmt w:val="bullet"/>
      <w:lvlText w:val=""/>
      <w:lvlJc w:val="left"/>
      <w:pPr>
        <w:ind w:left="4320" w:hanging="360"/>
      </w:pPr>
      <w:rPr>
        <w:rFonts w:ascii="Wingdings" w:hAnsi="Wingdings" w:hint="default"/>
      </w:rPr>
    </w:lvl>
    <w:lvl w:ilvl="6" w:tplc="892CD16A" w:tentative="1">
      <w:start w:val="1"/>
      <w:numFmt w:val="bullet"/>
      <w:lvlText w:val=""/>
      <w:lvlJc w:val="left"/>
      <w:pPr>
        <w:ind w:left="5040" w:hanging="360"/>
      </w:pPr>
      <w:rPr>
        <w:rFonts w:ascii="Symbol" w:hAnsi="Symbol" w:hint="default"/>
      </w:rPr>
    </w:lvl>
    <w:lvl w:ilvl="7" w:tplc="8A7C1DB8" w:tentative="1">
      <w:start w:val="1"/>
      <w:numFmt w:val="bullet"/>
      <w:lvlText w:val="o"/>
      <w:lvlJc w:val="left"/>
      <w:pPr>
        <w:ind w:left="5760" w:hanging="360"/>
      </w:pPr>
      <w:rPr>
        <w:rFonts w:ascii="Courier New" w:hAnsi="Courier New" w:cs="Courier New" w:hint="default"/>
      </w:rPr>
    </w:lvl>
    <w:lvl w:ilvl="8" w:tplc="71ECF790" w:tentative="1">
      <w:start w:val="1"/>
      <w:numFmt w:val="bullet"/>
      <w:lvlText w:val=""/>
      <w:lvlJc w:val="left"/>
      <w:pPr>
        <w:ind w:left="6480" w:hanging="360"/>
      </w:pPr>
      <w:rPr>
        <w:rFonts w:ascii="Wingdings" w:hAnsi="Wingdings" w:hint="default"/>
      </w:rPr>
    </w:lvl>
  </w:abstractNum>
  <w:abstractNum w:abstractNumId="4">
    <w:nsid w:val="18327664"/>
    <w:multiLevelType w:val="multilevel"/>
    <w:tmpl w:val="D9E257EC"/>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nsid w:val="1B524CEB"/>
    <w:multiLevelType w:val="hybridMultilevel"/>
    <w:tmpl w:val="4FACD712"/>
    <w:lvl w:ilvl="0" w:tplc="A4E20C00">
      <w:start w:val="1"/>
      <w:numFmt w:val="lowerLetter"/>
      <w:lvlText w:val="%1."/>
      <w:lvlJc w:val="left"/>
      <w:pPr>
        <w:ind w:left="1440" w:hanging="360"/>
      </w:pPr>
    </w:lvl>
    <w:lvl w:ilvl="1" w:tplc="D52481B4" w:tentative="1">
      <w:start w:val="1"/>
      <w:numFmt w:val="lowerLetter"/>
      <w:lvlText w:val="%2."/>
      <w:lvlJc w:val="left"/>
      <w:pPr>
        <w:ind w:left="2160" w:hanging="360"/>
      </w:pPr>
    </w:lvl>
    <w:lvl w:ilvl="2" w:tplc="56C67C8A" w:tentative="1">
      <w:start w:val="1"/>
      <w:numFmt w:val="lowerRoman"/>
      <w:lvlText w:val="%3."/>
      <w:lvlJc w:val="right"/>
      <w:pPr>
        <w:ind w:left="2880" w:hanging="180"/>
      </w:pPr>
    </w:lvl>
    <w:lvl w:ilvl="3" w:tplc="2196F9B2" w:tentative="1">
      <w:start w:val="1"/>
      <w:numFmt w:val="decimal"/>
      <w:lvlText w:val="%4."/>
      <w:lvlJc w:val="left"/>
      <w:pPr>
        <w:ind w:left="3600" w:hanging="360"/>
      </w:pPr>
    </w:lvl>
    <w:lvl w:ilvl="4" w:tplc="C432353A" w:tentative="1">
      <w:start w:val="1"/>
      <w:numFmt w:val="lowerLetter"/>
      <w:lvlText w:val="%5."/>
      <w:lvlJc w:val="left"/>
      <w:pPr>
        <w:ind w:left="4320" w:hanging="360"/>
      </w:pPr>
    </w:lvl>
    <w:lvl w:ilvl="5" w:tplc="81BCA486" w:tentative="1">
      <w:start w:val="1"/>
      <w:numFmt w:val="lowerRoman"/>
      <w:lvlText w:val="%6."/>
      <w:lvlJc w:val="right"/>
      <w:pPr>
        <w:ind w:left="5040" w:hanging="180"/>
      </w:pPr>
    </w:lvl>
    <w:lvl w:ilvl="6" w:tplc="10DAD40C" w:tentative="1">
      <w:start w:val="1"/>
      <w:numFmt w:val="decimal"/>
      <w:lvlText w:val="%7."/>
      <w:lvlJc w:val="left"/>
      <w:pPr>
        <w:ind w:left="5760" w:hanging="360"/>
      </w:pPr>
    </w:lvl>
    <w:lvl w:ilvl="7" w:tplc="90B4E15C" w:tentative="1">
      <w:start w:val="1"/>
      <w:numFmt w:val="lowerLetter"/>
      <w:lvlText w:val="%8."/>
      <w:lvlJc w:val="left"/>
      <w:pPr>
        <w:ind w:left="6480" w:hanging="360"/>
      </w:pPr>
    </w:lvl>
    <w:lvl w:ilvl="8" w:tplc="335CDE74" w:tentative="1">
      <w:start w:val="1"/>
      <w:numFmt w:val="lowerRoman"/>
      <w:lvlText w:val="%9."/>
      <w:lvlJc w:val="right"/>
      <w:pPr>
        <w:ind w:left="7200" w:hanging="180"/>
      </w:pPr>
    </w:lvl>
  </w:abstractNum>
  <w:abstractNum w:abstractNumId="6">
    <w:nsid w:val="22C6479E"/>
    <w:multiLevelType w:val="hybridMultilevel"/>
    <w:tmpl w:val="869C852E"/>
    <w:lvl w:ilvl="0" w:tplc="A1DC1CC2">
      <w:start w:val="1"/>
      <w:numFmt w:val="bullet"/>
      <w:lvlText w:val="-"/>
      <w:lvlJc w:val="left"/>
      <w:pPr>
        <w:ind w:left="720" w:hanging="360"/>
      </w:pPr>
      <w:rPr>
        <w:rFonts w:ascii="Times New Roman" w:eastAsia="Times New Roman" w:hAnsi="Times New Roman" w:cs="Times New Roman" w:hint="default"/>
      </w:rPr>
    </w:lvl>
    <w:lvl w:ilvl="1" w:tplc="80F010A2" w:tentative="1">
      <w:start w:val="1"/>
      <w:numFmt w:val="bullet"/>
      <w:lvlText w:val="o"/>
      <w:lvlJc w:val="left"/>
      <w:pPr>
        <w:ind w:left="1440" w:hanging="360"/>
      </w:pPr>
      <w:rPr>
        <w:rFonts w:ascii="Courier New" w:hAnsi="Courier New" w:cs="Courier New" w:hint="default"/>
      </w:rPr>
    </w:lvl>
    <w:lvl w:ilvl="2" w:tplc="71A8AC06" w:tentative="1">
      <w:start w:val="1"/>
      <w:numFmt w:val="bullet"/>
      <w:lvlText w:val=""/>
      <w:lvlJc w:val="left"/>
      <w:pPr>
        <w:ind w:left="2160" w:hanging="360"/>
      </w:pPr>
      <w:rPr>
        <w:rFonts w:ascii="Wingdings" w:hAnsi="Wingdings" w:hint="default"/>
      </w:rPr>
    </w:lvl>
    <w:lvl w:ilvl="3" w:tplc="DE70F5AE" w:tentative="1">
      <w:start w:val="1"/>
      <w:numFmt w:val="bullet"/>
      <w:lvlText w:val=""/>
      <w:lvlJc w:val="left"/>
      <w:pPr>
        <w:ind w:left="2880" w:hanging="360"/>
      </w:pPr>
      <w:rPr>
        <w:rFonts w:ascii="Symbol" w:hAnsi="Symbol" w:hint="default"/>
      </w:rPr>
    </w:lvl>
    <w:lvl w:ilvl="4" w:tplc="BBDC84D6" w:tentative="1">
      <w:start w:val="1"/>
      <w:numFmt w:val="bullet"/>
      <w:lvlText w:val="o"/>
      <w:lvlJc w:val="left"/>
      <w:pPr>
        <w:ind w:left="3600" w:hanging="360"/>
      </w:pPr>
      <w:rPr>
        <w:rFonts w:ascii="Courier New" w:hAnsi="Courier New" w:cs="Courier New" w:hint="default"/>
      </w:rPr>
    </w:lvl>
    <w:lvl w:ilvl="5" w:tplc="A8265B5C" w:tentative="1">
      <w:start w:val="1"/>
      <w:numFmt w:val="bullet"/>
      <w:lvlText w:val=""/>
      <w:lvlJc w:val="left"/>
      <w:pPr>
        <w:ind w:left="4320" w:hanging="360"/>
      </w:pPr>
      <w:rPr>
        <w:rFonts w:ascii="Wingdings" w:hAnsi="Wingdings" w:hint="default"/>
      </w:rPr>
    </w:lvl>
    <w:lvl w:ilvl="6" w:tplc="3C5E2AD0" w:tentative="1">
      <w:start w:val="1"/>
      <w:numFmt w:val="bullet"/>
      <w:lvlText w:val=""/>
      <w:lvlJc w:val="left"/>
      <w:pPr>
        <w:ind w:left="5040" w:hanging="360"/>
      </w:pPr>
      <w:rPr>
        <w:rFonts w:ascii="Symbol" w:hAnsi="Symbol" w:hint="default"/>
      </w:rPr>
    </w:lvl>
    <w:lvl w:ilvl="7" w:tplc="D7CE8DEA" w:tentative="1">
      <w:start w:val="1"/>
      <w:numFmt w:val="bullet"/>
      <w:lvlText w:val="o"/>
      <w:lvlJc w:val="left"/>
      <w:pPr>
        <w:ind w:left="5760" w:hanging="360"/>
      </w:pPr>
      <w:rPr>
        <w:rFonts w:ascii="Courier New" w:hAnsi="Courier New" w:cs="Courier New" w:hint="default"/>
      </w:rPr>
    </w:lvl>
    <w:lvl w:ilvl="8" w:tplc="ACAE1AAE" w:tentative="1">
      <w:start w:val="1"/>
      <w:numFmt w:val="bullet"/>
      <w:lvlText w:val=""/>
      <w:lvlJc w:val="left"/>
      <w:pPr>
        <w:ind w:left="6480" w:hanging="360"/>
      </w:pPr>
      <w:rPr>
        <w:rFonts w:ascii="Wingdings" w:hAnsi="Wingdings" w:hint="default"/>
      </w:rPr>
    </w:lvl>
  </w:abstractNum>
  <w:abstractNum w:abstractNumId="7">
    <w:nsid w:val="27313BE6"/>
    <w:multiLevelType w:val="hybridMultilevel"/>
    <w:tmpl w:val="7114A4F8"/>
    <w:lvl w:ilvl="0" w:tplc="C42EAC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773576"/>
    <w:multiLevelType w:val="hybridMultilevel"/>
    <w:tmpl w:val="3BFE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9F4056"/>
    <w:multiLevelType w:val="hybridMultilevel"/>
    <w:tmpl w:val="4FACD712"/>
    <w:lvl w:ilvl="0" w:tplc="0C090001">
      <w:start w:val="1"/>
      <w:numFmt w:val="lowerLetter"/>
      <w:lvlText w:val="%1."/>
      <w:lvlJc w:val="left"/>
      <w:pPr>
        <w:ind w:left="1440" w:hanging="360"/>
      </w:p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10">
    <w:nsid w:val="3EEF1490"/>
    <w:multiLevelType w:val="multilevel"/>
    <w:tmpl w:val="2FFAE7D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4D4C21"/>
    <w:multiLevelType w:val="hybridMultilevel"/>
    <w:tmpl w:val="9D82046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478D416D"/>
    <w:multiLevelType w:val="multilevel"/>
    <w:tmpl w:val="469EAFC0"/>
    <w:styleLink w:val="DotPointList"/>
    <w:lvl w:ilvl="0">
      <w:start w:val="1"/>
      <w:numFmt w:val="bullet"/>
      <w:pStyle w:val="dotpoint"/>
      <w:lvlText w:val="•"/>
      <w:lvlJc w:val="left"/>
      <w:pPr>
        <w:tabs>
          <w:tab w:val="num" w:pos="1247"/>
        </w:tabs>
        <w:ind w:left="1247" w:hanging="283"/>
      </w:pPr>
      <w:rPr>
        <w:rFonts w:ascii="Times New Roman" w:hAnsi="Times New Roman" w:cs="Times New Roman" w:hint="default"/>
        <w:color w:val="000000" w:themeColor="text1"/>
      </w:rPr>
    </w:lvl>
    <w:lvl w:ilvl="1">
      <w:start w:val="1"/>
      <w:numFmt w:val="bullet"/>
      <w:pStyle w:val="dotpoint2"/>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13">
    <w:nsid w:val="47B653BA"/>
    <w:multiLevelType w:val="multilevel"/>
    <w:tmpl w:val="2E562912"/>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197828"/>
    <w:multiLevelType w:val="hybridMultilevel"/>
    <w:tmpl w:val="E5E62A9A"/>
    <w:lvl w:ilvl="0" w:tplc="F3443390">
      <w:start w:val="1"/>
      <w:numFmt w:val="bullet"/>
      <w:pStyle w:val="Style4"/>
      <w:lvlText w:val=""/>
      <w:lvlJc w:val="left"/>
      <w:pPr>
        <w:ind w:left="720" w:hanging="360"/>
      </w:pPr>
      <w:rPr>
        <w:rFonts w:ascii="Symbol" w:hAnsi="Symbol" w:hint="default"/>
      </w:rPr>
    </w:lvl>
    <w:lvl w:ilvl="1" w:tplc="7410F516" w:tentative="1">
      <w:start w:val="1"/>
      <w:numFmt w:val="bullet"/>
      <w:lvlText w:val="o"/>
      <w:lvlJc w:val="left"/>
      <w:pPr>
        <w:ind w:left="1440" w:hanging="360"/>
      </w:pPr>
      <w:rPr>
        <w:rFonts w:ascii="Courier New" w:hAnsi="Courier New" w:cs="Courier New" w:hint="default"/>
      </w:rPr>
    </w:lvl>
    <w:lvl w:ilvl="2" w:tplc="D994B8D6" w:tentative="1">
      <w:start w:val="1"/>
      <w:numFmt w:val="bullet"/>
      <w:lvlText w:val=""/>
      <w:lvlJc w:val="left"/>
      <w:pPr>
        <w:ind w:left="2160" w:hanging="360"/>
      </w:pPr>
      <w:rPr>
        <w:rFonts w:ascii="Wingdings" w:hAnsi="Wingdings" w:hint="default"/>
      </w:rPr>
    </w:lvl>
    <w:lvl w:ilvl="3" w:tplc="7D247444" w:tentative="1">
      <w:start w:val="1"/>
      <w:numFmt w:val="bullet"/>
      <w:lvlText w:val=""/>
      <w:lvlJc w:val="left"/>
      <w:pPr>
        <w:ind w:left="2880" w:hanging="360"/>
      </w:pPr>
      <w:rPr>
        <w:rFonts w:ascii="Symbol" w:hAnsi="Symbol" w:hint="default"/>
      </w:rPr>
    </w:lvl>
    <w:lvl w:ilvl="4" w:tplc="B1929E84" w:tentative="1">
      <w:start w:val="1"/>
      <w:numFmt w:val="bullet"/>
      <w:lvlText w:val="o"/>
      <w:lvlJc w:val="left"/>
      <w:pPr>
        <w:ind w:left="3600" w:hanging="360"/>
      </w:pPr>
      <w:rPr>
        <w:rFonts w:ascii="Courier New" w:hAnsi="Courier New" w:cs="Courier New" w:hint="default"/>
      </w:rPr>
    </w:lvl>
    <w:lvl w:ilvl="5" w:tplc="A9EE947E" w:tentative="1">
      <w:start w:val="1"/>
      <w:numFmt w:val="bullet"/>
      <w:lvlText w:val=""/>
      <w:lvlJc w:val="left"/>
      <w:pPr>
        <w:ind w:left="4320" w:hanging="360"/>
      </w:pPr>
      <w:rPr>
        <w:rFonts w:ascii="Wingdings" w:hAnsi="Wingdings" w:hint="default"/>
      </w:rPr>
    </w:lvl>
    <w:lvl w:ilvl="6" w:tplc="3E76BAB4" w:tentative="1">
      <w:start w:val="1"/>
      <w:numFmt w:val="bullet"/>
      <w:lvlText w:val=""/>
      <w:lvlJc w:val="left"/>
      <w:pPr>
        <w:ind w:left="5040" w:hanging="360"/>
      </w:pPr>
      <w:rPr>
        <w:rFonts w:ascii="Symbol" w:hAnsi="Symbol" w:hint="default"/>
      </w:rPr>
    </w:lvl>
    <w:lvl w:ilvl="7" w:tplc="0D0017D8" w:tentative="1">
      <w:start w:val="1"/>
      <w:numFmt w:val="bullet"/>
      <w:lvlText w:val="o"/>
      <w:lvlJc w:val="left"/>
      <w:pPr>
        <w:ind w:left="5760" w:hanging="360"/>
      </w:pPr>
      <w:rPr>
        <w:rFonts w:ascii="Courier New" w:hAnsi="Courier New" w:cs="Courier New" w:hint="default"/>
      </w:rPr>
    </w:lvl>
    <w:lvl w:ilvl="8" w:tplc="FF085E6E" w:tentative="1">
      <w:start w:val="1"/>
      <w:numFmt w:val="bullet"/>
      <w:lvlText w:val=""/>
      <w:lvlJc w:val="left"/>
      <w:pPr>
        <w:ind w:left="6480" w:hanging="360"/>
      </w:pPr>
      <w:rPr>
        <w:rFonts w:ascii="Wingdings" w:hAnsi="Wingdings" w:hint="default"/>
      </w:rPr>
    </w:lvl>
  </w:abstractNum>
  <w:abstractNum w:abstractNumId="15">
    <w:nsid w:val="58E168F1"/>
    <w:multiLevelType w:val="hybridMultilevel"/>
    <w:tmpl w:val="701A0698"/>
    <w:name w:val="StandardBulletedList"/>
    <w:lvl w:ilvl="0" w:tplc="6BEA7C0A">
      <w:start w:val="39"/>
      <w:numFmt w:val="bullet"/>
      <w:lvlText w:val="-"/>
      <w:lvlJc w:val="left"/>
      <w:pPr>
        <w:ind w:left="720" w:hanging="360"/>
      </w:pPr>
      <w:rPr>
        <w:rFonts w:ascii="Calibri" w:eastAsia="Times New Roman" w:hAnsi="Calibri" w:cs="Times New Roman" w:hint="default"/>
      </w:rPr>
    </w:lvl>
    <w:lvl w:ilvl="1" w:tplc="EA72D1CE">
      <w:start w:val="1"/>
      <w:numFmt w:val="bullet"/>
      <w:lvlText w:val="o"/>
      <w:lvlJc w:val="left"/>
      <w:pPr>
        <w:ind w:left="1440" w:hanging="360"/>
      </w:pPr>
      <w:rPr>
        <w:rFonts w:ascii="Courier New" w:hAnsi="Courier New" w:cs="Courier New" w:hint="default"/>
      </w:rPr>
    </w:lvl>
    <w:lvl w:ilvl="2" w:tplc="6986BCD0" w:tentative="1">
      <w:start w:val="1"/>
      <w:numFmt w:val="bullet"/>
      <w:lvlText w:val=""/>
      <w:lvlJc w:val="left"/>
      <w:pPr>
        <w:ind w:left="2160" w:hanging="360"/>
      </w:pPr>
      <w:rPr>
        <w:rFonts w:ascii="Wingdings" w:hAnsi="Wingdings" w:hint="default"/>
      </w:rPr>
    </w:lvl>
    <w:lvl w:ilvl="3" w:tplc="19AEAA92" w:tentative="1">
      <w:start w:val="1"/>
      <w:numFmt w:val="bullet"/>
      <w:lvlText w:val=""/>
      <w:lvlJc w:val="left"/>
      <w:pPr>
        <w:ind w:left="2880" w:hanging="360"/>
      </w:pPr>
      <w:rPr>
        <w:rFonts w:ascii="Symbol" w:hAnsi="Symbol" w:hint="default"/>
      </w:rPr>
    </w:lvl>
    <w:lvl w:ilvl="4" w:tplc="4EFC6E12" w:tentative="1">
      <w:start w:val="1"/>
      <w:numFmt w:val="bullet"/>
      <w:lvlText w:val="o"/>
      <w:lvlJc w:val="left"/>
      <w:pPr>
        <w:ind w:left="3600" w:hanging="360"/>
      </w:pPr>
      <w:rPr>
        <w:rFonts w:ascii="Courier New" w:hAnsi="Courier New" w:cs="Courier New" w:hint="default"/>
      </w:rPr>
    </w:lvl>
    <w:lvl w:ilvl="5" w:tplc="2C841D5C" w:tentative="1">
      <w:start w:val="1"/>
      <w:numFmt w:val="bullet"/>
      <w:lvlText w:val=""/>
      <w:lvlJc w:val="left"/>
      <w:pPr>
        <w:ind w:left="4320" w:hanging="360"/>
      </w:pPr>
      <w:rPr>
        <w:rFonts w:ascii="Wingdings" w:hAnsi="Wingdings" w:hint="default"/>
      </w:rPr>
    </w:lvl>
    <w:lvl w:ilvl="6" w:tplc="C9848986" w:tentative="1">
      <w:start w:val="1"/>
      <w:numFmt w:val="bullet"/>
      <w:lvlText w:val=""/>
      <w:lvlJc w:val="left"/>
      <w:pPr>
        <w:ind w:left="5040" w:hanging="360"/>
      </w:pPr>
      <w:rPr>
        <w:rFonts w:ascii="Symbol" w:hAnsi="Symbol" w:hint="default"/>
      </w:rPr>
    </w:lvl>
    <w:lvl w:ilvl="7" w:tplc="855EFE00" w:tentative="1">
      <w:start w:val="1"/>
      <w:numFmt w:val="bullet"/>
      <w:lvlText w:val="o"/>
      <w:lvlJc w:val="left"/>
      <w:pPr>
        <w:ind w:left="5760" w:hanging="360"/>
      </w:pPr>
      <w:rPr>
        <w:rFonts w:ascii="Courier New" w:hAnsi="Courier New" w:cs="Courier New" w:hint="default"/>
      </w:rPr>
    </w:lvl>
    <w:lvl w:ilvl="8" w:tplc="00E24FA4" w:tentative="1">
      <w:start w:val="1"/>
      <w:numFmt w:val="bullet"/>
      <w:lvlText w:val=""/>
      <w:lvlJc w:val="left"/>
      <w:pPr>
        <w:ind w:left="6480" w:hanging="360"/>
      </w:pPr>
      <w:rPr>
        <w:rFonts w:ascii="Wingdings" w:hAnsi="Wingdings" w:hint="default"/>
      </w:rPr>
    </w:lvl>
  </w:abstractNum>
  <w:abstractNum w:abstractNumId="16">
    <w:nsid w:val="5A0B2259"/>
    <w:multiLevelType w:val="multilevel"/>
    <w:tmpl w:val="BBD0A34A"/>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17">
    <w:nsid w:val="5B2A1961"/>
    <w:multiLevelType w:val="multilevel"/>
    <w:tmpl w:val="84680B3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18">
    <w:nsid w:val="60112C6D"/>
    <w:multiLevelType w:val="multilevel"/>
    <w:tmpl w:val="01BAA67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19">
    <w:nsid w:val="63673507"/>
    <w:multiLevelType w:val="hybridMultilevel"/>
    <w:tmpl w:val="224404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510289C"/>
    <w:multiLevelType w:val="hybridMultilevel"/>
    <w:tmpl w:val="86C0DF90"/>
    <w:lvl w:ilvl="0" w:tplc="EB9C4FEA">
      <w:start w:val="1"/>
      <w:numFmt w:val="decimal"/>
      <w:lvlText w:val="%1."/>
      <w:lvlJc w:val="left"/>
      <w:pPr>
        <w:ind w:left="720" w:hanging="360"/>
      </w:pPr>
      <w:rPr>
        <w:rFonts w:hint="default"/>
      </w:rPr>
    </w:lvl>
    <w:lvl w:ilvl="1" w:tplc="2F2AE1E8">
      <w:start w:val="1"/>
      <w:numFmt w:val="lowerLetter"/>
      <w:lvlText w:val="%2."/>
      <w:lvlJc w:val="left"/>
      <w:pPr>
        <w:ind w:left="1440" w:hanging="360"/>
      </w:pPr>
    </w:lvl>
    <w:lvl w:ilvl="2" w:tplc="34BEEE48">
      <w:start w:val="1"/>
      <w:numFmt w:val="lowerRoman"/>
      <w:lvlText w:val="%3."/>
      <w:lvlJc w:val="right"/>
      <w:pPr>
        <w:ind w:left="2160" w:hanging="180"/>
      </w:pPr>
    </w:lvl>
    <w:lvl w:ilvl="3" w:tplc="C254A59A" w:tentative="1">
      <w:start w:val="1"/>
      <w:numFmt w:val="decimal"/>
      <w:lvlText w:val="%4."/>
      <w:lvlJc w:val="left"/>
      <w:pPr>
        <w:ind w:left="2880" w:hanging="360"/>
      </w:pPr>
    </w:lvl>
    <w:lvl w:ilvl="4" w:tplc="A170AE4C" w:tentative="1">
      <w:start w:val="1"/>
      <w:numFmt w:val="lowerLetter"/>
      <w:lvlText w:val="%5."/>
      <w:lvlJc w:val="left"/>
      <w:pPr>
        <w:ind w:left="3600" w:hanging="360"/>
      </w:pPr>
    </w:lvl>
    <w:lvl w:ilvl="5" w:tplc="2C4E19B0" w:tentative="1">
      <w:start w:val="1"/>
      <w:numFmt w:val="lowerRoman"/>
      <w:lvlText w:val="%6."/>
      <w:lvlJc w:val="right"/>
      <w:pPr>
        <w:ind w:left="4320" w:hanging="180"/>
      </w:pPr>
    </w:lvl>
    <w:lvl w:ilvl="6" w:tplc="BE1843B2" w:tentative="1">
      <w:start w:val="1"/>
      <w:numFmt w:val="decimal"/>
      <w:lvlText w:val="%7."/>
      <w:lvlJc w:val="left"/>
      <w:pPr>
        <w:ind w:left="5040" w:hanging="360"/>
      </w:pPr>
    </w:lvl>
    <w:lvl w:ilvl="7" w:tplc="6346D8D4" w:tentative="1">
      <w:start w:val="1"/>
      <w:numFmt w:val="lowerLetter"/>
      <w:lvlText w:val="%8."/>
      <w:lvlJc w:val="left"/>
      <w:pPr>
        <w:ind w:left="5760" w:hanging="360"/>
      </w:pPr>
    </w:lvl>
    <w:lvl w:ilvl="8" w:tplc="D1B814CC" w:tentative="1">
      <w:start w:val="1"/>
      <w:numFmt w:val="lowerRoman"/>
      <w:lvlText w:val="%9."/>
      <w:lvlJc w:val="right"/>
      <w:pPr>
        <w:ind w:left="6480" w:hanging="180"/>
      </w:pPr>
    </w:lvl>
  </w:abstractNum>
  <w:abstractNum w:abstractNumId="21">
    <w:nsid w:val="79B90E11"/>
    <w:multiLevelType w:val="multilevel"/>
    <w:tmpl w:val="84680B3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2">
    <w:nsid w:val="7EC23B8A"/>
    <w:multiLevelType w:val="multilevel"/>
    <w:tmpl w:val="BBD0A34A"/>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num w:numId="1">
    <w:abstractNumId w:val="13"/>
  </w:num>
  <w:num w:numId="2">
    <w:abstractNumId w:val="14"/>
  </w:num>
  <w:num w:numId="3">
    <w:abstractNumId w:val="4"/>
  </w:num>
  <w:num w:numId="4">
    <w:abstractNumId w:val="10"/>
  </w:num>
  <w:num w:numId="5">
    <w:abstractNumId w:val="0"/>
  </w:num>
  <w:num w:numId="6">
    <w:abstractNumId w:val="20"/>
  </w:num>
  <w:num w:numId="7">
    <w:abstractNumId w:val="5"/>
  </w:num>
  <w:num w:numId="8">
    <w:abstractNumId w:val="15"/>
  </w:num>
  <w:num w:numId="9">
    <w:abstractNumId w:val="1"/>
  </w:num>
  <w:num w:numId="10">
    <w:abstractNumId w:val="9"/>
  </w:num>
  <w:num w:numId="11">
    <w:abstractNumId w:val="3"/>
  </w:num>
  <w:num w:numId="12">
    <w:abstractNumId w:val="7"/>
  </w:num>
  <w:num w:numId="13">
    <w:abstractNumId w:val="8"/>
  </w:num>
  <w:num w:numId="14">
    <w:abstractNumId w:val="12"/>
  </w:num>
  <w:num w:numId="15">
    <w:abstractNumId w:val="16"/>
  </w:num>
  <w:num w:numId="16">
    <w:abstractNumId w:val="22"/>
  </w:num>
  <w:num w:numId="17">
    <w:abstractNumId w:val="18"/>
  </w:num>
  <w:num w:numId="18">
    <w:abstractNumId w:val="21"/>
  </w:num>
  <w:num w:numId="19">
    <w:abstractNumId w:val="12"/>
  </w:num>
  <w:num w:numId="20">
    <w:abstractNumId w:val="17"/>
  </w:num>
  <w:num w:numId="21">
    <w:abstractNumId w:val="6"/>
  </w:num>
  <w:num w:numId="22">
    <w:abstractNumId w:val="2"/>
  </w:num>
  <w:num w:numId="23">
    <w:abstractNumId w:val="11"/>
  </w:num>
  <w:num w:numId="24">
    <w:abstractNumId w:val="19"/>
  </w:num>
  <w:num w:numId="25">
    <w:abstractNumId w:val="4"/>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077DC"/>
    <w:rsid w:val="00010BCC"/>
    <w:rsid w:val="000200BD"/>
    <w:rsid w:val="00082BC5"/>
    <w:rsid w:val="000A6EC2"/>
    <w:rsid w:val="000C57D3"/>
    <w:rsid w:val="000E111C"/>
    <w:rsid w:val="00106068"/>
    <w:rsid w:val="00124531"/>
    <w:rsid w:val="00125A9D"/>
    <w:rsid w:val="00170146"/>
    <w:rsid w:val="001C67DE"/>
    <w:rsid w:val="00220E14"/>
    <w:rsid w:val="00253019"/>
    <w:rsid w:val="00266B4B"/>
    <w:rsid w:val="00296140"/>
    <w:rsid w:val="002A3507"/>
    <w:rsid w:val="002A45C6"/>
    <w:rsid w:val="0034269A"/>
    <w:rsid w:val="00387433"/>
    <w:rsid w:val="003931A9"/>
    <w:rsid w:val="003A1962"/>
    <w:rsid w:val="003D4694"/>
    <w:rsid w:val="003F38BC"/>
    <w:rsid w:val="0041593B"/>
    <w:rsid w:val="00470CF0"/>
    <w:rsid w:val="0049570B"/>
    <w:rsid w:val="004B020B"/>
    <w:rsid w:val="004B3DB4"/>
    <w:rsid w:val="004B512D"/>
    <w:rsid w:val="004C251E"/>
    <w:rsid w:val="004C59BA"/>
    <w:rsid w:val="004F62AF"/>
    <w:rsid w:val="00501A69"/>
    <w:rsid w:val="00516437"/>
    <w:rsid w:val="00533447"/>
    <w:rsid w:val="00537F3D"/>
    <w:rsid w:val="0056784D"/>
    <w:rsid w:val="005837AC"/>
    <w:rsid w:val="005A300B"/>
    <w:rsid w:val="005D27A7"/>
    <w:rsid w:val="005F7BE2"/>
    <w:rsid w:val="00604E63"/>
    <w:rsid w:val="006152A8"/>
    <w:rsid w:val="00616D66"/>
    <w:rsid w:val="006B16C1"/>
    <w:rsid w:val="006B1E24"/>
    <w:rsid w:val="00715940"/>
    <w:rsid w:val="00722A4D"/>
    <w:rsid w:val="00726CA5"/>
    <w:rsid w:val="00776288"/>
    <w:rsid w:val="007A6467"/>
    <w:rsid w:val="007E24EF"/>
    <w:rsid w:val="007E542E"/>
    <w:rsid w:val="007E6E65"/>
    <w:rsid w:val="00831943"/>
    <w:rsid w:val="00837ACD"/>
    <w:rsid w:val="00877588"/>
    <w:rsid w:val="008869E0"/>
    <w:rsid w:val="008D647B"/>
    <w:rsid w:val="00906346"/>
    <w:rsid w:val="009077DC"/>
    <w:rsid w:val="0091490F"/>
    <w:rsid w:val="0094132F"/>
    <w:rsid w:val="00953F04"/>
    <w:rsid w:val="00960D7B"/>
    <w:rsid w:val="009A4210"/>
    <w:rsid w:val="009A4857"/>
    <w:rsid w:val="009C1B33"/>
    <w:rsid w:val="009D0AAC"/>
    <w:rsid w:val="00A17C21"/>
    <w:rsid w:val="00A25048"/>
    <w:rsid w:val="00A413DD"/>
    <w:rsid w:val="00A619E6"/>
    <w:rsid w:val="00A67CA2"/>
    <w:rsid w:val="00A86462"/>
    <w:rsid w:val="00AA2C06"/>
    <w:rsid w:val="00AF7B69"/>
    <w:rsid w:val="00B00F15"/>
    <w:rsid w:val="00B16C5D"/>
    <w:rsid w:val="00B52F4C"/>
    <w:rsid w:val="00B574A4"/>
    <w:rsid w:val="00C46CC7"/>
    <w:rsid w:val="00CC4B6D"/>
    <w:rsid w:val="00CD1CAA"/>
    <w:rsid w:val="00CF3B63"/>
    <w:rsid w:val="00D32455"/>
    <w:rsid w:val="00D5737E"/>
    <w:rsid w:val="00D92F53"/>
    <w:rsid w:val="00D95986"/>
    <w:rsid w:val="00DB1F9B"/>
    <w:rsid w:val="00DE73CF"/>
    <w:rsid w:val="00DF67DC"/>
    <w:rsid w:val="00E012C8"/>
    <w:rsid w:val="00E32894"/>
    <w:rsid w:val="00E427A8"/>
    <w:rsid w:val="00E52B76"/>
    <w:rsid w:val="00E60CEA"/>
    <w:rsid w:val="00E81331"/>
    <w:rsid w:val="00E95D33"/>
    <w:rsid w:val="00E9666A"/>
    <w:rsid w:val="00EB01E7"/>
    <w:rsid w:val="00EB18BB"/>
    <w:rsid w:val="00EC341A"/>
    <w:rsid w:val="00EE0C2A"/>
    <w:rsid w:val="00EF11D5"/>
    <w:rsid w:val="00F5483A"/>
    <w:rsid w:val="00F56C0D"/>
    <w:rsid w:val="00FE419B"/>
    <w:rsid w:val="00FF50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DC"/>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semiHidden/>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semiHidden/>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5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uiPriority w:val="99"/>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basedOn w:val="Normal"/>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uiPriority w:val="99"/>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uiPriority w:val="99"/>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uiPriority w:val="99"/>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uiPriority w:val="99"/>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uiPriority w:val="99"/>
    <w:semiHidden/>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uiPriority w:val="99"/>
    <w:semiHidden/>
    <w:rsid w:val="009077DC"/>
    <w:pPr>
      <w:numPr>
        <w:ilvl w:val="5"/>
      </w:numPr>
    </w:pPr>
  </w:style>
  <w:style w:type="paragraph" w:customStyle="1" w:styleId="NumberLevel7">
    <w:name w:val="Number Level 7"/>
    <w:basedOn w:val="NumberLevel6"/>
    <w:uiPriority w:val="99"/>
    <w:semiHidden/>
    <w:rsid w:val="009077DC"/>
    <w:pPr>
      <w:numPr>
        <w:ilvl w:val="6"/>
      </w:numPr>
    </w:pPr>
  </w:style>
  <w:style w:type="paragraph" w:customStyle="1" w:styleId="NumberLevel8">
    <w:name w:val="Number Level 8"/>
    <w:basedOn w:val="NumberLevel7"/>
    <w:uiPriority w:val="99"/>
    <w:semiHidden/>
    <w:rsid w:val="009077DC"/>
    <w:pPr>
      <w:numPr>
        <w:ilvl w:val="7"/>
      </w:numPr>
    </w:pPr>
  </w:style>
  <w:style w:type="paragraph" w:customStyle="1" w:styleId="NumberLevel9">
    <w:name w:val="Number Level 9"/>
    <w:basedOn w:val="NumberLevel8"/>
    <w:uiPriority w:val="99"/>
    <w:semiHidden/>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uiPriority w:val="99"/>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hAnsi="Times New Roman" w:cs="Times New Roman"/>
      <w:sz w:val="24"/>
      <w:szCs w:val="24"/>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hAnsi="Times New Roman" w:cs="Times New Roman"/>
      <w:sz w:val="24"/>
      <w:szCs w:val="24"/>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hAnsi="Times New Roman" w:cs="Times New Roman"/>
      <w:sz w:val="24"/>
      <w:szCs w:val="24"/>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semiHidden/>
    <w:rsid w:val="009077DC"/>
    <w:rPr>
      <w:b/>
      <w:bCs/>
    </w:rPr>
  </w:style>
  <w:style w:type="paragraph" w:styleId="FootnoteText">
    <w:name w:val="footnote text"/>
    <w:basedOn w:val="Normal"/>
    <w:link w:val="FootnoteTextChar"/>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14"/>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14"/>
      </w:numPr>
      <w:autoSpaceDE/>
      <w:autoSpaceDN/>
      <w:adjustRightInd/>
      <w:spacing w:before="120" w:after="120"/>
    </w:pPr>
    <w:rPr>
      <w:sz w:val="22"/>
      <w:szCs w:val="20"/>
    </w:rPr>
  </w:style>
  <w:style w:type="numbering" w:customStyle="1" w:styleId="DotPointList">
    <w:name w:val="Dot Point List"/>
    <w:uiPriority w:val="99"/>
    <w:rsid w:val="009C1B33"/>
    <w:pPr>
      <w:numPr>
        <w:numId w:val="14"/>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 w:type="paragraph" w:customStyle="1" w:styleId="bullet0">
    <w:name w:val="bullet"/>
    <w:basedOn w:val="Normal"/>
    <w:rsid w:val="00FF50AC"/>
    <w:pPr>
      <w:widowControl/>
      <w:autoSpaceDE/>
      <w:autoSpaceDN/>
      <w:adjustRightInd/>
      <w:spacing w:before="100" w:beforeAutospacing="1" w:after="100" w:afterAutospacing="1"/>
    </w:pPr>
  </w:style>
  <w:style w:type="paragraph" w:customStyle="1" w:styleId="Quotation3">
    <w:name w:val="Quotation 3"/>
    <w:basedOn w:val="PlainParagraph"/>
    <w:uiPriority w:val="99"/>
    <w:semiHidden/>
    <w:rsid w:val="005837AC"/>
    <w:pPr>
      <w:spacing w:before="0" w:line="260" w:lineRule="atLeast"/>
      <w:ind w:left="1440" w:hanging="360"/>
    </w:pPr>
    <w:rPr>
      <w:sz w:val="20"/>
      <w:szCs w:val="20"/>
    </w:rPr>
  </w:style>
</w:styles>
</file>

<file path=word/webSettings.xml><?xml version="1.0" encoding="utf-8"?>
<w:webSettings xmlns:r="http://schemas.openxmlformats.org/officeDocument/2006/relationships" xmlns:w="http://schemas.openxmlformats.org/wordprocessingml/2006/main">
  <w:divs>
    <w:div w:id="173109833">
      <w:bodyDiv w:val="1"/>
      <w:marLeft w:val="0"/>
      <w:marRight w:val="0"/>
      <w:marTop w:val="0"/>
      <w:marBottom w:val="0"/>
      <w:divBdr>
        <w:top w:val="none" w:sz="0" w:space="0" w:color="auto"/>
        <w:left w:val="none" w:sz="0" w:space="0" w:color="auto"/>
        <w:bottom w:val="none" w:sz="0" w:space="0" w:color="auto"/>
        <w:right w:val="none" w:sz="0" w:space="0" w:color="auto"/>
      </w:divBdr>
      <w:divsChild>
        <w:div w:id="64576642">
          <w:marLeft w:val="0"/>
          <w:marRight w:val="0"/>
          <w:marTop w:val="0"/>
          <w:marBottom w:val="0"/>
          <w:divBdr>
            <w:top w:val="none" w:sz="0" w:space="0" w:color="auto"/>
            <w:left w:val="none" w:sz="0" w:space="0" w:color="auto"/>
            <w:bottom w:val="none" w:sz="0" w:space="0" w:color="auto"/>
            <w:right w:val="none" w:sz="0" w:space="0" w:color="auto"/>
          </w:divBdr>
          <w:divsChild>
            <w:div w:id="271014935">
              <w:marLeft w:val="0"/>
              <w:marRight w:val="0"/>
              <w:marTop w:val="0"/>
              <w:marBottom w:val="0"/>
              <w:divBdr>
                <w:top w:val="none" w:sz="0" w:space="0" w:color="auto"/>
                <w:left w:val="none" w:sz="0" w:space="0" w:color="auto"/>
                <w:bottom w:val="none" w:sz="0" w:space="0" w:color="auto"/>
                <w:right w:val="none" w:sz="0" w:space="0" w:color="auto"/>
              </w:divBdr>
              <w:divsChild>
                <w:div w:id="1481923671">
                  <w:marLeft w:val="0"/>
                  <w:marRight w:val="0"/>
                  <w:marTop w:val="0"/>
                  <w:marBottom w:val="0"/>
                  <w:divBdr>
                    <w:top w:val="none" w:sz="0" w:space="0" w:color="auto"/>
                    <w:left w:val="none" w:sz="0" w:space="0" w:color="auto"/>
                    <w:bottom w:val="none" w:sz="0" w:space="0" w:color="auto"/>
                    <w:right w:val="none" w:sz="0" w:space="0" w:color="auto"/>
                  </w:divBdr>
                  <w:divsChild>
                    <w:div w:id="1591620724">
                      <w:marLeft w:val="0"/>
                      <w:marRight w:val="0"/>
                      <w:marTop w:val="0"/>
                      <w:marBottom w:val="0"/>
                      <w:divBdr>
                        <w:top w:val="none" w:sz="0" w:space="0" w:color="auto"/>
                        <w:left w:val="none" w:sz="0" w:space="0" w:color="auto"/>
                        <w:bottom w:val="none" w:sz="0" w:space="0" w:color="auto"/>
                        <w:right w:val="none" w:sz="0" w:space="0" w:color="auto"/>
                      </w:divBdr>
                      <w:divsChild>
                        <w:div w:id="468013388">
                          <w:marLeft w:val="0"/>
                          <w:marRight w:val="0"/>
                          <w:marTop w:val="0"/>
                          <w:marBottom w:val="0"/>
                          <w:divBdr>
                            <w:top w:val="single" w:sz="6" w:space="0" w:color="828282"/>
                            <w:left w:val="single" w:sz="6" w:space="0" w:color="828282"/>
                            <w:bottom w:val="single" w:sz="6" w:space="0" w:color="828282"/>
                            <w:right w:val="single" w:sz="6" w:space="0" w:color="828282"/>
                          </w:divBdr>
                          <w:divsChild>
                            <w:div w:id="474756621">
                              <w:marLeft w:val="0"/>
                              <w:marRight w:val="0"/>
                              <w:marTop w:val="0"/>
                              <w:marBottom w:val="0"/>
                              <w:divBdr>
                                <w:top w:val="none" w:sz="0" w:space="0" w:color="auto"/>
                                <w:left w:val="none" w:sz="0" w:space="0" w:color="auto"/>
                                <w:bottom w:val="none" w:sz="0" w:space="0" w:color="auto"/>
                                <w:right w:val="none" w:sz="0" w:space="0" w:color="auto"/>
                              </w:divBdr>
                              <w:divsChild>
                                <w:div w:id="2080013938">
                                  <w:marLeft w:val="0"/>
                                  <w:marRight w:val="0"/>
                                  <w:marTop w:val="0"/>
                                  <w:marBottom w:val="0"/>
                                  <w:divBdr>
                                    <w:top w:val="none" w:sz="0" w:space="0" w:color="auto"/>
                                    <w:left w:val="none" w:sz="0" w:space="0" w:color="auto"/>
                                    <w:bottom w:val="none" w:sz="0" w:space="0" w:color="auto"/>
                                    <w:right w:val="none" w:sz="0" w:space="0" w:color="auto"/>
                                  </w:divBdr>
                                  <w:divsChild>
                                    <w:div w:id="885795806">
                                      <w:marLeft w:val="0"/>
                                      <w:marRight w:val="0"/>
                                      <w:marTop w:val="0"/>
                                      <w:marBottom w:val="0"/>
                                      <w:divBdr>
                                        <w:top w:val="none" w:sz="0" w:space="0" w:color="auto"/>
                                        <w:left w:val="none" w:sz="0" w:space="0" w:color="auto"/>
                                        <w:bottom w:val="none" w:sz="0" w:space="0" w:color="auto"/>
                                        <w:right w:val="none" w:sz="0" w:space="0" w:color="auto"/>
                                      </w:divBdr>
                                      <w:divsChild>
                                        <w:div w:id="1517964278">
                                          <w:marLeft w:val="0"/>
                                          <w:marRight w:val="0"/>
                                          <w:marTop w:val="0"/>
                                          <w:marBottom w:val="0"/>
                                          <w:divBdr>
                                            <w:top w:val="none" w:sz="0" w:space="0" w:color="auto"/>
                                            <w:left w:val="none" w:sz="0" w:space="0" w:color="auto"/>
                                            <w:bottom w:val="none" w:sz="0" w:space="0" w:color="auto"/>
                                            <w:right w:val="none" w:sz="0" w:space="0" w:color="auto"/>
                                          </w:divBdr>
                                          <w:divsChild>
                                            <w:div w:id="1360666675">
                                              <w:marLeft w:val="0"/>
                                              <w:marRight w:val="0"/>
                                              <w:marTop w:val="0"/>
                                              <w:marBottom w:val="0"/>
                                              <w:divBdr>
                                                <w:top w:val="none" w:sz="0" w:space="0" w:color="auto"/>
                                                <w:left w:val="none" w:sz="0" w:space="0" w:color="auto"/>
                                                <w:bottom w:val="none" w:sz="0" w:space="0" w:color="auto"/>
                                                <w:right w:val="none" w:sz="0" w:space="0" w:color="auto"/>
                                              </w:divBdr>
                                              <w:divsChild>
                                                <w:div w:id="2993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141688">
      <w:bodyDiv w:val="1"/>
      <w:marLeft w:val="0"/>
      <w:marRight w:val="0"/>
      <w:marTop w:val="0"/>
      <w:marBottom w:val="0"/>
      <w:divBdr>
        <w:top w:val="none" w:sz="0" w:space="0" w:color="auto"/>
        <w:left w:val="none" w:sz="0" w:space="0" w:color="auto"/>
        <w:bottom w:val="none" w:sz="0" w:space="0" w:color="auto"/>
        <w:right w:val="none" w:sz="0" w:space="0" w:color="auto"/>
      </w:divBdr>
    </w:div>
    <w:div w:id="16386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imatechang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9320</Characters>
  <Application>Microsoft Office Word</Application>
  <DocSecurity>0</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Lukeman</dc:creator>
  <cp:lastModifiedBy>hilhma</cp:lastModifiedBy>
  <cp:revision>2</cp:revision>
  <cp:lastPrinted>2012-06-18T22:57:00Z</cp:lastPrinted>
  <dcterms:created xsi:type="dcterms:W3CDTF">2012-06-26T04:11:00Z</dcterms:created>
  <dcterms:modified xsi:type="dcterms:W3CDTF">2012-06-26T04:11:00Z</dcterms:modified>
</cp:coreProperties>
</file>