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1A" w:rsidRDefault="003D361A" w:rsidP="003D361A">
      <w:pPr>
        <w:pStyle w:val="Paragraph"/>
        <w:spacing w:before="0" w:after="0"/>
        <w:jc w:val="center"/>
        <w:rPr>
          <w:b/>
          <w:u w:val="single"/>
        </w:rPr>
      </w:pPr>
      <w:r w:rsidRPr="005D4E1E">
        <w:rPr>
          <w:b/>
          <w:u w:val="single"/>
        </w:rPr>
        <w:t>EXPLANATORY STATEMENT</w:t>
      </w:r>
    </w:p>
    <w:p w:rsidR="003D361A" w:rsidRDefault="003D361A" w:rsidP="003D361A">
      <w:pPr>
        <w:pStyle w:val="Paragraph"/>
        <w:spacing w:before="0" w:after="0"/>
        <w:jc w:val="center"/>
        <w:rPr>
          <w:b/>
          <w:u w:val="single"/>
        </w:rPr>
      </w:pPr>
    </w:p>
    <w:p w:rsidR="0033668D" w:rsidRDefault="00347062" w:rsidP="003D361A">
      <w:pPr>
        <w:pStyle w:val="Paragraph"/>
        <w:spacing w:before="0" w:after="0"/>
        <w:jc w:val="center"/>
        <w:rPr>
          <w:b/>
          <w:u w:val="single"/>
        </w:rPr>
      </w:pPr>
      <w:r>
        <w:rPr>
          <w:b/>
          <w:u w:val="single"/>
        </w:rPr>
        <w:t>Select L</w:t>
      </w:r>
      <w:r w:rsidR="0033668D">
        <w:rPr>
          <w:b/>
          <w:u w:val="single"/>
        </w:rPr>
        <w:t>egislative Instrument 2012 No. 155</w:t>
      </w:r>
    </w:p>
    <w:p w:rsidR="0033668D" w:rsidRPr="005D4E1E" w:rsidRDefault="0033668D" w:rsidP="003D361A">
      <w:pPr>
        <w:pStyle w:val="Paragraph"/>
        <w:spacing w:before="0" w:after="0"/>
        <w:jc w:val="center"/>
        <w:rPr>
          <w:b/>
          <w:u w:val="single"/>
        </w:rPr>
      </w:pPr>
    </w:p>
    <w:p w:rsidR="003D361A" w:rsidRDefault="003D361A" w:rsidP="003D361A">
      <w:pPr>
        <w:pStyle w:val="Paragraph"/>
        <w:spacing w:before="0" w:after="0"/>
        <w:jc w:val="center"/>
      </w:pPr>
      <w:r>
        <w:t xml:space="preserve">Issued by the authority of the </w:t>
      </w:r>
      <w:r w:rsidR="00DC1D09" w:rsidRPr="00F1541F">
        <w:t xml:space="preserve">Minister for </w:t>
      </w:r>
      <w:r w:rsidR="00E528D5" w:rsidRPr="00F1541F">
        <w:t>Justice</w:t>
      </w:r>
    </w:p>
    <w:p w:rsidR="003D361A" w:rsidRDefault="003D361A" w:rsidP="003D361A">
      <w:pPr>
        <w:pStyle w:val="Paragraph"/>
        <w:spacing w:before="0" w:after="0"/>
        <w:jc w:val="center"/>
      </w:pPr>
    </w:p>
    <w:p w:rsidR="000D14F8" w:rsidRDefault="000D14F8" w:rsidP="003D361A">
      <w:pPr>
        <w:pStyle w:val="Paragraph"/>
        <w:spacing w:before="0" w:after="0"/>
        <w:jc w:val="center"/>
        <w:rPr>
          <w:i/>
        </w:rPr>
      </w:pPr>
      <w:r>
        <w:rPr>
          <w:i/>
        </w:rPr>
        <w:t>Australian Crime Commission Act 2002</w:t>
      </w:r>
    </w:p>
    <w:p w:rsidR="000D14F8" w:rsidRDefault="000D14F8" w:rsidP="003D361A">
      <w:pPr>
        <w:pStyle w:val="Paragraph"/>
        <w:spacing w:before="0" w:after="0"/>
        <w:jc w:val="center"/>
        <w:rPr>
          <w:i/>
        </w:rPr>
      </w:pPr>
    </w:p>
    <w:p w:rsidR="003D361A" w:rsidRPr="00AC2B20" w:rsidRDefault="0070770D" w:rsidP="003D361A">
      <w:pPr>
        <w:pStyle w:val="Paragraph"/>
        <w:spacing w:before="0" w:after="0"/>
        <w:jc w:val="center"/>
        <w:rPr>
          <w:i/>
        </w:rPr>
      </w:pPr>
      <w:r>
        <w:rPr>
          <w:i/>
        </w:rPr>
        <w:t xml:space="preserve">Australian Crime </w:t>
      </w:r>
      <w:r w:rsidR="0015638D">
        <w:rPr>
          <w:i/>
        </w:rPr>
        <w:t>Commission Amendment Regulation</w:t>
      </w:r>
      <w:r>
        <w:rPr>
          <w:i/>
        </w:rPr>
        <w:t xml:space="preserve"> 2012 (No. </w:t>
      </w:r>
      <w:r w:rsidR="0033668D">
        <w:rPr>
          <w:i/>
        </w:rPr>
        <w:t>1</w:t>
      </w:r>
      <w:r>
        <w:rPr>
          <w:i/>
        </w:rPr>
        <w:t>)</w:t>
      </w:r>
    </w:p>
    <w:p w:rsidR="003D361A" w:rsidRPr="00AC2B20" w:rsidRDefault="003D361A" w:rsidP="0070770D">
      <w:pPr>
        <w:pStyle w:val="Paragraph"/>
        <w:spacing w:before="0" w:after="0"/>
      </w:pPr>
    </w:p>
    <w:p w:rsidR="00535AC1" w:rsidRDefault="00535AC1" w:rsidP="00535AC1">
      <w:pPr>
        <w:pStyle w:val="Paragraph"/>
      </w:pPr>
      <w:r>
        <w:t xml:space="preserve">Under section 62 of the </w:t>
      </w:r>
      <w:r w:rsidRPr="000F7574">
        <w:rPr>
          <w:i/>
        </w:rPr>
        <w:t>Australian Crime Commission Act 2002</w:t>
      </w:r>
      <w:r>
        <w:rPr>
          <w:i/>
        </w:rPr>
        <w:t xml:space="preserve"> </w:t>
      </w:r>
      <w:r>
        <w:t xml:space="preserve">(the ACC Act), the </w:t>
      </w:r>
      <w:proofErr w:type="spellStart"/>
      <w:r>
        <w:t>Governor</w:t>
      </w:r>
      <w:r>
        <w:noBreakHyphen/>
        <w:t>General</w:t>
      </w:r>
      <w:proofErr w:type="spellEnd"/>
      <w:r>
        <w:t xml:space="preserve"> may make regulations </w:t>
      </w:r>
      <w:r w:rsidR="002358BB">
        <w:t xml:space="preserve">on matters </w:t>
      </w:r>
      <w:r>
        <w:t>required or permitted by that Act to be prescribed.</w:t>
      </w:r>
    </w:p>
    <w:p w:rsidR="00535AC1" w:rsidRDefault="00535AC1" w:rsidP="00535AC1">
      <w:pPr>
        <w:pStyle w:val="Paragraph"/>
      </w:pPr>
      <w:r>
        <w:t xml:space="preserve">The </w:t>
      </w:r>
      <w:r>
        <w:rPr>
          <w:i/>
          <w:iCs/>
        </w:rPr>
        <w:t>Crimes Legislation Amendment (Powers and Offences) Act 2012</w:t>
      </w:r>
      <w:r>
        <w:t xml:space="preserve"> (the Powers and Offences Act) received Royal Assent on 4 April 2012.  The Powers and Offences Act amends key Commonwealth law enforcement legislation to provide further tools to assist in the effective investigation and enforcement of Commonwealth laws.</w:t>
      </w:r>
    </w:p>
    <w:p w:rsidR="00535AC1" w:rsidRDefault="00535AC1" w:rsidP="00535AC1">
      <w:pPr>
        <w:pStyle w:val="Paragraph"/>
      </w:pPr>
      <w:r>
        <w:t xml:space="preserve">Part 2 of Schedule 2 to the Powers and Offences Act amends the ACC Act to clearly set out the Commonwealth, State, Territory and foreign and international bodies with which the ACC </w:t>
      </w:r>
      <w:r w:rsidR="00F22C97">
        <w:t>is</w:t>
      </w:r>
      <w:r>
        <w:t xml:space="preserve"> authorised to share information and the requirements that must be met</w:t>
      </w:r>
      <w:r w:rsidRPr="0079685B">
        <w:t>, including appropriateness and relevance to a ‘permissible pu</w:t>
      </w:r>
      <w:r>
        <w:t>rpose’ (as defined in the Act), before information can be shared.  It also provides a clear legislative basis for the ACC to share information with private sector bodies where certain specified requirements are met.  The Powers and Offences Act repealed a number of related provisions in the ACC Act to allo</w:t>
      </w:r>
      <w:r w:rsidR="000D14F8">
        <w:t>w for this enhanced information-</w:t>
      </w:r>
      <w:r>
        <w:t>sharing framework.</w:t>
      </w:r>
    </w:p>
    <w:p w:rsidR="00535AC1" w:rsidRDefault="00535AC1" w:rsidP="00535AC1">
      <w:pPr>
        <w:pStyle w:val="Paragraph"/>
      </w:pPr>
      <w:r>
        <w:t xml:space="preserve">The new section 59AA of the ACC Act outlines the government bodies with which the ACC </w:t>
      </w:r>
      <w:r w:rsidR="00F22C97">
        <w:t>is</w:t>
      </w:r>
      <w:r>
        <w:t xml:space="preserve"> authorised to share information.  This replaces subsections 59(7), (8), (9) and (11) of the ACC Act, which were repealed by the Powers and Offences Act.  Schedule 6 (regulation 9) </w:t>
      </w:r>
      <w:r w:rsidR="000D14F8">
        <w:t>to</w:t>
      </w:r>
      <w:r>
        <w:t xml:space="preserve"> the </w:t>
      </w:r>
      <w:r>
        <w:rPr>
          <w:i/>
          <w:iCs/>
        </w:rPr>
        <w:t>Australian Crime Commission Regulations 2002</w:t>
      </w:r>
      <w:r>
        <w:t xml:space="preserve"> </w:t>
      </w:r>
      <w:r w:rsidR="001619C4">
        <w:t xml:space="preserve">(the ACC Regulations) </w:t>
      </w:r>
      <w:r>
        <w:t>lists those bodies prescribed for the purposes of repealed subsection 59(7)</w:t>
      </w:r>
      <w:r>
        <w:rPr>
          <w:i/>
          <w:iCs/>
        </w:rPr>
        <w:t>.</w:t>
      </w:r>
    </w:p>
    <w:p w:rsidR="00535AC1" w:rsidRDefault="00535AC1" w:rsidP="00535AC1">
      <w:pPr>
        <w:pStyle w:val="Paragraph"/>
      </w:pPr>
      <w:r>
        <w:t xml:space="preserve">Prior to the </w:t>
      </w:r>
      <w:r w:rsidR="002358BB">
        <w:t>enactment</w:t>
      </w:r>
      <w:r>
        <w:t xml:space="preserve"> of the Powers and Offences Act, the ACC Act made no express provision for the dissemination of information outside government other than through </w:t>
      </w:r>
      <w:r w:rsidR="006C72FF">
        <w:t xml:space="preserve">public </w:t>
      </w:r>
      <w:r>
        <w:t xml:space="preserve">bulletins </w:t>
      </w:r>
      <w:r w:rsidR="006C72FF">
        <w:t>issued under section 60 of the ACC Act, or the ACC Annual Report.</w:t>
      </w:r>
      <w:r>
        <w:t xml:space="preserve">  The new section 59AB of the ACC Act sets out the circumstances in which the ACC is authorised to share information with the private sector, and provides for the prescription </w:t>
      </w:r>
      <w:r w:rsidR="002358BB">
        <w:t xml:space="preserve">by regulation </w:t>
      </w:r>
      <w:r>
        <w:t xml:space="preserve">of private sector bodies corporate, and classes of bodies corporate, </w:t>
      </w:r>
      <w:r w:rsidR="002358BB">
        <w:t>with which the ACC can share information</w:t>
      </w:r>
      <w:r>
        <w:t>.</w:t>
      </w:r>
    </w:p>
    <w:p w:rsidR="00535AC1" w:rsidRDefault="00535AC1" w:rsidP="00535AC1">
      <w:pPr>
        <w:pStyle w:val="Paragraph"/>
      </w:pPr>
      <w:bookmarkStart w:id="0" w:name="OLE_LINK3"/>
      <w:r>
        <w:t>The purpos</w:t>
      </w:r>
      <w:r w:rsidR="000D14F8">
        <w:t>e of the Regulation</w:t>
      </w:r>
      <w:r w:rsidRPr="001619C4">
        <w:t xml:space="preserve"> is to repeal Schedule 6 (regulation 9) </w:t>
      </w:r>
      <w:r w:rsidR="00442860">
        <w:t>of</w:t>
      </w:r>
      <w:r w:rsidRPr="001619C4">
        <w:t xml:space="preserve"> the </w:t>
      </w:r>
      <w:r w:rsidR="001619C4" w:rsidRPr="001619C4">
        <w:t>ACC Regulations</w:t>
      </w:r>
      <w:r>
        <w:t>, and prescribe private sector bodies corporate, and classes of bodies corporate, for the purpose of Part 2 of Schedule 2 to the Powers and Offences Act.</w:t>
      </w:r>
      <w:r w:rsidR="000D14F8">
        <w:t xml:space="preserve">  </w:t>
      </w:r>
      <w:r w:rsidR="00344B41">
        <w:t>This includes</w:t>
      </w:r>
      <w:r w:rsidR="000D14F8">
        <w:t xml:space="preserve"> bodies from the finance, aviation, maritime, gaming</w:t>
      </w:r>
      <w:r w:rsidR="00442860">
        <w:t>,</w:t>
      </w:r>
      <w:r w:rsidR="000D14F8">
        <w:t xml:space="preserve"> leads brokerage and direct marketing industries.</w:t>
      </w:r>
    </w:p>
    <w:p w:rsidR="00535AC1" w:rsidRDefault="00535AC1" w:rsidP="00535AC1">
      <w:pPr>
        <w:pStyle w:val="Paragraph"/>
      </w:pPr>
      <w:r>
        <w:lastRenderedPageBreak/>
        <w:t>The ACC has had extensive dealings with each of the industry groups refle</w:t>
      </w:r>
      <w:r w:rsidR="000D14F8">
        <w:t>cted in the Regulation</w:t>
      </w:r>
      <w:r>
        <w:t xml:space="preserve"> in the course of special operations and investigations, and accumulated a significant body of intelligence about the ways in which serious and organised criminal groups exploit vulnerabilities in the business practices of private sector bodies to commit offences against the bodies themselves or their clients</w:t>
      </w:r>
      <w:r w:rsidR="00B446F0">
        <w:t>,</w:t>
      </w:r>
      <w:r>
        <w:t xml:space="preserve"> or to launder criminal assets.</w:t>
      </w:r>
    </w:p>
    <w:p w:rsidR="00535AC1" w:rsidRDefault="00535AC1" w:rsidP="00535AC1">
      <w:pPr>
        <w:pStyle w:val="Paragraph"/>
      </w:pPr>
      <w:r>
        <w:t>Disclosing selected ACC information</w:t>
      </w:r>
      <w:r w:rsidR="006C72FF">
        <w:t>, including information that is too sensitive to be published in a public bulletin or the ACC Annual Report,</w:t>
      </w:r>
      <w:r>
        <w:t xml:space="preserve"> to these private sector bodies </w:t>
      </w:r>
      <w:r w:rsidRPr="00F22C97">
        <w:t>will</w:t>
      </w:r>
      <w:r>
        <w:t xml:space="preserve"> assist them in making their procedures more resistant to exploitation and identifying criminal activity.  This </w:t>
      </w:r>
      <w:r w:rsidRPr="00F22C97">
        <w:t>will</w:t>
      </w:r>
      <w:r>
        <w:t xml:space="preserve"> lead to more effective target hardening within these industries and give these bodies added capacity to identify criminal activity and report it to the ACC or other law enforcement bodies.</w:t>
      </w:r>
    </w:p>
    <w:p w:rsidR="004261B4" w:rsidRPr="00535AC1" w:rsidRDefault="00B52DF4" w:rsidP="00535AC1">
      <w:pPr>
        <w:pStyle w:val="Paragraph"/>
      </w:pPr>
      <w:r w:rsidRPr="00535AC1">
        <w:t xml:space="preserve">The </w:t>
      </w:r>
      <w:r w:rsidR="000A7F49" w:rsidRPr="00535AC1">
        <w:t xml:space="preserve">ACC was consulted on the </w:t>
      </w:r>
      <w:r w:rsidR="0070770D" w:rsidRPr="00535AC1">
        <w:t>Regulation</w:t>
      </w:r>
      <w:r w:rsidR="000A7F49" w:rsidRPr="00535AC1">
        <w:t xml:space="preserve">.  </w:t>
      </w:r>
      <w:r w:rsidRPr="00535AC1">
        <w:t>No further consultation was required</w:t>
      </w:r>
      <w:r w:rsidR="000A7F49" w:rsidRPr="00535AC1">
        <w:t>.</w:t>
      </w:r>
    </w:p>
    <w:p w:rsidR="00C041DD" w:rsidRPr="004261B4" w:rsidRDefault="004261B4" w:rsidP="00535AC1">
      <w:pPr>
        <w:pStyle w:val="Paragraph"/>
      </w:pPr>
      <w:r w:rsidRPr="00535AC1">
        <w:t xml:space="preserve">The Act specifies no conditions that needed to be satisfied before the </w:t>
      </w:r>
      <w:r w:rsidR="00B446F0">
        <w:t>Regulation</w:t>
      </w:r>
      <w:r w:rsidR="0070770D" w:rsidRPr="00535AC1">
        <w:t xml:space="preserve"> </w:t>
      </w:r>
      <w:r w:rsidR="00B446F0">
        <w:t>was</w:t>
      </w:r>
      <w:r w:rsidRPr="00535AC1">
        <w:t xml:space="preserve"> made.</w:t>
      </w:r>
    </w:p>
    <w:p w:rsidR="00C64AC2" w:rsidRDefault="00C64AC2" w:rsidP="00535AC1">
      <w:pPr>
        <w:pStyle w:val="Paragraph"/>
      </w:pPr>
      <w:r>
        <w:t>The Regulation commences on the day after it is registered.</w:t>
      </w:r>
      <w:bookmarkStart w:id="1" w:name="_GoBack"/>
      <w:bookmarkEnd w:id="1"/>
    </w:p>
    <w:p w:rsidR="00403CF2" w:rsidRDefault="003D361A" w:rsidP="00535AC1">
      <w:pPr>
        <w:pStyle w:val="Paragraph"/>
      </w:pPr>
      <w:r w:rsidRPr="004261B4">
        <w:t xml:space="preserve">The </w:t>
      </w:r>
      <w:r w:rsidR="00B446F0">
        <w:t>Regulation</w:t>
      </w:r>
      <w:r w:rsidRPr="004261B4">
        <w:t xml:space="preserve"> </w:t>
      </w:r>
      <w:r w:rsidR="00B446F0">
        <w:t>is</w:t>
      </w:r>
      <w:r w:rsidRPr="004261B4">
        <w:t xml:space="preserve"> a legislative instrument for the purposes of the </w:t>
      </w:r>
      <w:r w:rsidRPr="001E349A">
        <w:rPr>
          <w:i/>
        </w:rPr>
        <w:t>Legislative Instruments Act 2003</w:t>
      </w:r>
      <w:r w:rsidRPr="004261B4">
        <w:t>.</w:t>
      </w:r>
      <w:bookmarkEnd w:id="0"/>
    </w:p>
    <w:p w:rsidR="00B52DF4" w:rsidRDefault="00B52DF4" w:rsidP="00B52DF4">
      <w:pPr>
        <w:pStyle w:val="Paragraph"/>
        <w:spacing w:before="0" w:after="0"/>
      </w:pPr>
    </w:p>
    <w:p w:rsidR="005F62A6" w:rsidRDefault="005F62A6" w:rsidP="005F62A6">
      <w:pPr>
        <w:tabs>
          <w:tab w:val="left" w:pos="1276"/>
        </w:tabs>
        <w:spacing w:after="0" w:line="240" w:lineRule="auto"/>
        <w:ind w:left="4536" w:right="91" w:hanging="1134"/>
        <w:rPr>
          <w:rFonts w:ascii="Times New Roman" w:eastAsia="Times New Roman" w:hAnsi="Times New Roman"/>
          <w:i/>
          <w:sz w:val="24"/>
          <w:szCs w:val="20"/>
          <w:lang w:eastAsia="en-AU"/>
        </w:rPr>
      </w:pPr>
      <w:r w:rsidRPr="005F62A6">
        <w:rPr>
          <w:rFonts w:ascii="Times New Roman" w:eastAsia="Times New Roman" w:hAnsi="Times New Roman"/>
          <w:sz w:val="24"/>
          <w:szCs w:val="20"/>
          <w:u w:val="single"/>
          <w:lang w:eastAsia="en-AU"/>
        </w:rPr>
        <w:t>Authority</w:t>
      </w:r>
      <w:r w:rsidR="00BB13E6">
        <w:rPr>
          <w:rFonts w:ascii="Times New Roman" w:eastAsia="Times New Roman" w:hAnsi="Times New Roman"/>
          <w:sz w:val="24"/>
          <w:szCs w:val="20"/>
          <w:lang w:eastAsia="en-AU"/>
        </w:rPr>
        <w:t>:</w:t>
      </w:r>
      <w:r w:rsidR="00BB13E6">
        <w:rPr>
          <w:rFonts w:ascii="Times New Roman" w:eastAsia="Times New Roman" w:hAnsi="Times New Roman"/>
          <w:sz w:val="24"/>
          <w:szCs w:val="20"/>
          <w:lang w:eastAsia="en-AU"/>
        </w:rPr>
        <w:tab/>
        <w:t xml:space="preserve"> S</w:t>
      </w:r>
      <w:r w:rsidRPr="005F62A6">
        <w:rPr>
          <w:rFonts w:ascii="Times New Roman" w:eastAsia="Times New Roman" w:hAnsi="Times New Roman"/>
          <w:sz w:val="24"/>
          <w:szCs w:val="20"/>
          <w:lang w:eastAsia="en-AU"/>
        </w:rPr>
        <w:t xml:space="preserve">ection </w:t>
      </w:r>
      <w:r w:rsidR="00BB13E6">
        <w:rPr>
          <w:rFonts w:ascii="Times New Roman" w:eastAsia="Times New Roman" w:hAnsi="Times New Roman"/>
          <w:sz w:val="24"/>
          <w:szCs w:val="20"/>
          <w:lang w:eastAsia="en-AU"/>
        </w:rPr>
        <w:t>62</w:t>
      </w:r>
      <w:r w:rsidRPr="005F62A6">
        <w:rPr>
          <w:rFonts w:ascii="Times New Roman" w:eastAsia="Times New Roman" w:hAnsi="Times New Roman"/>
          <w:sz w:val="24"/>
          <w:szCs w:val="20"/>
          <w:lang w:eastAsia="en-AU"/>
        </w:rPr>
        <w:t xml:space="preserve"> of the </w:t>
      </w:r>
      <w:r w:rsidR="00BB13E6">
        <w:rPr>
          <w:rFonts w:ascii="Times New Roman" w:eastAsia="Times New Roman" w:hAnsi="Times New Roman"/>
          <w:i/>
          <w:sz w:val="24"/>
          <w:szCs w:val="20"/>
          <w:lang w:eastAsia="en-AU"/>
        </w:rPr>
        <w:t>Australian Crime Commission Act 2002</w:t>
      </w:r>
    </w:p>
    <w:p w:rsidR="00C86E69" w:rsidRDefault="00C86E69" w:rsidP="005F62A6">
      <w:pPr>
        <w:tabs>
          <w:tab w:val="left" w:pos="1276"/>
        </w:tabs>
        <w:spacing w:after="0" w:line="240" w:lineRule="auto"/>
        <w:ind w:left="4536" w:right="91" w:hanging="1134"/>
        <w:rPr>
          <w:rFonts w:ascii="Times New Roman" w:eastAsia="Times New Roman" w:hAnsi="Times New Roman"/>
          <w:sz w:val="24"/>
          <w:szCs w:val="20"/>
          <w:lang w:eastAsia="en-AU"/>
        </w:rPr>
      </w:pPr>
    </w:p>
    <w:p w:rsidR="00C86E69" w:rsidRPr="00E4135E" w:rsidRDefault="00C86E69" w:rsidP="00C86E69">
      <w:pPr>
        <w:spacing w:before="360" w:after="120"/>
        <w:jc w:val="center"/>
        <w:rPr>
          <w:rFonts w:ascii="Times New Roman" w:hAnsi="Times New Roman"/>
          <w:b/>
          <w:sz w:val="28"/>
          <w:szCs w:val="28"/>
        </w:rPr>
      </w:pPr>
      <w:r>
        <w:rPr>
          <w:rFonts w:ascii="Times New Roman" w:eastAsia="Times New Roman" w:hAnsi="Times New Roman"/>
          <w:sz w:val="24"/>
          <w:szCs w:val="20"/>
          <w:lang w:eastAsia="en-AU"/>
        </w:rPr>
        <w:br w:type="page"/>
      </w:r>
      <w:bookmarkStart w:id="2" w:name="_Toc290210739"/>
      <w:r w:rsidRPr="00E4135E">
        <w:rPr>
          <w:rFonts w:ascii="Times New Roman" w:hAnsi="Times New Roman"/>
          <w:b/>
          <w:sz w:val="28"/>
          <w:szCs w:val="28"/>
        </w:rPr>
        <w:lastRenderedPageBreak/>
        <w:t>Statement of Compatibility with Human Rights</w:t>
      </w:r>
    </w:p>
    <w:p w:rsidR="00C86E69" w:rsidRDefault="00C86E69" w:rsidP="00C86E69">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rsidR="00C86E69" w:rsidRPr="00E4135E" w:rsidRDefault="00C86E69" w:rsidP="00C86E69">
      <w:pPr>
        <w:spacing w:before="120" w:after="120"/>
        <w:jc w:val="center"/>
        <w:rPr>
          <w:rFonts w:ascii="Times New Roman" w:hAnsi="Times New Roman"/>
          <w:sz w:val="24"/>
          <w:szCs w:val="24"/>
        </w:rPr>
      </w:pPr>
    </w:p>
    <w:p w:rsidR="00C86E69" w:rsidRDefault="00C86E69" w:rsidP="00C86E69">
      <w:pPr>
        <w:spacing w:before="120" w:after="120"/>
        <w:jc w:val="center"/>
        <w:rPr>
          <w:rFonts w:ascii="Times New Roman" w:hAnsi="Times New Roman"/>
          <w:b/>
          <w:i/>
          <w:sz w:val="24"/>
          <w:szCs w:val="24"/>
        </w:rPr>
      </w:pPr>
      <w:r w:rsidRPr="00C86E69">
        <w:rPr>
          <w:rFonts w:ascii="Times New Roman" w:hAnsi="Times New Roman"/>
          <w:b/>
          <w:i/>
          <w:sz w:val="24"/>
          <w:szCs w:val="24"/>
        </w:rPr>
        <w:t>Australian Crime Commissio</w:t>
      </w:r>
      <w:r w:rsidR="00442860">
        <w:rPr>
          <w:rFonts w:ascii="Times New Roman" w:hAnsi="Times New Roman"/>
          <w:b/>
          <w:i/>
          <w:sz w:val="24"/>
          <w:szCs w:val="24"/>
        </w:rPr>
        <w:t>n Amendment Regulation 2012 (No</w:t>
      </w:r>
      <w:r w:rsidRPr="00C86E69">
        <w:rPr>
          <w:rFonts w:ascii="Times New Roman" w:hAnsi="Times New Roman"/>
          <w:b/>
          <w:i/>
          <w:sz w:val="24"/>
          <w:szCs w:val="24"/>
        </w:rPr>
        <w:t xml:space="preserve">. </w:t>
      </w:r>
      <w:r w:rsidR="0033668D">
        <w:rPr>
          <w:rFonts w:ascii="Times New Roman" w:hAnsi="Times New Roman"/>
          <w:b/>
          <w:i/>
          <w:sz w:val="24"/>
          <w:szCs w:val="24"/>
        </w:rPr>
        <w:t>1</w:t>
      </w:r>
      <w:r w:rsidR="00442860">
        <w:rPr>
          <w:rFonts w:ascii="Times New Roman" w:hAnsi="Times New Roman"/>
          <w:b/>
          <w:i/>
          <w:sz w:val="24"/>
          <w:szCs w:val="24"/>
        </w:rPr>
        <w:t>)</w:t>
      </w:r>
    </w:p>
    <w:p w:rsidR="00C86E69" w:rsidRPr="00234D15" w:rsidRDefault="00C86E69" w:rsidP="00C86E69">
      <w:pPr>
        <w:spacing w:before="120" w:after="120"/>
        <w:jc w:val="center"/>
        <w:rPr>
          <w:rFonts w:ascii="Times New Roman" w:hAnsi="Times New Roman"/>
          <w:b/>
          <w:i/>
          <w:sz w:val="24"/>
          <w:szCs w:val="24"/>
        </w:rPr>
      </w:pPr>
    </w:p>
    <w:p w:rsidR="00C86E69" w:rsidRDefault="00C86E69" w:rsidP="00C86E69">
      <w:pPr>
        <w:spacing w:before="120" w:after="120"/>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i/>
          <w:sz w:val="24"/>
          <w:szCs w:val="24"/>
        </w:rPr>
        <w:t xml:space="preserve"> </w:t>
      </w:r>
      <w:r>
        <w:rPr>
          <w:rFonts w:ascii="Times New Roman" w:eastAsia="Times New Roman" w:hAnsi="Times New Roman"/>
          <w:iCs/>
          <w:sz w:val="24"/>
          <w:szCs w:val="24"/>
          <w:lang w:eastAsia="en-AU"/>
        </w:rPr>
        <w:t>(</w:t>
      </w:r>
      <w:proofErr w:type="spellStart"/>
      <w:r>
        <w:rPr>
          <w:rFonts w:ascii="Times New Roman" w:eastAsia="Times New Roman" w:hAnsi="Times New Roman"/>
          <w:iCs/>
          <w:sz w:val="24"/>
          <w:szCs w:val="24"/>
          <w:lang w:eastAsia="en-AU"/>
        </w:rPr>
        <w:t>Cth</w:t>
      </w:r>
      <w:proofErr w:type="spellEnd"/>
      <w:r>
        <w:rPr>
          <w:rFonts w:ascii="Times New Roman" w:eastAsia="Times New Roman" w:hAnsi="Times New Roman"/>
          <w:iCs/>
          <w:sz w:val="24"/>
          <w:szCs w:val="24"/>
          <w:lang w:eastAsia="en-AU"/>
        </w:rPr>
        <w:t>)</w:t>
      </w:r>
      <w:r>
        <w:rPr>
          <w:rFonts w:ascii="Times New Roman" w:hAnsi="Times New Roman"/>
          <w:sz w:val="24"/>
          <w:szCs w:val="24"/>
        </w:rPr>
        <w:t>.</w:t>
      </w:r>
    </w:p>
    <w:p w:rsidR="00C86E69" w:rsidRPr="00E4135E" w:rsidRDefault="00C86E69" w:rsidP="00C86E69">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527317" w:rsidRDefault="00527317" w:rsidP="00527317">
      <w:pPr>
        <w:pStyle w:val="Paragraph"/>
      </w:pPr>
      <w:r>
        <w:t xml:space="preserve">The </w:t>
      </w:r>
      <w:r>
        <w:rPr>
          <w:i/>
          <w:iCs/>
        </w:rPr>
        <w:t>Crimes Legislation Amendment (Powers and Offences) Act 2012</w:t>
      </w:r>
      <w:r>
        <w:t xml:space="preserve"> (the Powers and Offences Act) amends key Commonwealth law enforcement legislation to provide further tools to assist in the effective investigation and enforcement of Commonwealth laws.</w:t>
      </w:r>
    </w:p>
    <w:p w:rsidR="00527317" w:rsidRDefault="00527317" w:rsidP="008E639C">
      <w:pPr>
        <w:pStyle w:val="Paragraph"/>
      </w:pPr>
      <w:r>
        <w:t xml:space="preserve">Part 2 of Schedule 2 to the Powers and Offences Act amends the ACC Act to clearly set out the Commonwealth, State, Territory and foreign and international bodies with which the ACC </w:t>
      </w:r>
      <w:r w:rsidR="00744D70">
        <w:t>is</w:t>
      </w:r>
      <w:r>
        <w:t xml:space="preserve"> authorised to share information and the requirements that must be met</w:t>
      </w:r>
      <w:r w:rsidRPr="0079685B">
        <w:t>, including appropriateness and relevance to a ‘permissible pu</w:t>
      </w:r>
      <w:r>
        <w:t xml:space="preserve">rpose’ (as defined in the Act), before information can be shared.  It also provides a clear legislative basis for the ACC to share information </w:t>
      </w:r>
      <w:r w:rsidRPr="00243AC0">
        <w:t>with</w:t>
      </w:r>
      <w:r>
        <w:t xml:space="preserve"> private sector bodies where certain specified requirements are met.  The Powers and Offences Act repealed a number of related provisions in the ACC Act to allow for this enhanced information sharing framework.</w:t>
      </w:r>
    </w:p>
    <w:p w:rsidR="00527317" w:rsidRDefault="00527317" w:rsidP="008E639C">
      <w:pPr>
        <w:pStyle w:val="Paragraph"/>
      </w:pPr>
      <w:r>
        <w:t xml:space="preserve">The new section 59AA of the ACC Act outlines the government bodies with which the ACC </w:t>
      </w:r>
      <w:r w:rsidR="00744D70">
        <w:t>is</w:t>
      </w:r>
      <w:r>
        <w:t xml:space="preserve"> authorised to share information.  This replaces subsections 59(7), (8), (9) and (11) of the ACC Act, which were repealed by the Powers and Offences Act.  Schedule 6 (regulation 9) of the </w:t>
      </w:r>
      <w:r w:rsidRPr="008E639C">
        <w:rPr>
          <w:i/>
        </w:rPr>
        <w:t>Australian Crime Commission Regulations 2002</w:t>
      </w:r>
      <w:r>
        <w:t xml:space="preserve"> (the ACC Regulations) lists those bodies prescribed for the purposes of repealed subsection 59(7)</w:t>
      </w:r>
      <w:r w:rsidRPr="008E639C">
        <w:t>.</w:t>
      </w:r>
    </w:p>
    <w:p w:rsidR="00C86E69" w:rsidRDefault="00527317" w:rsidP="003E558B">
      <w:pPr>
        <w:pStyle w:val="Paragraph"/>
      </w:pPr>
      <w:r>
        <w:t xml:space="preserve">This Legislative Instrument </w:t>
      </w:r>
      <w:r w:rsidR="00C86E69" w:rsidRPr="00527317">
        <w:t>repeal</w:t>
      </w:r>
      <w:r>
        <w:t>s</w:t>
      </w:r>
      <w:r w:rsidR="00C86E69" w:rsidRPr="00527317">
        <w:t xml:space="preserve"> Schedule 6 (regulation 9) of the ACC Regulations, and </w:t>
      </w:r>
      <w:r w:rsidRPr="00527317">
        <w:t>prescribes</w:t>
      </w:r>
      <w:r w:rsidR="00C86E69" w:rsidRPr="00527317">
        <w:t xml:space="preserve"> private sector bodies corporate, and classes of bodies corporate, for the purpose of Part 2 of Schedule 2 to the Powers and Offences Act.</w:t>
      </w:r>
    </w:p>
    <w:p w:rsidR="00C86E69" w:rsidRPr="00E4135E" w:rsidRDefault="00C86E69" w:rsidP="00C86E69">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527317" w:rsidRPr="008E639C" w:rsidRDefault="00527317" w:rsidP="008E639C">
      <w:pPr>
        <w:pStyle w:val="Paragraph"/>
      </w:pPr>
      <w:r w:rsidRPr="008E639C">
        <w:t xml:space="preserve">Article 17 of the ICCPR provides that no one shall be subjected to arbitrary or unlawful interference with their privacy.  This includes collecting, using, storing and sharing personal information, including its release without a person’s knowledge or consent. </w:t>
      </w:r>
    </w:p>
    <w:p w:rsidR="00527317" w:rsidRPr="008A065D" w:rsidRDefault="00527317" w:rsidP="008E639C">
      <w:pPr>
        <w:pStyle w:val="Paragraph"/>
      </w:pPr>
      <w:r w:rsidRPr="008E639C">
        <w:t xml:space="preserve">Lawful interference with the right to privacy will not be ‘arbitrary’ where it occurs for a reason consistent with the ICCPR and is reasonable in the particular circumstances. </w:t>
      </w:r>
      <w:r w:rsidRPr="008E639C">
        <w:lastRenderedPageBreak/>
        <w:t>Reasonableness, in this context, incorporates notions of proportionality, appropriateness and necessity.</w:t>
      </w:r>
    </w:p>
    <w:p w:rsidR="00527317" w:rsidRPr="008E639C" w:rsidRDefault="00281317" w:rsidP="005B1DFC">
      <w:pPr>
        <w:pStyle w:val="Paragraph"/>
      </w:pPr>
      <w:r w:rsidRPr="008E639C">
        <w:t>The dis</w:t>
      </w:r>
      <w:r w:rsidR="008E639C" w:rsidRPr="008E639C">
        <w:t>closure of information</w:t>
      </w:r>
      <w:r w:rsidR="00B933F9">
        <w:t xml:space="preserve"> </w:t>
      </w:r>
      <w:r w:rsidR="008E639C" w:rsidRPr="008E639C">
        <w:t>under Part 2 of Schedule 2 to the Powers and Offences Act</w:t>
      </w:r>
      <w:r w:rsidR="003E558B">
        <w:t>, to the private sector bodies prescribed by this Legislative Instrument,</w:t>
      </w:r>
      <w:r w:rsidRPr="008E639C">
        <w:t xml:space="preserve"> is subject to conditions which ensure that the disclosure is proportionate, appropriate and necessary.</w:t>
      </w:r>
    </w:p>
    <w:p w:rsidR="00604BDA" w:rsidRPr="008E639C" w:rsidRDefault="00604BDA" w:rsidP="005B1DFC">
      <w:pPr>
        <w:pStyle w:val="Paragraph"/>
      </w:pPr>
      <w:r w:rsidRPr="008E639C">
        <w:t xml:space="preserve">New section 59AB </w:t>
      </w:r>
      <w:r w:rsidR="008E639C">
        <w:t xml:space="preserve">of the ACC Act </w:t>
      </w:r>
      <w:r w:rsidRPr="008E639C">
        <w:t xml:space="preserve">provides that the ACC may only give information to a private </w:t>
      </w:r>
      <w:r w:rsidR="00744D70">
        <w:t xml:space="preserve">sector </w:t>
      </w:r>
      <w:r w:rsidRPr="008E639C">
        <w:t>body</w:t>
      </w:r>
      <w:r w:rsidR="003E558B">
        <w:t>,</w:t>
      </w:r>
      <w:r w:rsidRPr="008E639C">
        <w:t xml:space="preserve"> </w:t>
      </w:r>
      <w:r w:rsidR="003E558B" w:rsidRPr="00744D70">
        <w:t xml:space="preserve">as prescribed by this </w:t>
      </w:r>
      <w:r w:rsidR="003E558B">
        <w:t xml:space="preserve">Legislative Instrument, </w:t>
      </w:r>
      <w:r w:rsidRPr="008E639C">
        <w:t>where the CEO considers that it is nece</w:t>
      </w:r>
      <w:r w:rsidR="00B63EEE">
        <w:t>ssary for a permissible purpose and</w:t>
      </w:r>
      <w:r w:rsidRPr="008E639C">
        <w:t xml:space="preserve"> the body has provided an undertaking not to further use or disclose the information and to comply with any conditions the ACC specifies. </w:t>
      </w:r>
      <w:r w:rsidR="005618E4">
        <w:t xml:space="preserve"> </w:t>
      </w:r>
      <w:r w:rsidRPr="008E639C">
        <w:t xml:space="preserve">Further, the ACC may only provide personal information </w:t>
      </w:r>
      <w:r w:rsidR="00527317" w:rsidRPr="008E639C">
        <w:t xml:space="preserve">to private </w:t>
      </w:r>
      <w:r w:rsidR="00B63EEE">
        <w:t xml:space="preserve">sector </w:t>
      </w:r>
      <w:r w:rsidR="00527317" w:rsidRPr="008E639C">
        <w:t xml:space="preserve">bodies </w:t>
      </w:r>
      <w:r w:rsidR="00B933F9">
        <w:t>where the CEO of the ACC considers it necessary for the purposes of preventing or detecting, or facilitating the collection of criminal information and intelligence in relation to, criminal offences or activities that might constitute criminal offences.</w:t>
      </w:r>
    </w:p>
    <w:p w:rsidR="00527317" w:rsidRDefault="00527317" w:rsidP="005B1DFC">
      <w:pPr>
        <w:pStyle w:val="Paragraph"/>
        <w:rPr>
          <w:color w:val="1F497D"/>
        </w:rPr>
      </w:pPr>
      <w:r w:rsidRPr="008E639C">
        <w:t>Under new subsection</w:t>
      </w:r>
      <w:r w:rsidR="005618E4">
        <w:t xml:space="preserve"> 59AB(4) of the ACC Act, where personal information</w:t>
      </w:r>
      <w:r w:rsidRPr="008E639C">
        <w:t xml:space="preserve"> (within the meaning of the </w:t>
      </w:r>
      <w:r w:rsidRPr="008E639C">
        <w:rPr>
          <w:i/>
        </w:rPr>
        <w:t>Privacy Act 1988</w:t>
      </w:r>
      <w:r w:rsidRPr="008E639C">
        <w:t>) is to be shared with one o</w:t>
      </w:r>
      <w:r w:rsidR="003E558B">
        <w:t>f the bodies prescribed by this Legislative Instrument</w:t>
      </w:r>
      <w:r w:rsidRPr="008E639C">
        <w:t>, the CEO of the ACC will be required to set conditions which the recipient body must meet before the information is shared and once the information has been shared.</w:t>
      </w:r>
      <w:r w:rsidR="00765627">
        <w:t xml:space="preserve">  Failure to comply with these conditions is a criminal offence punishable by up to 12 months imprisonment.</w:t>
      </w:r>
    </w:p>
    <w:p w:rsidR="00C86E69" w:rsidRPr="00744D70" w:rsidRDefault="00527317" w:rsidP="008E639C">
      <w:pPr>
        <w:pStyle w:val="Paragraph"/>
      </w:pPr>
      <w:r w:rsidRPr="00744D70">
        <w:t>To the extent that the principal legislation and</w:t>
      </w:r>
      <w:r w:rsidR="007F707C">
        <w:t>, by extension, this Legislative</w:t>
      </w:r>
      <w:r w:rsidRPr="00744D70">
        <w:t xml:space="preserve"> Instrument, </w:t>
      </w:r>
      <w:r w:rsidR="00C86E69" w:rsidRPr="00744D70">
        <w:t>may affect relevant rights, such limitation is aimed at disrupting and combatin</w:t>
      </w:r>
      <w:r w:rsidR="003E558B" w:rsidRPr="00744D70">
        <w:t xml:space="preserve">g serious and organised crime. </w:t>
      </w:r>
    </w:p>
    <w:p w:rsidR="00C86E69" w:rsidRPr="00D4061F" w:rsidRDefault="00C86E69" w:rsidP="008E639C">
      <w:pPr>
        <w:pStyle w:val="Paragraph"/>
      </w:pPr>
      <w:r w:rsidRPr="00744D70">
        <w:t>Any limitations are necessary to achieve, and are reasonable in achieving, the aim of disrupting criminal activity and combating serious and organised crime.</w:t>
      </w:r>
      <w:r>
        <w:t xml:space="preserve">  </w:t>
      </w:r>
    </w:p>
    <w:p w:rsidR="00C86E69" w:rsidRPr="00E4135E" w:rsidRDefault="00C86E69" w:rsidP="00C86E69">
      <w:pPr>
        <w:spacing w:before="120" w:after="120"/>
        <w:rPr>
          <w:rFonts w:ascii="Times New Roman" w:hAnsi="Times New Roman"/>
          <w:b/>
          <w:sz w:val="24"/>
          <w:szCs w:val="24"/>
        </w:rPr>
      </w:pPr>
      <w:r w:rsidRPr="00E4135E">
        <w:rPr>
          <w:rFonts w:ascii="Times New Roman" w:hAnsi="Times New Roman"/>
          <w:b/>
          <w:sz w:val="24"/>
          <w:szCs w:val="24"/>
        </w:rPr>
        <w:t>Conclusion</w:t>
      </w:r>
    </w:p>
    <w:p w:rsidR="00C86E69" w:rsidRDefault="00C86E69" w:rsidP="008E639C">
      <w:pPr>
        <w:pStyle w:val="Paragraph"/>
      </w:pPr>
      <w:r w:rsidRPr="00E4135E">
        <w:t>This Legislative Instrument is compatible with human rights</w:t>
      </w:r>
      <w:r>
        <w:t xml:space="preserve"> because, </w:t>
      </w:r>
      <w:r w:rsidRPr="008E639C">
        <w:t xml:space="preserve">to the extent </w:t>
      </w:r>
      <w:r w:rsidRPr="003E558B">
        <w:t xml:space="preserve">that </w:t>
      </w:r>
      <w:r w:rsidR="008E639C" w:rsidRPr="003E558B">
        <w:t xml:space="preserve">the principal legislation to which it </w:t>
      </w:r>
      <w:r w:rsidR="005618E4" w:rsidRPr="003E558B">
        <w:t>provides scope</w:t>
      </w:r>
      <w:r w:rsidRPr="003E558B">
        <w:t xml:space="preserve"> may</w:t>
      </w:r>
      <w:r w:rsidRPr="008E639C">
        <w:t xml:space="preserve"> limit human rights, those limitations are reasonable, necessary and </w:t>
      </w:r>
      <w:r w:rsidRPr="00D664E6">
        <w:t>proportionate</w:t>
      </w:r>
      <w:r w:rsidRPr="00E4135E">
        <w:t>.</w:t>
      </w:r>
    </w:p>
    <w:p w:rsidR="00C86E69" w:rsidRDefault="00C86E69" w:rsidP="00C86E69">
      <w:pPr>
        <w:spacing w:before="120" w:after="120"/>
        <w:jc w:val="center"/>
        <w:rPr>
          <w:rFonts w:ascii="Times New Roman" w:hAnsi="Times New Roman"/>
          <w:b/>
          <w:sz w:val="24"/>
          <w:szCs w:val="24"/>
        </w:rPr>
      </w:pPr>
      <w:r>
        <w:rPr>
          <w:rFonts w:ascii="Times New Roman" w:hAnsi="Times New Roman"/>
          <w:b/>
          <w:sz w:val="24"/>
          <w:szCs w:val="24"/>
        </w:rPr>
        <w:t>The Hon Jason Clare MP</w:t>
      </w:r>
    </w:p>
    <w:p w:rsidR="00B52DF4" w:rsidRPr="00C86E69" w:rsidRDefault="00C86E69" w:rsidP="00C86E69">
      <w:pPr>
        <w:spacing w:before="120" w:after="120"/>
        <w:jc w:val="center"/>
        <w:rPr>
          <w:rFonts w:ascii="Times New Roman" w:eastAsia="Times New Roman" w:hAnsi="Times New Roman"/>
          <w:sz w:val="24"/>
          <w:szCs w:val="24"/>
          <w:lang w:eastAsia="en-AU"/>
        </w:rPr>
      </w:pPr>
      <w:r>
        <w:rPr>
          <w:rFonts w:ascii="Times New Roman" w:hAnsi="Times New Roman"/>
          <w:b/>
          <w:sz w:val="24"/>
          <w:szCs w:val="24"/>
        </w:rPr>
        <w:t>Minister for Justice</w:t>
      </w:r>
      <w:bookmarkEnd w:id="2"/>
    </w:p>
    <w:sectPr w:rsidR="00B52DF4" w:rsidRPr="00C86E69" w:rsidSect="000959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400A"/>
    <w:rsid w:val="00095956"/>
    <w:rsid w:val="000A7F49"/>
    <w:rsid w:val="000D14F8"/>
    <w:rsid w:val="000F695A"/>
    <w:rsid w:val="0015638D"/>
    <w:rsid w:val="001619C4"/>
    <w:rsid w:val="001C1049"/>
    <w:rsid w:val="001E349A"/>
    <w:rsid w:val="002008D0"/>
    <w:rsid w:val="002358BB"/>
    <w:rsid w:val="00243AC0"/>
    <w:rsid w:val="00281317"/>
    <w:rsid w:val="002D71A2"/>
    <w:rsid w:val="0033668D"/>
    <w:rsid w:val="00344B41"/>
    <w:rsid w:val="00347062"/>
    <w:rsid w:val="003B72C8"/>
    <w:rsid w:val="003C67DC"/>
    <w:rsid w:val="003D361A"/>
    <w:rsid w:val="003E558B"/>
    <w:rsid w:val="00403CF2"/>
    <w:rsid w:val="004261B4"/>
    <w:rsid w:val="00442860"/>
    <w:rsid w:val="004D0C24"/>
    <w:rsid w:val="00527317"/>
    <w:rsid w:val="00535AC1"/>
    <w:rsid w:val="005618E4"/>
    <w:rsid w:val="005B1DFC"/>
    <w:rsid w:val="005F62A6"/>
    <w:rsid w:val="00602D8F"/>
    <w:rsid w:val="00604BDA"/>
    <w:rsid w:val="006A74E5"/>
    <w:rsid w:val="006C3023"/>
    <w:rsid w:val="006C72FF"/>
    <w:rsid w:val="006E536E"/>
    <w:rsid w:val="00703D8D"/>
    <w:rsid w:val="0070770D"/>
    <w:rsid w:val="00744D70"/>
    <w:rsid w:val="00765627"/>
    <w:rsid w:val="007741EA"/>
    <w:rsid w:val="00781699"/>
    <w:rsid w:val="0078575A"/>
    <w:rsid w:val="007F707C"/>
    <w:rsid w:val="008E639C"/>
    <w:rsid w:val="00904279"/>
    <w:rsid w:val="00955CE7"/>
    <w:rsid w:val="009E7951"/>
    <w:rsid w:val="00A13344"/>
    <w:rsid w:val="00B20937"/>
    <w:rsid w:val="00B446F0"/>
    <w:rsid w:val="00B52DF4"/>
    <w:rsid w:val="00B63EEE"/>
    <w:rsid w:val="00B933F9"/>
    <w:rsid w:val="00BA69D5"/>
    <w:rsid w:val="00BB13E6"/>
    <w:rsid w:val="00BC5A63"/>
    <w:rsid w:val="00BF1BDD"/>
    <w:rsid w:val="00C041DD"/>
    <w:rsid w:val="00C25360"/>
    <w:rsid w:val="00C64AC2"/>
    <w:rsid w:val="00C86E69"/>
    <w:rsid w:val="00C9400A"/>
    <w:rsid w:val="00DA0B98"/>
    <w:rsid w:val="00DC1D09"/>
    <w:rsid w:val="00E128DA"/>
    <w:rsid w:val="00E2200B"/>
    <w:rsid w:val="00E528D5"/>
    <w:rsid w:val="00EB192E"/>
    <w:rsid w:val="00EE3397"/>
    <w:rsid w:val="00F1541F"/>
    <w:rsid w:val="00F22C97"/>
    <w:rsid w:val="00FC10C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5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3D361A"/>
    <w:pPr>
      <w:numPr>
        <w:ilvl w:val="12"/>
      </w:numPr>
      <w:spacing w:before="240" w:after="240" w:line="240" w:lineRule="auto"/>
    </w:pPr>
    <w:rPr>
      <w:rFonts w:ascii="Times New Roman" w:eastAsia="Times New Roman" w:hAnsi="Times New Roman"/>
      <w:sz w:val="24"/>
      <w:szCs w:val="24"/>
      <w:lang w:eastAsia="zh-CN"/>
    </w:rPr>
  </w:style>
  <w:style w:type="paragraph" w:styleId="Footer">
    <w:name w:val="footer"/>
    <w:basedOn w:val="Normal"/>
    <w:link w:val="FooterChar"/>
    <w:rsid w:val="00C041DD"/>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FooterChar">
    <w:name w:val="Footer Char"/>
    <w:basedOn w:val="DefaultParagraphFont"/>
    <w:link w:val="Footer"/>
    <w:rsid w:val="00C041DD"/>
    <w:rPr>
      <w:rFonts w:ascii="Times New Roman" w:eastAsia="Times New Roman" w:hAnsi="Times New Roman"/>
      <w:sz w:val="24"/>
    </w:rPr>
  </w:style>
  <w:style w:type="paragraph" w:styleId="BalloonText">
    <w:name w:val="Balloon Text"/>
    <w:basedOn w:val="Normal"/>
    <w:link w:val="BalloonTextChar"/>
    <w:uiPriority w:val="99"/>
    <w:semiHidden/>
    <w:unhideWhenUsed/>
    <w:rsid w:val="003C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D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7439</Characters>
  <Application>Microsoft Office Word</Application>
  <DocSecurity>0</DocSecurity>
  <Lines>437</Lines>
  <Paragraphs>272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ankerd</dc:creator>
  <cp:keywords/>
  <dc:description/>
  <cp:lastModifiedBy>hilhma</cp:lastModifiedBy>
  <cp:revision>3</cp:revision>
  <cp:lastPrinted>2012-06-18T22:42:00Z</cp:lastPrinted>
  <dcterms:created xsi:type="dcterms:W3CDTF">2012-06-27T02:25:00Z</dcterms:created>
  <dcterms:modified xsi:type="dcterms:W3CDTF">2012-07-02T02:33:00Z</dcterms:modified>
</cp:coreProperties>
</file>