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C1" w:rsidRPr="00A17B85" w:rsidRDefault="004A66C1">
      <w:pPr>
        <w:tabs>
          <w:tab w:val="right" w:pos="9072"/>
        </w:tabs>
        <w:spacing w:before="0" w:line="240" w:lineRule="exact"/>
        <w:ind w:right="91"/>
        <w:rPr>
          <w:b/>
          <w:szCs w:val="24"/>
        </w:rPr>
      </w:pPr>
    </w:p>
    <w:p w:rsidR="0039743C" w:rsidRPr="00A17B85" w:rsidRDefault="0039743C" w:rsidP="0039743C">
      <w:pPr>
        <w:tabs>
          <w:tab w:val="right" w:pos="9072"/>
        </w:tabs>
        <w:spacing w:before="0" w:line="240" w:lineRule="exact"/>
        <w:ind w:right="91"/>
        <w:rPr>
          <w:b/>
          <w:szCs w:val="24"/>
        </w:rPr>
      </w:pPr>
    </w:p>
    <w:p w:rsidR="0039743C" w:rsidRPr="00A17B85" w:rsidRDefault="0039743C" w:rsidP="0039743C">
      <w:pPr>
        <w:spacing w:before="0"/>
        <w:ind w:right="91"/>
        <w:jc w:val="center"/>
        <w:rPr>
          <w:szCs w:val="24"/>
        </w:rPr>
      </w:pPr>
      <w:r w:rsidRPr="00A17B85">
        <w:rPr>
          <w:b/>
          <w:szCs w:val="24"/>
          <w:u w:val="single"/>
        </w:rPr>
        <w:t xml:space="preserve">EXPLANATORY </w:t>
      </w:r>
      <w:r w:rsidR="00123738" w:rsidRPr="00A17B85">
        <w:rPr>
          <w:b/>
          <w:szCs w:val="24"/>
          <w:u w:val="single"/>
        </w:rPr>
        <w:t>STATEMENT</w:t>
      </w:r>
    </w:p>
    <w:p w:rsidR="0039743C" w:rsidRPr="00A17B85" w:rsidRDefault="0039743C" w:rsidP="0039743C">
      <w:pPr>
        <w:spacing w:before="0"/>
        <w:ind w:right="91"/>
        <w:jc w:val="center"/>
        <w:rPr>
          <w:szCs w:val="24"/>
        </w:rPr>
      </w:pPr>
    </w:p>
    <w:p w:rsidR="000A6D45" w:rsidRPr="00A17B85" w:rsidRDefault="00800BB7" w:rsidP="00A85188">
      <w:pPr>
        <w:pStyle w:val="ParaNumbering"/>
        <w:numPr>
          <w:ilvl w:val="0"/>
          <w:numId w:val="0"/>
        </w:numPr>
        <w:tabs>
          <w:tab w:val="clear" w:pos="567"/>
        </w:tabs>
        <w:rPr>
          <w:i/>
          <w:szCs w:val="24"/>
        </w:rPr>
      </w:pPr>
      <w:r w:rsidRPr="00A17B85">
        <w:rPr>
          <w:szCs w:val="24"/>
        </w:rPr>
        <w:t>Subject -</w:t>
      </w:r>
      <w:r w:rsidRPr="00A17B85">
        <w:rPr>
          <w:szCs w:val="24"/>
        </w:rPr>
        <w:tab/>
      </w:r>
      <w:r w:rsidR="00C73083" w:rsidRPr="00A17B85">
        <w:rPr>
          <w:i/>
          <w:szCs w:val="24"/>
        </w:rPr>
        <w:t>Finance Minister’s (CAC Act Procurement) Directions 2012</w:t>
      </w:r>
    </w:p>
    <w:p w:rsidR="009F75F3" w:rsidRPr="00A17B85" w:rsidRDefault="000A6D45" w:rsidP="00C73083">
      <w:pPr>
        <w:pStyle w:val="ParaNumbering"/>
        <w:numPr>
          <w:ilvl w:val="0"/>
          <w:numId w:val="0"/>
        </w:numPr>
        <w:tabs>
          <w:tab w:val="clear" w:pos="567"/>
        </w:tabs>
        <w:rPr>
          <w:szCs w:val="24"/>
        </w:rPr>
      </w:pPr>
      <w:r w:rsidRPr="00A17B85">
        <w:rPr>
          <w:szCs w:val="24"/>
        </w:rPr>
        <w:t xml:space="preserve">The </w:t>
      </w:r>
      <w:r w:rsidR="00C73083" w:rsidRPr="00A17B85">
        <w:rPr>
          <w:i/>
          <w:szCs w:val="24"/>
        </w:rPr>
        <w:t>Finance Minister’s (CAC Act Procurement) Directions 2012</w:t>
      </w:r>
      <w:r w:rsidRPr="00A17B85">
        <w:rPr>
          <w:szCs w:val="24"/>
        </w:rPr>
        <w:t xml:space="preserve"> (</w:t>
      </w:r>
      <w:r w:rsidR="00C73083" w:rsidRPr="00A17B85">
        <w:rPr>
          <w:szCs w:val="24"/>
        </w:rPr>
        <w:t>2012 Procurement Directions</w:t>
      </w:r>
      <w:r w:rsidRPr="00A17B85">
        <w:rPr>
          <w:szCs w:val="24"/>
        </w:rPr>
        <w:t xml:space="preserve">) </w:t>
      </w:r>
      <w:r w:rsidR="009F75F3" w:rsidRPr="00A17B85">
        <w:rPr>
          <w:szCs w:val="24"/>
        </w:rPr>
        <w:t xml:space="preserve">replace the </w:t>
      </w:r>
      <w:r w:rsidR="009F75F3" w:rsidRPr="00A17B85">
        <w:rPr>
          <w:i/>
          <w:szCs w:val="24"/>
        </w:rPr>
        <w:t>Finance Minister’s (CAC Act Procurement) Directions 2009</w:t>
      </w:r>
      <w:r w:rsidR="009F75F3" w:rsidRPr="00A17B85">
        <w:rPr>
          <w:szCs w:val="24"/>
        </w:rPr>
        <w:t xml:space="preserve"> (2009 Procurement Directions).  </w:t>
      </w:r>
    </w:p>
    <w:p w:rsidR="00A17B85" w:rsidRPr="00A17B85" w:rsidRDefault="00A17B85" w:rsidP="00C73083">
      <w:pPr>
        <w:pStyle w:val="ParaNumbering"/>
        <w:numPr>
          <w:ilvl w:val="0"/>
          <w:numId w:val="0"/>
        </w:numPr>
        <w:tabs>
          <w:tab w:val="clear" w:pos="567"/>
        </w:tabs>
        <w:rPr>
          <w:szCs w:val="24"/>
        </w:rPr>
      </w:pPr>
      <w:r w:rsidRPr="00A17B85">
        <w:rPr>
          <w:szCs w:val="24"/>
        </w:rPr>
        <w:t xml:space="preserve">The 2009 Procurement Directions referred to the </w:t>
      </w:r>
      <w:r w:rsidRPr="00A17B85">
        <w:rPr>
          <w:i/>
          <w:szCs w:val="24"/>
        </w:rPr>
        <w:t>Commonwealth Procurement Guidelines</w:t>
      </w:r>
      <w:r w:rsidRPr="00A17B85">
        <w:rPr>
          <w:szCs w:val="24"/>
        </w:rPr>
        <w:t xml:space="preserve"> (CPGs), which were replaced by the </w:t>
      </w:r>
      <w:r w:rsidRPr="00A17B85">
        <w:rPr>
          <w:i/>
          <w:szCs w:val="24"/>
        </w:rPr>
        <w:t>Commonwealth Procurement Rules</w:t>
      </w:r>
      <w:r w:rsidRPr="00A17B85">
        <w:rPr>
          <w:szCs w:val="24"/>
        </w:rPr>
        <w:t xml:space="preserve"> (CPRs) on 1 July 2012.</w:t>
      </w:r>
    </w:p>
    <w:p w:rsidR="00A17B85" w:rsidRPr="00A17B85" w:rsidRDefault="00A17B85" w:rsidP="00A17B85">
      <w:pPr>
        <w:pStyle w:val="ParaNumbering"/>
        <w:numPr>
          <w:ilvl w:val="0"/>
          <w:numId w:val="0"/>
        </w:numPr>
        <w:tabs>
          <w:tab w:val="clear" w:pos="567"/>
        </w:tabs>
        <w:rPr>
          <w:szCs w:val="24"/>
        </w:rPr>
      </w:pPr>
      <w:r w:rsidRPr="00A17B85">
        <w:rPr>
          <w:szCs w:val="24"/>
        </w:rPr>
        <w:t xml:space="preserve">The 2012 Procurement Directions are intended to apply the CPRs to the relevant </w:t>
      </w:r>
      <w:r w:rsidRPr="00A17B85">
        <w:rPr>
          <w:i/>
          <w:noProof/>
          <w:szCs w:val="24"/>
          <w:lang w:eastAsia="en-AU"/>
        </w:rPr>
        <w:t>Commonwealth Authorities and Companies Act 1997</w:t>
      </w:r>
      <w:r w:rsidRPr="00A17B85">
        <w:rPr>
          <w:noProof/>
          <w:szCs w:val="24"/>
          <w:lang w:eastAsia="en-AU"/>
        </w:rPr>
        <w:t xml:space="preserve"> (CAC Act)</w:t>
      </w:r>
      <w:r w:rsidRPr="00A17B85">
        <w:rPr>
          <w:szCs w:val="24"/>
        </w:rPr>
        <w:t xml:space="preserve"> bodies to the same extent that the 2009 Procurement Directions applied the former CPGs to the relevant CAC Act bodies.</w:t>
      </w:r>
    </w:p>
    <w:p w:rsidR="009F75F3" w:rsidRPr="00A17B85" w:rsidRDefault="009F75F3" w:rsidP="009F75F3">
      <w:pPr>
        <w:pStyle w:val="ParaNumbering"/>
        <w:numPr>
          <w:ilvl w:val="0"/>
          <w:numId w:val="0"/>
        </w:numPr>
        <w:tabs>
          <w:tab w:val="clear" w:pos="567"/>
        </w:tabs>
        <w:rPr>
          <w:szCs w:val="24"/>
        </w:rPr>
      </w:pPr>
      <w:r w:rsidRPr="00A17B85">
        <w:rPr>
          <w:szCs w:val="24"/>
        </w:rPr>
        <w:t xml:space="preserve">The relevant </w:t>
      </w:r>
      <w:r w:rsidRPr="00A17B85">
        <w:rPr>
          <w:noProof/>
          <w:szCs w:val="24"/>
          <w:lang w:eastAsia="en-AU"/>
        </w:rPr>
        <w:t>CAC Act</w:t>
      </w:r>
      <w:r w:rsidRPr="00A17B85">
        <w:rPr>
          <w:szCs w:val="24"/>
        </w:rPr>
        <w:t xml:space="preserve"> bodies are listed in Schedule 1 to the </w:t>
      </w:r>
      <w:r w:rsidRPr="00A17B85">
        <w:rPr>
          <w:i/>
          <w:szCs w:val="24"/>
        </w:rPr>
        <w:t>Commonwealth Authorities and Companies Regulations 1997</w:t>
      </w:r>
      <w:r w:rsidR="001A3B8F" w:rsidRPr="00A17B85">
        <w:rPr>
          <w:szCs w:val="24"/>
        </w:rPr>
        <w:t xml:space="preserve">.  </w:t>
      </w:r>
      <w:r w:rsidR="00A17B85" w:rsidRPr="00A17B85">
        <w:rPr>
          <w:szCs w:val="24"/>
        </w:rPr>
        <w:t>The r</w:t>
      </w:r>
      <w:r w:rsidR="001A3B8F" w:rsidRPr="00A17B85">
        <w:rPr>
          <w:szCs w:val="24"/>
        </w:rPr>
        <w:t xml:space="preserve">elevant </w:t>
      </w:r>
      <w:r w:rsidR="00A17B85" w:rsidRPr="00A17B85">
        <w:rPr>
          <w:szCs w:val="24"/>
        </w:rPr>
        <w:t xml:space="preserve">CAC Act </w:t>
      </w:r>
      <w:r w:rsidR="001B4FD2">
        <w:rPr>
          <w:szCs w:val="24"/>
        </w:rPr>
        <w:t xml:space="preserve">bodies at </w:t>
      </w:r>
      <w:r w:rsidR="00133A8E">
        <w:rPr>
          <w:szCs w:val="24"/>
        </w:rPr>
        <w:t>1</w:t>
      </w:r>
      <w:r w:rsidR="001B4FD2">
        <w:rPr>
          <w:szCs w:val="24"/>
        </w:rPr>
        <w:t> </w:t>
      </w:r>
      <w:r w:rsidR="001A3B8F" w:rsidRPr="00A17B85">
        <w:rPr>
          <w:szCs w:val="24"/>
        </w:rPr>
        <w:t>July</w:t>
      </w:r>
      <w:r w:rsidR="001B4FD2">
        <w:rPr>
          <w:szCs w:val="24"/>
        </w:rPr>
        <w:t> </w:t>
      </w:r>
      <w:r w:rsidR="001A3B8F" w:rsidRPr="00A17B85">
        <w:rPr>
          <w:szCs w:val="24"/>
        </w:rPr>
        <w:t xml:space="preserve">2012 are </w:t>
      </w:r>
      <w:r w:rsidR="00A17B85" w:rsidRPr="00A17B85">
        <w:rPr>
          <w:szCs w:val="24"/>
        </w:rPr>
        <w:t xml:space="preserve">also </w:t>
      </w:r>
      <w:r w:rsidR="001A3B8F" w:rsidRPr="00A17B85">
        <w:rPr>
          <w:szCs w:val="24"/>
        </w:rPr>
        <w:t xml:space="preserve">outlined in </w:t>
      </w:r>
      <w:r w:rsidR="001A3B8F" w:rsidRPr="00A17B85">
        <w:rPr>
          <w:szCs w:val="24"/>
          <w:u w:val="single"/>
        </w:rPr>
        <w:t>Attachment A</w:t>
      </w:r>
      <w:r w:rsidR="00746B24">
        <w:rPr>
          <w:szCs w:val="24"/>
        </w:rPr>
        <w:t xml:space="preserve"> to this Explanatory Statement</w:t>
      </w:r>
      <w:r w:rsidR="001A3B8F" w:rsidRPr="00A17B85">
        <w:rPr>
          <w:szCs w:val="24"/>
        </w:rPr>
        <w:t>.</w:t>
      </w:r>
    </w:p>
    <w:p w:rsidR="006C41F1" w:rsidRPr="00A17B85" w:rsidRDefault="009F75F3" w:rsidP="009F75F3">
      <w:pPr>
        <w:pStyle w:val="ParaNumbering"/>
        <w:numPr>
          <w:ilvl w:val="0"/>
          <w:numId w:val="0"/>
        </w:numPr>
        <w:tabs>
          <w:tab w:val="clear" w:pos="567"/>
        </w:tabs>
        <w:rPr>
          <w:szCs w:val="24"/>
        </w:rPr>
      </w:pPr>
      <w:r w:rsidRPr="00A17B85">
        <w:rPr>
          <w:szCs w:val="24"/>
        </w:rPr>
        <w:t xml:space="preserve">The 2012 Procurement Directions </w:t>
      </w:r>
      <w:r w:rsidR="006C41F1" w:rsidRPr="00A17B85">
        <w:rPr>
          <w:szCs w:val="24"/>
        </w:rPr>
        <w:t xml:space="preserve">require relevant </w:t>
      </w:r>
      <w:r w:rsidRPr="00A17B85">
        <w:rPr>
          <w:szCs w:val="24"/>
        </w:rPr>
        <w:t>CAC </w:t>
      </w:r>
      <w:r w:rsidR="006C41F1" w:rsidRPr="00A17B85">
        <w:rPr>
          <w:szCs w:val="24"/>
        </w:rPr>
        <w:t>Act bodies to apply all CPRs when undertaking procurement at or above the relevant procurement threshold</w:t>
      </w:r>
      <w:r w:rsidRPr="00A17B85">
        <w:rPr>
          <w:szCs w:val="24"/>
        </w:rPr>
        <w:t>.</w:t>
      </w:r>
    </w:p>
    <w:p w:rsidR="009F75F3" w:rsidRPr="00A17B85" w:rsidRDefault="009F75F3" w:rsidP="009F75F3">
      <w:pPr>
        <w:pStyle w:val="ParaNumbering"/>
        <w:numPr>
          <w:ilvl w:val="0"/>
          <w:numId w:val="0"/>
        </w:numPr>
        <w:tabs>
          <w:tab w:val="clear" w:pos="567"/>
        </w:tabs>
        <w:rPr>
          <w:szCs w:val="24"/>
        </w:rPr>
      </w:pPr>
      <w:r w:rsidRPr="00A17B85">
        <w:rPr>
          <w:szCs w:val="24"/>
        </w:rPr>
        <w:t>For relevant CAC Act bodies, the procurement threshold, other than for procurement of construction services, is $400,000.  The procurement threshold for procurement of constructions services is $9 million.</w:t>
      </w:r>
    </w:p>
    <w:p w:rsidR="006C41F1" w:rsidRPr="00A17B85" w:rsidRDefault="009F75F3" w:rsidP="009F75F3">
      <w:pPr>
        <w:pStyle w:val="ParaNumbering"/>
        <w:numPr>
          <w:ilvl w:val="0"/>
          <w:numId w:val="0"/>
        </w:numPr>
        <w:tabs>
          <w:tab w:val="clear" w:pos="567"/>
        </w:tabs>
        <w:rPr>
          <w:szCs w:val="24"/>
        </w:rPr>
      </w:pPr>
      <w:r w:rsidRPr="00A17B85">
        <w:rPr>
          <w:szCs w:val="24"/>
        </w:rPr>
        <w:t xml:space="preserve">The 2012 Procurement Directions do not require relevant CAC Act bodies to apply the CPRs for procurement below the relevant </w:t>
      </w:r>
      <w:r w:rsidR="00CC4C48">
        <w:rPr>
          <w:szCs w:val="24"/>
        </w:rPr>
        <w:t>threshold (</w:t>
      </w:r>
      <w:r w:rsidR="00F30FD2" w:rsidRPr="00A17B85">
        <w:rPr>
          <w:szCs w:val="24"/>
        </w:rPr>
        <w:t xml:space="preserve">however, </w:t>
      </w:r>
      <w:r w:rsidR="006C41F1" w:rsidRPr="00A17B85">
        <w:rPr>
          <w:szCs w:val="24"/>
        </w:rPr>
        <w:t xml:space="preserve">relevant CAC Act bodies </w:t>
      </w:r>
      <w:r w:rsidR="00F30FD2" w:rsidRPr="00A17B85">
        <w:rPr>
          <w:szCs w:val="24"/>
        </w:rPr>
        <w:t>may</w:t>
      </w:r>
      <w:r w:rsidR="006C41F1" w:rsidRPr="00A17B85">
        <w:rPr>
          <w:szCs w:val="24"/>
        </w:rPr>
        <w:t xml:space="preserve"> choose to </w:t>
      </w:r>
      <w:r w:rsidR="00CC4C48">
        <w:rPr>
          <w:szCs w:val="24"/>
        </w:rPr>
        <w:t xml:space="preserve">apply the CPRs for </w:t>
      </w:r>
      <w:r w:rsidR="00CC4C48" w:rsidRPr="00A17B85">
        <w:rPr>
          <w:szCs w:val="24"/>
        </w:rPr>
        <w:t xml:space="preserve">procurement below the relevant </w:t>
      </w:r>
      <w:r w:rsidR="00CC4C48">
        <w:rPr>
          <w:szCs w:val="24"/>
        </w:rPr>
        <w:t>threshold)</w:t>
      </w:r>
      <w:r w:rsidR="006C41F1" w:rsidRPr="00A17B85">
        <w:rPr>
          <w:szCs w:val="24"/>
        </w:rPr>
        <w:t>.</w:t>
      </w:r>
    </w:p>
    <w:p w:rsidR="000A6D45" w:rsidRPr="00A17B85" w:rsidRDefault="000A6D45" w:rsidP="000A6D45">
      <w:pPr>
        <w:pStyle w:val="ParaNumbering"/>
        <w:numPr>
          <w:ilvl w:val="0"/>
          <w:numId w:val="0"/>
        </w:numPr>
        <w:tabs>
          <w:tab w:val="clear" w:pos="567"/>
        </w:tabs>
        <w:rPr>
          <w:i/>
          <w:iCs/>
          <w:szCs w:val="24"/>
        </w:rPr>
      </w:pPr>
      <w:r w:rsidRPr="00A17B85">
        <w:rPr>
          <w:szCs w:val="24"/>
        </w:rPr>
        <w:t xml:space="preserve">The </w:t>
      </w:r>
      <w:r w:rsidR="006C41F1" w:rsidRPr="00A17B85">
        <w:rPr>
          <w:szCs w:val="24"/>
        </w:rPr>
        <w:t>2012 Procurement Directions i</w:t>
      </w:r>
      <w:r w:rsidRPr="00A17B85">
        <w:rPr>
          <w:szCs w:val="24"/>
        </w:rPr>
        <w:t>s a legislative instrument for the purposes of the</w:t>
      </w:r>
      <w:r w:rsidR="00EA34D9" w:rsidRPr="00A17B85">
        <w:rPr>
          <w:i/>
          <w:iCs/>
          <w:szCs w:val="24"/>
        </w:rPr>
        <w:t xml:space="preserve"> Legislative </w:t>
      </w:r>
      <w:r w:rsidRPr="00A17B85">
        <w:rPr>
          <w:i/>
          <w:iCs/>
          <w:szCs w:val="24"/>
        </w:rPr>
        <w:t>Instruments Act 2003</w:t>
      </w:r>
      <w:r w:rsidR="00C73083" w:rsidRPr="00A17B85">
        <w:rPr>
          <w:iCs/>
          <w:szCs w:val="24"/>
        </w:rPr>
        <w:t xml:space="preserve">, although </w:t>
      </w:r>
      <w:r w:rsidR="006C41F1" w:rsidRPr="00A17B85">
        <w:rPr>
          <w:iCs/>
          <w:szCs w:val="24"/>
        </w:rPr>
        <w:t>neither section 42 (disallowance) or Part 6 (</w:t>
      </w:r>
      <w:proofErr w:type="spellStart"/>
      <w:r w:rsidR="006C41F1" w:rsidRPr="00A17B85">
        <w:rPr>
          <w:iCs/>
          <w:szCs w:val="24"/>
        </w:rPr>
        <w:t>sunsetting</w:t>
      </w:r>
      <w:proofErr w:type="spellEnd"/>
      <w:r w:rsidR="006C41F1" w:rsidRPr="00A17B85">
        <w:rPr>
          <w:iCs/>
          <w:szCs w:val="24"/>
        </w:rPr>
        <w:t xml:space="preserve">) of that Act apply to the </w:t>
      </w:r>
      <w:r w:rsidR="006C41F1" w:rsidRPr="00A17B85">
        <w:rPr>
          <w:szCs w:val="24"/>
        </w:rPr>
        <w:t>2012 Procure</w:t>
      </w:r>
      <w:r w:rsidR="00823756" w:rsidRPr="00A17B85">
        <w:rPr>
          <w:szCs w:val="24"/>
        </w:rPr>
        <w:t>ment Directions (CAC Act subsection 47A </w:t>
      </w:r>
      <w:r w:rsidR="006C41F1" w:rsidRPr="00A17B85">
        <w:rPr>
          <w:szCs w:val="24"/>
        </w:rPr>
        <w:t>(6A) applies)</w:t>
      </w:r>
      <w:r w:rsidRPr="00A17B85">
        <w:rPr>
          <w:i/>
          <w:iCs/>
          <w:szCs w:val="24"/>
        </w:rPr>
        <w:t>.</w:t>
      </w:r>
    </w:p>
    <w:p w:rsidR="000A6D45" w:rsidRPr="00A17B85" w:rsidRDefault="000A6D45" w:rsidP="000A6D45">
      <w:pPr>
        <w:pStyle w:val="ParaNumbering"/>
        <w:numPr>
          <w:ilvl w:val="0"/>
          <w:numId w:val="0"/>
        </w:numPr>
        <w:tabs>
          <w:tab w:val="clear" w:pos="567"/>
        </w:tabs>
        <w:rPr>
          <w:szCs w:val="24"/>
        </w:rPr>
      </w:pPr>
      <w:r w:rsidRPr="00A17B85">
        <w:rPr>
          <w:szCs w:val="24"/>
        </w:rPr>
        <w:t xml:space="preserve">The </w:t>
      </w:r>
      <w:r w:rsidR="006C41F1" w:rsidRPr="00A17B85">
        <w:rPr>
          <w:szCs w:val="24"/>
        </w:rPr>
        <w:t>2012 Procurement Directions</w:t>
      </w:r>
      <w:r w:rsidRPr="00A17B85">
        <w:rPr>
          <w:szCs w:val="24"/>
        </w:rPr>
        <w:t xml:space="preserve"> commence</w:t>
      </w:r>
      <w:r w:rsidR="005E0B4C">
        <w:rPr>
          <w:szCs w:val="24"/>
        </w:rPr>
        <w:t xml:space="preserve"> on the day of their registration (on the Federal Register of Legislative Instruments)</w:t>
      </w:r>
      <w:r w:rsidRPr="00A17B85">
        <w:rPr>
          <w:szCs w:val="24"/>
        </w:rPr>
        <w:t>.</w:t>
      </w:r>
    </w:p>
    <w:p w:rsidR="00F71292" w:rsidRPr="00A17B85" w:rsidRDefault="00F71292" w:rsidP="00F71292">
      <w:pPr>
        <w:pStyle w:val="ParaNumbering"/>
        <w:numPr>
          <w:ilvl w:val="0"/>
          <w:numId w:val="0"/>
        </w:numPr>
        <w:tabs>
          <w:tab w:val="clear" w:pos="567"/>
        </w:tabs>
        <w:rPr>
          <w:iCs/>
          <w:szCs w:val="24"/>
        </w:rPr>
      </w:pPr>
      <w:bookmarkStart w:id="0" w:name="OLE_LINK2"/>
      <w:bookmarkStart w:id="1" w:name="OLE_LINK3"/>
    </w:p>
    <w:p w:rsidR="00F81174" w:rsidRPr="00A17B85" w:rsidRDefault="00F71292" w:rsidP="0087686D">
      <w:pPr>
        <w:pStyle w:val="ParaNumbering"/>
        <w:numPr>
          <w:ilvl w:val="0"/>
          <w:numId w:val="0"/>
        </w:numPr>
        <w:tabs>
          <w:tab w:val="clear" w:pos="567"/>
        </w:tabs>
        <w:spacing w:after="0"/>
        <w:ind w:left="3600" w:hanging="1440"/>
        <w:jc w:val="right"/>
        <w:rPr>
          <w:szCs w:val="24"/>
        </w:rPr>
      </w:pPr>
      <w:r w:rsidRPr="00A17B85">
        <w:rPr>
          <w:szCs w:val="24"/>
          <w:u w:val="single"/>
        </w:rPr>
        <w:t>Authority</w:t>
      </w:r>
      <w:r w:rsidRPr="00A17B85">
        <w:rPr>
          <w:szCs w:val="24"/>
        </w:rPr>
        <w:t>:</w:t>
      </w:r>
      <w:r w:rsidRPr="00A17B85">
        <w:rPr>
          <w:szCs w:val="24"/>
        </w:rPr>
        <w:tab/>
      </w:r>
      <w:r w:rsidR="00A061E5" w:rsidRPr="00A17B85">
        <w:rPr>
          <w:szCs w:val="24"/>
        </w:rPr>
        <w:t>S</w:t>
      </w:r>
      <w:r w:rsidR="00735296" w:rsidRPr="00A17B85">
        <w:rPr>
          <w:szCs w:val="24"/>
        </w:rPr>
        <w:t>ubs</w:t>
      </w:r>
      <w:r w:rsidRPr="00A17B85">
        <w:rPr>
          <w:szCs w:val="24"/>
        </w:rPr>
        <w:t xml:space="preserve">ection </w:t>
      </w:r>
      <w:proofErr w:type="gramStart"/>
      <w:r w:rsidR="00A061E5" w:rsidRPr="00A17B85">
        <w:rPr>
          <w:szCs w:val="24"/>
        </w:rPr>
        <w:t>47A</w:t>
      </w:r>
      <w:r w:rsidR="00735296" w:rsidRPr="00A17B85">
        <w:rPr>
          <w:szCs w:val="24"/>
        </w:rPr>
        <w:t>(</w:t>
      </w:r>
      <w:proofErr w:type="gramEnd"/>
      <w:r w:rsidR="00735296" w:rsidRPr="00A17B85">
        <w:rPr>
          <w:szCs w:val="24"/>
        </w:rPr>
        <w:t>2)</w:t>
      </w:r>
      <w:r w:rsidRPr="00A17B85">
        <w:rPr>
          <w:szCs w:val="24"/>
        </w:rPr>
        <w:t xml:space="preserve"> of the </w:t>
      </w:r>
      <w:bookmarkEnd w:id="0"/>
      <w:bookmarkEnd w:id="1"/>
      <w:r w:rsidR="00A061E5" w:rsidRPr="00A17B85">
        <w:rPr>
          <w:i/>
          <w:noProof/>
          <w:szCs w:val="24"/>
          <w:lang w:eastAsia="en-AU"/>
        </w:rPr>
        <w:t>Commonwealth Authorities and Companies Act 1997</w:t>
      </w:r>
      <w:r w:rsidR="000A6D45" w:rsidRPr="00A17B85">
        <w:rPr>
          <w:szCs w:val="24"/>
        </w:rPr>
        <w:t>.</w:t>
      </w:r>
    </w:p>
    <w:p w:rsidR="00EE2EA3" w:rsidRDefault="00EE2EA3" w:rsidP="0087686D">
      <w:pPr>
        <w:pStyle w:val="ParaNumbering"/>
        <w:numPr>
          <w:ilvl w:val="0"/>
          <w:numId w:val="0"/>
        </w:numPr>
        <w:tabs>
          <w:tab w:val="clear" w:pos="567"/>
        </w:tabs>
        <w:spacing w:after="0"/>
        <w:ind w:left="3600" w:hanging="1440"/>
        <w:jc w:val="right"/>
      </w:pPr>
    </w:p>
    <w:p w:rsidR="00EE2EA3" w:rsidRDefault="00EE2EA3" w:rsidP="00EE2EA3">
      <w:pPr>
        <w:pStyle w:val="ParaNumbering"/>
        <w:numPr>
          <w:ilvl w:val="0"/>
          <w:numId w:val="0"/>
        </w:numPr>
        <w:tabs>
          <w:tab w:val="clear" w:pos="567"/>
        </w:tabs>
        <w:spacing w:after="0"/>
      </w:pPr>
      <w:r>
        <w:br w:type="page"/>
      </w:r>
    </w:p>
    <w:p w:rsidR="00EE2EA3" w:rsidRPr="00264812" w:rsidRDefault="00EE2EA3" w:rsidP="004A5B0F">
      <w:pPr>
        <w:spacing w:after="360"/>
      </w:pPr>
      <w:r w:rsidRPr="00264812">
        <w:rPr>
          <w:b/>
        </w:rPr>
        <w:t>Commonwealth authorities subject to section 47A of the CAC Act</w:t>
      </w:r>
    </w:p>
    <w:p w:rsidR="00EE2EA3" w:rsidRPr="00264812" w:rsidRDefault="00EE2EA3" w:rsidP="00EE2EA3">
      <w:pPr>
        <w:numPr>
          <w:ilvl w:val="0"/>
          <w:numId w:val="17"/>
        </w:numPr>
        <w:spacing w:before="0" w:after="120"/>
        <w:ind w:left="0" w:firstLine="0"/>
      </w:pPr>
      <w:r w:rsidRPr="00264812">
        <w:t>Australian Institute of Health and Welfare</w:t>
      </w:r>
    </w:p>
    <w:p w:rsidR="00EE2EA3" w:rsidRPr="00264812" w:rsidRDefault="00EE2EA3" w:rsidP="00EE2EA3">
      <w:pPr>
        <w:numPr>
          <w:ilvl w:val="0"/>
          <w:numId w:val="17"/>
        </w:numPr>
        <w:spacing w:before="0" w:after="120"/>
        <w:ind w:left="0" w:firstLine="0"/>
      </w:pPr>
      <w:r w:rsidRPr="00264812">
        <w:t>Australian Institute of Marine Science</w:t>
      </w:r>
    </w:p>
    <w:p w:rsidR="00EE2EA3" w:rsidRPr="00264812" w:rsidRDefault="00EE2EA3" w:rsidP="00EE2EA3">
      <w:pPr>
        <w:numPr>
          <w:ilvl w:val="0"/>
          <w:numId w:val="17"/>
        </w:numPr>
        <w:spacing w:before="0" w:after="120"/>
        <w:ind w:left="0" w:firstLine="0"/>
      </w:pPr>
      <w:r w:rsidRPr="00264812">
        <w:t>Australian Maritime Safety Authority</w:t>
      </w:r>
    </w:p>
    <w:p w:rsidR="00EE2EA3" w:rsidRPr="00264812" w:rsidRDefault="00EE2EA3" w:rsidP="00EE2EA3">
      <w:pPr>
        <w:numPr>
          <w:ilvl w:val="0"/>
          <w:numId w:val="17"/>
        </w:numPr>
        <w:spacing w:before="0" w:after="120"/>
        <w:ind w:left="0" w:firstLine="0"/>
      </w:pPr>
      <w:r w:rsidRPr="00264812">
        <w:t>Australian National Maritime Museum</w:t>
      </w:r>
    </w:p>
    <w:p w:rsidR="00EE2EA3" w:rsidRPr="00264812" w:rsidRDefault="00EE2EA3" w:rsidP="00EE2EA3">
      <w:pPr>
        <w:numPr>
          <w:ilvl w:val="0"/>
          <w:numId w:val="17"/>
        </w:numPr>
        <w:spacing w:before="0" w:after="120"/>
        <w:ind w:left="0" w:firstLine="0"/>
      </w:pPr>
      <w:r w:rsidRPr="00264812">
        <w:t>Australian Nuclear Science and Technology Organisation</w:t>
      </w:r>
    </w:p>
    <w:p w:rsidR="00EE2EA3" w:rsidRPr="00264812" w:rsidRDefault="00EE2EA3" w:rsidP="00EE2EA3">
      <w:pPr>
        <w:numPr>
          <w:ilvl w:val="0"/>
          <w:numId w:val="17"/>
        </w:numPr>
        <w:spacing w:before="0" w:after="120"/>
        <w:ind w:left="0" w:firstLine="0"/>
      </w:pPr>
      <w:r w:rsidRPr="00264812">
        <w:t>Australian War Memorial</w:t>
      </w:r>
    </w:p>
    <w:p w:rsidR="00EE2EA3" w:rsidRPr="00264812" w:rsidRDefault="00EE2EA3" w:rsidP="00EE2EA3">
      <w:pPr>
        <w:numPr>
          <w:ilvl w:val="0"/>
          <w:numId w:val="17"/>
        </w:numPr>
        <w:spacing w:before="0" w:after="120"/>
        <w:ind w:left="0" w:firstLine="0"/>
      </w:pPr>
      <w:r w:rsidRPr="00264812">
        <w:t>Comcare</w:t>
      </w:r>
    </w:p>
    <w:p w:rsidR="00EE2EA3" w:rsidRPr="00264812" w:rsidRDefault="00EE2EA3" w:rsidP="00EE2EA3">
      <w:pPr>
        <w:numPr>
          <w:ilvl w:val="0"/>
          <w:numId w:val="17"/>
        </w:numPr>
        <w:spacing w:before="0" w:after="120"/>
        <w:ind w:left="0" w:firstLine="0"/>
      </w:pPr>
      <w:r w:rsidRPr="00264812">
        <w:t>Commonwealth Scientific and Industrial Research Organisation</w:t>
      </w:r>
    </w:p>
    <w:p w:rsidR="00EE2EA3" w:rsidRPr="00264812" w:rsidRDefault="00EE2EA3" w:rsidP="00EE2EA3">
      <w:pPr>
        <w:numPr>
          <w:ilvl w:val="0"/>
          <w:numId w:val="17"/>
        </w:numPr>
        <w:spacing w:before="0" w:after="120"/>
        <w:ind w:left="0" w:firstLine="0"/>
      </w:pPr>
      <w:r w:rsidRPr="00264812">
        <w:t>Director of National Parks</w:t>
      </w:r>
    </w:p>
    <w:p w:rsidR="00EE2EA3" w:rsidRPr="00264812" w:rsidRDefault="00EE2EA3" w:rsidP="00EE2EA3">
      <w:pPr>
        <w:numPr>
          <w:ilvl w:val="0"/>
          <w:numId w:val="17"/>
        </w:numPr>
        <w:spacing w:before="0" w:after="120"/>
        <w:ind w:left="0" w:firstLine="0"/>
      </w:pPr>
      <w:r w:rsidRPr="00264812">
        <w:t>Export Finance and Insurance Corporation</w:t>
      </w:r>
    </w:p>
    <w:p w:rsidR="00EE2EA3" w:rsidRPr="00264812" w:rsidRDefault="00EE2EA3" w:rsidP="00EE2EA3">
      <w:pPr>
        <w:numPr>
          <w:ilvl w:val="0"/>
          <w:numId w:val="17"/>
        </w:numPr>
        <w:spacing w:before="0" w:after="120"/>
        <w:ind w:left="0" w:firstLine="0"/>
      </w:pPr>
      <w:r w:rsidRPr="00264812">
        <w:t>Grains Research and Development Corporation</w:t>
      </w:r>
    </w:p>
    <w:p w:rsidR="00EE2EA3" w:rsidRPr="00264812" w:rsidRDefault="00EE2EA3" w:rsidP="00EE2EA3">
      <w:pPr>
        <w:numPr>
          <w:ilvl w:val="0"/>
          <w:numId w:val="17"/>
        </w:numPr>
        <w:spacing w:before="0" w:after="120"/>
        <w:ind w:left="0" w:firstLine="0"/>
      </w:pPr>
      <w:r w:rsidRPr="00264812">
        <w:t>National Gallery of Australia</w:t>
      </w:r>
    </w:p>
    <w:p w:rsidR="00EE2EA3" w:rsidRPr="00264812" w:rsidRDefault="00EE2EA3" w:rsidP="00EE2EA3">
      <w:pPr>
        <w:numPr>
          <w:ilvl w:val="0"/>
          <w:numId w:val="17"/>
        </w:numPr>
        <w:spacing w:before="0" w:after="120"/>
        <w:ind w:left="0" w:firstLine="0"/>
      </w:pPr>
      <w:r w:rsidRPr="00264812">
        <w:t>National Museum of Australia</w:t>
      </w:r>
    </w:p>
    <w:p w:rsidR="00EE2EA3" w:rsidRPr="00264812" w:rsidRDefault="00EE2EA3" w:rsidP="00EE2EA3">
      <w:pPr>
        <w:numPr>
          <w:ilvl w:val="0"/>
          <w:numId w:val="17"/>
        </w:numPr>
        <w:spacing w:before="0" w:after="120"/>
        <w:ind w:left="0" w:firstLine="0"/>
      </w:pPr>
      <w:r w:rsidRPr="00264812">
        <w:t>Reserve Bank of Australia</w:t>
      </w:r>
    </w:p>
    <w:p w:rsidR="00EE2EA3" w:rsidRPr="00264812" w:rsidRDefault="00EE2EA3" w:rsidP="00EE2EA3">
      <w:pPr>
        <w:numPr>
          <w:ilvl w:val="0"/>
          <w:numId w:val="17"/>
        </w:numPr>
        <w:spacing w:before="0" w:after="120"/>
        <w:ind w:left="0" w:firstLine="0"/>
      </w:pPr>
      <w:r w:rsidRPr="00264812">
        <w:t>Sydney Harbour Federation Trust</w:t>
      </w:r>
    </w:p>
    <w:p w:rsidR="00EE2EA3" w:rsidRPr="00264812" w:rsidRDefault="00EE2EA3" w:rsidP="00EE2EA3">
      <w:pPr>
        <w:numPr>
          <w:ilvl w:val="0"/>
          <w:numId w:val="17"/>
        </w:numPr>
        <w:spacing w:before="0" w:after="120"/>
        <w:ind w:left="0" w:firstLine="0"/>
      </w:pPr>
      <w:r w:rsidRPr="00264812">
        <w:t>Tourism Australia</w:t>
      </w:r>
    </w:p>
    <w:p w:rsidR="00EE2EA3" w:rsidRPr="00264812" w:rsidRDefault="00EE2EA3" w:rsidP="00EE2EA3">
      <w:pPr>
        <w:spacing w:after="120"/>
      </w:pPr>
    </w:p>
    <w:p w:rsidR="00EE2EA3" w:rsidRPr="00264812" w:rsidRDefault="00EE2EA3" w:rsidP="004A5B0F">
      <w:pPr>
        <w:spacing w:after="360"/>
      </w:pPr>
      <w:r w:rsidRPr="00264812">
        <w:rPr>
          <w:b/>
        </w:rPr>
        <w:t>Wholly-owned Commonwealth compan</w:t>
      </w:r>
      <w:r>
        <w:rPr>
          <w:b/>
        </w:rPr>
        <w:t>y</w:t>
      </w:r>
      <w:r w:rsidRPr="00264812">
        <w:rPr>
          <w:b/>
        </w:rPr>
        <w:t xml:space="preserve"> subject to section 47A of the CAC Act</w:t>
      </w:r>
    </w:p>
    <w:p w:rsidR="00EE2EA3" w:rsidRPr="00B67C39" w:rsidRDefault="00EE2EA3" w:rsidP="00EE2EA3">
      <w:pPr>
        <w:numPr>
          <w:ilvl w:val="0"/>
          <w:numId w:val="17"/>
        </w:numPr>
        <w:spacing w:before="0" w:after="120"/>
        <w:ind w:left="0" w:firstLine="0"/>
      </w:pPr>
      <w:r w:rsidRPr="00264812">
        <w:t>Aged Care Standards and Accreditation Agency Ltd</w:t>
      </w:r>
    </w:p>
    <w:p w:rsidR="00EE2EA3" w:rsidRPr="006963C1" w:rsidRDefault="00EE2EA3" w:rsidP="00EE2EA3">
      <w:pPr>
        <w:pStyle w:val="ParaNumbering"/>
        <w:numPr>
          <w:ilvl w:val="0"/>
          <w:numId w:val="0"/>
        </w:numPr>
        <w:tabs>
          <w:tab w:val="clear" w:pos="567"/>
        </w:tabs>
        <w:spacing w:after="0"/>
      </w:pPr>
    </w:p>
    <w:sectPr w:rsidR="00EE2EA3" w:rsidRPr="006963C1" w:rsidSect="00C2297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709" w:right="1797" w:bottom="1134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579" w:rsidRDefault="00196579">
      <w:r>
        <w:separator/>
      </w:r>
    </w:p>
  </w:endnote>
  <w:endnote w:type="continuationSeparator" w:id="0">
    <w:p w:rsidR="00196579" w:rsidRDefault="00196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F3" w:rsidRDefault="00F02B8E" w:rsidP="00F411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75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75F3" w:rsidRDefault="009F75F3" w:rsidP="00602A7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F3" w:rsidRDefault="00F02B8E" w:rsidP="00087B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75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B4C">
      <w:rPr>
        <w:rStyle w:val="PageNumber"/>
        <w:noProof/>
      </w:rPr>
      <w:t>2</w:t>
    </w:r>
    <w:r>
      <w:rPr>
        <w:rStyle w:val="PageNumber"/>
      </w:rPr>
      <w:fldChar w:fldCharType="end"/>
    </w:r>
  </w:p>
  <w:p w:rsidR="009F75F3" w:rsidRDefault="009F75F3" w:rsidP="00602A74">
    <w:pPr>
      <w:pStyle w:val="Footer"/>
      <w:ind w:right="360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F3" w:rsidRDefault="009F75F3" w:rsidP="00CC0E66">
    <w:pPr>
      <w:pStyle w:val="Footer"/>
      <w:tabs>
        <w:tab w:val="left" w:pos="367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579" w:rsidRDefault="00196579">
      <w:r>
        <w:separator/>
      </w:r>
    </w:p>
  </w:footnote>
  <w:footnote w:type="continuationSeparator" w:id="0">
    <w:p w:rsidR="00196579" w:rsidRDefault="00196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F3" w:rsidRDefault="00F02B8E" w:rsidP="00DF64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F75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75F3" w:rsidRDefault="009F75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F3" w:rsidRPr="00EE2EA3" w:rsidRDefault="00EE2EA3" w:rsidP="00EE2EA3">
    <w:pPr>
      <w:pStyle w:val="Header"/>
      <w:jc w:val="right"/>
      <w:rPr>
        <w:b/>
      </w:rPr>
    </w:pPr>
    <w:r w:rsidRPr="00EE2EA3">
      <w:rPr>
        <w:b/>
      </w:rPr>
      <w:t>Attachment A</w:t>
    </w:r>
    <w:r w:rsidR="005E0B4C">
      <w:rPr>
        <w:b/>
      </w:rPr>
      <w:t xml:space="preserve"> to the Explanatory Statement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695"/>
    <w:multiLevelType w:val="hybridMultilevel"/>
    <w:tmpl w:val="8772C88A"/>
    <w:lvl w:ilvl="0" w:tplc="96A017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12CFF"/>
    <w:multiLevelType w:val="singleLevel"/>
    <w:tmpl w:val="C2ACE544"/>
    <w:lvl w:ilvl="0">
      <w:start w:val="2"/>
      <w:numFmt w:val="decimal"/>
      <w:pStyle w:val="ParaNumbering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1E4F739D"/>
    <w:multiLevelType w:val="hybridMultilevel"/>
    <w:tmpl w:val="2F2AD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A1C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44A35"/>
    <w:multiLevelType w:val="hybridMultilevel"/>
    <w:tmpl w:val="AC2456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5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6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8">
    <w:nsid w:val="66D9556F"/>
    <w:multiLevelType w:val="hybridMultilevel"/>
    <w:tmpl w:val="775C7B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FC22EF"/>
    <w:multiLevelType w:val="hybridMultilevel"/>
    <w:tmpl w:val="D1AEA8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EB008FF"/>
    <w:multiLevelType w:val="multilevel"/>
    <w:tmpl w:val="883CC8BE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B-Paragraph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  <w:num w:numId="12">
    <w:abstractNumId w:val="2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AU" w:vendorID="8" w:dllVersion="513" w:checkStyle="1"/>
  <w:proofState w:spelling="clean" w:grammar="clean"/>
  <w:stylePaneFormatFilter w:val="3F01"/>
  <w:doNotTrackMoves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CAB"/>
    <w:rsid w:val="00000419"/>
    <w:rsid w:val="000008C1"/>
    <w:rsid w:val="000063F8"/>
    <w:rsid w:val="0001072B"/>
    <w:rsid w:val="00027067"/>
    <w:rsid w:val="00030B9D"/>
    <w:rsid w:val="00036A49"/>
    <w:rsid w:val="000434AA"/>
    <w:rsid w:val="0004411E"/>
    <w:rsid w:val="00055B98"/>
    <w:rsid w:val="00056B69"/>
    <w:rsid w:val="000644FC"/>
    <w:rsid w:val="0007315C"/>
    <w:rsid w:val="000746AB"/>
    <w:rsid w:val="00076B54"/>
    <w:rsid w:val="00076F28"/>
    <w:rsid w:val="000776D7"/>
    <w:rsid w:val="00082D29"/>
    <w:rsid w:val="00087B2C"/>
    <w:rsid w:val="000967DA"/>
    <w:rsid w:val="00096C66"/>
    <w:rsid w:val="000A1A6D"/>
    <w:rsid w:val="000A3CB8"/>
    <w:rsid w:val="000A4B4B"/>
    <w:rsid w:val="000A6D45"/>
    <w:rsid w:val="000B06AE"/>
    <w:rsid w:val="000B159A"/>
    <w:rsid w:val="000B3A87"/>
    <w:rsid w:val="000B51B7"/>
    <w:rsid w:val="000C1DCA"/>
    <w:rsid w:val="000C1DE0"/>
    <w:rsid w:val="000C2080"/>
    <w:rsid w:val="000C362E"/>
    <w:rsid w:val="000C482B"/>
    <w:rsid w:val="000C4DED"/>
    <w:rsid w:val="000D0D8A"/>
    <w:rsid w:val="000D2245"/>
    <w:rsid w:val="000D42F8"/>
    <w:rsid w:val="000E1C85"/>
    <w:rsid w:val="000E2ACA"/>
    <w:rsid w:val="000E4DCD"/>
    <w:rsid w:val="000E6C97"/>
    <w:rsid w:val="000F35DD"/>
    <w:rsid w:val="001047E8"/>
    <w:rsid w:val="00107C9A"/>
    <w:rsid w:val="00111511"/>
    <w:rsid w:val="00111B93"/>
    <w:rsid w:val="00112E3C"/>
    <w:rsid w:val="00123402"/>
    <w:rsid w:val="00123738"/>
    <w:rsid w:val="00125241"/>
    <w:rsid w:val="001267E0"/>
    <w:rsid w:val="00133A8E"/>
    <w:rsid w:val="00140B55"/>
    <w:rsid w:val="001421D5"/>
    <w:rsid w:val="001425E1"/>
    <w:rsid w:val="0014573B"/>
    <w:rsid w:val="00146005"/>
    <w:rsid w:val="00147AE3"/>
    <w:rsid w:val="00152B36"/>
    <w:rsid w:val="0015660A"/>
    <w:rsid w:val="001575CA"/>
    <w:rsid w:val="00161BA3"/>
    <w:rsid w:val="00161BC0"/>
    <w:rsid w:val="00166835"/>
    <w:rsid w:val="00166A3C"/>
    <w:rsid w:val="00170862"/>
    <w:rsid w:val="00171D23"/>
    <w:rsid w:val="001741B6"/>
    <w:rsid w:val="001775D3"/>
    <w:rsid w:val="00180706"/>
    <w:rsid w:val="001810DC"/>
    <w:rsid w:val="001820E1"/>
    <w:rsid w:val="00184B7C"/>
    <w:rsid w:val="0019310A"/>
    <w:rsid w:val="00195730"/>
    <w:rsid w:val="00196579"/>
    <w:rsid w:val="001A3B7B"/>
    <w:rsid w:val="001A3B8F"/>
    <w:rsid w:val="001A3E93"/>
    <w:rsid w:val="001A6639"/>
    <w:rsid w:val="001B0B71"/>
    <w:rsid w:val="001B3213"/>
    <w:rsid w:val="001B48A0"/>
    <w:rsid w:val="001B4FD2"/>
    <w:rsid w:val="001B58D9"/>
    <w:rsid w:val="001B599D"/>
    <w:rsid w:val="001B629D"/>
    <w:rsid w:val="001C1A6C"/>
    <w:rsid w:val="001C31BA"/>
    <w:rsid w:val="001C60E4"/>
    <w:rsid w:val="001C69E7"/>
    <w:rsid w:val="001D1172"/>
    <w:rsid w:val="001D1B77"/>
    <w:rsid w:val="001D2180"/>
    <w:rsid w:val="001D3F8B"/>
    <w:rsid w:val="001E0357"/>
    <w:rsid w:val="001E10A5"/>
    <w:rsid w:val="001E2456"/>
    <w:rsid w:val="001E29A8"/>
    <w:rsid w:val="001F2A3C"/>
    <w:rsid w:val="001F3617"/>
    <w:rsid w:val="001F7935"/>
    <w:rsid w:val="00201396"/>
    <w:rsid w:val="002046D0"/>
    <w:rsid w:val="002067E8"/>
    <w:rsid w:val="00207177"/>
    <w:rsid w:val="00207AEB"/>
    <w:rsid w:val="00210977"/>
    <w:rsid w:val="00223F55"/>
    <w:rsid w:val="00225FD0"/>
    <w:rsid w:val="00226582"/>
    <w:rsid w:val="002320CB"/>
    <w:rsid w:val="002379D9"/>
    <w:rsid w:val="0024720A"/>
    <w:rsid w:val="002512A9"/>
    <w:rsid w:val="00251F76"/>
    <w:rsid w:val="00253D90"/>
    <w:rsid w:val="0025416D"/>
    <w:rsid w:val="00254CF4"/>
    <w:rsid w:val="002572BB"/>
    <w:rsid w:val="00262D27"/>
    <w:rsid w:val="00263B6F"/>
    <w:rsid w:val="00266BEA"/>
    <w:rsid w:val="002738B3"/>
    <w:rsid w:val="00273CD6"/>
    <w:rsid w:val="0027409F"/>
    <w:rsid w:val="00275C5A"/>
    <w:rsid w:val="002779AB"/>
    <w:rsid w:val="00277B39"/>
    <w:rsid w:val="002814BE"/>
    <w:rsid w:val="002835D3"/>
    <w:rsid w:val="00284FE2"/>
    <w:rsid w:val="002852A9"/>
    <w:rsid w:val="00290B2C"/>
    <w:rsid w:val="00296120"/>
    <w:rsid w:val="00296948"/>
    <w:rsid w:val="00296B44"/>
    <w:rsid w:val="00297162"/>
    <w:rsid w:val="002A081E"/>
    <w:rsid w:val="002A5246"/>
    <w:rsid w:val="002A52D1"/>
    <w:rsid w:val="002A52E2"/>
    <w:rsid w:val="002B11E7"/>
    <w:rsid w:val="002B2A67"/>
    <w:rsid w:val="002B36E1"/>
    <w:rsid w:val="002B42DF"/>
    <w:rsid w:val="002B5D95"/>
    <w:rsid w:val="002B70DE"/>
    <w:rsid w:val="002C0F3D"/>
    <w:rsid w:val="002C56FE"/>
    <w:rsid w:val="002C612D"/>
    <w:rsid w:val="002D34FE"/>
    <w:rsid w:val="002D3743"/>
    <w:rsid w:val="002D7376"/>
    <w:rsid w:val="002E3ACA"/>
    <w:rsid w:val="002F3DFD"/>
    <w:rsid w:val="002F4E12"/>
    <w:rsid w:val="002F6182"/>
    <w:rsid w:val="00300BBE"/>
    <w:rsid w:val="00302302"/>
    <w:rsid w:val="003062D8"/>
    <w:rsid w:val="003155FF"/>
    <w:rsid w:val="00317320"/>
    <w:rsid w:val="00322E17"/>
    <w:rsid w:val="003241AD"/>
    <w:rsid w:val="003256A0"/>
    <w:rsid w:val="00327050"/>
    <w:rsid w:val="00332150"/>
    <w:rsid w:val="003321B2"/>
    <w:rsid w:val="0033756D"/>
    <w:rsid w:val="00342C83"/>
    <w:rsid w:val="00345C85"/>
    <w:rsid w:val="00351C87"/>
    <w:rsid w:val="00360829"/>
    <w:rsid w:val="00376F18"/>
    <w:rsid w:val="00382C02"/>
    <w:rsid w:val="0038594C"/>
    <w:rsid w:val="0039743C"/>
    <w:rsid w:val="00397C48"/>
    <w:rsid w:val="003A0E9A"/>
    <w:rsid w:val="003A1C0D"/>
    <w:rsid w:val="003A35C6"/>
    <w:rsid w:val="003A77D1"/>
    <w:rsid w:val="003B44B6"/>
    <w:rsid w:val="003B4E65"/>
    <w:rsid w:val="003B5D2F"/>
    <w:rsid w:val="003B63A5"/>
    <w:rsid w:val="003C0BE7"/>
    <w:rsid w:val="003C28F5"/>
    <w:rsid w:val="003C322B"/>
    <w:rsid w:val="003C4D32"/>
    <w:rsid w:val="003C6DDE"/>
    <w:rsid w:val="003C735B"/>
    <w:rsid w:val="003C7D97"/>
    <w:rsid w:val="003D0968"/>
    <w:rsid w:val="003E00D7"/>
    <w:rsid w:val="003E0947"/>
    <w:rsid w:val="003E5662"/>
    <w:rsid w:val="003F480C"/>
    <w:rsid w:val="004015D8"/>
    <w:rsid w:val="0040351E"/>
    <w:rsid w:val="00403DF9"/>
    <w:rsid w:val="00404A9A"/>
    <w:rsid w:val="00404AF9"/>
    <w:rsid w:val="00405FCB"/>
    <w:rsid w:val="00410B5D"/>
    <w:rsid w:val="00412262"/>
    <w:rsid w:val="004139D9"/>
    <w:rsid w:val="00416722"/>
    <w:rsid w:val="00421710"/>
    <w:rsid w:val="00423236"/>
    <w:rsid w:val="00431F20"/>
    <w:rsid w:val="004325F5"/>
    <w:rsid w:val="0043609D"/>
    <w:rsid w:val="004361ED"/>
    <w:rsid w:val="00440904"/>
    <w:rsid w:val="00443E4C"/>
    <w:rsid w:val="004468F8"/>
    <w:rsid w:val="00446922"/>
    <w:rsid w:val="00447036"/>
    <w:rsid w:val="0045206E"/>
    <w:rsid w:val="00455211"/>
    <w:rsid w:val="00460172"/>
    <w:rsid w:val="004629E5"/>
    <w:rsid w:val="00465255"/>
    <w:rsid w:val="004656FE"/>
    <w:rsid w:val="0046669D"/>
    <w:rsid w:val="004713B3"/>
    <w:rsid w:val="004759AC"/>
    <w:rsid w:val="00477146"/>
    <w:rsid w:val="004848D2"/>
    <w:rsid w:val="00484EA6"/>
    <w:rsid w:val="004934FB"/>
    <w:rsid w:val="004940C6"/>
    <w:rsid w:val="00495DD1"/>
    <w:rsid w:val="004A2435"/>
    <w:rsid w:val="004A58B6"/>
    <w:rsid w:val="004A5B0F"/>
    <w:rsid w:val="004A66C1"/>
    <w:rsid w:val="004A703C"/>
    <w:rsid w:val="004A75E2"/>
    <w:rsid w:val="004B0656"/>
    <w:rsid w:val="004B348E"/>
    <w:rsid w:val="004B5A1F"/>
    <w:rsid w:val="004C3042"/>
    <w:rsid w:val="004D2FCF"/>
    <w:rsid w:val="004D7389"/>
    <w:rsid w:val="004E21E9"/>
    <w:rsid w:val="004E3EDC"/>
    <w:rsid w:val="004E5C3D"/>
    <w:rsid w:val="00501E72"/>
    <w:rsid w:val="00503364"/>
    <w:rsid w:val="00503AFE"/>
    <w:rsid w:val="005075A7"/>
    <w:rsid w:val="00510A77"/>
    <w:rsid w:val="00520D3F"/>
    <w:rsid w:val="00521928"/>
    <w:rsid w:val="00534FB2"/>
    <w:rsid w:val="00537163"/>
    <w:rsid w:val="005377AC"/>
    <w:rsid w:val="00545BFF"/>
    <w:rsid w:val="005464A5"/>
    <w:rsid w:val="005564C0"/>
    <w:rsid w:val="00556F07"/>
    <w:rsid w:val="00562002"/>
    <w:rsid w:val="0057132E"/>
    <w:rsid w:val="00572F01"/>
    <w:rsid w:val="00573AA8"/>
    <w:rsid w:val="00577FC4"/>
    <w:rsid w:val="00580050"/>
    <w:rsid w:val="00584169"/>
    <w:rsid w:val="00593401"/>
    <w:rsid w:val="005A2CF1"/>
    <w:rsid w:val="005A326B"/>
    <w:rsid w:val="005A4E5C"/>
    <w:rsid w:val="005A6140"/>
    <w:rsid w:val="005C1BED"/>
    <w:rsid w:val="005C36F6"/>
    <w:rsid w:val="005C389C"/>
    <w:rsid w:val="005D397E"/>
    <w:rsid w:val="005D5AF9"/>
    <w:rsid w:val="005E0B4C"/>
    <w:rsid w:val="005E1918"/>
    <w:rsid w:val="005F3C00"/>
    <w:rsid w:val="005F6818"/>
    <w:rsid w:val="00602A74"/>
    <w:rsid w:val="00604892"/>
    <w:rsid w:val="006103B2"/>
    <w:rsid w:val="00620DE1"/>
    <w:rsid w:val="006265C1"/>
    <w:rsid w:val="00626D91"/>
    <w:rsid w:val="00630803"/>
    <w:rsid w:val="00632389"/>
    <w:rsid w:val="00633212"/>
    <w:rsid w:val="00633B7C"/>
    <w:rsid w:val="00635FEA"/>
    <w:rsid w:val="0063612C"/>
    <w:rsid w:val="006520FF"/>
    <w:rsid w:val="006524E1"/>
    <w:rsid w:val="00652F79"/>
    <w:rsid w:val="006673EC"/>
    <w:rsid w:val="00670C43"/>
    <w:rsid w:val="00671072"/>
    <w:rsid w:val="00671710"/>
    <w:rsid w:val="00671A8C"/>
    <w:rsid w:val="0067445C"/>
    <w:rsid w:val="00677EA5"/>
    <w:rsid w:val="006802F5"/>
    <w:rsid w:val="00680A1D"/>
    <w:rsid w:val="00682FA3"/>
    <w:rsid w:val="006833C1"/>
    <w:rsid w:val="0068364D"/>
    <w:rsid w:val="006908E1"/>
    <w:rsid w:val="00695FD8"/>
    <w:rsid w:val="006963C1"/>
    <w:rsid w:val="006A06C5"/>
    <w:rsid w:val="006A6218"/>
    <w:rsid w:val="006A6B7A"/>
    <w:rsid w:val="006C0232"/>
    <w:rsid w:val="006C06D5"/>
    <w:rsid w:val="006C0DEF"/>
    <w:rsid w:val="006C41F1"/>
    <w:rsid w:val="006D20AC"/>
    <w:rsid w:val="006E4373"/>
    <w:rsid w:val="006E574C"/>
    <w:rsid w:val="006E7E50"/>
    <w:rsid w:val="006F4552"/>
    <w:rsid w:val="006F7F38"/>
    <w:rsid w:val="00702046"/>
    <w:rsid w:val="00704D22"/>
    <w:rsid w:val="00705575"/>
    <w:rsid w:val="0070565B"/>
    <w:rsid w:val="00712BF4"/>
    <w:rsid w:val="00715174"/>
    <w:rsid w:val="00715D8D"/>
    <w:rsid w:val="007173E7"/>
    <w:rsid w:val="0072365D"/>
    <w:rsid w:val="007271B1"/>
    <w:rsid w:val="00730A64"/>
    <w:rsid w:val="00732467"/>
    <w:rsid w:val="0073468D"/>
    <w:rsid w:val="00735296"/>
    <w:rsid w:val="00740972"/>
    <w:rsid w:val="007415DC"/>
    <w:rsid w:val="00744B7C"/>
    <w:rsid w:val="00746B24"/>
    <w:rsid w:val="0075399E"/>
    <w:rsid w:val="00755113"/>
    <w:rsid w:val="00760A1D"/>
    <w:rsid w:val="0076619A"/>
    <w:rsid w:val="0077042A"/>
    <w:rsid w:val="0077530B"/>
    <w:rsid w:val="007816F5"/>
    <w:rsid w:val="0078369A"/>
    <w:rsid w:val="0078664C"/>
    <w:rsid w:val="00790BCD"/>
    <w:rsid w:val="00790EFF"/>
    <w:rsid w:val="007918E3"/>
    <w:rsid w:val="0079460F"/>
    <w:rsid w:val="00794A4A"/>
    <w:rsid w:val="00794FD4"/>
    <w:rsid w:val="007950B9"/>
    <w:rsid w:val="00797CA0"/>
    <w:rsid w:val="007A1F71"/>
    <w:rsid w:val="007B10DA"/>
    <w:rsid w:val="007B587E"/>
    <w:rsid w:val="007C661C"/>
    <w:rsid w:val="007D3611"/>
    <w:rsid w:val="007E0390"/>
    <w:rsid w:val="007E2C9B"/>
    <w:rsid w:val="007E417B"/>
    <w:rsid w:val="007E71C1"/>
    <w:rsid w:val="00800BB7"/>
    <w:rsid w:val="008060DB"/>
    <w:rsid w:val="00816440"/>
    <w:rsid w:val="0081754C"/>
    <w:rsid w:val="0081799C"/>
    <w:rsid w:val="00820100"/>
    <w:rsid w:val="00823756"/>
    <w:rsid w:val="008278D3"/>
    <w:rsid w:val="00835DCC"/>
    <w:rsid w:val="00835EB1"/>
    <w:rsid w:val="00835FA7"/>
    <w:rsid w:val="008378B7"/>
    <w:rsid w:val="008429EC"/>
    <w:rsid w:val="008441BB"/>
    <w:rsid w:val="00844AE8"/>
    <w:rsid w:val="008515F5"/>
    <w:rsid w:val="00852EA7"/>
    <w:rsid w:val="00856C59"/>
    <w:rsid w:val="00866185"/>
    <w:rsid w:val="0087069D"/>
    <w:rsid w:val="0087686D"/>
    <w:rsid w:val="008805A9"/>
    <w:rsid w:val="00884607"/>
    <w:rsid w:val="00884E39"/>
    <w:rsid w:val="00886741"/>
    <w:rsid w:val="008966F5"/>
    <w:rsid w:val="008A0197"/>
    <w:rsid w:val="008A290F"/>
    <w:rsid w:val="008A345A"/>
    <w:rsid w:val="008A511D"/>
    <w:rsid w:val="008B3C62"/>
    <w:rsid w:val="008B3C98"/>
    <w:rsid w:val="008C1D79"/>
    <w:rsid w:val="008C3232"/>
    <w:rsid w:val="008C36BE"/>
    <w:rsid w:val="008D257B"/>
    <w:rsid w:val="008D2DC6"/>
    <w:rsid w:val="008D3F65"/>
    <w:rsid w:val="008E0054"/>
    <w:rsid w:val="008E20AB"/>
    <w:rsid w:val="008E35AF"/>
    <w:rsid w:val="008E7216"/>
    <w:rsid w:val="008F3D1D"/>
    <w:rsid w:val="009007FA"/>
    <w:rsid w:val="00904313"/>
    <w:rsid w:val="00905C0C"/>
    <w:rsid w:val="00906B5C"/>
    <w:rsid w:val="009118A6"/>
    <w:rsid w:val="00913156"/>
    <w:rsid w:val="00915BF1"/>
    <w:rsid w:val="00917D56"/>
    <w:rsid w:val="00922BC9"/>
    <w:rsid w:val="00922EED"/>
    <w:rsid w:val="0092386B"/>
    <w:rsid w:val="00924C43"/>
    <w:rsid w:val="009272C8"/>
    <w:rsid w:val="00927B44"/>
    <w:rsid w:val="009363EA"/>
    <w:rsid w:val="00940EF3"/>
    <w:rsid w:val="009424D9"/>
    <w:rsid w:val="0094707F"/>
    <w:rsid w:val="00947FAC"/>
    <w:rsid w:val="00955F71"/>
    <w:rsid w:val="009563DC"/>
    <w:rsid w:val="00956DF7"/>
    <w:rsid w:val="00957030"/>
    <w:rsid w:val="009624D6"/>
    <w:rsid w:val="009659A5"/>
    <w:rsid w:val="0096635B"/>
    <w:rsid w:val="00973568"/>
    <w:rsid w:val="0097526B"/>
    <w:rsid w:val="00981C28"/>
    <w:rsid w:val="00981EEE"/>
    <w:rsid w:val="00987990"/>
    <w:rsid w:val="009A4619"/>
    <w:rsid w:val="009A49A8"/>
    <w:rsid w:val="009A5221"/>
    <w:rsid w:val="009A7304"/>
    <w:rsid w:val="009B6752"/>
    <w:rsid w:val="009C1B0F"/>
    <w:rsid w:val="009C1D23"/>
    <w:rsid w:val="009D0900"/>
    <w:rsid w:val="009D441C"/>
    <w:rsid w:val="009E37AA"/>
    <w:rsid w:val="009E617A"/>
    <w:rsid w:val="009F25FB"/>
    <w:rsid w:val="009F588A"/>
    <w:rsid w:val="009F75F3"/>
    <w:rsid w:val="00A01CB1"/>
    <w:rsid w:val="00A01D2C"/>
    <w:rsid w:val="00A045F7"/>
    <w:rsid w:val="00A061E5"/>
    <w:rsid w:val="00A066F1"/>
    <w:rsid w:val="00A0765B"/>
    <w:rsid w:val="00A10F90"/>
    <w:rsid w:val="00A138F9"/>
    <w:rsid w:val="00A13D08"/>
    <w:rsid w:val="00A14679"/>
    <w:rsid w:val="00A1540D"/>
    <w:rsid w:val="00A17B85"/>
    <w:rsid w:val="00A17BEA"/>
    <w:rsid w:val="00A17E0C"/>
    <w:rsid w:val="00A225DA"/>
    <w:rsid w:val="00A23A49"/>
    <w:rsid w:val="00A23CE7"/>
    <w:rsid w:val="00A25EF2"/>
    <w:rsid w:val="00A27968"/>
    <w:rsid w:val="00A31874"/>
    <w:rsid w:val="00A3233E"/>
    <w:rsid w:val="00A373E5"/>
    <w:rsid w:val="00A459BF"/>
    <w:rsid w:val="00A465BC"/>
    <w:rsid w:val="00A56DA0"/>
    <w:rsid w:val="00A56F06"/>
    <w:rsid w:val="00A602D4"/>
    <w:rsid w:val="00A652D0"/>
    <w:rsid w:val="00A700E6"/>
    <w:rsid w:val="00A71165"/>
    <w:rsid w:val="00A7444F"/>
    <w:rsid w:val="00A82891"/>
    <w:rsid w:val="00A83AF6"/>
    <w:rsid w:val="00A83C18"/>
    <w:rsid w:val="00A85188"/>
    <w:rsid w:val="00A860EF"/>
    <w:rsid w:val="00A87B46"/>
    <w:rsid w:val="00A9381A"/>
    <w:rsid w:val="00AA0000"/>
    <w:rsid w:val="00AA0240"/>
    <w:rsid w:val="00AA1AE3"/>
    <w:rsid w:val="00AA4075"/>
    <w:rsid w:val="00AA5250"/>
    <w:rsid w:val="00AB21BF"/>
    <w:rsid w:val="00AB5970"/>
    <w:rsid w:val="00AC3085"/>
    <w:rsid w:val="00AC6BE6"/>
    <w:rsid w:val="00AD5F91"/>
    <w:rsid w:val="00AE1215"/>
    <w:rsid w:val="00AE1495"/>
    <w:rsid w:val="00AF054D"/>
    <w:rsid w:val="00AF1374"/>
    <w:rsid w:val="00AF1EE3"/>
    <w:rsid w:val="00AF555D"/>
    <w:rsid w:val="00AF6AAF"/>
    <w:rsid w:val="00B0322C"/>
    <w:rsid w:val="00B0388E"/>
    <w:rsid w:val="00B05177"/>
    <w:rsid w:val="00B054F8"/>
    <w:rsid w:val="00B10C52"/>
    <w:rsid w:val="00B112B3"/>
    <w:rsid w:val="00B11532"/>
    <w:rsid w:val="00B14193"/>
    <w:rsid w:val="00B204A4"/>
    <w:rsid w:val="00B222CB"/>
    <w:rsid w:val="00B22590"/>
    <w:rsid w:val="00B22B53"/>
    <w:rsid w:val="00B236D5"/>
    <w:rsid w:val="00B26611"/>
    <w:rsid w:val="00B45259"/>
    <w:rsid w:val="00B45AEE"/>
    <w:rsid w:val="00B46665"/>
    <w:rsid w:val="00B46EB5"/>
    <w:rsid w:val="00B51219"/>
    <w:rsid w:val="00B51239"/>
    <w:rsid w:val="00B53083"/>
    <w:rsid w:val="00B530C8"/>
    <w:rsid w:val="00B55A2F"/>
    <w:rsid w:val="00B61CB8"/>
    <w:rsid w:val="00B63B44"/>
    <w:rsid w:val="00B70E06"/>
    <w:rsid w:val="00B73BF0"/>
    <w:rsid w:val="00B82901"/>
    <w:rsid w:val="00B85092"/>
    <w:rsid w:val="00B90446"/>
    <w:rsid w:val="00B92750"/>
    <w:rsid w:val="00B94A12"/>
    <w:rsid w:val="00B95250"/>
    <w:rsid w:val="00BA1770"/>
    <w:rsid w:val="00BA1E7B"/>
    <w:rsid w:val="00BA433B"/>
    <w:rsid w:val="00BA56E9"/>
    <w:rsid w:val="00BA7A18"/>
    <w:rsid w:val="00BB2746"/>
    <w:rsid w:val="00BB3CAB"/>
    <w:rsid w:val="00BB641C"/>
    <w:rsid w:val="00BC4636"/>
    <w:rsid w:val="00BD0849"/>
    <w:rsid w:val="00BD210E"/>
    <w:rsid w:val="00BD41EA"/>
    <w:rsid w:val="00BD626F"/>
    <w:rsid w:val="00BE112A"/>
    <w:rsid w:val="00BE366D"/>
    <w:rsid w:val="00BE3869"/>
    <w:rsid w:val="00BE3900"/>
    <w:rsid w:val="00BF5612"/>
    <w:rsid w:val="00BF7385"/>
    <w:rsid w:val="00C0479E"/>
    <w:rsid w:val="00C12920"/>
    <w:rsid w:val="00C147F8"/>
    <w:rsid w:val="00C20D48"/>
    <w:rsid w:val="00C22259"/>
    <w:rsid w:val="00C22970"/>
    <w:rsid w:val="00C269FD"/>
    <w:rsid w:val="00C30DF0"/>
    <w:rsid w:val="00C313E4"/>
    <w:rsid w:val="00C33F93"/>
    <w:rsid w:val="00C350F8"/>
    <w:rsid w:val="00C411DD"/>
    <w:rsid w:val="00C41D94"/>
    <w:rsid w:val="00C42DA5"/>
    <w:rsid w:val="00C434C4"/>
    <w:rsid w:val="00C51D6B"/>
    <w:rsid w:val="00C55800"/>
    <w:rsid w:val="00C56F64"/>
    <w:rsid w:val="00C57248"/>
    <w:rsid w:val="00C61D52"/>
    <w:rsid w:val="00C65DF0"/>
    <w:rsid w:val="00C67168"/>
    <w:rsid w:val="00C67868"/>
    <w:rsid w:val="00C67C7F"/>
    <w:rsid w:val="00C71021"/>
    <w:rsid w:val="00C7128B"/>
    <w:rsid w:val="00C73083"/>
    <w:rsid w:val="00C7601F"/>
    <w:rsid w:val="00C76308"/>
    <w:rsid w:val="00C76F28"/>
    <w:rsid w:val="00C775C9"/>
    <w:rsid w:val="00C812E9"/>
    <w:rsid w:val="00C91DC4"/>
    <w:rsid w:val="00C937F3"/>
    <w:rsid w:val="00C9537D"/>
    <w:rsid w:val="00CA4A48"/>
    <w:rsid w:val="00CA7648"/>
    <w:rsid w:val="00CB17B8"/>
    <w:rsid w:val="00CB35D6"/>
    <w:rsid w:val="00CB3B75"/>
    <w:rsid w:val="00CB55C0"/>
    <w:rsid w:val="00CC0E66"/>
    <w:rsid w:val="00CC4C48"/>
    <w:rsid w:val="00CC56ED"/>
    <w:rsid w:val="00CD2BE6"/>
    <w:rsid w:val="00CD4886"/>
    <w:rsid w:val="00CD5C9A"/>
    <w:rsid w:val="00CD6F96"/>
    <w:rsid w:val="00CE3086"/>
    <w:rsid w:val="00CE478C"/>
    <w:rsid w:val="00CF36A6"/>
    <w:rsid w:val="00CF4479"/>
    <w:rsid w:val="00D1031A"/>
    <w:rsid w:val="00D13B62"/>
    <w:rsid w:val="00D26303"/>
    <w:rsid w:val="00D3002A"/>
    <w:rsid w:val="00D3733D"/>
    <w:rsid w:val="00D4152D"/>
    <w:rsid w:val="00D466A6"/>
    <w:rsid w:val="00D5011B"/>
    <w:rsid w:val="00D55CCB"/>
    <w:rsid w:val="00D61539"/>
    <w:rsid w:val="00D647F7"/>
    <w:rsid w:val="00D65B1B"/>
    <w:rsid w:val="00D75665"/>
    <w:rsid w:val="00D807F1"/>
    <w:rsid w:val="00D85C0E"/>
    <w:rsid w:val="00D96492"/>
    <w:rsid w:val="00D97760"/>
    <w:rsid w:val="00D97E4C"/>
    <w:rsid w:val="00DA2889"/>
    <w:rsid w:val="00DA55DC"/>
    <w:rsid w:val="00DB33A7"/>
    <w:rsid w:val="00DB3FCC"/>
    <w:rsid w:val="00DB5FAE"/>
    <w:rsid w:val="00DC5B35"/>
    <w:rsid w:val="00DC79AC"/>
    <w:rsid w:val="00DD5961"/>
    <w:rsid w:val="00DE1A69"/>
    <w:rsid w:val="00DE5993"/>
    <w:rsid w:val="00DF14F5"/>
    <w:rsid w:val="00DF642E"/>
    <w:rsid w:val="00DF6B69"/>
    <w:rsid w:val="00DF6C8A"/>
    <w:rsid w:val="00DF6CED"/>
    <w:rsid w:val="00E00A64"/>
    <w:rsid w:val="00E00ACE"/>
    <w:rsid w:val="00E027BA"/>
    <w:rsid w:val="00E11477"/>
    <w:rsid w:val="00E1286B"/>
    <w:rsid w:val="00E13DCA"/>
    <w:rsid w:val="00E14CA9"/>
    <w:rsid w:val="00E14E18"/>
    <w:rsid w:val="00E175E5"/>
    <w:rsid w:val="00E23D3C"/>
    <w:rsid w:val="00E241FD"/>
    <w:rsid w:val="00E257AF"/>
    <w:rsid w:val="00E25B72"/>
    <w:rsid w:val="00E3619F"/>
    <w:rsid w:val="00E37DAB"/>
    <w:rsid w:val="00E4494B"/>
    <w:rsid w:val="00E568FE"/>
    <w:rsid w:val="00E57B16"/>
    <w:rsid w:val="00E618B1"/>
    <w:rsid w:val="00E70AA9"/>
    <w:rsid w:val="00E74E52"/>
    <w:rsid w:val="00E753DB"/>
    <w:rsid w:val="00E836AD"/>
    <w:rsid w:val="00E92BC6"/>
    <w:rsid w:val="00E96D14"/>
    <w:rsid w:val="00EA2252"/>
    <w:rsid w:val="00EA34D9"/>
    <w:rsid w:val="00EC0E32"/>
    <w:rsid w:val="00EC4735"/>
    <w:rsid w:val="00EC4806"/>
    <w:rsid w:val="00ED1BE7"/>
    <w:rsid w:val="00ED3376"/>
    <w:rsid w:val="00ED3618"/>
    <w:rsid w:val="00ED63BD"/>
    <w:rsid w:val="00ED7068"/>
    <w:rsid w:val="00ED79AE"/>
    <w:rsid w:val="00EE21AA"/>
    <w:rsid w:val="00EE2EA3"/>
    <w:rsid w:val="00EE4919"/>
    <w:rsid w:val="00EE5339"/>
    <w:rsid w:val="00EE6E88"/>
    <w:rsid w:val="00EF1E02"/>
    <w:rsid w:val="00EF32CF"/>
    <w:rsid w:val="00EF5112"/>
    <w:rsid w:val="00F01136"/>
    <w:rsid w:val="00F02B8E"/>
    <w:rsid w:val="00F04E3C"/>
    <w:rsid w:val="00F06F9D"/>
    <w:rsid w:val="00F10265"/>
    <w:rsid w:val="00F11AB6"/>
    <w:rsid w:val="00F122B8"/>
    <w:rsid w:val="00F14644"/>
    <w:rsid w:val="00F15987"/>
    <w:rsid w:val="00F1691A"/>
    <w:rsid w:val="00F16D42"/>
    <w:rsid w:val="00F23161"/>
    <w:rsid w:val="00F24F2A"/>
    <w:rsid w:val="00F277F2"/>
    <w:rsid w:val="00F30FD2"/>
    <w:rsid w:val="00F3157B"/>
    <w:rsid w:val="00F41128"/>
    <w:rsid w:val="00F428C5"/>
    <w:rsid w:val="00F44AF0"/>
    <w:rsid w:val="00F46963"/>
    <w:rsid w:val="00F46EB5"/>
    <w:rsid w:val="00F47837"/>
    <w:rsid w:val="00F47BDB"/>
    <w:rsid w:val="00F51B96"/>
    <w:rsid w:val="00F51F6B"/>
    <w:rsid w:val="00F53E5F"/>
    <w:rsid w:val="00F56AAF"/>
    <w:rsid w:val="00F6006E"/>
    <w:rsid w:val="00F6260F"/>
    <w:rsid w:val="00F71292"/>
    <w:rsid w:val="00F8006A"/>
    <w:rsid w:val="00F81174"/>
    <w:rsid w:val="00F866CA"/>
    <w:rsid w:val="00F87E04"/>
    <w:rsid w:val="00F913D0"/>
    <w:rsid w:val="00F91449"/>
    <w:rsid w:val="00F92A6D"/>
    <w:rsid w:val="00F93B98"/>
    <w:rsid w:val="00F96388"/>
    <w:rsid w:val="00F97BEC"/>
    <w:rsid w:val="00FA09CF"/>
    <w:rsid w:val="00FB13A5"/>
    <w:rsid w:val="00FB4EDF"/>
    <w:rsid w:val="00FB786D"/>
    <w:rsid w:val="00FC03D9"/>
    <w:rsid w:val="00FC4B0D"/>
    <w:rsid w:val="00FC657A"/>
    <w:rsid w:val="00FC6F59"/>
    <w:rsid w:val="00FE3561"/>
    <w:rsid w:val="00FE3C9B"/>
    <w:rsid w:val="00FE7565"/>
    <w:rsid w:val="00FF4FB1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920"/>
    <w:pPr>
      <w:spacing w:before="240"/>
    </w:pPr>
    <w:rPr>
      <w:sz w:val="24"/>
    </w:rPr>
  </w:style>
  <w:style w:type="paragraph" w:styleId="Heading1">
    <w:name w:val="heading 1"/>
    <w:basedOn w:val="Normal"/>
    <w:next w:val="Normal"/>
    <w:qFormat/>
    <w:rsid w:val="004325F5"/>
    <w:pPr>
      <w:keepNext/>
      <w:numPr>
        <w:numId w:val="4"/>
      </w:numPr>
      <w:spacing w:before="0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4325F5"/>
    <w:pPr>
      <w:keepNext/>
      <w:numPr>
        <w:ilvl w:val="1"/>
        <w:numId w:val="4"/>
      </w:numPr>
      <w:spacing w:before="3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325F5"/>
    <w:pPr>
      <w:keepNext/>
      <w:tabs>
        <w:tab w:val="left" w:pos="720"/>
      </w:tabs>
      <w:spacing w:before="360" w:after="120"/>
      <w:ind w:left="720" w:hanging="7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4325F5"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qFormat/>
    <w:rsid w:val="004325F5"/>
    <w:pPr>
      <w:keepNext/>
      <w:tabs>
        <w:tab w:val="left" w:pos="2018"/>
      </w:tabs>
      <w:spacing w:line="240" w:lineRule="exact"/>
      <w:ind w:left="742" w:right="91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325F5"/>
    <w:pPr>
      <w:keepNext/>
      <w:ind w:right="91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4325F5"/>
    <w:pPr>
      <w:keepNext/>
      <w:ind w:left="176" w:firstLine="1264"/>
      <w:jc w:val="both"/>
      <w:outlineLvl w:val="6"/>
    </w:pPr>
  </w:style>
  <w:style w:type="paragraph" w:styleId="Heading8">
    <w:name w:val="heading 8"/>
    <w:basedOn w:val="Normal"/>
    <w:next w:val="Normal"/>
    <w:qFormat/>
    <w:rsid w:val="004325F5"/>
    <w:pPr>
      <w:keepNext/>
      <w:tabs>
        <w:tab w:val="left" w:pos="4002"/>
      </w:tabs>
      <w:ind w:left="3216" w:hanging="347"/>
      <w:outlineLvl w:val="7"/>
    </w:pPr>
  </w:style>
  <w:style w:type="paragraph" w:styleId="Heading9">
    <w:name w:val="heading 9"/>
    <w:basedOn w:val="Normal"/>
    <w:next w:val="Normal"/>
    <w:qFormat/>
    <w:rsid w:val="004325F5"/>
    <w:pPr>
      <w:keepNext/>
      <w:tabs>
        <w:tab w:val="left" w:pos="4002"/>
      </w:tabs>
      <w:ind w:left="2869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325F5"/>
    <w:pPr>
      <w:tabs>
        <w:tab w:val="center" w:pos="4153"/>
        <w:tab w:val="right" w:pos="8306"/>
      </w:tabs>
    </w:pPr>
  </w:style>
  <w:style w:type="paragraph" w:customStyle="1" w:styleId="HB-Table-dotpoint">
    <w:name w:val="HB - Table - dot point"/>
    <w:basedOn w:val="Normal"/>
    <w:rsid w:val="004325F5"/>
    <w:pPr>
      <w:numPr>
        <w:numId w:val="5"/>
      </w:numPr>
      <w:tabs>
        <w:tab w:val="clear" w:pos="720"/>
        <w:tab w:val="num" w:pos="567"/>
      </w:tabs>
      <w:spacing w:before="120" w:after="120"/>
      <w:ind w:left="567" w:hanging="425"/>
    </w:pPr>
  </w:style>
  <w:style w:type="paragraph" w:customStyle="1" w:styleId="Appendix">
    <w:name w:val="Appendix"/>
    <w:basedOn w:val="Normal"/>
    <w:rsid w:val="004325F5"/>
    <w:pPr>
      <w:spacing w:before="0"/>
      <w:jc w:val="right"/>
    </w:pPr>
    <w:rPr>
      <w:b/>
    </w:rPr>
  </w:style>
  <w:style w:type="character" w:customStyle="1" w:styleId="AppendixCharChar">
    <w:name w:val="Appendix Char Char"/>
    <w:basedOn w:val="DefaultParagraphFont"/>
    <w:rsid w:val="004325F5"/>
    <w:rPr>
      <w:b/>
      <w:sz w:val="24"/>
      <w:lang w:val="en-AU" w:eastAsia="en-AU" w:bidi="ar-SA"/>
    </w:rPr>
  </w:style>
  <w:style w:type="paragraph" w:styleId="BlockText">
    <w:name w:val="Block Text"/>
    <w:basedOn w:val="Normal"/>
    <w:rsid w:val="004325F5"/>
    <w:pPr>
      <w:ind w:left="1440" w:right="90" w:hanging="720"/>
    </w:pPr>
  </w:style>
  <w:style w:type="paragraph" w:customStyle="1" w:styleId="AppendixTitle">
    <w:name w:val="Appendix Title"/>
    <w:basedOn w:val="Normal"/>
    <w:rsid w:val="004325F5"/>
    <w:pPr>
      <w:jc w:val="center"/>
    </w:pPr>
    <w:rPr>
      <w:b/>
    </w:rPr>
  </w:style>
  <w:style w:type="paragraph" w:styleId="DocumentMap">
    <w:name w:val="Document Map"/>
    <w:basedOn w:val="Normal"/>
    <w:semiHidden/>
    <w:rsid w:val="004325F5"/>
    <w:pPr>
      <w:shd w:val="clear" w:color="auto" w:fill="000080"/>
    </w:pPr>
    <w:rPr>
      <w:rFonts w:ascii="Tahoma" w:hAnsi="Tahoma" w:cs="Tahoma"/>
      <w:sz w:val="20"/>
    </w:rPr>
  </w:style>
  <w:style w:type="paragraph" w:styleId="TOC1">
    <w:name w:val="toc 1"/>
    <w:basedOn w:val="Normal"/>
    <w:next w:val="Normal"/>
    <w:autoRedefine/>
    <w:semiHidden/>
    <w:rsid w:val="004325F5"/>
    <w:pPr>
      <w:tabs>
        <w:tab w:val="left" w:pos="284"/>
        <w:tab w:val="right" w:leader="dot" w:pos="8303"/>
      </w:tabs>
      <w:spacing w:before="120" w:after="120"/>
      <w:ind w:left="284" w:hanging="284"/>
    </w:pPr>
    <w:rPr>
      <w:b/>
      <w:szCs w:val="24"/>
    </w:rPr>
  </w:style>
  <w:style w:type="paragraph" w:styleId="TOC2">
    <w:name w:val="toc 2"/>
    <w:basedOn w:val="Normal"/>
    <w:next w:val="Normal"/>
    <w:semiHidden/>
    <w:rsid w:val="004325F5"/>
    <w:pPr>
      <w:spacing w:before="120" w:after="120"/>
      <w:ind w:left="240"/>
    </w:pPr>
    <w:rPr>
      <w:szCs w:val="24"/>
    </w:rPr>
  </w:style>
  <w:style w:type="paragraph" w:styleId="TOC3">
    <w:name w:val="toc 3"/>
    <w:basedOn w:val="Normal"/>
    <w:next w:val="Normal"/>
    <w:semiHidden/>
    <w:rsid w:val="004325F5"/>
    <w:pPr>
      <w:spacing w:before="120" w:after="12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4325F5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4325F5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4325F5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4325F5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4325F5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4325F5"/>
    <w:pPr>
      <w:ind w:left="1920"/>
    </w:pPr>
    <w:rPr>
      <w:sz w:val="18"/>
    </w:rPr>
  </w:style>
  <w:style w:type="character" w:customStyle="1" w:styleId="HB-Paragraph-unnumberedCharChar">
    <w:name w:val="HB - Paragraph - unnumbered Char Char"/>
    <w:basedOn w:val="DefaultParagraphFont"/>
    <w:rsid w:val="004325F5"/>
    <w:rPr>
      <w:sz w:val="24"/>
      <w:lang w:val="en-AU" w:eastAsia="en-AU" w:bidi="ar-SA"/>
    </w:rPr>
  </w:style>
  <w:style w:type="paragraph" w:customStyle="1" w:styleId="HB-Paragraph-unnumbered">
    <w:name w:val="HB - Paragraph - unnumbered"/>
    <w:basedOn w:val="Normal"/>
    <w:rsid w:val="004325F5"/>
    <w:pPr>
      <w:ind w:left="851"/>
    </w:pPr>
  </w:style>
  <w:style w:type="paragraph" w:customStyle="1" w:styleId="HB-dotpoint">
    <w:name w:val="HB - dotpoint"/>
    <w:basedOn w:val="Normal"/>
    <w:rsid w:val="004325F5"/>
    <w:pPr>
      <w:numPr>
        <w:numId w:val="1"/>
      </w:numPr>
      <w:spacing w:before="180"/>
    </w:pPr>
  </w:style>
  <w:style w:type="paragraph" w:customStyle="1" w:styleId="HBTOC1">
    <w:name w:val="HBTOC1"/>
    <w:basedOn w:val="TOC1"/>
    <w:autoRedefine/>
    <w:rsid w:val="004325F5"/>
    <w:pPr>
      <w:tabs>
        <w:tab w:val="left" w:pos="720"/>
      </w:tabs>
      <w:spacing w:before="360"/>
      <w:ind w:left="1440" w:hanging="731"/>
    </w:pPr>
    <w:rPr>
      <w:caps/>
      <w:noProof/>
    </w:rPr>
  </w:style>
  <w:style w:type="paragraph" w:customStyle="1" w:styleId="HBTOC2">
    <w:name w:val="HBTOC2"/>
    <w:basedOn w:val="TOC2"/>
    <w:autoRedefine/>
    <w:rsid w:val="004325F5"/>
    <w:pPr>
      <w:tabs>
        <w:tab w:val="left" w:pos="1440"/>
        <w:tab w:val="right" w:leader="dot" w:pos="8301"/>
      </w:tabs>
      <w:ind w:left="1440" w:hanging="720"/>
    </w:pPr>
    <w:rPr>
      <w:smallCaps/>
      <w:noProof/>
    </w:rPr>
  </w:style>
  <w:style w:type="paragraph" w:customStyle="1" w:styleId="HBTOC3">
    <w:name w:val="HBTOC3"/>
    <w:basedOn w:val="TOC3"/>
    <w:autoRedefine/>
    <w:rsid w:val="004325F5"/>
    <w:pPr>
      <w:tabs>
        <w:tab w:val="right" w:pos="2268"/>
        <w:tab w:val="right" w:leader="dot" w:pos="8303"/>
      </w:tabs>
      <w:ind w:left="2160" w:hanging="720"/>
    </w:pPr>
    <w:rPr>
      <w:noProof/>
    </w:rPr>
  </w:style>
  <w:style w:type="paragraph" w:styleId="BalloonText">
    <w:name w:val="Balloon Text"/>
    <w:basedOn w:val="Normal"/>
    <w:semiHidden/>
    <w:rsid w:val="004325F5"/>
    <w:rPr>
      <w:rFonts w:ascii="Tahoma" w:hAnsi="Tahoma" w:cs="Tahoma"/>
      <w:sz w:val="16"/>
      <w:szCs w:val="16"/>
    </w:rPr>
  </w:style>
  <w:style w:type="paragraph" w:customStyle="1" w:styleId="HB-Paragraph">
    <w:name w:val="HB - Paragraph"/>
    <w:basedOn w:val="Normal"/>
    <w:rsid w:val="004325F5"/>
    <w:pPr>
      <w:numPr>
        <w:ilvl w:val="2"/>
        <w:numId w:val="4"/>
      </w:numPr>
      <w:spacing w:before="120" w:after="120"/>
    </w:pPr>
  </w:style>
  <w:style w:type="character" w:customStyle="1" w:styleId="HB-ParagraphCharChar">
    <w:name w:val="HB - Paragraph Char Char"/>
    <w:basedOn w:val="DefaultParagraphFont"/>
    <w:rsid w:val="004325F5"/>
    <w:rPr>
      <w:sz w:val="24"/>
      <w:lang w:val="en-AU" w:eastAsia="en-AU" w:bidi="ar-SA"/>
    </w:rPr>
  </w:style>
  <w:style w:type="paragraph" w:customStyle="1" w:styleId="HB-Paragraph-alphpoint">
    <w:name w:val="HB - Paragraph - alph point"/>
    <w:basedOn w:val="Normal"/>
    <w:rsid w:val="004325F5"/>
    <w:pPr>
      <w:numPr>
        <w:numId w:val="3"/>
      </w:numPr>
      <w:spacing w:before="120"/>
    </w:pPr>
  </w:style>
  <w:style w:type="paragraph" w:customStyle="1" w:styleId="Indentedtext">
    <w:name w:val="Indented text"/>
    <w:basedOn w:val="Normal"/>
    <w:rsid w:val="004325F5"/>
    <w:pPr>
      <w:tabs>
        <w:tab w:val="left" w:pos="720"/>
      </w:tabs>
      <w:spacing w:before="0"/>
      <w:ind w:left="1440"/>
    </w:pPr>
  </w:style>
  <w:style w:type="character" w:styleId="Hyperlink">
    <w:name w:val="Hyperlink"/>
    <w:basedOn w:val="DefaultParagraphFont"/>
    <w:rsid w:val="004325F5"/>
    <w:rPr>
      <w:color w:val="0000FF"/>
      <w:u w:val="single"/>
    </w:rPr>
  </w:style>
  <w:style w:type="paragraph" w:styleId="Title">
    <w:name w:val="Title"/>
    <w:basedOn w:val="Normal"/>
    <w:qFormat/>
    <w:rsid w:val="004325F5"/>
    <w:pPr>
      <w:spacing w:before="0"/>
      <w:jc w:val="center"/>
    </w:pPr>
    <w:rPr>
      <w:b/>
      <w:sz w:val="36"/>
    </w:rPr>
  </w:style>
  <w:style w:type="paragraph" w:customStyle="1" w:styleId="HB-Table-Subpoint">
    <w:name w:val="HB - Table - Subpoint"/>
    <w:basedOn w:val="Normal"/>
    <w:rsid w:val="004325F5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Header">
    <w:name w:val="header"/>
    <w:basedOn w:val="Normal"/>
    <w:rsid w:val="004325F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4325F5"/>
    <w:pPr>
      <w:spacing w:before="100" w:beforeAutospacing="1" w:after="100" w:afterAutospacing="1"/>
      <w:ind w:left="300"/>
    </w:pPr>
    <w:rPr>
      <w:szCs w:val="24"/>
    </w:rPr>
  </w:style>
  <w:style w:type="character" w:styleId="Strong">
    <w:name w:val="Strong"/>
    <w:basedOn w:val="DefaultParagraphFont"/>
    <w:qFormat/>
    <w:rsid w:val="004325F5"/>
    <w:rPr>
      <w:b/>
      <w:bCs/>
    </w:rPr>
  </w:style>
  <w:style w:type="paragraph" w:customStyle="1" w:styleId="ParaNumbering">
    <w:name w:val="Para Numbering"/>
    <w:basedOn w:val="Normal"/>
    <w:rsid w:val="00300BBE"/>
    <w:pPr>
      <w:numPr>
        <w:numId w:val="6"/>
      </w:numPr>
      <w:tabs>
        <w:tab w:val="left" w:pos="567"/>
      </w:tabs>
      <w:spacing w:before="0" w:after="240" w:line="240" w:lineRule="atLeast"/>
    </w:pPr>
    <w:rPr>
      <w:lang w:eastAsia="en-US"/>
    </w:rPr>
  </w:style>
  <w:style w:type="paragraph" w:customStyle="1" w:styleId="normal0">
    <w:name w:val="normal"/>
    <w:basedOn w:val="Normal"/>
    <w:rsid w:val="008A345A"/>
    <w:pPr>
      <w:spacing w:before="100" w:beforeAutospacing="1" w:after="100" w:afterAutospacing="1"/>
      <w:ind w:firstLine="240"/>
    </w:pPr>
    <w:rPr>
      <w:szCs w:val="24"/>
    </w:rPr>
  </w:style>
  <w:style w:type="character" w:customStyle="1" w:styleId="normal--char">
    <w:name w:val="normal--char"/>
    <w:basedOn w:val="DefaultParagraphFont"/>
    <w:rsid w:val="008A345A"/>
  </w:style>
  <w:style w:type="character" w:styleId="PageNumber">
    <w:name w:val="page number"/>
    <w:basedOn w:val="DefaultParagraphFont"/>
    <w:rsid w:val="0039743C"/>
  </w:style>
  <w:style w:type="character" w:styleId="Emphasis">
    <w:name w:val="Emphasis"/>
    <w:basedOn w:val="DefaultParagraphFont"/>
    <w:qFormat/>
    <w:rsid w:val="00633B7C"/>
    <w:rPr>
      <w:i/>
      <w:iCs/>
    </w:rPr>
  </w:style>
  <w:style w:type="paragraph" w:customStyle="1" w:styleId="NumberList">
    <w:name w:val="Number List"/>
    <w:basedOn w:val="Normal"/>
    <w:rsid w:val="009E617A"/>
    <w:pPr>
      <w:numPr>
        <w:numId w:val="7"/>
      </w:numPr>
      <w:tabs>
        <w:tab w:val="left" w:pos="1985"/>
      </w:tabs>
      <w:spacing w:line="240" w:lineRule="atLeast"/>
    </w:pPr>
    <w:rPr>
      <w:szCs w:val="24"/>
      <w:lang w:eastAsia="en-US"/>
    </w:rPr>
  </w:style>
  <w:style w:type="paragraph" w:customStyle="1" w:styleId="NumberListSub">
    <w:name w:val="Number List Sub"/>
    <w:basedOn w:val="NumberList"/>
    <w:rsid w:val="009E617A"/>
    <w:pPr>
      <w:numPr>
        <w:ilvl w:val="1"/>
      </w:numPr>
      <w:tabs>
        <w:tab w:val="left" w:pos="2552"/>
      </w:tabs>
    </w:pPr>
  </w:style>
  <w:style w:type="character" w:customStyle="1" w:styleId="EmailStyle551">
    <w:name w:val="EmailStyle55"/>
    <w:aliases w:val="EmailStyle55"/>
    <w:basedOn w:val="DefaultParagraphFont"/>
    <w:semiHidden/>
    <w:personal/>
    <w:personalReply/>
    <w:rsid w:val="00DE5993"/>
    <w:rPr>
      <w:rFonts w:ascii="Arial" w:hAnsi="Arial" w:cs="Arial" w:hint="default"/>
      <w:color w:val="000080"/>
      <w:sz w:val="20"/>
      <w:szCs w:val="20"/>
    </w:rPr>
  </w:style>
  <w:style w:type="paragraph" w:customStyle="1" w:styleId="notetext">
    <w:name w:val="note(text)"/>
    <w:aliases w:val="n"/>
    <w:rsid w:val="006A6B7A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Definition">
    <w:name w:val="Definition"/>
    <w:aliases w:val="dd"/>
    <w:basedOn w:val="Normal"/>
    <w:rsid w:val="006A6B7A"/>
    <w:pPr>
      <w:spacing w:before="180"/>
      <w:ind w:left="1134"/>
    </w:pPr>
    <w:rPr>
      <w:sz w:val="22"/>
      <w:szCs w:val="24"/>
    </w:rPr>
  </w:style>
  <w:style w:type="paragraph" w:customStyle="1" w:styleId="paragraph">
    <w:name w:val="paragraph"/>
    <w:aliases w:val="a"/>
    <w:rsid w:val="006A6B7A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C41F1"/>
    <w:pPr>
      <w:spacing w:before="0"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C41F1"/>
    <w:rPr>
      <w:sz w:val="16"/>
      <w:szCs w:val="16"/>
      <w:lang w:eastAsia="en-US"/>
    </w:rPr>
  </w:style>
  <w:style w:type="paragraph" w:customStyle="1" w:styleId="R1">
    <w:name w:val="R1"/>
    <w:aliases w:val="1. or 1.(1)"/>
    <w:basedOn w:val="Normal"/>
    <w:next w:val="Normal"/>
    <w:rsid w:val="006C41F1"/>
    <w:pPr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74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Executive Council Handbook - Appendix E3</vt:lpstr>
    </vt:vector>
  </TitlesOfParts>
  <Company>Dept. Prime Minister &amp; Cabinet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Executive Council Handbook - Appendix E3</dc:title>
  <dc:creator>Dept. Prime Minister &amp; Cabinet</dc:creator>
  <cp:lastModifiedBy>mowmar</cp:lastModifiedBy>
  <cp:revision>2</cp:revision>
  <cp:lastPrinted>2010-12-20T21:56:00Z</cp:lastPrinted>
  <dcterms:created xsi:type="dcterms:W3CDTF">2012-06-29T07:58:00Z</dcterms:created>
  <dcterms:modified xsi:type="dcterms:W3CDTF">2012-06-29T07:58:00Z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