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18" w:rsidRDefault="00925C18" w:rsidP="008B45B8">
      <w:pPr>
        <w:spacing w:before="0"/>
        <w:ind w:right="91"/>
        <w:jc w:val="center"/>
      </w:pPr>
      <w:r>
        <w:rPr>
          <w:b/>
          <w:bCs/>
          <w:u w:val="single"/>
        </w:rPr>
        <w:t>EXPLANATORY STATEMENT</w:t>
      </w:r>
    </w:p>
    <w:p w:rsidR="00925C18" w:rsidRDefault="00925C18" w:rsidP="00925C18">
      <w:pPr>
        <w:spacing w:before="0"/>
        <w:ind w:right="91"/>
        <w:jc w:val="center"/>
      </w:pPr>
    </w:p>
    <w:p w:rsidR="00925C18" w:rsidRPr="008B45B8" w:rsidRDefault="00925C18" w:rsidP="008B45B8">
      <w:pPr>
        <w:spacing w:before="0"/>
        <w:ind w:right="91"/>
        <w:jc w:val="center"/>
        <w:rPr>
          <w:b/>
          <w:u w:val="single"/>
        </w:rPr>
      </w:pPr>
      <w:r w:rsidRPr="00686BFF">
        <w:rPr>
          <w:b/>
          <w:u w:val="single"/>
        </w:rPr>
        <w:t>Select Legislative Instrument</w:t>
      </w:r>
      <w:r w:rsidRPr="008B45B8">
        <w:rPr>
          <w:b/>
          <w:u w:val="single"/>
        </w:rPr>
        <w:t xml:space="preserve"> 2012 </w:t>
      </w:r>
      <w:r w:rsidRPr="00686BFF">
        <w:rPr>
          <w:b/>
          <w:u w:val="single"/>
        </w:rPr>
        <w:t>No.</w:t>
      </w:r>
      <w:r>
        <w:rPr>
          <w:b/>
          <w:u w:val="single"/>
        </w:rPr>
        <w:t xml:space="preserve"> </w:t>
      </w:r>
      <w:r w:rsidR="00A34B9D">
        <w:rPr>
          <w:b/>
          <w:u w:val="single"/>
        </w:rPr>
        <w:t>168</w:t>
      </w:r>
    </w:p>
    <w:p w:rsidR="00925C18" w:rsidRPr="008B45B8" w:rsidRDefault="00925C18" w:rsidP="008B45B8">
      <w:pPr>
        <w:spacing w:before="0"/>
        <w:ind w:right="91"/>
        <w:jc w:val="center"/>
        <w:rPr>
          <w:u w:val="single"/>
        </w:rPr>
      </w:pPr>
    </w:p>
    <w:p w:rsidR="00167189" w:rsidRDefault="00925C18" w:rsidP="00167189">
      <w:pPr>
        <w:spacing w:before="0"/>
        <w:ind w:right="91"/>
        <w:jc w:val="center"/>
        <w:rPr>
          <w:i/>
          <w:iCs/>
        </w:rPr>
      </w:pPr>
      <w:r w:rsidRPr="008B45B8">
        <w:rPr>
          <w:i/>
        </w:rPr>
        <w:t>National Health Act 1953</w:t>
      </w:r>
    </w:p>
    <w:p w:rsidR="00167189" w:rsidRDefault="00925C18" w:rsidP="00167189">
      <w:pPr>
        <w:spacing w:before="0"/>
        <w:ind w:right="91"/>
        <w:jc w:val="center"/>
        <w:rPr>
          <w:iCs/>
          <w:lang w:val="en-US" w:eastAsia="en-US"/>
        </w:rPr>
      </w:pPr>
      <w:r w:rsidRPr="00925C18">
        <w:rPr>
          <w:iCs/>
          <w:lang w:val="en-US" w:eastAsia="en-US"/>
        </w:rPr>
        <w:t>and</w:t>
      </w:r>
    </w:p>
    <w:p w:rsidR="00925C18" w:rsidRPr="008B45B8" w:rsidRDefault="00925C18" w:rsidP="008B45B8">
      <w:pPr>
        <w:spacing w:before="0"/>
        <w:ind w:right="91"/>
        <w:jc w:val="center"/>
        <w:rPr>
          <w:i/>
        </w:rPr>
      </w:pPr>
      <w:r w:rsidRPr="00925C18">
        <w:rPr>
          <w:i/>
          <w:iCs/>
          <w:lang w:val="en-US" w:eastAsia="en-US"/>
        </w:rPr>
        <w:t>National</w:t>
      </w:r>
      <w:r w:rsidR="00167189">
        <w:rPr>
          <w:i/>
          <w:iCs/>
          <w:lang w:val="en-US" w:eastAsia="en-US"/>
        </w:rPr>
        <w:t> </w:t>
      </w:r>
      <w:r w:rsidRPr="00925C18">
        <w:rPr>
          <w:i/>
          <w:iCs/>
          <w:lang w:val="en-US" w:eastAsia="en-US"/>
        </w:rPr>
        <w:t>Health</w:t>
      </w:r>
      <w:r w:rsidR="00167189">
        <w:rPr>
          <w:i/>
          <w:iCs/>
          <w:lang w:val="en-US" w:eastAsia="en-US"/>
        </w:rPr>
        <w:t> </w:t>
      </w:r>
      <w:r w:rsidRPr="00925C18">
        <w:rPr>
          <w:i/>
          <w:iCs/>
          <w:lang w:val="en-US" w:eastAsia="en-US"/>
        </w:rPr>
        <w:t>Amendment</w:t>
      </w:r>
      <w:r w:rsidR="00167189">
        <w:rPr>
          <w:i/>
          <w:iCs/>
          <w:lang w:val="en-US" w:eastAsia="en-US"/>
        </w:rPr>
        <w:t> </w:t>
      </w:r>
      <w:r w:rsidRPr="00925C18">
        <w:rPr>
          <w:i/>
          <w:iCs/>
          <w:lang w:val="en-US" w:eastAsia="en-US"/>
        </w:rPr>
        <w:t>(Pharmaceutical</w:t>
      </w:r>
      <w:r w:rsidR="00167189">
        <w:rPr>
          <w:i/>
          <w:iCs/>
          <w:lang w:val="en-US" w:eastAsia="en-US"/>
        </w:rPr>
        <w:t> </w:t>
      </w:r>
      <w:r w:rsidRPr="00925C18">
        <w:rPr>
          <w:i/>
          <w:iCs/>
          <w:lang w:val="en-US" w:eastAsia="en-US"/>
        </w:rPr>
        <w:t>Benefits</w:t>
      </w:r>
      <w:r w:rsidR="00167189">
        <w:rPr>
          <w:i/>
          <w:iCs/>
          <w:lang w:val="en-US" w:eastAsia="en-US"/>
        </w:rPr>
        <w:t> </w:t>
      </w:r>
      <w:r w:rsidRPr="00925C18">
        <w:rPr>
          <w:i/>
          <w:iCs/>
          <w:lang w:val="en-US" w:eastAsia="en-US"/>
        </w:rPr>
        <w:t>Scheme) Act 2012</w:t>
      </w:r>
    </w:p>
    <w:p w:rsidR="00925C18" w:rsidRPr="00427A7C" w:rsidRDefault="00925C18" w:rsidP="008B45B8">
      <w:pPr>
        <w:spacing w:before="0"/>
        <w:ind w:right="91"/>
        <w:jc w:val="center"/>
        <w:rPr>
          <w:i/>
        </w:rPr>
      </w:pPr>
    </w:p>
    <w:p w:rsidR="00925C18" w:rsidRPr="008A5701" w:rsidRDefault="00925C18" w:rsidP="008B45B8">
      <w:pPr>
        <w:spacing w:before="0"/>
        <w:ind w:right="45"/>
        <w:jc w:val="center"/>
        <w:rPr>
          <w:i/>
          <w:iCs/>
        </w:rPr>
      </w:pPr>
      <w:r w:rsidRPr="008A5701">
        <w:rPr>
          <w:i/>
          <w:iCs/>
        </w:rPr>
        <w:t>National Health (Pharmaceutical Benefits) Amendment Regulation 201</w:t>
      </w:r>
      <w:r>
        <w:rPr>
          <w:i/>
          <w:iCs/>
        </w:rPr>
        <w:t>2</w:t>
      </w:r>
      <w:r w:rsidRPr="008A5701">
        <w:rPr>
          <w:i/>
          <w:iCs/>
        </w:rPr>
        <w:t xml:space="preserve"> (No. </w:t>
      </w:r>
      <w:r w:rsidR="00A34B9D">
        <w:rPr>
          <w:i/>
          <w:iCs/>
        </w:rPr>
        <w:t>4</w:t>
      </w:r>
      <w:r w:rsidR="00047A17">
        <w:rPr>
          <w:i/>
          <w:iCs/>
        </w:rPr>
        <w:t>)</w:t>
      </w:r>
    </w:p>
    <w:p w:rsidR="00001163" w:rsidRPr="00001163" w:rsidRDefault="00001163" w:rsidP="00001163">
      <w:pPr>
        <w:jc w:val="center"/>
      </w:pPr>
      <w:r w:rsidRPr="00001163">
        <w:t>By authority of the Minister for Health</w:t>
      </w:r>
    </w:p>
    <w:p w:rsidR="00001163" w:rsidRPr="004C4D3D" w:rsidRDefault="00001163" w:rsidP="00427A7C">
      <w:pPr>
        <w:spacing w:before="0"/>
        <w:ind w:right="-192"/>
        <w:jc w:val="center"/>
        <w:rPr>
          <w:b/>
          <w:u w:val="single"/>
        </w:rPr>
      </w:pPr>
    </w:p>
    <w:p w:rsidR="00963FBD" w:rsidRPr="00925C18" w:rsidRDefault="00963FBD" w:rsidP="0081255B">
      <w:pPr>
        <w:spacing w:before="0"/>
        <w:ind w:right="91"/>
      </w:pPr>
      <w:r w:rsidRPr="00925C18">
        <w:t>Section</w:t>
      </w:r>
      <w:r w:rsidR="00D966EB" w:rsidRPr="00925C18">
        <w:t> </w:t>
      </w:r>
      <w:r w:rsidRPr="00925C18">
        <w:t xml:space="preserve">140 of the </w:t>
      </w:r>
      <w:r w:rsidRPr="00925C18">
        <w:rPr>
          <w:i/>
        </w:rPr>
        <w:t>National Health Act 1953</w:t>
      </w:r>
      <w:r w:rsidRPr="00925C18">
        <w:t xml:space="preserve"> (the Act) provides that the Governor-General may make regulations</w:t>
      </w:r>
      <w:r w:rsidR="002128CB" w:rsidRPr="00925C18">
        <w:t>,</w:t>
      </w:r>
      <w:r w:rsidRPr="00925C18">
        <w:t xml:space="preserve"> </w:t>
      </w:r>
      <w:r w:rsidR="002128CB" w:rsidRPr="00925C18">
        <w:t xml:space="preserve">not inconsistent with the Act, </w:t>
      </w:r>
      <w:r w:rsidRPr="00925C18">
        <w:t>prescribing all matters which are required or permitted to be prescribed, or which are necessary or convenient to be prescribed, for carrying out or giving effect to the Act.</w:t>
      </w:r>
    </w:p>
    <w:p w:rsidR="0081255B" w:rsidRPr="00925C18" w:rsidRDefault="0081255B" w:rsidP="0081255B">
      <w:pPr>
        <w:spacing w:before="0"/>
        <w:ind w:right="91"/>
      </w:pPr>
    </w:p>
    <w:p w:rsidR="002128CB" w:rsidRPr="00925C18" w:rsidRDefault="002128CB" w:rsidP="0081255B">
      <w:pPr>
        <w:spacing w:before="0"/>
        <w:ind w:right="91"/>
      </w:pPr>
      <w:r w:rsidRPr="00925C18">
        <w:t xml:space="preserve">The Pharmaceutical Benefits Scheme </w:t>
      </w:r>
      <w:r w:rsidR="00462957" w:rsidRPr="00925C18">
        <w:t xml:space="preserve">(PBS) </w:t>
      </w:r>
      <w:r w:rsidRPr="00925C18">
        <w:t>operates under Part</w:t>
      </w:r>
      <w:r w:rsidR="00D966EB" w:rsidRPr="00925C18">
        <w:t> </w:t>
      </w:r>
      <w:r w:rsidRPr="00925C18">
        <w:t xml:space="preserve">VII of the Act which provides for and regulates the </w:t>
      </w:r>
      <w:r w:rsidR="00C519DD" w:rsidRPr="00925C18">
        <w:t xml:space="preserve">listing, </w:t>
      </w:r>
      <w:r w:rsidRPr="00925C18">
        <w:t>prescribing</w:t>
      </w:r>
      <w:r w:rsidR="00C519DD" w:rsidRPr="00925C18">
        <w:t xml:space="preserve">, pricing, charging and payment of subsidies for </w:t>
      </w:r>
      <w:r w:rsidRPr="00925C18">
        <w:t>supply of drugs and medicinal preparations as pharmaceutical benefits.</w:t>
      </w:r>
    </w:p>
    <w:p w:rsidR="0081255B" w:rsidRPr="00925C18" w:rsidRDefault="0081255B" w:rsidP="0081255B">
      <w:pPr>
        <w:spacing w:before="0"/>
        <w:ind w:right="91"/>
      </w:pPr>
    </w:p>
    <w:p w:rsidR="007B0638" w:rsidRPr="00925C18" w:rsidRDefault="00963FBD" w:rsidP="00D966EB">
      <w:pPr>
        <w:spacing w:before="0"/>
        <w:ind w:right="-136"/>
      </w:pPr>
      <w:r w:rsidRPr="00925C18">
        <w:t xml:space="preserve">The </w:t>
      </w:r>
      <w:r w:rsidRPr="00925C18">
        <w:rPr>
          <w:i/>
        </w:rPr>
        <w:t>National Health (Pharmaceutical Benefits) Regulations 1960</w:t>
      </w:r>
      <w:r w:rsidRPr="00925C18">
        <w:t xml:space="preserve"> (the Principal Regulations) prescribe matters in relation to the operation of the PBS</w:t>
      </w:r>
      <w:r w:rsidR="007B0638" w:rsidRPr="00925C18">
        <w:t xml:space="preserve"> and set out details associated with certain aspects of prescribing </w:t>
      </w:r>
      <w:r w:rsidR="00544B88" w:rsidRPr="00925C18">
        <w:t xml:space="preserve">and supply </w:t>
      </w:r>
      <w:r w:rsidR="007B0638" w:rsidRPr="00925C18">
        <w:t>under the PBS.</w:t>
      </w:r>
    </w:p>
    <w:p w:rsidR="000E4252" w:rsidRPr="00925C18" w:rsidRDefault="000E4252" w:rsidP="0081255B">
      <w:pPr>
        <w:spacing w:before="0"/>
        <w:ind w:right="91"/>
      </w:pPr>
    </w:p>
    <w:p w:rsidR="000E4252" w:rsidRPr="00925C18" w:rsidRDefault="000E4252" w:rsidP="000E4252">
      <w:pPr>
        <w:spacing w:before="0"/>
        <w:ind w:right="45"/>
        <w:rPr>
          <w:lang w:val="en-US" w:eastAsia="en-US"/>
        </w:rPr>
      </w:pPr>
      <w:r w:rsidRPr="00925C18">
        <w:rPr>
          <w:lang w:val="en-US"/>
        </w:rPr>
        <w:t>Item</w:t>
      </w:r>
      <w:r w:rsidR="00AF420A" w:rsidRPr="00925C18">
        <w:rPr>
          <w:lang w:val="en-US"/>
        </w:rPr>
        <w:t> </w:t>
      </w:r>
      <w:r w:rsidRPr="00925C18">
        <w:rPr>
          <w:lang w:val="en-US"/>
        </w:rPr>
        <w:t>81 of Schedule</w:t>
      </w:r>
      <w:r w:rsidR="00AF420A" w:rsidRPr="00925C18">
        <w:rPr>
          <w:lang w:val="en-US"/>
        </w:rPr>
        <w:t> </w:t>
      </w:r>
      <w:r w:rsidRPr="00925C18">
        <w:rPr>
          <w:lang w:val="en-US"/>
        </w:rPr>
        <w:t xml:space="preserve">1 to the </w:t>
      </w:r>
      <w:r w:rsidRPr="00925C18">
        <w:rPr>
          <w:i/>
          <w:iCs/>
        </w:rPr>
        <w:t>National Health Amendment (Pharmaceutical Benefits Scheme) Act</w:t>
      </w:r>
      <w:r w:rsidR="00AF420A" w:rsidRPr="00925C18">
        <w:rPr>
          <w:i/>
          <w:iCs/>
        </w:rPr>
        <w:t> </w:t>
      </w:r>
      <w:r w:rsidRPr="00925C18">
        <w:rPr>
          <w:i/>
          <w:iCs/>
        </w:rPr>
        <w:t>2012</w:t>
      </w:r>
      <w:r w:rsidRPr="00925C18">
        <w:rPr>
          <w:iCs/>
        </w:rPr>
        <w:t xml:space="preserve"> (the amending Act)</w:t>
      </w:r>
      <w:r w:rsidR="00480FFB" w:rsidRPr="00925C18">
        <w:rPr>
          <w:iCs/>
        </w:rPr>
        <w:t xml:space="preserve"> </w:t>
      </w:r>
      <w:r w:rsidRPr="00925C18">
        <w:rPr>
          <w:iCs/>
        </w:rPr>
        <w:t>provide</w:t>
      </w:r>
      <w:r w:rsidR="00AF420A" w:rsidRPr="00925C18">
        <w:rPr>
          <w:iCs/>
        </w:rPr>
        <w:t>s</w:t>
      </w:r>
      <w:r w:rsidRPr="00925C18">
        <w:rPr>
          <w:lang w:val="en-US" w:eastAsia="en-US"/>
        </w:rPr>
        <w:t>, in part, that the Governor-General may make regulations prescribing matters which are required or permitted by the Schedule to be prescribed, or which are necessary or convenient to be prescribed for carrying out or giving effect to the Schedule.</w:t>
      </w:r>
    </w:p>
    <w:p w:rsidR="000E4252" w:rsidRPr="00925C18" w:rsidRDefault="000E4252" w:rsidP="000E4252">
      <w:pPr>
        <w:spacing w:before="0"/>
        <w:ind w:right="45"/>
        <w:rPr>
          <w:lang w:val="en-US"/>
        </w:rPr>
      </w:pPr>
    </w:p>
    <w:p w:rsidR="00B86D95" w:rsidRPr="00925C18" w:rsidRDefault="000E4252" w:rsidP="00A13459">
      <w:pPr>
        <w:spacing w:before="0"/>
        <w:ind w:right="-45"/>
      </w:pPr>
      <w:r w:rsidRPr="00925C18">
        <w:rPr>
          <w:lang w:val="en-US"/>
        </w:rPr>
        <w:t>The purpose of th</w:t>
      </w:r>
      <w:r w:rsidR="00431304">
        <w:rPr>
          <w:lang w:val="en-US"/>
        </w:rPr>
        <w:t xml:space="preserve">is </w:t>
      </w:r>
      <w:r w:rsidR="0055698E">
        <w:rPr>
          <w:lang w:val="en-US"/>
        </w:rPr>
        <w:t>amend</w:t>
      </w:r>
      <w:r w:rsidR="00D82421">
        <w:rPr>
          <w:lang w:val="en-US"/>
        </w:rPr>
        <w:t xml:space="preserve">ment </w:t>
      </w:r>
      <w:r w:rsidRPr="00925C18">
        <w:rPr>
          <w:lang w:val="en-US"/>
        </w:rPr>
        <w:t xml:space="preserve">is to give effect to changes made to the Act by the </w:t>
      </w:r>
      <w:r w:rsidR="001B3774" w:rsidRPr="00925C18">
        <w:rPr>
          <w:lang w:val="en-US"/>
        </w:rPr>
        <w:t>a</w:t>
      </w:r>
      <w:r w:rsidRPr="00925C18">
        <w:rPr>
          <w:lang w:val="en-US"/>
        </w:rPr>
        <w:t>mending Act, and to prescribe matters relating to the amending Act.</w:t>
      </w:r>
      <w:r w:rsidR="00D82421">
        <w:rPr>
          <w:lang w:val="en-US"/>
        </w:rPr>
        <w:t xml:space="preserve">  </w:t>
      </w:r>
      <w:r w:rsidR="00B86D95" w:rsidRPr="00925C18">
        <w:t xml:space="preserve">The </w:t>
      </w:r>
      <w:r w:rsidR="0055698E">
        <w:t>r</w:t>
      </w:r>
      <w:r w:rsidR="000675ED" w:rsidRPr="00925C18">
        <w:t>egulation reflect</w:t>
      </w:r>
      <w:r w:rsidR="00431304">
        <w:t>s</w:t>
      </w:r>
      <w:r w:rsidR="000675ED" w:rsidRPr="00925C18">
        <w:t xml:space="preserve"> </w:t>
      </w:r>
      <w:r w:rsidR="006167D6" w:rsidRPr="00925C18">
        <w:t xml:space="preserve">that </w:t>
      </w:r>
      <w:r w:rsidR="007D074E" w:rsidRPr="00925C18">
        <w:t xml:space="preserve">in </w:t>
      </w:r>
      <w:r w:rsidR="00AA5A06" w:rsidRPr="00925C18">
        <w:t>the Act (as</w:t>
      </w:r>
      <w:r w:rsidR="006167D6" w:rsidRPr="00925C18">
        <w:t> </w:t>
      </w:r>
      <w:r w:rsidR="00AA5A06" w:rsidRPr="00925C18">
        <w:t xml:space="preserve">amended) </w:t>
      </w:r>
      <w:r w:rsidR="000675ED" w:rsidRPr="00925C18">
        <w:rPr>
          <w:i/>
        </w:rPr>
        <w:t xml:space="preserve">approved </w:t>
      </w:r>
      <w:proofErr w:type="spellStart"/>
      <w:r w:rsidR="000675ED" w:rsidRPr="00925C18">
        <w:rPr>
          <w:i/>
        </w:rPr>
        <w:t>ex</w:t>
      </w:r>
      <w:r w:rsidR="000675ED" w:rsidRPr="00925C18">
        <w:rPr>
          <w:i/>
        </w:rPr>
        <w:noBreakHyphen/>
        <w:t>manufacturer</w:t>
      </w:r>
      <w:proofErr w:type="spellEnd"/>
      <w:r w:rsidR="000675ED" w:rsidRPr="00925C18">
        <w:rPr>
          <w:i/>
        </w:rPr>
        <w:t xml:space="preserve"> price</w:t>
      </w:r>
      <w:r w:rsidR="000675ED" w:rsidRPr="00925C18">
        <w:t xml:space="preserve"> replace</w:t>
      </w:r>
      <w:r w:rsidR="006167D6" w:rsidRPr="00925C18">
        <w:t>s</w:t>
      </w:r>
      <w:r w:rsidR="000675ED" w:rsidRPr="00925C18">
        <w:rPr>
          <w:i/>
        </w:rPr>
        <w:t xml:space="preserve"> </w:t>
      </w:r>
      <w:r w:rsidR="0060541D" w:rsidRPr="00925C18">
        <w:rPr>
          <w:i/>
        </w:rPr>
        <w:t>approved price to pharmacists</w:t>
      </w:r>
      <w:r w:rsidR="0060541D" w:rsidRPr="00925C18">
        <w:t xml:space="preserve"> as the </w:t>
      </w:r>
      <w:r w:rsidR="00E65E42">
        <w:t xml:space="preserve">base </w:t>
      </w:r>
      <w:r w:rsidR="0060541D" w:rsidRPr="00925C18">
        <w:t>price</w:t>
      </w:r>
      <w:r w:rsidR="00431304">
        <w:t xml:space="preserve"> </w:t>
      </w:r>
      <w:r w:rsidR="00E65E42">
        <w:t xml:space="preserve">for </w:t>
      </w:r>
      <w:r w:rsidR="005E345B">
        <w:t>a PBS medicine</w:t>
      </w:r>
      <w:r w:rsidR="00D80AC9">
        <w:t xml:space="preserve">.  </w:t>
      </w:r>
      <w:r w:rsidR="006C26F5">
        <w:t xml:space="preserve">The </w:t>
      </w:r>
      <w:r w:rsidR="006C26F5" w:rsidRPr="00137CC0">
        <w:rPr>
          <w:i/>
        </w:rPr>
        <w:t xml:space="preserve">approved </w:t>
      </w:r>
      <w:proofErr w:type="spellStart"/>
      <w:r w:rsidR="006C26F5" w:rsidRPr="00137CC0">
        <w:rPr>
          <w:i/>
        </w:rPr>
        <w:t>ex</w:t>
      </w:r>
      <w:r w:rsidR="006C26F5">
        <w:rPr>
          <w:i/>
        </w:rPr>
        <w:noBreakHyphen/>
      </w:r>
      <w:r w:rsidR="006C26F5" w:rsidRPr="00137CC0">
        <w:rPr>
          <w:i/>
        </w:rPr>
        <w:t>manufacturer</w:t>
      </w:r>
      <w:proofErr w:type="spellEnd"/>
      <w:r w:rsidR="006C26F5" w:rsidRPr="00137CC0">
        <w:rPr>
          <w:i/>
        </w:rPr>
        <w:t xml:space="preserve"> price</w:t>
      </w:r>
      <w:r w:rsidR="006C26F5">
        <w:t xml:space="preserve"> is the price agreed or determined for a medicine for PBS purposes as defined under the Act</w:t>
      </w:r>
      <w:r w:rsidR="00A13459">
        <w:t xml:space="preserve"> (as amended)</w:t>
      </w:r>
      <w:r w:rsidR="006C26F5">
        <w:t xml:space="preserve">.  </w:t>
      </w:r>
      <w:r w:rsidR="00480FFB">
        <w:t>The Regulation would also prescribe</w:t>
      </w:r>
      <w:r w:rsidR="00480FFB" w:rsidRPr="00925C18">
        <w:t xml:space="preserve">, for a small number of </w:t>
      </w:r>
      <w:r w:rsidR="005672A1">
        <w:t xml:space="preserve">brands of </w:t>
      </w:r>
      <w:r w:rsidR="00480FFB" w:rsidRPr="00925C18">
        <w:t xml:space="preserve">pharmaceutical items, an </w:t>
      </w:r>
      <w:r w:rsidR="00480FFB" w:rsidRPr="00925C18">
        <w:rPr>
          <w:i/>
        </w:rPr>
        <w:t xml:space="preserve">approved </w:t>
      </w:r>
      <w:proofErr w:type="spellStart"/>
      <w:r w:rsidR="00480FFB" w:rsidRPr="00925C18">
        <w:rPr>
          <w:i/>
        </w:rPr>
        <w:t>ex</w:t>
      </w:r>
      <w:r w:rsidR="00F8334E">
        <w:rPr>
          <w:i/>
        </w:rPr>
        <w:noBreakHyphen/>
      </w:r>
      <w:r w:rsidR="00480FFB" w:rsidRPr="00925C18">
        <w:rPr>
          <w:i/>
        </w:rPr>
        <w:t>manufacturer</w:t>
      </w:r>
      <w:proofErr w:type="spellEnd"/>
      <w:r w:rsidR="00480FFB" w:rsidRPr="00925C18">
        <w:rPr>
          <w:i/>
        </w:rPr>
        <w:t xml:space="preserve"> price</w:t>
      </w:r>
      <w:r w:rsidR="00480FFB" w:rsidRPr="00925C18">
        <w:t xml:space="preserve"> for the purpose of transitional provisions in the amending</w:t>
      </w:r>
      <w:r w:rsidR="005672A1">
        <w:t> </w:t>
      </w:r>
      <w:r w:rsidR="00480FFB" w:rsidRPr="00925C18">
        <w:t>Act.</w:t>
      </w:r>
    </w:p>
    <w:p w:rsidR="007D074E" w:rsidRPr="00925C18" w:rsidRDefault="007D074E" w:rsidP="00695009">
      <w:pPr>
        <w:spacing w:before="0"/>
      </w:pPr>
    </w:p>
    <w:p w:rsidR="00B86D95" w:rsidRPr="00925C18" w:rsidRDefault="00525ECB" w:rsidP="00FD14F5">
      <w:pPr>
        <w:spacing w:before="0"/>
        <w:rPr>
          <w:i/>
        </w:rPr>
      </w:pPr>
      <w:r w:rsidRPr="00925C18">
        <w:t xml:space="preserve">The changes also </w:t>
      </w:r>
      <w:r w:rsidR="00B86D95" w:rsidRPr="00925C18">
        <w:t xml:space="preserve">reflect </w:t>
      </w:r>
      <w:r w:rsidR="009A0904" w:rsidRPr="00925C18">
        <w:t xml:space="preserve">amended </w:t>
      </w:r>
      <w:r w:rsidR="00B86D95" w:rsidRPr="00925C18">
        <w:t xml:space="preserve">provisions in the Act </w:t>
      </w:r>
      <w:r w:rsidR="009A0904">
        <w:t xml:space="preserve">which provide </w:t>
      </w:r>
      <w:r w:rsidR="009A0904" w:rsidRPr="00925C18">
        <w:t>for listing of pharmaceutical benefits for supply only via PBS prescriber bags</w:t>
      </w:r>
      <w:r w:rsidR="00911E9C" w:rsidRPr="00925C18">
        <w:t>,</w:t>
      </w:r>
      <w:r w:rsidR="009A0904" w:rsidRPr="00925C18">
        <w:t xml:space="preserve"> and </w:t>
      </w:r>
      <w:r w:rsidR="00D2612F" w:rsidRPr="00925C18">
        <w:t>separate</w:t>
      </w:r>
      <w:r w:rsidR="00852317" w:rsidRPr="00925C18">
        <w:t xml:space="preserve"> </w:t>
      </w:r>
      <w:r w:rsidR="00852317">
        <w:t>provisions for</w:t>
      </w:r>
      <w:r w:rsidR="00D2612F">
        <w:t xml:space="preserve"> </w:t>
      </w:r>
      <w:r w:rsidR="00BF4147">
        <w:t xml:space="preserve">those </w:t>
      </w:r>
      <w:r w:rsidR="00431304">
        <w:t xml:space="preserve">listings for </w:t>
      </w:r>
      <w:r w:rsidR="00852317" w:rsidRPr="00925C18">
        <w:t>authorised</w:t>
      </w:r>
      <w:r w:rsidR="00D2612F" w:rsidRPr="00925C18">
        <w:t xml:space="preserve"> midwi</w:t>
      </w:r>
      <w:r w:rsidR="00852317" w:rsidRPr="00925C18">
        <w:t>v</w:t>
      </w:r>
      <w:r w:rsidR="00D2612F" w:rsidRPr="00925C18">
        <w:t>e</w:t>
      </w:r>
      <w:r w:rsidR="00852317" w:rsidRPr="00925C18">
        <w:t>s</w:t>
      </w:r>
      <w:r w:rsidR="00D2612F" w:rsidRPr="00925C18">
        <w:t xml:space="preserve"> and </w:t>
      </w:r>
      <w:r w:rsidR="00852317" w:rsidRPr="00925C18">
        <w:t xml:space="preserve">authorised </w:t>
      </w:r>
      <w:r w:rsidR="00D2612F" w:rsidRPr="00925C18">
        <w:t>nurse practitioners.</w:t>
      </w:r>
    </w:p>
    <w:p w:rsidR="00B86D95" w:rsidRPr="00925C18" w:rsidRDefault="00B86D95" w:rsidP="0081255B">
      <w:pPr>
        <w:spacing w:before="0"/>
        <w:ind w:right="91"/>
      </w:pPr>
    </w:p>
    <w:p w:rsidR="00925C18" w:rsidRDefault="00925C18" w:rsidP="00925C18">
      <w:pPr>
        <w:spacing w:before="0"/>
        <w:ind w:right="91"/>
      </w:pPr>
      <w:r w:rsidRPr="00966F16">
        <w:t xml:space="preserve">Details of the </w:t>
      </w:r>
      <w:r>
        <w:t>regulation are set out in the</w:t>
      </w:r>
      <w:r w:rsidRPr="00966F16">
        <w:t xml:space="preserve"> </w:t>
      </w:r>
      <w:r w:rsidRPr="0087564B">
        <w:rPr>
          <w:u w:val="single"/>
        </w:rPr>
        <w:t>Attachment</w:t>
      </w:r>
      <w:r w:rsidRPr="00966F16">
        <w:t>.</w:t>
      </w:r>
    </w:p>
    <w:p w:rsidR="00925C18" w:rsidRDefault="00925C18" w:rsidP="00925C18">
      <w:pPr>
        <w:spacing w:before="0"/>
        <w:ind w:right="91"/>
      </w:pPr>
    </w:p>
    <w:p w:rsidR="00737B69" w:rsidRDefault="009A4DC0" w:rsidP="00A06970">
      <w:pPr>
        <w:spacing w:before="0"/>
      </w:pPr>
      <w:r w:rsidRPr="00737B69">
        <w:t xml:space="preserve">The </w:t>
      </w:r>
      <w:r w:rsidR="00401E69">
        <w:t xml:space="preserve">amendments in the </w:t>
      </w:r>
      <w:r w:rsidR="00794C57" w:rsidRPr="00737B69">
        <w:t xml:space="preserve">amending Act and </w:t>
      </w:r>
      <w:r w:rsidR="00401E69">
        <w:t xml:space="preserve">in </w:t>
      </w:r>
      <w:r w:rsidR="00794C57" w:rsidRPr="00737B69">
        <w:t xml:space="preserve">the </w:t>
      </w:r>
      <w:r w:rsidR="00401E69">
        <w:t xml:space="preserve">regulation </w:t>
      </w:r>
      <w:r w:rsidR="00794C57" w:rsidRPr="00737B69">
        <w:t xml:space="preserve">regarding PBS </w:t>
      </w:r>
      <w:r w:rsidRPr="00737B69">
        <w:t>pricing and price disclosure reflect agreement</w:t>
      </w:r>
      <w:r w:rsidR="00794C57" w:rsidRPr="00737B69">
        <w:t>s</w:t>
      </w:r>
      <w:r w:rsidRPr="00737B69">
        <w:t xml:space="preserve"> made </w:t>
      </w:r>
      <w:r w:rsidR="00794C57" w:rsidRPr="00737B69">
        <w:t xml:space="preserve">by the Government </w:t>
      </w:r>
      <w:r w:rsidRPr="00737B69">
        <w:t>with Medicines Australia in the September 2010 Memorandum of Understanding (MOU)</w:t>
      </w:r>
      <w:r w:rsidR="00794C57" w:rsidRPr="00737B69">
        <w:t xml:space="preserve"> </w:t>
      </w:r>
      <w:r w:rsidR="00737B69" w:rsidRPr="00737B69">
        <w:t xml:space="preserve">and with the Consumers Health </w:t>
      </w:r>
      <w:r w:rsidR="00737B69" w:rsidRPr="00737B69">
        <w:lastRenderedPageBreak/>
        <w:t xml:space="preserve">Forum, the Generic Medicines Industry Association and </w:t>
      </w:r>
      <w:r w:rsidRPr="00737B69">
        <w:t xml:space="preserve">Medicines Australia </w:t>
      </w:r>
      <w:r w:rsidR="00082683">
        <w:t xml:space="preserve">in the </w:t>
      </w:r>
      <w:r w:rsidRPr="00737B69">
        <w:t>September 2011 Statement of principles of commitment between stakeholders</w:t>
      </w:r>
      <w:r w:rsidR="00737B69">
        <w:t xml:space="preserve"> (Statement</w:t>
      </w:r>
      <w:r w:rsidR="00401E69">
        <w:t> </w:t>
      </w:r>
      <w:r w:rsidR="00737B69">
        <w:t>of</w:t>
      </w:r>
      <w:r w:rsidR="00401E69">
        <w:t> </w:t>
      </w:r>
      <w:r w:rsidR="00737B69">
        <w:t>principles)</w:t>
      </w:r>
      <w:r w:rsidRPr="00737B69">
        <w:t>.</w:t>
      </w:r>
    </w:p>
    <w:p w:rsidR="00215491" w:rsidRPr="00737B69" w:rsidRDefault="00215491" w:rsidP="00737B69">
      <w:pPr>
        <w:spacing w:before="0"/>
      </w:pPr>
    </w:p>
    <w:p w:rsidR="00737B69" w:rsidRDefault="00794C57" w:rsidP="00737B69">
      <w:pPr>
        <w:spacing w:before="0"/>
      </w:pPr>
      <w:r w:rsidRPr="00737B69">
        <w:t>A</w:t>
      </w:r>
      <w:r w:rsidR="00DB0DD1">
        <w:t xml:space="preserve"> </w:t>
      </w:r>
      <w:r w:rsidRPr="00737B69">
        <w:t xml:space="preserve">draft of the </w:t>
      </w:r>
      <w:r w:rsidR="007B160A">
        <w:t xml:space="preserve">pricing sections of the </w:t>
      </w:r>
      <w:r w:rsidRPr="00737B69">
        <w:t xml:space="preserve">Bill </w:t>
      </w:r>
      <w:r w:rsidR="00737B69">
        <w:t xml:space="preserve">for </w:t>
      </w:r>
      <w:r w:rsidR="007B160A">
        <w:t xml:space="preserve">the </w:t>
      </w:r>
      <w:r w:rsidR="00737B69">
        <w:t xml:space="preserve">amending Act </w:t>
      </w:r>
      <w:r w:rsidRPr="00737B69">
        <w:t xml:space="preserve">was provided </w:t>
      </w:r>
      <w:r w:rsidR="00126DDA" w:rsidRPr="00737B69">
        <w:t>to signatories to the Statement of principles</w:t>
      </w:r>
      <w:r w:rsidR="00126DDA">
        <w:t xml:space="preserve"> </w:t>
      </w:r>
      <w:r w:rsidR="00215491">
        <w:t>in May 2012</w:t>
      </w:r>
      <w:r w:rsidR="000778BA">
        <w:t>,</w:t>
      </w:r>
      <w:r w:rsidR="00215491">
        <w:t xml:space="preserve"> </w:t>
      </w:r>
      <w:r w:rsidR="000778BA">
        <w:t xml:space="preserve">prior to introduction </w:t>
      </w:r>
      <w:r w:rsidR="00126DDA">
        <w:t xml:space="preserve">of the Bill </w:t>
      </w:r>
      <w:r w:rsidR="000778BA">
        <w:t>into Parliament</w:t>
      </w:r>
      <w:r w:rsidR="00737B69">
        <w:t>.</w:t>
      </w:r>
      <w:r w:rsidR="00DB0DD1" w:rsidRPr="00DB0DD1">
        <w:t xml:space="preserve"> </w:t>
      </w:r>
      <w:r w:rsidR="00DB0DD1">
        <w:t xml:space="preserve"> </w:t>
      </w:r>
      <w:r w:rsidR="00A86887">
        <w:t>N</w:t>
      </w:r>
      <w:r w:rsidR="00A86887" w:rsidRPr="0045035C">
        <w:t>o</w:t>
      </w:r>
      <w:r w:rsidR="00A86887">
        <w:t> </w:t>
      </w:r>
      <w:r w:rsidR="00A86887" w:rsidRPr="0045035C">
        <w:t>change</w:t>
      </w:r>
      <w:r w:rsidR="00A86887">
        <w:t>s</w:t>
      </w:r>
      <w:r w:rsidR="00A86887" w:rsidRPr="0045035C">
        <w:t xml:space="preserve"> to the draft Bill</w:t>
      </w:r>
      <w:r w:rsidR="00A86887">
        <w:t xml:space="preserve"> were requested or resulted from this consultation process.</w:t>
      </w:r>
    </w:p>
    <w:p w:rsidR="00DB0DD1" w:rsidRDefault="00DB0DD1" w:rsidP="00737B69">
      <w:pPr>
        <w:spacing w:before="0"/>
      </w:pPr>
    </w:p>
    <w:p w:rsidR="000B7081" w:rsidRDefault="00DB0DD1" w:rsidP="00D65F7F">
      <w:pPr>
        <w:spacing w:before="0"/>
      </w:pPr>
      <w:r w:rsidRPr="00737B69">
        <w:t xml:space="preserve">Stakeholder briefings </w:t>
      </w:r>
      <w:r>
        <w:t xml:space="preserve">regarding the legislative changes </w:t>
      </w:r>
      <w:r w:rsidR="007B160A">
        <w:t xml:space="preserve">for PBS pricing </w:t>
      </w:r>
      <w:r w:rsidRPr="00737B69">
        <w:t xml:space="preserve">were provided </w:t>
      </w:r>
      <w:r w:rsidR="00126DDA">
        <w:t xml:space="preserve">by the Department of Health and Ageing </w:t>
      </w:r>
      <w:r w:rsidRPr="00737B69">
        <w:t>in April and</w:t>
      </w:r>
      <w:r>
        <w:t> </w:t>
      </w:r>
      <w:r w:rsidRPr="00737B69">
        <w:t xml:space="preserve">May 2012 for </w:t>
      </w:r>
      <w:r w:rsidR="00126DDA">
        <w:t xml:space="preserve">representatives of </w:t>
      </w:r>
      <w:r w:rsidRPr="00737B69">
        <w:t xml:space="preserve">medicines industry, consumer, pharmacy and wholesaler </w:t>
      </w:r>
      <w:r w:rsidR="00126DDA">
        <w:t>organisations</w:t>
      </w:r>
      <w:r w:rsidRPr="00737B69">
        <w:t xml:space="preserve">. </w:t>
      </w:r>
      <w:r>
        <w:t xml:space="preserve"> </w:t>
      </w:r>
      <w:r w:rsidR="006606D3">
        <w:t>T</w:t>
      </w:r>
      <w:r w:rsidR="007B160A">
        <w:t xml:space="preserve">he need for consequential changes to the </w:t>
      </w:r>
      <w:r w:rsidR="00431304" w:rsidRPr="00737B69">
        <w:t>Principal</w:t>
      </w:r>
      <w:r w:rsidR="00431304">
        <w:t xml:space="preserve"> </w:t>
      </w:r>
      <w:r w:rsidR="007B160A">
        <w:t xml:space="preserve">Regulations and other legislative instruments </w:t>
      </w:r>
      <w:r w:rsidR="00D65F7F">
        <w:t xml:space="preserve">was included in those </w:t>
      </w:r>
      <w:r w:rsidR="007B160A">
        <w:t>discussion</w:t>
      </w:r>
      <w:r w:rsidR="000B7081">
        <w:t>s</w:t>
      </w:r>
      <w:r w:rsidR="007B160A">
        <w:t xml:space="preserve">. </w:t>
      </w:r>
      <w:r w:rsidR="00215491">
        <w:t xml:space="preserve"> </w:t>
      </w:r>
      <w:r w:rsidR="00794C57" w:rsidRPr="007B160A">
        <w:t>Further information</w:t>
      </w:r>
      <w:r w:rsidR="006606D3">
        <w:t xml:space="preserve">, </w:t>
      </w:r>
      <w:r w:rsidR="007B160A" w:rsidRPr="007B160A">
        <w:t xml:space="preserve">briefings </w:t>
      </w:r>
      <w:r w:rsidR="006606D3">
        <w:t xml:space="preserve">and presentations were provided </w:t>
      </w:r>
      <w:r w:rsidR="007B160A" w:rsidRPr="007B160A">
        <w:t xml:space="preserve">for pharmaceutical companies and </w:t>
      </w:r>
      <w:r w:rsidR="00794C57" w:rsidRPr="007B160A">
        <w:t xml:space="preserve">industry </w:t>
      </w:r>
      <w:r w:rsidR="007B160A" w:rsidRPr="007B160A">
        <w:t xml:space="preserve">organisations </w:t>
      </w:r>
      <w:r w:rsidR="00794C57" w:rsidRPr="007B160A">
        <w:t>in June</w:t>
      </w:r>
      <w:r w:rsidR="00D65F7F">
        <w:t> </w:t>
      </w:r>
      <w:r w:rsidR="00794C57" w:rsidRPr="007B160A">
        <w:t>2012.</w:t>
      </w:r>
      <w:r w:rsidR="006606D3" w:rsidRPr="006606D3">
        <w:t xml:space="preserve"> </w:t>
      </w:r>
      <w:r w:rsidR="006606D3">
        <w:t xml:space="preserve"> N</w:t>
      </w:r>
      <w:r w:rsidR="006606D3" w:rsidRPr="00737B69">
        <w:t>o</w:t>
      </w:r>
      <w:r w:rsidR="006606D3">
        <w:t> </w:t>
      </w:r>
      <w:r w:rsidR="006606D3" w:rsidRPr="00737B69">
        <w:t>significant issues were raised</w:t>
      </w:r>
      <w:r w:rsidR="006606D3" w:rsidRPr="0045035C">
        <w:t>.</w:t>
      </w:r>
    </w:p>
    <w:p w:rsidR="000B7081" w:rsidRDefault="000B7081" w:rsidP="000B7081">
      <w:pPr>
        <w:spacing w:before="0"/>
      </w:pPr>
    </w:p>
    <w:p w:rsidR="000B7081" w:rsidRDefault="000B7081" w:rsidP="000B7081">
      <w:pPr>
        <w:spacing w:before="0"/>
      </w:pPr>
      <w:r>
        <w:t>No consultation occurred regarding the listing changes for PBS prescriber bag supplies</w:t>
      </w:r>
      <w:r w:rsidR="00D65F7F">
        <w:t xml:space="preserve">. </w:t>
      </w:r>
      <w:r>
        <w:t xml:space="preserve"> </w:t>
      </w:r>
      <w:r w:rsidR="00D65F7F">
        <w:t>T</w:t>
      </w:r>
      <w:r>
        <w:t xml:space="preserve">hese are </w:t>
      </w:r>
      <w:r w:rsidR="00D65F7F">
        <w:t xml:space="preserve">minor </w:t>
      </w:r>
      <w:r>
        <w:t>technical changes</w:t>
      </w:r>
      <w:r w:rsidR="00D65F7F">
        <w:t xml:space="preserve">.  They </w:t>
      </w:r>
      <w:r>
        <w:t>are not relevant to the industry agreements</w:t>
      </w:r>
      <w:r w:rsidR="00D65F7F">
        <w:t xml:space="preserve">, </w:t>
      </w:r>
      <w:r w:rsidR="00D65F7F" w:rsidRPr="00380150">
        <w:t>do not substantially alter existing arrangements</w:t>
      </w:r>
      <w:r w:rsidR="00D65F7F">
        <w:t xml:space="preserve">, </w:t>
      </w:r>
      <w:r>
        <w:t xml:space="preserve">and have no significant impact for consumers, </w:t>
      </w:r>
      <w:r w:rsidR="00D65F7F">
        <w:t xml:space="preserve">pharmacy, </w:t>
      </w:r>
      <w:r>
        <w:t>industry or other users of the PBS.</w:t>
      </w:r>
    </w:p>
    <w:p w:rsidR="00D65F7F" w:rsidRDefault="00D65F7F" w:rsidP="00D2248B">
      <w:pPr>
        <w:spacing w:before="0"/>
      </w:pPr>
    </w:p>
    <w:p w:rsidR="00925C18" w:rsidRDefault="00925C18" w:rsidP="00925C18">
      <w:pPr>
        <w:spacing w:before="0"/>
        <w:ind w:right="91"/>
      </w:pPr>
      <w:r w:rsidRPr="00966F16">
        <w:t xml:space="preserve">The Act specifies no conditions that need to be met before the power to make the </w:t>
      </w:r>
      <w:r>
        <w:t>r</w:t>
      </w:r>
      <w:r w:rsidRPr="00966F16">
        <w:t>egulation may be exercised.</w:t>
      </w:r>
    </w:p>
    <w:p w:rsidR="00925C18" w:rsidRPr="00966F16" w:rsidRDefault="00925C18" w:rsidP="00925C18">
      <w:pPr>
        <w:spacing w:before="0"/>
        <w:ind w:right="91"/>
      </w:pPr>
    </w:p>
    <w:p w:rsidR="00925C18" w:rsidRDefault="00925C18" w:rsidP="00D2248B">
      <w:pPr>
        <w:spacing w:before="0"/>
        <w:ind w:right="-323"/>
      </w:pPr>
      <w:r>
        <w:t xml:space="preserve">The regulation is a legislative instrument for the purposes of the </w:t>
      </w:r>
      <w:r w:rsidRPr="001631E5">
        <w:rPr>
          <w:i/>
        </w:rPr>
        <w:t>Legislative Instruments Act</w:t>
      </w:r>
      <w:r>
        <w:rPr>
          <w:i/>
        </w:rPr>
        <w:t> </w:t>
      </w:r>
      <w:r w:rsidRPr="001631E5">
        <w:rPr>
          <w:i/>
        </w:rPr>
        <w:t>2003</w:t>
      </w:r>
      <w:r>
        <w:t>.</w:t>
      </w:r>
    </w:p>
    <w:p w:rsidR="00925C18" w:rsidRDefault="00925C18" w:rsidP="00D2248B">
      <w:pPr>
        <w:spacing w:before="0"/>
        <w:ind w:right="-323"/>
      </w:pPr>
    </w:p>
    <w:p w:rsidR="00925C18" w:rsidRDefault="00925C18" w:rsidP="00925C18">
      <w:pPr>
        <w:spacing w:before="0"/>
        <w:ind w:right="91"/>
      </w:pPr>
      <w:r w:rsidRPr="00925C18">
        <w:t>The regulation commence</w:t>
      </w:r>
      <w:r>
        <w:t>s</w:t>
      </w:r>
      <w:r w:rsidRPr="00925C18">
        <w:t xml:space="preserve"> on 1 October 2012.</w:t>
      </w:r>
    </w:p>
    <w:p w:rsidR="00DB3181" w:rsidRPr="00925C18" w:rsidRDefault="00DB3181" w:rsidP="00925C18">
      <w:pPr>
        <w:spacing w:before="0"/>
        <w:ind w:right="91"/>
      </w:pPr>
    </w:p>
    <w:p w:rsidR="00DB3181" w:rsidRPr="00925C18" w:rsidRDefault="00DB3181" w:rsidP="00D2248B">
      <w:pPr>
        <w:spacing w:before="0"/>
        <w:ind w:left="4488" w:right="-136"/>
        <w:rPr>
          <w:i/>
        </w:rPr>
      </w:pPr>
      <w:r w:rsidRPr="00925C18">
        <w:rPr>
          <w:u w:val="single"/>
        </w:rPr>
        <w:t>Authority</w:t>
      </w:r>
      <w:r w:rsidRPr="00925C18">
        <w:t xml:space="preserve">:   Section 140 of the </w:t>
      </w:r>
      <w:r w:rsidRPr="00925C18">
        <w:rPr>
          <w:i/>
        </w:rPr>
        <w:t xml:space="preserve">National Health Act 1953 </w:t>
      </w:r>
      <w:r w:rsidRPr="00925C18">
        <w:t xml:space="preserve">and Item 81 of Schedule 1 </w:t>
      </w:r>
      <w:r w:rsidR="00C44830">
        <w:t>to</w:t>
      </w:r>
      <w:r w:rsidRPr="00925C18">
        <w:t xml:space="preserve"> the</w:t>
      </w:r>
      <w:r w:rsidRPr="00925C18">
        <w:rPr>
          <w:i/>
        </w:rPr>
        <w:t xml:space="preserve"> National Health Amendment (Pharmaceutical Benefits Scheme) Act 2012</w:t>
      </w:r>
    </w:p>
    <w:p w:rsidR="00DB3181" w:rsidRDefault="00DB3181" w:rsidP="00DB3181">
      <w:pPr>
        <w:tabs>
          <w:tab w:val="left" w:pos="3553"/>
        </w:tabs>
        <w:spacing w:before="0"/>
        <w:ind w:left="4488" w:right="-136" w:hanging="4488"/>
        <w:rPr>
          <w:iCs/>
        </w:rPr>
      </w:pPr>
    </w:p>
    <w:p w:rsidR="00925C18" w:rsidRDefault="00925C18" w:rsidP="00925C18">
      <w:pPr>
        <w:tabs>
          <w:tab w:val="left" w:pos="5103"/>
        </w:tabs>
        <w:spacing w:before="0"/>
        <w:ind w:left="5106" w:right="91" w:hanging="5106"/>
        <w:jc w:val="right"/>
        <w:rPr>
          <w:b/>
          <w:bCs/>
          <w:u w:val="single"/>
        </w:rPr>
      </w:pPr>
      <w:r>
        <w:rPr>
          <w:i/>
          <w:iCs/>
        </w:rPr>
        <w:br w:type="page"/>
      </w:r>
      <w:r>
        <w:rPr>
          <w:b/>
          <w:bCs/>
          <w:u w:val="single"/>
        </w:rPr>
        <w:lastRenderedPageBreak/>
        <w:t>ATTACHMENT</w:t>
      </w:r>
    </w:p>
    <w:p w:rsidR="00797AB2" w:rsidRPr="00D65F7F" w:rsidRDefault="00925C18" w:rsidP="00797AB2">
      <w:pPr>
        <w:ind w:right="45"/>
      </w:pPr>
      <w:r>
        <w:rPr>
          <w:b/>
          <w:bCs/>
          <w:u w:val="single"/>
        </w:rPr>
        <w:t xml:space="preserve">Details of the </w:t>
      </w:r>
      <w:r>
        <w:rPr>
          <w:b/>
          <w:bCs/>
          <w:i/>
          <w:iCs/>
          <w:u w:val="single"/>
        </w:rPr>
        <w:t xml:space="preserve">National Health (Pharmaceutical Benefits) Amendment Regulation 2012 (No. </w:t>
      </w:r>
      <w:r w:rsidR="00A34B9D">
        <w:rPr>
          <w:b/>
          <w:bCs/>
          <w:i/>
          <w:iCs/>
          <w:u w:val="single"/>
        </w:rPr>
        <w:t>4</w:t>
      </w:r>
      <w:r>
        <w:rPr>
          <w:b/>
          <w:bCs/>
          <w:i/>
          <w:iCs/>
          <w:u w:val="single"/>
        </w:rPr>
        <w:t>)</w:t>
      </w:r>
    </w:p>
    <w:p w:rsidR="00797AB2" w:rsidRPr="00925C18" w:rsidRDefault="00230D84" w:rsidP="00797AB2">
      <w:pPr>
        <w:rPr>
          <w:u w:val="single"/>
        </w:rPr>
      </w:pPr>
      <w:r w:rsidRPr="00925C18">
        <w:rPr>
          <w:u w:val="single"/>
        </w:rPr>
        <w:t xml:space="preserve">Section </w:t>
      </w:r>
      <w:r w:rsidR="00797AB2" w:rsidRPr="00925C18">
        <w:rPr>
          <w:u w:val="single"/>
        </w:rPr>
        <w:t xml:space="preserve">1 – Name of </w:t>
      </w:r>
      <w:r w:rsidRPr="00925C18">
        <w:rPr>
          <w:u w:val="single"/>
        </w:rPr>
        <w:t>r</w:t>
      </w:r>
      <w:r w:rsidR="00797AB2" w:rsidRPr="00925C18">
        <w:rPr>
          <w:u w:val="single"/>
        </w:rPr>
        <w:t>egulation</w:t>
      </w:r>
    </w:p>
    <w:p w:rsidR="00797AB2" w:rsidRPr="00925C18" w:rsidRDefault="00797AB2" w:rsidP="00797AB2">
      <w:r w:rsidRPr="00925C18">
        <w:t xml:space="preserve">This </w:t>
      </w:r>
      <w:r w:rsidR="00230D84" w:rsidRPr="00925C18">
        <w:t xml:space="preserve">section </w:t>
      </w:r>
      <w:r w:rsidRPr="00925C18">
        <w:t>provide</w:t>
      </w:r>
      <w:r w:rsidR="00AF0035">
        <w:t>s</w:t>
      </w:r>
      <w:r w:rsidRPr="00925C18">
        <w:t xml:space="preserve"> that the title of the </w:t>
      </w:r>
      <w:r w:rsidR="006F18CB" w:rsidRPr="00925C18">
        <w:t>r</w:t>
      </w:r>
      <w:r w:rsidRPr="00925C18">
        <w:t xml:space="preserve">egulation is the </w:t>
      </w:r>
      <w:r w:rsidRPr="00925C18">
        <w:rPr>
          <w:i/>
        </w:rPr>
        <w:t xml:space="preserve">National Health (Pharmaceutical Benefits) Amendment Regulation 2012 (No. </w:t>
      </w:r>
      <w:r w:rsidR="00A34B9D">
        <w:rPr>
          <w:i/>
        </w:rPr>
        <w:t>4</w:t>
      </w:r>
      <w:r w:rsidRPr="00925C18">
        <w:rPr>
          <w:i/>
        </w:rPr>
        <w:t>).</w:t>
      </w:r>
    </w:p>
    <w:p w:rsidR="00797AB2" w:rsidRPr="00925C18" w:rsidRDefault="00230D84" w:rsidP="00797AB2">
      <w:pPr>
        <w:rPr>
          <w:u w:val="single"/>
        </w:rPr>
      </w:pPr>
      <w:r w:rsidRPr="00925C18">
        <w:rPr>
          <w:u w:val="single"/>
        </w:rPr>
        <w:t xml:space="preserve">Section </w:t>
      </w:r>
      <w:r w:rsidR="00797AB2" w:rsidRPr="00925C18">
        <w:rPr>
          <w:u w:val="single"/>
        </w:rPr>
        <w:t>2 – Commencement</w:t>
      </w:r>
    </w:p>
    <w:p w:rsidR="00797AB2" w:rsidRPr="00925C18" w:rsidRDefault="00797AB2" w:rsidP="00102949">
      <w:r w:rsidRPr="00925C18">
        <w:t xml:space="preserve">This </w:t>
      </w:r>
      <w:r w:rsidR="00230D84" w:rsidRPr="00925C18">
        <w:t>section</w:t>
      </w:r>
      <w:r w:rsidRPr="00925C18">
        <w:t xml:space="preserve"> provide</w:t>
      </w:r>
      <w:r w:rsidR="007C6C0F">
        <w:t>s</w:t>
      </w:r>
      <w:r w:rsidRPr="00925C18">
        <w:t xml:space="preserve"> for the </w:t>
      </w:r>
      <w:r w:rsidR="006F18CB" w:rsidRPr="00925C18">
        <w:t>r</w:t>
      </w:r>
      <w:r w:rsidRPr="00925C18">
        <w:t>egulation to commence on 1</w:t>
      </w:r>
      <w:r w:rsidR="006E2CEF" w:rsidRPr="00925C18">
        <w:t> October </w:t>
      </w:r>
      <w:r w:rsidRPr="00925C18">
        <w:t>2012.</w:t>
      </w:r>
    </w:p>
    <w:p w:rsidR="00797AB2" w:rsidRPr="00925C18" w:rsidRDefault="00230D84" w:rsidP="00797AB2">
      <w:pPr>
        <w:rPr>
          <w:u w:val="single"/>
        </w:rPr>
      </w:pPr>
      <w:r w:rsidRPr="00925C18">
        <w:rPr>
          <w:u w:val="single"/>
        </w:rPr>
        <w:t>Section</w:t>
      </w:r>
      <w:r w:rsidR="00797AB2" w:rsidRPr="00925C18">
        <w:rPr>
          <w:u w:val="single"/>
        </w:rPr>
        <w:t xml:space="preserve"> 3 – Amendment of </w:t>
      </w:r>
      <w:r w:rsidR="00797AB2" w:rsidRPr="00925C18">
        <w:rPr>
          <w:i/>
          <w:u w:val="single"/>
        </w:rPr>
        <w:t>National Health (Pharmaceutical Benefits) Regulations 1960</w:t>
      </w:r>
    </w:p>
    <w:p w:rsidR="00797AB2" w:rsidRPr="00925C18" w:rsidRDefault="00797AB2" w:rsidP="00797AB2">
      <w:r w:rsidRPr="00925C18">
        <w:t xml:space="preserve">This </w:t>
      </w:r>
      <w:r w:rsidR="00230D84" w:rsidRPr="00925C18">
        <w:t xml:space="preserve">section </w:t>
      </w:r>
      <w:r w:rsidRPr="00925C18">
        <w:t>provide</w:t>
      </w:r>
      <w:r w:rsidR="007C6C0F">
        <w:t>s</w:t>
      </w:r>
      <w:r w:rsidRPr="00925C18">
        <w:t xml:space="preserve"> that </w:t>
      </w:r>
      <w:r w:rsidR="007C6C0F" w:rsidRPr="00925C18">
        <w:t>Schedule</w:t>
      </w:r>
      <w:r w:rsidR="00392396">
        <w:t> </w:t>
      </w:r>
      <w:r w:rsidR="007C6C0F" w:rsidRPr="00925C18">
        <w:t>1</w:t>
      </w:r>
      <w:r w:rsidR="007C6C0F">
        <w:t xml:space="preserve"> amends</w:t>
      </w:r>
      <w:bookmarkStart w:id="0" w:name="_GoBack"/>
      <w:bookmarkEnd w:id="0"/>
      <w:r w:rsidR="007C6C0F">
        <w:t xml:space="preserve"> </w:t>
      </w:r>
      <w:r w:rsidRPr="00925C18">
        <w:t xml:space="preserve">the </w:t>
      </w:r>
      <w:r w:rsidRPr="00925C18">
        <w:rPr>
          <w:i/>
        </w:rPr>
        <w:t>National Health (Pharmaceutical Benefits) Regulations 1960</w:t>
      </w:r>
      <w:r w:rsidRPr="00925C18">
        <w:t xml:space="preserve"> (the Principal Regulations).</w:t>
      </w:r>
    </w:p>
    <w:p w:rsidR="001B3774" w:rsidRPr="00925C18" w:rsidRDefault="00797AB2" w:rsidP="00847D45">
      <w:pPr>
        <w:spacing w:after="240"/>
        <w:rPr>
          <w:b/>
        </w:rPr>
      </w:pPr>
      <w:r w:rsidRPr="00925C18">
        <w:rPr>
          <w:u w:val="single"/>
        </w:rPr>
        <w:t>Schedule 1 – Amendments</w:t>
      </w:r>
    </w:p>
    <w:p w:rsidR="0059669E" w:rsidRPr="00925C18" w:rsidRDefault="001B3774" w:rsidP="00847D45">
      <w:pPr>
        <w:pStyle w:val="Headingbold0"/>
        <w:spacing w:before="0"/>
      </w:pPr>
      <w:r w:rsidRPr="00925C18">
        <w:t xml:space="preserve">Item [1] – </w:t>
      </w:r>
      <w:proofErr w:type="spellStart"/>
      <w:r w:rsidRPr="00925C18">
        <w:t>Subregulation</w:t>
      </w:r>
      <w:proofErr w:type="spellEnd"/>
      <w:r w:rsidRPr="00925C18">
        <w:t xml:space="preserve"> 5(1), definition of authority prescription</w:t>
      </w:r>
    </w:p>
    <w:p w:rsidR="001B3774" w:rsidRPr="00925C18" w:rsidRDefault="001B3774" w:rsidP="00847D45">
      <w:pPr>
        <w:pStyle w:val="Textbody0"/>
      </w:pPr>
      <w:r w:rsidRPr="00925C18">
        <w:t>This item changes a reference to subsection</w:t>
      </w:r>
      <w:r w:rsidR="0059669E" w:rsidRPr="00925C18">
        <w:t> </w:t>
      </w:r>
      <w:r w:rsidRPr="00925C18">
        <w:t>85B(5) of the Act to a reference to subsection</w:t>
      </w:r>
      <w:r w:rsidR="00847D45" w:rsidRPr="00925C18">
        <w:t> </w:t>
      </w:r>
      <w:r w:rsidRPr="00925C18">
        <w:t>85B(4) of the Act in line with amendments to section</w:t>
      </w:r>
      <w:r w:rsidR="0059669E" w:rsidRPr="00925C18">
        <w:t> </w:t>
      </w:r>
      <w:r w:rsidRPr="00925C18">
        <w:t>85B being made by the amending Act.  New subsection</w:t>
      </w:r>
      <w:r w:rsidR="0059669E" w:rsidRPr="00925C18">
        <w:t> </w:t>
      </w:r>
      <w:r w:rsidRPr="00925C18">
        <w:t>85B(4) is identical to the previous subsection</w:t>
      </w:r>
      <w:r w:rsidR="0059669E" w:rsidRPr="00925C18">
        <w:t> </w:t>
      </w:r>
      <w:r w:rsidRPr="00925C18">
        <w:t>85B(5).</w:t>
      </w:r>
    </w:p>
    <w:p w:rsidR="0059669E" w:rsidRPr="00925C18" w:rsidRDefault="001B3774" w:rsidP="00847D45">
      <w:pPr>
        <w:pStyle w:val="Headingbold0"/>
        <w:spacing w:before="0"/>
      </w:pPr>
      <w:r w:rsidRPr="00925C18">
        <w:t>Item [2] – Regulation 15</w:t>
      </w:r>
    </w:p>
    <w:p w:rsidR="001B3774" w:rsidRPr="00925C18" w:rsidRDefault="001B3774" w:rsidP="00847D45">
      <w:pPr>
        <w:pStyle w:val="Textbody0"/>
      </w:pPr>
      <w:r w:rsidRPr="00925C18">
        <w:rPr>
          <w:bCs w:val="0"/>
        </w:rPr>
        <w:t>This item substitutes a new regulation</w:t>
      </w:r>
      <w:r w:rsidR="00847D45" w:rsidRPr="00925C18">
        <w:rPr>
          <w:bCs w:val="0"/>
        </w:rPr>
        <w:t> </w:t>
      </w:r>
      <w:r w:rsidRPr="00925C18">
        <w:rPr>
          <w:bCs w:val="0"/>
        </w:rPr>
        <w:t>15.  The new regulation contains a reference to section</w:t>
      </w:r>
      <w:r w:rsidR="0039738E" w:rsidRPr="00925C18">
        <w:rPr>
          <w:bCs w:val="0"/>
        </w:rPr>
        <w:t> </w:t>
      </w:r>
      <w:r w:rsidRPr="00925C18">
        <w:rPr>
          <w:bCs w:val="0"/>
        </w:rPr>
        <w:t xml:space="preserve">93AB of the Act, but otherwise is identical to the current regulation.  </w:t>
      </w:r>
      <w:r w:rsidRPr="00925C18">
        <w:t>There is no substantive change in the meaning of the regulation.</w:t>
      </w:r>
    </w:p>
    <w:p w:rsidR="001B3774" w:rsidRPr="00925C18" w:rsidRDefault="001B3774" w:rsidP="00847D45">
      <w:pPr>
        <w:pStyle w:val="Textbody0"/>
      </w:pPr>
      <w:r w:rsidRPr="00925C18">
        <w:t xml:space="preserve">Both the current </w:t>
      </w:r>
      <w:r w:rsidR="00FA5AC7">
        <w:t xml:space="preserve">regulation </w:t>
      </w:r>
      <w:r w:rsidRPr="00925C18">
        <w:t>and the substituted regulation contain a reference to section</w:t>
      </w:r>
      <w:r w:rsidR="0039738E" w:rsidRPr="00925C18">
        <w:t> </w:t>
      </w:r>
      <w:r w:rsidRPr="00925C18">
        <w:t>93AA of the Act.  Current subsection</w:t>
      </w:r>
      <w:r w:rsidR="0039738E" w:rsidRPr="00925C18">
        <w:t> </w:t>
      </w:r>
      <w:r w:rsidRPr="00925C18">
        <w:t>93AA of the Act covers supply</w:t>
      </w:r>
      <w:r w:rsidR="004623EA">
        <w:t xml:space="preserve"> of pharmaceutical benefits </w:t>
      </w:r>
      <w:r w:rsidR="001A5063">
        <w:t xml:space="preserve">by prescribers </w:t>
      </w:r>
      <w:r w:rsidR="004623EA">
        <w:t>for patient use</w:t>
      </w:r>
      <w:r w:rsidR="00937092">
        <w:t>,</w:t>
      </w:r>
      <w:r w:rsidR="004623EA">
        <w:t xml:space="preserve"> from s</w:t>
      </w:r>
      <w:r w:rsidR="004623EA" w:rsidRPr="00795E71">
        <w:t>uppl</w:t>
      </w:r>
      <w:r w:rsidR="004623EA">
        <w:t>ies obtained and held for that purpose</w:t>
      </w:r>
      <w:r w:rsidR="00937092">
        <w:t>,</w:t>
      </w:r>
      <w:r w:rsidRPr="00925C18">
        <w:t xml:space="preserve"> by both authorised midwives and authorised nurse practitioners.  Under amendments contained in Schedule</w:t>
      </w:r>
      <w:r w:rsidR="0039738E" w:rsidRPr="00925C18">
        <w:t> </w:t>
      </w:r>
      <w:r w:rsidRPr="00925C18">
        <w:t>3 to the amending Act, section</w:t>
      </w:r>
      <w:r w:rsidR="0039738E" w:rsidRPr="00925C18">
        <w:t> </w:t>
      </w:r>
      <w:r w:rsidRPr="00925C18">
        <w:t>93AA will</w:t>
      </w:r>
      <w:r w:rsidR="0039738E" w:rsidRPr="00925C18">
        <w:t xml:space="preserve"> apply</w:t>
      </w:r>
      <w:r w:rsidRPr="00925C18">
        <w:t>, from 1</w:t>
      </w:r>
      <w:r w:rsidR="0039738E" w:rsidRPr="00925C18">
        <w:t> </w:t>
      </w:r>
      <w:r w:rsidRPr="00925C18">
        <w:t>October</w:t>
      </w:r>
      <w:r w:rsidR="0039738E" w:rsidRPr="00925C18">
        <w:t> </w:t>
      </w:r>
      <w:r w:rsidRPr="00925C18">
        <w:t>2012, only to supply by authorised midwives, and new section</w:t>
      </w:r>
      <w:r w:rsidR="0039738E" w:rsidRPr="00925C18">
        <w:t> </w:t>
      </w:r>
      <w:r w:rsidRPr="00925C18">
        <w:t>93AB to supply by authorised nurse practitioners.  Thus, where the current regulation refers to section</w:t>
      </w:r>
      <w:r w:rsidR="0039738E" w:rsidRPr="00925C18">
        <w:t> </w:t>
      </w:r>
      <w:r w:rsidRPr="00925C18">
        <w:t>93AA, the substituted regulation refers to sections</w:t>
      </w:r>
      <w:r w:rsidR="0039738E" w:rsidRPr="00925C18">
        <w:t> </w:t>
      </w:r>
      <w:r w:rsidRPr="00925C18">
        <w:t>93AA and</w:t>
      </w:r>
      <w:r w:rsidR="003D44FD" w:rsidRPr="00925C18">
        <w:t> </w:t>
      </w:r>
      <w:r w:rsidRPr="00925C18">
        <w:t>93AB.</w:t>
      </w:r>
    </w:p>
    <w:p w:rsidR="001B3774" w:rsidRPr="00925C18" w:rsidRDefault="005672A1" w:rsidP="006F18CB">
      <w:pPr>
        <w:pStyle w:val="Textbody0"/>
      </w:pPr>
      <w:r>
        <w:t xml:space="preserve">This item also substitutes a </w:t>
      </w:r>
      <w:r w:rsidR="001B3774" w:rsidRPr="00925C18">
        <w:t xml:space="preserve">new more </w:t>
      </w:r>
      <w:r w:rsidR="00937092">
        <w:t>descriptive</w:t>
      </w:r>
      <w:r w:rsidR="001B3774" w:rsidRPr="00925C18">
        <w:t xml:space="preserve"> heading </w:t>
      </w:r>
      <w:r>
        <w:t xml:space="preserve">for </w:t>
      </w:r>
      <w:r w:rsidR="001B3774" w:rsidRPr="00925C18">
        <w:t>the regulation.</w:t>
      </w:r>
    </w:p>
    <w:p w:rsidR="006F18CB" w:rsidRPr="00925C18" w:rsidRDefault="001B3774" w:rsidP="0039738E">
      <w:pPr>
        <w:pStyle w:val="Headingbold0"/>
        <w:spacing w:before="0"/>
      </w:pPr>
      <w:r w:rsidRPr="00925C18">
        <w:t>Item [3] – Regulation 16, heading</w:t>
      </w:r>
    </w:p>
    <w:p w:rsidR="001B3774" w:rsidRPr="00925C18" w:rsidRDefault="001B3774" w:rsidP="003D44FD">
      <w:pPr>
        <w:pStyle w:val="Textbody0"/>
        <w:rPr>
          <w:bCs w:val="0"/>
        </w:rPr>
      </w:pPr>
      <w:r w:rsidRPr="00925C18">
        <w:rPr>
          <w:bCs w:val="0"/>
        </w:rPr>
        <w:t xml:space="preserve">This item substitutes a more </w:t>
      </w:r>
      <w:r w:rsidR="00937092">
        <w:t>descriptive</w:t>
      </w:r>
      <w:r w:rsidRPr="00925C18">
        <w:t xml:space="preserve"> </w:t>
      </w:r>
      <w:r w:rsidR="003D44FD" w:rsidRPr="00925C18">
        <w:t xml:space="preserve">heading </w:t>
      </w:r>
      <w:r w:rsidR="00291C20">
        <w:t>for</w:t>
      </w:r>
      <w:r w:rsidR="003D44FD" w:rsidRPr="00925C18">
        <w:t xml:space="preserve"> regulation 16.</w:t>
      </w:r>
    </w:p>
    <w:p w:rsidR="003D44FD" w:rsidRPr="00925C18" w:rsidRDefault="001B3774" w:rsidP="003D44FD">
      <w:pPr>
        <w:pStyle w:val="Headingbold0"/>
        <w:spacing w:before="0"/>
      </w:pPr>
      <w:r w:rsidRPr="00925C18">
        <w:t xml:space="preserve">Item [4] – </w:t>
      </w:r>
      <w:proofErr w:type="spellStart"/>
      <w:r w:rsidRPr="00925C18">
        <w:t>Subregulation</w:t>
      </w:r>
      <w:proofErr w:type="spellEnd"/>
      <w:r w:rsidRPr="00925C18">
        <w:t xml:space="preserve"> 16(1)</w:t>
      </w:r>
    </w:p>
    <w:p w:rsidR="001B3774" w:rsidRPr="00925C18" w:rsidRDefault="001B3774" w:rsidP="003D44FD">
      <w:pPr>
        <w:pStyle w:val="Textbody0"/>
      </w:pPr>
      <w:r w:rsidRPr="00925C18">
        <w:t xml:space="preserve">This item amends the </w:t>
      </w:r>
      <w:proofErr w:type="spellStart"/>
      <w:r w:rsidRPr="00925C18">
        <w:t>subregulation</w:t>
      </w:r>
      <w:proofErr w:type="spellEnd"/>
      <w:r w:rsidRPr="00925C18">
        <w:t xml:space="preserve"> by replacing the current reference to section</w:t>
      </w:r>
      <w:r w:rsidR="003D44FD" w:rsidRPr="00925C18">
        <w:t> </w:t>
      </w:r>
      <w:r w:rsidRPr="00925C18">
        <w:t>93AA of the Act with a reference to sections</w:t>
      </w:r>
      <w:r w:rsidR="003D44FD" w:rsidRPr="00925C18">
        <w:t> </w:t>
      </w:r>
      <w:r w:rsidRPr="00925C18">
        <w:t>93AA and</w:t>
      </w:r>
      <w:r w:rsidR="003D44FD" w:rsidRPr="00925C18">
        <w:t> </w:t>
      </w:r>
      <w:r w:rsidRPr="00925C18">
        <w:t>93AB.  The amendment reflects the splitting of current section</w:t>
      </w:r>
      <w:r w:rsidR="003D44FD" w:rsidRPr="00925C18">
        <w:t> </w:t>
      </w:r>
      <w:r w:rsidRPr="00925C18">
        <w:t>93AA into two sections, sections</w:t>
      </w:r>
      <w:r w:rsidR="003D44FD" w:rsidRPr="00925C18">
        <w:t> </w:t>
      </w:r>
      <w:r w:rsidRPr="00925C18">
        <w:t>93AA and</w:t>
      </w:r>
      <w:r w:rsidR="003D44FD" w:rsidRPr="00925C18">
        <w:t> </w:t>
      </w:r>
      <w:r w:rsidRPr="00925C18">
        <w:t>93AB, from 1</w:t>
      </w:r>
      <w:r w:rsidR="003D44FD" w:rsidRPr="00925C18">
        <w:t> </w:t>
      </w:r>
      <w:r w:rsidRPr="00925C18">
        <w:t>October</w:t>
      </w:r>
      <w:r w:rsidR="003D44FD" w:rsidRPr="00925C18">
        <w:t> </w:t>
      </w:r>
      <w:r w:rsidRPr="00925C18">
        <w:t xml:space="preserve">2012.  There is no substantive change in the meaning of the </w:t>
      </w:r>
      <w:proofErr w:type="spellStart"/>
      <w:r w:rsidRPr="00925C18">
        <w:t>subregulation</w:t>
      </w:r>
      <w:proofErr w:type="spellEnd"/>
      <w:r w:rsidRPr="00925C18">
        <w:t xml:space="preserve"> or the regulation.</w:t>
      </w:r>
    </w:p>
    <w:p w:rsidR="003D44FD" w:rsidRPr="00925C18" w:rsidRDefault="001B3774" w:rsidP="003D44FD">
      <w:pPr>
        <w:pStyle w:val="Headingbold0"/>
        <w:spacing w:before="0"/>
      </w:pPr>
      <w:r w:rsidRPr="00925C18">
        <w:lastRenderedPageBreak/>
        <w:t>Item [5] – Regulation 17, heading</w:t>
      </w:r>
    </w:p>
    <w:p w:rsidR="001B3774" w:rsidRPr="00925C18" w:rsidRDefault="001B3774" w:rsidP="003D44FD">
      <w:pPr>
        <w:pStyle w:val="Textbody0"/>
        <w:rPr>
          <w:bCs w:val="0"/>
        </w:rPr>
      </w:pPr>
      <w:r w:rsidRPr="00925C18">
        <w:rPr>
          <w:bCs w:val="0"/>
        </w:rPr>
        <w:t xml:space="preserve">This item substitutes a more </w:t>
      </w:r>
      <w:r w:rsidR="00CB0E17">
        <w:rPr>
          <w:bCs w:val="0"/>
        </w:rPr>
        <w:t>descriptive</w:t>
      </w:r>
      <w:r w:rsidRPr="00925C18">
        <w:t xml:space="preserve"> heading </w:t>
      </w:r>
      <w:r w:rsidR="00291C20">
        <w:t xml:space="preserve">for </w:t>
      </w:r>
      <w:r w:rsidRPr="00925C18">
        <w:t>regulation</w:t>
      </w:r>
      <w:r w:rsidR="003D44FD" w:rsidRPr="00925C18">
        <w:t> </w:t>
      </w:r>
      <w:r w:rsidRPr="00925C18">
        <w:t>17.</w:t>
      </w:r>
    </w:p>
    <w:p w:rsidR="003D44FD" w:rsidRPr="00925C18" w:rsidRDefault="001B3774" w:rsidP="003D44FD">
      <w:pPr>
        <w:pStyle w:val="Headingbold0"/>
        <w:spacing w:before="0"/>
      </w:pPr>
      <w:r w:rsidRPr="00925C18">
        <w:t>Item [6] – Regulation 18, heading</w:t>
      </w:r>
    </w:p>
    <w:p w:rsidR="001B3774" w:rsidRPr="00925C18" w:rsidRDefault="001B3774" w:rsidP="006F2115">
      <w:pPr>
        <w:pStyle w:val="Textbody0"/>
      </w:pPr>
      <w:r w:rsidRPr="00925C18">
        <w:t xml:space="preserve">This item substitutes a more </w:t>
      </w:r>
      <w:r w:rsidR="00CB0E17">
        <w:t xml:space="preserve">descriptive </w:t>
      </w:r>
      <w:r w:rsidRPr="00925C18">
        <w:t xml:space="preserve">heading </w:t>
      </w:r>
      <w:r w:rsidR="00CB0E17">
        <w:t>for</w:t>
      </w:r>
      <w:r w:rsidRPr="00925C18">
        <w:t xml:space="preserve"> regulation 18</w:t>
      </w:r>
      <w:r w:rsidR="006F2115" w:rsidRPr="00925C18">
        <w:t>.</w:t>
      </w:r>
    </w:p>
    <w:p w:rsidR="006F2115" w:rsidRPr="00925C18" w:rsidRDefault="001B3774" w:rsidP="006F2115">
      <w:pPr>
        <w:pStyle w:val="Headingbold0"/>
        <w:spacing w:before="0"/>
      </w:pPr>
      <w:r w:rsidRPr="00925C18">
        <w:t>Item [7] – Regulation 18</w:t>
      </w:r>
    </w:p>
    <w:p w:rsidR="001B3774" w:rsidRPr="00925C18" w:rsidRDefault="001B3774" w:rsidP="006F2115">
      <w:pPr>
        <w:pStyle w:val="Textbody0"/>
      </w:pPr>
      <w:r w:rsidRPr="00925C18">
        <w:t>This item amends regulation</w:t>
      </w:r>
      <w:r w:rsidR="006F2115" w:rsidRPr="00925C18">
        <w:t> </w:t>
      </w:r>
      <w:r w:rsidRPr="00925C18">
        <w:t>18 by replacing the current reference to section</w:t>
      </w:r>
      <w:r w:rsidR="006F2115" w:rsidRPr="00925C18">
        <w:t> </w:t>
      </w:r>
      <w:r w:rsidRPr="00925C18">
        <w:t>93AA of the Act with a reference to sections</w:t>
      </w:r>
      <w:r w:rsidR="006F2115" w:rsidRPr="00925C18">
        <w:t> </w:t>
      </w:r>
      <w:r w:rsidRPr="00925C18">
        <w:t>93AA and</w:t>
      </w:r>
      <w:r w:rsidR="006F2115" w:rsidRPr="00925C18">
        <w:t> </w:t>
      </w:r>
      <w:r w:rsidRPr="00925C18">
        <w:t>93AB.  The amendment reflects the splitting of current section</w:t>
      </w:r>
      <w:r w:rsidR="006F2115" w:rsidRPr="00925C18">
        <w:t> </w:t>
      </w:r>
      <w:r w:rsidRPr="00925C18">
        <w:t>93AA into two sections, sections</w:t>
      </w:r>
      <w:r w:rsidR="006F2115" w:rsidRPr="00925C18">
        <w:t> </w:t>
      </w:r>
      <w:r w:rsidRPr="00925C18">
        <w:t>93AA and</w:t>
      </w:r>
      <w:r w:rsidR="006F2115" w:rsidRPr="00925C18">
        <w:t> </w:t>
      </w:r>
      <w:r w:rsidRPr="00925C18">
        <w:t>93AB, from 1</w:t>
      </w:r>
      <w:r w:rsidR="006F2115" w:rsidRPr="00925C18">
        <w:t> </w:t>
      </w:r>
      <w:r w:rsidRPr="00925C18">
        <w:t>October</w:t>
      </w:r>
      <w:r w:rsidR="00213204" w:rsidRPr="00925C18">
        <w:t> </w:t>
      </w:r>
      <w:r w:rsidRPr="00925C18">
        <w:t>2012</w:t>
      </w:r>
      <w:r w:rsidR="00CF6E6A">
        <w:t>.</w:t>
      </w:r>
      <w:r w:rsidRPr="00925C18">
        <w:t xml:space="preserve">  There is no substantive change in the meaning of the regulation.</w:t>
      </w:r>
    </w:p>
    <w:p w:rsidR="003307C0" w:rsidRPr="00925C18" w:rsidRDefault="001B3774" w:rsidP="003307C0">
      <w:pPr>
        <w:pStyle w:val="Headingbold0"/>
        <w:spacing w:before="0"/>
      </w:pPr>
      <w:r w:rsidRPr="00925C18">
        <w:t xml:space="preserve">Item [8] – </w:t>
      </w:r>
      <w:proofErr w:type="spellStart"/>
      <w:r w:rsidRPr="00925C18">
        <w:t>Subregulation</w:t>
      </w:r>
      <w:proofErr w:type="spellEnd"/>
      <w:r w:rsidRPr="00925C18">
        <w:t xml:space="preserve"> 19(6)</w:t>
      </w:r>
    </w:p>
    <w:p w:rsidR="001B3774" w:rsidRPr="00925C18" w:rsidRDefault="001B3774" w:rsidP="003307C0">
      <w:pPr>
        <w:pStyle w:val="Textbody0"/>
      </w:pPr>
      <w:r w:rsidRPr="00925C18">
        <w:t>This item changes a reference to subsection</w:t>
      </w:r>
      <w:r w:rsidR="00213204" w:rsidRPr="00925C18">
        <w:t> </w:t>
      </w:r>
      <w:r w:rsidRPr="00925C18">
        <w:t>85B(5) of the Act to a reference to subsection</w:t>
      </w:r>
      <w:r w:rsidR="002605C4">
        <w:t> </w:t>
      </w:r>
      <w:r w:rsidRPr="00925C18">
        <w:t>85B(4) of the Act in line with amendments to section</w:t>
      </w:r>
      <w:r w:rsidR="00213204" w:rsidRPr="00925C18">
        <w:t> </w:t>
      </w:r>
      <w:r w:rsidRPr="00925C18">
        <w:t>85B being made by the amending Act.  New subsection</w:t>
      </w:r>
      <w:r w:rsidR="00213204" w:rsidRPr="00925C18">
        <w:t> </w:t>
      </w:r>
      <w:r w:rsidRPr="00925C18">
        <w:t>85B(4) is identical to the previous subsection</w:t>
      </w:r>
      <w:r w:rsidR="00213204" w:rsidRPr="00925C18">
        <w:t> </w:t>
      </w:r>
      <w:r w:rsidRPr="00925C18">
        <w:t>85B(5).</w:t>
      </w:r>
    </w:p>
    <w:p w:rsidR="00213204" w:rsidRPr="00925C18" w:rsidRDefault="001B3774" w:rsidP="00213204">
      <w:pPr>
        <w:pStyle w:val="Headingbold0"/>
        <w:spacing w:before="0"/>
      </w:pPr>
      <w:r w:rsidRPr="00925C18">
        <w:t>Item [9] – Paragraph 36(2)(c)</w:t>
      </w:r>
    </w:p>
    <w:p w:rsidR="001B3774" w:rsidRPr="00925C18" w:rsidRDefault="001B3774" w:rsidP="00213204">
      <w:pPr>
        <w:pStyle w:val="Textbody0"/>
      </w:pPr>
      <w:r w:rsidRPr="00925C18">
        <w:t>This item amends the paragraph by replacing the current reference to subsection</w:t>
      </w:r>
      <w:r w:rsidR="00213204" w:rsidRPr="00925C18">
        <w:t> </w:t>
      </w:r>
      <w:r w:rsidRPr="00925C18">
        <w:t>93AA(2) of the Act with a reference to subsections</w:t>
      </w:r>
      <w:r w:rsidR="00213204" w:rsidRPr="00925C18">
        <w:t> </w:t>
      </w:r>
      <w:r w:rsidRPr="00925C18">
        <w:t>93AA(2) and</w:t>
      </w:r>
      <w:r w:rsidR="00213204" w:rsidRPr="00925C18">
        <w:t> </w:t>
      </w:r>
      <w:r w:rsidRPr="00925C18">
        <w:t>93AB(2).  The amendment reflects the splitting of current section 93AA into two sections, sections</w:t>
      </w:r>
      <w:r w:rsidR="00213204" w:rsidRPr="00925C18">
        <w:t> </w:t>
      </w:r>
      <w:r w:rsidRPr="00925C18">
        <w:t>93AA and</w:t>
      </w:r>
      <w:r w:rsidR="00213204" w:rsidRPr="00925C18">
        <w:t> </w:t>
      </w:r>
      <w:r w:rsidRPr="00925C18">
        <w:t>93AB, from 1</w:t>
      </w:r>
      <w:r w:rsidR="00213204" w:rsidRPr="00925C18">
        <w:t> </w:t>
      </w:r>
      <w:r w:rsidRPr="00925C18">
        <w:t>October</w:t>
      </w:r>
      <w:r w:rsidR="00213204" w:rsidRPr="00925C18">
        <w:t> </w:t>
      </w:r>
      <w:r w:rsidRPr="00925C18">
        <w:t>2012</w:t>
      </w:r>
      <w:r w:rsidR="00CF6E6A">
        <w:t>.</w:t>
      </w:r>
      <w:r w:rsidRPr="00925C18">
        <w:t xml:space="preserve">  There is no substantive change in the meaning of the paragraph or the regulation.</w:t>
      </w:r>
    </w:p>
    <w:p w:rsidR="00213204" w:rsidRPr="00925C18" w:rsidRDefault="001B3774" w:rsidP="00213204">
      <w:pPr>
        <w:pStyle w:val="Headingbold0"/>
        <w:spacing w:before="0"/>
      </w:pPr>
      <w:r w:rsidRPr="00925C18">
        <w:t xml:space="preserve">Item [10] – </w:t>
      </w:r>
      <w:proofErr w:type="spellStart"/>
      <w:r w:rsidRPr="00925C18">
        <w:t>Subregulation</w:t>
      </w:r>
      <w:proofErr w:type="spellEnd"/>
      <w:r w:rsidRPr="00925C18">
        <w:t xml:space="preserve"> 36(3), note</w:t>
      </w:r>
    </w:p>
    <w:p w:rsidR="001B3774" w:rsidRPr="00925C18" w:rsidRDefault="001B3774" w:rsidP="00213204">
      <w:pPr>
        <w:pStyle w:val="Textbody0"/>
      </w:pPr>
      <w:r w:rsidRPr="00925C18">
        <w:t xml:space="preserve">This item corrects an error in a cross-reference to a subsection of the Act.  The correct </w:t>
      </w:r>
      <w:proofErr w:type="spellStart"/>
      <w:r w:rsidRPr="00925C18">
        <w:t>cross</w:t>
      </w:r>
      <w:r w:rsidR="00CC526E" w:rsidRPr="00925C18">
        <w:noBreakHyphen/>
      </w:r>
      <w:r w:rsidRPr="00925C18">
        <w:t>reference</w:t>
      </w:r>
      <w:proofErr w:type="spellEnd"/>
      <w:r w:rsidRPr="00925C18">
        <w:t xml:space="preserve"> prior to 1</w:t>
      </w:r>
      <w:r w:rsidR="00CC526E" w:rsidRPr="00925C18">
        <w:t> </w:t>
      </w:r>
      <w:r w:rsidRPr="00925C18">
        <w:t>October</w:t>
      </w:r>
      <w:r w:rsidR="00CC526E" w:rsidRPr="00925C18">
        <w:t> </w:t>
      </w:r>
      <w:r w:rsidRPr="00925C18">
        <w:t>2012 was subsection</w:t>
      </w:r>
      <w:r w:rsidR="00CC526E" w:rsidRPr="00925C18">
        <w:t> </w:t>
      </w:r>
      <w:r w:rsidRPr="00925C18">
        <w:t>85B(4); from 1</w:t>
      </w:r>
      <w:r w:rsidR="00CC526E" w:rsidRPr="00925C18">
        <w:t> </w:t>
      </w:r>
      <w:r w:rsidRPr="00925C18">
        <w:t>October</w:t>
      </w:r>
      <w:r w:rsidR="00CC526E" w:rsidRPr="00925C18">
        <w:t> </w:t>
      </w:r>
      <w:r w:rsidRPr="00925C18">
        <w:t>2012 the correct cross-reference is subsection</w:t>
      </w:r>
      <w:r w:rsidR="00CC526E" w:rsidRPr="00925C18">
        <w:t> </w:t>
      </w:r>
      <w:r w:rsidRPr="00925C18">
        <w:t>85B(5).</w:t>
      </w:r>
    </w:p>
    <w:p w:rsidR="00CC526E" w:rsidRPr="00925C18" w:rsidRDefault="001B3774" w:rsidP="00CC526E">
      <w:pPr>
        <w:pStyle w:val="Headingbold0"/>
        <w:spacing w:before="0"/>
      </w:pPr>
      <w:r w:rsidRPr="00925C18">
        <w:t>Item [11] – Regulation 37A, definition of approved price to pharmacists</w:t>
      </w:r>
    </w:p>
    <w:p w:rsidR="001B3774" w:rsidRPr="00925C18" w:rsidRDefault="001B3774" w:rsidP="00CC526E">
      <w:pPr>
        <w:spacing w:before="0" w:after="240"/>
        <w:ind w:right="45"/>
        <w:rPr>
          <w:b/>
          <w:i/>
        </w:rPr>
      </w:pPr>
      <w:r w:rsidRPr="00925C18">
        <w:t xml:space="preserve">This item repeals the definition of </w:t>
      </w:r>
      <w:r w:rsidRPr="00925C18">
        <w:rPr>
          <w:b/>
          <w:i/>
        </w:rPr>
        <w:t xml:space="preserve">approved price to pharmacists.  </w:t>
      </w:r>
      <w:r w:rsidRPr="00925C18">
        <w:t>This term is being removed from the Act from 1</w:t>
      </w:r>
      <w:r w:rsidR="00CC526E" w:rsidRPr="00925C18">
        <w:t> </w:t>
      </w:r>
      <w:r w:rsidRPr="00925C18">
        <w:t>October</w:t>
      </w:r>
      <w:r w:rsidR="00CC526E" w:rsidRPr="00925C18">
        <w:t> </w:t>
      </w:r>
      <w:r w:rsidRPr="00925C18">
        <w:t>2012 and replaced with</w:t>
      </w:r>
      <w:r w:rsidRPr="00925C18">
        <w:rPr>
          <w:b/>
          <w:i/>
        </w:rPr>
        <w:t xml:space="preserve"> approved </w:t>
      </w:r>
      <w:proofErr w:type="spellStart"/>
      <w:r w:rsidRPr="00925C18">
        <w:rPr>
          <w:b/>
          <w:i/>
        </w:rPr>
        <w:t>ex</w:t>
      </w:r>
      <w:r w:rsidR="00CC526E" w:rsidRPr="00925C18">
        <w:rPr>
          <w:b/>
          <w:i/>
        </w:rPr>
        <w:noBreakHyphen/>
      </w:r>
      <w:r w:rsidRPr="00925C18">
        <w:rPr>
          <w:b/>
          <w:i/>
        </w:rPr>
        <w:t>manufacturer</w:t>
      </w:r>
      <w:proofErr w:type="spellEnd"/>
      <w:r w:rsidRPr="00925C18">
        <w:rPr>
          <w:b/>
          <w:i/>
        </w:rPr>
        <w:t xml:space="preserve"> price </w:t>
      </w:r>
      <w:r w:rsidRPr="00925C18">
        <w:t>under amendments contained in Schedule</w:t>
      </w:r>
      <w:r w:rsidR="00CC526E" w:rsidRPr="00925C18">
        <w:t> </w:t>
      </w:r>
      <w:r w:rsidRPr="00925C18">
        <w:t>1 to the amending Act.</w:t>
      </w:r>
      <w:r w:rsidRPr="00925C18">
        <w:rPr>
          <w:b/>
          <w:i/>
        </w:rPr>
        <w:t xml:space="preserve">  </w:t>
      </w:r>
      <w:r w:rsidRPr="00925C18">
        <w:t xml:space="preserve">The </w:t>
      </w:r>
      <w:r w:rsidRPr="00925C18">
        <w:rPr>
          <w:b/>
          <w:i/>
        </w:rPr>
        <w:t xml:space="preserve">approved </w:t>
      </w:r>
      <w:proofErr w:type="spellStart"/>
      <w:r w:rsidRPr="00925C18">
        <w:rPr>
          <w:b/>
          <w:i/>
        </w:rPr>
        <w:t>ex</w:t>
      </w:r>
      <w:r w:rsidR="005672A1">
        <w:rPr>
          <w:b/>
          <w:i/>
        </w:rPr>
        <w:noBreakHyphen/>
      </w:r>
      <w:r w:rsidRPr="00925C18">
        <w:rPr>
          <w:b/>
          <w:i/>
        </w:rPr>
        <w:t>manufacturer</w:t>
      </w:r>
      <w:proofErr w:type="spellEnd"/>
      <w:r w:rsidRPr="00925C18">
        <w:rPr>
          <w:b/>
          <w:i/>
        </w:rPr>
        <w:t xml:space="preserve"> price</w:t>
      </w:r>
      <w:r w:rsidRPr="00925C18">
        <w:t xml:space="preserve"> replace</w:t>
      </w:r>
      <w:r w:rsidR="005672A1">
        <w:t>s</w:t>
      </w:r>
      <w:r w:rsidRPr="00925C18">
        <w:t xml:space="preserve"> the </w:t>
      </w:r>
      <w:r w:rsidRPr="00925C18">
        <w:rPr>
          <w:b/>
          <w:i/>
        </w:rPr>
        <w:t>approved price to pharmacists</w:t>
      </w:r>
      <w:r w:rsidRPr="00925C18">
        <w:t xml:space="preserve"> as the core Pharmaceutical Benefits Scheme (PBS) price in the Act.  The Principal Regulations already contain many provisions based on the </w:t>
      </w:r>
      <w:r w:rsidRPr="00925C18">
        <w:rPr>
          <w:b/>
          <w:i/>
        </w:rPr>
        <w:t>approved ex-manufacturer price</w:t>
      </w:r>
      <w:r w:rsidRPr="00925C18">
        <w:t>.</w:t>
      </w:r>
      <w:r w:rsidRPr="00925C18">
        <w:rPr>
          <w:b/>
          <w:i/>
        </w:rPr>
        <w:t xml:space="preserve">  </w:t>
      </w:r>
      <w:r w:rsidRPr="00925C18">
        <w:t>Provisions based on the</w:t>
      </w:r>
      <w:r w:rsidRPr="00925C18">
        <w:rPr>
          <w:b/>
          <w:i/>
        </w:rPr>
        <w:t xml:space="preserve"> approved price to pharmacists </w:t>
      </w:r>
      <w:r w:rsidRPr="00925C18">
        <w:t>are being omitted or amended by items in this Schedule and the term will no longer appear in the Principal Regulations.</w:t>
      </w:r>
    </w:p>
    <w:p w:rsidR="00CC526E" w:rsidRPr="00925C18" w:rsidRDefault="001B3774" w:rsidP="00CC526E">
      <w:pPr>
        <w:pStyle w:val="Headingbold0"/>
        <w:spacing w:before="0"/>
      </w:pPr>
      <w:r w:rsidRPr="00925C18">
        <w:t>Item [12] – Regulation 37A</w:t>
      </w:r>
    </w:p>
    <w:p w:rsidR="001B3774" w:rsidRDefault="001B3774" w:rsidP="00862B91">
      <w:pPr>
        <w:spacing w:before="0" w:after="240"/>
        <w:ind w:right="45"/>
        <w:rPr>
          <w:bCs/>
        </w:rPr>
      </w:pPr>
      <w:r w:rsidRPr="00925C18">
        <w:rPr>
          <w:bCs/>
        </w:rPr>
        <w:t xml:space="preserve">This item inserts a definition of a new term, </w:t>
      </w:r>
      <w:r w:rsidRPr="00925C18">
        <w:rPr>
          <w:b/>
          <w:bCs/>
          <w:i/>
        </w:rPr>
        <w:t>start day</w:t>
      </w:r>
      <w:r w:rsidRPr="00925C18">
        <w:rPr>
          <w:bCs/>
        </w:rPr>
        <w:t>, in regulation</w:t>
      </w:r>
      <w:r w:rsidR="00862B91" w:rsidRPr="00925C18">
        <w:rPr>
          <w:bCs/>
        </w:rPr>
        <w:t> </w:t>
      </w:r>
      <w:r w:rsidRPr="00925C18">
        <w:rPr>
          <w:bCs/>
        </w:rPr>
        <w:t xml:space="preserve">37DA.  A </w:t>
      </w:r>
      <w:r w:rsidRPr="00925C18">
        <w:rPr>
          <w:b/>
          <w:bCs/>
          <w:i/>
        </w:rPr>
        <w:t>start</w:t>
      </w:r>
      <w:r w:rsidR="00BE13FB">
        <w:rPr>
          <w:b/>
          <w:bCs/>
          <w:i/>
        </w:rPr>
        <w:t> </w:t>
      </w:r>
      <w:r w:rsidRPr="00925C18">
        <w:rPr>
          <w:b/>
          <w:bCs/>
          <w:i/>
        </w:rPr>
        <w:t>day</w:t>
      </w:r>
      <w:r w:rsidRPr="00925C18">
        <w:rPr>
          <w:bCs/>
        </w:rPr>
        <w:t xml:space="preserve"> in relation to a brand of a pharmaceutical item is the day on which the price disclosure requirements under the Act first apply to the brand.  The new term</w:t>
      </w:r>
      <w:r w:rsidR="005672A1" w:rsidRPr="003358A8">
        <w:rPr>
          <w:b/>
          <w:i/>
        </w:rPr>
        <w:t xml:space="preserve"> </w:t>
      </w:r>
      <w:r w:rsidR="005672A1" w:rsidRPr="00925C18">
        <w:rPr>
          <w:b/>
          <w:bCs/>
          <w:i/>
        </w:rPr>
        <w:t>start</w:t>
      </w:r>
      <w:r w:rsidR="006F49DF">
        <w:rPr>
          <w:b/>
          <w:bCs/>
          <w:i/>
        </w:rPr>
        <w:t> </w:t>
      </w:r>
      <w:r w:rsidR="005672A1" w:rsidRPr="00925C18">
        <w:rPr>
          <w:b/>
          <w:bCs/>
          <w:i/>
        </w:rPr>
        <w:t>day</w:t>
      </w:r>
      <w:r w:rsidRPr="00925C18">
        <w:rPr>
          <w:bCs/>
        </w:rPr>
        <w:t xml:space="preserve"> will replace the current </w:t>
      </w:r>
      <w:r w:rsidR="00CF6E6A">
        <w:rPr>
          <w:bCs/>
        </w:rPr>
        <w:t>term</w:t>
      </w:r>
      <w:r w:rsidRPr="00925C18">
        <w:rPr>
          <w:bCs/>
        </w:rPr>
        <w:t xml:space="preserve"> </w:t>
      </w:r>
      <w:r w:rsidRPr="00925C18">
        <w:rPr>
          <w:b/>
          <w:bCs/>
          <w:i/>
        </w:rPr>
        <w:t>relevant day</w:t>
      </w:r>
      <w:r w:rsidRPr="00925C18">
        <w:rPr>
          <w:bCs/>
        </w:rPr>
        <w:t xml:space="preserve"> in a number of regulations.</w:t>
      </w:r>
    </w:p>
    <w:p w:rsidR="001B3774" w:rsidRPr="00925C18" w:rsidRDefault="00124B4D" w:rsidP="00862B91">
      <w:pPr>
        <w:spacing w:before="0" w:after="240"/>
        <w:ind w:right="45"/>
      </w:pPr>
      <w:r>
        <w:rPr>
          <w:bCs/>
        </w:rPr>
        <w:t>The</w:t>
      </w:r>
      <w:r w:rsidR="001B3774" w:rsidRPr="00925C18">
        <w:rPr>
          <w:bCs/>
        </w:rPr>
        <w:t xml:space="preserve"> </w:t>
      </w:r>
      <w:r>
        <w:rPr>
          <w:bCs/>
        </w:rPr>
        <w:t>t</w:t>
      </w:r>
      <w:r w:rsidR="006F49DF">
        <w:rPr>
          <w:bCs/>
        </w:rPr>
        <w:t>erm</w:t>
      </w:r>
      <w:r w:rsidR="001B3774" w:rsidRPr="00925C18">
        <w:rPr>
          <w:bCs/>
        </w:rPr>
        <w:t xml:space="preserve"> </w:t>
      </w:r>
      <w:r w:rsidRPr="00076248">
        <w:rPr>
          <w:b/>
          <w:bCs/>
          <w:i/>
        </w:rPr>
        <w:t>relevant day</w:t>
      </w:r>
      <w:r>
        <w:rPr>
          <w:bCs/>
        </w:rPr>
        <w:t xml:space="preserve"> </w:t>
      </w:r>
      <w:r w:rsidR="001B3774" w:rsidRPr="00925C18">
        <w:rPr>
          <w:bCs/>
        </w:rPr>
        <w:t xml:space="preserve">is being replaced because </w:t>
      </w:r>
      <w:r w:rsidR="001B3774" w:rsidRPr="00925C18">
        <w:rPr>
          <w:b/>
          <w:bCs/>
          <w:i/>
        </w:rPr>
        <w:t>relevant day</w:t>
      </w:r>
      <w:r w:rsidR="001B3774" w:rsidRPr="00925C18">
        <w:rPr>
          <w:bCs/>
        </w:rPr>
        <w:t xml:space="preserve"> will have a defined meaning in the Act from 1</w:t>
      </w:r>
      <w:r w:rsidR="00862B91" w:rsidRPr="00925C18">
        <w:rPr>
          <w:bCs/>
        </w:rPr>
        <w:t> </w:t>
      </w:r>
      <w:r w:rsidR="001B3774" w:rsidRPr="00925C18">
        <w:rPr>
          <w:bCs/>
        </w:rPr>
        <w:t>October</w:t>
      </w:r>
      <w:r w:rsidR="00862B91" w:rsidRPr="00925C18">
        <w:rPr>
          <w:bCs/>
        </w:rPr>
        <w:t> </w:t>
      </w:r>
      <w:r w:rsidR="001B3774" w:rsidRPr="00925C18">
        <w:rPr>
          <w:bCs/>
        </w:rPr>
        <w:t xml:space="preserve">2012, </w:t>
      </w:r>
      <w:r>
        <w:rPr>
          <w:bCs/>
        </w:rPr>
        <w:t xml:space="preserve">which is different </w:t>
      </w:r>
      <w:r w:rsidR="001B3774" w:rsidRPr="00925C18">
        <w:rPr>
          <w:bCs/>
        </w:rPr>
        <w:t xml:space="preserve">from </w:t>
      </w:r>
      <w:r>
        <w:rPr>
          <w:bCs/>
        </w:rPr>
        <w:t xml:space="preserve">its current meaning </w:t>
      </w:r>
      <w:r w:rsidR="001B3774" w:rsidRPr="00925C18">
        <w:rPr>
          <w:bCs/>
        </w:rPr>
        <w:t>in the Principal Regulations.</w:t>
      </w:r>
      <w:r>
        <w:rPr>
          <w:bCs/>
        </w:rPr>
        <w:t xml:space="preserve">  From 1</w:t>
      </w:r>
      <w:r w:rsidR="00076248">
        <w:rPr>
          <w:bCs/>
        </w:rPr>
        <w:t> </w:t>
      </w:r>
      <w:r>
        <w:rPr>
          <w:bCs/>
        </w:rPr>
        <w:t>October</w:t>
      </w:r>
      <w:r w:rsidR="00076248">
        <w:rPr>
          <w:bCs/>
        </w:rPr>
        <w:t> </w:t>
      </w:r>
      <w:r>
        <w:rPr>
          <w:bCs/>
        </w:rPr>
        <w:t>2012</w:t>
      </w:r>
      <w:r w:rsidR="00076248">
        <w:rPr>
          <w:bCs/>
        </w:rPr>
        <w:t>,</w:t>
      </w:r>
      <w:r>
        <w:rPr>
          <w:bCs/>
        </w:rPr>
        <w:t xml:space="preserve"> where the term</w:t>
      </w:r>
      <w:r w:rsidRPr="00076248">
        <w:rPr>
          <w:b/>
          <w:bCs/>
          <w:i/>
        </w:rPr>
        <w:t xml:space="preserve"> relevant day</w:t>
      </w:r>
      <w:r>
        <w:rPr>
          <w:bCs/>
        </w:rPr>
        <w:t xml:space="preserve"> appears in the Principal </w:t>
      </w:r>
      <w:r>
        <w:rPr>
          <w:bCs/>
        </w:rPr>
        <w:lastRenderedPageBreak/>
        <w:t>Regulations</w:t>
      </w:r>
      <w:r w:rsidR="00472AF5">
        <w:rPr>
          <w:bCs/>
        </w:rPr>
        <w:t>,</w:t>
      </w:r>
      <w:r>
        <w:rPr>
          <w:bCs/>
        </w:rPr>
        <w:t xml:space="preserve"> it will have its new defined meaning in the Act</w:t>
      </w:r>
      <w:r w:rsidR="006F49DF">
        <w:rPr>
          <w:bCs/>
        </w:rPr>
        <w:t>.  T</w:t>
      </w:r>
      <w:r>
        <w:rPr>
          <w:bCs/>
        </w:rPr>
        <w:t>he term is inserted in regulation</w:t>
      </w:r>
      <w:r w:rsidR="00076248">
        <w:rPr>
          <w:bCs/>
        </w:rPr>
        <w:t> </w:t>
      </w:r>
      <w:r>
        <w:rPr>
          <w:bCs/>
        </w:rPr>
        <w:t>37FA and regulation</w:t>
      </w:r>
      <w:r w:rsidR="00076248">
        <w:rPr>
          <w:bCs/>
        </w:rPr>
        <w:t> </w:t>
      </w:r>
      <w:r>
        <w:rPr>
          <w:bCs/>
        </w:rPr>
        <w:t>37G by items</w:t>
      </w:r>
      <w:r w:rsidR="00076248">
        <w:rPr>
          <w:bCs/>
        </w:rPr>
        <w:t> </w:t>
      </w:r>
      <w:r>
        <w:rPr>
          <w:bCs/>
        </w:rPr>
        <w:t>20 and</w:t>
      </w:r>
      <w:r w:rsidR="00076248">
        <w:rPr>
          <w:bCs/>
        </w:rPr>
        <w:t> </w:t>
      </w:r>
      <w:r>
        <w:rPr>
          <w:bCs/>
        </w:rPr>
        <w:t xml:space="preserve">24 of this Schedule. </w:t>
      </w:r>
    </w:p>
    <w:p w:rsidR="00862B91" w:rsidRPr="00925C18" w:rsidRDefault="001B3774" w:rsidP="00862B91">
      <w:pPr>
        <w:pStyle w:val="Headingbold0"/>
        <w:spacing w:before="0"/>
      </w:pPr>
      <w:r w:rsidRPr="00925C18">
        <w:t>Item [13] – Regulation 37C</w:t>
      </w:r>
    </w:p>
    <w:p w:rsidR="001B3774" w:rsidRPr="00925C18" w:rsidRDefault="001B3774" w:rsidP="00862B91">
      <w:pPr>
        <w:spacing w:before="0" w:after="240"/>
        <w:ind w:right="45"/>
      </w:pPr>
      <w:r w:rsidRPr="00925C18">
        <w:t>This item repeals regulation</w:t>
      </w:r>
      <w:r w:rsidR="00862B91" w:rsidRPr="00925C18">
        <w:t> </w:t>
      </w:r>
      <w:r w:rsidRPr="00925C18">
        <w:t xml:space="preserve">37C.  As the concept of an </w:t>
      </w:r>
      <w:r w:rsidRPr="00925C18">
        <w:rPr>
          <w:b/>
          <w:i/>
        </w:rPr>
        <w:t xml:space="preserve">approved price to pharmacists </w:t>
      </w:r>
      <w:r w:rsidRPr="00925C18">
        <w:t xml:space="preserve">is being removed from the </w:t>
      </w:r>
      <w:r w:rsidR="003F0C18">
        <w:t>Act by the amending Act</w:t>
      </w:r>
      <w:r w:rsidR="003C1401">
        <w:t>,</w:t>
      </w:r>
      <w:r w:rsidR="003F0C18">
        <w:t xml:space="preserve"> and </w:t>
      </w:r>
      <w:r w:rsidR="00C8123B">
        <w:t xml:space="preserve">would be </w:t>
      </w:r>
      <w:r>
        <w:t xml:space="preserve">removed from the </w:t>
      </w:r>
      <w:r w:rsidRPr="00925C18">
        <w:t>Principal Regulations</w:t>
      </w:r>
      <w:r w:rsidR="00C8123B">
        <w:t xml:space="preserve"> under item 11 of this Schedule</w:t>
      </w:r>
      <w:r w:rsidRPr="00925C18">
        <w:t>, the formula for working out an adjusted approved price to pharmacists is no longer needed.</w:t>
      </w:r>
    </w:p>
    <w:p w:rsidR="00862B91" w:rsidRPr="00925C18" w:rsidRDefault="001B3774" w:rsidP="00862B91">
      <w:pPr>
        <w:pStyle w:val="Headingbold0"/>
        <w:spacing w:before="0"/>
      </w:pPr>
      <w:r w:rsidRPr="00925C18">
        <w:t>Item [14] – Regulation 37D</w:t>
      </w:r>
    </w:p>
    <w:p w:rsidR="001B3774" w:rsidRPr="00925C18" w:rsidRDefault="001B3774" w:rsidP="00862B91">
      <w:pPr>
        <w:spacing w:before="0" w:after="240"/>
        <w:ind w:right="45"/>
      </w:pPr>
      <w:r w:rsidRPr="00925C18">
        <w:t>This item repeals regulation</w:t>
      </w:r>
      <w:r w:rsidR="00862B91" w:rsidRPr="00925C18">
        <w:t> </w:t>
      </w:r>
      <w:r w:rsidRPr="00925C18">
        <w:t xml:space="preserve">37D.  The formula for converting an </w:t>
      </w:r>
      <w:r w:rsidRPr="00925C18">
        <w:rPr>
          <w:b/>
          <w:i/>
        </w:rPr>
        <w:t>approved price to pharmacists</w:t>
      </w:r>
      <w:r w:rsidRPr="00925C18">
        <w:t xml:space="preserve"> to an </w:t>
      </w:r>
      <w:r w:rsidRPr="00925C18">
        <w:rPr>
          <w:b/>
          <w:i/>
        </w:rPr>
        <w:t>approved ex-manufacturer price</w:t>
      </w:r>
      <w:r w:rsidRPr="00925C18">
        <w:t xml:space="preserve"> is no longer needed, as the concept of an </w:t>
      </w:r>
      <w:r w:rsidRPr="00925C18">
        <w:rPr>
          <w:b/>
          <w:i/>
        </w:rPr>
        <w:t xml:space="preserve">approved price to pharmacists </w:t>
      </w:r>
      <w:r w:rsidRPr="00925C18">
        <w:t>is being removed from the Act and the Principal</w:t>
      </w:r>
      <w:r w:rsidR="00862B91" w:rsidRPr="00925C18">
        <w:t> </w:t>
      </w:r>
      <w:r w:rsidRPr="00925C18">
        <w:t xml:space="preserve">Regulations.  The </w:t>
      </w:r>
      <w:r w:rsidRPr="00925C18">
        <w:rPr>
          <w:b/>
          <w:i/>
        </w:rPr>
        <w:t>approved ex-manufacturer price</w:t>
      </w:r>
      <w:r w:rsidRPr="00925C18">
        <w:t xml:space="preserve"> replac</w:t>
      </w:r>
      <w:r w:rsidR="00472AF5">
        <w:t>es</w:t>
      </w:r>
      <w:r w:rsidRPr="00925C18">
        <w:t xml:space="preserve"> the </w:t>
      </w:r>
      <w:r w:rsidRPr="00925C18">
        <w:rPr>
          <w:b/>
          <w:i/>
        </w:rPr>
        <w:t>approved price to pharmacists</w:t>
      </w:r>
      <w:r w:rsidRPr="00925C18">
        <w:t xml:space="preserve"> in the legislation</w:t>
      </w:r>
      <w:r w:rsidR="000524E6">
        <w:t xml:space="preserve"> as the base price for a PBS medicine</w:t>
      </w:r>
      <w:r w:rsidRPr="00925C18">
        <w:t>.</w:t>
      </w:r>
    </w:p>
    <w:p w:rsidR="00862B91" w:rsidRPr="00925C18" w:rsidRDefault="001B3774" w:rsidP="00862B91">
      <w:pPr>
        <w:pStyle w:val="Headingbold0"/>
        <w:spacing w:before="0"/>
      </w:pPr>
      <w:r w:rsidRPr="00925C18">
        <w:t>Item [15] – Regulation 37DA</w:t>
      </w:r>
    </w:p>
    <w:p w:rsidR="001B3774" w:rsidRPr="00925C18" w:rsidRDefault="001B3774" w:rsidP="00862B91">
      <w:pPr>
        <w:spacing w:before="0" w:after="240"/>
        <w:ind w:right="45"/>
        <w:rPr>
          <w:bCs/>
        </w:rPr>
      </w:pPr>
      <w:r w:rsidRPr="00925C18">
        <w:rPr>
          <w:bCs/>
        </w:rPr>
        <w:t>This item omits regulation</w:t>
      </w:r>
      <w:r w:rsidR="00862B91" w:rsidRPr="00925C18">
        <w:rPr>
          <w:bCs/>
        </w:rPr>
        <w:t> </w:t>
      </w:r>
      <w:r w:rsidRPr="00925C18">
        <w:rPr>
          <w:bCs/>
        </w:rPr>
        <w:t>37DA.  A new regulation (regulation</w:t>
      </w:r>
      <w:r w:rsidR="00862B91" w:rsidRPr="00925C18">
        <w:rPr>
          <w:bCs/>
        </w:rPr>
        <w:t> </w:t>
      </w:r>
      <w:r w:rsidRPr="00925C18">
        <w:rPr>
          <w:bCs/>
        </w:rPr>
        <w:t xml:space="preserve">37FA) </w:t>
      </w:r>
      <w:r w:rsidR="004123BD">
        <w:rPr>
          <w:bCs/>
        </w:rPr>
        <w:t>with</w:t>
      </w:r>
      <w:r w:rsidRPr="00925C18">
        <w:rPr>
          <w:bCs/>
        </w:rPr>
        <w:t xml:space="preserve"> the same purpose as regulation</w:t>
      </w:r>
      <w:r w:rsidR="00862B91" w:rsidRPr="00925C18">
        <w:rPr>
          <w:bCs/>
        </w:rPr>
        <w:t> </w:t>
      </w:r>
      <w:r w:rsidRPr="00925C18">
        <w:rPr>
          <w:bCs/>
        </w:rPr>
        <w:t>37DA is being inserted by item</w:t>
      </w:r>
      <w:r w:rsidR="00862B91" w:rsidRPr="00925C18">
        <w:rPr>
          <w:bCs/>
        </w:rPr>
        <w:t> </w:t>
      </w:r>
      <w:r w:rsidRPr="00925C18">
        <w:rPr>
          <w:bCs/>
        </w:rPr>
        <w:t>20 of this Schedule.</w:t>
      </w:r>
    </w:p>
    <w:p w:rsidR="00F45E7C" w:rsidRPr="00925C18" w:rsidRDefault="001B3774" w:rsidP="00F45E7C">
      <w:pPr>
        <w:pStyle w:val="Headingbold0"/>
        <w:spacing w:before="0"/>
      </w:pPr>
      <w:r w:rsidRPr="00925C18">
        <w:t xml:space="preserve">Item [16] – </w:t>
      </w:r>
      <w:proofErr w:type="spellStart"/>
      <w:r w:rsidRPr="00925C18">
        <w:t>Subregulation</w:t>
      </w:r>
      <w:proofErr w:type="spellEnd"/>
      <w:r w:rsidRPr="00925C18">
        <w:t xml:space="preserve"> 37ED(1)</w:t>
      </w:r>
    </w:p>
    <w:p w:rsidR="001B3774" w:rsidRDefault="001B3774" w:rsidP="0015209C">
      <w:pPr>
        <w:spacing w:before="0" w:after="240"/>
        <w:ind w:right="45"/>
        <w:rPr>
          <w:bCs/>
        </w:rPr>
      </w:pPr>
      <w:r w:rsidRPr="00925C18">
        <w:rPr>
          <w:bCs/>
        </w:rPr>
        <w:t xml:space="preserve">This item substitutes a new </w:t>
      </w:r>
      <w:proofErr w:type="spellStart"/>
      <w:r w:rsidRPr="00925C18">
        <w:rPr>
          <w:bCs/>
        </w:rPr>
        <w:t>subregulation</w:t>
      </w:r>
      <w:proofErr w:type="spellEnd"/>
      <w:r w:rsidR="00F45E7C" w:rsidRPr="00925C18">
        <w:rPr>
          <w:bCs/>
        </w:rPr>
        <w:t> </w:t>
      </w:r>
      <w:r w:rsidRPr="00925C18">
        <w:rPr>
          <w:bCs/>
        </w:rPr>
        <w:t xml:space="preserve">37ED(1).  The </w:t>
      </w:r>
      <w:proofErr w:type="spellStart"/>
      <w:r w:rsidRPr="00925C18">
        <w:rPr>
          <w:bCs/>
        </w:rPr>
        <w:t>subregulation</w:t>
      </w:r>
      <w:proofErr w:type="spellEnd"/>
      <w:r w:rsidRPr="00925C18">
        <w:rPr>
          <w:bCs/>
        </w:rPr>
        <w:t xml:space="preserve"> </w:t>
      </w:r>
      <w:r w:rsidR="001E0434">
        <w:rPr>
          <w:bCs/>
        </w:rPr>
        <w:t xml:space="preserve">uses a new defined term </w:t>
      </w:r>
      <w:r w:rsidR="001E0434" w:rsidRPr="004D36E6">
        <w:rPr>
          <w:b/>
          <w:bCs/>
          <w:i/>
        </w:rPr>
        <w:t>start day</w:t>
      </w:r>
      <w:r w:rsidR="001E0434">
        <w:rPr>
          <w:bCs/>
        </w:rPr>
        <w:t xml:space="preserve"> in place of the </w:t>
      </w:r>
      <w:r w:rsidR="006F49DF">
        <w:rPr>
          <w:bCs/>
        </w:rPr>
        <w:t>term</w:t>
      </w:r>
      <w:r w:rsidR="001E0434">
        <w:rPr>
          <w:bCs/>
        </w:rPr>
        <w:t xml:space="preserve"> </w:t>
      </w:r>
      <w:r w:rsidR="001E0434" w:rsidRPr="004D36E6">
        <w:rPr>
          <w:b/>
          <w:bCs/>
          <w:i/>
        </w:rPr>
        <w:t>relevant day</w:t>
      </w:r>
      <w:r w:rsidR="001E0434">
        <w:rPr>
          <w:bCs/>
        </w:rPr>
        <w:t xml:space="preserve"> in </w:t>
      </w:r>
      <w:r w:rsidRPr="00925C18">
        <w:rPr>
          <w:bCs/>
        </w:rPr>
        <w:t xml:space="preserve">the existing </w:t>
      </w:r>
      <w:proofErr w:type="spellStart"/>
      <w:r w:rsidRPr="00925C18">
        <w:rPr>
          <w:bCs/>
        </w:rPr>
        <w:t>subregulation</w:t>
      </w:r>
      <w:proofErr w:type="spellEnd"/>
      <w:r w:rsidRPr="00925C18">
        <w:rPr>
          <w:bCs/>
        </w:rPr>
        <w:t xml:space="preserve">.  There </w:t>
      </w:r>
      <w:r w:rsidR="00472AF5">
        <w:rPr>
          <w:bCs/>
        </w:rPr>
        <w:t xml:space="preserve">is </w:t>
      </w:r>
      <w:r w:rsidRPr="00925C18">
        <w:rPr>
          <w:bCs/>
        </w:rPr>
        <w:t xml:space="preserve">no substantive change in the meaning of the </w:t>
      </w:r>
      <w:proofErr w:type="spellStart"/>
      <w:r w:rsidRPr="00925C18">
        <w:rPr>
          <w:bCs/>
        </w:rPr>
        <w:t>subregulation</w:t>
      </w:r>
      <w:proofErr w:type="spellEnd"/>
      <w:r w:rsidRPr="00925C18">
        <w:t xml:space="preserve"> or the regulation</w:t>
      </w:r>
      <w:r w:rsidRPr="00925C18">
        <w:rPr>
          <w:bCs/>
        </w:rPr>
        <w:t xml:space="preserve">.  The changes are required because the term </w:t>
      </w:r>
      <w:r w:rsidRPr="00925C18">
        <w:rPr>
          <w:b/>
          <w:bCs/>
          <w:i/>
        </w:rPr>
        <w:t>relevant day</w:t>
      </w:r>
      <w:r w:rsidRPr="00925C18">
        <w:rPr>
          <w:bCs/>
        </w:rPr>
        <w:t xml:space="preserve"> will have a defined meaning in the Act from 1</w:t>
      </w:r>
      <w:r w:rsidR="00F45E7C" w:rsidRPr="00925C18">
        <w:rPr>
          <w:bCs/>
        </w:rPr>
        <w:t> </w:t>
      </w:r>
      <w:r w:rsidRPr="00925C18">
        <w:rPr>
          <w:bCs/>
        </w:rPr>
        <w:t>October</w:t>
      </w:r>
      <w:r w:rsidR="00F45E7C" w:rsidRPr="00925C18">
        <w:rPr>
          <w:bCs/>
        </w:rPr>
        <w:t> </w:t>
      </w:r>
      <w:r w:rsidRPr="00925C18">
        <w:rPr>
          <w:bCs/>
        </w:rPr>
        <w:t xml:space="preserve">2012, </w:t>
      </w:r>
      <w:r w:rsidR="00994DAD">
        <w:rPr>
          <w:bCs/>
        </w:rPr>
        <w:t xml:space="preserve">which is different from its current meaning in the Principal Regulations, </w:t>
      </w:r>
      <w:r w:rsidRPr="00925C18">
        <w:rPr>
          <w:bCs/>
        </w:rPr>
        <w:t>and from that date, the term will have that defined meaning when used in the Principal</w:t>
      </w:r>
      <w:r w:rsidR="00F45E7C" w:rsidRPr="00925C18">
        <w:rPr>
          <w:bCs/>
        </w:rPr>
        <w:t> </w:t>
      </w:r>
      <w:r w:rsidRPr="00925C18">
        <w:rPr>
          <w:bCs/>
        </w:rPr>
        <w:t>Regulations.</w:t>
      </w:r>
    </w:p>
    <w:p w:rsidR="001B3774" w:rsidRPr="00925C18" w:rsidRDefault="00994DAD" w:rsidP="00F45E7C">
      <w:pPr>
        <w:spacing w:before="0" w:after="240"/>
        <w:ind w:right="45"/>
      </w:pPr>
      <w:r>
        <w:rPr>
          <w:bCs/>
        </w:rPr>
        <w:t xml:space="preserve">Other references in regulation 37ED to </w:t>
      </w:r>
      <w:r w:rsidRPr="00BC3732">
        <w:rPr>
          <w:b/>
          <w:bCs/>
          <w:i/>
        </w:rPr>
        <w:t>relevant day</w:t>
      </w:r>
      <w:r>
        <w:rPr>
          <w:bCs/>
        </w:rPr>
        <w:t xml:space="preserve"> would be changed to </w:t>
      </w:r>
      <w:r w:rsidRPr="00BC3732">
        <w:rPr>
          <w:b/>
          <w:bCs/>
          <w:i/>
        </w:rPr>
        <w:t>start day</w:t>
      </w:r>
      <w:r>
        <w:rPr>
          <w:bCs/>
        </w:rPr>
        <w:t xml:space="preserve"> by an amendment in item </w:t>
      </w:r>
      <w:r w:rsidR="004123BD">
        <w:rPr>
          <w:bCs/>
        </w:rPr>
        <w:t>[</w:t>
      </w:r>
      <w:r>
        <w:rPr>
          <w:bCs/>
        </w:rPr>
        <w:t>32</w:t>
      </w:r>
      <w:r w:rsidR="004123BD">
        <w:rPr>
          <w:bCs/>
        </w:rPr>
        <w:t>]</w:t>
      </w:r>
      <w:r>
        <w:rPr>
          <w:bCs/>
        </w:rPr>
        <w:t xml:space="preserve"> of this Schedule.</w:t>
      </w:r>
    </w:p>
    <w:p w:rsidR="00F45E7C" w:rsidRPr="00925C18" w:rsidRDefault="001B3774" w:rsidP="00F45E7C">
      <w:pPr>
        <w:pStyle w:val="Headingbold0"/>
        <w:spacing w:before="0"/>
      </w:pPr>
      <w:r w:rsidRPr="00925C18">
        <w:t xml:space="preserve">Item [17] – </w:t>
      </w:r>
      <w:proofErr w:type="spellStart"/>
      <w:r w:rsidRPr="00925C18">
        <w:t>Subregulation</w:t>
      </w:r>
      <w:proofErr w:type="spellEnd"/>
      <w:r w:rsidRPr="00925C18">
        <w:t xml:space="preserve"> 37ED(6), note</w:t>
      </w:r>
    </w:p>
    <w:p w:rsidR="001B3774" w:rsidRPr="00925C18" w:rsidRDefault="001B3774" w:rsidP="00F45E7C">
      <w:pPr>
        <w:spacing w:before="0" w:after="240"/>
        <w:ind w:right="45"/>
        <w:rPr>
          <w:b/>
          <w:bCs/>
          <w:i/>
        </w:rPr>
      </w:pPr>
      <w:r w:rsidRPr="00925C18">
        <w:rPr>
          <w:bCs/>
        </w:rPr>
        <w:t>This item omits the note under regulation</w:t>
      </w:r>
      <w:r w:rsidR="00F45E7C" w:rsidRPr="00925C18">
        <w:rPr>
          <w:bCs/>
        </w:rPr>
        <w:t> </w:t>
      </w:r>
      <w:r w:rsidRPr="00925C18">
        <w:rPr>
          <w:bCs/>
        </w:rPr>
        <w:t>37ED.  The note concerns brands to which section</w:t>
      </w:r>
      <w:r w:rsidR="00F45E7C" w:rsidRPr="00925C18">
        <w:rPr>
          <w:bCs/>
        </w:rPr>
        <w:t> </w:t>
      </w:r>
      <w:r w:rsidRPr="00925C18">
        <w:rPr>
          <w:bCs/>
        </w:rPr>
        <w:t>99ADJ of the Act applies.  Section</w:t>
      </w:r>
      <w:r w:rsidR="00F45E7C" w:rsidRPr="00925C18">
        <w:rPr>
          <w:bCs/>
        </w:rPr>
        <w:t> </w:t>
      </w:r>
      <w:r w:rsidRPr="00925C18">
        <w:rPr>
          <w:bCs/>
        </w:rPr>
        <w:t>99ADJ is repealed by the amending Act on 1</w:t>
      </w:r>
      <w:r w:rsidR="00F45E7C" w:rsidRPr="00925C18">
        <w:rPr>
          <w:bCs/>
        </w:rPr>
        <w:t> </w:t>
      </w:r>
      <w:r w:rsidRPr="00925C18">
        <w:rPr>
          <w:bCs/>
        </w:rPr>
        <w:t>October</w:t>
      </w:r>
      <w:r w:rsidR="00F45E7C" w:rsidRPr="00925C18">
        <w:rPr>
          <w:bCs/>
        </w:rPr>
        <w:t> </w:t>
      </w:r>
      <w:r w:rsidRPr="00925C18">
        <w:rPr>
          <w:bCs/>
        </w:rPr>
        <w:t>2012</w:t>
      </w:r>
      <w:r w:rsidR="004123BD">
        <w:rPr>
          <w:bCs/>
        </w:rPr>
        <w:t xml:space="preserve"> and, therefore,</w:t>
      </w:r>
      <w:r w:rsidRPr="00F07945">
        <w:rPr>
          <w:bCs/>
        </w:rPr>
        <w:t xml:space="preserve"> </w:t>
      </w:r>
      <w:r w:rsidR="004123BD">
        <w:rPr>
          <w:bCs/>
        </w:rPr>
        <w:t>t</w:t>
      </w:r>
      <w:r w:rsidRPr="00F07945">
        <w:rPr>
          <w:bCs/>
        </w:rPr>
        <w:t xml:space="preserve">he </w:t>
      </w:r>
      <w:r w:rsidR="00305A17">
        <w:rPr>
          <w:bCs/>
        </w:rPr>
        <w:t>n</w:t>
      </w:r>
      <w:r w:rsidRPr="00F07945">
        <w:rPr>
          <w:bCs/>
        </w:rPr>
        <w:t xml:space="preserve">ote </w:t>
      </w:r>
      <w:r w:rsidR="003358A8">
        <w:rPr>
          <w:bCs/>
        </w:rPr>
        <w:t>is</w:t>
      </w:r>
      <w:r w:rsidRPr="00925C18">
        <w:rPr>
          <w:bCs/>
        </w:rPr>
        <w:t xml:space="preserve"> no longer needed.</w:t>
      </w:r>
    </w:p>
    <w:p w:rsidR="00111414" w:rsidRPr="00925C18" w:rsidRDefault="001B3774" w:rsidP="00111414">
      <w:pPr>
        <w:pStyle w:val="Headingbold0"/>
        <w:spacing w:before="0"/>
      </w:pPr>
      <w:r w:rsidRPr="00925C18">
        <w:t xml:space="preserve">Item [18] – Before </w:t>
      </w:r>
      <w:proofErr w:type="spellStart"/>
      <w:r w:rsidRPr="00925C18">
        <w:t>subregulation</w:t>
      </w:r>
      <w:proofErr w:type="spellEnd"/>
      <w:r w:rsidRPr="00925C18">
        <w:t xml:space="preserve"> 37EE(1)</w:t>
      </w:r>
    </w:p>
    <w:p w:rsidR="001B3774" w:rsidRDefault="001B3774" w:rsidP="00111414">
      <w:pPr>
        <w:spacing w:before="0" w:after="240"/>
        <w:ind w:right="45"/>
        <w:rPr>
          <w:bCs/>
        </w:rPr>
      </w:pPr>
      <w:r w:rsidRPr="00925C18">
        <w:rPr>
          <w:bCs/>
        </w:rPr>
        <w:t xml:space="preserve">This item inserts a new </w:t>
      </w:r>
      <w:proofErr w:type="spellStart"/>
      <w:r w:rsidRPr="00925C18">
        <w:rPr>
          <w:bCs/>
        </w:rPr>
        <w:t>subregulation</w:t>
      </w:r>
      <w:proofErr w:type="spellEnd"/>
      <w:r w:rsidR="007A026C" w:rsidRPr="00925C18">
        <w:rPr>
          <w:bCs/>
        </w:rPr>
        <w:t> </w:t>
      </w:r>
      <w:r w:rsidRPr="00925C18">
        <w:rPr>
          <w:bCs/>
        </w:rPr>
        <w:t>(1A) into regulation</w:t>
      </w:r>
      <w:r w:rsidR="007A026C" w:rsidRPr="00925C18">
        <w:rPr>
          <w:bCs/>
        </w:rPr>
        <w:t> </w:t>
      </w:r>
      <w:r w:rsidRPr="00925C18">
        <w:rPr>
          <w:bCs/>
        </w:rPr>
        <w:t xml:space="preserve">37EE.  New </w:t>
      </w:r>
      <w:proofErr w:type="spellStart"/>
      <w:r w:rsidRPr="00925C18">
        <w:rPr>
          <w:bCs/>
        </w:rPr>
        <w:t>subregulation</w:t>
      </w:r>
      <w:proofErr w:type="spellEnd"/>
      <w:r w:rsidR="007A026C" w:rsidRPr="00925C18">
        <w:rPr>
          <w:bCs/>
        </w:rPr>
        <w:t> </w:t>
      </w:r>
      <w:r w:rsidRPr="00925C18">
        <w:rPr>
          <w:bCs/>
        </w:rPr>
        <w:t xml:space="preserve">(1A) replaces existing </w:t>
      </w:r>
      <w:proofErr w:type="spellStart"/>
      <w:r w:rsidRPr="00925C18">
        <w:rPr>
          <w:bCs/>
        </w:rPr>
        <w:t>subregulation</w:t>
      </w:r>
      <w:proofErr w:type="spellEnd"/>
      <w:r w:rsidR="007A026C" w:rsidRPr="00925C18">
        <w:rPr>
          <w:bCs/>
        </w:rPr>
        <w:t> </w:t>
      </w:r>
      <w:r w:rsidRPr="00925C18">
        <w:rPr>
          <w:bCs/>
        </w:rPr>
        <w:t>(5) which is being omitted by item</w:t>
      </w:r>
      <w:r w:rsidR="007A026C" w:rsidRPr="00925C18">
        <w:rPr>
          <w:bCs/>
        </w:rPr>
        <w:t> </w:t>
      </w:r>
      <w:r w:rsidR="00305A17">
        <w:rPr>
          <w:bCs/>
        </w:rPr>
        <w:t>[</w:t>
      </w:r>
      <w:r w:rsidRPr="00925C18">
        <w:rPr>
          <w:bCs/>
        </w:rPr>
        <w:t>19</w:t>
      </w:r>
      <w:r w:rsidR="00305A17">
        <w:rPr>
          <w:bCs/>
        </w:rPr>
        <w:t>]</w:t>
      </w:r>
      <w:r w:rsidRPr="00925C18">
        <w:rPr>
          <w:bCs/>
        </w:rPr>
        <w:t xml:space="preserve"> of this Schedule.  These amendments, combined with the amendments to the regulation made by item</w:t>
      </w:r>
      <w:r w:rsidR="007A026C" w:rsidRPr="00925C18">
        <w:rPr>
          <w:bCs/>
        </w:rPr>
        <w:t> </w:t>
      </w:r>
      <w:r w:rsidR="00305A17">
        <w:rPr>
          <w:bCs/>
        </w:rPr>
        <w:t>[</w:t>
      </w:r>
      <w:r w:rsidRPr="00925C18">
        <w:rPr>
          <w:bCs/>
        </w:rPr>
        <w:t>32</w:t>
      </w:r>
      <w:r w:rsidR="00305A17">
        <w:rPr>
          <w:bCs/>
        </w:rPr>
        <w:t>]</w:t>
      </w:r>
      <w:r w:rsidRPr="00925C18">
        <w:rPr>
          <w:bCs/>
        </w:rPr>
        <w:t xml:space="preserve"> of this Schedule (the replacement of the </w:t>
      </w:r>
      <w:r w:rsidR="00305A17">
        <w:rPr>
          <w:bCs/>
        </w:rPr>
        <w:t>term</w:t>
      </w:r>
      <w:r w:rsidRPr="00925C18">
        <w:rPr>
          <w:bCs/>
        </w:rPr>
        <w:t xml:space="preserve"> </w:t>
      </w:r>
      <w:r w:rsidRPr="00925C18">
        <w:rPr>
          <w:b/>
          <w:bCs/>
          <w:i/>
        </w:rPr>
        <w:t>relevant day</w:t>
      </w:r>
      <w:r w:rsidRPr="00925C18">
        <w:rPr>
          <w:bCs/>
        </w:rPr>
        <w:t xml:space="preserve"> with the defined term </w:t>
      </w:r>
      <w:r w:rsidRPr="00925C18">
        <w:rPr>
          <w:b/>
          <w:bCs/>
          <w:i/>
        </w:rPr>
        <w:t>start day</w:t>
      </w:r>
      <w:r w:rsidRPr="00925C18">
        <w:rPr>
          <w:bCs/>
        </w:rPr>
        <w:t xml:space="preserve">) </w:t>
      </w:r>
      <w:r w:rsidR="006D0F6A">
        <w:rPr>
          <w:bCs/>
        </w:rPr>
        <w:t xml:space="preserve">do </w:t>
      </w:r>
      <w:r w:rsidRPr="00925C18">
        <w:rPr>
          <w:bCs/>
        </w:rPr>
        <w:t xml:space="preserve">not result in any substantive change in the operation of the regulation.  The changes are required because the term </w:t>
      </w:r>
      <w:r w:rsidRPr="00925C18">
        <w:rPr>
          <w:b/>
          <w:bCs/>
          <w:i/>
        </w:rPr>
        <w:t>relevant day</w:t>
      </w:r>
      <w:r w:rsidRPr="00925C18">
        <w:rPr>
          <w:bCs/>
        </w:rPr>
        <w:t xml:space="preserve"> will have a defined meaning in the Act from 1</w:t>
      </w:r>
      <w:r w:rsidR="007A026C" w:rsidRPr="00925C18">
        <w:rPr>
          <w:bCs/>
        </w:rPr>
        <w:t> </w:t>
      </w:r>
      <w:r w:rsidRPr="00925C18">
        <w:rPr>
          <w:bCs/>
        </w:rPr>
        <w:t>October</w:t>
      </w:r>
      <w:r w:rsidR="007A026C" w:rsidRPr="00925C18">
        <w:rPr>
          <w:bCs/>
        </w:rPr>
        <w:t> </w:t>
      </w:r>
      <w:r w:rsidRPr="00925C18">
        <w:rPr>
          <w:bCs/>
        </w:rPr>
        <w:t xml:space="preserve">2012, </w:t>
      </w:r>
      <w:r w:rsidR="00994DAD">
        <w:rPr>
          <w:bCs/>
        </w:rPr>
        <w:t xml:space="preserve">which is different from its current meaning in the Principal Regulations, </w:t>
      </w:r>
      <w:r w:rsidRPr="00925C18">
        <w:rPr>
          <w:bCs/>
        </w:rPr>
        <w:t>and from that date, the term will have that defined meaning when used in the Principal Regulations.</w:t>
      </w:r>
    </w:p>
    <w:p w:rsidR="001B3774" w:rsidRPr="00925C18" w:rsidRDefault="00994DAD" w:rsidP="0015209C">
      <w:pPr>
        <w:spacing w:before="0" w:after="240"/>
        <w:ind w:right="45"/>
      </w:pPr>
      <w:r>
        <w:rPr>
          <w:bCs/>
        </w:rPr>
        <w:lastRenderedPageBreak/>
        <w:t xml:space="preserve">Other references in regulation 37EE to </w:t>
      </w:r>
      <w:r w:rsidRPr="00BC3732">
        <w:rPr>
          <w:b/>
          <w:bCs/>
          <w:i/>
        </w:rPr>
        <w:t>relevant day</w:t>
      </w:r>
      <w:r>
        <w:rPr>
          <w:bCs/>
        </w:rPr>
        <w:t xml:space="preserve"> </w:t>
      </w:r>
      <w:r w:rsidR="00BC1C4F">
        <w:rPr>
          <w:bCs/>
        </w:rPr>
        <w:t>would b</w:t>
      </w:r>
      <w:r>
        <w:rPr>
          <w:bCs/>
        </w:rPr>
        <w:t xml:space="preserve">e changed to </w:t>
      </w:r>
      <w:r w:rsidRPr="00BC3732">
        <w:rPr>
          <w:b/>
          <w:bCs/>
          <w:i/>
        </w:rPr>
        <w:t>start day</w:t>
      </w:r>
      <w:r>
        <w:rPr>
          <w:bCs/>
        </w:rPr>
        <w:t xml:space="preserve"> by an amendment in item 32 of this Schedule.</w:t>
      </w:r>
    </w:p>
    <w:p w:rsidR="007A026C" w:rsidRPr="00925C18" w:rsidRDefault="001B3774" w:rsidP="007A026C">
      <w:pPr>
        <w:pStyle w:val="Headingbold0"/>
        <w:spacing w:before="0"/>
      </w:pPr>
      <w:r w:rsidRPr="00925C18">
        <w:t xml:space="preserve">Item [19] – </w:t>
      </w:r>
      <w:proofErr w:type="spellStart"/>
      <w:r w:rsidRPr="00925C18">
        <w:t>Subregulation</w:t>
      </w:r>
      <w:proofErr w:type="spellEnd"/>
      <w:r w:rsidRPr="00925C18">
        <w:t xml:space="preserve"> 37EE(5)</w:t>
      </w:r>
    </w:p>
    <w:p w:rsidR="001B3774" w:rsidRPr="00925C18" w:rsidRDefault="001B3774" w:rsidP="007A026C">
      <w:pPr>
        <w:spacing w:before="0" w:after="240"/>
        <w:ind w:right="45"/>
        <w:rPr>
          <w:bCs/>
        </w:rPr>
      </w:pPr>
      <w:r w:rsidRPr="00925C18">
        <w:rPr>
          <w:bCs/>
        </w:rPr>
        <w:t xml:space="preserve">This item omits the </w:t>
      </w:r>
      <w:proofErr w:type="spellStart"/>
      <w:r w:rsidRPr="00925C18">
        <w:rPr>
          <w:bCs/>
        </w:rPr>
        <w:t>subregulation</w:t>
      </w:r>
      <w:proofErr w:type="spellEnd"/>
      <w:r w:rsidRPr="00925C18">
        <w:rPr>
          <w:bCs/>
        </w:rPr>
        <w:t>.  It is no longer needed due to the amendments to the regulation being made by items</w:t>
      </w:r>
      <w:r w:rsidR="007A026C" w:rsidRPr="00925C18">
        <w:rPr>
          <w:bCs/>
        </w:rPr>
        <w:t> </w:t>
      </w:r>
      <w:r w:rsidR="000B263E">
        <w:rPr>
          <w:bCs/>
        </w:rPr>
        <w:t>[</w:t>
      </w:r>
      <w:r w:rsidRPr="00925C18">
        <w:rPr>
          <w:bCs/>
        </w:rPr>
        <w:t>18</w:t>
      </w:r>
      <w:r w:rsidR="000B263E">
        <w:rPr>
          <w:bCs/>
        </w:rPr>
        <w:t>]</w:t>
      </w:r>
      <w:r w:rsidRPr="00925C18">
        <w:rPr>
          <w:bCs/>
        </w:rPr>
        <w:t xml:space="preserve"> and</w:t>
      </w:r>
      <w:r w:rsidR="007A026C" w:rsidRPr="00925C18">
        <w:rPr>
          <w:bCs/>
        </w:rPr>
        <w:t> </w:t>
      </w:r>
      <w:r w:rsidR="000B263E">
        <w:rPr>
          <w:bCs/>
        </w:rPr>
        <w:t>[</w:t>
      </w:r>
      <w:r w:rsidRPr="00925C18">
        <w:rPr>
          <w:bCs/>
        </w:rPr>
        <w:t>32</w:t>
      </w:r>
      <w:r w:rsidR="000B263E">
        <w:rPr>
          <w:bCs/>
        </w:rPr>
        <w:t>]</w:t>
      </w:r>
      <w:r w:rsidRPr="00925C18">
        <w:rPr>
          <w:bCs/>
        </w:rPr>
        <w:t xml:space="preserve"> of this Schedule.  </w:t>
      </w:r>
    </w:p>
    <w:p w:rsidR="007A026C" w:rsidRPr="00925C18" w:rsidRDefault="001B3774" w:rsidP="007A026C">
      <w:pPr>
        <w:pStyle w:val="Headingbold0"/>
        <w:spacing w:before="0"/>
      </w:pPr>
      <w:r w:rsidRPr="00925C18">
        <w:t>Item [20] – Regulation 37F</w:t>
      </w:r>
    </w:p>
    <w:p w:rsidR="001B3774" w:rsidRPr="00925C18" w:rsidRDefault="001B3774" w:rsidP="007A026C">
      <w:pPr>
        <w:spacing w:before="0" w:after="240"/>
        <w:ind w:right="45"/>
        <w:rPr>
          <w:bCs/>
        </w:rPr>
      </w:pPr>
      <w:r w:rsidRPr="00925C18">
        <w:rPr>
          <w:bCs/>
        </w:rPr>
        <w:t>This item substitutes a new regulation</w:t>
      </w:r>
      <w:r w:rsidR="003D7C6B" w:rsidRPr="00925C18">
        <w:rPr>
          <w:bCs/>
        </w:rPr>
        <w:t> </w:t>
      </w:r>
      <w:r w:rsidRPr="00925C18">
        <w:rPr>
          <w:bCs/>
        </w:rPr>
        <w:t>37F, and inserts a new regulation</w:t>
      </w:r>
      <w:r w:rsidR="003D7C6B" w:rsidRPr="00925C18">
        <w:rPr>
          <w:bCs/>
        </w:rPr>
        <w:t> </w:t>
      </w:r>
      <w:r w:rsidRPr="00925C18">
        <w:rPr>
          <w:bCs/>
        </w:rPr>
        <w:t>37FA.</w:t>
      </w:r>
    </w:p>
    <w:p w:rsidR="001B3774" w:rsidRPr="00925C18" w:rsidRDefault="00295B49" w:rsidP="0015209C">
      <w:pPr>
        <w:spacing w:before="0" w:after="240"/>
        <w:ind w:right="45"/>
        <w:rPr>
          <w:bCs/>
        </w:rPr>
      </w:pPr>
      <w:r>
        <w:rPr>
          <w:bCs/>
        </w:rPr>
        <w:t>New r</w:t>
      </w:r>
      <w:r w:rsidR="001B3774" w:rsidRPr="00953523">
        <w:rPr>
          <w:bCs/>
        </w:rPr>
        <w:t>egulation</w:t>
      </w:r>
      <w:r w:rsidR="009A19DC">
        <w:rPr>
          <w:bCs/>
        </w:rPr>
        <w:t> </w:t>
      </w:r>
      <w:r w:rsidR="001B3774" w:rsidRPr="003358A8">
        <w:t>37F</w:t>
      </w:r>
      <w:r w:rsidR="001B3774" w:rsidRPr="00953523">
        <w:rPr>
          <w:bCs/>
        </w:rPr>
        <w:t xml:space="preserve"> </w:t>
      </w:r>
      <w:r>
        <w:rPr>
          <w:bCs/>
        </w:rPr>
        <w:t>provide</w:t>
      </w:r>
      <w:r w:rsidR="0015209C">
        <w:rPr>
          <w:bCs/>
        </w:rPr>
        <w:t>s</w:t>
      </w:r>
      <w:r>
        <w:rPr>
          <w:bCs/>
        </w:rPr>
        <w:t xml:space="preserve"> </w:t>
      </w:r>
      <w:r w:rsidR="00286148">
        <w:rPr>
          <w:bCs/>
        </w:rPr>
        <w:t xml:space="preserve">the manner in which </w:t>
      </w:r>
      <w:r w:rsidR="001B3774" w:rsidRPr="003358A8">
        <w:t xml:space="preserve">price disclosure requirements </w:t>
      </w:r>
      <w:r w:rsidR="00286148">
        <w:rPr>
          <w:bCs/>
        </w:rPr>
        <w:t>for the</w:t>
      </w:r>
      <w:r w:rsidR="001B3774" w:rsidRPr="003358A8">
        <w:t xml:space="preserve"> first disclosure cycle and data collection period </w:t>
      </w:r>
      <w:r w:rsidR="001B3774" w:rsidRPr="00953523">
        <w:rPr>
          <w:bCs/>
        </w:rPr>
        <w:t>appl</w:t>
      </w:r>
      <w:r w:rsidR="008F79B8">
        <w:rPr>
          <w:bCs/>
        </w:rPr>
        <w:t>y</w:t>
      </w:r>
      <w:r w:rsidR="001B3774" w:rsidRPr="00925C18">
        <w:rPr>
          <w:bCs/>
        </w:rPr>
        <w:t xml:space="preserve"> to a brand of a pharmaceutical item, if at the time it is listed on the PBS</w:t>
      </w:r>
      <w:r w:rsidR="001B3774" w:rsidRPr="00953523">
        <w:rPr>
          <w:bCs/>
        </w:rPr>
        <w:t xml:space="preserve">, </w:t>
      </w:r>
      <w:r w:rsidR="008D10C0">
        <w:rPr>
          <w:bCs/>
        </w:rPr>
        <w:t>the</w:t>
      </w:r>
      <w:r w:rsidR="001F34EB">
        <w:rPr>
          <w:bCs/>
        </w:rPr>
        <w:t>re</w:t>
      </w:r>
      <w:r w:rsidR="001B3774" w:rsidRPr="00925C18">
        <w:rPr>
          <w:bCs/>
        </w:rPr>
        <w:t xml:space="preserve"> are</w:t>
      </w:r>
      <w:r w:rsidR="001F34EB">
        <w:rPr>
          <w:bCs/>
        </w:rPr>
        <w:t xml:space="preserve"> other </w:t>
      </w:r>
      <w:r w:rsidR="008D10C0">
        <w:rPr>
          <w:bCs/>
        </w:rPr>
        <w:t>brand</w:t>
      </w:r>
      <w:r w:rsidR="001F34EB">
        <w:rPr>
          <w:bCs/>
        </w:rPr>
        <w:t>s</w:t>
      </w:r>
      <w:r w:rsidR="008D10C0">
        <w:rPr>
          <w:bCs/>
        </w:rPr>
        <w:t xml:space="preserve"> </w:t>
      </w:r>
      <w:r w:rsidR="001F34EB">
        <w:rPr>
          <w:bCs/>
        </w:rPr>
        <w:t>with the same</w:t>
      </w:r>
      <w:r w:rsidR="001B3774" w:rsidRPr="00953523">
        <w:rPr>
          <w:bCs/>
        </w:rPr>
        <w:t xml:space="preserve"> drug and manner of administration</w:t>
      </w:r>
      <w:r w:rsidR="001B3774" w:rsidRPr="00925C18">
        <w:rPr>
          <w:bCs/>
        </w:rPr>
        <w:t xml:space="preserve"> already subject to price disclosure.  The new brand joins the current price disclosure cycle or cycles for that drug/manner of administration</w:t>
      </w:r>
      <w:r w:rsidR="00FC1606">
        <w:rPr>
          <w:bCs/>
        </w:rPr>
        <w:t xml:space="preserve"> </w:t>
      </w:r>
      <w:r w:rsidR="00871E48">
        <w:rPr>
          <w:bCs/>
        </w:rPr>
        <w:t xml:space="preserve">as </w:t>
      </w:r>
      <w:r w:rsidR="0082340C">
        <w:rPr>
          <w:bCs/>
        </w:rPr>
        <w:t xml:space="preserve">described in </w:t>
      </w:r>
      <w:r w:rsidR="00FC1606">
        <w:rPr>
          <w:bCs/>
        </w:rPr>
        <w:t>r</w:t>
      </w:r>
      <w:r w:rsidR="0082340C">
        <w:rPr>
          <w:bCs/>
        </w:rPr>
        <w:t>egulation 37EB</w:t>
      </w:r>
      <w:r w:rsidR="00CE1DBF">
        <w:rPr>
          <w:bCs/>
        </w:rPr>
        <w:t>.</w:t>
      </w:r>
      <w:r w:rsidR="001B3774" w:rsidRPr="00925C18">
        <w:rPr>
          <w:bCs/>
        </w:rPr>
        <w:t xml:space="preserve">  There will always be one cycle whose data collection period has not ended, and the new brand is placed in that cycle by </w:t>
      </w:r>
      <w:proofErr w:type="spellStart"/>
      <w:r w:rsidR="001B3774" w:rsidRPr="00925C18">
        <w:rPr>
          <w:bCs/>
        </w:rPr>
        <w:t>subregulation</w:t>
      </w:r>
      <w:proofErr w:type="spellEnd"/>
      <w:r w:rsidR="009A19DC" w:rsidRPr="00925C18">
        <w:rPr>
          <w:bCs/>
        </w:rPr>
        <w:t> </w:t>
      </w:r>
      <w:r w:rsidR="001B3774" w:rsidRPr="00925C18">
        <w:rPr>
          <w:bCs/>
        </w:rPr>
        <w:t xml:space="preserve">(2).  </w:t>
      </w:r>
      <w:r w:rsidR="0082340C">
        <w:rPr>
          <w:bCs/>
        </w:rPr>
        <w:t>D</w:t>
      </w:r>
      <w:r w:rsidR="0082340C" w:rsidRPr="00953523">
        <w:rPr>
          <w:bCs/>
        </w:rPr>
        <w:t>ata collection period</w:t>
      </w:r>
      <w:r w:rsidR="0082340C">
        <w:rPr>
          <w:bCs/>
        </w:rPr>
        <w:t>s</w:t>
      </w:r>
      <w:r w:rsidR="0082340C" w:rsidRPr="0082340C">
        <w:rPr>
          <w:bCs/>
        </w:rPr>
        <w:t xml:space="preserve"> </w:t>
      </w:r>
      <w:r w:rsidR="0082340C">
        <w:rPr>
          <w:bCs/>
        </w:rPr>
        <w:t xml:space="preserve">for price disclosure are described in </w:t>
      </w:r>
      <w:r w:rsidR="00FC1606">
        <w:rPr>
          <w:bCs/>
        </w:rPr>
        <w:t>r</w:t>
      </w:r>
      <w:r w:rsidR="0082340C">
        <w:rPr>
          <w:bCs/>
        </w:rPr>
        <w:t xml:space="preserve">egulation 37EC.  </w:t>
      </w:r>
      <w:r w:rsidR="001B3774" w:rsidRPr="00925C18">
        <w:rPr>
          <w:bCs/>
        </w:rPr>
        <w:t>There may also be a cycle (a</w:t>
      </w:r>
      <w:r w:rsidR="00FC1606">
        <w:rPr>
          <w:bCs/>
        </w:rPr>
        <w:t> </w:t>
      </w:r>
      <w:r w:rsidR="001B3774" w:rsidRPr="00925C18">
        <w:rPr>
          <w:bCs/>
        </w:rPr>
        <w:t xml:space="preserve">prior cycle) for which the data collection period has ended, but the reduction day </w:t>
      </w:r>
      <w:r w:rsidR="00FC1606">
        <w:rPr>
          <w:bCs/>
        </w:rPr>
        <w:t>prescribed under regulation</w:t>
      </w:r>
      <w:r w:rsidR="004D218F">
        <w:rPr>
          <w:bCs/>
        </w:rPr>
        <w:t> 37K</w:t>
      </w:r>
      <w:r w:rsidR="001B3774" w:rsidRPr="00953523">
        <w:rPr>
          <w:bCs/>
        </w:rPr>
        <w:t xml:space="preserve"> </w:t>
      </w:r>
      <w:r w:rsidR="001B3774" w:rsidRPr="00925C18">
        <w:rPr>
          <w:bCs/>
        </w:rPr>
        <w:t xml:space="preserve">has not occurred; where this is the case, </w:t>
      </w:r>
      <w:proofErr w:type="spellStart"/>
      <w:r w:rsidR="001B3774" w:rsidRPr="00925C18">
        <w:rPr>
          <w:bCs/>
        </w:rPr>
        <w:t>subregulation</w:t>
      </w:r>
      <w:proofErr w:type="spellEnd"/>
      <w:r w:rsidR="009A19DC" w:rsidRPr="00925C18">
        <w:rPr>
          <w:bCs/>
        </w:rPr>
        <w:t> </w:t>
      </w:r>
      <w:r w:rsidR="001B3774" w:rsidRPr="00925C18">
        <w:rPr>
          <w:bCs/>
        </w:rPr>
        <w:t xml:space="preserve">(3) places the new brand in the prior cycle also.  Some, but not all, brands placed in the prior cycle will be placed in the data collection period for the cycle by </w:t>
      </w:r>
      <w:proofErr w:type="spellStart"/>
      <w:r w:rsidR="001B3774" w:rsidRPr="00925C18">
        <w:rPr>
          <w:bCs/>
        </w:rPr>
        <w:t>subregulation</w:t>
      </w:r>
      <w:proofErr w:type="spellEnd"/>
      <w:r w:rsidR="009A19DC" w:rsidRPr="00925C18">
        <w:rPr>
          <w:bCs/>
        </w:rPr>
        <w:t> </w:t>
      </w:r>
      <w:r w:rsidR="001B3774" w:rsidRPr="00925C18">
        <w:rPr>
          <w:bCs/>
        </w:rPr>
        <w:t>(4).</w:t>
      </w:r>
    </w:p>
    <w:p w:rsidR="001B3774" w:rsidRPr="00925C18" w:rsidRDefault="001B3774" w:rsidP="0015209C">
      <w:pPr>
        <w:spacing w:before="0" w:after="240"/>
        <w:rPr>
          <w:bCs/>
        </w:rPr>
      </w:pPr>
      <w:r w:rsidRPr="00925C18">
        <w:rPr>
          <w:bCs/>
        </w:rPr>
        <w:t xml:space="preserve">New </w:t>
      </w:r>
      <w:proofErr w:type="spellStart"/>
      <w:r w:rsidRPr="00925C18">
        <w:rPr>
          <w:bCs/>
        </w:rPr>
        <w:t>subregulations</w:t>
      </w:r>
      <w:proofErr w:type="spellEnd"/>
      <w:r w:rsidR="009A19DC" w:rsidRPr="00925C18">
        <w:rPr>
          <w:bCs/>
        </w:rPr>
        <w:t> </w:t>
      </w:r>
      <w:r w:rsidRPr="00925C18">
        <w:rPr>
          <w:bCs/>
        </w:rPr>
        <w:t>(1) and</w:t>
      </w:r>
      <w:r w:rsidR="009A19DC" w:rsidRPr="00925C18">
        <w:rPr>
          <w:bCs/>
        </w:rPr>
        <w:t> </w:t>
      </w:r>
      <w:r w:rsidRPr="00925C18">
        <w:rPr>
          <w:bCs/>
        </w:rPr>
        <w:t xml:space="preserve">(2) differ from the existing </w:t>
      </w:r>
      <w:proofErr w:type="spellStart"/>
      <w:r w:rsidRPr="00925C18">
        <w:rPr>
          <w:bCs/>
        </w:rPr>
        <w:t>subregulations</w:t>
      </w:r>
      <w:proofErr w:type="spellEnd"/>
      <w:r w:rsidRPr="00925C18">
        <w:rPr>
          <w:bCs/>
        </w:rPr>
        <w:t xml:space="preserve"> in that the </w:t>
      </w:r>
      <w:r w:rsidR="006F49DF">
        <w:rPr>
          <w:bCs/>
        </w:rPr>
        <w:t>term</w:t>
      </w:r>
      <w:r w:rsidRPr="00925C18">
        <w:rPr>
          <w:bCs/>
        </w:rPr>
        <w:t xml:space="preserve"> </w:t>
      </w:r>
      <w:r w:rsidRPr="00925C18">
        <w:rPr>
          <w:b/>
          <w:bCs/>
          <w:i/>
        </w:rPr>
        <w:t>relevant</w:t>
      </w:r>
      <w:r w:rsidR="009A19DC" w:rsidRPr="00925C18">
        <w:rPr>
          <w:b/>
          <w:bCs/>
          <w:i/>
        </w:rPr>
        <w:t> </w:t>
      </w:r>
      <w:r w:rsidRPr="00925C18">
        <w:rPr>
          <w:b/>
          <w:bCs/>
          <w:i/>
        </w:rPr>
        <w:t>day</w:t>
      </w:r>
      <w:r w:rsidRPr="00925C18">
        <w:rPr>
          <w:bCs/>
        </w:rPr>
        <w:t xml:space="preserve"> has been replaced by a new defined term </w:t>
      </w:r>
      <w:r w:rsidRPr="00925C18">
        <w:rPr>
          <w:b/>
          <w:bCs/>
          <w:i/>
        </w:rPr>
        <w:t>start</w:t>
      </w:r>
      <w:r w:rsidR="009A19DC" w:rsidRPr="00925C18">
        <w:rPr>
          <w:b/>
          <w:bCs/>
          <w:i/>
        </w:rPr>
        <w:t> </w:t>
      </w:r>
      <w:r w:rsidRPr="00925C18">
        <w:rPr>
          <w:b/>
          <w:bCs/>
          <w:i/>
        </w:rPr>
        <w:t>day</w:t>
      </w:r>
      <w:r w:rsidRPr="00925C18">
        <w:rPr>
          <w:bCs/>
        </w:rPr>
        <w:t xml:space="preserve">.  The changes are required because the term </w:t>
      </w:r>
      <w:r w:rsidRPr="00925C18">
        <w:rPr>
          <w:b/>
          <w:bCs/>
          <w:i/>
        </w:rPr>
        <w:t>relevant</w:t>
      </w:r>
      <w:r w:rsidR="009A19DC" w:rsidRPr="00925C18">
        <w:rPr>
          <w:b/>
          <w:bCs/>
          <w:i/>
        </w:rPr>
        <w:t> </w:t>
      </w:r>
      <w:r w:rsidRPr="00925C18">
        <w:rPr>
          <w:b/>
          <w:bCs/>
          <w:i/>
        </w:rPr>
        <w:t>day</w:t>
      </w:r>
      <w:r w:rsidRPr="00925C18">
        <w:rPr>
          <w:bCs/>
        </w:rPr>
        <w:t xml:space="preserve"> will have a defined meaning in the Act from 1</w:t>
      </w:r>
      <w:r w:rsidR="009A19DC" w:rsidRPr="00925C18">
        <w:rPr>
          <w:bCs/>
        </w:rPr>
        <w:t> </w:t>
      </w:r>
      <w:r w:rsidRPr="00925C18">
        <w:rPr>
          <w:bCs/>
        </w:rPr>
        <w:t>October</w:t>
      </w:r>
      <w:r w:rsidR="009A19DC" w:rsidRPr="00925C18">
        <w:rPr>
          <w:bCs/>
        </w:rPr>
        <w:t> </w:t>
      </w:r>
      <w:r w:rsidRPr="00925C18">
        <w:rPr>
          <w:bCs/>
        </w:rPr>
        <w:t xml:space="preserve">2012, </w:t>
      </w:r>
      <w:r w:rsidR="00994DAD">
        <w:rPr>
          <w:bCs/>
        </w:rPr>
        <w:t xml:space="preserve">which is different from its current meaning in the Principal Regulations, </w:t>
      </w:r>
      <w:r w:rsidRPr="00925C18">
        <w:rPr>
          <w:bCs/>
        </w:rPr>
        <w:t xml:space="preserve">and from that date, the term will have that defined meaning when used in the Principal Regulations.  There </w:t>
      </w:r>
      <w:r w:rsidR="00C4193E">
        <w:rPr>
          <w:bCs/>
        </w:rPr>
        <w:t>are</w:t>
      </w:r>
      <w:r w:rsidRPr="00925C18">
        <w:rPr>
          <w:bCs/>
        </w:rPr>
        <w:t xml:space="preserve"> a number of other stylistic changes to the two </w:t>
      </w:r>
      <w:proofErr w:type="spellStart"/>
      <w:r w:rsidRPr="00925C18">
        <w:rPr>
          <w:bCs/>
        </w:rPr>
        <w:t>subregulations</w:t>
      </w:r>
      <w:proofErr w:type="spellEnd"/>
      <w:r w:rsidRPr="00925C18">
        <w:rPr>
          <w:bCs/>
        </w:rPr>
        <w:t>.  The</w:t>
      </w:r>
      <w:r w:rsidR="0042449C" w:rsidRPr="00925C18">
        <w:rPr>
          <w:bCs/>
        </w:rPr>
        <w:t> </w:t>
      </w:r>
      <w:r w:rsidRPr="00925C18">
        <w:rPr>
          <w:bCs/>
        </w:rPr>
        <w:t xml:space="preserve">changes to these </w:t>
      </w:r>
      <w:proofErr w:type="spellStart"/>
      <w:r w:rsidRPr="00925C18">
        <w:rPr>
          <w:bCs/>
        </w:rPr>
        <w:t>subregulations</w:t>
      </w:r>
      <w:proofErr w:type="spellEnd"/>
      <w:r w:rsidRPr="00925C18">
        <w:rPr>
          <w:bCs/>
        </w:rPr>
        <w:t xml:space="preserve"> </w:t>
      </w:r>
      <w:r w:rsidR="006D0F6A">
        <w:rPr>
          <w:bCs/>
        </w:rPr>
        <w:t>do</w:t>
      </w:r>
      <w:r w:rsidRPr="00925C18">
        <w:rPr>
          <w:bCs/>
        </w:rPr>
        <w:t xml:space="preserve"> not </w:t>
      </w:r>
      <w:r w:rsidRPr="00953523">
        <w:rPr>
          <w:bCs/>
        </w:rPr>
        <w:t>result</w:t>
      </w:r>
      <w:r w:rsidRPr="00925C18">
        <w:rPr>
          <w:bCs/>
        </w:rPr>
        <w:t xml:space="preserve"> in any substantive change to the meaning of the </w:t>
      </w:r>
      <w:proofErr w:type="spellStart"/>
      <w:r w:rsidRPr="00925C18">
        <w:rPr>
          <w:bCs/>
        </w:rPr>
        <w:t>subregulation</w:t>
      </w:r>
      <w:proofErr w:type="spellEnd"/>
      <w:r w:rsidRPr="00925C18">
        <w:t xml:space="preserve"> or the operation of the regulation</w:t>
      </w:r>
      <w:r w:rsidRPr="00925C18">
        <w:rPr>
          <w:bCs/>
        </w:rPr>
        <w:t>.</w:t>
      </w:r>
    </w:p>
    <w:p w:rsidR="001B3774" w:rsidRPr="00925C18" w:rsidRDefault="001B3774" w:rsidP="0015209C">
      <w:pPr>
        <w:spacing w:before="0" w:after="240"/>
        <w:rPr>
          <w:bCs/>
        </w:rPr>
      </w:pPr>
      <w:r w:rsidRPr="00925C18">
        <w:rPr>
          <w:bCs/>
        </w:rPr>
        <w:t xml:space="preserve">New </w:t>
      </w:r>
      <w:proofErr w:type="spellStart"/>
      <w:r w:rsidRPr="00925C18">
        <w:rPr>
          <w:bCs/>
        </w:rPr>
        <w:t>subregulation</w:t>
      </w:r>
      <w:proofErr w:type="spellEnd"/>
      <w:r w:rsidR="0042449C" w:rsidRPr="00925C18">
        <w:rPr>
          <w:bCs/>
        </w:rPr>
        <w:t> </w:t>
      </w:r>
      <w:r w:rsidRPr="00925C18">
        <w:rPr>
          <w:bCs/>
        </w:rPr>
        <w:t>(3) provides to the same effect as existing paragraph</w:t>
      </w:r>
      <w:r w:rsidR="0042449C" w:rsidRPr="00925C18">
        <w:rPr>
          <w:bCs/>
        </w:rPr>
        <w:t> </w:t>
      </w:r>
      <w:r w:rsidRPr="00925C18">
        <w:rPr>
          <w:bCs/>
        </w:rPr>
        <w:t>(3)(a).  New brands which would be placed in a prior cycle by existing paragraph</w:t>
      </w:r>
      <w:r w:rsidR="0042449C" w:rsidRPr="00925C18">
        <w:rPr>
          <w:bCs/>
        </w:rPr>
        <w:t> </w:t>
      </w:r>
      <w:r w:rsidRPr="00925C18">
        <w:rPr>
          <w:bCs/>
        </w:rPr>
        <w:t xml:space="preserve">(3)(a) will continue to be placed in the prior cycle by new </w:t>
      </w:r>
      <w:proofErr w:type="spellStart"/>
      <w:r w:rsidRPr="00925C18">
        <w:rPr>
          <w:bCs/>
        </w:rPr>
        <w:t>subregulation</w:t>
      </w:r>
      <w:proofErr w:type="spellEnd"/>
      <w:r w:rsidR="0042449C" w:rsidRPr="00925C18">
        <w:rPr>
          <w:bCs/>
        </w:rPr>
        <w:t> </w:t>
      </w:r>
      <w:r w:rsidRPr="00925C18">
        <w:rPr>
          <w:bCs/>
        </w:rPr>
        <w:t xml:space="preserve">(3).  </w:t>
      </w:r>
      <w:r w:rsidRPr="00925C18">
        <w:rPr>
          <w:b/>
          <w:bCs/>
          <w:i/>
        </w:rPr>
        <w:t>Start day</w:t>
      </w:r>
      <w:r w:rsidRPr="00925C18">
        <w:rPr>
          <w:bCs/>
        </w:rPr>
        <w:t xml:space="preserve"> </w:t>
      </w:r>
      <w:r w:rsidRPr="00953523">
        <w:rPr>
          <w:bCs/>
        </w:rPr>
        <w:t>replace</w:t>
      </w:r>
      <w:r w:rsidR="00C4193E">
        <w:rPr>
          <w:bCs/>
        </w:rPr>
        <w:t>s</w:t>
      </w:r>
      <w:r w:rsidRPr="00925C18">
        <w:rPr>
          <w:bCs/>
        </w:rPr>
        <w:t xml:space="preserve"> </w:t>
      </w:r>
      <w:r w:rsidRPr="00925C18">
        <w:rPr>
          <w:b/>
          <w:bCs/>
          <w:i/>
        </w:rPr>
        <w:t>relevant day</w:t>
      </w:r>
      <w:r w:rsidRPr="00925C18">
        <w:rPr>
          <w:bCs/>
        </w:rPr>
        <w:t xml:space="preserve"> for the reasons set out above, and other changes are stylistic.</w:t>
      </w:r>
    </w:p>
    <w:p w:rsidR="001B3774" w:rsidRPr="00925C18" w:rsidRDefault="001B3774" w:rsidP="0015209C">
      <w:pPr>
        <w:spacing w:before="0" w:after="240"/>
        <w:rPr>
          <w:bCs/>
        </w:rPr>
      </w:pPr>
      <w:r w:rsidRPr="00925C18">
        <w:rPr>
          <w:bCs/>
        </w:rPr>
        <w:t xml:space="preserve">New </w:t>
      </w:r>
      <w:proofErr w:type="spellStart"/>
      <w:r w:rsidRPr="00925C18">
        <w:rPr>
          <w:bCs/>
        </w:rPr>
        <w:t>subregulation</w:t>
      </w:r>
      <w:proofErr w:type="spellEnd"/>
      <w:r w:rsidR="0042449C" w:rsidRPr="00925C18">
        <w:rPr>
          <w:bCs/>
        </w:rPr>
        <w:t> </w:t>
      </w:r>
      <w:r w:rsidRPr="00925C18">
        <w:rPr>
          <w:bCs/>
        </w:rPr>
        <w:t>(4) provides to the same effect as existing paragraph</w:t>
      </w:r>
      <w:r w:rsidR="0042449C" w:rsidRPr="00925C18">
        <w:rPr>
          <w:bCs/>
        </w:rPr>
        <w:t> </w:t>
      </w:r>
      <w:r w:rsidRPr="00925C18">
        <w:rPr>
          <w:bCs/>
        </w:rPr>
        <w:t xml:space="preserve">(3)(b), but its application is more limited.  It applies to relevant brands covered by </w:t>
      </w:r>
      <w:proofErr w:type="spellStart"/>
      <w:r w:rsidRPr="00925C18">
        <w:rPr>
          <w:bCs/>
        </w:rPr>
        <w:t>subregulation</w:t>
      </w:r>
      <w:proofErr w:type="spellEnd"/>
      <w:r w:rsidR="0042449C" w:rsidRPr="00925C18">
        <w:rPr>
          <w:bCs/>
        </w:rPr>
        <w:t> </w:t>
      </w:r>
      <w:r w:rsidRPr="00925C18">
        <w:rPr>
          <w:bCs/>
        </w:rPr>
        <w:t>(3), but only in the circumstances covered by paragraph</w:t>
      </w:r>
      <w:r w:rsidR="0042449C" w:rsidRPr="00925C18">
        <w:rPr>
          <w:bCs/>
        </w:rPr>
        <w:t> </w:t>
      </w:r>
      <w:r w:rsidRPr="00925C18">
        <w:rPr>
          <w:bCs/>
        </w:rPr>
        <w:t xml:space="preserve">(4)(b).  These circumstances are that there was no other brand of that pharmaceutical item subject to the price disclosure requirements on both the start day for the relevant brand and the day before that day.  The </w:t>
      </w:r>
      <w:proofErr w:type="spellStart"/>
      <w:r w:rsidRPr="00925C18">
        <w:rPr>
          <w:bCs/>
        </w:rPr>
        <w:t>subregulation</w:t>
      </w:r>
      <w:proofErr w:type="spellEnd"/>
      <w:r w:rsidRPr="00925C18">
        <w:rPr>
          <w:bCs/>
        </w:rPr>
        <w:t xml:space="preserve"> thus applies to a new brand joining a prior disclosure cycle, if there was no other brand of that pharmaceutical item subject to the price disclosure requirements on both the start day for the brand and the day before that day, </w:t>
      </w:r>
      <w:proofErr w:type="spellStart"/>
      <w:r w:rsidRPr="00925C18">
        <w:rPr>
          <w:bCs/>
        </w:rPr>
        <w:t>ie</w:t>
      </w:r>
      <w:proofErr w:type="spellEnd"/>
      <w:r w:rsidRPr="00925C18">
        <w:rPr>
          <w:bCs/>
        </w:rPr>
        <w:t xml:space="preserve">, it applies to new brands of </w:t>
      </w:r>
      <w:r w:rsidRPr="00925C18">
        <w:rPr>
          <w:bCs/>
          <w:i/>
        </w:rPr>
        <w:t>new</w:t>
      </w:r>
      <w:r w:rsidRPr="00925C18">
        <w:rPr>
          <w:bCs/>
        </w:rPr>
        <w:t xml:space="preserve"> pharmaceutical items joining a prior cycle.  It does not apply to new brands of </w:t>
      </w:r>
      <w:r w:rsidRPr="00925C18">
        <w:rPr>
          <w:bCs/>
          <w:i/>
        </w:rPr>
        <w:t>existing</w:t>
      </w:r>
      <w:r w:rsidRPr="00925C18">
        <w:rPr>
          <w:bCs/>
        </w:rPr>
        <w:t xml:space="preserve"> pharmaceutical items joining a prior cycle; these brands are covered by new </w:t>
      </w:r>
      <w:proofErr w:type="spellStart"/>
      <w:r w:rsidRPr="00925C18">
        <w:rPr>
          <w:bCs/>
        </w:rPr>
        <w:t>subregulation</w:t>
      </w:r>
      <w:proofErr w:type="spellEnd"/>
      <w:r w:rsidR="0042449C" w:rsidRPr="00925C18">
        <w:rPr>
          <w:bCs/>
        </w:rPr>
        <w:t> </w:t>
      </w:r>
      <w:r w:rsidRPr="00925C18">
        <w:rPr>
          <w:bCs/>
        </w:rPr>
        <w:t xml:space="preserve">(3), but not </w:t>
      </w:r>
      <w:proofErr w:type="spellStart"/>
      <w:r w:rsidRPr="00925C18">
        <w:rPr>
          <w:bCs/>
        </w:rPr>
        <w:t>subregulation</w:t>
      </w:r>
      <w:proofErr w:type="spellEnd"/>
      <w:r w:rsidR="0042449C" w:rsidRPr="00925C18">
        <w:rPr>
          <w:bCs/>
        </w:rPr>
        <w:t> </w:t>
      </w:r>
      <w:r w:rsidRPr="00925C18">
        <w:rPr>
          <w:bCs/>
        </w:rPr>
        <w:t>(4).</w:t>
      </w:r>
    </w:p>
    <w:p w:rsidR="001B3774" w:rsidRPr="00925C18" w:rsidRDefault="001B3774" w:rsidP="0015209C">
      <w:pPr>
        <w:spacing w:before="0" w:after="240"/>
        <w:rPr>
          <w:bCs/>
        </w:rPr>
      </w:pPr>
      <w:r w:rsidRPr="00925C18">
        <w:rPr>
          <w:bCs/>
        </w:rPr>
        <w:t xml:space="preserve">If a brand of the same pharmaceutical item as the new brand was listed on the PBS on the day before the start day for the new brand, but that brand </w:t>
      </w:r>
      <w:r w:rsidR="009F1162">
        <w:rPr>
          <w:bCs/>
        </w:rPr>
        <w:t>w</w:t>
      </w:r>
      <w:r w:rsidR="00777122">
        <w:rPr>
          <w:bCs/>
        </w:rPr>
        <w:t>as</w:t>
      </w:r>
      <w:r w:rsidRPr="00925C18">
        <w:rPr>
          <w:bCs/>
        </w:rPr>
        <w:t xml:space="preserve"> not listed on the start day, </w:t>
      </w:r>
      <w:proofErr w:type="spellStart"/>
      <w:r w:rsidRPr="00925C18">
        <w:rPr>
          <w:bCs/>
        </w:rPr>
        <w:lastRenderedPageBreak/>
        <w:t>subregulation</w:t>
      </w:r>
      <w:proofErr w:type="spellEnd"/>
      <w:r w:rsidR="0042449C" w:rsidRPr="00925C18">
        <w:rPr>
          <w:bCs/>
        </w:rPr>
        <w:t> </w:t>
      </w:r>
      <w:r w:rsidRPr="00925C18">
        <w:rPr>
          <w:bCs/>
        </w:rPr>
        <w:t>(4) will apply.  This is because the criterion in paragraph</w:t>
      </w:r>
      <w:r w:rsidR="0042449C" w:rsidRPr="00925C18">
        <w:rPr>
          <w:bCs/>
        </w:rPr>
        <w:t> </w:t>
      </w:r>
      <w:r w:rsidRPr="00925C18">
        <w:rPr>
          <w:bCs/>
        </w:rPr>
        <w:t>(4)(b) is satisfied: there is no brand of that pharmaceutical item subject to price disclosure on both the start day for the relevant brand and the day before that day.  On the start day, there is no existing brand of that pharmaceutical item and on that day the new brand is, in effect, a new brand of a new pharmaceutical item.</w:t>
      </w:r>
    </w:p>
    <w:p w:rsidR="001B3774" w:rsidRPr="00925C18" w:rsidRDefault="005A0611" w:rsidP="00475910">
      <w:pPr>
        <w:spacing w:before="0" w:after="240"/>
        <w:rPr>
          <w:bCs/>
        </w:rPr>
      </w:pPr>
      <w:r>
        <w:rPr>
          <w:bCs/>
        </w:rPr>
        <w:t>N</w:t>
      </w:r>
      <w:r w:rsidR="001B3774" w:rsidRPr="00953523">
        <w:rPr>
          <w:bCs/>
        </w:rPr>
        <w:t>ew</w:t>
      </w:r>
      <w:r w:rsidR="001B3774" w:rsidRPr="00925C18">
        <w:rPr>
          <w:bCs/>
        </w:rPr>
        <w:t xml:space="preserve"> brands of </w:t>
      </w:r>
      <w:r w:rsidR="001B3774" w:rsidRPr="00925C18">
        <w:rPr>
          <w:bCs/>
          <w:i/>
        </w:rPr>
        <w:t>existing</w:t>
      </w:r>
      <w:r w:rsidR="001B3774" w:rsidRPr="00925C18">
        <w:rPr>
          <w:bCs/>
        </w:rPr>
        <w:t xml:space="preserve"> pharmaceutical items are placed in the prior disclosure cycle under </w:t>
      </w:r>
      <w:proofErr w:type="spellStart"/>
      <w:r w:rsidR="001B3774" w:rsidRPr="00925C18">
        <w:rPr>
          <w:bCs/>
        </w:rPr>
        <w:t>subregulation</w:t>
      </w:r>
      <w:proofErr w:type="spellEnd"/>
      <w:r w:rsidR="0042449C" w:rsidRPr="00925C18">
        <w:rPr>
          <w:bCs/>
        </w:rPr>
        <w:t> </w:t>
      </w:r>
      <w:r w:rsidR="001B3774" w:rsidRPr="00925C18">
        <w:rPr>
          <w:bCs/>
        </w:rPr>
        <w:t>(3</w:t>
      </w:r>
      <w:r w:rsidR="001B3774">
        <w:rPr>
          <w:bCs/>
        </w:rPr>
        <w:t>)</w:t>
      </w:r>
      <w:r>
        <w:rPr>
          <w:bCs/>
        </w:rPr>
        <w:t>.</w:t>
      </w:r>
      <w:r w:rsidR="001B3774">
        <w:rPr>
          <w:bCs/>
        </w:rPr>
        <w:t xml:space="preserve"> </w:t>
      </w:r>
      <w:r>
        <w:rPr>
          <w:bCs/>
        </w:rPr>
        <w:t xml:space="preserve"> However, they are</w:t>
      </w:r>
      <w:r w:rsidR="001B3774" w:rsidRPr="00925C18">
        <w:rPr>
          <w:bCs/>
        </w:rPr>
        <w:t xml:space="preserve"> not</w:t>
      </w:r>
      <w:r w:rsidR="001B3774">
        <w:rPr>
          <w:bCs/>
        </w:rPr>
        <w:t xml:space="preserve"> </w:t>
      </w:r>
      <w:r>
        <w:rPr>
          <w:bCs/>
        </w:rPr>
        <w:t>placed</w:t>
      </w:r>
      <w:r w:rsidR="001B3774" w:rsidRPr="00925C18">
        <w:rPr>
          <w:bCs/>
        </w:rPr>
        <w:t xml:space="preserve"> in the data collection period for that cycle under </w:t>
      </w:r>
      <w:proofErr w:type="spellStart"/>
      <w:r w:rsidR="001B3774" w:rsidRPr="00925C18">
        <w:rPr>
          <w:bCs/>
        </w:rPr>
        <w:t>subregulation</w:t>
      </w:r>
      <w:proofErr w:type="spellEnd"/>
      <w:r w:rsidR="0042449C" w:rsidRPr="00925C18">
        <w:rPr>
          <w:bCs/>
        </w:rPr>
        <w:t> </w:t>
      </w:r>
      <w:r w:rsidR="001B3774" w:rsidRPr="00925C18">
        <w:rPr>
          <w:bCs/>
        </w:rPr>
        <w:t>(4) for the purposes of calculating a weighted average disclosed price for the brand</w:t>
      </w:r>
      <w:r>
        <w:rPr>
          <w:bCs/>
        </w:rPr>
        <w:t>; the reason for this</w:t>
      </w:r>
      <w:r w:rsidR="001B3774" w:rsidRPr="00925C18">
        <w:rPr>
          <w:bCs/>
        </w:rPr>
        <w:t xml:space="preserve"> is that it is no longer necessary under the amended Act for there to be a weighted average disclosed price calculated in order for these brands to have a price reduction on the reduction day for the prior cycle.  Their prices will be reduced on the reduction day to match the reduced prices of other brands of that pharmaceutical item under new section</w:t>
      </w:r>
      <w:r w:rsidR="0042449C" w:rsidRPr="00925C18">
        <w:rPr>
          <w:bCs/>
        </w:rPr>
        <w:t> </w:t>
      </w:r>
      <w:r w:rsidR="001B3774" w:rsidRPr="00925C18">
        <w:rPr>
          <w:bCs/>
        </w:rPr>
        <w:t>99ADHA of the Act, which is being inserted into the Act on 1</w:t>
      </w:r>
      <w:r w:rsidR="0042449C" w:rsidRPr="00925C18">
        <w:rPr>
          <w:bCs/>
        </w:rPr>
        <w:t> </w:t>
      </w:r>
      <w:r w:rsidR="001B3774" w:rsidRPr="00925C18">
        <w:rPr>
          <w:bCs/>
        </w:rPr>
        <w:t>October</w:t>
      </w:r>
      <w:r w:rsidR="0042449C" w:rsidRPr="00925C18">
        <w:rPr>
          <w:bCs/>
        </w:rPr>
        <w:t> </w:t>
      </w:r>
      <w:r w:rsidR="001B3774" w:rsidRPr="00925C18">
        <w:rPr>
          <w:bCs/>
        </w:rPr>
        <w:t>2012 by the amending Act.  The price reductions for these new brands of existing pharmaceutical items under the Act will be the same as those that would occur if the brands were placed in the data collection period and had a weighted average disclosed price calculated; reducing the prices directly under the Act gives the same result and avoids these unnecessary administrative processes.</w:t>
      </w:r>
    </w:p>
    <w:p w:rsidR="001B3774" w:rsidRPr="00925C18" w:rsidRDefault="001B3774" w:rsidP="00475910">
      <w:pPr>
        <w:spacing w:before="0" w:after="240"/>
        <w:rPr>
          <w:bCs/>
        </w:rPr>
      </w:pPr>
      <w:r w:rsidRPr="00925C18">
        <w:rPr>
          <w:bCs/>
        </w:rPr>
        <w:t>Thus</w:t>
      </w:r>
      <w:r w:rsidR="00360AC6">
        <w:rPr>
          <w:bCs/>
        </w:rPr>
        <w:t>,</w:t>
      </w:r>
      <w:r w:rsidRPr="00925C18">
        <w:rPr>
          <w:bCs/>
        </w:rPr>
        <w:t xml:space="preserve"> the only substantive difference between the current and the substituted regulation</w:t>
      </w:r>
      <w:r w:rsidR="0042449C" w:rsidRPr="00925C18">
        <w:rPr>
          <w:bCs/>
        </w:rPr>
        <w:t> </w:t>
      </w:r>
      <w:r w:rsidRPr="00925C18">
        <w:rPr>
          <w:bCs/>
        </w:rPr>
        <w:t xml:space="preserve">37F (the non-coverage of new brands of existing pharmaceutical items by </w:t>
      </w:r>
      <w:proofErr w:type="spellStart"/>
      <w:r w:rsidRPr="00925C18">
        <w:rPr>
          <w:bCs/>
        </w:rPr>
        <w:t>subregulation</w:t>
      </w:r>
      <w:proofErr w:type="spellEnd"/>
      <w:r w:rsidR="0042449C" w:rsidRPr="00925C18">
        <w:rPr>
          <w:bCs/>
        </w:rPr>
        <w:t> </w:t>
      </w:r>
      <w:r w:rsidRPr="00925C18">
        <w:rPr>
          <w:bCs/>
        </w:rPr>
        <w:t>(4)) will not lead to a substantively different outcome because of the operation of new section</w:t>
      </w:r>
      <w:r w:rsidR="0042449C" w:rsidRPr="00925C18">
        <w:rPr>
          <w:bCs/>
        </w:rPr>
        <w:t> </w:t>
      </w:r>
      <w:r w:rsidRPr="00925C18">
        <w:rPr>
          <w:bCs/>
        </w:rPr>
        <w:t>99ADHA of the Act.</w:t>
      </w:r>
    </w:p>
    <w:p w:rsidR="001B3774" w:rsidRPr="00925C18" w:rsidRDefault="001B3774" w:rsidP="00475910">
      <w:pPr>
        <w:spacing w:before="0" w:after="240"/>
        <w:rPr>
          <w:bCs/>
        </w:rPr>
      </w:pPr>
      <w:r w:rsidRPr="00925C18">
        <w:rPr>
          <w:bCs/>
        </w:rPr>
        <w:t>The substituted Note under regulation</w:t>
      </w:r>
      <w:r w:rsidR="0042449C" w:rsidRPr="00925C18">
        <w:rPr>
          <w:bCs/>
        </w:rPr>
        <w:t> </w:t>
      </w:r>
      <w:r w:rsidRPr="00925C18">
        <w:rPr>
          <w:bCs/>
        </w:rPr>
        <w:t>37F alerts readers to other relevant regulations.  This</w:t>
      </w:r>
      <w:r w:rsidR="0088504A" w:rsidRPr="00925C18">
        <w:rPr>
          <w:bCs/>
        </w:rPr>
        <w:t> </w:t>
      </w:r>
      <w:r w:rsidRPr="00925C18">
        <w:rPr>
          <w:bCs/>
        </w:rPr>
        <w:t>Note is the same as the existing Note except that the current reference to regulation</w:t>
      </w:r>
      <w:r w:rsidR="0088504A" w:rsidRPr="00925C18">
        <w:rPr>
          <w:bCs/>
        </w:rPr>
        <w:t> </w:t>
      </w:r>
      <w:r w:rsidRPr="00925C18">
        <w:rPr>
          <w:bCs/>
        </w:rPr>
        <w:t>37DA has been replaced with a reference to new regulation</w:t>
      </w:r>
      <w:r w:rsidR="0088504A" w:rsidRPr="00925C18">
        <w:rPr>
          <w:bCs/>
        </w:rPr>
        <w:t> </w:t>
      </w:r>
      <w:r w:rsidRPr="00925C18">
        <w:rPr>
          <w:bCs/>
        </w:rPr>
        <w:t>37FA.  Regulation</w:t>
      </w:r>
      <w:r w:rsidR="0088504A" w:rsidRPr="00925C18">
        <w:rPr>
          <w:bCs/>
        </w:rPr>
        <w:t> </w:t>
      </w:r>
      <w:r w:rsidRPr="00925C18">
        <w:rPr>
          <w:bCs/>
        </w:rPr>
        <w:t>37DA is being omitted (see item</w:t>
      </w:r>
      <w:r w:rsidR="0088504A" w:rsidRPr="00925C18">
        <w:rPr>
          <w:bCs/>
        </w:rPr>
        <w:t> </w:t>
      </w:r>
      <w:r w:rsidRPr="00925C18">
        <w:rPr>
          <w:bCs/>
        </w:rPr>
        <w:t>15 of this Schedule) and new regulation</w:t>
      </w:r>
      <w:r w:rsidR="0088504A" w:rsidRPr="00925C18">
        <w:rPr>
          <w:bCs/>
        </w:rPr>
        <w:t> </w:t>
      </w:r>
      <w:r w:rsidRPr="00925C18">
        <w:rPr>
          <w:bCs/>
        </w:rPr>
        <w:t>37FA is being made for the same purpose (see below).</w:t>
      </w:r>
    </w:p>
    <w:p w:rsidR="001B3774" w:rsidRPr="00925C18" w:rsidRDefault="003433A5" w:rsidP="00475910">
      <w:pPr>
        <w:spacing w:before="0" w:after="240"/>
        <w:rPr>
          <w:b/>
          <w:bCs/>
        </w:rPr>
      </w:pPr>
      <w:r>
        <w:rPr>
          <w:bCs/>
        </w:rPr>
        <w:t>New r</w:t>
      </w:r>
      <w:r w:rsidR="001B3774">
        <w:rPr>
          <w:bCs/>
        </w:rPr>
        <w:t>egulation</w:t>
      </w:r>
      <w:r w:rsidR="0088504A" w:rsidRPr="00925C18">
        <w:rPr>
          <w:bCs/>
        </w:rPr>
        <w:t> </w:t>
      </w:r>
      <w:r w:rsidR="001B3774" w:rsidRPr="00925C18">
        <w:rPr>
          <w:bCs/>
        </w:rPr>
        <w:t>37FA is made for paragraph</w:t>
      </w:r>
      <w:r w:rsidR="0088504A" w:rsidRPr="00925C18">
        <w:rPr>
          <w:bCs/>
        </w:rPr>
        <w:t> </w:t>
      </w:r>
      <w:r w:rsidR="001B3774" w:rsidRPr="00925C18">
        <w:rPr>
          <w:bCs/>
        </w:rPr>
        <w:t xml:space="preserve">99ADB(3B)(c) of the Act and its purpose is to derive an </w:t>
      </w:r>
      <w:r w:rsidR="001B3774" w:rsidRPr="00925C18">
        <w:rPr>
          <w:b/>
          <w:bCs/>
          <w:i/>
        </w:rPr>
        <w:t>approved ex-manufacturer price</w:t>
      </w:r>
      <w:r w:rsidR="001B3774" w:rsidRPr="00925C18">
        <w:rPr>
          <w:bCs/>
        </w:rPr>
        <w:t xml:space="preserve"> on the </w:t>
      </w:r>
      <w:r w:rsidR="001B3774" w:rsidRPr="00925C18">
        <w:rPr>
          <w:b/>
          <w:bCs/>
          <w:i/>
        </w:rPr>
        <w:t>relevant day</w:t>
      </w:r>
      <w:r w:rsidR="001B3774" w:rsidRPr="00925C18">
        <w:rPr>
          <w:bCs/>
        </w:rPr>
        <w:t xml:space="preserve"> for certain brands of pharmaceutical items that were not listed on the PBS on that day.  </w:t>
      </w:r>
      <w:r w:rsidR="001B3774" w:rsidRPr="00925C18">
        <w:rPr>
          <w:b/>
          <w:bCs/>
          <w:i/>
        </w:rPr>
        <w:t>Relevant day</w:t>
      </w:r>
      <w:r w:rsidR="001B3774" w:rsidRPr="00925C18">
        <w:rPr>
          <w:bCs/>
        </w:rPr>
        <w:t xml:space="preserve"> has the meaning in subsection</w:t>
      </w:r>
      <w:r w:rsidR="0088504A" w:rsidRPr="00925C18">
        <w:rPr>
          <w:bCs/>
        </w:rPr>
        <w:t> </w:t>
      </w:r>
      <w:r w:rsidR="001B3774" w:rsidRPr="00925C18">
        <w:rPr>
          <w:bCs/>
        </w:rPr>
        <w:t>99ADB(1) of the Act</w:t>
      </w:r>
      <w:r w:rsidR="00360AC6">
        <w:rPr>
          <w:bCs/>
        </w:rPr>
        <w:t xml:space="preserve"> as amended</w:t>
      </w:r>
      <w:r w:rsidR="001B3774" w:rsidRPr="00925C18">
        <w:rPr>
          <w:bCs/>
        </w:rPr>
        <w:t>.</w:t>
      </w:r>
    </w:p>
    <w:p w:rsidR="001B3774" w:rsidRPr="00925C18" w:rsidRDefault="001B3774" w:rsidP="00475910">
      <w:pPr>
        <w:spacing w:before="0" w:after="240"/>
        <w:rPr>
          <w:bCs/>
        </w:rPr>
      </w:pPr>
      <w:r w:rsidRPr="00925C18">
        <w:rPr>
          <w:bCs/>
        </w:rPr>
        <w:t xml:space="preserve">An </w:t>
      </w:r>
      <w:r w:rsidRPr="00925C18">
        <w:rPr>
          <w:b/>
          <w:bCs/>
          <w:i/>
        </w:rPr>
        <w:t>approved ex-manufacturer price</w:t>
      </w:r>
      <w:r w:rsidRPr="00925C18">
        <w:rPr>
          <w:bCs/>
        </w:rPr>
        <w:t xml:space="preserve"> on the </w:t>
      </w:r>
      <w:r w:rsidRPr="00925C18">
        <w:rPr>
          <w:b/>
          <w:bCs/>
          <w:i/>
        </w:rPr>
        <w:t>relevant day</w:t>
      </w:r>
      <w:r w:rsidRPr="00925C18">
        <w:rPr>
          <w:bCs/>
        </w:rPr>
        <w:t xml:space="preserve"> is an </w:t>
      </w:r>
      <w:r w:rsidRPr="00925C18">
        <w:rPr>
          <w:b/>
          <w:bCs/>
          <w:i/>
        </w:rPr>
        <w:t xml:space="preserve">applicable approved </w:t>
      </w:r>
      <w:proofErr w:type="spellStart"/>
      <w:r w:rsidRPr="00925C18">
        <w:rPr>
          <w:b/>
          <w:bCs/>
          <w:i/>
        </w:rPr>
        <w:t>ex</w:t>
      </w:r>
      <w:r w:rsidR="0097471D">
        <w:rPr>
          <w:b/>
          <w:bCs/>
          <w:i/>
        </w:rPr>
        <w:noBreakHyphen/>
      </w:r>
      <w:r w:rsidRPr="00925C18">
        <w:rPr>
          <w:b/>
          <w:bCs/>
          <w:i/>
        </w:rPr>
        <w:t>manufacturer</w:t>
      </w:r>
      <w:proofErr w:type="spellEnd"/>
      <w:r w:rsidRPr="00925C18">
        <w:rPr>
          <w:b/>
          <w:bCs/>
          <w:i/>
        </w:rPr>
        <w:t xml:space="preserve"> price</w:t>
      </w:r>
      <w:r w:rsidRPr="00925C18">
        <w:rPr>
          <w:bCs/>
        </w:rPr>
        <w:t xml:space="preserve">.  An </w:t>
      </w:r>
      <w:r w:rsidRPr="00925C18">
        <w:rPr>
          <w:b/>
          <w:bCs/>
          <w:i/>
        </w:rPr>
        <w:t>applicable approved ex-manufacturer price</w:t>
      </w:r>
      <w:r w:rsidRPr="00925C18">
        <w:rPr>
          <w:bCs/>
        </w:rPr>
        <w:t xml:space="preserve"> for a brand is needed to perform the price disclosure calculations in regulation</w:t>
      </w:r>
      <w:r w:rsidR="0088504A" w:rsidRPr="00925C18">
        <w:rPr>
          <w:bCs/>
        </w:rPr>
        <w:t> </w:t>
      </w:r>
      <w:r w:rsidRPr="00925C18">
        <w:rPr>
          <w:bCs/>
        </w:rPr>
        <w:t>37G.</w:t>
      </w:r>
    </w:p>
    <w:p w:rsidR="001B3774" w:rsidRPr="00925C18" w:rsidRDefault="001B3774" w:rsidP="00475910">
      <w:pPr>
        <w:spacing w:before="0" w:after="240"/>
        <w:rPr>
          <w:bCs/>
        </w:rPr>
      </w:pPr>
      <w:r w:rsidRPr="00925C18">
        <w:rPr>
          <w:bCs/>
        </w:rPr>
        <w:t xml:space="preserve">If, at the time a new brand of a pharmaceutical item </w:t>
      </w:r>
      <w:r w:rsidR="0097471D">
        <w:rPr>
          <w:bCs/>
        </w:rPr>
        <w:t xml:space="preserve">is </w:t>
      </w:r>
      <w:r>
        <w:rPr>
          <w:bCs/>
        </w:rPr>
        <w:t>list</w:t>
      </w:r>
      <w:r w:rsidR="0097471D">
        <w:rPr>
          <w:bCs/>
        </w:rPr>
        <w:t>ed</w:t>
      </w:r>
      <w:r w:rsidRPr="00925C18">
        <w:rPr>
          <w:bCs/>
        </w:rPr>
        <w:t xml:space="preserve"> on the PBS, its drug and manner of administration are already subject to price disclosure, the new brand joins the current price disclosure cycle or cycles for that drug/manner of administration (regulation</w:t>
      </w:r>
      <w:r w:rsidR="0088504A" w:rsidRPr="00925C18">
        <w:rPr>
          <w:bCs/>
        </w:rPr>
        <w:t> </w:t>
      </w:r>
      <w:r w:rsidRPr="00925C18">
        <w:rPr>
          <w:bCs/>
        </w:rPr>
        <w:t>37F applies to these brands).  There will always be one cycle whose data collection period has not ended.  There may also be a cycle (a prior cycle) for which the data collection period has ended, but the reduction day has not occurred (</w:t>
      </w:r>
      <w:proofErr w:type="spellStart"/>
      <w:r w:rsidRPr="00925C18">
        <w:rPr>
          <w:bCs/>
        </w:rPr>
        <w:t>subregulation</w:t>
      </w:r>
      <w:proofErr w:type="spellEnd"/>
      <w:r w:rsidR="0088504A" w:rsidRPr="00925C18">
        <w:rPr>
          <w:bCs/>
        </w:rPr>
        <w:t> </w:t>
      </w:r>
      <w:r w:rsidRPr="00925C18">
        <w:rPr>
          <w:bCs/>
        </w:rPr>
        <w:t xml:space="preserve">37F(3) applies to brands being placed in a prior cycle).  A new brand joining a prior cycle will not have been listed on the relevant day for that cycle.  A price on that day for some, but not all, of these brands may be calculated under this regulation. </w:t>
      </w:r>
    </w:p>
    <w:p w:rsidR="001B3774" w:rsidRPr="00925C18" w:rsidRDefault="001B3774" w:rsidP="00475910">
      <w:pPr>
        <w:spacing w:before="0" w:after="240"/>
        <w:rPr>
          <w:bCs/>
        </w:rPr>
      </w:pPr>
      <w:proofErr w:type="spellStart"/>
      <w:r w:rsidRPr="00925C18">
        <w:rPr>
          <w:bCs/>
        </w:rPr>
        <w:lastRenderedPageBreak/>
        <w:t>Subregulation</w:t>
      </w:r>
      <w:proofErr w:type="spellEnd"/>
      <w:r w:rsidR="0088504A" w:rsidRPr="00925C18">
        <w:rPr>
          <w:bCs/>
        </w:rPr>
        <w:t> </w:t>
      </w:r>
      <w:r w:rsidRPr="00925C18">
        <w:rPr>
          <w:bCs/>
        </w:rPr>
        <w:t>(1) sets out when the regulation applies.  The regulation applies to a brand of pharmaceutical item (the relevant brand) to which regulation</w:t>
      </w:r>
      <w:r w:rsidR="0088504A" w:rsidRPr="00925C18">
        <w:rPr>
          <w:bCs/>
        </w:rPr>
        <w:t> </w:t>
      </w:r>
      <w:r w:rsidRPr="00925C18">
        <w:rPr>
          <w:bCs/>
        </w:rPr>
        <w:t xml:space="preserve">37F applies, if the circumstances mentioned in </w:t>
      </w:r>
      <w:proofErr w:type="spellStart"/>
      <w:r w:rsidRPr="00925C18">
        <w:rPr>
          <w:bCs/>
        </w:rPr>
        <w:t>subregulation</w:t>
      </w:r>
      <w:proofErr w:type="spellEnd"/>
      <w:r w:rsidR="0088504A" w:rsidRPr="00925C18">
        <w:rPr>
          <w:bCs/>
        </w:rPr>
        <w:t> </w:t>
      </w:r>
      <w:r w:rsidRPr="00925C18">
        <w:rPr>
          <w:bCs/>
        </w:rPr>
        <w:t xml:space="preserve">37F(4) apply to the relevant brand.  The regulation thus applies to a new brand joining a prior disclosure cycle, if there was no other brand of that pharmaceutical item subject to the price disclosure requirements on both the start day for the brand and the day before that day, </w:t>
      </w:r>
      <w:proofErr w:type="spellStart"/>
      <w:r w:rsidRPr="00925C18">
        <w:rPr>
          <w:bCs/>
        </w:rPr>
        <w:t>ie</w:t>
      </w:r>
      <w:proofErr w:type="spellEnd"/>
      <w:r w:rsidRPr="00925C18">
        <w:rPr>
          <w:bCs/>
        </w:rPr>
        <w:t>, it applies to new brands of new pharmaceutical items joining a prior cycle.  The reason why it does not apply to new brands of existing pharmaceutical items joining a prior cycle was explained in the context of substituted regulation</w:t>
      </w:r>
      <w:r w:rsidR="0088504A" w:rsidRPr="00925C18">
        <w:rPr>
          <w:bCs/>
        </w:rPr>
        <w:t> </w:t>
      </w:r>
      <w:r w:rsidRPr="00925C18">
        <w:rPr>
          <w:bCs/>
        </w:rPr>
        <w:t>37F above.</w:t>
      </w:r>
    </w:p>
    <w:p w:rsidR="001B3774" w:rsidRPr="00925C18" w:rsidRDefault="001B3774" w:rsidP="00475910">
      <w:pPr>
        <w:spacing w:before="0" w:after="240"/>
        <w:rPr>
          <w:bCs/>
        </w:rPr>
      </w:pPr>
      <w:proofErr w:type="spellStart"/>
      <w:r w:rsidRPr="00925C18">
        <w:rPr>
          <w:bCs/>
        </w:rPr>
        <w:t>Subregulation</w:t>
      </w:r>
      <w:proofErr w:type="spellEnd"/>
      <w:r w:rsidR="0088504A" w:rsidRPr="00925C18">
        <w:rPr>
          <w:bCs/>
        </w:rPr>
        <w:t> </w:t>
      </w:r>
      <w:r w:rsidRPr="00925C18">
        <w:rPr>
          <w:bCs/>
        </w:rPr>
        <w:t>(2) provides that the regulation does not apply if both the start day for the brand and the relevant day is 1</w:t>
      </w:r>
      <w:r w:rsidR="0088504A" w:rsidRPr="00925C18">
        <w:rPr>
          <w:bCs/>
        </w:rPr>
        <w:t> </w:t>
      </w:r>
      <w:r w:rsidRPr="00925C18">
        <w:rPr>
          <w:bCs/>
        </w:rPr>
        <w:t>October</w:t>
      </w:r>
      <w:r w:rsidR="0088504A" w:rsidRPr="00925C18">
        <w:rPr>
          <w:bCs/>
        </w:rPr>
        <w:t> </w:t>
      </w:r>
      <w:r w:rsidRPr="00925C18">
        <w:rPr>
          <w:bCs/>
        </w:rPr>
        <w:t>2012.  In the usual case the relevant day is the last day of the data collection period, but if that day is 30</w:t>
      </w:r>
      <w:r w:rsidR="0088504A" w:rsidRPr="00925C18">
        <w:rPr>
          <w:bCs/>
        </w:rPr>
        <w:t> </w:t>
      </w:r>
      <w:r w:rsidRPr="00925C18">
        <w:rPr>
          <w:bCs/>
        </w:rPr>
        <w:t>September</w:t>
      </w:r>
      <w:r w:rsidR="0088504A" w:rsidRPr="00925C18">
        <w:rPr>
          <w:bCs/>
        </w:rPr>
        <w:t> </w:t>
      </w:r>
      <w:r w:rsidRPr="00925C18">
        <w:rPr>
          <w:bCs/>
        </w:rPr>
        <w:t>2012, the relevant day is 1</w:t>
      </w:r>
      <w:r w:rsidR="00BE03A0" w:rsidRPr="00925C18">
        <w:rPr>
          <w:bCs/>
        </w:rPr>
        <w:t> </w:t>
      </w:r>
      <w:r w:rsidRPr="00925C18">
        <w:rPr>
          <w:bCs/>
        </w:rPr>
        <w:t>October</w:t>
      </w:r>
      <w:r w:rsidR="00BE03A0" w:rsidRPr="00925C18">
        <w:rPr>
          <w:bCs/>
        </w:rPr>
        <w:t> </w:t>
      </w:r>
      <w:r w:rsidRPr="00925C18">
        <w:rPr>
          <w:bCs/>
        </w:rPr>
        <w:t>2012</w:t>
      </w:r>
      <w:r>
        <w:rPr>
          <w:bCs/>
        </w:rPr>
        <w:t>.</w:t>
      </w:r>
      <w:r w:rsidRPr="00925C18">
        <w:rPr>
          <w:bCs/>
        </w:rPr>
        <w:t xml:space="preserve">  Thus, in the usual case, a new brand </w:t>
      </w:r>
      <w:r w:rsidR="0090006D">
        <w:rPr>
          <w:bCs/>
        </w:rPr>
        <w:t>which is listed</w:t>
      </w:r>
      <w:r w:rsidRPr="00925C18">
        <w:rPr>
          <w:bCs/>
        </w:rPr>
        <w:t xml:space="preserve"> on the PBS after the end of a data collection period will not have a PBS price on the relevant day and needs to have one calculated for it under regulation</w:t>
      </w:r>
      <w:r w:rsidR="00BE03A0" w:rsidRPr="00925C18">
        <w:rPr>
          <w:bCs/>
        </w:rPr>
        <w:t> </w:t>
      </w:r>
      <w:r w:rsidRPr="00925C18">
        <w:rPr>
          <w:bCs/>
        </w:rPr>
        <w:t>37FA.  However, a new brand listing on 1</w:t>
      </w:r>
      <w:r w:rsidR="00BE03A0" w:rsidRPr="00925C18">
        <w:rPr>
          <w:bCs/>
        </w:rPr>
        <w:t> </w:t>
      </w:r>
      <w:r w:rsidRPr="00925C18">
        <w:rPr>
          <w:bCs/>
        </w:rPr>
        <w:t>October</w:t>
      </w:r>
      <w:r w:rsidR="00BE03A0" w:rsidRPr="00925C18">
        <w:rPr>
          <w:bCs/>
        </w:rPr>
        <w:t> </w:t>
      </w:r>
      <w:r w:rsidRPr="00925C18">
        <w:rPr>
          <w:bCs/>
        </w:rPr>
        <w:t>2012 and going into a prior disclosure cycle whose data collection period ended on 30</w:t>
      </w:r>
      <w:r w:rsidR="00BE03A0" w:rsidRPr="00925C18">
        <w:rPr>
          <w:bCs/>
        </w:rPr>
        <w:t> </w:t>
      </w:r>
      <w:r w:rsidRPr="00925C18">
        <w:rPr>
          <w:bCs/>
        </w:rPr>
        <w:t>September</w:t>
      </w:r>
      <w:r w:rsidR="00BE03A0" w:rsidRPr="00925C18">
        <w:rPr>
          <w:bCs/>
        </w:rPr>
        <w:t> </w:t>
      </w:r>
      <w:r w:rsidRPr="00925C18">
        <w:rPr>
          <w:bCs/>
        </w:rPr>
        <w:t>2012 is the exception; its start day is 1</w:t>
      </w:r>
      <w:r w:rsidR="00BE03A0" w:rsidRPr="00925C18">
        <w:rPr>
          <w:bCs/>
        </w:rPr>
        <w:t> </w:t>
      </w:r>
      <w:r w:rsidRPr="00925C18">
        <w:rPr>
          <w:bCs/>
        </w:rPr>
        <w:t>October</w:t>
      </w:r>
      <w:r w:rsidR="00BE03A0" w:rsidRPr="00925C18">
        <w:rPr>
          <w:bCs/>
        </w:rPr>
        <w:t> </w:t>
      </w:r>
      <w:r w:rsidRPr="00925C18">
        <w:rPr>
          <w:bCs/>
        </w:rPr>
        <w:t>2012 and it will have a price on the relevant day (1</w:t>
      </w:r>
      <w:r w:rsidR="00BE03A0" w:rsidRPr="00925C18">
        <w:rPr>
          <w:bCs/>
        </w:rPr>
        <w:t> </w:t>
      </w:r>
      <w:r w:rsidRPr="00925C18">
        <w:rPr>
          <w:bCs/>
        </w:rPr>
        <w:t>October</w:t>
      </w:r>
      <w:r w:rsidR="00BE03A0" w:rsidRPr="00925C18">
        <w:t> </w:t>
      </w:r>
      <w:r w:rsidRPr="00925C18">
        <w:rPr>
          <w:bCs/>
        </w:rPr>
        <w:t>2012) and thus does not need to have one calculated for it under regulation</w:t>
      </w:r>
      <w:r w:rsidR="00BE03A0" w:rsidRPr="00925C18">
        <w:rPr>
          <w:bCs/>
        </w:rPr>
        <w:t> </w:t>
      </w:r>
      <w:r w:rsidRPr="00925C18">
        <w:rPr>
          <w:bCs/>
        </w:rPr>
        <w:t>37FA.</w:t>
      </w:r>
    </w:p>
    <w:p w:rsidR="001B3774" w:rsidRPr="00925C18" w:rsidRDefault="001B3774" w:rsidP="00475910">
      <w:pPr>
        <w:spacing w:before="0" w:after="240"/>
      </w:pPr>
      <w:proofErr w:type="spellStart"/>
      <w:r w:rsidRPr="00925C18">
        <w:t>Subregulation</w:t>
      </w:r>
      <w:proofErr w:type="spellEnd"/>
      <w:r w:rsidR="00BE03A0" w:rsidRPr="00925C18">
        <w:t> </w:t>
      </w:r>
      <w:r w:rsidRPr="00925C18">
        <w:t>(3) sets out the method for working out the approved ex-manufacturer price of the relevant brand on the relevant day for the prior disclosure cycle</w:t>
      </w:r>
      <w:r w:rsidR="001712F0">
        <w:t xml:space="preserve"> where the </w:t>
      </w:r>
      <w:r w:rsidR="00E72B79">
        <w:t xml:space="preserve">start day for the </w:t>
      </w:r>
      <w:r w:rsidR="001712F0">
        <w:t xml:space="preserve">brand </w:t>
      </w:r>
      <w:r w:rsidR="00E72B79">
        <w:t>i</w:t>
      </w:r>
      <w:r w:rsidR="00B06AAC">
        <w:t xml:space="preserve">s </w:t>
      </w:r>
      <w:r w:rsidR="00E72B79">
        <w:t xml:space="preserve">after the relevant </w:t>
      </w:r>
      <w:r w:rsidR="00B06AAC">
        <w:t>day</w:t>
      </w:r>
      <w:r>
        <w:t>.</w:t>
      </w:r>
      <w:r w:rsidRPr="00925C18">
        <w:t xml:space="preserve">  The price is the </w:t>
      </w:r>
      <w:proofErr w:type="spellStart"/>
      <w:r w:rsidRPr="00925C18">
        <w:t>ex</w:t>
      </w:r>
      <w:r w:rsidR="00005D75">
        <w:noBreakHyphen/>
      </w:r>
      <w:r w:rsidRPr="00925C18">
        <w:t>manufacturer</w:t>
      </w:r>
      <w:proofErr w:type="spellEnd"/>
      <w:r w:rsidRPr="00925C18">
        <w:t xml:space="preserve"> price of the brand on the start day for the brand, plus any amounts that would have been deducted from the </w:t>
      </w:r>
      <w:proofErr w:type="spellStart"/>
      <w:r w:rsidRPr="00925C18">
        <w:t>ex</w:t>
      </w:r>
      <w:r w:rsidR="00005D75">
        <w:noBreakHyphen/>
        <w:t>m</w:t>
      </w:r>
      <w:r w:rsidRPr="00925C18">
        <w:t>anufacturer</w:t>
      </w:r>
      <w:proofErr w:type="spellEnd"/>
      <w:r w:rsidRPr="00925C18">
        <w:t xml:space="preserve"> price of the brand </w:t>
      </w:r>
      <w:r w:rsidR="0097471D">
        <w:t xml:space="preserve">as price reductions </w:t>
      </w:r>
      <w:r w:rsidRPr="00925C18">
        <w:t>under Division</w:t>
      </w:r>
      <w:r w:rsidR="00BE03A0" w:rsidRPr="00925C18">
        <w:t> </w:t>
      </w:r>
      <w:r w:rsidRPr="00925C18">
        <w:t>3A of Part</w:t>
      </w:r>
      <w:r w:rsidR="00BE03A0" w:rsidRPr="00925C18">
        <w:t> </w:t>
      </w:r>
      <w:r w:rsidRPr="00925C18">
        <w:t xml:space="preserve">VII of the Act had the brand been a listed brand in the period </w:t>
      </w:r>
      <w:r w:rsidR="00FF4924">
        <w:t>between</w:t>
      </w:r>
      <w:r w:rsidRPr="00925C18">
        <w:t xml:space="preserve"> the relevant day </w:t>
      </w:r>
      <w:r w:rsidR="00FF4924">
        <w:t>and</w:t>
      </w:r>
      <w:r>
        <w:t xml:space="preserve"> the start day for the brand.</w:t>
      </w:r>
      <w:r w:rsidR="0097471D">
        <w:t xml:space="preserve">  The effect is to ensure the </w:t>
      </w:r>
      <w:proofErr w:type="spellStart"/>
      <w:r w:rsidR="0097471D">
        <w:t>ex</w:t>
      </w:r>
      <w:r w:rsidR="00435A64">
        <w:noBreakHyphen/>
      </w:r>
      <w:r w:rsidR="0097471D">
        <w:t>manufacturer</w:t>
      </w:r>
      <w:proofErr w:type="spellEnd"/>
      <w:r w:rsidR="0097471D">
        <w:t xml:space="preserve"> price </w:t>
      </w:r>
      <w:r w:rsidR="00435A64">
        <w:t xml:space="preserve">used as the comparison price </w:t>
      </w:r>
      <w:r w:rsidR="00E72B79">
        <w:t xml:space="preserve">of the brand </w:t>
      </w:r>
      <w:r w:rsidRPr="00925C18">
        <w:t xml:space="preserve">for the prior </w:t>
      </w:r>
      <w:r w:rsidR="001712F0">
        <w:t xml:space="preserve">price </w:t>
      </w:r>
      <w:r w:rsidRPr="00925C18">
        <w:t xml:space="preserve">disclosure cycle </w:t>
      </w:r>
      <w:r w:rsidR="00E72B79">
        <w:t>is</w:t>
      </w:r>
      <w:r w:rsidRPr="00925C18">
        <w:t xml:space="preserve"> the </w:t>
      </w:r>
      <w:r w:rsidR="00E72B79">
        <w:t xml:space="preserve">price that </w:t>
      </w:r>
      <w:r w:rsidR="001712F0">
        <w:t xml:space="preserve">would </w:t>
      </w:r>
      <w:r w:rsidR="00E72B79">
        <w:t xml:space="preserve">have been in place </w:t>
      </w:r>
      <w:r w:rsidR="00FF4924">
        <w:t>on the relevant</w:t>
      </w:r>
      <w:r w:rsidRPr="00925C18">
        <w:t xml:space="preserve"> day </w:t>
      </w:r>
      <w:r w:rsidR="00E72B79">
        <w:t>had</w:t>
      </w:r>
      <w:r w:rsidRPr="00925C18">
        <w:t xml:space="preserve"> the brand</w:t>
      </w:r>
      <w:r w:rsidR="00E72B79">
        <w:t xml:space="preserve"> been listed</w:t>
      </w:r>
      <w:r w:rsidR="00E72B79" w:rsidRPr="00E72B79">
        <w:t xml:space="preserve"> </w:t>
      </w:r>
      <w:r w:rsidR="00E72B79">
        <w:t>at the time.</w:t>
      </w:r>
    </w:p>
    <w:p w:rsidR="00C87D1D" w:rsidRPr="00925C18" w:rsidRDefault="001B3774" w:rsidP="00C87D1D">
      <w:pPr>
        <w:pStyle w:val="Headingbold0"/>
        <w:spacing w:before="0"/>
      </w:pPr>
      <w:r w:rsidRPr="00925C18">
        <w:t>Item [21] – Paragraphs 37G(3)(a) and (6)(a)</w:t>
      </w:r>
    </w:p>
    <w:p w:rsidR="001B3774" w:rsidRPr="00925C18" w:rsidRDefault="001B3774" w:rsidP="00C87D1D">
      <w:pPr>
        <w:spacing w:before="0" w:after="240"/>
        <w:ind w:right="45"/>
        <w:rPr>
          <w:bCs/>
        </w:rPr>
      </w:pPr>
      <w:r w:rsidRPr="00925C18">
        <w:rPr>
          <w:bCs/>
        </w:rPr>
        <w:t xml:space="preserve">This item changes the current reference to </w:t>
      </w:r>
      <w:r w:rsidRPr="00925C18">
        <w:rPr>
          <w:bCs/>
          <w:i/>
        </w:rPr>
        <w:t>relevant day</w:t>
      </w:r>
      <w:r w:rsidRPr="00925C18">
        <w:rPr>
          <w:bCs/>
        </w:rPr>
        <w:t xml:space="preserve"> to a reference to </w:t>
      </w:r>
      <w:r w:rsidRPr="00925C18">
        <w:rPr>
          <w:bCs/>
          <w:i/>
        </w:rPr>
        <w:t>start day</w:t>
      </w:r>
      <w:r w:rsidRPr="00925C18">
        <w:rPr>
          <w:bCs/>
        </w:rPr>
        <w:t xml:space="preserve">.  There </w:t>
      </w:r>
      <w:r w:rsidR="00126DDA">
        <w:rPr>
          <w:bCs/>
        </w:rPr>
        <w:t>is</w:t>
      </w:r>
      <w:r w:rsidRPr="00925C18">
        <w:rPr>
          <w:bCs/>
        </w:rPr>
        <w:t xml:space="preserve"> no substantive change in the meaning of the paragraphs or the regulation.</w:t>
      </w:r>
    </w:p>
    <w:p w:rsidR="00C87D1D" w:rsidRPr="00925C18" w:rsidRDefault="001B3774" w:rsidP="00C87D1D">
      <w:pPr>
        <w:pStyle w:val="Headingbold0"/>
        <w:spacing w:before="0"/>
      </w:pPr>
      <w:r w:rsidRPr="00925C18">
        <w:t xml:space="preserve">Item [22] – </w:t>
      </w:r>
      <w:proofErr w:type="spellStart"/>
      <w:r w:rsidRPr="00925C18">
        <w:t>Subregulation</w:t>
      </w:r>
      <w:proofErr w:type="spellEnd"/>
      <w:r w:rsidRPr="00925C18">
        <w:t xml:space="preserve"> 37G(14)</w:t>
      </w:r>
    </w:p>
    <w:p w:rsidR="001B3774" w:rsidRPr="00925C18" w:rsidRDefault="001B3774" w:rsidP="00C87D1D">
      <w:pPr>
        <w:spacing w:before="0" w:after="240"/>
        <w:ind w:right="45"/>
        <w:rPr>
          <w:bCs/>
        </w:rPr>
      </w:pPr>
      <w:r w:rsidRPr="00925C18">
        <w:rPr>
          <w:bCs/>
        </w:rPr>
        <w:t>This item changes the current expression ‘every brand of every pharmaceutical item’ to ‘each brand of each pharmaceutical item’.  This amendment, together with the amendment in item</w:t>
      </w:r>
      <w:r w:rsidR="00C87D1D" w:rsidRPr="00925C18">
        <w:rPr>
          <w:bCs/>
        </w:rPr>
        <w:t> </w:t>
      </w:r>
      <w:r w:rsidRPr="00925C18">
        <w:rPr>
          <w:bCs/>
        </w:rPr>
        <w:t xml:space="preserve">23, is being made for the purpose of clarifying the meaning of the </w:t>
      </w:r>
      <w:proofErr w:type="spellStart"/>
      <w:r w:rsidRPr="00925C18">
        <w:rPr>
          <w:bCs/>
        </w:rPr>
        <w:t>subregulation</w:t>
      </w:r>
      <w:proofErr w:type="spellEnd"/>
      <w:r w:rsidRPr="00925C18">
        <w:rPr>
          <w:bCs/>
        </w:rPr>
        <w:t>.  There is a separate weighted average disclosed price calculated for each brand of each pharmaceutical item, and each brand has an applicable approved ex-manufacturer price.</w:t>
      </w:r>
    </w:p>
    <w:p w:rsidR="00C87D1D" w:rsidRPr="00925C18" w:rsidRDefault="001B3774" w:rsidP="00C87D1D">
      <w:pPr>
        <w:pStyle w:val="Headingbold0"/>
        <w:spacing w:before="0"/>
      </w:pPr>
      <w:r w:rsidRPr="00925C18">
        <w:t xml:space="preserve">Item [23] – </w:t>
      </w:r>
      <w:proofErr w:type="spellStart"/>
      <w:r w:rsidRPr="00925C18">
        <w:t>Subregulation</w:t>
      </w:r>
      <w:proofErr w:type="spellEnd"/>
      <w:r w:rsidRPr="00925C18">
        <w:t xml:space="preserve"> 37G(14)</w:t>
      </w:r>
    </w:p>
    <w:p w:rsidR="001B3774" w:rsidRPr="00925C18" w:rsidRDefault="001B3774" w:rsidP="00C87D1D">
      <w:pPr>
        <w:spacing w:before="0" w:after="240"/>
        <w:ind w:right="45"/>
        <w:rPr>
          <w:bCs/>
        </w:rPr>
      </w:pPr>
      <w:r w:rsidRPr="00925C18">
        <w:rPr>
          <w:bCs/>
        </w:rPr>
        <w:t xml:space="preserve">This item changes the expression ‘brands’ to ‘brand’ for the purpose of clarifying the meaning of the </w:t>
      </w:r>
      <w:proofErr w:type="spellStart"/>
      <w:r w:rsidRPr="00925C18">
        <w:rPr>
          <w:bCs/>
        </w:rPr>
        <w:t>subregulation</w:t>
      </w:r>
      <w:proofErr w:type="spellEnd"/>
      <w:r w:rsidRPr="00925C18">
        <w:rPr>
          <w:bCs/>
        </w:rPr>
        <w:t>.  See item</w:t>
      </w:r>
      <w:r w:rsidR="00C87D1D" w:rsidRPr="00925C18">
        <w:rPr>
          <w:bCs/>
        </w:rPr>
        <w:t> </w:t>
      </w:r>
      <w:r w:rsidRPr="00925C18">
        <w:rPr>
          <w:bCs/>
        </w:rPr>
        <w:t>22 for a further explanation of this amendment and the related amendment in that item.</w:t>
      </w:r>
    </w:p>
    <w:p w:rsidR="00C87D1D" w:rsidRPr="00925C18" w:rsidRDefault="001B3774" w:rsidP="00C87D1D">
      <w:pPr>
        <w:pStyle w:val="Headingbold0"/>
        <w:spacing w:before="0"/>
      </w:pPr>
      <w:r w:rsidRPr="00925C18">
        <w:lastRenderedPageBreak/>
        <w:t xml:space="preserve">Item [24] – </w:t>
      </w:r>
      <w:proofErr w:type="spellStart"/>
      <w:r w:rsidRPr="00925C18">
        <w:t>Subregulation</w:t>
      </w:r>
      <w:proofErr w:type="spellEnd"/>
      <w:r w:rsidRPr="00925C18">
        <w:t xml:space="preserve"> 37G(15)</w:t>
      </w:r>
    </w:p>
    <w:p w:rsidR="001B3774" w:rsidRPr="00925C18" w:rsidRDefault="001B3774" w:rsidP="00C87D1D">
      <w:pPr>
        <w:spacing w:before="0" w:after="240"/>
        <w:ind w:right="45"/>
        <w:rPr>
          <w:bCs/>
        </w:rPr>
      </w:pPr>
      <w:r w:rsidRPr="00925C18">
        <w:rPr>
          <w:bCs/>
        </w:rPr>
        <w:t xml:space="preserve">This item substitutes a new </w:t>
      </w:r>
      <w:proofErr w:type="spellStart"/>
      <w:r w:rsidRPr="0034348C">
        <w:rPr>
          <w:bCs/>
        </w:rPr>
        <w:t>subregulation</w:t>
      </w:r>
      <w:proofErr w:type="spellEnd"/>
      <w:r w:rsidR="00BE5AAD">
        <w:rPr>
          <w:bCs/>
        </w:rPr>
        <w:t> </w:t>
      </w:r>
      <w:r w:rsidRPr="00925C18">
        <w:rPr>
          <w:bCs/>
        </w:rPr>
        <w:t xml:space="preserve">(15) setting out a new definition of the term </w:t>
      </w:r>
      <w:r w:rsidRPr="00925C18">
        <w:rPr>
          <w:b/>
          <w:bCs/>
          <w:i/>
        </w:rPr>
        <w:t>adjusted volume</w:t>
      </w:r>
      <w:r w:rsidRPr="00925C18">
        <w:rPr>
          <w:bCs/>
        </w:rPr>
        <w:t xml:space="preserve">.  The volume of the brand sold, based on the number of packs of each size, is disclosed under the price disclosure requirements.  The adjusted volume is the volume worked out as if the pack sizes were all equivalent to the pricing quantity of the brand.  The pricing quantity is the quantity by reference to which the approved ex-manufacturer price of a brand must be agreed or determined under the Act, as amended by the amending Act.  </w:t>
      </w:r>
      <w:r w:rsidRPr="00925C18">
        <w:rPr>
          <w:b/>
          <w:bCs/>
          <w:i/>
        </w:rPr>
        <w:t>Pricing quantity</w:t>
      </w:r>
      <w:r w:rsidRPr="00925C18">
        <w:rPr>
          <w:bCs/>
        </w:rPr>
        <w:t xml:space="preserve"> is defined in </w:t>
      </w:r>
      <w:r>
        <w:rPr>
          <w:bCs/>
        </w:rPr>
        <w:t>subsection</w:t>
      </w:r>
      <w:r w:rsidR="00BE5AAD">
        <w:rPr>
          <w:bCs/>
        </w:rPr>
        <w:t> </w:t>
      </w:r>
      <w:r w:rsidRPr="00925C18">
        <w:rPr>
          <w:bCs/>
        </w:rPr>
        <w:t>84AK(1) of the amended Act.</w:t>
      </w:r>
    </w:p>
    <w:p w:rsidR="00C87D1D" w:rsidRPr="00925C18" w:rsidRDefault="001B3774" w:rsidP="00C87D1D">
      <w:pPr>
        <w:pStyle w:val="Headingbold0"/>
        <w:spacing w:before="0"/>
      </w:pPr>
      <w:r w:rsidRPr="00925C18">
        <w:t>Item [25] – Paragraph 37H(1)(</w:t>
      </w:r>
      <w:proofErr w:type="spellStart"/>
      <w:r w:rsidRPr="00925C18">
        <w:t>i</w:t>
      </w:r>
      <w:proofErr w:type="spellEnd"/>
      <w:r w:rsidRPr="00925C18">
        <w:t>) and (j)</w:t>
      </w:r>
    </w:p>
    <w:p w:rsidR="001B3774" w:rsidRPr="00925C18" w:rsidRDefault="001B3774" w:rsidP="00C87D1D">
      <w:pPr>
        <w:spacing w:before="0" w:after="240"/>
        <w:ind w:right="45"/>
        <w:rPr>
          <w:bCs/>
        </w:rPr>
      </w:pPr>
      <w:r w:rsidRPr="00925C18">
        <w:rPr>
          <w:bCs/>
        </w:rPr>
        <w:t>This item changes a reference to ‘given for’ to a reference to ‘given in relation to’.  The new wording reflects the wording in section</w:t>
      </w:r>
      <w:r w:rsidR="00C87D1D" w:rsidRPr="00925C18">
        <w:rPr>
          <w:bCs/>
        </w:rPr>
        <w:t> </w:t>
      </w:r>
      <w:r w:rsidRPr="00925C18">
        <w:rPr>
          <w:bCs/>
        </w:rPr>
        <w:t>99ADC of the Act, for the purposes of which the regulation has been made.  The change has been made to avoid any uncertainty about the meaning of the subparagraphs.</w:t>
      </w:r>
    </w:p>
    <w:p w:rsidR="00C87D1D" w:rsidRPr="00925C18" w:rsidRDefault="001B3774" w:rsidP="00C87D1D">
      <w:pPr>
        <w:pStyle w:val="Headingbold0"/>
        <w:spacing w:before="0"/>
      </w:pPr>
      <w:r w:rsidRPr="00925C18">
        <w:t>Item [26] – Paragraph 37J(3)(a)</w:t>
      </w:r>
    </w:p>
    <w:p w:rsidR="001B3774" w:rsidRPr="00925C18" w:rsidRDefault="001B3774" w:rsidP="00C87D1D">
      <w:pPr>
        <w:spacing w:before="0" w:after="240"/>
        <w:ind w:right="45"/>
        <w:rPr>
          <w:bCs/>
        </w:rPr>
      </w:pPr>
      <w:r w:rsidRPr="00925C18">
        <w:rPr>
          <w:bCs/>
        </w:rPr>
        <w:t xml:space="preserve">This item changes the current reference to </w:t>
      </w:r>
      <w:r w:rsidRPr="00925C18">
        <w:rPr>
          <w:bCs/>
          <w:i/>
        </w:rPr>
        <w:t>relevant day</w:t>
      </w:r>
      <w:r w:rsidRPr="00925C18">
        <w:rPr>
          <w:b/>
          <w:bCs/>
        </w:rPr>
        <w:t xml:space="preserve"> </w:t>
      </w:r>
      <w:r w:rsidRPr="00925C18">
        <w:rPr>
          <w:bCs/>
        </w:rPr>
        <w:t xml:space="preserve">to a reference to </w:t>
      </w:r>
      <w:r w:rsidRPr="00925C18">
        <w:rPr>
          <w:bCs/>
          <w:i/>
        </w:rPr>
        <w:t>start day</w:t>
      </w:r>
      <w:r w:rsidRPr="00925C18">
        <w:rPr>
          <w:bCs/>
        </w:rPr>
        <w:t xml:space="preserve">.  There </w:t>
      </w:r>
      <w:r w:rsidR="00126DDA">
        <w:rPr>
          <w:bCs/>
        </w:rPr>
        <w:t xml:space="preserve">is </w:t>
      </w:r>
      <w:r w:rsidRPr="00925C18">
        <w:rPr>
          <w:bCs/>
        </w:rPr>
        <w:t>no substantive change in the meaning of the paragraph or the regulation.</w:t>
      </w:r>
    </w:p>
    <w:p w:rsidR="00B90648" w:rsidRPr="00925C18" w:rsidRDefault="001B3774" w:rsidP="00B90648">
      <w:pPr>
        <w:pStyle w:val="Headingbold0"/>
        <w:spacing w:before="0"/>
      </w:pPr>
      <w:r w:rsidRPr="00925C18">
        <w:t>Item [27] – Paragraph 37J(3)(b)</w:t>
      </w:r>
    </w:p>
    <w:p w:rsidR="001B3774" w:rsidRPr="00925C18" w:rsidRDefault="001B3774" w:rsidP="00CB2318">
      <w:pPr>
        <w:spacing w:before="0" w:after="240"/>
        <w:ind w:right="45"/>
      </w:pPr>
      <w:r w:rsidRPr="00925C18">
        <w:rPr>
          <w:bCs/>
        </w:rPr>
        <w:t xml:space="preserve">This item changes the current reference to </w:t>
      </w:r>
      <w:r w:rsidRPr="00925C18">
        <w:rPr>
          <w:bCs/>
          <w:i/>
        </w:rPr>
        <w:t>relevant day</w:t>
      </w:r>
      <w:r w:rsidRPr="004840A4">
        <w:t xml:space="preserve"> </w:t>
      </w:r>
      <w:r w:rsidRPr="00925C18">
        <w:rPr>
          <w:bCs/>
        </w:rPr>
        <w:t xml:space="preserve">to a reference to </w:t>
      </w:r>
      <w:r w:rsidRPr="00925C18">
        <w:rPr>
          <w:bCs/>
          <w:i/>
        </w:rPr>
        <w:t>start day</w:t>
      </w:r>
      <w:r w:rsidRPr="00925C18">
        <w:rPr>
          <w:bCs/>
        </w:rPr>
        <w:t xml:space="preserve">.  There </w:t>
      </w:r>
      <w:r w:rsidR="00126DDA">
        <w:rPr>
          <w:bCs/>
        </w:rPr>
        <w:t>is</w:t>
      </w:r>
      <w:r w:rsidRPr="00925C18">
        <w:rPr>
          <w:bCs/>
        </w:rPr>
        <w:t xml:space="preserve"> no substantive change in the meaning of the paragraph or the regulation.</w:t>
      </w:r>
    </w:p>
    <w:p w:rsidR="00CB2318" w:rsidRPr="00925C18" w:rsidRDefault="001B3774" w:rsidP="00CB2318">
      <w:pPr>
        <w:pStyle w:val="Headingbold0"/>
        <w:spacing w:before="0"/>
      </w:pPr>
      <w:r w:rsidRPr="00925C18">
        <w:t>Item [28] – Paragraph 37J(4)(a)</w:t>
      </w:r>
    </w:p>
    <w:p w:rsidR="001B3774" w:rsidRPr="00925C18" w:rsidRDefault="001B3774" w:rsidP="00CB2318">
      <w:pPr>
        <w:spacing w:before="0" w:after="240"/>
        <w:ind w:right="45"/>
      </w:pPr>
      <w:r w:rsidRPr="00925C18">
        <w:rPr>
          <w:bCs/>
        </w:rPr>
        <w:t xml:space="preserve">This item changes the current reference to </w:t>
      </w:r>
      <w:r w:rsidRPr="00925C18">
        <w:rPr>
          <w:bCs/>
          <w:i/>
        </w:rPr>
        <w:t>relevant day</w:t>
      </w:r>
      <w:r w:rsidRPr="004840A4">
        <w:t xml:space="preserve"> </w:t>
      </w:r>
      <w:r w:rsidRPr="00925C18">
        <w:rPr>
          <w:bCs/>
        </w:rPr>
        <w:t xml:space="preserve">to a reference to </w:t>
      </w:r>
      <w:r w:rsidRPr="00925C18">
        <w:rPr>
          <w:bCs/>
          <w:i/>
        </w:rPr>
        <w:t>start day</w:t>
      </w:r>
      <w:r w:rsidRPr="00925C18">
        <w:rPr>
          <w:bCs/>
        </w:rPr>
        <w:t xml:space="preserve">.  There </w:t>
      </w:r>
      <w:r w:rsidR="00126DDA">
        <w:rPr>
          <w:bCs/>
        </w:rPr>
        <w:t>is</w:t>
      </w:r>
      <w:r w:rsidRPr="00925C18">
        <w:rPr>
          <w:bCs/>
        </w:rPr>
        <w:t xml:space="preserve"> no substantive change in the meaning of the paragraph or the regulation.</w:t>
      </w:r>
    </w:p>
    <w:p w:rsidR="00CB2318" w:rsidRPr="00925C18" w:rsidRDefault="001B3774" w:rsidP="00CB2318">
      <w:pPr>
        <w:pStyle w:val="Headingbold0"/>
        <w:spacing w:before="0"/>
      </w:pPr>
      <w:r w:rsidRPr="00925C18">
        <w:t>Item [29] – Subparagraph 37J(4)(b)(ii)</w:t>
      </w:r>
    </w:p>
    <w:p w:rsidR="001B3774" w:rsidRPr="00925C18" w:rsidRDefault="001B3774" w:rsidP="00CB2318">
      <w:pPr>
        <w:spacing w:before="0" w:after="240"/>
        <w:ind w:right="45"/>
      </w:pPr>
      <w:r w:rsidRPr="00925C18">
        <w:rPr>
          <w:bCs/>
        </w:rPr>
        <w:t xml:space="preserve">This item changes the current reference to </w:t>
      </w:r>
      <w:r w:rsidRPr="00925C18">
        <w:rPr>
          <w:bCs/>
          <w:i/>
        </w:rPr>
        <w:t>relevant day</w:t>
      </w:r>
      <w:r w:rsidRPr="004840A4">
        <w:t xml:space="preserve"> </w:t>
      </w:r>
      <w:r w:rsidRPr="00925C18">
        <w:rPr>
          <w:bCs/>
        </w:rPr>
        <w:t xml:space="preserve">to a reference to </w:t>
      </w:r>
      <w:r w:rsidRPr="00925C18">
        <w:rPr>
          <w:bCs/>
          <w:i/>
        </w:rPr>
        <w:t>start day</w:t>
      </w:r>
      <w:r w:rsidRPr="00925C18">
        <w:rPr>
          <w:bCs/>
        </w:rPr>
        <w:t xml:space="preserve">.  There </w:t>
      </w:r>
      <w:r w:rsidR="00126DDA">
        <w:rPr>
          <w:bCs/>
        </w:rPr>
        <w:t>is</w:t>
      </w:r>
      <w:r w:rsidRPr="00925C18">
        <w:rPr>
          <w:bCs/>
        </w:rPr>
        <w:t xml:space="preserve"> no substantive change in the meaning of the subparagraph or the regulation.</w:t>
      </w:r>
    </w:p>
    <w:p w:rsidR="00F156F5" w:rsidRPr="00925C18" w:rsidRDefault="001B3774" w:rsidP="00F156F5">
      <w:pPr>
        <w:pStyle w:val="Headingbold0"/>
        <w:spacing w:before="0"/>
      </w:pPr>
      <w:r w:rsidRPr="00925C18">
        <w:t>Item [30] – After Part 7</w:t>
      </w:r>
    </w:p>
    <w:p w:rsidR="001B3774" w:rsidRPr="00475910" w:rsidRDefault="001B3774" w:rsidP="00F156F5">
      <w:pPr>
        <w:spacing w:before="0" w:after="240"/>
        <w:ind w:right="45"/>
      </w:pPr>
      <w:r w:rsidRPr="00925C18">
        <w:rPr>
          <w:bCs/>
        </w:rPr>
        <w:t>This item inserts a new Part</w:t>
      </w:r>
      <w:r w:rsidR="00F156F5" w:rsidRPr="00925C18">
        <w:rPr>
          <w:bCs/>
        </w:rPr>
        <w:t> </w:t>
      </w:r>
      <w:r w:rsidRPr="00925C18">
        <w:rPr>
          <w:bCs/>
        </w:rPr>
        <w:t>8 into the Principal Regulations.  It also inserts two new regulations (regulations</w:t>
      </w:r>
      <w:r w:rsidR="00F156F5" w:rsidRPr="00925C18">
        <w:rPr>
          <w:bCs/>
        </w:rPr>
        <w:t> </w:t>
      </w:r>
      <w:r w:rsidRPr="00925C18">
        <w:rPr>
          <w:bCs/>
        </w:rPr>
        <w:t>49 and</w:t>
      </w:r>
      <w:r w:rsidR="00F156F5" w:rsidRPr="00925C18">
        <w:rPr>
          <w:bCs/>
        </w:rPr>
        <w:t> </w:t>
      </w:r>
      <w:r w:rsidRPr="00925C18">
        <w:rPr>
          <w:bCs/>
        </w:rPr>
        <w:t>50) into new Division</w:t>
      </w:r>
      <w:r w:rsidR="00F156F5" w:rsidRPr="00925C18">
        <w:rPr>
          <w:bCs/>
        </w:rPr>
        <w:t> </w:t>
      </w:r>
      <w:r w:rsidRPr="00925C18">
        <w:rPr>
          <w:bCs/>
        </w:rPr>
        <w:t>1 of Part</w:t>
      </w:r>
      <w:r w:rsidR="00F156F5" w:rsidRPr="00925C18">
        <w:rPr>
          <w:bCs/>
        </w:rPr>
        <w:t> </w:t>
      </w:r>
      <w:r w:rsidRPr="00925C18">
        <w:rPr>
          <w:bCs/>
        </w:rPr>
        <w:t>8.</w:t>
      </w:r>
    </w:p>
    <w:p w:rsidR="001B3774" w:rsidRPr="00925C18" w:rsidRDefault="001B3774" w:rsidP="00475910">
      <w:pPr>
        <w:spacing w:before="0" w:after="240"/>
        <w:ind w:right="45"/>
        <w:rPr>
          <w:bCs/>
        </w:rPr>
      </w:pPr>
      <w:r w:rsidRPr="00925C18">
        <w:rPr>
          <w:bCs/>
        </w:rPr>
        <w:t xml:space="preserve">New </w:t>
      </w:r>
      <w:r w:rsidRPr="00C13A23">
        <w:rPr>
          <w:bCs/>
        </w:rPr>
        <w:t>Part</w:t>
      </w:r>
      <w:r w:rsidR="00BE5AAD">
        <w:rPr>
          <w:bCs/>
        </w:rPr>
        <w:t> </w:t>
      </w:r>
      <w:r w:rsidRPr="00925C18">
        <w:rPr>
          <w:bCs/>
        </w:rPr>
        <w:t>8 of the Principal Regulations provides for transitional provisions.  Division</w:t>
      </w:r>
      <w:r w:rsidR="00685933" w:rsidRPr="00925C18">
        <w:rPr>
          <w:bCs/>
        </w:rPr>
        <w:t> </w:t>
      </w:r>
      <w:r w:rsidRPr="00925C18">
        <w:rPr>
          <w:bCs/>
        </w:rPr>
        <w:t>1 contains transitional provisions relating to the amending Act.  Item</w:t>
      </w:r>
      <w:r w:rsidR="00685933" w:rsidRPr="00925C18">
        <w:rPr>
          <w:bCs/>
        </w:rPr>
        <w:t> </w:t>
      </w:r>
      <w:r w:rsidRPr="00925C18">
        <w:rPr>
          <w:bCs/>
        </w:rPr>
        <w:t>81 of Schedule</w:t>
      </w:r>
      <w:r w:rsidR="00685933" w:rsidRPr="00925C18">
        <w:rPr>
          <w:bCs/>
        </w:rPr>
        <w:t> </w:t>
      </w:r>
      <w:r w:rsidRPr="00925C18">
        <w:rPr>
          <w:bCs/>
        </w:rPr>
        <w:t>1 to the amending Act contains a regulation-making power under which the regulations in this Division are made.</w:t>
      </w:r>
    </w:p>
    <w:p w:rsidR="001B3774" w:rsidRPr="00925C18" w:rsidRDefault="00427A7C" w:rsidP="00475910">
      <w:pPr>
        <w:spacing w:before="0" w:after="240"/>
        <w:ind w:right="45"/>
        <w:rPr>
          <w:bCs/>
        </w:rPr>
      </w:pPr>
      <w:r>
        <w:rPr>
          <w:bCs/>
        </w:rPr>
        <w:t xml:space="preserve">New regulation 49 provides for </w:t>
      </w:r>
      <w:r w:rsidRPr="00427A7C">
        <w:rPr>
          <w:bCs/>
          <w:i/>
        </w:rPr>
        <w:t>approved ex-manufacturer price</w:t>
      </w:r>
      <w:r>
        <w:rPr>
          <w:bCs/>
          <w:i/>
        </w:rPr>
        <w:t xml:space="preserve">s </w:t>
      </w:r>
      <w:r w:rsidRPr="00427A7C">
        <w:rPr>
          <w:bCs/>
        </w:rPr>
        <w:t>on 1</w:t>
      </w:r>
      <w:r>
        <w:rPr>
          <w:bCs/>
        </w:rPr>
        <w:t> O</w:t>
      </w:r>
      <w:r w:rsidRPr="00427A7C">
        <w:rPr>
          <w:bCs/>
        </w:rPr>
        <w:t>ctober</w:t>
      </w:r>
      <w:r>
        <w:rPr>
          <w:bCs/>
        </w:rPr>
        <w:t> </w:t>
      </w:r>
      <w:r w:rsidRPr="00427A7C">
        <w:rPr>
          <w:bCs/>
        </w:rPr>
        <w:t xml:space="preserve">2012. </w:t>
      </w:r>
      <w:r>
        <w:rPr>
          <w:bCs/>
        </w:rPr>
        <w:t xml:space="preserve"> </w:t>
      </w:r>
      <w:proofErr w:type="spellStart"/>
      <w:r w:rsidR="001B3774" w:rsidRPr="00925C18">
        <w:rPr>
          <w:bCs/>
        </w:rPr>
        <w:t>Subregulation</w:t>
      </w:r>
      <w:proofErr w:type="spellEnd"/>
      <w:r w:rsidR="00685933" w:rsidRPr="00925C18">
        <w:rPr>
          <w:bCs/>
        </w:rPr>
        <w:t> </w:t>
      </w:r>
      <w:r w:rsidR="001B3774" w:rsidRPr="00925C18">
        <w:rPr>
          <w:bCs/>
        </w:rPr>
        <w:t>(1) provides that Schedule</w:t>
      </w:r>
      <w:r w:rsidR="00685933" w:rsidRPr="00925C18">
        <w:rPr>
          <w:bCs/>
        </w:rPr>
        <w:t> </w:t>
      </w:r>
      <w:r w:rsidR="001B3774" w:rsidRPr="00925C18">
        <w:rPr>
          <w:bCs/>
        </w:rPr>
        <w:t>7 to the Principal Regulations sets out the approved ex-manufacturer price on 1</w:t>
      </w:r>
      <w:r w:rsidR="00685933" w:rsidRPr="00925C18">
        <w:rPr>
          <w:bCs/>
        </w:rPr>
        <w:t> </w:t>
      </w:r>
      <w:r w:rsidR="001B3774" w:rsidRPr="00925C18">
        <w:rPr>
          <w:bCs/>
        </w:rPr>
        <w:t>October</w:t>
      </w:r>
      <w:r w:rsidR="00685933" w:rsidRPr="00925C18">
        <w:rPr>
          <w:bCs/>
        </w:rPr>
        <w:t> </w:t>
      </w:r>
      <w:r w:rsidR="001B3774" w:rsidRPr="00925C18">
        <w:rPr>
          <w:bCs/>
        </w:rPr>
        <w:t>2012 for each brand of a pharmaceutical item listed in the Schedule.</w:t>
      </w:r>
    </w:p>
    <w:p w:rsidR="001B3774" w:rsidRPr="00925C18" w:rsidRDefault="001B3774" w:rsidP="00475910">
      <w:pPr>
        <w:spacing w:before="0" w:after="240"/>
        <w:ind w:right="45"/>
        <w:rPr>
          <w:bCs/>
        </w:rPr>
      </w:pPr>
      <w:proofErr w:type="spellStart"/>
      <w:r w:rsidRPr="00925C18">
        <w:rPr>
          <w:bCs/>
        </w:rPr>
        <w:t>Subregulation</w:t>
      </w:r>
      <w:proofErr w:type="spellEnd"/>
      <w:r w:rsidR="00685933" w:rsidRPr="00925C18">
        <w:rPr>
          <w:bCs/>
        </w:rPr>
        <w:t> </w:t>
      </w:r>
      <w:r w:rsidRPr="00925C18">
        <w:rPr>
          <w:bCs/>
        </w:rPr>
        <w:t>(2) provides that the regulation is made for paragraph</w:t>
      </w:r>
      <w:r w:rsidR="00685933" w:rsidRPr="00925C18">
        <w:rPr>
          <w:bCs/>
        </w:rPr>
        <w:t> </w:t>
      </w:r>
      <w:r w:rsidRPr="00925C18">
        <w:rPr>
          <w:bCs/>
        </w:rPr>
        <w:t>70(a) of the amending Act.</w:t>
      </w:r>
    </w:p>
    <w:p w:rsidR="001B3774" w:rsidRPr="00925C18" w:rsidRDefault="001B3774" w:rsidP="00475910">
      <w:pPr>
        <w:spacing w:before="0" w:after="240"/>
        <w:ind w:right="45"/>
        <w:rPr>
          <w:bCs/>
        </w:rPr>
      </w:pPr>
      <w:r w:rsidRPr="00925C18">
        <w:rPr>
          <w:bCs/>
        </w:rPr>
        <w:lastRenderedPageBreak/>
        <w:t xml:space="preserve">Under the amending Act, the </w:t>
      </w:r>
      <w:r w:rsidRPr="00925C18">
        <w:rPr>
          <w:b/>
          <w:bCs/>
          <w:i/>
        </w:rPr>
        <w:t>approved ex-manufacturer price</w:t>
      </w:r>
      <w:r w:rsidRPr="00925C18">
        <w:rPr>
          <w:bCs/>
        </w:rPr>
        <w:t xml:space="preserve"> is replacing the </w:t>
      </w:r>
      <w:r w:rsidRPr="00925C18">
        <w:rPr>
          <w:b/>
          <w:bCs/>
          <w:i/>
        </w:rPr>
        <w:t>approved price to pharmacists</w:t>
      </w:r>
      <w:r w:rsidRPr="00925C18">
        <w:rPr>
          <w:bCs/>
        </w:rPr>
        <w:t xml:space="preserve"> as the </w:t>
      </w:r>
      <w:r w:rsidR="00475910">
        <w:rPr>
          <w:bCs/>
        </w:rPr>
        <w:t xml:space="preserve">base price for a </w:t>
      </w:r>
      <w:r w:rsidRPr="00925C18">
        <w:rPr>
          <w:bCs/>
        </w:rPr>
        <w:t xml:space="preserve">PBS </w:t>
      </w:r>
      <w:r w:rsidR="00475910">
        <w:rPr>
          <w:bCs/>
        </w:rPr>
        <w:t>medicine</w:t>
      </w:r>
      <w:r w:rsidRPr="00925C18">
        <w:rPr>
          <w:bCs/>
        </w:rPr>
        <w:t xml:space="preserve"> on 1</w:t>
      </w:r>
      <w:r w:rsidR="00685933" w:rsidRPr="00925C18">
        <w:rPr>
          <w:bCs/>
        </w:rPr>
        <w:t> </w:t>
      </w:r>
      <w:r w:rsidRPr="00925C18">
        <w:rPr>
          <w:bCs/>
        </w:rPr>
        <w:t>October</w:t>
      </w:r>
      <w:r w:rsidR="00685933" w:rsidRPr="00925C18">
        <w:rPr>
          <w:bCs/>
        </w:rPr>
        <w:t> </w:t>
      </w:r>
      <w:r w:rsidRPr="00925C18">
        <w:rPr>
          <w:bCs/>
        </w:rPr>
        <w:t>2012.  It is necessary for each brand of a pharmaceutical item listed on the PBS to have an approved ex-manufacturer price in place on that day.  The amending Act provides for various means by which those prices may be put in place</w:t>
      </w:r>
      <w:r w:rsidR="009E65F5">
        <w:rPr>
          <w:bCs/>
        </w:rPr>
        <w:t>.</w:t>
      </w:r>
    </w:p>
    <w:p w:rsidR="00E65E42" w:rsidRDefault="001B3774" w:rsidP="00627663">
      <w:pPr>
        <w:spacing w:before="0"/>
        <w:ind w:right="45"/>
        <w:rPr>
          <w:bCs/>
        </w:rPr>
      </w:pPr>
      <w:r w:rsidRPr="00925C18">
        <w:rPr>
          <w:bCs/>
        </w:rPr>
        <w:t>The combined effect of items</w:t>
      </w:r>
      <w:r w:rsidR="00685933" w:rsidRPr="00925C18">
        <w:rPr>
          <w:bCs/>
        </w:rPr>
        <w:t> </w:t>
      </w:r>
      <w:r w:rsidRPr="00925C18">
        <w:rPr>
          <w:bCs/>
        </w:rPr>
        <w:t>68 to</w:t>
      </w:r>
      <w:r w:rsidR="00685933" w:rsidRPr="00925C18">
        <w:rPr>
          <w:bCs/>
        </w:rPr>
        <w:t> </w:t>
      </w:r>
      <w:r w:rsidRPr="00925C18">
        <w:rPr>
          <w:bCs/>
        </w:rPr>
        <w:t xml:space="preserve">72 </w:t>
      </w:r>
      <w:r w:rsidR="00194B26">
        <w:rPr>
          <w:bCs/>
        </w:rPr>
        <w:t xml:space="preserve">of </w:t>
      </w:r>
      <w:r w:rsidR="009E65F5">
        <w:rPr>
          <w:bCs/>
        </w:rPr>
        <w:t xml:space="preserve">Schedule 1 to </w:t>
      </w:r>
      <w:r w:rsidR="00194B26">
        <w:rPr>
          <w:bCs/>
        </w:rPr>
        <w:t xml:space="preserve">the amending Act </w:t>
      </w:r>
      <w:r w:rsidRPr="00925C18">
        <w:rPr>
          <w:bCs/>
        </w:rPr>
        <w:t>is that</w:t>
      </w:r>
      <w:r w:rsidR="00E65E42">
        <w:rPr>
          <w:bCs/>
        </w:rPr>
        <w:t xml:space="preserve">: </w:t>
      </w:r>
    </w:p>
    <w:p w:rsidR="009E65F5" w:rsidRDefault="001B3774" w:rsidP="00FF4924">
      <w:pPr>
        <w:numPr>
          <w:ilvl w:val="0"/>
          <w:numId w:val="13"/>
        </w:numPr>
        <w:tabs>
          <w:tab w:val="left" w:pos="709"/>
        </w:tabs>
        <w:spacing w:before="120"/>
        <w:ind w:left="709" w:right="45" w:hanging="284"/>
        <w:rPr>
          <w:bCs/>
        </w:rPr>
      </w:pPr>
      <w:r w:rsidRPr="00925C18">
        <w:rPr>
          <w:bCs/>
        </w:rPr>
        <w:t>if a new price is agreed or determined for a brand of a pharmaceutical item under the amended Act and comes into force on 1</w:t>
      </w:r>
      <w:r w:rsidR="00685933" w:rsidRPr="00925C18">
        <w:rPr>
          <w:bCs/>
        </w:rPr>
        <w:t> </w:t>
      </w:r>
      <w:r w:rsidRPr="00925C18">
        <w:rPr>
          <w:bCs/>
        </w:rPr>
        <w:t>October</w:t>
      </w:r>
      <w:r w:rsidR="00685933" w:rsidRPr="00925C18">
        <w:rPr>
          <w:bCs/>
        </w:rPr>
        <w:t> </w:t>
      </w:r>
      <w:r w:rsidRPr="00925C18">
        <w:rPr>
          <w:bCs/>
        </w:rPr>
        <w:t>2012, this will be the approved ex-manufacturer price of the brand on that day</w:t>
      </w:r>
      <w:r w:rsidR="00E65E42" w:rsidRPr="009E65F5">
        <w:rPr>
          <w:bCs/>
        </w:rPr>
        <w:t>;</w:t>
      </w:r>
    </w:p>
    <w:p w:rsidR="009E65F5" w:rsidRDefault="009E65F5" w:rsidP="00FF4924">
      <w:pPr>
        <w:numPr>
          <w:ilvl w:val="0"/>
          <w:numId w:val="13"/>
        </w:numPr>
        <w:tabs>
          <w:tab w:val="left" w:pos="709"/>
        </w:tabs>
        <w:spacing w:before="120"/>
        <w:ind w:left="709" w:right="45" w:hanging="284"/>
        <w:rPr>
          <w:bCs/>
        </w:rPr>
      </w:pPr>
      <w:r>
        <w:rPr>
          <w:bCs/>
        </w:rPr>
        <w:t>i</w:t>
      </w:r>
      <w:r w:rsidR="001B3774" w:rsidRPr="009E65F5">
        <w:rPr>
          <w:bCs/>
        </w:rPr>
        <w:t>f</w:t>
      </w:r>
      <w:r w:rsidR="001B3774" w:rsidRPr="00925C18">
        <w:rPr>
          <w:bCs/>
        </w:rPr>
        <w:t xml:space="preserve"> no new price is agreed or determined, and a price is prescribed for a brand of a pharmaceutical item, this will be the approved ex-manufacturer price</w:t>
      </w:r>
      <w:r w:rsidR="00E65E42" w:rsidRPr="009E65F5">
        <w:rPr>
          <w:bCs/>
        </w:rPr>
        <w:t>;</w:t>
      </w:r>
    </w:p>
    <w:p w:rsidR="001B3774" w:rsidRPr="00925C18" w:rsidRDefault="009E65F5" w:rsidP="00475910">
      <w:pPr>
        <w:numPr>
          <w:ilvl w:val="0"/>
          <w:numId w:val="13"/>
        </w:numPr>
        <w:tabs>
          <w:tab w:val="left" w:pos="709"/>
        </w:tabs>
        <w:spacing w:before="120" w:after="240"/>
        <w:ind w:left="709" w:right="45" w:hanging="284"/>
        <w:rPr>
          <w:bCs/>
        </w:rPr>
      </w:pPr>
      <w:r>
        <w:rPr>
          <w:bCs/>
        </w:rPr>
        <w:t>i</w:t>
      </w:r>
      <w:r w:rsidR="001B3774" w:rsidRPr="009E65F5">
        <w:rPr>
          <w:bCs/>
        </w:rPr>
        <w:t>f</w:t>
      </w:r>
      <w:r w:rsidR="001B3774" w:rsidRPr="00925C18">
        <w:rPr>
          <w:bCs/>
        </w:rPr>
        <w:t xml:space="preserve"> no price is agreed or determined, and no price is prescribed, the approved ex-manufacturer price will be the default ex-manufacturer price provided for in the amending Act.</w:t>
      </w:r>
    </w:p>
    <w:p w:rsidR="001B3774" w:rsidRPr="00925C18" w:rsidRDefault="001B3774" w:rsidP="00427A7C">
      <w:pPr>
        <w:spacing w:before="0" w:after="240"/>
        <w:ind w:right="45"/>
        <w:rPr>
          <w:bCs/>
        </w:rPr>
      </w:pPr>
      <w:r w:rsidRPr="00925C18">
        <w:rPr>
          <w:bCs/>
        </w:rPr>
        <w:t>A price prescribed in Schedule</w:t>
      </w:r>
      <w:r w:rsidR="00685933" w:rsidRPr="00925C18">
        <w:rPr>
          <w:bCs/>
        </w:rPr>
        <w:t> </w:t>
      </w:r>
      <w:r w:rsidRPr="00925C18">
        <w:rPr>
          <w:bCs/>
        </w:rPr>
        <w:t xml:space="preserve">7 for a brand of a pharmaceutical item will therefore be the approved </w:t>
      </w:r>
      <w:proofErr w:type="spellStart"/>
      <w:r w:rsidRPr="00925C18">
        <w:rPr>
          <w:bCs/>
        </w:rPr>
        <w:t>ex</w:t>
      </w:r>
      <w:r w:rsidR="00194B26">
        <w:rPr>
          <w:bCs/>
        </w:rPr>
        <w:noBreakHyphen/>
      </w:r>
      <w:r w:rsidRPr="00925C18">
        <w:rPr>
          <w:bCs/>
        </w:rPr>
        <w:t>manufacturer</w:t>
      </w:r>
      <w:proofErr w:type="spellEnd"/>
      <w:r w:rsidRPr="00925C18">
        <w:rPr>
          <w:bCs/>
        </w:rPr>
        <w:t xml:space="preserve"> </w:t>
      </w:r>
      <w:r>
        <w:rPr>
          <w:bCs/>
        </w:rPr>
        <w:t>price</w:t>
      </w:r>
      <w:r w:rsidRPr="00925C18">
        <w:rPr>
          <w:bCs/>
        </w:rPr>
        <w:t xml:space="preserve"> for the brand on 1</w:t>
      </w:r>
      <w:r w:rsidR="00685933" w:rsidRPr="00925C18">
        <w:rPr>
          <w:bCs/>
        </w:rPr>
        <w:t> </w:t>
      </w:r>
      <w:r w:rsidRPr="00925C18">
        <w:rPr>
          <w:bCs/>
        </w:rPr>
        <w:t>October</w:t>
      </w:r>
      <w:r w:rsidR="00685933" w:rsidRPr="00925C18">
        <w:rPr>
          <w:bCs/>
        </w:rPr>
        <w:t> </w:t>
      </w:r>
      <w:r w:rsidRPr="00925C18">
        <w:rPr>
          <w:bCs/>
        </w:rPr>
        <w:t>2012 only if there is no new price agreed or determined under the amended Act for the brand, which comes into force on that day.</w:t>
      </w:r>
    </w:p>
    <w:p w:rsidR="001B3774" w:rsidRPr="00925C18" w:rsidRDefault="00427A7C" w:rsidP="00427A7C">
      <w:pPr>
        <w:spacing w:before="0" w:after="240"/>
        <w:ind w:right="45"/>
        <w:rPr>
          <w:bCs/>
        </w:rPr>
      </w:pPr>
      <w:r>
        <w:rPr>
          <w:bCs/>
        </w:rPr>
        <w:t xml:space="preserve">New </w:t>
      </w:r>
      <w:r w:rsidR="001B3774" w:rsidRPr="00925C18">
        <w:rPr>
          <w:bCs/>
        </w:rPr>
        <w:t>regulation</w:t>
      </w:r>
      <w:r>
        <w:rPr>
          <w:bCs/>
        </w:rPr>
        <w:t> 50</w:t>
      </w:r>
      <w:r w:rsidR="001B3774" w:rsidRPr="00925C18">
        <w:rPr>
          <w:bCs/>
        </w:rPr>
        <w:t xml:space="preserve"> provides that if a weighted average disclosed price is determined for a brand on or before 30</w:t>
      </w:r>
      <w:r w:rsidR="00D25563" w:rsidRPr="00925C18">
        <w:rPr>
          <w:bCs/>
        </w:rPr>
        <w:t> </w:t>
      </w:r>
      <w:r w:rsidR="001B3774" w:rsidRPr="00925C18">
        <w:rPr>
          <w:bCs/>
        </w:rPr>
        <w:t>September</w:t>
      </w:r>
      <w:r w:rsidR="00D25563" w:rsidRPr="00925C18">
        <w:rPr>
          <w:bCs/>
        </w:rPr>
        <w:t> </w:t>
      </w:r>
      <w:r w:rsidR="001B3774" w:rsidRPr="00925C18">
        <w:rPr>
          <w:bCs/>
        </w:rPr>
        <w:t>2012, and after that date a new weighted average disclosed price is determined for the brand for the same disclosure cycle, the new price must be determined under the provisions of the Principal Regulations in force immediately before 1</w:t>
      </w:r>
      <w:r w:rsidR="00D25563" w:rsidRPr="00925C18">
        <w:rPr>
          <w:bCs/>
        </w:rPr>
        <w:t> </w:t>
      </w:r>
      <w:r w:rsidR="001B3774" w:rsidRPr="00925C18">
        <w:rPr>
          <w:bCs/>
        </w:rPr>
        <w:t>October</w:t>
      </w:r>
      <w:r w:rsidR="00D25563" w:rsidRPr="00925C18">
        <w:rPr>
          <w:bCs/>
        </w:rPr>
        <w:t> </w:t>
      </w:r>
      <w:r w:rsidR="001B3774" w:rsidRPr="00925C18">
        <w:rPr>
          <w:bCs/>
        </w:rPr>
        <w:t>2012.  A new determination may have to be made if an error affecting the original determination is discovered.  This provision ensures that the new price is calculated and determined under the same regulations as the original price was calculated and determined.</w:t>
      </w:r>
    </w:p>
    <w:p w:rsidR="00D25563" w:rsidRPr="00925C18" w:rsidRDefault="001B3774" w:rsidP="00D25563">
      <w:pPr>
        <w:pStyle w:val="Headingbold0"/>
        <w:spacing w:before="0"/>
      </w:pPr>
      <w:r w:rsidRPr="00925C18">
        <w:t>Item [31] – After Schedule 6</w:t>
      </w:r>
    </w:p>
    <w:p w:rsidR="001B3774" w:rsidRPr="00925C18" w:rsidRDefault="001B3774" w:rsidP="00D25563">
      <w:pPr>
        <w:spacing w:before="0" w:after="240"/>
        <w:ind w:right="45"/>
        <w:rPr>
          <w:bCs/>
        </w:rPr>
      </w:pPr>
      <w:r w:rsidRPr="00925C18">
        <w:rPr>
          <w:bCs/>
        </w:rPr>
        <w:t>This item inserts new Schedule</w:t>
      </w:r>
      <w:r w:rsidR="00D25563" w:rsidRPr="00925C18">
        <w:rPr>
          <w:bCs/>
        </w:rPr>
        <w:t> </w:t>
      </w:r>
      <w:r w:rsidRPr="00925C18">
        <w:rPr>
          <w:bCs/>
        </w:rPr>
        <w:t>7.  Schedule</w:t>
      </w:r>
      <w:r w:rsidR="00D25563" w:rsidRPr="00925C18">
        <w:rPr>
          <w:bCs/>
        </w:rPr>
        <w:t> </w:t>
      </w:r>
      <w:r w:rsidRPr="00925C18">
        <w:rPr>
          <w:bCs/>
        </w:rPr>
        <w:t xml:space="preserve">7 sets out the approved </w:t>
      </w:r>
      <w:proofErr w:type="spellStart"/>
      <w:r w:rsidRPr="00925C18">
        <w:rPr>
          <w:bCs/>
        </w:rPr>
        <w:t>ex</w:t>
      </w:r>
      <w:r w:rsidR="00194B26">
        <w:rPr>
          <w:bCs/>
        </w:rPr>
        <w:noBreakHyphen/>
      </w:r>
      <w:r w:rsidRPr="00925C18">
        <w:rPr>
          <w:bCs/>
        </w:rPr>
        <w:t>manufacturer</w:t>
      </w:r>
      <w:proofErr w:type="spellEnd"/>
      <w:r w:rsidRPr="00925C18">
        <w:rPr>
          <w:bCs/>
        </w:rPr>
        <w:t xml:space="preserve"> prices on 1</w:t>
      </w:r>
      <w:r w:rsidR="00D25563" w:rsidRPr="00925C18">
        <w:rPr>
          <w:bCs/>
        </w:rPr>
        <w:t> </w:t>
      </w:r>
      <w:r w:rsidRPr="00925C18">
        <w:rPr>
          <w:bCs/>
        </w:rPr>
        <w:t>October</w:t>
      </w:r>
      <w:r w:rsidR="00D25563" w:rsidRPr="00925C18">
        <w:rPr>
          <w:bCs/>
        </w:rPr>
        <w:t> </w:t>
      </w:r>
      <w:r w:rsidRPr="00925C18">
        <w:rPr>
          <w:bCs/>
        </w:rPr>
        <w:t>2012 mentioned in new regulation</w:t>
      </w:r>
      <w:r w:rsidR="00D25563" w:rsidRPr="00925C18">
        <w:rPr>
          <w:bCs/>
        </w:rPr>
        <w:t> </w:t>
      </w:r>
      <w:r w:rsidRPr="00925C18">
        <w:rPr>
          <w:bCs/>
        </w:rPr>
        <w:t>49</w:t>
      </w:r>
      <w:r w:rsidR="00427A7C">
        <w:rPr>
          <w:bCs/>
        </w:rPr>
        <w:t>.</w:t>
      </w:r>
    </w:p>
    <w:p w:rsidR="00D25563" w:rsidRPr="00925C18" w:rsidRDefault="001B3774" w:rsidP="00D25563">
      <w:pPr>
        <w:pStyle w:val="Headingbold0"/>
        <w:spacing w:before="0"/>
      </w:pPr>
      <w:r w:rsidRPr="00925C18">
        <w:t>Item [32] – Further amendments</w:t>
      </w:r>
    </w:p>
    <w:p w:rsidR="006E2CEF" w:rsidRDefault="001B3774" w:rsidP="0058311D">
      <w:pPr>
        <w:keepNext/>
        <w:keepLines/>
        <w:spacing w:before="0"/>
        <w:rPr>
          <w:bCs/>
        </w:rPr>
      </w:pPr>
      <w:r w:rsidRPr="00925C18">
        <w:rPr>
          <w:bCs/>
        </w:rPr>
        <w:t xml:space="preserve">This item changes a number of current references to </w:t>
      </w:r>
      <w:r w:rsidRPr="00925C18">
        <w:rPr>
          <w:bCs/>
          <w:i/>
        </w:rPr>
        <w:t>relevant</w:t>
      </w:r>
      <w:r w:rsidR="009E65F5">
        <w:rPr>
          <w:bCs/>
          <w:i/>
        </w:rPr>
        <w:t> </w:t>
      </w:r>
      <w:r w:rsidRPr="00925C18">
        <w:rPr>
          <w:bCs/>
          <w:i/>
        </w:rPr>
        <w:t>day</w:t>
      </w:r>
      <w:r w:rsidRPr="00925C18">
        <w:rPr>
          <w:bCs/>
        </w:rPr>
        <w:t xml:space="preserve"> to a reference to </w:t>
      </w:r>
      <w:r w:rsidRPr="00925C18">
        <w:rPr>
          <w:bCs/>
          <w:i/>
        </w:rPr>
        <w:t>start</w:t>
      </w:r>
      <w:r w:rsidR="009E65F5">
        <w:rPr>
          <w:bCs/>
          <w:i/>
        </w:rPr>
        <w:t> </w:t>
      </w:r>
      <w:r w:rsidRPr="00925C18">
        <w:rPr>
          <w:bCs/>
          <w:i/>
        </w:rPr>
        <w:t>day</w:t>
      </w:r>
      <w:r w:rsidRPr="00925C18">
        <w:rPr>
          <w:bCs/>
        </w:rPr>
        <w:t xml:space="preserve">.  There </w:t>
      </w:r>
      <w:r w:rsidR="00126DDA">
        <w:rPr>
          <w:bCs/>
        </w:rPr>
        <w:t>is</w:t>
      </w:r>
      <w:r w:rsidRPr="00925C18">
        <w:rPr>
          <w:bCs/>
        </w:rPr>
        <w:t xml:space="preserve"> no substantive change in the meaning of the regulations concerned.</w:t>
      </w:r>
    </w:p>
    <w:p w:rsidR="00417FE7" w:rsidRDefault="00417FE7" w:rsidP="00417FE7">
      <w:pPr>
        <w:spacing w:before="0"/>
        <w:rPr>
          <w:bCs/>
        </w:rPr>
      </w:pPr>
    </w:p>
    <w:p w:rsidR="00417FE7" w:rsidRDefault="00417FE7" w:rsidP="00417FE7">
      <w:pPr>
        <w:spacing w:before="0"/>
        <w:rPr>
          <w:bCs/>
        </w:rPr>
      </w:pPr>
    </w:p>
    <w:p w:rsidR="00417FE7" w:rsidRPr="003D4E51" w:rsidRDefault="00417FE7" w:rsidP="00417FE7">
      <w:pPr>
        <w:keepNext/>
        <w:keepLines/>
        <w:spacing w:after="120"/>
        <w:jc w:val="center"/>
        <w:rPr>
          <w:b/>
          <w:sz w:val="28"/>
          <w:szCs w:val="28"/>
        </w:rPr>
      </w:pPr>
      <w:r w:rsidRPr="003D4E51">
        <w:rPr>
          <w:b/>
          <w:sz w:val="28"/>
          <w:szCs w:val="28"/>
        </w:rPr>
        <w:lastRenderedPageBreak/>
        <w:t xml:space="preserve">Statement </w:t>
      </w:r>
      <w:r>
        <w:rPr>
          <w:b/>
          <w:sz w:val="28"/>
          <w:szCs w:val="28"/>
        </w:rPr>
        <w:t>o</w:t>
      </w:r>
      <w:r w:rsidRPr="003D4E51">
        <w:rPr>
          <w:b/>
          <w:sz w:val="28"/>
          <w:szCs w:val="28"/>
        </w:rPr>
        <w:t xml:space="preserve">f Compatibility </w:t>
      </w:r>
      <w:r>
        <w:rPr>
          <w:b/>
          <w:sz w:val="28"/>
          <w:szCs w:val="28"/>
        </w:rPr>
        <w:t>w</w:t>
      </w:r>
      <w:r w:rsidRPr="003D4E51">
        <w:rPr>
          <w:b/>
          <w:sz w:val="28"/>
          <w:szCs w:val="28"/>
        </w:rPr>
        <w:t>ith Human Rights</w:t>
      </w:r>
    </w:p>
    <w:p w:rsidR="00417FE7" w:rsidRDefault="00417FE7" w:rsidP="00417FE7">
      <w:pPr>
        <w:keepNext/>
        <w:keepLines/>
        <w:jc w:val="center"/>
        <w:rPr>
          <w:i/>
        </w:rPr>
      </w:pPr>
      <w:r w:rsidRPr="003A62A7">
        <w:rPr>
          <w:i/>
        </w:rPr>
        <w:t>Prepared in accordance with Part 3 of the Human Rights (Parliamentary Scrutiny) Act 2011</w:t>
      </w:r>
    </w:p>
    <w:p w:rsidR="00417FE7" w:rsidRDefault="00417FE7" w:rsidP="00417FE7">
      <w:pPr>
        <w:keepNext/>
        <w:keepLines/>
        <w:spacing w:before="0"/>
        <w:ind w:right="45"/>
        <w:jc w:val="center"/>
        <w:rPr>
          <w:b/>
          <w:iCs/>
        </w:rPr>
      </w:pPr>
    </w:p>
    <w:p w:rsidR="00417FE7" w:rsidRDefault="00417FE7" w:rsidP="00417FE7">
      <w:pPr>
        <w:keepNext/>
        <w:keepLines/>
        <w:spacing w:before="0"/>
        <w:ind w:right="45"/>
        <w:jc w:val="center"/>
        <w:rPr>
          <w:b/>
          <w:iCs/>
        </w:rPr>
      </w:pPr>
      <w:r w:rsidRPr="003D4E51">
        <w:rPr>
          <w:b/>
          <w:iCs/>
        </w:rPr>
        <w:t>National Health (Pharmaceutical Benefits) Amendmen</w:t>
      </w:r>
      <w:r>
        <w:rPr>
          <w:b/>
          <w:iCs/>
        </w:rPr>
        <w:t>t Regulation 2012</w:t>
      </w:r>
      <w:r w:rsidR="00A34B9D">
        <w:rPr>
          <w:b/>
          <w:iCs/>
        </w:rPr>
        <w:t xml:space="preserve"> (No. 4)</w:t>
      </w:r>
    </w:p>
    <w:p w:rsidR="00417FE7" w:rsidRPr="003D4E51" w:rsidRDefault="00417FE7" w:rsidP="00417FE7">
      <w:pPr>
        <w:keepNext/>
        <w:keepLines/>
        <w:spacing w:before="0"/>
        <w:ind w:right="45"/>
        <w:jc w:val="center"/>
        <w:rPr>
          <w:b/>
          <w:iCs/>
        </w:rPr>
      </w:pPr>
    </w:p>
    <w:p w:rsidR="00417FE7" w:rsidRDefault="00417FE7" w:rsidP="00417FE7">
      <w:pPr>
        <w:keepNext/>
        <w:keepLines/>
        <w:spacing w:before="0"/>
        <w:ind w:right="91"/>
        <w:jc w:val="center"/>
      </w:pPr>
      <w:r w:rsidRPr="003A62A7">
        <w:t xml:space="preserve">This </w:t>
      </w:r>
      <w:r>
        <w:t xml:space="preserve">legislative instrument </w:t>
      </w:r>
      <w:r w:rsidRPr="003A62A7">
        <w:t>is compatible with the human rights and freedoms recognised or declared in the international instruments listed in section</w:t>
      </w:r>
      <w:r>
        <w:t> </w:t>
      </w:r>
      <w:r w:rsidRPr="003A62A7">
        <w:t xml:space="preserve">3 of the </w:t>
      </w:r>
      <w:r w:rsidRPr="005672A1">
        <w:rPr>
          <w:i/>
        </w:rPr>
        <w:t>Human Rights (Parliamentary Scrutiny) Act 2011</w:t>
      </w:r>
      <w:r w:rsidRPr="003A62A7">
        <w:t>.</w:t>
      </w:r>
    </w:p>
    <w:p w:rsidR="00417FE7" w:rsidRDefault="00417FE7" w:rsidP="00417FE7">
      <w:pPr>
        <w:keepNext/>
        <w:keepLines/>
        <w:spacing w:before="0"/>
        <w:ind w:right="91"/>
      </w:pPr>
    </w:p>
    <w:p w:rsidR="00417FE7" w:rsidRDefault="00417FE7" w:rsidP="00417FE7">
      <w:pPr>
        <w:keepNext/>
        <w:keepLines/>
        <w:spacing w:before="0" w:after="120"/>
        <w:jc w:val="both"/>
        <w:rPr>
          <w:b/>
        </w:rPr>
      </w:pPr>
      <w:r w:rsidRPr="003A62A7">
        <w:rPr>
          <w:b/>
        </w:rPr>
        <w:t xml:space="preserve">Overview of the </w:t>
      </w:r>
      <w:r>
        <w:rPr>
          <w:b/>
        </w:rPr>
        <w:t>legislative instrument</w:t>
      </w:r>
    </w:p>
    <w:p w:rsidR="00417FE7" w:rsidRDefault="00417FE7" w:rsidP="00417FE7">
      <w:pPr>
        <w:keepNext/>
        <w:keepLines/>
        <w:spacing w:before="0"/>
        <w:ind w:right="-136"/>
      </w:pPr>
      <w:r>
        <w:t xml:space="preserve">The legislative instrument amends the </w:t>
      </w:r>
      <w:r w:rsidRPr="00D966EB">
        <w:rPr>
          <w:i/>
        </w:rPr>
        <w:t>National Health (Pharmaceutical Benefits) Regulations</w:t>
      </w:r>
      <w:r>
        <w:rPr>
          <w:i/>
        </w:rPr>
        <w:t> </w:t>
      </w:r>
      <w:r w:rsidRPr="00D966EB">
        <w:rPr>
          <w:i/>
        </w:rPr>
        <w:t>1960</w:t>
      </w:r>
      <w:r w:rsidRPr="0081255B">
        <w:t xml:space="preserve"> </w:t>
      </w:r>
      <w:r>
        <w:t xml:space="preserve">(the Principal Regulations) regarding procedures and requirements for medicines supplied under the </w:t>
      </w:r>
      <w:r w:rsidRPr="00704982">
        <w:t>Pharmaceutical Benefits Scheme (PBS)</w:t>
      </w:r>
      <w:r>
        <w:t>.</w:t>
      </w:r>
    </w:p>
    <w:p w:rsidR="00417FE7" w:rsidRDefault="00417FE7" w:rsidP="00417FE7">
      <w:pPr>
        <w:spacing w:before="0"/>
        <w:ind w:right="-136"/>
      </w:pPr>
    </w:p>
    <w:p w:rsidR="00417FE7" w:rsidRDefault="00417FE7" w:rsidP="00417FE7">
      <w:pPr>
        <w:spacing w:before="0"/>
        <w:ind w:right="-136"/>
      </w:pPr>
      <w:r w:rsidRPr="00380150">
        <w:t>The amendments re</w:t>
      </w:r>
      <w:r>
        <w:t xml:space="preserve">late to PBS pricing and listing arrangements.  They </w:t>
      </w:r>
      <w:r w:rsidRPr="00380150">
        <w:t xml:space="preserve">are </w:t>
      </w:r>
      <w:r>
        <w:t xml:space="preserve">operational and </w:t>
      </w:r>
      <w:r w:rsidRPr="00380150">
        <w:t xml:space="preserve">technical </w:t>
      </w:r>
      <w:r>
        <w:t xml:space="preserve">changes which </w:t>
      </w:r>
      <w:r w:rsidRPr="00380150">
        <w:t>provide for improved administration of the PBS.  None of the amendments makes any substantive change to the Principal Regulations regarding the availability of</w:t>
      </w:r>
      <w:r>
        <w:t>,</w:t>
      </w:r>
      <w:r w:rsidRPr="00380150">
        <w:t xml:space="preserve"> or access to</w:t>
      </w:r>
      <w:r>
        <w:t>,</w:t>
      </w:r>
      <w:r w:rsidRPr="00380150">
        <w:t xml:space="preserve"> medicines under the Scheme.</w:t>
      </w:r>
    </w:p>
    <w:p w:rsidR="00417FE7" w:rsidRDefault="00417FE7" w:rsidP="00417FE7">
      <w:pPr>
        <w:spacing w:before="0"/>
        <w:ind w:right="-136"/>
      </w:pPr>
    </w:p>
    <w:p w:rsidR="00417FE7" w:rsidRDefault="00417FE7" w:rsidP="00417FE7">
      <w:pPr>
        <w:keepNext/>
        <w:keepLines/>
        <w:spacing w:before="0" w:after="120"/>
        <w:jc w:val="both"/>
        <w:rPr>
          <w:b/>
        </w:rPr>
      </w:pPr>
      <w:r w:rsidRPr="009068BE">
        <w:rPr>
          <w:b/>
        </w:rPr>
        <w:t>Human rights implications</w:t>
      </w:r>
    </w:p>
    <w:p w:rsidR="00417FE7" w:rsidRDefault="00417FE7" w:rsidP="00417FE7">
      <w:pPr>
        <w:spacing w:before="0"/>
        <w:ind w:right="-136"/>
      </w:pPr>
      <w: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417FE7" w:rsidRDefault="00417FE7" w:rsidP="00417FE7">
      <w:pPr>
        <w:spacing w:before="0"/>
        <w:ind w:right="-136"/>
      </w:pPr>
    </w:p>
    <w:p w:rsidR="00417FE7" w:rsidRDefault="00417FE7" w:rsidP="00417FE7">
      <w:pPr>
        <w:spacing w:before="0"/>
        <w:ind w:right="-136"/>
      </w:pPr>
      <w:r>
        <w:t xml:space="preserve">The PBS is a benefit scheme which assists with advancement of this human right by providing for subsidised access for people to medicines.  This is </w:t>
      </w:r>
      <w:r w:rsidRPr="00B7197D">
        <w:t xml:space="preserve">a positive step towards </w:t>
      </w:r>
      <w:r>
        <w:t xml:space="preserve">attaining the </w:t>
      </w:r>
      <w:r w:rsidRPr="00B7197D">
        <w:t>highest standard of health for all Australians.</w:t>
      </w:r>
      <w:r>
        <w:t xml:space="preserve">  Efficient operational arrangements for the PBS support effective administration of the Scheme.</w:t>
      </w:r>
    </w:p>
    <w:p w:rsidR="00417FE7" w:rsidRDefault="00417FE7" w:rsidP="00417FE7">
      <w:pPr>
        <w:spacing w:before="0"/>
        <w:ind w:right="-136"/>
      </w:pPr>
    </w:p>
    <w:p w:rsidR="00417FE7" w:rsidRDefault="00417FE7" w:rsidP="00417FE7">
      <w:pPr>
        <w:keepNext/>
        <w:keepLines/>
        <w:spacing w:before="0" w:after="120"/>
        <w:jc w:val="both"/>
        <w:rPr>
          <w:b/>
        </w:rPr>
      </w:pPr>
      <w:r w:rsidRPr="009068BE">
        <w:rPr>
          <w:b/>
        </w:rPr>
        <w:t>Conclusion</w:t>
      </w:r>
    </w:p>
    <w:p w:rsidR="00417FE7" w:rsidRDefault="00417FE7" w:rsidP="00417FE7">
      <w:pPr>
        <w:keepNext/>
        <w:keepLines/>
        <w:spacing w:before="0"/>
        <w:ind w:right="-136"/>
      </w:pPr>
      <w:r w:rsidRPr="00E4135E">
        <w:t xml:space="preserve">This </w:t>
      </w:r>
      <w:r>
        <w:t xml:space="preserve">legislative instrument </w:t>
      </w:r>
      <w:r w:rsidRPr="00E4135E">
        <w:t xml:space="preserve">is compatible with human rights </w:t>
      </w:r>
      <w:r>
        <w:t>because it advances the protection of human rights</w:t>
      </w:r>
      <w:r w:rsidRPr="00E4135E">
        <w:t>.</w:t>
      </w:r>
    </w:p>
    <w:p w:rsidR="00417FE7" w:rsidRDefault="00417FE7" w:rsidP="00417FE7">
      <w:pPr>
        <w:keepNext/>
        <w:keepLines/>
        <w:jc w:val="center"/>
        <w:rPr>
          <w:b/>
        </w:rPr>
      </w:pPr>
      <w:r w:rsidRPr="007A386E">
        <w:rPr>
          <w:b/>
        </w:rPr>
        <w:t>Tanya Plibersek</w:t>
      </w:r>
    </w:p>
    <w:p w:rsidR="00417FE7" w:rsidRPr="000E6C50" w:rsidRDefault="00417FE7" w:rsidP="00417FE7">
      <w:pPr>
        <w:keepNext/>
        <w:keepLines/>
        <w:spacing w:before="0"/>
        <w:jc w:val="center"/>
        <w:rPr>
          <w:u w:val="single"/>
        </w:rPr>
      </w:pPr>
      <w:r w:rsidRPr="007A386E">
        <w:rPr>
          <w:b/>
        </w:rPr>
        <w:t>Minister for Health</w:t>
      </w:r>
    </w:p>
    <w:p w:rsidR="00417FE7" w:rsidRPr="000E6C50" w:rsidRDefault="00417FE7" w:rsidP="00417FE7">
      <w:pPr>
        <w:spacing w:before="0"/>
        <w:rPr>
          <w:u w:val="single"/>
        </w:rPr>
      </w:pPr>
    </w:p>
    <w:sectPr w:rsidR="00417FE7" w:rsidRPr="000E6C50" w:rsidSect="00D2248B">
      <w:headerReference w:type="default" r:id="rId8"/>
      <w:footerReference w:type="default" r:id="rId9"/>
      <w:pgSz w:w="11907" w:h="16840" w:code="9"/>
      <w:pgMar w:top="1391" w:right="1440" w:bottom="1440" w:left="1440" w:header="426" w:footer="720" w:gutter="0"/>
      <w:cols w:space="72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FE7" w:rsidRDefault="00417FE7">
      <w:r>
        <w:separator/>
      </w:r>
    </w:p>
  </w:endnote>
  <w:endnote w:type="continuationSeparator" w:id="0">
    <w:p w:rsidR="00417FE7" w:rsidRDefault="00417FE7">
      <w:r>
        <w:continuationSeparator/>
      </w:r>
    </w:p>
  </w:endnote>
  <w:endnote w:type="continuationNotice" w:id="1">
    <w:p w:rsidR="00417FE7" w:rsidRDefault="00417FE7">
      <w:pPr>
        <w:spacing w:befor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E7" w:rsidRDefault="00417F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FE7" w:rsidRDefault="00417FE7">
      <w:r>
        <w:separator/>
      </w:r>
    </w:p>
  </w:footnote>
  <w:footnote w:type="continuationSeparator" w:id="0">
    <w:p w:rsidR="00417FE7" w:rsidRDefault="00417FE7">
      <w:r>
        <w:continuationSeparator/>
      </w:r>
    </w:p>
  </w:footnote>
  <w:footnote w:type="continuationNotice" w:id="1">
    <w:p w:rsidR="00417FE7" w:rsidRDefault="00417FE7">
      <w:pPr>
        <w:spacing w:befor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E7" w:rsidRDefault="00513A3F">
    <w:pPr>
      <w:pStyle w:val="Header"/>
      <w:jc w:val="center"/>
    </w:pPr>
    <w:r>
      <w:rPr>
        <w:rStyle w:val="PageNumber"/>
      </w:rPr>
      <w:fldChar w:fldCharType="begin"/>
    </w:r>
    <w:r w:rsidR="00417FE7">
      <w:rPr>
        <w:rStyle w:val="PageNumber"/>
      </w:rPr>
      <w:instrText xml:space="preserve"> PAGE </w:instrText>
    </w:r>
    <w:r>
      <w:rPr>
        <w:rStyle w:val="PageNumber"/>
      </w:rPr>
      <w:fldChar w:fldCharType="separate"/>
    </w:r>
    <w:r w:rsidR="00A34B9D">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0CBF"/>
    <w:multiLevelType w:val="hybridMultilevel"/>
    <w:tmpl w:val="BE72D206"/>
    <w:lvl w:ilvl="0" w:tplc="B824C074">
      <w:start w:val="1"/>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nsid w:val="19480C61"/>
    <w:multiLevelType w:val="hybridMultilevel"/>
    <w:tmpl w:val="FE220036"/>
    <w:lvl w:ilvl="0" w:tplc="72F23A1C">
      <w:start w:val="2"/>
      <w:numFmt w:val="decimal"/>
      <w:lvlText w:val="%1."/>
      <w:lvlJc w:val="left"/>
      <w:pPr>
        <w:tabs>
          <w:tab w:val="num" w:pos="720"/>
        </w:tabs>
        <w:ind w:left="720" w:hanging="360"/>
      </w:pPr>
      <w:rPr>
        <w:rFonts w:hint="default"/>
        <w:b w:val="0"/>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97E31B7"/>
    <w:multiLevelType w:val="hybridMultilevel"/>
    <w:tmpl w:val="DB4C98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3716890"/>
    <w:multiLevelType w:val="hybridMultilevel"/>
    <w:tmpl w:val="73EE1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3A3DBD"/>
    <w:multiLevelType w:val="hybridMultilevel"/>
    <w:tmpl w:val="6414B1E2"/>
    <w:lvl w:ilvl="0" w:tplc="3D0ECE52">
      <w:start w:val="1"/>
      <w:numFmt w:val="bullet"/>
      <w:lvlText w:val=""/>
      <w:lvlJc w:val="left"/>
      <w:pPr>
        <w:tabs>
          <w:tab w:val="num" w:pos="780"/>
        </w:tabs>
        <w:ind w:left="780" w:hanging="360"/>
      </w:pPr>
      <w:rPr>
        <w:rFonts w:ascii="Symbol" w:hAnsi="Symbol" w:hint="default"/>
        <w:sz w:val="16"/>
        <w:szCs w:val="16"/>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6">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7">
    <w:nsid w:val="3B0B41E1"/>
    <w:multiLevelType w:val="hybridMultilevel"/>
    <w:tmpl w:val="57DE4F92"/>
    <w:lvl w:ilvl="0" w:tplc="D83E7D6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FD21EF8">
      <w:start w:val="2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9">
    <w:nsid w:val="44C21C54"/>
    <w:multiLevelType w:val="multilevel"/>
    <w:tmpl w:val="D924C8C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02"/>
        </w:tabs>
        <w:ind w:left="702" w:hanging="360"/>
      </w:pPr>
      <w:rPr>
        <w:rFonts w:ascii="Symbol" w:hAnsi="Symbol" w:hint="default"/>
        <w:b/>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7D3B041F"/>
    <w:multiLevelType w:val="hybridMultilevel"/>
    <w:tmpl w:val="AFEC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2">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1"/>
  </w:num>
  <w:num w:numId="3">
    <w:abstractNumId w:val="8"/>
  </w:num>
  <w:num w:numId="4">
    <w:abstractNumId w:val="12"/>
  </w:num>
  <w:num w:numId="5">
    <w:abstractNumId w:val="5"/>
  </w:num>
  <w:num w:numId="6">
    <w:abstractNumId w:val="9"/>
  </w:num>
  <w:num w:numId="7">
    <w:abstractNumId w:val="2"/>
  </w:num>
  <w:num w:numId="8">
    <w:abstractNumId w:val="4"/>
  </w:num>
  <w:num w:numId="9">
    <w:abstractNumId w:val="10"/>
  </w:num>
  <w:num w:numId="10">
    <w:abstractNumId w:val="3"/>
  </w:num>
  <w:num w:numId="11">
    <w:abstractNumId w:val="1"/>
  </w:num>
  <w:num w:numId="12">
    <w:abstractNumId w:val="7"/>
  </w:num>
  <w:num w:numId="13">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567"/>
  <w:doNotHyphenateCaps/>
  <w:drawingGridHorizontalSpacing w:val="187"/>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F69"/>
    <w:rsid w:val="00001163"/>
    <w:rsid w:val="000032E6"/>
    <w:rsid w:val="00005D75"/>
    <w:rsid w:val="00011934"/>
    <w:rsid w:val="00012002"/>
    <w:rsid w:val="000143F0"/>
    <w:rsid w:val="00017DB1"/>
    <w:rsid w:val="0003495D"/>
    <w:rsid w:val="00036829"/>
    <w:rsid w:val="0004425F"/>
    <w:rsid w:val="00047A17"/>
    <w:rsid w:val="00051322"/>
    <w:rsid w:val="00051E49"/>
    <w:rsid w:val="000524E6"/>
    <w:rsid w:val="00057BB2"/>
    <w:rsid w:val="00061BE4"/>
    <w:rsid w:val="00062A18"/>
    <w:rsid w:val="000675ED"/>
    <w:rsid w:val="00076248"/>
    <w:rsid w:val="000778BA"/>
    <w:rsid w:val="00082683"/>
    <w:rsid w:val="00085DC8"/>
    <w:rsid w:val="000876DA"/>
    <w:rsid w:val="000A0C14"/>
    <w:rsid w:val="000B263E"/>
    <w:rsid w:val="000B275F"/>
    <w:rsid w:val="000B7081"/>
    <w:rsid w:val="000C1DDB"/>
    <w:rsid w:val="000C302B"/>
    <w:rsid w:val="000D25C3"/>
    <w:rsid w:val="000D6A12"/>
    <w:rsid w:val="000D6AB6"/>
    <w:rsid w:val="000E29AB"/>
    <w:rsid w:val="000E4252"/>
    <w:rsid w:val="000E5E9F"/>
    <w:rsid w:val="000F625B"/>
    <w:rsid w:val="000F6922"/>
    <w:rsid w:val="00102949"/>
    <w:rsid w:val="00102DC5"/>
    <w:rsid w:val="00111414"/>
    <w:rsid w:val="001121E4"/>
    <w:rsid w:val="00112855"/>
    <w:rsid w:val="0011576C"/>
    <w:rsid w:val="001203BA"/>
    <w:rsid w:val="001218B3"/>
    <w:rsid w:val="00124B4D"/>
    <w:rsid w:val="00125904"/>
    <w:rsid w:val="00126DDA"/>
    <w:rsid w:val="00127A05"/>
    <w:rsid w:val="00151974"/>
    <w:rsid w:val="0015209C"/>
    <w:rsid w:val="00164400"/>
    <w:rsid w:val="001661D0"/>
    <w:rsid w:val="00167189"/>
    <w:rsid w:val="001712F0"/>
    <w:rsid w:val="001872D9"/>
    <w:rsid w:val="00194B26"/>
    <w:rsid w:val="00195D95"/>
    <w:rsid w:val="001969F3"/>
    <w:rsid w:val="001A5063"/>
    <w:rsid w:val="001A5851"/>
    <w:rsid w:val="001B3774"/>
    <w:rsid w:val="001C03F3"/>
    <w:rsid w:val="001C2C34"/>
    <w:rsid w:val="001C34C7"/>
    <w:rsid w:val="001D29F1"/>
    <w:rsid w:val="001D6C88"/>
    <w:rsid w:val="001E0434"/>
    <w:rsid w:val="001E26FC"/>
    <w:rsid w:val="001E4EC2"/>
    <w:rsid w:val="001F34EB"/>
    <w:rsid w:val="001F4779"/>
    <w:rsid w:val="00200BF3"/>
    <w:rsid w:val="002032CC"/>
    <w:rsid w:val="00205B24"/>
    <w:rsid w:val="00210AD6"/>
    <w:rsid w:val="00211506"/>
    <w:rsid w:val="00211EBF"/>
    <w:rsid w:val="002128CB"/>
    <w:rsid w:val="00213204"/>
    <w:rsid w:val="00214D30"/>
    <w:rsid w:val="00215491"/>
    <w:rsid w:val="00216474"/>
    <w:rsid w:val="0022217B"/>
    <w:rsid w:val="00223B6E"/>
    <w:rsid w:val="00230D84"/>
    <w:rsid w:val="00243DE7"/>
    <w:rsid w:val="0024601A"/>
    <w:rsid w:val="002524B2"/>
    <w:rsid w:val="00256964"/>
    <w:rsid w:val="002605C4"/>
    <w:rsid w:val="00263F6F"/>
    <w:rsid w:val="00265D15"/>
    <w:rsid w:val="00286148"/>
    <w:rsid w:val="00287CBE"/>
    <w:rsid w:val="00291C20"/>
    <w:rsid w:val="002943E3"/>
    <w:rsid w:val="00295B49"/>
    <w:rsid w:val="002A0C87"/>
    <w:rsid w:val="002A774D"/>
    <w:rsid w:val="002A7D2B"/>
    <w:rsid w:val="002B0370"/>
    <w:rsid w:val="002B1545"/>
    <w:rsid w:val="002B4941"/>
    <w:rsid w:val="002C42F9"/>
    <w:rsid w:val="002D105C"/>
    <w:rsid w:val="002D4F69"/>
    <w:rsid w:val="002D5C1F"/>
    <w:rsid w:val="002D7400"/>
    <w:rsid w:val="002E0CF4"/>
    <w:rsid w:val="002E378C"/>
    <w:rsid w:val="002E64EB"/>
    <w:rsid w:val="002E65C6"/>
    <w:rsid w:val="002F0054"/>
    <w:rsid w:val="002F1BA9"/>
    <w:rsid w:val="002F2948"/>
    <w:rsid w:val="002F38BD"/>
    <w:rsid w:val="00302882"/>
    <w:rsid w:val="00303508"/>
    <w:rsid w:val="00305A17"/>
    <w:rsid w:val="00305F11"/>
    <w:rsid w:val="00311EBC"/>
    <w:rsid w:val="00317A5F"/>
    <w:rsid w:val="00324C19"/>
    <w:rsid w:val="003307C0"/>
    <w:rsid w:val="0033167C"/>
    <w:rsid w:val="003317B8"/>
    <w:rsid w:val="003358A8"/>
    <w:rsid w:val="00337171"/>
    <w:rsid w:val="003433A5"/>
    <w:rsid w:val="00347A71"/>
    <w:rsid w:val="00347BC0"/>
    <w:rsid w:val="00357C08"/>
    <w:rsid w:val="00360AC6"/>
    <w:rsid w:val="003632AF"/>
    <w:rsid w:val="003740C9"/>
    <w:rsid w:val="00375498"/>
    <w:rsid w:val="0038771F"/>
    <w:rsid w:val="00392396"/>
    <w:rsid w:val="00393DA6"/>
    <w:rsid w:val="0039404D"/>
    <w:rsid w:val="0039738E"/>
    <w:rsid w:val="003A0DAB"/>
    <w:rsid w:val="003A719C"/>
    <w:rsid w:val="003B105A"/>
    <w:rsid w:val="003B2559"/>
    <w:rsid w:val="003B29F9"/>
    <w:rsid w:val="003B430A"/>
    <w:rsid w:val="003B7C56"/>
    <w:rsid w:val="003C1401"/>
    <w:rsid w:val="003C3D3E"/>
    <w:rsid w:val="003C570F"/>
    <w:rsid w:val="003D44FD"/>
    <w:rsid w:val="003D6A50"/>
    <w:rsid w:val="003D7C6B"/>
    <w:rsid w:val="003E34E7"/>
    <w:rsid w:val="003F0C18"/>
    <w:rsid w:val="003F19D3"/>
    <w:rsid w:val="003F27A3"/>
    <w:rsid w:val="00401E69"/>
    <w:rsid w:val="004108C8"/>
    <w:rsid w:val="00410B90"/>
    <w:rsid w:val="004123BD"/>
    <w:rsid w:val="00414E10"/>
    <w:rsid w:val="004154C4"/>
    <w:rsid w:val="00417FE7"/>
    <w:rsid w:val="0042449C"/>
    <w:rsid w:val="00427A7C"/>
    <w:rsid w:val="00431304"/>
    <w:rsid w:val="00435A64"/>
    <w:rsid w:val="00440A44"/>
    <w:rsid w:val="004467DF"/>
    <w:rsid w:val="004551EA"/>
    <w:rsid w:val="00457E45"/>
    <w:rsid w:val="0046026E"/>
    <w:rsid w:val="004623EA"/>
    <w:rsid w:val="00462957"/>
    <w:rsid w:val="004637E0"/>
    <w:rsid w:val="0046723B"/>
    <w:rsid w:val="00472AF5"/>
    <w:rsid w:val="00475910"/>
    <w:rsid w:val="0048094F"/>
    <w:rsid w:val="00480FFB"/>
    <w:rsid w:val="004818B3"/>
    <w:rsid w:val="004840A4"/>
    <w:rsid w:val="004875AE"/>
    <w:rsid w:val="004A4660"/>
    <w:rsid w:val="004B517D"/>
    <w:rsid w:val="004C3ED2"/>
    <w:rsid w:val="004C4D3D"/>
    <w:rsid w:val="004C51A7"/>
    <w:rsid w:val="004C7F01"/>
    <w:rsid w:val="004D218F"/>
    <w:rsid w:val="004D26B3"/>
    <w:rsid w:val="004D28FA"/>
    <w:rsid w:val="004D5890"/>
    <w:rsid w:val="004E1358"/>
    <w:rsid w:val="004E1B88"/>
    <w:rsid w:val="004E4A83"/>
    <w:rsid w:val="004F0DD8"/>
    <w:rsid w:val="005021D6"/>
    <w:rsid w:val="00506459"/>
    <w:rsid w:val="00513A3F"/>
    <w:rsid w:val="00513E98"/>
    <w:rsid w:val="00514BC9"/>
    <w:rsid w:val="005177A1"/>
    <w:rsid w:val="005250EE"/>
    <w:rsid w:val="00525ECB"/>
    <w:rsid w:val="00527C63"/>
    <w:rsid w:val="00530D75"/>
    <w:rsid w:val="00535DAA"/>
    <w:rsid w:val="0054217F"/>
    <w:rsid w:val="00544B88"/>
    <w:rsid w:val="00552D66"/>
    <w:rsid w:val="0055388B"/>
    <w:rsid w:val="00556294"/>
    <w:rsid w:val="005564F0"/>
    <w:rsid w:val="0055698E"/>
    <w:rsid w:val="00557638"/>
    <w:rsid w:val="0056587E"/>
    <w:rsid w:val="005672A1"/>
    <w:rsid w:val="00567A12"/>
    <w:rsid w:val="0058311D"/>
    <w:rsid w:val="0059669E"/>
    <w:rsid w:val="005A0611"/>
    <w:rsid w:val="005A0BA0"/>
    <w:rsid w:val="005A4484"/>
    <w:rsid w:val="005B3E8E"/>
    <w:rsid w:val="005B4C83"/>
    <w:rsid w:val="005C384E"/>
    <w:rsid w:val="005C6F4F"/>
    <w:rsid w:val="005D0672"/>
    <w:rsid w:val="005D3546"/>
    <w:rsid w:val="005D7433"/>
    <w:rsid w:val="005E345B"/>
    <w:rsid w:val="005E6940"/>
    <w:rsid w:val="005F0E60"/>
    <w:rsid w:val="005F4691"/>
    <w:rsid w:val="00600537"/>
    <w:rsid w:val="0060541D"/>
    <w:rsid w:val="006060AA"/>
    <w:rsid w:val="00612E87"/>
    <w:rsid w:val="0061626E"/>
    <w:rsid w:val="006167D6"/>
    <w:rsid w:val="00617215"/>
    <w:rsid w:val="00620323"/>
    <w:rsid w:val="00627663"/>
    <w:rsid w:val="00631427"/>
    <w:rsid w:val="00641548"/>
    <w:rsid w:val="006466B5"/>
    <w:rsid w:val="00646703"/>
    <w:rsid w:val="006516ED"/>
    <w:rsid w:val="00651C3E"/>
    <w:rsid w:val="006606D3"/>
    <w:rsid w:val="00662776"/>
    <w:rsid w:val="00662795"/>
    <w:rsid w:val="00666D79"/>
    <w:rsid w:val="0067608E"/>
    <w:rsid w:val="006806F6"/>
    <w:rsid w:val="00685933"/>
    <w:rsid w:val="00686885"/>
    <w:rsid w:val="006871E2"/>
    <w:rsid w:val="00695009"/>
    <w:rsid w:val="006971C4"/>
    <w:rsid w:val="006A4908"/>
    <w:rsid w:val="006A5143"/>
    <w:rsid w:val="006B3A47"/>
    <w:rsid w:val="006C26F5"/>
    <w:rsid w:val="006D0556"/>
    <w:rsid w:val="006D0A7E"/>
    <w:rsid w:val="006D0F6A"/>
    <w:rsid w:val="006D5506"/>
    <w:rsid w:val="006D7819"/>
    <w:rsid w:val="006E202B"/>
    <w:rsid w:val="006E2CEF"/>
    <w:rsid w:val="006E50C4"/>
    <w:rsid w:val="006F18CB"/>
    <w:rsid w:val="006F2115"/>
    <w:rsid w:val="006F49DF"/>
    <w:rsid w:val="00716301"/>
    <w:rsid w:val="007317F4"/>
    <w:rsid w:val="00731BBB"/>
    <w:rsid w:val="00737B69"/>
    <w:rsid w:val="007409A7"/>
    <w:rsid w:val="007420FB"/>
    <w:rsid w:val="00750260"/>
    <w:rsid w:val="00750CFB"/>
    <w:rsid w:val="0076118F"/>
    <w:rsid w:val="007649E2"/>
    <w:rsid w:val="00772596"/>
    <w:rsid w:val="00777006"/>
    <w:rsid w:val="00777122"/>
    <w:rsid w:val="00782949"/>
    <w:rsid w:val="00783878"/>
    <w:rsid w:val="00792B6B"/>
    <w:rsid w:val="00794C57"/>
    <w:rsid w:val="00797AB2"/>
    <w:rsid w:val="007A026C"/>
    <w:rsid w:val="007A3EB1"/>
    <w:rsid w:val="007A44CD"/>
    <w:rsid w:val="007B0638"/>
    <w:rsid w:val="007B160A"/>
    <w:rsid w:val="007B6E90"/>
    <w:rsid w:val="007C46D3"/>
    <w:rsid w:val="007C6C0F"/>
    <w:rsid w:val="007C75C2"/>
    <w:rsid w:val="007D074E"/>
    <w:rsid w:val="007D5D14"/>
    <w:rsid w:val="007E6644"/>
    <w:rsid w:val="007F14DF"/>
    <w:rsid w:val="007F6DC9"/>
    <w:rsid w:val="007F6ED2"/>
    <w:rsid w:val="00803FC0"/>
    <w:rsid w:val="0081255B"/>
    <w:rsid w:val="008223D9"/>
    <w:rsid w:val="0082340C"/>
    <w:rsid w:val="00823B52"/>
    <w:rsid w:val="00826E97"/>
    <w:rsid w:val="00844783"/>
    <w:rsid w:val="00847D45"/>
    <w:rsid w:val="00852317"/>
    <w:rsid w:val="00862B91"/>
    <w:rsid w:val="00871E48"/>
    <w:rsid w:val="00881A6C"/>
    <w:rsid w:val="0088504A"/>
    <w:rsid w:val="008A0EDA"/>
    <w:rsid w:val="008A2E53"/>
    <w:rsid w:val="008B45B8"/>
    <w:rsid w:val="008B552C"/>
    <w:rsid w:val="008B60A5"/>
    <w:rsid w:val="008C1613"/>
    <w:rsid w:val="008C3120"/>
    <w:rsid w:val="008D10C0"/>
    <w:rsid w:val="008D54BB"/>
    <w:rsid w:val="008E506C"/>
    <w:rsid w:val="008F3FA0"/>
    <w:rsid w:val="008F5D38"/>
    <w:rsid w:val="008F69B2"/>
    <w:rsid w:val="008F79B8"/>
    <w:rsid w:val="0090006D"/>
    <w:rsid w:val="009104C4"/>
    <w:rsid w:val="00911E9C"/>
    <w:rsid w:val="00913B2A"/>
    <w:rsid w:val="0091749F"/>
    <w:rsid w:val="00923C0E"/>
    <w:rsid w:val="00925C18"/>
    <w:rsid w:val="00934DD2"/>
    <w:rsid w:val="0093644D"/>
    <w:rsid w:val="00937092"/>
    <w:rsid w:val="0094284C"/>
    <w:rsid w:val="00961E6C"/>
    <w:rsid w:val="009638AB"/>
    <w:rsid w:val="00963D2D"/>
    <w:rsid w:val="00963FBD"/>
    <w:rsid w:val="00966F16"/>
    <w:rsid w:val="009725F6"/>
    <w:rsid w:val="00973A7C"/>
    <w:rsid w:val="0097471D"/>
    <w:rsid w:val="00987449"/>
    <w:rsid w:val="00994DAD"/>
    <w:rsid w:val="009A0904"/>
    <w:rsid w:val="009A19DC"/>
    <w:rsid w:val="009A4DC0"/>
    <w:rsid w:val="009A6B09"/>
    <w:rsid w:val="009A6F2C"/>
    <w:rsid w:val="009A6F9A"/>
    <w:rsid w:val="009B505D"/>
    <w:rsid w:val="009C15D9"/>
    <w:rsid w:val="009D5AF1"/>
    <w:rsid w:val="009D5EBD"/>
    <w:rsid w:val="009D79B0"/>
    <w:rsid w:val="009E1A87"/>
    <w:rsid w:val="009E2301"/>
    <w:rsid w:val="009E2516"/>
    <w:rsid w:val="009E65F5"/>
    <w:rsid w:val="009E68D3"/>
    <w:rsid w:val="009F1162"/>
    <w:rsid w:val="009F200F"/>
    <w:rsid w:val="009F7799"/>
    <w:rsid w:val="009F7D17"/>
    <w:rsid w:val="00A00145"/>
    <w:rsid w:val="00A0110C"/>
    <w:rsid w:val="00A06970"/>
    <w:rsid w:val="00A13459"/>
    <w:rsid w:val="00A136E2"/>
    <w:rsid w:val="00A20661"/>
    <w:rsid w:val="00A20AAA"/>
    <w:rsid w:val="00A27231"/>
    <w:rsid w:val="00A344A1"/>
    <w:rsid w:val="00A34B9D"/>
    <w:rsid w:val="00A3544A"/>
    <w:rsid w:val="00A36200"/>
    <w:rsid w:val="00A36F7D"/>
    <w:rsid w:val="00A4441E"/>
    <w:rsid w:val="00A547E1"/>
    <w:rsid w:val="00A549A2"/>
    <w:rsid w:val="00A6314F"/>
    <w:rsid w:val="00A63913"/>
    <w:rsid w:val="00A652A1"/>
    <w:rsid w:val="00A71943"/>
    <w:rsid w:val="00A72356"/>
    <w:rsid w:val="00A86887"/>
    <w:rsid w:val="00A900C2"/>
    <w:rsid w:val="00A96097"/>
    <w:rsid w:val="00A961EC"/>
    <w:rsid w:val="00AA264E"/>
    <w:rsid w:val="00AA52A3"/>
    <w:rsid w:val="00AA5A06"/>
    <w:rsid w:val="00AA60B6"/>
    <w:rsid w:val="00AB17DC"/>
    <w:rsid w:val="00AC7C42"/>
    <w:rsid w:val="00AD2078"/>
    <w:rsid w:val="00AE467C"/>
    <w:rsid w:val="00AE53EC"/>
    <w:rsid w:val="00AF0035"/>
    <w:rsid w:val="00AF420A"/>
    <w:rsid w:val="00B0026E"/>
    <w:rsid w:val="00B015EE"/>
    <w:rsid w:val="00B04501"/>
    <w:rsid w:val="00B06AAC"/>
    <w:rsid w:val="00B17B9F"/>
    <w:rsid w:val="00B240F4"/>
    <w:rsid w:val="00B34D9C"/>
    <w:rsid w:val="00B34E9A"/>
    <w:rsid w:val="00B352F1"/>
    <w:rsid w:val="00B40A4A"/>
    <w:rsid w:val="00B55E0B"/>
    <w:rsid w:val="00B7470F"/>
    <w:rsid w:val="00B75271"/>
    <w:rsid w:val="00B806D9"/>
    <w:rsid w:val="00B86D95"/>
    <w:rsid w:val="00B90648"/>
    <w:rsid w:val="00B927D1"/>
    <w:rsid w:val="00B9388D"/>
    <w:rsid w:val="00B950C3"/>
    <w:rsid w:val="00B95A76"/>
    <w:rsid w:val="00BA42FC"/>
    <w:rsid w:val="00BB5423"/>
    <w:rsid w:val="00BC1C4F"/>
    <w:rsid w:val="00BE03A0"/>
    <w:rsid w:val="00BE13FB"/>
    <w:rsid w:val="00BE5AAD"/>
    <w:rsid w:val="00BE5AB4"/>
    <w:rsid w:val="00BE646E"/>
    <w:rsid w:val="00BF0F48"/>
    <w:rsid w:val="00BF4147"/>
    <w:rsid w:val="00C00665"/>
    <w:rsid w:val="00C0105E"/>
    <w:rsid w:val="00C01688"/>
    <w:rsid w:val="00C0328F"/>
    <w:rsid w:val="00C04515"/>
    <w:rsid w:val="00C165D9"/>
    <w:rsid w:val="00C20366"/>
    <w:rsid w:val="00C23CD3"/>
    <w:rsid w:val="00C24B75"/>
    <w:rsid w:val="00C27C9B"/>
    <w:rsid w:val="00C3003E"/>
    <w:rsid w:val="00C34138"/>
    <w:rsid w:val="00C35313"/>
    <w:rsid w:val="00C4193E"/>
    <w:rsid w:val="00C428B0"/>
    <w:rsid w:val="00C44830"/>
    <w:rsid w:val="00C44E1F"/>
    <w:rsid w:val="00C4646F"/>
    <w:rsid w:val="00C46DA6"/>
    <w:rsid w:val="00C474E0"/>
    <w:rsid w:val="00C50707"/>
    <w:rsid w:val="00C50BE8"/>
    <w:rsid w:val="00C519DD"/>
    <w:rsid w:val="00C5405D"/>
    <w:rsid w:val="00C54D4E"/>
    <w:rsid w:val="00C5660F"/>
    <w:rsid w:val="00C579FE"/>
    <w:rsid w:val="00C60964"/>
    <w:rsid w:val="00C73D30"/>
    <w:rsid w:val="00C8123B"/>
    <w:rsid w:val="00C83A1C"/>
    <w:rsid w:val="00C87D1D"/>
    <w:rsid w:val="00C87E5B"/>
    <w:rsid w:val="00C92D07"/>
    <w:rsid w:val="00CB0E17"/>
    <w:rsid w:val="00CB2318"/>
    <w:rsid w:val="00CB2459"/>
    <w:rsid w:val="00CC065A"/>
    <w:rsid w:val="00CC526E"/>
    <w:rsid w:val="00CD0AC6"/>
    <w:rsid w:val="00CE1DBF"/>
    <w:rsid w:val="00CE3A08"/>
    <w:rsid w:val="00CE4CD2"/>
    <w:rsid w:val="00CE641B"/>
    <w:rsid w:val="00CF1A1C"/>
    <w:rsid w:val="00CF6E6A"/>
    <w:rsid w:val="00D04E5B"/>
    <w:rsid w:val="00D11ACD"/>
    <w:rsid w:val="00D15694"/>
    <w:rsid w:val="00D17A17"/>
    <w:rsid w:val="00D21A28"/>
    <w:rsid w:val="00D2248B"/>
    <w:rsid w:val="00D25563"/>
    <w:rsid w:val="00D2612F"/>
    <w:rsid w:val="00D27D35"/>
    <w:rsid w:val="00D40465"/>
    <w:rsid w:val="00D65F7F"/>
    <w:rsid w:val="00D7271D"/>
    <w:rsid w:val="00D74651"/>
    <w:rsid w:val="00D80AC9"/>
    <w:rsid w:val="00D822F9"/>
    <w:rsid w:val="00D82421"/>
    <w:rsid w:val="00D8462A"/>
    <w:rsid w:val="00D95F38"/>
    <w:rsid w:val="00D966EB"/>
    <w:rsid w:val="00DB0DD1"/>
    <w:rsid w:val="00DB3181"/>
    <w:rsid w:val="00DB6D79"/>
    <w:rsid w:val="00DC3F01"/>
    <w:rsid w:val="00DD59BF"/>
    <w:rsid w:val="00DE6783"/>
    <w:rsid w:val="00DF3E8E"/>
    <w:rsid w:val="00DF7F5E"/>
    <w:rsid w:val="00E17A7F"/>
    <w:rsid w:val="00E22ECC"/>
    <w:rsid w:val="00E26C19"/>
    <w:rsid w:val="00E26F80"/>
    <w:rsid w:val="00E3063D"/>
    <w:rsid w:val="00E314D8"/>
    <w:rsid w:val="00E32EBA"/>
    <w:rsid w:val="00E464C6"/>
    <w:rsid w:val="00E51F79"/>
    <w:rsid w:val="00E55B1D"/>
    <w:rsid w:val="00E60B39"/>
    <w:rsid w:val="00E65E42"/>
    <w:rsid w:val="00E70247"/>
    <w:rsid w:val="00E72B79"/>
    <w:rsid w:val="00E72F6A"/>
    <w:rsid w:val="00E77BD9"/>
    <w:rsid w:val="00E82CE9"/>
    <w:rsid w:val="00E83CAA"/>
    <w:rsid w:val="00E862E8"/>
    <w:rsid w:val="00E914DB"/>
    <w:rsid w:val="00E9308C"/>
    <w:rsid w:val="00E97731"/>
    <w:rsid w:val="00EB1727"/>
    <w:rsid w:val="00EB2452"/>
    <w:rsid w:val="00EB7540"/>
    <w:rsid w:val="00EC1E31"/>
    <w:rsid w:val="00EC6A4E"/>
    <w:rsid w:val="00ED3B38"/>
    <w:rsid w:val="00ED40A2"/>
    <w:rsid w:val="00ED7348"/>
    <w:rsid w:val="00EE4302"/>
    <w:rsid w:val="00EE44BE"/>
    <w:rsid w:val="00EE6C7D"/>
    <w:rsid w:val="00EF36A4"/>
    <w:rsid w:val="00EF4F6D"/>
    <w:rsid w:val="00F02249"/>
    <w:rsid w:val="00F02B4B"/>
    <w:rsid w:val="00F05D17"/>
    <w:rsid w:val="00F065FC"/>
    <w:rsid w:val="00F0743D"/>
    <w:rsid w:val="00F156F5"/>
    <w:rsid w:val="00F163B5"/>
    <w:rsid w:val="00F21356"/>
    <w:rsid w:val="00F247C9"/>
    <w:rsid w:val="00F26A4C"/>
    <w:rsid w:val="00F275F4"/>
    <w:rsid w:val="00F27854"/>
    <w:rsid w:val="00F30527"/>
    <w:rsid w:val="00F30BE4"/>
    <w:rsid w:val="00F40F10"/>
    <w:rsid w:val="00F45E7C"/>
    <w:rsid w:val="00F46911"/>
    <w:rsid w:val="00F5070E"/>
    <w:rsid w:val="00F71A6B"/>
    <w:rsid w:val="00F76983"/>
    <w:rsid w:val="00F76AA9"/>
    <w:rsid w:val="00F80AC6"/>
    <w:rsid w:val="00F812A2"/>
    <w:rsid w:val="00F8334E"/>
    <w:rsid w:val="00F9389E"/>
    <w:rsid w:val="00F93B0C"/>
    <w:rsid w:val="00F9410F"/>
    <w:rsid w:val="00FA2DE6"/>
    <w:rsid w:val="00FA481D"/>
    <w:rsid w:val="00FA5AC7"/>
    <w:rsid w:val="00FC1606"/>
    <w:rsid w:val="00FC60FA"/>
    <w:rsid w:val="00FD0563"/>
    <w:rsid w:val="00FD14F5"/>
    <w:rsid w:val="00FD7F07"/>
    <w:rsid w:val="00FE1153"/>
    <w:rsid w:val="00FE2C2F"/>
    <w:rsid w:val="00FE39B5"/>
    <w:rsid w:val="00FE474B"/>
    <w:rsid w:val="00FF08E3"/>
    <w:rsid w:val="00FF0C54"/>
    <w:rsid w:val="00FF492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A3F"/>
    <w:pPr>
      <w:spacing w:before="240"/>
    </w:pPr>
    <w:rPr>
      <w:sz w:val="24"/>
      <w:szCs w:val="24"/>
    </w:rPr>
  </w:style>
  <w:style w:type="paragraph" w:styleId="Heading1">
    <w:name w:val="heading 1"/>
    <w:basedOn w:val="Normal"/>
    <w:next w:val="Normal"/>
    <w:qFormat/>
    <w:rsid w:val="00513A3F"/>
    <w:pPr>
      <w:keepNext/>
      <w:numPr>
        <w:numId w:val="4"/>
      </w:numPr>
      <w:spacing w:before="0"/>
      <w:outlineLvl w:val="0"/>
    </w:pPr>
    <w:rPr>
      <w:b/>
      <w:bCs/>
      <w:caps/>
    </w:rPr>
  </w:style>
  <w:style w:type="paragraph" w:styleId="Heading2">
    <w:name w:val="heading 2"/>
    <w:basedOn w:val="Normal"/>
    <w:next w:val="Normal"/>
    <w:qFormat/>
    <w:rsid w:val="00513A3F"/>
    <w:pPr>
      <w:keepNext/>
      <w:numPr>
        <w:ilvl w:val="1"/>
        <w:numId w:val="4"/>
      </w:numPr>
      <w:spacing w:before="360" w:after="60"/>
      <w:outlineLvl w:val="1"/>
    </w:pPr>
    <w:rPr>
      <w:b/>
      <w:bCs/>
    </w:rPr>
  </w:style>
  <w:style w:type="paragraph" w:styleId="Heading3">
    <w:name w:val="heading 3"/>
    <w:basedOn w:val="Normal"/>
    <w:next w:val="Normal"/>
    <w:qFormat/>
    <w:rsid w:val="00513A3F"/>
    <w:pPr>
      <w:keepNext/>
      <w:tabs>
        <w:tab w:val="left" w:pos="720"/>
      </w:tabs>
      <w:spacing w:before="360" w:after="120"/>
      <w:ind w:left="720" w:hanging="720"/>
      <w:outlineLvl w:val="2"/>
    </w:pPr>
    <w:rPr>
      <w:b/>
      <w:bCs/>
      <w:i/>
      <w:iCs/>
    </w:rPr>
  </w:style>
  <w:style w:type="paragraph" w:styleId="Heading4">
    <w:name w:val="heading 4"/>
    <w:basedOn w:val="Normal"/>
    <w:next w:val="Normal"/>
    <w:qFormat/>
    <w:rsid w:val="00513A3F"/>
    <w:pPr>
      <w:keepNext/>
      <w:ind w:right="91"/>
      <w:jc w:val="right"/>
      <w:outlineLvl w:val="3"/>
    </w:pPr>
  </w:style>
  <w:style w:type="paragraph" w:styleId="Heading5">
    <w:name w:val="heading 5"/>
    <w:basedOn w:val="Normal"/>
    <w:next w:val="Normal"/>
    <w:qFormat/>
    <w:rsid w:val="00513A3F"/>
    <w:pPr>
      <w:keepNext/>
      <w:tabs>
        <w:tab w:val="left" w:pos="2018"/>
      </w:tabs>
      <w:spacing w:line="240" w:lineRule="exact"/>
      <w:ind w:left="742" w:right="91"/>
      <w:outlineLvl w:val="4"/>
    </w:pPr>
    <w:rPr>
      <w:b/>
      <w:bCs/>
    </w:rPr>
  </w:style>
  <w:style w:type="paragraph" w:styleId="Heading6">
    <w:name w:val="heading 6"/>
    <w:basedOn w:val="Normal"/>
    <w:next w:val="Normal"/>
    <w:qFormat/>
    <w:rsid w:val="00513A3F"/>
    <w:pPr>
      <w:keepNext/>
      <w:ind w:right="91"/>
      <w:outlineLvl w:val="5"/>
    </w:pPr>
    <w:rPr>
      <w:u w:val="single"/>
    </w:rPr>
  </w:style>
  <w:style w:type="paragraph" w:styleId="Heading7">
    <w:name w:val="heading 7"/>
    <w:basedOn w:val="Normal"/>
    <w:next w:val="Normal"/>
    <w:qFormat/>
    <w:rsid w:val="00513A3F"/>
    <w:pPr>
      <w:keepNext/>
      <w:ind w:left="176" w:firstLine="1264"/>
      <w:jc w:val="both"/>
      <w:outlineLvl w:val="6"/>
    </w:pPr>
  </w:style>
  <w:style w:type="paragraph" w:styleId="Heading8">
    <w:name w:val="heading 8"/>
    <w:basedOn w:val="Normal"/>
    <w:next w:val="Normal"/>
    <w:qFormat/>
    <w:rsid w:val="00513A3F"/>
    <w:pPr>
      <w:keepNext/>
      <w:tabs>
        <w:tab w:val="left" w:pos="4002"/>
      </w:tabs>
      <w:ind w:left="3216" w:hanging="347"/>
      <w:outlineLvl w:val="7"/>
    </w:pPr>
  </w:style>
  <w:style w:type="paragraph" w:styleId="Heading9">
    <w:name w:val="heading 9"/>
    <w:basedOn w:val="Normal"/>
    <w:next w:val="Normal"/>
    <w:qFormat/>
    <w:rsid w:val="00513A3F"/>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3A3F"/>
    <w:pPr>
      <w:tabs>
        <w:tab w:val="center" w:pos="4153"/>
        <w:tab w:val="right" w:pos="8306"/>
      </w:tabs>
    </w:pPr>
  </w:style>
  <w:style w:type="paragraph" w:customStyle="1" w:styleId="HB-Table-dotpoint">
    <w:name w:val="HB - Table - dot point"/>
    <w:basedOn w:val="Normal"/>
    <w:rsid w:val="00513A3F"/>
    <w:pPr>
      <w:numPr>
        <w:numId w:val="5"/>
      </w:numPr>
      <w:tabs>
        <w:tab w:val="num" w:pos="567"/>
      </w:tabs>
      <w:spacing w:before="120" w:after="120"/>
      <w:ind w:left="567" w:hanging="425"/>
    </w:pPr>
  </w:style>
  <w:style w:type="paragraph" w:customStyle="1" w:styleId="Appendix">
    <w:name w:val="Appendix"/>
    <w:basedOn w:val="Normal"/>
    <w:rsid w:val="00513A3F"/>
    <w:pPr>
      <w:spacing w:before="0"/>
      <w:jc w:val="right"/>
    </w:pPr>
    <w:rPr>
      <w:b/>
      <w:bCs/>
    </w:rPr>
  </w:style>
  <w:style w:type="character" w:customStyle="1" w:styleId="AppendixCharChar">
    <w:name w:val="Appendix Char Char"/>
    <w:rsid w:val="00513A3F"/>
    <w:rPr>
      <w:b/>
      <w:bCs/>
      <w:sz w:val="24"/>
      <w:szCs w:val="24"/>
      <w:lang w:val="en-AU" w:eastAsia="en-AU"/>
    </w:rPr>
  </w:style>
  <w:style w:type="paragraph" w:styleId="BlockText">
    <w:name w:val="Block Text"/>
    <w:basedOn w:val="Normal"/>
    <w:rsid w:val="00513A3F"/>
    <w:pPr>
      <w:ind w:left="1440" w:right="90" w:hanging="720"/>
    </w:pPr>
  </w:style>
  <w:style w:type="paragraph" w:customStyle="1" w:styleId="AppendixTitle">
    <w:name w:val="Appendix Title"/>
    <w:basedOn w:val="Normal"/>
    <w:rsid w:val="00513A3F"/>
    <w:pPr>
      <w:jc w:val="center"/>
    </w:pPr>
    <w:rPr>
      <w:b/>
      <w:bCs/>
    </w:rPr>
  </w:style>
  <w:style w:type="paragraph" w:styleId="DocumentMap">
    <w:name w:val="Document Map"/>
    <w:basedOn w:val="Normal"/>
    <w:semiHidden/>
    <w:rsid w:val="00513A3F"/>
    <w:pPr>
      <w:shd w:val="clear" w:color="auto" w:fill="000080"/>
    </w:pPr>
    <w:rPr>
      <w:rFonts w:ascii="Tahoma" w:hAnsi="Tahoma" w:cs="Tahoma"/>
      <w:sz w:val="20"/>
      <w:szCs w:val="20"/>
    </w:rPr>
  </w:style>
  <w:style w:type="paragraph" w:styleId="TOC1">
    <w:name w:val="toc 1"/>
    <w:basedOn w:val="Normal"/>
    <w:next w:val="Normal"/>
    <w:autoRedefine/>
    <w:semiHidden/>
    <w:rsid w:val="00513A3F"/>
    <w:pPr>
      <w:tabs>
        <w:tab w:val="left" w:pos="284"/>
        <w:tab w:val="right" w:leader="dot" w:pos="8303"/>
      </w:tabs>
      <w:spacing w:before="120" w:after="120"/>
      <w:ind w:left="284" w:hanging="284"/>
    </w:pPr>
    <w:rPr>
      <w:b/>
      <w:bCs/>
    </w:rPr>
  </w:style>
  <w:style w:type="paragraph" w:styleId="TOC2">
    <w:name w:val="toc 2"/>
    <w:basedOn w:val="Normal"/>
    <w:next w:val="Normal"/>
    <w:autoRedefine/>
    <w:semiHidden/>
    <w:rsid w:val="00513A3F"/>
    <w:pPr>
      <w:spacing w:before="120" w:after="120"/>
      <w:ind w:left="240"/>
    </w:pPr>
  </w:style>
  <w:style w:type="paragraph" w:styleId="TOC3">
    <w:name w:val="toc 3"/>
    <w:basedOn w:val="Normal"/>
    <w:next w:val="Normal"/>
    <w:autoRedefine/>
    <w:semiHidden/>
    <w:rsid w:val="00513A3F"/>
    <w:pPr>
      <w:spacing w:before="120" w:after="120"/>
      <w:ind w:left="480"/>
    </w:pPr>
    <w:rPr>
      <w:i/>
      <w:iCs/>
    </w:rPr>
  </w:style>
  <w:style w:type="paragraph" w:styleId="TOC4">
    <w:name w:val="toc 4"/>
    <w:basedOn w:val="Normal"/>
    <w:next w:val="Normal"/>
    <w:autoRedefine/>
    <w:semiHidden/>
    <w:rsid w:val="00513A3F"/>
    <w:pPr>
      <w:ind w:left="720"/>
    </w:pPr>
    <w:rPr>
      <w:sz w:val="18"/>
      <w:szCs w:val="18"/>
    </w:rPr>
  </w:style>
  <w:style w:type="paragraph" w:styleId="TOC5">
    <w:name w:val="toc 5"/>
    <w:basedOn w:val="Normal"/>
    <w:next w:val="Normal"/>
    <w:autoRedefine/>
    <w:semiHidden/>
    <w:rsid w:val="00513A3F"/>
    <w:pPr>
      <w:ind w:left="960"/>
    </w:pPr>
    <w:rPr>
      <w:sz w:val="18"/>
      <w:szCs w:val="18"/>
    </w:rPr>
  </w:style>
  <w:style w:type="paragraph" w:styleId="TOC6">
    <w:name w:val="toc 6"/>
    <w:basedOn w:val="Normal"/>
    <w:next w:val="Normal"/>
    <w:autoRedefine/>
    <w:semiHidden/>
    <w:rsid w:val="00513A3F"/>
    <w:pPr>
      <w:ind w:left="1200"/>
    </w:pPr>
    <w:rPr>
      <w:sz w:val="18"/>
      <w:szCs w:val="18"/>
    </w:rPr>
  </w:style>
  <w:style w:type="paragraph" w:styleId="TOC7">
    <w:name w:val="toc 7"/>
    <w:basedOn w:val="Normal"/>
    <w:next w:val="Normal"/>
    <w:autoRedefine/>
    <w:semiHidden/>
    <w:rsid w:val="00513A3F"/>
    <w:pPr>
      <w:ind w:left="1440"/>
    </w:pPr>
    <w:rPr>
      <w:sz w:val="18"/>
      <w:szCs w:val="18"/>
    </w:rPr>
  </w:style>
  <w:style w:type="paragraph" w:styleId="TOC8">
    <w:name w:val="toc 8"/>
    <w:basedOn w:val="Normal"/>
    <w:next w:val="Normal"/>
    <w:autoRedefine/>
    <w:semiHidden/>
    <w:rsid w:val="00513A3F"/>
    <w:pPr>
      <w:ind w:left="1680"/>
    </w:pPr>
    <w:rPr>
      <w:sz w:val="18"/>
      <w:szCs w:val="18"/>
    </w:rPr>
  </w:style>
  <w:style w:type="paragraph" w:styleId="TOC9">
    <w:name w:val="toc 9"/>
    <w:basedOn w:val="Normal"/>
    <w:next w:val="Normal"/>
    <w:autoRedefine/>
    <w:semiHidden/>
    <w:rsid w:val="00513A3F"/>
    <w:pPr>
      <w:ind w:left="1920"/>
    </w:pPr>
    <w:rPr>
      <w:sz w:val="18"/>
      <w:szCs w:val="18"/>
    </w:rPr>
  </w:style>
  <w:style w:type="character" w:customStyle="1" w:styleId="HB-Paragraph-unnumberedCharChar">
    <w:name w:val="HB - Paragraph - unnumbered Char Char"/>
    <w:rsid w:val="00513A3F"/>
    <w:rPr>
      <w:sz w:val="24"/>
      <w:szCs w:val="24"/>
      <w:lang w:val="en-AU" w:eastAsia="en-AU"/>
    </w:rPr>
  </w:style>
  <w:style w:type="paragraph" w:customStyle="1" w:styleId="HB-Paragraph-unnumbered">
    <w:name w:val="HB - Paragraph - unnumbered"/>
    <w:basedOn w:val="Normal"/>
    <w:rsid w:val="00513A3F"/>
    <w:pPr>
      <w:ind w:left="851"/>
    </w:pPr>
  </w:style>
  <w:style w:type="paragraph" w:customStyle="1" w:styleId="HB-dotpoint">
    <w:name w:val="HB - dotpoint"/>
    <w:basedOn w:val="Normal"/>
    <w:rsid w:val="00513A3F"/>
    <w:pPr>
      <w:numPr>
        <w:numId w:val="1"/>
      </w:numPr>
      <w:spacing w:before="180"/>
    </w:pPr>
  </w:style>
  <w:style w:type="paragraph" w:customStyle="1" w:styleId="HBTOC1">
    <w:name w:val="HBTOC1"/>
    <w:basedOn w:val="TOC1"/>
    <w:autoRedefine/>
    <w:rsid w:val="00513A3F"/>
    <w:pPr>
      <w:tabs>
        <w:tab w:val="left" w:pos="720"/>
      </w:tabs>
      <w:spacing w:before="360"/>
      <w:ind w:left="1440" w:hanging="731"/>
    </w:pPr>
    <w:rPr>
      <w:caps/>
      <w:noProof/>
    </w:rPr>
  </w:style>
  <w:style w:type="paragraph" w:customStyle="1" w:styleId="HBTOC2">
    <w:name w:val="HBTOC2"/>
    <w:basedOn w:val="TOC2"/>
    <w:autoRedefine/>
    <w:rsid w:val="00513A3F"/>
    <w:pPr>
      <w:tabs>
        <w:tab w:val="left" w:pos="1440"/>
        <w:tab w:val="right" w:leader="dot" w:pos="8301"/>
      </w:tabs>
      <w:ind w:left="1440" w:hanging="720"/>
    </w:pPr>
    <w:rPr>
      <w:smallCaps/>
      <w:noProof/>
    </w:rPr>
  </w:style>
  <w:style w:type="paragraph" w:customStyle="1" w:styleId="HBTOC3">
    <w:name w:val="HBTOC3"/>
    <w:basedOn w:val="TOC3"/>
    <w:autoRedefine/>
    <w:rsid w:val="00513A3F"/>
    <w:pPr>
      <w:tabs>
        <w:tab w:val="right" w:pos="2268"/>
        <w:tab w:val="right" w:leader="dot" w:pos="8303"/>
      </w:tabs>
      <w:ind w:left="2160" w:hanging="720"/>
    </w:pPr>
    <w:rPr>
      <w:noProof/>
    </w:rPr>
  </w:style>
  <w:style w:type="paragraph" w:styleId="BalloonText">
    <w:name w:val="Balloon Text"/>
    <w:basedOn w:val="Normal"/>
    <w:semiHidden/>
    <w:rsid w:val="00513A3F"/>
    <w:rPr>
      <w:rFonts w:ascii="Tahoma" w:hAnsi="Tahoma" w:cs="Tahoma"/>
      <w:sz w:val="16"/>
      <w:szCs w:val="16"/>
    </w:rPr>
  </w:style>
  <w:style w:type="paragraph" w:customStyle="1" w:styleId="HB-Paragraph">
    <w:name w:val="HB - Paragraph"/>
    <w:basedOn w:val="Normal"/>
    <w:rsid w:val="00513A3F"/>
    <w:pPr>
      <w:numPr>
        <w:ilvl w:val="2"/>
        <w:numId w:val="4"/>
      </w:numPr>
      <w:spacing w:before="120" w:after="120"/>
    </w:pPr>
  </w:style>
  <w:style w:type="character" w:customStyle="1" w:styleId="HB-ParagraphCharChar">
    <w:name w:val="HB - Paragraph Char Char"/>
    <w:rsid w:val="00513A3F"/>
    <w:rPr>
      <w:sz w:val="24"/>
      <w:szCs w:val="24"/>
      <w:lang w:val="en-AU" w:eastAsia="en-AU"/>
    </w:rPr>
  </w:style>
  <w:style w:type="paragraph" w:customStyle="1" w:styleId="HB-Paragraph-alphpoint">
    <w:name w:val="HB - Paragraph - alph point"/>
    <w:basedOn w:val="Normal"/>
    <w:rsid w:val="00513A3F"/>
    <w:pPr>
      <w:numPr>
        <w:numId w:val="3"/>
      </w:numPr>
      <w:spacing w:before="120"/>
    </w:pPr>
  </w:style>
  <w:style w:type="paragraph" w:customStyle="1" w:styleId="Indentedtext">
    <w:name w:val="Indented text"/>
    <w:basedOn w:val="Normal"/>
    <w:rsid w:val="00513A3F"/>
    <w:pPr>
      <w:tabs>
        <w:tab w:val="left" w:pos="720"/>
      </w:tabs>
      <w:spacing w:before="0"/>
      <w:ind w:left="1440"/>
    </w:pPr>
  </w:style>
  <w:style w:type="character" w:styleId="Hyperlink">
    <w:name w:val="Hyperlink"/>
    <w:rsid w:val="00513A3F"/>
    <w:rPr>
      <w:color w:val="0000FF"/>
      <w:u w:val="single"/>
    </w:rPr>
  </w:style>
  <w:style w:type="paragraph" w:styleId="Title">
    <w:name w:val="Title"/>
    <w:basedOn w:val="Normal"/>
    <w:qFormat/>
    <w:rsid w:val="00513A3F"/>
    <w:pPr>
      <w:spacing w:before="0"/>
      <w:jc w:val="center"/>
    </w:pPr>
    <w:rPr>
      <w:b/>
      <w:bCs/>
      <w:sz w:val="36"/>
      <w:szCs w:val="36"/>
    </w:rPr>
  </w:style>
  <w:style w:type="paragraph" w:customStyle="1" w:styleId="HB-Table-Subpoint">
    <w:name w:val="HB - Table - Subpoint"/>
    <w:basedOn w:val="Normal"/>
    <w:rsid w:val="00513A3F"/>
    <w:pPr>
      <w:numPr>
        <w:numId w:val="2"/>
      </w:numPr>
      <w:tabs>
        <w:tab w:val="clear" w:pos="360"/>
        <w:tab w:val="num" w:pos="993"/>
      </w:tabs>
      <w:spacing w:before="60" w:after="60"/>
      <w:ind w:left="993" w:hanging="426"/>
    </w:pPr>
  </w:style>
  <w:style w:type="paragraph" w:styleId="Header">
    <w:name w:val="header"/>
    <w:basedOn w:val="Normal"/>
    <w:rsid w:val="00513A3F"/>
    <w:pPr>
      <w:tabs>
        <w:tab w:val="center" w:pos="4153"/>
        <w:tab w:val="right" w:pos="8306"/>
      </w:tabs>
    </w:pPr>
  </w:style>
  <w:style w:type="paragraph" w:styleId="NormalWeb">
    <w:name w:val="Normal (Web)"/>
    <w:basedOn w:val="Normal"/>
    <w:rsid w:val="00513A3F"/>
    <w:pPr>
      <w:spacing w:before="100" w:beforeAutospacing="1" w:after="100" w:afterAutospacing="1"/>
      <w:ind w:left="300"/>
    </w:pPr>
  </w:style>
  <w:style w:type="character" w:styleId="Strong">
    <w:name w:val="Strong"/>
    <w:qFormat/>
    <w:rsid w:val="00513A3F"/>
    <w:rPr>
      <w:b/>
      <w:bCs/>
    </w:rPr>
  </w:style>
  <w:style w:type="character" w:styleId="PageNumber">
    <w:name w:val="page number"/>
    <w:basedOn w:val="DefaultParagraphFont"/>
    <w:rsid w:val="00513A3F"/>
  </w:style>
  <w:style w:type="character" w:styleId="CommentReference">
    <w:name w:val="annotation reference"/>
    <w:semiHidden/>
    <w:rsid w:val="00513A3F"/>
    <w:rPr>
      <w:sz w:val="16"/>
      <w:szCs w:val="16"/>
    </w:rPr>
  </w:style>
  <w:style w:type="paragraph" w:styleId="CommentText">
    <w:name w:val="annotation text"/>
    <w:basedOn w:val="Normal"/>
    <w:semiHidden/>
    <w:rsid w:val="00513A3F"/>
    <w:rPr>
      <w:sz w:val="20"/>
      <w:szCs w:val="20"/>
    </w:rPr>
  </w:style>
  <w:style w:type="paragraph" w:styleId="CommentSubject">
    <w:name w:val="annotation subject"/>
    <w:basedOn w:val="CommentText"/>
    <w:next w:val="CommentText"/>
    <w:semiHidden/>
    <w:rsid w:val="00513A3F"/>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styleId="Revision">
    <w:name w:val="Revision"/>
    <w:hidden/>
    <w:uiPriority w:val="99"/>
    <w:semiHidden/>
    <w:rsid w:val="00E702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styleId="Revision">
    <w:name w:val="Revision"/>
    <w:hidden/>
    <w:uiPriority w:val="99"/>
    <w:semiHidden/>
    <w:rsid w:val="00E70247"/>
    <w:rPr>
      <w:sz w:val="24"/>
      <w:szCs w:val="24"/>
    </w:rPr>
  </w:style>
</w:styles>
</file>

<file path=word/webSettings.xml><?xml version="1.0" encoding="utf-8"?>
<w:webSettings xmlns:r="http://schemas.openxmlformats.org/officeDocument/2006/relationships" xmlns:w="http://schemas.openxmlformats.org/wordprocessingml/2006/main">
  <w:divs>
    <w:div w:id="2539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4F3A-72AB-443C-A588-20E72926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4814</Words>
  <Characters>24773</Characters>
  <Application>Microsoft Office Word</Application>
  <DocSecurity>0</DocSecurity>
  <Lines>433</Lines>
  <Paragraphs>138</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Dept Health And Ageing</Company>
  <LinksUpToDate>false</LinksUpToDate>
  <CharactersWithSpaces>29599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Williams</dc:creator>
  <cp:lastModifiedBy>gobbid</cp:lastModifiedBy>
  <cp:revision>2</cp:revision>
  <cp:lastPrinted>2012-06-28T03:55:00Z</cp:lastPrinted>
  <dcterms:created xsi:type="dcterms:W3CDTF">2012-07-11T22:48:00Z</dcterms:created>
  <dcterms:modified xsi:type="dcterms:W3CDTF">2012-07-11T22:48:00Z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AdHocReviewCycleID">
    <vt:i4>-1004334236</vt:i4>
  </property>
  <property fmtid="{D5CDD505-2E9C-101B-9397-08002B2CF9AE}" pid="4" name="_PreviousAdHocReviewCycleID">
    <vt:i4>935028883</vt:i4>
  </property>
  <property fmtid="{D5CDD505-2E9C-101B-9397-08002B2CF9AE}" pid="5" name="_ReviewingToolsShownOnce">
    <vt:lpwstr/>
  </property>
  <property fmtid="{D5CDD505-2E9C-101B-9397-08002B2CF9AE}" pid="6" name="DraftType">
    <vt:lpwstr/>
  </property>
  <property fmtid="{D5CDD505-2E9C-101B-9397-08002B2CF9AE}" pid="7" name="WPLUSServerName">
    <vt:lpwstr/>
  </property>
  <property fmtid="{D5CDD505-2E9C-101B-9397-08002B2CF9AE}" pid="8" name="WPLUSDataBaseName">
    <vt:lpwstr/>
  </property>
  <property fmtid="{D5CDD505-2E9C-101B-9397-08002B2CF9AE}" pid="9" name="WPLUSDocumentUNID">
    <vt:lpwstr/>
  </property>
  <property fmtid="{D5CDD505-2E9C-101B-9397-08002B2CF9AE}" pid="10" name="NeverSavedToNT">
    <vt:lpwstr/>
  </property>
  <property fmtid="{D5CDD505-2E9C-101B-9397-08002B2CF9AE}" pid="11" name="_EmailSubject">
    <vt:lpwstr>em and es</vt:lpwstr>
  </property>
  <property fmtid="{D5CDD505-2E9C-101B-9397-08002B2CF9AE}" pid="12" name="_AuthorEmail">
    <vt:lpwstr>Andrea@mpconsulting.com.au</vt:lpwstr>
  </property>
  <property fmtid="{D5CDD505-2E9C-101B-9397-08002B2CF9AE}" pid="13" name="_AuthorEmailDisplayName">
    <vt:lpwstr>Andrea Matthews</vt:lpwstr>
  </property>
</Properties>
</file>