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BE" w:rsidRPr="00EE35B6" w:rsidRDefault="00B56BBE">
      <w:pPr>
        <w:pStyle w:val="Normal-em"/>
        <w:jc w:val="center"/>
        <w:rPr>
          <w:b/>
          <w:color w:val="auto"/>
          <w:u w:val="single"/>
        </w:rPr>
      </w:pPr>
      <w:r w:rsidRPr="00EE35B6">
        <w:rPr>
          <w:b/>
          <w:color w:val="auto"/>
          <w:u w:val="single"/>
        </w:rPr>
        <w:t>EXPLANATORY STATEMENT</w:t>
      </w:r>
    </w:p>
    <w:p w:rsidR="00B56BBE" w:rsidRPr="00EE35B6" w:rsidRDefault="00B56BBE">
      <w:pPr>
        <w:pStyle w:val="Normal-em"/>
        <w:jc w:val="center"/>
        <w:rPr>
          <w:color w:val="auto"/>
          <w:u w:val="single"/>
        </w:rPr>
      </w:pPr>
    </w:p>
    <w:p w:rsidR="00B56BBE" w:rsidRPr="00EE35B6" w:rsidRDefault="003142A4">
      <w:pPr>
        <w:pStyle w:val="Normal-em"/>
        <w:jc w:val="center"/>
        <w:rPr>
          <w:b/>
          <w:color w:val="auto"/>
          <w:u w:val="single"/>
        </w:rPr>
      </w:pPr>
      <w:r w:rsidRPr="00EE35B6">
        <w:rPr>
          <w:b/>
          <w:color w:val="auto"/>
          <w:u w:val="single"/>
        </w:rPr>
        <w:t>Select Legislative Instrument</w:t>
      </w:r>
      <w:r w:rsidR="00EA5D22" w:rsidRPr="00EE35B6">
        <w:rPr>
          <w:b/>
          <w:color w:val="auto"/>
          <w:u w:val="single"/>
        </w:rPr>
        <w:t xml:space="preserve"> </w:t>
      </w:r>
      <w:r w:rsidR="00D1400E" w:rsidRPr="00EE35B6">
        <w:rPr>
          <w:b/>
          <w:color w:val="auto"/>
          <w:u w:val="single"/>
        </w:rPr>
        <w:t>2012</w:t>
      </w:r>
      <w:r w:rsidR="00B56BBE" w:rsidRPr="00EE35B6">
        <w:rPr>
          <w:b/>
          <w:color w:val="auto"/>
          <w:u w:val="single"/>
        </w:rPr>
        <w:t xml:space="preserve"> No.</w:t>
      </w:r>
      <w:r w:rsidRPr="00EE35B6">
        <w:rPr>
          <w:b/>
          <w:color w:val="auto"/>
          <w:u w:val="single"/>
        </w:rPr>
        <w:t xml:space="preserve"> 161</w:t>
      </w:r>
    </w:p>
    <w:p w:rsidR="00B56BBE" w:rsidRPr="00EE35B6" w:rsidRDefault="00B56BBE">
      <w:pPr>
        <w:pStyle w:val="Normal-em"/>
        <w:rPr>
          <w:color w:val="auto"/>
        </w:rPr>
      </w:pPr>
    </w:p>
    <w:p w:rsidR="00B56BBE" w:rsidRPr="00EE35B6" w:rsidRDefault="00B56BBE" w:rsidP="004536B1">
      <w:pPr>
        <w:pStyle w:val="Normal-em"/>
        <w:jc w:val="center"/>
        <w:rPr>
          <w:bCs/>
          <w:color w:val="auto"/>
        </w:rPr>
      </w:pPr>
      <w:r w:rsidRPr="00EE35B6">
        <w:rPr>
          <w:bCs/>
          <w:color w:val="auto"/>
        </w:rPr>
        <w:t>Issued by the Authority</w:t>
      </w:r>
      <w:r w:rsidR="004E421A" w:rsidRPr="00EE35B6">
        <w:rPr>
          <w:bCs/>
          <w:color w:val="auto"/>
        </w:rPr>
        <w:t xml:space="preserve"> of the </w:t>
      </w:r>
      <w:r w:rsidR="00997176" w:rsidRPr="00EE35B6">
        <w:rPr>
          <w:bCs/>
          <w:color w:val="auto"/>
        </w:rPr>
        <w:t>Parliamentary Secretary</w:t>
      </w:r>
      <w:r w:rsidRPr="00EE35B6">
        <w:rPr>
          <w:bCs/>
          <w:color w:val="auto"/>
        </w:rPr>
        <w:t xml:space="preserve"> for Agriculture, Fisheries and Forestry</w:t>
      </w:r>
    </w:p>
    <w:p w:rsidR="00B56BBE" w:rsidRPr="00EE35B6" w:rsidRDefault="00B56BBE">
      <w:pPr>
        <w:pStyle w:val="Normal-em"/>
        <w:rPr>
          <w:color w:val="auto"/>
        </w:rPr>
      </w:pPr>
    </w:p>
    <w:p w:rsidR="00B56BBE" w:rsidRPr="00EE35B6" w:rsidRDefault="00156124">
      <w:pPr>
        <w:pStyle w:val="Normal-em"/>
        <w:ind w:left="1440" w:hanging="1440"/>
        <w:jc w:val="center"/>
        <w:rPr>
          <w:i/>
          <w:iCs/>
          <w:color w:val="auto"/>
        </w:rPr>
      </w:pPr>
      <w:r w:rsidRPr="00EE35B6">
        <w:rPr>
          <w:i/>
          <w:iCs/>
          <w:color w:val="auto"/>
        </w:rPr>
        <w:t xml:space="preserve">Wine </w:t>
      </w:r>
      <w:r w:rsidR="00417F74" w:rsidRPr="00EE35B6">
        <w:rPr>
          <w:i/>
          <w:iCs/>
          <w:color w:val="auto"/>
        </w:rPr>
        <w:t>Australia</w:t>
      </w:r>
      <w:r w:rsidR="00B56BBE" w:rsidRPr="00EE35B6">
        <w:rPr>
          <w:i/>
          <w:iCs/>
          <w:color w:val="auto"/>
        </w:rPr>
        <w:t xml:space="preserve"> Corporation Act 1980</w:t>
      </w:r>
    </w:p>
    <w:p w:rsidR="00156124" w:rsidRPr="00EE35B6" w:rsidRDefault="00156124">
      <w:pPr>
        <w:pStyle w:val="Normal-em"/>
        <w:ind w:left="1440" w:hanging="1440"/>
        <w:jc w:val="center"/>
        <w:rPr>
          <w:i/>
          <w:iCs/>
          <w:color w:val="auto"/>
        </w:rPr>
      </w:pPr>
    </w:p>
    <w:p w:rsidR="00156124" w:rsidRPr="00EE35B6" w:rsidRDefault="00071D90">
      <w:pPr>
        <w:pStyle w:val="Normal-em"/>
        <w:ind w:left="1440" w:hanging="1440"/>
        <w:jc w:val="center"/>
        <w:rPr>
          <w:i/>
          <w:snapToGrid w:val="0"/>
          <w:color w:val="auto"/>
        </w:rPr>
      </w:pPr>
      <w:r w:rsidRPr="00EE35B6">
        <w:rPr>
          <w:i/>
          <w:color w:val="auto"/>
        </w:rPr>
        <w:t>Wine Australia Corporation Amendment Regulation</w:t>
      </w:r>
      <w:r w:rsidR="00627556" w:rsidRPr="00EE35B6">
        <w:rPr>
          <w:i/>
          <w:color w:val="auto"/>
        </w:rPr>
        <w:t> </w:t>
      </w:r>
      <w:r w:rsidRPr="00EE35B6">
        <w:rPr>
          <w:i/>
          <w:color w:val="auto"/>
        </w:rPr>
        <w:t>2012</w:t>
      </w:r>
      <w:r w:rsidR="00627556" w:rsidRPr="00EE35B6">
        <w:rPr>
          <w:i/>
          <w:color w:val="auto"/>
        </w:rPr>
        <w:t> </w:t>
      </w:r>
      <w:r w:rsidR="004536B1" w:rsidRPr="00EE35B6">
        <w:rPr>
          <w:i/>
          <w:iCs/>
          <w:color w:val="auto"/>
        </w:rPr>
        <w:t xml:space="preserve">(No. </w:t>
      </w:r>
      <w:r w:rsidR="003142A4" w:rsidRPr="00EE35B6">
        <w:rPr>
          <w:i/>
          <w:iCs/>
          <w:color w:val="auto"/>
        </w:rPr>
        <w:t>1</w:t>
      </w:r>
      <w:r w:rsidRPr="00EE35B6">
        <w:rPr>
          <w:i/>
          <w:iCs/>
          <w:color w:val="auto"/>
        </w:rPr>
        <w:t>)</w:t>
      </w:r>
    </w:p>
    <w:p w:rsidR="00B56BBE" w:rsidRPr="00EE35B6" w:rsidRDefault="00B56BBE">
      <w:pPr>
        <w:pStyle w:val="Normal-em"/>
        <w:ind w:left="1440" w:hanging="1440"/>
        <w:jc w:val="center"/>
        <w:rPr>
          <w:snapToGrid w:val="0"/>
          <w:color w:val="auto"/>
        </w:rPr>
      </w:pPr>
    </w:p>
    <w:p w:rsidR="00EA5D22" w:rsidRPr="00EE35B6" w:rsidRDefault="00EA5D22" w:rsidP="00EA5D22">
      <w:pPr>
        <w:pStyle w:val="Normal-em"/>
        <w:rPr>
          <w:bCs/>
          <w:color w:val="auto"/>
        </w:rPr>
      </w:pPr>
      <w:r w:rsidRPr="00EE35B6">
        <w:rPr>
          <w:bCs/>
          <w:color w:val="auto"/>
        </w:rPr>
        <w:t xml:space="preserve">Section 46 of the </w:t>
      </w:r>
      <w:r w:rsidRPr="00EE35B6">
        <w:rPr>
          <w:bCs/>
          <w:i/>
          <w:color w:val="auto"/>
        </w:rPr>
        <w:t xml:space="preserve">Wine Australia </w:t>
      </w:r>
      <w:r w:rsidR="004807C8" w:rsidRPr="00EE35B6">
        <w:rPr>
          <w:bCs/>
          <w:i/>
          <w:color w:val="auto"/>
        </w:rPr>
        <w:t xml:space="preserve">Corporation </w:t>
      </w:r>
      <w:r w:rsidRPr="00EE35B6">
        <w:rPr>
          <w:bCs/>
          <w:i/>
          <w:color w:val="auto"/>
        </w:rPr>
        <w:t>Act 1980</w:t>
      </w:r>
      <w:r w:rsidRPr="00EE35B6">
        <w:rPr>
          <w:bCs/>
          <w:color w:val="auto"/>
        </w:rPr>
        <w:t xml:space="preserve"> (the Act) provides, in part, that the Governor</w:t>
      </w:r>
      <w:r w:rsidR="00397018" w:rsidRPr="00EE35B6">
        <w:rPr>
          <w:bCs/>
          <w:color w:val="auto"/>
        </w:rPr>
        <w:noBreakHyphen/>
      </w:r>
      <w:r w:rsidRPr="00EE35B6">
        <w:rPr>
          <w:bCs/>
          <w:color w:val="auto"/>
        </w:rPr>
        <w:t>General may make regulations, not inconsistent with the Act, prescribing all matters required or permitted by the Act to be prescribed</w:t>
      </w:r>
      <w:r w:rsidR="00D71461" w:rsidRPr="00EE35B6">
        <w:rPr>
          <w:bCs/>
          <w:color w:val="auto"/>
        </w:rPr>
        <w:t>,</w:t>
      </w:r>
      <w:r w:rsidRPr="00EE35B6">
        <w:rPr>
          <w:bCs/>
          <w:color w:val="auto"/>
        </w:rPr>
        <w:t xml:space="preserve"> or necessary</w:t>
      </w:r>
      <w:r w:rsidR="00D71461" w:rsidRPr="00EE35B6">
        <w:rPr>
          <w:bCs/>
          <w:color w:val="auto"/>
        </w:rPr>
        <w:t>,</w:t>
      </w:r>
      <w:r w:rsidRPr="00EE35B6">
        <w:rPr>
          <w:bCs/>
          <w:color w:val="auto"/>
        </w:rPr>
        <w:t xml:space="preserve"> or convenient to be prescribed for carrying out or giving effect to the Act.</w:t>
      </w:r>
    </w:p>
    <w:p w:rsidR="00EA5D22" w:rsidRPr="00EE35B6" w:rsidRDefault="00EA5D22" w:rsidP="00EA5D22">
      <w:pPr>
        <w:pStyle w:val="Normal-em"/>
        <w:rPr>
          <w:bCs/>
          <w:color w:val="auto"/>
        </w:rPr>
      </w:pPr>
    </w:p>
    <w:p w:rsidR="00EA5D22" w:rsidRPr="00EE35B6" w:rsidRDefault="00EA5D22" w:rsidP="00EA5D22">
      <w:pPr>
        <w:pStyle w:val="Normal-em"/>
        <w:rPr>
          <w:bCs/>
          <w:color w:val="auto"/>
        </w:rPr>
      </w:pPr>
      <w:r w:rsidRPr="00EE35B6">
        <w:rPr>
          <w:bCs/>
          <w:color w:val="auto"/>
        </w:rPr>
        <w:t xml:space="preserve">The Act establishes the Wine Australia Corporation. </w:t>
      </w:r>
      <w:r w:rsidR="008B79E1" w:rsidRPr="00EE35B6">
        <w:rPr>
          <w:bCs/>
          <w:color w:val="auto"/>
        </w:rPr>
        <w:t xml:space="preserve"> </w:t>
      </w:r>
      <w:r w:rsidRPr="00EE35B6">
        <w:rPr>
          <w:bCs/>
          <w:color w:val="auto"/>
        </w:rPr>
        <w:t>The Corporation’s activities include providing strategic support to the Australian wine sector; export regulation and compliance; domestic and international wine promotion; and wine sector information and analysis.</w:t>
      </w:r>
    </w:p>
    <w:p w:rsidR="005F28E8" w:rsidRPr="00EE35B6" w:rsidRDefault="005F28E8" w:rsidP="00795453">
      <w:pPr>
        <w:tabs>
          <w:tab w:val="num" w:pos="426"/>
        </w:tabs>
      </w:pPr>
    </w:p>
    <w:p w:rsidR="00795453" w:rsidRPr="00EE35B6" w:rsidRDefault="00D6036A" w:rsidP="00795453">
      <w:pPr>
        <w:tabs>
          <w:tab w:val="num" w:pos="426"/>
        </w:tabs>
      </w:pPr>
      <w:r w:rsidRPr="00EE35B6">
        <w:t xml:space="preserve">The Act and the </w:t>
      </w:r>
      <w:r w:rsidRPr="00EE35B6">
        <w:rPr>
          <w:i/>
        </w:rPr>
        <w:t xml:space="preserve">Wine Australia Corporation Regulations 1981 </w:t>
      </w:r>
      <w:r w:rsidRPr="00EE35B6">
        <w:t>(</w:t>
      </w:r>
      <w:r w:rsidR="00C92C05" w:rsidRPr="00EE35B6">
        <w:t>the Principal R</w:t>
      </w:r>
      <w:r w:rsidRPr="00EE35B6">
        <w:t>egulation</w:t>
      </w:r>
      <w:r w:rsidR="00177D63" w:rsidRPr="00EE35B6">
        <w:t>s</w:t>
      </w:r>
      <w:r w:rsidRPr="00EE35B6">
        <w:t xml:space="preserve">) </w:t>
      </w:r>
      <w:r w:rsidR="00795453" w:rsidRPr="00EE35B6">
        <w:t xml:space="preserve">operate together to protect geographical indications (GI) for wine. </w:t>
      </w:r>
      <w:r w:rsidR="008B79E1" w:rsidRPr="00EE35B6">
        <w:t xml:space="preserve"> </w:t>
      </w:r>
      <w:r w:rsidR="00795453" w:rsidRPr="00EE35B6">
        <w:t>They establish a system for determining GIs, registering them and rules for use.</w:t>
      </w:r>
      <w:r w:rsidR="008B79E1" w:rsidRPr="00EE35B6">
        <w:t xml:space="preserve"> </w:t>
      </w:r>
      <w:r w:rsidR="00795453" w:rsidRPr="00EE35B6">
        <w:t xml:space="preserve"> A GI identifies a good as originating in a specific territory, region or locality where a particular quality, reputation or other characteristic is essentially attributable to its geographical origin.</w:t>
      </w:r>
    </w:p>
    <w:p w:rsidR="00795453" w:rsidRPr="00EE35B6" w:rsidRDefault="00795453" w:rsidP="00795453">
      <w:pPr>
        <w:pStyle w:val="Normal-em"/>
        <w:rPr>
          <w:bCs/>
          <w:color w:val="auto"/>
        </w:rPr>
      </w:pPr>
    </w:p>
    <w:p w:rsidR="00795453" w:rsidRPr="00EE35B6" w:rsidRDefault="00795453" w:rsidP="00795453">
      <w:pPr>
        <w:pStyle w:val="Normal-em"/>
        <w:rPr>
          <w:color w:val="auto"/>
        </w:rPr>
      </w:pPr>
      <w:r w:rsidRPr="00EE35B6">
        <w:rPr>
          <w:bCs/>
          <w:color w:val="auto"/>
        </w:rPr>
        <w:t>The</w:t>
      </w:r>
      <w:r w:rsidR="004611CC" w:rsidRPr="00EE35B6">
        <w:rPr>
          <w:bCs/>
          <w:color w:val="auto"/>
        </w:rPr>
        <w:t xml:space="preserve"> purpose of the</w:t>
      </w:r>
      <w:r w:rsidRPr="00EE35B6">
        <w:rPr>
          <w:bCs/>
          <w:color w:val="auto"/>
        </w:rPr>
        <w:t xml:space="preserve"> </w:t>
      </w:r>
      <w:r w:rsidRPr="00EE35B6">
        <w:rPr>
          <w:i/>
          <w:color w:val="auto"/>
        </w:rPr>
        <w:t>Wine Australia Corporation Amendment Regulation 2012 </w:t>
      </w:r>
      <w:r w:rsidRPr="00EE35B6">
        <w:rPr>
          <w:i/>
          <w:iCs/>
          <w:color w:val="auto"/>
        </w:rPr>
        <w:t xml:space="preserve">(No. </w:t>
      </w:r>
      <w:r w:rsidR="003142A4" w:rsidRPr="00EE35B6">
        <w:rPr>
          <w:i/>
          <w:iCs/>
          <w:color w:val="auto"/>
        </w:rPr>
        <w:t>1</w:t>
      </w:r>
      <w:r w:rsidRPr="00EE35B6">
        <w:rPr>
          <w:i/>
          <w:iCs/>
          <w:color w:val="auto"/>
        </w:rPr>
        <w:t xml:space="preserve">) </w:t>
      </w:r>
      <w:r w:rsidR="006111DC" w:rsidRPr="00EE35B6">
        <w:rPr>
          <w:bCs/>
          <w:color w:val="auto"/>
        </w:rPr>
        <w:t>was</w:t>
      </w:r>
      <w:r w:rsidR="004611CC" w:rsidRPr="00EE35B6">
        <w:rPr>
          <w:bCs/>
          <w:color w:val="auto"/>
        </w:rPr>
        <w:t xml:space="preserve"> to include a provision </w:t>
      </w:r>
      <w:r w:rsidRPr="00EE35B6">
        <w:rPr>
          <w:bCs/>
          <w:color w:val="auto"/>
        </w:rPr>
        <w:t xml:space="preserve">allowing a person to make an objection to the determination of an Australian GI on the basis that the name of the GI </w:t>
      </w:r>
      <w:r w:rsidR="00FB204A" w:rsidRPr="00EE35B6">
        <w:rPr>
          <w:bCs/>
          <w:color w:val="auto"/>
        </w:rPr>
        <w:t>was</w:t>
      </w:r>
      <w:r w:rsidRPr="00EE35B6">
        <w:rPr>
          <w:bCs/>
          <w:color w:val="auto"/>
        </w:rPr>
        <w:t xml:space="preserve"> </w:t>
      </w:r>
      <w:r w:rsidR="005A13D4" w:rsidRPr="00EE35B6">
        <w:rPr>
          <w:bCs/>
          <w:color w:val="auto"/>
        </w:rPr>
        <w:t xml:space="preserve">already </w:t>
      </w:r>
      <w:r w:rsidRPr="00EE35B6">
        <w:rPr>
          <w:bCs/>
          <w:color w:val="auto"/>
        </w:rPr>
        <w:t>in common use as the name of a type or style of wine or as the name of a variety of grapes.</w:t>
      </w:r>
    </w:p>
    <w:p w:rsidR="00795453" w:rsidRPr="00EE35B6" w:rsidRDefault="00795453" w:rsidP="00795453">
      <w:pPr>
        <w:pStyle w:val="Normal-em"/>
        <w:rPr>
          <w:color w:val="auto"/>
        </w:rPr>
      </w:pPr>
    </w:p>
    <w:p w:rsidR="00795453" w:rsidRPr="00EE35B6" w:rsidRDefault="005F28E8" w:rsidP="00795453">
      <w:pPr>
        <w:pStyle w:val="Normal-em"/>
        <w:rPr>
          <w:color w:val="auto"/>
        </w:rPr>
      </w:pPr>
      <w:r w:rsidRPr="00EE35B6">
        <w:rPr>
          <w:color w:val="auto"/>
        </w:rPr>
        <w:t xml:space="preserve">The Regulation </w:t>
      </w:r>
      <w:r w:rsidR="00795453" w:rsidRPr="00EE35B6">
        <w:rPr>
          <w:color w:val="auto"/>
        </w:rPr>
        <w:t>bring</w:t>
      </w:r>
      <w:r w:rsidRPr="00EE35B6">
        <w:rPr>
          <w:color w:val="auto"/>
        </w:rPr>
        <w:t>s</w:t>
      </w:r>
      <w:r w:rsidR="00795453" w:rsidRPr="00EE35B6">
        <w:rPr>
          <w:color w:val="auto"/>
        </w:rPr>
        <w:t xml:space="preserve"> the determination process for Australian GIs in line with the determination of foreign GIs, as provided in Regulation 58(5) of the </w:t>
      </w:r>
      <w:r w:rsidR="00C92C05" w:rsidRPr="00EE35B6">
        <w:rPr>
          <w:color w:val="auto"/>
        </w:rPr>
        <w:t>Principal R</w:t>
      </w:r>
      <w:r w:rsidR="00827819" w:rsidRPr="00EE35B6">
        <w:rPr>
          <w:color w:val="auto"/>
        </w:rPr>
        <w:t>egulation</w:t>
      </w:r>
      <w:r w:rsidR="00177D63" w:rsidRPr="00EE35B6">
        <w:rPr>
          <w:color w:val="auto"/>
        </w:rPr>
        <w:t>s</w:t>
      </w:r>
      <w:r w:rsidRPr="00EE35B6">
        <w:rPr>
          <w:color w:val="auto"/>
        </w:rPr>
        <w:t xml:space="preserve">. </w:t>
      </w:r>
      <w:r w:rsidR="008B79E1" w:rsidRPr="00EE35B6">
        <w:rPr>
          <w:color w:val="auto"/>
        </w:rPr>
        <w:t xml:space="preserve"> </w:t>
      </w:r>
      <w:r w:rsidRPr="00EE35B6">
        <w:rPr>
          <w:color w:val="auto"/>
        </w:rPr>
        <w:t xml:space="preserve">The </w:t>
      </w:r>
      <w:r w:rsidR="00795453" w:rsidRPr="00EE35B6">
        <w:rPr>
          <w:color w:val="auto"/>
        </w:rPr>
        <w:t>amendment ensures that the GI determination process is consistent with Australia’s World Trade O</w:t>
      </w:r>
      <w:r w:rsidRPr="00EE35B6">
        <w:rPr>
          <w:color w:val="auto"/>
        </w:rPr>
        <w:t>rganization obligation</w:t>
      </w:r>
      <w:r w:rsidR="004E074B" w:rsidRPr="00EE35B6">
        <w:rPr>
          <w:color w:val="auto"/>
        </w:rPr>
        <w:t xml:space="preserve"> and</w:t>
      </w:r>
      <w:r w:rsidR="00795453" w:rsidRPr="00EE35B6">
        <w:rPr>
          <w:color w:val="auto"/>
        </w:rPr>
        <w:t xml:space="preserve"> no less burdensome than the process for determining foreign GIs.</w:t>
      </w:r>
    </w:p>
    <w:p w:rsidR="00795453" w:rsidRPr="00EE35B6" w:rsidRDefault="00795453" w:rsidP="00795453">
      <w:pPr>
        <w:pStyle w:val="Normal-em"/>
        <w:rPr>
          <w:color w:val="auto"/>
        </w:rPr>
      </w:pPr>
    </w:p>
    <w:p w:rsidR="004611CC" w:rsidRPr="00EE35B6" w:rsidRDefault="004611CC" w:rsidP="004611CC">
      <w:pPr>
        <w:pStyle w:val="Normal-em"/>
        <w:rPr>
          <w:color w:val="auto"/>
        </w:rPr>
      </w:pPr>
      <w:r w:rsidRPr="00EE35B6">
        <w:rPr>
          <w:color w:val="auto"/>
        </w:rPr>
        <w:t>The Department of Foreign Affairs and Trade, IP Australia, the Wine Australia Corporation and the Winemakers’ Federation of Australia were consulted about this Regulation and support its implementation.  The Office of Best Practice Regulation was consulted in the preparation of the Regulation (reference number ID 12749).</w:t>
      </w:r>
    </w:p>
    <w:p w:rsidR="004611CC" w:rsidRPr="00EE35B6" w:rsidRDefault="004611CC" w:rsidP="00795453">
      <w:pPr>
        <w:pStyle w:val="Normal-em"/>
        <w:rPr>
          <w:color w:val="auto"/>
        </w:rPr>
      </w:pPr>
    </w:p>
    <w:p w:rsidR="00795453" w:rsidRPr="00EE35B6" w:rsidRDefault="00795453" w:rsidP="00795453">
      <w:pPr>
        <w:pStyle w:val="Normal-em"/>
        <w:rPr>
          <w:color w:val="auto"/>
        </w:rPr>
      </w:pPr>
      <w:r w:rsidRPr="00EE35B6">
        <w:rPr>
          <w:color w:val="auto"/>
        </w:rPr>
        <w:t xml:space="preserve">The Act specifies no conditions that need to be satisfied before the power to make the Regulation </w:t>
      </w:r>
      <w:r w:rsidR="00E215D4" w:rsidRPr="00EE35B6">
        <w:rPr>
          <w:color w:val="auto"/>
        </w:rPr>
        <w:t>was</w:t>
      </w:r>
      <w:r w:rsidRPr="00EE35B6">
        <w:rPr>
          <w:color w:val="auto"/>
        </w:rPr>
        <w:t xml:space="preserve"> exercised.</w:t>
      </w:r>
    </w:p>
    <w:p w:rsidR="00795453" w:rsidRPr="00EE35B6" w:rsidRDefault="00795453" w:rsidP="00795453">
      <w:pPr>
        <w:pStyle w:val="Normal-em"/>
        <w:rPr>
          <w:color w:val="auto"/>
        </w:rPr>
      </w:pPr>
    </w:p>
    <w:p w:rsidR="00795453" w:rsidRPr="00EE35B6" w:rsidRDefault="005F28E8" w:rsidP="00795453">
      <w:pPr>
        <w:pStyle w:val="Normal-em"/>
        <w:rPr>
          <w:color w:val="auto"/>
          <w:u w:val="single"/>
        </w:rPr>
      </w:pPr>
      <w:r w:rsidRPr="00EE35B6">
        <w:rPr>
          <w:color w:val="auto"/>
        </w:rPr>
        <w:t>Details of the</w:t>
      </w:r>
      <w:r w:rsidR="00795453" w:rsidRPr="00EE35B6">
        <w:rPr>
          <w:color w:val="auto"/>
        </w:rPr>
        <w:t xml:space="preserve"> Regulation are contained in the </w:t>
      </w:r>
      <w:r w:rsidR="00795453" w:rsidRPr="00EE35B6">
        <w:rPr>
          <w:color w:val="auto"/>
          <w:u w:val="single"/>
        </w:rPr>
        <w:t>Attachment.</w:t>
      </w:r>
    </w:p>
    <w:p w:rsidR="00795453" w:rsidRPr="00EE35B6" w:rsidRDefault="00795453" w:rsidP="00795453">
      <w:pPr>
        <w:pStyle w:val="Normal-em"/>
        <w:rPr>
          <w:color w:val="auto"/>
        </w:rPr>
      </w:pPr>
    </w:p>
    <w:p w:rsidR="005F28E8" w:rsidRPr="00EE35B6" w:rsidRDefault="005F28E8" w:rsidP="00795453">
      <w:pPr>
        <w:pStyle w:val="Normal-em"/>
        <w:rPr>
          <w:color w:val="auto"/>
        </w:rPr>
      </w:pPr>
      <w:r w:rsidRPr="00EE35B6">
        <w:rPr>
          <w:color w:val="auto"/>
        </w:rPr>
        <w:t>The Regulation commenced on the day after it was registered in the Federal Register of Legislative Instruments.</w:t>
      </w:r>
    </w:p>
    <w:p w:rsidR="005F28E8" w:rsidRPr="00EE35B6" w:rsidRDefault="005F28E8" w:rsidP="00795453">
      <w:pPr>
        <w:pStyle w:val="Normal-em"/>
        <w:rPr>
          <w:color w:val="auto"/>
        </w:rPr>
      </w:pPr>
    </w:p>
    <w:p w:rsidR="00CB35FB" w:rsidRPr="00EE35B6" w:rsidRDefault="005F28E8" w:rsidP="00714662">
      <w:pPr>
        <w:pStyle w:val="Normal-em"/>
        <w:rPr>
          <w:color w:val="auto"/>
        </w:rPr>
      </w:pPr>
      <w:r w:rsidRPr="00EE35B6">
        <w:rPr>
          <w:color w:val="auto"/>
        </w:rPr>
        <w:t>The Regulation is a</w:t>
      </w:r>
      <w:r w:rsidR="00795453" w:rsidRPr="00EE35B6">
        <w:rPr>
          <w:color w:val="auto"/>
        </w:rPr>
        <w:t xml:space="preserve"> legislative instrument for the purposes of the</w:t>
      </w:r>
      <w:r w:rsidR="00795453" w:rsidRPr="00EE35B6">
        <w:rPr>
          <w:color w:val="auto"/>
        </w:rPr>
        <w:br/>
      </w:r>
      <w:r w:rsidR="00795453" w:rsidRPr="00EE35B6">
        <w:rPr>
          <w:i/>
          <w:color w:val="auto"/>
        </w:rPr>
        <w:t>Legislative Instruments Act 2003</w:t>
      </w:r>
      <w:r w:rsidR="00795453" w:rsidRPr="00EE35B6">
        <w:rPr>
          <w:color w:val="auto"/>
        </w:rPr>
        <w:t>.</w:t>
      </w:r>
    </w:p>
    <w:p w:rsidR="00EA5D22" w:rsidRPr="00EE35B6" w:rsidRDefault="00714662" w:rsidP="00CB35FB">
      <w:pPr>
        <w:pStyle w:val="Normal-em"/>
        <w:jc w:val="right"/>
        <w:rPr>
          <w:rFonts w:ascii="Times" w:hAnsi="Times"/>
          <w:b/>
          <w:caps/>
          <w:color w:val="auto"/>
          <w:u w:val="single"/>
        </w:rPr>
      </w:pPr>
      <w:r w:rsidRPr="00EE35B6">
        <w:rPr>
          <w:color w:val="auto"/>
        </w:rPr>
        <w:br w:type="page"/>
      </w:r>
      <w:r w:rsidR="00795453" w:rsidRPr="00EE35B6">
        <w:rPr>
          <w:rFonts w:ascii="Times" w:hAnsi="Times"/>
          <w:b/>
          <w:caps/>
          <w:color w:val="auto"/>
          <w:u w:val="single"/>
        </w:rPr>
        <w:lastRenderedPageBreak/>
        <w:t>Attachment</w:t>
      </w:r>
    </w:p>
    <w:p w:rsidR="00EA5D22" w:rsidRPr="00EE35B6" w:rsidRDefault="00EA5D22" w:rsidP="00EA5D22">
      <w:pPr>
        <w:pStyle w:val="Normal-em"/>
        <w:rPr>
          <w:color w:val="auto"/>
        </w:rPr>
      </w:pPr>
    </w:p>
    <w:p w:rsidR="00EA5D22" w:rsidRPr="00EE35B6" w:rsidRDefault="00EA5D22" w:rsidP="00EA5D22">
      <w:pPr>
        <w:pStyle w:val="Normal-em"/>
        <w:rPr>
          <w:color w:val="auto"/>
        </w:rPr>
      </w:pPr>
    </w:p>
    <w:p w:rsidR="00AE2742" w:rsidRPr="00EE35B6" w:rsidRDefault="00AE2742" w:rsidP="00AE2742">
      <w:pPr>
        <w:pStyle w:val="Normal-em"/>
        <w:rPr>
          <w:b/>
          <w:iCs/>
          <w:color w:val="auto"/>
          <w:u w:val="single"/>
        </w:rPr>
      </w:pPr>
      <w:r w:rsidRPr="00EE35B6">
        <w:rPr>
          <w:b/>
          <w:iCs/>
          <w:color w:val="auto"/>
          <w:u w:val="single"/>
        </w:rPr>
        <w:t xml:space="preserve">Details of the </w:t>
      </w:r>
      <w:r w:rsidRPr="00EE35B6">
        <w:rPr>
          <w:b/>
          <w:i/>
          <w:color w:val="auto"/>
          <w:u w:val="single"/>
        </w:rPr>
        <w:t>Wine Australia Corpor</w:t>
      </w:r>
      <w:r w:rsidRPr="00EE35B6">
        <w:rPr>
          <w:b/>
          <w:i/>
          <w:iCs/>
          <w:color w:val="auto"/>
          <w:u w:val="single"/>
        </w:rPr>
        <w:t xml:space="preserve">ation Amendment Regulation 2012 (No. </w:t>
      </w:r>
      <w:r w:rsidR="003142A4" w:rsidRPr="00EE35B6">
        <w:rPr>
          <w:b/>
          <w:i/>
          <w:iCs/>
          <w:color w:val="auto"/>
          <w:u w:val="single"/>
        </w:rPr>
        <w:t>1</w:t>
      </w:r>
      <w:r w:rsidRPr="00EE35B6">
        <w:rPr>
          <w:b/>
          <w:i/>
          <w:iCs/>
          <w:color w:val="auto"/>
          <w:u w:val="single"/>
        </w:rPr>
        <w:t>)</w:t>
      </w:r>
    </w:p>
    <w:p w:rsidR="00AE2742" w:rsidRPr="00EE35B6" w:rsidRDefault="00AE2742" w:rsidP="00AE2742">
      <w:pPr>
        <w:pStyle w:val="Normal-em"/>
        <w:rPr>
          <w:color w:val="auto"/>
        </w:rPr>
      </w:pPr>
    </w:p>
    <w:p w:rsidR="00AE2742" w:rsidRPr="00EE35B6" w:rsidRDefault="00AE2742" w:rsidP="00AE2742">
      <w:pPr>
        <w:pStyle w:val="Normal-em"/>
        <w:ind w:left="1440" w:hanging="1440"/>
        <w:rPr>
          <w:color w:val="auto"/>
          <w:u w:val="single"/>
        </w:rPr>
      </w:pPr>
      <w:r w:rsidRPr="00EE35B6">
        <w:rPr>
          <w:color w:val="auto"/>
          <w:u w:val="single"/>
        </w:rPr>
        <w:t>Section 1 – Name of Regulation</w:t>
      </w:r>
    </w:p>
    <w:p w:rsidR="00AE2742" w:rsidRPr="00EE35B6" w:rsidRDefault="00AE2742" w:rsidP="00AE2742">
      <w:pPr>
        <w:pStyle w:val="Normal-em"/>
        <w:ind w:left="1440" w:hanging="1440"/>
        <w:rPr>
          <w:b/>
          <w:color w:val="auto"/>
        </w:rPr>
      </w:pPr>
    </w:p>
    <w:p w:rsidR="00AE2742" w:rsidRPr="00EE35B6" w:rsidRDefault="00AE2742" w:rsidP="00AE2742">
      <w:pPr>
        <w:pStyle w:val="Normal-em"/>
        <w:rPr>
          <w:i/>
          <w:iCs/>
          <w:color w:val="auto"/>
        </w:rPr>
      </w:pPr>
      <w:r w:rsidRPr="00EE35B6">
        <w:rPr>
          <w:color w:val="auto"/>
        </w:rPr>
        <w:t xml:space="preserve">This Section provides for the title of the Regulation to be the </w:t>
      </w:r>
      <w:r w:rsidRPr="00EE35B6">
        <w:rPr>
          <w:i/>
          <w:color w:val="auto"/>
        </w:rPr>
        <w:t>Wine Australia Corpor</w:t>
      </w:r>
      <w:r w:rsidRPr="00EE35B6">
        <w:rPr>
          <w:i/>
          <w:iCs/>
          <w:color w:val="auto"/>
        </w:rPr>
        <w:t xml:space="preserve">ation Amendment Regulation 2012 (No. </w:t>
      </w:r>
      <w:r w:rsidR="003142A4" w:rsidRPr="00EE35B6">
        <w:rPr>
          <w:i/>
          <w:iCs/>
          <w:color w:val="auto"/>
        </w:rPr>
        <w:t>1</w:t>
      </w:r>
      <w:r w:rsidRPr="00EE35B6">
        <w:rPr>
          <w:i/>
          <w:iCs/>
          <w:color w:val="auto"/>
        </w:rPr>
        <w:t>)</w:t>
      </w:r>
      <w:r w:rsidRPr="00EE35B6">
        <w:rPr>
          <w:iCs/>
          <w:color w:val="auto"/>
        </w:rPr>
        <w:t>.</w:t>
      </w:r>
    </w:p>
    <w:p w:rsidR="00AE2742" w:rsidRPr="00EE35B6" w:rsidRDefault="00AE2742" w:rsidP="00AE2742">
      <w:pPr>
        <w:pStyle w:val="Normal-em"/>
        <w:rPr>
          <w:color w:val="auto"/>
        </w:rPr>
      </w:pPr>
    </w:p>
    <w:p w:rsidR="00AE2742" w:rsidRPr="00EE35B6" w:rsidRDefault="00AE2742" w:rsidP="00AE2742">
      <w:pPr>
        <w:pStyle w:val="Normal-em"/>
        <w:rPr>
          <w:color w:val="auto"/>
          <w:u w:val="single"/>
        </w:rPr>
      </w:pPr>
      <w:r w:rsidRPr="00EE35B6">
        <w:rPr>
          <w:color w:val="auto"/>
          <w:u w:val="single"/>
        </w:rPr>
        <w:t>Section 2 – Commencement</w:t>
      </w:r>
    </w:p>
    <w:p w:rsidR="00AE2742" w:rsidRPr="00EE35B6" w:rsidRDefault="00AE2742" w:rsidP="00AE2742">
      <w:pPr>
        <w:pStyle w:val="Normal-em"/>
        <w:rPr>
          <w:color w:val="auto"/>
        </w:rPr>
      </w:pPr>
    </w:p>
    <w:p w:rsidR="00AE2742" w:rsidRPr="00EE35B6" w:rsidRDefault="00AE2742" w:rsidP="00AE2742">
      <w:pPr>
        <w:pStyle w:val="Normal-em"/>
        <w:rPr>
          <w:color w:val="auto"/>
        </w:rPr>
      </w:pPr>
      <w:r w:rsidRPr="00EE35B6">
        <w:rPr>
          <w:color w:val="auto"/>
        </w:rPr>
        <w:t>This Section provides for the Regulation to commence on the day after it is registered on the Federal Register of Legislative Instruments.</w:t>
      </w:r>
    </w:p>
    <w:p w:rsidR="00AE2742" w:rsidRPr="00EE35B6" w:rsidRDefault="00AE2742" w:rsidP="00AE2742">
      <w:pPr>
        <w:pStyle w:val="Normal-em"/>
        <w:rPr>
          <w:color w:val="auto"/>
        </w:rPr>
      </w:pPr>
    </w:p>
    <w:p w:rsidR="00AE2742" w:rsidRPr="00EE35B6" w:rsidRDefault="00AE2742" w:rsidP="00AE2742">
      <w:pPr>
        <w:pStyle w:val="Normal-em"/>
        <w:ind w:left="1440" w:hanging="1440"/>
        <w:rPr>
          <w:color w:val="auto"/>
          <w:u w:val="single"/>
        </w:rPr>
      </w:pPr>
      <w:r w:rsidRPr="00EE35B6">
        <w:rPr>
          <w:color w:val="auto"/>
          <w:u w:val="single"/>
        </w:rPr>
        <w:t xml:space="preserve">Section 3 – Amendment of </w:t>
      </w:r>
      <w:r w:rsidRPr="00EE35B6">
        <w:rPr>
          <w:i/>
          <w:color w:val="auto"/>
          <w:u w:val="single"/>
        </w:rPr>
        <w:t>Wine Australia Corporation Regulations 1981</w:t>
      </w:r>
    </w:p>
    <w:p w:rsidR="00AE2742" w:rsidRPr="00EE35B6" w:rsidRDefault="00AE2742" w:rsidP="00AE2742">
      <w:pPr>
        <w:pStyle w:val="Normal-em"/>
        <w:rPr>
          <w:color w:val="auto"/>
        </w:rPr>
      </w:pPr>
    </w:p>
    <w:p w:rsidR="00AE2742" w:rsidRPr="00EE35B6" w:rsidRDefault="00AE2742" w:rsidP="00AE2742">
      <w:pPr>
        <w:pStyle w:val="Normal-em"/>
        <w:rPr>
          <w:iCs/>
          <w:color w:val="auto"/>
        </w:rPr>
      </w:pPr>
      <w:r w:rsidRPr="00EE35B6">
        <w:rPr>
          <w:color w:val="auto"/>
        </w:rPr>
        <w:t xml:space="preserve">This Section provides for the </w:t>
      </w:r>
      <w:r w:rsidRPr="00EE35B6">
        <w:rPr>
          <w:i/>
          <w:color w:val="auto"/>
        </w:rPr>
        <w:t xml:space="preserve">Wine </w:t>
      </w:r>
      <w:r w:rsidRPr="00EE35B6">
        <w:rPr>
          <w:i/>
          <w:iCs/>
          <w:color w:val="auto"/>
        </w:rPr>
        <w:t>Australia Corporation Regulations 1981</w:t>
      </w:r>
      <w:r w:rsidRPr="00EE35B6">
        <w:rPr>
          <w:iCs/>
          <w:color w:val="auto"/>
        </w:rPr>
        <w:t xml:space="preserve"> to be amended as set out in Schedule 1.</w:t>
      </w:r>
    </w:p>
    <w:p w:rsidR="00AE2742" w:rsidRPr="00EE35B6" w:rsidRDefault="00AE2742" w:rsidP="00AE2742">
      <w:pPr>
        <w:pStyle w:val="Normal-em"/>
        <w:rPr>
          <w:iCs/>
          <w:color w:val="auto"/>
        </w:rPr>
      </w:pPr>
    </w:p>
    <w:p w:rsidR="00AE2742" w:rsidRPr="00EE35B6" w:rsidRDefault="00AE2742" w:rsidP="00AE2742">
      <w:pPr>
        <w:pStyle w:val="Normal-em"/>
        <w:rPr>
          <w:color w:val="auto"/>
        </w:rPr>
      </w:pPr>
      <w:r w:rsidRPr="00EE35B6">
        <w:rPr>
          <w:color w:val="auto"/>
          <w:u w:val="single"/>
        </w:rPr>
        <w:t>Schedule 1 – Amendments</w:t>
      </w:r>
    </w:p>
    <w:p w:rsidR="00AE2742" w:rsidRPr="00EE35B6" w:rsidRDefault="00AE2742" w:rsidP="00AE2742">
      <w:pPr>
        <w:pStyle w:val="Normal-em"/>
        <w:rPr>
          <w:iCs/>
          <w:color w:val="auto"/>
        </w:rPr>
      </w:pPr>
    </w:p>
    <w:p w:rsidR="00AE2742" w:rsidRPr="00EE35B6" w:rsidRDefault="00AE2742" w:rsidP="00AE2742">
      <w:pPr>
        <w:pStyle w:val="Normal-em"/>
        <w:rPr>
          <w:color w:val="auto"/>
        </w:rPr>
      </w:pPr>
      <w:r w:rsidRPr="00EE35B6">
        <w:rPr>
          <w:b/>
          <w:color w:val="auto"/>
        </w:rPr>
        <w:t xml:space="preserve">Item 1 </w:t>
      </w:r>
      <w:r w:rsidRPr="00EE35B6">
        <w:rPr>
          <w:color w:val="auto"/>
        </w:rPr>
        <w:t>amends</w:t>
      </w:r>
      <w:r w:rsidRPr="00EE35B6">
        <w:rPr>
          <w:b/>
          <w:color w:val="auto"/>
        </w:rPr>
        <w:t xml:space="preserve"> </w:t>
      </w:r>
      <w:r w:rsidRPr="00EE35B6">
        <w:rPr>
          <w:color w:val="auto"/>
        </w:rPr>
        <w:t xml:space="preserve">Division 4 of Part VIB of the </w:t>
      </w:r>
      <w:r w:rsidRPr="00EE35B6">
        <w:rPr>
          <w:i/>
          <w:color w:val="auto"/>
        </w:rPr>
        <w:t>Wine Australia Corporation Act 1980</w:t>
      </w:r>
      <w:r w:rsidRPr="00EE35B6">
        <w:rPr>
          <w:color w:val="auto"/>
        </w:rPr>
        <w:t xml:space="preserve"> (the Act) so the application of subsection 40PA(3) of the Act are modified as set out in Schedule 4.</w:t>
      </w:r>
    </w:p>
    <w:p w:rsidR="00AE2742" w:rsidRPr="00EE35B6" w:rsidRDefault="00AE2742" w:rsidP="00AE2742">
      <w:pPr>
        <w:pStyle w:val="Normal-em"/>
        <w:rPr>
          <w:iCs/>
          <w:color w:val="auto"/>
        </w:rPr>
      </w:pPr>
    </w:p>
    <w:p w:rsidR="00AE2742" w:rsidRPr="00EE35B6" w:rsidRDefault="00AE2742" w:rsidP="00AE2742">
      <w:pPr>
        <w:pStyle w:val="Normal-em"/>
        <w:rPr>
          <w:b/>
          <w:i/>
          <w:color w:val="auto"/>
        </w:rPr>
      </w:pPr>
      <w:r w:rsidRPr="00EE35B6">
        <w:rPr>
          <w:b/>
          <w:color w:val="auto"/>
        </w:rPr>
        <w:t>Item 2</w:t>
      </w:r>
      <w:r w:rsidRPr="00EE35B6">
        <w:rPr>
          <w:color w:val="auto"/>
        </w:rPr>
        <w:t xml:space="preserve"> substitutes the existing paragraph (b) with a new paragraph (b) and include a new paragraph (b)(a) to Regulation 45. </w:t>
      </w:r>
      <w:r w:rsidR="00634EC8" w:rsidRPr="00EE35B6">
        <w:rPr>
          <w:color w:val="auto"/>
        </w:rPr>
        <w:t xml:space="preserve"> </w:t>
      </w:r>
      <w:r w:rsidRPr="00EE35B6">
        <w:rPr>
          <w:color w:val="auto"/>
        </w:rPr>
        <w:t>This substitution extends the definition of party to include a person who objected to the determination of an Australia geographical indication (GI) on the basis that the proposed GI is the common name for a type or style of wine, or as the name of a variety of grape.</w:t>
      </w:r>
    </w:p>
    <w:p w:rsidR="00AE2742" w:rsidRPr="00EE35B6" w:rsidRDefault="00AE2742" w:rsidP="00AE2742">
      <w:pPr>
        <w:pStyle w:val="Normal-em"/>
        <w:rPr>
          <w:iCs/>
          <w:color w:val="auto"/>
        </w:rPr>
      </w:pPr>
    </w:p>
    <w:p w:rsidR="00AE2742" w:rsidRPr="00EE35B6" w:rsidRDefault="00AE2742" w:rsidP="00AE2742">
      <w:pPr>
        <w:pStyle w:val="Normal-em"/>
        <w:rPr>
          <w:b/>
          <w:iCs/>
          <w:color w:val="auto"/>
          <w:u w:val="single"/>
        </w:rPr>
      </w:pPr>
      <w:r w:rsidRPr="00EE35B6">
        <w:rPr>
          <w:b/>
          <w:color w:val="auto"/>
        </w:rPr>
        <w:t>Item 3</w:t>
      </w:r>
      <w:r w:rsidRPr="00EE35B6">
        <w:rPr>
          <w:color w:val="auto"/>
        </w:rPr>
        <w:t xml:space="preserve"> amends Division 4 of Part VIB of the Act </w:t>
      </w:r>
      <w:r w:rsidR="005A7896" w:rsidRPr="00EE35B6">
        <w:rPr>
          <w:color w:val="auto"/>
        </w:rPr>
        <w:t>by</w:t>
      </w:r>
      <w:r w:rsidRPr="00EE35B6">
        <w:rPr>
          <w:color w:val="auto"/>
        </w:rPr>
        <w:t xml:space="preserve"> insert</w:t>
      </w:r>
      <w:r w:rsidR="005A7896" w:rsidRPr="00EE35B6">
        <w:rPr>
          <w:color w:val="auto"/>
        </w:rPr>
        <w:t>ing</w:t>
      </w:r>
      <w:r w:rsidRPr="00EE35B6">
        <w:rPr>
          <w:color w:val="auto"/>
        </w:rPr>
        <w:t xml:space="preserve"> subsection 40RB(5). </w:t>
      </w:r>
      <w:r w:rsidR="00634EC8" w:rsidRPr="00EE35B6">
        <w:rPr>
          <w:color w:val="auto"/>
        </w:rPr>
        <w:t xml:space="preserve"> </w:t>
      </w:r>
      <w:r w:rsidRPr="00EE35B6">
        <w:rPr>
          <w:color w:val="auto"/>
        </w:rPr>
        <w:t>The insertion provides that a person could object to the determination of an Australian GI on the basis that the proposed name of the GI is the common name for a type or style of wine, or as the name of a variety of grape.</w:t>
      </w:r>
    </w:p>
    <w:p w:rsidR="00EA5D22" w:rsidRPr="00EE35B6" w:rsidRDefault="00EA5D22" w:rsidP="00EA5D22">
      <w:pPr>
        <w:pStyle w:val="Normal-em"/>
        <w:rPr>
          <w:b/>
          <w:color w:val="auto"/>
        </w:rPr>
      </w:pPr>
    </w:p>
    <w:p w:rsidR="00EA5D22" w:rsidRPr="00EE35B6" w:rsidRDefault="00EA5D22">
      <w:pPr>
        <w:pStyle w:val="Normal-em"/>
        <w:jc w:val="right"/>
        <w:rPr>
          <w:rFonts w:ascii="Times" w:hAnsi="Times"/>
          <w:b/>
          <w:caps/>
          <w:color w:val="auto"/>
        </w:rPr>
      </w:pPr>
    </w:p>
    <w:p w:rsidR="00B56BBE" w:rsidRPr="00EE35B6" w:rsidRDefault="00DD4225">
      <w:pPr>
        <w:pStyle w:val="Normal-em"/>
        <w:rPr>
          <w:b/>
          <w:color w:val="auto"/>
        </w:rPr>
      </w:pPr>
      <w:r w:rsidRPr="00EE35B6">
        <w:rPr>
          <w:b/>
          <w:color w:val="auto"/>
        </w:rPr>
        <w:br w:type="page"/>
      </w:r>
    </w:p>
    <w:p w:rsidR="00DD4225" w:rsidRPr="00EE35B6" w:rsidRDefault="00DD4225">
      <w:pPr>
        <w:pStyle w:val="Normal-em"/>
        <w:rPr>
          <w:b/>
          <w:color w:val="auto"/>
        </w:rPr>
      </w:pPr>
    </w:p>
    <w:p w:rsidR="00DD4225" w:rsidRPr="00EE35B6" w:rsidRDefault="00DD4225" w:rsidP="00DD4225">
      <w:pPr>
        <w:spacing w:before="360" w:after="120"/>
        <w:jc w:val="center"/>
        <w:rPr>
          <w:b/>
          <w:sz w:val="28"/>
          <w:szCs w:val="28"/>
        </w:rPr>
      </w:pPr>
      <w:r w:rsidRPr="00EE35B6">
        <w:rPr>
          <w:b/>
          <w:sz w:val="28"/>
          <w:szCs w:val="28"/>
        </w:rPr>
        <w:t>Statement of Compatibility with Human Rights</w:t>
      </w:r>
    </w:p>
    <w:p w:rsidR="00DD4225" w:rsidRPr="00EE35B6" w:rsidRDefault="00DD4225" w:rsidP="00DD4225">
      <w:pPr>
        <w:spacing w:before="120" w:after="120"/>
        <w:jc w:val="center"/>
        <w:rPr>
          <w:szCs w:val="24"/>
        </w:rPr>
      </w:pPr>
      <w:r w:rsidRPr="00EE35B6">
        <w:rPr>
          <w:i/>
          <w:szCs w:val="24"/>
        </w:rPr>
        <w:t>Prepared in accordance with Part 3 of the Human Rights (Parliamentary Scrutiny) Act 2011</w:t>
      </w:r>
    </w:p>
    <w:p w:rsidR="00DD4225" w:rsidRPr="00EE35B6" w:rsidRDefault="00DD4225" w:rsidP="00DD4225">
      <w:pPr>
        <w:spacing w:before="120" w:after="120"/>
        <w:jc w:val="center"/>
        <w:rPr>
          <w:szCs w:val="24"/>
        </w:rPr>
      </w:pPr>
    </w:p>
    <w:p w:rsidR="00DD4225" w:rsidRPr="00EE35B6" w:rsidRDefault="00DD4225" w:rsidP="00DD4225">
      <w:pPr>
        <w:jc w:val="center"/>
        <w:rPr>
          <w:b/>
          <w:iCs/>
          <w:szCs w:val="24"/>
        </w:rPr>
      </w:pPr>
      <w:r w:rsidRPr="00EE35B6">
        <w:rPr>
          <w:b/>
          <w:szCs w:val="24"/>
        </w:rPr>
        <w:t>Wine Australia Corpor</w:t>
      </w:r>
      <w:r w:rsidRPr="00EE35B6">
        <w:rPr>
          <w:b/>
          <w:iCs/>
          <w:szCs w:val="24"/>
        </w:rPr>
        <w:t>ation Amendment Regulation 2012</w:t>
      </w:r>
      <w:r w:rsidR="00A93B50" w:rsidRPr="00EE35B6">
        <w:rPr>
          <w:b/>
          <w:iCs/>
          <w:szCs w:val="24"/>
        </w:rPr>
        <w:t> </w:t>
      </w:r>
      <w:r w:rsidRPr="00EE35B6">
        <w:rPr>
          <w:b/>
          <w:iCs/>
          <w:szCs w:val="24"/>
        </w:rPr>
        <w:t xml:space="preserve">(No. </w:t>
      </w:r>
      <w:r w:rsidR="003142A4" w:rsidRPr="00EE35B6">
        <w:rPr>
          <w:b/>
          <w:iCs/>
          <w:szCs w:val="24"/>
        </w:rPr>
        <w:t>1</w:t>
      </w:r>
      <w:r w:rsidRPr="00EE35B6">
        <w:rPr>
          <w:b/>
          <w:iCs/>
          <w:szCs w:val="24"/>
        </w:rPr>
        <w:t>)</w:t>
      </w:r>
    </w:p>
    <w:p w:rsidR="00522FFF" w:rsidRPr="00EE35B6" w:rsidRDefault="00522FFF" w:rsidP="00DD4225">
      <w:pPr>
        <w:jc w:val="center"/>
        <w:rPr>
          <w:szCs w:val="24"/>
        </w:rPr>
      </w:pPr>
    </w:p>
    <w:p w:rsidR="00DD4225" w:rsidRPr="00EE35B6" w:rsidRDefault="00DD4225" w:rsidP="00522FFF">
      <w:pPr>
        <w:jc w:val="center"/>
        <w:rPr>
          <w:szCs w:val="24"/>
        </w:rPr>
      </w:pPr>
      <w:r w:rsidRPr="00EE35B6">
        <w:rPr>
          <w:szCs w:val="24"/>
        </w:rPr>
        <w:t xml:space="preserve">This Legislative Instrument is compatible with the human rights and freedoms recognised or declared in the international instruments listed in section 3 of the </w:t>
      </w:r>
      <w:r w:rsidRPr="00EE35B6">
        <w:rPr>
          <w:i/>
          <w:szCs w:val="24"/>
        </w:rPr>
        <w:t>Human Righ</w:t>
      </w:r>
      <w:r w:rsidR="00136A62" w:rsidRPr="00EE35B6">
        <w:rPr>
          <w:i/>
          <w:szCs w:val="24"/>
        </w:rPr>
        <w:t>ts (Parliamentary Scrutiny) Act </w:t>
      </w:r>
      <w:r w:rsidRPr="00EE35B6">
        <w:rPr>
          <w:i/>
          <w:szCs w:val="24"/>
        </w:rPr>
        <w:t>2011</w:t>
      </w:r>
      <w:r w:rsidRPr="00EE35B6">
        <w:rPr>
          <w:szCs w:val="24"/>
        </w:rPr>
        <w:t>.</w:t>
      </w:r>
    </w:p>
    <w:p w:rsidR="00DD4225" w:rsidRPr="00EE35B6" w:rsidRDefault="00DD4225" w:rsidP="00DD4225">
      <w:pPr>
        <w:spacing w:before="120" w:after="120"/>
        <w:jc w:val="center"/>
        <w:rPr>
          <w:szCs w:val="24"/>
        </w:rPr>
      </w:pPr>
    </w:p>
    <w:p w:rsidR="00DD4225" w:rsidRPr="00EE35B6" w:rsidRDefault="00DD4225" w:rsidP="00DD4225">
      <w:pPr>
        <w:spacing w:before="120" w:after="120"/>
        <w:jc w:val="both"/>
        <w:rPr>
          <w:b/>
          <w:szCs w:val="24"/>
        </w:rPr>
      </w:pPr>
      <w:r w:rsidRPr="00EE35B6">
        <w:rPr>
          <w:b/>
          <w:szCs w:val="24"/>
        </w:rPr>
        <w:t>Overview of the Legislative Instrument</w:t>
      </w:r>
    </w:p>
    <w:p w:rsidR="00DD4225" w:rsidRPr="00EE35B6" w:rsidRDefault="00DD4225" w:rsidP="00DD4225">
      <w:pPr>
        <w:pStyle w:val="Normal-em"/>
        <w:rPr>
          <w:snapToGrid w:val="0"/>
          <w:color w:val="auto"/>
        </w:rPr>
      </w:pPr>
      <w:r w:rsidRPr="00EE35B6">
        <w:rPr>
          <w:color w:val="auto"/>
          <w:szCs w:val="24"/>
        </w:rPr>
        <w:t xml:space="preserve">This Legislative Instrument amends the </w:t>
      </w:r>
      <w:r w:rsidRPr="00EE35B6">
        <w:rPr>
          <w:i/>
          <w:color w:val="auto"/>
        </w:rPr>
        <w:t xml:space="preserve">Wine Australia Corporation Regulations 1981 </w:t>
      </w:r>
      <w:r w:rsidR="00AF7173" w:rsidRPr="00EE35B6">
        <w:rPr>
          <w:color w:val="auto"/>
        </w:rPr>
        <w:t>(the Principal Regulation</w:t>
      </w:r>
      <w:r w:rsidR="00177D63" w:rsidRPr="00EE35B6">
        <w:rPr>
          <w:color w:val="auto"/>
        </w:rPr>
        <w:t>s</w:t>
      </w:r>
      <w:r w:rsidR="00AF7173" w:rsidRPr="00EE35B6">
        <w:rPr>
          <w:color w:val="auto"/>
        </w:rPr>
        <w:t xml:space="preserve">) </w:t>
      </w:r>
      <w:r w:rsidRPr="00EE35B6">
        <w:rPr>
          <w:color w:val="auto"/>
        </w:rPr>
        <w:t>to bring the determination process for Australian Geographical Indications (GIs) in line with the determina</w:t>
      </w:r>
      <w:r w:rsidR="005F28E8" w:rsidRPr="00EE35B6">
        <w:rPr>
          <w:color w:val="auto"/>
        </w:rPr>
        <w:t>tion</w:t>
      </w:r>
      <w:r w:rsidRPr="00EE35B6">
        <w:rPr>
          <w:color w:val="auto"/>
        </w:rPr>
        <w:t xml:space="preserve"> of foreign GIs. The </w:t>
      </w:r>
      <w:r w:rsidRPr="00EE35B6">
        <w:rPr>
          <w:snapToGrid w:val="0"/>
          <w:color w:val="auto"/>
        </w:rPr>
        <w:t xml:space="preserve">Act 1980 and the </w:t>
      </w:r>
      <w:r w:rsidR="001F28CA" w:rsidRPr="00EE35B6">
        <w:rPr>
          <w:snapToGrid w:val="0"/>
          <w:color w:val="auto"/>
        </w:rPr>
        <w:t>Principal Regulation</w:t>
      </w:r>
      <w:r w:rsidR="00177D63" w:rsidRPr="00EE35B6">
        <w:rPr>
          <w:snapToGrid w:val="0"/>
          <w:color w:val="auto"/>
        </w:rPr>
        <w:t>s</w:t>
      </w:r>
      <w:r w:rsidR="00D06BDA" w:rsidRPr="00EE35B6">
        <w:rPr>
          <w:i/>
          <w:snapToGrid w:val="0"/>
          <w:color w:val="auto"/>
        </w:rPr>
        <w:t xml:space="preserve"> </w:t>
      </w:r>
      <w:r w:rsidR="00D06BDA" w:rsidRPr="00EE35B6">
        <w:rPr>
          <w:snapToGrid w:val="0"/>
          <w:color w:val="auto"/>
        </w:rPr>
        <w:t>o</w:t>
      </w:r>
      <w:r w:rsidR="007B0D64" w:rsidRPr="00EE35B6">
        <w:rPr>
          <w:snapToGrid w:val="0"/>
          <w:color w:val="auto"/>
        </w:rPr>
        <w:t>perate together to protect GIs</w:t>
      </w:r>
      <w:r w:rsidRPr="00EE35B6">
        <w:rPr>
          <w:snapToGrid w:val="0"/>
          <w:color w:val="auto"/>
        </w:rPr>
        <w:t xml:space="preserve"> for wine.</w:t>
      </w:r>
    </w:p>
    <w:p w:rsidR="00DD4225" w:rsidRPr="00EE35B6" w:rsidRDefault="00DD4225" w:rsidP="00DD4225">
      <w:pPr>
        <w:pStyle w:val="Normal-em"/>
        <w:rPr>
          <w:iCs/>
          <w:color w:val="auto"/>
        </w:rPr>
      </w:pPr>
    </w:p>
    <w:p w:rsidR="00DD4225" w:rsidRPr="00EE35B6" w:rsidRDefault="00DD4225" w:rsidP="00DD4225">
      <w:pPr>
        <w:spacing w:before="120" w:after="120"/>
        <w:rPr>
          <w:b/>
          <w:szCs w:val="24"/>
        </w:rPr>
      </w:pPr>
      <w:r w:rsidRPr="00EE35B6">
        <w:rPr>
          <w:b/>
          <w:szCs w:val="24"/>
        </w:rPr>
        <w:t>Human rights implications</w:t>
      </w:r>
    </w:p>
    <w:p w:rsidR="00DD4225" w:rsidRPr="00EE35B6" w:rsidRDefault="00DD4225" w:rsidP="00DD4225">
      <w:pPr>
        <w:spacing w:before="120" w:after="120"/>
        <w:rPr>
          <w:szCs w:val="24"/>
        </w:rPr>
      </w:pPr>
      <w:r w:rsidRPr="00EE35B6">
        <w:rPr>
          <w:szCs w:val="24"/>
        </w:rPr>
        <w:t>This Legislative Instrument does not engage any of the applicable rights or freedoms.</w:t>
      </w:r>
    </w:p>
    <w:p w:rsidR="00DD4225" w:rsidRPr="00EE35B6" w:rsidRDefault="00DD4225" w:rsidP="00DD4225">
      <w:pPr>
        <w:spacing w:before="120" w:after="120"/>
        <w:rPr>
          <w:szCs w:val="24"/>
        </w:rPr>
      </w:pPr>
    </w:p>
    <w:p w:rsidR="00DD4225" w:rsidRPr="00EE35B6" w:rsidRDefault="00DD4225" w:rsidP="00DD4225">
      <w:pPr>
        <w:spacing w:before="120" w:after="120"/>
        <w:rPr>
          <w:b/>
          <w:szCs w:val="24"/>
        </w:rPr>
      </w:pPr>
      <w:r w:rsidRPr="00EE35B6">
        <w:rPr>
          <w:b/>
          <w:szCs w:val="24"/>
        </w:rPr>
        <w:t>Conclusion</w:t>
      </w:r>
    </w:p>
    <w:p w:rsidR="00DD4225" w:rsidRPr="00EE35B6" w:rsidRDefault="00DD4225" w:rsidP="00DD4225">
      <w:pPr>
        <w:spacing w:before="120" w:after="120"/>
        <w:rPr>
          <w:szCs w:val="24"/>
        </w:rPr>
      </w:pPr>
      <w:r w:rsidRPr="00EE35B6">
        <w:rPr>
          <w:szCs w:val="24"/>
        </w:rPr>
        <w:t>This Legislative Instrument is compatible with human rights as it does not raise any human rights issues.</w:t>
      </w:r>
    </w:p>
    <w:p w:rsidR="00DD4225" w:rsidRPr="00EE35B6" w:rsidRDefault="00DD4225" w:rsidP="00DD4225">
      <w:pPr>
        <w:spacing w:before="120" w:after="120"/>
        <w:jc w:val="center"/>
        <w:rPr>
          <w:szCs w:val="24"/>
        </w:rPr>
      </w:pPr>
    </w:p>
    <w:p w:rsidR="00DD4225" w:rsidRPr="00EE35B6" w:rsidRDefault="00DD4225" w:rsidP="00DD4225">
      <w:pPr>
        <w:jc w:val="center"/>
        <w:rPr>
          <w:b/>
          <w:bCs/>
          <w:szCs w:val="24"/>
        </w:rPr>
      </w:pPr>
      <w:r w:rsidRPr="00EE35B6">
        <w:rPr>
          <w:b/>
          <w:bCs/>
          <w:szCs w:val="24"/>
        </w:rPr>
        <w:t>The Hon. Peter Douglas Sidebottom MP,</w:t>
      </w:r>
    </w:p>
    <w:p w:rsidR="00DD4225" w:rsidRPr="00EE35B6" w:rsidRDefault="00DD4225" w:rsidP="00DD4225">
      <w:pPr>
        <w:jc w:val="center"/>
        <w:rPr>
          <w:szCs w:val="24"/>
        </w:rPr>
      </w:pPr>
      <w:r w:rsidRPr="00EE35B6">
        <w:rPr>
          <w:b/>
          <w:szCs w:val="24"/>
        </w:rPr>
        <w:t>Parliamentary Secretary for Agriculture, Fisheries and Forestry</w:t>
      </w:r>
    </w:p>
    <w:p w:rsidR="00DD4225" w:rsidRPr="00EE35B6" w:rsidRDefault="00DD4225">
      <w:pPr>
        <w:pStyle w:val="Normal-em"/>
        <w:rPr>
          <w:b/>
          <w:color w:val="auto"/>
        </w:rPr>
      </w:pPr>
    </w:p>
    <w:sectPr w:rsidR="00DD4225" w:rsidRPr="00EE35B6" w:rsidSect="00714662">
      <w:footerReference w:type="even" r:id="rId7"/>
      <w:footerReference w:type="default" r:id="rId8"/>
      <w:pgSz w:w="11906" w:h="16838"/>
      <w:pgMar w:top="1361" w:right="1361" w:bottom="1361"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F12" w:rsidRDefault="00A95F12">
      <w:r>
        <w:separator/>
      </w:r>
    </w:p>
  </w:endnote>
  <w:endnote w:type="continuationSeparator" w:id="0">
    <w:p w:rsidR="00A95F12" w:rsidRDefault="00A95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F4" w:rsidRDefault="00CB48DE">
    <w:pPr>
      <w:pStyle w:val="Footer"/>
      <w:framePr w:wrap="around" w:vAnchor="text" w:hAnchor="margin" w:xAlign="right" w:y="1"/>
      <w:rPr>
        <w:rStyle w:val="PageNumber"/>
      </w:rPr>
    </w:pPr>
    <w:r>
      <w:rPr>
        <w:rStyle w:val="PageNumber"/>
      </w:rPr>
      <w:fldChar w:fldCharType="begin"/>
    </w:r>
    <w:r w:rsidR="00FD22F4">
      <w:rPr>
        <w:rStyle w:val="PageNumber"/>
      </w:rPr>
      <w:instrText xml:space="preserve">PAGE  </w:instrText>
    </w:r>
    <w:r>
      <w:rPr>
        <w:rStyle w:val="PageNumber"/>
      </w:rPr>
      <w:fldChar w:fldCharType="end"/>
    </w:r>
  </w:p>
  <w:p w:rsidR="00FD22F4" w:rsidRDefault="00FD22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2F4" w:rsidRPr="003B652D" w:rsidRDefault="00CB48DE" w:rsidP="003B652D">
    <w:pPr>
      <w:pStyle w:val="Footer"/>
      <w:jc w:val="center"/>
      <w:rPr>
        <w:sz w:val="22"/>
      </w:rPr>
    </w:pPr>
    <w:r w:rsidRPr="003B652D">
      <w:rPr>
        <w:sz w:val="22"/>
      </w:rPr>
      <w:fldChar w:fldCharType="begin"/>
    </w:r>
    <w:r w:rsidR="00FD22F4" w:rsidRPr="003B652D">
      <w:rPr>
        <w:sz w:val="22"/>
      </w:rPr>
      <w:instrText xml:space="preserve"> PAGE   \* MERGEFORMAT </w:instrText>
    </w:r>
    <w:r w:rsidRPr="003B652D">
      <w:rPr>
        <w:sz w:val="22"/>
      </w:rPr>
      <w:fldChar w:fldCharType="separate"/>
    </w:r>
    <w:r w:rsidR="00EE35B6">
      <w:rPr>
        <w:noProof/>
        <w:sz w:val="22"/>
      </w:rPr>
      <w:t>2</w:t>
    </w:r>
    <w:r w:rsidRPr="003B652D">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F12" w:rsidRDefault="00A95F12">
      <w:r>
        <w:separator/>
      </w:r>
    </w:p>
  </w:footnote>
  <w:footnote w:type="continuationSeparator" w:id="0">
    <w:p w:rsidR="00A95F12" w:rsidRDefault="00A95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26A9F"/>
    <w:multiLevelType w:val="hybridMultilevel"/>
    <w:tmpl w:val="5A84F97A"/>
    <w:lvl w:ilvl="0" w:tplc="2E90BB5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400E2BCF"/>
    <w:multiLevelType w:val="hybridMultilevel"/>
    <w:tmpl w:val="D9D090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58251E0"/>
    <w:multiLevelType w:val="hybridMultilevel"/>
    <w:tmpl w:val="2AF68A9C"/>
    <w:lvl w:ilvl="0" w:tplc="1BF62864">
      <w:start w:val="1"/>
      <w:numFmt w:val="lowerLetter"/>
      <w:lvlText w:val="(%1)"/>
      <w:lvlJc w:val="left"/>
      <w:pPr>
        <w:tabs>
          <w:tab w:val="num" w:pos="1080"/>
        </w:tabs>
        <w:ind w:left="1080" w:hanging="72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2238"/>
    <w:rsid w:val="00022B73"/>
    <w:rsid w:val="00030942"/>
    <w:rsid w:val="00030A88"/>
    <w:rsid w:val="00071D90"/>
    <w:rsid w:val="00074BA4"/>
    <w:rsid w:val="001266DC"/>
    <w:rsid w:val="00135399"/>
    <w:rsid w:val="00136A62"/>
    <w:rsid w:val="00150271"/>
    <w:rsid w:val="00156124"/>
    <w:rsid w:val="001702E6"/>
    <w:rsid w:val="0017699D"/>
    <w:rsid w:val="00177D63"/>
    <w:rsid w:val="001B1497"/>
    <w:rsid w:val="001C454E"/>
    <w:rsid w:val="001F0FFD"/>
    <w:rsid w:val="001F28CA"/>
    <w:rsid w:val="002304FF"/>
    <w:rsid w:val="00233762"/>
    <w:rsid w:val="00257F6D"/>
    <w:rsid w:val="002753CE"/>
    <w:rsid w:val="00276A3D"/>
    <w:rsid w:val="002E03D9"/>
    <w:rsid w:val="002F096A"/>
    <w:rsid w:val="003035CF"/>
    <w:rsid w:val="003142A4"/>
    <w:rsid w:val="00326ABC"/>
    <w:rsid w:val="00352097"/>
    <w:rsid w:val="003612BB"/>
    <w:rsid w:val="00363A77"/>
    <w:rsid w:val="00397018"/>
    <w:rsid w:val="003B3947"/>
    <w:rsid w:val="003B652D"/>
    <w:rsid w:val="003C30CC"/>
    <w:rsid w:val="003D3C26"/>
    <w:rsid w:val="003F12A6"/>
    <w:rsid w:val="00417F74"/>
    <w:rsid w:val="004320A7"/>
    <w:rsid w:val="00445665"/>
    <w:rsid w:val="004536B1"/>
    <w:rsid w:val="004611CC"/>
    <w:rsid w:val="004807C8"/>
    <w:rsid w:val="004E074B"/>
    <w:rsid w:val="004E421A"/>
    <w:rsid w:val="00521B0A"/>
    <w:rsid w:val="00522FFF"/>
    <w:rsid w:val="00532D07"/>
    <w:rsid w:val="00533505"/>
    <w:rsid w:val="00554830"/>
    <w:rsid w:val="00560C34"/>
    <w:rsid w:val="005A13D4"/>
    <w:rsid w:val="005A7896"/>
    <w:rsid w:val="005B3843"/>
    <w:rsid w:val="005B4B5F"/>
    <w:rsid w:val="005D1A49"/>
    <w:rsid w:val="005F28E8"/>
    <w:rsid w:val="006111DC"/>
    <w:rsid w:val="00627556"/>
    <w:rsid w:val="00634EC8"/>
    <w:rsid w:val="00634FCD"/>
    <w:rsid w:val="006556FC"/>
    <w:rsid w:val="00661A53"/>
    <w:rsid w:val="00661BE4"/>
    <w:rsid w:val="00675C6C"/>
    <w:rsid w:val="006A07F6"/>
    <w:rsid w:val="006A5330"/>
    <w:rsid w:val="006B223B"/>
    <w:rsid w:val="00714662"/>
    <w:rsid w:val="00726032"/>
    <w:rsid w:val="00763435"/>
    <w:rsid w:val="007843D7"/>
    <w:rsid w:val="00790181"/>
    <w:rsid w:val="00795453"/>
    <w:rsid w:val="007A701D"/>
    <w:rsid w:val="007B0D64"/>
    <w:rsid w:val="007C43B4"/>
    <w:rsid w:val="007C5128"/>
    <w:rsid w:val="007F0AF5"/>
    <w:rsid w:val="007F7282"/>
    <w:rsid w:val="00805B1D"/>
    <w:rsid w:val="00814EAC"/>
    <w:rsid w:val="00827819"/>
    <w:rsid w:val="0087091E"/>
    <w:rsid w:val="00876EC6"/>
    <w:rsid w:val="008855B7"/>
    <w:rsid w:val="00887868"/>
    <w:rsid w:val="008B4D27"/>
    <w:rsid w:val="008B79E1"/>
    <w:rsid w:val="008C031F"/>
    <w:rsid w:val="008C2631"/>
    <w:rsid w:val="008F11C9"/>
    <w:rsid w:val="008F5A70"/>
    <w:rsid w:val="00902A4A"/>
    <w:rsid w:val="00923BF3"/>
    <w:rsid w:val="009315BC"/>
    <w:rsid w:val="009365BA"/>
    <w:rsid w:val="00950A0A"/>
    <w:rsid w:val="00966F7C"/>
    <w:rsid w:val="009921CE"/>
    <w:rsid w:val="00997176"/>
    <w:rsid w:val="009A4E33"/>
    <w:rsid w:val="009C06E5"/>
    <w:rsid w:val="009D2ABB"/>
    <w:rsid w:val="009D40DC"/>
    <w:rsid w:val="00A07401"/>
    <w:rsid w:val="00A10DCD"/>
    <w:rsid w:val="00A433D9"/>
    <w:rsid w:val="00A57BC2"/>
    <w:rsid w:val="00A93B50"/>
    <w:rsid w:val="00A95F12"/>
    <w:rsid w:val="00AA340F"/>
    <w:rsid w:val="00AA6B69"/>
    <w:rsid w:val="00AD0DD4"/>
    <w:rsid w:val="00AE2742"/>
    <w:rsid w:val="00AE6622"/>
    <w:rsid w:val="00AF7173"/>
    <w:rsid w:val="00B25932"/>
    <w:rsid w:val="00B56BBE"/>
    <w:rsid w:val="00B641CF"/>
    <w:rsid w:val="00BF3AF3"/>
    <w:rsid w:val="00BF58BF"/>
    <w:rsid w:val="00BF7DB5"/>
    <w:rsid w:val="00C21B9C"/>
    <w:rsid w:val="00C22A5A"/>
    <w:rsid w:val="00C27EE0"/>
    <w:rsid w:val="00C53F44"/>
    <w:rsid w:val="00C8524A"/>
    <w:rsid w:val="00C92C05"/>
    <w:rsid w:val="00CA4318"/>
    <w:rsid w:val="00CB35FB"/>
    <w:rsid w:val="00CB48DE"/>
    <w:rsid w:val="00CC24D6"/>
    <w:rsid w:val="00CD0787"/>
    <w:rsid w:val="00CD3BA7"/>
    <w:rsid w:val="00CD6C91"/>
    <w:rsid w:val="00CF6356"/>
    <w:rsid w:val="00D004C6"/>
    <w:rsid w:val="00D016E7"/>
    <w:rsid w:val="00D06BDA"/>
    <w:rsid w:val="00D1400E"/>
    <w:rsid w:val="00D54911"/>
    <w:rsid w:val="00D57F35"/>
    <w:rsid w:val="00D6036A"/>
    <w:rsid w:val="00D71461"/>
    <w:rsid w:val="00D85429"/>
    <w:rsid w:val="00DD4225"/>
    <w:rsid w:val="00DE763C"/>
    <w:rsid w:val="00E215D4"/>
    <w:rsid w:val="00E44AF3"/>
    <w:rsid w:val="00E45E79"/>
    <w:rsid w:val="00E74B19"/>
    <w:rsid w:val="00E81D15"/>
    <w:rsid w:val="00E965C7"/>
    <w:rsid w:val="00EA5D22"/>
    <w:rsid w:val="00EB03F3"/>
    <w:rsid w:val="00EC4718"/>
    <w:rsid w:val="00EE35B6"/>
    <w:rsid w:val="00EE650F"/>
    <w:rsid w:val="00F053D8"/>
    <w:rsid w:val="00F07DE4"/>
    <w:rsid w:val="00F12CF0"/>
    <w:rsid w:val="00F46B91"/>
    <w:rsid w:val="00FA00EA"/>
    <w:rsid w:val="00FB204A"/>
    <w:rsid w:val="00FB5140"/>
    <w:rsid w:val="00FB7387"/>
    <w:rsid w:val="00FB77B5"/>
    <w:rsid w:val="00FD22F4"/>
    <w:rsid w:val="00FF0F6D"/>
    <w:rsid w:val="00FF2238"/>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et"/>
    <w:qFormat/>
    <w:rsid w:val="00876EC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m">
    <w:name w:val="Normal-em"/>
    <w:basedOn w:val="Normal"/>
    <w:rsid w:val="00876EC6"/>
    <w:rPr>
      <w:color w:val="000000"/>
    </w:rPr>
  </w:style>
  <w:style w:type="character" w:styleId="CommentReference">
    <w:name w:val="annotation reference"/>
    <w:basedOn w:val="DefaultParagraphFont"/>
    <w:semiHidden/>
    <w:rsid w:val="00876EC6"/>
    <w:rPr>
      <w:sz w:val="16"/>
      <w:szCs w:val="16"/>
    </w:rPr>
  </w:style>
  <w:style w:type="paragraph" w:styleId="CommentText">
    <w:name w:val="annotation text"/>
    <w:basedOn w:val="Normal"/>
    <w:link w:val="CommentTextChar"/>
    <w:semiHidden/>
    <w:rsid w:val="00876EC6"/>
    <w:rPr>
      <w:sz w:val="20"/>
    </w:rPr>
  </w:style>
  <w:style w:type="paragraph" w:styleId="BalloonText">
    <w:name w:val="Balloon Text"/>
    <w:basedOn w:val="Normal"/>
    <w:semiHidden/>
    <w:rsid w:val="00876EC6"/>
    <w:rPr>
      <w:rFonts w:ascii="Tahoma" w:hAnsi="Tahoma" w:cs="Tahoma"/>
      <w:sz w:val="16"/>
      <w:szCs w:val="16"/>
    </w:rPr>
  </w:style>
  <w:style w:type="paragraph" w:styleId="Header">
    <w:name w:val="header"/>
    <w:basedOn w:val="Normal"/>
    <w:rsid w:val="00876EC6"/>
    <w:pPr>
      <w:tabs>
        <w:tab w:val="center" w:pos="4153"/>
        <w:tab w:val="right" w:pos="8306"/>
      </w:tabs>
    </w:pPr>
  </w:style>
  <w:style w:type="paragraph" w:styleId="Footer">
    <w:name w:val="footer"/>
    <w:basedOn w:val="Normal"/>
    <w:link w:val="FooterChar"/>
    <w:uiPriority w:val="99"/>
    <w:rsid w:val="00876EC6"/>
    <w:pPr>
      <w:tabs>
        <w:tab w:val="center" w:pos="4153"/>
        <w:tab w:val="right" w:pos="8306"/>
      </w:tabs>
    </w:pPr>
  </w:style>
  <w:style w:type="character" w:styleId="PageNumber">
    <w:name w:val="page number"/>
    <w:basedOn w:val="DefaultParagraphFont"/>
    <w:rsid w:val="00876EC6"/>
  </w:style>
  <w:style w:type="paragraph" w:styleId="CommentSubject">
    <w:name w:val="annotation subject"/>
    <w:basedOn w:val="CommentText"/>
    <w:next w:val="CommentText"/>
    <w:link w:val="CommentSubjectChar"/>
    <w:rsid w:val="00950A0A"/>
    <w:rPr>
      <w:b/>
      <w:bCs/>
    </w:rPr>
  </w:style>
  <w:style w:type="character" w:customStyle="1" w:styleId="CommentTextChar">
    <w:name w:val="Comment Text Char"/>
    <w:basedOn w:val="DefaultParagraphFont"/>
    <w:link w:val="CommentText"/>
    <w:semiHidden/>
    <w:rsid w:val="00950A0A"/>
    <w:rPr>
      <w:lang w:eastAsia="en-US"/>
    </w:rPr>
  </w:style>
  <w:style w:type="character" w:customStyle="1" w:styleId="CommentSubjectChar">
    <w:name w:val="Comment Subject Char"/>
    <w:basedOn w:val="CommentTextChar"/>
    <w:link w:val="CommentSubject"/>
    <w:rsid w:val="00950A0A"/>
  </w:style>
  <w:style w:type="paragraph" w:styleId="Revision">
    <w:name w:val="Revision"/>
    <w:hidden/>
    <w:uiPriority w:val="99"/>
    <w:semiHidden/>
    <w:rsid w:val="00950A0A"/>
    <w:rPr>
      <w:sz w:val="24"/>
      <w:lang w:eastAsia="en-US"/>
    </w:rPr>
  </w:style>
  <w:style w:type="character" w:customStyle="1" w:styleId="FooterChar">
    <w:name w:val="Footer Char"/>
    <w:basedOn w:val="DefaultParagraphFont"/>
    <w:link w:val="Footer"/>
    <w:uiPriority w:val="99"/>
    <w:rsid w:val="003B652D"/>
    <w:rPr>
      <w:sz w:val="24"/>
      <w:lang w:eastAsia="en-US"/>
    </w:rPr>
  </w:style>
</w:styles>
</file>

<file path=word/webSettings.xml><?xml version="1.0" encoding="utf-8"?>
<w:webSettings xmlns:r="http://schemas.openxmlformats.org/officeDocument/2006/relationships" xmlns:w="http://schemas.openxmlformats.org/wordprocessingml/2006/main">
  <w:divs>
    <w:div w:id="9879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Department of Agriculture Fisheries &amp; Forestry</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martinez john</dc:creator>
  <cp:keywords/>
  <cp:lastModifiedBy>turekk</cp:lastModifiedBy>
  <cp:revision>4</cp:revision>
  <cp:lastPrinted>2012-05-29T00:54:00Z</cp:lastPrinted>
  <dcterms:created xsi:type="dcterms:W3CDTF">2012-07-11T03:06:00Z</dcterms:created>
  <dcterms:modified xsi:type="dcterms:W3CDTF">2012-07-13T00:19:00Z</dcterms:modified>
</cp:coreProperties>
</file>