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0" w:rsidRPr="007D6030" w:rsidRDefault="007D6030" w:rsidP="00590D53">
      <w:pPr>
        <w:pStyle w:val="MIRAHeading1"/>
      </w:pPr>
      <w:r w:rsidRPr="007D6030">
        <w:t>Australian Securities and Investments Commission</w:t>
      </w:r>
      <w:r w:rsidRPr="007D6030">
        <w:br/>
        <w:t>Corporations Act 2001 —</w:t>
      </w:r>
      <w:r>
        <w:t xml:space="preserve"> Subsection 798G(1)</w:t>
      </w:r>
      <w:r w:rsidRPr="007D6030">
        <w:t xml:space="preserve"> — Variation</w:t>
      </w:r>
    </w:p>
    <w:p w:rsidR="00A55551" w:rsidRDefault="00285E8F" w:rsidP="00590D53">
      <w:pPr>
        <w:pStyle w:val="MIRAHeading2"/>
      </w:pPr>
      <w:r>
        <w:t>1.</w:t>
      </w:r>
      <w:r>
        <w:tab/>
      </w:r>
      <w:r w:rsidR="007115E8" w:rsidRPr="007115E8">
        <w:t>Enabling legislation</w:t>
      </w:r>
    </w:p>
    <w:p w:rsidR="00A55551" w:rsidRDefault="007B1FA4" w:rsidP="00590D53">
      <w:pPr>
        <w:pStyle w:val="MIRABodyText"/>
      </w:pPr>
      <w:r>
        <w:t>I</w:t>
      </w:r>
      <w:r w:rsidR="00C94880">
        <w:t>,</w:t>
      </w:r>
      <w:r>
        <w:t xml:space="preserve"> </w:t>
      </w:r>
      <w:r w:rsidR="00BA3FE5">
        <w:t>Greg Yanco</w:t>
      </w:r>
      <w:r>
        <w:t>,</w:t>
      </w:r>
      <w:r w:rsidR="007115E8" w:rsidRPr="007115E8">
        <w:t xml:space="preserve"> </w:t>
      </w:r>
      <w:r w:rsidR="00C94880">
        <w:t xml:space="preserve">with the written consent of the Minister, </w:t>
      </w:r>
      <w:r w:rsidR="007115E8" w:rsidRPr="007115E8">
        <w:t xml:space="preserve">make this instrument under subsection </w:t>
      </w:r>
      <w:r w:rsidR="007115E8">
        <w:t xml:space="preserve">798G(1) of the </w:t>
      </w:r>
      <w:r w:rsidR="007115E8" w:rsidRPr="005459D0">
        <w:rPr>
          <w:i/>
        </w:rPr>
        <w:t>Corporations Act</w:t>
      </w:r>
      <w:r w:rsidR="005459D0" w:rsidRPr="005459D0">
        <w:rPr>
          <w:i/>
        </w:rPr>
        <w:t xml:space="preserve"> 2001</w:t>
      </w:r>
      <w:r w:rsidR="00A55551">
        <w:t>.</w:t>
      </w:r>
    </w:p>
    <w:p w:rsidR="007B1FA4" w:rsidRDefault="007B1FA4" w:rsidP="00590D53">
      <w:pPr>
        <w:pStyle w:val="MIRABodyText"/>
      </w:pPr>
    </w:p>
    <w:p w:rsidR="007B1FA4" w:rsidRPr="007B1FA4" w:rsidRDefault="007B1FA4" w:rsidP="007B1FA4">
      <w:pPr>
        <w:pStyle w:val="MIRABodyText"/>
      </w:pPr>
      <w:r w:rsidRPr="007B1FA4">
        <w:t xml:space="preserve">Dated this </w:t>
      </w:r>
      <w:r w:rsidR="00154FF1">
        <w:t>12</w:t>
      </w:r>
      <w:r w:rsidR="00154FF1" w:rsidRPr="00154FF1">
        <w:rPr>
          <w:vertAlign w:val="superscript"/>
        </w:rPr>
        <w:t>th</w:t>
      </w:r>
      <w:r w:rsidR="00154FF1">
        <w:t xml:space="preserve"> </w:t>
      </w:r>
      <w:r w:rsidRPr="007B1FA4">
        <w:t xml:space="preserve">day of </w:t>
      </w:r>
      <w:r w:rsidR="00154FF1">
        <w:t>July</w:t>
      </w:r>
      <w:r w:rsidR="00BA3FE5">
        <w:t xml:space="preserve"> </w:t>
      </w:r>
      <w:r w:rsidRPr="007B1FA4">
        <w:t>2012</w:t>
      </w:r>
    </w:p>
    <w:p w:rsidR="007B1FA4" w:rsidRPr="007B1FA4" w:rsidRDefault="007B1FA4" w:rsidP="007B1FA4">
      <w:pPr>
        <w:pStyle w:val="MIRABodyText"/>
      </w:pPr>
    </w:p>
    <w:p w:rsidR="007B1FA4" w:rsidRPr="007B1FA4" w:rsidRDefault="007B1FA4" w:rsidP="007B1FA4">
      <w:pPr>
        <w:pStyle w:val="MIRABodyText"/>
      </w:pPr>
    </w:p>
    <w:p w:rsidR="007B1FA4" w:rsidRPr="007B1FA4" w:rsidRDefault="007B1FA4" w:rsidP="007B1FA4">
      <w:pPr>
        <w:pStyle w:val="MIRABodyText"/>
      </w:pPr>
      <w:r w:rsidRPr="007B1FA4">
        <w:t xml:space="preserve">Signed by </w:t>
      </w:r>
      <w:r w:rsidR="00BA3FE5">
        <w:t>Greg Yanco</w:t>
      </w:r>
    </w:p>
    <w:p w:rsidR="007B1FA4" w:rsidRPr="0038434F" w:rsidRDefault="007B1FA4" w:rsidP="00590D53">
      <w:pPr>
        <w:pStyle w:val="MIRABodyText"/>
      </w:pPr>
      <w:r w:rsidRPr="007B1FA4">
        <w:t>as a delegate of the Australian Securities and Investments Commission</w:t>
      </w:r>
    </w:p>
    <w:p w:rsidR="00A55551" w:rsidRPr="003714F2" w:rsidRDefault="00285E8F" w:rsidP="00590D53">
      <w:pPr>
        <w:pStyle w:val="MIRAHeading2"/>
      </w:pPr>
      <w:r>
        <w:t>2</w:t>
      </w:r>
      <w:r w:rsidR="00490334">
        <w:t>.</w:t>
      </w:r>
      <w:r>
        <w:tab/>
      </w:r>
      <w:r w:rsidR="007115E8">
        <w:t>Title</w:t>
      </w:r>
    </w:p>
    <w:p w:rsidR="00A55551" w:rsidRDefault="007115E8" w:rsidP="00590D53">
      <w:pPr>
        <w:pStyle w:val="MIRABodyText"/>
      </w:pPr>
      <w:r w:rsidRPr="007115E8">
        <w:t xml:space="preserve">This instrument is </w:t>
      </w:r>
      <w:r w:rsidRPr="004C4E5A">
        <w:rPr>
          <w:i/>
        </w:rPr>
        <w:t xml:space="preserve">ASIC Market Integrity Rules (ASX Market) </w:t>
      </w:r>
      <w:r w:rsidR="0045542E" w:rsidRPr="004C4E5A">
        <w:rPr>
          <w:i/>
        </w:rPr>
        <w:t>Amendment</w:t>
      </w:r>
      <w:r w:rsidR="00E239F5" w:rsidRPr="004C4E5A">
        <w:rPr>
          <w:i/>
        </w:rPr>
        <w:t xml:space="preserve"> </w:t>
      </w:r>
      <w:r w:rsidR="00422645" w:rsidRPr="004C4E5A">
        <w:rPr>
          <w:i/>
        </w:rPr>
        <w:t>201</w:t>
      </w:r>
      <w:r w:rsidR="005B6BCB">
        <w:rPr>
          <w:i/>
        </w:rPr>
        <w:t>2</w:t>
      </w:r>
      <w:r w:rsidR="00834EC8" w:rsidRPr="004C4E5A">
        <w:rPr>
          <w:i/>
        </w:rPr>
        <w:t xml:space="preserve"> (No. </w:t>
      </w:r>
      <w:r w:rsidR="005B6BCB">
        <w:rPr>
          <w:i/>
        </w:rPr>
        <w:t>1</w:t>
      </w:r>
      <w:r w:rsidR="00834EC8" w:rsidRPr="004C4E5A">
        <w:rPr>
          <w:i/>
        </w:rPr>
        <w:t>)</w:t>
      </w:r>
      <w:r w:rsidRPr="007115E8">
        <w:t>.</w:t>
      </w:r>
    </w:p>
    <w:p w:rsidR="007115E8" w:rsidRDefault="007115E8" w:rsidP="00590D53">
      <w:pPr>
        <w:pStyle w:val="MIRAHeading2"/>
      </w:pPr>
      <w:r>
        <w:t>3</w:t>
      </w:r>
      <w:r w:rsidR="006027A9">
        <w:t>.</w:t>
      </w:r>
      <w:r>
        <w:tab/>
        <w:t>Com</w:t>
      </w:r>
      <w:r w:rsidR="00B13091">
        <w:t>mencement</w:t>
      </w:r>
    </w:p>
    <w:p w:rsidR="00B13091" w:rsidRPr="00B13091" w:rsidRDefault="00B13091" w:rsidP="00590D53">
      <w:pPr>
        <w:pStyle w:val="MIRABodyText"/>
      </w:pPr>
      <w:r w:rsidRPr="00B13091">
        <w:t>This instrument commences on the day</w:t>
      </w:r>
      <w:r w:rsidR="004561BD">
        <w:t xml:space="preserve"> after</w:t>
      </w:r>
      <w:r w:rsidRPr="00B13091">
        <w:t xml:space="preserve"> the instrument is registered under the </w:t>
      </w:r>
      <w:r w:rsidRPr="006D1A0F">
        <w:rPr>
          <w:i/>
        </w:rPr>
        <w:t>Legislative Instruments Act 2003</w:t>
      </w:r>
      <w:r w:rsidR="007D6030">
        <w:t>.</w:t>
      </w:r>
      <w:r w:rsidR="00F837EF">
        <w:t xml:space="preserve"> </w:t>
      </w:r>
    </w:p>
    <w:p w:rsidR="00B13091" w:rsidRDefault="00B13091" w:rsidP="00590D53">
      <w:pPr>
        <w:pStyle w:val="MIRANote"/>
      </w:pPr>
      <w:r w:rsidRPr="00B13091">
        <w:t xml:space="preserve">Note: An instrument is registered when it is recorded on the Federal Register of Legislative Instruments (FRLI) in electronic form: see </w:t>
      </w:r>
      <w:r w:rsidRPr="004561BD">
        <w:rPr>
          <w:i/>
        </w:rPr>
        <w:t>Legislative Instruments Act 2003</w:t>
      </w:r>
      <w:r w:rsidRPr="00B13091">
        <w:t>, s</w:t>
      </w:r>
      <w:r w:rsidR="006027A9">
        <w:t>ection</w:t>
      </w:r>
      <w:r w:rsidRPr="00B13091">
        <w:t xml:space="preserve"> 4 (definition of register). The FRLI may be accessed at </w:t>
      </w:r>
      <w:hyperlink r:id="rId7" w:history="1">
        <w:r w:rsidR="006D1A0F" w:rsidRPr="006A5FB9">
          <w:rPr>
            <w:rStyle w:val="Hyperlink"/>
          </w:rPr>
          <w:t>http://www.frli.gov.au/</w:t>
        </w:r>
      </w:hyperlink>
      <w:r w:rsidRPr="00B13091">
        <w:t>.</w:t>
      </w:r>
    </w:p>
    <w:p w:rsidR="006D1A0F" w:rsidRDefault="006D1A0F" w:rsidP="00590D53">
      <w:pPr>
        <w:pStyle w:val="MIRAHeading2"/>
      </w:pPr>
      <w:r>
        <w:t>4</w:t>
      </w:r>
      <w:r w:rsidR="007D6030">
        <w:t>.</w:t>
      </w:r>
      <w:r>
        <w:tab/>
      </w:r>
      <w:r w:rsidR="0045542E">
        <w:t>Amendment</w:t>
      </w:r>
      <w:r w:rsidR="007B1FA4">
        <w:t>s</w:t>
      </w:r>
    </w:p>
    <w:p w:rsidR="00E239F5" w:rsidRDefault="006D1A0F" w:rsidP="00590D53">
      <w:pPr>
        <w:pStyle w:val="MIRABodyText"/>
      </w:pPr>
      <w:r w:rsidRPr="006D1A0F">
        <w:t>The</w:t>
      </w:r>
      <w:r w:rsidR="0045542E">
        <w:t xml:space="preserve"> </w:t>
      </w:r>
      <w:r w:rsidR="0045542E" w:rsidRPr="004C4E5A">
        <w:rPr>
          <w:i/>
        </w:rPr>
        <w:t>ASIC Market Integrity Rules (ASX Market) 2010</w:t>
      </w:r>
      <w:r w:rsidR="0045542E">
        <w:t xml:space="preserve"> are amended </w:t>
      </w:r>
      <w:r w:rsidR="005D78F3">
        <w:t>as follows:</w:t>
      </w:r>
    </w:p>
    <w:p w:rsidR="005D78F3" w:rsidRPr="00CA547D" w:rsidRDefault="007B1FA4" w:rsidP="007B1FA4">
      <w:pPr>
        <w:pStyle w:val="MIRAHeading2"/>
      </w:pPr>
      <w:r>
        <w:t>[</w:t>
      </w:r>
      <w:r w:rsidR="00572E73">
        <w:t>1</w:t>
      </w:r>
      <w:r>
        <w:t>]</w:t>
      </w:r>
      <w:r>
        <w:tab/>
      </w:r>
      <w:r w:rsidR="005D78F3" w:rsidRPr="00CA547D">
        <w:t>After Part 5.10</w:t>
      </w:r>
    </w:p>
    <w:p w:rsidR="005D78F3" w:rsidRPr="00F12044" w:rsidRDefault="00F12044" w:rsidP="004C4E5A">
      <w:pPr>
        <w:pStyle w:val="MIRABodyText"/>
        <w:keepNext/>
        <w:rPr>
          <w:i/>
        </w:rPr>
      </w:pPr>
      <w:r w:rsidRPr="00F12044">
        <w:rPr>
          <w:i/>
        </w:rPr>
        <w:t>i</w:t>
      </w:r>
      <w:r w:rsidR="005D78F3" w:rsidRPr="00F12044">
        <w:rPr>
          <w:i/>
        </w:rPr>
        <w:t>nsert</w:t>
      </w:r>
    </w:p>
    <w:p w:rsidR="005D78F3" w:rsidRPr="00CA547D" w:rsidRDefault="005D78F3" w:rsidP="00590D53">
      <w:pPr>
        <w:pStyle w:val="MIRHeading2"/>
      </w:pPr>
      <w:bookmarkStart w:id="0" w:name="_Toc275353423"/>
      <w:bookmarkStart w:id="1" w:name="_Toc288500318"/>
      <w:r w:rsidRPr="00CA547D">
        <w:t xml:space="preserve">Part </w:t>
      </w:r>
      <w:r w:rsidR="002B243D" w:rsidRPr="00CA547D">
        <w:t>5</w:t>
      </w:r>
      <w:r w:rsidRPr="00CA547D">
        <w:t>.1</w:t>
      </w:r>
      <w:r w:rsidR="002B243D" w:rsidRPr="00CA547D">
        <w:t>1</w:t>
      </w:r>
      <w:r w:rsidRPr="00CA547D">
        <w:tab/>
        <w:t>Suspicious activity reporting</w:t>
      </w:r>
      <w:bookmarkEnd w:id="0"/>
      <w:bookmarkEnd w:id="1"/>
    </w:p>
    <w:p w:rsidR="005D78F3" w:rsidRPr="00CA547D" w:rsidRDefault="002B243D" w:rsidP="00590D53">
      <w:pPr>
        <w:pStyle w:val="MIRHeading3"/>
      </w:pPr>
      <w:r w:rsidRPr="00CA547D">
        <w:t>5</w:t>
      </w:r>
      <w:r w:rsidR="005D78F3" w:rsidRPr="00CA547D">
        <w:t>.</w:t>
      </w:r>
      <w:r w:rsidRPr="00CA547D">
        <w:t>1</w:t>
      </w:r>
      <w:r w:rsidR="005D78F3" w:rsidRPr="00CA547D">
        <w:t>1.1</w:t>
      </w:r>
      <w:r w:rsidR="005D78F3" w:rsidRPr="00CA547D">
        <w:tab/>
        <w:t>Notification requirement</w:t>
      </w:r>
    </w:p>
    <w:p w:rsidR="005D78F3" w:rsidRPr="005D78F3" w:rsidRDefault="005D78F3" w:rsidP="00815DB8">
      <w:pPr>
        <w:pStyle w:val="MIRBodyText"/>
      </w:pPr>
      <w:r w:rsidRPr="005D78F3">
        <w:t xml:space="preserve">(1) Subject </w:t>
      </w:r>
      <w:r w:rsidRPr="00815DB8">
        <w:t>to</w:t>
      </w:r>
      <w:r w:rsidRPr="005D78F3">
        <w:t xml:space="preserve"> subrule</w:t>
      </w:r>
      <w:r w:rsidR="000A4070">
        <w:t>s</w:t>
      </w:r>
      <w:r w:rsidRPr="005D78F3">
        <w:t xml:space="preserve"> (2)</w:t>
      </w:r>
      <w:r w:rsidR="000A4070">
        <w:t xml:space="preserve"> and (3)</w:t>
      </w:r>
      <w:r w:rsidRPr="005D78F3">
        <w:t xml:space="preserve">, if a </w:t>
      </w:r>
      <w:r w:rsidR="00037575">
        <w:t xml:space="preserve">Market </w:t>
      </w:r>
      <w:r w:rsidRPr="005D78F3">
        <w:t>Participant has reasonable grounds to suspect that:</w:t>
      </w:r>
    </w:p>
    <w:p w:rsidR="005D78F3" w:rsidRPr="005D78F3" w:rsidRDefault="00462EE5" w:rsidP="00462EE5">
      <w:pPr>
        <w:pStyle w:val="MIRSubpara"/>
        <w:numPr>
          <w:ilvl w:val="0"/>
          <w:numId w:val="0"/>
        </w:numPr>
        <w:tabs>
          <w:tab w:val="left" w:pos="2127"/>
        </w:tabs>
        <w:ind w:left="2127" w:hanging="426"/>
      </w:pPr>
      <w:r w:rsidRPr="00462EE5">
        <w:rPr>
          <w:sz w:val="18"/>
          <w:szCs w:val="18"/>
        </w:rPr>
        <w:lastRenderedPageBreak/>
        <w:t>(a)</w:t>
      </w:r>
      <w:r>
        <w:t xml:space="preserve"> </w:t>
      </w:r>
      <w:r>
        <w:tab/>
      </w:r>
      <w:r w:rsidR="005D78F3" w:rsidRPr="005D78F3">
        <w:t xml:space="preserve">a person </w:t>
      </w:r>
      <w:r w:rsidR="00EB6F04">
        <w:t>(</w:t>
      </w:r>
      <w:r w:rsidR="00B17B70">
        <w:t>“</w:t>
      </w:r>
      <w:r w:rsidR="00EB6F04">
        <w:t xml:space="preserve">the </w:t>
      </w:r>
      <w:r w:rsidR="00EB6F04" w:rsidRPr="00B17B70">
        <w:t>Insider</w:t>
      </w:r>
      <w:r w:rsidR="00B17B70">
        <w:t>”</w:t>
      </w:r>
      <w:r w:rsidR="00EB6F04">
        <w:t>) has</w:t>
      </w:r>
      <w:r w:rsidR="00550952">
        <w:t xml:space="preserve"> </w:t>
      </w:r>
      <w:r w:rsidR="00745B77">
        <w:t xml:space="preserve">placed an order into or entered into a transaction on the Market </w:t>
      </w:r>
      <w:r w:rsidR="000C44CD">
        <w:t xml:space="preserve">in relation to a </w:t>
      </w:r>
      <w:r w:rsidR="00DD153B">
        <w:t>f</w:t>
      </w:r>
      <w:r w:rsidR="000C44CD">
        <w:t xml:space="preserve">inancial </w:t>
      </w:r>
      <w:r w:rsidR="00DD153B">
        <w:t>p</w:t>
      </w:r>
      <w:r w:rsidR="000C44CD">
        <w:t xml:space="preserve">roduct </w:t>
      </w:r>
      <w:r w:rsidR="005D78F3" w:rsidRPr="005D78F3">
        <w:t>while in possession of inside information</w:t>
      </w:r>
      <w:r w:rsidR="00EB6F04">
        <w:t xml:space="preserve"> (within the meaning of </w:t>
      </w:r>
      <w:r w:rsidR="005D78F3" w:rsidRPr="005D78F3">
        <w:t>section 1042A of the</w:t>
      </w:r>
      <w:r w:rsidR="00664541">
        <w:t xml:space="preserve"> Corporations</w:t>
      </w:r>
      <w:r w:rsidR="005D78F3" w:rsidRPr="005D78F3">
        <w:t xml:space="preserve"> Act</w:t>
      </w:r>
      <w:r w:rsidR="000C44CD">
        <w:t>)</w:t>
      </w:r>
      <w:r w:rsidR="00B17B70">
        <w:t>,</w:t>
      </w:r>
      <w:r w:rsidR="000C44CD">
        <w:t xml:space="preserve"> </w:t>
      </w:r>
      <w:r w:rsidR="005D78F3" w:rsidRPr="005D78F3">
        <w:t xml:space="preserve">whether or not the </w:t>
      </w:r>
      <w:r w:rsidR="00EB6F04">
        <w:t xml:space="preserve">Market </w:t>
      </w:r>
      <w:r w:rsidR="005D78F3" w:rsidRPr="00815DB8">
        <w:t>Participant</w:t>
      </w:r>
      <w:r w:rsidR="005D78F3" w:rsidRPr="005D78F3">
        <w:t xml:space="preserve"> is aware of: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551" w:hanging="425"/>
      </w:pPr>
      <w:r w:rsidRPr="00462EE5">
        <w:rPr>
          <w:sz w:val="18"/>
          <w:szCs w:val="18"/>
        </w:rPr>
        <w:t>(</w:t>
      </w:r>
      <w:proofErr w:type="spellStart"/>
      <w:r w:rsidRPr="00462EE5">
        <w:rPr>
          <w:sz w:val="18"/>
          <w:szCs w:val="18"/>
        </w:rPr>
        <w:t>i</w:t>
      </w:r>
      <w:proofErr w:type="spellEnd"/>
      <w:r w:rsidRPr="00462EE5">
        <w:rPr>
          <w:sz w:val="18"/>
          <w:szCs w:val="18"/>
        </w:rPr>
        <w:t>)</w:t>
      </w:r>
      <w:r>
        <w:tab/>
      </w:r>
      <w:r w:rsidR="005D78F3" w:rsidRPr="005D78F3">
        <w:t xml:space="preserve">the identity of the </w:t>
      </w:r>
      <w:r w:rsidR="00EB6F04">
        <w:t>I</w:t>
      </w:r>
      <w:r w:rsidR="005D78F3" w:rsidRPr="005D78F3">
        <w:t>nsider; or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126"/>
      </w:pPr>
      <w:r w:rsidRPr="00462EE5">
        <w:rPr>
          <w:sz w:val="18"/>
          <w:szCs w:val="18"/>
        </w:rPr>
        <w:t>(ii)</w:t>
      </w:r>
      <w:r>
        <w:tab/>
      </w:r>
      <w:r w:rsidR="005D78F3" w:rsidRPr="005D78F3">
        <w:t xml:space="preserve">all of the details of the </w:t>
      </w:r>
      <w:r w:rsidR="00EB6F04">
        <w:t xml:space="preserve">order or </w:t>
      </w:r>
      <w:r w:rsidR="005D78F3" w:rsidRPr="005D78F3">
        <w:t>transaction; or</w:t>
      </w:r>
    </w:p>
    <w:p w:rsidR="005D78F3" w:rsidRPr="005D78F3" w:rsidRDefault="00462EE5" w:rsidP="00462EE5">
      <w:pPr>
        <w:pStyle w:val="MIRSubpara"/>
        <w:numPr>
          <w:ilvl w:val="0"/>
          <w:numId w:val="0"/>
        </w:numPr>
        <w:tabs>
          <w:tab w:val="left" w:pos="2127"/>
        </w:tabs>
        <w:ind w:left="2127" w:hanging="426"/>
      </w:pPr>
      <w:r w:rsidRPr="00462EE5">
        <w:rPr>
          <w:sz w:val="18"/>
          <w:szCs w:val="18"/>
        </w:rPr>
        <w:t>(b)</w:t>
      </w:r>
      <w:r>
        <w:tab/>
      </w:r>
      <w:r w:rsidR="005D78F3" w:rsidRPr="005D78F3">
        <w:t xml:space="preserve">a transaction or an order transmitted to a </w:t>
      </w:r>
      <w:r w:rsidR="009A6DE1">
        <w:t>T</w:t>
      </w:r>
      <w:r w:rsidR="005D78F3" w:rsidRPr="005D78F3">
        <w:t xml:space="preserve">rading </w:t>
      </w:r>
      <w:r w:rsidR="009A6DE1">
        <w:t>Platform</w:t>
      </w:r>
      <w:r w:rsidR="005D78F3" w:rsidRPr="005D78F3">
        <w:t xml:space="preserve"> has or is likely to have the effect</w:t>
      </w:r>
      <w:r w:rsidR="00B17B70">
        <w:t xml:space="preserve"> of</w:t>
      </w:r>
      <w:r w:rsidR="005D78F3" w:rsidRPr="005D78F3">
        <w:t>:</w:t>
      </w:r>
    </w:p>
    <w:p w:rsidR="00644B1B" w:rsidRDefault="00462EE5" w:rsidP="00462EE5">
      <w:pPr>
        <w:pStyle w:val="MIRSubsubpara"/>
        <w:numPr>
          <w:ilvl w:val="0"/>
          <w:numId w:val="0"/>
        </w:numPr>
        <w:ind w:left="2126"/>
      </w:pPr>
      <w:r w:rsidRPr="00462EE5">
        <w:rPr>
          <w:sz w:val="18"/>
          <w:szCs w:val="18"/>
        </w:rPr>
        <w:t>(</w:t>
      </w:r>
      <w:proofErr w:type="spellStart"/>
      <w:r w:rsidRPr="00462EE5">
        <w:rPr>
          <w:sz w:val="18"/>
          <w:szCs w:val="18"/>
        </w:rPr>
        <w:t>i</w:t>
      </w:r>
      <w:proofErr w:type="spellEnd"/>
      <w:r w:rsidRPr="00462EE5">
        <w:rPr>
          <w:sz w:val="18"/>
          <w:szCs w:val="18"/>
        </w:rPr>
        <w:t>)</w:t>
      </w:r>
      <w:r>
        <w:tab/>
      </w:r>
      <w:r w:rsidR="00644B1B">
        <w:t xml:space="preserve">creating an artificial price for trading in financial products on the Market; 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552" w:hanging="426"/>
      </w:pPr>
      <w:r w:rsidRPr="00462EE5">
        <w:rPr>
          <w:sz w:val="18"/>
          <w:szCs w:val="18"/>
        </w:rPr>
        <w:t>(ii)</w:t>
      </w:r>
      <w:r>
        <w:tab/>
      </w:r>
      <w:r w:rsidR="00644B1B">
        <w:t>maintaining at a level that is artificial (whether or not it was previously artificial) a price for trading in financial products on the Market</w:t>
      </w:r>
      <w:r w:rsidR="009771B0">
        <w:t>;</w:t>
      </w:r>
    </w:p>
    <w:p w:rsidR="00644B1B" w:rsidRDefault="00462EE5" w:rsidP="00462EE5">
      <w:pPr>
        <w:pStyle w:val="MIRSubsubpara"/>
        <w:numPr>
          <w:ilvl w:val="0"/>
          <w:numId w:val="0"/>
        </w:numPr>
        <w:ind w:left="2552" w:hanging="426"/>
      </w:pPr>
      <w:r w:rsidRPr="00462EE5">
        <w:rPr>
          <w:sz w:val="18"/>
          <w:szCs w:val="18"/>
        </w:rPr>
        <w:t>(iii)</w:t>
      </w:r>
      <w:r>
        <w:tab/>
      </w:r>
      <w:r w:rsidR="00B517C6">
        <w:t>creating</w:t>
      </w:r>
      <w:r w:rsidR="00F05FEA">
        <w:t>,</w:t>
      </w:r>
      <w:r w:rsidR="00B517C6">
        <w:t xml:space="preserve"> </w:t>
      </w:r>
      <w:r w:rsidR="00D30E38">
        <w:t>or causing the creation of</w:t>
      </w:r>
      <w:r w:rsidR="00F05FEA">
        <w:t>,</w:t>
      </w:r>
      <w:r w:rsidR="00D30E38">
        <w:t xml:space="preserve"> </w:t>
      </w:r>
      <w:r w:rsidR="00B517C6">
        <w:t xml:space="preserve">a false or misleading appearance of active trading in financial </w:t>
      </w:r>
      <w:r w:rsidR="00644B1B">
        <w:t>products on the Market;</w:t>
      </w:r>
      <w:r w:rsidR="00B17B70">
        <w:t xml:space="preserve"> or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552" w:hanging="426"/>
      </w:pPr>
      <w:r w:rsidRPr="00462EE5">
        <w:rPr>
          <w:sz w:val="18"/>
          <w:szCs w:val="18"/>
        </w:rPr>
        <w:t>(iv)</w:t>
      </w:r>
      <w:r>
        <w:tab/>
      </w:r>
      <w:r w:rsidR="00644B1B">
        <w:t>creating</w:t>
      </w:r>
      <w:r w:rsidR="00F05FEA">
        <w:t>,</w:t>
      </w:r>
      <w:r w:rsidR="00644B1B">
        <w:t xml:space="preserve"> or causing the creation of</w:t>
      </w:r>
      <w:r w:rsidR="00F05FEA">
        <w:t>,</w:t>
      </w:r>
      <w:r w:rsidR="00644B1B">
        <w:t xml:space="preserve"> a false or misleading appearance with respect to the market for</w:t>
      </w:r>
      <w:r w:rsidR="00F05FEA">
        <w:t>,</w:t>
      </w:r>
      <w:r w:rsidR="00644B1B">
        <w:t xml:space="preserve"> or the price for trading in</w:t>
      </w:r>
      <w:r w:rsidR="00F05FEA">
        <w:t>,</w:t>
      </w:r>
      <w:r w:rsidR="00644B1B">
        <w:t xml:space="preserve"> financial products on the Market</w:t>
      </w:r>
      <w:r w:rsidR="009771B0">
        <w:t>,</w:t>
      </w:r>
      <w:r w:rsidR="002C0EE7">
        <w:t xml:space="preserve"> </w:t>
      </w:r>
    </w:p>
    <w:p w:rsidR="005D78F3" w:rsidRPr="005D78F3" w:rsidRDefault="005D78F3" w:rsidP="004C4E5A">
      <w:pPr>
        <w:pStyle w:val="MIRSubpara"/>
        <w:numPr>
          <w:ilvl w:val="0"/>
          <w:numId w:val="0"/>
        </w:numPr>
        <w:ind w:left="2126"/>
      </w:pPr>
      <w:r w:rsidRPr="005D78F3">
        <w:t xml:space="preserve">whether or not the </w:t>
      </w:r>
      <w:r w:rsidR="00815DB8">
        <w:t xml:space="preserve">Market </w:t>
      </w:r>
      <w:r w:rsidRPr="005D78F3">
        <w:t>Participant is aware of: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552" w:hanging="426"/>
      </w:pPr>
      <w:r w:rsidRPr="00462EE5">
        <w:rPr>
          <w:sz w:val="18"/>
          <w:szCs w:val="18"/>
        </w:rPr>
        <w:t>(v)</w:t>
      </w:r>
      <w:r>
        <w:tab/>
      </w:r>
      <w:r w:rsidR="005D78F3" w:rsidRPr="005D78F3">
        <w:t>the intention of any party to the transaction or order;</w:t>
      </w:r>
      <w:r w:rsidR="006027A9">
        <w:t xml:space="preserve"> or</w:t>
      </w:r>
    </w:p>
    <w:p w:rsidR="005D78F3" w:rsidRPr="005D78F3" w:rsidRDefault="00462EE5" w:rsidP="00462EE5">
      <w:pPr>
        <w:pStyle w:val="MIRSubsubpara"/>
        <w:numPr>
          <w:ilvl w:val="0"/>
          <w:numId w:val="0"/>
        </w:numPr>
        <w:ind w:left="2552" w:hanging="426"/>
      </w:pPr>
      <w:r w:rsidRPr="00462EE5">
        <w:rPr>
          <w:sz w:val="18"/>
          <w:szCs w:val="18"/>
        </w:rPr>
        <w:t>(vi)</w:t>
      </w:r>
      <w:r>
        <w:tab/>
      </w:r>
      <w:r w:rsidR="005D78F3" w:rsidRPr="005D78F3">
        <w:t>all of the details of the transaction or order,</w:t>
      </w:r>
    </w:p>
    <w:p w:rsidR="005D78F3" w:rsidRPr="005D78F3" w:rsidRDefault="005D78F3" w:rsidP="005D78F3">
      <w:pPr>
        <w:pStyle w:val="MIRBodyText"/>
        <w:tabs>
          <w:tab w:val="clear" w:pos="2205"/>
        </w:tabs>
      </w:pPr>
      <w:r w:rsidRPr="005D78F3">
        <w:t xml:space="preserve">the </w:t>
      </w:r>
      <w:r w:rsidR="00EB6F04">
        <w:t xml:space="preserve">Market </w:t>
      </w:r>
      <w:r w:rsidRPr="005D78F3">
        <w:t>Participant must</w:t>
      </w:r>
      <w:r w:rsidR="00A72EA2">
        <w:t>,</w:t>
      </w:r>
      <w:r w:rsidRPr="005D78F3">
        <w:t xml:space="preserve"> as soon as practicable</w:t>
      </w:r>
      <w:r w:rsidR="00A72EA2">
        <w:t>,</w:t>
      </w:r>
      <w:r w:rsidRPr="005D78F3">
        <w:t xml:space="preserve"> notify ASIC in writing of the details of the transaction or order </w:t>
      </w:r>
      <w:r w:rsidR="00EB6F04">
        <w:t>(to the extent known to</w:t>
      </w:r>
      <w:r w:rsidR="00EB6F04" w:rsidRPr="005D78F3">
        <w:t xml:space="preserve"> the </w:t>
      </w:r>
      <w:r w:rsidR="00EB6F04">
        <w:t xml:space="preserve">Market </w:t>
      </w:r>
      <w:r w:rsidR="00EB6F04" w:rsidRPr="005D78F3">
        <w:t>Participant)</w:t>
      </w:r>
      <w:r w:rsidR="00745B77">
        <w:t xml:space="preserve"> </w:t>
      </w:r>
      <w:r w:rsidRPr="005D78F3">
        <w:t xml:space="preserve">and </w:t>
      </w:r>
      <w:r w:rsidR="00550952">
        <w:t>the reasons it suspects the matter set out in paragraphs (a) and</w:t>
      </w:r>
      <w:r w:rsidR="00B17B70">
        <w:t>/</w:t>
      </w:r>
      <w:r w:rsidR="00550952">
        <w:t>or (b)</w:t>
      </w:r>
      <w:r w:rsidRPr="005D78F3">
        <w:t xml:space="preserve">. </w:t>
      </w:r>
    </w:p>
    <w:p w:rsidR="005D78F3" w:rsidRDefault="005D78F3" w:rsidP="005D78F3">
      <w:pPr>
        <w:pStyle w:val="MIRBodyText"/>
        <w:tabs>
          <w:tab w:val="clear" w:pos="2205"/>
        </w:tabs>
      </w:pPr>
      <w:r w:rsidRPr="005D78F3">
        <w:t xml:space="preserve">(2) </w:t>
      </w:r>
      <w:r w:rsidR="00A72EA2">
        <w:t xml:space="preserve">A Market </w:t>
      </w:r>
      <w:r w:rsidRPr="005D78F3">
        <w:t xml:space="preserve">Participant is not required to notify ASIC </w:t>
      </w:r>
      <w:r w:rsidR="00A72EA2">
        <w:t xml:space="preserve">under subrule (1) if </w:t>
      </w:r>
      <w:r w:rsidRPr="005D78F3">
        <w:t xml:space="preserve">the </w:t>
      </w:r>
      <w:r w:rsidR="00A72EA2">
        <w:t xml:space="preserve">Market </w:t>
      </w:r>
      <w:r w:rsidRPr="005D78F3">
        <w:t>Participant has reported the information</w:t>
      </w:r>
      <w:r w:rsidR="00A72EA2">
        <w:t xml:space="preserve"> that would otherwise be required to be contained in the notification</w:t>
      </w:r>
      <w:r w:rsidR="00550952">
        <w:t xml:space="preserve"> to ASIC under subrule (1)</w:t>
      </w:r>
      <w:r w:rsidRPr="005D78F3">
        <w:t xml:space="preserve"> to </w:t>
      </w:r>
      <w:r w:rsidR="00A72EA2">
        <w:t xml:space="preserve">the Australian Transaction Reports and Analysis Centre </w:t>
      </w:r>
      <w:r w:rsidRPr="005D78F3">
        <w:t xml:space="preserve">under section 41 of the </w:t>
      </w:r>
      <w:r w:rsidRPr="005D78F3">
        <w:rPr>
          <w:i/>
        </w:rPr>
        <w:t>Anti</w:t>
      </w:r>
      <w:r w:rsidR="006027A9">
        <w:rPr>
          <w:i/>
        </w:rPr>
        <w:t>-</w:t>
      </w:r>
      <w:r w:rsidRPr="005D78F3">
        <w:rPr>
          <w:i/>
        </w:rPr>
        <w:t>Money Laundering and Counter</w:t>
      </w:r>
      <w:r w:rsidR="006027A9">
        <w:rPr>
          <w:i/>
        </w:rPr>
        <w:t>-</w:t>
      </w:r>
      <w:r w:rsidRPr="005D78F3">
        <w:rPr>
          <w:i/>
        </w:rPr>
        <w:t>Terrorism Financing Act 2006</w:t>
      </w:r>
      <w:r w:rsidR="009A6DE1">
        <w:rPr>
          <w:i/>
        </w:rPr>
        <w:t xml:space="preserve"> </w:t>
      </w:r>
      <w:r w:rsidR="009A6DE1" w:rsidRPr="009A6DE1">
        <w:t>or under section 16 of the</w:t>
      </w:r>
      <w:r w:rsidR="009A6DE1">
        <w:rPr>
          <w:i/>
        </w:rPr>
        <w:t xml:space="preserve"> Financial Transaction Reports Act 1988</w:t>
      </w:r>
      <w:r w:rsidRPr="005D78F3">
        <w:t>.</w:t>
      </w:r>
    </w:p>
    <w:p w:rsidR="000A4070" w:rsidRPr="005D78F3" w:rsidRDefault="000A4070" w:rsidP="005D78F3">
      <w:pPr>
        <w:pStyle w:val="MIRBodyText"/>
        <w:tabs>
          <w:tab w:val="clear" w:pos="2205"/>
        </w:tabs>
      </w:pPr>
      <w:r>
        <w:t xml:space="preserve">(3) A </w:t>
      </w:r>
      <w:r w:rsidR="00A72EA2">
        <w:t xml:space="preserve">Market </w:t>
      </w:r>
      <w:r>
        <w:t xml:space="preserve">Participant is not required to comply with </w:t>
      </w:r>
      <w:proofErr w:type="spellStart"/>
      <w:r>
        <w:t>subrule</w:t>
      </w:r>
      <w:proofErr w:type="spellEnd"/>
      <w:r>
        <w:t xml:space="preserve"> (1) until </w:t>
      </w:r>
      <w:r w:rsidR="004219AB">
        <w:t>1 </w:t>
      </w:r>
      <w:r w:rsidR="008E59C4" w:rsidRPr="00BA3FE5">
        <w:t xml:space="preserve">November </w:t>
      </w:r>
      <w:r w:rsidRPr="00BA3FE5">
        <w:t>2012.</w:t>
      </w:r>
    </w:p>
    <w:p w:rsidR="005D78F3" w:rsidRPr="005D78F3" w:rsidRDefault="005D78F3" w:rsidP="004C4E5A">
      <w:pPr>
        <w:pStyle w:val="MIRPenalty"/>
      </w:pPr>
      <w:r w:rsidRPr="005D78F3">
        <w:t>Maximum penalty: $</w:t>
      </w:r>
      <w:r w:rsidR="009A6DE1">
        <w:t>2</w:t>
      </w:r>
      <w:r w:rsidRPr="005D78F3">
        <w:t>0,000</w:t>
      </w:r>
    </w:p>
    <w:p w:rsidR="005D78F3" w:rsidRPr="00CA547D" w:rsidRDefault="002B243D" w:rsidP="004C4E5A">
      <w:pPr>
        <w:pStyle w:val="MIRHeading3"/>
      </w:pPr>
      <w:r w:rsidRPr="00CA547D">
        <w:t>5</w:t>
      </w:r>
      <w:r w:rsidR="005D78F3" w:rsidRPr="00CA547D">
        <w:t>.</w:t>
      </w:r>
      <w:r w:rsidRPr="00CA547D">
        <w:t>1</w:t>
      </w:r>
      <w:r w:rsidR="005D78F3" w:rsidRPr="00CA547D">
        <w:t>1.2</w:t>
      </w:r>
      <w:r w:rsidR="005D78F3" w:rsidRPr="00CA547D">
        <w:tab/>
        <w:t>Confidentiality</w:t>
      </w:r>
    </w:p>
    <w:p w:rsidR="00BB1F01" w:rsidRDefault="005D78F3" w:rsidP="005D78F3">
      <w:pPr>
        <w:pStyle w:val="MIRBodyText"/>
        <w:tabs>
          <w:tab w:val="clear" w:pos="2205"/>
        </w:tabs>
      </w:pPr>
      <w:r w:rsidRPr="005D78F3">
        <w:t xml:space="preserve">A </w:t>
      </w:r>
      <w:r w:rsidR="00BB1F01">
        <w:t xml:space="preserve">Market </w:t>
      </w:r>
      <w:r w:rsidRPr="005D78F3">
        <w:t xml:space="preserve">Participant who notifies ASIC under </w:t>
      </w:r>
      <w:r w:rsidR="000A4070">
        <w:t>subr</w:t>
      </w:r>
      <w:r w:rsidRPr="005D78F3">
        <w:t>ule 5.1</w:t>
      </w:r>
      <w:r w:rsidR="00664541">
        <w:t>1</w:t>
      </w:r>
      <w:r w:rsidRPr="005D78F3">
        <w:t>.1</w:t>
      </w:r>
      <w:r w:rsidR="000A4070">
        <w:t>(1)</w:t>
      </w:r>
      <w:r w:rsidRPr="005D78F3">
        <w:t xml:space="preserve"> must not disclose </w:t>
      </w:r>
      <w:r w:rsidR="00BB1F01" w:rsidRPr="005D78F3">
        <w:t>that the notification was made, or the information contained in the notification</w:t>
      </w:r>
      <w:r w:rsidR="00A72EA2">
        <w:t>,</w:t>
      </w:r>
      <w:r w:rsidR="00BB1F01" w:rsidRPr="005D78F3">
        <w:t xml:space="preserve"> </w:t>
      </w:r>
      <w:r w:rsidRPr="005D78F3">
        <w:t>to any</w:t>
      </w:r>
      <w:r w:rsidR="000A4070">
        <w:t xml:space="preserve"> person other than</w:t>
      </w:r>
      <w:r w:rsidR="00BB1F01">
        <w:t>:</w:t>
      </w:r>
    </w:p>
    <w:p w:rsidR="00BB1F01" w:rsidRDefault="00462EE5" w:rsidP="00462EE5">
      <w:pPr>
        <w:pStyle w:val="MIRSubpara"/>
        <w:numPr>
          <w:ilvl w:val="0"/>
          <w:numId w:val="0"/>
        </w:numPr>
        <w:tabs>
          <w:tab w:val="left" w:pos="2127"/>
        </w:tabs>
        <w:ind w:left="2127" w:hanging="425"/>
      </w:pPr>
      <w:r w:rsidRPr="00462EE5">
        <w:rPr>
          <w:sz w:val="18"/>
          <w:szCs w:val="18"/>
        </w:rPr>
        <w:t>(a)</w:t>
      </w:r>
      <w:r>
        <w:tab/>
      </w:r>
      <w:r w:rsidR="000A4070">
        <w:t>for the p</w:t>
      </w:r>
      <w:r w:rsidR="003A56E7">
        <w:t>urposes of seeking legal advice</w:t>
      </w:r>
      <w:r w:rsidR="00BB1F01">
        <w:t>; or</w:t>
      </w:r>
    </w:p>
    <w:p w:rsidR="005D78F3" w:rsidRDefault="00462EE5" w:rsidP="00462EE5">
      <w:pPr>
        <w:pStyle w:val="MIRSubpara"/>
        <w:numPr>
          <w:ilvl w:val="0"/>
          <w:numId w:val="0"/>
        </w:numPr>
        <w:tabs>
          <w:tab w:val="left" w:pos="2127"/>
        </w:tabs>
        <w:ind w:left="2127" w:hanging="425"/>
      </w:pPr>
      <w:r w:rsidRPr="00462EE5">
        <w:rPr>
          <w:sz w:val="18"/>
          <w:szCs w:val="18"/>
        </w:rPr>
        <w:lastRenderedPageBreak/>
        <w:t>(b)</w:t>
      </w:r>
      <w:r w:rsidRPr="00462EE5">
        <w:rPr>
          <w:sz w:val="18"/>
          <w:szCs w:val="18"/>
        </w:rPr>
        <w:tab/>
      </w:r>
      <w:r w:rsidR="005D78F3" w:rsidRPr="005D78F3">
        <w:t>as required by law</w:t>
      </w:r>
      <w:r w:rsidR="002B243D">
        <w:t>.</w:t>
      </w:r>
      <w:r w:rsidR="005D78F3" w:rsidRPr="005D78F3">
        <w:t xml:space="preserve"> </w:t>
      </w:r>
    </w:p>
    <w:p w:rsidR="009A6DE1" w:rsidRPr="009A6DE1" w:rsidRDefault="009A6DE1" w:rsidP="009A6DE1">
      <w:pPr>
        <w:pStyle w:val="MIRBodyText"/>
        <w:rPr>
          <w:lang w:val="en-GB"/>
        </w:rPr>
      </w:pPr>
      <w:r w:rsidRPr="009A6DE1">
        <w:rPr>
          <w:lang w:val="en-GB"/>
        </w:rPr>
        <w:t>Maximum penalty: $20,000</w:t>
      </w:r>
    </w:p>
    <w:sectPr w:rsidR="009A6DE1" w:rsidRPr="009A6DE1" w:rsidSect="007C2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44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9B" w:rsidRDefault="00EB789B">
      <w:r>
        <w:separator/>
      </w:r>
    </w:p>
  </w:endnote>
  <w:endnote w:type="continuationSeparator" w:id="0">
    <w:p w:rsidR="00EB789B" w:rsidRDefault="00E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7 CnObl">
    <w:altName w:val="Courier New"/>
    <w:charset w:val="00"/>
    <w:family w:val="auto"/>
    <w:pitch w:val="variable"/>
    <w:sig w:usb0="00000001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lass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48" w:rsidRDefault="003B7D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48" w:rsidRDefault="003B7D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48" w:rsidRDefault="003B7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9B" w:rsidRDefault="00EB789B">
      <w:r>
        <w:separator/>
      </w:r>
    </w:p>
  </w:footnote>
  <w:footnote w:type="continuationSeparator" w:id="0">
    <w:p w:rsidR="00EB789B" w:rsidRDefault="00E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48" w:rsidRDefault="003B7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80" w:rsidRPr="003B7D48" w:rsidRDefault="00C94880" w:rsidP="003B7D48">
    <w:pPr>
      <w:pStyle w:val="Footer"/>
      <w:pBdr>
        <w:bottom w:val="single" w:sz="4" w:space="1" w:color="auto"/>
      </w:pBdr>
    </w:pPr>
    <w:r w:rsidRPr="003B7D48">
      <w:t>ASIC Market Integrity Rules (ASX Market) Amendment 201</w:t>
    </w:r>
    <w:r w:rsidR="005B6BCB" w:rsidRPr="003B7D48">
      <w:t>2</w:t>
    </w:r>
    <w:r w:rsidRPr="003B7D48">
      <w:t xml:space="preserve"> (No. </w:t>
    </w:r>
    <w:r w:rsidR="005B6BCB" w:rsidRPr="003B7D48">
      <w:t>1</w:t>
    </w:r>
    <w:r w:rsidRPr="003B7D48">
      <w:t>)</w:t>
    </w:r>
    <w:r w:rsidRPr="003B7D48">
      <w:tab/>
    </w:r>
    <w:r w:rsidRPr="003B7D4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48" w:rsidRDefault="003B7D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D45B1"/>
    <w:multiLevelType w:val="multilevel"/>
    <w:tmpl w:val="14AA2594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3544"/>
        </w:tabs>
        <w:ind w:left="3544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0D233B71"/>
    <w:multiLevelType w:val="hybridMultilevel"/>
    <w:tmpl w:val="9E26866A"/>
    <w:lvl w:ilvl="0" w:tplc="8FF06CC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E0C6808"/>
    <w:multiLevelType w:val="multilevel"/>
    <w:tmpl w:val="30408384"/>
    <w:name w:val="ASIC para nos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544"/>
        </w:tabs>
        <w:ind w:left="3544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821CF3D4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C7D73DE"/>
    <w:multiLevelType w:val="hybridMultilevel"/>
    <w:tmpl w:val="46EAF5A6"/>
    <w:lvl w:ilvl="0" w:tplc="4BB0F848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40145"/>
    <w:multiLevelType w:val="hybridMultilevel"/>
    <w:tmpl w:val="4AA4E20E"/>
    <w:lvl w:ilvl="0" w:tplc="7B4C711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041993"/>
    <w:multiLevelType w:val="multilevel"/>
    <w:tmpl w:val="4680F51A"/>
    <w:lvl w:ilvl="0">
      <w:start w:val="1"/>
      <w:numFmt w:val="decimal"/>
      <w:pStyle w:val="Listnumber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9">
    <w:nsid w:val="4957540B"/>
    <w:multiLevelType w:val="hybridMultilevel"/>
    <w:tmpl w:val="055C189E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4D3D5CCF"/>
    <w:multiLevelType w:val="hybridMultilevel"/>
    <w:tmpl w:val="85E29924"/>
    <w:lvl w:ilvl="0" w:tplc="0C09000F">
      <w:start w:val="1"/>
      <w:numFmt w:val="decimal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536B65CD"/>
    <w:multiLevelType w:val="hybridMultilevel"/>
    <w:tmpl w:val="C8F0255E"/>
    <w:lvl w:ilvl="0" w:tplc="4BB0F848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9261F"/>
    <w:multiLevelType w:val="multilevel"/>
    <w:tmpl w:val="051A3656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none"/>
      <w:lvlRestart w:val="1"/>
      <w:lvlText w:val=""/>
      <w:lvlJc w:val="left"/>
      <w:pPr>
        <w:tabs>
          <w:tab w:val="num" w:pos="3544"/>
        </w:tabs>
        <w:ind w:left="3544" w:hanging="709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5BC14F7E"/>
    <w:multiLevelType w:val="hybridMultilevel"/>
    <w:tmpl w:val="984078FA"/>
    <w:name w:val="ASIC para nos"/>
    <w:lvl w:ilvl="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756F33"/>
    <w:multiLevelType w:val="hybridMultilevel"/>
    <w:tmpl w:val="064A8924"/>
    <w:lvl w:ilvl="0" w:tplc="E63C26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8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365C4"/>
    <w:multiLevelType w:val="hybridMultilevel"/>
    <w:tmpl w:val="413E4FAA"/>
    <w:lvl w:ilvl="0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F4407C"/>
    <w:multiLevelType w:val="multilevel"/>
    <w:tmpl w:val="F14EEEC6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7">
    <w:nsid w:val="7A04370D"/>
    <w:multiLevelType w:val="hybridMultilevel"/>
    <w:tmpl w:val="94749C48"/>
    <w:lvl w:ilvl="0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65529"/>
    <w:multiLevelType w:val="multilevel"/>
    <w:tmpl w:val="8F66AF88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MainHeading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Main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MainHeading4"/>
      <w:lvlText w:val="(%4)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Roman"/>
      <w:suff w:val="nothing"/>
      <w:lvlText w:val="%4 "/>
      <w:lvlJc w:val="left"/>
      <w:pPr>
        <w:ind w:left="2835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0"/>
  </w:num>
  <w:num w:numId="12">
    <w:abstractNumId w:val="18"/>
  </w:num>
  <w:num w:numId="13">
    <w:abstractNumId w:val="12"/>
  </w:num>
  <w:num w:numId="14">
    <w:abstractNumId w:val="2"/>
  </w:num>
  <w:num w:numId="15">
    <w:abstractNumId w:val="12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B84"/>
    <w:rsid w:val="000078E2"/>
    <w:rsid w:val="00007BA2"/>
    <w:rsid w:val="00010062"/>
    <w:rsid w:val="000105F0"/>
    <w:rsid w:val="000116C0"/>
    <w:rsid w:val="00020184"/>
    <w:rsid w:val="00022C7B"/>
    <w:rsid w:val="000255DC"/>
    <w:rsid w:val="00026F32"/>
    <w:rsid w:val="00032094"/>
    <w:rsid w:val="00035D8E"/>
    <w:rsid w:val="00037575"/>
    <w:rsid w:val="00037CB7"/>
    <w:rsid w:val="000410B4"/>
    <w:rsid w:val="00042E8F"/>
    <w:rsid w:val="000455AA"/>
    <w:rsid w:val="0007173A"/>
    <w:rsid w:val="00075A91"/>
    <w:rsid w:val="00087B84"/>
    <w:rsid w:val="00096F45"/>
    <w:rsid w:val="000A4070"/>
    <w:rsid w:val="000A4286"/>
    <w:rsid w:val="000A5DE8"/>
    <w:rsid w:val="000B70B6"/>
    <w:rsid w:val="000C38D0"/>
    <w:rsid w:val="000C3B49"/>
    <w:rsid w:val="000C44CD"/>
    <w:rsid w:val="000C73BD"/>
    <w:rsid w:val="000D4DF8"/>
    <w:rsid w:val="000E5E7A"/>
    <w:rsid w:val="000E7938"/>
    <w:rsid w:val="000F6BD0"/>
    <w:rsid w:val="00100DD3"/>
    <w:rsid w:val="001010F6"/>
    <w:rsid w:val="001232C3"/>
    <w:rsid w:val="0013774D"/>
    <w:rsid w:val="00147530"/>
    <w:rsid w:val="00150FF5"/>
    <w:rsid w:val="0015150C"/>
    <w:rsid w:val="00153F96"/>
    <w:rsid w:val="00154FF1"/>
    <w:rsid w:val="00155DCF"/>
    <w:rsid w:val="00157FBA"/>
    <w:rsid w:val="001610A1"/>
    <w:rsid w:val="00161BBB"/>
    <w:rsid w:val="00162831"/>
    <w:rsid w:val="00163735"/>
    <w:rsid w:val="00172E5D"/>
    <w:rsid w:val="00172FB7"/>
    <w:rsid w:val="001773F5"/>
    <w:rsid w:val="00180749"/>
    <w:rsid w:val="0018237F"/>
    <w:rsid w:val="001921A9"/>
    <w:rsid w:val="00194F0C"/>
    <w:rsid w:val="001950F4"/>
    <w:rsid w:val="0019597F"/>
    <w:rsid w:val="00197AE2"/>
    <w:rsid w:val="001A06B7"/>
    <w:rsid w:val="001A6860"/>
    <w:rsid w:val="001B6BBF"/>
    <w:rsid w:val="001C3826"/>
    <w:rsid w:val="001D0FB2"/>
    <w:rsid w:val="001D198D"/>
    <w:rsid w:val="001F563E"/>
    <w:rsid w:val="002000F3"/>
    <w:rsid w:val="00203510"/>
    <w:rsid w:val="0020549D"/>
    <w:rsid w:val="00212153"/>
    <w:rsid w:val="00212498"/>
    <w:rsid w:val="002206D3"/>
    <w:rsid w:val="002316C0"/>
    <w:rsid w:val="00232DAD"/>
    <w:rsid w:val="00232E8C"/>
    <w:rsid w:val="00234966"/>
    <w:rsid w:val="00234EA2"/>
    <w:rsid w:val="0023619A"/>
    <w:rsid w:val="002503DF"/>
    <w:rsid w:val="00250E89"/>
    <w:rsid w:val="002512EC"/>
    <w:rsid w:val="002542C4"/>
    <w:rsid w:val="002553CF"/>
    <w:rsid w:val="0025694B"/>
    <w:rsid w:val="00256DAB"/>
    <w:rsid w:val="00262A8E"/>
    <w:rsid w:val="00262B77"/>
    <w:rsid w:val="002674F1"/>
    <w:rsid w:val="00271E60"/>
    <w:rsid w:val="0027283A"/>
    <w:rsid w:val="002752F5"/>
    <w:rsid w:val="00285E8F"/>
    <w:rsid w:val="00285E9F"/>
    <w:rsid w:val="00287F62"/>
    <w:rsid w:val="00290634"/>
    <w:rsid w:val="00290BE1"/>
    <w:rsid w:val="00290F2F"/>
    <w:rsid w:val="002962BF"/>
    <w:rsid w:val="002A73AB"/>
    <w:rsid w:val="002A76EA"/>
    <w:rsid w:val="002A7B05"/>
    <w:rsid w:val="002B243D"/>
    <w:rsid w:val="002B51FB"/>
    <w:rsid w:val="002C0EE7"/>
    <w:rsid w:val="002D2338"/>
    <w:rsid w:val="002D2EFF"/>
    <w:rsid w:val="002D510E"/>
    <w:rsid w:val="002D6E11"/>
    <w:rsid w:val="002D7BB5"/>
    <w:rsid w:val="002E40DD"/>
    <w:rsid w:val="002E4521"/>
    <w:rsid w:val="002F0E7C"/>
    <w:rsid w:val="002F27F6"/>
    <w:rsid w:val="002F634F"/>
    <w:rsid w:val="00303BDD"/>
    <w:rsid w:val="00315F58"/>
    <w:rsid w:val="003265C5"/>
    <w:rsid w:val="003270FA"/>
    <w:rsid w:val="00330346"/>
    <w:rsid w:val="00332F59"/>
    <w:rsid w:val="00334EF0"/>
    <w:rsid w:val="00335A08"/>
    <w:rsid w:val="003413CC"/>
    <w:rsid w:val="00343FDD"/>
    <w:rsid w:val="00362304"/>
    <w:rsid w:val="003734CB"/>
    <w:rsid w:val="003816C0"/>
    <w:rsid w:val="0038199E"/>
    <w:rsid w:val="0038316C"/>
    <w:rsid w:val="00384621"/>
    <w:rsid w:val="00385E3F"/>
    <w:rsid w:val="003938C9"/>
    <w:rsid w:val="00397726"/>
    <w:rsid w:val="003A4887"/>
    <w:rsid w:val="003A4EFE"/>
    <w:rsid w:val="003A56E7"/>
    <w:rsid w:val="003B1C0B"/>
    <w:rsid w:val="003B76D9"/>
    <w:rsid w:val="003B7D48"/>
    <w:rsid w:val="003C1C51"/>
    <w:rsid w:val="003C6F06"/>
    <w:rsid w:val="003C7AD2"/>
    <w:rsid w:val="003D4928"/>
    <w:rsid w:val="003E30C5"/>
    <w:rsid w:val="003F0AEB"/>
    <w:rsid w:val="003F40AC"/>
    <w:rsid w:val="003F4261"/>
    <w:rsid w:val="003F5195"/>
    <w:rsid w:val="00402F4E"/>
    <w:rsid w:val="00404428"/>
    <w:rsid w:val="00404C0B"/>
    <w:rsid w:val="00417F5C"/>
    <w:rsid w:val="004219AB"/>
    <w:rsid w:val="00422645"/>
    <w:rsid w:val="00424988"/>
    <w:rsid w:val="004261F4"/>
    <w:rsid w:val="00427673"/>
    <w:rsid w:val="004309D7"/>
    <w:rsid w:val="00441014"/>
    <w:rsid w:val="004452BB"/>
    <w:rsid w:val="00450CE5"/>
    <w:rsid w:val="0045542E"/>
    <w:rsid w:val="004561BD"/>
    <w:rsid w:val="00461D07"/>
    <w:rsid w:val="004622D1"/>
    <w:rsid w:val="00462EE5"/>
    <w:rsid w:val="00463B13"/>
    <w:rsid w:val="00465238"/>
    <w:rsid w:val="00465867"/>
    <w:rsid w:val="004665C8"/>
    <w:rsid w:val="00467B31"/>
    <w:rsid w:val="004729FD"/>
    <w:rsid w:val="00487490"/>
    <w:rsid w:val="00490334"/>
    <w:rsid w:val="00497A1C"/>
    <w:rsid w:val="004A07B6"/>
    <w:rsid w:val="004A0EE2"/>
    <w:rsid w:val="004A2F8A"/>
    <w:rsid w:val="004A7458"/>
    <w:rsid w:val="004B3DDB"/>
    <w:rsid w:val="004B72FD"/>
    <w:rsid w:val="004C4E5A"/>
    <w:rsid w:val="004D289B"/>
    <w:rsid w:val="004D2AEB"/>
    <w:rsid w:val="004D5B54"/>
    <w:rsid w:val="004D6303"/>
    <w:rsid w:val="004D7468"/>
    <w:rsid w:val="004D7882"/>
    <w:rsid w:val="004D797B"/>
    <w:rsid w:val="004E6F40"/>
    <w:rsid w:val="004E79BE"/>
    <w:rsid w:val="004F536F"/>
    <w:rsid w:val="004F6FF4"/>
    <w:rsid w:val="004F7C8C"/>
    <w:rsid w:val="00500840"/>
    <w:rsid w:val="00500B9F"/>
    <w:rsid w:val="0050146F"/>
    <w:rsid w:val="00514677"/>
    <w:rsid w:val="00517784"/>
    <w:rsid w:val="00521048"/>
    <w:rsid w:val="00521888"/>
    <w:rsid w:val="00522103"/>
    <w:rsid w:val="005238A9"/>
    <w:rsid w:val="005240D5"/>
    <w:rsid w:val="00532308"/>
    <w:rsid w:val="005324B2"/>
    <w:rsid w:val="005400F3"/>
    <w:rsid w:val="00541926"/>
    <w:rsid w:val="00543688"/>
    <w:rsid w:val="005459D0"/>
    <w:rsid w:val="00545DD4"/>
    <w:rsid w:val="00550952"/>
    <w:rsid w:val="00551AE0"/>
    <w:rsid w:val="0055269C"/>
    <w:rsid w:val="00556EDD"/>
    <w:rsid w:val="00560B89"/>
    <w:rsid w:val="00565501"/>
    <w:rsid w:val="00565809"/>
    <w:rsid w:val="005673A5"/>
    <w:rsid w:val="005702B7"/>
    <w:rsid w:val="00572E73"/>
    <w:rsid w:val="0057394C"/>
    <w:rsid w:val="00575F19"/>
    <w:rsid w:val="00582E5E"/>
    <w:rsid w:val="00584479"/>
    <w:rsid w:val="00586271"/>
    <w:rsid w:val="00590D53"/>
    <w:rsid w:val="0059735B"/>
    <w:rsid w:val="005B4366"/>
    <w:rsid w:val="005B5F7A"/>
    <w:rsid w:val="005B6BCB"/>
    <w:rsid w:val="005C6077"/>
    <w:rsid w:val="005D187E"/>
    <w:rsid w:val="005D72BB"/>
    <w:rsid w:val="005D7790"/>
    <w:rsid w:val="005D78F3"/>
    <w:rsid w:val="005E009D"/>
    <w:rsid w:val="005E0516"/>
    <w:rsid w:val="005E170C"/>
    <w:rsid w:val="005E3B9B"/>
    <w:rsid w:val="005E4885"/>
    <w:rsid w:val="005E634E"/>
    <w:rsid w:val="005E65B6"/>
    <w:rsid w:val="005F45FB"/>
    <w:rsid w:val="005F7B2F"/>
    <w:rsid w:val="00601DAD"/>
    <w:rsid w:val="006027A9"/>
    <w:rsid w:val="00603ACB"/>
    <w:rsid w:val="0060424F"/>
    <w:rsid w:val="00605AE3"/>
    <w:rsid w:val="00611D52"/>
    <w:rsid w:val="00616537"/>
    <w:rsid w:val="0063440C"/>
    <w:rsid w:val="00635C8F"/>
    <w:rsid w:val="00644B1B"/>
    <w:rsid w:val="00647782"/>
    <w:rsid w:val="006503F9"/>
    <w:rsid w:val="00654BF3"/>
    <w:rsid w:val="00656B51"/>
    <w:rsid w:val="00664541"/>
    <w:rsid w:val="006645C8"/>
    <w:rsid w:val="006855F7"/>
    <w:rsid w:val="006926AE"/>
    <w:rsid w:val="00693797"/>
    <w:rsid w:val="006941BC"/>
    <w:rsid w:val="006976E5"/>
    <w:rsid w:val="006A47DC"/>
    <w:rsid w:val="006B34B0"/>
    <w:rsid w:val="006C46CE"/>
    <w:rsid w:val="006C59AA"/>
    <w:rsid w:val="006D1A0F"/>
    <w:rsid w:val="006D2905"/>
    <w:rsid w:val="006E3BD9"/>
    <w:rsid w:val="006E63D8"/>
    <w:rsid w:val="006E656C"/>
    <w:rsid w:val="006F2024"/>
    <w:rsid w:val="006F4B74"/>
    <w:rsid w:val="006F7AF3"/>
    <w:rsid w:val="00701B79"/>
    <w:rsid w:val="00704D99"/>
    <w:rsid w:val="007061DA"/>
    <w:rsid w:val="007115E8"/>
    <w:rsid w:val="007139A0"/>
    <w:rsid w:val="00716409"/>
    <w:rsid w:val="00716EC6"/>
    <w:rsid w:val="00720124"/>
    <w:rsid w:val="007229AC"/>
    <w:rsid w:val="00723563"/>
    <w:rsid w:val="007235C5"/>
    <w:rsid w:val="00723BAB"/>
    <w:rsid w:val="0072433D"/>
    <w:rsid w:val="00730C6F"/>
    <w:rsid w:val="0073137B"/>
    <w:rsid w:val="0073386B"/>
    <w:rsid w:val="0073505D"/>
    <w:rsid w:val="00737D29"/>
    <w:rsid w:val="00745B77"/>
    <w:rsid w:val="0074621C"/>
    <w:rsid w:val="007472F0"/>
    <w:rsid w:val="007518D4"/>
    <w:rsid w:val="007534FC"/>
    <w:rsid w:val="00755BE0"/>
    <w:rsid w:val="007603AB"/>
    <w:rsid w:val="00761CF2"/>
    <w:rsid w:val="007646BF"/>
    <w:rsid w:val="0076775B"/>
    <w:rsid w:val="00771B0C"/>
    <w:rsid w:val="0077721C"/>
    <w:rsid w:val="007813A2"/>
    <w:rsid w:val="00781B06"/>
    <w:rsid w:val="0078211D"/>
    <w:rsid w:val="00785B25"/>
    <w:rsid w:val="00787EDF"/>
    <w:rsid w:val="00794B3E"/>
    <w:rsid w:val="007A1D4C"/>
    <w:rsid w:val="007A3D0C"/>
    <w:rsid w:val="007A6351"/>
    <w:rsid w:val="007B158E"/>
    <w:rsid w:val="007B1FA4"/>
    <w:rsid w:val="007B35B4"/>
    <w:rsid w:val="007B3695"/>
    <w:rsid w:val="007B5BD4"/>
    <w:rsid w:val="007C1E18"/>
    <w:rsid w:val="007C2D92"/>
    <w:rsid w:val="007C2E61"/>
    <w:rsid w:val="007D5BCC"/>
    <w:rsid w:val="007D6030"/>
    <w:rsid w:val="007E0949"/>
    <w:rsid w:val="007E0D00"/>
    <w:rsid w:val="007E2B05"/>
    <w:rsid w:val="007E4196"/>
    <w:rsid w:val="007E4693"/>
    <w:rsid w:val="007E5C1D"/>
    <w:rsid w:val="007F614F"/>
    <w:rsid w:val="00800363"/>
    <w:rsid w:val="00800445"/>
    <w:rsid w:val="00811CFE"/>
    <w:rsid w:val="008126C4"/>
    <w:rsid w:val="00814F0F"/>
    <w:rsid w:val="00815DB8"/>
    <w:rsid w:val="008238C1"/>
    <w:rsid w:val="0083119A"/>
    <w:rsid w:val="00831F2E"/>
    <w:rsid w:val="00834BD4"/>
    <w:rsid w:val="00834EC8"/>
    <w:rsid w:val="00835F09"/>
    <w:rsid w:val="0085107C"/>
    <w:rsid w:val="00855AFC"/>
    <w:rsid w:val="008647D8"/>
    <w:rsid w:val="00865525"/>
    <w:rsid w:val="00865D87"/>
    <w:rsid w:val="0087105E"/>
    <w:rsid w:val="00871783"/>
    <w:rsid w:val="00872F23"/>
    <w:rsid w:val="00880AAF"/>
    <w:rsid w:val="00884B8E"/>
    <w:rsid w:val="00885F29"/>
    <w:rsid w:val="00891D64"/>
    <w:rsid w:val="008A0E0B"/>
    <w:rsid w:val="008A673C"/>
    <w:rsid w:val="008B05FE"/>
    <w:rsid w:val="008B6678"/>
    <w:rsid w:val="008B7C75"/>
    <w:rsid w:val="008C2412"/>
    <w:rsid w:val="008C26C3"/>
    <w:rsid w:val="008C6CE8"/>
    <w:rsid w:val="008D23F5"/>
    <w:rsid w:val="008D3641"/>
    <w:rsid w:val="008E16F5"/>
    <w:rsid w:val="008E59C4"/>
    <w:rsid w:val="008E7BEE"/>
    <w:rsid w:val="008F2AF1"/>
    <w:rsid w:val="008F32A1"/>
    <w:rsid w:val="008F4384"/>
    <w:rsid w:val="008F4ADE"/>
    <w:rsid w:val="00902042"/>
    <w:rsid w:val="00902392"/>
    <w:rsid w:val="0090422C"/>
    <w:rsid w:val="00933C42"/>
    <w:rsid w:val="00956606"/>
    <w:rsid w:val="009626C9"/>
    <w:rsid w:val="009771B0"/>
    <w:rsid w:val="009774F0"/>
    <w:rsid w:val="00980F3C"/>
    <w:rsid w:val="009847CC"/>
    <w:rsid w:val="00987AC2"/>
    <w:rsid w:val="009919EF"/>
    <w:rsid w:val="0099267C"/>
    <w:rsid w:val="009945C4"/>
    <w:rsid w:val="00994E95"/>
    <w:rsid w:val="009978EF"/>
    <w:rsid w:val="009A18EF"/>
    <w:rsid w:val="009A6DE1"/>
    <w:rsid w:val="009B0DD2"/>
    <w:rsid w:val="009C0D0A"/>
    <w:rsid w:val="009C0D58"/>
    <w:rsid w:val="009D6F1D"/>
    <w:rsid w:val="009F0AB7"/>
    <w:rsid w:val="009F6853"/>
    <w:rsid w:val="00A01693"/>
    <w:rsid w:val="00A02137"/>
    <w:rsid w:val="00A04F53"/>
    <w:rsid w:val="00A07CCB"/>
    <w:rsid w:val="00A07EA2"/>
    <w:rsid w:val="00A11F60"/>
    <w:rsid w:val="00A1460B"/>
    <w:rsid w:val="00A15C8B"/>
    <w:rsid w:val="00A26050"/>
    <w:rsid w:val="00A269D8"/>
    <w:rsid w:val="00A27C02"/>
    <w:rsid w:val="00A33C1E"/>
    <w:rsid w:val="00A35CE7"/>
    <w:rsid w:val="00A4295B"/>
    <w:rsid w:val="00A532E1"/>
    <w:rsid w:val="00A53E9E"/>
    <w:rsid w:val="00A55551"/>
    <w:rsid w:val="00A5665E"/>
    <w:rsid w:val="00A61298"/>
    <w:rsid w:val="00A70D6F"/>
    <w:rsid w:val="00A72EA2"/>
    <w:rsid w:val="00A8075D"/>
    <w:rsid w:val="00A807A8"/>
    <w:rsid w:val="00A81DF5"/>
    <w:rsid w:val="00A8648E"/>
    <w:rsid w:val="00A90101"/>
    <w:rsid w:val="00A914EF"/>
    <w:rsid w:val="00A94853"/>
    <w:rsid w:val="00A94D4A"/>
    <w:rsid w:val="00AA4AC8"/>
    <w:rsid w:val="00AB40B8"/>
    <w:rsid w:val="00AC2053"/>
    <w:rsid w:val="00AC3B0F"/>
    <w:rsid w:val="00AC48E0"/>
    <w:rsid w:val="00AD02A2"/>
    <w:rsid w:val="00AD09B6"/>
    <w:rsid w:val="00AD676E"/>
    <w:rsid w:val="00AD6FDC"/>
    <w:rsid w:val="00AE3409"/>
    <w:rsid w:val="00AE50FE"/>
    <w:rsid w:val="00AE554E"/>
    <w:rsid w:val="00AF56F2"/>
    <w:rsid w:val="00AF643D"/>
    <w:rsid w:val="00AF6AB8"/>
    <w:rsid w:val="00B01675"/>
    <w:rsid w:val="00B13091"/>
    <w:rsid w:val="00B13368"/>
    <w:rsid w:val="00B17B70"/>
    <w:rsid w:val="00B20046"/>
    <w:rsid w:val="00B2629E"/>
    <w:rsid w:val="00B3260C"/>
    <w:rsid w:val="00B354BA"/>
    <w:rsid w:val="00B3701A"/>
    <w:rsid w:val="00B37F7C"/>
    <w:rsid w:val="00B40E47"/>
    <w:rsid w:val="00B46BC0"/>
    <w:rsid w:val="00B47BF5"/>
    <w:rsid w:val="00B517C6"/>
    <w:rsid w:val="00B55BC3"/>
    <w:rsid w:val="00B6359A"/>
    <w:rsid w:val="00B74EED"/>
    <w:rsid w:val="00B75C74"/>
    <w:rsid w:val="00B81113"/>
    <w:rsid w:val="00B8253B"/>
    <w:rsid w:val="00B846FD"/>
    <w:rsid w:val="00B9015A"/>
    <w:rsid w:val="00B90D72"/>
    <w:rsid w:val="00B93B7D"/>
    <w:rsid w:val="00B950C2"/>
    <w:rsid w:val="00BA2CEE"/>
    <w:rsid w:val="00BA3FE5"/>
    <w:rsid w:val="00BA50C2"/>
    <w:rsid w:val="00BB1F01"/>
    <w:rsid w:val="00BC289C"/>
    <w:rsid w:val="00BD0480"/>
    <w:rsid w:val="00BE0D37"/>
    <w:rsid w:val="00BE2812"/>
    <w:rsid w:val="00BE61F6"/>
    <w:rsid w:val="00BE6DF7"/>
    <w:rsid w:val="00BF0643"/>
    <w:rsid w:val="00BF36E0"/>
    <w:rsid w:val="00C05083"/>
    <w:rsid w:val="00C15A62"/>
    <w:rsid w:val="00C174D5"/>
    <w:rsid w:val="00C25B67"/>
    <w:rsid w:val="00C36494"/>
    <w:rsid w:val="00C45F8E"/>
    <w:rsid w:val="00C47B91"/>
    <w:rsid w:val="00C60285"/>
    <w:rsid w:val="00C60DBA"/>
    <w:rsid w:val="00C62824"/>
    <w:rsid w:val="00C64246"/>
    <w:rsid w:val="00C66A87"/>
    <w:rsid w:val="00C67B3E"/>
    <w:rsid w:val="00C732CA"/>
    <w:rsid w:val="00C76FD2"/>
    <w:rsid w:val="00C804B5"/>
    <w:rsid w:val="00C80B40"/>
    <w:rsid w:val="00C80FB5"/>
    <w:rsid w:val="00C8737E"/>
    <w:rsid w:val="00C87CAF"/>
    <w:rsid w:val="00C92BBC"/>
    <w:rsid w:val="00C9333E"/>
    <w:rsid w:val="00C94880"/>
    <w:rsid w:val="00CA2A26"/>
    <w:rsid w:val="00CA547D"/>
    <w:rsid w:val="00CB40AD"/>
    <w:rsid w:val="00CB439C"/>
    <w:rsid w:val="00CB74D4"/>
    <w:rsid w:val="00CB7E1A"/>
    <w:rsid w:val="00CC20CD"/>
    <w:rsid w:val="00CC3145"/>
    <w:rsid w:val="00CC3671"/>
    <w:rsid w:val="00CC3CB1"/>
    <w:rsid w:val="00CC40B6"/>
    <w:rsid w:val="00CC6B8B"/>
    <w:rsid w:val="00CC7A1E"/>
    <w:rsid w:val="00CD0BF7"/>
    <w:rsid w:val="00CF3F32"/>
    <w:rsid w:val="00D026A8"/>
    <w:rsid w:val="00D03B4F"/>
    <w:rsid w:val="00D046A0"/>
    <w:rsid w:val="00D04A14"/>
    <w:rsid w:val="00D3065B"/>
    <w:rsid w:val="00D30E38"/>
    <w:rsid w:val="00D313E8"/>
    <w:rsid w:val="00D3336F"/>
    <w:rsid w:val="00D34E69"/>
    <w:rsid w:val="00D352CF"/>
    <w:rsid w:val="00D368C5"/>
    <w:rsid w:val="00D46DAD"/>
    <w:rsid w:val="00D5318D"/>
    <w:rsid w:val="00D54A56"/>
    <w:rsid w:val="00D572A3"/>
    <w:rsid w:val="00D64220"/>
    <w:rsid w:val="00D65F92"/>
    <w:rsid w:val="00D6784E"/>
    <w:rsid w:val="00D71A8F"/>
    <w:rsid w:val="00D71F9B"/>
    <w:rsid w:val="00D75A91"/>
    <w:rsid w:val="00D77C50"/>
    <w:rsid w:val="00D8264B"/>
    <w:rsid w:val="00D86D38"/>
    <w:rsid w:val="00D9074D"/>
    <w:rsid w:val="00D91674"/>
    <w:rsid w:val="00D929A8"/>
    <w:rsid w:val="00D95970"/>
    <w:rsid w:val="00DA3126"/>
    <w:rsid w:val="00DA3899"/>
    <w:rsid w:val="00DA49EA"/>
    <w:rsid w:val="00DA4A9D"/>
    <w:rsid w:val="00DA6158"/>
    <w:rsid w:val="00DB0988"/>
    <w:rsid w:val="00DB4537"/>
    <w:rsid w:val="00DC3466"/>
    <w:rsid w:val="00DC59B3"/>
    <w:rsid w:val="00DD0D55"/>
    <w:rsid w:val="00DD153B"/>
    <w:rsid w:val="00DD3375"/>
    <w:rsid w:val="00DD49FF"/>
    <w:rsid w:val="00DE1B4D"/>
    <w:rsid w:val="00DE1DB0"/>
    <w:rsid w:val="00DE36D1"/>
    <w:rsid w:val="00DE79E2"/>
    <w:rsid w:val="00DF394D"/>
    <w:rsid w:val="00DF40A6"/>
    <w:rsid w:val="00E0006B"/>
    <w:rsid w:val="00E005CD"/>
    <w:rsid w:val="00E07036"/>
    <w:rsid w:val="00E11CCB"/>
    <w:rsid w:val="00E11FEA"/>
    <w:rsid w:val="00E13FEC"/>
    <w:rsid w:val="00E20736"/>
    <w:rsid w:val="00E211BF"/>
    <w:rsid w:val="00E23004"/>
    <w:rsid w:val="00E239F5"/>
    <w:rsid w:val="00E30B4C"/>
    <w:rsid w:val="00E3254E"/>
    <w:rsid w:val="00E32DA2"/>
    <w:rsid w:val="00E3721A"/>
    <w:rsid w:val="00E428CB"/>
    <w:rsid w:val="00E50FCD"/>
    <w:rsid w:val="00E519A1"/>
    <w:rsid w:val="00E5202E"/>
    <w:rsid w:val="00E61986"/>
    <w:rsid w:val="00E71BDB"/>
    <w:rsid w:val="00E76E44"/>
    <w:rsid w:val="00E81ACF"/>
    <w:rsid w:val="00E87096"/>
    <w:rsid w:val="00E9153B"/>
    <w:rsid w:val="00E94C3F"/>
    <w:rsid w:val="00E94F31"/>
    <w:rsid w:val="00E954C6"/>
    <w:rsid w:val="00EA67BE"/>
    <w:rsid w:val="00EA786E"/>
    <w:rsid w:val="00EA7923"/>
    <w:rsid w:val="00EA7D1A"/>
    <w:rsid w:val="00EB59C0"/>
    <w:rsid w:val="00EB6F04"/>
    <w:rsid w:val="00EB789B"/>
    <w:rsid w:val="00EC022B"/>
    <w:rsid w:val="00ED2150"/>
    <w:rsid w:val="00ED4652"/>
    <w:rsid w:val="00EE20EE"/>
    <w:rsid w:val="00EE6E45"/>
    <w:rsid w:val="00F014F5"/>
    <w:rsid w:val="00F05FEA"/>
    <w:rsid w:val="00F12044"/>
    <w:rsid w:val="00F145DE"/>
    <w:rsid w:val="00F16515"/>
    <w:rsid w:val="00F1792E"/>
    <w:rsid w:val="00F32768"/>
    <w:rsid w:val="00F3443C"/>
    <w:rsid w:val="00F36517"/>
    <w:rsid w:val="00F4369A"/>
    <w:rsid w:val="00F50465"/>
    <w:rsid w:val="00F50592"/>
    <w:rsid w:val="00F50682"/>
    <w:rsid w:val="00F50E5F"/>
    <w:rsid w:val="00F53C80"/>
    <w:rsid w:val="00F54EED"/>
    <w:rsid w:val="00F6141A"/>
    <w:rsid w:val="00F64D5D"/>
    <w:rsid w:val="00F64F2A"/>
    <w:rsid w:val="00F71137"/>
    <w:rsid w:val="00F7339D"/>
    <w:rsid w:val="00F837EF"/>
    <w:rsid w:val="00F85E56"/>
    <w:rsid w:val="00F90087"/>
    <w:rsid w:val="00FA2432"/>
    <w:rsid w:val="00FA4901"/>
    <w:rsid w:val="00FA7043"/>
    <w:rsid w:val="00FB0634"/>
    <w:rsid w:val="00FB512B"/>
    <w:rsid w:val="00FC2958"/>
    <w:rsid w:val="00FC423C"/>
    <w:rsid w:val="00FD0106"/>
    <w:rsid w:val="00FD1DDE"/>
    <w:rsid w:val="00FD3BB8"/>
    <w:rsid w:val="00FD6D86"/>
    <w:rsid w:val="00FE1F3F"/>
    <w:rsid w:val="00FE2FA7"/>
    <w:rsid w:val="00FE72A4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Normal"/>
    <w:qFormat/>
    <w:pPr>
      <w:keepNext/>
      <w:spacing w:before="200" w:after="0"/>
      <w:ind w:left="992"/>
      <w:outlineLvl w:val="5"/>
    </w:pPr>
    <w:rPr>
      <w:rFonts w:ascii="HelveticaNeue LT 57 CnObl" w:hAnsi="HelveticaNeue LT 57 CnObl"/>
      <w:bCs/>
      <w:sz w:val="21"/>
      <w:szCs w:val="21"/>
      <w:lang w:val="en-ZW"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b/>
      <w:noProof/>
      <w:sz w:val="4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numPr>
        <w:numId w:val="15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"/>
    <w:rsid w:val="00DF40A6"/>
    <w:rPr>
      <w:vanish/>
      <w:color w:val="800000"/>
    </w:rPr>
  </w:style>
  <w:style w:type="paragraph" w:customStyle="1" w:styleId="tblnote">
    <w:name w:val="tbl note"/>
    <w:pPr>
      <w:spacing w:before="60"/>
      <w:ind w:left="425"/>
    </w:pPr>
    <w:rPr>
      <w:rFonts w:ascii="Arial" w:hAnsi="Arial"/>
      <w:sz w:val="16"/>
      <w:szCs w:val="22"/>
    </w:rPr>
  </w:style>
  <w:style w:type="paragraph" w:styleId="Footer">
    <w:name w:val="footer"/>
    <w:basedOn w:val="Normal"/>
    <w:link w:val="FooterChar"/>
    <w:semiHidden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semiHidden/>
    <w:rPr>
      <w:b/>
      <w:sz w:val="20"/>
    </w:rPr>
  </w:style>
  <w:style w:type="paragraph" w:styleId="Header">
    <w:name w:val="header"/>
    <w:basedOn w:val="Normal"/>
    <w:semiHidden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"/>
    <w:pPr>
      <w:numPr>
        <w:ilvl w:val="1"/>
      </w:numPr>
    </w:pPr>
  </w:style>
  <w:style w:type="paragraph" w:customStyle="1" w:styleId="Listnumber">
    <w:name w:val="List number"/>
    <w:basedOn w:val="Normal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Pr>
      <w:szCs w:val="22"/>
    </w:rPr>
  </w:style>
  <w:style w:type="paragraph" w:customStyle="1" w:styleId="tabletitlefullwidth">
    <w:name w:val="table title full width"/>
    <w:basedOn w:val="Normal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link w:val="BodytextplainChar"/>
    <w:pPr>
      <w:numPr>
        <w:numId w:val="0"/>
      </w:numPr>
      <w:ind w:left="2268"/>
    </w:pPr>
  </w:style>
  <w:style w:type="paragraph" w:customStyle="1" w:styleId="tablehead">
    <w:name w:val="table head"/>
    <w:basedOn w:val="Normal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autoRedefine/>
    <w:semiHidden/>
    <w:pPr>
      <w:numPr>
        <w:numId w:val="10"/>
      </w:numPr>
      <w:tabs>
        <w:tab w:val="clear" w:pos="851"/>
        <w:tab w:val="left" w:pos="3119"/>
      </w:tabs>
      <w:ind w:left="3118" w:hanging="425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bullet">
    <w:name w:val="table bullet"/>
    <w:basedOn w:val="Normal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60285"/>
    <w:pPr>
      <w:tabs>
        <w:tab w:val="left" w:pos="2694"/>
        <w:tab w:val="left" w:pos="3260"/>
        <w:tab w:val="left" w:pos="3613"/>
        <w:tab w:val="right" w:leader="dot" w:pos="9072"/>
      </w:tabs>
      <w:spacing w:before="20" w:after="0"/>
      <w:ind w:left="3617" w:right="284" w:hanging="924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pPr>
      <w:numPr>
        <w:numId w:val="0"/>
      </w:numPr>
    </w:pPr>
  </w:style>
  <w:style w:type="paragraph" w:customStyle="1" w:styleId="tabletitleindented">
    <w:name w:val="table title indented"/>
    <w:basedOn w:val="tabletitlefullwidth"/>
    <w:pPr>
      <w:ind w:left="32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pPr>
      <w:numPr>
        <w:numId w:val="4"/>
      </w:numPr>
    </w:pPr>
  </w:style>
  <w:style w:type="paragraph" w:customStyle="1" w:styleId="Tablebody">
    <w:name w:val="Table body"/>
    <w:basedOn w:val="Normal"/>
    <w:semiHidden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link w:val="KPheadChar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link w:val="NoteChar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link w:val="subparaaChar"/>
    <w:pPr>
      <w:numPr>
        <w:ilvl w:val="1"/>
        <w:numId w:val="7"/>
      </w:numPr>
      <w:spacing w:before="100"/>
    </w:pPr>
  </w:style>
  <w:style w:type="paragraph" w:customStyle="1" w:styleId="Listdash">
    <w:name w:val="List dash"/>
    <w:basedOn w:val="Normal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link w:val="FeedbackheadChar"/>
    <w:rsid w:val="0057394C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b w:val="0"/>
      <w:color w:val="auto"/>
      <w:sz w:val="22"/>
      <w:szCs w:val="22"/>
    </w:rPr>
  </w:style>
  <w:style w:type="paragraph" w:customStyle="1" w:styleId="Feedbackquestion">
    <w:name w:val="Feedback question"/>
    <w:basedOn w:val="Feedbackhead"/>
    <w:pPr>
      <w:keepLines/>
      <w:numPr>
        <w:ilvl w:val="4"/>
        <w:numId w:val="6"/>
      </w:numPr>
      <w:spacing w:before="100" w:line="260" w:lineRule="atLeast"/>
      <w:ind w:right="0"/>
    </w:pPr>
    <w:rPr>
      <w:i/>
    </w:rPr>
  </w:style>
  <w:style w:type="paragraph" w:customStyle="1" w:styleId="Feedbacksubquestion">
    <w:name w:val="Feedback subquestion"/>
    <w:basedOn w:val="Feedbackquestion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link w:val="subsubparaiChar"/>
    <w:pPr>
      <w:numPr>
        <w:ilvl w:val="2"/>
        <w:numId w:val="13"/>
      </w:numPr>
    </w:pPr>
  </w:style>
  <w:style w:type="paragraph" w:customStyle="1" w:styleId="DescriptorRG">
    <w:name w:val="Descriptor RG"/>
    <w:basedOn w:val="Normal"/>
    <w:next w:val="Normal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MainHeading2">
    <w:name w:val="MainHeading2"/>
    <w:basedOn w:val="Normal"/>
    <w:link w:val="MainHeading2Char"/>
    <w:autoRedefine/>
    <w:rsid w:val="00A55551"/>
    <w:pPr>
      <w:keepNext/>
      <w:numPr>
        <w:ilvl w:val="1"/>
        <w:numId w:val="12"/>
      </w:numPr>
      <w:tabs>
        <w:tab w:val="left" w:pos="601"/>
        <w:tab w:val="left" w:pos="1134"/>
      </w:tabs>
      <w:spacing w:before="120" w:after="0"/>
      <w:ind w:left="425" w:hanging="425"/>
      <w:outlineLvl w:val="1"/>
    </w:pPr>
    <w:rPr>
      <w:rFonts w:ascii="Arial" w:hAnsi="Arial" w:cs="Arial"/>
      <w:color w:val="000000"/>
      <w:sz w:val="18"/>
      <w:szCs w:val="18"/>
    </w:rPr>
  </w:style>
  <w:style w:type="paragraph" w:customStyle="1" w:styleId="DescriptorCP">
    <w:name w:val="Descriptor CP"/>
    <w:basedOn w:val="DescriptorRG"/>
    <w:next w:val="Normal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</w:style>
  <w:style w:type="paragraph" w:customStyle="1" w:styleId="Blockquote">
    <w:name w:val="Block quote"/>
    <w:basedOn w:val="Bodytextplain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pPr>
      <w:numPr>
        <w:ilvl w:val="1"/>
        <w:numId w:val="6"/>
      </w:num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pPr>
      <w:numPr>
        <w:ilvl w:val="0"/>
        <w:numId w:val="11"/>
      </w:numPr>
      <w:spacing w:before="60"/>
    </w:pPr>
    <w:rPr>
      <w:lang w:val="en-US"/>
    </w:rPr>
  </w:style>
  <w:style w:type="paragraph" w:customStyle="1" w:styleId="boxtext">
    <w:name w:val="box text"/>
    <w:basedOn w:val="Fronttext"/>
    <w:pPr>
      <w:spacing w:before="120"/>
      <w:ind w:left="0"/>
    </w:pPr>
  </w:style>
  <w:style w:type="paragraph" w:customStyle="1" w:styleId="MainHeading3">
    <w:name w:val="MainHeading3"/>
    <w:basedOn w:val="Normal"/>
    <w:rsid w:val="00A55551"/>
    <w:pPr>
      <w:keepNext/>
      <w:numPr>
        <w:ilvl w:val="2"/>
        <w:numId w:val="12"/>
      </w:numPr>
      <w:spacing w:before="240" w:after="120"/>
      <w:outlineLvl w:val="2"/>
    </w:pPr>
    <w:rPr>
      <w:rFonts w:ascii="ClassGarmnd BT" w:hAnsi="ClassGarmnd BT"/>
      <w:b/>
      <w:color w:val="000000"/>
      <w:lang w:eastAsia="zh-CN"/>
    </w:rPr>
  </w:style>
  <w:style w:type="paragraph" w:customStyle="1" w:styleId="MainHeading4">
    <w:name w:val="MainHeading4"/>
    <w:basedOn w:val="Normal"/>
    <w:autoRedefine/>
    <w:rsid w:val="00A55551"/>
    <w:pPr>
      <w:numPr>
        <w:ilvl w:val="3"/>
        <w:numId w:val="12"/>
      </w:numPr>
      <w:tabs>
        <w:tab w:val="clear" w:pos="1985"/>
        <w:tab w:val="num" w:pos="459"/>
        <w:tab w:val="left" w:pos="601"/>
      </w:tabs>
      <w:spacing w:before="240" w:after="0"/>
      <w:ind w:left="459" w:hanging="425"/>
    </w:pPr>
    <w:rPr>
      <w:color w:val="000000"/>
      <w:lang w:eastAsia="zh-CN"/>
    </w:rPr>
  </w:style>
  <w:style w:type="character" w:customStyle="1" w:styleId="MainHeading2Char">
    <w:name w:val="MainHeading2 Char"/>
    <w:basedOn w:val="DefaultParagraphFont"/>
    <w:link w:val="MainHeading2"/>
    <w:rsid w:val="00A55551"/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uiPriority w:val="1"/>
    <w:qFormat/>
    <w:rsid w:val="00A55551"/>
    <w:rPr>
      <w:sz w:val="22"/>
    </w:rPr>
  </w:style>
  <w:style w:type="paragraph" w:customStyle="1" w:styleId="MIRSubpara">
    <w:name w:val="MIR Subpara"/>
    <w:basedOn w:val="subparaa"/>
    <w:qFormat/>
    <w:rsid w:val="004C4E5A"/>
    <w:pPr>
      <w:numPr>
        <w:numId w:val="15"/>
      </w:numPr>
    </w:pPr>
  </w:style>
  <w:style w:type="paragraph" w:customStyle="1" w:styleId="MIRsubsubsubpara">
    <w:name w:val="MIR subsubsubpara"/>
    <w:basedOn w:val="subsubparai"/>
    <w:qFormat/>
    <w:rsid w:val="00EB59C0"/>
    <w:pPr>
      <w:numPr>
        <w:ilvl w:val="3"/>
        <w:numId w:val="14"/>
      </w:numPr>
      <w:tabs>
        <w:tab w:val="clear" w:pos="3544"/>
        <w:tab w:val="num" w:pos="2410"/>
      </w:tabs>
      <w:ind w:left="2410"/>
    </w:pPr>
  </w:style>
  <w:style w:type="character" w:customStyle="1" w:styleId="BodyTextChar">
    <w:name w:val="Body Text Char"/>
    <w:basedOn w:val="DefaultParagraphFont"/>
    <w:link w:val="BodyText"/>
    <w:semiHidden/>
    <w:rsid w:val="00FD6D86"/>
    <w:rPr>
      <w:sz w:val="22"/>
      <w:szCs w:val="22"/>
    </w:rPr>
  </w:style>
  <w:style w:type="character" w:customStyle="1" w:styleId="subparaaChar">
    <w:name w:val="sub para (a) Char"/>
    <w:basedOn w:val="BodyTextChar"/>
    <w:link w:val="subparaa"/>
    <w:rsid w:val="00FD6D86"/>
  </w:style>
  <w:style w:type="character" w:customStyle="1" w:styleId="MIRSubparaChar">
    <w:name w:val="MIR Subpara Char"/>
    <w:basedOn w:val="subparaaChar"/>
    <w:link w:val="MIRSubpara"/>
    <w:rsid w:val="00FD6D86"/>
  </w:style>
  <w:style w:type="paragraph" w:customStyle="1" w:styleId="MIRBodyText">
    <w:name w:val="MIR Body Text"/>
    <w:basedOn w:val="Bodytextplain"/>
    <w:link w:val="MIRBodyTextChar1"/>
    <w:qFormat/>
    <w:rsid w:val="00590D53"/>
    <w:pPr>
      <w:tabs>
        <w:tab w:val="left" w:pos="2205"/>
      </w:tabs>
      <w:ind w:left="1701"/>
    </w:pPr>
  </w:style>
  <w:style w:type="character" w:customStyle="1" w:styleId="subsubparaiChar">
    <w:name w:val="sub sub para (i) Char"/>
    <w:basedOn w:val="subparaaChar"/>
    <w:link w:val="subsubparai"/>
    <w:rsid w:val="00EB59C0"/>
  </w:style>
  <w:style w:type="character" w:customStyle="1" w:styleId="MIRsubsubsubparaChar">
    <w:name w:val="MIR subsubsubpara Char"/>
    <w:basedOn w:val="subsubparaiChar"/>
    <w:link w:val="MIRsubsubsubpara"/>
    <w:rsid w:val="00EB59C0"/>
  </w:style>
  <w:style w:type="paragraph" w:customStyle="1" w:styleId="MIRPenalty">
    <w:name w:val="MIR Penalty"/>
    <w:basedOn w:val="Feedbackhead"/>
    <w:qFormat/>
    <w:rsid w:val="004C4E5A"/>
    <w:pPr>
      <w:tabs>
        <w:tab w:val="left" w:pos="5103"/>
      </w:tabs>
      <w:ind w:left="1701" w:right="3967"/>
    </w:pPr>
    <w:rPr>
      <w:lang w:val="en-GB"/>
    </w:rPr>
  </w:style>
  <w:style w:type="character" w:customStyle="1" w:styleId="BodytextplainChar">
    <w:name w:val="Body text plain Char"/>
    <w:basedOn w:val="BodyTextChar"/>
    <w:link w:val="Bodytextplain"/>
    <w:rsid w:val="001D0FB2"/>
  </w:style>
  <w:style w:type="character" w:customStyle="1" w:styleId="MIRBodyTextChar">
    <w:name w:val="MIR Body Text Char"/>
    <w:basedOn w:val="BodytextplainChar"/>
    <w:link w:val="MIRBodyText"/>
    <w:rsid w:val="001D0FB2"/>
  </w:style>
  <w:style w:type="paragraph" w:customStyle="1" w:styleId="MIRHeading3">
    <w:name w:val="MIR Heading 3"/>
    <w:basedOn w:val="Heading3"/>
    <w:link w:val="MIRHeading3Char"/>
    <w:qFormat/>
    <w:rsid w:val="00590D53"/>
    <w:pPr>
      <w:ind w:left="1702" w:hanging="851"/>
    </w:pPr>
  </w:style>
  <w:style w:type="character" w:customStyle="1" w:styleId="KPheadChar">
    <w:name w:val="KP head Char"/>
    <w:basedOn w:val="DefaultParagraphFont"/>
    <w:link w:val="KPhead"/>
    <w:rsid w:val="001D0FB2"/>
    <w:rPr>
      <w:rFonts w:ascii="Arial" w:hAnsi="Arial" w:cs="Arial"/>
      <w:b/>
      <w:color w:val="FFFFFF"/>
      <w:shd w:val="clear" w:color="auto" w:fill="117DC7"/>
    </w:rPr>
  </w:style>
  <w:style w:type="character" w:customStyle="1" w:styleId="FeedbackheadChar">
    <w:name w:val="Feedback head Char"/>
    <w:basedOn w:val="KPheadChar"/>
    <w:link w:val="Feedbackhead"/>
    <w:rsid w:val="0057394C"/>
    <w:rPr>
      <w:sz w:val="22"/>
      <w:szCs w:val="22"/>
    </w:rPr>
  </w:style>
  <w:style w:type="character" w:customStyle="1" w:styleId="MIRPenaltyChar">
    <w:name w:val="MIR Penalty Char"/>
    <w:basedOn w:val="FeedbackheadChar"/>
    <w:link w:val="MIRPenalty"/>
    <w:rsid w:val="001D0FB2"/>
  </w:style>
  <w:style w:type="paragraph" w:customStyle="1" w:styleId="MIRSubsubpara">
    <w:name w:val="MIR Subsubpara"/>
    <w:basedOn w:val="subsubparai"/>
    <w:link w:val="MIRSubsubparaChar"/>
    <w:qFormat/>
    <w:rsid w:val="00CC40B6"/>
    <w:pPr>
      <w:numPr>
        <w:numId w:val="15"/>
      </w:numPr>
      <w:tabs>
        <w:tab w:val="clear" w:pos="3119"/>
        <w:tab w:val="left" w:pos="2552"/>
      </w:tabs>
      <w:ind w:left="2551" w:hanging="425"/>
    </w:pPr>
  </w:style>
  <w:style w:type="character" w:customStyle="1" w:styleId="Heading3Char">
    <w:name w:val="Heading 3 Char"/>
    <w:basedOn w:val="DefaultParagraphFont"/>
    <w:link w:val="Heading3"/>
    <w:rsid w:val="0078211D"/>
    <w:rPr>
      <w:rFonts w:ascii="Arial" w:hAnsi="Arial" w:cs="Arial"/>
      <w:b/>
      <w:sz w:val="24"/>
      <w:szCs w:val="24"/>
    </w:rPr>
  </w:style>
  <w:style w:type="character" w:customStyle="1" w:styleId="MIRHeading3Char">
    <w:name w:val="MIR Heading 3 Char"/>
    <w:basedOn w:val="Heading3Char"/>
    <w:link w:val="MIRHeading3"/>
    <w:rsid w:val="00590D53"/>
  </w:style>
  <w:style w:type="paragraph" w:customStyle="1" w:styleId="MIRNote">
    <w:name w:val="MIR Note"/>
    <w:basedOn w:val="Note"/>
    <w:link w:val="MIRNoteChar1"/>
    <w:qFormat/>
    <w:rsid w:val="003816C0"/>
    <w:pPr>
      <w:ind w:left="1701"/>
    </w:pPr>
  </w:style>
  <w:style w:type="character" w:customStyle="1" w:styleId="MIRSubsubparaChar">
    <w:name w:val="MIR Subsubpara Char"/>
    <w:basedOn w:val="subsubparaiChar"/>
    <w:link w:val="MIRSubsubpara"/>
    <w:rsid w:val="00CC40B6"/>
  </w:style>
  <w:style w:type="paragraph" w:customStyle="1" w:styleId="MIRHeading2">
    <w:name w:val="MIR Heading 2"/>
    <w:basedOn w:val="Heading2"/>
    <w:qFormat/>
    <w:rsid w:val="00590D53"/>
    <w:pPr>
      <w:tabs>
        <w:tab w:val="left" w:pos="851"/>
      </w:tabs>
      <w:spacing w:before="480"/>
      <w:ind w:left="1985" w:hanging="1134"/>
    </w:pPr>
  </w:style>
  <w:style w:type="character" w:customStyle="1" w:styleId="NoteChar">
    <w:name w:val="Note Char"/>
    <w:basedOn w:val="BodyTextChar"/>
    <w:link w:val="Note"/>
    <w:rsid w:val="003816C0"/>
    <w:rPr>
      <w:sz w:val="18"/>
    </w:rPr>
  </w:style>
  <w:style w:type="character" w:customStyle="1" w:styleId="MIRNoteChar">
    <w:name w:val="MIR Note Char"/>
    <w:basedOn w:val="NoteChar"/>
    <w:link w:val="MIRNote"/>
    <w:rsid w:val="003816C0"/>
  </w:style>
  <w:style w:type="paragraph" w:customStyle="1" w:styleId="MIRHeading1">
    <w:name w:val="MIR Heading 1"/>
    <w:basedOn w:val="Heading1nonumber"/>
    <w:qFormat/>
    <w:rsid w:val="0013774D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933C42"/>
    <w:rPr>
      <w:rFonts w:ascii="Arial" w:hAnsi="Arial" w:cs="Arial"/>
      <w:b/>
      <w:sz w:val="28"/>
      <w:szCs w:val="28"/>
    </w:rPr>
  </w:style>
  <w:style w:type="character" w:customStyle="1" w:styleId="MIRHeading2Char">
    <w:name w:val="MIR Heading 2 Char"/>
    <w:basedOn w:val="Heading2Char"/>
    <w:link w:val="MIRHeading2"/>
    <w:rsid w:val="00933C42"/>
  </w:style>
  <w:style w:type="paragraph" w:customStyle="1" w:styleId="MIRHeading4">
    <w:name w:val="MIR Heading 4"/>
    <w:basedOn w:val="Heading4"/>
    <w:link w:val="MIRHeading4Char"/>
    <w:qFormat/>
    <w:rsid w:val="0013774D"/>
    <w:pPr>
      <w:ind w:left="851"/>
    </w:pPr>
  </w:style>
  <w:style w:type="character" w:customStyle="1" w:styleId="Heading1Char">
    <w:name w:val="Heading 1 Char"/>
    <w:basedOn w:val="DefaultParagraphFont"/>
    <w:link w:val="Heading1"/>
    <w:rsid w:val="0013774D"/>
    <w:rPr>
      <w:rFonts w:ascii="Arial" w:hAnsi="Arial" w:cs="Arial"/>
      <w:b/>
      <w:kern w:val="28"/>
      <w:sz w:val="36"/>
      <w:szCs w:val="36"/>
    </w:rPr>
  </w:style>
  <w:style w:type="character" w:customStyle="1" w:styleId="Heading1nonumberChar">
    <w:name w:val="Heading 1 no number Char"/>
    <w:basedOn w:val="Heading1Char"/>
    <w:link w:val="Heading1nonumber"/>
    <w:rsid w:val="0013774D"/>
  </w:style>
  <w:style w:type="character" w:customStyle="1" w:styleId="MIRHeading1Char">
    <w:name w:val="MIR Heading 1 Char"/>
    <w:basedOn w:val="Heading1nonumberChar"/>
    <w:link w:val="MIRHeading1"/>
    <w:rsid w:val="0013774D"/>
  </w:style>
  <w:style w:type="character" w:customStyle="1" w:styleId="FooterChar">
    <w:name w:val="Footer Char"/>
    <w:basedOn w:val="DefaultParagraphFont"/>
    <w:link w:val="Footer"/>
    <w:semiHidden/>
    <w:rsid w:val="007229AC"/>
    <w:rPr>
      <w:rFonts w:ascii="Arial" w:hAnsi="Arial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3774D"/>
    <w:rPr>
      <w:rFonts w:ascii="Arial" w:hAnsi="Arial" w:cs="Arial"/>
      <w:b/>
      <w:szCs w:val="22"/>
    </w:rPr>
  </w:style>
  <w:style w:type="character" w:customStyle="1" w:styleId="MIRHeading4Char">
    <w:name w:val="MIR Heading 4 Char"/>
    <w:basedOn w:val="Heading4Char"/>
    <w:link w:val="MIRHeading4"/>
    <w:rsid w:val="0013774D"/>
  </w:style>
  <w:style w:type="paragraph" w:customStyle="1" w:styleId="MIRAHeading1">
    <w:name w:val="MIRA Heading 1"/>
    <w:basedOn w:val="MIRHeading3"/>
    <w:link w:val="MIRAHeading1Char"/>
    <w:qFormat/>
    <w:rsid w:val="00590D53"/>
    <w:pPr>
      <w:ind w:hanging="1"/>
      <w:jc w:val="center"/>
    </w:pPr>
    <w:rPr>
      <w:rFonts w:ascii="Times New Roman" w:hAnsi="Times New Roman" w:cs="Times New Roman"/>
      <w:bCs/>
    </w:rPr>
  </w:style>
  <w:style w:type="paragraph" w:customStyle="1" w:styleId="MIRAHeading2">
    <w:name w:val="MIRA Heading 2"/>
    <w:basedOn w:val="MIRHeading3"/>
    <w:link w:val="MIRAHeading2Char"/>
    <w:qFormat/>
    <w:rsid w:val="00590D53"/>
    <w:pPr>
      <w:ind w:left="851"/>
    </w:pPr>
  </w:style>
  <w:style w:type="character" w:customStyle="1" w:styleId="MIRAHeading1Char">
    <w:name w:val="MIRA Heading 1 Char"/>
    <w:basedOn w:val="MIRHeading3Char"/>
    <w:link w:val="MIRAHeading1"/>
    <w:rsid w:val="00590D53"/>
    <w:rPr>
      <w:bCs/>
    </w:rPr>
  </w:style>
  <w:style w:type="paragraph" w:customStyle="1" w:styleId="MIRABodyText">
    <w:name w:val="MIRA Body Text"/>
    <w:basedOn w:val="MIRBodyText"/>
    <w:qFormat/>
    <w:rsid w:val="00590D53"/>
    <w:pPr>
      <w:ind w:left="851"/>
    </w:pPr>
  </w:style>
  <w:style w:type="character" w:customStyle="1" w:styleId="MIRAHeading2Char">
    <w:name w:val="MIRA Heading 2 Char"/>
    <w:basedOn w:val="MIRHeading3Char"/>
    <w:link w:val="MIRAHeading2"/>
    <w:rsid w:val="00590D53"/>
  </w:style>
  <w:style w:type="paragraph" w:customStyle="1" w:styleId="MIRANote">
    <w:name w:val="MIRA Note"/>
    <w:basedOn w:val="MIRNote"/>
    <w:qFormat/>
    <w:rsid w:val="00590D53"/>
  </w:style>
  <w:style w:type="character" w:customStyle="1" w:styleId="MIRBodyTextChar1">
    <w:name w:val="MIR Body Text Char1"/>
    <w:basedOn w:val="BodytextplainChar"/>
    <w:link w:val="MIRBodyText"/>
    <w:rsid w:val="00590D53"/>
  </w:style>
  <w:style w:type="character" w:customStyle="1" w:styleId="MIRABodyTextChar">
    <w:name w:val="MIRA Body Text Char"/>
    <w:basedOn w:val="MIRBodyTextChar1"/>
    <w:link w:val="MIRABodyText"/>
    <w:rsid w:val="00590D53"/>
  </w:style>
  <w:style w:type="paragraph" w:customStyle="1" w:styleId="MIRAHeading3">
    <w:name w:val="MIRA Heading 3"/>
    <w:basedOn w:val="MIRHeading4"/>
    <w:link w:val="MIRAHeading3Char"/>
    <w:qFormat/>
    <w:rsid w:val="00590D53"/>
  </w:style>
  <w:style w:type="character" w:customStyle="1" w:styleId="MIRNoteChar1">
    <w:name w:val="MIR Note Char1"/>
    <w:basedOn w:val="NoteChar"/>
    <w:link w:val="MIRNote"/>
    <w:rsid w:val="00590D53"/>
  </w:style>
  <w:style w:type="character" w:customStyle="1" w:styleId="MIRANoteChar">
    <w:name w:val="MIRA Note Char"/>
    <w:basedOn w:val="MIRNoteChar1"/>
    <w:link w:val="MIRANote"/>
    <w:rsid w:val="00590D53"/>
  </w:style>
  <w:style w:type="paragraph" w:styleId="Revision">
    <w:name w:val="Revision"/>
    <w:hidden/>
    <w:uiPriority w:val="99"/>
    <w:semiHidden/>
    <w:rsid w:val="006027A9"/>
    <w:rPr>
      <w:sz w:val="22"/>
    </w:rPr>
  </w:style>
  <w:style w:type="character" w:customStyle="1" w:styleId="MIRAHeading3Char">
    <w:name w:val="MIRA Heading 3 Char"/>
    <w:basedOn w:val="MIRHeading4Char"/>
    <w:link w:val="MIRAHeading3"/>
    <w:rsid w:val="00590D53"/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55095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50952"/>
  </w:style>
  <w:style w:type="character" w:customStyle="1" w:styleId="CommentSubjectChar">
    <w:name w:val="Comment Subject Char"/>
    <w:basedOn w:val="CommentTextChar"/>
    <w:link w:val="CommentSubject"/>
    <w:rsid w:val="0055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2896</Characters>
  <Application>Microsoft Office Word</Application>
  <DocSecurity>4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Market Integrity Rules (ASX Market) 2010</vt:lpstr>
    </vt:vector>
  </TitlesOfParts>
  <LinksUpToDate>false</LinksUpToDate>
  <CharactersWithSpaces>3421</CharactersWithSpaces>
  <SharedDoc>false</SharedDoc>
  <HyperlinkBase/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Market Integrity Rules (ASX Market) 2010</dc:title>
  <dc:subject>ASIC Market Integrity Rules (ASX Market) 2010</dc:subject>
  <dc:creator/>
  <cp:keywords>ASIC Market Integrity Rules (ASX market) 2010</cp:keywords>
  <cp:lastModifiedBy/>
  <cp:revision>1</cp:revision>
  <cp:lastPrinted>2010-07-27T03:57:00Z</cp:lastPrinted>
  <dcterms:created xsi:type="dcterms:W3CDTF">2012-07-17T02:57:00Z</dcterms:created>
  <dcterms:modified xsi:type="dcterms:W3CDTF">2012-07-17T02:57:00Z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REGULATORY GUIDE</vt:lpwstr>
  </property>
  <property fmtid="{D5CDD505-2E9C-101B-9397-08002B2CF9AE}" pid="3" name="Document title">
    <vt:lpwstr>ASIC Market Integrity Rules (ASX Market) 2010</vt:lpwstr>
  </property>
  <property fmtid="{D5CDD505-2E9C-101B-9397-08002B2CF9AE}" pid="4" name="Document num">
    <vt:lpwstr>000</vt:lpwstr>
  </property>
  <property fmtid="{D5CDD505-2E9C-101B-9397-08002B2CF9AE}" pid="5" name="Issue date">
    <vt:lpwstr>August 2010</vt:lpwstr>
  </property>
  <property fmtid="{D5CDD505-2E9C-101B-9397-08002B2CF9AE}" pid="6" name="Source file type">
    <vt:lpwstr>RG short</vt:lpwstr>
  </property>
  <property fmtid="{D5CDD505-2E9C-101B-9397-08002B2CF9AE}" pid="7" name="Objective-Id">
    <vt:lpwstr>A3587399</vt:lpwstr>
  </property>
  <property fmtid="{D5CDD505-2E9C-101B-9397-08002B2CF9AE}" pid="8" name="Objective-Title">
    <vt:lpwstr>MIRs - ASX - Amendment 2012 (No. 1) - SAR - 20120705 - Edited</vt:lpwstr>
  </property>
  <property fmtid="{D5CDD505-2E9C-101B-9397-08002B2CF9AE}" pid="9" name="Objective-Comment">
    <vt:lpwstr> </vt:lpwstr>
  </property>
  <property fmtid="{D5CDD505-2E9C-101B-9397-08002B2CF9AE}" pid="10" name="Objective-CreationStamp">
    <vt:filetime>2012-07-05T00:19:32Z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2012-07-05T00:29:25Z</vt:filetime>
  </property>
  <property fmtid="{D5CDD505-2E9C-101B-9397-08002B2CF9AE}" pid="14" name="Objective-ModificationStamp">
    <vt:filetime>2012-07-05T00:29:26Z</vt:filetime>
  </property>
  <property fmtid="{D5CDD505-2E9C-101B-9397-08002B2CF9AE}" pid="15" name="Objective-Owner">
    <vt:lpwstr>Cassie.Murphy</vt:lpwstr>
  </property>
  <property fmtid="{D5CDD505-2E9C-101B-9397-08002B2CF9AE}" pid="16" name="Objective-Path">
    <vt:lpwstr>ASIC BCS:CORPORATE COMMUNICATION &amp; RELATIONS:Publications:Editing:Market Integrity Rules:ASX:2. Amending Rules:Suspicious Activity and Short Sale Tagging (RIS, RG 000 and INFO 000):</vt:lpwstr>
  </property>
  <property fmtid="{D5CDD505-2E9C-101B-9397-08002B2CF9AE}" pid="17" name="Objective-Parent">
    <vt:lpwstr>Suspicious Activity and Short Sale Tagging (RIS, RG 000 and INFO 000)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i4>3</vt:i4>
  </property>
  <property fmtid="{D5CDD505-2E9C-101B-9397-08002B2CF9AE}" pid="21" name="Objective-VersionComment">
    <vt:lpwstr> </vt:lpwstr>
  </property>
  <property fmtid="{D5CDD505-2E9C-101B-9397-08002B2CF9AE}" pid="22" name="Objective-FileNumber">
    <vt:lpwstr>2011 - 009653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 </vt:lpwstr>
  </property>
  <property fmtid="{D5CDD505-2E9C-101B-9397-08002B2CF9AE}" pid="25" name="Objective-Category [system]">
    <vt:lpwstr> </vt:lpwstr>
  </property>
  <property fmtid="{D5CDD505-2E9C-101B-9397-08002B2CF9AE}" pid="26" name="_AdHocReviewCycleID">
    <vt:i4>-1442164332</vt:i4>
  </property>
  <property fmtid="{D5CDD505-2E9C-101B-9397-08002B2CF9AE}" pid="27" name="_NewReviewCycle">
    <vt:lpwstr/>
  </property>
  <property fmtid="{D5CDD505-2E9C-101B-9397-08002B2CF9AE}" pid="28" name="_ReviewingToolsShownOnce">
    <vt:lpwstr/>
  </property>
</Properties>
</file>