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4" w:rsidRDefault="00F109D4" w:rsidP="00A12209">
      <w:pPr>
        <w:pStyle w:val="Heading1"/>
      </w:pPr>
      <w:bookmarkStart w:id="0" w:name="_GoBack"/>
      <w:bookmarkEnd w:id="0"/>
      <w:r w:rsidRPr="00503E44">
        <w:t>EXPLANATORY STATEMENT</w:t>
      </w:r>
    </w:p>
    <w:p w:rsidR="00034FA7" w:rsidRDefault="00034FA7" w:rsidP="00034FA7"/>
    <w:p w:rsidR="00034FA7" w:rsidRDefault="00034FA7" w:rsidP="00034FA7">
      <w:pPr>
        <w:jc w:val="center"/>
        <w:rPr>
          <w:i/>
        </w:rPr>
      </w:pPr>
      <w:r>
        <w:rPr>
          <w:i/>
        </w:rPr>
        <w:t>Clean Energy Finance Corporation Act 2012</w:t>
      </w:r>
    </w:p>
    <w:p w:rsidR="00034FA7" w:rsidRDefault="00034FA7" w:rsidP="00034FA7">
      <w:pPr>
        <w:jc w:val="center"/>
      </w:pPr>
      <w:r>
        <w:t>Proclamation</w:t>
      </w:r>
    </w:p>
    <w:p w:rsidR="00034FA7" w:rsidRPr="009F1843" w:rsidRDefault="00034FA7" w:rsidP="00305965">
      <w:pPr>
        <w:spacing w:before="100" w:beforeAutospacing="1" w:after="100" w:afterAutospacing="1"/>
      </w:pPr>
      <w:r>
        <w:t xml:space="preserve">Subsection 2(1) of the </w:t>
      </w:r>
      <w:r w:rsidR="00C84DE1">
        <w:rPr>
          <w:i/>
          <w:iCs/>
        </w:rPr>
        <w:t>Clean Energy Finance Corporation Act 2012</w:t>
      </w:r>
      <w:r>
        <w:rPr>
          <w:i/>
          <w:iCs/>
        </w:rPr>
        <w:t xml:space="preserve"> </w:t>
      </w:r>
      <w:r>
        <w:t>(t</w:t>
      </w:r>
      <w:r w:rsidR="00C84DE1">
        <w:t>he Act) provides that Sections 3</w:t>
      </w:r>
      <w:r>
        <w:t xml:space="preserve"> to </w:t>
      </w:r>
      <w:r w:rsidR="00C84DE1">
        <w:t>82</w:t>
      </w:r>
      <w:r>
        <w:t xml:space="preserve"> </w:t>
      </w:r>
      <w:r w:rsidRPr="009F1843">
        <w:t xml:space="preserve">commence on a single day to be fixed by Proclamation.  </w:t>
      </w:r>
    </w:p>
    <w:p w:rsidR="00034FA7" w:rsidRPr="009F1843" w:rsidRDefault="00034FA7" w:rsidP="00034FA7">
      <w:pPr>
        <w:ind w:right="-148"/>
      </w:pPr>
      <w:r w:rsidRPr="009F1843">
        <w:t xml:space="preserve">The purpose of the Proclamation is to fix </w:t>
      </w:r>
      <w:r w:rsidR="00AB1D7D" w:rsidRPr="009F1843">
        <w:t>3</w:t>
      </w:r>
      <w:r w:rsidRPr="009F1843">
        <w:t xml:space="preserve"> A</w:t>
      </w:r>
      <w:r w:rsidR="00C84DE1" w:rsidRPr="009F1843">
        <w:t>ugust</w:t>
      </w:r>
      <w:r w:rsidRPr="009F1843">
        <w:t xml:space="preserve"> 2012 as the commencement date for Sections </w:t>
      </w:r>
      <w:r w:rsidR="00C84DE1" w:rsidRPr="009F1843">
        <w:t>3</w:t>
      </w:r>
      <w:r w:rsidRPr="009F1843">
        <w:t xml:space="preserve"> to </w:t>
      </w:r>
      <w:r w:rsidR="00C84DE1" w:rsidRPr="009F1843">
        <w:t>82</w:t>
      </w:r>
      <w:r w:rsidRPr="009F1843">
        <w:t xml:space="preserve"> of Ac</w:t>
      </w:r>
      <w:r w:rsidR="00C84DE1" w:rsidRPr="009F1843">
        <w:t>t</w:t>
      </w:r>
      <w:r w:rsidRPr="009F1843">
        <w:t>.</w:t>
      </w:r>
    </w:p>
    <w:p w:rsidR="0032033C" w:rsidRDefault="00034FA7" w:rsidP="00034FA7">
      <w:pPr>
        <w:spacing w:before="100" w:beforeAutospacing="1" w:after="100" w:afterAutospacing="1"/>
      </w:pPr>
      <w:r w:rsidRPr="009F1843">
        <w:t xml:space="preserve">The Act establishes </w:t>
      </w:r>
      <w:r w:rsidR="00C84DE1" w:rsidRPr="009F1843">
        <w:t>the Clean Energy Finance Corporation</w:t>
      </w:r>
      <w:r w:rsidR="0032033C" w:rsidRPr="009F1843">
        <w:t xml:space="preserve"> (the</w:t>
      </w:r>
      <w:r w:rsidR="0032033C">
        <w:t xml:space="preserve"> Corporation)</w:t>
      </w:r>
      <w:r w:rsidR="00C84DE1">
        <w:t>.</w:t>
      </w:r>
      <w:r>
        <w:t xml:space="preserve">  </w:t>
      </w:r>
      <w:r w:rsidR="0032033C" w:rsidRPr="0032033C">
        <w:t>The Corporation will be a $10 billion fund dedicated to investing in clean energy.  The Corporation will supplement existing initiatives, such as the Renewable Energy Target and the carbon price, to catalyse and leverage the flow of funds for commercialisation and deployment of renewable energy, low emission and energy efficiency technologies necessary for Australia’s transition to a lower carbon economy.</w:t>
      </w:r>
    </w:p>
    <w:p w:rsidR="0032033C" w:rsidRDefault="0032033C" w:rsidP="0032033C">
      <w:pPr>
        <w:spacing w:before="100" w:beforeAutospacing="1" w:after="100" w:afterAutospacing="1"/>
      </w:pPr>
      <w:r>
        <w:t>The Corporation will apply capital through a commercial filter to facilitate increased flows of finance into the clean energy sector thus preparing and positioning the Australian economy and industry for a cleaner energy future.</w:t>
      </w:r>
    </w:p>
    <w:p w:rsidR="004A4A85" w:rsidRPr="00F3528E" w:rsidRDefault="004A4A85" w:rsidP="004A4A85">
      <w:pPr>
        <w:ind w:right="91"/>
      </w:pPr>
      <w:r w:rsidRPr="00262F05">
        <w:t>The commence</w:t>
      </w:r>
      <w:r w:rsidR="00BA70E7">
        <w:t>ment provisions in subsection 2</w:t>
      </w:r>
      <w:r w:rsidRPr="00262F05">
        <w:t xml:space="preserve">(1) were included to allow for the consideration and appointment of the Corporation’s Board by the Government </w:t>
      </w:r>
      <w:r>
        <w:t xml:space="preserve">to </w:t>
      </w:r>
      <w:r w:rsidRPr="00F3528E">
        <w:t>coincide with the commencement of Sections 3 to 82 of the Act.</w:t>
      </w:r>
    </w:p>
    <w:p w:rsidR="00034FA7" w:rsidRPr="00F3528E" w:rsidRDefault="0032033C" w:rsidP="00034FA7">
      <w:pPr>
        <w:spacing w:before="100" w:beforeAutospacing="1" w:after="100" w:afterAutospacing="1"/>
      </w:pPr>
      <w:r w:rsidRPr="00F3528E">
        <w:t>The Government has announced the members of the inaugural Board</w:t>
      </w:r>
      <w:r w:rsidR="004A4A85" w:rsidRPr="00F3528E">
        <w:t xml:space="preserve"> to be appointed from the date of proclamation</w:t>
      </w:r>
      <w:r w:rsidRPr="00F3528E">
        <w:t>.</w:t>
      </w:r>
    </w:p>
    <w:p w:rsidR="00034FA7" w:rsidRPr="00F3528E" w:rsidRDefault="00034FA7" w:rsidP="00034FA7">
      <w:pPr>
        <w:spacing w:before="100" w:beforeAutospacing="1" w:after="100" w:afterAutospacing="1"/>
      </w:pPr>
      <w:r w:rsidRPr="00F3528E">
        <w:t xml:space="preserve">The Proclamation is a legislative instrument for the purposes of the </w:t>
      </w:r>
      <w:r w:rsidRPr="00F3528E">
        <w:rPr>
          <w:i/>
          <w:iCs/>
        </w:rPr>
        <w:t>Legislative Instruments Act 2003</w:t>
      </w:r>
      <w:r w:rsidRPr="00F3528E">
        <w:t>.</w:t>
      </w:r>
    </w:p>
    <w:p w:rsidR="00034FA7" w:rsidRDefault="00034FA7" w:rsidP="00034FA7">
      <w:pPr>
        <w:ind w:right="91"/>
        <w:jc w:val="right"/>
      </w:pPr>
    </w:p>
    <w:p w:rsidR="00225723" w:rsidRDefault="00225723" w:rsidP="00225723">
      <w:pPr>
        <w:tabs>
          <w:tab w:val="left" w:pos="1276"/>
        </w:tabs>
        <w:ind w:right="91"/>
        <w:jc w:val="right"/>
      </w:pPr>
      <w:r>
        <w:rPr>
          <w:u w:val="single"/>
        </w:rPr>
        <w:t>Authority</w:t>
      </w:r>
      <w:r>
        <w:t>:</w:t>
      </w:r>
      <w:r>
        <w:tab/>
        <w:t>Subsection 2(1) of the</w:t>
      </w:r>
      <w:r>
        <w:br/>
      </w:r>
      <w:r>
        <w:rPr>
          <w:i/>
        </w:rPr>
        <w:t xml:space="preserve">Clean Energy Finance </w:t>
      </w:r>
      <w:r>
        <w:rPr>
          <w:i/>
        </w:rPr>
        <w:br/>
        <w:t>Corporation Act 2012</w:t>
      </w:r>
    </w:p>
    <w:p w:rsidR="008A13FE" w:rsidRPr="00B02349" w:rsidRDefault="008A13FE" w:rsidP="00B02349">
      <w:pPr>
        <w:spacing w:before="0" w:after="0"/>
        <w:rPr>
          <w:rFonts w:ascii="Arial Bold" w:hAnsi="Arial Bold"/>
          <w:b/>
          <w:kern w:val="28"/>
          <w:sz w:val="28"/>
          <w:u w:val="single"/>
        </w:rPr>
      </w:pPr>
    </w:p>
    <w:sectPr w:rsidR="008A13FE" w:rsidRPr="00B02349"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6E25"/>
    <w:multiLevelType w:val="multilevel"/>
    <w:tmpl w:val="2C50736A"/>
    <w:lvl w:ilvl="0">
      <w:start w:val="1"/>
      <w:numFmt w:val="bullet"/>
      <w:lvlText w:val="•"/>
      <w:lvlJc w:val="left"/>
      <w:pPr>
        <w:tabs>
          <w:tab w:val="num" w:pos="1134"/>
        </w:tabs>
        <w:ind w:left="1134" w:hanging="567"/>
      </w:pPr>
      <w:rPr>
        <w:rFonts w:ascii="Times New Roman" w:hAnsi="Times New Roman"/>
      </w:rPr>
    </w:lvl>
    <w:lvl w:ilvl="1">
      <w:start w:val="1"/>
      <w:numFmt w:val="bullet"/>
      <w:lvlText w:val="–"/>
      <w:lvlJc w:val="left"/>
      <w:pPr>
        <w:tabs>
          <w:tab w:val="num" w:pos="1701"/>
        </w:tabs>
        <w:ind w:left="1701" w:hanging="567"/>
      </w:pPr>
      <w:rPr>
        <w:rFonts w:ascii="Times New Roman" w:hAnsi="Times New Roman"/>
      </w:rPr>
    </w:lvl>
    <w:lvl w:ilvl="2">
      <w:start w:val="1"/>
      <w:numFmt w:val="bullet"/>
      <w:lvlText w:val=":"/>
      <w:lvlJc w:val="left"/>
      <w:pPr>
        <w:tabs>
          <w:tab w:val="num" w:pos="2268"/>
        </w:tabs>
        <w:ind w:left="2268" w:hanging="567"/>
      </w:pPr>
      <w:rPr>
        <w:rFonts w:ascii="Times New Roman" w:hAnsi="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2128"/>
        </w:tabs>
        <w:ind w:left="1277"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2128"/>
        </w:tabs>
        <w:ind w:left="1277"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lvl w:ilvl="0">
        <w:start w:val="1"/>
        <w:numFmt w:val="decimal"/>
        <w:lvlText w:val="Chapter %1"/>
        <w:lvlJc w:val="left"/>
        <w:pPr>
          <w:tabs>
            <w:tab w:val="num" w:pos="1134"/>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35"/>
    <w:rsid w:val="00016EA2"/>
    <w:rsid w:val="00034FA7"/>
    <w:rsid w:val="00055005"/>
    <w:rsid w:val="00095211"/>
    <w:rsid w:val="000C10DF"/>
    <w:rsid w:val="00113B45"/>
    <w:rsid w:val="001E6A74"/>
    <w:rsid w:val="001F41D0"/>
    <w:rsid w:val="00220F16"/>
    <w:rsid w:val="00225723"/>
    <w:rsid w:val="00254C5B"/>
    <w:rsid w:val="00305965"/>
    <w:rsid w:val="0032033C"/>
    <w:rsid w:val="003342CD"/>
    <w:rsid w:val="00335042"/>
    <w:rsid w:val="00392BBA"/>
    <w:rsid w:val="004A4A85"/>
    <w:rsid w:val="004E39E1"/>
    <w:rsid w:val="00503E44"/>
    <w:rsid w:val="00515283"/>
    <w:rsid w:val="0055675D"/>
    <w:rsid w:val="00571435"/>
    <w:rsid w:val="005833BE"/>
    <w:rsid w:val="005D7D5A"/>
    <w:rsid w:val="0060130D"/>
    <w:rsid w:val="0064129F"/>
    <w:rsid w:val="006F662E"/>
    <w:rsid w:val="007E018D"/>
    <w:rsid w:val="00807E7D"/>
    <w:rsid w:val="00831675"/>
    <w:rsid w:val="0088467C"/>
    <w:rsid w:val="008A13FE"/>
    <w:rsid w:val="008A4135"/>
    <w:rsid w:val="008D16F7"/>
    <w:rsid w:val="009E2F86"/>
    <w:rsid w:val="009F1843"/>
    <w:rsid w:val="00A12209"/>
    <w:rsid w:val="00A36DF3"/>
    <w:rsid w:val="00A532DD"/>
    <w:rsid w:val="00A80BCF"/>
    <w:rsid w:val="00AB1D7D"/>
    <w:rsid w:val="00B02349"/>
    <w:rsid w:val="00B07B0C"/>
    <w:rsid w:val="00BA70E7"/>
    <w:rsid w:val="00BD61A2"/>
    <w:rsid w:val="00BE484D"/>
    <w:rsid w:val="00C37E05"/>
    <w:rsid w:val="00C55D29"/>
    <w:rsid w:val="00C84DE1"/>
    <w:rsid w:val="00D34626"/>
    <w:rsid w:val="00D4257A"/>
    <w:rsid w:val="00DC0CDE"/>
    <w:rsid w:val="00E0624D"/>
    <w:rsid w:val="00E4438C"/>
    <w:rsid w:val="00EB7E71"/>
    <w:rsid w:val="00F109D4"/>
    <w:rsid w:val="00F3528E"/>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uiPriority w:val="99"/>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uiPriority w:val="99"/>
    <w:rsid w:val="00E0624D"/>
    <w:rPr>
      <w:color w:val="000000"/>
      <w:sz w:val="24"/>
      <w:szCs w:val="23"/>
    </w:rPr>
  </w:style>
  <w:style w:type="paragraph" w:customStyle="1" w:styleId="Dash">
    <w:name w:val="Dash"/>
    <w:basedOn w:val="Normal"/>
    <w:link w:val="DashChar"/>
    <w:uiPriority w:val="99"/>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uiPriority w:val="99"/>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ChapterHeading">
    <w:name w:val="Chapter Heading"/>
    <w:next w:val="Heading2"/>
    <w:rsid w:val="008A13FE"/>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8A13FE"/>
    <w:pPr>
      <w:tabs>
        <w:tab w:val="clear" w:pos="1987"/>
        <w:tab w:val="num" w:pos="360"/>
      </w:tabs>
      <w:ind w:left="1134"/>
    </w:pPr>
    <w:rPr>
      <w:kern w:val="0"/>
      <w:sz w:val="22"/>
    </w:rPr>
  </w:style>
  <w:style w:type="paragraph" w:customStyle="1" w:styleId="ExampleHeading">
    <w:name w:val="Example Heading"/>
    <w:basedOn w:val="Normal"/>
    <w:next w:val="Normal"/>
    <w:rsid w:val="008A13FE"/>
    <w:pPr>
      <w:keepNext/>
      <w:tabs>
        <w:tab w:val="num" w:pos="360"/>
      </w:tabs>
      <w:ind w:left="1134"/>
    </w:pPr>
    <w:rPr>
      <w:b/>
      <w:sz w:val="22"/>
    </w:rPr>
  </w:style>
  <w:style w:type="paragraph" w:customStyle="1" w:styleId="Diagram">
    <w:name w:val="Diagram"/>
    <w:basedOn w:val="Normal"/>
    <w:next w:val="Normal"/>
    <w:rsid w:val="008A13FE"/>
    <w:pPr>
      <w:keepNext/>
      <w:spacing w:before="0" w:after="0"/>
      <w:ind w:left="1134"/>
    </w:pPr>
    <w:rPr>
      <w:b/>
      <w:sz w:val="22"/>
    </w:rPr>
  </w:style>
  <w:style w:type="character" w:customStyle="1" w:styleId="base-text-paragraphChar">
    <w:name w:val="base-text-paragraph Char"/>
    <w:basedOn w:val="DefaultParagraphFont"/>
    <w:link w:val="base-text-paragraph"/>
    <w:rsid w:val="008A13FE"/>
    <w:rPr>
      <w:sz w:val="24"/>
    </w:rPr>
  </w:style>
  <w:style w:type="numbering" w:customStyle="1" w:styleId="ChapterList">
    <w:name w:val="ChapterList"/>
    <w:uiPriority w:val="99"/>
    <w:rsid w:val="008A13F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uiPriority w:val="99"/>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uiPriority w:val="99"/>
    <w:rsid w:val="00E0624D"/>
    <w:rPr>
      <w:color w:val="000000"/>
      <w:sz w:val="24"/>
      <w:szCs w:val="23"/>
    </w:rPr>
  </w:style>
  <w:style w:type="paragraph" w:customStyle="1" w:styleId="Dash">
    <w:name w:val="Dash"/>
    <w:basedOn w:val="Normal"/>
    <w:link w:val="DashChar"/>
    <w:uiPriority w:val="99"/>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uiPriority w:val="99"/>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ChapterHeading">
    <w:name w:val="Chapter Heading"/>
    <w:next w:val="Heading2"/>
    <w:rsid w:val="008A13FE"/>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8A13FE"/>
    <w:pPr>
      <w:tabs>
        <w:tab w:val="clear" w:pos="1987"/>
        <w:tab w:val="num" w:pos="360"/>
      </w:tabs>
      <w:ind w:left="1134"/>
    </w:pPr>
    <w:rPr>
      <w:kern w:val="0"/>
      <w:sz w:val="22"/>
    </w:rPr>
  </w:style>
  <w:style w:type="paragraph" w:customStyle="1" w:styleId="ExampleHeading">
    <w:name w:val="Example Heading"/>
    <w:basedOn w:val="Normal"/>
    <w:next w:val="Normal"/>
    <w:rsid w:val="008A13FE"/>
    <w:pPr>
      <w:keepNext/>
      <w:tabs>
        <w:tab w:val="num" w:pos="360"/>
      </w:tabs>
      <w:ind w:left="1134"/>
    </w:pPr>
    <w:rPr>
      <w:b/>
      <w:sz w:val="22"/>
    </w:rPr>
  </w:style>
  <w:style w:type="paragraph" w:customStyle="1" w:styleId="Diagram">
    <w:name w:val="Diagram"/>
    <w:basedOn w:val="Normal"/>
    <w:next w:val="Normal"/>
    <w:rsid w:val="008A13FE"/>
    <w:pPr>
      <w:keepNext/>
      <w:spacing w:before="0" w:after="0"/>
      <w:ind w:left="1134"/>
    </w:pPr>
    <w:rPr>
      <w:b/>
      <w:sz w:val="22"/>
    </w:rPr>
  </w:style>
  <w:style w:type="character" w:customStyle="1" w:styleId="base-text-paragraphChar">
    <w:name w:val="base-text-paragraph Char"/>
    <w:basedOn w:val="DefaultParagraphFont"/>
    <w:link w:val="base-text-paragraph"/>
    <w:rsid w:val="008A13FE"/>
    <w:rPr>
      <w:sz w:val="24"/>
    </w:rPr>
  </w:style>
  <w:style w:type="numbering" w:customStyle="1" w:styleId="ChapterList">
    <w:name w:val="ChapterList"/>
    <w:uiPriority w:val="99"/>
    <w:rsid w:val="008A13F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9788">
      <w:bodyDiv w:val="1"/>
      <w:marLeft w:val="0"/>
      <w:marRight w:val="0"/>
      <w:marTop w:val="0"/>
      <w:marBottom w:val="0"/>
      <w:divBdr>
        <w:top w:val="none" w:sz="0" w:space="0" w:color="auto"/>
        <w:left w:val="none" w:sz="0" w:space="0" w:color="auto"/>
        <w:bottom w:val="none" w:sz="0" w:space="0" w:color="auto"/>
        <w:right w:val="none" w:sz="0" w:space="0" w:color="auto"/>
      </w:divBdr>
    </w:div>
    <w:div w:id="894125333">
      <w:bodyDiv w:val="1"/>
      <w:marLeft w:val="0"/>
      <w:marRight w:val="0"/>
      <w:marTop w:val="0"/>
      <w:marBottom w:val="0"/>
      <w:divBdr>
        <w:top w:val="none" w:sz="0" w:space="0" w:color="auto"/>
        <w:left w:val="none" w:sz="0" w:space="0" w:color="auto"/>
        <w:bottom w:val="none" w:sz="0" w:space="0" w:color="auto"/>
        <w:right w:val="none" w:sz="0" w:space="0" w:color="auto"/>
      </w:divBdr>
      <w:divsChild>
        <w:div w:id="957488665">
          <w:marLeft w:val="0"/>
          <w:marRight w:val="0"/>
          <w:marTop w:val="0"/>
          <w:marBottom w:val="0"/>
          <w:divBdr>
            <w:top w:val="none" w:sz="0" w:space="0" w:color="auto"/>
            <w:left w:val="none" w:sz="0" w:space="0" w:color="auto"/>
            <w:bottom w:val="none" w:sz="0" w:space="0" w:color="auto"/>
            <w:right w:val="none" w:sz="0" w:space="0" w:color="auto"/>
          </w:divBdr>
          <w:divsChild>
            <w:div w:id="1094285145">
              <w:marLeft w:val="0"/>
              <w:marRight w:val="0"/>
              <w:marTop w:val="0"/>
              <w:marBottom w:val="0"/>
              <w:divBdr>
                <w:top w:val="none" w:sz="0" w:space="0" w:color="auto"/>
                <w:left w:val="none" w:sz="0" w:space="0" w:color="auto"/>
                <w:bottom w:val="none" w:sz="0" w:space="0" w:color="auto"/>
                <w:right w:val="none" w:sz="0" w:space="0" w:color="auto"/>
              </w:divBdr>
              <w:divsChild>
                <w:div w:id="677540844">
                  <w:marLeft w:val="0"/>
                  <w:marRight w:val="0"/>
                  <w:marTop w:val="0"/>
                  <w:marBottom w:val="0"/>
                  <w:divBdr>
                    <w:top w:val="none" w:sz="0" w:space="0" w:color="auto"/>
                    <w:left w:val="none" w:sz="0" w:space="0" w:color="auto"/>
                    <w:bottom w:val="none" w:sz="0" w:space="0" w:color="auto"/>
                    <w:right w:val="none" w:sz="0" w:space="0" w:color="auto"/>
                  </w:divBdr>
                  <w:divsChild>
                    <w:div w:id="1287195416">
                      <w:marLeft w:val="0"/>
                      <w:marRight w:val="0"/>
                      <w:marTop w:val="0"/>
                      <w:marBottom w:val="0"/>
                      <w:divBdr>
                        <w:top w:val="none" w:sz="0" w:space="0" w:color="auto"/>
                        <w:left w:val="none" w:sz="0" w:space="0" w:color="auto"/>
                        <w:bottom w:val="none" w:sz="0" w:space="0" w:color="auto"/>
                        <w:right w:val="none" w:sz="0" w:space="0" w:color="auto"/>
                      </w:divBdr>
                      <w:divsChild>
                        <w:div w:id="2030527917">
                          <w:marLeft w:val="0"/>
                          <w:marRight w:val="0"/>
                          <w:marTop w:val="0"/>
                          <w:marBottom w:val="0"/>
                          <w:divBdr>
                            <w:top w:val="single" w:sz="6" w:space="0" w:color="828282"/>
                            <w:left w:val="single" w:sz="6" w:space="0" w:color="828282"/>
                            <w:bottom w:val="single" w:sz="6" w:space="0" w:color="828282"/>
                            <w:right w:val="single" w:sz="6" w:space="0" w:color="828282"/>
                          </w:divBdr>
                          <w:divsChild>
                            <w:div w:id="212741029">
                              <w:marLeft w:val="0"/>
                              <w:marRight w:val="0"/>
                              <w:marTop w:val="0"/>
                              <w:marBottom w:val="0"/>
                              <w:divBdr>
                                <w:top w:val="none" w:sz="0" w:space="0" w:color="auto"/>
                                <w:left w:val="none" w:sz="0" w:space="0" w:color="auto"/>
                                <w:bottom w:val="none" w:sz="0" w:space="0" w:color="auto"/>
                                <w:right w:val="none" w:sz="0" w:space="0" w:color="auto"/>
                              </w:divBdr>
                              <w:divsChild>
                                <w:div w:id="869490461">
                                  <w:marLeft w:val="0"/>
                                  <w:marRight w:val="0"/>
                                  <w:marTop w:val="0"/>
                                  <w:marBottom w:val="0"/>
                                  <w:divBdr>
                                    <w:top w:val="none" w:sz="0" w:space="0" w:color="auto"/>
                                    <w:left w:val="none" w:sz="0" w:space="0" w:color="auto"/>
                                    <w:bottom w:val="none" w:sz="0" w:space="0" w:color="auto"/>
                                    <w:right w:val="none" w:sz="0" w:space="0" w:color="auto"/>
                                  </w:divBdr>
                                  <w:divsChild>
                                    <w:div w:id="1677416766">
                                      <w:marLeft w:val="0"/>
                                      <w:marRight w:val="0"/>
                                      <w:marTop w:val="0"/>
                                      <w:marBottom w:val="0"/>
                                      <w:divBdr>
                                        <w:top w:val="none" w:sz="0" w:space="0" w:color="auto"/>
                                        <w:left w:val="none" w:sz="0" w:space="0" w:color="auto"/>
                                        <w:bottom w:val="none" w:sz="0" w:space="0" w:color="auto"/>
                                        <w:right w:val="none" w:sz="0" w:space="0" w:color="auto"/>
                                      </w:divBdr>
                                      <w:divsChild>
                                        <w:div w:id="1768695383">
                                          <w:marLeft w:val="0"/>
                                          <w:marRight w:val="0"/>
                                          <w:marTop w:val="0"/>
                                          <w:marBottom w:val="0"/>
                                          <w:divBdr>
                                            <w:top w:val="none" w:sz="0" w:space="0" w:color="auto"/>
                                            <w:left w:val="none" w:sz="0" w:space="0" w:color="auto"/>
                                            <w:bottom w:val="none" w:sz="0" w:space="0" w:color="auto"/>
                                            <w:right w:val="none" w:sz="0" w:space="0" w:color="auto"/>
                                          </w:divBdr>
                                          <w:divsChild>
                                            <w:div w:id="731738389">
                                              <w:marLeft w:val="0"/>
                                              <w:marRight w:val="0"/>
                                              <w:marTop w:val="0"/>
                                              <w:marBottom w:val="0"/>
                                              <w:divBdr>
                                                <w:top w:val="none" w:sz="0" w:space="0" w:color="auto"/>
                                                <w:left w:val="none" w:sz="0" w:space="0" w:color="auto"/>
                                                <w:bottom w:val="none" w:sz="0" w:space="0" w:color="auto"/>
                                                <w:right w:val="none" w:sz="0" w:space="0" w:color="auto"/>
                                              </w:divBdr>
                                              <w:divsChild>
                                                <w:div w:id="15588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31C1-6639-4B2A-9398-2727D426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1</Pages>
  <Words>235</Words>
  <Characters>1342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Quinlivan, Michael</dc:creator>
  <cp:lastModifiedBy>Nightingale, Adam</cp:lastModifiedBy>
  <cp:revision>2</cp:revision>
  <cp:lastPrinted>2011-09-27T02:53:00Z</cp:lastPrinted>
  <dcterms:created xsi:type="dcterms:W3CDTF">2012-07-27T03:10:00Z</dcterms:created>
  <dcterms:modified xsi:type="dcterms:W3CDTF">2012-07-27T03:10:00Z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1663693183</vt:i4>
  </property>
  <property fmtid="{D5CDD505-2E9C-101B-9397-08002B2CF9AE}" pid="3" name="_NewReviewCycle">
    <vt:lpwstr/>
  </property>
  <property fmtid="{D5CDD505-2E9C-101B-9397-08002B2CF9AE}" pid="4" name="_EmailSubject">
    <vt:lpwstr>CEFC Proclamation Explanatory Statement</vt:lpwstr>
  </property>
  <property fmtid="{D5CDD505-2E9C-101B-9397-08002B2CF9AE}" pid="5" name="_AuthorEmail">
    <vt:lpwstr>Michael.Quinlivan@TREASURY.GOV.AU</vt:lpwstr>
  </property>
  <property fmtid="{D5CDD505-2E9C-101B-9397-08002B2CF9AE}" pid="6" name="_AuthorEmailDisplayName">
    <vt:lpwstr>Quinlivan, Michael</vt:lpwstr>
  </property>
  <property fmtid="{D5CDD505-2E9C-101B-9397-08002B2CF9AE}" pid="7" name="_PreviousAdHocReviewCycleID">
    <vt:i4>-2119910230</vt:i4>
  </property>
  <property fmtid="{D5CDD505-2E9C-101B-9397-08002B2CF9AE}" pid="8" name="_ReviewingToolsShownOnce">
    <vt:lpwstr/>
  </property>
</Properties>
</file>