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45" w:rsidRPr="009717D3" w:rsidRDefault="00113845" w:rsidP="00113845">
      <w:pPr>
        <w:pStyle w:val="Default"/>
        <w:jc w:val="center"/>
        <w:rPr>
          <w:b/>
          <w:color w:val="auto"/>
          <w:u w:val="single"/>
        </w:rPr>
      </w:pPr>
      <w:bookmarkStart w:id="0" w:name="OLE_LINK1"/>
      <w:r w:rsidRPr="009717D3">
        <w:rPr>
          <w:b/>
          <w:color w:val="auto"/>
          <w:u w:val="single"/>
        </w:rPr>
        <w:t xml:space="preserve">EXPLANATORY STATEMENT </w:t>
      </w:r>
    </w:p>
    <w:p w:rsidR="00113845" w:rsidRDefault="00113845" w:rsidP="00113845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113845" w:rsidRPr="009717D3" w:rsidRDefault="00113845" w:rsidP="00113845">
      <w:pPr>
        <w:pStyle w:val="Default"/>
        <w:jc w:val="center"/>
        <w:rPr>
          <w:color w:val="auto"/>
        </w:rPr>
      </w:pPr>
      <w:r w:rsidRPr="009717D3">
        <w:rPr>
          <w:color w:val="auto"/>
        </w:rPr>
        <w:t>ISSUED BY THE AUTHORITY OF THE ATTORNEY-GENERAL</w:t>
      </w:r>
    </w:p>
    <w:p w:rsidR="00113845" w:rsidRDefault="00113845" w:rsidP="00113845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113845" w:rsidRDefault="00113845" w:rsidP="00113845">
      <w:pPr>
        <w:pStyle w:val="Default"/>
        <w:jc w:val="center"/>
        <w:rPr>
          <w:color w:val="auto"/>
        </w:rPr>
      </w:pPr>
      <w:r>
        <w:rPr>
          <w:i/>
          <w:iCs/>
          <w:color w:val="auto"/>
        </w:rPr>
        <w:t>Judiciary Act 1903</w:t>
      </w:r>
      <w:r>
        <w:rPr>
          <w:color w:val="auto"/>
        </w:rPr>
        <w:t xml:space="preserve"> </w:t>
      </w:r>
    </w:p>
    <w:p w:rsidR="00113845" w:rsidRDefault="00113845" w:rsidP="00113845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  <w:bookmarkStart w:id="1" w:name="_GoBack"/>
      <w:bookmarkEnd w:id="1"/>
    </w:p>
    <w:p w:rsidR="00113845" w:rsidRPr="00C10803" w:rsidRDefault="00113845" w:rsidP="00113845">
      <w:pPr>
        <w:pStyle w:val="Default"/>
        <w:jc w:val="center"/>
        <w:rPr>
          <w:i/>
          <w:color w:val="auto"/>
        </w:rPr>
      </w:pPr>
      <w:r>
        <w:rPr>
          <w:i/>
          <w:iCs/>
          <w:color w:val="auto"/>
        </w:rPr>
        <w:t>Legal Services Amendment Direction</w:t>
      </w:r>
      <w:r>
        <w:rPr>
          <w:i/>
          <w:color w:val="auto"/>
        </w:rPr>
        <w:t xml:space="preserve"> 2012 (No</w:t>
      </w:r>
      <w:r w:rsidR="000E4EC9">
        <w:rPr>
          <w:i/>
          <w:color w:val="auto"/>
        </w:rPr>
        <w:t>.</w:t>
      </w:r>
      <w:r w:rsidR="002F2502">
        <w:rPr>
          <w:i/>
          <w:color w:val="auto"/>
        </w:rPr>
        <w:t xml:space="preserve"> </w:t>
      </w:r>
      <w:r w:rsidR="00B64658">
        <w:rPr>
          <w:i/>
          <w:color w:val="auto"/>
        </w:rPr>
        <w:t>2</w:t>
      </w:r>
      <w:r>
        <w:rPr>
          <w:i/>
          <w:color w:val="auto"/>
        </w:rPr>
        <w:t>)</w:t>
      </w:r>
    </w:p>
    <w:p w:rsidR="001E3659" w:rsidRDefault="001E3659" w:rsidP="009717D3">
      <w:pPr>
        <w:pStyle w:val="Default"/>
        <w:rPr>
          <w:color w:val="auto"/>
        </w:rPr>
      </w:pPr>
    </w:p>
    <w:p w:rsidR="000E4EC9" w:rsidRPr="009717D3" w:rsidRDefault="00113845" w:rsidP="009717D3">
      <w:pPr>
        <w:pStyle w:val="Default"/>
        <w:rPr>
          <w:color w:val="auto"/>
        </w:rPr>
      </w:pPr>
      <w:r w:rsidRPr="009717D3">
        <w:rPr>
          <w:color w:val="auto"/>
        </w:rPr>
        <w:t xml:space="preserve">Under section 55ZF of the </w:t>
      </w:r>
      <w:r w:rsidRPr="009717D3">
        <w:rPr>
          <w:i/>
          <w:iCs/>
          <w:color w:val="auto"/>
        </w:rPr>
        <w:t>Judiciary Act 1903</w:t>
      </w:r>
      <w:r w:rsidR="001E3659">
        <w:rPr>
          <w:i/>
          <w:iCs/>
          <w:color w:val="auto"/>
        </w:rPr>
        <w:t xml:space="preserve"> </w:t>
      </w:r>
      <w:r w:rsidR="001E3659">
        <w:rPr>
          <w:iCs/>
          <w:color w:val="auto"/>
        </w:rPr>
        <w:t>(the Act)</w:t>
      </w:r>
      <w:r w:rsidRPr="009717D3">
        <w:rPr>
          <w:color w:val="auto"/>
        </w:rPr>
        <w:t xml:space="preserve">, the Attorney-General may issue </w:t>
      </w:r>
      <w:smartTag w:uri="urn:schemas-microsoft-com:office:smarttags" w:element="PersonName">
        <w:r w:rsidRPr="009717D3">
          <w:rPr>
            <w:color w:val="auto"/>
          </w:rPr>
          <w:t>legal</w:t>
        </w:r>
      </w:smartTag>
      <w:r w:rsidRPr="009717D3">
        <w:rPr>
          <w:color w:val="auto"/>
        </w:rPr>
        <w:t xml:space="preserve"> services directions applying generally to Commonwealth </w:t>
      </w:r>
      <w:smartTag w:uri="urn:schemas-microsoft-com:office:smarttags" w:element="PersonName">
        <w:r w:rsidRPr="009717D3">
          <w:rPr>
            <w:color w:val="auto"/>
          </w:rPr>
          <w:t>legal</w:t>
        </w:r>
      </w:smartTag>
      <w:r w:rsidRPr="009717D3">
        <w:rPr>
          <w:color w:val="auto"/>
        </w:rPr>
        <w:t xml:space="preserve"> work (as defined in that section) or in relation to Commonwealth </w:t>
      </w:r>
      <w:smartTag w:uri="urn:schemas-microsoft-com:office:smarttags" w:element="PersonName">
        <w:r w:rsidRPr="009717D3">
          <w:rPr>
            <w:color w:val="auto"/>
          </w:rPr>
          <w:t>legal</w:t>
        </w:r>
      </w:smartTag>
      <w:r w:rsidRPr="009717D3">
        <w:rPr>
          <w:color w:val="auto"/>
        </w:rPr>
        <w:t xml:space="preserve"> work performed in relation to a particular matter.  </w:t>
      </w:r>
    </w:p>
    <w:p w:rsidR="001E3659" w:rsidRDefault="001E3659" w:rsidP="009717D3">
      <w:pPr>
        <w:pStyle w:val="Default"/>
        <w:rPr>
          <w:color w:val="auto"/>
        </w:rPr>
      </w:pPr>
    </w:p>
    <w:p w:rsidR="00113845" w:rsidRPr="009717D3" w:rsidRDefault="00113845" w:rsidP="009717D3">
      <w:pPr>
        <w:pStyle w:val="Default"/>
        <w:rPr>
          <w:color w:val="auto"/>
        </w:rPr>
      </w:pPr>
      <w:r w:rsidRPr="009717D3">
        <w:rPr>
          <w:color w:val="auto"/>
        </w:rPr>
        <w:t xml:space="preserve">The power to issue </w:t>
      </w:r>
      <w:smartTag w:uri="urn:schemas-microsoft-com:office:smarttags" w:element="PersonName">
        <w:r w:rsidRPr="009717D3">
          <w:rPr>
            <w:color w:val="auto"/>
          </w:rPr>
          <w:t>legal</w:t>
        </w:r>
      </w:smartTag>
      <w:r w:rsidRPr="009717D3">
        <w:rPr>
          <w:color w:val="auto"/>
        </w:rPr>
        <w:t xml:space="preserve"> services directions was conferred having regard to the Attorney</w:t>
      </w:r>
      <w:r w:rsidR="000E4EC9" w:rsidRPr="009717D3">
        <w:rPr>
          <w:color w:val="auto"/>
        </w:rPr>
        <w:noBreakHyphen/>
      </w:r>
      <w:r w:rsidRPr="009717D3">
        <w:rPr>
          <w:color w:val="auto"/>
        </w:rPr>
        <w:t xml:space="preserve">General’s responsibility, as first law officer, for </w:t>
      </w:r>
      <w:smartTag w:uri="urn:schemas-microsoft-com:office:smarttags" w:element="PersonName">
        <w:r w:rsidRPr="009717D3">
          <w:rPr>
            <w:color w:val="auto"/>
          </w:rPr>
          <w:t>legal</w:t>
        </w:r>
      </w:smartTag>
      <w:r w:rsidRPr="009717D3">
        <w:rPr>
          <w:color w:val="auto"/>
        </w:rPr>
        <w:t xml:space="preserve"> services provided to the Commonwealth and its agencies, including Commonwealth litigation, and for the provision of </w:t>
      </w:r>
      <w:smartTag w:uri="urn:schemas-microsoft-com:office:smarttags" w:element="PersonName">
        <w:r w:rsidRPr="009717D3">
          <w:rPr>
            <w:color w:val="auto"/>
          </w:rPr>
          <w:t>legal</w:t>
        </w:r>
      </w:smartTag>
      <w:r w:rsidRPr="009717D3">
        <w:rPr>
          <w:color w:val="auto"/>
        </w:rPr>
        <w:t xml:space="preserve"> advice to Cabinet. </w:t>
      </w:r>
    </w:p>
    <w:p w:rsidR="001E3659" w:rsidRDefault="001E3659" w:rsidP="009717D3">
      <w:pPr>
        <w:pStyle w:val="Default"/>
        <w:rPr>
          <w:color w:val="auto"/>
        </w:rPr>
      </w:pPr>
    </w:p>
    <w:p w:rsidR="001E3659" w:rsidRDefault="00113845" w:rsidP="009717D3">
      <w:pPr>
        <w:pStyle w:val="Default"/>
        <w:rPr>
          <w:color w:val="auto"/>
        </w:rPr>
      </w:pPr>
      <w:r w:rsidRPr="009717D3">
        <w:rPr>
          <w:color w:val="auto"/>
        </w:rPr>
        <w:t>Legal Services Directions were initially issued under this provision in 1999.  They are administered by the Attorney-General with the assistance of the Office of Legal Services Coordination (</w:t>
      </w:r>
      <w:smartTag w:uri="urn:schemas-microsoft-com:office:smarttags" w:element="PersonName">
        <w:r w:rsidRPr="009717D3">
          <w:rPr>
            <w:color w:val="auto"/>
          </w:rPr>
          <w:t>OLSC</w:t>
        </w:r>
      </w:smartTag>
      <w:r w:rsidRPr="009717D3">
        <w:rPr>
          <w:color w:val="auto"/>
        </w:rPr>
        <w:t>) in the Attorney-General’s Department</w:t>
      </w:r>
      <w:r w:rsidR="00C143EB">
        <w:rPr>
          <w:color w:val="auto"/>
        </w:rPr>
        <w:t>.</w:t>
      </w:r>
    </w:p>
    <w:p w:rsidR="00C143EB" w:rsidRDefault="00C143EB" w:rsidP="009717D3">
      <w:pPr>
        <w:pStyle w:val="Default"/>
        <w:rPr>
          <w:color w:val="auto"/>
        </w:rPr>
      </w:pPr>
    </w:p>
    <w:p w:rsidR="001E3659" w:rsidRPr="009717D3" w:rsidRDefault="00113845" w:rsidP="009717D3">
      <w:pPr>
        <w:pStyle w:val="Default"/>
        <w:rPr>
          <w:color w:val="auto"/>
        </w:rPr>
      </w:pPr>
      <w:r w:rsidRPr="009717D3">
        <w:rPr>
          <w:color w:val="auto"/>
        </w:rPr>
        <w:t xml:space="preserve">The Directions set out requirements for sound practice in the provision of </w:t>
      </w:r>
      <w:smartTag w:uri="urn:schemas-microsoft-com:office:smarttags" w:element="PersonName">
        <w:r w:rsidRPr="009717D3">
          <w:rPr>
            <w:color w:val="auto"/>
          </w:rPr>
          <w:t>legal</w:t>
        </w:r>
      </w:smartTag>
      <w:r w:rsidRPr="009717D3">
        <w:rPr>
          <w:color w:val="auto"/>
        </w:rPr>
        <w:t xml:space="preserve"> services to the Commonwealth.</w:t>
      </w:r>
    </w:p>
    <w:p w:rsidR="001E3659" w:rsidRDefault="001E3659" w:rsidP="009717D3">
      <w:pPr>
        <w:pStyle w:val="Default"/>
      </w:pPr>
    </w:p>
    <w:p w:rsidR="001E3659" w:rsidRDefault="00925181" w:rsidP="009717D3">
      <w:pPr>
        <w:pStyle w:val="Default"/>
      </w:pPr>
      <w:r w:rsidRPr="009717D3">
        <w:t>The</w:t>
      </w:r>
      <w:r w:rsidR="001E3659">
        <w:t xml:space="preserve"> purpose of the </w:t>
      </w:r>
      <w:r w:rsidR="008E2770" w:rsidRPr="009717D3">
        <w:rPr>
          <w:i/>
        </w:rPr>
        <w:t>Legal Services Amendment Direction 2012</w:t>
      </w:r>
      <w:r w:rsidRPr="009717D3">
        <w:t xml:space="preserve"> </w:t>
      </w:r>
      <w:r w:rsidR="000E4EC9" w:rsidRPr="009717D3">
        <w:t>(the</w:t>
      </w:r>
      <w:r w:rsidR="001E3659">
        <w:t xml:space="preserve"> Amendment</w:t>
      </w:r>
      <w:r w:rsidR="000E4EC9" w:rsidRPr="009717D3">
        <w:t xml:space="preserve"> Direction) </w:t>
      </w:r>
      <w:r w:rsidR="001E3659">
        <w:t xml:space="preserve">is to implement a government decision to transfer the functions of the Office of Legislative Drafting and Publishing </w:t>
      </w:r>
      <w:r w:rsidR="0089337B">
        <w:t xml:space="preserve">(OLDP) </w:t>
      </w:r>
      <w:r w:rsidR="001E3659">
        <w:t>within the Attorney-General’s Department to the Office of Parliamentary Counsel</w:t>
      </w:r>
      <w:r w:rsidR="0089337B">
        <w:t xml:space="preserve"> (OPC)</w:t>
      </w:r>
      <w:r w:rsidR="001E3659">
        <w:t xml:space="preserve">.  </w:t>
      </w:r>
    </w:p>
    <w:p w:rsidR="001E3659" w:rsidRDefault="001E3659" w:rsidP="009717D3">
      <w:pPr>
        <w:pStyle w:val="Default"/>
      </w:pPr>
    </w:p>
    <w:p w:rsidR="001E3659" w:rsidRDefault="001E3659" w:rsidP="009717D3">
      <w:pPr>
        <w:pStyle w:val="Default"/>
      </w:pPr>
      <w:r>
        <w:t>The Amendment Direction supports the changes which are being made by the Parliamentary Counsel and Other Legislation Amendment Bill 2012, which transfer</w:t>
      </w:r>
      <w:r w:rsidR="00C143EB">
        <w:t>s</w:t>
      </w:r>
      <w:r>
        <w:t xml:space="preserve"> functions from the Secretary of the Department to the First Parliamentary Counsel; and from the Departme</w:t>
      </w:r>
      <w:r w:rsidR="0089337B">
        <w:t>nt to OPC</w:t>
      </w:r>
      <w:r>
        <w:t>.</w:t>
      </w:r>
    </w:p>
    <w:p w:rsidR="001E3659" w:rsidRDefault="001E3659" w:rsidP="009717D3">
      <w:pPr>
        <w:pStyle w:val="Default"/>
      </w:pPr>
    </w:p>
    <w:p w:rsidR="008337A9" w:rsidRDefault="009777D7" w:rsidP="009777D7">
      <w:pPr>
        <w:pStyle w:val="Default"/>
      </w:pPr>
      <w:r>
        <w:t xml:space="preserve">The Amendment Direction amends the </w:t>
      </w:r>
      <w:r>
        <w:rPr>
          <w:i/>
        </w:rPr>
        <w:t>Legal Services Directions 2005</w:t>
      </w:r>
      <w:r w:rsidR="00EE0646">
        <w:t xml:space="preserve"> (the Directions)</w:t>
      </w:r>
      <w:r>
        <w:t>.</w:t>
      </w:r>
      <w:r w:rsidR="008337A9">
        <w:t xml:space="preserve">  The Directions provide that most drafting work is tied to government providers of legal services, in accordance with the Directions on </w:t>
      </w:r>
      <w:r w:rsidR="008337A9">
        <w:rPr>
          <w:i/>
        </w:rPr>
        <w:t xml:space="preserve">Tied Areas of Commonwealth Legal Work </w:t>
      </w:r>
      <w:r w:rsidR="00EE0646">
        <w:t>at Appendix </w:t>
      </w:r>
      <w:r w:rsidR="008337A9">
        <w:t xml:space="preserve">A.  </w:t>
      </w:r>
    </w:p>
    <w:p w:rsidR="008337A9" w:rsidRDefault="008337A9" w:rsidP="009777D7">
      <w:pPr>
        <w:pStyle w:val="Default"/>
      </w:pPr>
    </w:p>
    <w:p w:rsidR="008337A9" w:rsidRDefault="008337A9" w:rsidP="009777D7">
      <w:pPr>
        <w:pStyle w:val="Default"/>
      </w:pPr>
      <w:r>
        <w:t>Schedule 1 of the Amendment Direction would amend Clause 3 of Appendix A to remove references to OLDP and provide that only OPC is to undertake, or arrange for, the drafting of government Bills, government amendments of Bills, regulations, ordinances and regulations of non-self-governing Territories, and other legislative instruments made or approved by the Governor-General</w:t>
      </w:r>
      <w:r w:rsidRPr="000B6B5C">
        <w:t>.</w:t>
      </w:r>
    </w:p>
    <w:p w:rsidR="008337A9" w:rsidRDefault="008337A9" w:rsidP="009777D7">
      <w:pPr>
        <w:pStyle w:val="Default"/>
      </w:pPr>
    </w:p>
    <w:p w:rsidR="009777D7" w:rsidRDefault="009777D7" w:rsidP="009777D7">
      <w:pP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9717D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The Directions are declared not to be a legislative instrument under section 7(1)(a) of the </w:t>
      </w:r>
      <w:r w:rsidRPr="009717D3">
        <w:rPr>
          <w:rFonts w:ascii="Times New Roman" w:eastAsia="Times New Roman" w:hAnsi="Times New Roman"/>
          <w:i/>
          <w:color w:val="000000"/>
          <w:sz w:val="24"/>
          <w:szCs w:val="24"/>
          <w:lang w:eastAsia="en-AU"/>
        </w:rPr>
        <w:t>Legislative Instruments Act 2003</w:t>
      </w:r>
      <w:r w:rsidRPr="009717D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.</w:t>
      </w:r>
    </w:p>
    <w:p w:rsidR="00EE0646" w:rsidRPr="009717D3" w:rsidRDefault="00EE0646" w:rsidP="009777D7">
      <w:pP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</w:p>
    <w:p w:rsidR="009777D7" w:rsidRDefault="009777D7" w:rsidP="009717D3">
      <w:pPr>
        <w:pStyle w:val="Default"/>
      </w:pPr>
      <w:r>
        <w:lastRenderedPageBreak/>
        <w:t xml:space="preserve">The Amendment Direction commences on the commencement of Schedule 1 to the </w:t>
      </w:r>
      <w:r>
        <w:rPr>
          <w:i/>
        </w:rPr>
        <w:t>Parliamentary Counsel and Other Legislation Amendment Act 2012</w:t>
      </w:r>
      <w:r>
        <w:t>.</w:t>
      </w:r>
    </w:p>
    <w:p w:rsidR="009777D7" w:rsidRDefault="009777D7" w:rsidP="009717D3">
      <w:pPr>
        <w:pStyle w:val="Default"/>
      </w:pPr>
    </w:p>
    <w:p w:rsidR="009777D7" w:rsidRPr="009717D3" w:rsidRDefault="009777D7" w:rsidP="009717D3">
      <w:pPr>
        <w:pStyle w:val="Default"/>
      </w:pPr>
      <w:r>
        <w:t xml:space="preserve">The Amendment Direction was developed in consultation with the Office of Parliamentary Counsel and the </w:t>
      </w:r>
      <w:r w:rsidRPr="00EE0646">
        <w:t>Office of Legislative Drafting and Publishing.  The Office of Best Practice Regulation has also advised that a Regulation Impact Statement is not required as the amendments are machinery in nature and do not change the regulatory burden placed on businesses or the non-profit sector.</w:t>
      </w:r>
    </w:p>
    <w:p w:rsidR="009777D7" w:rsidRDefault="009777D7" w:rsidP="009717D3">
      <w:pPr>
        <w:pStyle w:val="Default"/>
      </w:pPr>
    </w:p>
    <w:p w:rsidR="009777D7" w:rsidRDefault="009777D7" w:rsidP="009717D3">
      <w:pPr>
        <w:pStyle w:val="Default"/>
      </w:pPr>
      <w:r w:rsidRPr="008C79C8">
        <w:t xml:space="preserve">The </w:t>
      </w:r>
      <w:r>
        <w:t>Amendment Direction</w:t>
      </w:r>
      <w:r w:rsidRPr="008C79C8">
        <w:t xml:space="preserve"> is compatible with the human rights and freedoms recognised or declared in the international instruments listed in section 3 of the </w:t>
      </w:r>
      <w:r w:rsidRPr="009717D3">
        <w:rPr>
          <w:i/>
        </w:rPr>
        <w:t>Human Rights (Parliamentary Scrutiny) Act 2011</w:t>
      </w:r>
      <w:r w:rsidRPr="008C79C8">
        <w:t xml:space="preserve">.  The amendments made by </w:t>
      </w:r>
      <w:r>
        <w:t>the Amendment Direction</w:t>
      </w:r>
      <w:r w:rsidRPr="008C79C8">
        <w:t xml:space="preserve"> do not engage any of the applicable righ</w:t>
      </w:r>
      <w:r>
        <w:t>ts or freedoms under that Act.</w:t>
      </w:r>
    </w:p>
    <w:p w:rsidR="0089337B" w:rsidRDefault="0089337B" w:rsidP="009717D3">
      <w:pPr>
        <w:pStyle w:val="Default"/>
      </w:pPr>
    </w:p>
    <w:p w:rsidR="0089337B" w:rsidRDefault="0089337B" w:rsidP="0089337B">
      <w:pPr>
        <w:jc w:val="right"/>
        <w:rPr>
          <w:rFonts w:ascii="Times New Roman" w:hAnsi="Times New Roman"/>
          <w:i/>
          <w:szCs w:val="24"/>
        </w:rPr>
      </w:pPr>
      <w:r w:rsidRPr="005A6382">
        <w:rPr>
          <w:rFonts w:ascii="Times New Roman" w:hAnsi="Times New Roman"/>
          <w:szCs w:val="24"/>
          <w:u w:val="single"/>
        </w:rPr>
        <w:t>Authority</w:t>
      </w:r>
      <w:r w:rsidRPr="005A638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S</w:t>
      </w:r>
      <w:r w:rsidRPr="009717D3">
        <w:rPr>
          <w:rFonts w:ascii="Times New Roman" w:hAnsi="Times New Roman"/>
          <w:sz w:val="24"/>
          <w:szCs w:val="24"/>
        </w:rPr>
        <w:t xml:space="preserve">ection 55ZF of the </w:t>
      </w:r>
      <w:r>
        <w:rPr>
          <w:rFonts w:ascii="Times New Roman" w:hAnsi="Times New Roman"/>
          <w:sz w:val="24"/>
          <w:szCs w:val="24"/>
        </w:rPr>
        <w:br/>
      </w:r>
      <w:r w:rsidRPr="009717D3">
        <w:rPr>
          <w:rFonts w:ascii="Times New Roman" w:hAnsi="Times New Roman"/>
          <w:i/>
          <w:iCs/>
          <w:sz w:val="24"/>
          <w:szCs w:val="24"/>
        </w:rPr>
        <w:t>Judiciary Act 1903</w:t>
      </w:r>
      <w:r>
        <w:rPr>
          <w:rFonts w:ascii="Times New Roman" w:hAnsi="Times New Roman"/>
          <w:i/>
          <w:szCs w:val="24"/>
        </w:rPr>
        <w:t>.</w:t>
      </w:r>
    </w:p>
    <w:p w:rsidR="0089337B" w:rsidRPr="008C79C8" w:rsidRDefault="0089337B" w:rsidP="009717D3">
      <w:pPr>
        <w:pStyle w:val="Default"/>
      </w:pPr>
    </w:p>
    <w:p w:rsidR="009777D7" w:rsidRDefault="009777D7" w:rsidP="009717D3">
      <w:pPr>
        <w:pStyle w:val="Default"/>
      </w:pPr>
    </w:p>
    <w:bookmarkEnd w:id="0"/>
    <w:p w:rsidR="00424A8F" w:rsidRDefault="00424A8F" w:rsidP="009717D3"/>
    <w:sectPr w:rsidR="00424A8F" w:rsidSect="00824309">
      <w:pgSz w:w="11905" w:h="16840"/>
      <w:pgMar w:top="1400" w:right="1285" w:bottom="1440" w:left="16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478"/>
    <w:multiLevelType w:val="singleLevel"/>
    <w:tmpl w:val="A62096EE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845"/>
    <w:rsid w:val="000E4EC9"/>
    <w:rsid w:val="00113845"/>
    <w:rsid w:val="001924AF"/>
    <w:rsid w:val="001949AB"/>
    <w:rsid w:val="001B7FEC"/>
    <w:rsid w:val="001E3659"/>
    <w:rsid w:val="002208FA"/>
    <w:rsid w:val="00221A4F"/>
    <w:rsid w:val="002F2502"/>
    <w:rsid w:val="0042029C"/>
    <w:rsid w:val="00424A8F"/>
    <w:rsid w:val="00475F72"/>
    <w:rsid w:val="005020E9"/>
    <w:rsid w:val="00644594"/>
    <w:rsid w:val="006C51E5"/>
    <w:rsid w:val="00772079"/>
    <w:rsid w:val="007A7854"/>
    <w:rsid w:val="00824309"/>
    <w:rsid w:val="008248FE"/>
    <w:rsid w:val="00831175"/>
    <w:rsid w:val="008337A9"/>
    <w:rsid w:val="00835785"/>
    <w:rsid w:val="0089337B"/>
    <w:rsid w:val="008E2770"/>
    <w:rsid w:val="00925181"/>
    <w:rsid w:val="009717D3"/>
    <w:rsid w:val="009777D7"/>
    <w:rsid w:val="009B3658"/>
    <w:rsid w:val="00A578B7"/>
    <w:rsid w:val="00B64658"/>
    <w:rsid w:val="00B83B5B"/>
    <w:rsid w:val="00C143EB"/>
    <w:rsid w:val="00C34091"/>
    <w:rsid w:val="00D11A4E"/>
    <w:rsid w:val="00DB6C60"/>
    <w:rsid w:val="00E50D57"/>
    <w:rsid w:val="00EE0646"/>
    <w:rsid w:val="00F6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8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38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0E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20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2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0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2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029C"/>
    <w:rPr>
      <w:b/>
      <w:bCs/>
      <w:sz w:val="20"/>
      <w:szCs w:val="20"/>
    </w:rPr>
  </w:style>
  <w:style w:type="paragraph" w:customStyle="1" w:styleId="paragraphnumbered0">
    <w:name w:val="paragraphnumbered"/>
    <w:basedOn w:val="Normal"/>
    <w:rsid w:val="00835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8248FE"/>
    <w:rPr>
      <w:color w:val="0000FF"/>
      <w:u w:val="single"/>
    </w:rPr>
  </w:style>
  <w:style w:type="paragraph" w:customStyle="1" w:styleId="Paragraphnumbered">
    <w:name w:val="Paragraph (numbered)"/>
    <w:basedOn w:val="Normal"/>
    <w:rsid w:val="007A7854"/>
    <w:pPr>
      <w:numPr>
        <w:numId w:val="1"/>
      </w:numPr>
      <w:spacing w:before="240" w:after="0" w:line="36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9717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8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7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452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6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4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4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7C93-F080-43F3-A916-902512A2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allera</dc:creator>
  <cp:keywords/>
  <dc:description/>
  <cp:lastModifiedBy>woodsa</cp:lastModifiedBy>
  <cp:revision>4</cp:revision>
  <cp:lastPrinted>2012-05-09T01:21:00Z</cp:lastPrinted>
  <dcterms:created xsi:type="dcterms:W3CDTF">2012-08-01T02:26:00Z</dcterms:created>
  <dcterms:modified xsi:type="dcterms:W3CDTF">2012-08-03T04:30:00Z</dcterms:modified>
</cp:coreProperties>
</file>