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05" w:rsidRPr="00714364" w:rsidRDefault="00950705" w:rsidP="00950705">
      <w:pPr>
        <w:jc w:val="center"/>
        <w:rPr>
          <w:rFonts w:ascii="Times New Roman" w:hAnsi="Times New Roman"/>
          <w:b/>
          <w:szCs w:val="24"/>
          <w:u w:val="single"/>
        </w:rPr>
      </w:pPr>
      <w:bookmarkStart w:id="0" w:name="_GoBack"/>
      <w:bookmarkEnd w:id="0"/>
      <w:r w:rsidRPr="00714364">
        <w:rPr>
          <w:rFonts w:ascii="Times New Roman" w:hAnsi="Times New Roman"/>
          <w:b/>
          <w:szCs w:val="24"/>
          <w:u w:val="single"/>
        </w:rPr>
        <w:t xml:space="preserve">EXPLANATORY </w:t>
      </w:r>
      <w:r w:rsidR="00A04BD4" w:rsidRPr="00714364">
        <w:rPr>
          <w:rFonts w:ascii="Times New Roman" w:hAnsi="Times New Roman"/>
          <w:b/>
          <w:szCs w:val="24"/>
          <w:u w:val="single"/>
        </w:rPr>
        <w:t>STATEMENT</w:t>
      </w:r>
    </w:p>
    <w:p w:rsidR="00950705" w:rsidRPr="00714364" w:rsidRDefault="00950705" w:rsidP="00CC0CF7">
      <w:pPr>
        <w:jc w:val="center"/>
        <w:rPr>
          <w:rFonts w:ascii="Times New Roman" w:hAnsi="Times New Roman"/>
          <w:szCs w:val="24"/>
          <w:u w:val="single"/>
        </w:rPr>
      </w:pPr>
    </w:p>
    <w:p w:rsidR="00950705" w:rsidRPr="00714364" w:rsidRDefault="00CC0CF7" w:rsidP="00CC0CF7">
      <w:pPr>
        <w:jc w:val="center"/>
        <w:rPr>
          <w:rFonts w:ascii="Times New Roman" w:hAnsi="Times New Roman"/>
          <w:b/>
          <w:szCs w:val="24"/>
        </w:rPr>
      </w:pPr>
      <w:r w:rsidRPr="00714364">
        <w:rPr>
          <w:rFonts w:ascii="Times New Roman" w:hAnsi="Times New Roman"/>
          <w:b/>
          <w:szCs w:val="24"/>
          <w:u w:val="single"/>
        </w:rPr>
        <w:t>Select Legislative Instrument 2012 No.</w:t>
      </w:r>
      <w:r w:rsidR="001A40F8" w:rsidRPr="00714364">
        <w:rPr>
          <w:rFonts w:ascii="Times New Roman" w:hAnsi="Times New Roman"/>
          <w:b/>
          <w:szCs w:val="24"/>
          <w:u w:val="single"/>
        </w:rPr>
        <w:t xml:space="preserve"> </w:t>
      </w:r>
      <w:r w:rsidR="00D0179B" w:rsidRPr="00714364">
        <w:rPr>
          <w:rFonts w:ascii="Times New Roman" w:hAnsi="Times New Roman"/>
          <w:b/>
          <w:szCs w:val="24"/>
          <w:u w:val="single"/>
        </w:rPr>
        <w:t>179</w:t>
      </w:r>
    </w:p>
    <w:p w:rsidR="00950705" w:rsidRPr="00714364" w:rsidRDefault="00950705" w:rsidP="00950705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jc w:val="center"/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>ISSUED BY THE AUTHORITY OF THE ATTORNEY-GENERAL</w:t>
      </w:r>
    </w:p>
    <w:p w:rsidR="00CC0CF7" w:rsidRPr="00714364" w:rsidRDefault="00CC0CF7" w:rsidP="00CC0CF7">
      <w:pPr>
        <w:jc w:val="center"/>
        <w:rPr>
          <w:rFonts w:ascii="Times New Roman" w:hAnsi="Times New Roman"/>
          <w:szCs w:val="24"/>
        </w:rPr>
      </w:pPr>
    </w:p>
    <w:p w:rsidR="00950705" w:rsidRPr="00714364" w:rsidRDefault="00CC0CF7" w:rsidP="00CC0CF7">
      <w:pPr>
        <w:jc w:val="center"/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>LEGISLATIVE INSTRUMENTS ACT 2003</w:t>
      </w:r>
    </w:p>
    <w:p w:rsidR="00950705" w:rsidRPr="00714364" w:rsidRDefault="00950705" w:rsidP="00CC0CF7">
      <w:pPr>
        <w:jc w:val="center"/>
        <w:rPr>
          <w:rFonts w:ascii="Times New Roman" w:hAnsi="Times New Roman"/>
          <w:szCs w:val="24"/>
        </w:rPr>
      </w:pPr>
    </w:p>
    <w:p w:rsidR="00D44DBE" w:rsidRPr="00714364" w:rsidRDefault="00CC0CF7" w:rsidP="00CC0CF7">
      <w:pPr>
        <w:jc w:val="center"/>
        <w:rPr>
          <w:rFonts w:ascii="Times New Roman" w:hAnsi="Times New Roman"/>
          <w:i/>
          <w:szCs w:val="24"/>
        </w:rPr>
      </w:pPr>
      <w:r w:rsidRPr="00714364">
        <w:rPr>
          <w:rFonts w:ascii="Times New Roman" w:hAnsi="Times New Roman"/>
          <w:i/>
          <w:szCs w:val="24"/>
        </w:rPr>
        <w:t>Legislative Instruments Amendment Regulation</w:t>
      </w:r>
      <w:r w:rsidR="00D44DBE" w:rsidRPr="00714364">
        <w:rPr>
          <w:rFonts w:ascii="Times New Roman" w:hAnsi="Times New Roman"/>
          <w:i/>
          <w:szCs w:val="24"/>
        </w:rPr>
        <w:t xml:space="preserve"> 201</w:t>
      </w:r>
      <w:r w:rsidR="00EC18BE" w:rsidRPr="00714364">
        <w:rPr>
          <w:rFonts w:ascii="Times New Roman" w:hAnsi="Times New Roman"/>
          <w:i/>
          <w:szCs w:val="24"/>
        </w:rPr>
        <w:t>2</w:t>
      </w:r>
      <w:r w:rsidR="00D44DBE" w:rsidRPr="00714364">
        <w:rPr>
          <w:rFonts w:ascii="Times New Roman" w:hAnsi="Times New Roman"/>
          <w:i/>
          <w:szCs w:val="24"/>
        </w:rPr>
        <w:t xml:space="preserve"> (No. </w:t>
      </w:r>
      <w:r w:rsidR="00D0179B" w:rsidRPr="00714364">
        <w:rPr>
          <w:rFonts w:ascii="Times New Roman" w:hAnsi="Times New Roman"/>
          <w:i/>
          <w:szCs w:val="24"/>
        </w:rPr>
        <w:t>1</w:t>
      </w:r>
      <w:r w:rsidR="00D44DBE" w:rsidRPr="00714364">
        <w:rPr>
          <w:rFonts w:ascii="Times New Roman" w:hAnsi="Times New Roman"/>
          <w:i/>
          <w:szCs w:val="24"/>
        </w:rPr>
        <w:t>)</w:t>
      </w:r>
    </w:p>
    <w:p w:rsidR="00950705" w:rsidRPr="00714364" w:rsidRDefault="00950705" w:rsidP="00950705">
      <w:pPr>
        <w:ind w:left="1695"/>
        <w:rPr>
          <w:rFonts w:ascii="Times New Roman" w:hAnsi="Times New Roman"/>
          <w:i/>
          <w:szCs w:val="24"/>
        </w:rPr>
      </w:pPr>
      <w:r w:rsidRPr="00714364">
        <w:rPr>
          <w:rFonts w:ascii="Times New Roman" w:hAnsi="Times New Roman"/>
          <w:i/>
          <w:szCs w:val="24"/>
        </w:rPr>
        <w:t xml:space="preserve"> 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 xml:space="preserve">The </w:t>
      </w:r>
      <w:r w:rsidRPr="00714364">
        <w:rPr>
          <w:rFonts w:ascii="Times New Roman" w:hAnsi="Times New Roman"/>
          <w:i/>
          <w:szCs w:val="24"/>
        </w:rPr>
        <w:t>Legislative Instruments Act</w:t>
      </w:r>
      <w:r w:rsidR="000A5C9D" w:rsidRPr="00714364">
        <w:rPr>
          <w:rFonts w:ascii="Times New Roman" w:hAnsi="Times New Roman"/>
          <w:i/>
          <w:szCs w:val="24"/>
        </w:rPr>
        <w:t xml:space="preserve"> 2003</w:t>
      </w:r>
      <w:r w:rsidRPr="00714364">
        <w:rPr>
          <w:rFonts w:ascii="Times New Roman" w:hAnsi="Times New Roman"/>
          <w:i/>
          <w:szCs w:val="24"/>
        </w:rPr>
        <w:t xml:space="preserve"> </w:t>
      </w:r>
      <w:r w:rsidRPr="00714364">
        <w:rPr>
          <w:rFonts w:ascii="Times New Roman" w:hAnsi="Times New Roman"/>
          <w:szCs w:val="24"/>
        </w:rPr>
        <w:t xml:space="preserve">(the Act) provides a comprehensive regime for the registration, tabling, scrutiny and </w:t>
      </w:r>
      <w:proofErr w:type="spellStart"/>
      <w:r w:rsidRPr="00714364">
        <w:rPr>
          <w:rFonts w:ascii="Times New Roman" w:hAnsi="Times New Roman"/>
          <w:szCs w:val="24"/>
        </w:rPr>
        <w:t>sunsetting</w:t>
      </w:r>
      <w:proofErr w:type="spellEnd"/>
      <w:r w:rsidRPr="00714364">
        <w:rPr>
          <w:rFonts w:ascii="Times New Roman" w:hAnsi="Times New Roman"/>
          <w:szCs w:val="24"/>
        </w:rPr>
        <w:t xml:space="preserve"> of Commonwealth legislative instruments.  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>Section 62 provides that the Governor-General may make regulations prescribing matters required or permitted by th</w:t>
      </w:r>
      <w:r w:rsidR="00767CD5" w:rsidRPr="00714364">
        <w:rPr>
          <w:rFonts w:ascii="Times New Roman" w:hAnsi="Times New Roman"/>
          <w:szCs w:val="24"/>
        </w:rPr>
        <w:t>e</w:t>
      </w:r>
      <w:r w:rsidRPr="00714364">
        <w:rPr>
          <w:rFonts w:ascii="Times New Roman" w:hAnsi="Times New Roman"/>
          <w:szCs w:val="24"/>
        </w:rPr>
        <w:t xml:space="preserve"> Act to be prescribed, or necessary or convenient to be prescribed for carrying out or giving effect to the Act.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>The purpose of the Regulation is to implement a government decision to transfer the functions of the Office of Legislative Drafting and Publishing within the</w:t>
      </w:r>
      <w:r w:rsidR="001A40F8" w:rsidRPr="00714364">
        <w:rPr>
          <w:rFonts w:ascii="Times New Roman" w:hAnsi="Times New Roman"/>
          <w:szCs w:val="24"/>
        </w:rPr>
        <w:t xml:space="preserve"> </w:t>
      </w:r>
      <w:r w:rsidRPr="00714364">
        <w:rPr>
          <w:rFonts w:ascii="Times New Roman" w:hAnsi="Times New Roman"/>
          <w:szCs w:val="24"/>
        </w:rPr>
        <w:t>Attorney-General’s</w:t>
      </w:r>
      <w:r w:rsidR="001A40F8" w:rsidRPr="00714364">
        <w:rPr>
          <w:rFonts w:ascii="Times New Roman" w:hAnsi="Times New Roman"/>
          <w:szCs w:val="24"/>
        </w:rPr>
        <w:t xml:space="preserve"> </w:t>
      </w:r>
      <w:r w:rsidRPr="00714364">
        <w:rPr>
          <w:rFonts w:ascii="Times New Roman" w:hAnsi="Times New Roman"/>
          <w:szCs w:val="24"/>
        </w:rPr>
        <w:t xml:space="preserve">Department to the Office of Parliamentary Counsel.  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>The Regulation support</w:t>
      </w:r>
      <w:r w:rsidR="000A5C9D" w:rsidRPr="00714364">
        <w:rPr>
          <w:rFonts w:ascii="Times New Roman" w:hAnsi="Times New Roman"/>
          <w:szCs w:val="24"/>
        </w:rPr>
        <w:t>s</w:t>
      </w:r>
      <w:r w:rsidRPr="00714364">
        <w:rPr>
          <w:rFonts w:ascii="Times New Roman" w:hAnsi="Times New Roman"/>
          <w:szCs w:val="24"/>
        </w:rPr>
        <w:t xml:space="preserve"> the changes which are being made to the Act by the </w:t>
      </w:r>
      <w:r w:rsidRPr="00714364">
        <w:rPr>
          <w:rFonts w:ascii="Times New Roman" w:hAnsi="Times New Roman"/>
          <w:i/>
          <w:szCs w:val="24"/>
        </w:rPr>
        <w:t>Parliamentary Counsel and Other Legislati</w:t>
      </w:r>
      <w:r w:rsidR="000A5C9D" w:rsidRPr="00714364">
        <w:rPr>
          <w:rFonts w:ascii="Times New Roman" w:hAnsi="Times New Roman"/>
          <w:i/>
          <w:szCs w:val="24"/>
        </w:rPr>
        <w:t>on</w:t>
      </w:r>
      <w:r w:rsidRPr="00714364">
        <w:rPr>
          <w:rFonts w:ascii="Times New Roman" w:hAnsi="Times New Roman"/>
          <w:i/>
          <w:szCs w:val="24"/>
        </w:rPr>
        <w:t xml:space="preserve"> Amendment </w:t>
      </w:r>
      <w:r w:rsidR="00767CD5" w:rsidRPr="00714364">
        <w:rPr>
          <w:rFonts w:ascii="Times New Roman" w:hAnsi="Times New Roman"/>
          <w:i/>
          <w:szCs w:val="24"/>
        </w:rPr>
        <w:t>Act</w:t>
      </w:r>
      <w:r w:rsidRPr="00714364">
        <w:rPr>
          <w:rFonts w:ascii="Times New Roman" w:hAnsi="Times New Roman"/>
          <w:i/>
          <w:szCs w:val="24"/>
        </w:rPr>
        <w:t xml:space="preserve"> 201</w:t>
      </w:r>
      <w:r w:rsidRPr="00714364">
        <w:rPr>
          <w:rFonts w:ascii="Times New Roman" w:hAnsi="Times New Roman"/>
          <w:szCs w:val="24"/>
        </w:rPr>
        <w:t>2, which transfer functions from the Secretary of the Department to the First Parliamentary Counsel</w:t>
      </w:r>
      <w:r w:rsidR="001A40F8" w:rsidRPr="00714364">
        <w:rPr>
          <w:rFonts w:ascii="Times New Roman" w:hAnsi="Times New Roman"/>
          <w:szCs w:val="24"/>
        </w:rPr>
        <w:t xml:space="preserve"> of the Office of Parliamentary Counsel</w:t>
      </w:r>
      <w:r w:rsidRPr="00714364">
        <w:rPr>
          <w:rFonts w:ascii="Times New Roman" w:hAnsi="Times New Roman"/>
          <w:szCs w:val="24"/>
        </w:rPr>
        <w:t xml:space="preserve">; and from the Department to the Office of Parliamentary Counsel. 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 xml:space="preserve">Details of the Regulation are set out in the </w:t>
      </w:r>
      <w:r w:rsidRPr="00714364">
        <w:rPr>
          <w:rFonts w:ascii="Times New Roman" w:hAnsi="Times New Roman"/>
          <w:szCs w:val="24"/>
          <w:u w:val="single"/>
        </w:rPr>
        <w:t>Attachment</w:t>
      </w:r>
      <w:r w:rsidRPr="00714364">
        <w:rPr>
          <w:rFonts w:ascii="Times New Roman" w:hAnsi="Times New Roman"/>
          <w:szCs w:val="24"/>
        </w:rPr>
        <w:t xml:space="preserve">.  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 xml:space="preserve">The Act specifies no conditions that need to be met before the power to make the </w:t>
      </w:r>
      <w:r w:rsidR="000A5C9D" w:rsidRPr="00714364">
        <w:rPr>
          <w:rFonts w:ascii="Times New Roman" w:hAnsi="Times New Roman"/>
          <w:szCs w:val="24"/>
        </w:rPr>
        <w:t>Regulation</w:t>
      </w:r>
      <w:r w:rsidRPr="00714364">
        <w:rPr>
          <w:rFonts w:ascii="Times New Roman" w:hAnsi="Times New Roman"/>
          <w:szCs w:val="24"/>
        </w:rPr>
        <w:t xml:space="preserve"> may be exercised.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>The Regulation amend</w:t>
      </w:r>
      <w:r w:rsidR="000A5C9D" w:rsidRPr="00714364">
        <w:rPr>
          <w:rFonts w:ascii="Times New Roman" w:hAnsi="Times New Roman"/>
          <w:szCs w:val="24"/>
        </w:rPr>
        <w:t>s</w:t>
      </w:r>
      <w:r w:rsidRPr="00714364">
        <w:rPr>
          <w:rFonts w:ascii="Times New Roman" w:hAnsi="Times New Roman"/>
          <w:szCs w:val="24"/>
        </w:rPr>
        <w:t xml:space="preserve"> the </w:t>
      </w:r>
      <w:r w:rsidRPr="00714364">
        <w:rPr>
          <w:rFonts w:ascii="Times New Roman" w:hAnsi="Times New Roman"/>
          <w:i/>
          <w:szCs w:val="24"/>
        </w:rPr>
        <w:t>Legislative Instruments Regulations 2004</w:t>
      </w:r>
      <w:r w:rsidRPr="00714364">
        <w:rPr>
          <w:rFonts w:ascii="Times New Roman" w:hAnsi="Times New Roman"/>
          <w:szCs w:val="24"/>
        </w:rPr>
        <w:t>.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 xml:space="preserve">The Regulation </w:t>
      </w:r>
      <w:r w:rsidR="004B5DEA" w:rsidRPr="00714364">
        <w:rPr>
          <w:rFonts w:ascii="Times New Roman" w:hAnsi="Times New Roman"/>
          <w:szCs w:val="24"/>
        </w:rPr>
        <w:t>is</w:t>
      </w:r>
      <w:r w:rsidRPr="00714364">
        <w:rPr>
          <w:rFonts w:ascii="Times New Roman" w:hAnsi="Times New Roman"/>
          <w:szCs w:val="24"/>
        </w:rPr>
        <w:t xml:space="preserve"> a legislative instrument for the purposes of the</w:t>
      </w:r>
      <w:r w:rsidR="00F47BF7" w:rsidRPr="00714364">
        <w:rPr>
          <w:rFonts w:ascii="Times New Roman" w:hAnsi="Times New Roman"/>
          <w:i/>
          <w:szCs w:val="24"/>
        </w:rPr>
        <w:t xml:space="preserve"> </w:t>
      </w:r>
      <w:r w:rsidR="00F47BF7" w:rsidRPr="00714364">
        <w:rPr>
          <w:rFonts w:ascii="Times New Roman" w:hAnsi="Times New Roman"/>
          <w:szCs w:val="24"/>
        </w:rPr>
        <w:t>Act</w:t>
      </w:r>
      <w:r w:rsidRPr="00714364">
        <w:rPr>
          <w:rFonts w:ascii="Times New Roman" w:hAnsi="Times New Roman"/>
          <w:szCs w:val="24"/>
        </w:rPr>
        <w:t xml:space="preserve">.  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i/>
          <w:szCs w:val="24"/>
        </w:rPr>
      </w:pPr>
      <w:r w:rsidRPr="00714364">
        <w:rPr>
          <w:rFonts w:ascii="Times New Roman" w:hAnsi="Times New Roman"/>
          <w:szCs w:val="24"/>
        </w:rPr>
        <w:t>The Regulation commence</w:t>
      </w:r>
      <w:r w:rsidR="000A5C9D" w:rsidRPr="00714364">
        <w:rPr>
          <w:rFonts w:ascii="Times New Roman" w:hAnsi="Times New Roman"/>
          <w:szCs w:val="24"/>
        </w:rPr>
        <w:t>s</w:t>
      </w:r>
      <w:r w:rsidRPr="00714364">
        <w:rPr>
          <w:rFonts w:ascii="Times New Roman" w:hAnsi="Times New Roman"/>
          <w:szCs w:val="24"/>
        </w:rPr>
        <w:t xml:space="preserve"> on the </w:t>
      </w:r>
      <w:r w:rsidR="00767CD5" w:rsidRPr="00714364">
        <w:rPr>
          <w:rFonts w:ascii="Times New Roman" w:hAnsi="Times New Roman"/>
          <w:szCs w:val="24"/>
        </w:rPr>
        <w:t xml:space="preserve">same day as the </w:t>
      </w:r>
      <w:r w:rsidRPr="00714364">
        <w:rPr>
          <w:rFonts w:ascii="Times New Roman" w:hAnsi="Times New Roman"/>
          <w:szCs w:val="24"/>
        </w:rPr>
        <w:t>commencement of Schedule 1</w:t>
      </w:r>
      <w:r w:rsidR="00AC1189" w:rsidRPr="00714364">
        <w:rPr>
          <w:rFonts w:ascii="Times New Roman" w:hAnsi="Times New Roman"/>
          <w:szCs w:val="24"/>
        </w:rPr>
        <w:t xml:space="preserve"> </w:t>
      </w:r>
      <w:r w:rsidRPr="00714364">
        <w:rPr>
          <w:rFonts w:ascii="Times New Roman" w:hAnsi="Times New Roman"/>
          <w:szCs w:val="24"/>
        </w:rPr>
        <w:t xml:space="preserve">to the </w:t>
      </w:r>
      <w:r w:rsidRPr="00714364">
        <w:rPr>
          <w:rFonts w:ascii="Times New Roman" w:hAnsi="Times New Roman"/>
          <w:i/>
          <w:szCs w:val="24"/>
        </w:rPr>
        <w:t>Parliamentary Counsel and Other Legislati</w:t>
      </w:r>
      <w:r w:rsidR="000A5C9D" w:rsidRPr="00714364">
        <w:rPr>
          <w:rFonts w:ascii="Times New Roman" w:hAnsi="Times New Roman"/>
          <w:i/>
          <w:szCs w:val="24"/>
        </w:rPr>
        <w:t>on</w:t>
      </w:r>
      <w:r w:rsidRPr="00714364">
        <w:rPr>
          <w:rFonts w:ascii="Times New Roman" w:hAnsi="Times New Roman"/>
          <w:i/>
          <w:szCs w:val="24"/>
        </w:rPr>
        <w:t xml:space="preserve"> Amendment Act 2012.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0A5C9D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>The Regulation was developed in consultation with the Office of Parliamentary Counsel and the Office of Legislative Drafting and Publishing</w:t>
      </w:r>
      <w:r w:rsidR="00CC0CF7" w:rsidRPr="00714364">
        <w:rPr>
          <w:rFonts w:ascii="Times New Roman" w:hAnsi="Times New Roman"/>
          <w:szCs w:val="24"/>
        </w:rPr>
        <w:t xml:space="preserve">.  </w:t>
      </w:r>
      <w:r w:rsidRPr="00714364">
        <w:rPr>
          <w:rFonts w:ascii="Times New Roman" w:hAnsi="Times New Roman"/>
          <w:szCs w:val="24"/>
        </w:rPr>
        <w:t>The Office of Best Practice Regulation has advised that a Regulation Impact Statement is not required as the amendments are machinery in nature and do not change the regulatory burden placed on businesses or the non-profit sector.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8C79C8" w:rsidRPr="00714364" w:rsidRDefault="008C79C8" w:rsidP="008C79C8">
      <w:pPr>
        <w:rPr>
          <w:rFonts w:ascii="Times New Roman" w:hAnsi="Times New Roman"/>
        </w:rPr>
      </w:pPr>
      <w:r w:rsidRPr="00714364">
        <w:rPr>
          <w:rFonts w:ascii="Times New Roman" w:hAnsi="Times New Roman"/>
        </w:rPr>
        <w:t xml:space="preserve">The Regulation is compatible with the human rights and freedoms recognised or declared in the international instruments listed in section 3 of the </w:t>
      </w:r>
      <w:r w:rsidRPr="00714364">
        <w:rPr>
          <w:rFonts w:ascii="Times New Roman" w:hAnsi="Times New Roman"/>
          <w:i/>
          <w:iCs/>
        </w:rPr>
        <w:t>Human Rights (Parliamentary Scrutiny) Act 2011</w:t>
      </w:r>
      <w:r w:rsidRPr="00714364">
        <w:rPr>
          <w:rFonts w:ascii="Times New Roman" w:hAnsi="Times New Roman"/>
        </w:rPr>
        <w:t xml:space="preserve">.  The amendments made by </w:t>
      </w:r>
      <w:r w:rsidR="000A5C9D" w:rsidRPr="00714364">
        <w:rPr>
          <w:rFonts w:ascii="Times New Roman" w:hAnsi="Times New Roman"/>
        </w:rPr>
        <w:t xml:space="preserve">the </w:t>
      </w:r>
      <w:r w:rsidRPr="00714364">
        <w:rPr>
          <w:rFonts w:ascii="Times New Roman" w:hAnsi="Times New Roman"/>
        </w:rPr>
        <w:t>Regulation do not engage any of the applicable rights or freedoms under that Act.  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7D0763" w:rsidRPr="00714364" w:rsidRDefault="00CC0CF7" w:rsidP="00767CD5">
      <w:pPr>
        <w:ind w:left="1134" w:hanging="1134"/>
        <w:jc w:val="right"/>
        <w:rPr>
          <w:rFonts w:ascii="Times New Roman" w:hAnsi="Times New Roman"/>
          <w:i/>
          <w:szCs w:val="24"/>
        </w:rPr>
      </w:pPr>
      <w:r w:rsidRPr="00714364">
        <w:rPr>
          <w:rFonts w:ascii="Times New Roman" w:hAnsi="Times New Roman"/>
          <w:szCs w:val="24"/>
          <w:u w:val="single"/>
        </w:rPr>
        <w:t>Authority</w:t>
      </w:r>
      <w:r w:rsidRPr="00714364">
        <w:rPr>
          <w:rFonts w:ascii="Times New Roman" w:hAnsi="Times New Roman"/>
          <w:szCs w:val="24"/>
        </w:rPr>
        <w:t xml:space="preserve">: </w:t>
      </w:r>
      <w:r w:rsidR="00767CD5" w:rsidRPr="00714364">
        <w:rPr>
          <w:rFonts w:ascii="Times New Roman" w:hAnsi="Times New Roman"/>
          <w:szCs w:val="24"/>
        </w:rPr>
        <w:tab/>
      </w:r>
      <w:r w:rsidRPr="00714364">
        <w:rPr>
          <w:rFonts w:ascii="Times New Roman" w:hAnsi="Times New Roman"/>
          <w:szCs w:val="24"/>
        </w:rPr>
        <w:t>Section 62 of the</w:t>
      </w:r>
      <w:r w:rsidR="00767CD5" w:rsidRPr="00714364">
        <w:rPr>
          <w:rFonts w:ascii="Times New Roman" w:hAnsi="Times New Roman"/>
          <w:szCs w:val="24"/>
        </w:rPr>
        <w:tab/>
      </w:r>
      <w:r w:rsidR="00767CD5" w:rsidRPr="00714364">
        <w:rPr>
          <w:rFonts w:ascii="Times New Roman" w:hAnsi="Times New Roman"/>
          <w:szCs w:val="24"/>
        </w:rPr>
        <w:tab/>
      </w:r>
      <w:r w:rsidRPr="00714364">
        <w:rPr>
          <w:rFonts w:ascii="Times New Roman" w:hAnsi="Times New Roman"/>
          <w:szCs w:val="24"/>
        </w:rPr>
        <w:t xml:space="preserve"> </w:t>
      </w:r>
      <w:r w:rsidRPr="00714364">
        <w:rPr>
          <w:rFonts w:ascii="Times New Roman" w:hAnsi="Times New Roman"/>
          <w:szCs w:val="24"/>
        </w:rPr>
        <w:br/>
      </w:r>
      <w:r w:rsidRPr="00714364">
        <w:rPr>
          <w:rFonts w:ascii="Times New Roman" w:hAnsi="Times New Roman"/>
          <w:i/>
          <w:szCs w:val="24"/>
        </w:rPr>
        <w:t>Legislative Instruments</w:t>
      </w:r>
      <w:r w:rsidR="00767CD5" w:rsidRPr="00714364">
        <w:rPr>
          <w:rFonts w:ascii="Times New Roman" w:hAnsi="Times New Roman"/>
          <w:i/>
          <w:szCs w:val="24"/>
        </w:rPr>
        <w:br/>
      </w:r>
      <w:r w:rsidRPr="00714364">
        <w:rPr>
          <w:rFonts w:ascii="Times New Roman" w:hAnsi="Times New Roman"/>
          <w:i/>
          <w:szCs w:val="24"/>
        </w:rPr>
        <w:t>Act 2003</w:t>
      </w:r>
      <w:r w:rsidR="00767CD5" w:rsidRPr="00714364">
        <w:rPr>
          <w:rFonts w:ascii="Times New Roman" w:hAnsi="Times New Roman"/>
          <w:i/>
          <w:szCs w:val="24"/>
        </w:rPr>
        <w:tab/>
      </w:r>
      <w:r w:rsidR="00767CD5" w:rsidRPr="00714364">
        <w:rPr>
          <w:rFonts w:ascii="Times New Roman" w:hAnsi="Times New Roman"/>
          <w:i/>
          <w:szCs w:val="24"/>
        </w:rPr>
        <w:tab/>
      </w:r>
      <w:r w:rsidR="00767CD5" w:rsidRPr="00714364">
        <w:rPr>
          <w:rFonts w:ascii="Times New Roman" w:hAnsi="Times New Roman"/>
          <w:i/>
          <w:szCs w:val="24"/>
        </w:rPr>
        <w:tab/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691191" w:rsidP="00CC0CF7">
      <w:pPr>
        <w:ind w:left="5103"/>
        <w:jc w:val="right"/>
        <w:rPr>
          <w:rFonts w:ascii="Times New Roman" w:hAnsi="Times New Roman"/>
          <w:b/>
          <w:szCs w:val="24"/>
          <w:u w:val="single"/>
        </w:rPr>
      </w:pPr>
      <w:r w:rsidRPr="00714364">
        <w:rPr>
          <w:rFonts w:ascii="Times New Roman" w:hAnsi="Times New Roman"/>
          <w:szCs w:val="24"/>
        </w:rPr>
        <w:br w:type="page"/>
      </w:r>
      <w:r w:rsidR="00CC0CF7" w:rsidRPr="00714364">
        <w:rPr>
          <w:rFonts w:ascii="Times New Roman" w:hAnsi="Times New Roman"/>
          <w:b/>
          <w:szCs w:val="24"/>
          <w:u w:val="single"/>
        </w:rPr>
        <w:lastRenderedPageBreak/>
        <w:t>ATTACHMENT</w:t>
      </w:r>
    </w:p>
    <w:p w:rsidR="00CC0CF7" w:rsidRPr="00714364" w:rsidRDefault="00CC0CF7" w:rsidP="00CC0CF7">
      <w:pPr>
        <w:ind w:left="5103"/>
        <w:jc w:val="right"/>
        <w:rPr>
          <w:rFonts w:ascii="Times New Roman" w:hAnsi="Times New Roman"/>
          <w:b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b/>
          <w:i/>
          <w:szCs w:val="24"/>
          <w:u w:val="single"/>
        </w:rPr>
      </w:pPr>
      <w:r w:rsidRPr="00714364">
        <w:rPr>
          <w:rFonts w:ascii="Times New Roman" w:hAnsi="Times New Roman"/>
          <w:b/>
          <w:szCs w:val="24"/>
          <w:u w:val="single"/>
        </w:rPr>
        <w:t xml:space="preserve">Details of the </w:t>
      </w:r>
      <w:r w:rsidRPr="00714364">
        <w:rPr>
          <w:rFonts w:ascii="Times New Roman" w:hAnsi="Times New Roman"/>
          <w:b/>
          <w:i/>
          <w:szCs w:val="24"/>
          <w:u w:val="single"/>
        </w:rPr>
        <w:t xml:space="preserve">Legislative Instruments Amendment Regulation 2012 (No. </w:t>
      </w:r>
      <w:r w:rsidR="00D0179B" w:rsidRPr="00714364">
        <w:rPr>
          <w:rFonts w:ascii="Times New Roman" w:hAnsi="Times New Roman"/>
          <w:b/>
          <w:i/>
          <w:szCs w:val="24"/>
          <w:u w:val="single"/>
        </w:rPr>
        <w:t>1</w:t>
      </w:r>
      <w:r w:rsidRPr="00714364">
        <w:rPr>
          <w:rFonts w:ascii="Times New Roman" w:hAnsi="Times New Roman"/>
          <w:b/>
          <w:i/>
          <w:szCs w:val="24"/>
          <w:u w:val="single"/>
        </w:rPr>
        <w:t>)</w:t>
      </w:r>
    </w:p>
    <w:p w:rsidR="00CC0CF7" w:rsidRPr="00714364" w:rsidRDefault="00CC0CF7" w:rsidP="00CC0CF7">
      <w:pPr>
        <w:rPr>
          <w:rFonts w:ascii="Times New Roman" w:hAnsi="Times New Roman"/>
          <w:b/>
          <w:szCs w:val="24"/>
        </w:rPr>
      </w:pPr>
    </w:p>
    <w:p w:rsidR="00767CD5" w:rsidRPr="00714364" w:rsidRDefault="00767CD5" w:rsidP="00767CD5">
      <w:pPr>
        <w:rPr>
          <w:rFonts w:ascii="Times New Roman" w:hAnsi="Times New Roman"/>
          <w:szCs w:val="24"/>
          <w:u w:val="single"/>
        </w:rPr>
      </w:pPr>
      <w:r w:rsidRPr="00714364">
        <w:rPr>
          <w:rFonts w:ascii="Times New Roman" w:hAnsi="Times New Roman"/>
          <w:szCs w:val="24"/>
          <w:u w:val="single"/>
        </w:rPr>
        <w:t>Section 1 – Name of regulation</w:t>
      </w:r>
    </w:p>
    <w:p w:rsidR="00767CD5" w:rsidRPr="00714364" w:rsidRDefault="00767CD5" w:rsidP="00CC0CF7">
      <w:pPr>
        <w:rPr>
          <w:rFonts w:ascii="Times New Roman" w:hAnsi="Times New Roman"/>
          <w:b/>
          <w:szCs w:val="24"/>
        </w:rPr>
      </w:pPr>
    </w:p>
    <w:p w:rsidR="00CC0CF7" w:rsidRPr="00714364" w:rsidRDefault="00767CD5" w:rsidP="00CC0CF7">
      <w:pPr>
        <w:rPr>
          <w:rFonts w:ascii="Times New Roman" w:hAnsi="Times New Roman"/>
          <w:szCs w:val="24"/>
          <w:u w:val="single"/>
        </w:rPr>
      </w:pPr>
      <w:r w:rsidRPr="00714364">
        <w:rPr>
          <w:rFonts w:ascii="Times New Roman" w:hAnsi="Times New Roman"/>
          <w:b/>
          <w:szCs w:val="24"/>
        </w:rPr>
        <w:t>Section</w:t>
      </w:r>
      <w:r w:rsidR="00CC0CF7" w:rsidRPr="00714364">
        <w:rPr>
          <w:rFonts w:ascii="Times New Roman" w:hAnsi="Times New Roman"/>
          <w:b/>
          <w:szCs w:val="24"/>
        </w:rPr>
        <w:t xml:space="preserve"> 1</w:t>
      </w:r>
      <w:r w:rsidR="00CC0CF7" w:rsidRPr="00714364">
        <w:rPr>
          <w:rFonts w:ascii="Times New Roman" w:hAnsi="Times New Roman"/>
          <w:szCs w:val="24"/>
        </w:rPr>
        <w:t xml:space="preserve"> provides that the Regulation be </w:t>
      </w:r>
      <w:r w:rsidR="000A5C9D" w:rsidRPr="00714364">
        <w:rPr>
          <w:rFonts w:ascii="Times New Roman" w:hAnsi="Times New Roman"/>
          <w:szCs w:val="24"/>
        </w:rPr>
        <w:t xml:space="preserve">named </w:t>
      </w:r>
      <w:r w:rsidR="00CC0CF7" w:rsidRPr="00714364">
        <w:rPr>
          <w:rFonts w:ascii="Times New Roman" w:hAnsi="Times New Roman"/>
          <w:szCs w:val="24"/>
        </w:rPr>
        <w:t xml:space="preserve">the </w:t>
      </w:r>
      <w:r w:rsidR="00CC0CF7" w:rsidRPr="00714364">
        <w:rPr>
          <w:rFonts w:ascii="Times New Roman" w:hAnsi="Times New Roman"/>
          <w:i/>
          <w:szCs w:val="24"/>
        </w:rPr>
        <w:t xml:space="preserve">Legislative Instruments Amendment Regulation 2012 (No. </w:t>
      </w:r>
      <w:r w:rsidR="00D0179B" w:rsidRPr="00714364">
        <w:rPr>
          <w:rFonts w:ascii="Times New Roman" w:hAnsi="Times New Roman"/>
          <w:i/>
          <w:szCs w:val="24"/>
        </w:rPr>
        <w:t>1</w:t>
      </w:r>
      <w:r w:rsidR="00CC0CF7" w:rsidRPr="00714364">
        <w:rPr>
          <w:rFonts w:ascii="Times New Roman" w:hAnsi="Times New Roman"/>
          <w:i/>
          <w:szCs w:val="24"/>
        </w:rPr>
        <w:t>)</w:t>
      </w:r>
      <w:r w:rsidR="000A5C9D" w:rsidRPr="00714364">
        <w:rPr>
          <w:rFonts w:ascii="Times New Roman" w:hAnsi="Times New Roman"/>
          <w:szCs w:val="24"/>
        </w:rPr>
        <w:t>.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767CD5" w:rsidRPr="00714364" w:rsidRDefault="00767CD5" w:rsidP="00767CD5">
      <w:pPr>
        <w:autoSpaceDE w:val="0"/>
        <w:autoSpaceDN w:val="0"/>
        <w:adjustRightInd w:val="0"/>
        <w:rPr>
          <w:rFonts w:ascii="Times New Roman" w:hAnsi="Times New Roman"/>
          <w:szCs w:val="24"/>
          <w:u w:val="single"/>
        </w:rPr>
      </w:pPr>
      <w:r w:rsidRPr="00714364">
        <w:rPr>
          <w:rFonts w:ascii="Times New Roman" w:hAnsi="Times New Roman"/>
          <w:szCs w:val="24"/>
          <w:u w:val="single"/>
        </w:rPr>
        <w:t>Section 2 - Commencement</w:t>
      </w:r>
    </w:p>
    <w:p w:rsidR="00767CD5" w:rsidRPr="00714364" w:rsidRDefault="00767CD5" w:rsidP="00CC0CF7">
      <w:pPr>
        <w:rPr>
          <w:rFonts w:ascii="Times New Roman" w:hAnsi="Times New Roman"/>
          <w:szCs w:val="24"/>
        </w:rPr>
      </w:pPr>
    </w:p>
    <w:p w:rsidR="00CC0CF7" w:rsidRPr="00714364" w:rsidRDefault="00767CD5" w:rsidP="00CC0CF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b/>
          <w:szCs w:val="24"/>
        </w:rPr>
        <w:t xml:space="preserve">Section </w:t>
      </w:r>
      <w:r w:rsidR="00CC0CF7" w:rsidRPr="00714364">
        <w:rPr>
          <w:rFonts w:ascii="Times New Roman" w:hAnsi="Times New Roman"/>
          <w:b/>
          <w:szCs w:val="24"/>
        </w:rPr>
        <w:t xml:space="preserve">2 </w:t>
      </w:r>
      <w:r w:rsidR="00CC0CF7" w:rsidRPr="00714364">
        <w:rPr>
          <w:rFonts w:ascii="Times New Roman" w:hAnsi="Times New Roman"/>
          <w:szCs w:val="24"/>
        </w:rPr>
        <w:t>provides that the Regulation commence</w:t>
      </w:r>
      <w:r w:rsidR="000A5C9D" w:rsidRPr="00714364">
        <w:rPr>
          <w:rFonts w:ascii="Times New Roman" w:hAnsi="Times New Roman"/>
          <w:szCs w:val="24"/>
        </w:rPr>
        <w:t>s</w:t>
      </w:r>
      <w:r w:rsidR="00CC0CF7" w:rsidRPr="00714364">
        <w:rPr>
          <w:rFonts w:ascii="Times New Roman" w:hAnsi="Times New Roman"/>
          <w:szCs w:val="24"/>
        </w:rPr>
        <w:t xml:space="preserve"> on the commencement of Schedule 1 to the </w:t>
      </w:r>
      <w:r w:rsidR="00CC0CF7" w:rsidRPr="00714364">
        <w:rPr>
          <w:rFonts w:ascii="Times New Roman" w:hAnsi="Times New Roman"/>
          <w:i/>
          <w:szCs w:val="24"/>
        </w:rPr>
        <w:t>Parliamentary Counsel and Other Legislati</w:t>
      </w:r>
      <w:r w:rsidR="001D1805" w:rsidRPr="00714364">
        <w:rPr>
          <w:rFonts w:ascii="Times New Roman" w:hAnsi="Times New Roman"/>
          <w:i/>
          <w:szCs w:val="24"/>
        </w:rPr>
        <w:t>on</w:t>
      </w:r>
      <w:r w:rsidR="00CC0CF7" w:rsidRPr="00714364">
        <w:rPr>
          <w:rFonts w:ascii="Times New Roman" w:hAnsi="Times New Roman"/>
          <w:i/>
          <w:szCs w:val="24"/>
        </w:rPr>
        <w:t xml:space="preserve"> Amendment Act 2012</w:t>
      </w:r>
      <w:r w:rsidR="00CC0CF7" w:rsidRPr="00714364">
        <w:rPr>
          <w:rFonts w:ascii="Times New Roman" w:hAnsi="Times New Roman"/>
          <w:szCs w:val="24"/>
        </w:rPr>
        <w:t>.</w:t>
      </w:r>
    </w:p>
    <w:p w:rsidR="00CC0CF7" w:rsidRPr="00714364" w:rsidRDefault="00CC0CF7" w:rsidP="00CC0CF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767CD5" w:rsidRPr="00714364" w:rsidRDefault="00767CD5" w:rsidP="00CC0CF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  <w:u w:val="single"/>
        </w:rPr>
        <w:t xml:space="preserve">Section 3 – Amendment of </w:t>
      </w:r>
      <w:r w:rsidRPr="00714364">
        <w:rPr>
          <w:rFonts w:ascii="Times New Roman" w:hAnsi="Times New Roman"/>
          <w:i/>
          <w:szCs w:val="24"/>
          <w:u w:val="single"/>
        </w:rPr>
        <w:t>Legislative Instruments Regulations 2004</w:t>
      </w:r>
    </w:p>
    <w:p w:rsidR="00767CD5" w:rsidRPr="00714364" w:rsidRDefault="00767CD5" w:rsidP="00CC0CF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CC0CF7" w:rsidRPr="00714364" w:rsidRDefault="00767CD5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b/>
          <w:szCs w:val="24"/>
        </w:rPr>
        <w:t xml:space="preserve">Section </w:t>
      </w:r>
      <w:r w:rsidR="00CC0CF7" w:rsidRPr="00714364">
        <w:rPr>
          <w:rFonts w:ascii="Times New Roman" w:hAnsi="Times New Roman"/>
          <w:b/>
          <w:szCs w:val="24"/>
        </w:rPr>
        <w:t>3</w:t>
      </w:r>
      <w:r w:rsidR="00CC0CF7" w:rsidRPr="00714364">
        <w:rPr>
          <w:rFonts w:ascii="Times New Roman" w:hAnsi="Times New Roman"/>
          <w:szCs w:val="24"/>
        </w:rPr>
        <w:t xml:space="preserve"> provides that Schedule 1 amend</w:t>
      </w:r>
      <w:r w:rsidR="000A5C9D" w:rsidRPr="00714364">
        <w:rPr>
          <w:rFonts w:ascii="Times New Roman" w:hAnsi="Times New Roman"/>
          <w:szCs w:val="24"/>
        </w:rPr>
        <w:t>s</w:t>
      </w:r>
      <w:r w:rsidR="00CC0CF7" w:rsidRPr="00714364">
        <w:rPr>
          <w:rFonts w:ascii="Times New Roman" w:hAnsi="Times New Roman"/>
          <w:szCs w:val="24"/>
        </w:rPr>
        <w:t xml:space="preserve"> the </w:t>
      </w:r>
      <w:r w:rsidR="00CC0CF7" w:rsidRPr="00714364">
        <w:rPr>
          <w:rFonts w:ascii="Times New Roman" w:hAnsi="Times New Roman"/>
          <w:i/>
          <w:szCs w:val="24"/>
        </w:rPr>
        <w:t>Legislative Instruments Regulations 2004.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  <w:u w:val="single"/>
        </w:rPr>
      </w:pPr>
      <w:r w:rsidRPr="00714364">
        <w:rPr>
          <w:rFonts w:ascii="Times New Roman" w:hAnsi="Times New Roman"/>
          <w:szCs w:val="24"/>
          <w:u w:val="single"/>
        </w:rPr>
        <w:t xml:space="preserve">Schedule 1 </w:t>
      </w:r>
      <w:r w:rsidR="000A5C9D" w:rsidRPr="00714364">
        <w:rPr>
          <w:rFonts w:ascii="Times New Roman" w:hAnsi="Times New Roman"/>
          <w:szCs w:val="24"/>
          <w:u w:val="single"/>
        </w:rPr>
        <w:t xml:space="preserve">– </w:t>
      </w:r>
      <w:r w:rsidRPr="00714364">
        <w:rPr>
          <w:rFonts w:ascii="Times New Roman" w:hAnsi="Times New Roman"/>
          <w:szCs w:val="24"/>
          <w:u w:val="single"/>
        </w:rPr>
        <w:t>Amendments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b/>
          <w:szCs w:val="24"/>
        </w:rPr>
        <w:t xml:space="preserve">Item [1] </w:t>
      </w:r>
      <w:r w:rsidRPr="00714364">
        <w:rPr>
          <w:rFonts w:ascii="Times New Roman" w:hAnsi="Times New Roman"/>
          <w:szCs w:val="24"/>
        </w:rPr>
        <w:t>substitute</w:t>
      </w:r>
      <w:r w:rsidR="000A5C9D" w:rsidRPr="00714364">
        <w:rPr>
          <w:rFonts w:ascii="Times New Roman" w:hAnsi="Times New Roman"/>
          <w:szCs w:val="24"/>
        </w:rPr>
        <w:t>s</w:t>
      </w:r>
      <w:r w:rsidRPr="00714364">
        <w:rPr>
          <w:rFonts w:ascii="Times New Roman" w:hAnsi="Times New Roman"/>
          <w:szCs w:val="24"/>
        </w:rPr>
        <w:t xml:space="preserve"> new </w:t>
      </w:r>
      <w:proofErr w:type="spellStart"/>
      <w:r w:rsidRPr="00714364">
        <w:rPr>
          <w:rFonts w:ascii="Times New Roman" w:hAnsi="Times New Roman"/>
          <w:szCs w:val="24"/>
        </w:rPr>
        <w:t>subregulation</w:t>
      </w:r>
      <w:r w:rsidR="00767CD5" w:rsidRPr="00714364">
        <w:rPr>
          <w:rFonts w:ascii="Times New Roman" w:hAnsi="Times New Roman"/>
          <w:szCs w:val="24"/>
        </w:rPr>
        <w:t>s</w:t>
      </w:r>
      <w:proofErr w:type="spellEnd"/>
      <w:r w:rsidRPr="00714364">
        <w:rPr>
          <w:rFonts w:ascii="Times New Roman" w:hAnsi="Times New Roman"/>
          <w:szCs w:val="24"/>
        </w:rPr>
        <w:t xml:space="preserve"> 4(2) and 4(3).  </w:t>
      </w:r>
      <w:proofErr w:type="spellStart"/>
      <w:r w:rsidRPr="00714364">
        <w:rPr>
          <w:rFonts w:ascii="Times New Roman" w:hAnsi="Times New Roman"/>
          <w:szCs w:val="24"/>
        </w:rPr>
        <w:t>Subregulation</w:t>
      </w:r>
      <w:proofErr w:type="spellEnd"/>
      <w:r w:rsidRPr="00714364">
        <w:rPr>
          <w:rFonts w:ascii="Times New Roman" w:hAnsi="Times New Roman"/>
          <w:szCs w:val="24"/>
        </w:rPr>
        <w:t xml:space="preserve"> 4(2) provides for the way in which an electronic document can be lodged</w:t>
      </w:r>
      <w:r w:rsidR="00767CD5" w:rsidRPr="00714364">
        <w:rPr>
          <w:rFonts w:ascii="Times New Roman" w:hAnsi="Times New Roman"/>
          <w:szCs w:val="24"/>
        </w:rPr>
        <w:t xml:space="preserve"> for registration</w:t>
      </w:r>
      <w:r w:rsidRPr="00714364">
        <w:rPr>
          <w:rFonts w:ascii="Times New Roman" w:hAnsi="Times New Roman"/>
          <w:szCs w:val="24"/>
        </w:rPr>
        <w:t xml:space="preserve">.  </w:t>
      </w:r>
      <w:r w:rsidR="000A5C9D" w:rsidRPr="00714364">
        <w:rPr>
          <w:rFonts w:ascii="Times New Roman" w:hAnsi="Times New Roman"/>
          <w:szCs w:val="24"/>
        </w:rPr>
        <w:t>I</w:t>
      </w:r>
      <w:r w:rsidRPr="00714364">
        <w:rPr>
          <w:rFonts w:ascii="Times New Roman" w:hAnsi="Times New Roman"/>
          <w:szCs w:val="24"/>
        </w:rPr>
        <w:t xml:space="preserve">t may be lodged in prescribed formats or in a format agreed to by the Secretary </w:t>
      </w:r>
      <w:r w:rsidR="00767CD5" w:rsidRPr="00714364">
        <w:rPr>
          <w:rFonts w:ascii="Times New Roman" w:hAnsi="Times New Roman"/>
          <w:szCs w:val="24"/>
        </w:rPr>
        <w:t xml:space="preserve">of the </w:t>
      </w:r>
      <w:proofErr w:type="spellStart"/>
      <w:r w:rsidR="00767CD5" w:rsidRPr="00714364">
        <w:rPr>
          <w:rFonts w:ascii="Times New Roman" w:hAnsi="Times New Roman"/>
          <w:szCs w:val="24"/>
        </w:rPr>
        <w:t>Attorney</w:t>
      </w:r>
      <w:r w:rsidR="00767CD5" w:rsidRPr="00714364">
        <w:rPr>
          <w:rFonts w:ascii="Times New Roman" w:hAnsi="Times New Roman"/>
          <w:szCs w:val="24"/>
        </w:rPr>
        <w:noBreakHyphen/>
        <w:t>General’s</w:t>
      </w:r>
      <w:proofErr w:type="spellEnd"/>
      <w:r w:rsidR="00767CD5" w:rsidRPr="00714364">
        <w:rPr>
          <w:rFonts w:ascii="Times New Roman" w:hAnsi="Times New Roman"/>
          <w:szCs w:val="24"/>
        </w:rPr>
        <w:t xml:space="preserve"> Department </w:t>
      </w:r>
      <w:r w:rsidRPr="00714364">
        <w:rPr>
          <w:rFonts w:ascii="Times New Roman" w:hAnsi="Times New Roman"/>
          <w:szCs w:val="24"/>
        </w:rPr>
        <w:t>(</w:t>
      </w:r>
      <w:proofErr w:type="spellStart"/>
      <w:r w:rsidRPr="00714364">
        <w:rPr>
          <w:rFonts w:ascii="Times New Roman" w:hAnsi="Times New Roman"/>
          <w:szCs w:val="24"/>
        </w:rPr>
        <w:t>subregulation</w:t>
      </w:r>
      <w:proofErr w:type="spellEnd"/>
      <w:r w:rsidRPr="00714364">
        <w:rPr>
          <w:rFonts w:ascii="Times New Roman" w:hAnsi="Times New Roman"/>
          <w:szCs w:val="24"/>
        </w:rPr>
        <w:t xml:space="preserve"> 4(2)(a)) and may be given to the Secretary through an electronic lodgement facility or in another way agreed by the Secretary (</w:t>
      </w:r>
      <w:proofErr w:type="spellStart"/>
      <w:r w:rsidRPr="00714364">
        <w:rPr>
          <w:rFonts w:ascii="Times New Roman" w:hAnsi="Times New Roman"/>
          <w:szCs w:val="24"/>
        </w:rPr>
        <w:t>subregulation</w:t>
      </w:r>
      <w:proofErr w:type="spellEnd"/>
      <w:r w:rsidRPr="00714364">
        <w:rPr>
          <w:rFonts w:ascii="Times New Roman" w:hAnsi="Times New Roman"/>
          <w:szCs w:val="24"/>
        </w:rPr>
        <w:t xml:space="preserve"> 4(2)(b)).  The </w:t>
      </w:r>
      <w:r w:rsidR="000A5C9D" w:rsidRPr="00714364">
        <w:rPr>
          <w:rFonts w:ascii="Times New Roman" w:hAnsi="Times New Roman"/>
          <w:szCs w:val="24"/>
        </w:rPr>
        <w:t>Regulation</w:t>
      </w:r>
      <w:r w:rsidRPr="00714364">
        <w:rPr>
          <w:rFonts w:ascii="Times New Roman" w:hAnsi="Times New Roman"/>
          <w:szCs w:val="24"/>
        </w:rPr>
        <w:t xml:space="preserve"> remove</w:t>
      </w:r>
      <w:r w:rsidR="000A5C9D" w:rsidRPr="00714364">
        <w:rPr>
          <w:rFonts w:ascii="Times New Roman" w:hAnsi="Times New Roman"/>
          <w:szCs w:val="24"/>
        </w:rPr>
        <w:t>s</w:t>
      </w:r>
      <w:r w:rsidRPr="00714364">
        <w:rPr>
          <w:rFonts w:ascii="Times New Roman" w:hAnsi="Times New Roman"/>
          <w:szCs w:val="24"/>
        </w:rPr>
        <w:t xml:space="preserve"> the references to the Secretary and provide</w:t>
      </w:r>
      <w:r w:rsidR="000A5C9D" w:rsidRPr="00714364">
        <w:rPr>
          <w:rFonts w:ascii="Times New Roman" w:hAnsi="Times New Roman"/>
          <w:szCs w:val="24"/>
        </w:rPr>
        <w:t>s</w:t>
      </w:r>
      <w:r w:rsidRPr="00714364">
        <w:rPr>
          <w:rFonts w:ascii="Times New Roman" w:hAnsi="Times New Roman"/>
          <w:szCs w:val="24"/>
        </w:rPr>
        <w:t xml:space="preserve"> that the format or lodgement can occur in another way agreed, in writing, by the First Parliamentary Counsel</w:t>
      </w:r>
      <w:r w:rsidR="00767CD5" w:rsidRPr="00714364">
        <w:rPr>
          <w:rFonts w:ascii="Times New Roman" w:hAnsi="Times New Roman"/>
          <w:szCs w:val="24"/>
        </w:rPr>
        <w:t xml:space="preserve"> of the Office of Parliamentary Counsel</w:t>
      </w:r>
      <w:r w:rsidRPr="00714364">
        <w:rPr>
          <w:rFonts w:ascii="Times New Roman" w:hAnsi="Times New Roman"/>
          <w:szCs w:val="24"/>
        </w:rPr>
        <w:t xml:space="preserve">.  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proofErr w:type="spellStart"/>
      <w:r w:rsidRPr="00714364">
        <w:rPr>
          <w:rFonts w:ascii="Times New Roman" w:hAnsi="Times New Roman"/>
          <w:szCs w:val="24"/>
        </w:rPr>
        <w:t>Subregulation</w:t>
      </w:r>
      <w:proofErr w:type="spellEnd"/>
      <w:r w:rsidRPr="00714364">
        <w:rPr>
          <w:rFonts w:ascii="Times New Roman" w:hAnsi="Times New Roman"/>
          <w:szCs w:val="24"/>
        </w:rPr>
        <w:t xml:space="preserve"> 4(3) provides for the ways in which a non-electronic document can be lodged.  </w:t>
      </w:r>
      <w:r w:rsidR="00775F76" w:rsidRPr="00714364">
        <w:rPr>
          <w:rFonts w:ascii="Times New Roman" w:hAnsi="Times New Roman"/>
          <w:szCs w:val="24"/>
        </w:rPr>
        <w:t>I</w:t>
      </w:r>
      <w:r w:rsidRPr="00714364">
        <w:rPr>
          <w:rFonts w:ascii="Times New Roman" w:hAnsi="Times New Roman"/>
          <w:szCs w:val="24"/>
        </w:rPr>
        <w:t xml:space="preserve">t may be delivered or posted to the Office of Legislative Drafting and Publishing or otherwise given to the Secretary in a way agreed by the Secretary.  The </w:t>
      </w:r>
      <w:r w:rsidR="00775F76" w:rsidRPr="00714364">
        <w:rPr>
          <w:rFonts w:ascii="Times New Roman" w:hAnsi="Times New Roman"/>
          <w:szCs w:val="24"/>
        </w:rPr>
        <w:t>Regulation</w:t>
      </w:r>
      <w:r w:rsidRPr="00714364">
        <w:rPr>
          <w:rFonts w:ascii="Times New Roman" w:hAnsi="Times New Roman"/>
          <w:szCs w:val="24"/>
        </w:rPr>
        <w:t xml:space="preserve"> removes the references to the Office of Legislative Drafting and Publishing and to the Secretary and provides that a non-electronic document is lodged if it is delivered or posted to the Office of Parliamentary Counsel or delivered, posted or otherwise given to the First Parliamentary Counsel in a way agreed in writing. </w:t>
      </w: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</w:p>
    <w:p w:rsidR="00CC0CF7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>These amendments support the transfer of functions from the Office of Legislative Drafting and Publishing to the Office of Parliamentary Counsel.</w:t>
      </w:r>
    </w:p>
    <w:p w:rsidR="00CC0CF7" w:rsidRPr="00714364" w:rsidRDefault="00CC0CF7" w:rsidP="00CC0CF7">
      <w:pPr>
        <w:rPr>
          <w:rFonts w:ascii="Times New Roman" w:hAnsi="Times New Roman"/>
          <w:b/>
          <w:szCs w:val="24"/>
        </w:rPr>
      </w:pPr>
    </w:p>
    <w:p w:rsidR="00775F76" w:rsidRPr="00714364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b/>
          <w:szCs w:val="24"/>
        </w:rPr>
        <w:t xml:space="preserve">Item [2] </w:t>
      </w:r>
      <w:r w:rsidRPr="00714364">
        <w:rPr>
          <w:rFonts w:ascii="Times New Roman" w:hAnsi="Times New Roman"/>
          <w:szCs w:val="24"/>
        </w:rPr>
        <w:t>remove</w:t>
      </w:r>
      <w:r w:rsidR="00775F76" w:rsidRPr="00714364">
        <w:rPr>
          <w:rFonts w:ascii="Times New Roman" w:hAnsi="Times New Roman"/>
          <w:szCs w:val="24"/>
        </w:rPr>
        <w:t>s</w:t>
      </w:r>
      <w:r w:rsidRPr="00714364">
        <w:rPr>
          <w:rFonts w:ascii="Times New Roman" w:hAnsi="Times New Roman"/>
          <w:szCs w:val="24"/>
        </w:rPr>
        <w:t xml:space="preserve"> the reference to Secretary in regulation 5 and insert</w:t>
      </w:r>
      <w:r w:rsidR="00775F76" w:rsidRPr="00714364">
        <w:rPr>
          <w:rFonts w:ascii="Times New Roman" w:hAnsi="Times New Roman"/>
          <w:szCs w:val="24"/>
        </w:rPr>
        <w:t>s</w:t>
      </w:r>
      <w:r w:rsidRPr="00714364">
        <w:rPr>
          <w:rFonts w:ascii="Times New Roman" w:hAnsi="Times New Roman"/>
          <w:szCs w:val="24"/>
        </w:rPr>
        <w:t xml:space="preserve"> in its place a reference to the First Parliamentary Counsel.  Regulation 5 currently provides that when lodging a legislative instrument for registration, certain prescribed information must also be lodged with the Secretary.  </w:t>
      </w:r>
      <w:r w:rsidR="00775F76" w:rsidRPr="00714364">
        <w:rPr>
          <w:rFonts w:ascii="Times New Roman" w:hAnsi="Times New Roman"/>
          <w:szCs w:val="24"/>
        </w:rPr>
        <w:t xml:space="preserve">The Regulation ensures that the prescribed information is </w:t>
      </w:r>
      <w:r w:rsidR="00767CD5" w:rsidRPr="00714364">
        <w:rPr>
          <w:rFonts w:ascii="Times New Roman" w:hAnsi="Times New Roman"/>
          <w:szCs w:val="24"/>
        </w:rPr>
        <w:t xml:space="preserve">instead </w:t>
      </w:r>
      <w:r w:rsidR="00775F76" w:rsidRPr="00714364">
        <w:rPr>
          <w:rFonts w:ascii="Times New Roman" w:hAnsi="Times New Roman"/>
          <w:szCs w:val="24"/>
        </w:rPr>
        <w:t>lodged with the First Parliamentary Counsel.</w:t>
      </w:r>
    </w:p>
    <w:p w:rsidR="00775F76" w:rsidRPr="00714364" w:rsidRDefault="00775F76" w:rsidP="00CC0CF7">
      <w:pPr>
        <w:rPr>
          <w:rFonts w:ascii="Times New Roman" w:hAnsi="Times New Roman"/>
          <w:szCs w:val="24"/>
        </w:rPr>
      </w:pPr>
    </w:p>
    <w:p w:rsidR="00CC0CF7" w:rsidRDefault="00CC0CF7" w:rsidP="00CC0CF7">
      <w:pPr>
        <w:rPr>
          <w:rFonts w:ascii="Times New Roman" w:hAnsi="Times New Roman"/>
          <w:szCs w:val="24"/>
        </w:rPr>
      </w:pPr>
      <w:r w:rsidRPr="00714364">
        <w:rPr>
          <w:rFonts w:ascii="Times New Roman" w:hAnsi="Times New Roman"/>
          <w:szCs w:val="24"/>
        </w:rPr>
        <w:t>This amendment supports the transfer of functions from the Office of Legislative Drafting and Publishing to the Office of Parliamentary Counsel.</w:t>
      </w:r>
    </w:p>
    <w:p w:rsidR="00D7123F" w:rsidRPr="005A6382" w:rsidRDefault="00D7123F" w:rsidP="00D7123F">
      <w:pPr>
        <w:jc w:val="right"/>
        <w:rPr>
          <w:rFonts w:ascii="Times New Roman" w:hAnsi="Times New Roman"/>
          <w:b/>
          <w:szCs w:val="24"/>
        </w:rPr>
      </w:pPr>
    </w:p>
    <w:sectPr w:rsidR="00D7123F" w:rsidRPr="005A6382" w:rsidSect="00BB0C37">
      <w:headerReference w:type="even" r:id="rId7"/>
      <w:headerReference w:type="default" r:id="rId8"/>
      <w:type w:val="continuous"/>
      <w:pgSz w:w="11880" w:h="16820"/>
      <w:pgMar w:top="1134" w:right="1418" w:bottom="993" w:left="1418" w:header="737" w:footer="737" w:gutter="0"/>
      <w:cols w:space="737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79B" w:rsidRDefault="00D0179B">
      <w:r>
        <w:separator/>
      </w:r>
    </w:p>
  </w:endnote>
  <w:endnote w:type="continuationSeparator" w:id="0">
    <w:p w:rsidR="00D0179B" w:rsidRDefault="00D01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79B" w:rsidRDefault="00D0179B">
      <w:r>
        <w:separator/>
      </w:r>
    </w:p>
  </w:footnote>
  <w:footnote w:type="continuationSeparator" w:id="0">
    <w:p w:rsidR="00D0179B" w:rsidRDefault="00D01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9B" w:rsidRDefault="001C2F58" w:rsidP="00E3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17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179B" w:rsidRDefault="00D0179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79B" w:rsidRDefault="001C2F58" w:rsidP="00E3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0179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4364">
      <w:rPr>
        <w:rStyle w:val="PageNumber"/>
        <w:noProof/>
      </w:rPr>
      <w:t>2</w:t>
    </w:r>
    <w:r>
      <w:rPr>
        <w:rStyle w:val="PageNumber"/>
      </w:rPr>
      <w:fldChar w:fldCharType="end"/>
    </w:r>
  </w:p>
  <w:p w:rsidR="00D0179B" w:rsidRDefault="00D017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EFB"/>
    <w:multiLevelType w:val="hybridMultilevel"/>
    <w:tmpl w:val="7A4E8FEC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3D738A9"/>
    <w:multiLevelType w:val="hybridMultilevel"/>
    <w:tmpl w:val="A6102C14"/>
    <w:lvl w:ilvl="0" w:tplc="1C600BB6">
      <w:start w:val="1"/>
      <w:numFmt w:val="lowerLetter"/>
      <w:lvlText w:val="(%1)"/>
      <w:lvlJc w:val="left"/>
      <w:pPr>
        <w:tabs>
          <w:tab w:val="num" w:pos="1140"/>
        </w:tabs>
        <w:ind w:left="1140" w:hanging="8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D8A3F8C"/>
    <w:multiLevelType w:val="hybridMultilevel"/>
    <w:tmpl w:val="3F66A9F2"/>
    <w:lvl w:ilvl="0" w:tplc="77CA1D9C">
      <w:start w:val="1"/>
      <w:numFmt w:val="lowerLetter"/>
      <w:lvlText w:val="(%1)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AF48EC"/>
    <w:multiLevelType w:val="hybridMultilevel"/>
    <w:tmpl w:val="D9FA082C"/>
    <w:lvl w:ilvl="0" w:tplc="E7D8D48E">
      <w:start w:val="3"/>
      <w:numFmt w:val="lowerLetter"/>
      <w:lvlText w:val="(%1)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0"/>
        </w:tabs>
        <w:ind w:left="1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0"/>
        </w:tabs>
        <w:ind w:left="2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0"/>
        </w:tabs>
        <w:ind w:left="3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0"/>
        </w:tabs>
        <w:ind w:left="4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0"/>
        </w:tabs>
        <w:ind w:left="5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0"/>
        </w:tabs>
        <w:ind w:left="6400" w:hanging="180"/>
      </w:pPr>
    </w:lvl>
  </w:abstractNum>
  <w:abstractNum w:abstractNumId="4">
    <w:nsid w:val="683A56C3"/>
    <w:multiLevelType w:val="hybridMultilevel"/>
    <w:tmpl w:val="78F26F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oNotTrackMoves/>
  <w:doNotTrackFormatting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1BE"/>
    <w:rsid w:val="0002321E"/>
    <w:rsid w:val="000322E5"/>
    <w:rsid w:val="00040044"/>
    <w:rsid w:val="00047C08"/>
    <w:rsid w:val="00071395"/>
    <w:rsid w:val="00073A12"/>
    <w:rsid w:val="000A5C9D"/>
    <w:rsid w:val="000B1D22"/>
    <w:rsid w:val="000B5FB2"/>
    <w:rsid w:val="000B7CC4"/>
    <w:rsid w:val="000D0CC8"/>
    <w:rsid w:val="000E4F98"/>
    <w:rsid w:val="001030B9"/>
    <w:rsid w:val="00104EF3"/>
    <w:rsid w:val="00126CB5"/>
    <w:rsid w:val="00142CC7"/>
    <w:rsid w:val="0014313F"/>
    <w:rsid w:val="0014585A"/>
    <w:rsid w:val="00152EA5"/>
    <w:rsid w:val="00184CDD"/>
    <w:rsid w:val="001972FD"/>
    <w:rsid w:val="001A40F8"/>
    <w:rsid w:val="001C2F58"/>
    <w:rsid w:val="001C6FF0"/>
    <w:rsid w:val="001D1805"/>
    <w:rsid w:val="001D7B3B"/>
    <w:rsid w:val="002025B2"/>
    <w:rsid w:val="00216A13"/>
    <w:rsid w:val="00220029"/>
    <w:rsid w:val="00222A37"/>
    <w:rsid w:val="00236FD7"/>
    <w:rsid w:val="00244447"/>
    <w:rsid w:val="0024591A"/>
    <w:rsid w:val="0026094E"/>
    <w:rsid w:val="00262760"/>
    <w:rsid w:val="00276DFC"/>
    <w:rsid w:val="00277B36"/>
    <w:rsid w:val="00277E23"/>
    <w:rsid w:val="00282454"/>
    <w:rsid w:val="00287583"/>
    <w:rsid w:val="00295629"/>
    <w:rsid w:val="002D2671"/>
    <w:rsid w:val="002F2BB0"/>
    <w:rsid w:val="002F7216"/>
    <w:rsid w:val="00301E31"/>
    <w:rsid w:val="00302735"/>
    <w:rsid w:val="00303376"/>
    <w:rsid w:val="00310CC9"/>
    <w:rsid w:val="00322D04"/>
    <w:rsid w:val="003250B6"/>
    <w:rsid w:val="00356BF6"/>
    <w:rsid w:val="00384152"/>
    <w:rsid w:val="0038708E"/>
    <w:rsid w:val="003B4293"/>
    <w:rsid w:val="003C2543"/>
    <w:rsid w:val="003F3175"/>
    <w:rsid w:val="00400E75"/>
    <w:rsid w:val="00431A60"/>
    <w:rsid w:val="004354B4"/>
    <w:rsid w:val="004356FC"/>
    <w:rsid w:val="00440F82"/>
    <w:rsid w:val="00445057"/>
    <w:rsid w:val="004624D5"/>
    <w:rsid w:val="0047367D"/>
    <w:rsid w:val="00476AD0"/>
    <w:rsid w:val="004A0E8C"/>
    <w:rsid w:val="004B5DEA"/>
    <w:rsid w:val="004C02C6"/>
    <w:rsid w:val="004C0A5A"/>
    <w:rsid w:val="004D2D20"/>
    <w:rsid w:val="004E19DD"/>
    <w:rsid w:val="004E1A44"/>
    <w:rsid w:val="004F1B38"/>
    <w:rsid w:val="004F2669"/>
    <w:rsid w:val="0054308B"/>
    <w:rsid w:val="00552323"/>
    <w:rsid w:val="00572880"/>
    <w:rsid w:val="005A6382"/>
    <w:rsid w:val="005B2FE6"/>
    <w:rsid w:val="005B79D8"/>
    <w:rsid w:val="005C10CC"/>
    <w:rsid w:val="005C1E3B"/>
    <w:rsid w:val="005C4A09"/>
    <w:rsid w:val="005C513E"/>
    <w:rsid w:val="005D4236"/>
    <w:rsid w:val="00607194"/>
    <w:rsid w:val="0060779A"/>
    <w:rsid w:val="00620BA9"/>
    <w:rsid w:val="00640A98"/>
    <w:rsid w:val="006553DA"/>
    <w:rsid w:val="0068585B"/>
    <w:rsid w:val="00691191"/>
    <w:rsid w:val="006A572C"/>
    <w:rsid w:val="006F3F1B"/>
    <w:rsid w:val="006F4945"/>
    <w:rsid w:val="00705DDC"/>
    <w:rsid w:val="00714364"/>
    <w:rsid w:val="00715107"/>
    <w:rsid w:val="0074725D"/>
    <w:rsid w:val="00752BCD"/>
    <w:rsid w:val="007541AF"/>
    <w:rsid w:val="00760908"/>
    <w:rsid w:val="00767CD5"/>
    <w:rsid w:val="00771EE9"/>
    <w:rsid w:val="00775F76"/>
    <w:rsid w:val="007830F6"/>
    <w:rsid w:val="00790BAA"/>
    <w:rsid w:val="00793D36"/>
    <w:rsid w:val="007A378C"/>
    <w:rsid w:val="007A4343"/>
    <w:rsid w:val="007B3856"/>
    <w:rsid w:val="007D0763"/>
    <w:rsid w:val="007D4553"/>
    <w:rsid w:val="007E4115"/>
    <w:rsid w:val="007F503D"/>
    <w:rsid w:val="008055A4"/>
    <w:rsid w:val="00811888"/>
    <w:rsid w:val="00847FC6"/>
    <w:rsid w:val="0087406A"/>
    <w:rsid w:val="00881EC3"/>
    <w:rsid w:val="008B51BE"/>
    <w:rsid w:val="008C6231"/>
    <w:rsid w:val="008C7042"/>
    <w:rsid w:val="008C79C8"/>
    <w:rsid w:val="008D5CAD"/>
    <w:rsid w:val="008E25AB"/>
    <w:rsid w:val="00905FEA"/>
    <w:rsid w:val="009502BE"/>
    <w:rsid w:val="00950705"/>
    <w:rsid w:val="00957651"/>
    <w:rsid w:val="00957F8A"/>
    <w:rsid w:val="00965462"/>
    <w:rsid w:val="00965E7B"/>
    <w:rsid w:val="009841F3"/>
    <w:rsid w:val="009850A6"/>
    <w:rsid w:val="00995787"/>
    <w:rsid w:val="009A37F7"/>
    <w:rsid w:val="009A565D"/>
    <w:rsid w:val="009B4B54"/>
    <w:rsid w:val="009C66D2"/>
    <w:rsid w:val="009E4F2E"/>
    <w:rsid w:val="009F42E8"/>
    <w:rsid w:val="00A0476B"/>
    <w:rsid w:val="00A04BD4"/>
    <w:rsid w:val="00A06411"/>
    <w:rsid w:val="00A14373"/>
    <w:rsid w:val="00A22180"/>
    <w:rsid w:val="00A47642"/>
    <w:rsid w:val="00A518B5"/>
    <w:rsid w:val="00A625A8"/>
    <w:rsid w:val="00A85F40"/>
    <w:rsid w:val="00A92099"/>
    <w:rsid w:val="00AA552F"/>
    <w:rsid w:val="00AC1189"/>
    <w:rsid w:val="00AC3428"/>
    <w:rsid w:val="00AD2486"/>
    <w:rsid w:val="00B117C5"/>
    <w:rsid w:val="00B1670A"/>
    <w:rsid w:val="00B26BF6"/>
    <w:rsid w:val="00B45EDC"/>
    <w:rsid w:val="00B60294"/>
    <w:rsid w:val="00B83FD1"/>
    <w:rsid w:val="00BB0C37"/>
    <w:rsid w:val="00BE4ECB"/>
    <w:rsid w:val="00BF2F13"/>
    <w:rsid w:val="00C42A8C"/>
    <w:rsid w:val="00C505AF"/>
    <w:rsid w:val="00C77DD5"/>
    <w:rsid w:val="00C95C25"/>
    <w:rsid w:val="00CA0B32"/>
    <w:rsid w:val="00CA213D"/>
    <w:rsid w:val="00CB1722"/>
    <w:rsid w:val="00CC0CF7"/>
    <w:rsid w:val="00CC5231"/>
    <w:rsid w:val="00CC7875"/>
    <w:rsid w:val="00CE7909"/>
    <w:rsid w:val="00D0021F"/>
    <w:rsid w:val="00D0179B"/>
    <w:rsid w:val="00D0260F"/>
    <w:rsid w:val="00D22EAB"/>
    <w:rsid w:val="00D42776"/>
    <w:rsid w:val="00D44DBE"/>
    <w:rsid w:val="00D64479"/>
    <w:rsid w:val="00D7123F"/>
    <w:rsid w:val="00D75B99"/>
    <w:rsid w:val="00D77636"/>
    <w:rsid w:val="00D92F3A"/>
    <w:rsid w:val="00DA1179"/>
    <w:rsid w:val="00DA58BD"/>
    <w:rsid w:val="00DB324F"/>
    <w:rsid w:val="00DD2FB4"/>
    <w:rsid w:val="00DE0C7D"/>
    <w:rsid w:val="00DE113D"/>
    <w:rsid w:val="00DF393B"/>
    <w:rsid w:val="00DF63CE"/>
    <w:rsid w:val="00E30EED"/>
    <w:rsid w:val="00E36406"/>
    <w:rsid w:val="00E43FCD"/>
    <w:rsid w:val="00E87E32"/>
    <w:rsid w:val="00E9205A"/>
    <w:rsid w:val="00EA17F8"/>
    <w:rsid w:val="00EA457E"/>
    <w:rsid w:val="00EA6336"/>
    <w:rsid w:val="00EB061A"/>
    <w:rsid w:val="00EB555C"/>
    <w:rsid w:val="00EB717D"/>
    <w:rsid w:val="00EC18BE"/>
    <w:rsid w:val="00EC71D0"/>
    <w:rsid w:val="00ED28CD"/>
    <w:rsid w:val="00ED4D34"/>
    <w:rsid w:val="00ED643D"/>
    <w:rsid w:val="00ED67F3"/>
    <w:rsid w:val="00EF268C"/>
    <w:rsid w:val="00EF31AE"/>
    <w:rsid w:val="00F14F63"/>
    <w:rsid w:val="00F47BF7"/>
    <w:rsid w:val="00F6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F6"/>
    <w:rPr>
      <w:sz w:val="24"/>
    </w:rPr>
  </w:style>
  <w:style w:type="paragraph" w:styleId="Heading1">
    <w:name w:val="heading 1"/>
    <w:aliases w:val="h1"/>
    <w:basedOn w:val="Body"/>
    <w:next w:val="Paragraph"/>
    <w:qFormat/>
    <w:rsid w:val="00276DFC"/>
    <w:pPr>
      <w:keepNext/>
      <w:pageBreakBefore/>
      <w:spacing w:after="120"/>
      <w:jc w:val="center"/>
      <w:outlineLvl w:val="0"/>
    </w:pPr>
    <w:rPr>
      <w:rFonts w:ascii="Optima" w:hAnsi="Optima"/>
      <w:b/>
      <w:smallCaps/>
      <w:sz w:val="32"/>
    </w:rPr>
  </w:style>
  <w:style w:type="paragraph" w:styleId="Heading2">
    <w:name w:val="heading 2"/>
    <w:aliases w:val="h2"/>
    <w:basedOn w:val="Body"/>
    <w:next w:val="Paragraph"/>
    <w:qFormat/>
    <w:rsid w:val="00276DFC"/>
    <w:pPr>
      <w:keepNext/>
      <w:spacing w:before="480"/>
      <w:outlineLvl w:val="1"/>
    </w:pPr>
    <w:rPr>
      <w:rFonts w:ascii="Optima" w:hAnsi="Optima"/>
      <w:b/>
      <w:smallCaps/>
      <w:sz w:val="30"/>
    </w:rPr>
  </w:style>
  <w:style w:type="paragraph" w:styleId="Heading3">
    <w:name w:val="heading 3"/>
    <w:aliases w:val="h3"/>
    <w:basedOn w:val="Body"/>
    <w:next w:val="Paragraph"/>
    <w:qFormat/>
    <w:rsid w:val="00276DFC"/>
    <w:pPr>
      <w:keepNext/>
      <w:spacing w:before="360"/>
      <w:ind w:left="567" w:hanging="567"/>
      <w:outlineLvl w:val="2"/>
    </w:pPr>
    <w:rPr>
      <w:rFonts w:ascii="Optima" w:hAnsi="Optima"/>
      <w:b/>
      <w:sz w:val="28"/>
    </w:rPr>
  </w:style>
  <w:style w:type="paragraph" w:styleId="Heading4">
    <w:name w:val="heading 4"/>
    <w:aliases w:val="h4"/>
    <w:basedOn w:val="Body"/>
    <w:next w:val="Paragraph"/>
    <w:qFormat/>
    <w:rsid w:val="00276DFC"/>
    <w:pPr>
      <w:keepNext/>
      <w:spacing w:before="300"/>
      <w:ind w:left="567" w:hanging="567"/>
      <w:outlineLvl w:val="3"/>
    </w:pPr>
    <w:rPr>
      <w:rFonts w:ascii="Optima" w:hAnsi="Opti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76DFC"/>
    <w:rPr>
      <w:rFonts w:ascii="Times" w:hAnsi="Times"/>
      <w:sz w:val="26"/>
    </w:rPr>
  </w:style>
  <w:style w:type="paragraph" w:customStyle="1" w:styleId="Paragraph">
    <w:name w:val="Paragraph"/>
    <w:basedOn w:val="Body"/>
    <w:rsid w:val="00276DFC"/>
    <w:pPr>
      <w:spacing w:before="240"/>
    </w:pPr>
  </w:style>
  <w:style w:type="paragraph" w:styleId="Footer">
    <w:name w:val="footer"/>
    <w:basedOn w:val="Body"/>
    <w:rsid w:val="00276DFC"/>
    <w:pPr>
      <w:tabs>
        <w:tab w:val="center" w:pos="4536"/>
        <w:tab w:val="right" w:pos="9072"/>
      </w:tabs>
      <w:spacing w:line="260" w:lineRule="atLeast"/>
    </w:pPr>
    <w:rPr>
      <w:sz w:val="20"/>
    </w:rPr>
  </w:style>
  <w:style w:type="paragraph" w:styleId="Header">
    <w:name w:val="header"/>
    <w:basedOn w:val="Body"/>
    <w:rsid w:val="00276DFC"/>
    <w:rPr>
      <w:sz w:val="20"/>
    </w:rPr>
  </w:style>
  <w:style w:type="paragraph" w:customStyle="1" w:styleId="i1">
    <w:name w:val="i1"/>
    <w:aliases w:val="-&gt;•-&gt;1cm"/>
    <w:basedOn w:val="Body"/>
    <w:rsid w:val="00276DFC"/>
    <w:pPr>
      <w:tabs>
        <w:tab w:val="right" w:pos="340"/>
      </w:tabs>
      <w:spacing w:before="240"/>
      <w:ind w:left="567" w:hanging="567"/>
    </w:pPr>
  </w:style>
  <w:style w:type="paragraph" w:customStyle="1" w:styleId="i3">
    <w:name w:val="i3"/>
    <w:aliases w:val="---&gt;•-&gt;3cm"/>
    <w:basedOn w:val="Body"/>
    <w:rsid w:val="00276DFC"/>
    <w:pPr>
      <w:tabs>
        <w:tab w:val="right" w:pos="1474"/>
      </w:tabs>
      <w:spacing w:before="240"/>
      <w:ind w:left="1700" w:hanging="1700"/>
    </w:pPr>
  </w:style>
  <w:style w:type="paragraph" w:customStyle="1" w:styleId="i2">
    <w:name w:val="i2"/>
    <w:aliases w:val="--&gt;•-&gt;2cm"/>
    <w:basedOn w:val="Body"/>
    <w:rsid w:val="00276DFC"/>
    <w:pPr>
      <w:tabs>
        <w:tab w:val="right" w:pos="907"/>
      </w:tabs>
      <w:spacing w:before="240"/>
      <w:ind w:left="1134" w:hanging="1134"/>
    </w:pPr>
  </w:style>
  <w:style w:type="paragraph" w:customStyle="1" w:styleId="i4">
    <w:name w:val="i4"/>
    <w:aliases w:val="----&gt;•-&gt;4cm"/>
    <w:basedOn w:val="Body"/>
    <w:rsid w:val="00276DFC"/>
    <w:pPr>
      <w:tabs>
        <w:tab w:val="right" w:pos="2041"/>
      </w:tabs>
      <w:spacing w:before="240"/>
      <w:ind w:left="2268" w:hanging="2268"/>
    </w:pPr>
  </w:style>
  <w:style w:type="paragraph" w:customStyle="1" w:styleId="Letterhead">
    <w:name w:val="Letterhead"/>
    <w:rsid w:val="00276DFC"/>
    <w:pPr>
      <w:spacing w:after="180"/>
      <w:jc w:val="right"/>
    </w:pPr>
    <w:rPr>
      <w:rFonts w:ascii="Optima" w:hAnsi="Optima"/>
      <w:sz w:val="32"/>
    </w:rPr>
  </w:style>
  <w:style w:type="paragraph" w:customStyle="1" w:styleId="Quotation">
    <w:name w:val="Quotation"/>
    <w:basedOn w:val="Body"/>
    <w:rsid w:val="00276DFC"/>
    <w:pPr>
      <w:spacing w:before="240"/>
      <w:ind w:left="851" w:right="851"/>
      <w:jc w:val="both"/>
    </w:pPr>
  </w:style>
  <w:style w:type="character" w:styleId="PageNumber">
    <w:name w:val="page number"/>
    <w:basedOn w:val="DefaultParagraphFont"/>
    <w:rsid w:val="00276DFC"/>
  </w:style>
  <w:style w:type="table" w:styleId="TableGrid">
    <w:name w:val="Table Grid"/>
    <w:basedOn w:val="TableNormal"/>
    <w:rsid w:val="007B385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E0C7D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322D04"/>
    <w:pPr>
      <w:spacing w:after="120"/>
      <w:ind w:left="283"/>
    </w:pPr>
  </w:style>
  <w:style w:type="paragraph" w:styleId="BodyTextFirstIndent2">
    <w:name w:val="Body Text First Indent 2"/>
    <w:basedOn w:val="BodyTextIndent"/>
    <w:rsid w:val="00322D04"/>
    <w:pPr>
      <w:ind w:firstLine="210"/>
      <w:jc w:val="both"/>
    </w:pPr>
    <w:rPr>
      <w:rFonts w:ascii="Times New Roman" w:hAnsi="Times New Roman"/>
      <w:szCs w:val="24"/>
    </w:rPr>
  </w:style>
  <w:style w:type="paragraph" w:customStyle="1" w:styleId="TableColHead">
    <w:name w:val="TableColHead"/>
    <w:basedOn w:val="Normal"/>
    <w:rsid w:val="00322D04"/>
    <w:pPr>
      <w:keepNext/>
      <w:spacing w:before="120" w:after="60" w:line="200" w:lineRule="exact"/>
      <w:jc w:val="both"/>
    </w:pPr>
    <w:rPr>
      <w:rFonts w:ascii="Arial" w:hAnsi="Arial"/>
      <w:b/>
      <w:sz w:val="18"/>
      <w:szCs w:val="24"/>
    </w:rPr>
  </w:style>
  <w:style w:type="paragraph" w:customStyle="1" w:styleId="TableText">
    <w:name w:val="TableText"/>
    <w:basedOn w:val="Normal"/>
    <w:rsid w:val="00322D04"/>
    <w:pPr>
      <w:spacing w:before="60" w:after="60" w:line="240" w:lineRule="exact"/>
    </w:pPr>
    <w:rPr>
      <w:rFonts w:ascii="Times New Roman" w:hAnsi="Times New Roman"/>
      <w:sz w:val="22"/>
      <w:szCs w:val="24"/>
    </w:rPr>
  </w:style>
  <w:style w:type="character" w:styleId="Emphasis">
    <w:name w:val="Emphasis"/>
    <w:qFormat/>
    <w:rsid w:val="00322D04"/>
    <w:rPr>
      <w:i/>
      <w:iCs/>
    </w:rPr>
  </w:style>
  <w:style w:type="character" w:styleId="Strong">
    <w:name w:val="Strong"/>
    <w:qFormat/>
    <w:rsid w:val="00322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7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5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736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Attorney-General's Department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subject/>
  <dc:creator>mackaa</dc:creator>
  <cp:keywords/>
  <cp:lastModifiedBy>douglj</cp:lastModifiedBy>
  <cp:revision>4</cp:revision>
  <cp:lastPrinted>2012-07-31T06:45:00Z</cp:lastPrinted>
  <dcterms:created xsi:type="dcterms:W3CDTF">2012-07-31T06:19:00Z</dcterms:created>
  <dcterms:modified xsi:type="dcterms:W3CDTF">2012-08-06T01:16:00Z</dcterms:modified>
</cp:coreProperties>
</file>