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188" w:rsidRDefault="00543607">
      <w:pPr>
        <w:pStyle w:val="Bodytextplain"/>
      </w:pPr>
      <w:r w:rsidRPr="00543607">
        <w:rPr>
          <w:noProof/>
          <w:lang w:val="en-US" w:eastAsia="en-US"/>
        </w:rPr>
        <w:pict>
          <v:group id="_x0000_s1026" editas="canvas" style="position:absolute;left:0;text-align:left;margin-left:0;margin-top:13.65pt;width:457.35pt;height:102.05pt;z-index:251658240" coordorigin="1418,4724" coordsize="9147,2041"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18;top:4724;width:9147;height:2041" o:preferrelative="f">
              <v:fill o:detectmouseclick="t"/>
              <v:path o:extrusionok="t" o:connecttype="none"/>
              <o:lock v:ext="edit" text="t"/>
            </v:shape>
            <v:shape id="_x0000_s1028" type="#_x0000_t75" style="position:absolute;left:1418;top:4724;width:2010;height:1470">
              <v:imagedata r:id="rId8" o:title=""/>
            </v:shape>
            <v:shape id="_x0000_s1029" type="#_x0000_t75" style="position:absolute;left:5870;top:4724;width:4695;height:2041">
              <v:imagedata r:id="rId9" o:title="Identity 1 (Lttrhd size)"/>
            </v:shape>
            <w10:wrap type="topAndBottom"/>
            <w10:anchorlock/>
          </v:group>
          <o:OLEObject Type="Embed" ProgID="Word.Picture.8" ShapeID="_x0000_s1028" DrawAspect="Content" ObjectID="_1405164000" r:id="rId10"/>
        </w:pict>
      </w:r>
    </w:p>
    <w:p w:rsidR="00814188" w:rsidRDefault="00814188">
      <w:pPr>
        <w:pStyle w:val="DescriptorRG"/>
        <w:shd w:val="clear" w:color="auto" w:fill="auto"/>
        <w:rPr>
          <w:b/>
          <w:color w:val="117DC7"/>
        </w:rPr>
      </w:pPr>
      <w:bookmarkStart w:id="0" w:name="_Ref152644852"/>
      <w:bookmarkEnd w:id="0"/>
      <w:r>
        <w:rPr>
          <w:b/>
          <w:color w:val="117DC7"/>
        </w:rPr>
        <w:t>Regulat</w:t>
      </w:r>
      <w:r w:rsidR="002C18A2">
        <w:rPr>
          <w:b/>
          <w:color w:val="117DC7"/>
        </w:rPr>
        <w:t>I</w:t>
      </w:r>
      <w:r>
        <w:rPr>
          <w:b/>
          <w:color w:val="117DC7"/>
        </w:rPr>
        <w:t>o</w:t>
      </w:r>
      <w:r w:rsidR="002C18A2">
        <w:rPr>
          <w:b/>
          <w:color w:val="117DC7"/>
        </w:rPr>
        <w:t>N</w:t>
      </w:r>
      <w:r>
        <w:rPr>
          <w:b/>
          <w:color w:val="117DC7"/>
        </w:rPr>
        <w:t xml:space="preserve"> impact statement</w:t>
      </w:r>
    </w:p>
    <w:bookmarkStart w:id="1" w:name="OLE_LINK3"/>
    <w:bookmarkStart w:id="2" w:name="OLE_LINK4"/>
    <w:p w:rsidR="00814188" w:rsidRDefault="00543607">
      <w:pPr>
        <w:ind w:left="2268"/>
        <w:rPr>
          <w:rFonts w:ascii="Arial" w:hAnsi="Arial" w:cs="Arial"/>
          <w:b/>
          <w:sz w:val="48"/>
          <w:szCs w:val="48"/>
        </w:rPr>
      </w:pPr>
      <w:r>
        <w:fldChar w:fldCharType="begin"/>
      </w:r>
      <w:r w:rsidR="00AD6211">
        <w:instrText xml:space="preserve"> DOCPROPERTY  "Document title"  \* MERGEFORMAT </w:instrText>
      </w:r>
      <w:r>
        <w:fldChar w:fldCharType="separate"/>
      </w:r>
      <w:r w:rsidR="00337A8C" w:rsidRPr="00337A8C">
        <w:rPr>
          <w:rFonts w:ascii="Arial" w:hAnsi="Arial" w:cs="Arial"/>
          <w:b/>
          <w:sz w:val="48"/>
          <w:szCs w:val="48"/>
        </w:rPr>
        <w:t>Retail OTC derivative issuers: Financial requirements</w:t>
      </w:r>
      <w:r>
        <w:fldChar w:fldCharType="end"/>
      </w:r>
    </w:p>
    <w:bookmarkEnd w:id="1"/>
    <w:bookmarkEnd w:id="2"/>
    <w:p w:rsidR="00814188" w:rsidRDefault="00814188">
      <w:pPr>
        <w:pStyle w:val="Bodytextplain"/>
      </w:pPr>
    </w:p>
    <w:p w:rsidR="00814188" w:rsidRPr="002C18A2" w:rsidRDefault="00543607">
      <w:pPr>
        <w:pStyle w:val="Bodytextplain"/>
        <w:rPr>
          <w:rFonts w:ascii="Arial" w:hAnsi="Arial" w:cs="Arial"/>
        </w:rPr>
      </w:pPr>
      <w:fldSimple w:instr=" DOCPROPERTY  &quot;Issue date&quot;  \* MERGEFORMAT ">
        <w:r w:rsidR="00337A8C" w:rsidRPr="00337A8C">
          <w:rPr>
            <w:rFonts w:ascii="Arial" w:hAnsi="Arial" w:cs="Arial"/>
          </w:rPr>
          <w:t>July 2012</w:t>
        </w:r>
      </w:fldSimple>
    </w:p>
    <w:p w:rsidR="00814188" w:rsidRDefault="00814188">
      <w:pPr>
        <w:pStyle w:val="Bodytextplain"/>
      </w:pPr>
    </w:p>
    <w:p w:rsidR="00814188" w:rsidRDefault="00814188">
      <w:pPr>
        <w:pStyle w:val="Frontheading"/>
      </w:pPr>
      <w:r>
        <w:t>About this Regulat</w:t>
      </w:r>
      <w:r w:rsidR="000D7EDB">
        <w:t>i</w:t>
      </w:r>
      <w:r>
        <w:t>o</w:t>
      </w:r>
      <w:r w:rsidR="000D7EDB">
        <w:t>n</w:t>
      </w:r>
      <w:r>
        <w:t xml:space="preserve"> Impact Statement</w:t>
      </w:r>
    </w:p>
    <w:p w:rsidR="00814188" w:rsidRDefault="00814188" w:rsidP="00814188">
      <w:pPr>
        <w:pStyle w:val="Fronttext"/>
      </w:pPr>
      <w:r w:rsidRPr="00814188">
        <w:t>This Regul</w:t>
      </w:r>
      <w:r w:rsidR="008D4ACA">
        <w:t xml:space="preserve">ation Impact Statement </w:t>
      </w:r>
      <w:r w:rsidR="000D7EDB">
        <w:t>(RIS) addresses</w:t>
      </w:r>
      <w:r w:rsidR="000D7EDB" w:rsidRPr="00814188">
        <w:t xml:space="preserve"> </w:t>
      </w:r>
      <w:r w:rsidRPr="00814188">
        <w:t>ASIC</w:t>
      </w:r>
      <w:r w:rsidR="00927BB5">
        <w:t>’</w:t>
      </w:r>
      <w:r w:rsidRPr="00814188">
        <w:t>s p</w:t>
      </w:r>
      <w:r>
        <w:t>roposals to</w:t>
      </w:r>
      <w:r w:rsidRPr="00814188">
        <w:t xml:space="preserve"> </w:t>
      </w:r>
      <w:r w:rsidR="000D7EDB">
        <w:t xml:space="preserve">clarify </w:t>
      </w:r>
      <w:r w:rsidRPr="00814188">
        <w:t xml:space="preserve">the financial requirements that apply to </w:t>
      </w:r>
      <w:r>
        <w:t xml:space="preserve">issuers </w:t>
      </w:r>
      <w:r w:rsidRPr="00814188">
        <w:t>of</w:t>
      </w:r>
      <w:r>
        <w:t xml:space="preserve"> over</w:t>
      </w:r>
      <w:r w:rsidR="000D7EDB">
        <w:t>-</w:t>
      </w:r>
      <w:r>
        <w:t>the</w:t>
      </w:r>
      <w:r w:rsidR="000D7EDB">
        <w:t>-</w:t>
      </w:r>
      <w:r>
        <w:t xml:space="preserve">counter </w:t>
      </w:r>
      <w:r w:rsidR="000D7EDB">
        <w:t xml:space="preserve">(OTC) </w:t>
      </w:r>
      <w:r>
        <w:t xml:space="preserve">derivatives, such as contracts for difference </w:t>
      </w:r>
      <w:r w:rsidR="000D7EDB">
        <w:t xml:space="preserve">(CFDs) </w:t>
      </w:r>
      <w:r>
        <w:t xml:space="preserve">and margin foreign exchange, </w:t>
      </w:r>
      <w:r w:rsidR="000D7EDB">
        <w:t xml:space="preserve">that are provided </w:t>
      </w:r>
      <w:r>
        <w:t>to retail clients</w:t>
      </w:r>
      <w:r w:rsidRPr="00814188">
        <w:t>.</w:t>
      </w:r>
    </w:p>
    <w:p w:rsidR="00ED29D5" w:rsidRDefault="00892ABC" w:rsidP="00ED29D5">
      <w:pPr>
        <w:pStyle w:val="Heading2noToC"/>
        <w:keepNext/>
      </w:pPr>
      <w:bookmarkStart w:id="3" w:name="_Toc227744295"/>
      <w:r w:rsidRPr="00892ABC">
        <w:lastRenderedPageBreak/>
        <w:t>What this Regulation Impact Statement is about</w:t>
      </w:r>
      <w:bookmarkEnd w:id="3"/>
    </w:p>
    <w:p w:rsidR="00ED29D5" w:rsidRDefault="00892ABC" w:rsidP="00ED29D5">
      <w:pPr>
        <w:pStyle w:val="Bodytextplain"/>
        <w:keepNext/>
        <w:numPr>
          <w:ilvl w:val="0"/>
          <w:numId w:val="7"/>
        </w:numPr>
      </w:pPr>
      <w:r w:rsidRPr="00892ABC">
        <w:t>This Regulation Impact Statement (RIS) addresses ASIC</w:t>
      </w:r>
      <w:r w:rsidR="00927BB5">
        <w:t>’</w:t>
      </w:r>
      <w:r w:rsidRPr="00892ABC">
        <w:t xml:space="preserve">s proposals on the financial requirements that </w:t>
      </w:r>
      <w:r w:rsidR="008F6041">
        <w:t xml:space="preserve">would </w:t>
      </w:r>
      <w:r w:rsidRPr="00892ABC">
        <w:t>apply to</w:t>
      </w:r>
      <w:r>
        <w:t xml:space="preserve"> issuers of over</w:t>
      </w:r>
      <w:r w:rsidR="000D7EDB">
        <w:t>-</w:t>
      </w:r>
      <w:r>
        <w:t>the</w:t>
      </w:r>
      <w:r w:rsidR="000D7EDB">
        <w:t>-</w:t>
      </w:r>
      <w:r>
        <w:t xml:space="preserve">counter (OTC) derivatives, such as contracts for difference </w:t>
      </w:r>
      <w:r w:rsidR="000D7EDB">
        <w:t xml:space="preserve">(CFDs) </w:t>
      </w:r>
      <w:r>
        <w:t>and margin foreign exchange</w:t>
      </w:r>
      <w:r w:rsidR="00EC754E">
        <w:t>,</w:t>
      </w:r>
      <w:r>
        <w:t xml:space="preserve"> </w:t>
      </w:r>
      <w:r w:rsidR="00EC754E">
        <w:t xml:space="preserve">that are provided </w:t>
      </w:r>
      <w:r>
        <w:t>to retail clients</w:t>
      </w:r>
      <w:r w:rsidRPr="00892ABC">
        <w:t>.</w:t>
      </w:r>
      <w:r w:rsidR="007B094C">
        <w:rPr>
          <w:rStyle w:val="FootnoteReference"/>
        </w:rPr>
        <w:footnoteReference w:id="1"/>
      </w:r>
    </w:p>
    <w:p w:rsidR="00892ABC" w:rsidRPr="00892ABC" w:rsidRDefault="00892ABC" w:rsidP="006D3DD0">
      <w:pPr>
        <w:pStyle w:val="Bodytextplain"/>
        <w:numPr>
          <w:ilvl w:val="0"/>
          <w:numId w:val="7"/>
        </w:numPr>
      </w:pPr>
      <w:r w:rsidRPr="00892ABC">
        <w:t xml:space="preserve">In developing our final position, we have considered the regulatory and financial impact of our proposals. We </w:t>
      </w:r>
      <w:r w:rsidR="008F6041">
        <w:t xml:space="preserve">aim </w:t>
      </w:r>
      <w:r w:rsidRPr="00892ABC">
        <w:t>to strike an appropriate balance between:</w:t>
      </w:r>
    </w:p>
    <w:p w:rsidR="00ED29D5" w:rsidRDefault="00892ABC" w:rsidP="00ED29D5">
      <w:pPr>
        <w:pStyle w:val="subparaa"/>
      </w:pPr>
      <w:r w:rsidRPr="00892ABC">
        <w:t>ensuring businesses that act as</w:t>
      </w:r>
      <w:r w:rsidR="003B5B24">
        <w:t xml:space="preserve"> retail OTC derivative issuers</w:t>
      </w:r>
      <w:r>
        <w:t xml:space="preserve"> </w:t>
      </w:r>
      <w:r w:rsidRPr="00892ABC">
        <w:t xml:space="preserve">have adequate financial resources to conduct their business in compliance with the </w:t>
      </w:r>
      <w:r w:rsidRPr="00892ABC">
        <w:rPr>
          <w:i/>
        </w:rPr>
        <w:t>Corporations Act 2001</w:t>
      </w:r>
      <w:r w:rsidRPr="00892ABC">
        <w:t xml:space="preserve"> (Corporations Act) and in a responsible manner; and</w:t>
      </w:r>
    </w:p>
    <w:p w:rsidR="00ED29D5" w:rsidRDefault="00892ABC" w:rsidP="00ED29D5">
      <w:pPr>
        <w:pStyle w:val="subparaa"/>
      </w:pPr>
      <w:r w:rsidRPr="00892ABC">
        <w:t xml:space="preserve">administering the law effectively and with minimal procedural requirements. </w:t>
      </w:r>
    </w:p>
    <w:p w:rsidR="00892ABC" w:rsidRPr="00892ABC" w:rsidRDefault="00892ABC" w:rsidP="006D3DD0">
      <w:pPr>
        <w:pStyle w:val="Bodytextplain"/>
        <w:numPr>
          <w:ilvl w:val="0"/>
          <w:numId w:val="7"/>
        </w:numPr>
      </w:pPr>
      <w:r w:rsidRPr="00892ABC">
        <w:t>This RIS sets out our assessment of the regulatory and financial impacts of our proposed policy and our achievement of this balance. It deals with:</w:t>
      </w:r>
    </w:p>
    <w:p w:rsidR="00ED29D5" w:rsidRDefault="00892ABC" w:rsidP="00ED29D5">
      <w:pPr>
        <w:pStyle w:val="subparaa"/>
      </w:pPr>
      <w:r w:rsidRPr="00892ABC">
        <w:t>the likely compliance costs;</w:t>
      </w:r>
    </w:p>
    <w:p w:rsidR="00ED29D5" w:rsidRDefault="00892ABC" w:rsidP="00ED29D5">
      <w:pPr>
        <w:pStyle w:val="subparaa"/>
      </w:pPr>
      <w:r w:rsidRPr="00892ABC">
        <w:t>the likely effect on competition; and</w:t>
      </w:r>
    </w:p>
    <w:p w:rsidR="00ED29D5" w:rsidRDefault="00892ABC" w:rsidP="00ED29D5">
      <w:pPr>
        <w:pStyle w:val="subparaa"/>
      </w:pPr>
      <w:r w:rsidRPr="00892ABC">
        <w:t>other impacts, costs and benefits.</w:t>
      </w:r>
    </w:p>
    <w:p w:rsidR="00814188" w:rsidRDefault="00814188">
      <w:pPr>
        <w:pStyle w:val="Bodytextplain"/>
      </w:pPr>
    </w:p>
    <w:p w:rsidR="00ED29D5" w:rsidRPr="00ED29D5" w:rsidRDefault="00ED29D5" w:rsidP="00ED29D5">
      <w:pPr>
        <w:pStyle w:val="Bodytextplain"/>
        <w:pageBreakBefore/>
        <w:spacing w:after="200"/>
        <w:ind w:left="0"/>
        <w:rPr>
          <w:sz w:val="36"/>
          <w:szCs w:val="36"/>
        </w:rPr>
      </w:pPr>
      <w:r w:rsidRPr="00ED29D5">
        <w:rPr>
          <w:rFonts w:ascii="Arial" w:hAnsi="Arial" w:cs="Arial"/>
          <w:b/>
          <w:sz w:val="36"/>
          <w:szCs w:val="36"/>
        </w:rPr>
        <w:lastRenderedPageBreak/>
        <w:t>Contents</w:t>
      </w:r>
    </w:p>
    <w:p w:rsidR="00337A8C" w:rsidRDefault="00543607">
      <w:pPr>
        <w:pStyle w:val="TOC1"/>
        <w:rPr>
          <w:rFonts w:asciiTheme="minorHAnsi" w:eastAsiaTheme="minorEastAsia" w:hAnsiTheme="minorHAnsi" w:cstheme="minorBidi"/>
          <w:b w:val="0"/>
          <w:sz w:val="22"/>
          <w:szCs w:val="22"/>
        </w:rPr>
      </w:pPr>
      <w:r w:rsidRPr="00543607">
        <w:rPr>
          <w:rFonts w:ascii="HelveticaNeue LT 55 Roman" w:hAnsi="HelveticaNeue LT 55 Roman"/>
          <w:b w:val="0"/>
        </w:rPr>
        <w:fldChar w:fldCharType="begin"/>
      </w:r>
      <w:r w:rsidR="00625F1A">
        <w:rPr>
          <w:rFonts w:ascii="HelveticaNeue LT 55 Roman" w:hAnsi="HelveticaNeue LT 55 Roman"/>
          <w:b w:val="0"/>
        </w:rPr>
        <w:instrText xml:space="preserve"> TOC \o "1-2" \h \z \t "Heading 1,1,Heading 6,1" </w:instrText>
      </w:r>
      <w:r w:rsidRPr="00543607">
        <w:rPr>
          <w:rFonts w:ascii="HelveticaNeue LT 55 Roman" w:hAnsi="HelveticaNeue LT 55 Roman"/>
          <w:b w:val="0"/>
        </w:rPr>
        <w:fldChar w:fldCharType="separate"/>
      </w:r>
      <w:hyperlink w:anchor="_Toc331415812" w:history="1">
        <w:r w:rsidR="00337A8C" w:rsidRPr="00765C67">
          <w:rPr>
            <w:rStyle w:val="Hyperlink"/>
          </w:rPr>
          <w:t>A</w:t>
        </w:r>
        <w:r w:rsidR="00337A8C">
          <w:rPr>
            <w:rFonts w:asciiTheme="minorHAnsi" w:eastAsiaTheme="minorEastAsia" w:hAnsiTheme="minorHAnsi" w:cstheme="minorBidi"/>
            <w:b w:val="0"/>
            <w:sz w:val="22"/>
            <w:szCs w:val="22"/>
          </w:rPr>
          <w:tab/>
        </w:r>
        <w:r w:rsidR="00337A8C" w:rsidRPr="00765C67">
          <w:rPr>
            <w:rStyle w:val="Hyperlink"/>
          </w:rPr>
          <w:t>Introduction</w:t>
        </w:r>
        <w:r w:rsidR="00337A8C">
          <w:rPr>
            <w:webHidden/>
          </w:rPr>
          <w:tab/>
        </w:r>
        <w:r>
          <w:rPr>
            <w:webHidden/>
          </w:rPr>
          <w:fldChar w:fldCharType="begin"/>
        </w:r>
        <w:r w:rsidR="00337A8C">
          <w:rPr>
            <w:webHidden/>
          </w:rPr>
          <w:instrText xml:space="preserve"> PAGEREF _Toc331415812 \h </w:instrText>
        </w:r>
        <w:r>
          <w:rPr>
            <w:webHidden/>
          </w:rPr>
        </w:r>
        <w:r>
          <w:rPr>
            <w:webHidden/>
          </w:rPr>
          <w:fldChar w:fldCharType="separate"/>
        </w:r>
        <w:r w:rsidR="00337A8C">
          <w:rPr>
            <w:webHidden/>
          </w:rPr>
          <w:t>4</w:t>
        </w:r>
        <w:r>
          <w:rPr>
            <w:webHidden/>
          </w:rPr>
          <w:fldChar w:fldCharType="end"/>
        </w:r>
      </w:hyperlink>
    </w:p>
    <w:p w:rsidR="00337A8C" w:rsidRDefault="00543607">
      <w:pPr>
        <w:pStyle w:val="TOC2"/>
        <w:rPr>
          <w:rFonts w:asciiTheme="minorHAnsi" w:eastAsiaTheme="minorEastAsia" w:hAnsiTheme="minorHAnsi" w:cstheme="minorBidi"/>
          <w:sz w:val="22"/>
          <w:szCs w:val="22"/>
        </w:rPr>
      </w:pPr>
      <w:hyperlink w:anchor="_Toc331415813" w:history="1">
        <w:r w:rsidR="00337A8C" w:rsidRPr="00765C67">
          <w:rPr>
            <w:rStyle w:val="Hyperlink"/>
          </w:rPr>
          <w:t>Background</w:t>
        </w:r>
        <w:r w:rsidR="00337A8C">
          <w:rPr>
            <w:webHidden/>
          </w:rPr>
          <w:tab/>
        </w:r>
        <w:r>
          <w:rPr>
            <w:webHidden/>
          </w:rPr>
          <w:fldChar w:fldCharType="begin"/>
        </w:r>
        <w:r w:rsidR="00337A8C">
          <w:rPr>
            <w:webHidden/>
          </w:rPr>
          <w:instrText xml:space="preserve"> PAGEREF _Toc331415813 \h </w:instrText>
        </w:r>
        <w:r>
          <w:rPr>
            <w:webHidden/>
          </w:rPr>
        </w:r>
        <w:r>
          <w:rPr>
            <w:webHidden/>
          </w:rPr>
          <w:fldChar w:fldCharType="separate"/>
        </w:r>
        <w:r w:rsidR="00337A8C">
          <w:rPr>
            <w:webHidden/>
          </w:rPr>
          <w:t>4</w:t>
        </w:r>
        <w:r>
          <w:rPr>
            <w:webHidden/>
          </w:rPr>
          <w:fldChar w:fldCharType="end"/>
        </w:r>
      </w:hyperlink>
    </w:p>
    <w:p w:rsidR="00337A8C" w:rsidRDefault="00543607">
      <w:pPr>
        <w:pStyle w:val="TOC2"/>
        <w:rPr>
          <w:rFonts w:asciiTheme="minorHAnsi" w:eastAsiaTheme="minorEastAsia" w:hAnsiTheme="minorHAnsi" w:cstheme="minorBidi"/>
          <w:sz w:val="22"/>
          <w:szCs w:val="22"/>
        </w:rPr>
      </w:pPr>
      <w:hyperlink w:anchor="_Toc331415814" w:history="1">
        <w:r w:rsidR="00337A8C" w:rsidRPr="00765C67">
          <w:rPr>
            <w:rStyle w:val="Hyperlink"/>
          </w:rPr>
          <w:t>Identifying and assessing the problem</w:t>
        </w:r>
        <w:r w:rsidR="00337A8C">
          <w:rPr>
            <w:webHidden/>
          </w:rPr>
          <w:tab/>
        </w:r>
        <w:r>
          <w:rPr>
            <w:webHidden/>
          </w:rPr>
          <w:fldChar w:fldCharType="begin"/>
        </w:r>
        <w:r w:rsidR="00337A8C">
          <w:rPr>
            <w:webHidden/>
          </w:rPr>
          <w:instrText xml:space="preserve"> PAGEREF _Toc331415814 \h </w:instrText>
        </w:r>
        <w:r>
          <w:rPr>
            <w:webHidden/>
          </w:rPr>
        </w:r>
        <w:r>
          <w:rPr>
            <w:webHidden/>
          </w:rPr>
          <w:fldChar w:fldCharType="separate"/>
        </w:r>
        <w:r w:rsidR="00337A8C">
          <w:rPr>
            <w:webHidden/>
          </w:rPr>
          <w:t>7</w:t>
        </w:r>
        <w:r>
          <w:rPr>
            <w:webHidden/>
          </w:rPr>
          <w:fldChar w:fldCharType="end"/>
        </w:r>
      </w:hyperlink>
    </w:p>
    <w:p w:rsidR="00337A8C" w:rsidRDefault="00543607">
      <w:pPr>
        <w:pStyle w:val="TOC2"/>
        <w:rPr>
          <w:rFonts w:asciiTheme="minorHAnsi" w:eastAsiaTheme="minorEastAsia" w:hAnsiTheme="minorHAnsi" w:cstheme="minorBidi"/>
          <w:sz w:val="22"/>
          <w:szCs w:val="22"/>
        </w:rPr>
      </w:pPr>
      <w:hyperlink w:anchor="_Toc331415815" w:history="1">
        <w:r w:rsidR="00337A8C" w:rsidRPr="00765C67">
          <w:rPr>
            <w:rStyle w:val="Hyperlink"/>
          </w:rPr>
          <w:t>Our objectives</w:t>
        </w:r>
        <w:r w:rsidR="00337A8C">
          <w:rPr>
            <w:webHidden/>
          </w:rPr>
          <w:tab/>
        </w:r>
        <w:r>
          <w:rPr>
            <w:webHidden/>
          </w:rPr>
          <w:fldChar w:fldCharType="begin"/>
        </w:r>
        <w:r w:rsidR="00337A8C">
          <w:rPr>
            <w:webHidden/>
          </w:rPr>
          <w:instrText xml:space="preserve"> PAGEREF _Toc331415815 \h </w:instrText>
        </w:r>
        <w:r>
          <w:rPr>
            <w:webHidden/>
          </w:rPr>
        </w:r>
        <w:r>
          <w:rPr>
            <w:webHidden/>
          </w:rPr>
          <w:fldChar w:fldCharType="separate"/>
        </w:r>
        <w:r w:rsidR="00337A8C">
          <w:rPr>
            <w:webHidden/>
          </w:rPr>
          <w:t>12</w:t>
        </w:r>
        <w:r>
          <w:rPr>
            <w:webHidden/>
          </w:rPr>
          <w:fldChar w:fldCharType="end"/>
        </w:r>
      </w:hyperlink>
    </w:p>
    <w:p w:rsidR="00337A8C" w:rsidRDefault="00543607">
      <w:pPr>
        <w:pStyle w:val="TOC1"/>
        <w:rPr>
          <w:rFonts w:asciiTheme="minorHAnsi" w:eastAsiaTheme="minorEastAsia" w:hAnsiTheme="minorHAnsi" w:cstheme="minorBidi"/>
          <w:b w:val="0"/>
          <w:sz w:val="22"/>
          <w:szCs w:val="22"/>
        </w:rPr>
      </w:pPr>
      <w:hyperlink w:anchor="_Toc331415816" w:history="1">
        <w:r w:rsidR="00337A8C" w:rsidRPr="00765C67">
          <w:rPr>
            <w:rStyle w:val="Hyperlink"/>
          </w:rPr>
          <w:t>B</w:t>
        </w:r>
        <w:r w:rsidR="00337A8C">
          <w:rPr>
            <w:rFonts w:asciiTheme="minorHAnsi" w:eastAsiaTheme="minorEastAsia" w:hAnsiTheme="minorHAnsi" w:cstheme="minorBidi"/>
            <w:b w:val="0"/>
            <w:sz w:val="22"/>
            <w:szCs w:val="22"/>
          </w:rPr>
          <w:tab/>
        </w:r>
        <w:r w:rsidR="00337A8C" w:rsidRPr="00765C67">
          <w:rPr>
            <w:rStyle w:val="Hyperlink"/>
          </w:rPr>
          <w:t>Options and impact analysis</w:t>
        </w:r>
        <w:r w:rsidR="00337A8C">
          <w:rPr>
            <w:webHidden/>
          </w:rPr>
          <w:tab/>
        </w:r>
        <w:r>
          <w:rPr>
            <w:webHidden/>
          </w:rPr>
          <w:fldChar w:fldCharType="begin"/>
        </w:r>
        <w:r w:rsidR="00337A8C">
          <w:rPr>
            <w:webHidden/>
          </w:rPr>
          <w:instrText xml:space="preserve"> PAGEREF _Toc331415816 \h </w:instrText>
        </w:r>
        <w:r>
          <w:rPr>
            <w:webHidden/>
          </w:rPr>
        </w:r>
        <w:r>
          <w:rPr>
            <w:webHidden/>
          </w:rPr>
          <w:fldChar w:fldCharType="separate"/>
        </w:r>
        <w:r w:rsidR="00337A8C">
          <w:rPr>
            <w:webHidden/>
          </w:rPr>
          <w:t>13</w:t>
        </w:r>
        <w:r>
          <w:rPr>
            <w:webHidden/>
          </w:rPr>
          <w:fldChar w:fldCharType="end"/>
        </w:r>
      </w:hyperlink>
    </w:p>
    <w:p w:rsidR="00337A8C" w:rsidRDefault="00543607">
      <w:pPr>
        <w:pStyle w:val="TOC2"/>
        <w:rPr>
          <w:rFonts w:asciiTheme="minorHAnsi" w:eastAsiaTheme="minorEastAsia" w:hAnsiTheme="minorHAnsi" w:cstheme="minorBidi"/>
          <w:sz w:val="22"/>
          <w:szCs w:val="22"/>
        </w:rPr>
      </w:pPr>
      <w:hyperlink w:anchor="_Toc331415817" w:history="1">
        <w:r w:rsidR="00337A8C" w:rsidRPr="00765C67">
          <w:rPr>
            <w:rStyle w:val="Hyperlink"/>
          </w:rPr>
          <w:t>Summary of options</w:t>
        </w:r>
        <w:r w:rsidR="00337A8C">
          <w:rPr>
            <w:webHidden/>
          </w:rPr>
          <w:tab/>
        </w:r>
        <w:r>
          <w:rPr>
            <w:webHidden/>
          </w:rPr>
          <w:fldChar w:fldCharType="begin"/>
        </w:r>
        <w:r w:rsidR="00337A8C">
          <w:rPr>
            <w:webHidden/>
          </w:rPr>
          <w:instrText xml:space="preserve"> PAGEREF _Toc331415817 \h </w:instrText>
        </w:r>
        <w:r>
          <w:rPr>
            <w:webHidden/>
          </w:rPr>
        </w:r>
        <w:r>
          <w:rPr>
            <w:webHidden/>
          </w:rPr>
          <w:fldChar w:fldCharType="separate"/>
        </w:r>
        <w:r w:rsidR="00337A8C">
          <w:rPr>
            <w:webHidden/>
          </w:rPr>
          <w:t>13</w:t>
        </w:r>
        <w:r>
          <w:rPr>
            <w:webHidden/>
          </w:rPr>
          <w:fldChar w:fldCharType="end"/>
        </w:r>
      </w:hyperlink>
    </w:p>
    <w:p w:rsidR="00337A8C" w:rsidRDefault="00543607">
      <w:pPr>
        <w:pStyle w:val="TOC2"/>
        <w:rPr>
          <w:rFonts w:asciiTheme="minorHAnsi" w:eastAsiaTheme="minorEastAsia" w:hAnsiTheme="minorHAnsi" w:cstheme="minorBidi"/>
          <w:sz w:val="22"/>
          <w:szCs w:val="22"/>
        </w:rPr>
      </w:pPr>
      <w:hyperlink w:anchor="_Toc331415818" w:history="1">
        <w:r w:rsidR="00337A8C" w:rsidRPr="00765C67">
          <w:rPr>
            <w:rStyle w:val="Hyperlink"/>
          </w:rPr>
          <w:t>Option 1: Clarify financial requirements for retail OTC derivative issuers (preferred option)</w:t>
        </w:r>
        <w:r w:rsidR="00337A8C">
          <w:rPr>
            <w:webHidden/>
          </w:rPr>
          <w:tab/>
        </w:r>
        <w:r>
          <w:rPr>
            <w:webHidden/>
          </w:rPr>
          <w:fldChar w:fldCharType="begin"/>
        </w:r>
        <w:r w:rsidR="00337A8C">
          <w:rPr>
            <w:webHidden/>
          </w:rPr>
          <w:instrText xml:space="preserve"> PAGEREF _Toc331415818 \h </w:instrText>
        </w:r>
        <w:r>
          <w:rPr>
            <w:webHidden/>
          </w:rPr>
        </w:r>
        <w:r>
          <w:rPr>
            <w:webHidden/>
          </w:rPr>
          <w:fldChar w:fldCharType="separate"/>
        </w:r>
        <w:r w:rsidR="00337A8C">
          <w:rPr>
            <w:webHidden/>
          </w:rPr>
          <w:t>14</w:t>
        </w:r>
        <w:r>
          <w:rPr>
            <w:webHidden/>
          </w:rPr>
          <w:fldChar w:fldCharType="end"/>
        </w:r>
      </w:hyperlink>
    </w:p>
    <w:p w:rsidR="00337A8C" w:rsidRDefault="00543607">
      <w:pPr>
        <w:pStyle w:val="TOC2"/>
        <w:rPr>
          <w:rFonts w:asciiTheme="minorHAnsi" w:eastAsiaTheme="minorEastAsia" w:hAnsiTheme="minorHAnsi" w:cstheme="minorBidi"/>
          <w:sz w:val="22"/>
          <w:szCs w:val="22"/>
        </w:rPr>
      </w:pPr>
      <w:hyperlink w:anchor="_Toc331415819" w:history="1">
        <w:r w:rsidR="00337A8C" w:rsidRPr="00765C67">
          <w:rPr>
            <w:rStyle w:val="Hyperlink"/>
          </w:rPr>
          <w:t>Option 2: Maintain current financial requirements (status quo)</w:t>
        </w:r>
        <w:r w:rsidR="00337A8C">
          <w:rPr>
            <w:webHidden/>
          </w:rPr>
          <w:tab/>
        </w:r>
        <w:r>
          <w:rPr>
            <w:webHidden/>
          </w:rPr>
          <w:fldChar w:fldCharType="begin"/>
        </w:r>
        <w:r w:rsidR="00337A8C">
          <w:rPr>
            <w:webHidden/>
          </w:rPr>
          <w:instrText xml:space="preserve"> PAGEREF _Toc331415819 \h </w:instrText>
        </w:r>
        <w:r>
          <w:rPr>
            <w:webHidden/>
          </w:rPr>
        </w:r>
        <w:r>
          <w:rPr>
            <w:webHidden/>
          </w:rPr>
          <w:fldChar w:fldCharType="separate"/>
        </w:r>
        <w:r w:rsidR="00337A8C">
          <w:rPr>
            <w:webHidden/>
          </w:rPr>
          <w:t>32</w:t>
        </w:r>
        <w:r>
          <w:rPr>
            <w:webHidden/>
          </w:rPr>
          <w:fldChar w:fldCharType="end"/>
        </w:r>
      </w:hyperlink>
    </w:p>
    <w:p w:rsidR="00337A8C" w:rsidRDefault="00543607">
      <w:pPr>
        <w:pStyle w:val="TOC1"/>
        <w:rPr>
          <w:rFonts w:asciiTheme="minorHAnsi" w:eastAsiaTheme="minorEastAsia" w:hAnsiTheme="minorHAnsi" w:cstheme="minorBidi"/>
          <w:b w:val="0"/>
          <w:sz w:val="22"/>
          <w:szCs w:val="22"/>
        </w:rPr>
      </w:pPr>
      <w:hyperlink w:anchor="_Toc331415820" w:history="1">
        <w:r w:rsidR="00337A8C" w:rsidRPr="00765C67">
          <w:rPr>
            <w:rStyle w:val="Hyperlink"/>
          </w:rPr>
          <w:t>C</w:t>
        </w:r>
        <w:r w:rsidR="00337A8C">
          <w:rPr>
            <w:rFonts w:asciiTheme="minorHAnsi" w:eastAsiaTheme="minorEastAsia" w:hAnsiTheme="minorHAnsi" w:cstheme="minorBidi"/>
            <w:b w:val="0"/>
            <w:sz w:val="22"/>
            <w:szCs w:val="22"/>
          </w:rPr>
          <w:tab/>
        </w:r>
        <w:r w:rsidR="00337A8C" w:rsidRPr="00765C67">
          <w:rPr>
            <w:rStyle w:val="Hyperlink"/>
          </w:rPr>
          <w:t>Consultation</w:t>
        </w:r>
        <w:r w:rsidR="00337A8C">
          <w:rPr>
            <w:webHidden/>
          </w:rPr>
          <w:tab/>
        </w:r>
        <w:r>
          <w:rPr>
            <w:webHidden/>
          </w:rPr>
          <w:fldChar w:fldCharType="begin"/>
        </w:r>
        <w:r w:rsidR="00337A8C">
          <w:rPr>
            <w:webHidden/>
          </w:rPr>
          <w:instrText xml:space="preserve"> PAGEREF _Toc331415820 \h </w:instrText>
        </w:r>
        <w:r>
          <w:rPr>
            <w:webHidden/>
          </w:rPr>
        </w:r>
        <w:r>
          <w:rPr>
            <w:webHidden/>
          </w:rPr>
          <w:fldChar w:fldCharType="separate"/>
        </w:r>
        <w:r w:rsidR="00337A8C">
          <w:rPr>
            <w:webHidden/>
          </w:rPr>
          <w:t>34</w:t>
        </w:r>
        <w:r>
          <w:rPr>
            <w:webHidden/>
          </w:rPr>
          <w:fldChar w:fldCharType="end"/>
        </w:r>
      </w:hyperlink>
    </w:p>
    <w:p w:rsidR="00337A8C" w:rsidRDefault="00543607">
      <w:pPr>
        <w:pStyle w:val="TOC1"/>
        <w:rPr>
          <w:rFonts w:asciiTheme="minorHAnsi" w:eastAsiaTheme="minorEastAsia" w:hAnsiTheme="minorHAnsi" w:cstheme="minorBidi"/>
          <w:b w:val="0"/>
          <w:sz w:val="22"/>
          <w:szCs w:val="22"/>
        </w:rPr>
      </w:pPr>
      <w:hyperlink w:anchor="_Toc331415821" w:history="1">
        <w:r w:rsidR="00337A8C" w:rsidRPr="00765C67">
          <w:rPr>
            <w:rStyle w:val="Hyperlink"/>
          </w:rPr>
          <w:t>D</w:t>
        </w:r>
        <w:r w:rsidR="00337A8C">
          <w:rPr>
            <w:rFonts w:asciiTheme="minorHAnsi" w:eastAsiaTheme="minorEastAsia" w:hAnsiTheme="minorHAnsi" w:cstheme="minorBidi"/>
            <w:b w:val="0"/>
            <w:sz w:val="22"/>
            <w:szCs w:val="22"/>
          </w:rPr>
          <w:tab/>
        </w:r>
        <w:r w:rsidR="00337A8C" w:rsidRPr="00765C67">
          <w:rPr>
            <w:rStyle w:val="Hyperlink"/>
          </w:rPr>
          <w:t>Conclusions and recommended option</w:t>
        </w:r>
        <w:r w:rsidR="00337A8C">
          <w:rPr>
            <w:webHidden/>
          </w:rPr>
          <w:tab/>
        </w:r>
        <w:r>
          <w:rPr>
            <w:webHidden/>
          </w:rPr>
          <w:fldChar w:fldCharType="begin"/>
        </w:r>
        <w:r w:rsidR="00337A8C">
          <w:rPr>
            <w:webHidden/>
          </w:rPr>
          <w:instrText xml:space="preserve"> PAGEREF _Toc331415821 \h </w:instrText>
        </w:r>
        <w:r>
          <w:rPr>
            <w:webHidden/>
          </w:rPr>
        </w:r>
        <w:r>
          <w:rPr>
            <w:webHidden/>
          </w:rPr>
          <w:fldChar w:fldCharType="separate"/>
        </w:r>
        <w:r w:rsidR="00337A8C">
          <w:rPr>
            <w:webHidden/>
          </w:rPr>
          <w:t>35</w:t>
        </w:r>
        <w:r>
          <w:rPr>
            <w:webHidden/>
          </w:rPr>
          <w:fldChar w:fldCharType="end"/>
        </w:r>
      </w:hyperlink>
    </w:p>
    <w:p w:rsidR="00337A8C" w:rsidRDefault="00543607">
      <w:pPr>
        <w:pStyle w:val="TOC1"/>
        <w:rPr>
          <w:rFonts w:asciiTheme="minorHAnsi" w:eastAsiaTheme="minorEastAsia" w:hAnsiTheme="minorHAnsi" w:cstheme="minorBidi"/>
          <w:b w:val="0"/>
          <w:sz w:val="22"/>
          <w:szCs w:val="22"/>
        </w:rPr>
      </w:pPr>
      <w:hyperlink w:anchor="_Toc331415822" w:history="1">
        <w:r w:rsidR="00337A8C" w:rsidRPr="00765C67">
          <w:rPr>
            <w:rStyle w:val="Hyperlink"/>
          </w:rPr>
          <w:t>E</w:t>
        </w:r>
        <w:r w:rsidR="00337A8C">
          <w:rPr>
            <w:rFonts w:asciiTheme="minorHAnsi" w:eastAsiaTheme="minorEastAsia" w:hAnsiTheme="minorHAnsi" w:cstheme="minorBidi"/>
            <w:b w:val="0"/>
            <w:sz w:val="22"/>
            <w:szCs w:val="22"/>
          </w:rPr>
          <w:tab/>
        </w:r>
        <w:r w:rsidR="00337A8C" w:rsidRPr="00765C67">
          <w:rPr>
            <w:rStyle w:val="Hyperlink"/>
          </w:rPr>
          <w:t>Implementation and review</w:t>
        </w:r>
        <w:r w:rsidR="00337A8C">
          <w:rPr>
            <w:webHidden/>
          </w:rPr>
          <w:tab/>
        </w:r>
        <w:r>
          <w:rPr>
            <w:webHidden/>
          </w:rPr>
          <w:fldChar w:fldCharType="begin"/>
        </w:r>
        <w:r w:rsidR="00337A8C">
          <w:rPr>
            <w:webHidden/>
          </w:rPr>
          <w:instrText xml:space="preserve"> PAGEREF _Toc331415822 \h </w:instrText>
        </w:r>
        <w:r>
          <w:rPr>
            <w:webHidden/>
          </w:rPr>
        </w:r>
        <w:r>
          <w:rPr>
            <w:webHidden/>
          </w:rPr>
          <w:fldChar w:fldCharType="separate"/>
        </w:r>
        <w:r w:rsidR="00337A8C">
          <w:rPr>
            <w:webHidden/>
          </w:rPr>
          <w:t>37</w:t>
        </w:r>
        <w:r>
          <w:rPr>
            <w:webHidden/>
          </w:rPr>
          <w:fldChar w:fldCharType="end"/>
        </w:r>
      </w:hyperlink>
    </w:p>
    <w:p w:rsidR="00337A8C" w:rsidRDefault="00543607">
      <w:pPr>
        <w:pStyle w:val="TOC2"/>
        <w:rPr>
          <w:rFonts w:asciiTheme="minorHAnsi" w:eastAsiaTheme="minorEastAsia" w:hAnsiTheme="minorHAnsi" w:cstheme="minorBidi"/>
          <w:sz w:val="22"/>
          <w:szCs w:val="22"/>
        </w:rPr>
      </w:pPr>
      <w:hyperlink w:anchor="_Toc331415823" w:history="1">
        <w:r w:rsidR="00337A8C" w:rsidRPr="00765C67">
          <w:rPr>
            <w:rStyle w:val="Hyperlink"/>
            <w:kern w:val="28"/>
          </w:rPr>
          <w:t>Implementation</w:t>
        </w:r>
        <w:r w:rsidR="00337A8C">
          <w:rPr>
            <w:webHidden/>
          </w:rPr>
          <w:tab/>
        </w:r>
        <w:r>
          <w:rPr>
            <w:webHidden/>
          </w:rPr>
          <w:fldChar w:fldCharType="begin"/>
        </w:r>
        <w:r w:rsidR="00337A8C">
          <w:rPr>
            <w:webHidden/>
          </w:rPr>
          <w:instrText xml:space="preserve"> PAGEREF _Toc331415823 \h </w:instrText>
        </w:r>
        <w:r>
          <w:rPr>
            <w:webHidden/>
          </w:rPr>
        </w:r>
        <w:r>
          <w:rPr>
            <w:webHidden/>
          </w:rPr>
          <w:fldChar w:fldCharType="separate"/>
        </w:r>
        <w:r w:rsidR="00337A8C">
          <w:rPr>
            <w:webHidden/>
          </w:rPr>
          <w:t>37</w:t>
        </w:r>
        <w:r>
          <w:rPr>
            <w:webHidden/>
          </w:rPr>
          <w:fldChar w:fldCharType="end"/>
        </w:r>
      </w:hyperlink>
    </w:p>
    <w:p w:rsidR="00337A8C" w:rsidRDefault="00543607">
      <w:pPr>
        <w:pStyle w:val="TOC2"/>
        <w:rPr>
          <w:rFonts w:asciiTheme="minorHAnsi" w:eastAsiaTheme="minorEastAsia" w:hAnsiTheme="minorHAnsi" w:cstheme="minorBidi"/>
          <w:sz w:val="22"/>
          <w:szCs w:val="22"/>
        </w:rPr>
      </w:pPr>
      <w:hyperlink w:anchor="_Toc331415824" w:history="1">
        <w:r w:rsidR="00337A8C" w:rsidRPr="00765C67">
          <w:rPr>
            <w:rStyle w:val="Hyperlink"/>
            <w:kern w:val="28"/>
          </w:rPr>
          <w:t>Review</w:t>
        </w:r>
        <w:r w:rsidR="00337A8C">
          <w:rPr>
            <w:webHidden/>
          </w:rPr>
          <w:tab/>
        </w:r>
        <w:r>
          <w:rPr>
            <w:webHidden/>
          </w:rPr>
          <w:fldChar w:fldCharType="begin"/>
        </w:r>
        <w:r w:rsidR="00337A8C">
          <w:rPr>
            <w:webHidden/>
          </w:rPr>
          <w:instrText xml:space="preserve"> PAGEREF _Toc331415824 \h </w:instrText>
        </w:r>
        <w:r>
          <w:rPr>
            <w:webHidden/>
          </w:rPr>
        </w:r>
        <w:r>
          <w:rPr>
            <w:webHidden/>
          </w:rPr>
          <w:fldChar w:fldCharType="separate"/>
        </w:r>
        <w:r w:rsidR="00337A8C">
          <w:rPr>
            <w:webHidden/>
          </w:rPr>
          <w:t>37</w:t>
        </w:r>
        <w:r>
          <w:rPr>
            <w:webHidden/>
          </w:rPr>
          <w:fldChar w:fldCharType="end"/>
        </w:r>
      </w:hyperlink>
    </w:p>
    <w:p w:rsidR="00814188" w:rsidRDefault="00543607">
      <w:pPr>
        <w:pStyle w:val="Bodytextplain"/>
      </w:pPr>
      <w:r>
        <w:rPr>
          <w:rFonts w:ascii="HelveticaNeue LT 55 Roman" w:hAnsi="HelveticaNeue LT 55 Roman" w:cs="Arial"/>
          <w:b/>
          <w:color w:val="800000"/>
          <w:sz w:val="20"/>
        </w:rPr>
        <w:fldChar w:fldCharType="end"/>
      </w:r>
    </w:p>
    <w:p w:rsidR="00814188" w:rsidRDefault="00814188">
      <w:pPr>
        <w:pStyle w:val="Bodytextplain"/>
      </w:pPr>
    </w:p>
    <w:p w:rsidR="00814188" w:rsidRDefault="00E84015">
      <w:pPr>
        <w:pStyle w:val="Heading1"/>
      </w:pPr>
      <w:bookmarkStart w:id="4" w:name="_Toc321227094"/>
      <w:bookmarkStart w:id="5" w:name="_Toc331415812"/>
      <w:r>
        <w:lastRenderedPageBreak/>
        <w:t>Introduction</w:t>
      </w:r>
      <w:bookmarkEnd w:id="4"/>
      <w:bookmarkEnd w:id="5"/>
    </w:p>
    <w:p w:rsidR="00814188" w:rsidRDefault="00E84015" w:rsidP="002E771D">
      <w:pPr>
        <w:pStyle w:val="Heading2"/>
        <w:spacing w:before="480"/>
      </w:pPr>
      <w:bookmarkStart w:id="6" w:name="_Toc321227095"/>
      <w:bookmarkStart w:id="7" w:name="_Toc331415813"/>
      <w:r>
        <w:t>Background</w:t>
      </w:r>
      <w:bookmarkEnd w:id="6"/>
      <w:bookmarkEnd w:id="7"/>
    </w:p>
    <w:p w:rsidR="00814188" w:rsidRDefault="00E84015" w:rsidP="002E771D">
      <w:pPr>
        <w:pStyle w:val="Heading3"/>
        <w:spacing w:before="360"/>
      </w:pPr>
      <w:r>
        <w:t xml:space="preserve">Financial requirements for </w:t>
      </w:r>
      <w:r w:rsidR="003B5B24">
        <w:t xml:space="preserve">retail OTC derivative issuers </w:t>
      </w:r>
    </w:p>
    <w:p w:rsidR="00D2574F" w:rsidRPr="00EC754E" w:rsidRDefault="00D2574F" w:rsidP="00EC754E">
      <w:pPr>
        <w:pStyle w:val="BodyText"/>
      </w:pPr>
      <w:r>
        <w:t xml:space="preserve">The </w:t>
      </w:r>
      <w:r w:rsidR="003B211E">
        <w:t xml:space="preserve">Australian financial </w:t>
      </w:r>
      <w:r w:rsidR="003B211E" w:rsidRPr="00EC754E">
        <w:t>services (</w:t>
      </w:r>
      <w:r w:rsidR="00ED29D5" w:rsidRPr="00ED29D5">
        <w:t>AFS</w:t>
      </w:r>
      <w:r w:rsidR="003B211E" w:rsidRPr="00EC754E">
        <w:t xml:space="preserve">) </w:t>
      </w:r>
      <w:r w:rsidRPr="00EC754E">
        <w:t>licensing provisions of the</w:t>
      </w:r>
      <w:r w:rsidR="003B211E" w:rsidRPr="00EC754E">
        <w:t xml:space="preserve"> </w:t>
      </w:r>
      <w:r w:rsidR="00517971" w:rsidRPr="00EC754E">
        <w:rPr>
          <w:i/>
        </w:rPr>
        <w:t>Corporations Act 2001</w:t>
      </w:r>
      <w:r w:rsidR="003B211E" w:rsidRPr="00EC754E">
        <w:t xml:space="preserve"> (</w:t>
      </w:r>
      <w:r w:rsidR="00ED29D5" w:rsidRPr="00ED29D5">
        <w:t>Corporations Act</w:t>
      </w:r>
      <w:r w:rsidR="003B211E" w:rsidRPr="00EC754E">
        <w:t>), introduced by the</w:t>
      </w:r>
      <w:r w:rsidRPr="00EC754E">
        <w:t xml:space="preserve"> </w:t>
      </w:r>
      <w:r w:rsidR="00ED29D5" w:rsidRPr="00ED29D5">
        <w:rPr>
          <w:i/>
        </w:rPr>
        <w:t>Financial Services Reform Act 2001</w:t>
      </w:r>
      <w:r w:rsidR="003B211E" w:rsidRPr="00EC754E">
        <w:t>,</w:t>
      </w:r>
      <w:r w:rsidRPr="00EC754E">
        <w:t xml:space="preserve"> commenced on 11 March 2002. Under this regime, </w:t>
      </w:r>
      <w:r w:rsidR="003B5B24" w:rsidRPr="00EC754E">
        <w:t>retail OTC derivative i</w:t>
      </w:r>
      <w:r w:rsidRPr="00EC754E">
        <w:t xml:space="preserve">ssuers must </w:t>
      </w:r>
      <w:r w:rsidR="006972E3">
        <w:t>hold</w:t>
      </w:r>
      <w:r w:rsidR="006972E3" w:rsidRPr="00EC754E">
        <w:t xml:space="preserve"> </w:t>
      </w:r>
      <w:r w:rsidRPr="00EC754E">
        <w:t xml:space="preserve">an </w:t>
      </w:r>
      <w:r w:rsidR="003B211E" w:rsidRPr="00EC754E">
        <w:t>AFS</w:t>
      </w:r>
      <w:r w:rsidRPr="00EC754E">
        <w:t xml:space="preserve"> licence that authorises them to</w:t>
      </w:r>
      <w:r w:rsidR="000E7D14" w:rsidRPr="00EC754E">
        <w:t xml:space="preserve"> deal and make a market in derivatives to retail clients.</w:t>
      </w:r>
    </w:p>
    <w:p w:rsidR="00D2574F" w:rsidRPr="00EC754E" w:rsidRDefault="00D2574F" w:rsidP="006D3DD0">
      <w:pPr>
        <w:pStyle w:val="BodyText"/>
      </w:pPr>
      <w:r w:rsidRPr="00EC754E">
        <w:t xml:space="preserve">AFS licensees are subject to the conduct obligations </w:t>
      </w:r>
      <w:r w:rsidR="006972E3">
        <w:t>in</w:t>
      </w:r>
      <w:r w:rsidR="006972E3" w:rsidRPr="00EC754E">
        <w:t xml:space="preserve"> </w:t>
      </w:r>
      <w:r w:rsidRPr="00EC754E">
        <w:t xml:space="preserve">Ch 7 of the </w:t>
      </w:r>
      <w:r w:rsidR="00ED29D5" w:rsidRPr="00ED29D5">
        <w:t>Corporations Act</w:t>
      </w:r>
      <w:r w:rsidRPr="00EC754E">
        <w:t>, including obligations to:</w:t>
      </w:r>
    </w:p>
    <w:p w:rsidR="00D2574F" w:rsidRPr="00EC754E" w:rsidRDefault="00D2574F" w:rsidP="00D2574F">
      <w:pPr>
        <w:pStyle w:val="subparaa"/>
      </w:pPr>
      <w:r w:rsidRPr="00EC754E">
        <w:t xml:space="preserve">have available adequate financial resources to provide the financial services covered by their AFS licence and to carry out supervisory arrangements (see s912A(1)(d)); </w:t>
      </w:r>
    </w:p>
    <w:p w:rsidR="00D2574F" w:rsidRPr="00EC754E" w:rsidRDefault="00D2574F" w:rsidP="00D2574F">
      <w:pPr>
        <w:pStyle w:val="subparaa"/>
      </w:pPr>
      <w:r w:rsidRPr="00EC754E">
        <w:t>do all things necessary to ensure that the financial services covered by</w:t>
      </w:r>
      <w:r w:rsidR="006972E3">
        <w:t> </w:t>
      </w:r>
      <w:r w:rsidRPr="00EC754E">
        <w:t>their AFS licence are provided efficiently, honestly and fairly (see</w:t>
      </w:r>
      <w:r w:rsidR="006972E3">
        <w:t> </w:t>
      </w:r>
      <w:r w:rsidRPr="00EC754E">
        <w:t xml:space="preserve">s912A(1)(a)); </w:t>
      </w:r>
    </w:p>
    <w:p w:rsidR="00D2574F" w:rsidRPr="00EC754E" w:rsidRDefault="008D4ACA" w:rsidP="006D3DD0">
      <w:pPr>
        <w:pStyle w:val="subparaa"/>
      </w:pPr>
      <w:r w:rsidRPr="00EC754E">
        <w:t xml:space="preserve">if not regulated by </w:t>
      </w:r>
      <w:r w:rsidR="006972E3" w:rsidRPr="006972E3">
        <w:t xml:space="preserve">the Australian Prudential Regulation Authority </w:t>
      </w:r>
      <w:r w:rsidR="006972E3">
        <w:t>(</w:t>
      </w:r>
      <w:r w:rsidRPr="00EC754E">
        <w:t>APRA</w:t>
      </w:r>
      <w:r w:rsidR="006972E3">
        <w:t>)</w:t>
      </w:r>
      <w:r w:rsidRPr="00EC754E">
        <w:t xml:space="preserve">, </w:t>
      </w:r>
      <w:r w:rsidR="00D2574F" w:rsidRPr="00EC754E">
        <w:t>have adequate risk management systems (see</w:t>
      </w:r>
      <w:r w:rsidR="006972E3">
        <w:t> </w:t>
      </w:r>
      <w:r w:rsidR="00D2574F" w:rsidRPr="00EC754E">
        <w:t>s912A(1)(h)); and</w:t>
      </w:r>
    </w:p>
    <w:p w:rsidR="00E84015" w:rsidRPr="00EC754E" w:rsidRDefault="00D2574F" w:rsidP="00D2574F">
      <w:pPr>
        <w:pStyle w:val="subparaa"/>
      </w:pPr>
      <w:r w:rsidRPr="00EC754E">
        <w:t xml:space="preserve">comply with the conditions on their AFS licence (see s912A(1)(b)), including </w:t>
      </w:r>
      <w:r w:rsidR="006972E3" w:rsidRPr="006972E3">
        <w:t xml:space="preserve">conditions </w:t>
      </w:r>
      <w:r w:rsidR="006972E3">
        <w:t xml:space="preserve">for </w:t>
      </w:r>
      <w:r w:rsidRPr="00EC754E">
        <w:t>financial requirement</w:t>
      </w:r>
      <w:r w:rsidR="006972E3">
        <w:t>s</w:t>
      </w:r>
      <w:r w:rsidRPr="00EC754E">
        <w:t xml:space="preserve"> and the prescribed conditions under reg 7.6.04 of the Corporations Regulations 2001 (</w:t>
      </w:r>
      <w:r w:rsidR="00ED29D5" w:rsidRPr="00ED29D5">
        <w:t>Corporations Regulations</w:t>
      </w:r>
      <w:r w:rsidRPr="00EC754E">
        <w:t>).</w:t>
      </w:r>
    </w:p>
    <w:p w:rsidR="00366A0E" w:rsidRDefault="00366A0E" w:rsidP="006D3DD0">
      <w:pPr>
        <w:pStyle w:val="BodyText"/>
      </w:pPr>
      <w:r>
        <w:t xml:space="preserve">As part of our role as regulator of the financial services </w:t>
      </w:r>
      <w:r w:rsidR="006972E3">
        <w:t>sector</w:t>
      </w:r>
      <w:r>
        <w:t xml:space="preserve">, we are responsible for administering the minimum financial requirements that an AFS licensee must meet. These requirements are set </w:t>
      </w:r>
      <w:r w:rsidR="006972E3">
        <w:t>under</w:t>
      </w:r>
      <w:r>
        <w:t xml:space="preserve"> s912A(1)(d) and clarified </w:t>
      </w:r>
      <w:r w:rsidR="006972E3">
        <w:t>through</w:t>
      </w:r>
      <w:r>
        <w:t xml:space="preserve"> licence conditions. The pro forma licence conditions are set out in Pro Forma 209 </w:t>
      </w:r>
      <w:r w:rsidRPr="00366A0E">
        <w:rPr>
          <w:i/>
        </w:rPr>
        <w:t>Australian financial services licence conditions</w:t>
      </w:r>
      <w:r>
        <w:t xml:space="preserve"> (PF</w:t>
      </w:r>
      <w:r w:rsidR="006972E3">
        <w:t> </w:t>
      </w:r>
      <w:r>
        <w:t xml:space="preserve">209) and are further explained in Regulatory Guide 166 </w:t>
      </w:r>
      <w:r w:rsidR="00ED29D5" w:rsidRPr="00ED29D5">
        <w:rPr>
          <w:i/>
        </w:rPr>
        <w:t xml:space="preserve">Licensing: </w:t>
      </w:r>
      <w:r w:rsidRPr="006972E3">
        <w:rPr>
          <w:i/>
        </w:rPr>
        <w:t>Financial requirements</w:t>
      </w:r>
      <w:r>
        <w:t xml:space="preserve"> (RG 166). </w:t>
      </w:r>
    </w:p>
    <w:p w:rsidR="00366A0E" w:rsidRDefault="006972E3" w:rsidP="00366A0E">
      <w:pPr>
        <w:pStyle w:val="BodyText"/>
      </w:pPr>
      <w:r>
        <w:t>T</w:t>
      </w:r>
      <w:r w:rsidR="00366A0E">
        <w:t xml:space="preserve">he financial requirements </w:t>
      </w:r>
      <w:r>
        <w:t xml:space="preserve">for </w:t>
      </w:r>
      <w:r w:rsidR="00366A0E">
        <w:t>AFS licensees are designed to ensure that:</w:t>
      </w:r>
    </w:p>
    <w:p w:rsidR="00366A0E" w:rsidRDefault="006972E3" w:rsidP="00366A0E">
      <w:pPr>
        <w:pStyle w:val="subparaa"/>
      </w:pPr>
      <w:r w:rsidRPr="006972E3">
        <w:t xml:space="preserve">licensees </w:t>
      </w:r>
      <w:r w:rsidR="00366A0E">
        <w:t>have sufficient financial resources to conduct their financial services business in compliance with the Corporations Act;</w:t>
      </w:r>
    </w:p>
    <w:p w:rsidR="00366A0E" w:rsidRDefault="00366A0E" w:rsidP="00366A0E">
      <w:pPr>
        <w:pStyle w:val="subparaa"/>
      </w:pPr>
      <w:r>
        <w:t xml:space="preserve">there is a financial buffer that decreases the risk of </w:t>
      </w:r>
      <w:r w:rsidR="006972E3">
        <w:t xml:space="preserve">a </w:t>
      </w:r>
      <w:r>
        <w:t>disorderly or non-compliant wind</w:t>
      </w:r>
      <w:r w:rsidR="006972E3">
        <w:t>-</w:t>
      </w:r>
      <w:r>
        <w:t>up if the business fails; and</w:t>
      </w:r>
    </w:p>
    <w:p w:rsidR="00366A0E" w:rsidRPr="00C10076" w:rsidRDefault="00366A0E" w:rsidP="00366A0E">
      <w:pPr>
        <w:pStyle w:val="subparaa"/>
      </w:pPr>
      <w:r>
        <w:t xml:space="preserve">there are incentives for owners </w:t>
      </w:r>
      <w:r w:rsidR="008F6041">
        <w:t xml:space="preserve">of the business </w:t>
      </w:r>
      <w:r>
        <w:t>to comply with the Corporations Act through risk of financial loss</w:t>
      </w:r>
      <w:r w:rsidR="006972E3">
        <w:t xml:space="preserve">: see </w:t>
      </w:r>
      <w:r w:rsidR="00ED29D5" w:rsidRPr="00C10076">
        <w:t>RG 166.12</w:t>
      </w:r>
      <w:r w:rsidRPr="00C10076">
        <w:t>.</w:t>
      </w:r>
    </w:p>
    <w:p w:rsidR="00366A0E" w:rsidRDefault="008D4ACA" w:rsidP="00366A0E">
      <w:pPr>
        <w:pStyle w:val="BodyText"/>
      </w:pPr>
      <w:r w:rsidRPr="00BD565A">
        <w:lastRenderedPageBreak/>
        <w:t>The AFS l</w:t>
      </w:r>
      <w:r w:rsidR="009A66B7" w:rsidRPr="00BD565A">
        <w:t>icensing regime</w:t>
      </w:r>
      <w:r w:rsidR="009A66B7">
        <w:t xml:space="preserve"> and, by extension, </w:t>
      </w:r>
      <w:r w:rsidR="00366A0E" w:rsidRPr="00366A0E">
        <w:t xml:space="preserve">PF 209 and RG 166 apply to </w:t>
      </w:r>
      <w:r w:rsidR="009A66B7">
        <w:t>a diverse range of business types in the financial services sector</w:t>
      </w:r>
      <w:r w:rsidR="00366A0E">
        <w:t>, including financial advisers</w:t>
      </w:r>
      <w:r w:rsidR="00366A0E" w:rsidRPr="00366A0E">
        <w:t>,</w:t>
      </w:r>
      <w:r w:rsidR="00366A0E">
        <w:t xml:space="preserve"> responsible entities, custodians and</w:t>
      </w:r>
      <w:r w:rsidR="00366A0E" w:rsidRPr="00366A0E">
        <w:t xml:space="preserve"> margin lende</w:t>
      </w:r>
      <w:r w:rsidR="00366A0E">
        <w:t>rs</w:t>
      </w:r>
      <w:r w:rsidR="009A66B7">
        <w:t xml:space="preserve">. </w:t>
      </w:r>
    </w:p>
    <w:p w:rsidR="009A66B7" w:rsidRDefault="008D4ACA" w:rsidP="00366A0E">
      <w:pPr>
        <w:pStyle w:val="BodyText"/>
      </w:pPr>
      <w:r>
        <w:t>All AFS l</w:t>
      </w:r>
      <w:r w:rsidR="003605E5">
        <w:t>icences, exc</w:t>
      </w:r>
      <w:r w:rsidR="00BD565A">
        <w:t>ept</w:t>
      </w:r>
      <w:r w:rsidR="003605E5">
        <w:t xml:space="preserve"> those </w:t>
      </w:r>
      <w:r w:rsidR="00BD565A">
        <w:t xml:space="preserve">for </w:t>
      </w:r>
      <w:r w:rsidR="003605E5">
        <w:t>licensed market and clearing participants and bodies regulated by APRA, include conditions</w:t>
      </w:r>
      <w:r w:rsidR="00BD565A">
        <w:t xml:space="preserve"> for</w:t>
      </w:r>
      <w:r w:rsidR="000D5C64">
        <w:t xml:space="preserve"> </w:t>
      </w:r>
      <w:r w:rsidR="00B81B40" w:rsidRPr="00974EB5">
        <w:rPr>
          <w:i/>
        </w:rPr>
        <w:t xml:space="preserve">base level financial </w:t>
      </w:r>
      <w:r w:rsidR="00974EB5" w:rsidRPr="00974EB5">
        <w:rPr>
          <w:i/>
        </w:rPr>
        <w:t>requirements</w:t>
      </w:r>
      <w:r w:rsidR="00BD565A">
        <w:t>.</w:t>
      </w:r>
      <w:r w:rsidR="003605E5">
        <w:t xml:space="preserve"> </w:t>
      </w:r>
      <w:r w:rsidR="00BD565A">
        <w:t xml:space="preserve">These </w:t>
      </w:r>
      <w:r w:rsidR="003605E5">
        <w:t>require</w:t>
      </w:r>
      <w:r w:rsidR="00BD565A">
        <w:t>ments specify</w:t>
      </w:r>
      <w:r w:rsidR="00894EBB">
        <w:t xml:space="preserve"> that the </w:t>
      </w:r>
      <w:r w:rsidR="00BD565A">
        <w:t>l</w:t>
      </w:r>
      <w:r w:rsidR="00894EBB">
        <w:t>icensee</w:t>
      </w:r>
      <w:r w:rsidR="00BD565A">
        <w:t xml:space="preserve"> must</w:t>
      </w:r>
      <w:r w:rsidR="003605E5">
        <w:t>:</w:t>
      </w:r>
    </w:p>
    <w:p w:rsidR="00894EBB" w:rsidRDefault="00894EBB" w:rsidP="002E771D">
      <w:pPr>
        <w:pStyle w:val="subparaa"/>
        <w:spacing w:before="80"/>
      </w:pPr>
      <w:r>
        <w:t>be solvent;</w:t>
      </w:r>
    </w:p>
    <w:p w:rsidR="00894EBB" w:rsidRDefault="00894EBB" w:rsidP="002E771D">
      <w:pPr>
        <w:pStyle w:val="subparaa"/>
        <w:spacing w:before="80"/>
      </w:pPr>
      <w:r>
        <w:t xml:space="preserve">have more assets than liabilities; </w:t>
      </w:r>
    </w:p>
    <w:p w:rsidR="00917AD6" w:rsidRDefault="00894EBB" w:rsidP="002E771D">
      <w:pPr>
        <w:pStyle w:val="subparaa"/>
        <w:spacing w:before="80"/>
      </w:pPr>
      <w:r>
        <w:t xml:space="preserve">elect one of five options to demonstrate they meet the cash needs requirement of PF 209, </w:t>
      </w:r>
      <w:r w:rsidR="00917AD6">
        <w:t xml:space="preserve">which </w:t>
      </w:r>
      <w:r>
        <w:t>includ</w:t>
      </w:r>
      <w:r w:rsidR="00917AD6">
        <w:t>e</w:t>
      </w:r>
      <w:r>
        <w:t xml:space="preserve"> preparing a cash flow </w:t>
      </w:r>
      <w:r w:rsidR="00917AD6">
        <w:t xml:space="preserve">forecast </w:t>
      </w:r>
      <w:r>
        <w:t>for the next three months, providing an eligible undertaking or evidence of other support from an authorised deposit-taking institution (ADI), or its parent providing a cash flow forecast for the next three months (</w:t>
      </w:r>
      <w:r w:rsidR="00917AD6">
        <w:t>only some</w:t>
      </w:r>
      <w:r w:rsidR="008F6041">
        <w:t xml:space="preserve"> of the</w:t>
      </w:r>
      <w:r>
        <w:t xml:space="preserve"> options require a </w:t>
      </w:r>
      <w:r w:rsidR="00C1272A" w:rsidRPr="00917AD6">
        <w:t xml:space="preserve">three-month </w:t>
      </w:r>
      <w:r>
        <w:t>cash flow fo</w:t>
      </w:r>
      <w:r w:rsidR="008D4ACA">
        <w:t>recast</w:t>
      </w:r>
      <w:r w:rsidR="00C1272A">
        <w:t>)</w:t>
      </w:r>
      <w:r w:rsidR="00917AD6">
        <w:t>; and</w:t>
      </w:r>
    </w:p>
    <w:p w:rsidR="00ED29D5" w:rsidRDefault="00917AD6" w:rsidP="002E771D">
      <w:pPr>
        <w:pStyle w:val="subparaa"/>
        <w:spacing w:before="80"/>
      </w:pPr>
      <w:r>
        <w:t>include information on their compliance with the financial requirements in their audit report to ASIC under s989B(3), or as requested: see Section B of RG 166.</w:t>
      </w:r>
    </w:p>
    <w:p w:rsidR="00C140A6" w:rsidRPr="00102A61" w:rsidRDefault="00974EB5" w:rsidP="00C1272A">
      <w:pPr>
        <w:pStyle w:val="BodyText"/>
      </w:pPr>
      <w:r>
        <w:t>As well as the base</w:t>
      </w:r>
      <w:r w:rsidR="00C140A6">
        <w:t xml:space="preserve"> level financial requirements, PF 209 includes </w:t>
      </w:r>
      <w:r w:rsidR="00D64DA6">
        <w:rPr>
          <w:i/>
        </w:rPr>
        <w:t xml:space="preserve">additional </w:t>
      </w:r>
      <w:r w:rsidR="00C140A6" w:rsidRPr="00C140A6">
        <w:rPr>
          <w:i/>
        </w:rPr>
        <w:t>financial requirements</w:t>
      </w:r>
      <w:r w:rsidR="00C140A6">
        <w:t>. These requ</w:t>
      </w:r>
      <w:r w:rsidR="008D4ACA">
        <w:t xml:space="preserve">irements apply to </w:t>
      </w:r>
      <w:r w:rsidR="00ED29D5" w:rsidRPr="00ED29D5">
        <w:t>licensees that hold client money or property and/or transact with clients as principal</w:t>
      </w:r>
      <w:r w:rsidR="00346A0B">
        <w:t>. This includes</w:t>
      </w:r>
      <w:r w:rsidR="00346A0B" w:rsidRPr="00346A0B">
        <w:t xml:space="preserve"> </w:t>
      </w:r>
      <w:r w:rsidR="003B5B24">
        <w:t>retail OTC derivative issuers</w:t>
      </w:r>
      <w:r w:rsidR="008D4ACA">
        <w:t xml:space="preserve"> </w:t>
      </w:r>
      <w:r w:rsidR="00991801">
        <w:t>because</w:t>
      </w:r>
      <w:r w:rsidR="00C140A6">
        <w:t xml:space="preserve"> OTC derivatives are contractual arrangements in which </w:t>
      </w:r>
      <w:r w:rsidR="00AD15FF">
        <w:t>the issuer holds client money and the issuer and its client trade as principals.</w:t>
      </w:r>
    </w:p>
    <w:p w:rsidR="00346A0B" w:rsidRPr="00102A61" w:rsidRDefault="00AD15FF" w:rsidP="00346A0B">
      <w:pPr>
        <w:pStyle w:val="BodyText"/>
        <w:ind w:right="-284"/>
      </w:pPr>
      <w:r>
        <w:t>Under these requirements, the licensee must hold at least $50,000 in surplus liquid funds (SLF) if at any time it:</w:t>
      </w:r>
    </w:p>
    <w:p w:rsidR="00346A0B" w:rsidRPr="00102A61" w:rsidRDefault="00AD15FF" w:rsidP="00346A0B">
      <w:pPr>
        <w:pStyle w:val="subparaa"/>
        <w:tabs>
          <w:tab w:val="left" w:pos="2693"/>
          <w:tab w:val="num" w:pos="6095"/>
        </w:tabs>
      </w:pPr>
      <w:r>
        <w:t xml:space="preserve">is required to hold money in a separate account under Div 2 of Pt 7.8; </w:t>
      </w:r>
    </w:p>
    <w:p w:rsidR="00346A0B" w:rsidRPr="00102A61" w:rsidRDefault="00AD15FF" w:rsidP="00346A0B">
      <w:pPr>
        <w:pStyle w:val="subparaa"/>
        <w:tabs>
          <w:tab w:val="left" w:pos="2693"/>
          <w:tab w:val="num" w:pos="6095"/>
        </w:tabs>
      </w:pPr>
      <w:r>
        <w:t>holds money or other property on trust for a client or is required to do so under reg 7.8.07(2) or otherwise; or</w:t>
      </w:r>
    </w:p>
    <w:p w:rsidR="00346A0B" w:rsidRPr="00102A61" w:rsidRDefault="00AD15FF" w:rsidP="00346A0B">
      <w:pPr>
        <w:pStyle w:val="subparaa"/>
        <w:tabs>
          <w:tab w:val="left" w:pos="2693"/>
          <w:tab w:val="num" w:pos="6095"/>
        </w:tabs>
      </w:pPr>
      <w:r>
        <w:t>has the power to dispose of a client</w:t>
      </w:r>
      <w:r w:rsidR="00927BB5">
        <w:t>’</w:t>
      </w:r>
      <w:r>
        <w:t>s property under power of attorney or otherwise,</w:t>
      </w:r>
    </w:p>
    <w:p w:rsidR="00346A0B" w:rsidRPr="00926C2D" w:rsidRDefault="00AD15FF" w:rsidP="00346A0B">
      <w:pPr>
        <w:pStyle w:val="Bodytextplain"/>
        <w:spacing w:before="120"/>
      </w:pPr>
      <w:r>
        <w:t>unless the value of the money and property for all clients in total is less than $100,000: see Section E of RG 166.</w:t>
      </w:r>
    </w:p>
    <w:p w:rsidR="00C140A6" w:rsidRDefault="00346A0B" w:rsidP="006D3DD0">
      <w:pPr>
        <w:pStyle w:val="BodyText"/>
      </w:pPr>
      <w:r>
        <w:t>A</w:t>
      </w:r>
      <w:r w:rsidR="00C140A6" w:rsidRPr="00C140A6">
        <w:t xml:space="preserve"> licensee </w:t>
      </w:r>
      <w:r>
        <w:t xml:space="preserve">that </w:t>
      </w:r>
      <w:r w:rsidR="00C140A6" w:rsidRPr="00C140A6">
        <w:t>transact</w:t>
      </w:r>
      <w:r>
        <w:t>s</w:t>
      </w:r>
      <w:r w:rsidR="00C140A6" w:rsidRPr="00C140A6">
        <w:t xml:space="preserve"> with clients</w:t>
      </w:r>
      <w:r w:rsidR="00C140A6">
        <w:t xml:space="preserve"> </w:t>
      </w:r>
      <w:r>
        <w:t>as principal must</w:t>
      </w:r>
      <w:r w:rsidR="00C140A6">
        <w:t xml:space="preserve"> </w:t>
      </w:r>
      <w:r w:rsidR="0032709A">
        <w:t xml:space="preserve">hold </w:t>
      </w:r>
      <w:r w:rsidR="00C140A6">
        <w:t>adjusted surplus liquid funds (ASLF) of the sum of:</w:t>
      </w:r>
    </w:p>
    <w:p w:rsidR="00C140A6" w:rsidRDefault="00C140A6" w:rsidP="00C140A6">
      <w:pPr>
        <w:pStyle w:val="subparaa"/>
      </w:pPr>
      <w:r>
        <w:t>$50,000; plus</w:t>
      </w:r>
    </w:p>
    <w:p w:rsidR="00C140A6" w:rsidRDefault="00C140A6" w:rsidP="00C140A6">
      <w:pPr>
        <w:pStyle w:val="subparaa"/>
      </w:pPr>
      <w:bookmarkStart w:id="8" w:name="_ASICRef705"/>
      <w:r>
        <w:t>5% of adjusted liabilities between $1 million and $100 million; plus</w:t>
      </w:r>
      <w:bookmarkEnd w:id="8"/>
    </w:p>
    <w:p w:rsidR="00C140A6" w:rsidRDefault="00C140A6" w:rsidP="006D3DD0">
      <w:pPr>
        <w:pStyle w:val="subparaa"/>
      </w:pPr>
      <w:bookmarkStart w:id="9" w:name="_ASICRef533"/>
      <w:r>
        <w:t>0.5% of adjusted liabilities for any amount of adjusted liabilities exceeding $100 million,</w:t>
      </w:r>
      <w:bookmarkEnd w:id="9"/>
    </w:p>
    <w:p w:rsidR="00C1272A" w:rsidRDefault="00C140A6" w:rsidP="00C140A6">
      <w:pPr>
        <w:pStyle w:val="BodyText"/>
        <w:numPr>
          <w:ilvl w:val="0"/>
          <w:numId w:val="0"/>
        </w:numPr>
        <w:ind w:left="2268"/>
      </w:pPr>
      <w:r>
        <w:t>up to a maximum ASLF of $100 million</w:t>
      </w:r>
      <w:r w:rsidR="00346A0B">
        <w:t>:</w:t>
      </w:r>
      <w:r w:rsidR="00346A0B" w:rsidRPr="00346A0B">
        <w:rPr>
          <w:szCs w:val="20"/>
        </w:rPr>
        <w:t xml:space="preserve"> </w:t>
      </w:r>
      <w:r w:rsidR="00346A0B" w:rsidRPr="00346A0B">
        <w:t>see Section F of RG 166.</w:t>
      </w:r>
      <w:r w:rsidR="00C10076">
        <w:t xml:space="preserve"> </w:t>
      </w:r>
    </w:p>
    <w:p w:rsidR="00654273" w:rsidRDefault="00F44B8B" w:rsidP="00654273">
      <w:pPr>
        <w:pStyle w:val="BodyText"/>
      </w:pPr>
      <w:r>
        <w:lastRenderedPageBreak/>
        <w:t xml:space="preserve">It should be noted that the amount of ASLF </w:t>
      </w:r>
      <w:r w:rsidR="0032709A" w:rsidRPr="0032709A">
        <w:t xml:space="preserve">required </w:t>
      </w:r>
      <w:r>
        <w:t>increases as the issuer</w:t>
      </w:r>
      <w:r w:rsidR="00927BB5">
        <w:t>’</w:t>
      </w:r>
      <w:r>
        <w:t>s liabilities expand</w:t>
      </w:r>
      <w:r w:rsidR="0032709A">
        <w:sym w:font="Symbol" w:char="F0BE"/>
      </w:r>
      <w:r w:rsidR="0032709A">
        <w:t>t</w:t>
      </w:r>
      <w:r>
        <w:t>hat is, as the issuer</w:t>
      </w:r>
      <w:r w:rsidR="00927BB5">
        <w:t>’</w:t>
      </w:r>
      <w:r>
        <w:t xml:space="preserve">s business grows and takes on more clients, trading as principal, it is required to hold more ASLF, based on the variable requirements at </w:t>
      </w:r>
      <w:r w:rsidR="00465B35">
        <w:t xml:space="preserve">paragraphs </w:t>
      </w:r>
      <w:r w:rsidR="00543607">
        <w:fldChar w:fldCharType="begin"/>
      </w:r>
      <w:r w:rsidR="0032709A">
        <w:instrText xml:space="preserve"> REF _ASICRef705 \w \h </w:instrText>
      </w:r>
      <w:r w:rsidR="00543607">
        <w:fldChar w:fldCharType="separate"/>
      </w:r>
      <w:r w:rsidR="00337A8C">
        <w:t>12(b)</w:t>
      </w:r>
      <w:r w:rsidR="00543607">
        <w:fldChar w:fldCharType="end"/>
      </w:r>
      <w:r w:rsidR="0032709A">
        <w:t xml:space="preserve"> and </w:t>
      </w:r>
      <w:r w:rsidR="00543607">
        <w:fldChar w:fldCharType="begin"/>
      </w:r>
      <w:r w:rsidR="0032709A">
        <w:instrText xml:space="preserve"> REF _ASICRef533 \w \h </w:instrText>
      </w:r>
      <w:r w:rsidR="00543607">
        <w:fldChar w:fldCharType="separate"/>
      </w:r>
      <w:r w:rsidR="00337A8C">
        <w:t>12(c)</w:t>
      </w:r>
      <w:r w:rsidR="00543607">
        <w:fldChar w:fldCharType="end"/>
      </w:r>
      <w:r>
        <w:t xml:space="preserve">. Issuers in the start-up phase, who are yet to obtain a large number of clients, are likely to </w:t>
      </w:r>
      <w:r w:rsidR="00465B35">
        <w:t>need to meet only</w:t>
      </w:r>
      <w:r>
        <w:t xml:space="preserve"> the base requirement of $50,000.</w:t>
      </w:r>
      <w:r w:rsidR="006A21D6">
        <w:t xml:space="preserve"> </w:t>
      </w:r>
    </w:p>
    <w:p w:rsidR="008431A3" w:rsidRDefault="00C140A6" w:rsidP="006D3DD0">
      <w:pPr>
        <w:pStyle w:val="BodyText"/>
      </w:pPr>
      <w:r>
        <w:t>PF 209 and RG 166 provide information about calculati</w:t>
      </w:r>
      <w:r w:rsidR="00346A0B">
        <w:t>ng</w:t>
      </w:r>
      <w:r>
        <w:t xml:space="preserve"> </w:t>
      </w:r>
      <w:r w:rsidR="00AD15FF">
        <w:t>SLF and</w:t>
      </w:r>
      <w:r w:rsidR="00346A0B">
        <w:t xml:space="preserve"> </w:t>
      </w:r>
      <w:r>
        <w:t xml:space="preserve">ASLF. </w:t>
      </w:r>
    </w:p>
    <w:p w:rsidR="00C140A6" w:rsidRDefault="0032709A" w:rsidP="00C140A6">
      <w:pPr>
        <w:pStyle w:val="Heading3"/>
      </w:pPr>
      <w:r w:rsidRPr="0032709A">
        <w:t>The retail OTC derivative sector</w:t>
      </w:r>
    </w:p>
    <w:p w:rsidR="00474A60" w:rsidRDefault="003B5B24" w:rsidP="00474A60">
      <w:pPr>
        <w:pStyle w:val="BodyText"/>
      </w:pPr>
      <w:r>
        <w:t>R</w:t>
      </w:r>
      <w:r w:rsidR="00474A60">
        <w:t xml:space="preserve">etail OTC derivatives allow retail clients to gain exposure to asset classes (such as shares and currencies) without the need to purchase the underlying assets. </w:t>
      </w:r>
      <w:r>
        <w:t>OTC derivatives</w:t>
      </w:r>
      <w:r w:rsidR="00474A60">
        <w:t xml:space="preserve"> are</w:t>
      </w:r>
      <w:r>
        <w:t xml:space="preserve"> usually</w:t>
      </w:r>
      <w:r w:rsidR="00474A60">
        <w:t xml:space="preserve"> leveraged products whereby, for a small upfront deposit (initial margin)</w:t>
      </w:r>
      <w:r w:rsidR="0032709A">
        <w:t>,</w:t>
      </w:r>
      <w:r w:rsidR="00474A60">
        <w:t xml:space="preserve"> the client can gain large notional exposure to the value of the underlying asset. However, </w:t>
      </w:r>
      <w:r>
        <w:t>derivative</w:t>
      </w:r>
      <w:r w:rsidR="00474A60">
        <w:t xml:space="preserve"> positions are marked to market</w:t>
      </w:r>
      <w:r w:rsidR="00801734">
        <w:t>, normally in real time,</w:t>
      </w:r>
      <w:r w:rsidR="00474A60">
        <w:t xml:space="preserve"> and </w:t>
      </w:r>
      <w:r>
        <w:t>i</w:t>
      </w:r>
      <w:r w:rsidR="00474A60">
        <w:t xml:space="preserve">ssuers will make margin calls on client positions if the price of the underlying asset, against which the </w:t>
      </w:r>
      <w:r>
        <w:t>derivative</w:t>
      </w:r>
      <w:r w:rsidR="00474A60">
        <w:t xml:space="preserve"> is written, </w:t>
      </w:r>
      <w:r>
        <w:t>moves against the client.</w:t>
      </w:r>
    </w:p>
    <w:p w:rsidR="00474A60" w:rsidRDefault="00474A60" w:rsidP="00474A60">
      <w:pPr>
        <w:pStyle w:val="BodyText"/>
      </w:pPr>
      <w:r>
        <w:t>The combinatio</w:t>
      </w:r>
      <w:r w:rsidR="00801734">
        <w:t>n of leverage and the principal-to-</w:t>
      </w:r>
      <w:r>
        <w:t>p</w:t>
      </w:r>
      <w:r w:rsidR="00801734">
        <w:t xml:space="preserve">rincipal nature of </w:t>
      </w:r>
      <w:r w:rsidR="003B5B24">
        <w:t>OTC derivative trading</w:t>
      </w:r>
      <w:r w:rsidR="00801734">
        <w:t>,</w:t>
      </w:r>
      <w:r>
        <w:t xml:space="preserve"> which gives ris</w:t>
      </w:r>
      <w:r w:rsidR="00801734">
        <w:t>e to counterparty default risk,</w:t>
      </w:r>
      <w:r>
        <w:t xml:space="preserve"> means</w:t>
      </w:r>
      <w:r w:rsidR="003B5B24">
        <w:t xml:space="preserve"> OTC derivatives</w:t>
      </w:r>
      <w:r>
        <w:t xml:space="preserve"> are usually regarded as high</w:t>
      </w:r>
      <w:r w:rsidR="0032709A">
        <w:t>-</w:t>
      </w:r>
      <w:r>
        <w:t>risk products for retail clients.</w:t>
      </w:r>
    </w:p>
    <w:p w:rsidR="00474A60" w:rsidRDefault="003B5B24" w:rsidP="00474A60">
      <w:pPr>
        <w:pStyle w:val="BodyText"/>
      </w:pPr>
      <w:r>
        <w:t>Retail OTC derivatives</w:t>
      </w:r>
      <w:r w:rsidR="00474A60">
        <w:t xml:space="preserve"> are usually traded by clients online, via</w:t>
      </w:r>
      <w:r w:rsidR="00F77FFA">
        <w:t xml:space="preserve"> platforms provided by </w:t>
      </w:r>
      <w:r w:rsidR="0032709A">
        <w:t xml:space="preserve">the </w:t>
      </w:r>
      <w:r>
        <w:t>i</w:t>
      </w:r>
      <w:r w:rsidR="00474A60">
        <w:t xml:space="preserve">ssuer. </w:t>
      </w:r>
      <w:r w:rsidR="00F77FFA">
        <w:t>In most cases, clients make their own trading decisions and do not receive personal advice from</w:t>
      </w:r>
      <w:r>
        <w:t xml:space="preserve"> either</w:t>
      </w:r>
      <w:r w:rsidR="00801734">
        <w:t xml:space="preserve"> </w:t>
      </w:r>
      <w:r>
        <w:t>i</w:t>
      </w:r>
      <w:r w:rsidR="00801734">
        <w:t>ssuers or any other AFS l</w:t>
      </w:r>
      <w:r w:rsidR="00F77FFA">
        <w:t xml:space="preserve">icensee in connection with their </w:t>
      </w:r>
      <w:r w:rsidR="0083380A">
        <w:t>derivative</w:t>
      </w:r>
      <w:r w:rsidR="00F77FFA">
        <w:t xml:space="preserve"> trading.</w:t>
      </w:r>
      <w:r w:rsidR="000D5C64">
        <w:t xml:space="preserve"> </w:t>
      </w:r>
    </w:p>
    <w:p w:rsidR="005809E9" w:rsidRDefault="005809E9" w:rsidP="00474A60">
      <w:pPr>
        <w:pStyle w:val="BodyText"/>
      </w:pPr>
      <w:r>
        <w:t xml:space="preserve">There are </w:t>
      </w:r>
      <w:r w:rsidRPr="00801734">
        <w:t>approximate</w:t>
      </w:r>
      <w:r w:rsidR="00801734" w:rsidRPr="00801734">
        <w:t>ly</w:t>
      </w:r>
      <w:r w:rsidR="00B111C4">
        <w:t xml:space="preserve"> </w:t>
      </w:r>
      <w:r w:rsidR="002E3E16" w:rsidRPr="002E3E16">
        <w:t>4</w:t>
      </w:r>
      <w:r w:rsidR="007D5E03">
        <w:t>6</w:t>
      </w:r>
      <w:r w:rsidRPr="00801734">
        <w:t xml:space="preserve"> AFS </w:t>
      </w:r>
      <w:r w:rsidR="0032709A">
        <w:t>l</w:t>
      </w:r>
      <w:r w:rsidRPr="00801734">
        <w:t xml:space="preserve">icensees that are actively offering </w:t>
      </w:r>
      <w:r w:rsidR="0083380A">
        <w:t>retail OTC derivatives</w:t>
      </w:r>
      <w:r w:rsidRPr="00801734">
        <w:t xml:space="preserve"> to retail clients</w:t>
      </w:r>
      <w:r w:rsidR="003B211E">
        <w:t>, as at January 2012</w:t>
      </w:r>
      <w:r w:rsidRPr="00801734">
        <w:t xml:space="preserve">. </w:t>
      </w:r>
      <w:r w:rsidR="00474A60" w:rsidRPr="00801734">
        <w:t>According to Investment Trends, there</w:t>
      </w:r>
      <w:r w:rsidR="00474A60">
        <w:t xml:space="preserve"> were almost 40,000 active</w:t>
      </w:r>
      <w:r w:rsidR="0083380A">
        <w:t xml:space="preserve"> retail OTC derivative clients</w:t>
      </w:r>
      <w:r w:rsidR="0032709A">
        <w:t>,</w:t>
      </w:r>
      <w:r w:rsidR="00474A60">
        <w:t xml:space="preserve"> as </w:t>
      </w:r>
      <w:r w:rsidR="0032709A">
        <w:t xml:space="preserve">at </w:t>
      </w:r>
      <w:r w:rsidR="00474A60">
        <w:t>May 2010</w:t>
      </w:r>
      <w:r w:rsidR="0032709A">
        <w:t>.</w:t>
      </w:r>
      <w:r w:rsidR="008270C0">
        <w:rPr>
          <w:rStyle w:val="FootnoteReference"/>
        </w:rPr>
        <w:footnoteReference w:id="2"/>
      </w:r>
      <w:r w:rsidR="00474A60">
        <w:t xml:space="preserve"> The sector has continued to grow in spite of market volatility. Our market intelligence suggests that recent growth has been in </w:t>
      </w:r>
      <w:r w:rsidR="0083380A">
        <w:t>derivatives</w:t>
      </w:r>
      <w:r w:rsidR="00474A60">
        <w:t xml:space="preserve"> written over </w:t>
      </w:r>
      <w:r w:rsidR="00927BB5">
        <w:t>‘</w:t>
      </w:r>
      <w:r w:rsidR="00474A60">
        <w:t>macro</w:t>
      </w:r>
      <w:r w:rsidR="00927BB5">
        <w:t>’</w:t>
      </w:r>
      <w:r w:rsidR="00474A60">
        <w:t xml:space="preserve"> asset classes, such as currencies, commodities and indices, rather than </w:t>
      </w:r>
      <w:r w:rsidR="0032709A">
        <w:t xml:space="preserve">in </w:t>
      </w:r>
      <w:r w:rsidR="00474A60">
        <w:t xml:space="preserve">the traditional single-stock CFDs. </w:t>
      </w:r>
    </w:p>
    <w:p w:rsidR="00F77FFA" w:rsidRDefault="00F77FFA" w:rsidP="00474A60">
      <w:pPr>
        <w:pStyle w:val="BodyText"/>
      </w:pPr>
      <w:r>
        <w:t xml:space="preserve">While there are a number of </w:t>
      </w:r>
      <w:r w:rsidR="0083380A">
        <w:t xml:space="preserve">retail OTC derivative </w:t>
      </w:r>
      <w:r w:rsidR="007A13CF">
        <w:t>i</w:t>
      </w:r>
      <w:r>
        <w:t xml:space="preserve">ssuers in the marketplace, market share is </w:t>
      </w:r>
      <w:r w:rsidR="006A3A61">
        <w:t xml:space="preserve">more </w:t>
      </w:r>
      <w:r>
        <w:t xml:space="preserve">concentrated, with </w:t>
      </w:r>
      <w:r w:rsidR="008431A3">
        <w:t>a handful of</w:t>
      </w:r>
      <w:r>
        <w:t xml:space="preserve"> </w:t>
      </w:r>
      <w:r w:rsidR="0083380A">
        <w:t>i</w:t>
      </w:r>
      <w:r>
        <w:t xml:space="preserve">ssuers </w:t>
      </w:r>
      <w:r w:rsidR="008431A3">
        <w:t>controlling well over</w:t>
      </w:r>
      <w:r>
        <w:t xml:space="preserve"> half of the market</w:t>
      </w:r>
      <w:r w:rsidR="00EF760A">
        <w:t>.</w:t>
      </w:r>
      <w:r w:rsidR="008270C0">
        <w:rPr>
          <w:rStyle w:val="FootnoteReference"/>
        </w:rPr>
        <w:footnoteReference w:id="3"/>
      </w:r>
      <w:r>
        <w:t xml:space="preserve"> </w:t>
      </w:r>
      <w:r w:rsidR="008431A3">
        <w:t xml:space="preserve">The sector can thus be seen to have a </w:t>
      </w:r>
      <w:r w:rsidR="00927BB5">
        <w:t>‘</w:t>
      </w:r>
      <w:r w:rsidR="008431A3">
        <w:t>long tail</w:t>
      </w:r>
      <w:r w:rsidR="00927BB5">
        <w:t>’</w:t>
      </w:r>
      <w:r w:rsidR="008431A3">
        <w:t xml:space="preserve"> of smaller issuers.</w:t>
      </w:r>
    </w:p>
    <w:p w:rsidR="00B81B40" w:rsidRPr="00E84015" w:rsidRDefault="008431A3" w:rsidP="002E771D">
      <w:pPr>
        <w:pStyle w:val="BodyText"/>
        <w:ind w:right="-284"/>
      </w:pPr>
      <w:r>
        <w:t xml:space="preserve">Many of the smaller </w:t>
      </w:r>
      <w:r w:rsidR="0083380A">
        <w:t>retail OTC derivative i</w:t>
      </w:r>
      <w:r>
        <w:t xml:space="preserve">ssuers use </w:t>
      </w:r>
      <w:r w:rsidR="00927BB5">
        <w:t>‘</w:t>
      </w:r>
      <w:r>
        <w:t>white labelling</w:t>
      </w:r>
      <w:r w:rsidR="00927BB5">
        <w:t>’</w:t>
      </w:r>
      <w:r>
        <w:t xml:space="preserve"> to offer</w:t>
      </w:r>
      <w:r w:rsidR="0083380A">
        <w:t xml:space="preserve"> their products</w:t>
      </w:r>
      <w:r>
        <w:t xml:space="preserve">. This means that they </w:t>
      </w:r>
      <w:r w:rsidR="00612A2D">
        <w:t>rely on services</w:t>
      </w:r>
      <w:r w:rsidR="008270C0">
        <w:t xml:space="preserve"> provided by another </w:t>
      </w:r>
      <w:r w:rsidR="008270C0">
        <w:lastRenderedPageBreak/>
        <w:t>AFS</w:t>
      </w:r>
      <w:r w:rsidR="008D0389">
        <w:t> </w:t>
      </w:r>
      <w:r w:rsidR="008270C0">
        <w:t>li</w:t>
      </w:r>
      <w:r>
        <w:t xml:space="preserve">censee to offer </w:t>
      </w:r>
      <w:r w:rsidR="006853AB">
        <w:t>retail OTC derivatives</w:t>
      </w:r>
      <w:r>
        <w:t>.</w:t>
      </w:r>
      <w:r w:rsidR="00612A2D">
        <w:t xml:space="preserve"> The services offered by white label partners </w:t>
      </w:r>
      <w:r w:rsidR="00612A2D" w:rsidRPr="00612A2D">
        <w:t>typic</w:t>
      </w:r>
      <w:r w:rsidR="00612A2D">
        <w:t>ally include the use of</w:t>
      </w:r>
      <w:r w:rsidR="00612A2D" w:rsidRPr="00612A2D">
        <w:t xml:space="preserve"> dealing</w:t>
      </w:r>
      <w:r w:rsidR="00612A2D">
        <w:t xml:space="preserve"> platforms and</w:t>
      </w:r>
      <w:r w:rsidR="00612A2D" w:rsidRPr="00612A2D">
        <w:t xml:space="preserve"> </w:t>
      </w:r>
      <w:r w:rsidR="00EF760A">
        <w:t>information technology (</w:t>
      </w:r>
      <w:r w:rsidR="00612A2D" w:rsidRPr="00612A2D">
        <w:t>IT</w:t>
      </w:r>
      <w:r w:rsidR="00EF760A">
        <w:t>)</w:t>
      </w:r>
      <w:r w:rsidR="00612A2D" w:rsidRPr="00612A2D">
        <w:t xml:space="preserve"> infrastructure</w:t>
      </w:r>
      <w:r w:rsidR="00612A2D">
        <w:t>,</w:t>
      </w:r>
      <w:r w:rsidR="00612A2D" w:rsidRPr="00612A2D">
        <w:t xml:space="preserve"> </w:t>
      </w:r>
      <w:r w:rsidR="00612A2D">
        <w:t xml:space="preserve">as well as access to wholesale pricing and liquidity. White label arrangements in the </w:t>
      </w:r>
      <w:r w:rsidR="006853AB">
        <w:t>retail derivative</w:t>
      </w:r>
      <w:r w:rsidR="00612A2D">
        <w:t xml:space="preserve"> sector often involve the </w:t>
      </w:r>
      <w:r w:rsidR="006853AB">
        <w:t>i</w:t>
      </w:r>
      <w:r w:rsidR="00612A2D">
        <w:t>ssuer dealing on</w:t>
      </w:r>
      <w:r>
        <w:t xml:space="preserve"> a </w:t>
      </w:r>
      <w:r w:rsidR="00927BB5">
        <w:t>‘</w:t>
      </w:r>
      <w:r>
        <w:t>back-to-back</w:t>
      </w:r>
      <w:r w:rsidR="00927BB5">
        <w:t>’</w:t>
      </w:r>
      <w:r>
        <w:t xml:space="preserve"> basis, where the </w:t>
      </w:r>
      <w:r w:rsidR="006853AB">
        <w:t>i</w:t>
      </w:r>
      <w:r>
        <w:t>ssuer will automatically enter into an equivalent, offsetting</w:t>
      </w:r>
      <w:r w:rsidR="00612A2D">
        <w:t xml:space="preserve"> principal-to-principal</w:t>
      </w:r>
      <w:r>
        <w:t xml:space="preserve"> transaction with its white label partner for every trade it executes </w:t>
      </w:r>
      <w:r w:rsidR="00612A2D">
        <w:t>with</w:t>
      </w:r>
      <w:r>
        <w:t xml:space="preserve"> its end</w:t>
      </w:r>
      <w:r w:rsidR="00FB542E">
        <w:t> </w:t>
      </w:r>
      <w:r>
        <w:t>client.</w:t>
      </w:r>
    </w:p>
    <w:p w:rsidR="00814188" w:rsidRPr="00FB542E" w:rsidRDefault="00EF760A">
      <w:pPr>
        <w:pStyle w:val="Heading2"/>
      </w:pPr>
      <w:bookmarkStart w:id="10" w:name="_Toc321227096"/>
      <w:bookmarkStart w:id="11" w:name="_Toc331415814"/>
      <w:bookmarkStart w:id="12" w:name="_Ref150921882"/>
      <w:r w:rsidRPr="00FB542E">
        <w:t>Identifying and a</w:t>
      </w:r>
      <w:r w:rsidR="001E3844" w:rsidRPr="00FB542E">
        <w:t>ssessing the problem</w:t>
      </w:r>
      <w:bookmarkEnd w:id="10"/>
      <w:bookmarkEnd w:id="11"/>
    </w:p>
    <w:bookmarkEnd w:id="12"/>
    <w:p w:rsidR="00AC2C37" w:rsidRPr="004E4E88" w:rsidRDefault="007C7505" w:rsidP="007503E8">
      <w:pPr>
        <w:pStyle w:val="BodyText"/>
      </w:pPr>
      <w:r w:rsidRPr="00FB542E">
        <w:t xml:space="preserve">The financial requirements </w:t>
      </w:r>
      <w:r w:rsidR="00FB542E">
        <w:t xml:space="preserve">for </w:t>
      </w:r>
      <w:r w:rsidR="00102A61">
        <w:t>AFS license</w:t>
      </w:r>
      <w:r w:rsidR="00FB542E" w:rsidRPr="00FB542E">
        <w:t>e</w:t>
      </w:r>
      <w:r w:rsidR="00FB542E">
        <w:t>s</w:t>
      </w:r>
      <w:r w:rsidR="00FB542E" w:rsidRPr="00FB542E">
        <w:t xml:space="preserve"> </w:t>
      </w:r>
      <w:r w:rsidRPr="00FB542E">
        <w:t>are intended to provide clear and specific regulatory direction</w:t>
      </w:r>
      <w:r w:rsidRPr="007C7505">
        <w:t xml:space="preserve"> to licensee about how they should comply with their obligations under s912A(1)(d) of the Corporations Act. </w:t>
      </w:r>
    </w:p>
    <w:p w:rsidR="00AC2C37" w:rsidRPr="004E4E88" w:rsidRDefault="007C7505" w:rsidP="007503E8">
      <w:pPr>
        <w:pStyle w:val="BodyText"/>
      </w:pPr>
      <w:r w:rsidRPr="007C7505">
        <w:t xml:space="preserve">Under s912A(1)(d), </w:t>
      </w:r>
      <w:r w:rsidR="00FB542E">
        <w:t>an AFS</w:t>
      </w:r>
      <w:r w:rsidR="00FB542E" w:rsidRPr="007C7505">
        <w:t xml:space="preserve"> </w:t>
      </w:r>
      <w:r w:rsidRPr="007C7505">
        <w:t>licensee must:</w:t>
      </w:r>
    </w:p>
    <w:p w:rsidR="00DF6B1B" w:rsidRDefault="007C7505">
      <w:pPr>
        <w:pStyle w:val="Blockquote"/>
      </w:pPr>
      <w:r w:rsidRPr="007C7505">
        <w:t>unless the licensee is a body regulated by APRA—have available adequate resources (including financial, technological and human resources) to provide the financial services covered by the licence and carry out supervisory arrangements.</w:t>
      </w:r>
    </w:p>
    <w:p w:rsidR="00A84EDC" w:rsidRPr="004E4E88" w:rsidRDefault="004E4E88" w:rsidP="00A84EDC">
      <w:pPr>
        <w:pStyle w:val="BodyText"/>
        <w:rPr>
          <w:i/>
        </w:rPr>
      </w:pPr>
      <w:r>
        <w:t xml:space="preserve">RG 166 </w:t>
      </w:r>
      <w:r w:rsidR="00AC2C37" w:rsidRPr="004E4E88">
        <w:t xml:space="preserve">provides further guidance about the </w:t>
      </w:r>
      <w:r w:rsidR="00A84EDC" w:rsidRPr="004E4E88">
        <w:t xml:space="preserve">policy objectives of the </w:t>
      </w:r>
      <w:r w:rsidR="00FB542E" w:rsidRPr="00FB542E">
        <w:t xml:space="preserve">financial </w:t>
      </w:r>
      <w:r w:rsidR="00A84EDC" w:rsidRPr="004E4E88">
        <w:t>requirements</w:t>
      </w:r>
      <w:r w:rsidR="00FB542E">
        <w:t xml:space="preserve"> for </w:t>
      </w:r>
      <w:r w:rsidR="002471C7">
        <w:t>AFS licens</w:t>
      </w:r>
      <w:r w:rsidR="00FB542E" w:rsidRPr="00FB542E">
        <w:t>e</w:t>
      </w:r>
      <w:r w:rsidR="00FB542E">
        <w:t>es.</w:t>
      </w:r>
      <w:r w:rsidR="00A84EDC" w:rsidRPr="004E4E88">
        <w:t xml:space="preserve"> RG 166.11 states that the purpose of</w:t>
      </w:r>
      <w:r w:rsidR="005845A9">
        <w:t xml:space="preserve"> </w:t>
      </w:r>
      <w:r w:rsidR="00FB542E">
        <w:t>these</w:t>
      </w:r>
      <w:r w:rsidR="007C7505" w:rsidRPr="007C7505">
        <w:t xml:space="preserve"> requirements </w:t>
      </w:r>
      <w:r w:rsidR="00FB542E">
        <w:t xml:space="preserve">is </w:t>
      </w:r>
      <w:r w:rsidR="007C7505" w:rsidRPr="007C7505">
        <w:t>to ensure that</w:t>
      </w:r>
      <w:r w:rsidR="00A84EDC" w:rsidRPr="004E4E88">
        <w:rPr>
          <w:i/>
        </w:rPr>
        <w:t>:</w:t>
      </w:r>
    </w:p>
    <w:p w:rsidR="00A84EDC" w:rsidRPr="004E4E88" w:rsidRDefault="007C7505" w:rsidP="00A84EDC">
      <w:pPr>
        <w:pStyle w:val="subparaa"/>
      </w:pPr>
      <w:r w:rsidRPr="007C7505">
        <w:t>licensees have sufficient</w:t>
      </w:r>
      <w:r w:rsidR="00A84EDC" w:rsidRPr="004E4E88">
        <w:t xml:space="preserve"> f</w:t>
      </w:r>
      <w:r w:rsidRPr="007C7505">
        <w:t>inanci</w:t>
      </w:r>
      <w:r w:rsidR="00A84EDC" w:rsidRPr="004E4E88">
        <w:t>al resources to conduct their financial services business in compliance with the Corporations</w:t>
      </w:r>
      <w:r w:rsidR="004E7F0D">
        <w:t xml:space="preserve"> Act (including carrying out supervisory arrangements);</w:t>
      </w:r>
    </w:p>
    <w:p w:rsidR="00A84EDC" w:rsidRPr="004E4E88" w:rsidRDefault="004E7F0D" w:rsidP="00A84EDC">
      <w:pPr>
        <w:pStyle w:val="subparaa"/>
      </w:pPr>
      <w:r>
        <w:t>there is a financial buffer that decreases the risk of a disorderly or non-compliant wind-up if a licensee</w:t>
      </w:r>
      <w:r w:rsidR="00927BB5">
        <w:t>’</w:t>
      </w:r>
      <w:r>
        <w:t xml:space="preserve">s business fails; and </w:t>
      </w:r>
    </w:p>
    <w:p w:rsidR="00A84EDC" w:rsidRPr="004E4E88" w:rsidRDefault="004E7F0D" w:rsidP="00A84EDC">
      <w:pPr>
        <w:pStyle w:val="subparaa"/>
      </w:pPr>
      <w:r>
        <w:t>there are incentives for a licensee</w:t>
      </w:r>
      <w:r w:rsidR="00927BB5">
        <w:t>’</w:t>
      </w:r>
      <w:r>
        <w:t xml:space="preserve">s owners to comply through risk of financial loss. </w:t>
      </w:r>
    </w:p>
    <w:p w:rsidR="00ED1B51" w:rsidRPr="00102A61" w:rsidRDefault="00ED1B51" w:rsidP="002E771D">
      <w:pPr>
        <w:pStyle w:val="BodyText"/>
        <w:ind w:right="-284"/>
      </w:pPr>
      <w:r w:rsidRPr="00E75830">
        <w:t>The current financial requirements that apply to retail OTC derivat</w:t>
      </w:r>
      <w:r w:rsidR="00AF23F2">
        <w:t xml:space="preserve">ive issuers, in the form </w:t>
      </w:r>
      <w:r w:rsidR="00AD15FF">
        <w:t>of SLF and ASLF discussed above, do not meet the policy objectives of RG 166 and do not have the effect of ensuring compliance by issuers with s912A(1)(d) of the Corporations Act. This is because:</w:t>
      </w:r>
    </w:p>
    <w:p w:rsidR="00DF6B1B" w:rsidRDefault="00AD15FF">
      <w:pPr>
        <w:pStyle w:val="subparaa"/>
      </w:pPr>
      <w:r>
        <w:t>issuers may meet the minimum SLF and ASLF</w:t>
      </w:r>
      <w:r w:rsidR="00ED1B51" w:rsidRPr="00E75830">
        <w:t xml:space="preserve"> requirement</w:t>
      </w:r>
      <w:r w:rsidR="003A6E73">
        <w:t>s</w:t>
      </w:r>
      <w:r w:rsidR="00ED1B51" w:rsidRPr="00E75830">
        <w:t xml:space="preserve"> but still not have sufficient resources to operate their business in compliance with the Corporations Act, including carrying out supervisory arrangements;</w:t>
      </w:r>
    </w:p>
    <w:p w:rsidR="00DF6B1B" w:rsidRDefault="00ED1B51">
      <w:pPr>
        <w:pStyle w:val="subparaa"/>
      </w:pPr>
      <w:r w:rsidRPr="00E75830">
        <w:t>the current resource requirements, especially the minimum requirements, do not reflect the contemporary costs of winding up an issuer</w:t>
      </w:r>
      <w:r w:rsidR="00927BB5">
        <w:t>’</w:t>
      </w:r>
      <w:r w:rsidRPr="00E75830">
        <w:t>s business;</w:t>
      </w:r>
      <w:r w:rsidR="005E27BD">
        <w:t xml:space="preserve"> and</w:t>
      </w:r>
    </w:p>
    <w:p w:rsidR="00DF6B1B" w:rsidRPr="00102A61" w:rsidRDefault="005E27BD">
      <w:pPr>
        <w:pStyle w:val="subparaa"/>
      </w:pPr>
      <w:r>
        <w:t xml:space="preserve">the </w:t>
      </w:r>
      <w:r w:rsidR="00ED1B51" w:rsidRPr="00E75830">
        <w:t>current financial requirements (</w:t>
      </w:r>
      <w:r w:rsidR="00931A2B">
        <w:t>i.e. for</w:t>
      </w:r>
      <w:r w:rsidR="00AD15FF">
        <w:t xml:space="preserve"> SLF and ASLF) are complex for licensees and difficult for ASIC to supervise.</w:t>
      </w:r>
    </w:p>
    <w:p w:rsidR="005E27BD" w:rsidRPr="00102A61" w:rsidRDefault="00AD15FF" w:rsidP="00654273">
      <w:pPr>
        <w:pStyle w:val="BodyText"/>
      </w:pPr>
      <w:r>
        <w:lastRenderedPageBreak/>
        <w:t>A number of risks arise from retail OTC derivative issuers operating with insufficient financial resources, including the risk of issuer failure.</w:t>
      </w:r>
    </w:p>
    <w:p w:rsidR="00654273" w:rsidRDefault="00AD15FF" w:rsidP="00654273">
      <w:pPr>
        <w:pStyle w:val="BodyText"/>
      </w:pPr>
      <w:r>
        <w:t xml:space="preserve">The current financial requirements, especially the minimum </w:t>
      </w:r>
      <w:r w:rsidR="00ED29D5" w:rsidRPr="00ED29D5">
        <w:t>SLF and</w:t>
      </w:r>
      <w:r w:rsidR="005E27BD" w:rsidRPr="00DF6B1B">
        <w:t xml:space="preserve"> </w:t>
      </w:r>
      <w:r w:rsidR="00DF6B1B" w:rsidRPr="00DF6B1B">
        <w:t>ASLF requirements, are</w:t>
      </w:r>
      <w:r w:rsidR="007D5E03">
        <w:t xml:space="preserve"> also</w:t>
      </w:r>
      <w:r w:rsidR="00DF6B1B" w:rsidRPr="00DF6B1B">
        <w:t xml:space="preserve"> </w:t>
      </w:r>
      <w:r w:rsidR="005E27BD">
        <w:t>in</w:t>
      </w:r>
      <w:r w:rsidR="00DF6B1B" w:rsidRPr="00DF6B1B">
        <w:t>consistent with those of other comparable jurisdictions</w:t>
      </w:r>
      <w:r w:rsidR="005E27BD" w:rsidRPr="005E27BD">
        <w:rPr>
          <w:szCs w:val="20"/>
        </w:rPr>
        <w:t xml:space="preserve"> </w:t>
      </w:r>
      <w:r w:rsidR="005E27BD" w:rsidRPr="005E27BD">
        <w:t>overseas</w:t>
      </w:r>
      <w:r w:rsidR="00DF6B1B">
        <w:t>. We are concerned that this could lead to regulatory arbitrage.</w:t>
      </w:r>
    </w:p>
    <w:p w:rsidR="00DF6B1B" w:rsidRDefault="00ED1B51" w:rsidP="002C18A2">
      <w:pPr>
        <w:pStyle w:val="Heading3"/>
      </w:pPr>
      <w:r w:rsidRPr="00E75830">
        <w:t>Current financial requirements may be insufficient to support and promote effective supervisory arrangements</w:t>
      </w:r>
    </w:p>
    <w:p w:rsidR="00ED1B51" w:rsidRPr="00ED1B51" w:rsidRDefault="00ED1B51" w:rsidP="002C18A2">
      <w:pPr>
        <w:pStyle w:val="BodyText"/>
      </w:pPr>
      <w:r w:rsidRPr="00ED1B51">
        <w:t>Retail OTC derivative businesses are complicated and high risk, requiring well-developed and well</w:t>
      </w:r>
      <w:r w:rsidR="00AA6036">
        <w:t>-</w:t>
      </w:r>
      <w:r w:rsidRPr="00ED1B51">
        <w:t xml:space="preserve">resourced supervisory arrangements and segregation of duties to handle client money, make margin calls and manage operational and market risks, among other supervisory functions. We are concerned that the financial requirements applying to retail OTC derivative issuers were not designed to, and do not, meet the objectives of RG 166 </w:t>
      </w:r>
      <w:r w:rsidR="00AE157F">
        <w:t>for</w:t>
      </w:r>
      <w:r w:rsidRPr="00ED1B51">
        <w:t xml:space="preserve"> these types of AFS licensees. </w:t>
      </w:r>
      <w:r w:rsidR="00923E8C">
        <w:t>This is based both on our past observation of inadequate supervisory arrangements among issuers in the sector</w:t>
      </w:r>
      <w:r w:rsidR="00AE157F">
        <w:t>,</w:t>
      </w:r>
      <w:r w:rsidR="00923E8C">
        <w:t xml:space="preserve"> and our view that similar </w:t>
      </w:r>
      <w:r w:rsidR="00AE157F">
        <w:t xml:space="preserve">concerns </w:t>
      </w:r>
      <w:r w:rsidR="00923E8C">
        <w:t xml:space="preserve">are likely to arise </w:t>
      </w:r>
      <w:r w:rsidR="00102A61">
        <w:t>in future</w:t>
      </w:r>
      <w:r w:rsidR="00923E8C">
        <w:t>, at least part</w:t>
      </w:r>
      <w:r w:rsidR="00AE157F">
        <w:t>ly</w:t>
      </w:r>
      <w:r w:rsidR="00923E8C">
        <w:t xml:space="preserve"> </w:t>
      </w:r>
      <w:r w:rsidR="00AE157F">
        <w:t>because</w:t>
      </w:r>
      <w:r w:rsidR="009C5A32">
        <w:t xml:space="preserve"> the </w:t>
      </w:r>
      <w:r w:rsidR="00886DDF">
        <w:t>current</w:t>
      </w:r>
      <w:r w:rsidR="00923E8C">
        <w:t xml:space="preserve"> financial requirements for retail OTC derivative issuers</w:t>
      </w:r>
      <w:r w:rsidR="009C5A32">
        <w:t xml:space="preserve"> </w:t>
      </w:r>
      <w:r w:rsidR="00AE157F">
        <w:t xml:space="preserve">are </w:t>
      </w:r>
      <w:r w:rsidR="009C5A32">
        <w:t xml:space="preserve">insufficient in reflecting the complexity of </w:t>
      </w:r>
      <w:r w:rsidR="00AE157F">
        <w:t xml:space="preserve">their </w:t>
      </w:r>
      <w:r w:rsidR="009C5A32">
        <w:t>businesses</w:t>
      </w:r>
      <w:r w:rsidR="00923E8C">
        <w:t>.</w:t>
      </w:r>
    </w:p>
    <w:p w:rsidR="003C0ED5" w:rsidRDefault="00A36A25" w:rsidP="00A36A25">
      <w:pPr>
        <w:pStyle w:val="BodyText"/>
      </w:pPr>
      <w:r w:rsidRPr="00E75830">
        <w:t xml:space="preserve">In the course of our regulatory activities in the retail OTC derivative sector, we identified many issuers </w:t>
      </w:r>
      <w:r w:rsidR="00AE157F">
        <w:t>that</w:t>
      </w:r>
      <w:r w:rsidR="00AE157F" w:rsidRPr="00E75830">
        <w:t xml:space="preserve"> </w:t>
      </w:r>
      <w:r w:rsidRPr="00E75830">
        <w:t xml:space="preserve">met the </w:t>
      </w:r>
      <w:r w:rsidR="00AF23F2" w:rsidRPr="00AF23F2">
        <w:t xml:space="preserve">current </w:t>
      </w:r>
      <w:r w:rsidRPr="00E75830">
        <w:t>financial requirements</w:t>
      </w:r>
      <w:r w:rsidR="00AF23F2">
        <w:t xml:space="preserve"> </w:t>
      </w:r>
      <w:r w:rsidR="00AF23F2" w:rsidRPr="00AF23F2">
        <w:t>under RG 166</w:t>
      </w:r>
      <w:r w:rsidR="00AE157F">
        <w:t>,</w:t>
      </w:r>
      <w:r w:rsidR="00AF23F2" w:rsidRPr="00AF23F2">
        <w:t xml:space="preserve"> yet </w:t>
      </w:r>
      <w:r w:rsidRPr="00E75830">
        <w:t>lack</w:t>
      </w:r>
      <w:r w:rsidR="00AE157F">
        <w:t>ed</w:t>
      </w:r>
      <w:r w:rsidRPr="00E75830">
        <w:t xml:space="preserve"> sufficient organisational capacity to operate their business in compliance with the Corporations Act and maintain appropriate supervisory arrangements. </w:t>
      </w:r>
    </w:p>
    <w:p w:rsidR="00A36A25" w:rsidRPr="00E75830" w:rsidRDefault="00A36A25" w:rsidP="00A36A25">
      <w:pPr>
        <w:pStyle w:val="BodyText"/>
      </w:pPr>
      <w:r w:rsidRPr="00E75830">
        <w:t>In particular, some issuers:</w:t>
      </w:r>
    </w:p>
    <w:p w:rsidR="00DF6B1B" w:rsidRDefault="00A36A25">
      <w:pPr>
        <w:pStyle w:val="subparaa"/>
      </w:pPr>
      <w:r w:rsidRPr="00E75830">
        <w:t>did not have systems in place to account for and reconcile client money on a daily basis;</w:t>
      </w:r>
    </w:p>
    <w:p w:rsidR="00DF6B1B" w:rsidRDefault="00A36A25">
      <w:pPr>
        <w:pStyle w:val="subparaa"/>
      </w:pPr>
      <w:r w:rsidRPr="00E75830">
        <w:t>did not properly segregate control functions;</w:t>
      </w:r>
    </w:p>
    <w:p w:rsidR="00DF6B1B" w:rsidRDefault="00A36A25">
      <w:pPr>
        <w:pStyle w:val="subparaa"/>
      </w:pPr>
      <w:r w:rsidRPr="00E75830">
        <w:t>did not employ in-house accounting or compliance staff;</w:t>
      </w:r>
    </w:p>
    <w:p w:rsidR="00DF6B1B" w:rsidRDefault="00A36A25">
      <w:pPr>
        <w:pStyle w:val="subparaa"/>
      </w:pPr>
      <w:r>
        <w:t xml:space="preserve">did not lodge </w:t>
      </w:r>
      <w:r w:rsidRPr="00E75830">
        <w:t>audited financial statements within the time allowed;</w:t>
      </w:r>
    </w:p>
    <w:p w:rsidR="00DF6B1B" w:rsidRDefault="00A36A25">
      <w:pPr>
        <w:pStyle w:val="subparaa"/>
      </w:pPr>
      <w:r w:rsidRPr="00E75830">
        <w:t>were unable to identify and satisfy their compliance obligations; and</w:t>
      </w:r>
    </w:p>
    <w:p w:rsidR="00DF6B1B" w:rsidRDefault="00A36A25">
      <w:pPr>
        <w:pStyle w:val="subparaa"/>
      </w:pPr>
      <w:r w:rsidRPr="00E75830">
        <w:t xml:space="preserve">were unable to respond to and address compliance breaches in a timely </w:t>
      </w:r>
      <w:r w:rsidR="00FE16DC">
        <w:t>and</w:t>
      </w:r>
      <w:r w:rsidR="00FE16DC" w:rsidRPr="00E75830">
        <w:t xml:space="preserve"> </w:t>
      </w:r>
      <w:r w:rsidRPr="00E75830">
        <w:t>comprehensive manner.</w:t>
      </w:r>
    </w:p>
    <w:p w:rsidR="00654273" w:rsidRDefault="0020073B" w:rsidP="009C5A32">
      <w:pPr>
        <w:pStyle w:val="BodyText"/>
      </w:pPr>
      <w:r w:rsidRPr="00F44B8B">
        <w:t>In the above cases, we took action to address the compliance breaches with the relevant issuers.</w:t>
      </w:r>
      <w:r w:rsidR="00654273" w:rsidRPr="00654273">
        <w:t xml:space="preserve"> (In some, more serious</w:t>
      </w:r>
      <w:r w:rsidR="00FE16DC">
        <w:t>,</w:t>
      </w:r>
      <w:r w:rsidR="00654273" w:rsidRPr="00654273">
        <w:t xml:space="preserve"> cases, this included licensing action.)</w:t>
      </w:r>
      <w:r w:rsidRPr="00F44B8B">
        <w:t xml:space="preserve"> However, we believe that these </w:t>
      </w:r>
      <w:r w:rsidR="00FE16DC">
        <w:t>types</w:t>
      </w:r>
      <w:r w:rsidR="00FE16DC" w:rsidRPr="00F44B8B">
        <w:t xml:space="preserve"> </w:t>
      </w:r>
      <w:r w:rsidRPr="00F44B8B">
        <w:t xml:space="preserve">of compliance </w:t>
      </w:r>
      <w:r w:rsidR="00654273" w:rsidRPr="00654273">
        <w:t>failure</w:t>
      </w:r>
      <w:r w:rsidRPr="00F44B8B">
        <w:t xml:space="preserve"> are </w:t>
      </w:r>
      <w:r w:rsidR="00576E8F">
        <w:t xml:space="preserve">likely to continue to arise in the marketplace as </w:t>
      </w:r>
      <w:r w:rsidR="00FE16DC">
        <w:t>other</w:t>
      </w:r>
      <w:r w:rsidR="00576E8F">
        <w:t xml:space="preserve"> poorly</w:t>
      </w:r>
      <w:r w:rsidR="00EF760A">
        <w:t xml:space="preserve"> </w:t>
      </w:r>
      <w:r w:rsidR="00576E8F">
        <w:t>capitalised issuers</w:t>
      </w:r>
      <w:r w:rsidR="00654273" w:rsidRPr="00654273">
        <w:t xml:space="preserve"> </w:t>
      </w:r>
      <w:r w:rsidRPr="00F44B8B">
        <w:t>enter the market.</w:t>
      </w:r>
      <w:r w:rsidR="006A21D6">
        <w:t xml:space="preserve"> </w:t>
      </w:r>
    </w:p>
    <w:p w:rsidR="00654273" w:rsidRDefault="00654273" w:rsidP="009C5A32">
      <w:pPr>
        <w:pStyle w:val="BodyText"/>
      </w:pPr>
      <w:r w:rsidRPr="00654273">
        <w:lastRenderedPageBreak/>
        <w:t xml:space="preserve">We expect such breaches to </w:t>
      </w:r>
      <w:r w:rsidR="00102A61">
        <w:t xml:space="preserve">persist </w:t>
      </w:r>
      <w:r w:rsidRPr="00654273">
        <w:t>because, as in the</w:t>
      </w:r>
      <w:r w:rsidR="0020073B" w:rsidRPr="00F44B8B">
        <w:t xml:space="preserve"> </w:t>
      </w:r>
      <w:r w:rsidR="00FE16DC" w:rsidRPr="00FE16DC">
        <w:t xml:space="preserve">above </w:t>
      </w:r>
      <w:r w:rsidR="0020073B" w:rsidRPr="00F44B8B">
        <w:t>cases,</w:t>
      </w:r>
      <w:r w:rsidRPr="00654273">
        <w:t xml:space="preserve"> issuers only identified significant matters </w:t>
      </w:r>
      <w:r w:rsidR="00FE16DC">
        <w:t xml:space="preserve">to ASIC </w:t>
      </w:r>
      <w:r w:rsidRPr="00654273">
        <w:t>in the course of</w:t>
      </w:r>
      <w:r w:rsidR="0020073B" w:rsidRPr="00F44B8B">
        <w:t xml:space="preserve"> </w:t>
      </w:r>
      <w:r w:rsidR="00FE16DC">
        <w:t xml:space="preserve">its </w:t>
      </w:r>
      <w:r w:rsidR="00576E8F">
        <w:t>surveillance. Issuers with better developed supervisory arrangements would have been more likel</w:t>
      </w:r>
      <w:r w:rsidRPr="00654273">
        <w:t>y to identify these breaches,</w:t>
      </w:r>
      <w:r w:rsidR="0020073B" w:rsidRPr="00F44B8B">
        <w:t xml:space="preserve"> report them to ASIC</w:t>
      </w:r>
      <w:r w:rsidRPr="00654273">
        <w:t xml:space="preserve"> and rectify them without the need for intensive ASIC oversight.</w:t>
      </w:r>
    </w:p>
    <w:p w:rsidR="005F3C63" w:rsidRPr="00C21EBE" w:rsidRDefault="007C7505" w:rsidP="00C348C7">
      <w:pPr>
        <w:pStyle w:val="BodyText"/>
      </w:pPr>
      <w:r w:rsidRPr="007C7505">
        <w:t xml:space="preserve">In addition, </w:t>
      </w:r>
      <w:r w:rsidR="001043BF" w:rsidRPr="001043BF">
        <w:t xml:space="preserve">we consider </w:t>
      </w:r>
      <w:r w:rsidR="001043BF">
        <w:t>that the</w:t>
      </w:r>
      <w:r w:rsidRPr="007C7505">
        <w:t xml:space="preserve"> </w:t>
      </w:r>
      <w:r w:rsidR="001043BF" w:rsidRPr="001043BF">
        <w:t xml:space="preserve">existing </w:t>
      </w:r>
      <w:r w:rsidRPr="007C7505">
        <w:t xml:space="preserve">minimum financial requirement of only $50,000 </w:t>
      </w:r>
      <w:r w:rsidR="00ED29D5" w:rsidRPr="002E771D">
        <w:t>is too low to</w:t>
      </w:r>
      <w:r w:rsidRPr="002E771D">
        <w:t xml:space="preserve"> provide</w:t>
      </w:r>
      <w:r w:rsidRPr="007C7505">
        <w:t xml:space="preserve"> sufficient </w:t>
      </w:r>
      <w:r w:rsidR="00F93D77" w:rsidRPr="00C21EBE">
        <w:t>incentive to equity owners of issuers to ensure that appropriate supervisory</w:t>
      </w:r>
      <w:r w:rsidR="00EE6738">
        <w:t xml:space="preserve"> arrangements are in place to protect their investment from losses. Providing such incentives is a policy objective of RG 166, as note</w:t>
      </w:r>
      <w:r w:rsidR="001043BF">
        <w:t>d</w:t>
      </w:r>
      <w:r w:rsidR="00EE6738">
        <w:t xml:space="preserve"> above.</w:t>
      </w:r>
      <w:r w:rsidR="00C14606">
        <w:t xml:space="preserve"> We believe that</w:t>
      </w:r>
      <w:r w:rsidR="00EE6738">
        <w:t xml:space="preserve"> </w:t>
      </w:r>
      <w:r w:rsidR="00C14606">
        <w:t>t</w:t>
      </w:r>
      <w:r w:rsidR="00EE6738">
        <w:t xml:space="preserve">he risk of loss to equity owners </w:t>
      </w:r>
      <w:r w:rsidR="00C14606">
        <w:t xml:space="preserve">is </w:t>
      </w:r>
      <w:r w:rsidR="00EE6738">
        <w:t xml:space="preserve">one reason that well-capitalised issuers are much </w:t>
      </w:r>
      <w:r w:rsidR="001043BF">
        <w:t xml:space="preserve">more </w:t>
      </w:r>
      <w:r w:rsidR="00EE6738">
        <w:t>likely to have sufficient supervisory arrangements in place</w:t>
      </w:r>
      <w:r w:rsidR="001043BF">
        <w:sym w:font="Symbol" w:char="F0BE"/>
      </w:r>
      <w:r w:rsidR="001043BF">
        <w:t>t</w:t>
      </w:r>
      <w:r w:rsidR="002A5AD7">
        <w:t>hat is, they</w:t>
      </w:r>
      <w:r w:rsidR="00C14606">
        <w:t xml:space="preserve"> have </w:t>
      </w:r>
      <w:r w:rsidR="001043BF">
        <w:t xml:space="preserve">the </w:t>
      </w:r>
      <w:r w:rsidR="00C14606">
        <w:t xml:space="preserve">incentive to implement appropriate supervisory arrangements, as well as having sufficient resources to do so. </w:t>
      </w:r>
    </w:p>
    <w:p w:rsidR="00DF6B1B" w:rsidRDefault="00A36A25">
      <w:pPr>
        <w:pStyle w:val="BodyText"/>
      </w:pPr>
      <w:r w:rsidRPr="00E75830">
        <w:t>Based on these observations, we consider that</w:t>
      </w:r>
      <w:r w:rsidR="00F00495">
        <w:t xml:space="preserve"> </w:t>
      </w:r>
      <w:r w:rsidRPr="00E75830">
        <w:t xml:space="preserve">the current financial requirements </w:t>
      </w:r>
      <w:r w:rsidR="00F00495" w:rsidRPr="00F00495">
        <w:t xml:space="preserve">in RG 166 </w:t>
      </w:r>
      <w:r w:rsidRPr="00E75830">
        <w:t xml:space="preserve">may be insufficient to promote and support effective supervisory arrangements in </w:t>
      </w:r>
      <w:r w:rsidR="001043BF">
        <w:t xml:space="preserve">the </w:t>
      </w:r>
      <w:r w:rsidRPr="00E75830">
        <w:t>complex and high</w:t>
      </w:r>
      <w:r w:rsidR="001043BF">
        <w:t>-</w:t>
      </w:r>
      <w:r w:rsidRPr="00E75830">
        <w:t>risk business of issuing retail OTC derivatives</w:t>
      </w:r>
      <w:r w:rsidR="00C67AAF">
        <w:t>.</w:t>
      </w:r>
    </w:p>
    <w:p w:rsidR="00DF6B1B" w:rsidRDefault="00ED38C7">
      <w:pPr>
        <w:pStyle w:val="Heading3"/>
      </w:pPr>
      <w:r>
        <w:t xml:space="preserve">Current financial requirements </w:t>
      </w:r>
      <w:r w:rsidR="00CC3106" w:rsidRPr="00CC3106">
        <w:t>may be</w:t>
      </w:r>
      <w:r>
        <w:t xml:space="preserve"> insufficient to fund an orderly wind-up of a failed issuer</w:t>
      </w:r>
    </w:p>
    <w:p w:rsidR="00ED38C7" w:rsidRDefault="00ED38C7" w:rsidP="00ED38C7">
      <w:pPr>
        <w:pStyle w:val="BodyText"/>
      </w:pPr>
      <w:r>
        <w:t>We are concerned that the contemporary c</w:t>
      </w:r>
      <w:r w:rsidRPr="008270C0">
        <w:t xml:space="preserve">ost of winding up a </w:t>
      </w:r>
      <w:r>
        <w:t>retail OTC derivative</w:t>
      </w:r>
      <w:r w:rsidRPr="008270C0">
        <w:t xml:space="preserve"> </w:t>
      </w:r>
      <w:r>
        <w:t>i</w:t>
      </w:r>
      <w:r w:rsidRPr="008270C0">
        <w:t>ssuer is</w:t>
      </w:r>
      <w:r>
        <w:t xml:space="preserve"> likely to be well in excess of the minimum financial requirements</w:t>
      </w:r>
      <w:r w:rsidRPr="008270C0">
        <w:t>.</w:t>
      </w:r>
      <w:r>
        <w:t xml:space="preserve"> </w:t>
      </w:r>
    </w:p>
    <w:p w:rsidR="00ED38C7" w:rsidRDefault="00ED38C7" w:rsidP="00ED38C7">
      <w:pPr>
        <w:pStyle w:val="BodyText"/>
      </w:pPr>
      <w:r>
        <w:t xml:space="preserve">An issuer that has </w:t>
      </w:r>
      <w:r w:rsidR="00CC3106" w:rsidRPr="00CC3106">
        <w:t>inadequate</w:t>
      </w:r>
      <w:r>
        <w:t xml:space="preserve"> resources to undertake supervisory activities is more likely to have deficiencies in the client money account</w:t>
      </w:r>
      <w:r w:rsidR="001043BF">
        <w:t>,</w:t>
      </w:r>
      <w:r>
        <w:t xml:space="preserve"> or</w:t>
      </w:r>
      <w:r w:rsidR="003E2D14">
        <w:t xml:space="preserve"> </w:t>
      </w:r>
      <w:r w:rsidR="001043BF">
        <w:t xml:space="preserve">to </w:t>
      </w:r>
      <w:r w:rsidR="003E2D14">
        <w:t>have maintained</w:t>
      </w:r>
      <w:r>
        <w:t xml:space="preserve"> poor records, which would serve to complicate the process of administration and make it more likely that creditors and clients would suffer losses.</w:t>
      </w:r>
    </w:p>
    <w:p w:rsidR="00DF6B1B" w:rsidRDefault="00A36A25">
      <w:pPr>
        <w:pStyle w:val="Heading3"/>
      </w:pPr>
      <w:r w:rsidRPr="00E75830">
        <w:t>Current financial requirements are complex and difficult to supervise</w:t>
      </w:r>
    </w:p>
    <w:p w:rsidR="00A36A25" w:rsidRPr="00E75830" w:rsidRDefault="00C05CCA" w:rsidP="00C05CCA">
      <w:pPr>
        <w:pStyle w:val="BodyText"/>
      </w:pPr>
      <w:r>
        <w:t>Under t</w:t>
      </w:r>
      <w:r w:rsidR="00A36A25" w:rsidRPr="00E75830">
        <w:t>he current ASLF requirement</w:t>
      </w:r>
      <w:r>
        <w:t xml:space="preserve">, a retail OTC derivative </w:t>
      </w:r>
      <w:r w:rsidR="00A36A25" w:rsidRPr="00E75830">
        <w:t xml:space="preserve">issuer </w:t>
      </w:r>
      <w:r>
        <w:t xml:space="preserve">must </w:t>
      </w:r>
      <w:r w:rsidR="00A36A25" w:rsidRPr="00E75830">
        <w:t>hold a particular amount of liquid funds</w:t>
      </w:r>
      <w:r>
        <w:t>,</w:t>
      </w:r>
      <w:r w:rsidR="00A36A25" w:rsidRPr="00E75830">
        <w:t xml:space="preserve"> based on </w:t>
      </w:r>
      <w:r>
        <w:t>its</w:t>
      </w:r>
      <w:r w:rsidR="00A36A25" w:rsidRPr="00E75830">
        <w:t xml:space="preserve"> adjusted assets and liabilities. This makes the calculation of ASLF complicated and opaque. For example, ASIC often cannot determine from an issuer</w:t>
      </w:r>
      <w:r w:rsidR="00927BB5">
        <w:t>’</w:t>
      </w:r>
      <w:r w:rsidR="00A36A25" w:rsidRPr="00E75830">
        <w:t xml:space="preserve">s balance sheet and profit and loss statement </w:t>
      </w:r>
      <w:r>
        <w:t>the</w:t>
      </w:r>
      <w:r w:rsidRPr="00E75830">
        <w:t xml:space="preserve"> </w:t>
      </w:r>
      <w:r w:rsidR="00A36A25" w:rsidRPr="00E75830">
        <w:t>amount of ASLF the issuer should hold. Further information must be sought from issuers</w:t>
      </w:r>
      <w:r w:rsidR="00C21EBE">
        <w:t xml:space="preserve"> </w:t>
      </w:r>
      <w:r w:rsidR="00C21EBE" w:rsidRPr="00C21EBE">
        <w:t xml:space="preserve">and this can result in delays in identifying and </w:t>
      </w:r>
      <w:r w:rsidR="00341355">
        <w:t>resolving problems experienced by</w:t>
      </w:r>
      <w:r w:rsidR="00341355" w:rsidRPr="00C21EBE">
        <w:t xml:space="preserve"> </w:t>
      </w:r>
      <w:r w:rsidR="00C21EBE" w:rsidRPr="00C21EBE">
        <w:t xml:space="preserve">issuers </w:t>
      </w:r>
      <w:r w:rsidR="00341355">
        <w:t>that</w:t>
      </w:r>
      <w:r w:rsidR="00341355" w:rsidRPr="00C21EBE">
        <w:t xml:space="preserve"> </w:t>
      </w:r>
      <w:r w:rsidR="00C21EBE" w:rsidRPr="00C21EBE">
        <w:t xml:space="preserve">are in </w:t>
      </w:r>
      <w:r w:rsidR="00341355">
        <w:t xml:space="preserve">financial </w:t>
      </w:r>
      <w:r w:rsidR="00C21EBE" w:rsidRPr="00C21EBE">
        <w:t>distress.</w:t>
      </w:r>
      <w:r w:rsidR="008645A8">
        <w:t xml:space="preserve"> </w:t>
      </w:r>
    </w:p>
    <w:p w:rsidR="00DF6B1B" w:rsidRDefault="00A36A25">
      <w:pPr>
        <w:pStyle w:val="BodyText"/>
      </w:pPr>
      <w:r w:rsidRPr="00E75830">
        <w:lastRenderedPageBreak/>
        <w:t xml:space="preserve">In addition, the level of ASLF </w:t>
      </w:r>
      <w:r w:rsidR="00341355" w:rsidRPr="00341355">
        <w:t xml:space="preserve">required </w:t>
      </w:r>
      <w:r w:rsidRPr="00E75830">
        <w:t xml:space="preserve">is subject to accounting interpretation of assets and liabilities, </w:t>
      </w:r>
      <w:r w:rsidR="00341355">
        <w:t>such as</w:t>
      </w:r>
      <w:r w:rsidR="00341355" w:rsidRPr="00E75830">
        <w:t xml:space="preserve"> </w:t>
      </w:r>
      <w:r w:rsidRPr="00E75830">
        <w:t xml:space="preserve">which assets and liabilities </w:t>
      </w:r>
      <w:r w:rsidR="00341355">
        <w:t>to</w:t>
      </w:r>
      <w:r w:rsidR="00341355" w:rsidRPr="00E75830">
        <w:t xml:space="preserve"> </w:t>
      </w:r>
      <w:r w:rsidRPr="00E75830">
        <w:t>include on an issuer</w:t>
      </w:r>
      <w:r w:rsidR="00927BB5">
        <w:t>’</w:t>
      </w:r>
      <w:r w:rsidRPr="00E75830">
        <w:t xml:space="preserve">s balance sheet. We have observed several different accounting treatments </w:t>
      </w:r>
      <w:r w:rsidR="00341355">
        <w:t>of</w:t>
      </w:r>
      <w:r w:rsidR="00341355" w:rsidRPr="00E75830">
        <w:t xml:space="preserve"> </w:t>
      </w:r>
      <w:r w:rsidRPr="00E75830">
        <w:t xml:space="preserve">assets and liabilities to clients and counterparties, including money held in client money trust accounts. These different accounting treatments each produce a different minimum </w:t>
      </w:r>
      <w:r w:rsidR="00341355">
        <w:t>amount</w:t>
      </w:r>
      <w:r w:rsidR="00341355" w:rsidRPr="00E75830">
        <w:t xml:space="preserve"> </w:t>
      </w:r>
      <w:r w:rsidRPr="00E75830">
        <w:t>of financial resources that must be held by an issuer.</w:t>
      </w:r>
    </w:p>
    <w:p w:rsidR="00DF6B1B" w:rsidRDefault="00A96CEA" w:rsidP="002E771D">
      <w:pPr>
        <w:pStyle w:val="Heading3"/>
        <w:ind w:right="-284"/>
      </w:pPr>
      <w:r>
        <w:t>Costs</w:t>
      </w:r>
      <w:r w:rsidR="00A36A25">
        <w:t xml:space="preserve"> of </w:t>
      </w:r>
      <w:r w:rsidR="008951CC">
        <w:t>issuer failure due to insufficient</w:t>
      </w:r>
      <w:r>
        <w:t xml:space="preserve"> financial</w:t>
      </w:r>
      <w:r w:rsidR="003B6E91">
        <w:t xml:space="preserve"> </w:t>
      </w:r>
      <w:r w:rsidR="00C21EBE" w:rsidRPr="00C21EBE">
        <w:t>resources</w:t>
      </w:r>
    </w:p>
    <w:p w:rsidR="00C67AAF" w:rsidRDefault="00341355" w:rsidP="002E771D">
      <w:pPr>
        <w:pStyle w:val="BodyText"/>
        <w:spacing w:before="160"/>
      </w:pPr>
      <w:bookmarkStart w:id="13" w:name="_Ref318471373"/>
      <w:r>
        <w:t>A</w:t>
      </w:r>
      <w:r w:rsidR="00250B90">
        <w:t xml:space="preserve"> number of risks arise from </w:t>
      </w:r>
      <w:r w:rsidR="00F7538B">
        <w:t>retail OTC derivative</w:t>
      </w:r>
      <w:r w:rsidR="003B6E91">
        <w:t xml:space="preserve"> issuers operating with insufficient financial resources</w:t>
      </w:r>
      <w:r w:rsidRPr="00341355">
        <w:rPr>
          <w:szCs w:val="20"/>
        </w:rPr>
        <w:t xml:space="preserve"> </w:t>
      </w:r>
      <w:r w:rsidRPr="00341355">
        <w:t>to operate their business effectively</w:t>
      </w:r>
      <w:r w:rsidR="008951CC">
        <w:t xml:space="preserve">. One such risk is the failure of </w:t>
      </w:r>
      <w:r>
        <w:t xml:space="preserve">these </w:t>
      </w:r>
      <w:r w:rsidR="008951CC">
        <w:t>issuers. (</w:t>
      </w:r>
      <w:r>
        <w:t xml:space="preserve">We </w:t>
      </w:r>
      <w:r w:rsidR="008951CC">
        <w:t xml:space="preserve">note, </w:t>
      </w:r>
      <w:r>
        <w:t xml:space="preserve">however, that the </w:t>
      </w:r>
      <w:r w:rsidR="008951CC">
        <w:t xml:space="preserve">financial requirements are not intended to prevent general issuer failure.) </w:t>
      </w:r>
    </w:p>
    <w:p w:rsidR="00C21EBE" w:rsidRPr="00C21EBE" w:rsidRDefault="00C21EBE" w:rsidP="00C21EBE">
      <w:pPr>
        <w:pStyle w:val="BodyText"/>
      </w:pPr>
      <w:bookmarkStart w:id="14" w:name="_ASICRef301"/>
      <w:r w:rsidRPr="00C21EBE">
        <w:t xml:space="preserve">In the past two years, we have observed the collapse of three retail OTC derivative issuers </w:t>
      </w:r>
      <w:r w:rsidR="00341355">
        <w:t>that</w:t>
      </w:r>
      <w:r w:rsidR="00341355" w:rsidRPr="00C21EBE">
        <w:t xml:space="preserve"> </w:t>
      </w:r>
      <w:r w:rsidRPr="00C21EBE">
        <w:t xml:space="preserve">did not </w:t>
      </w:r>
      <w:r w:rsidRPr="00C21EBE">
        <w:rPr>
          <w:szCs w:val="20"/>
        </w:rPr>
        <w:t xml:space="preserve">have </w:t>
      </w:r>
      <w:r w:rsidRPr="00C21EBE">
        <w:t xml:space="preserve">appropriate supervisory arrangements and other compliance resources. In one of these cases, the issuer was able to meet the current financial requirements, except for </w:t>
      </w:r>
      <w:r w:rsidR="00CC3106" w:rsidRPr="00CC3106">
        <w:t>certain temporary breaches.</w:t>
      </w:r>
      <w:r w:rsidRPr="00C21EBE">
        <w:t xml:space="preserve"> In the other two cases, the issuers were not able to meet the current financial requirements.</w:t>
      </w:r>
      <w:bookmarkEnd w:id="14"/>
    </w:p>
    <w:p w:rsidR="00C21EBE" w:rsidRPr="00C21EBE" w:rsidRDefault="00C21EBE" w:rsidP="002E771D">
      <w:pPr>
        <w:pStyle w:val="BodyText"/>
        <w:ind w:right="-284"/>
      </w:pPr>
      <w:bookmarkStart w:id="15" w:name="_ASICRef774"/>
      <w:r w:rsidRPr="00C21EBE">
        <w:t xml:space="preserve">In all three cases, the issuers in question did not have sufficient </w:t>
      </w:r>
      <w:r w:rsidR="00EF069C" w:rsidRPr="00EF069C">
        <w:t xml:space="preserve">financial </w:t>
      </w:r>
      <w:r w:rsidRPr="00C21EBE">
        <w:t>resources to maintain robust supervisory arrangements</w:t>
      </w:r>
      <w:r w:rsidR="00EF069C">
        <w:sym w:font="Symbol" w:char="F0BE"/>
      </w:r>
      <w:r w:rsidRPr="00C21EBE">
        <w:t>in particular</w:t>
      </w:r>
      <w:r w:rsidR="00EF069C">
        <w:t>,</w:t>
      </w:r>
      <w:r w:rsidRPr="00C21EBE">
        <w:t xml:space="preserve"> properly resourced and effective compliance, finance and back office functions. They were therefore unable, among other things, </w:t>
      </w:r>
      <w:r w:rsidR="00EF069C">
        <w:t xml:space="preserve">to </w:t>
      </w:r>
      <w:r w:rsidRPr="00C21EBE">
        <w:t>properly reconcile and manage deposits into and withdrawals out of their client money trust accounts (and other accounts they held with banks and counterparties), fully segregate duties</w:t>
      </w:r>
      <w:r w:rsidR="00EF069C">
        <w:t>,</w:t>
      </w:r>
      <w:r w:rsidRPr="00C21EBE">
        <w:t xml:space="preserve"> or prepare regular financial statements that accurately presented the issuer</w:t>
      </w:r>
      <w:r w:rsidR="00927BB5">
        <w:t>’</w:t>
      </w:r>
      <w:r w:rsidRPr="00C21EBE">
        <w:t xml:space="preserve">s financial position and compliance with </w:t>
      </w:r>
      <w:r w:rsidR="00EF069C">
        <w:t>its AFS</w:t>
      </w:r>
      <w:r w:rsidR="00EF069C" w:rsidRPr="00C21EBE">
        <w:t xml:space="preserve"> </w:t>
      </w:r>
      <w:r w:rsidRPr="00C21EBE">
        <w:t>licence conditions. This, at least in part, contributed to the failure of these issuers.</w:t>
      </w:r>
      <w:bookmarkEnd w:id="15"/>
    </w:p>
    <w:p w:rsidR="00C21EBE" w:rsidRDefault="00C21EBE" w:rsidP="002E771D">
      <w:pPr>
        <w:pStyle w:val="BodyText"/>
        <w:ind w:right="-284"/>
      </w:pPr>
      <w:r w:rsidRPr="00C21EBE">
        <w:t>The</w:t>
      </w:r>
      <w:r w:rsidR="00EF069C">
        <w:t>se</w:t>
      </w:r>
      <w:r w:rsidRPr="00C21EBE">
        <w:t xml:space="preserve"> examples illustrate the causal </w:t>
      </w:r>
      <w:r w:rsidR="00EF069C">
        <w:t>connection</w:t>
      </w:r>
      <w:r w:rsidR="00EF069C" w:rsidRPr="00C21EBE">
        <w:t xml:space="preserve"> </w:t>
      </w:r>
      <w:r w:rsidRPr="00C21EBE">
        <w:t xml:space="preserve">between </w:t>
      </w:r>
      <w:r w:rsidR="00EF069C">
        <w:t xml:space="preserve">an </w:t>
      </w:r>
      <w:r w:rsidRPr="00C21EBE">
        <w:t>issuer</w:t>
      </w:r>
      <w:r w:rsidR="00927BB5">
        <w:t>’</w:t>
      </w:r>
      <w:r w:rsidR="00EF069C">
        <w:t>s</w:t>
      </w:r>
      <w:r w:rsidRPr="00C21EBE">
        <w:t xml:space="preserve"> failure and </w:t>
      </w:r>
      <w:r w:rsidR="00EF069C">
        <w:t xml:space="preserve">its </w:t>
      </w:r>
      <w:r w:rsidRPr="00771F2F">
        <w:t xml:space="preserve">having </w:t>
      </w:r>
      <w:r w:rsidR="00CC3106" w:rsidRPr="00CC3106">
        <w:t>inadequate</w:t>
      </w:r>
      <w:r w:rsidRPr="00C21EBE">
        <w:t xml:space="preserve"> financial resources to comply with the Corporations Act. We stress, however, that the failure of issuers in breach of the financial requirements does not demonstrate that the financial requirements are appropriate or adequate for retail OTC derivative issuers. As noted above, we have observed many under-capitalised retail OTC derivative issuers that meet the existing financial requirements but, nonetheless, have insufficient resources to undertake appropriate supervisory activities</w:t>
      </w:r>
      <w:r>
        <w:t>.</w:t>
      </w:r>
    </w:p>
    <w:p w:rsidR="003B6E91" w:rsidRDefault="008951CC" w:rsidP="003B6E91">
      <w:pPr>
        <w:pStyle w:val="BodyText"/>
      </w:pPr>
      <w:r w:rsidRPr="00C21EBE">
        <w:t>Such issuer failures, and their flow-on effects, may</w:t>
      </w:r>
      <w:r w:rsidR="00250B90" w:rsidRPr="00C21EBE">
        <w:t xml:space="preserve"> impose</w:t>
      </w:r>
      <w:r w:rsidRPr="00C21EBE">
        <w:t xml:space="preserve"> a number</w:t>
      </w:r>
      <w:r>
        <w:t xml:space="preserve"> of</w:t>
      </w:r>
      <w:r w:rsidR="00250B90">
        <w:t xml:space="preserve"> costs on issuers</w:t>
      </w:r>
      <w:r w:rsidR="00927BB5">
        <w:t>’</w:t>
      </w:r>
      <w:r w:rsidR="00250B90">
        <w:t xml:space="preserve"> clients and the market more generally. These</w:t>
      </w:r>
      <w:r w:rsidR="003B6E91">
        <w:t xml:space="preserve"> </w:t>
      </w:r>
      <w:r w:rsidR="002471C7">
        <w:t xml:space="preserve">costs </w:t>
      </w:r>
      <w:r w:rsidR="003B6E91">
        <w:t>include:</w:t>
      </w:r>
      <w:bookmarkEnd w:id="13"/>
    </w:p>
    <w:p w:rsidR="00870DD3" w:rsidRDefault="00870DD3" w:rsidP="003B6E91">
      <w:pPr>
        <w:pStyle w:val="subparaa"/>
      </w:pPr>
      <w:bookmarkStart w:id="16" w:name="_ASICRef289"/>
      <w:r w:rsidRPr="00870DD3">
        <w:t xml:space="preserve">losses to clients </w:t>
      </w:r>
      <w:r>
        <w:t>arising from:</w:t>
      </w:r>
      <w:bookmarkEnd w:id="16"/>
    </w:p>
    <w:p w:rsidR="00ED29D5" w:rsidRDefault="003B6E91" w:rsidP="00ED29D5">
      <w:pPr>
        <w:pStyle w:val="subsubparai"/>
      </w:pPr>
      <w:r>
        <w:t>deficiencies in the client money account</w:t>
      </w:r>
      <w:r w:rsidR="002B4B82">
        <w:t xml:space="preserve"> from</w:t>
      </w:r>
      <w:r>
        <w:t xml:space="preserve"> having insufficiently</w:t>
      </w:r>
      <w:r w:rsidR="00EF760A">
        <w:t xml:space="preserve"> </w:t>
      </w:r>
      <w:r>
        <w:t>developed record-keeping and reconciliation practices;</w:t>
      </w:r>
    </w:p>
    <w:p w:rsidR="00ED29D5" w:rsidRDefault="008951CC" w:rsidP="00ED29D5">
      <w:pPr>
        <w:pStyle w:val="subsubparai"/>
      </w:pPr>
      <w:r>
        <w:lastRenderedPageBreak/>
        <w:t>an issuer</w:t>
      </w:r>
      <w:r w:rsidR="00927BB5">
        <w:t>’</w:t>
      </w:r>
      <w:r>
        <w:t>s</w:t>
      </w:r>
      <w:r w:rsidR="003B6E91">
        <w:t xml:space="preserve"> failure to operate adequate systems to manage risk, including market, operational and credit risk;</w:t>
      </w:r>
      <w:r w:rsidR="00870DD3">
        <w:t xml:space="preserve"> and</w:t>
      </w:r>
    </w:p>
    <w:p w:rsidR="00ED29D5" w:rsidRDefault="003B6E91" w:rsidP="00ED29D5">
      <w:pPr>
        <w:pStyle w:val="subsubparai"/>
      </w:pPr>
      <w:r>
        <w:t>issuers holding insufficient financial resources to enable an orderly winding-u</w:t>
      </w:r>
      <w:r w:rsidR="008951CC">
        <w:t xml:space="preserve">p of </w:t>
      </w:r>
      <w:r w:rsidR="002B4B82">
        <w:t xml:space="preserve">their </w:t>
      </w:r>
      <w:r w:rsidR="008951CC">
        <w:t>business in insolvency; and</w:t>
      </w:r>
    </w:p>
    <w:p w:rsidR="004501CC" w:rsidRDefault="003B6E91" w:rsidP="003B6E91">
      <w:pPr>
        <w:pStyle w:val="subparaa"/>
      </w:pPr>
      <w:bookmarkStart w:id="17" w:name="_ASICRef14"/>
      <w:r>
        <w:t>l</w:t>
      </w:r>
      <w:r w:rsidR="008951CC">
        <w:t>oss of revenue</w:t>
      </w:r>
      <w:r>
        <w:t xml:space="preserve"> to</w:t>
      </w:r>
      <w:r w:rsidR="000A34A8">
        <w:t xml:space="preserve"> the </w:t>
      </w:r>
      <w:r w:rsidR="00F7538B">
        <w:t>retail derivative</w:t>
      </w:r>
      <w:r>
        <w:t xml:space="preserve"> sector due to </w:t>
      </w:r>
      <w:r w:rsidR="002B4B82">
        <w:t xml:space="preserve">the </w:t>
      </w:r>
      <w:r>
        <w:t xml:space="preserve">loss of investor confidence arising from the scenarios listed </w:t>
      </w:r>
      <w:r w:rsidR="002B4B82">
        <w:t>in paragraph (a)</w:t>
      </w:r>
      <w:r>
        <w:t>.</w:t>
      </w:r>
      <w:r w:rsidR="006A21D6">
        <w:t xml:space="preserve"> </w:t>
      </w:r>
      <w:bookmarkEnd w:id="17"/>
    </w:p>
    <w:p w:rsidR="00654273" w:rsidRDefault="002B4B82" w:rsidP="00654273">
      <w:pPr>
        <w:pStyle w:val="BodyText"/>
      </w:pPr>
      <w:r>
        <w:t xml:space="preserve">The losses listed in </w:t>
      </w:r>
      <w:r w:rsidRPr="002B4B82">
        <w:t xml:space="preserve">paragraph </w:t>
      </w:r>
      <w:r w:rsidR="00543607" w:rsidRPr="002B4B82">
        <w:fldChar w:fldCharType="begin"/>
      </w:r>
      <w:r w:rsidRPr="002B4B82">
        <w:instrText xml:space="preserve"> REF _ASICRef289 \w \h </w:instrText>
      </w:r>
      <w:r w:rsidR="00543607" w:rsidRPr="002B4B82">
        <w:fldChar w:fldCharType="separate"/>
      </w:r>
      <w:r w:rsidR="00337A8C">
        <w:t>42(a)</w:t>
      </w:r>
      <w:r w:rsidR="00543607" w:rsidRPr="002B4B82">
        <w:fldChar w:fldCharType="end"/>
      </w:r>
      <w:r w:rsidR="00E452F0">
        <w:t xml:space="preserve"> have </w:t>
      </w:r>
      <w:r>
        <w:t xml:space="preserve">all </w:t>
      </w:r>
      <w:r w:rsidR="00E452F0">
        <w:t xml:space="preserve">arisen in one or more of the three insolvency cases </w:t>
      </w:r>
      <w:r>
        <w:t xml:space="preserve">described in paragraphs </w:t>
      </w:r>
      <w:r w:rsidR="00543607">
        <w:fldChar w:fldCharType="begin"/>
      </w:r>
      <w:r>
        <w:instrText xml:space="preserve"> REF _ASICRef301 \w \h </w:instrText>
      </w:r>
      <w:r w:rsidR="00543607">
        <w:fldChar w:fldCharType="separate"/>
      </w:r>
      <w:r w:rsidR="00337A8C">
        <w:t>39</w:t>
      </w:r>
      <w:r w:rsidR="00543607">
        <w:fldChar w:fldCharType="end"/>
      </w:r>
      <w:r>
        <w:t>–</w:t>
      </w:r>
      <w:r w:rsidR="00543607">
        <w:fldChar w:fldCharType="begin"/>
      </w:r>
      <w:r>
        <w:instrText xml:space="preserve"> REF _ASICRef774 \w \h </w:instrText>
      </w:r>
      <w:r w:rsidR="00543607">
        <w:fldChar w:fldCharType="separate"/>
      </w:r>
      <w:r w:rsidR="00337A8C">
        <w:t>40</w:t>
      </w:r>
      <w:r w:rsidR="00543607">
        <w:fldChar w:fldCharType="end"/>
      </w:r>
      <w:r w:rsidR="00E452F0">
        <w:t xml:space="preserve">. The loss of revenue at </w:t>
      </w:r>
      <w:r w:rsidR="002471C7" w:rsidRPr="002471C7">
        <w:t xml:space="preserve">paragraph </w:t>
      </w:r>
      <w:r w:rsidR="00543607">
        <w:fldChar w:fldCharType="begin"/>
      </w:r>
      <w:r w:rsidR="002471C7">
        <w:instrText xml:space="preserve"> REF _ASICRef14 \w \h </w:instrText>
      </w:r>
      <w:r w:rsidR="00543607">
        <w:fldChar w:fldCharType="separate"/>
      </w:r>
      <w:r w:rsidR="00337A8C">
        <w:t>42(b)</w:t>
      </w:r>
      <w:r w:rsidR="00543607">
        <w:fldChar w:fldCharType="end"/>
      </w:r>
      <w:r w:rsidR="002471C7">
        <w:t xml:space="preserve"> </w:t>
      </w:r>
      <w:r w:rsidR="00E452F0">
        <w:t xml:space="preserve">is more difficult to quantify </w:t>
      </w:r>
      <w:r w:rsidR="002471C7">
        <w:t xml:space="preserve">because </w:t>
      </w:r>
      <w:r w:rsidR="00E452F0">
        <w:t xml:space="preserve">it is impossible to tell whether a potential client </w:t>
      </w:r>
      <w:r w:rsidR="002471C7">
        <w:t xml:space="preserve">would </w:t>
      </w:r>
      <w:r w:rsidR="00E452F0">
        <w:t>have decided to commence trading retail derivatives</w:t>
      </w:r>
      <w:r w:rsidR="002471C7">
        <w:t xml:space="preserve"> if</w:t>
      </w:r>
      <w:r w:rsidR="002471C7" w:rsidRPr="002471C7">
        <w:t xml:space="preserve"> the insolvencies </w:t>
      </w:r>
      <w:r w:rsidR="002471C7">
        <w:t>had not occurred</w:t>
      </w:r>
      <w:r w:rsidR="00E452F0">
        <w:t xml:space="preserve">. </w:t>
      </w:r>
      <w:r w:rsidR="003B5075">
        <w:t>However, we note the generally high, and</w:t>
      </w:r>
      <w:r w:rsidR="00923E8C">
        <w:t xml:space="preserve"> often</w:t>
      </w:r>
      <w:r w:rsidR="003B5075">
        <w:t xml:space="preserve"> controversial, media profile of the sector that, in part, has prompted industry participants to form an industry body and work towards </w:t>
      </w:r>
      <w:r w:rsidR="002471C7">
        <w:t xml:space="preserve">establishing </w:t>
      </w:r>
      <w:r w:rsidR="003B5075">
        <w:t>a code of conduct.</w:t>
      </w:r>
      <w:r w:rsidR="003B5075">
        <w:rPr>
          <w:rStyle w:val="FootnoteReference"/>
        </w:rPr>
        <w:footnoteReference w:id="4"/>
      </w:r>
    </w:p>
    <w:p w:rsidR="00C67AAF" w:rsidRDefault="004F7D5D" w:rsidP="004F7D5D">
      <w:pPr>
        <w:pStyle w:val="BodyText"/>
      </w:pPr>
      <w:r>
        <w:t xml:space="preserve">These losses may also </w:t>
      </w:r>
      <w:r w:rsidR="002471C7">
        <w:t>affect</w:t>
      </w:r>
      <w:r>
        <w:t xml:space="preserve"> an issuer</w:t>
      </w:r>
      <w:r w:rsidR="00927BB5">
        <w:t>’</w:t>
      </w:r>
      <w:r>
        <w:t xml:space="preserve">s hedging counterparties and other financial services firms that act as introducing brokers to the issuer, or </w:t>
      </w:r>
      <w:r w:rsidR="002471C7">
        <w:t xml:space="preserve">that </w:t>
      </w:r>
      <w:r w:rsidR="00927BB5">
        <w:t>‘</w:t>
      </w:r>
      <w:r>
        <w:t>white label</w:t>
      </w:r>
      <w:r w:rsidR="00927BB5">
        <w:t>’</w:t>
      </w:r>
      <w:r>
        <w:t xml:space="preserve"> </w:t>
      </w:r>
      <w:r w:rsidR="002471C7">
        <w:t xml:space="preserve">the </w:t>
      </w:r>
      <w:r>
        <w:t>issuer</w:t>
      </w:r>
      <w:r w:rsidR="00927BB5">
        <w:t>’</w:t>
      </w:r>
      <w:r>
        <w:t>s services</w:t>
      </w:r>
      <w:r w:rsidR="002471C7">
        <w:t>.</w:t>
      </w:r>
      <w:r>
        <w:rPr>
          <w:rStyle w:val="FootnoteReference"/>
        </w:rPr>
        <w:footnoteReference w:id="5"/>
      </w:r>
      <w:r>
        <w:t xml:space="preserve"> </w:t>
      </w:r>
      <w:r w:rsidR="004A191C">
        <w:t>It is also possible that such failures may reduce the willingness of retail client</w:t>
      </w:r>
      <w:r w:rsidR="002471C7">
        <w:t>s</w:t>
      </w:r>
      <w:r w:rsidR="004A191C">
        <w:t xml:space="preserve"> to trade retail derivatives. </w:t>
      </w:r>
    </w:p>
    <w:p w:rsidR="00ED29D5" w:rsidRDefault="004547B1" w:rsidP="00ED29D5">
      <w:pPr>
        <w:pStyle w:val="Heading3"/>
        <w:keepLines/>
      </w:pPr>
      <w:r>
        <w:t>Current financial requirements are inconsistent with international peers</w:t>
      </w:r>
    </w:p>
    <w:p w:rsidR="00ED29D5" w:rsidRDefault="004547B1" w:rsidP="00ED29D5">
      <w:pPr>
        <w:pStyle w:val="BodyText"/>
        <w:keepNext/>
        <w:keepLines/>
      </w:pPr>
      <w:r w:rsidRPr="00E75830">
        <w:t xml:space="preserve">When the financial requirements </w:t>
      </w:r>
      <w:r w:rsidR="002471C7">
        <w:t>for AFS licens</w:t>
      </w:r>
      <w:r w:rsidR="002471C7" w:rsidRPr="002471C7">
        <w:t>e</w:t>
      </w:r>
      <w:r w:rsidR="002471C7">
        <w:t>es</w:t>
      </w:r>
      <w:r w:rsidR="002471C7" w:rsidRPr="002471C7">
        <w:t xml:space="preserve"> </w:t>
      </w:r>
      <w:r w:rsidRPr="00E75830">
        <w:t xml:space="preserve">were introduced in 2002, the retail OTC sector was in its infancy. At that time, most derivatives were traded on exchange via brokers that were regulated as futures market participants. </w:t>
      </w:r>
    </w:p>
    <w:p w:rsidR="004547B1" w:rsidRPr="00F0074B" w:rsidRDefault="004547B1" w:rsidP="004547B1">
      <w:pPr>
        <w:pStyle w:val="BodyText"/>
      </w:pPr>
      <w:r w:rsidRPr="00E75830">
        <w:t>Australia</w:t>
      </w:r>
      <w:r w:rsidR="00927BB5">
        <w:t>’</w:t>
      </w:r>
      <w:r w:rsidRPr="00E75830">
        <w:t xml:space="preserve">s current minimum financial requirements for retail OTC derivative issuers are much lower than the minimum financial </w:t>
      </w:r>
      <w:r w:rsidRPr="00F0074B">
        <w:t>requirements</w:t>
      </w:r>
      <w:r w:rsidR="00576E8F">
        <w:t xml:space="preserve"> in other comparable jurisdictions</w:t>
      </w:r>
      <w:r w:rsidR="00250225" w:rsidRPr="00250225">
        <w:rPr>
          <w:szCs w:val="20"/>
        </w:rPr>
        <w:t xml:space="preserve"> </w:t>
      </w:r>
      <w:r w:rsidR="00250225" w:rsidRPr="00250225">
        <w:t>overseas</w:t>
      </w:r>
      <w:r w:rsidR="00576E8F">
        <w:t>, such as the U</w:t>
      </w:r>
      <w:r w:rsidR="00250225">
        <w:t xml:space="preserve">nited </w:t>
      </w:r>
      <w:r w:rsidR="00576E8F">
        <w:t>K</w:t>
      </w:r>
      <w:r w:rsidR="00250225">
        <w:t>ingdom</w:t>
      </w:r>
      <w:r w:rsidR="00576E8F">
        <w:t xml:space="preserve"> (€750,000) and Singapore (S$1,000,000). </w:t>
      </w:r>
    </w:p>
    <w:p w:rsidR="00F44B8B" w:rsidRPr="00F0074B" w:rsidRDefault="00576E8F" w:rsidP="004547B1">
      <w:pPr>
        <w:pStyle w:val="BodyText"/>
      </w:pPr>
      <w:r>
        <w:t>This difference in financial requirements between Australia and similar jurisdictions gives rise to the risk of regulatory arbitrage</w:t>
      </w:r>
      <w:r w:rsidR="00087F5F">
        <w:sym w:font="Symbol" w:char="F0BE"/>
      </w:r>
      <w:r w:rsidR="00087F5F">
        <w:t>t</w:t>
      </w:r>
      <w:r>
        <w:t>hat is, less well</w:t>
      </w:r>
      <w:r w:rsidR="00087F5F">
        <w:t>-</w:t>
      </w:r>
      <w:r>
        <w:t xml:space="preserve">resourced issuers may establish themselves in Australia while providing services to clients in Australia and overseas via online </w:t>
      </w:r>
      <w:r w:rsidR="00CC3106" w:rsidRPr="00CC3106">
        <w:t>incentives</w:t>
      </w:r>
      <w:r>
        <w:t xml:space="preserve">. </w:t>
      </w:r>
    </w:p>
    <w:p w:rsidR="00383879" w:rsidRDefault="0020073B" w:rsidP="0027601D">
      <w:pPr>
        <w:pStyle w:val="BodyText"/>
      </w:pPr>
      <w:r w:rsidRPr="00F0074B">
        <w:t>We have observed significant growth in the num</w:t>
      </w:r>
      <w:r w:rsidR="00576E8F">
        <w:t>ber of issuers entering the Australian market. Some of these appear to h</w:t>
      </w:r>
      <w:r w:rsidR="00654273" w:rsidRPr="00654273">
        <w:t>ave clients based ov</w:t>
      </w:r>
      <w:r w:rsidRPr="00F0074B">
        <w:t>erseas.</w:t>
      </w:r>
      <w:r w:rsidR="00576E8F">
        <w:t xml:space="preserve"> </w:t>
      </w:r>
      <w:r w:rsidR="00654273" w:rsidRPr="00654273">
        <w:t xml:space="preserve">In the 12 months to 30 June 2011, 10 new issuers entered the Australian market. In the six months to 1 January 2012, six issuers started up in </w:t>
      </w:r>
      <w:r w:rsidR="00654273" w:rsidRPr="00654273">
        <w:lastRenderedPageBreak/>
        <w:t xml:space="preserve">Australia. This is in a sector with a total issuer population of 46 </w:t>
      </w:r>
      <w:r w:rsidR="00E2716C">
        <w:t xml:space="preserve">AFS </w:t>
      </w:r>
      <w:r w:rsidR="00654273" w:rsidRPr="00654273">
        <w:t>licensees.</w:t>
      </w:r>
      <w:r w:rsidR="009C5A32">
        <w:t xml:space="preserve"> We are concerned that some of these issuers may be starting up in Australia, in preference to other jurisdictions, </w:t>
      </w:r>
      <w:r w:rsidR="00E2716C">
        <w:t xml:space="preserve">because of </w:t>
      </w:r>
      <w:r w:rsidR="009C5A32">
        <w:t>the less onerous (and insufficient) financial requirements.</w:t>
      </w:r>
    </w:p>
    <w:p w:rsidR="00654273" w:rsidRDefault="00654273" w:rsidP="0027601D">
      <w:pPr>
        <w:pStyle w:val="BodyText"/>
      </w:pPr>
      <w:r w:rsidRPr="00654273">
        <w:t>We are concerned that the rate of</w:t>
      </w:r>
      <w:r w:rsidR="009C5A32">
        <w:t xml:space="preserve"> new start</w:t>
      </w:r>
      <w:r w:rsidR="00E2716C">
        <w:t>-</w:t>
      </w:r>
      <w:r w:rsidRPr="00654273">
        <w:t>ups in the sector</w:t>
      </w:r>
      <w:r w:rsidR="009C5A32">
        <w:t>, combined with</w:t>
      </w:r>
      <w:r w:rsidRPr="00654273">
        <w:t xml:space="preserve"> the ability for these issuers to obtain overseas clients</w:t>
      </w:r>
      <w:r w:rsidR="009C5A32">
        <w:t xml:space="preserve"> relatively easily</w:t>
      </w:r>
      <w:r w:rsidRPr="00654273">
        <w:t xml:space="preserve"> online,</w:t>
      </w:r>
      <w:r w:rsidR="0020073B" w:rsidRPr="00F0074B">
        <w:t xml:space="preserve"> may affect Australia</w:t>
      </w:r>
      <w:r w:rsidR="00927BB5">
        <w:t>’</w:t>
      </w:r>
      <w:r w:rsidR="0020073B" w:rsidRPr="00F0074B">
        <w:t xml:space="preserve">s </w:t>
      </w:r>
      <w:r w:rsidR="00E2716C" w:rsidRPr="00E2716C">
        <w:t xml:space="preserve">future </w:t>
      </w:r>
      <w:r w:rsidR="0020073B" w:rsidRPr="00F0074B">
        <w:t>reputation as a we</w:t>
      </w:r>
      <w:r w:rsidR="00576E8F">
        <w:t>ll-regulated market</w:t>
      </w:r>
      <w:r w:rsidR="0020073B" w:rsidRPr="00F0074B">
        <w:t>.</w:t>
      </w:r>
    </w:p>
    <w:p w:rsidR="00BD6391" w:rsidRDefault="00BD6391" w:rsidP="00BD6391">
      <w:pPr>
        <w:pStyle w:val="Heading2"/>
      </w:pPr>
      <w:bookmarkStart w:id="18" w:name="_Toc331415815"/>
      <w:bookmarkStart w:id="19" w:name="_Toc299118298"/>
      <w:r>
        <w:t>Our objectives</w:t>
      </w:r>
      <w:bookmarkEnd w:id="18"/>
    </w:p>
    <w:p w:rsidR="00DF6B1B" w:rsidRDefault="006A21D6">
      <w:pPr>
        <w:pStyle w:val="BodyText"/>
      </w:pPr>
      <w:bookmarkStart w:id="20" w:name="_Ref318466136"/>
      <w:bookmarkEnd w:id="19"/>
      <w:r>
        <w:t xml:space="preserve">Our </w:t>
      </w:r>
      <w:r w:rsidR="00293838">
        <w:t>proposal</w:t>
      </w:r>
      <w:r w:rsidR="008C4EFB">
        <w:t>s are</w:t>
      </w:r>
      <w:r w:rsidR="00293838">
        <w:t xml:space="preserve"> aimed at </w:t>
      </w:r>
      <w:r w:rsidR="000A34A8">
        <w:t>ensuring businesses that act as</w:t>
      </w:r>
      <w:r w:rsidR="00F7538B">
        <w:t xml:space="preserve"> retail OTC derivative</w:t>
      </w:r>
      <w:r w:rsidR="002E6D5C">
        <w:t xml:space="preserve"> issuers </w:t>
      </w:r>
      <w:r w:rsidR="00293838" w:rsidRPr="00AC02FF">
        <w:t xml:space="preserve">have adequate financial resources to conduct their </w:t>
      </w:r>
      <w:r w:rsidR="002E6D5C">
        <w:t>business in compliance with the</w:t>
      </w:r>
      <w:r w:rsidR="00250B90">
        <w:t xml:space="preserve"> Corporations Act</w:t>
      </w:r>
      <w:r w:rsidR="00293838">
        <w:t>.</w:t>
      </w:r>
      <w:bookmarkEnd w:id="20"/>
      <w:r w:rsidR="00293838">
        <w:t xml:space="preserve"> </w:t>
      </w:r>
    </w:p>
    <w:p w:rsidR="00DF6B1B" w:rsidRDefault="00132F4C">
      <w:pPr>
        <w:pStyle w:val="BodyText"/>
      </w:pPr>
      <w:r>
        <w:t xml:space="preserve">As noted above, </w:t>
      </w:r>
      <w:r w:rsidR="00293838">
        <w:t>we have</w:t>
      </w:r>
      <w:r w:rsidR="00293838" w:rsidRPr="00DA718D">
        <w:t xml:space="preserve"> </w:t>
      </w:r>
      <w:r>
        <w:t xml:space="preserve">developed the proposed </w:t>
      </w:r>
      <w:r w:rsidR="00293838" w:rsidRPr="00DA718D">
        <w:t xml:space="preserve">financial </w:t>
      </w:r>
      <w:r>
        <w:t>requirements based on the stated objective of RG 166, while</w:t>
      </w:r>
      <w:r w:rsidR="008951CC">
        <w:t xml:space="preserve"> considering </w:t>
      </w:r>
      <w:r>
        <w:t>the most suitable approach</w:t>
      </w:r>
      <w:r w:rsidR="00293838" w:rsidRPr="00DA718D">
        <w:t xml:space="preserve"> in the context of</w:t>
      </w:r>
      <w:r w:rsidR="000A34A8">
        <w:t xml:space="preserve"> the</w:t>
      </w:r>
      <w:r w:rsidR="00F7538B">
        <w:t xml:space="preserve"> </w:t>
      </w:r>
      <w:r w:rsidR="00F7538B" w:rsidRPr="00F7538B">
        <w:t>retail OTC derivative</w:t>
      </w:r>
      <w:r w:rsidR="002E6D5C">
        <w:t xml:space="preserve"> sector</w:t>
      </w:r>
      <w:r w:rsidR="00293838" w:rsidRPr="00DA718D">
        <w:t xml:space="preserve">. </w:t>
      </w:r>
    </w:p>
    <w:p w:rsidR="00293838" w:rsidRPr="00DA718D" w:rsidRDefault="00293838" w:rsidP="00293838">
      <w:pPr>
        <w:pStyle w:val="BodyText"/>
      </w:pPr>
      <w:r>
        <w:t>The p</w:t>
      </w:r>
      <w:r w:rsidRPr="00DA718D">
        <w:t xml:space="preserve">roposals do </w:t>
      </w:r>
      <w:r w:rsidR="00ED29D5" w:rsidRPr="00ED29D5">
        <w:rPr>
          <w:i/>
        </w:rPr>
        <w:t>not</w:t>
      </w:r>
      <w:r w:rsidRPr="00DA718D">
        <w:t xml:space="preserve"> seek to:</w:t>
      </w:r>
    </w:p>
    <w:p w:rsidR="00293838" w:rsidRPr="00DA718D" w:rsidRDefault="00293838" w:rsidP="00132F4C">
      <w:pPr>
        <w:pStyle w:val="subparaa"/>
        <w:tabs>
          <w:tab w:val="left" w:pos="2693"/>
          <w:tab w:val="num" w:pos="6095"/>
        </w:tabs>
      </w:pPr>
      <w:r>
        <w:t>p</w:t>
      </w:r>
      <w:r w:rsidR="00132F4C">
        <w:t>revent issuers</w:t>
      </w:r>
      <w:r w:rsidRPr="00DA718D">
        <w:t xml:space="preserve"> from becoming insolvent due to cash flow problems</w:t>
      </w:r>
      <w:r w:rsidR="00132F4C">
        <w:t xml:space="preserve"> or trading losses</w:t>
      </w:r>
      <w:r w:rsidRPr="00DA718D">
        <w:t>;</w:t>
      </w:r>
    </w:p>
    <w:p w:rsidR="00FF7B79" w:rsidRDefault="00293838" w:rsidP="00293838">
      <w:pPr>
        <w:pStyle w:val="subparaa"/>
        <w:tabs>
          <w:tab w:val="left" w:pos="2693"/>
          <w:tab w:val="num" w:pos="6095"/>
        </w:tabs>
      </w:pPr>
      <w:r>
        <w:t>p</w:t>
      </w:r>
      <w:r w:rsidRPr="00DA718D">
        <w:t xml:space="preserve">rovide compensation to </w:t>
      </w:r>
      <w:r w:rsidR="00132F4C">
        <w:t>clients who suffer</w:t>
      </w:r>
      <w:r w:rsidRPr="00DA718D">
        <w:t xml:space="preserve"> loss</w:t>
      </w:r>
      <w:r w:rsidR="00132F4C">
        <w:t>es</w:t>
      </w:r>
      <w:r w:rsidRPr="00DA718D">
        <w:t>, f</w:t>
      </w:r>
      <w:r w:rsidR="00FF7B79">
        <w:t>or whatever reason; or</w:t>
      </w:r>
    </w:p>
    <w:p w:rsidR="00293838" w:rsidRPr="00DA718D" w:rsidRDefault="00FF7B79" w:rsidP="00293838">
      <w:pPr>
        <w:pStyle w:val="subparaa"/>
        <w:tabs>
          <w:tab w:val="left" w:pos="2693"/>
          <w:tab w:val="num" w:pos="6095"/>
        </w:tabs>
      </w:pPr>
      <w:r>
        <w:t>impose unwarranted barriers to e</w:t>
      </w:r>
      <w:r w:rsidR="008951CC">
        <w:t>ntering</w:t>
      </w:r>
      <w:r>
        <w:t xml:space="preserve"> the market.</w:t>
      </w:r>
      <w:r w:rsidR="00293838" w:rsidRPr="00DA718D">
        <w:t xml:space="preserve"> </w:t>
      </w:r>
    </w:p>
    <w:p w:rsidR="004B2A4B" w:rsidRDefault="004B2A4B" w:rsidP="00132F4C">
      <w:pPr>
        <w:pStyle w:val="BodyText"/>
      </w:pPr>
      <w:r>
        <w:t xml:space="preserve">Rather, the objective of the proposed </w:t>
      </w:r>
      <w:r w:rsidR="006A21D6" w:rsidRPr="006A21D6">
        <w:t xml:space="preserve">requirements </w:t>
      </w:r>
      <w:r>
        <w:t xml:space="preserve">is to avoid the costs associated with </w:t>
      </w:r>
      <w:r w:rsidR="00F7538B" w:rsidRPr="00F7538B">
        <w:t>retail OTC derivative</w:t>
      </w:r>
      <w:r>
        <w:t xml:space="preserve"> issuers operating with insufficient financial resources</w:t>
      </w:r>
      <w:r w:rsidR="00250B90">
        <w:t xml:space="preserve">. </w:t>
      </w:r>
    </w:p>
    <w:p w:rsidR="00293838" w:rsidRDefault="00293838" w:rsidP="00132F4C">
      <w:pPr>
        <w:pStyle w:val="BodyText"/>
      </w:pPr>
      <w:r w:rsidRPr="00DA718D">
        <w:t xml:space="preserve">As outlined in RG 166, in setting </w:t>
      </w:r>
      <w:r>
        <w:t xml:space="preserve">AFS </w:t>
      </w:r>
      <w:r w:rsidRPr="00DA718D">
        <w:t xml:space="preserve">licence conditions for financial requirements, we seek to </w:t>
      </w:r>
      <w:r w:rsidR="00E2716C">
        <w:t xml:space="preserve">provide certainty by </w:t>
      </w:r>
      <w:r w:rsidRPr="00DA718D">
        <w:t>set</w:t>
      </w:r>
      <w:r w:rsidR="00E2716C">
        <w:t>ting</w:t>
      </w:r>
      <w:r w:rsidRPr="00DA718D">
        <w:t xml:space="preserve"> minimum standards that are framed as clearly and simply as possible</w:t>
      </w:r>
      <w:r>
        <w:t xml:space="preserve">. </w:t>
      </w:r>
      <w:r w:rsidR="00E2716C">
        <w:t xml:space="preserve">Our </w:t>
      </w:r>
      <w:r>
        <w:t xml:space="preserve">proposals seek to balance the requirement </w:t>
      </w:r>
      <w:r w:rsidRPr="00DA718D">
        <w:t xml:space="preserve">to </w:t>
      </w:r>
      <w:r w:rsidR="004B2A4B">
        <w:t>ensure that issuers</w:t>
      </w:r>
      <w:r w:rsidRPr="00DA718D">
        <w:t xml:space="preserve"> have sufficiently rigorous</w:t>
      </w:r>
      <w:r>
        <w:t xml:space="preserve"> risk management</w:t>
      </w:r>
      <w:r w:rsidRPr="00DA718D">
        <w:t xml:space="preserve"> frameworks</w:t>
      </w:r>
      <w:r>
        <w:t xml:space="preserve"> and resources</w:t>
      </w:r>
      <w:r w:rsidRPr="00DA718D">
        <w:t xml:space="preserve"> to support the</w:t>
      </w:r>
      <w:r w:rsidR="004B2A4B">
        <w:t xml:space="preserve"> compliant operation of their business,</w:t>
      </w:r>
      <w:r>
        <w:t xml:space="preserve"> against</w:t>
      </w:r>
      <w:r w:rsidR="004B2A4B">
        <w:t xml:space="preserve"> the</w:t>
      </w:r>
      <w:r w:rsidRPr="00DA718D">
        <w:t xml:space="preserve"> need to avoid an unreasonable burden in maintaining particular l</w:t>
      </w:r>
      <w:r w:rsidR="00FF7B79">
        <w:t>evels of financial resources</w:t>
      </w:r>
      <w:r>
        <w:t>, which create</w:t>
      </w:r>
      <w:r w:rsidRPr="00DA718D">
        <w:t xml:space="preserve"> unjustifiable barriers to market entry</w:t>
      </w:r>
      <w:r w:rsidR="00E2716C">
        <w:t>.</w:t>
      </w:r>
    </w:p>
    <w:p w:rsidR="00DF6B1B" w:rsidRDefault="00DF6B1B">
      <w:pPr>
        <w:pStyle w:val="BodyText"/>
        <w:numPr>
          <w:ilvl w:val="0"/>
          <w:numId w:val="0"/>
        </w:numPr>
        <w:ind w:left="2268" w:hanging="1134"/>
      </w:pPr>
    </w:p>
    <w:p w:rsidR="00E62DB4" w:rsidRDefault="00E62DB4">
      <w:pPr>
        <w:pStyle w:val="Heading1"/>
      </w:pPr>
      <w:bookmarkStart w:id="21" w:name="_Toc321227097"/>
      <w:bookmarkStart w:id="22" w:name="_Toc331415816"/>
      <w:r>
        <w:lastRenderedPageBreak/>
        <w:t>Options and impact analysis</w:t>
      </w:r>
      <w:bookmarkEnd w:id="21"/>
      <w:bookmarkEnd w:id="22"/>
    </w:p>
    <w:p w:rsidR="00E62DB4" w:rsidRDefault="003374FB" w:rsidP="00F10D2B">
      <w:pPr>
        <w:pStyle w:val="Heading2"/>
        <w:spacing w:before="480"/>
      </w:pPr>
      <w:bookmarkStart w:id="23" w:name="_Toc321227098"/>
      <w:bookmarkStart w:id="24" w:name="_Toc331415817"/>
      <w:r>
        <w:t>Summary of o</w:t>
      </w:r>
      <w:r w:rsidR="00E62DB4">
        <w:t>ptions</w:t>
      </w:r>
      <w:bookmarkEnd w:id="23"/>
      <w:bookmarkEnd w:id="24"/>
    </w:p>
    <w:p w:rsidR="00E62DB4" w:rsidRDefault="00E62DB4" w:rsidP="00E62DB4">
      <w:pPr>
        <w:pStyle w:val="BodyText"/>
      </w:pPr>
      <w:r>
        <w:t xml:space="preserve">We believe there are </w:t>
      </w:r>
      <w:r w:rsidR="003374FB">
        <w:t xml:space="preserve">two </w:t>
      </w:r>
      <w:r>
        <w:t>options to consider</w:t>
      </w:r>
      <w:r w:rsidR="00250B90">
        <w:t>, in terms of resolving the problems identified</w:t>
      </w:r>
      <w:r w:rsidR="002F1336">
        <w:t>:</w:t>
      </w:r>
      <w:r>
        <w:t xml:space="preserve"> </w:t>
      </w:r>
    </w:p>
    <w:p w:rsidR="00E62DB4" w:rsidRPr="000B5B2F" w:rsidRDefault="00E62DB4" w:rsidP="00E62DB4">
      <w:pPr>
        <w:pStyle w:val="Bodytextplain"/>
      </w:pPr>
      <w:r w:rsidRPr="00E62DB4">
        <w:rPr>
          <w:b/>
        </w:rPr>
        <w:t>Option 1</w:t>
      </w:r>
      <w:r>
        <w:t xml:space="preserve">: </w:t>
      </w:r>
      <w:r w:rsidRPr="00E62DB4">
        <w:t xml:space="preserve">Clarify the financial requirements </w:t>
      </w:r>
      <w:r>
        <w:t xml:space="preserve">for </w:t>
      </w:r>
      <w:r w:rsidR="0096170C">
        <w:t>retail OTC derivative i</w:t>
      </w:r>
      <w:r>
        <w:t>ssuers</w:t>
      </w:r>
      <w:r w:rsidRPr="00E62DB4">
        <w:t xml:space="preserve"> </w:t>
      </w:r>
      <w:r w:rsidR="002F1336">
        <w:t xml:space="preserve">as </w:t>
      </w:r>
      <w:r w:rsidRPr="00E62DB4">
        <w:t xml:space="preserve">required by the </w:t>
      </w:r>
      <w:r w:rsidRPr="000B5B2F">
        <w:t>law (</w:t>
      </w:r>
      <w:r w:rsidR="00ED29D5" w:rsidRPr="00ED29D5">
        <w:t>preferred option)</w:t>
      </w:r>
      <w:r w:rsidR="00AD15FF">
        <w:t>.</w:t>
      </w:r>
    </w:p>
    <w:p w:rsidR="00E62DB4" w:rsidRPr="000B5B2F" w:rsidRDefault="00E62DB4" w:rsidP="00E62DB4">
      <w:pPr>
        <w:pStyle w:val="Bodytextplain"/>
      </w:pPr>
      <w:r w:rsidRPr="000B5B2F">
        <w:rPr>
          <w:b/>
        </w:rPr>
        <w:t>Option 2</w:t>
      </w:r>
      <w:r w:rsidRPr="000B5B2F">
        <w:t xml:space="preserve">: </w:t>
      </w:r>
      <w:r w:rsidR="00636802">
        <w:t>Maintain c</w:t>
      </w:r>
      <w:r w:rsidR="000B5B2F">
        <w:t>urrent</w:t>
      </w:r>
      <w:r w:rsidRPr="000B5B2F">
        <w:t xml:space="preserve"> financial </w:t>
      </w:r>
      <w:r w:rsidR="00AD15FF">
        <w:t xml:space="preserve">requirements </w:t>
      </w:r>
      <w:r w:rsidRPr="000B5B2F">
        <w:t>(</w:t>
      </w:r>
      <w:r w:rsidR="00ED29D5" w:rsidRPr="00ED29D5">
        <w:t>status quo)</w:t>
      </w:r>
      <w:r w:rsidR="00AD15FF">
        <w:t>.</w:t>
      </w:r>
    </w:p>
    <w:p w:rsidR="00A36A25" w:rsidRDefault="00222067">
      <w:pPr>
        <w:pStyle w:val="BodyText"/>
      </w:pPr>
      <w:r w:rsidRPr="00222067">
        <w:t>We do</w:t>
      </w:r>
      <w:r w:rsidR="00250B90">
        <w:t xml:space="preserve"> not believe any other options exist to address the problems identified.</w:t>
      </w:r>
      <w:r w:rsidR="001528CA">
        <w:t xml:space="preserve"> The only other</w:t>
      </w:r>
      <w:r w:rsidR="00AF25ED">
        <w:t xml:space="preserve"> possible</w:t>
      </w:r>
      <w:r w:rsidR="001528CA">
        <w:t xml:space="preserve"> alternative would be to use disclosure measures to encourage </w:t>
      </w:r>
      <w:r w:rsidR="000B5B2F" w:rsidRPr="000B5B2F">
        <w:t xml:space="preserve">retail OTC derivative </w:t>
      </w:r>
      <w:r w:rsidR="001528CA">
        <w:t xml:space="preserve">issuers to improve their financial resources </w:t>
      </w:r>
      <w:r w:rsidR="000B5B2F">
        <w:t xml:space="preserve">as </w:t>
      </w:r>
      <w:r w:rsidR="001528CA">
        <w:t xml:space="preserve">envisaged by the proposed financial requirements. </w:t>
      </w:r>
    </w:p>
    <w:p w:rsidR="00A94C3E" w:rsidRDefault="00AF25ED">
      <w:pPr>
        <w:pStyle w:val="BodyText"/>
      </w:pPr>
      <w:r>
        <w:t>While a</w:t>
      </w:r>
      <w:r w:rsidR="001528CA">
        <w:t xml:space="preserve"> disclosure-based approach would not have the same effects on competition in the marketplace as Option 1, we do not believe th</w:t>
      </w:r>
      <w:r>
        <w:t>is</w:t>
      </w:r>
      <w:r w:rsidR="001528CA">
        <w:t xml:space="preserve"> would be successful in addressing the problems identified</w:t>
      </w:r>
      <w:r w:rsidR="00390F8C">
        <w:t xml:space="preserve"> for the following reasons:</w:t>
      </w:r>
    </w:p>
    <w:p w:rsidR="00A36A25" w:rsidRDefault="00390F8C">
      <w:pPr>
        <w:pStyle w:val="subparaa"/>
      </w:pPr>
      <w:r>
        <w:t xml:space="preserve">Disclosure </w:t>
      </w:r>
      <w:r w:rsidR="001528CA">
        <w:t xml:space="preserve">would be impractical. The Corporations Act requires product disclosure </w:t>
      </w:r>
      <w:r w:rsidR="000B5B2F">
        <w:t xml:space="preserve">through </w:t>
      </w:r>
      <w:r w:rsidR="001528CA">
        <w:t xml:space="preserve">a </w:t>
      </w:r>
      <w:r w:rsidR="000B5B2F">
        <w:t>Product Disclosure Statement (PDS)</w:t>
      </w:r>
      <w:r w:rsidR="001528CA">
        <w:t>, provided to the client at the time a product is offered, and updated periodically. As an issuer</w:t>
      </w:r>
      <w:r w:rsidR="00927BB5">
        <w:t>’</w:t>
      </w:r>
      <w:r w:rsidR="001528CA">
        <w:t xml:space="preserve">s financial position would change frequently, it is likely that any information contained in a PDS would quickly </w:t>
      </w:r>
      <w:r w:rsidR="000B5B2F" w:rsidRPr="000B5B2F">
        <w:t xml:space="preserve">become </w:t>
      </w:r>
      <w:r w:rsidR="001528CA">
        <w:t xml:space="preserve">outdated. </w:t>
      </w:r>
    </w:p>
    <w:p w:rsidR="00A36A25" w:rsidRDefault="001528CA">
      <w:pPr>
        <w:pStyle w:val="subparaa"/>
      </w:pPr>
      <w:r w:rsidRPr="003E54EE">
        <w:t>Regulatory Guide 227</w:t>
      </w:r>
      <w:r w:rsidRPr="00222067">
        <w:rPr>
          <w:i/>
        </w:rPr>
        <w:t xml:space="preserve"> Over-the-counter contracts for difference: Improving disclosure for retail investors</w:t>
      </w:r>
      <w:r>
        <w:t xml:space="preserve"> </w:t>
      </w:r>
      <w:r w:rsidR="007A310E">
        <w:t xml:space="preserve">(RG 227) </w:t>
      </w:r>
      <w:r w:rsidR="00AF25ED">
        <w:t xml:space="preserve">already </w:t>
      </w:r>
      <w:r>
        <w:t xml:space="preserve">requires an issuer </w:t>
      </w:r>
      <w:r w:rsidR="000B5B2F">
        <w:t xml:space="preserve">to </w:t>
      </w:r>
      <w:r>
        <w:t xml:space="preserve">make available its latest audited financial statement to prospective clients </w:t>
      </w:r>
      <w:r w:rsidR="001629FB">
        <w:t xml:space="preserve">to help </w:t>
      </w:r>
      <w:r>
        <w:t>clients consider the counterparty risk that attaches to that issuer</w:t>
      </w:r>
      <w:r w:rsidR="001629FB">
        <w:t xml:space="preserve">: see </w:t>
      </w:r>
      <w:r w:rsidR="001629FB" w:rsidRPr="001629FB">
        <w:t>RG 227.66</w:t>
      </w:r>
      <w:r>
        <w:t xml:space="preserve">. However, this </w:t>
      </w:r>
      <w:r w:rsidR="001629FB">
        <w:t xml:space="preserve">would be </w:t>
      </w:r>
      <w:r>
        <w:t>insufficient to address the problem</w:t>
      </w:r>
      <w:r w:rsidR="001629FB">
        <w:t xml:space="preserve"> because</w:t>
      </w:r>
      <w:r>
        <w:t>:</w:t>
      </w:r>
    </w:p>
    <w:p w:rsidR="00ED29D5" w:rsidRDefault="001528CA" w:rsidP="00ED29D5">
      <w:pPr>
        <w:pStyle w:val="subsubparai"/>
      </w:pPr>
      <w:r>
        <w:t>financial statements are produced at a particular point in time and may not be of assistance several months after publication; and</w:t>
      </w:r>
    </w:p>
    <w:p w:rsidR="00ED29D5" w:rsidRDefault="001528CA" w:rsidP="00CA4275">
      <w:pPr>
        <w:pStyle w:val="subsubparai"/>
        <w:ind w:left="3118" w:right="-284" w:hanging="425"/>
      </w:pPr>
      <w:r>
        <w:t>providing financial information does not require a particular standard of financial resources</w:t>
      </w:r>
      <w:r w:rsidR="001629FB">
        <w:t>;</w:t>
      </w:r>
      <w:r>
        <w:t xml:space="preserve"> it simply enables consumers to gain a general impression of an issuer</w:t>
      </w:r>
      <w:r w:rsidR="00927BB5">
        <w:t>’</w:t>
      </w:r>
      <w:r>
        <w:t>s financial position and performance.</w:t>
      </w:r>
      <w:r w:rsidR="00C10076">
        <w:t xml:space="preserve"> </w:t>
      </w:r>
    </w:p>
    <w:p w:rsidR="00A36A25" w:rsidRDefault="001528CA">
      <w:pPr>
        <w:pStyle w:val="subparaa"/>
      </w:pPr>
      <w:r>
        <w:t xml:space="preserve">There is significant doubt </w:t>
      </w:r>
      <w:r w:rsidR="001629FB">
        <w:t>about</w:t>
      </w:r>
      <w:r>
        <w:t xml:space="preserve"> whether most clients would be able to interpret any additional financial disclosure and act on it. Given the complexity of </w:t>
      </w:r>
      <w:r w:rsidR="0096170C">
        <w:t>OTC derivative</w:t>
      </w:r>
      <w:r>
        <w:t xml:space="preserve"> trading, clients already receive large amounts of quite technical information when they open </w:t>
      </w:r>
      <w:r w:rsidR="001629FB">
        <w:t xml:space="preserve">a </w:t>
      </w:r>
      <w:r w:rsidR="0096170C" w:rsidRPr="0096170C">
        <w:t>retail OTC derivative</w:t>
      </w:r>
      <w:r>
        <w:t xml:space="preserve"> trading account. </w:t>
      </w:r>
      <w:r w:rsidR="001629FB">
        <w:t>M</w:t>
      </w:r>
      <w:r>
        <w:t xml:space="preserve">any clients may be unlikely to review and consider additional disclosure material. Likewise, given the nature of financial disclosure, many retail clients may not have the necessary skills to understand and act on additional financial disclosure. </w:t>
      </w:r>
    </w:p>
    <w:p w:rsidR="00ED29D5" w:rsidRDefault="00E4427B" w:rsidP="00ED29D5">
      <w:pPr>
        <w:pStyle w:val="Heading2"/>
      </w:pPr>
      <w:bookmarkStart w:id="25" w:name="_Toc331415818"/>
      <w:r w:rsidRPr="00E62DB4">
        <w:lastRenderedPageBreak/>
        <w:t>Option 1</w:t>
      </w:r>
      <w:r>
        <w:t xml:space="preserve">: </w:t>
      </w:r>
      <w:r w:rsidRPr="00E62DB4">
        <w:t xml:space="preserve">Clarify financial requirements </w:t>
      </w:r>
      <w:r>
        <w:t>for retail OTC derivative issuers</w:t>
      </w:r>
      <w:r w:rsidRPr="00E62DB4">
        <w:t xml:space="preserve"> </w:t>
      </w:r>
      <w:r w:rsidRPr="000B5B2F">
        <w:t>(preferred option)</w:t>
      </w:r>
      <w:bookmarkEnd w:id="25"/>
    </w:p>
    <w:p w:rsidR="00E62DB4" w:rsidRDefault="00E62DB4" w:rsidP="00E62DB4">
      <w:pPr>
        <w:pStyle w:val="BodyText"/>
      </w:pPr>
      <w:r>
        <w:t xml:space="preserve">Under Option 1, </w:t>
      </w:r>
      <w:r w:rsidR="002F1336">
        <w:t xml:space="preserve">retail OTC derivative </w:t>
      </w:r>
      <w:r w:rsidR="003374FB">
        <w:t>i</w:t>
      </w:r>
      <w:r w:rsidR="008270C0">
        <w:t xml:space="preserve">ssuers </w:t>
      </w:r>
      <w:r w:rsidR="002F1336">
        <w:t xml:space="preserve">would need </w:t>
      </w:r>
      <w:r w:rsidR="008270C0">
        <w:t xml:space="preserve">to meet the </w:t>
      </w:r>
      <w:r w:rsidR="002E771D">
        <w:t>requirements</w:t>
      </w:r>
      <w:r w:rsidR="008270C0">
        <w:t xml:space="preserve"> set out </w:t>
      </w:r>
      <w:r w:rsidR="008F2EFC">
        <w:t>in</w:t>
      </w:r>
      <w:r w:rsidR="00D63444">
        <w:t xml:space="preserve"> </w:t>
      </w:r>
      <w:r w:rsidR="00543607">
        <w:fldChar w:fldCharType="begin"/>
      </w:r>
      <w:r w:rsidR="00D63444">
        <w:instrText xml:space="preserve"> REF _Ref325036865 \h </w:instrText>
      </w:r>
      <w:r w:rsidR="00543607">
        <w:fldChar w:fldCharType="separate"/>
      </w:r>
      <w:r w:rsidR="00337A8C" w:rsidRPr="009C79B5">
        <w:t xml:space="preserve">Table </w:t>
      </w:r>
      <w:r w:rsidR="00337A8C">
        <w:rPr>
          <w:noProof/>
        </w:rPr>
        <w:t>1</w:t>
      </w:r>
      <w:r w:rsidR="00543607">
        <w:fldChar w:fldCharType="end"/>
      </w:r>
      <w:r w:rsidR="008270C0">
        <w:t>.</w:t>
      </w:r>
    </w:p>
    <w:p w:rsidR="00B33A61" w:rsidRDefault="009C79B5" w:rsidP="00931A2B">
      <w:pPr>
        <w:pStyle w:val="tabletitlefullwidth"/>
      </w:pPr>
      <w:bookmarkStart w:id="26" w:name="_Ref325036865"/>
      <w:r w:rsidRPr="009C79B5">
        <w:t xml:space="preserve">Table </w:t>
      </w:r>
      <w:r w:rsidR="00543607" w:rsidRPr="009C79B5">
        <w:fldChar w:fldCharType="begin"/>
      </w:r>
      <w:r w:rsidRPr="009C79B5">
        <w:instrText xml:space="preserve"> SEQ Table \* ARABIC </w:instrText>
      </w:r>
      <w:r w:rsidR="00543607" w:rsidRPr="009C79B5">
        <w:fldChar w:fldCharType="separate"/>
      </w:r>
      <w:r w:rsidR="00337A8C">
        <w:rPr>
          <w:noProof/>
        </w:rPr>
        <w:t>1</w:t>
      </w:r>
      <w:r w:rsidR="00543607" w:rsidRPr="009C79B5">
        <w:fldChar w:fldCharType="end"/>
      </w:r>
      <w:bookmarkEnd w:id="26"/>
      <w:r w:rsidRPr="009C79B5">
        <w:t>:</w:t>
      </w:r>
      <w:r w:rsidRPr="009C79B5">
        <w:tab/>
        <w:t>Summary of financial requirements for retail OTC derivative issuers under Option 1</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2268"/>
        <w:gridCol w:w="6804"/>
      </w:tblGrid>
      <w:tr w:rsidR="009C79B5" w:rsidRPr="000540E1" w:rsidTr="00B33A61">
        <w:trPr>
          <w:cantSplit/>
          <w:tblHeader/>
        </w:trPr>
        <w:tc>
          <w:tcPr>
            <w:tcW w:w="2268" w:type="dxa"/>
            <w:shd w:val="clear" w:color="auto" w:fill="C2E3FA"/>
          </w:tcPr>
          <w:p w:rsidR="009C79B5" w:rsidRDefault="009C79B5" w:rsidP="00931A2B">
            <w:pPr>
              <w:pStyle w:val="tablehead"/>
            </w:pPr>
            <w:r>
              <w:t>Requirement</w:t>
            </w:r>
          </w:p>
        </w:tc>
        <w:tc>
          <w:tcPr>
            <w:tcW w:w="6804" w:type="dxa"/>
            <w:shd w:val="clear" w:color="auto" w:fill="C2E3FA"/>
          </w:tcPr>
          <w:p w:rsidR="009C79B5" w:rsidRDefault="009C79B5" w:rsidP="00931A2B">
            <w:pPr>
              <w:pStyle w:val="tablehead"/>
            </w:pPr>
            <w:r>
              <w:t>Description</w:t>
            </w:r>
          </w:p>
        </w:tc>
      </w:tr>
      <w:tr w:rsidR="009C79B5" w:rsidRPr="000540E1" w:rsidTr="00B33A61">
        <w:trPr>
          <w:cantSplit/>
        </w:trPr>
        <w:tc>
          <w:tcPr>
            <w:tcW w:w="2268" w:type="dxa"/>
          </w:tcPr>
          <w:p w:rsidR="009C79B5" w:rsidRPr="000540E1" w:rsidRDefault="009C79B5" w:rsidP="00E116AD">
            <w:pPr>
              <w:pStyle w:val="tbltext"/>
            </w:pPr>
            <w:r>
              <w:t>Cash needs requirement (12-month cash flow projection)</w:t>
            </w:r>
          </w:p>
        </w:tc>
        <w:tc>
          <w:tcPr>
            <w:tcW w:w="6804" w:type="dxa"/>
          </w:tcPr>
          <w:p w:rsidR="009C79B5" w:rsidRDefault="009C79B5" w:rsidP="00B33A61">
            <w:pPr>
              <w:pStyle w:val="tbltext"/>
            </w:pPr>
            <w:r>
              <w:t>A retail derivative issuer would need to:</w:t>
            </w:r>
          </w:p>
          <w:p w:rsidR="00ED29D5" w:rsidRDefault="009C79B5" w:rsidP="00ED29D5">
            <w:pPr>
              <w:pStyle w:val="tablebullet"/>
            </w:pPr>
            <w:r>
              <w:t>prepare,</w:t>
            </w:r>
            <w:r w:rsidR="00C10076">
              <w:t xml:space="preserve"> </w:t>
            </w:r>
            <w:r w:rsidR="00F638B7" w:rsidRPr="00F638B7">
              <w:t>in each March, June, September and December</w:t>
            </w:r>
            <w:r>
              <w:t xml:space="preserve">, </w:t>
            </w:r>
            <w:r w:rsidR="00F638B7">
              <w:t>a projection of its</w:t>
            </w:r>
            <w:r>
              <w:t xml:space="preserve"> cash flow over at least </w:t>
            </w:r>
            <w:r w:rsidR="00F638B7">
              <w:t xml:space="preserve">the next </w:t>
            </w:r>
            <w:r>
              <w:t>12 months</w:t>
            </w:r>
            <w:r w:rsidR="00F638B7">
              <w:t xml:space="preserve"> </w:t>
            </w:r>
            <w:r w:rsidR="00F638B7" w:rsidRPr="00F638B7">
              <w:t xml:space="preserve">based on </w:t>
            </w:r>
            <w:r w:rsidR="00F638B7">
              <w:t>a</w:t>
            </w:r>
            <w:r w:rsidR="00F638B7" w:rsidRPr="00F638B7">
              <w:t xml:space="preserve"> reasonable estimate of revenue and expenses over this term</w:t>
            </w:r>
            <w:r>
              <w:t>;</w:t>
            </w:r>
          </w:p>
          <w:p w:rsidR="00ED29D5" w:rsidRDefault="00531F99" w:rsidP="00ED29D5">
            <w:pPr>
              <w:pStyle w:val="tablebullet"/>
            </w:pPr>
            <w:r>
              <w:t xml:space="preserve">have the </w:t>
            </w:r>
            <w:r w:rsidRPr="00531F99">
              <w:t xml:space="preserve">projection approved in writing by </w:t>
            </w:r>
            <w:r>
              <w:t>its</w:t>
            </w:r>
            <w:r w:rsidRPr="00531F99">
              <w:t xml:space="preserve"> </w:t>
            </w:r>
            <w:r w:rsidR="00623A43">
              <w:t xml:space="preserve">board of </w:t>
            </w:r>
            <w:r w:rsidRPr="00531F99">
              <w:t xml:space="preserve">directors or other governing body, </w:t>
            </w:r>
            <w:r w:rsidRPr="00531F99">
              <w:rPr>
                <w:lang w:val="en-ZW"/>
              </w:rPr>
              <w:t xml:space="preserve">as being based on </w:t>
            </w:r>
            <w:r>
              <w:rPr>
                <w:lang w:val="en-ZW"/>
              </w:rPr>
              <w:t>a</w:t>
            </w:r>
            <w:r w:rsidRPr="00531F99">
              <w:rPr>
                <w:lang w:val="en-ZW"/>
              </w:rPr>
              <w:t xml:space="preserve"> reasonable estimate of revenue and expenses over the period</w:t>
            </w:r>
            <w:r w:rsidR="002E771D">
              <w:t>;</w:t>
            </w:r>
          </w:p>
          <w:p w:rsidR="00ED29D5" w:rsidRDefault="00531F99" w:rsidP="00ED29D5">
            <w:pPr>
              <w:pStyle w:val="tablebullet"/>
            </w:pPr>
            <w:r>
              <w:t xml:space="preserve">document </w:t>
            </w:r>
            <w:r w:rsidRPr="00531F99">
              <w:t>the calculations and assumptions used in preparing the projection, and describe in writing why the assumptions are appropriate</w:t>
            </w:r>
            <w:r w:rsidR="009C79B5">
              <w:t>;</w:t>
            </w:r>
          </w:p>
          <w:p w:rsidR="00E116AD" w:rsidRDefault="009C79B5" w:rsidP="00531F99">
            <w:pPr>
              <w:pStyle w:val="tablebullet"/>
            </w:pPr>
            <w:r>
              <w:t xml:space="preserve">update the </w:t>
            </w:r>
            <w:r w:rsidR="00531F99">
              <w:t xml:space="preserve">cash flow </w:t>
            </w:r>
            <w:r>
              <w:t>projection if</w:t>
            </w:r>
            <w:r w:rsidR="00531F99">
              <w:t xml:space="preserve"> </w:t>
            </w:r>
            <w:r w:rsidR="00531F99" w:rsidRPr="00531F99">
              <w:t>there is reason to suspect that an</w:t>
            </w:r>
            <w:r w:rsidR="00531F99">
              <w:t xml:space="preserve"> updated projection would show it was</w:t>
            </w:r>
            <w:r w:rsidR="00531F99" w:rsidRPr="00531F99">
              <w:t xml:space="preserve"> not meeting the financial requirements under </w:t>
            </w:r>
            <w:r w:rsidR="00531F99">
              <w:t>its</w:t>
            </w:r>
            <w:r w:rsidR="00531F99" w:rsidRPr="00531F99">
              <w:t xml:space="preserve"> AFS licence</w:t>
            </w:r>
            <w:r w:rsidR="00531F99">
              <w:t>;</w:t>
            </w:r>
            <w:r w:rsidR="00531F99" w:rsidRPr="00531F99">
              <w:t xml:space="preserve"> </w:t>
            </w:r>
          </w:p>
          <w:p w:rsidR="00531F99" w:rsidRPr="00531F99" w:rsidRDefault="00531F99" w:rsidP="00531F99">
            <w:pPr>
              <w:pStyle w:val="tablebullet"/>
            </w:pPr>
            <w:r w:rsidRPr="00531F99">
              <w:t xml:space="preserve">demonstrate, based on the cash flow projection, that </w:t>
            </w:r>
            <w:r w:rsidR="00E116AD">
              <w:t>it</w:t>
            </w:r>
            <w:r w:rsidRPr="00531F99">
              <w:t xml:space="preserve"> will have access to enough financial resources to meet </w:t>
            </w:r>
            <w:r w:rsidR="00E116AD">
              <w:t>its</w:t>
            </w:r>
            <w:r w:rsidRPr="00531F99">
              <w:t xml:space="preserve"> liabilities over the projected term of at least 12 months; </w:t>
            </w:r>
          </w:p>
          <w:p w:rsidR="00531F99" w:rsidRPr="00531F99" w:rsidRDefault="00531F99" w:rsidP="00531F99">
            <w:pPr>
              <w:pStyle w:val="tablebullet"/>
            </w:pPr>
            <w:r w:rsidRPr="00531F99">
              <w:t xml:space="preserve">demonstrate, based on the cash flow projection, that </w:t>
            </w:r>
            <w:r>
              <w:t>it</w:t>
            </w:r>
            <w:r w:rsidRPr="00531F99">
              <w:t xml:space="preserve"> will have in cash or cash equivalents, at all times </w:t>
            </w:r>
            <w:r w:rsidRPr="00531F99">
              <w:rPr>
                <w:lang w:val="en-ZW"/>
              </w:rPr>
              <w:t xml:space="preserve">to which the projection relates, an amount equal to or greater than the amount </w:t>
            </w:r>
            <w:r>
              <w:rPr>
                <w:lang w:val="en-ZW"/>
              </w:rPr>
              <w:t>it is</w:t>
            </w:r>
            <w:r w:rsidRPr="00531F99">
              <w:rPr>
                <w:lang w:val="en-ZW"/>
              </w:rPr>
              <w:t xml:space="preserve"> required to have in cash or cash equivalents </w:t>
            </w:r>
            <w:r w:rsidRPr="00531F99">
              <w:t>under the net tangible assets (NTA) requirement</w:t>
            </w:r>
            <w:r w:rsidR="00C10076">
              <w:t xml:space="preserve"> </w:t>
            </w:r>
            <w:r>
              <w:t>(see below)</w:t>
            </w:r>
            <w:r w:rsidRPr="00531F99">
              <w:t xml:space="preserve">; and </w:t>
            </w:r>
          </w:p>
          <w:p w:rsidR="00ED29D5" w:rsidRDefault="00531F99" w:rsidP="00531F99">
            <w:pPr>
              <w:pStyle w:val="tablebullet"/>
            </w:pPr>
            <w:r w:rsidRPr="00531F99">
              <w:t>make the cash flow projection available to ASIC upon request</w:t>
            </w:r>
            <w:r>
              <w:t>.</w:t>
            </w:r>
          </w:p>
          <w:p w:rsidR="00ED29D5" w:rsidRDefault="009C79B5" w:rsidP="00ED29D5">
            <w:pPr>
              <w:pStyle w:val="tblnote"/>
            </w:pPr>
            <w:r>
              <w:t>Note: This tailored cash needs requirement would supplement</w:t>
            </w:r>
            <w:r w:rsidRPr="00B33A61">
              <w:t xml:space="preserve"> the other base level financial requirements </w:t>
            </w:r>
            <w:r>
              <w:t>for all AFS licensees</w:t>
            </w:r>
            <w:r w:rsidRPr="00B33A61">
              <w:t xml:space="preserve"> to:</w:t>
            </w:r>
          </w:p>
          <w:p w:rsidR="00ED29D5" w:rsidRDefault="009C79B5" w:rsidP="00ED29D5">
            <w:pPr>
              <w:pStyle w:val="tblnote"/>
              <w:numPr>
                <w:ilvl w:val="0"/>
                <w:numId w:val="25"/>
              </w:numPr>
              <w:spacing w:before="80"/>
              <w:ind w:left="709" w:hanging="284"/>
            </w:pPr>
            <w:r w:rsidRPr="00B33A61">
              <w:t>be solvent at all times;</w:t>
            </w:r>
          </w:p>
          <w:p w:rsidR="00ED29D5" w:rsidRDefault="009C79B5" w:rsidP="00ED29D5">
            <w:pPr>
              <w:pStyle w:val="tblnote"/>
              <w:numPr>
                <w:ilvl w:val="0"/>
                <w:numId w:val="25"/>
              </w:numPr>
              <w:spacing w:before="80"/>
              <w:ind w:left="709" w:hanging="284"/>
            </w:pPr>
            <w:r w:rsidRPr="00B33A61">
              <w:t>have total assets that exceed its total liabilities (or adjusted assets that exceed its adjusted liabilities)</w:t>
            </w:r>
            <w:r>
              <w:t>; and</w:t>
            </w:r>
          </w:p>
          <w:p w:rsidR="00ED29D5" w:rsidRDefault="009C79B5" w:rsidP="004C4AC8">
            <w:pPr>
              <w:pStyle w:val="tblnote"/>
              <w:numPr>
                <w:ilvl w:val="0"/>
                <w:numId w:val="25"/>
              </w:numPr>
              <w:spacing w:before="80"/>
              <w:ind w:left="709" w:hanging="284"/>
            </w:pPr>
            <w:r w:rsidRPr="00B33A61">
              <w:t>include information on compliance with</w:t>
            </w:r>
            <w:r w:rsidR="004C4AC8">
              <w:t xml:space="preserve"> the financial requirements in the</w:t>
            </w:r>
            <w:r w:rsidRPr="00B33A61">
              <w:t xml:space="preserve"> audit report to ASIC under s989B(3)</w:t>
            </w:r>
            <w:r>
              <w:t xml:space="preserve"> (the audit requirement).</w:t>
            </w:r>
          </w:p>
        </w:tc>
      </w:tr>
      <w:tr w:rsidR="009C79B5" w:rsidRPr="000540E1" w:rsidTr="00B33A61">
        <w:trPr>
          <w:cantSplit/>
        </w:trPr>
        <w:tc>
          <w:tcPr>
            <w:tcW w:w="2268" w:type="dxa"/>
          </w:tcPr>
          <w:p w:rsidR="009C79B5" w:rsidRPr="000540E1" w:rsidRDefault="009C79B5" w:rsidP="008D0389">
            <w:pPr>
              <w:pStyle w:val="tbltext"/>
            </w:pPr>
            <w:r w:rsidRPr="00D9693F">
              <w:t>NTA requirement</w:t>
            </w:r>
          </w:p>
        </w:tc>
        <w:tc>
          <w:tcPr>
            <w:tcW w:w="6804" w:type="dxa"/>
          </w:tcPr>
          <w:p w:rsidR="009C79B5" w:rsidRDefault="009C79B5" w:rsidP="009D1DDF">
            <w:pPr>
              <w:pStyle w:val="tbltext"/>
            </w:pPr>
            <w:r>
              <w:t>A retail OTC derivative issuer would need to:</w:t>
            </w:r>
          </w:p>
          <w:p w:rsidR="009C79B5" w:rsidRDefault="00B111A4" w:rsidP="009D1DDF">
            <w:pPr>
              <w:pStyle w:val="tablebullet"/>
            </w:pPr>
            <w:r>
              <w:t>have</w:t>
            </w:r>
            <w:r w:rsidR="009C79B5">
              <w:t xml:space="preserve"> at all times net tangible assets (NTA) of </w:t>
            </w:r>
            <w:r w:rsidR="00531F99">
              <w:t xml:space="preserve">at least </w:t>
            </w:r>
            <w:r w:rsidR="009C79B5">
              <w:t xml:space="preserve">the greater of: </w:t>
            </w:r>
          </w:p>
          <w:p w:rsidR="009C79B5" w:rsidRDefault="009C79B5" w:rsidP="009D1DDF">
            <w:pPr>
              <w:pStyle w:val="tabledash"/>
            </w:pPr>
            <w:r>
              <w:t xml:space="preserve">$1,000,000; or </w:t>
            </w:r>
          </w:p>
          <w:p w:rsidR="009C79B5" w:rsidRDefault="009C79B5" w:rsidP="009D1DDF">
            <w:pPr>
              <w:pStyle w:val="tabledash"/>
            </w:pPr>
            <w:r>
              <w:t>10% of its average revenue;</w:t>
            </w:r>
          </w:p>
          <w:p w:rsidR="009C79B5" w:rsidRDefault="00B111A4" w:rsidP="009D1DDF">
            <w:pPr>
              <w:pStyle w:val="tablebullet"/>
            </w:pPr>
            <w:r>
              <w:t>have</w:t>
            </w:r>
            <w:r w:rsidR="00531F99">
              <w:t xml:space="preserve"> an amount equal to</w:t>
            </w:r>
            <w:r w:rsidR="009C79B5">
              <w:t xml:space="preserve"> 50% of the required NTA in cash </w:t>
            </w:r>
            <w:r>
              <w:t>or</w:t>
            </w:r>
            <w:r w:rsidR="009C79B5">
              <w:t xml:space="preserve"> cash equivalents, (excluding any other cash or cash equivalents that are owed or payable to clients) and 50% in liquid assets; and</w:t>
            </w:r>
          </w:p>
          <w:p w:rsidR="009C79B5" w:rsidRPr="000540E1" w:rsidRDefault="009C79B5" w:rsidP="00B111A4">
            <w:pPr>
              <w:pStyle w:val="tablebullet"/>
            </w:pPr>
            <w:r>
              <w:t>report its NTA position</w:t>
            </w:r>
            <w:r w:rsidR="00531F99">
              <w:t xml:space="preserve"> as at the end of the financial year</w:t>
            </w:r>
            <w:r>
              <w:t xml:space="preserve">, </w:t>
            </w:r>
            <w:r w:rsidR="00B111A4">
              <w:t>accompanied by detailed</w:t>
            </w:r>
            <w:r>
              <w:t xml:space="preserve"> workings, to ASIC </w:t>
            </w:r>
            <w:r w:rsidR="00B111A4">
              <w:t>together with</w:t>
            </w:r>
            <w:r>
              <w:t xml:space="preserve"> the profit and loss statement and balance sheet lodged with ASIC under s989B of the Corporations Act</w:t>
            </w:r>
            <w:r w:rsidR="00B111A4">
              <w:t xml:space="preserve"> (Form </w:t>
            </w:r>
            <w:r w:rsidR="00531F99">
              <w:t>FS70)</w:t>
            </w:r>
            <w:r>
              <w:t>.</w:t>
            </w:r>
          </w:p>
        </w:tc>
      </w:tr>
      <w:tr w:rsidR="009C79B5" w:rsidRPr="000540E1" w:rsidTr="00B33A61">
        <w:trPr>
          <w:cantSplit/>
        </w:trPr>
        <w:tc>
          <w:tcPr>
            <w:tcW w:w="2268" w:type="dxa"/>
          </w:tcPr>
          <w:p w:rsidR="009C79B5" w:rsidRDefault="009C79B5" w:rsidP="00931A2B">
            <w:pPr>
              <w:pStyle w:val="tbltext"/>
            </w:pPr>
            <w:r w:rsidRPr="000830F9">
              <w:lastRenderedPageBreak/>
              <w:t>Reporting requirements</w:t>
            </w:r>
          </w:p>
        </w:tc>
        <w:tc>
          <w:tcPr>
            <w:tcW w:w="6804" w:type="dxa"/>
          </w:tcPr>
          <w:p w:rsidR="009C79B5" w:rsidRDefault="009C79B5" w:rsidP="00931A2B">
            <w:pPr>
              <w:pStyle w:val="tbltext"/>
            </w:pPr>
            <w:r w:rsidRPr="00606065">
              <w:t xml:space="preserve">If a retail OTC derivative issuer </w:t>
            </w:r>
            <w:r w:rsidR="00623A43">
              <w:t>has</w:t>
            </w:r>
            <w:r w:rsidRPr="00606065">
              <w:t>:</w:t>
            </w:r>
          </w:p>
          <w:p w:rsidR="009C79B5" w:rsidRDefault="009C79B5" w:rsidP="00931A2B">
            <w:pPr>
              <w:pStyle w:val="tablebullet"/>
            </w:pPr>
            <w:r>
              <w:t xml:space="preserve">110% or less of the required NTA, </w:t>
            </w:r>
            <w:r w:rsidRPr="00606065">
              <w:t xml:space="preserve">it must </w:t>
            </w:r>
            <w:r>
              <w:t>report this to ASIC and continue reporting on a monthly basis until its NTA is above 110% of the required NTA;</w:t>
            </w:r>
          </w:p>
          <w:p w:rsidR="009C79B5" w:rsidRDefault="009C79B5" w:rsidP="00931A2B">
            <w:pPr>
              <w:pStyle w:val="tablebullet"/>
            </w:pPr>
            <w:r>
              <w:t xml:space="preserve">less than 100% of the required NTA, </w:t>
            </w:r>
            <w:r w:rsidRPr="00606065">
              <w:t>it must:</w:t>
            </w:r>
          </w:p>
          <w:p w:rsidR="009C79B5" w:rsidRDefault="009C79B5" w:rsidP="00931A2B">
            <w:pPr>
              <w:pStyle w:val="tabledash"/>
            </w:pPr>
            <w:r>
              <w:t>replenish the NTA to above 100% within two months of the date the deficiency arose and, failing this, disclose the deficiency to its clients</w:t>
            </w:r>
            <w:r w:rsidRPr="00DD7FD8">
              <w:t>; and</w:t>
            </w:r>
            <w:r>
              <w:t xml:space="preserve"> </w:t>
            </w:r>
          </w:p>
          <w:p w:rsidR="00ED29D5" w:rsidRDefault="009C79B5" w:rsidP="00ED29D5">
            <w:pPr>
              <w:pStyle w:val="tabledash"/>
            </w:pPr>
            <w:r w:rsidRPr="00521244">
              <w:t xml:space="preserve">not enter into any transactions with </w:t>
            </w:r>
            <w:r w:rsidR="00623A43">
              <w:t>any person to whom it provides financial services</w:t>
            </w:r>
            <w:r w:rsidRPr="00521244">
              <w:t xml:space="preserve"> that could give rise to any further liabilities, contingent liabilities or other financial obligations, until its </w:t>
            </w:r>
            <w:r w:rsidR="00623A43">
              <w:t xml:space="preserve">board of directors or </w:t>
            </w:r>
            <w:r w:rsidRPr="00521244">
              <w:t>governing body has certified in writing that, having conducted reasonable inquiries into its financial position, there is no reason to believe that it may fail to meet its licence obligations; and</w:t>
            </w:r>
          </w:p>
          <w:p w:rsidR="004526BB" w:rsidRDefault="009C79B5">
            <w:pPr>
              <w:pStyle w:val="tablebullet"/>
            </w:pPr>
            <w:r>
              <w:t xml:space="preserve">75% or less of the required NTA, it must not </w:t>
            </w:r>
            <w:r w:rsidRPr="00521244">
              <w:t xml:space="preserve">under any circumstances </w:t>
            </w:r>
            <w:r>
              <w:t xml:space="preserve">enter into any transactions with </w:t>
            </w:r>
            <w:r w:rsidR="00623A43">
              <w:t>any person to whom it provides financial services</w:t>
            </w:r>
            <w:r>
              <w:t xml:space="preserve"> that could give rise to any </w:t>
            </w:r>
            <w:r w:rsidRPr="00521244">
              <w:t xml:space="preserve">further liabilities, contingent liabilities or other </w:t>
            </w:r>
            <w:r>
              <w:t>financial obligations.</w:t>
            </w:r>
          </w:p>
        </w:tc>
      </w:tr>
    </w:tbl>
    <w:p w:rsidR="00ED29D5" w:rsidRDefault="002F1336">
      <w:pPr>
        <w:pStyle w:val="Heading3"/>
      </w:pPr>
      <w:r>
        <w:t>Impact analysis</w:t>
      </w:r>
    </w:p>
    <w:p w:rsidR="00ED4760" w:rsidRDefault="00ED4760" w:rsidP="00ED4760">
      <w:pPr>
        <w:pStyle w:val="BodyText"/>
      </w:pPr>
      <w:r w:rsidRPr="00ED4760">
        <w:t xml:space="preserve">Under </w:t>
      </w:r>
      <w:r w:rsidR="00725184">
        <w:t>O</w:t>
      </w:r>
      <w:r w:rsidRPr="00ED4760">
        <w:t>ption</w:t>
      </w:r>
      <w:r w:rsidR="00725184">
        <w:t xml:space="preserve"> 1</w:t>
      </w:r>
      <w:r w:rsidRPr="00ED4760">
        <w:t xml:space="preserve">, we would seek to modify provisions in the Corporations Act to provide greater detail about the financial requirements </w:t>
      </w:r>
      <w:r w:rsidR="00725184">
        <w:t>for</w:t>
      </w:r>
      <w:r w:rsidRPr="00ED4760">
        <w:t xml:space="preserve"> AFS licensees with an authorisation to</w:t>
      </w:r>
      <w:r w:rsidR="00FD1D2D">
        <w:t xml:space="preserve"> make a market in derivatives to retail clients</w:t>
      </w:r>
      <w:r w:rsidRPr="00ED4760">
        <w:t>. The clarified finan</w:t>
      </w:r>
      <w:r w:rsidR="00FD1D2D">
        <w:t>cial requirements will</w:t>
      </w:r>
      <w:r w:rsidRPr="00ED4760">
        <w:t xml:space="preserve"> </w:t>
      </w:r>
      <w:r w:rsidR="00FD1D2D">
        <w:t xml:space="preserve">ensure that a </w:t>
      </w:r>
      <w:r w:rsidR="0096170C" w:rsidRPr="0096170C">
        <w:t>retail OTC derivative</w:t>
      </w:r>
      <w:r w:rsidR="00FD1D2D">
        <w:t xml:space="preserve"> </w:t>
      </w:r>
      <w:r w:rsidR="0096170C">
        <w:t>i</w:t>
      </w:r>
      <w:r w:rsidR="00FD1D2D">
        <w:t>ssuer</w:t>
      </w:r>
      <w:r w:rsidRPr="00ED4760">
        <w:t xml:space="preserve"> has adequate financial resources and liquidity to conduct its business in comp</w:t>
      </w:r>
      <w:r w:rsidR="005C5E4C">
        <w:t>liance with the Corporations</w:t>
      </w:r>
      <w:r w:rsidR="00782445">
        <w:t xml:space="preserve"> Act</w:t>
      </w:r>
      <w:r w:rsidR="005C5E4C">
        <w:t>. We would issue a</w:t>
      </w:r>
      <w:r w:rsidRPr="00ED4760">
        <w:t xml:space="preserve"> </w:t>
      </w:r>
      <w:r w:rsidR="00725184">
        <w:t>r</w:t>
      </w:r>
      <w:r w:rsidR="005C5E4C">
        <w:t xml:space="preserve">egulatory </w:t>
      </w:r>
      <w:r w:rsidR="00725184">
        <w:t>g</w:t>
      </w:r>
      <w:r w:rsidR="005C5E4C">
        <w:t>uide that</w:t>
      </w:r>
      <w:r w:rsidRPr="00ED4760">
        <w:t xml:space="preserve"> reflect</w:t>
      </w:r>
      <w:r w:rsidR="005C5E4C">
        <w:t>s</w:t>
      </w:r>
      <w:r w:rsidRPr="00ED4760">
        <w:t xml:space="preserve"> the</w:t>
      </w:r>
      <w:r w:rsidR="00725184">
        <w:t>se</w:t>
      </w:r>
      <w:r w:rsidRPr="00ED4760">
        <w:t xml:space="preserve"> requirements</w:t>
      </w:r>
      <w:r w:rsidR="005C5E4C">
        <w:t xml:space="preserve">, to make it easier for </w:t>
      </w:r>
      <w:r w:rsidR="0096170C" w:rsidRPr="0096170C">
        <w:t>retail OTC derivative</w:t>
      </w:r>
      <w:r w:rsidR="0096170C">
        <w:t xml:space="preserve"> i</w:t>
      </w:r>
      <w:r w:rsidR="005C5E4C">
        <w:t>ssuers to access their comprehensive financial requirements</w:t>
      </w:r>
      <w:r w:rsidRPr="00ED4760">
        <w:t>.</w:t>
      </w:r>
      <w:r w:rsidR="005C5E4C">
        <w:t xml:space="preserve"> </w:t>
      </w:r>
    </w:p>
    <w:p w:rsidR="005C5E4C" w:rsidRDefault="005C5926" w:rsidP="00C07EC5">
      <w:pPr>
        <w:pStyle w:val="Heading4"/>
      </w:pPr>
      <w:r>
        <w:t>Cash needs requirement (</w:t>
      </w:r>
      <w:r w:rsidR="005C5E4C">
        <w:t>12-month cash flow projection</w:t>
      </w:r>
      <w:r>
        <w:t>)</w:t>
      </w:r>
    </w:p>
    <w:p w:rsidR="005C5E4C" w:rsidRDefault="005C5E4C" w:rsidP="00C07EC5">
      <w:pPr>
        <w:pStyle w:val="BodyText"/>
      </w:pPr>
      <w:r>
        <w:t>The current cash needs requirement for all AFS licensees in RG 166.22(c) and existing licen</w:t>
      </w:r>
      <w:r w:rsidR="00B111A4">
        <w:t>c</w:t>
      </w:r>
      <w:r>
        <w:t xml:space="preserve">e conditions would be replaced for </w:t>
      </w:r>
      <w:r w:rsidR="0096170C" w:rsidRPr="0096170C">
        <w:t>retail OTC derivative</w:t>
      </w:r>
      <w:r>
        <w:t xml:space="preserve"> </w:t>
      </w:r>
      <w:r w:rsidR="0096170C">
        <w:t>i</w:t>
      </w:r>
      <w:r>
        <w:t xml:space="preserve">ssuers with </w:t>
      </w:r>
      <w:r w:rsidR="005C5926">
        <w:t xml:space="preserve">a tailored </w:t>
      </w:r>
      <w:r>
        <w:t xml:space="preserve">requirement reflecting </w:t>
      </w:r>
      <w:r w:rsidR="005C5926">
        <w:t xml:space="preserve">the cash needs requirement that will apply </w:t>
      </w:r>
      <w:r>
        <w:t xml:space="preserve">to responsible entities. Under the current cash needs requirement, there are five options for meeting the requirement. Only </w:t>
      </w:r>
      <w:r w:rsidR="005C5926">
        <w:t>the first two o</w:t>
      </w:r>
      <w:r>
        <w:t xml:space="preserve">ptions require AFS licensees, such as </w:t>
      </w:r>
      <w:r w:rsidR="0096170C" w:rsidRPr="0096170C">
        <w:t>retail OTC derivative</w:t>
      </w:r>
      <w:r w:rsidR="0096170C">
        <w:t xml:space="preserve"> issuers</w:t>
      </w:r>
      <w:r>
        <w:t xml:space="preserve">, to maintain cash flow forecasts. There is no such requirement for AFS </w:t>
      </w:r>
      <w:r w:rsidR="005C5926">
        <w:t>l</w:t>
      </w:r>
      <w:r>
        <w:t xml:space="preserve">icensees that rely on </w:t>
      </w:r>
      <w:r w:rsidR="005C5926">
        <w:t>the other three o</w:t>
      </w:r>
      <w:r w:rsidR="0068059B">
        <w:t>ptions</w:t>
      </w:r>
      <w:r>
        <w:t>.</w:t>
      </w:r>
    </w:p>
    <w:p w:rsidR="005C5E4C" w:rsidRDefault="009538F7" w:rsidP="005C5E4C">
      <w:pPr>
        <w:pStyle w:val="BodyText"/>
      </w:pPr>
      <w:r>
        <w:t>T</w:t>
      </w:r>
      <w:r w:rsidR="005C5E4C">
        <w:t xml:space="preserve">he </w:t>
      </w:r>
      <w:r>
        <w:t xml:space="preserve">proposed </w:t>
      </w:r>
      <w:r w:rsidR="005C5E4C">
        <w:t xml:space="preserve">cash needs requirement for </w:t>
      </w:r>
      <w:r w:rsidR="0096170C" w:rsidRPr="0096170C">
        <w:t>retail OTC derivative</w:t>
      </w:r>
      <w:r w:rsidR="005C5E4C">
        <w:t xml:space="preserve"> </w:t>
      </w:r>
      <w:r w:rsidR="0096170C">
        <w:t>i</w:t>
      </w:r>
      <w:r w:rsidR="005C5E4C">
        <w:t xml:space="preserve">ssuers </w:t>
      </w:r>
      <w:r>
        <w:t>would</w:t>
      </w:r>
      <w:r w:rsidR="005C5E4C">
        <w:t xml:space="preserve"> require all </w:t>
      </w:r>
      <w:r w:rsidR="0096170C">
        <w:t>i</w:t>
      </w:r>
      <w:r w:rsidR="005C5E4C">
        <w:t xml:space="preserve">ssuers to prepare </w:t>
      </w:r>
      <w:r w:rsidR="004526BB">
        <w:t xml:space="preserve">a </w:t>
      </w:r>
      <w:r w:rsidR="005C5E4C">
        <w:t xml:space="preserve">cash flow </w:t>
      </w:r>
      <w:r w:rsidR="004526BB">
        <w:t>projection</w:t>
      </w:r>
      <w:r w:rsidR="005C5E4C">
        <w:t xml:space="preserve"> and extend the minimum period over which a</w:t>
      </w:r>
      <w:r w:rsidR="0096170C">
        <w:t>n</w:t>
      </w:r>
      <w:r w:rsidR="005C5E4C">
        <w:t xml:space="preserve"> </w:t>
      </w:r>
      <w:r w:rsidR="0096170C">
        <w:t>i</w:t>
      </w:r>
      <w:r w:rsidR="005C5E4C">
        <w:t xml:space="preserve">ssuer needs to forecast its cash flow from three months to 12 months. The cash flow </w:t>
      </w:r>
      <w:r w:rsidR="004526BB">
        <w:t>projection</w:t>
      </w:r>
      <w:r w:rsidR="005C5E4C">
        <w:t xml:space="preserve"> would </w:t>
      </w:r>
      <w:r>
        <w:t xml:space="preserve">need </w:t>
      </w:r>
      <w:r w:rsidR="005C5E4C">
        <w:t xml:space="preserve">to be prepared on a basis similar to the </w:t>
      </w:r>
      <w:r>
        <w:t>current first</w:t>
      </w:r>
      <w:r w:rsidR="005C5E4C">
        <w:t xml:space="preserve"> </w:t>
      </w:r>
      <w:r>
        <w:t>o</w:t>
      </w:r>
      <w:r w:rsidR="005C5E4C">
        <w:t>ption 1 in RG 166, which requires a business-as-usual cash flow</w:t>
      </w:r>
      <w:r w:rsidR="001002B4">
        <w:t xml:space="preserve"> assumption</w:t>
      </w:r>
      <w:r w:rsidR="005C5E4C">
        <w:t>.</w:t>
      </w:r>
    </w:p>
    <w:p w:rsidR="005C5E4C" w:rsidRDefault="005C5E4C" w:rsidP="00F10D2B">
      <w:pPr>
        <w:pStyle w:val="BodyText"/>
        <w:keepNext/>
      </w:pPr>
      <w:r>
        <w:lastRenderedPageBreak/>
        <w:t xml:space="preserve">A </w:t>
      </w:r>
      <w:r w:rsidR="0096170C" w:rsidRPr="0096170C">
        <w:t>retail OTC derivative</w:t>
      </w:r>
      <w:r>
        <w:t xml:space="preserve"> </w:t>
      </w:r>
      <w:r w:rsidR="0096170C">
        <w:t>i</w:t>
      </w:r>
      <w:r>
        <w:t xml:space="preserve">ssuer would </w:t>
      </w:r>
      <w:r w:rsidR="009538F7">
        <w:t>also need</w:t>
      </w:r>
      <w:r>
        <w:t xml:space="preserve"> to demonstrate, based on the cash flow </w:t>
      </w:r>
      <w:r w:rsidR="004526BB">
        <w:t>projection</w:t>
      </w:r>
      <w:r>
        <w:t xml:space="preserve">, that over the </w:t>
      </w:r>
      <w:r w:rsidR="004526BB">
        <w:t xml:space="preserve">term of the </w:t>
      </w:r>
      <w:r>
        <w:t>projection it will have:</w:t>
      </w:r>
    </w:p>
    <w:p w:rsidR="005C5E4C" w:rsidRDefault="005C5E4C" w:rsidP="005C5E4C">
      <w:pPr>
        <w:pStyle w:val="subparaa"/>
      </w:pPr>
      <w:r>
        <w:t>access to sufficient resources to meet its liabilities; and</w:t>
      </w:r>
    </w:p>
    <w:p w:rsidR="005C5E4C" w:rsidRDefault="005C5E4C" w:rsidP="005C5E4C">
      <w:pPr>
        <w:pStyle w:val="subparaa"/>
      </w:pPr>
      <w:r>
        <w:t xml:space="preserve">sufficient resources to comply with the cash or cash equivalents component of </w:t>
      </w:r>
      <w:r w:rsidR="009538F7">
        <w:t>the</w:t>
      </w:r>
      <w:r>
        <w:t xml:space="preserve"> NTA requirement. </w:t>
      </w:r>
    </w:p>
    <w:p w:rsidR="005C5E4C" w:rsidRDefault="004526BB" w:rsidP="005C5E4C">
      <w:pPr>
        <w:pStyle w:val="BodyText"/>
      </w:pPr>
      <w:r>
        <w:t>The board of d</w:t>
      </w:r>
      <w:r w:rsidR="005C5E4C">
        <w:t xml:space="preserve">irectors </w:t>
      </w:r>
      <w:r>
        <w:t xml:space="preserve">or other governing body </w:t>
      </w:r>
      <w:r w:rsidR="005C5E4C">
        <w:t xml:space="preserve">of a </w:t>
      </w:r>
      <w:r w:rsidR="0096170C" w:rsidRPr="0096170C">
        <w:t>retail OTC derivative</w:t>
      </w:r>
      <w:r w:rsidR="0096170C">
        <w:t xml:space="preserve"> i</w:t>
      </w:r>
      <w:r w:rsidR="005C5E4C">
        <w:t>ssuer would be required to:</w:t>
      </w:r>
    </w:p>
    <w:p w:rsidR="005C5E4C" w:rsidRDefault="005C5E4C" w:rsidP="005C5E4C">
      <w:pPr>
        <w:pStyle w:val="subparaa"/>
      </w:pPr>
      <w:r>
        <w:t xml:space="preserve">pass a resolution at least quarterly approving the cash flow </w:t>
      </w:r>
      <w:r w:rsidR="004526BB">
        <w:t>projection</w:t>
      </w:r>
      <w:r>
        <w:t>; and</w:t>
      </w:r>
    </w:p>
    <w:p w:rsidR="005C5E4C" w:rsidRDefault="005C5E4C" w:rsidP="005C5E4C">
      <w:pPr>
        <w:pStyle w:val="subparaa"/>
      </w:pPr>
      <w:r>
        <w:t xml:space="preserve">review and approve </w:t>
      </w:r>
      <w:r w:rsidR="004526BB">
        <w:t>a</w:t>
      </w:r>
      <w:r>
        <w:t xml:space="preserve"> revised cash flow </w:t>
      </w:r>
      <w:r w:rsidR="004526BB">
        <w:t>projection</w:t>
      </w:r>
      <w:r>
        <w:t xml:space="preserve"> when there is a material change.</w:t>
      </w:r>
    </w:p>
    <w:p w:rsidR="005C5E4C" w:rsidRDefault="005C5E4C" w:rsidP="005C5E4C">
      <w:pPr>
        <w:pStyle w:val="BodyText"/>
      </w:pPr>
      <w:r>
        <w:t xml:space="preserve">We anticipate that the </w:t>
      </w:r>
      <w:r w:rsidR="009538F7">
        <w:t xml:space="preserve">current </w:t>
      </w:r>
      <w:r>
        <w:t>audit requirement</w:t>
      </w:r>
      <w:r w:rsidR="009538F7">
        <w:t xml:space="preserve"> for all AFS licensees</w:t>
      </w:r>
      <w:r>
        <w:t xml:space="preserve"> on an annual basis will further ensure that appropriate rigour is applied in preparing these cash flow </w:t>
      </w:r>
      <w:r w:rsidR="004526BB">
        <w:t>projections</w:t>
      </w:r>
      <w:r>
        <w:t>.</w:t>
      </w:r>
    </w:p>
    <w:p w:rsidR="004F4079" w:rsidRDefault="004F4079" w:rsidP="004F4079">
      <w:pPr>
        <w:pStyle w:val="BodyText"/>
      </w:pPr>
      <w:r w:rsidRPr="004F4079">
        <w:t>Cash flow forecasting is an important</w:t>
      </w:r>
      <w:r>
        <w:t xml:space="preserve"> tool which demonstrates that a</w:t>
      </w:r>
      <w:r w:rsidR="0096170C">
        <w:t xml:space="preserve"> </w:t>
      </w:r>
      <w:r w:rsidR="0096170C" w:rsidRPr="0096170C">
        <w:t>retail OTC derivative</w:t>
      </w:r>
      <w:r>
        <w:t xml:space="preserve"> </w:t>
      </w:r>
      <w:r w:rsidR="0096170C">
        <w:t>i</w:t>
      </w:r>
      <w:r w:rsidRPr="004F4079">
        <w:t>ssuer can meet anticipate</w:t>
      </w:r>
      <w:r>
        <w:t xml:space="preserve">d expenses. Requiring </w:t>
      </w:r>
      <w:r w:rsidR="00E116AD">
        <w:t xml:space="preserve">a </w:t>
      </w:r>
      <w:r>
        <w:t xml:space="preserve">12-month </w:t>
      </w:r>
      <w:r w:rsidR="00E116AD">
        <w:t xml:space="preserve">projection of </w:t>
      </w:r>
      <w:r>
        <w:t>cash flow</w:t>
      </w:r>
      <w:r w:rsidR="00E116AD">
        <w:t>s</w:t>
      </w:r>
      <w:r>
        <w:t xml:space="preserve"> addresses expected operating expenses and should, in many cases, result in a higher level of focus and governance around cash flow forecasts and cash planning than currently exists. </w:t>
      </w:r>
    </w:p>
    <w:p w:rsidR="004F4079" w:rsidRPr="00ED4760" w:rsidRDefault="004F4079" w:rsidP="004F4079">
      <w:pPr>
        <w:pStyle w:val="BodyText"/>
      </w:pPr>
      <w:r>
        <w:t xml:space="preserve">We believe that longer cash flow forecasts will assist the directors of an issuer </w:t>
      </w:r>
      <w:r w:rsidR="00365C6D">
        <w:t xml:space="preserve">to </w:t>
      </w:r>
      <w:r>
        <w:t xml:space="preserve">identify potential cash flow problems at an earlier stage, </w:t>
      </w:r>
      <w:r w:rsidR="00365C6D">
        <w:t xml:space="preserve">giving them </w:t>
      </w:r>
      <w:r>
        <w:t>the opportunity to take corrective action.</w:t>
      </w:r>
    </w:p>
    <w:p w:rsidR="00ED4760" w:rsidRDefault="005C5E4C" w:rsidP="005C5E4C">
      <w:pPr>
        <w:pStyle w:val="Heading4"/>
      </w:pPr>
      <w:r>
        <w:t xml:space="preserve">NTA </w:t>
      </w:r>
      <w:r w:rsidR="003374FB">
        <w:t>r</w:t>
      </w:r>
      <w:r>
        <w:t>equirement</w:t>
      </w:r>
    </w:p>
    <w:p w:rsidR="005C5E4C" w:rsidRDefault="001002B4" w:rsidP="005C5E4C">
      <w:pPr>
        <w:pStyle w:val="BodyText"/>
      </w:pPr>
      <w:bookmarkStart w:id="27" w:name="_ASICRef579"/>
      <w:bookmarkStart w:id="28" w:name="_ASICRef760"/>
      <w:r>
        <w:t xml:space="preserve">Under </w:t>
      </w:r>
      <w:r w:rsidR="00B130C3">
        <w:t>O</w:t>
      </w:r>
      <w:r>
        <w:t>ption</w:t>
      </w:r>
      <w:r w:rsidR="00B130C3">
        <w:t xml:space="preserve"> 1</w:t>
      </w:r>
      <w:r>
        <w:t xml:space="preserve">, the </w:t>
      </w:r>
      <w:r w:rsidR="003A6E73">
        <w:t xml:space="preserve">SLF and </w:t>
      </w:r>
      <w:r>
        <w:t>ASLF r</w:t>
      </w:r>
      <w:r w:rsidR="00901FAC">
        <w:t>equirements imposed on AFS l</w:t>
      </w:r>
      <w:r w:rsidR="006A38C5">
        <w:t xml:space="preserve">icensees </w:t>
      </w:r>
      <w:r w:rsidR="003A6E73">
        <w:t xml:space="preserve">that hold </w:t>
      </w:r>
      <w:r w:rsidR="00931A2B" w:rsidRPr="00931A2B">
        <w:t xml:space="preserve">client money or property and/or </w:t>
      </w:r>
      <w:r w:rsidR="006A38C5">
        <w:t>trade as principal with their client would be replaced fo</w:t>
      </w:r>
      <w:r w:rsidR="0096170C">
        <w:t xml:space="preserve">r </w:t>
      </w:r>
      <w:r w:rsidR="0096170C" w:rsidRPr="0096170C">
        <w:t>retail OTC derivative</w:t>
      </w:r>
      <w:r w:rsidR="00557215">
        <w:t xml:space="preserve"> </w:t>
      </w:r>
      <w:r w:rsidR="0096170C">
        <w:t>i</w:t>
      </w:r>
      <w:r w:rsidR="006A38C5">
        <w:t>ssuers by a tailored net tangible asset (NTA) requirement</w:t>
      </w:r>
      <w:bookmarkEnd w:id="27"/>
      <w:bookmarkEnd w:id="28"/>
      <w:r w:rsidR="006A38C5">
        <w:t>.</w:t>
      </w:r>
      <w:r w:rsidR="006A21D6">
        <w:t xml:space="preserve"> </w:t>
      </w:r>
    </w:p>
    <w:p w:rsidR="006A38C5" w:rsidRPr="00812A43" w:rsidRDefault="00036E51" w:rsidP="005C5E4C">
      <w:pPr>
        <w:pStyle w:val="BodyText"/>
      </w:pPr>
      <w:r>
        <w:t>To meet the NTA requirement</w:t>
      </w:r>
      <w:r w:rsidR="00B130C3">
        <w:t xml:space="preserve">, a retail OTC derivative issuer would need </w:t>
      </w:r>
      <w:r w:rsidR="006A38C5" w:rsidRPr="00812A43">
        <w:t xml:space="preserve">to </w:t>
      </w:r>
      <w:r w:rsidR="004664ED">
        <w:t>have</w:t>
      </w:r>
      <w:r w:rsidR="006A38C5" w:rsidRPr="00812A43">
        <w:t xml:space="preserve"> NTA of</w:t>
      </w:r>
      <w:r w:rsidR="00812A43" w:rsidRPr="00812A43">
        <w:t xml:space="preserve"> </w:t>
      </w:r>
      <w:r w:rsidR="004526BB">
        <w:t xml:space="preserve">at least </w:t>
      </w:r>
      <w:r w:rsidR="00812A43" w:rsidRPr="00812A43">
        <w:t>the greater of:</w:t>
      </w:r>
    </w:p>
    <w:p w:rsidR="006A38C5" w:rsidRPr="00812A43" w:rsidRDefault="006A38C5" w:rsidP="006A38C5">
      <w:pPr>
        <w:pStyle w:val="subparaa"/>
      </w:pPr>
      <w:r w:rsidRPr="00812A43">
        <w:t>$1,000,000</w:t>
      </w:r>
      <w:r w:rsidR="005C5E4C" w:rsidRPr="00812A43">
        <w:t xml:space="preserve">; </w:t>
      </w:r>
      <w:r w:rsidR="00812A43" w:rsidRPr="00812A43">
        <w:t>or</w:t>
      </w:r>
    </w:p>
    <w:p w:rsidR="008D7375" w:rsidRPr="00812A43" w:rsidRDefault="006A38C5" w:rsidP="008D7375">
      <w:pPr>
        <w:pStyle w:val="subparaa"/>
      </w:pPr>
      <w:r w:rsidRPr="00812A43">
        <w:t xml:space="preserve">10% of </w:t>
      </w:r>
      <w:r w:rsidR="00B130C3">
        <w:t>its</w:t>
      </w:r>
      <w:r w:rsidR="00375FDE">
        <w:t xml:space="preserve"> </w:t>
      </w:r>
      <w:r w:rsidRPr="00812A43">
        <w:t>average revenue</w:t>
      </w:r>
      <w:r w:rsidR="00812A43" w:rsidRPr="00812A43">
        <w:t>.</w:t>
      </w:r>
    </w:p>
    <w:p w:rsidR="00590CB2" w:rsidRDefault="00C6128E">
      <w:pPr>
        <w:pStyle w:val="BodyText"/>
      </w:pPr>
      <w:r>
        <w:t xml:space="preserve">An issuer </w:t>
      </w:r>
      <w:r w:rsidR="002A4F58">
        <w:t xml:space="preserve">would need </w:t>
      </w:r>
      <w:r>
        <w:t>to h</w:t>
      </w:r>
      <w:r w:rsidR="004664ED">
        <w:t>ave</w:t>
      </w:r>
      <w:r>
        <w:t xml:space="preserve"> 50% of the required NTA in cash </w:t>
      </w:r>
      <w:r w:rsidR="004B75D2">
        <w:t>or</w:t>
      </w:r>
      <w:r>
        <w:t xml:space="preserve"> cash equivalents (excluding cash in client segregated or trust accounts and any other liquid assets that correspond to amounts owed to clients) and 50% in liquid assets</w:t>
      </w:r>
      <w:r w:rsidR="00AA7AF4">
        <w:t xml:space="preserve"> (NTA liquidity requirement)</w:t>
      </w:r>
      <w:r>
        <w:t>.</w:t>
      </w:r>
      <w:r w:rsidR="004664ED">
        <w:t xml:space="preserve"> Issuers cannot count any assets held in respect of client liabilities or obligations towards the NTA liquidity requirement.</w:t>
      </w:r>
      <w:r>
        <w:t xml:space="preserve"> </w:t>
      </w:r>
    </w:p>
    <w:p w:rsidR="00C6128E" w:rsidRDefault="00C6128E" w:rsidP="00C6128E">
      <w:pPr>
        <w:pStyle w:val="BodyText"/>
      </w:pPr>
      <w:r>
        <w:lastRenderedPageBreak/>
        <w:t xml:space="preserve">Eligible undertakings that </w:t>
      </w:r>
      <w:r w:rsidR="002A4F58">
        <w:t>could</w:t>
      </w:r>
      <w:r>
        <w:t xml:space="preserve"> be included in the NTA calculation</w:t>
      </w:r>
      <w:r w:rsidR="004F4079">
        <w:t xml:space="preserve"> </w:t>
      </w:r>
      <w:r w:rsidR="002A4F58">
        <w:t>would</w:t>
      </w:r>
      <w:r>
        <w:t xml:space="preserve"> be limited to those provided by an </w:t>
      </w:r>
      <w:r w:rsidR="002A4F58">
        <w:t>Australian authorised deposit taking institution (</w:t>
      </w:r>
      <w:r>
        <w:t>ADI</w:t>
      </w:r>
      <w:r w:rsidR="002A4F58">
        <w:t>),</w:t>
      </w:r>
      <w:r>
        <w:t xml:space="preserve"> or wh</w:t>
      </w:r>
      <w:r w:rsidR="004F4079">
        <w:t>ich are otherwise approved by ASIC</w:t>
      </w:r>
      <w:r>
        <w:t>.</w:t>
      </w:r>
    </w:p>
    <w:p w:rsidR="008D7375" w:rsidRDefault="004F4079" w:rsidP="004F4079">
      <w:pPr>
        <w:pStyle w:val="BodyText"/>
      </w:pPr>
      <w:r>
        <w:t xml:space="preserve">Additionally, a </w:t>
      </w:r>
      <w:r w:rsidR="0096170C" w:rsidRPr="0096170C">
        <w:t>retail OTC derivative</w:t>
      </w:r>
      <w:r>
        <w:t xml:space="preserve"> </w:t>
      </w:r>
      <w:r w:rsidR="0096170C">
        <w:t>i</w:t>
      </w:r>
      <w:r>
        <w:t xml:space="preserve">ssuer </w:t>
      </w:r>
      <w:r w:rsidR="00C31DF0">
        <w:t>would</w:t>
      </w:r>
      <w:r>
        <w:t xml:space="preserve"> have to</w:t>
      </w:r>
      <w:r w:rsidR="00C6128E">
        <w:t xml:space="preserve"> report its NTA position, together with detailed workings, to ASIC </w:t>
      </w:r>
      <w:r w:rsidR="004526BB">
        <w:t>together with</w:t>
      </w:r>
      <w:r w:rsidR="00C6128E">
        <w:t xml:space="preserve"> its annual submission of Form FS</w:t>
      </w:r>
      <w:r>
        <w:t xml:space="preserve">70 </w:t>
      </w:r>
      <w:r w:rsidR="00175883" w:rsidRPr="00175883">
        <w:rPr>
          <w:i/>
        </w:rPr>
        <w:t>AFS licensee profit and loss statement and balance sheet</w:t>
      </w:r>
      <w:r w:rsidR="00C6128E">
        <w:t>.</w:t>
      </w:r>
    </w:p>
    <w:p w:rsidR="00B14D84" w:rsidRDefault="002A4F58" w:rsidP="00B14D84">
      <w:pPr>
        <w:pStyle w:val="Heading5"/>
      </w:pPr>
      <w:r>
        <w:t>C</w:t>
      </w:r>
      <w:r w:rsidRPr="002A4F58">
        <w:t>alculating NTA based on revenue</w:t>
      </w:r>
    </w:p>
    <w:p w:rsidR="00B14D84" w:rsidRPr="00D762F5" w:rsidRDefault="00B14D84" w:rsidP="00B14D84">
      <w:pPr>
        <w:pStyle w:val="BodyText"/>
      </w:pPr>
      <w:r w:rsidRPr="00D762F5">
        <w:t>NTA is a measure of financial strength currently used in the financial</w:t>
      </w:r>
      <w:r w:rsidR="000D5C64">
        <w:t xml:space="preserve"> </w:t>
      </w:r>
      <w:r w:rsidRPr="00D762F5">
        <w:t xml:space="preserve">requirements </w:t>
      </w:r>
      <w:r w:rsidR="002A4F58">
        <w:t xml:space="preserve">that apply </w:t>
      </w:r>
      <w:r w:rsidRPr="00D762F5">
        <w:t>to responsible entities, operators of investor directed portfolio services, providers of custodial or depository services, issuers of margin lending facilities and trustee companies</w:t>
      </w:r>
      <w:r w:rsidR="00901FAC">
        <w:t xml:space="preserve"> providing traditional services</w:t>
      </w:r>
      <w:r w:rsidR="002A4F58">
        <w:t>:</w:t>
      </w:r>
      <w:r w:rsidR="00901FAC">
        <w:t xml:space="preserve"> </w:t>
      </w:r>
      <w:r w:rsidR="004526BB">
        <w:t>s</w:t>
      </w:r>
      <w:r w:rsidRPr="00D762F5">
        <w:t>ee Section C of RG 166.</w:t>
      </w:r>
    </w:p>
    <w:p w:rsidR="005C5E4C" w:rsidRDefault="002A4F58" w:rsidP="005C5E4C">
      <w:pPr>
        <w:pStyle w:val="BodyText"/>
      </w:pPr>
      <w:r>
        <w:t xml:space="preserve">Calculating the </w:t>
      </w:r>
      <w:r w:rsidR="004F4079">
        <w:t>required NTA</w:t>
      </w:r>
      <w:r w:rsidR="005C5E4C">
        <w:t xml:space="preserve"> </w:t>
      </w:r>
      <w:r>
        <w:t xml:space="preserve">based </w:t>
      </w:r>
      <w:r w:rsidR="009C58C2">
        <w:t>on</w:t>
      </w:r>
      <w:r>
        <w:t xml:space="preserve"> revenue </w:t>
      </w:r>
      <w:r w:rsidR="005C5E4C">
        <w:t>better reflects the operating risks fa</w:t>
      </w:r>
      <w:r w:rsidR="00901FAC">
        <w:t xml:space="preserve">ced by some </w:t>
      </w:r>
      <w:r w:rsidR="0096170C" w:rsidRPr="0096170C">
        <w:t>retail OTC derivative</w:t>
      </w:r>
      <w:r w:rsidR="0096170C">
        <w:t xml:space="preserve"> i</w:t>
      </w:r>
      <w:r w:rsidR="00901FAC">
        <w:t>ssuers</w:t>
      </w:r>
      <w:r w:rsidR="005C5E4C">
        <w:t xml:space="preserve">. </w:t>
      </w:r>
      <w:r w:rsidR="005C5E4C" w:rsidRPr="00CE67BF">
        <w:t xml:space="preserve">Revenue is the primary cash inflow </w:t>
      </w:r>
      <w:r w:rsidR="00901FAC">
        <w:t xml:space="preserve">used by </w:t>
      </w:r>
      <w:r>
        <w:t>i</w:t>
      </w:r>
      <w:r w:rsidR="00901FAC">
        <w:t>ssuers</w:t>
      </w:r>
      <w:r w:rsidR="005C5E4C" w:rsidRPr="00CE67BF">
        <w:t xml:space="preserve"> to meet their liabilities and satisfy other obligations imposed on them. Consequently, </w:t>
      </w:r>
      <w:r w:rsidR="005C5E4C">
        <w:t>we</w:t>
      </w:r>
      <w:r w:rsidR="005C5E4C" w:rsidRPr="00CE67BF">
        <w:t xml:space="preserve"> believe that revenue is the better i</w:t>
      </w:r>
      <w:r w:rsidR="00901FAC">
        <w:t xml:space="preserve">ndicator of an </w:t>
      </w:r>
      <w:r>
        <w:t>i</w:t>
      </w:r>
      <w:r w:rsidR="00901FAC">
        <w:t>ssuer</w:t>
      </w:r>
      <w:r w:rsidR="00927BB5">
        <w:t>’</w:t>
      </w:r>
      <w:r w:rsidR="005C5E4C" w:rsidRPr="00CE67BF">
        <w:t>s overall operating risk.</w:t>
      </w:r>
    </w:p>
    <w:p w:rsidR="00D762F5" w:rsidRDefault="005C5E4C" w:rsidP="00F247C1">
      <w:pPr>
        <w:pStyle w:val="BodyText"/>
      </w:pPr>
      <w:r>
        <w:t xml:space="preserve">This is further supported by </w:t>
      </w:r>
      <w:r w:rsidR="00CC3106" w:rsidRPr="00CC3106">
        <w:t>the Basel III guidelines</w:t>
      </w:r>
      <w:r>
        <w:t>, which use revenue to determine a bank</w:t>
      </w:r>
      <w:r w:rsidR="00927BB5">
        <w:t>’</w:t>
      </w:r>
      <w:r>
        <w:t xml:space="preserve">s capital requirements for operating risk relating to </w:t>
      </w:r>
      <w:r w:rsidR="00901FAC">
        <w:t xml:space="preserve">trading </w:t>
      </w:r>
      <w:r>
        <w:t xml:space="preserve">businesses. </w:t>
      </w:r>
    </w:p>
    <w:p w:rsidR="00B14D84" w:rsidRDefault="00B51778" w:rsidP="00B14D84">
      <w:pPr>
        <w:pStyle w:val="Heading5"/>
      </w:pPr>
      <w:r>
        <w:t xml:space="preserve">Simplifying the </w:t>
      </w:r>
      <w:r w:rsidR="00B14D84">
        <w:t>requirements</w:t>
      </w:r>
    </w:p>
    <w:p w:rsidR="00D762F5" w:rsidRDefault="00B51778" w:rsidP="00D762F5">
      <w:pPr>
        <w:pStyle w:val="BodyText"/>
      </w:pPr>
      <w:r>
        <w:t xml:space="preserve">We seek </w:t>
      </w:r>
      <w:r w:rsidR="00D762F5">
        <w:t>to simplify the financial requirements.</w:t>
      </w:r>
      <w:r w:rsidR="00A96CEA">
        <w:t xml:space="preserve"> As noted</w:t>
      </w:r>
      <w:r>
        <w:t xml:space="preserve"> earlier</w:t>
      </w:r>
      <w:r w:rsidR="006A21D6">
        <w:t xml:space="preserve">, </w:t>
      </w:r>
      <w:r w:rsidR="00A96CEA">
        <w:t>t</w:t>
      </w:r>
      <w:r w:rsidR="00D762F5">
        <w:t>he current</w:t>
      </w:r>
      <w:r w:rsidR="00A96CEA">
        <w:t xml:space="preserve"> financial</w:t>
      </w:r>
      <w:r w:rsidR="00D762F5">
        <w:t xml:space="preserve"> requirements</w:t>
      </w:r>
      <w:r w:rsidR="00A96CEA">
        <w:t xml:space="preserve"> that apply to retail OTC derivative issuers</w:t>
      </w:r>
      <w:r w:rsidR="00D762F5">
        <w:t xml:space="preserve"> </w:t>
      </w:r>
      <w:r w:rsidR="003E2D14">
        <w:t>are</w:t>
      </w:r>
      <w:r w:rsidR="00A96CEA">
        <w:t xml:space="preserve"> </w:t>
      </w:r>
      <w:r w:rsidR="00B14D84">
        <w:t>complex</w:t>
      </w:r>
      <w:r w:rsidR="003E2D14">
        <w:t xml:space="preserve"> and opaque</w:t>
      </w:r>
      <w:r w:rsidR="00A96CEA">
        <w:t>.</w:t>
      </w:r>
      <w:r w:rsidR="00B14D84">
        <w:t xml:space="preserve"> </w:t>
      </w:r>
      <w:r w:rsidR="00A96CEA">
        <w:t>I</w:t>
      </w:r>
      <w:r w:rsidR="00B14D84">
        <w:t>n comparison</w:t>
      </w:r>
      <w:r w:rsidR="00A96CEA">
        <w:t>,</w:t>
      </w:r>
      <w:r w:rsidR="00B14D84">
        <w:t xml:space="preserve"> th</w:t>
      </w:r>
      <w:r>
        <w:t>e</w:t>
      </w:r>
      <w:r w:rsidR="00B14D84">
        <w:t xml:space="preserve"> proposed</w:t>
      </w:r>
      <w:r w:rsidR="003E2D14">
        <w:t xml:space="preserve"> </w:t>
      </w:r>
      <w:r>
        <w:t xml:space="preserve">requirements </w:t>
      </w:r>
      <w:r w:rsidR="003E2D14">
        <w:t>are clearer and less open to accounting interpretation</w:t>
      </w:r>
      <w:r w:rsidR="00D762F5">
        <w:t xml:space="preserve">. This should decrease </w:t>
      </w:r>
      <w:r w:rsidR="00ED29D5" w:rsidRPr="00ED29D5">
        <w:rPr>
          <w:spacing w:val="-2"/>
        </w:rPr>
        <w:t>compliance costs for issuers and make it easier for ASIC to verify compliance.</w:t>
      </w:r>
    </w:p>
    <w:p w:rsidR="00D762F5" w:rsidRDefault="00B51778" w:rsidP="00B14D84">
      <w:pPr>
        <w:pStyle w:val="BodyText"/>
      </w:pPr>
      <w:r>
        <w:t>Our</w:t>
      </w:r>
      <w:r w:rsidR="00D762F5">
        <w:t xml:space="preserve"> proposals do not have the monetary thresholds that currently </w:t>
      </w:r>
      <w:r>
        <w:t xml:space="preserve">apply </w:t>
      </w:r>
      <w:r w:rsidR="00D762F5">
        <w:t xml:space="preserve">to the </w:t>
      </w:r>
      <w:r>
        <w:t xml:space="preserve">SLF or ASLF </w:t>
      </w:r>
      <w:r w:rsidR="00D762F5">
        <w:t>requir</w:t>
      </w:r>
      <w:r w:rsidR="008A7DCC">
        <w:t>ements</w:t>
      </w:r>
      <w:r w:rsidR="00D762F5">
        <w:t>. This is because we believe that if an AFS licensee holds a licence that permits it to make a market in derivatives to retail clients and is entering into OTC derivatives with retail clients, those facts alone are sufficient to warrant holding the required level of NTA</w:t>
      </w:r>
      <w:r w:rsidR="008A7DCC">
        <w:t xml:space="preserve"> and additional, financial thresholds for application and unwarranted</w:t>
      </w:r>
      <w:r w:rsidR="00D762F5">
        <w:t>.</w:t>
      </w:r>
      <w:r w:rsidR="008A7DCC">
        <w:t xml:space="preserve"> </w:t>
      </w:r>
    </w:p>
    <w:p w:rsidR="002222D4" w:rsidRDefault="002222D4" w:rsidP="002222D4">
      <w:pPr>
        <w:pStyle w:val="Heading4"/>
      </w:pPr>
      <w:r>
        <w:lastRenderedPageBreak/>
        <w:t>Reporting requirements</w:t>
      </w:r>
    </w:p>
    <w:p w:rsidR="00B2438B" w:rsidRDefault="002222D4">
      <w:pPr>
        <w:pStyle w:val="BodyText"/>
        <w:keepNext/>
      </w:pPr>
      <w:r>
        <w:t xml:space="preserve">As noted above, we </w:t>
      </w:r>
      <w:r w:rsidR="00830479">
        <w:t xml:space="preserve">propose </w:t>
      </w:r>
      <w:r>
        <w:t>that the following reporting framework apply to</w:t>
      </w:r>
      <w:r w:rsidR="009A08BA">
        <w:t xml:space="preserve"> </w:t>
      </w:r>
      <w:r w:rsidR="003374FB">
        <w:t>i</w:t>
      </w:r>
      <w:r>
        <w:t>ssuers. If a</w:t>
      </w:r>
      <w:r w:rsidR="009A08BA">
        <w:t xml:space="preserve">n </w:t>
      </w:r>
      <w:r w:rsidR="003374FB">
        <w:t>i</w:t>
      </w:r>
      <w:r>
        <w:t xml:space="preserve">ssuer </w:t>
      </w:r>
      <w:r w:rsidR="00830479">
        <w:t>h</w:t>
      </w:r>
      <w:r w:rsidR="004664ED">
        <w:t>as</w:t>
      </w:r>
      <w:r>
        <w:t>:</w:t>
      </w:r>
    </w:p>
    <w:p w:rsidR="002222D4" w:rsidRDefault="002222D4" w:rsidP="009A08BA">
      <w:pPr>
        <w:pStyle w:val="subparaa"/>
      </w:pPr>
      <w:r>
        <w:t xml:space="preserve">110% or less of </w:t>
      </w:r>
      <w:r w:rsidR="00830479">
        <w:t>the</w:t>
      </w:r>
      <w:r>
        <w:t xml:space="preserve"> required NTA, </w:t>
      </w:r>
      <w:r w:rsidR="00830479">
        <w:t xml:space="preserve">it </w:t>
      </w:r>
      <w:r>
        <w:t xml:space="preserve">must report this to ASIC and continue reporting on a monthly basis until </w:t>
      </w:r>
      <w:r w:rsidR="00830479">
        <w:t>its</w:t>
      </w:r>
      <w:r>
        <w:t xml:space="preserve"> NTA is above 110% of </w:t>
      </w:r>
      <w:r w:rsidR="00830479">
        <w:t>the</w:t>
      </w:r>
      <w:r>
        <w:t xml:space="preserve"> required NTA;</w:t>
      </w:r>
    </w:p>
    <w:p w:rsidR="007144C6" w:rsidRDefault="002222D4" w:rsidP="00F10D2B">
      <w:pPr>
        <w:pStyle w:val="subparaa"/>
        <w:keepNext/>
      </w:pPr>
      <w:r w:rsidRPr="009A08BA">
        <w:t>less than</w:t>
      </w:r>
      <w:r w:rsidR="009A08BA">
        <w:t xml:space="preserve"> 100% of </w:t>
      </w:r>
      <w:r w:rsidR="007144C6">
        <w:t>the</w:t>
      </w:r>
      <w:r w:rsidR="009A08BA">
        <w:t xml:space="preserve"> required NTA, </w:t>
      </w:r>
      <w:r w:rsidR="007144C6">
        <w:t xml:space="preserve">it </w:t>
      </w:r>
      <w:r w:rsidRPr="009A08BA">
        <w:t>must</w:t>
      </w:r>
      <w:r w:rsidR="007144C6">
        <w:t>:</w:t>
      </w:r>
      <w:r w:rsidRPr="009A08BA">
        <w:t xml:space="preserve"> </w:t>
      </w:r>
    </w:p>
    <w:p w:rsidR="00ED29D5" w:rsidRPr="00ED29D5" w:rsidRDefault="002222D4" w:rsidP="00ED29D5">
      <w:pPr>
        <w:pStyle w:val="subsubparai"/>
      </w:pPr>
      <w:r w:rsidRPr="009A08BA">
        <w:t>replenish the NTA to above 100% within two months of the date the deficienc</w:t>
      </w:r>
      <w:r w:rsidR="009A08BA">
        <w:t xml:space="preserve">y arose and, </w:t>
      </w:r>
      <w:r w:rsidR="00F95966">
        <w:t>failing this, make a prescribed disclosure of the deficiency</w:t>
      </w:r>
      <w:r w:rsidRPr="009A08BA">
        <w:t xml:space="preserve"> </w:t>
      </w:r>
      <w:r w:rsidR="00F95966">
        <w:t xml:space="preserve">available to its clients </w:t>
      </w:r>
      <w:r w:rsidR="007144C6">
        <w:t>(</w:t>
      </w:r>
      <w:r w:rsidR="00F95966">
        <w:t xml:space="preserve">principally by a prominent statement on its </w:t>
      </w:r>
      <w:r w:rsidR="00555D36" w:rsidRPr="00555D36">
        <w:t>website and trading platform and/or direct communication with its clients</w:t>
      </w:r>
      <w:r w:rsidR="007144C6">
        <w:t>)</w:t>
      </w:r>
      <w:r w:rsidR="00F95966">
        <w:t>;</w:t>
      </w:r>
      <w:r w:rsidR="007144C6">
        <w:t xml:space="preserve"> and</w:t>
      </w:r>
    </w:p>
    <w:p w:rsidR="0089253F" w:rsidRDefault="007144C6" w:rsidP="00ED29D5">
      <w:pPr>
        <w:pStyle w:val="subsubparai"/>
      </w:pPr>
      <w:r w:rsidRPr="007144C6">
        <w:t xml:space="preserve">not enter into any transactions with </w:t>
      </w:r>
      <w:r w:rsidR="00FE6125">
        <w:t>any person to whom it provides financial services</w:t>
      </w:r>
      <w:r w:rsidRPr="007144C6">
        <w:t xml:space="preserve"> that could give rise to any further liabilities, contingent liabilities or other financial obligations, until its </w:t>
      </w:r>
      <w:r w:rsidR="00FE6125">
        <w:t xml:space="preserve">board of directors or </w:t>
      </w:r>
      <w:r w:rsidRPr="007144C6">
        <w:t>governing body has certified in writing that, having conducted reasonable inquiries into its financial position</w:t>
      </w:r>
      <w:r w:rsidR="0089253F">
        <w:t>:</w:t>
      </w:r>
    </w:p>
    <w:p w:rsidR="006C6041" w:rsidRDefault="004B75D2">
      <w:pPr>
        <w:pStyle w:val="sub3paraA"/>
      </w:pPr>
      <w:r>
        <w:t xml:space="preserve">except for </w:t>
      </w:r>
      <w:r w:rsidR="0089253F">
        <w:t xml:space="preserve">the breach of the NTA requirement, </w:t>
      </w:r>
      <w:r w:rsidR="0089253F" w:rsidRPr="00420F26">
        <w:t>there is no reason to believe that</w:t>
      </w:r>
      <w:r w:rsidR="00B832DE">
        <w:t xml:space="preserve"> it</w:t>
      </w:r>
      <w:r w:rsidR="0089253F" w:rsidRPr="00420F26">
        <w:t xml:space="preserve"> may fail to meet any other of</w:t>
      </w:r>
      <w:r w:rsidR="00B832DE">
        <w:t xml:space="preserve"> its</w:t>
      </w:r>
      <w:r w:rsidR="0089253F" w:rsidRPr="00420F26">
        <w:t xml:space="preserve"> licence conditions or obligations under s912A of the Corporations Act, including the base level financial requirements</w:t>
      </w:r>
      <w:r w:rsidR="0089253F">
        <w:t>; and</w:t>
      </w:r>
    </w:p>
    <w:p w:rsidR="006C6041" w:rsidRDefault="0089253F">
      <w:pPr>
        <w:pStyle w:val="sub3paraA"/>
      </w:pPr>
      <w:r>
        <w:t xml:space="preserve">there is no evidence of a deficiency in any </w:t>
      </w:r>
      <w:r w:rsidR="00FE6125">
        <w:t xml:space="preserve">client account (i.e. an </w:t>
      </w:r>
      <w:r>
        <w:t>account maintained for the purposes of s981B of the Corporations Act</w:t>
      </w:r>
      <w:r w:rsidR="00FE6125">
        <w:t>)</w:t>
      </w:r>
      <w:r>
        <w:t>;</w:t>
      </w:r>
      <w:r w:rsidR="00FE6125">
        <w:t xml:space="preserve"> and</w:t>
      </w:r>
    </w:p>
    <w:p w:rsidR="002222D4" w:rsidRDefault="002222D4" w:rsidP="009A08BA">
      <w:pPr>
        <w:pStyle w:val="subparaa"/>
      </w:pPr>
      <w:r w:rsidRPr="009A08BA">
        <w:t>75% or</w:t>
      </w:r>
      <w:r w:rsidR="009A08BA">
        <w:t xml:space="preserve"> less of its required NTA, </w:t>
      </w:r>
      <w:r w:rsidR="007144C6">
        <w:t xml:space="preserve">it </w:t>
      </w:r>
      <w:r w:rsidRPr="009A08BA">
        <w:t xml:space="preserve">must not </w:t>
      </w:r>
      <w:r w:rsidR="007144C6">
        <w:t xml:space="preserve">under any circumstances </w:t>
      </w:r>
      <w:r w:rsidRPr="009A08BA">
        <w:t xml:space="preserve">enter into any transactions with </w:t>
      </w:r>
      <w:r w:rsidR="00C732C7">
        <w:t>any person to whom it provides financial services</w:t>
      </w:r>
      <w:r w:rsidRPr="009A08BA">
        <w:t xml:space="preserve"> that could give rise to </w:t>
      </w:r>
      <w:r w:rsidR="007144C6" w:rsidRPr="002A2CC5">
        <w:t xml:space="preserve">further liabilities, contingent liabilities or other </w:t>
      </w:r>
      <w:r w:rsidRPr="009A08BA">
        <w:t>financial obligations.</w:t>
      </w:r>
    </w:p>
    <w:p w:rsidR="009A08BA" w:rsidRDefault="009A08BA" w:rsidP="009A08BA">
      <w:pPr>
        <w:pStyle w:val="BodyText"/>
      </w:pPr>
      <w:r>
        <w:t xml:space="preserve">Under current licence conditions, if an </w:t>
      </w:r>
      <w:r w:rsidR="0096170C">
        <w:t>i</w:t>
      </w:r>
      <w:r>
        <w:t>ssuer:</w:t>
      </w:r>
    </w:p>
    <w:p w:rsidR="009A08BA" w:rsidRDefault="009A08BA" w:rsidP="009A08BA">
      <w:pPr>
        <w:pStyle w:val="subparaa"/>
      </w:pPr>
      <w:r>
        <w:t>has between $1 million and $100 million in adjusted liabilities and the level of ASLF drops below 5.5% of adjusted liabilities; or</w:t>
      </w:r>
    </w:p>
    <w:p w:rsidR="009A08BA" w:rsidRDefault="009A08BA" w:rsidP="009A08BA">
      <w:pPr>
        <w:pStyle w:val="subparaa"/>
      </w:pPr>
      <w:r>
        <w:t>has more than $100 million in adjusted liabilities and does not hold $100 million in ASLF, when the ASLF is less than $500,000 in excess of the amount that it is required to hold,</w:t>
      </w:r>
    </w:p>
    <w:p w:rsidR="00ED29D5" w:rsidRDefault="009A08BA" w:rsidP="00F10D2B">
      <w:pPr>
        <w:pStyle w:val="subparaa"/>
        <w:numPr>
          <w:ilvl w:val="0"/>
          <w:numId w:val="0"/>
        </w:numPr>
        <w:ind w:left="2268" w:right="-454"/>
      </w:pPr>
      <w:r>
        <w:t>it must not enter into any transactions with clients that could give rise to</w:t>
      </w:r>
      <w:r w:rsidR="00F10D2B">
        <w:t xml:space="preserve"> </w:t>
      </w:r>
      <w:r>
        <w:t>financial obligations, until its governing body has certified in writing that, having conducted reasonable inquiry into its financial position, there is no reason to believe that it may fail to meet its licensee obligations</w:t>
      </w:r>
      <w:r w:rsidR="00BD2A99">
        <w:t xml:space="preserve"> (certification requirement)</w:t>
      </w:r>
      <w:r>
        <w:t>.</w:t>
      </w:r>
    </w:p>
    <w:p w:rsidR="009A08BA" w:rsidRDefault="009A08BA" w:rsidP="009A08BA">
      <w:pPr>
        <w:pStyle w:val="BodyText"/>
      </w:pPr>
      <w:r>
        <w:lastRenderedPageBreak/>
        <w:t xml:space="preserve">If the certification requirement </w:t>
      </w:r>
      <w:r w:rsidR="00BD2A99">
        <w:t>under the current licence conditions was</w:t>
      </w:r>
      <w:r>
        <w:t xml:space="preserve"> applied in a similar way to the proposed financial requirements, </w:t>
      </w:r>
      <w:r w:rsidR="0096170C">
        <w:t>i</w:t>
      </w:r>
      <w:r>
        <w:t xml:space="preserve">ssuers would be unable to use any of their NTA without triggering the requirement that they cease transacting with clients. This would contradict our objective of allowing </w:t>
      </w:r>
      <w:r w:rsidR="0096170C">
        <w:t>i</w:t>
      </w:r>
      <w:r>
        <w:t>ssuers to use some of their NTA to meet unexpected expenses or losses arising from operational risk.</w:t>
      </w:r>
    </w:p>
    <w:p w:rsidR="009A08BA" w:rsidRDefault="009A08BA" w:rsidP="009A08BA">
      <w:pPr>
        <w:pStyle w:val="BodyText"/>
      </w:pPr>
      <w:r>
        <w:t xml:space="preserve">Requiring </w:t>
      </w:r>
      <w:r w:rsidR="0013157F">
        <w:t>i</w:t>
      </w:r>
      <w:r>
        <w:t>ssuer</w:t>
      </w:r>
      <w:r w:rsidR="008A7DCC">
        <w:t>s to notify ASIC when their</w:t>
      </w:r>
      <w:r>
        <w:t xml:space="preserve"> NTA</w:t>
      </w:r>
      <w:r w:rsidR="008A7DCC">
        <w:t xml:space="preserve"> held</w:t>
      </w:r>
      <w:r>
        <w:t xml:space="preserve"> is 110% or less of </w:t>
      </w:r>
      <w:r w:rsidR="00BD2A99">
        <w:t xml:space="preserve">the </w:t>
      </w:r>
      <w:r>
        <w:t xml:space="preserve">required NTA gives early notification to ASIC of those issuers that may be experiencing financial difficulty. Having this advance knowledge will </w:t>
      </w:r>
      <w:r w:rsidR="00BD2A99">
        <w:t>allow us</w:t>
      </w:r>
      <w:r>
        <w:t xml:space="preserve"> to monitor and, where appropriate, work with </w:t>
      </w:r>
      <w:r w:rsidR="0096170C">
        <w:t>i</w:t>
      </w:r>
      <w:r>
        <w:t>ssuers to ensure they remain in compliance with their AFS licence conditions.</w:t>
      </w:r>
    </w:p>
    <w:p w:rsidR="00F10D2B" w:rsidRDefault="009A08BA" w:rsidP="009A08BA">
      <w:pPr>
        <w:pStyle w:val="BodyText"/>
      </w:pPr>
      <w:r>
        <w:t xml:space="preserve">As previously stated, we intend that </w:t>
      </w:r>
      <w:r w:rsidR="0096170C">
        <w:t>i</w:t>
      </w:r>
      <w:r>
        <w:t xml:space="preserve">ssuers </w:t>
      </w:r>
      <w:r w:rsidR="00BD2A99">
        <w:t xml:space="preserve">should </w:t>
      </w:r>
      <w:r>
        <w:t xml:space="preserve">be able to use some of their NTA to meet unexpected expenses or losses which may arise from operational risk. Where </w:t>
      </w:r>
      <w:r w:rsidR="0096170C">
        <w:t>i</w:t>
      </w:r>
      <w:r>
        <w:t xml:space="preserve">ssuers draw down on their NTA, however, we want to ensure they have an appropriate incentive to replenish those funds </w:t>
      </w:r>
      <w:r w:rsidR="00BD2A99">
        <w:t xml:space="preserve">in </w:t>
      </w:r>
      <w:r>
        <w:t xml:space="preserve">a timely manner. </w:t>
      </w:r>
    </w:p>
    <w:p w:rsidR="009A08BA" w:rsidRDefault="009A08BA" w:rsidP="009A08BA">
      <w:pPr>
        <w:pStyle w:val="BodyText"/>
      </w:pPr>
      <w:r>
        <w:t xml:space="preserve">Accordingly, where an </w:t>
      </w:r>
      <w:r w:rsidR="003374FB">
        <w:t>i</w:t>
      </w:r>
      <w:r>
        <w:t>ssuer</w:t>
      </w:r>
      <w:r w:rsidR="00927BB5">
        <w:t>’</w:t>
      </w:r>
      <w:r>
        <w:t xml:space="preserve">s NTA is less than 100% of required NTA, we </w:t>
      </w:r>
      <w:r w:rsidR="00BD2A99">
        <w:t xml:space="preserve">propose </w:t>
      </w:r>
      <w:r>
        <w:t xml:space="preserve">that it have two months to replenish its NTA to 100% or more of the required NTA. If </w:t>
      </w:r>
      <w:r w:rsidR="00BD2A99">
        <w:t xml:space="preserve">it </w:t>
      </w:r>
      <w:r>
        <w:t xml:space="preserve">fails to do this, it must notify its clients of the deficiency by making a prescribed disclosure. This is both to give issuers an incentive to replenish their NTA in a timely fashion and to ensure that clients are informed </w:t>
      </w:r>
      <w:r w:rsidR="00BD2A99">
        <w:t xml:space="preserve">about </w:t>
      </w:r>
      <w:r>
        <w:t xml:space="preserve">the </w:t>
      </w:r>
      <w:r w:rsidR="00BD2A99">
        <w:t>i</w:t>
      </w:r>
      <w:r>
        <w:t>ssuer</w:t>
      </w:r>
      <w:r w:rsidR="00927BB5">
        <w:t>’</w:t>
      </w:r>
      <w:r>
        <w:t>s compliance with the financial requirements.</w:t>
      </w:r>
    </w:p>
    <w:p w:rsidR="00BF5B8F" w:rsidRDefault="00BF5B8F" w:rsidP="00F10D2B">
      <w:pPr>
        <w:pStyle w:val="BodyText"/>
        <w:spacing w:before="160"/>
        <w:ind w:right="-284"/>
      </w:pPr>
      <w:r>
        <w:t>T</w:t>
      </w:r>
      <w:r w:rsidRPr="00BF5B8F">
        <w:t xml:space="preserve">he issuer </w:t>
      </w:r>
      <w:r>
        <w:t xml:space="preserve">also </w:t>
      </w:r>
      <w:r w:rsidRPr="00BF5B8F">
        <w:t xml:space="preserve">would not be permitted to enter into any transactions with clients that could give rise to </w:t>
      </w:r>
      <w:r w:rsidR="007144C6" w:rsidRPr="00BF5B8F">
        <w:t xml:space="preserve">further liabilities, contingent liabilities or other </w:t>
      </w:r>
      <w:r w:rsidRPr="00BF5B8F">
        <w:t>financial obligations until its board or governing body has certified in writing that, having conducted reasonable inquiry into its financial position, there is no reason to believe that it may fail to meet its AFS licence obligations.</w:t>
      </w:r>
    </w:p>
    <w:p w:rsidR="009A08BA" w:rsidRDefault="009A08BA" w:rsidP="00F10D2B">
      <w:pPr>
        <w:pStyle w:val="BodyText"/>
        <w:spacing w:before="160"/>
      </w:pPr>
      <w:r>
        <w:t>We think that the</w:t>
      </w:r>
      <w:r w:rsidR="001A6C7E">
        <w:t xml:space="preserve"> floor on the amount of NTA an </w:t>
      </w:r>
      <w:r w:rsidR="0096170C">
        <w:t>i</w:t>
      </w:r>
      <w:r>
        <w:t xml:space="preserve">ssuer holds should be 75% of required NTA. If an </w:t>
      </w:r>
      <w:r w:rsidR="0096170C">
        <w:t>i</w:t>
      </w:r>
      <w:r>
        <w:t xml:space="preserve">ssuer draws down on NTA below this level to meet unexpected expenses or losses, the issuer would not be permitted </w:t>
      </w:r>
      <w:r w:rsidR="00BF5B8F">
        <w:t xml:space="preserve">under any circumstances </w:t>
      </w:r>
      <w:r>
        <w:t xml:space="preserve">to enter into any transactions with </w:t>
      </w:r>
      <w:r w:rsidR="002F46DE">
        <w:t xml:space="preserve">any person to whom it provides financial services </w:t>
      </w:r>
      <w:r>
        <w:t xml:space="preserve">that could give rise to </w:t>
      </w:r>
      <w:r w:rsidR="007144C6" w:rsidRPr="00BF5B8F">
        <w:t xml:space="preserve">further liabilities, contingent liabilities or other </w:t>
      </w:r>
      <w:r>
        <w:t>financial obligations.</w:t>
      </w:r>
    </w:p>
    <w:p w:rsidR="00B14D84" w:rsidRDefault="00235950" w:rsidP="00F10D2B">
      <w:pPr>
        <w:pStyle w:val="Heading3"/>
        <w:spacing w:before="360"/>
      </w:pPr>
      <w:r>
        <w:t>Benefits</w:t>
      </w:r>
      <w:r w:rsidR="00B14D84">
        <w:t xml:space="preserve"> of Option 1</w:t>
      </w:r>
    </w:p>
    <w:p w:rsidR="002D1C89" w:rsidRDefault="002D1C89" w:rsidP="00F10D2B">
      <w:pPr>
        <w:pStyle w:val="Heading4"/>
        <w:spacing w:before="200"/>
      </w:pPr>
      <w:r w:rsidRPr="002D1C89">
        <w:t>Benefits of 12-month cash flow projection</w:t>
      </w:r>
    </w:p>
    <w:p w:rsidR="00F24B5C" w:rsidRDefault="00F24B5C" w:rsidP="00F10D2B">
      <w:pPr>
        <w:pStyle w:val="BodyText"/>
        <w:spacing w:before="160"/>
      </w:pPr>
      <w:r>
        <w:t xml:space="preserve">Requiring all </w:t>
      </w:r>
      <w:r w:rsidR="00F91F7E">
        <w:t xml:space="preserve">retail OTC derivative </w:t>
      </w:r>
      <w:r w:rsidR="00220CF4">
        <w:t>i</w:t>
      </w:r>
      <w:r>
        <w:t xml:space="preserve">ssuers to prepare quarterly cash flow </w:t>
      </w:r>
      <w:r w:rsidR="004526BB">
        <w:t>projections</w:t>
      </w:r>
      <w:r>
        <w:t xml:space="preserve"> for </w:t>
      </w:r>
      <w:r w:rsidR="004526BB">
        <w:t xml:space="preserve">a </w:t>
      </w:r>
      <w:r>
        <w:t>12</w:t>
      </w:r>
      <w:r w:rsidR="0013157F">
        <w:t>-</w:t>
      </w:r>
      <w:r>
        <w:t>month period on a business-as-usual basis</w:t>
      </w:r>
      <w:r w:rsidR="004526BB">
        <w:t>,</w:t>
      </w:r>
      <w:r>
        <w:t xml:space="preserve"> and having those cash flow forecasts reviewed by auditors annually</w:t>
      </w:r>
      <w:r w:rsidRPr="001F5F10" w:rsidDel="00091CC5">
        <w:t xml:space="preserve"> </w:t>
      </w:r>
      <w:r>
        <w:t>will</w:t>
      </w:r>
      <w:r w:rsidRPr="001F5F10">
        <w:t xml:space="preserve"> </w:t>
      </w:r>
      <w:r>
        <w:t>enhance the stability of, and</w:t>
      </w:r>
      <w:r w:rsidR="00220CF4">
        <w:t>, potentially,</w:t>
      </w:r>
      <w:r>
        <w:t xml:space="preserve"> investor confidence in,</w:t>
      </w:r>
      <w:r w:rsidR="00220CF4">
        <w:t xml:space="preserve"> </w:t>
      </w:r>
      <w:r w:rsidR="00F91F7E">
        <w:t xml:space="preserve">these </w:t>
      </w:r>
      <w:r w:rsidR="00220CF4">
        <w:t>i</w:t>
      </w:r>
      <w:r>
        <w:t>ssuers. It will also reduce the risk of disorderly failure</w:t>
      </w:r>
      <w:r w:rsidR="00F91F7E">
        <w:t xml:space="preserve"> for the following reasons</w:t>
      </w:r>
      <w:r>
        <w:t>:</w:t>
      </w:r>
      <w:r w:rsidRPr="008807A3">
        <w:t xml:space="preserve"> </w:t>
      </w:r>
    </w:p>
    <w:p w:rsidR="00F24B5C" w:rsidRDefault="00F91F7E" w:rsidP="00F10D2B">
      <w:pPr>
        <w:pStyle w:val="subparaa"/>
        <w:ind w:right="-284"/>
      </w:pPr>
      <w:r>
        <w:lastRenderedPageBreak/>
        <w:t>T</w:t>
      </w:r>
      <w:r w:rsidR="00F24B5C">
        <w:t xml:space="preserve">o meet the requirements and obligations </w:t>
      </w:r>
      <w:r w:rsidR="00F24B5C" w:rsidRPr="00016EAE">
        <w:t xml:space="preserve">under </w:t>
      </w:r>
      <w:r w:rsidR="00F24B5C">
        <w:t xml:space="preserve">both </w:t>
      </w:r>
      <w:r w:rsidR="00F24B5C" w:rsidRPr="00016EAE">
        <w:t xml:space="preserve">the Auditing and Assurance Standards Board </w:t>
      </w:r>
      <w:r w:rsidR="00F24B5C">
        <w:t xml:space="preserve">(AASB) </w:t>
      </w:r>
      <w:r w:rsidR="00F24B5C" w:rsidRPr="00016EAE">
        <w:t>and the Corporations Act</w:t>
      </w:r>
      <w:r w:rsidR="00F24B5C">
        <w:t xml:space="preserve">, auditors must satisfy themselves that the </w:t>
      </w:r>
      <w:r w:rsidR="00220CF4">
        <w:t>i</w:t>
      </w:r>
      <w:r w:rsidR="00F24B5C">
        <w:t>ssuer is capable of meeting its liabilities and other obligations over the next 12 months, in a business-as-usual situation</w:t>
      </w:r>
      <w:r>
        <w:t>.</w:t>
      </w:r>
      <w:r w:rsidR="00F24B5C">
        <w:t xml:space="preserve"> </w:t>
      </w:r>
    </w:p>
    <w:p w:rsidR="00F24B5C" w:rsidRDefault="00F91F7E" w:rsidP="00F10D2B">
      <w:pPr>
        <w:pStyle w:val="subparaa"/>
        <w:ind w:right="-284"/>
      </w:pPr>
      <w:r>
        <w:t>C</w:t>
      </w:r>
      <w:r w:rsidR="00F24B5C" w:rsidRPr="00CD2960">
        <w:t xml:space="preserve">ash flow forecasts signed off by directors are likely to have been prepared with care and diligence and be more accurate, providing management with a more effective decision-making tool </w:t>
      </w:r>
      <w:r w:rsidR="00F24B5C">
        <w:t>(directors are obligated to perform their duties with care and diligence under the Corporations Act, and failing to do so may incur civil or criminal penalties)</w:t>
      </w:r>
      <w:r>
        <w:t>.</w:t>
      </w:r>
    </w:p>
    <w:p w:rsidR="00F24B5C" w:rsidRDefault="00F91F7E" w:rsidP="00F24B5C">
      <w:pPr>
        <w:pStyle w:val="subparaa"/>
      </w:pPr>
      <w:r>
        <w:t>T</w:t>
      </w:r>
      <w:r w:rsidR="00F24B5C">
        <w:t xml:space="preserve">he submissions </w:t>
      </w:r>
      <w:r w:rsidR="00F24B5C" w:rsidRPr="000D766F">
        <w:t xml:space="preserve">made </w:t>
      </w:r>
      <w:r w:rsidR="00F24B5C">
        <w:t xml:space="preserve">during our </w:t>
      </w:r>
      <w:r>
        <w:t>consultation phase</w:t>
      </w:r>
      <w:r w:rsidR="00EE4ED1">
        <w:t xml:space="preserve"> (see Section D of this RIS)</w:t>
      </w:r>
      <w:r w:rsidR="000D5C64">
        <w:t xml:space="preserve"> </w:t>
      </w:r>
      <w:r w:rsidR="00F24B5C">
        <w:t xml:space="preserve">were generally supportive of the </w:t>
      </w:r>
      <w:r w:rsidR="009E70F3">
        <w:t>proposed requirements</w:t>
      </w:r>
      <w:r w:rsidR="00F24B5C">
        <w:t xml:space="preserve">, </w:t>
      </w:r>
      <w:r>
        <w:t xml:space="preserve">although </w:t>
      </w:r>
      <w:r w:rsidR="001E12E3">
        <w:t xml:space="preserve">one </w:t>
      </w:r>
      <w:r w:rsidR="00220CF4">
        <w:t>i</w:t>
      </w:r>
      <w:r w:rsidR="001E12E3">
        <w:t xml:space="preserve">ssuer argued </w:t>
      </w:r>
      <w:r>
        <w:t xml:space="preserve">that </w:t>
      </w:r>
      <w:r w:rsidR="00927BB5">
        <w:t>‘</w:t>
      </w:r>
      <w:r w:rsidR="001E12E3">
        <w:t>business-as-usual</w:t>
      </w:r>
      <w:r w:rsidR="00927BB5">
        <w:t>’</w:t>
      </w:r>
      <w:r w:rsidR="001E12E3">
        <w:t xml:space="preserve"> calculations would not capture all the risks attaching to </w:t>
      </w:r>
      <w:r w:rsidR="00220CF4" w:rsidRPr="00220CF4">
        <w:t>retail OTC derivative</w:t>
      </w:r>
      <w:r w:rsidR="001E12E3">
        <w:t xml:space="preserve"> </w:t>
      </w:r>
      <w:r w:rsidR="00220CF4">
        <w:t>i</w:t>
      </w:r>
      <w:r w:rsidR="001E12E3">
        <w:t>ssuers</w:t>
      </w:r>
      <w:r>
        <w:t>.</w:t>
      </w:r>
    </w:p>
    <w:p w:rsidR="00F24B5C" w:rsidRDefault="00F91F7E" w:rsidP="00F10D2B">
      <w:pPr>
        <w:pStyle w:val="subparaa"/>
        <w:ind w:right="-284"/>
      </w:pPr>
      <w:r>
        <w:t>F</w:t>
      </w:r>
      <w:r w:rsidR="00266A70">
        <w:t xml:space="preserve">or </w:t>
      </w:r>
      <w:r w:rsidR="00220CF4">
        <w:t>i</w:t>
      </w:r>
      <w:r w:rsidR="00266A70">
        <w:t>ssuers</w:t>
      </w:r>
      <w:r w:rsidR="00F24B5C">
        <w:t xml:space="preserve"> not already preparing 12-month cash flow forecasts, requiring</w:t>
      </w:r>
      <w:r w:rsidR="00266A70">
        <w:t xml:space="preserve"> </w:t>
      </w:r>
      <w:r>
        <w:t xml:space="preserve">them </w:t>
      </w:r>
      <w:r w:rsidR="00F24B5C" w:rsidRPr="006B120B">
        <w:t>to</w:t>
      </w:r>
      <w:r w:rsidR="00F24B5C">
        <w:t xml:space="preserve"> prepare or</w:t>
      </w:r>
      <w:r w:rsidR="00F24B5C" w:rsidRPr="006B120B">
        <w:t xml:space="preserve"> </w:t>
      </w:r>
      <w:r w:rsidR="00F24B5C">
        <w:t xml:space="preserve">extend </w:t>
      </w:r>
      <w:r w:rsidR="00F24B5C" w:rsidRPr="006B120B">
        <w:t xml:space="preserve">their </w:t>
      </w:r>
      <w:r w:rsidR="00F24B5C">
        <w:t xml:space="preserve">consideration </w:t>
      </w:r>
      <w:r w:rsidR="00F24B5C" w:rsidRPr="006B120B">
        <w:t>and expectation over a period of 12 months</w:t>
      </w:r>
      <w:r w:rsidR="00266A70">
        <w:t xml:space="preserve"> </w:t>
      </w:r>
      <w:r w:rsidR="00F10D2B">
        <w:t>will mean they are</w:t>
      </w:r>
      <w:r w:rsidR="00F24B5C">
        <w:t xml:space="preserve"> much better placed to detect cash shortfalls earlier, providing </w:t>
      </w:r>
      <w:r w:rsidR="00F24B5C" w:rsidRPr="0063727B">
        <w:t xml:space="preserve">greater time to </w:t>
      </w:r>
      <w:r w:rsidR="00266A70">
        <w:t>address emerging</w:t>
      </w:r>
      <w:r w:rsidR="00F24B5C">
        <w:t xml:space="preserve"> risks</w:t>
      </w:r>
      <w:r>
        <w:t>.</w:t>
      </w:r>
    </w:p>
    <w:p w:rsidR="002D1C89" w:rsidRDefault="00F91F7E" w:rsidP="002D1C89">
      <w:pPr>
        <w:pStyle w:val="subparaa"/>
      </w:pPr>
      <w:r>
        <w:t>W</w:t>
      </w:r>
      <w:r w:rsidR="00F24B5C">
        <w:t>he</w:t>
      </w:r>
      <w:r w:rsidR="00266A70">
        <w:t>re</w:t>
      </w:r>
      <w:r w:rsidR="00F24B5C">
        <w:t xml:space="preserve"> </w:t>
      </w:r>
      <w:r w:rsidR="00266A70">
        <w:t xml:space="preserve">a </w:t>
      </w:r>
      <w:r w:rsidR="00220CF4" w:rsidRPr="00220CF4">
        <w:t>retail OTC derivative</w:t>
      </w:r>
      <w:r w:rsidR="00266A70">
        <w:t xml:space="preserve"> </w:t>
      </w:r>
      <w:r w:rsidR="00220CF4">
        <w:t>i</w:t>
      </w:r>
      <w:r w:rsidR="00266A70">
        <w:t xml:space="preserve">ssuer is facing </w:t>
      </w:r>
      <w:r w:rsidR="00F24B5C">
        <w:t>failure</w:t>
      </w:r>
      <w:r w:rsidR="00266A70">
        <w:t xml:space="preserve"> due to sustained trading losses</w:t>
      </w:r>
      <w:r w:rsidR="00F24B5C">
        <w:t xml:space="preserve">, the likelihood of failure should be identified by the </w:t>
      </w:r>
      <w:r w:rsidR="00220CF4">
        <w:t>i</w:t>
      </w:r>
      <w:r w:rsidR="00266A70">
        <w:t>ssuer or its</w:t>
      </w:r>
      <w:r w:rsidR="00F24B5C">
        <w:t xml:space="preserve"> auditor earlier, providing an opportunity to</w:t>
      </w:r>
      <w:r w:rsidR="008A7DCC">
        <w:t xml:space="preserve"> more</w:t>
      </w:r>
      <w:r w:rsidR="00F24B5C">
        <w:t xml:space="preserve"> smoothly effect a </w:t>
      </w:r>
      <w:r w:rsidR="00266A70">
        <w:t xml:space="preserve">sale or wind-down of the </w:t>
      </w:r>
      <w:r w:rsidR="00220CF4">
        <w:t>i</w:t>
      </w:r>
      <w:r w:rsidR="00266A70">
        <w:t>ssuers business so as to minimise disruption and loss to clients.</w:t>
      </w:r>
    </w:p>
    <w:p w:rsidR="008275E8" w:rsidRDefault="008275E8" w:rsidP="008275E8">
      <w:pPr>
        <w:pStyle w:val="Heading4"/>
      </w:pPr>
      <w:r>
        <w:t xml:space="preserve">Benefits of NTA </w:t>
      </w:r>
      <w:r w:rsidR="00B6097B">
        <w:t>requirement</w:t>
      </w:r>
    </w:p>
    <w:p w:rsidR="00D816CD" w:rsidRDefault="008275E8" w:rsidP="00D816CD">
      <w:pPr>
        <w:pStyle w:val="Heading5"/>
      </w:pPr>
      <w:r>
        <w:t>More appropriate minimum requirement</w:t>
      </w:r>
      <w:r w:rsidR="00650A8F">
        <w:t xml:space="preserve"> of $1,000,000</w:t>
      </w:r>
    </w:p>
    <w:p w:rsidR="00B16C18" w:rsidRDefault="004F1E5B" w:rsidP="008275E8">
      <w:pPr>
        <w:pStyle w:val="BodyText"/>
      </w:pPr>
      <w:r>
        <w:t>As noted above,</w:t>
      </w:r>
      <w:r w:rsidR="00A96CEA">
        <w:t xml:space="preserve"> </w:t>
      </w:r>
      <w:r>
        <w:t xml:space="preserve">the current minimum financial requirement of $50,000 does not reflect the resources required to operate a </w:t>
      </w:r>
      <w:r w:rsidR="00220CF4" w:rsidRPr="00220CF4">
        <w:t>retail OTC derivative</w:t>
      </w:r>
      <w:r w:rsidR="00220CF4">
        <w:t xml:space="preserve"> i</w:t>
      </w:r>
      <w:r>
        <w:t>ssuer</w:t>
      </w:r>
      <w:r w:rsidR="00927BB5">
        <w:t>’</w:t>
      </w:r>
      <w:r w:rsidR="00B16C18">
        <w:t>s</w:t>
      </w:r>
      <w:r>
        <w:t xml:space="preserve"> business adequately, in light of the inherent complexity of these businesses</w:t>
      </w:r>
      <w:r w:rsidR="00A96CEA">
        <w:t xml:space="preserve"> and the consequent need to have well-developed</w:t>
      </w:r>
      <w:r w:rsidR="004C4A71" w:rsidRPr="004C4A71">
        <w:t xml:space="preserve">, resourced and effective </w:t>
      </w:r>
      <w:r w:rsidR="00A96CEA">
        <w:t>supervisory arrangements</w:t>
      </w:r>
      <w:r>
        <w:t>.</w:t>
      </w:r>
      <w:r w:rsidR="006A21D6">
        <w:t xml:space="preserve"> </w:t>
      </w:r>
    </w:p>
    <w:p w:rsidR="004F1E5B" w:rsidRDefault="00310552" w:rsidP="008275E8">
      <w:pPr>
        <w:pStyle w:val="BodyText"/>
      </w:pPr>
      <w:r>
        <w:t>I</w:t>
      </w:r>
      <w:r w:rsidR="004F1E5B">
        <w:t>ncreasing the minimum financial requirement will:</w:t>
      </w:r>
    </w:p>
    <w:p w:rsidR="004F1E5B" w:rsidRDefault="004F1E5B" w:rsidP="004F1E5B">
      <w:pPr>
        <w:pStyle w:val="subparaa"/>
      </w:pPr>
      <w:r>
        <w:t xml:space="preserve">better reflect the capital actually required to operate a </w:t>
      </w:r>
      <w:r w:rsidR="00220CF4" w:rsidRPr="00220CF4">
        <w:t>retail OTC derivative</w:t>
      </w:r>
      <w:r>
        <w:t xml:space="preserve"> business in compliance with the Corporations Act, which requires substantial compliance, </w:t>
      </w:r>
      <w:r w:rsidR="00927BB5">
        <w:t>‘</w:t>
      </w:r>
      <w:r>
        <w:t>back office</w:t>
      </w:r>
      <w:r w:rsidR="00927BB5">
        <w:t>’</w:t>
      </w:r>
      <w:r>
        <w:t>, accounting and risk management infrastructure;</w:t>
      </w:r>
    </w:p>
    <w:p w:rsidR="00650A8F" w:rsidRDefault="00650A8F" w:rsidP="004F1E5B">
      <w:pPr>
        <w:pStyle w:val="subparaa"/>
      </w:pPr>
      <w:r>
        <w:t xml:space="preserve">potentially allow for a more orderly winding-up of </w:t>
      </w:r>
      <w:r w:rsidR="004562F5">
        <w:t>the</w:t>
      </w:r>
      <w:r>
        <w:t xml:space="preserve"> business if trading losses led to its insolvency</w:t>
      </w:r>
    </w:p>
    <w:p w:rsidR="00650A8F" w:rsidRDefault="00650A8F" w:rsidP="004F1E5B">
      <w:pPr>
        <w:pStyle w:val="subparaa"/>
      </w:pPr>
      <w:r>
        <w:t>put Australian minimum capital requirements more in line with other jurisdictions such as Singapore and the U</w:t>
      </w:r>
      <w:r w:rsidR="003374FB">
        <w:t xml:space="preserve">nited </w:t>
      </w:r>
      <w:r>
        <w:t>K</w:t>
      </w:r>
      <w:r w:rsidR="003374FB">
        <w:t>ingdom</w:t>
      </w:r>
      <w:r w:rsidR="00A96CEA">
        <w:t>; and</w:t>
      </w:r>
    </w:p>
    <w:p w:rsidR="00A96CEA" w:rsidRDefault="00A96CEA" w:rsidP="004F1E5B">
      <w:pPr>
        <w:pStyle w:val="subparaa"/>
      </w:pPr>
      <w:r w:rsidRPr="00A96CEA">
        <w:lastRenderedPageBreak/>
        <w:t>better align the interests of retail OTC derivative issuers and their clients, and also increase issuers</w:t>
      </w:r>
      <w:r w:rsidR="00927BB5">
        <w:t>’</w:t>
      </w:r>
      <w:r w:rsidRPr="00A96CEA">
        <w:t xml:space="preserve"> incentive to comply with the Corporations Act, by increasing the amount of capital at risk</w:t>
      </w:r>
      <w:r>
        <w:t>.</w:t>
      </w:r>
    </w:p>
    <w:p w:rsidR="00650A8F" w:rsidRDefault="004562F5" w:rsidP="00650A8F">
      <w:pPr>
        <w:pStyle w:val="BodyText"/>
      </w:pPr>
      <w:r>
        <w:t>F</w:t>
      </w:r>
      <w:r w:rsidR="00650A8F">
        <w:t xml:space="preserve">eedback </w:t>
      </w:r>
      <w:r>
        <w:t xml:space="preserve">from issuers </w:t>
      </w:r>
      <w:r w:rsidR="00650A8F">
        <w:t xml:space="preserve">was generally supportive of the </w:t>
      </w:r>
      <w:r w:rsidR="00D63444">
        <w:t xml:space="preserve">proposed </w:t>
      </w:r>
      <w:r w:rsidR="00650A8F">
        <w:t xml:space="preserve">$1,000,000 minimum </w:t>
      </w:r>
      <w:r>
        <w:t>NTA</w:t>
      </w:r>
      <w:r w:rsidR="00650A8F">
        <w:t xml:space="preserve"> requirement</w:t>
      </w:r>
      <w:r w:rsidR="00041E5B">
        <w:t>: see</w:t>
      </w:r>
      <w:r w:rsidR="00650A8F">
        <w:t xml:space="preserve"> </w:t>
      </w:r>
      <w:r w:rsidR="00543607">
        <w:fldChar w:fldCharType="begin"/>
      </w:r>
      <w:r w:rsidR="00D63444">
        <w:instrText xml:space="preserve"> REF _Ref325036886 \h </w:instrText>
      </w:r>
      <w:r w:rsidR="00543607">
        <w:fldChar w:fldCharType="separate"/>
      </w:r>
      <w:r w:rsidR="00337A8C">
        <w:t xml:space="preserve">Table </w:t>
      </w:r>
      <w:r w:rsidR="00337A8C">
        <w:rPr>
          <w:noProof/>
        </w:rPr>
        <w:t>2</w:t>
      </w:r>
      <w:r w:rsidR="00543607">
        <w:fldChar w:fldCharType="end"/>
      </w:r>
      <w:r w:rsidR="00650A8F">
        <w:t>.</w:t>
      </w:r>
    </w:p>
    <w:p w:rsidR="00555D36" w:rsidRDefault="003374FB" w:rsidP="00555D36">
      <w:pPr>
        <w:pStyle w:val="tabletitleindented"/>
        <w:keepLines/>
      </w:pPr>
      <w:bookmarkStart w:id="29" w:name="_Ref325036886"/>
      <w:r>
        <w:t xml:space="preserve">Table </w:t>
      </w:r>
      <w:r w:rsidR="00543607">
        <w:fldChar w:fldCharType="begin"/>
      </w:r>
      <w:r>
        <w:instrText xml:space="preserve"> SEQ Table \* ARABIC </w:instrText>
      </w:r>
      <w:r w:rsidR="00543607">
        <w:fldChar w:fldCharType="separate"/>
      </w:r>
      <w:r w:rsidR="00337A8C">
        <w:rPr>
          <w:noProof/>
        </w:rPr>
        <w:t>2</w:t>
      </w:r>
      <w:r w:rsidR="00543607">
        <w:fldChar w:fldCharType="end"/>
      </w:r>
      <w:bookmarkEnd w:id="29"/>
      <w:r>
        <w:t>:</w:t>
      </w:r>
      <w:r>
        <w:tab/>
      </w:r>
      <w:r w:rsidR="001D7B52">
        <w:t>Response by r</w:t>
      </w:r>
      <w:r w:rsidRPr="003374FB">
        <w:t>etail OTC derivative issuer</w:t>
      </w:r>
      <w:r w:rsidR="001D7B52">
        <w:t>s</w:t>
      </w:r>
      <w:r w:rsidRPr="003374FB">
        <w:t xml:space="preserve"> to </w:t>
      </w:r>
      <w:r w:rsidR="001D7B52">
        <w:t xml:space="preserve">proposed minimum NTA requirement of </w:t>
      </w:r>
      <w:r w:rsidRPr="003374FB">
        <w:t>$1,000,000</w:t>
      </w:r>
    </w:p>
    <w:tbl>
      <w:tblPr>
        <w:tblW w:w="0" w:type="auto"/>
        <w:tblInd w:w="2376"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4111"/>
        <w:gridCol w:w="2693"/>
      </w:tblGrid>
      <w:tr w:rsidR="003374FB" w:rsidRPr="000540E1" w:rsidTr="00C845AE">
        <w:trPr>
          <w:cantSplit/>
          <w:tblHeader/>
        </w:trPr>
        <w:tc>
          <w:tcPr>
            <w:tcW w:w="4111" w:type="dxa"/>
            <w:shd w:val="clear" w:color="auto" w:fill="C2E3FA"/>
          </w:tcPr>
          <w:p w:rsidR="00ED29D5" w:rsidRDefault="00C845AE" w:rsidP="00ED29D5">
            <w:pPr>
              <w:pStyle w:val="tablehead"/>
              <w:keepLines/>
            </w:pPr>
            <w:r w:rsidRPr="00C845AE">
              <w:t>Opinion of $1,000,000 minimum NTA</w:t>
            </w:r>
          </w:p>
        </w:tc>
        <w:tc>
          <w:tcPr>
            <w:tcW w:w="2693" w:type="dxa"/>
            <w:shd w:val="clear" w:color="auto" w:fill="C2E3FA"/>
          </w:tcPr>
          <w:p w:rsidR="00ED29D5" w:rsidRDefault="00C845AE" w:rsidP="00ED29D5">
            <w:pPr>
              <w:pStyle w:val="tablehead"/>
              <w:keepLines/>
            </w:pPr>
            <w:r w:rsidRPr="00C845AE">
              <w:t xml:space="preserve">Number of </w:t>
            </w:r>
            <w:r>
              <w:t>i</w:t>
            </w:r>
            <w:r w:rsidRPr="00C845AE">
              <w:t>ssuers</w:t>
            </w:r>
          </w:p>
        </w:tc>
      </w:tr>
      <w:tr w:rsidR="00C845AE" w:rsidRPr="000540E1" w:rsidTr="00C845AE">
        <w:trPr>
          <w:cantSplit/>
        </w:trPr>
        <w:tc>
          <w:tcPr>
            <w:tcW w:w="4111" w:type="dxa"/>
          </w:tcPr>
          <w:p w:rsidR="00ED29D5" w:rsidRDefault="00C845AE" w:rsidP="00ED29D5">
            <w:pPr>
              <w:pStyle w:val="tbltext"/>
              <w:keepNext/>
              <w:keepLines/>
            </w:pPr>
            <w:r>
              <w:t>Too high</w:t>
            </w:r>
          </w:p>
        </w:tc>
        <w:tc>
          <w:tcPr>
            <w:tcW w:w="2693" w:type="dxa"/>
          </w:tcPr>
          <w:p w:rsidR="00ED29D5" w:rsidRDefault="00C845AE" w:rsidP="00ED29D5">
            <w:pPr>
              <w:pStyle w:val="tbltext"/>
              <w:keepNext/>
              <w:keepLines/>
              <w:ind w:right="1451"/>
              <w:jc w:val="right"/>
            </w:pPr>
            <w:r>
              <w:t>3</w:t>
            </w:r>
          </w:p>
        </w:tc>
      </w:tr>
      <w:tr w:rsidR="00C845AE" w:rsidRPr="000540E1" w:rsidTr="00C845AE">
        <w:trPr>
          <w:cantSplit/>
        </w:trPr>
        <w:tc>
          <w:tcPr>
            <w:tcW w:w="4111" w:type="dxa"/>
          </w:tcPr>
          <w:p w:rsidR="00ED29D5" w:rsidRDefault="00C845AE" w:rsidP="00ED29D5">
            <w:pPr>
              <w:pStyle w:val="tbltext"/>
              <w:keepNext/>
              <w:keepLines/>
            </w:pPr>
            <w:r>
              <w:t>Too low</w:t>
            </w:r>
          </w:p>
        </w:tc>
        <w:tc>
          <w:tcPr>
            <w:tcW w:w="2693" w:type="dxa"/>
          </w:tcPr>
          <w:p w:rsidR="00ED29D5" w:rsidRDefault="00C845AE" w:rsidP="00ED29D5">
            <w:pPr>
              <w:pStyle w:val="tbltext"/>
              <w:keepNext/>
              <w:keepLines/>
              <w:ind w:right="1451"/>
              <w:jc w:val="right"/>
            </w:pPr>
            <w:r>
              <w:t>3</w:t>
            </w:r>
          </w:p>
        </w:tc>
      </w:tr>
      <w:tr w:rsidR="00C845AE" w:rsidRPr="000540E1" w:rsidTr="00C845AE">
        <w:trPr>
          <w:cantSplit/>
        </w:trPr>
        <w:tc>
          <w:tcPr>
            <w:tcW w:w="4111" w:type="dxa"/>
          </w:tcPr>
          <w:p w:rsidR="00ED29D5" w:rsidRDefault="00C845AE" w:rsidP="00F10D2B">
            <w:pPr>
              <w:pStyle w:val="tbltext"/>
              <w:widowControl/>
            </w:pPr>
            <w:r>
              <w:t>The right amount</w:t>
            </w:r>
          </w:p>
        </w:tc>
        <w:tc>
          <w:tcPr>
            <w:tcW w:w="2693" w:type="dxa"/>
          </w:tcPr>
          <w:p w:rsidR="00ED29D5" w:rsidRDefault="00C845AE" w:rsidP="00F10D2B">
            <w:pPr>
              <w:pStyle w:val="tbltext"/>
              <w:widowControl/>
              <w:ind w:right="1451"/>
              <w:jc w:val="right"/>
            </w:pPr>
            <w:r>
              <w:t>10</w:t>
            </w:r>
          </w:p>
        </w:tc>
      </w:tr>
    </w:tbl>
    <w:p w:rsidR="00B645B1" w:rsidRDefault="00B645B1" w:rsidP="00B645B1">
      <w:pPr>
        <w:pStyle w:val="Heading5"/>
      </w:pPr>
      <w:r>
        <w:t>NTA based on 10% of revenue</w:t>
      </w:r>
    </w:p>
    <w:p w:rsidR="00B645B1" w:rsidRDefault="00B645B1" w:rsidP="00F10D2B">
      <w:pPr>
        <w:pStyle w:val="BodyText"/>
        <w:keepNext/>
      </w:pPr>
      <w:r>
        <w:t xml:space="preserve">The </w:t>
      </w:r>
      <w:r w:rsidR="00CE338D">
        <w:t xml:space="preserve">proposed </w:t>
      </w:r>
      <w:r>
        <w:t>NTA requirement, based on revenue</w:t>
      </w:r>
      <w:r w:rsidR="00865192">
        <w:t>,</w:t>
      </w:r>
      <w:r>
        <w:t xml:space="preserve"> better reflects the operational risk of </w:t>
      </w:r>
      <w:r w:rsidR="00220CF4" w:rsidRPr="00220CF4">
        <w:t>retail OTC derivative</w:t>
      </w:r>
      <w:r>
        <w:t xml:space="preserve"> </w:t>
      </w:r>
      <w:r w:rsidR="00220CF4">
        <w:t>i</w:t>
      </w:r>
      <w:r>
        <w:t xml:space="preserve">ssuers </w:t>
      </w:r>
      <w:r w:rsidR="00CE338D">
        <w:t>for the following reasons</w:t>
      </w:r>
      <w:r>
        <w:t>:</w:t>
      </w:r>
    </w:p>
    <w:p w:rsidR="00B645B1" w:rsidRDefault="00CE338D" w:rsidP="00B645B1">
      <w:pPr>
        <w:pStyle w:val="subparaa"/>
      </w:pPr>
      <w:r>
        <w:t>A</w:t>
      </w:r>
      <w:r w:rsidR="00865192">
        <w:t xml:space="preserve">s </w:t>
      </w:r>
      <w:r w:rsidR="00220CF4">
        <w:t>i</w:t>
      </w:r>
      <w:r w:rsidR="00865192">
        <w:t>ssu</w:t>
      </w:r>
      <w:r w:rsidR="00B645B1">
        <w:t>ers grow bigger, their businesses tend to become more complex in terms of the number</w:t>
      </w:r>
      <w:r w:rsidR="00220CF4">
        <w:t xml:space="preserve"> of</w:t>
      </w:r>
      <w:r w:rsidR="00B645B1">
        <w:t xml:space="preserve"> systems, clients and counterparties and revenue more appropriately reflects these risks than balance sheet items</w:t>
      </w:r>
      <w:r>
        <w:t>.</w:t>
      </w:r>
    </w:p>
    <w:p w:rsidR="00B645B1" w:rsidRDefault="00CE338D" w:rsidP="00B645B1">
      <w:pPr>
        <w:pStyle w:val="subparaa"/>
      </w:pPr>
      <w:r>
        <w:t>T</w:t>
      </w:r>
      <w:r w:rsidR="00B645B1">
        <w:t xml:space="preserve">he use of revenue as a basis for </w:t>
      </w:r>
      <w:r>
        <w:t xml:space="preserve">calculating the </w:t>
      </w:r>
      <w:r w:rsidR="00B645B1">
        <w:t>required NTA avoids the problem of differing accounti</w:t>
      </w:r>
      <w:r w:rsidR="00B645B1" w:rsidRPr="00220CF4">
        <w:t>ng treatment of certain assets and liabilities that arise in the operation</w:t>
      </w:r>
      <w:r w:rsidR="00B645B1">
        <w:t xml:space="preserve"> of an OTC derivative business, including:</w:t>
      </w:r>
    </w:p>
    <w:p w:rsidR="00B645B1" w:rsidRDefault="00B645B1" w:rsidP="00865192">
      <w:pPr>
        <w:pStyle w:val="subsubparai"/>
      </w:pPr>
      <w:r>
        <w:t>client money held in client money accounts under s981B of the Corporations Act;</w:t>
      </w:r>
    </w:p>
    <w:p w:rsidR="00B645B1" w:rsidRDefault="00B645B1" w:rsidP="00B645B1">
      <w:pPr>
        <w:pStyle w:val="subsubparai"/>
      </w:pPr>
      <w:r>
        <w:t>client money that has been paid out of client money accounts to be used as margins with hedging counterparties under s981D of the Corporations Act</w:t>
      </w:r>
      <w:r w:rsidR="00390F8C">
        <w:t>; and</w:t>
      </w:r>
    </w:p>
    <w:p w:rsidR="00B645B1" w:rsidRDefault="00B645B1" w:rsidP="00B645B1">
      <w:pPr>
        <w:pStyle w:val="subsubparai"/>
      </w:pPr>
      <w:r>
        <w:t>the mark-to-market value of derivative positions held with clients and counterparties</w:t>
      </w:r>
      <w:r w:rsidR="00CE338D">
        <w:t>.</w:t>
      </w:r>
    </w:p>
    <w:p w:rsidR="008275E8" w:rsidRDefault="00CE338D" w:rsidP="00B645B1">
      <w:pPr>
        <w:pStyle w:val="subparaa"/>
      </w:pPr>
      <w:r>
        <w:t>U</w:t>
      </w:r>
      <w:r w:rsidR="00B645B1">
        <w:t xml:space="preserve">nder the </w:t>
      </w:r>
      <w:r w:rsidR="00927BB5">
        <w:t>‘</w:t>
      </w:r>
      <w:r w:rsidR="00B645B1">
        <w:t>Standardised Approach</w:t>
      </w:r>
      <w:r w:rsidR="00927BB5">
        <w:t>’</w:t>
      </w:r>
      <w:r w:rsidR="00B645B1">
        <w:t xml:space="preserve">, revenue is acknowledged as the key measure of operating risk for asset management businesses within banks by </w:t>
      </w:r>
      <w:r w:rsidRPr="000546A3">
        <w:t xml:space="preserve">the </w:t>
      </w:r>
      <w:r w:rsidR="00CC3106" w:rsidRPr="00CC3106">
        <w:t>Basel III guidelines</w:t>
      </w:r>
      <w:r w:rsidR="00B645B1">
        <w:t>.</w:t>
      </w:r>
    </w:p>
    <w:p w:rsidR="00DF6B1B" w:rsidRDefault="00245D66">
      <w:pPr>
        <w:pStyle w:val="BodyText"/>
      </w:pPr>
      <w:r>
        <w:t>The structure of the NTA requirement is such that, as an issuer</w:t>
      </w:r>
      <w:r w:rsidR="00927BB5">
        <w:t>’</w:t>
      </w:r>
      <w:r>
        <w:t>s business activity expands, so does the required NTA. This helps to ensure that the issuer continues to have adequate resources to operate its business in compliance with the Corporations Act, including maintaining adequate supervisory arrangements.</w:t>
      </w:r>
    </w:p>
    <w:p w:rsidR="00DF6B1B" w:rsidRDefault="004C4A71">
      <w:pPr>
        <w:pStyle w:val="BodyText"/>
      </w:pPr>
      <w:r>
        <w:lastRenderedPageBreak/>
        <w:t xml:space="preserve">The NTA requirement is also simpler for licensees and ASIC to oversee than </w:t>
      </w:r>
      <w:r w:rsidR="00CE338D">
        <w:t xml:space="preserve">the current SLF and </w:t>
      </w:r>
      <w:r>
        <w:t>ASLF</w:t>
      </w:r>
      <w:r w:rsidR="00CE338D">
        <w:t xml:space="preserve"> requirements</w:t>
      </w:r>
      <w:r>
        <w:t>.</w:t>
      </w:r>
    </w:p>
    <w:p w:rsidR="00EE4ED1" w:rsidRDefault="00865192" w:rsidP="00E90C07">
      <w:pPr>
        <w:pStyle w:val="BodyText"/>
      </w:pPr>
      <w:r>
        <w:t>All but one of the 16</w:t>
      </w:r>
      <w:r w:rsidR="00415361">
        <w:t xml:space="preserve"> </w:t>
      </w:r>
      <w:r w:rsidR="00220CF4" w:rsidRPr="00220CF4">
        <w:t>retail OTC derivative</w:t>
      </w:r>
      <w:r w:rsidR="00415361">
        <w:t xml:space="preserve"> </w:t>
      </w:r>
      <w:r w:rsidR="00220CF4">
        <w:t>i</w:t>
      </w:r>
      <w:r w:rsidR="00415361">
        <w:t>ssuers we consulted with were supportive of basing the revenue calculation on 10% of annual revenue.</w:t>
      </w:r>
      <w:r w:rsidR="00EE4ED1">
        <w:rPr>
          <w:rStyle w:val="FootnoteReference"/>
        </w:rPr>
        <w:footnoteReference w:id="6"/>
      </w:r>
    </w:p>
    <w:p w:rsidR="0007658D" w:rsidRDefault="0007658D" w:rsidP="0007658D">
      <w:pPr>
        <w:pStyle w:val="Heading5"/>
      </w:pPr>
      <w:r>
        <w:t xml:space="preserve">Benefits of NTA </w:t>
      </w:r>
      <w:r w:rsidR="00785E97">
        <w:t>l</w:t>
      </w:r>
      <w:r>
        <w:t>iquidity requirement</w:t>
      </w:r>
    </w:p>
    <w:p w:rsidR="0007658D" w:rsidRDefault="0007658D" w:rsidP="0007658D">
      <w:pPr>
        <w:pStyle w:val="BodyText"/>
      </w:pPr>
      <w:r>
        <w:t xml:space="preserve">We consider the requirement to hold 50% of the NTA requirement in cash or cash equivalents, and the balance in liquid assets, will benefit investors, </w:t>
      </w:r>
      <w:r w:rsidR="00220CF4" w:rsidRPr="00220CF4">
        <w:t>retail OTC derivative</w:t>
      </w:r>
      <w:r w:rsidR="00220CF4">
        <w:t xml:space="preserve"> i</w:t>
      </w:r>
      <w:r>
        <w:t xml:space="preserve">ssuers and the </w:t>
      </w:r>
      <w:r w:rsidR="00220CF4">
        <w:t>retail derivative</w:t>
      </w:r>
      <w:r>
        <w:t xml:space="preserve"> industry because </w:t>
      </w:r>
      <w:r w:rsidR="00CE338D">
        <w:t>i</w:t>
      </w:r>
      <w:r>
        <w:t>ssuers will have greater levels of liquid assets to manage unanticipated circumstances. They should also have more liquidity in the event of business failure due to trading losses to wind up their businesses in an orderly manner.</w:t>
      </w:r>
    </w:p>
    <w:p w:rsidR="0007658D" w:rsidRPr="00C3360C" w:rsidRDefault="00CE338D" w:rsidP="0007658D">
      <w:pPr>
        <w:pStyle w:val="BodyText"/>
        <w:rPr>
          <w:spacing w:val="-4"/>
        </w:rPr>
      </w:pPr>
      <w:r>
        <w:rPr>
          <w:spacing w:val="-4"/>
        </w:rPr>
        <w:t xml:space="preserve">Under this </w:t>
      </w:r>
      <w:r w:rsidR="00ED29D5" w:rsidRPr="00ED29D5">
        <w:rPr>
          <w:spacing w:val="-4"/>
        </w:rPr>
        <w:t>requirement</w:t>
      </w:r>
      <w:r>
        <w:rPr>
          <w:spacing w:val="-4"/>
        </w:rPr>
        <w:t>,</w:t>
      </w:r>
      <w:r w:rsidR="00ED29D5" w:rsidRPr="00ED29D5">
        <w:rPr>
          <w:spacing w:val="-4"/>
        </w:rPr>
        <w:t xml:space="preserve"> a retail OTC derivative issuer </w:t>
      </w:r>
      <w:r>
        <w:rPr>
          <w:spacing w:val="-4"/>
        </w:rPr>
        <w:t>would have</w:t>
      </w:r>
      <w:r w:rsidR="00ED29D5" w:rsidRPr="00ED29D5">
        <w:rPr>
          <w:spacing w:val="-4"/>
        </w:rPr>
        <w:t>:</w:t>
      </w:r>
    </w:p>
    <w:p w:rsidR="0007658D" w:rsidRDefault="0007658D" w:rsidP="0007658D">
      <w:pPr>
        <w:pStyle w:val="subparaa"/>
      </w:pPr>
      <w:r w:rsidRPr="00F946C2">
        <w:t xml:space="preserve">cash at </w:t>
      </w:r>
      <w:r>
        <w:t>its</w:t>
      </w:r>
      <w:r w:rsidRPr="00F946C2">
        <w:t xml:space="preserve"> disposal to address immediate unanticipated and unforseen events, such as significant drops in revenue or increases in expenses;</w:t>
      </w:r>
    </w:p>
    <w:p w:rsidR="0007658D" w:rsidRPr="00F946C2" w:rsidRDefault="0007658D" w:rsidP="0007658D">
      <w:pPr>
        <w:pStyle w:val="subparaa"/>
      </w:pPr>
      <w:r>
        <w:t>access to liquid assets to respond to operational risk events, such</w:t>
      </w:r>
      <w:r w:rsidR="00865192">
        <w:t xml:space="preserve"> as systems breakdowns</w:t>
      </w:r>
      <w:r>
        <w:t xml:space="preserve"> and major compliance breaches;</w:t>
      </w:r>
    </w:p>
    <w:p w:rsidR="0007658D" w:rsidRPr="00F946C2" w:rsidRDefault="0007658D" w:rsidP="0007658D">
      <w:pPr>
        <w:pStyle w:val="subparaa"/>
      </w:pPr>
      <w:r w:rsidRPr="00F946C2">
        <w:t>access to liquid assets to address short</w:t>
      </w:r>
      <w:r w:rsidR="00865192">
        <w:t>-to-</w:t>
      </w:r>
      <w:r w:rsidRPr="00F946C2">
        <w:t>medium</w:t>
      </w:r>
      <w:r>
        <w:t>-</w:t>
      </w:r>
      <w:r w:rsidRPr="00F946C2">
        <w:t>term issues</w:t>
      </w:r>
      <w:r>
        <w:t xml:space="preserve"> (e.g.</w:t>
      </w:r>
      <w:r w:rsidR="00785E97">
        <w:t> </w:t>
      </w:r>
      <w:r w:rsidRPr="00F946C2">
        <w:t>a financier not being prepared to extend</w:t>
      </w:r>
      <w:r>
        <w:t xml:space="preserve"> an</w:t>
      </w:r>
      <w:r w:rsidRPr="00F946C2">
        <w:t xml:space="preserve"> existing credit</w:t>
      </w:r>
      <w:r>
        <w:t xml:space="preserve"> or liquidity facility)</w:t>
      </w:r>
      <w:r w:rsidRPr="00F946C2">
        <w:t>;</w:t>
      </w:r>
    </w:p>
    <w:p w:rsidR="0007658D" w:rsidRPr="00F946C2" w:rsidRDefault="0007658D" w:rsidP="0007658D">
      <w:pPr>
        <w:pStyle w:val="subparaa"/>
      </w:pPr>
      <w:r>
        <w:t xml:space="preserve">a </w:t>
      </w:r>
      <w:r w:rsidRPr="00F946C2">
        <w:t>greater opportunity to develop and implement strategies to address unanticipated short</w:t>
      </w:r>
      <w:r>
        <w:t>-</w:t>
      </w:r>
      <w:r w:rsidRPr="00F946C2">
        <w:t xml:space="preserve">term liquidity issues </w:t>
      </w:r>
      <w:r>
        <w:t>that</w:t>
      </w:r>
      <w:r w:rsidRPr="00F946C2">
        <w:t xml:space="preserve"> might otherwise result in the quic</w:t>
      </w:r>
      <w:r>
        <w:t>k demise of a</w:t>
      </w:r>
      <w:r w:rsidR="00220CF4">
        <w:t>n i</w:t>
      </w:r>
      <w:r>
        <w:t>ssuer</w:t>
      </w:r>
      <w:r w:rsidRPr="00F946C2">
        <w:t xml:space="preserve">, even if </w:t>
      </w:r>
      <w:r>
        <w:t xml:space="preserve">it </w:t>
      </w:r>
      <w:r w:rsidRPr="00F946C2">
        <w:t>would be profitable over the short</w:t>
      </w:r>
      <w:r>
        <w:t>-term</w:t>
      </w:r>
      <w:r w:rsidRPr="00F946C2">
        <w:t xml:space="preserve"> to medium</w:t>
      </w:r>
      <w:r>
        <w:t>-</w:t>
      </w:r>
      <w:r w:rsidRPr="00F946C2">
        <w:t>term; and</w:t>
      </w:r>
    </w:p>
    <w:p w:rsidR="0007658D" w:rsidRDefault="0007658D" w:rsidP="0007658D">
      <w:pPr>
        <w:pStyle w:val="subparaa"/>
      </w:pPr>
      <w:r>
        <w:t>u</w:t>
      </w:r>
      <w:r w:rsidRPr="00F946C2">
        <w:t>pon failure</w:t>
      </w:r>
      <w:r>
        <w:t xml:space="preserve"> due to trading losses</w:t>
      </w:r>
      <w:r w:rsidRPr="00F946C2">
        <w:t xml:space="preserve">, more cash and liquid assets to enable an orderly </w:t>
      </w:r>
      <w:r>
        <w:t>winding-down of its business.</w:t>
      </w:r>
    </w:p>
    <w:p w:rsidR="00163124" w:rsidRPr="00163124" w:rsidRDefault="00163124" w:rsidP="00C97369">
      <w:pPr>
        <w:pStyle w:val="Heading4"/>
        <w:rPr>
          <w:szCs w:val="20"/>
        </w:rPr>
      </w:pPr>
      <w:r>
        <w:t>Benefits of reporting requirements</w:t>
      </w:r>
    </w:p>
    <w:p w:rsidR="000F2324" w:rsidRDefault="00163124" w:rsidP="00163124">
      <w:pPr>
        <w:pStyle w:val="subparaa"/>
        <w:numPr>
          <w:ilvl w:val="0"/>
          <w:numId w:val="7"/>
        </w:numPr>
      </w:pPr>
      <w:r>
        <w:t xml:space="preserve">Unlike </w:t>
      </w:r>
      <w:r w:rsidR="0048515D">
        <w:t xml:space="preserve">the </w:t>
      </w:r>
      <w:r>
        <w:t xml:space="preserve">current </w:t>
      </w:r>
      <w:r w:rsidR="0048515D">
        <w:t xml:space="preserve">SLF and </w:t>
      </w:r>
      <w:r>
        <w:t xml:space="preserve">ASLF requirements, the proposed reporting </w:t>
      </w:r>
      <w:r w:rsidR="0048515D">
        <w:t>requirements</w:t>
      </w:r>
      <w:r>
        <w:t xml:space="preserve"> will allow </w:t>
      </w:r>
      <w:r w:rsidR="00877683" w:rsidRPr="00877683">
        <w:t>retail OTC derivative</w:t>
      </w:r>
      <w:r>
        <w:t xml:space="preserve"> </w:t>
      </w:r>
      <w:r w:rsidR="00877683">
        <w:t>i</w:t>
      </w:r>
      <w:r>
        <w:t xml:space="preserve">ssuers to </w:t>
      </w:r>
      <w:r w:rsidR="0048515D">
        <w:t>use</w:t>
      </w:r>
      <w:r>
        <w:t xml:space="preserve"> some of their required liquid NTA to respond to operational, compliance and other events</w:t>
      </w:r>
      <w:r w:rsidR="000F2324">
        <w:t>,</w:t>
      </w:r>
      <w:r>
        <w:t xml:space="preserve"> without </w:t>
      </w:r>
      <w:r w:rsidR="000F2324">
        <w:t xml:space="preserve">breaching </w:t>
      </w:r>
      <w:r w:rsidR="0048515D">
        <w:t>their</w:t>
      </w:r>
      <w:r w:rsidR="000F2324">
        <w:t xml:space="preserve"> AFS licence conditions or </w:t>
      </w:r>
      <w:r w:rsidR="0048515D">
        <w:t xml:space="preserve">necessarily </w:t>
      </w:r>
      <w:r w:rsidR="000F2324">
        <w:t>being required to stop entering into transactions with clients</w:t>
      </w:r>
      <w:r>
        <w:t>.</w:t>
      </w:r>
    </w:p>
    <w:p w:rsidR="000F2324" w:rsidRDefault="000F2324" w:rsidP="00163124">
      <w:pPr>
        <w:pStyle w:val="subparaa"/>
        <w:numPr>
          <w:ilvl w:val="0"/>
          <w:numId w:val="7"/>
        </w:numPr>
      </w:pPr>
      <w:r>
        <w:t xml:space="preserve">This will benefit </w:t>
      </w:r>
      <w:r w:rsidR="00877683">
        <w:t>i</w:t>
      </w:r>
      <w:r>
        <w:t xml:space="preserve">ssuers, their clients and the </w:t>
      </w:r>
      <w:r w:rsidR="00877683">
        <w:t>retail</w:t>
      </w:r>
      <w:r w:rsidR="00877683" w:rsidRPr="00877683">
        <w:t xml:space="preserve"> derivative</w:t>
      </w:r>
      <w:r>
        <w:t xml:space="preserve"> sector generally by:</w:t>
      </w:r>
    </w:p>
    <w:p w:rsidR="000F2324" w:rsidRDefault="000F2324" w:rsidP="000F2324">
      <w:pPr>
        <w:pStyle w:val="subparaa"/>
      </w:pPr>
      <w:r>
        <w:t xml:space="preserve">enabling </w:t>
      </w:r>
      <w:r w:rsidR="00536B14">
        <w:t>i</w:t>
      </w:r>
      <w:r>
        <w:t xml:space="preserve">ssuers to make use of the liquid capital they </w:t>
      </w:r>
      <w:r w:rsidR="0048515D">
        <w:t xml:space="preserve">must </w:t>
      </w:r>
      <w:r>
        <w:t>hold; and</w:t>
      </w:r>
    </w:p>
    <w:p w:rsidR="000F2324" w:rsidRDefault="000F2324" w:rsidP="000F2324">
      <w:pPr>
        <w:pStyle w:val="subparaa"/>
      </w:pPr>
      <w:r>
        <w:lastRenderedPageBreak/>
        <w:t>limiting the likelihood of</w:t>
      </w:r>
      <w:r w:rsidR="00E43CC6">
        <w:t xml:space="preserve"> a</w:t>
      </w:r>
      <w:r w:rsidR="00536B14">
        <w:t>n</w:t>
      </w:r>
      <w:r w:rsidR="00E43CC6">
        <w:t xml:space="preserve"> </w:t>
      </w:r>
      <w:r w:rsidR="00536B14">
        <w:t>i</w:t>
      </w:r>
      <w:r w:rsidR="00E43CC6">
        <w:t>ssuer</w:t>
      </w:r>
      <w:r w:rsidR="00927BB5">
        <w:t>’</w:t>
      </w:r>
      <w:r w:rsidR="00E43CC6">
        <w:t>s</w:t>
      </w:r>
      <w:r>
        <w:t xml:space="preserve"> businesses being disrupted by a failure to hold sufficient liquid capital after experiencing unexpected expenses.</w:t>
      </w:r>
    </w:p>
    <w:p w:rsidR="000F2324" w:rsidRDefault="000F2324" w:rsidP="000F2324">
      <w:pPr>
        <w:pStyle w:val="BodyText"/>
      </w:pPr>
      <w:r>
        <w:t xml:space="preserve">Clients will benefit from being informed of the deterioration in an affected </w:t>
      </w:r>
      <w:r w:rsidR="00C3360C">
        <w:t>issuer</w:t>
      </w:r>
      <w:r w:rsidR="00927BB5">
        <w:t>’</w:t>
      </w:r>
      <w:r w:rsidR="00C3360C">
        <w:t xml:space="preserve">s </w:t>
      </w:r>
      <w:r w:rsidR="0048515D">
        <w:t>NTA</w:t>
      </w:r>
      <w:r>
        <w:t xml:space="preserve"> position. This will </w:t>
      </w:r>
      <w:r w:rsidR="0048515D">
        <w:t>allow</w:t>
      </w:r>
      <w:r>
        <w:t xml:space="preserve"> clients to consider their ongoing exposure to the </w:t>
      </w:r>
      <w:r w:rsidR="00536B14">
        <w:t>i</w:t>
      </w:r>
      <w:r>
        <w:t>ssuer.</w:t>
      </w:r>
    </w:p>
    <w:p w:rsidR="000A34A8" w:rsidRDefault="00C97369" w:rsidP="000F2324">
      <w:pPr>
        <w:pStyle w:val="BodyText"/>
      </w:pPr>
      <w:r>
        <w:t xml:space="preserve">We also expect that simplifying the reporting requirements, and setting them out more clearly in a regulatory guide for </w:t>
      </w:r>
      <w:r w:rsidR="00536B14" w:rsidRPr="00536B14">
        <w:t>retail OTC derivative</w:t>
      </w:r>
      <w:r w:rsidR="00536B14">
        <w:t xml:space="preserve"> i</w:t>
      </w:r>
      <w:r>
        <w:t>ssuers, will improve the industry</w:t>
      </w:r>
      <w:r w:rsidR="00927BB5">
        <w:t>’</w:t>
      </w:r>
      <w:r>
        <w:t>s understanding of</w:t>
      </w:r>
      <w:r w:rsidR="0043751D">
        <w:t xml:space="preserve">, and compliance with, </w:t>
      </w:r>
      <w:r w:rsidR="00E90C07">
        <w:t xml:space="preserve">the reporting requirements. We have found, in our general compliance activities in the </w:t>
      </w:r>
      <w:r w:rsidR="00E43CC6">
        <w:t xml:space="preserve">sector, that many </w:t>
      </w:r>
      <w:r w:rsidR="00536B14">
        <w:t>i</w:t>
      </w:r>
      <w:r w:rsidR="00E43CC6">
        <w:t>ssuers did</w:t>
      </w:r>
      <w:r w:rsidR="00E90C07">
        <w:t xml:space="preserve"> not fully understand the current requirements. This would benefit ASIC by </w:t>
      </w:r>
      <w:r w:rsidR="0048515D">
        <w:t>allowing</w:t>
      </w:r>
      <w:r w:rsidR="00E90C07">
        <w:t xml:space="preserve"> us to more promptly respond to potential breaches of the capital or reporting requirements.</w:t>
      </w:r>
      <w:r w:rsidR="006A21D6">
        <w:t xml:space="preserve"> </w:t>
      </w:r>
    </w:p>
    <w:p w:rsidR="00A36A25" w:rsidRDefault="000A34A8">
      <w:pPr>
        <w:pStyle w:val="Heading4"/>
      </w:pPr>
      <w:r>
        <w:t xml:space="preserve">Benefits of reducing the risk of issuer failure </w:t>
      </w:r>
      <w:r w:rsidR="00B6097B">
        <w:t>due to</w:t>
      </w:r>
      <w:r w:rsidR="0048515D">
        <w:t xml:space="preserve"> </w:t>
      </w:r>
      <w:r w:rsidR="00CC3106" w:rsidRPr="00CC3106">
        <w:t>inadequate</w:t>
      </w:r>
      <w:r>
        <w:t xml:space="preserve"> financial resources</w:t>
      </w:r>
    </w:p>
    <w:p w:rsidR="00FA7411" w:rsidRDefault="0048515D" w:rsidP="000F2324">
      <w:pPr>
        <w:pStyle w:val="BodyText"/>
      </w:pPr>
      <w:r>
        <w:t>A</w:t>
      </w:r>
      <w:r w:rsidR="000A34A8">
        <w:t xml:space="preserve"> number of costs would arise due to issuer failure</w:t>
      </w:r>
      <w:r w:rsidR="00FA7411">
        <w:t xml:space="preserve">, </w:t>
      </w:r>
      <w:r>
        <w:t xml:space="preserve">if </w:t>
      </w:r>
      <w:r w:rsidR="00FA7411">
        <w:t xml:space="preserve">the issuer had </w:t>
      </w:r>
      <w:r w:rsidR="00CC3106" w:rsidRPr="00CC3106">
        <w:t>inadequate</w:t>
      </w:r>
      <w:r w:rsidR="00FA7411">
        <w:t xml:space="preserve"> financial resources. </w:t>
      </w:r>
      <w:r w:rsidR="00543607">
        <w:fldChar w:fldCharType="begin"/>
      </w:r>
      <w:r w:rsidR="00041E5B">
        <w:instrText xml:space="preserve"> REF _Ref325036958 \h </w:instrText>
      </w:r>
      <w:r w:rsidR="00543607">
        <w:fldChar w:fldCharType="separate"/>
      </w:r>
      <w:r w:rsidR="00337A8C">
        <w:t xml:space="preserve">Table </w:t>
      </w:r>
      <w:r w:rsidR="00337A8C">
        <w:rPr>
          <w:noProof/>
        </w:rPr>
        <w:t>3</w:t>
      </w:r>
      <w:r w:rsidR="00543607">
        <w:fldChar w:fldCharType="end"/>
      </w:r>
      <w:r w:rsidR="00854D4C">
        <w:t xml:space="preserve">sets out a possible scenario where an issuer fails due to holding </w:t>
      </w:r>
      <w:r w:rsidR="00CC3106" w:rsidRPr="00CC3106">
        <w:t>inadequate</w:t>
      </w:r>
      <w:r w:rsidR="00854D4C">
        <w:t xml:space="preserve"> financial resources to operate its business effectively and in compliance with its obligations under the Corporations Act. The scenario also details where the lack of adequate financial resources exacerbates losses and costs.</w:t>
      </w:r>
    </w:p>
    <w:p w:rsidR="00BD03E5" w:rsidRDefault="00BD03E5" w:rsidP="00BD03E5">
      <w:pPr>
        <w:pStyle w:val="BodyText"/>
      </w:pPr>
      <w:r>
        <w:t xml:space="preserve">The proposed financial requirements are intended to mitigate the costs which would arise in such a scenario. The third column in Table 3 lists the manner in which improved financial resources could help prevent costs arising from issuer failure due to holding </w:t>
      </w:r>
      <w:r w:rsidR="00CC3106" w:rsidRPr="00CC3106">
        <w:t>inadequate</w:t>
      </w:r>
      <w:r>
        <w:t xml:space="preserve"> financial resources. </w:t>
      </w:r>
    </w:p>
    <w:p w:rsidR="00C045BB" w:rsidRDefault="00C045BB" w:rsidP="00E55220">
      <w:pPr>
        <w:pStyle w:val="tabletitlefullwidth"/>
      </w:pPr>
      <w:bookmarkStart w:id="30" w:name="_Ref325036958"/>
      <w:r>
        <w:t xml:space="preserve">Table </w:t>
      </w:r>
      <w:r w:rsidR="00543607">
        <w:fldChar w:fldCharType="begin"/>
      </w:r>
      <w:r>
        <w:instrText xml:space="preserve"> SEQ Table \* ARABIC </w:instrText>
      </w:r>
      <w:r w:rsidR="00543607">
        <w:fldChar w:fldCharType="separate"/>
      </w:r>
      <w:r w:rsidR="00337A8C">
        <w:rPr>
          <w:noProof/>
        </w:rPr>
        <w:t>3</w:t>
      </w:r>
      <w:r w:rsidR="00543607">
        <w:fldChar w:fldCharType="end"/>
      </w:r>
      <w:bookmarkEnd w:id="30"/>
      <w:r>
        <w:t>:</w:t>
      </w:r>
      <w:r>
        <w:tab/>
      </w:r>
      <w:r w:rsidR="0048515D">
        <w:t>Possible scenario of i</w:t>
      </w:r>
      <w:r w:rsidRPr="00C045BB">
        <w:t>ssuer failure</w:t>
      </w:r>
    </w:p>
    <w:tbl>
      <w:tblPr>
        <w:tblW w:w="9214" w:type="dxa"/>
        <w:tblInd w:w="108"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238"/>
        <w:gridCol w:w="2597"/>
        <w:gridCol w:w="2694"/>
        <w:gridCol w:w="3685"/>
      </w:tblGrid>
      <w:tr w:rsidR="00C045BB" w:rsidRPr="000540E1" w:rsidTr="00041E5B">
        <w:trPr>
          <w:cantSplit/>
          <w:tblHeader/>
        </w:trPr>
        <w:tc>
          <w:tcPr>
            <w:tcW w:w="2835" w:type="dxa"/>
            <w:gridSpan w:val="2"/>
            <w:shd w:val="clear" w:color="auto" w:fill="C2E3FA"/>
          </w:tcPr>
          <w:p w:rsidR="00C045BB" w:rsidRPr="000540E1" w:rsidRDefault="00C045BB" w:rsidP="00E55220">
            <w:pPr>
              <w:pStyle w:val="tablehead"/>
            </w:pPr>
            <w:r>
              <w:t>Event</w:t>
            </w:r>
          </w:p>
        </w:tc>
        <w:tc>
          <w:tcPr>
            <w:tcW w:w="2694" w:type="dxa"/>
            <w:shd w:val="clear" w:color="auto" w:fill="C2E3FA"/>
          </w:tcPr>
          <w:p w:rsidR="00C045BB" w:rsidRPr="000540E1" w:rsidRDefault="00C045BB" w:rsidP="00E55220">
            <w:pPr>
              <w:pStyle w:val="tablehead"/>
            </w:pPr>
            <w:r>
              <w:t>Cost</w:t>
            </w:r>
          </w:p>
        </w:tc>
        <w:tc>
          <w:tcPr>
            <w:tcW w:w="3685" w:type="dxa"/>
            <w:shd w:val="clear" w:color="auto" w:fill="C2E3FA"/>
          </w:tcPr>
          <w:p w:rsidR="00C045BB" w:rsidRPr="000540E1" w:rsidRDefault="00C045BB" w:rsidP="00E55220">
            <w:pPr>
              <w:pStyle w:val="tablehead"/>
            </w:pPr>
            <w:r>
              <w:t>Effect of holding adequate financial requirements</w:t>
            </w:r>
          </w:p>
        </w:tc>
      </w:tr>
      <w:tr w:rsidR="00C045BB" w:rsidRPr="000540E1" w:rsidTr="00041E5B">
        <w:trPr>
          <w:cantSplit/>
        </w:trPr>
        <w:tc>
          <w:tcPr>
            <w:tcW w:w="238" w:type="dxa"/>
          </w:tcPr>
          <w:p w:rsidR="00C045BB" w:rsidRPr="000540E1" w:rsidRDefault="00C045BB" w:rsidP="00E55220">
            <w:pPr>
              <w:pStyle w:val="tbltext"/>
            </w:pPr>
            <w:r>
              <w:t>1</w:t>
            </w:r>
          </w:p>
        </w:tc>
        <w:tc>
          <w:tcPr>
            <w:tcW w:w="2597" w:type="dxa"/>
          </w:tcPr>
          <w:p w:rsidR="00C045BB" w:rsidRPr="000540E1" w:rsidRDefault="00C045BB" w:rsidP="00E55220">
            <w:pPr>
              <w:pStyle w:val="tbltext"/>
            </w:pPr>
            <w:r>
              <w:t>Deficiency arises in client trust account that is not detected in a timely fashion</w:t>
            </w:r>
            <w:r w:rsidR="00041E5B">
              <w:t>.</w:t>
            </w:r>
          </w:p>
        </w:tc>
        <w:tc>
          <w:tcPr>
            <w:tcW w:w="2694" w:type="dxa"/>
          </w:tcPr>
          <w:p w:rsidR="00C045BB" w:rsidRPr="000540E1" w:rsidRDefault="00C045BB" w:rsidP="00E55220">
            <w:pPr>
              <w:pStyle w:val="tbltext"/>
            </w:pPr>
            <w:r>
              <w:t>Client money held is insufficient to meet client liabilities</w:t>
            </w:r>
            <w:r w:rsidR="00041E5B">
              <w:t>.</w:t>
            </w:r>
          </w:p>
        </w:tc>
        <w:tc>
          <w:tcPr>
            <w:tcW w:w="3685" w:type="dxa"/>
          </w:tcPr>
          <w:p w:rsidR="00C045BB" w:rsidRPr="000540E1" w:rsidRDefault="00C045BB" w:rsidP="00E55220">
            <w:pPr>
              <w:pStyle w:val="tbltext"/>
            </w:pPr>
            <w:r>
              <w:t>Adequate resources to carry out supervisory arrangements may lead to earlier detection of a deficiency, or prevention of a deficiency</w:t>
            </w:r>
            <w:r w:rsidR="00041E5B">
              <w:t>.</w:t>
            </w:r>
          </w:p>
        </w:tc>
      </w:tr>
      <w:tr w:rsidR="00C045BB" w:rsidRPr="000540E1" w:rsidTr="00041E5B">
        <w:trPr>
          <w:cantSplit/>
        </w:trPr>
        <w:tc>
          <w:tcPr>
            <w:tcW w:w="238" w:type="dxa"/>
          </w:tcPr>
          <w:p w:rsidR="00C045BB" w:rsidRPr="000540E1" w:rsidRDefault="00C045BB" w:rsidP="00E55220">
            <w:pPr>
              <w:pStyle w:val="tbltext"/>
            </w:pPr>
            <w:r>
              <w:t>2</w:t>
            </w:r>
          </w:p>
        </w:tc>
        <w:tc>
          <w:tcPr>
            <w:tcW w:w="2597" w:type="dxa"/>
          </w:tcPr>
          <w:p w:rsidR="00C045BB" w:rsidRPr="000540E1" w:rsidRDefault="00C045BB" w:rsidP="00E55220">
            <w:pPr>
              <w:pStyle w:val="tbltext"/>
            </w:pPr>
            <w:r>
              <w:t>On becoming aware of this deficiency, and in the context of trading losses, directors appoint voluntary administrators</w:t>
            </w:r>
            <w:r w:rsidR="00041E5B">
              <w:t>.</w:t>
            </w:r>
          </w:p>
        </w:tc>
        <w:tc>
          <w:tcPr>
            <w:tcW w:w="2694" w:type="dxa"/>
          </w:tcPr>
          <w:p w:rsidR="00C045BB" w:rsidRPr="000540E1" w:rsidRDefault="003A0F74" w:rsidP="003A0F74">
            <w:pPr>
              <w:pStyle w:val="tbltext"/>
            </w:pPr>
            <w:r>
              <w:t>There are c</w:t>
            </w:r>
            <w:r w:rsidR="00C045BB">
              <w:t>ost</w:t>
            </w:r>
            <w:r>
              <w:t>s</w:t>
            </w:r>
            <w:r w:rsidR="00C045BB">
              <w:t xml:space="preserve"> to staff in lost employment, inconvenience and financial risk to clients, loss of value of business</w:t>
            </w:r>
            <w:r>
              <w:t>.</w:t>
            </w:r>
          </w:p>
        </w:tc>
        <w:tc>
          <w:tcPr>
            <w:tcW w:w="3685" w:type="dxa"/>
          </w:tcPr>
          <w:p w:rsidR="00C045BB" w:rsidRDefault="00C045BB" w:rsidP="00E55220">
            <w:pPr>
              <w:pStyle w:val="tabletext"/>
            </w:pPr>
            <w:r w:rsidRPr="00A80F3B">
              <w:t xml:space="preserve">Adequate resources </w:t>
            </w:r>
            <w:r>
              <w:t xml:space="preserve">for strong risk management systems and </w:t>
            </w:r>
            <w:r w:rsidRPr="00A80F3B">
              <w:t xml:space="preserve">to carry out supervisory arrangements may lead to earlier detection of a deficiency </w:t>
            </w:r>
            <w:r>
              <w:t xml:space="preserve">or trading losses before escalation to a point where the problem cannot be remedied. </w:t>
            </w:r>
          </w:p>
          <w:p w:rsidR="00ED29D5" w:rsidRDefault="00C045BB" w:rsidP="00ED29D5">
            <w:pPr>
              <w:pStyle w:val="tblnote"/>
            </w:pPr>
            <w:r>
              <w:t>Note: Financial requirements are not intended to prevent business failure.</w:t>
            </w:r>
          </w:p>
        </w:tc>
      </w:tr>
      <w:tr w:rsidR="00C045BB" w:rsidRPr="000540E1" w:rsidTr="00041E5B">
        <w:trPr>
          <w:cantSplit/>
        </w:trPr>
        <w:tc>
          <w:tcPr>
            <w:tcW w:w="238" w:type="dxa"/>
          </w:tcPr>
          <w:p w:rsidR="00C045BB" w:rsidRDefault="009E0DC8" w:rsidP="00E55220">
            <w:pPr>
              <w:pStyle w:val="tbltext"/>
            </w:pPr>
            <w:r>
              <w:lastRenderedPageBreak/>
              <w:t>3</w:t>
            </w:r>
          </w:p>
        </w:tc>
        <w:tc>
          <w:tcPr>
            <w:tcW w:w="2597" w:type="dxa"/>
          </w:tcPr>
          <w:p w:rsidR="00C045BB" w:rsidRDefault="00C045BB" w:rsidP="00E55220">
            <w:pPr>
              <w:pStyle w:val="tbltext"/>
            </w:pPr>
            <w:r>
              <w:t>Due to inadequate record-keeping systems, administrators find it difficult to establish client positions</w:t>
            </w:r>
            <w:r w:rsidR="00041E5B">
              <w:t>.</w:t>
            </w:r>
          </w:p>
        </w:tc>
        <w:tc>
          <w:tcPr>
            <w:tcW w:w="2694" w:type="dxa"/>
          </w:tcPr>
          <w:p w:rsidR="00C045BB" w:rsidRDefault="00C045BB" w:rsidP="00E55220">
            <w:pPr>
              <w:pStyle w:val="tbltext"/>
            </w:pPr>
            <w:r>
              <w:t>Delays arise in closing out client positions and returning money to clients</w:t>
            </w:r>
            <w:r w:rsidR="00041E5B">
              <w:t>.</w:t>
            </w:r>
            <w:r>
              <w:t xml:space="preserve"> </w:t>
            </w:r>
          </w:p>
        </w:tc>
        <w:tc>
          <w:tcPr>
            <w:tcW w:w="3685" w:type="dxa"/>
          </w:tcPr>
          <w:p w:rsidR="00C045BB" w:rsidRDefault="00C045BB" w:rsidP="00E55220">
            <w:pPr>
              <w:pStyle w:val="tbltext"/>
            </w:pPr>
            <w:r>
              <w:t>Adequate resources to support strong record-keeping systems may facilitate that clients</w:t>
            </w:r>
            <w:r w:rsidR="00927BB5">
              <w:t>’</w:t>
            </w:r>
            <w:r>
              <w:t xml:space="preserve"> positions may be ascertained promptly and closed out expeditiously</w:t>
            </w:r>
            <w:r w:rsidR="00041E5B">
              <w:t>.</w:t>
            </w:r>
          </w:p>
        </w:tc>
      </w:tr>
      <w:tr w:rsidR="00C045BB" w:rsidRPr="000540E1" w:rsidTr="00041E5B">
        <w:trPr>
          <w:cantSplit/>
        </w:trPr>
        <w:tc>
          <w:tcPr>
            <w:tcW w:w="238" w:type="dxa"/>
          </w:tcPr>
          <w:p w:rsidR="00C045BB" w:rsidRDefault="009E0DC8" w:rsidP="00E55220">
            <w:pPr>
              <w:pStyle w:val="tbltext"/>
            </w:pPr>
            <w:r>
              <w:t>4</w:t>
            </w:r>
          </w:p>
        </w:tc>
        <w:tc>
          <w:tcPr>
            <w:tcW w:w="2597" w:type="dxa"/>
          </w:tcPr>
          <w:p w:rsidR="00C045BB" w:rsidRDefault="00C045BB" w:rsidP="00E55220">
            <w:pPr>
              <w:pStyle w:val="tbltext"/>
            </w:pPr>
            <w:r>
              <w:t>Deficiency in client funds is crystallised as issuer business ceases</w:t>
            </w:r>
            <w:r w:rsidR="00041E5B">
              <w:t>.</w:t>
            </w:r>
          </w:p>
        </w:tc>
        <w:tc>
          <w:tcPr>
            <w:tcW w:w="2694" w:type="dxa"/>
          </w:tcPr>
          <w:p w:rsidR="00C045BB" w:rsidRDefault="00C045BB" w:rsidP="00E55220">
            <w:pPr>
              <w:pStyle w:val="tbltext"/>
            </w:pPr>
            <w:r>
              <w:t>Clients do not receive all their money back</w:t>
            </w:r>
            <w:r w:rsidR="00041E5B">
              <w:t>.</w:t>
            </w:r>
          </w:p>
        </w:tc>
        <w:tc>
          <w:tcPr>
            <w:tcW w:w="3685" w:type="dxa"/>
          </w:tcPr>
          <w:p w:rsidR="00C045BB" w:rsidRDefault="00C045BB" w:rsidP="00E55220">
            <w:pPr>
              <w:pStyle w:val="tbltext"/>
            </w:pPr>
            <w:r>
              <w:t>Client deficiency may have been avoided (see above)</w:t>
            </w:r>
            <w:r w:rsidR="00041E5B">
              <w:t>.</w:t>
            </w:r>
          </w:p>
        </w:tc>
      </w:tr>
      <w:tr w:rsidR="00C045BB" w:rsidRPr="000540E1" w:rsidTr="00041E5B">
        <w:trPr>
          <w:cantSplit/>
        </w:trPr>
        <w:tc>
          <w:tcPr>
            <w:tcW w:w="238" w:type="dxa"/>
          </w:tcPr>
          <w:p w:rsidR="00C045BB" w:rsidRDefault="009E0DC8" w:rsidP="00E55220">
            <w:pPr>
              <w:pStyle w:val="tbltext"/>
            </w:pPr>
            <w:r>
              <w:t>5</w:t>
            </w:r>
          </w:p>
        </w:tc>
        <w:tc>
          <w:tcPr>
            <w:tcW w:w="2597" w:type="dxa"/>
          </w:tcPr>
          <w:p w:rsidR="00C045BB" w:rsidRDefault="00C045BB" w:rsidP="00E55220">
            <w:pPr>
              <w:pStyle w:val="tbltext"/>
            </w:pPr>
            <w:r>
              <w:t>Negative media coverage leads clients to exit the market</w:t>
            </w:r>
            <w:r w:rsidR="00041E5B">
              <w:t>.</w:t>
            </w:r>
          </w:p>
        </w:tc>
        <w:tc>
          <w:tcPr>
            <w:tcW w:w="2694" w:type="dxa"/>
          </w:tcPr>
          <w:p w:rsidR="00C045BB" w:rsidRDefault="00041E5B" w:rsidP="00041E5B">
            <w:pPr>
              <w:pStyle w:val="tbltext"/>
            </w:pPr>
            <w:r>
              <w:t>Industry faces c</w:t>
            </w:r>
            <w:r w:rsidR="00C045BB">
              <w:t>ost</w:t>
            </w:r>
            <w:r>
              <w:t>s</w:t>
            </w:r>
            <w:r w:rsidR="00C045BB">
              <w:t xml:space="preserve"> in terms of revenue and sector reputation</w:t>
            </w:r>
            <w:r>
              <w:t>.</w:t>
            </w:r>
          </w:p>
        </w:tc>
        <w:tc>
          <w:tcPr>
            <w:tcW w:w="3685" w:type="dxa"/>
          </w:tcPr>
          <w:p w:rsidR="00C045BB" w:rsidRDefault="00041E5B" w:rsidP="00F61559">
            <w:pPr>
              <w:pStyle w:val="tbltext"/>
            </w:pPr>
            <w:r>
              <w:t xml:space="preserve">There </w:t>
            </w:r>
            <w:r w:rsidR="00F61559">
              <w:t xml:space="preserve">is </w:t>
            </w:r>
            <w:r>
              <w:t>p</w:t>
            </w:r>
            <w:r w:rsidR="00C045BB">
              <w:t>otentially less negative coverage due to minimised deficiency and more orderly process of administration</w:t>
            </w:r>
            <w:r>
              <w:t>.</w:t>
            </w:r>
          </w:p>
        </w:tc>
      </w:tr>
      <w:tr w:rsidR="00C045BB" w:rsidRPr="000540E1" w:rsidTr="00041E5B">
        <w:trPr>
          <w:cantSplit/>
        </w:trPr>
        <w:tc>
          <w:tcPr>
            <w:tcW w:w="238" w:type="dxa"/>
          </w:tcPr>
          <w:p w:rsidR="00C045BB" w:rsidRDefault="009E0DC8" w:rsidP="00E55220">
            <w:pPr>
              <w:pStyle w:val="tbltext"/>
            </w:pPr>
            <w:r>
              <w:t>6</w:t>
            </w:r>
          </w:p>
        </w:tc>
        <w:tc>
          <w:tcPr>
            <w:tcW w:w="2597" w:type="dxa"/>
          </w:tcPr>
          <w:p w:rsidR="00C045BB" w:rsidRDefault="00C045BB" w:rsidP="00041E5B">
            <w:pPr>
              <w:pStyle w:val="tbltext"/>
            </w:pPr>
            <w:r>
              <w:t xml:space="preserve">Client money </w:t>
            </w:r>
            <w:r w:rsidR="00F61559">
              <w:t xml:space="preserve">is </w:t>
            </w:r>
            <w:r>
              <w:t>used to fund administration as issuer has insufficient assets of its own</w:t>
            </w:r>
            <w:r w:rsidR="00041E5B">
              <w:t>.</w:t>
            </w:r>
          </w:p>
        </w:tc>
        <w:tc>
          <w:tcPr>
            <w:tcW w:w="2694" w:type="dxa"/>
          </w:tcPr>
          <w:p w:rsidR="00ED29D5" w:rsidRDefault="00041E5B" w:rsidP="00041E5B">
            <w:pPr>
              <w:pStyle w:val="tbltext"/>
            </w:pPr>
            <w:r>
              <w:t>Clients suffer f</w:t>
            </w:r>
            <w:r w:rsidR="00C045BB">
              <w:t xml:space="preserve">urther losses </w:t>
            </w:r>
            <w:r>
              <w:t xml:space="preserve">and </w:t>
            </w:r>
            <w:r w:rsidR="00C045BB">
              <w:t xml:space="preserve">conduct may not be </w:t>
            </w:r>
            <w:r w:rsidR="00E91471">
              <w:t>investigated by administrators</w:t>
            </w:r>
            <w:r>
              <w:t xml:space="preserve">. </w:t>
            </w:r>
          </w:p>
        </w:tc>
        <w:tc>
          <w:tcPr>
            <w:tcW w:w="3685" w:type="dxa"/>
          </w:tcPr>
          <w:p w:rsidR="00C045BB" w:rsidRDefault="00C045BB" w:rsidP="00E55220">
            <w:pPr>
              <w:pStyle w:val="tbltext"/>
            </w:pPr>
            <w:r>
              <w:t xml:space="preserve">Issuer has </w:t>
            </w:r>
            <w:r w:rsidR="00041E5B">
              <w:t>own assets to fund winding down</w:t>
            </w:r>
            <w:r w:rsidR="005B28E9">
              <w:t xml:space="preserve"> and</w:t>
            </w:r>
            <w:r>
              <w:t xml:space="preserve"> resources </w:t>
            </w:r>
            <w:r w:rsidR="005B28E9">
              <w:t xml:space="preserve">are </w:t>
            </w:r>
            <w:r>
              <w:t>available to investigate suspect conduct</w:t>
            </w:r>
            <w:r w:rsidR="00041E5B">
              <w:t>.</w:t>
            </w:r>
          </w:p>
        </w:tc>
      </w:tr>
    </w:tbl>
    <w:p w:rsidR="00163124" w:rsidRDefault="00F0074B" w:rsidP="00142571">
      <w:pPr>
        <w:pStyle w:val="Heading3"/>
      </w:pPr>
      <w:r>
        <w:t>Costs</w:t>
      </w:r>
      <w:r w:rsidR="00142571">
        <w:t xml:space="preserve"> of Option 1</w:t>
      </w:r>
    </w:p>
    <w:p w:rsidR="00FE2B75" w:rsidRDefault="00FE2B75" w:rsidP="00FE2B75">
      <w:pPr>
        <w:pStyle w:val="Heading4"/>
      </w:pPr>
      <w:r>
        <w:t xml:space="preserve">Methodology </w:t>
      </w:r>
      <w:r w:rsidR="00C07EC5">
        <w:t>for</w:t>
      </w:r>
      <w:r>
        <w:t xml:space="preserve"> assessing costs</w:t>
      </w:r>
    </w:p>
    <w:p w:rsidR="00C07EC5" w:rsidRDefault="00FE2B75" w:rsidP="0037139F">
      <w:pPr>
        <w:pStyle w:val="BodyText"/>
        <w:ind w:right="-284"/>
      </w:pPr>
      <w:r>
        <w:t xml:space="preserve">Based on our understanding of the </w:t>
      </w:r>
      <w:r w:rsidR="005955FD">
        <w:t>retail</w:t>
      </w:r>
      <w:r w:rsidR="005955FD" w:rsidRPr="005955FD">
        <w:t xml:space="preserve"> derivative</w:t>
      </w:r>
      <w:r>
        <w:t xml:space="preserve"> sect</w:t>
      </w:r>
      <w:r w:rsidR="00E43CC6">
        <w:t xml:space="preserve">or, there are currently about </w:t>
      </w:r>
      <w:r w:rsidR="00A902F0">
        <w:t>29</w:t>
      </w:r>
      <w:r w:rsidR="00922859">
        <w:t xml:space="preserve"> active </w:t>
      </w:r>
      <w:r w:rsidR="005955FD" w:rsidRPr="005955FD">
        <w:t>retail OTC derivative</w:t>
      </w:r>
      <w:r w:rsidR="005955FD">
        <w:t xml:space="preserve"> i</w:t>
      </w:r>
      <w:r>
        <w:t>ssuers</w:t>
      </w:r>
      <w:r w:rsidR="00E43CC6">
        <w:t xml:space="preserve"> to whom the proposed financial requirements would apply</w:t>
      </w:r>
      <w:r>
        <w:t>.</w:t>
      </w:r>
      <w:r w:rsidR="00E43CC6">
        <w:t xml:space="preserve"> (However, these </w:t>
      </w:r>
      <w:r w:rsidR="005955FD">
        <w:t>i</w:t>
      </w:r>
      <w:r w:rsidR="00E43CC6">
        <w:t>ssuers may also have a number of authorised representatives and introducing brokers.)</w:t>
      </w:r>
      <w:r w:rsidR="00922859">
        <w:t xml:space="preserve"> </w:t>
      </w:r>
      <w:r w:rsidR="00A902F0">
        <w:t xml:space="preserve">There are another four </w:t>
      </w:r>
      <w:r w:rsidR="005955FD">
        <w:t>i</w:t>
      </w:r>
      <w:r w:rsidR="00A902F0">
        <w:t>ssuers that would not be subject to the proposed financial requirements as they are APRA-regulated or subject to the capital rules of a licensed market</w:t>
      </w:r>
      <w:r w:rsidR="00C07EC5">
        <w:t>.</w:t>
      </w:r>
      <w:r w:rsidR="00A902F0">
        <w:t xml:space="preserve"> </w:t>
      </w:r>
    </w:p>
    <w:p w:rsidR="00FE2B75" w:rsidRDefault="00922859" w:rsidP="00FE2B75">
      <w:pPr>
        <w:pStyle w:val="BodyText"/>
      </w:pPr>
      <w:r>
        <w:t>We define</w:t>
      </w:r>
      <w:r w:rsidR="005955FD">
        <w:t xml:space="preserve"> </w:t>
      </w:r>
      <w:r w:rsidR="005955FD" w:rsidRPr="005955FD">
        <w:t>retail OTC derivative</w:t>
      </w:r>
      <w:r>
        <w:t xml:space="preserve"> </w:t>
      </w:r>
      <w:r w:rsidR="005955FD">
        <w:t>i</w:t>
      </w:r>
      <w:r>
        <w:t>ssuers</w:t>
      </w:r>
      <w:r w:rsidR="00FE2B75">
        <w:t xml:space="preserve"> as AFS licensees </w:t>
      </w:r>
      <w:r w:rsidR="00EE4ED1">
        <w:t>that</w:t>
      </w:r>
      <w:r w:rsidR="00FE2B75">
        <w:t>:</w:t>
      </w:r>
    </w:p>
    <w:p w:rsidR="00FE2B75" w:rsidRDefault="00922859" w:rsidP="0037139F">
      <w:pPr>
        <w:pStyle w:val="subparaa"/>
        <w:spacing w:before="80"/>
      </w:pPr>
      <w:r>
        <w:t>hold an AFS l</w:t>
      </w:r>
      <w:r w:rsidR="00FE2B75">
        <w:t>icence that authorises them to make a market in derivatives to retail clients; and</w:t>
      </w:r>
    </w:p>
    <w:p w:rsidR="00FE2B75" w:rsidRDefault="00FE2B75" w:rsidP="0037139F">
      <w:pPr>
        <w:pStyle w:val="subparaa"/>
        <w:spacing w:before="80"/>
      </w:pPr>
      <w:r>
        <w:t xml:space="preserve">actively offer </w:t>
      </w:r>
      <w:r w:rsidR="005955FD" w:rsidRPr="005955FD">
        <w:t>retail OTC derivatives</w:t>
      </w:r>
      <w:r w:rsidR="006A21D6">
        <w:t xml:space="preserve"> </w:t>
      </w:r>
      <w:r>
        <w:t>(</w:t>
      </w:r>
      <w:r w:rsidR="005955FD">
        <w:t xml:space="preserve">such as CFDs </w:t>
      </w:r>
      <w:r>
        <w:t>or margin foreign exchange) to retail clients.</w:t>
      </w:r>
    </w:p>
    <w:p w:rsidR="00922859" w:rsidRDefault="00922859" w:rsidP="00FE2B75">
      <w:pPr>
        <w:pStyle w:val="BodyText"/>
      </w:pPr>
      <w:r>
        <w:t xml:space="preserve">While we can easily identify the AFS licensees that hold the relevant authorisations, it is more difficult to identify active </w:t>
      </w:r>
      <w:r w:rsidR="005955FD">
        <w:t>i</w:t>
      </w:r>
      <w:r>
        <w:t>ssuers. This is because:</w:t>
      </w:r>
    </w:p>
    <w:p w:rsidR="00922859" w:rsidRDefault="00922859" w:rsidP="0037139F">
      <w:pPr>
        <w:pStyle w:val="subparaa"/>
        <w:spacing w:before="80"/>
      </w:pPr>
      <w:r>
        <w:t>licensees are not required to use authorisations on their AFS licences, therefore these authorisations may be inactive; and</w:t>
      </w:r>
    </w:p>
    <w:p w:rsidR="000B01CD" w:rsidRDefault="00922859" w:rsidP="0037139F">
      <w:pPr>
        <w:pStyle w:val="subparaa"/>
        <w:spacing w:before="80"/>
      </w:pPr>
      <w:r>
        <w:t xml:space="preserve">some licensees may use the relevant authorisations to provide services other than </w:t>
      </w:r>
      <w:r w:rsidR="005955FD" w:rsidRPr="005955FD">
        <w:t>retail OTC derivative</w:t>
      </w:r>
      <w:r>
        <w:t xml:space="preserve"> trading, such as providing risk management products to businesses. </w:t>
      </w:r>
    </w:p>
    <w:p w:rsidR="000B01CD" w:rsidRDefault="000B01CD" w:rsidP="00D7356A">
      <w:pPr>
        <w:pStyle w:val="BodyText"/>
        <w:ind w:right="-284"/>
      </w:pPr>
      <w:r>
        <w:t xml:space="preserve">Therefore, we rely on our own market intelligence, advertising and media reporting to estimate the </w:t>
      </w:r>
      <w:r w:rsidR="00927BB5">
        <w:t>‘</w:t>
      </w:r>
      <w:r>
        <w:t>active universe</w:t>
      </w:r>
      <w:r w:rsidR="00927BB5">
        <w:t>’</w:t>
      </w:r>
      <w:r>
        <w:t xml:space="preserve"> of </w:t>
      </w:r>
      <w:r w:rsidR="00F315A5" w:rsidRPr="00F315A5">
        <w:t>retail OTC derivative</w:t>
      </w:r>
      <w:r>
        <w:t xml:space="preserve"> </w:t>
      </w:r>
      <w:r w:rsidR="00F315A5">
        <w:t>i</w:t>
      </w:r>
      <w:r>
        <w:t xml:space="preserve">ssuers. As such, it is possible that we have not identified all active </w:t>
      </w:r>
      <w:r w:rsidR="00F315A5">
        <w:t>i</w:t>
      </w:r>
      <w:r>
        <w:t xml:space="preserve">ssuers, especially </w:t>
      </w:r>
      <w:r>
        <w:lastRenderedPageBreak/>
        <w:t xml:space="preserve">newer and smaller </w:t>
      </w:r>
      <w:r w:rsidR="00EE4ED1">
        <w:t>i</w:t>
      </w:r>
      <w:r>
        <w:t>ssuers.</w:t>
      </w:r>
      <w:r w:rsidR="00B111C4">
        <w:t xml:space="preserve"> We also note that the industry changes</w:t>
      </w:r>
      <w:r w:rsidR="00FA1CD0">
        <w:t xml:space="preserve"> </w:t>
      </w:r>
      <w:r w:rsidR="00EE4ED1">
        <w:t>rapidly</w:t>
      </w:r>
      <w:r w:rsidR="00B111C4">
        <w:t xml:space="preserve">. For example, since the period of our survey, a major </w:t>
      </w:r>
      <w:r w:rsidR="00EE4ED1">
        <w:t>i</w:t>
      </w:r>
      <w:r w:rsidR="00B111C4">
        <w:t xml:space="preserve">ssuer, MF Global Australia Limited, has exited the market due to the collapse of its parent. </w:t>
      </w:r>
    </w:p>
    <w:p w:rsidR="00A07062" w:rsidRDefault="00FE2B75" w:rsidP="00FE2B75">
      <w:pPr>
        <w:pStyle w:val="BodyText"/>
      </w:pPr>
      <w:bookmarkStart w:id="31" w:name="_ASICRef709"/>
      <w:r>
        <w:t xml:space="preserve">In August 2010, after </w:t>
      </w:r>
      <w:r w:rsidR="00922859">
        <w:t>receiving f</w:t>
      </w:r>
      <w:r w:rsidR="00F41179">
        <w:t>our</w:t>
      </w:r>
      <w:r w:rsidR="00922859">
        <w:t xml:space="preserve"> submissions to Consultation Paper </w:t>
      </w:r>
      <w:r w:rsidR="00D07241">
        <w:t>156</w:t>
      </w:r>
      <w:r w:rsidR="00922859" w:rsidRPr="000B01CD">
        <w:rPr>
          <w:i/>
        </w:rPr>
        <w:t xml:space="preserve"> Retail OTC derivative issuers: Financial requirement</w:t>
      </w:r>
      <w:r w:rsidR="00922859" w:rsidRPr="00922859">
        <w:rPr>
          <w:i/>
        </w:rPr>
        <w:t>s</w:t>
      </w:r>
      <w:r w:rsidR="00922859">
        <w:t xml:space="preserve"> </w:t>
      </w:r>
      <w:r w:rsidR="00C045BB">
        <w:t>(</w:t>
      </w:r>
      <w:r w:rsidR="00C045BB" w:rsidRPr="00C045BB">
        <w:t>CP 156</w:t>
      </w:r>
      <w:r w:rsidR="00C045BB">
        <w:t>)</w:t>
      </w:r>
      <w:r w:rsidR="00C045BB" w:rsidRPr="00C045BB">
        <w:rPr>
          <w:i/>
        </w:rPr>
        <w:t xml:space="preserve"> </w:t>
      </w:r>
      <w:r w:rsidR="00922859">
        <w:t>(</w:t>
      </w:r>
      <w:r w:rsidR="000B01CD">
        <w:t xml:space="preserve">see </w:t>
      </w:r>
      <w:r w:rsidR="00C07EC5">
        <w:t>Section</w:t>
      </w:r>
      <w:r w:rsidR="002F2034">
        <w:t> </w:t>
      </w:r>
      <w:r w:rsidR="000B01CD">
        <w:t>D</w:t>
      </w:r>
      <w:r w:rsidR="000B01CD" w:rsidRPr="000B01CD">
        <w:rPr>
          <w:i/>
        </w:rPr>
        <w:t xml:space="preserve"> </w:t>
      </w:r>
      <w:r w:rsidR="00C07EC5">
        <w:t>of this RIS</w:t>
      </w:r>
      <w:r w:rsidR="000B01CD">
        <w:t>)</w:t>
      </w:r>
      <w:r w:rsidR="00C07EC5">
        <w:t>,</w:t>
      </w:r>
      <w:r w:rsidR="00D07241">
        <w:t xml:space="preserve"> we sent letters to</w:t>
      </w:r>
      <w:r w:rsidR="000B01CD">
        <w:t xml:space="preserve"> 2</w:t>
      </w:r>
      <w:r w:rsidR="00B111C4">
        <w:t>9</w:t>
      </w:r>
      <w:r>
        <w:t xml:space="preserve"> known </w:t>
      </w:r>
      <w:r w:rsidR="00F315A5" w:rsidRPr="00F315A5">
        <w:t>retail OTC derivative</w:t>
      </w:r>
      <w:r>
        <w:t xml:space="preserve"> </w:t>
      </w:r>
      <w:r w:rsidR="00F315A5">
        <w:t>i</w:t>
      </w:r>
      <w:r>
        <w:t>ssuers</w:t>
      </w:r>
      <w:r w:rsidR="00EE4ED1">
        <w:t xml:space="preserve"> that </w:t>
      </w:r>
      <w:r w:rsidR="009C2DE0">
        <w:t xml:space="preserve">would be affected by the financial requirements, </w:t>
      </w:r>
      <w:r>
        <w:t>asking them to provide information to us, on a voluntary basis, abou</w:t>
      </w:r>
      <w:r w:rsidR="00A07062">
        <w:t>t the impact</w:t>
      </w:r>
      <w:r>
        <w:t xml:space="preserve"> of</w:t>
      </w:r>
      <w:r w:rsidR="00A07062">
        <w:t xml:space="preserve"> the proposed requirements on their business.</w:t>
      </w:r>
      <w:bookmarkEnd w:id="31"/>
    </w:p>
    <w:p w:rsidR="00FE2B75" w:rsidRDefault="00DC2C53" w:rsidP="00DC2C53">
      <w:pPr>
        <w:pStyle w:val="BodyText"/>
      </w:pPr>
      <w:bookmarkStart w:id="32" w:name="_ASICRef45"/>
      <w:r>
        <w:t xml:space="preserve">In total, 16 </w:t>
      </w:r>
      <w:r w:rsidR="00F315A5">
        <w:t>i</w:t>
      </w:r>
      <w:r>
        <w:t xml:space="preserve">ssuers responded. It is these responses that form the basis of our assessment of the costs of the proposed </w:t>
      </w:r>
      <w:r w:rsidR="009E70F3">
        <w:t>requirements</w:t>
      </w:r>
      <w:r>
        <w:t>. It is important to not</w:t>
      </w:r>
      <w:r w:rsidR="000B01CD">
        <w:t xml:space="preserve">e that, while </w:t>
      </w:r>
      <w:r w:rsidR="00667030">
        <w:t xml:space="preserve">close to </w:t>
      </w:r>
      <w:r>
        <w:t>half</w:t>
      </w:r>
      <w:r w:rsidR="00D07241">
        <w:t xml:space="preserve"> of</w:t>
      </w:r>
      <w:r>
        <w:t xml:space="preserve"> the known</w:t>
      </w:r>
      <w:r w:rsidR="00F315A5">
        <w:t xml:space="preserve"> </w:t>
      </w:r>
      <w:r w:rsidR="00F315A5" w:rsidRPr="00F315A5">
        <w:t>retail OTC derivative</w:t>
      </w:r>
      <w:r>
        <w:t xml:space="preserve"> </w:t>
      </w:r>
      <w:r w:rsidR="00F315A5">
        <w:t>i</w:t>
      </w:r>
      <w:r>
        <w:t>ssuers responded, the</w:t>
      </w:r>
      <w:r w:rsidR="007A164F">
        <w:t>se</w:t>
      </w:r>
      <w:r>
        <w:t xml:space="preserve"> </w:t>
      </w:r>
      <w:r w:rsidR="00F315A5">
        <w:t>i</w:t>
      </w:r>
      <w:r>
        <w:t xml:space="preserve">ssuers </w:t>
      </w:r>
      <w:r w:rsidR="000B01CD">
        <w:t>control a large majority</w:t>
      </w:r>
      <w:r>
        <w:t xml:space="preserve"> of market share. Therefore, some aspects of the responses</w:t>
      </w:r>
      <w:r w:rsidR="007A164F">
        <w:t xml:space="preserve"> from these issuers</w:t>
      </w:r>
      <w:r>
        <w:t>, part</w:t>
      </w:r>
      <w:r w:rsidR="000B01CD">
        <w:t>icularly</w:t>
      </w:r>
      <w:r>
        <w:t xml:space="preserve"> those pertaining to scale, cannot simply be extrapolated </w:t>
      </w:r>
      <w:r w:rsidR="007A164F">
        <w:t>to other issuers.</w:t>
      </w:r>
      <w:r>
        <w:t xml:space="preserve"> For example, we expect that most </w:t>
      </w:r>
      <w:r w:rsidR="0037139F">
        <w:t xml:space="preserve">of the </w:t>
      </w:r>
      <w:r w:rsidR="00F315A5">
        <w:t>i</w:t>
      </w:r>
      <w:r>
        <w:t xml:space="preserve">ssuers that did not respond would </w:t>
      </w:r>
      <w:r w:rsidR="00DB0FDB">
        <w:t xml:space="preserve">be required to have NTA under the proposed </w:t>
      </w:r>
      <w:r>
        <w:t>minimum</w:t>
      </w:r>
      <w:r w:rsidR="00D07241">
        <w:t xml:space="preserve"> amount of</w:t>
      </w:r>
      <w:r>
        <w:t xml:space="preserve"> $1,000,000.</w:t>
      </w:r>
      <w:r w:rsidR="000D5C64">
        <w:t xml:space="preserve"> </w:t>
      </w:r>
      <w:bookmarkEnd w:id="32"/>
    </w:p>
    <w:p w:rsidR="00ED29D5" w:rsidRDefault="00DC2C53" w:rsidP="00ED29D5">
      <w:pPr>
        <w:pStyle w:val="Heading4"/>
        <w:keepLines/>
      </w:pPr>
      <w:r>
        <w:t xml:space="preserve">Summary </w:t>
      </w:r>
      <w:r w:rsidR="00455126">
        <w:t xml:space="preserve">of </w:t>
      </w:r>
      <w:r>
        <w:t xml:space="preserve">costs </w:t>
      </w:r>
      <w:r w:rsidR="00455126">
        <w:t>under Option 1</w:t>
      </w:r>
    </w:p>
    <w:p w:rsidR="00ED29D5" w:rsidRDefault="00490178" w:rsidP="00ED29D5">
      <w:pPr>
        <w:pStyle w:val="BodyText"/>
        <w:keepNext/>
        <w:keepLines/>
      </w:pPr>
      <w:r>
        <w:t>The tables below set</w:t>
      </w:r>
      <w:r w:rsidR="00654699">
        <w:t xml:space="preserve"> out some of the possible costs of Option</w:t>
      </w:r>
      <w:r>
        <w:t xml:space="preserve"> </w:t>
      </w:r>
      <w:r w:rsidR="00654699">
        <w:t>1.</w:t>
      </w:r>
    </w:p>
    <w:p w:rsidR="009E0DC8" w:rsidRDefault="009E0DC8" w:rsidP="00E55220">
      <w:pPr>
        <w:pStyle w:val="tabletitlefullwidth"/>
      </w:pPr>
      <w:r>
        <w:t xml:space="preserve">Table </w:t>
      </w:r>
      <w:r w:rsidR="00543607">
        <w:fldChar w:fldCharType="begin"/>
      </w:r>
      <w:r>
        <w:instrText xml:space="preserve"> SEQ Table \* ARABIC </w:instrText>
      </w:r>
      <w:r w:rsidR="00543607">
        <w:fldChar w:fldCharType="separate"/>
      </w:r>
      <w:r w:rsidR="00337A8C">
        <w:rPr>
          <w:noProof/>
        </w:rPr>
        <w:t>4</w:t>
      </w:r>
      <w:r w:rsidR="00543607">
        <w:fldChar w:fldCharType="end"/>
      </w:r>
      <w:r>
        <w:t>:</w:t>
      </w:r>
      <w:r>
        <w:tab/>
      </w:r>
      <w:r w:rsidR="00455126">
        <w:t>Summary of c</w:t>
      </w:r>
      <w:r w:rsidR="00E55220" w:rsidRPr="00E55220">
        <w:t xml:space="preserve">osts </w:t>
      </w:r>
      <w:r w:rsidR="00455126">
        <w:t>under</w:t>
      </w:r>
      <w:r w:rsidR="00E55220" w:rsidRPr="00E55220">
        <w:t xml:space="preserve"> Option 1</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1638"/>
        <w:gridCol w:w="7434"/>
      </w:tblGrid>
      <w:tr w:rsidR="00E55220" w:rsidRPr="000540E1" w:rsidTr="00C3360C">
        <w:trPr>
          <w:cantSplit/>
          <w:tblHeader/>
        </w:trPr>
        <w:tc>
          <w:tcPr>
            <w:tcW w:w="1638" w:type="dxa"/>
            <w:shd w:val="clear" w:color="auto" w:fill="C2E3FA"/>
          </w:tcPr>
          <w:p w:rsidR="00E55220" w:rsidRPr="000540E1" w:rsidRDefault="00E55220" w:rsidP="00E55220">
            <w:pPr>
              <w:pStyle w:val="tablehead"/>
            </w:pPr>
            <w:r>
              <w:t>Stakeholder</w:t>
            </w:r>
          </w:p>
        </w:tc>
        <w:tc>
          <w:tcPr>
            <w:tcW w:w="7434" w:type="dxa"/>
            <w:shd w:val="clear" w:color="auto" w:fill="C2E3FA"/>
          </w:tcPr>
          <w:p w:rsidR="00E55220" w:rsidRPr="000540E1" w:rsidRDefault="00E55220" w:rsidP="00E55220">
            <w:pPr>
              <w:pStyle w:val="tablehead"/>
            </w:pPr>
            <w:r>
              <w:t>Costs of Option 1</w:t>
            </w:r>
          </w:p>
        </w:tc>
      </w:tr>
      <w:tr w:rsidR="00E55220" w:rsidRPr="000540E1" w:rsidTr="00C3360C">
        <w:trPr>
          <w:cantSplit/>
        </w:trPr>
        <w:tc>
          <w:tcPr>
            <w:tcW w:w="1638" w:type="dxa"/>
          </w:tcPr>
          <w:p w:rsidR="00E55220" w:rsidRPr="000540E1" w:rsidRDefault="00E55220" w:rsidP="00E55220">
            <w:pPr>
              <w:pStyle w:val="tbltext"/>
            </w:pPr>
            <w:r>
              <w:t>Investors</w:t>
            </w:r>
          </w:p>
        </w:tc>
        <w:tc>
          <w:tcPr>
            <w:tcW w:w="7434" w:type="dxa"/>
          </w:tcPr>
          <w:p w:rsidR="00ED29D5" w:rsidRPr="00ED29D5" w:rsidRDefault="00ED29D5" w:rsidP="00ED29D5">
            <w:pPr>
              <w:pStyle w:val="tbltext"/>
              <w:ind w:right="-51"/>
              <w:rPr>
                <w:spacing w:val="-2"/>
              </w:rPr>
            </w:pPr>
            <w:r w:rsidRPr="00ED29D5">
              <w:rPr>
                <w:spacing w:val="-2"/>
              </w:rPr>
              <w:t>Issuers may pass on the costs of complying with the new financial requirements to investors.</w:t>
            </w:r>
          </w:p>
        </w:tc>
      </w:tr>
      <w:tr w:rsidR="00E55220" w:rsidRPr="000540E1" w:rsidTr="00C3360C">
        <w:trPr>
          <w:cantSplit/>
        </w:trPr>
        <w:tc>
          <w:tcPr>
            <w:tcW w:w="1638" w:type="dxa"/>
          </w:tcPr>
          <w:p w:rsidR="00E55220" w:rsidRPr="000540E1" w:rsidRDefault="00E55220" w:rsidP="00E55220">
            <w:pPr>
              <w:pStyle w:val="tbltext"/>
            </w:pPr>
            <w:r>
              <w:t>Issuers</w:t>
            </w:r>
          </w:p>
        </w:tc>
        <w:tc>
          <w:tcPr>
            <w:tcW w:w="7434" w:type="dxa"/>
          </w:tcPr>
          <w:p w:rsidR="00E55220" w:rsidRDefault="00E55220" w:rsidP="00E55220">
            <w:pPr>
              <w:pStyle w:val="tablebullet"/>
              <w:numPr>
                <w:ilvl w:val="0"/>
                <w:numId w:val="0"/>
              </w:numPr>
              <w:ind w:left="1"/>
            </w:pPr>
            <w:r>
              <w:t>There may be an increase in compliance, administrative and capital costs associated with:</w:t>
            </w:r>
          </w:p>
          <w:p w:rsidR="00102A61" w:rsidRDefault="00E55220">
            <w:pPr>
              <w:pStyle w:val="tablebullet"/>
            </w:pPr>
            <w:r>
              <w:t>the increased opportunity costs of holding additional capital and holding liquid assets;</w:t>
            </w:r>
          </w:p>
          <w:p w:rsidR="00102A61" w:rsidRDefault="00E55220">
            <w:pPr>
              <w:pStyle w:val="tablebullet"/>
            </w:pPr>
            <w:r>
              <w:t>cash flow forecasts and auditing;</w:t>
            </w:r>
          </w:p>
          <w:p w:rsidR="00102A61" w:rsidRDefault="00E55220">
            <w:pPr>
              <w:pStyle w:val="tablebullet"/>
            </w:pPr>
            <w:r>
              <w:t>raising new capital;</w:t>
            </w:r>
          </w:p>
          <w:p w:rsidR="00102A61" w:rsidRDefault="00E55220">
            <w:pPr>
              <w:pStyle w:val="tablebullet"/>
            </w:pPr>
            <w:r>
              <w:t>restructuring and/or winding-up; and</w:t>
            </w:r>
          </w:p>
          <w:p w:rsidR="00ED29D5" w:rsidRDefault="00E55220" w:rsidP="00ED29D5">
            <w:pPr>
              <w:pStyle w:val="tablebullet"/>
            </w:pPr>
            <w:r>
              <w:t>incremental costs of collating and providing Form FS70 information.</w:t>
            </w:r>
          </w:p>
        </w:tc>
      </w:tr>
      <w:tr w:rsidR="00E55220" w:rsidRPr="000540E1" w:rsidTr="00C3360C">
        <w:trPr>
          <w:cantSplit/>
        </w:trPr>
        <w:tc>
          <w:tcPr>
            <w:tcW w:w="1638" w:type="dxa"/>
          </w:tcPr>
          <w:p w:rsidR="00E55220" w:rsidRPr="000540E1" w:rsidRDefault="00E55220" w:rsidP="00E55220">
            <w:pPr>
              <w:pStyle w:val="tbltext"/>
            </w:pPr>
            <w:r>
              <w:t xml:space="preserve">The </w:t>
            </w:r>
            <w:r w:rsidRPr="00F315A5">
              <w:t>retail OTC derivative</w:t>
            </w:r>
            <w:r>
              <w:t xml:space="preserve"> sector</w:t>
            </w:r>
          </w:p>
        </w:tc>
        <w:tc>
          <w:tcPr>
            <w:tcW w:w="7434" w:type="dxa"/>
          </w:tcPr>
          <w:p w:rsidR="00E55220" w:rsidRDefault="00E55220" w:rsidP="00E55220">
            <w:pPr>
              <w:pStyle w:val="tbltext"/>
            </w:pPr>
            <w:r>
              <w:t>There may be a reduction in competition in the sector due to:</w:t>
            </w:r>
          </w:p>
          <w:p w:rsidR="00102A61" w:rsidRDefault="00E55220">
            <w:pPr>
              <w:pStyle w:val="tablebullet"/>
            </w:pPr>
            <w:r>
              <w:t>some issuers electing to exit the market; and</w:t>
            </w:r>
          </w:p>
          <w:p w:rsidR="00ED29D5" w:rsidRDefault="00E55220" w:rsidP="00ED29D5">
            <w:pPr>
              <w:pStyle w:val="tablebullet"/>
            </w:pPr>
            <w:r>
              <w:t>the discouragement of start-ups or new entrants by the new financial requirements.</w:t>
            </w:r>
          </w:p>
        </w:tc>
      </w:tr>
      <w:tr w:rsidR="00E55220" w:rsidRPr="000540E1" w:rsidTr="00C3360C">
        <w:trPr>
          <w:cantSplit/>
        </w:trPr>
        <w:tc>
          <w:tcPr>
            <w:tcW w:w="1638" w:type="dxa"/>
          </w:tcPr>
          <w:p w:rsidR="00E55220" w:rsidRDefault="00E55220" w:rsidP="00E55220">
            <w:pPr>
              <w:pStyle w:val="tbltext"/>
            </w:pPr>
            <w:r>
              <w:t>Government</w:t>
            </w:r>
          </w:p>
        </w:tc>
        <w:tc>
          <w:tcPr>
            <w:tcW w:w="7434" w:type="dxa"/>
          </w:tcPr>
          <w:p w:rsidR="00E55220" w:rsidRDefault="00E55220" w:rsidP="00E55220">
            <w:pPr>
              <w:pStyle w:val="tbltext"/>
            </w:pPr>
            <w:r>
              <w:t>There may be a minor additional cost in considering any relief application.</w:t>
            </w:r>
          </w:p>
        </w:tc>
      </w:tr>
    </w:tbl>
    <w:p w:rsidR="00555D36" w:rsidRDefault="00E55220" w:rsidP="00555D36">
      <w:pPr>
        <w:pStyle w:val="tabletitlefullwidth"/>
        <w:keepLines/>
      </w:pPr>
      <w:r>
        <w:lastRenderedPageBreak/>
        <w:t xml:space="preserve">Table </w:t>
      </w:r>
      <w:r w:rsidR="00543607">
        <w:fldChar w:fldCharType="begin"/>
      </w:r>
      <w:r>
        <w:instrText xml:space="preserve"> SEQ Table \* ARABIC </w:instrText>
      </w:r>
      <w:r w:rsidR="00543607">
        <w:fldChar w:fldCharType="separate"/>
      </w:r>
      <w:r w:rsidR="00337A8C">
        <w:rPr>
          <w:noProof/>
        </w:rPr>
        <w:t>5</w:t>
      </w:r>
      <w:r w:rsidR="00543607">
        <w:fldChar w:fldCharType="end"/>
      </w:r>
      <w:r>
        <w:t>:</w:t>
      </w:r>
      <w:r>
        <w:tab/>
      </w:r>
      <w:r w:rsidR="00455126">
        <w:t xml:space="preserve">Estimated </w:t>
      </w:r>
      <w:r w:rsidRPr="00E55220">
        <w:t>additional costs in dollars under Option 1</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7371"/>
        <w:gridCol w:w="1701"/>
      </w:tblGrid>
      <w:tr w:rsidR="00E55220" w:rsidRPr="000540E1" w:rsidTr="00E55220">
        <w:trPr>
          <w:cantSplit/>
          <w:tblHeader/>
        </w:trPr>
        <w:tc>
          <w:tcPr>
            <w:tcW w:w="7371" w:type="dxa"/>
            <w:shd w:val="clear" w:color="auto" w:fill="C2E3FA"/>
          </w:tcPr>
          <w:p w:rsidR="00ED29D5" w:rsidRDefault="00E55220" w:rsidP="00ED29D5">
            <w:pPr>
              <w:pStyle w:val="tablehead"/>
              <w:keepLines/>
            </w:pPr>
            <w:r>
              <w:t>Compliance area</w:t>
            </w:r>
          </w:p>
        </w:tc>
        <w:tc>
          <w:tcPr>
            <w:tcW w:w="1701" w:type="dxa"/>
            <w:shd w:val="clear" w:color="auto" w:fill="C2E3FA"/>
          </w:tcPr>
          <w:p w:rsidR="00ED29D5" w:rsidRDefault="00E55220" w:rsidP="00ED29D5">
            <w:pPr>
              <w:pStyle w:val="tablehead"/>
              <w:keepLines/>
            </w:pPr>
            <w:r w:rsidRPr="00E55220">
              <w:t>Additional costs</w:t>
            </w:r>
          </w:p>
        </w:tc>
      </w:tr>
      <w:tr w:rsidR="00E55220" w:rsidRPr="000540E1" w:rsidTr="00E55220">
        <w:trPr>
          <w:cantSplit/>
        </w:trPr>
        <w:tc>
          <w:tcPr>
            <w:tcW w:w="7371" w:type="dxa"/>
          </w:tcPr>
          <w:p w:rsidR="00ED29D5" w:rsidRDefault="00E55220" w:rsidP="00ED29D5">
            <w:pPr>
              <w:pStyle w:val="tbltext"/>
              <w:keepNext/>
              <w:keepLines/>
            </w:pPr>
            <w:r>
              <w:t>Estimated number of issuers currently active that would be affected by the proposals</w:t>
            </w:r>
          </w:p>
        </w:tc>
        <w:tc>
          <w:tcPr>
            <w:tcW w:w="1701" w:type="dxa"/>
          </w:tcPr>
          <w:p w:rsidR="00ED29D5" w:rsidRDefault="00E55220" w:rsidP="00ED29D5">
            <w:pPr>
              <w:pStyle w:val="tbltext"/>
              <w:keepNext/>
              <w:keepLines/>
            </w:pPr>
            <w:r>
              <w:t>29</w:t>
            </w:r>
          </w:p>
        </w:tc>
      </w:tr>
      <w:tr w:rsidR="00E55220" w:rsidRPr="000540E1" w:rsidTr="00E55220">
        <w:trPr>
          <w:cantSplit/>
        </w:trPr>
        <w:tc>
          <w:tcPr>
            <w:tcW w:w="7371" w:type="dxa"/>
          </w:tcPr>
          <w:p w:rsidR="00E55220" w:rsidRPr="000540E1" w:rsidRDefault="00E55220" w:rsidP="00E55220">
            <w:pPr>
              <w:pStyle w:val="tbltext"/>
            </w:pPr>
            <w:r>
              <w:t>Estimated costs of implementing 12-month cash flow projections</w:t>
            </w:r>
          </w:p>
        </w:tc>
        <w:tc>
          <w:tcPr>
            <w:tcW w:w="1701" w:type="dxa"/>
          </w:tcPr>
          <w:p w:rsidR="00E55220" w:rsidRPr="000540E1" w:rsidRDefault="00E55220" w:rsidP="00E55220">
            <w:pPr>
              <w:pStyle w:val="tbltext"/>
            </w:pPr>
            <w:r>
              <w:t>$5,000</w:t>
            </w:r>
            <w:r>
              <w:rPr>
                <w:rStyle w:val="FootnoteReference"/>
              </w:rPr>
              <w:footnoteReference w:id="7"/>
            </w:r>
            <w:r>
              <w:t xml:space="preserve"> per issuer</w:t>
            </w:r>
          </w:p>
        </w:tc>
      </w:tr>
      <w:tr w:rsidR="00E55220" w:rsidRPr="000540E1" w:rsidTr="00E55220">
        <w:trPr>
          <w:cantSplit/>
        </w:trPr>
        <w:tc>
          <w:tcPr>
            <w:tcW w:w="7371" w:type="dxa"/>
          </w:tcPr>
          <w:p w:rsidR="00E55220" w:rsidRPr="000540E1" w:rsidRDefault="00E55220" w:rsidP="00E55220">
            <w:pPr>
              <w:pStyle w:val="tbltext"/>
            </w:pPr>
            <w:r>
              <w:t xml:space="preserve">Estimated additional capital that will need to be raised across the sector to comply with NTA (see paragraph </w:t>
            </w:r>
            <w:r w:rsidR="00543607">
              <w:fldChar w:fldCharType="begin"/>
            </w:r>
            <w:r>
              <w:instrText xml:space="preserve"> REF _Ref315252621 \r \h </w:instrText>
            </w:r>
            <w:r w:rsidR="00543607">
              <w:fldChar w:fldCharType="separate"/>
            </w:r>
            <w:r w:rsidR="00337A8C">
              <w:t>113</w:t>
            </w:r>
            <w:r w:rsidR="00543607">
              <w:fldChar w:fldCharType="end"/>
            </w:r>
            <w:r>
              <w:t xml:space="preserve">) </w:t>
            </w:r>
          </w:p>
        </w:tc>
        <w:tc>
          <w:tcPr>
            <w:tcW w:w="1701" w:type="dxa"/>
          </w:tcPr>
          <w:p w:rsidR="00E55220" w:rsidRPr="000540E1" w:rsidRDefault="00E55220" w:rsidP="00E55220">
            <w:pPr>
              <w:pStyle w:val="tbltext"/>
            </w:pPr>
            <w:r>
              <w:t>$7,800,000</w:t>
            </w:r>
          </w:p>
        </w:tc>
      </w:tr>
      <w:tr w:rsidR="00E55220" w:rsidRPr="000540E1" w:rsidTr="00E55220">
        <w:trPr>
          <w:cantSplit/>
        </w:trPr>
        <w:tc>
          <w:tcPr>
            <w:tcW w:w="7371" w:type="dxa"/>
          </w:tcPr>
          <w:p w:rsidR="00E55220" w:rsidRDefault="00E55220" w:rsidP="00E55220">
            <w:pPr>
              <w:pStyle w:val="tbltext"/>
            </w:pPr>
            <w:r>
              <w:t xml:space="preserve">Estimated administrative costs of raising additional capital to comply with NTA (see paragraph </w:t>
            </w:r>
            <w:r w:rsidR="00543607">
              <w:fldChar w:fldCharType="begin"/>
            </w:r>
            <w:r>
              <w:instrText xml:space="preserve"> REF _Ref315252696 \r \h </w:instrText>
            </w:r>
            <w:r w:rsidR="00543607">
              <w:fldChar w:fldCharType="separate"/>
            </w:r>
            <w:r w:rsidR="00337A8C">
              <w:t>116</w:t>
            </w:r>
            <w:r w:rsidR="00543607">
              <w:fldChar w:fldCharType="end"/>
            </w:r>
            <w:r>
              <w:t>)</w:t>
            </w:r>
          </w:p>
        </w:tc>
        <w:tc>
          <w:tcPr>
            <w:tcW w:w="1701" w:type="dxa"/>
          </w:tcPr>
          <w:p w:rsidR="00E55220" w:rsidRDefault="00E55220" w:rsidP="00E55220">
            <w:pPr>
              <w:pStyle w:val="tbltext"/>
            </w:pPr>
            <w:r>
              <w:t>$5,250 per issuer</w:t>
            </w:r>
          </w:p>
        </w:tc>
      </w:tr>
      <w:tr w:rsidR="00E55220" w:rsidRPr="000540E1" w:rsidTr="00E55220">
        <w:trPr>
          <w:cantSplit/>
        </w:trPr>
        <w:tc>
          <w:tcPr>
            <w:tcW w:w="7371" w:type="dxa"/>
          </w:tcPr>
          <w:p w:rsidR="00E55220" w:rsidRDefault="00E55220" w:rsidP="00E55220">
            <w:pPr>
              <w:pStyle w:val="tbltext"/>
            </w:pPr>
            <w:r>
              <w:t xml:space="preserve">Estimated costs of raising funds from unrelated investors (see paragraph </w:t>
            </w:r>
            <w:r w:rsidR="00543607">
              <w:fldChar w:fldCharType="begin"/>
            </w:r>
            <w:r>
              <w:instrText xml:space="preserve"> REF _Ref315252734 \r \h </w:instrText>
            </w:r>
            <w:r w:rsidR="00543607">
              <w:fldChar w:fldCharType="separate"/>
            </w:r>
            <w:r w:rsidR="00337A8C">
              <w:t>117</w:t>
            </w:r>
            <w:r w:rsidR="00543607">
              <w:fldChar w:fldCharType="end"/>
            </w:r>
            <w:r>
              <w:t>)</w:t>
            </w:r>
          </w:p>
        </w:tc>
        <w:tc>
          <w:tcPr>
            <w:tcW w:w="1701" w:type="dxa"/>
          </w:tcPr>
          <w:p w:rsidR="00E55220" w:rsidRDefault="00E55220" w:rsidP="00E55220">
            <w:pPr>
              <w:pStyle w:val="tbltext"/>
            </w:pPr>
            <w:r>
              <w:t>$18,000 per issuer</w:t>
            </w:r>
          </w:p>
        </w:tc>
      </w:tr>
      <w:tr w:rsidR="00E55220" w:rsidRPr="000540E1" w:rsidTr="00E55220">
        <w:trPr>
          <w:cantSplit/>
        </w:trPr>
        <w:tc>
          <w:tcPr>
            <w:tcW w:w="7371" w:type="dxa"/>
          </w:tcPr>
          <w:p w:rsidR="00E55220" w:rsidRDefault="00E55220" w:rsidP="00E55220">
            <w:pPr>
              <w:pStyle w:val="tbltext"/>
            </w:pPr>
            <w:r>
              <w:t xml:space="preserve">Estimated costs of capital per $1,000,000 (see paragraph </w:t>
            </w:r>
            <w:r w:rsidR="00543607">
              <w:fldChar w:fldCharType="begin"/>
            </w:r>
            <w:r>
              <w:instrText xml:space="preserve"> REF _Ref315252790 \r \h </w:instrText>
            </w:r>
            <w:r w:rsidR="00543607">
              <w:fldChar w:fldCharType="separate"/>
            </w:r>
            <w:r w:rsidR="00337A8C">
              <w:t>119</w:t>
            </w:r>
            <w:r w:rsidR="00543607">
              <w:fldChar w:fldCharType="end"/>
            </w:r>
            <w:r>
              <w:t>)</w:t>
            </w:r>
          </w:p>
        </w:tc>
        <w:tc>
          <w:tcPr>
            <w:tcW w:w="1701" w:type="dxa"/>
          </w:tcPr>
          <w:p w:rsidR="00E55220" w:rsidRDefault="00E55220" w:rsidP="00E55220">
            <w:pPr>
              <w:pStyle w:val="tbltext"/>
            </w:pPr>
            <w:r>
              <w:t>$91,695</w:t>
            </w:r>
          </w:p>
        </w:tc>
      </w:tr>
      <w:tr w:rsidR="00E55220" w:rsidRPr="000540E1" w:rsidTr="00E55220">
        <w:trPr>
          <w:cantSplit/>
        </w:trPr>
        <w:tc>
          <w:tcPr>
            <w:tcW w:w="7371" w:type="dxa"/>
          </w:tcPr>
          <w:p w:rsidR="00E55220" w:rsidRDefault="00E55220" w:rsidP="00E55220">
            <w:pPr>
              <w:pStyle w:val="tbltext"/>
            </w:pPr>
            <w:r>
              <w:t xml:space="preserve">Estimated cost of capital per $600,000 (see paragraph </w:t>
            </w:r>
            <w:r w:rsidR="00543607">
              <w:fldChar w:fldCharType="begin"/>
            </w:r>
            <w:r>
              <w:instrText xml:space="preserve"> REF _Ref315252790 \r \h </w:instrText>
            </w:r>
            <w:r w:rsidR="00543607">
              <w:fldChar w:fldCharType="separate"/>
            </w:r>
            <w:r w:rsidR="00337A8C">
              <w:t>119</w:t>
            </w:r>
            <w:r w:rsidR="00543607">
              <w:fldChar w:fldCharType="end"/>
            </w:r>
            <w:r>
              <w:t>)</w:t>
            </w:r>
          </w:p>
        </w:tc>
        <w:tc>
          <w:tcPr>
            <w:tcW w:w="1701" w:type="dxa"/>
          </w:tcPr>
          <w:p w:rsidR="00E55220" w:rsidRDefault="00E55220" w:rsidP="00E55220">
            <w:pPr>
              <w:pStyle w:val="tbltext"/>
            </w:pPr>
            <w:r>
              <w:t>$55,017</w:t>
            </w:r>
          </w:p>
        </w:tc>
      </w:tr>
      <w:tr w:rsidR="00E55220" w:rsidRPr="000540E1" w:rsidTr="00E55220">
        <w:trPr>
          <w:cantSplit/>
        </w:trPr>
        <w:tc>
          <w:tcPr>
            <w:tcW w:w="7371" w:type="dxa"/>
          </w:tcPr>
          <w:p w:rsidR="00102A61" w:rsidRDefault="00E55220">
            <w:pPr>
              <w:pStyle w:val="tbltext"/>
            </w:pPr>
            <w:r>
              <w:t>Estimated cost of meeting the NTA liquidity requirement per $500,000 (see paragraph </w:t>
            </w:r>
            <w:r w:rsidR="00543607">
              <w:fldChar w:fldCharType="begin"/>
            </w:r>
            <w:r>
              <w:instrText xml:space="preserve"> REF _Ref315252888 \r \h </w:instrText>
            </w:r>
            <w:r w:rsidR="00543607">
              <w:fldChar w:fldCharType="separate"/>
            </w:r>
            <w:r w:rsidR="00337A8C">
              <w:t>123</w:t>
            </w:r>
            <w:r w:rsidR="00543607">
              <w:fldChar w:fldCharType="end"/>
            </w:r>
            <w:r>
              <w:t>)</w:t>
            </w:r>
          </w:p>
        </w:tc>
        <w:tc>
          <w:tcPr>
            <w:tcW w:w="1701" w:type="dxa"/>
          </w:tcPr>
          <w:p w:rsidR="00E55220" w:rsidRDefault="00E55220" w:rsidP="00E55220">
            <w:pPr>
              <w:pStyle w:val="tbltext"/>
            </w:pPr>
            <w:r>
              <w:t>$20,350</w:t>
            </w:r>
          </w:p>
        </w:tc>
      </w:tr>
    </w:tbl>
    <w:p w:rsidR="00654699" w:rsidRDefault="00543607" w:rsidP="00461090">
      <w:pPr>
        <w:pStyle w:val="BodyText"/>
      </w:pPr>
      <w:r>
        <w:fldChar w:fldCharType="begin"/>
      </w:r>
      <w:r w:rsidR="00735884">
        <w:instrText xml:space="preserve"> REF _Ref324436076 \h </w:instrText>
      </w:r>
      <w:r>
        <w:fldChar w:fldCharType="separate"/>
      </w:r>
      <w:r w:rsidR="00337A8C">
        <w:t xml:space="preserve">Table </w:t>
      </w:r>
      <w:r w:rsidR="00337A8C">
        <w:rPr>
          <w:noProof/>
        </w:rPr>
        <w:t>6</w:t>
      </w:r>
      <w:r>
        <w:fldChar w:fldCharType="end"/>
      </w:r>
      <w:r w:rsidR="00735884">
        <w:t xml:space="preserve"> </w:t>
      </w:r>
      <w:r w:rsidR="00461090">
        <w:t xml:space="preserve">sets out information about the responses of the 16 </w:t>
      </w:r>
      <w:r w:rsidR="00F315A5" w:rsidRPr="00F315A5">
        <w:t>retail OTC derivative</w:t>
      </w:r>
      <w:r w:rsidR="00F315A5">
        <w:t xml:space="preserve"> i</w:t>
      </w:r>
      <w:r w:rsidR="00461090">
        <w:t xml:space="preserve">ssuers </w:t>
      </w:r>
      <w:r w:rsidR="00735884">
        <w:t xml:space="preserve">who </w:t>
      </w:r>
      <w:r w:rsidR="00A80F12">
        <w:t>answered</w:t>
      </w:r>
      <w:r w:rsidR="00461090">
        <w:t xml:space="preserve"> key questions about the cost of complying with the proposed </w:t>
      </w:r>
      <w:r w:rsidR="00A80F12">
        <w:t xml:space="preserve">financial </w:t>
      </w:r>
      <w:r w:rsidR="009E70F3">
        <w:t>requirements</w:t>
      </w:r>
      <w:r w:rsidR="00461090">
        <w:t xml:space="preserve">. </w:t>
      </w:r>
    </w:p>
    <w:p w:rsidR="00E55220" w:rsidRDefault="00E55220" w:rsidP="00E55220">
      <w:pPr>
        <w:pStyle w:val="tabletitlefullwidth"/>
      </w:pPr>
      <w:bookmarkStart w:id="33" w:name="_Ref324436076"/>
      <w:r>
        <w:t xml:space="preserve">Table </w:t>
      </w:r>
      <w:r w:rsidR="00543607">
        <w:fldChar w:fldCharType="begin"/>
      </w:r>
      <w:r>
        <w:instrText xml:space="preserve"> SEQ Table \* ARABIC </w:instrText>
      </w:r>
      <w:r w:rsidR="00543607">
        <w:fldChar w:fldCharType="separate"/>
      </w:r>
      <w:r w:rsidR="00337A8C">
        <w:rPr>
          <w:noProof/>
        </w:rPr>
        <w:t>6</w:t>
      </w:r>
      <w:r w:rsidR="00543607">
        <w:fldChar w:fldCharType="end"/>
      </w:r>
      <w:bookmarkEnd w:id="33"/>
      <w:r>
        <w:t>:</w:t>
      </w:r>
      <w:r>
        <w:tab/>
      </w:r>
      <w:r w:rsidRPr="00E55220">
        <w:t xml:space="preserve">Costs of </w:t>
      </w:r>
      <w:r w:rsidR="00455126">
        <w:t xml:space="preserve">complying </w:t>
      </w:r>
      <w:r w:rsidRPr="00E55220">
        <w:t>with proposed financial requirements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3828"/>
        <w:gridCol w:w="1310"/>
        <w:gridCol w:w="1311"/>
        <w:gridCol w:w="1310"/>
        <w:gridCol w:w="1311"/>
      </w:tblGrid>
      <w:tr w:rsidR="00E55220" w:rsidRPr="000540E1" w:rsidTr="009356C8">
        <w:trPr>
          <w:cantSplit/>
          <w:tblHeader/>
        </w:trPr>
        <w:tc>
          <w:tcPr>
            <w:tcW w:w="3828" w:type="dxa"/>
            <w:shd w:val="clear" w:color="auto" w:fill="C2E3FA"/>
          </w:tcPr>
          <w:p w:rsidR="00E55220" w:rsidRPr="000540E1" w:rsidRDefault="00E55220" w:rsidP="00E55220">
            <w:pPr>
              <w:pStyle w:val="tablehead"/>
            </w:pPr>
          </w:p>
        </w:tc>
        <w:tc>
          <w:tcPr>
            <w:tcW w:w="1310" w:type="dxa"/>
            <w:shd w:val="clear" w:color="auto" w:fill="C2E3FA"/>
            <w:vAlign w:val="bottom"/>
          </w:tcPr>
          <w:p w:rsidR="00ED29D5" w:rsidRDefault="00E55220" w:rsidP="00ED29D5">
            <w:pPr>
              <w:pStyle w:val="tablehead"/>
              <w:ind w:right="103"/>
              <w:jc w:val="right"/>
            </w:pPr>
            <w:r w:rsidRPr="00B03E23">
              <w:t>Median</w:t>
            </w:r>
          </w:p>
        </w:tc>
        <w:tc>
          <w:tcPr>
            <w:tcW w:w="1311" w:type="dxa"/>
            <w:shd w:val="clear" w:color="auto" w:fill="C2E3FA"/>
            <w:vAlign w:val="bottom"/>
          </w:tcPr>
          <w:p w:rsidR="00ED29D5" w:rsidRDefault="00E55220" w:rsidP="00ED29D5">
            <w:pPr>
              <w:pStyle w:val="tablehead"/>
              <w:ind w:right="103"/>
              <w:jc w:val="right"/>
            </w:pPr>
            <w:r w:rsidRPr="00B03E23">
              <w:t>Average</w:t>
            </w:r>
          </w:p>
        </w:tc>
        <w:tc>
          <w:tcPr>
            <w:tcW w:w="1310" w:type="dxa"/>
            <w:shd w:val="clear" w:color="auto" w:fill="C2E3FA"/>
            <w:vAlign w:val="bottom"/>
          </w:tcPr>
          <w:p w:rsidR="00ED29D5" w:rsidRDefault="00E55220" w:rsidP="00ED29D5">
            <w:pPr>
              <w:pStyle w:val="tablehead"/>
              <w:ind w:right="103"/>
              <w:jc w:val="right"/>
            </w:pPr>
            <w:r w:rsidRPr="00B03E23">
              <w:t>Highest</w:t>
            </w:r>
          </w:p>
        </w:tc>
        <w:tc>
          <w:tcPr>
            <w:tcW w:w="1311" w:type="dxa"/>
            <w:shd w:val="clear" w:color="auto" w:fill="C2E3FA"/>
            <w:vAlign w:val="bottom"/>
          </w:tcPr>
          <w:p w:rsidR="00ED29D5" w:rsidRDefault="00E55220" w:rsidP="00ED29D5">
            <w:pPr>
              <w:pStyle w:val="tablehead"/>
              <w:ind w:right="103"/>
              <w:jc w:val="right"/>
            </w:pPr>
            <w:r w:rsidRPr="00B03E23">
              <w:t>Lowest</w:t>
            </w:r>
          </w:p>
        </w:tc>
      </w:tr>
      <w:tr w:rsidR="009356C8" w:rsidRPr="000540E1" w:rsidTr="009356C8">
        <w:trPr>
          <w:cantSplit/>
        </w:trPr>
        <w:tc>
          <w:tcPr>
            <w:tcW w:w="3828" w:type="dxa"/>
            <w:vAlign w:val="bottom"/>
          </w:tcPr>
          <w:p w:rsidR="00102A61" w:rsidRDefault="009356C8">
            <w:pPr>
              <w:pStyle w:val="tbltext"/>
            </w:pPr>
            <w:r w:rsidRPr="00B03E23">
              <w:t>Cost p</w:t>
            </w:r>
            <w:r>
              <w:t>er year</w:t>
            </w:r>
            <w:r w:rsidRPr="00B03E23">
              <w:t xml:space="preserve"> of compliance with 12</w:t>
            </w:r>
            <w:r>
              <w:t>-</w:t>
            </w:r>
            <w:r w:rsidRPr="00B03E23">
              <w:t>month cash</w:t>
            </w:r>
            <w:r>
              <w:t xml:space="preserve"> </w:t>
            </w:r>
            <w:r w:rsidRPr="00B03E23">
              <w:t>flow proposal</w:t>
            </w:r>
            <w:r>
              <w:t xml:space="preserve"> </w:t>
            </w:r>
          </w:p>
        </w:tc>
        <w:tc>
          <w:tcPr>
            <w:tcW w:w="1310" w:type="dxa"/>
            <w:vAlign w:val="bottom"/>
          </w:tcPr>
          <w:p w:rsidR="00ED29D5" w:rsidRDefault="009356C8" w:rsidP="00ED29D5">
            <w:pPr>
              <w:pStyle w:val="tbltext"/>
              <w:ind w:right="103"/>
              <w:jc w:val="right"/>
            </w:pPr>
            <w:r w:rsidRPr="00B03E23">
              <w:t>$5,000</w:t>
            </w:r>
          </w:p>
        </w:tc>
        <w:tc>
          <w:tcPr>
            <w:tcW w:w="1311" w:type="dxa"/>
            <w:vAlign w:val="bottom"/>
          </w:tcPr>
          <w:p w:rsidR="00ED29D5" w:rsidRDefault="009356C8" w:rsidP="00ED29D5">
            <w:pPr>
              <w:pStyle w:val="tbltext"/>
              <w:ind w:right="103"/>
              <w:jc w:val="right"/>
            </w:pPr>
            <w:r w:rsidRPr="00B03E23">
              <w:t>$12,588</w:t>
            </w:r>
          </w:p>
        </w:tc>
        <w:tc>
          <w:tcPr>
            <w:tcW w:w="1310" w:type="dxa"/>
            <w:vAlign w:val="bottom"/>
          </w:tcPr>
          <w:p w:rsidR="00ED29D5" w:rsidRDefault="009356C8" w:rsidP="00ED29D5">
            <w:pPr>
              <w:pStyle w:val="tbltext"/>
              <w:ind w:right="103"/>
              <w:jc w:val="right"/>
            </w:pPr>
            <w:r w:rsidRPr="00B03E23">
              <w:t>$66,000</w:t>
            </w:r>
          </w:p>
        </w:tc>
        <w:tc>
          <w:tcPr>
            <w:tcW w:w="1311" w:type="dxa"/>
            <w:vAlign w:val="bottom"/>
          </w:tcPr>
          <w:p w:rsidR="00ED29D5" w:rsidRDefault="009356C8" w:rsidP="00ED29D5">
            <w:pPr>
              <w:pStyle w:val="tbltext"/>
              <w:ind w:right="103"/>
              <w:jc w:val="right"/>
            </w:pPr>
            <w:r w:rsidRPr="00B03E23">
              <w:t>$0</w:t>
            </w:r>
          </w:p>
        </w:tc>
      </w:tr>
      <w:tr w:rsidR="009356C8" w:rsidRPr="000540E1" w:rsidTr="009356C8">
        <w:trPr>
          <w:cantSplit/>
        </w:trPr>
        <w:tc>
          <w:tcPr>
            <w:tcW w:w="3828" w:type="dxa"/>
            <w:vAlign w:val="bottom"/>
          </w:tcPr>
          <w:p w:rsidR="00102A61" w:rsidRDefault="009356C8">
            <w:pPr>
              <w:pStyle w:val="tbltext"/>
            </w:pPr>
            <w:r w:rsidRPr="00B03E23">
              <w:t>Additional work</w:t>
            </w:r>
            <w:r>
              <w:t xml:space="preserve"> hours per week</w:t>
            </w:r>
            <w:r w:rsidRPr="00B03E23">
              <w:t xml:space="preserve"> required if implemented</w:t>
            </w:r>
          </w:p>
        </w:tc>
        <w:tc>
          <w:tcPr>
            <w:tcW w:w="1310" w:type="dxa"/>
            <w:vAlign w:val="bottom"/>
          </w:tcPr>
          <w:p w:rsidR="00ED29D5" w:rsidRDefault="009356C8" w:rsidP="00ED29D5">
            <w:pPr>
              <w:pStyle w:val="tbltext"/>
              <w:ind w:right="103"/>
              <w:jc w:val="right"/>
            </w:pPr>
            <w:r w:rsidRPr="00B03E23">
              <w:t>1.00</w:t>
            </w:r>
          </w:p>
        </w:tc>
        <w:tc>
          <w:tcPr>
            <w:tcW w:w="1311" w:type="dxa"/>
            <w:vAlign w:val="bottom"/>
          </w:tcPr>
          <w:p w:rsidR="00ED29D5" w:rsidRDefault="009356C8" w:rsidP="00ED29D5">
            <w:pPr>
              <w:pStyle w:val="tbltext"/>
              <w:ind w:right="103"/>
              <w:jc w:val="right"/>
            </w:pPr>
            <w:r w:rsidRPr="00B03E23">
              <w:t>2.68</w:t>
            </w:r>
          </w:p>
        </w:tc>
        <w:tc>
          <w:tcPr>
            <w:tcW w:w="1310" w:type="dxa"/>
            <w:vAlign w:val="bottom"/>
          </w:tcPr>
          <w:p w:rsidR="00ED29D5" w:rsidRDefault="009356C8" w:rsidP="00ED29D5">
            <w:pPr>
              <w:pStyle w:val="tbltext"/>
              <w:ind w:right="103"/>
              <w:jc w:val="right"/>
            </w:pPr>
            <w:r w:rsidRPr="00B03E23">
              <w:t>24</w:t>
            </w:r>
          </w:p>
        </w:tc>
        <w:tc>
          <w:tcPr>
            <w:tcW w:w="1311" w:type="dxa"/>
            <w:vAlign w:val="bottom"/>
          </w:tcPr>
          <w:p w:rsidR="00ED29D5" w:rsidRDefault="009356C8" w:rsidP="00ED29D5">
            <w:pPr>
              <w:pStyle w:val="tbltext"/>
              <w:ind w:right="103"/>
              <w:jc w:val="right"/>
            </w:pPr>
            <w:r w:rsidRPr="00B03E23">
              <w:t>0</w:t>
            </w:r>
          </w:p>
        </w:tc>
      </w:tr>
      <w:tr w:rsidR="009356C8" w:rsidRPr="000540E1" w:rsidTr="009356C8">
        <w:trPr>
          <w:cantSplit/>
        </w:trPr>
        <w:tc>
          <w:tcPr>
            <w:tcW w:w="3828" w:type="dxa"/>
            <w:vAlign w:val="bottom"/>
          </w:tcPr>
          <w:p w:rsidR="009356C8" w:rsidRPr="000540E1" w:rsidRDefault="009356C8" w:rsidP="00E55220">
            <w:pPr>
              <w:pStyle w:val="tbltext"/>
            </w:pPr>
            <w:r w:rsidRPr="00B03E23">
              <w:t xml:space="preserve">Cost </w:t>
            </w:r>
            <w:r w:rsidRPr="009356C8">
              <w:t xml:space="preserve">per year </w:t>
            </w:r>
            <w:r w:rsidRPr="00B03E23">
              <w:t xml:space="preserve">of complying with NTA proposal </w:t>
            </w:r>
          </w:p>
        </w:tc>
        <w:tc>
          <w:tcPr>
            <w:tcW w:w="1310" w:type="dxa"/>
            <w:vAlign w:val="bottom"/>
          </w:tcPr>
          <w:p w:rsidR="00ED29D5" w:rsidRDefault="009356C8" w:rsidP="00ED29D5">
            <w:pPr>
              <w:pStyle w:val="tbltext"/>
              <w:ind w:right="103"/>
              <w:jc w:val="right"/>
            </w:pPr>
            <w:r w:rsidRPr="00B03E23">
              <w:t>$7,500</w:t>
            </w:r>
          </w:p>
        </w:tc>
        <w:tc>
          <w:tcPr>
            <w:tcW w:w="1311" w:type="dxa"/>
            <w:vAlign w:val="bottom"/>
          </w:tcPr>
          <w:p w:rsidR="00ED29D5" w:rsidRDefault="009356C8" w:rsidP="00ED29D5">
            <w:pPr>
              <w:pStyle w:val="tbltext"/>
              <w:ind w:right="103"/>
              <w:jc w:val="right"/>
            </w:pPr>
            <w:r w:rsidRPr="00B03E23">
              <w:t>$222,009</w:t>
            </w:r>
          </w:p>
        </w:tc>
        <w:tc>
          <w:tcPr>
            <w:tcW w:w="1310" w:type="dxa"/>
            <w:vAlign w:val="bottom"/>
          </w:tcPr>
          <w:p w:rsidR="00ED29D5" w:rsidRDefault="009356C8" w:rsidP="00ED29D5">
            <w:pPr>
              <w:pStyle w:val="tbltext"/>
              <w:ind w:right="103"/>
              <w:jc w:val="right"/>
            </w:pPr>
            <w:r w:rsidRPr="00B03E23">
              <w:t>$1,390,000</w:t>
            </w:r>
          </w:p>
        </w:tc>
        <w:tc>
          <w:tcPr>
            <w:tcW w:w="1311" w:type="dxa"/>
            <w:vAlign w:val="bottom"/>
          </w:tcPr>
          <w:p w:rsidR="00ED29D5" w:rsidRDefault="009356C8" w:rsidP="00ED29D5">
            <w:pPr>
              <w:pStyle w:val="tbltext"/>
              <w:ind w:right="103"/>
              <w:jc w:val="right"/>
            </w:pPr>
            <w:r w:rsidRPr="00B03E23">
              <w:t>$0</w:t>
            </w:r>
          </w:p>
        </w:tc>
      </w:tr>
    </w:tbl>
    <w:p w:rsidR="00E55220" w:rsidRDefault="00E55220" w:rsidP="00E55220">
      <w:pPr>
        <w:pStyle w:val="sourcenotefullwidth"/>
      </w:pPr>
      <w:r>
        <w:t xml:space="preserve">Source: </w:t>
      </w:r>
      <w:r w:rsidR="009356C8" w:rsidRPr="009356C8">
        <w:t xml:space="preserve">Responses from 16 </w:t>
      </w:r>
      <w:r w:rsidR="004319BF">
        <w:t xml:space="preserve">of 29 issuers contacted by ASIC in August 2011, who </w:t>
      </w:r>
      <w:r w:rsidR="009356C8" w:rsidRPr="009356C8">
        <w:t>provide</w:t>
      </w:r>
      <w:r w:rsidR="004319BF">
        <w:t>d</w:t>
      </w:r>
      <w:r w:rsidR="009356C8" w:rsidRPr="009356C8">
        <w:t xml:space="preserve"> information voluntarily about the costs and impacts of </w:t>
      </w:r>
      <w:r w:rsidR="009E70F3">
        <w:t xml:space="preserve">the proposed </w:t>
      </w:r>
      <w:r w:rsidR="009356C8" w:rsidRPr="009356C8">
        <w:t>financial requirement</w:t>
      </w:r>
      <w:r w:rsidR="009E70F3">
        <w:t>s</w:t>
      </w:r>
      <w:r w:rsidR="009356C8" w:rsidRPr="009356C8">
        <w:t>.</w:t>
      </w:r>
    </w:p>
    <w:p w:rsidR="00B03E23" w:rsidRDefault="00B03E23" w:rsidP="00B03E23">
      <w:pPr>
        <w:pStyle w:val="Heading4"/>
      </w:pPr>
      <w:r>
        <w:t>Costs of 12</w:t>
      </w:r>
      <w:r w:rsidR="009356C8">
        <w:t>-</w:t>
      </w:r>
      <w:r>
        <w:t>month cash flow projections</w:t>
      </w:r>
    </w:p>
    <w:p w:rsidR="00CC3732" w:rsidRPr="00C3360C" w:rsidRDefault="00CC3732" w:rsidP="00CC3732">
      <w:pPr>
        <w:pStyle w:val="BodyText"/>
        <w:rPr>
          <w:spacing w:val="-2"/>
        </w:rPr>
      </w:pPr>
      <w:r w:rsidRPr="000678D6">
        <w:rPr>
          <w:spacing w:val="-2"/>
        </w:rPr>
        <w:t xml:space="preserve">All issuers, except for one, claimed that the 12-month cash flow </w:t>
      </w:r>
      <w:r w:rsidR="00B6097B">
        <w:rPr>
          <w:spacing w:val="-2"/>
        </w:rPr>
        <w:t>forecasts</w:t>
      </w:r>
      <w:r w:rsidRPr="000678D6">
        <w:rPr>
          <w:spacing w:val="-2"/>
        </w:rPr>
        <w:t xml:space="preserve"> would take five hours per week or less to complete. While, in most cases, the reported per year cost of compliance with the requirement appeared to directly relate to the time taken to produce </w:t>
      </w:r>
      <w:r w:rsidR="00457E36">
        <w:rPr>
          <w:spacing w:val="-2"/>
        </w:rPr>
        <w:t>forecasts</w:t>
      </w:r>
      <w:r w:rsidRPr="000678D6">
        <w:rPr>
          <w:spacing w:val="-2"/>
        </w:rPr>
        <w:t xml:space="preserve">, this was not always the case. Three issuers reported costs to comply but no time. This included issuers who </w:t>
      </w:r>
      <w:r w:rsidRPr="000678D6">
        <w:rPr>
          <w:spacing w:val="-2"/>
        </w:rPr>
        <w:lastRenderedPageBreak/>
        <w:t xml:space="preserve">reported the highest and equal second-highest costs of compliance ($66,000 and $40,000 respectively). While it is unclear how this apparent discrepancy arises, it may be that these </w:t>
      </w:r>
      <w:r>
        <w:rPr>
          <w:spacing w:val="-2"/>
        </w:rPr>
        <w:t>i</w:t>
      </w:r>
      <w:r w:rsidRPr="000678D6">
        <w:rPr>
          <w:spacing w:val="-2"/>
        </w:rPr>
        <w:t xml:space="preserve">ssuers outsource </w:t>
      </w:r>
      <w:r>
        <w:rPr>
          <w:spacing w:val="-2"/>
        </w:rPr>
        <w:t>th</w:t>
      </w:r>
      <w:r w:rsidR="00B6097B">
        <w:rPr>
          <w:spacing w:val="-2"/>
        </w:rPr>
        <w:t>e forecasting</w:t>
      </w:r>
      <w:r>
        <w:rPr>
          <w:spacing w:val="-2"/>
        </w:rPr>
        <w:t xml:space="preserve"> </w:t>
      </w:r>
      <w:r w:rsidRPr="000678D6">
        <w:rPr>
          <w:spacing w:val="-2"/>
        </w:rPr>
        <w:t xml:space="preserve">function and therefore do not include it in calculations of time taken. </w:t>
      </w:r>
    </w:p>
    <w:p w:rsidR="00CC3732" w:rsidRDefault="00CC3732" w:rsidP="00CC3732">
      <w:pPr>
        <w:pStyle w:val="Heading5"/>
      </w:pPr>
      <w:r>
        <w:t>Cost of auditing cash flow forecasts</w:t>
      </w:r>
    </w:p>
    <w:p w:rsidR="00CC3732" w:rsidRDefault="00CC3732" w:rsidP="00CC3732">
      <w:pPr>
        <w:pStyle w:val="BodyText"/>
      </w:pPr>
      <w:bookmarkStart w:id="34" w:name="_ASICRef814"/>
      <w:r>
        <w:t>R</w:t>
      </w:r>
      <w:r w:rsidRPr="00F315A5">
        <w:t>etail OTC derivative</w:t>
      </w:r>
      <w:r>
        <w:t xml:space="preserve"> issuers may incur minor increases in auditing costs as a consequence of extending the cash flow period from three months to 12 months, or having an auditor annually review a new cash flow forecast. This requirement will involve auditing issuers</w:t>
      </w:r>
      <w:r w:rsidR="00927BB5">
        <w:t>’</w:t>
      </w:r>
      <w:r>
        <w:t xml:space="preserve"> projections of their revenue, expenses and cash needs for the next 12 months and will most efficiently be undertaken at the same time as the </w:t>
      </w:r>
      <w:r w:rsidR="00DF279D">
        <w:t>current</w:t>
      </w:r>
      <w:r>
        <w:t xml:space="preserve"> audit requirement. </w:t>
      </w:r>
      <w:r w:rsidRPr="00FF6637">
        <w:t>Based on submissions by auditing firms</w:t>
      </w:r>
      <w:r>
        <w:t xml:space="preserve"> to our similar proposal for responsible entities</w:t>
      </w:r>
      <w:r w:rsidRPr="00FF6637">
        <w:t xml:space="preserve">, we estimate the additional auditing costs to be </w:t>
      </w:r>
      <w:r>
        <w:t>approximately $2000 per issuer</w:t>
      </w:r>
      <w:r w:rsidRPr="00FF6637">
        <w:t>.</w:t>
      </w:r>
      <w:bookmarkEnd w:id="34"/>
      <w:r>
        <w:t xml:space="preserve"> However, we assume this cost has been incorporated by issuers into the overall cost estimates of forecasting. </w:t>
      </w:r>
    </w:p>
    <w:p w:rsidR="00C715FE" w:rsidRDefault="00C715FE" w:rsidP="0030766B">
      <w:pPr>
        <w:pStyle w:val="Heading4"/>
      </w:pPr>
      <w:r>
        <w:t>Cost</w:t>
      </w:r>
      <w:r w:rsidR="00455126">
        <w:t>s</w:t>
      </w:r>
      <w:r>
        <w:t xml:space="preserve"> of NTA</w:t>
      </w:r>
      <w:r w:rsidR="00455126">
        <w:t xml:space="preserve"> requirement</w:t>
      </w:r>
      <w:r w:rsidR="006A21D6">
        <w:t xml:space="preserve"> </w:t>
      </w:r>
    </w:p>
    <w:p w:rsidR="00F247C1" w:rsidRDefault="00543607" w:rsidP="002615E1">
      <w:pPr>
        <w:pStyle w:val="BodyText"/>
      </w:pPr>
      <w:r>
        <w:fldChar w:fldCharType="begin"/>
      </w:r>
      <w:r w:rsidR="0068059B">
        <w:instrText xml:space="preserve"> REF _Ref324519305 \h </w:instrText>
      </w:r>
      <w:r>
        <w:fldChar w:fldCharType="separate"/>
      </w:r>
      <w:r w:rsidR="00337A8C">
        <w:t xml:space="preserve">Table </w:t>
      </w:r>
      <w:r w:rsidR="00337A8C">
        <w:rPr>
          <w:noProof/>
        </w:rPr>
        <w:t>7</w:t>
      </w:r>
      <w:r>
        <w:fldChar w:fldCharType="end"/>
      </w:r>
      <w:r w:rsidR="0068059B">
        <w:t xml:space="preserve"> </w:t>
      </w:r>
      <w:r w:rsidR="000B01CD">
        <w:t xml:space="preserve">provides information about the ability of </w:t>
      </w:r>
      <w:r w:rsidR="00F315A5">
        <w:t>i</w:t>
      </w:r>
      <w:r w:rsidR="000B01CD">
        <w:t xml:space="preserve">ssuers to meet the proposed NTA requirement. </w:t>
      </w:r>
    </w:p>
    <w:p w:rsidR="00487FE2" w:rsidRDefault="00487FE2" w:rsidP="00102A61">
      <w:pPr>
        <w:pStyle w:val="tabletitlefullwidth"/>
      </w:pPr>
      <w:bookmarkStart w:id="35" w:name="_Ref324519305"/>
      <w:r>
        <w:t xml:space="preserve">Table </w:t>
      </w:r>
      <w:r w:rsidR="00543607">
        <w:fldChar w:fldCharType="begin"/>
      </w:r>
      <w:r>
        <w:instrText xml:space="preserve"> SEQ Table \* ARABIC </w:instrText>
      </w:r>
      <w:r w:rsidR="00543607">
        <w:fldChar w:fldCharType="separate"/>
      </w:r>
      <w:r w:rsidR="00337A8C">
        <w:rPr>
          <w:noProof/>
        </w:rPr>
        <w:t>7</w:t>
      </w:r>
      <w:r w:rsidR="00543607">
        <w:fldChar w:fldCharType="end"/>
      </w:r>
      <w:bookmarkEnd w:id="35"/>
      <w:r>
        <w:t>:</w:t>
      </w:r>
      <w:r>
        <w:tab/>
      </w:r>
      <w:r w:rsidR="00455126">
        <w:t>Ability of r</w:t>
      </w:r>
      <w:r w:rsidRPr="00487FE2">
        <w:t>etail OTC derivative issuers to meet NTA requirement</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4962"/>
        <w:gridCol w:w="1417"/>
        <w:gridCol w:w="2687"/>
      </w:tblGrid>
      <w:tr w:rsidR="00E749B3" w:rsidRPr="000540E1" w:rsidTr="00E749B3">
        <w:trPr>
          <w:cantSplit/>
          <w:tblHeader/>
        </w:trPr>
        <w:tc>
          <w:tcPr>
            <w:tcW w:w="4962" w:type="dxa"/>
            <w:shd w:val="clear" w:color="auto" w:fill="C2E3FA"/>
            <w:vAlign w:val="bottom"/>
          </w:tcPr>
          <w:p w:rsidR="00487FE2" w:rsidRPr="000540E1" w:rsidRDefault="00487FE2" w:rsidP="00102A61">
            <w:pPr>
              <w:pStyle w:val="tablehead"/>
            </w:pPr>
            <w:r w:rsidRPr="00A030FC">
              <w:rPr>
                <w:rFonts w:ascii="Calibri" w:hAnsi="Calibri"/>
                <w:color w:val="000000"/>
                <w:szCs w:val="22"/>
              </w:rPr>
              <w:t> </w:t>
            </w:r>
          </w:p>
        </w:tc>
        <w:tc>
          <w:tcPr>
            <w:tcW w:w="1417" w:type="dxa"/>
            <w:shd w:val="clear" w:color="auto" w:fill="C2E3FA"/>
            <w:vAlign w:val="bottom"/>
          </w:tcPr>
          <w:p w:rsidR="00102A61" w:rsidRDefault="00E749B3">
            <w:pPr>
              <w:pStyle w:val="tablehead"/>
            </w:pPr>
            <w:r>
              <w:t>No.</w:t>
            </w:r>
            <w:r w:rsidR="00487FE2" w:rsidRPr="00A030FC">
              <w:t xml:space="preserve"> of issuers</w:t>
            </w:r>
          </w:p>
        </w:tc>
        <w:tc>
          <w:tcPr>
            <w:tcW w:w="2687" w:type="dxa"/>
            <w:shd w:val="clear" w:color="auto" w:fill="C2E3FA"/>
            <w:vAlign w:val="bottom"/>
          </w:tcPr>
          <w:p w:rsidR="00102A61" w:rsidRDefault="00487FE2">
            <w:pPr>
              <w:pStyle w:val="tablehead"/>
            </w:pPr>
            <w:r>
              <w:t>Proportion of issuers</w:t>
            </w:r>
          </w:p>
        </w:tc>
      </w:tr>
      <w:tr w:rsidR="00E749B3" w:rsidRPr="000540E1" w:rsidTr="00E749B3">
        <w:trPr>
          <w:cantSplit/>
        </w:trPr>
        <w:tc>
          <w:tcPr>
            <w:tcW w:w="4962" w:type="dxa"/>
            <w:vAlign w:val="bottom"/>
          </w:tcPr>
          <w:p w:rsidR="00102A61" w:rsidRDefault="00487FE2">
            <w:pPr>
              <w:pStyle w:val="tbltext"/>
            </w:pPr>
            <w:r w:rsidRPr="00A030FC">
              <w:t xml:space="preserve"> Deficit of</w:t>
            </w:r>
            <w:r>
              <w:t xml:space="preserve"> proposed</w:t>
            </w:r>
            <w:r w:rsidRPr="00A030FC">
              <w:t xml:space="preserve"> NTA requirement as at 29</w:t>
            </w:r>
            <w:r>
              <w:t> </w:t>
            </w:r>
            <w:r w:rsidRPr="00A030FC">
              <w:t xml:space="preserve">August 2011 </w:t>
            </w:r>
          </w:p>
        </w:tc>
        <w:tc>
          <w:tcPr>
            <w:tcW w:w="1417" w:type="dxa"/>
            <w:vAlign w:val="bottom"/>
          </w:tcPr>
          <w:p w:rsidR="00ED29D5" w:rsidRDefault="00487FE2" w:rsidP="00ED29D5">
            <w:pPr>
              <w:pStyle w:val="tbltext"/>
              <w:jc w:val="center"/>
            </w:pPr>
            <w:r w:rsidRPr="00A030FC">
              <w:t>7</w:t>
            </w:r>
          </w:p>
        </w:tc>
        <w:tc>
          <w:tcPr>
            <w:tcW w:w="2687" w:type="dxa"/>
            <w:vAlign w:val="bottom"/>
          </w:tcPr>
          <w:p w:rsidR="00487FE2" w:rsidRPr="000540E1" w:rsidRDefault="00487FE2" w:rsidP="00102A61">
            <w:pPr>
              <w:pStyle w:val="tbltext"/>
            </w:pPr>
            <w:r>
              <w:t>44% of all affected issuers</w:t>
            </w:r>
          </w:p>
        </w:tc>
      </w:tr>
      <w:tr w:rsidR="00E749B3" w:rsidRPr="000540E1" w:rsidTr="00E749B3">
        <w:trPr>
          <w:cantSplit/>
        </w:trPr>
        <w:tc>
          <w:tcPr>
            <w:tcW w:w="4962" w:type="dxa"/>
            <w:vAlign w:val="bottom"/>
          </w:tcPr>
          <w:p w:rsidR="00487FE2" w:rsidRPr="000540E1" w:rsidRDefault="00487FE2" w:rsidP="00102A61">
            <w:pPr>
              <w:pStyle w:val="tbltext"/>
            </w:pPr>
            <w:r>
              <w:t>Issues requiring more capital that are a</w:t>
            </w:r>
            <w:r w:rsidRPr="00A030FC">
              <w:t>ble to raise additional funds to meet the required NTA</w:t>
            </w:r>
          </w:p>
        </w:tc>
        <w:tc>
          <w:tcPr>
            <w:tcW w:w="1417" w:type="dxa"/>
            <w:vAlign w:val="bottom"/>
          </w:tcPr>
          <w:p w:rsidR="00ED29D5" w:rsidRDefault="00487FE2" w:rsidP="00ED29D5">
            <w:pPr>
              <w:pStyle w:val="tbltext"/>
              <w:jc w:val="center"/>
            </w:pPr>
            <w:r w:rsidRPr="00A030FC">
              <w:t>6</w:t>
            </w:r>
          </w:p>
        </w:tc>
        <w:tc>
          <w:tcPr>
            <w:tcW w:w="2687" w:type="dxa"/>
            <w:vAlign w:val="bottom"/>
          </w:tcPr>
          <w:p w:rsidR="00487FE2" w:rsidRPr="000540E1" w:rsidRDefault="00487FE2" w:rsidP="00102A61">
            <w:pPr>
              <w:pStyle w:val="tbltext"/>
            </w:pPr>
            <w:r>
              <w:t>86% of affected issuers requiring more capital</w:t>
            </w:r>
          </w:p>
        </w:tc>
      </w:tr>
      <w:tr w:rsidR="00E749B3" w:rsidRPr="000540E1" w:rsidTr="00E749B3">
        <w:trPr>
          <w:cantSplit/>
        </w:trPr>
        <w:tc>
          <w:tcPr>
            <w:tcW w:w="4962" w:type="dxa"/>
            <w:vAlign w:val="bottom"/>
          </w:tcPr>
          <w:p w:rsidR="00487FE2" w:rsidRPr="000540E1" w:rsidRDefault="00487FE2" w:rsidP="00102A61">
            <w:pPr>
              <w:pStyle w:val="tbltext"/>
            </w:pPr>
            <w:r w:rsidRPr="00A030FC">
              <w:rPr>
                <w:color w:val="000000"/>
              </w:rPr>
              <w:t>Total issuers unable to raise additional funds</w:t>
            </w:r>
          </w:p>
        </w:tc>
        <w:tc>
          <w:tcPr>
            <w:tcW w:w="1417" w:type="dxa"/>
            <w:vAlign w:val="bottom"/>
          </w:tcPr>
          <w:p w:rsidR="00ED29D5" w:rsidRDefault="00487FE2" w:rsidP="00ED29D5">
            <w:pPr>
              <w:pStyle w:val="tbltext"/>
              <w:jc w:val="center"/>
            </w:pPr>
            <w:r w:rsidRPr="00A030FC">
              <w:t>1</w:t>
            </w:r>
          </w:p>
        </w:tc>
        <w:tc>
          <w:tcPr>
            <w:tcW w:w="2687" w:type="dxa"/>
            <w:vAlign w:val="bottom"/>
          </w:tcPr>
          <w:p w:rsidR="00487FE2" w:rsidRPr="000540E1" w:rsidRDefault="00487FE2" w:rsidP="00102A61">
            <w:pPr>
              <w:pStyle w:val="tbltext"/>
            </w:pPr>
            <w:r>
              <w:t>14% of affected issuers requiring more capital</w:t>
            </w:r>
          </w:p>
        </w:tc>
      </w:tr>
      <w:tr w:rsidR="00E749B3" w:rsidRPr="000540E1" w:rsidTr="00E749B3">
        <w:trPr>
          <w:cantSplit/>
        </w:trPr>
        <w:tc>
          <w:tcPr>
            <w:tcW w:w="4962" w:type="dxa"/>
            <w:vAlign w:val="bottom"/>
          </w:tcPr>
          <w:p w:rsidR="00487FE2" w:rsidRPr="000540E1" w:rsidRDefault="00487FE2" w:rsidP="00102A61">
            <w:pPr>
              <w:pStyle w:val="tbltext"/>
            </w:pPr>
            <w:r w:rsidRPr="00A030FC">
              <w:rPr>
                <w:color w:val="000000"/>
              </w:rPr>
              <w:t>Number of issuers that would consider exiting the market</w:t>
            </w:r>
          </w:p>
        </w:tc>
        <w:tc>
          <w:tcPr>
            <w:tcW w:w="1417" w:type="dxa"/>
            <w:vAlign w:val="bottom"/>
          </w:tcPr>
          <w:p w:rsidR="00ED29D5" w:rsidRDefault="00487FE2" w:rsidP="00ED29D5">
            <w:pPr>
              <w:pStyle w:val="tbltext"/>
              <w:jc w:val="center"/>
            </w:pPr>
            <w:r w:rsidRPr="00A030FC">
              <w:t>4</w:t>
            </w:r>
          </w:p>
        </w:tc>
        <w:tc>
          <w:tcPr>
            <w:tcW w:w="2687" w:type="dxa"/>
            <w:vAlign w:val="bottom"/>
          </w:tcPr>
          <w:p w:rsidR="00487FE2" w:rsidRPr="000540E1" w:rsidRDefault="00487FE2" w:rsidP="00102A61">
            <w:pPr>
              <w:pStyle w:val="tbltext"/>
            </w:pPr>
            <w:r>
              <w:t>25% of all affected issuers</w:t>
            </w:r>
          </w:p>
        </w:tc>
      </w:tr>
    </w:tbl>
    <w:p w:rsidR="00ED29D5" w:rsidRDefault="0006257F" w:rsidP="00ED29D5">
      <w:pPr>
        <w:pStyle w:val="BodyText"/>
        <w:spacing w:before="360"/>
      </w:pPr>
      <w:r>
        <w:t xml:space="preserve">Of the </w:t>
      </w:r>
      <w:r w:rsidR="00487FE2">
        <w:t>seven</w:t>
      </w:r>
      <w:r>
        <w:t xml:space="preserve"> </w:t>
      </w:r>
      <w:r w:rsidR="00F315A5" w:rsidRPr="00F315A5">
        <w:t>retail OTC derivative</w:t>
      </w:r>
      <w:r w:rsidR="00F315A5">
        <w:t xml:space="preserve"> i</w:t>
      </w:r>
      <w:r>
        <w:t xml:space="preserve">ssuers that would have had a deficit of NTA as at the date of the survey, all would have been required to hold the minimum of $1,000,000. </w:t>
      </w:r>
      <w:r w:rsidR="00F46B77">
        <w:t>We expect</w:t>
      </w:r>
      <w:r>
        <w:t xml:space="preserve"> that a similar proportion of non-responding </w:t>
      </w:r>
      <w:r w:rsidR="00487FE2">
        <w:t xml:space="preserve">issuers </w:t>
      </w:r>
      <w:r>
        <w:t xml:space="preserve">(about half) do not currently hold the proposed minimum </w:t>
      </w:r>
      <w:r w:rsidR="00455126">
        <w:t xml:space="preserve">required NTA of </w:t>
      </w:r>
      <w:r>
        <w:t xml:space="preserve">$1,000,000. Of the seven </w:t>
      </w:r>
      <w:r w:rsidR="00F315A5">
        <w:t>i</w:t>
      </w:r>
      <w:r>
        <w:t xml:space="preserve">ssuers who do not have sufficient NTA, the average shortfall was approximately $600,000. </w:t>
      </w:r>
    </w:p>
    <w:p w:rsidR="00B62DF8" w:rsidRDefault="00B62DF8" w:rsidP="0030766B">
      <w:pPr>
        <w:pStyle w:val="BodyText"/>
      </w:pPr>
      <w:bookmarkStart w:id="36" w:name="_Ref315252621"/>
      <w:r>
        <w:t>If we apply the $600,000 average capital shortfall and the 44% proportion requiring more capital to the eight issuers that did not responding (rounding fractions up), we can</w:t>
      </w:r>
      <w:r w:rsidR="00F46B77">
        <w:t xml:space="preserve"> roughly</w:t>
      </w:r>
      <w:r>
        <w:t xml:space="preserve"> estimate the total capital shortfall</w:t>
      </w:r>
      <w:r w:rsidR="004319BF">
        <w:t xml:space="preserve">: see </w:t>
      </w:r>
      <w:r w:rsidR="00543607">
        <w:fldChar w:fldCharType="begin"/>
      </w:r>
      <w:r w:rsidR="004319BF">
        <w:instrText xml:space="preserve"> REF _Ref325037542 \h </w:instrText>
      </w:r>
      <w:r w:rsidR="00543607">
        <w:fldChar w:fldCharType="separate"/>
      </w:r>
      <w:r w:rsidR="00337A8C">
        <w:t xml:space="preserve">Table </w:t>
      </w:r>
      <w:r w:rsidR="00337A8C">
        <w:rPr>
          <w:noProof/>
        </w:rPr>
        <w:t>8</w:t>
      </w:r>
      <w:r w:rsidR="00543607">
        <w:fldChar w:fldCharType="end"/>
      </w:r>
      <w:r>
        <w:t>.</w:t>
      </w:r>
      <w:bookmarkEnd w:id="36"/>
    </w:p>
    <w:p w:rsidR="0013157F" w:rsidRDefault="0013157F" w:rsidP="0013157F">
      <w:pPr>
        <w:pStyle w:val="tabletitlefullwidth"/>
        <w:keepLines/>
      </w:pPr>
      <w:bookmarkStart w:id="37" w:name="_Ref325037542"/>
      <w:r>
        <w:lastRenderedPageBreak/>
        <w:t xml:space="preserve">Table </w:t>
      </w:r>
      <w:r w:rsidR="00543607">
        <w:fldChar w:fldCharType="begin"/>
      </w:r>
      <w:r>
        <w:instrText xml:space="preserve"> SEQ Table \* ARABIC </w:instrText>
      </w:r>
      <w:r w:rsidR="00543607">
        <w:fldChar w:fldCharType="separate"/>
      </w:r>
      <w:r w:rsidR="00337A8C">
        <w:rPr>
          <w:noProof/>
        </w:rPr>
        <w:t>8</w:t>
      </w:r>
      <w:r w:rsidR="00543607">
        <w:fldChar w:fldCharType="end"/>
      </w:r>
      <w:bookmarkEnd w:id="37"/>
      <w:r>
        <w:t>:</w:t>
      </w:r>
      <w:r>
        <w:tab/>
      </w:r>
      <w:r w:rsidRPr="0013157F">
        <w:t>Extrapolation of capital r</w:t>
      </w:r>
      <w:r w:rsidR="00FE5CEB">
        <w:t>equired to meet the NTA requirement</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6521"/>
        <w:gridCol w:w="2551"/>
      </w:tblGrid>
      <w:tr w:rsidR="0013157F" w:rsidRPr="000540E1" w:rsidTr="0013157F">
        <w:trPr>
          <w:cantSplit/>
          <w:tblHeader/>
        </w:trPr>
        <w:tc>
          <w:tcPr>
            <w:tcW w:w="6521" w:type="dxa"/>
            <w:shd w:val="clear" w:color="auto" w:fill="C2E3FA"/>
          </w:tcPr>
          <w:p w:rsidR="00ED29D5" w:rsidRDefault="00ED29D5" w:rsidP="00ED29D5">
            <w:pPr>
              <w:pStyle w:val="tablehead"/>
              <w:keepLines/>
              <w:rPr>
                <w:kern w:val="28"/>
              </w:rPr>
            </w:pPr>
          </w:p>
        </w:tc>
        <w:tc>
          <w:tcPr>
            <w:tcW w:w="2551" w:type="dxa"/>
            <w:shd w:val="clear" w:color="auto" w:fill="C2E3FA"/>
          </w:tcPr>
          <w:p w:rsidR="00ED29D5" w:rsidRDefault="0013157F" w:rsidP="00ED29D5">
            <w:pPr>
              <w:pStyle w:val="tablehead"/>
              <w:keepLines/>
            </w:pPr>
            <w:r>
              <w:t>Additional capital required</w:t>
            </w:r>
          </w:p>
        </w:tc>
      </w:tr>
      <w:tr w:rsidR="0013157F" w:rsidRPr="000540E1" w:rsidTr="0013157F">
        <w:trPr>
          <w:cantSplit/>
        </w:trPr>
        <w:tc>
          <w:tcPr>
            <w:tcW w:w="6521" w:type="dxa"/>
          </w:tcPr>
          <w:p w:rsidR="00ED29D5" w:rsidRDefault="0013157F" w:rsidP="00ED29D5">
            <w:pPr>
              <w:pStyle w:val="tbltext"/>
              <w:keepNext/>
              <w:keepLines/>
            </w:pPr>
            <w:r>
              <w:t>Issuers with a deficit of required NTA</w:t>
            </w:r>
            <w:r w:rsidRPr="008021AE">
              <w:rPr>
                <w:vertAlign w:val="superscript"/>
              </w:rPr>
              <w:footnoteReference w:id="8"/>
            </w:r>
          </w:p>
        </w:tc>
        <w:tc>
          <w:tcPr>
            <w:tcW w:w="2551" w:type="dxa"/>
          </w:tcPr>
          <w:p w:rsidR="00ED29D5" w:rsidRDefault="0013157F" w:rsidP="00ED29D5">
            <w:pPr>
              <w:pStyle w:val="tbltext"/>
              <w:keepNext/>
              <w:keepLines/>
              <w:ind w:right="600"/>
              <w:jc w:val="right"/>
            </w:pPr>
            <w:r>
              <w:t>7</w:t>
            </w:r>
          </w:p>
        </w:tc>
      </w:tr>
      <w:tr w:rsidR="0013157F" w:rsidRPr="000540E1" w:rsidTr="0013157F">
        <w:trPr>
          <w:cantSplit/>
        </w:trPr>
        <w:tc>
          <w:tcPr>
            <w:tcW w:w="6521" w:type="dxa"/>
          </w:tcPr>
          <w:p w:rsidR="00ED29D5" w:rsidRDefault="0013157F" w:rsidP="00ED29D5">
            <w:pPr>
              <w:pStyle w:val="tbltext"/>
              <w:keepNext/>
              <w:keepLines/>
            </w:pPr>
            <w:r>
              <w:t>Estimated proportion of non-responding affected issuers requiring more capital</w:t>
            </w:r>
            <w:r>
              <w:rPr>
                <w:rStyle w:val="FootnoteReference"/>
              </w:rPr>
              <w:footnoteReference w:id="9"/>
            </w:r>
          </w:p>
        </w:tc>
        <w:tc>
          <w:tcPr>
            <w:tcW w:w="2551" w:type="dxa"/>
          </w:tcPr>
          <w:p w:rsidR="00ED29D5" w:rsidRDefault="0013157F" w:rsidP="00ED29D5">
            <w:pPr>
              <w:pStyle w:val="tbltext"/>
              <w:keepNext/>
              <w:keepLines/>
              <w:ind w:right="600"/>
              <w:jc w:val="right"/>
            </w:pPr>
            <w:r>
              <w:t>4</w:t>
            </w:r>
          </w:p>
        </w:tc>
      </w:tr>
      <w:tr w:rsidR="0013157F" w:rsidRPr="000540E1" w:rsidTr="0013157F">
        <w:trPr>
          <w:cantSplit/>
        </w:trPr>
        <w:tc>
          <w:tcPr>
            <w:tcW w:w="6521" w:type="dxa"/>
          </w:tcPr>
          <w:p w:rsidR="00ED29D5" w:rsidRDefault="0013157F" w:rsidP="00ED29D5">
            <w:pPr>
              <w:pStyle w:val="tbltext"/>
              <w:keepNext/>
              <w:keepLines/>
            </w:pPr>
            <w:r>
              <w:t>Average amount of shortfall</w:t>
            </w:r>
            <w:r>
              <w:rPr>
                <w:rStyle w:val="FootnoteReference"/>
              </w:rPr>
              <w:footnoteReference w:id="10"/>
            </w:r>
          </w:p>
        </w:tc>
        <w:tc>
          <w:tcPr>
            <w:tcW w:w="2551" w:type="dxa"/>
          </w:tcPr>
          <w:p w:rsidR="00ED29D5" w:rsidRDefault="0013157F" w:rsidP="00ED29D5">
            <w:pPr>
              <w:pStyle w:val="tbltext"/>
              <w:keepNext/>
              <w:keepLines/>
              <w:ind w:right="600"/>
              <w:jc w:val="right"/>
            </w:pPr>
            <w:r>
              <w:t>$600,000</w:t>
            </w:r>
          </w:p>
        </w:tc>
      </w:tr>
      <w:tr w:rsidR="0013157F" w:rsidRPr="000540E1" w:rsidTr="0013157F">
        <w:trPr>
          <w:cantSplit/>
        </w:trPr>
        <w:tc>
          <w:tcPr>
            <w:tcW w:w="6521" w:type="dxa"/>
          </w:tcPr>
          <w:p w:rsidR="00ED29D5" w:rsidRDefault="0013157F" w:rsidP="00ED29D5">
            <w:pPr>
              <w:pStyle w:val="tbltext"/>
              <w:keepNext/>
              <w:keepLines/>
            </w:pPr>
            <w:r>
              <w:t xml:space="preserve">Estimated total amount of capital that will need to be raised by </w:t>
            </w:r>
            <w:r w:rsidRPr="00F315A5">
              <w:t>retail OTC derivative</w:t>
            </w:r>
            <w:r>
              <w:t xml:space="preserve"> sector to comply with NTA</w:t>
            </w:r>
          </w:p>
        </w:tc>
        <w:tc>
          <w:tcPr>
            <w:tcW w:w="2551" w:type="dxa"/>
          </w:tcPr>
          <w:p w:rsidR="00ED29D5" w:rsidRDefault="0013157F" w:rsidP="00ED29D5">
            <w:pPr>
              <w:pStyle w:val="tbltext"/>
              <w:keepNext/>
              <w:keepLines/>
              <w:ind w:right="600"/>
              <w:jc w:val="right"/>
            </w:pPr>
            <w:r>
              <w:t>$7,800,000</w:t>
            </w:r>
          </w:p>
        </w:tc>
      </w:tr>
    </w:tbl>
    <w:p w:rsidR="00ED29D5" w:rsidRDefault="0006257F" w:rsidP="00ED29D5">
      <w:pPr>
        <w:pStyle w:val="Heading5"/>
        <w:spacing w:before="360"/>
      </w:pPr>
      <w:r>
        <w:t>Cost of raising capital</w:t>
      </w:r>
    </w:p>
    <w:p w:rsidR="001746B6" w:rsidRDefault="001746B6" w:rsidP="001746B6">
      <w:pPr>
        <w:pStyle w:val="BodyText"/>
      </w:pPr>
      <w:r>
        <w:t xml:space="preserve">Based on our </w:t>
      </w:r>
      <w:r w:rsidR="00C3360C">
        <w:t xml:space="preserve">issuer </w:t>
      </w:r>
      <w:r>
        <w:t xml:space="preserve">survey, larger </w:t>
      </w:r>
      <w:r w:rsidR="00F315A5">
        <w:t>i</w:t>
      </w:r>
      <w:r>
        <w:t xml:space="preserve">ssuers will not be required to raise additional capital to meet </w:t>
      </w:r>
      <w:r w:rsidR="00FE5CEB">
        <w:t>the NTA requirement</w:t>
      </w:r>
      <w:r w:rsidR="00215DCA">
        <w:t>. Howeve</w:t>
      </w:r>
      <w:r w:rsidR="00D132CB">
        <w:t xml:space="preserve">r, many smaller, under-capitalised </w:t>
      </w:r>
      <w:r w:rsidR="00F315A5">
        <w:t>i</w:t>
      </w:r>
      <w:r w:rsidR="00D132CB">
        <w:t>ssuers</w:t>
      </w:r>
      <w:r w:rsidR="00215DCA">
        <w:t xml:space="preserve"> </w:t>
      </w:r>
      <w:r w:rsidR="00C3333D">
        <w:t xml:space="preserve">will need to raise additional capital to comply. Of the </w:t>
      </w:r>
      <w:r w:rsidR="00F315A5">
        <w:t>i</w:t>
      </w:r>
      <w:r w:rsidR="00C3333D">
        <w:t>ssuers who responded stating they would need to raise additional capital:</w:t>
      </w:r>
    </w:p>
    <w:p w:rsidR="00C3333D" w:rsidRDefault="007F608F" w:rsidP="00C3333D">
      <w:pPr>
        <w:pStyle w:val="subparaa"/>
      </w:pPr>
      <w:r>
        <w:t>o</w:t>
      </w:r>
      <w:r w:rsidR="00C3333D">
        <w:t xml:space="preserve">ne stated that it would be unable to do so (however, this </w:t>
      </w:r>
      <w:r w:rsidR="00F315A5">
        <w:t>i</w:t>
      </w:r>
      <w:r w:rsidR="00C3333D">
        <w:t>ssuer was in the process of exiting the industry anyway);</w:t>
      </w:r>
    </w:p>
    <w:p w:rsidR="00C3333D" w:rsidRDefault="007F608F" w:rsidP="00C3333D">
      <w:pPr>
        <w:pStyle w:val="subparaa"/>
      </w:pPr>
      <w:r>
        <w:t>three</w:t>
      </w:r>
      <w:r w:rsidR="00C3333D">
        <w:t xml:space="preserve"> stated that they would raise capital from their parent company;</w:t>
      </w:r>
    </w:p>
    <w:p w:rsidR="00C3333D" w:rsidRDefault="007F608F" w:rsidP="00C3333D">
      <w:pPr>
        <w:pStyle w:val="subparaa"/>
      </w:pPr>
      <w:r>
        <w:t>two</w:t>
      </w:r>
      <w:r w:rsidR="001E1766">
        <w:t xml:space="preserve"> stated that they would raise funds from existing shareholders;</w:t>
      </w:r>
      <w:r w:rsidR="00DF279D">
        <w:t xml:space="preserve"> and</w:t>
      </w:r>
    </w:p>
    <w:p w:rsidR="001E1766" w:rsidRDefault="007F608F" w:rsidP="00C3333D">
      <w:pPr>
        <w:pStyle w:val="subparaa"/>
      </w:pPr>
      <w:r>
        <w:t>o</w:t>
      </w:r>
      <w:r w:rsidR="001E1766">
        <w:t>ne did not specify how it would raise the funds.</w:t>
      </w:r>
    </w:p>
    <w:p w:rsidR="004F74F5" w:rsidRDefault="004F74F5" w:rsidP="004F74F5">
      <w:pPr>
        <w:pStyle w:val="BodyText"/>
      </w:pPr>
      <w:bookmarkStart w:id="38" w:name="_ASICRef414"/>
      <w:r>
        <w:t xml:space="preserve">Based on their responses, the </w:t>
      </w:r>
      <w:r w:rsidRPr="00050C20">
        <w:t>large</w:t>
      </w:r>
      <w:r>
        <w:t>r</w:t>
      </w:r>
      <w:r w:rsidRPr="00050C20">
        <w:t xml:space="preserve"> </w:t>
      </w:r>
      <w:r w:rsidR="00F315A5" w:rsidRPr="00F315A5">
        <w:t>retail OTC derivative</w:t>
      </w:r>
      <w:r w:rsidR="00F315A5">
        <w:t xml:space="preserve"> i</w:t>
      </w:r>
      <w:r>
        <w:t xml:space="preserve">ssuers will not </w:t>
      </w:r>
      <w:r w:rsidRPr="00050C20">
        <w:t>need to source additional capital externally</w:t>
      </w:r>
      <w:r>
        <w:t>;</w:t>
      </w:r>
      <w:r w:rsidRPr="00050C20">
        <w:t xml:space="preserve"> thus the administrative costs associated with sourcing additional capita</w:t>
      </w:r>
      <w:r>
        <w:t>l are expected to be minimal. However, t</w:t>
      </w:r>
      <w:r w:rsidRPr="00050C20">
        <w:t>he directors may need to meet and give consideration to the additional capital required.</w:t>
      </w:r>
      <w:bookmarkEnd w:id="38"/>
    </w:p>
    <w:p w:rsidR="004F74F5" w:rsidRDefault="004F74F5" w:rsidP="004F74F5">
      <w:pPr>
        <w:pStyle w:val="BodyText"/>
      </w:pPr>
      <w:bookmarkStart w:id="39" w:name="_Ref315252696"/>
      <w:r w:rsidRPr="00050C20">
        <w:t xml:space="preserve">As an example of the possible administrative costs associated with sourcing additional capital, </w:t>
      </w:r>
      <w:r w:rsidRPr="003D3DE9">
        <w:t xml:space="preserve">there will be a total cost of $5250 per entity </w:t>
      </w:r>
      <w:r w:rsidRPr="00050C20">
        <w:t>if</w:t>
      </w:r>
      <w:r>
        <w:t xml:space="preserve"> </w:t>
      </w:r>
      <w:r w:rsidRPr="000177DB">
        <w:t>the relocation of internal funding requires</w:t>
      </w:r>
      <w:r>
        <w:t>:</w:t>
      </w:r>
      <w:bookmarkEnd w:id="39"/>
    </w:p>
    <w:p w:rsidR="004F74F5" w:rsidRDefault="004F74F5" w:rsidP="004F74F5">
      <w:pPr>
        <w:pStyle w:val="subparaa"/>
      </w:pPr>
      <w:r w:rsidRPr="00050C20">
        <w:t>one week</w:t>
      </w:r>
      <w:r w:rsidR="00927BB5">
        <w:t>’</w:t>
      </w:r>
      <w:r w:rsidRPr="00050C20">
        <w:t xml:space="preserve">s time of an analyst (assuming </w:t>
      </w:r>
      <w:r>
        <w:t xml:space="preserve">a </w:t>
      </w:r>
      <w:r w:rsidRPr="00050C20">
        <w:t xml:space="preserve">salary of $75,000 per </w:t>
      </w:r>
      <w:r w:rsidR="00487FE2">
        <w:t>year</w:t>
      </w:r>
      <w:r w:rsidRPr="00050C20">
        <w:t>)</w:t>
      </w:r>
      <w:r>
        <w:t xml:space="preserve"> at a cost of</w:t>
      </w:r>
      <w:r w:rsidRPr="00050C20">
        <w:t xml:space="preserve"> $1500 per entity</w:t>
      </w:r>
      <w:r>
        <w:t>; and</w:t>
      </w:r>
    </w:p>
    <w:p w:rsidR="004F74F5" w:rsidRDefault="004F74F5" w:rsidP="00635350">
      <w:pPr>
        <w:pStyle w:val="subparaa"/>
        <w:ind w:right="-284"/>
      </w:pPr>
      <w:r w:rsidRPr="00050C20">
        <w:t>one hour</w:t>
      </w:r>
      <w:r w:rsidR="00927BB5">
        <w:t>’</w:t>
      </w:r>
      <w:r w:rsidRPr="00050C20">
        <w:t>s time of directors</w:t>
      </w:r>
      <w:r>
        <w:t xml:space="preserve"> at a cost of</w:t>
      </w:r>
      <w:r w:rsidRPr="00050C20">
        <w:t xml:space="preserve"> $3750</w:t>
      </w:r>
      <w:r>
        <w:t xml:space="preserve"> (as previously estimated)</w:t>
      </w:r>
      <w:r w:rsidRPr="00050C20">
        <w:t>.</w:t>
      </w:r>
    </w:p>
    <w:p w:rsidR="004F74F5" w:rsidRDefault="004F74F5" w:rsidP="004F74F5">
      <w:pPr>
        <w:pStyle w:val="BodyText"/>
      </w:pPr>
      <w:bookmarkStart w:id="40" w:name="_Ref315252734"/>
      <w:r>
        <w:t xml:space="preserve">Of the smaller </w:t>
      </w:r>
      <w:r w:rsidR="00F315A5">
        <w:t>i</w:t>
      </w:r>
      <w:r>
        <w:t>ssuers, who have stated they</w:t>
      </w:r>
      <w:r w:rsidRPr="00050C20">
        <w:t xml:space="preserve"> may need to source additional capital, the</w:t>
      </w:r>
      <w:r>
        <w:t xml:space="preserve"> main sources cited were related entities or existing shareholders</w:t>
      </w:r>
      <w:r w:rsidRPr="00050C20">
        <w:t>.</w:t>
      </w:r>
      <w:r>
        <w:t xml:space="preserve"> However, it is possible that other </w:t>
      </w:r>
      <w:r w:rsidR="00F315A5" w:rsidRPr="00F315A5">
        <w:t>retail OTC derivative</w:t>
      </w:r>
      <w:r w:rsidR="00F315A5">
        <w:t xml:space="preserve"> i</w:t>
      </w:r>
      <w:r>
        <w:t>ssuers that did</w:t>
      </w:r>
      <w:r w:rsidR="007F608F">
        <w:t xml:space="preserve"> not </w:t>
      </w:r>
      <w:r w:rsidR="007F608F">
        <w:lastRenderedPageBreak/>
        <w:t>respond to our survey</w:t>
      </w:r>
      <w:r>
        <w:t xml:space="preserve"> may need to obtain funds from unrelated investors. As</w:t>
      </w:r>
      <w:r w:rsidRPr="00050C20">
        <w:t xml:space="preserve"> an example</w:t>
      </w:r>
      <w:r>
        <w:t>,</w:t>
      </w:r>
      <w:r w:rsidRPr="00050C20">
        <w:t xml:space="preserve"> </w:t>
      </w:r>
      <w:r w:rsidRPr="006C018C">
        <w:t>internal administrative costs</w:t>
      </w:r>
      <w:r>
        <w:t xml:space="preserve"> of sourcing these funds</w:t>
      </w:r>
      <w:r w:rsidRPr="006C018C">
        <w:t xml:space="preserve"> would be $18,000</w:t>
      </w:r>
      <w:r>
        <w:t xml:space="preserve"> </w:t>
      </w:r>
      <w:r w:rsidRPr="00050C20">
        <w:t>if</w:t>
      </w:r>
      <w:r>
        <w:t>:</w:t>
      </w:r>
      <w:bookmarkEnd w:id="40"/>
    </w:p>
    <w:p w:rsidR="004F74F5" w:rsidRDefault="004F74F5" w:rsidP="004F74F5">
      <w:pPr>
        <w:pStyle w:val="subparaa"/>
      </w:pPr>
      <w:r w:rsidRPr="00050C20">
        <w:t xml:space="preserve">a chief executive officer paid $200,000 per </w:t>
      </w:r>
      <w:r w:rsidR="00487FE2">
        <w:t>year</w:t>
      </w:r>
      <w:r w:rsidRPr="00050C20">
        <w:t xml:space="preserve"> spent two weeks marketing, at a cost of $7500</w:t>
      </w:r>
      <w:r>
        <w:t>;</w:t>
      </w:r>
    </w:p>
    <w:p w:rsidR="004F74F5" w:rsidRDefault="004F74F5" w:rsidP="004F74F5">
      <w:pPr>
        <w:pStyle w:val="subparaa"/>
      </w:pPr>
      <w:r w:rsidRPr="00050C20">
        <w:t xml:space="preserve">an employee (assuming analyst salary of $75,000 per </w:t>
      </w:r>
      <w:r w:rsidR="00487FE2">
        <w:t>year</w:t>
      </w:r>
      <w:r w:rsidRPr="00050C20">
        <w:t>) spent two weeks preparing due diligence, at a cost of $3000</w:t>
      </w:r>
      <w:r>
        <w:t>;</w:t>
      </w:r>
      <w:r w:rsidRPr="00050C20">
        <w:t xml:space="preserve"> and</w:t>
      </w:r>
    </w:p>
    <w:p w:rsidR="004F74F5" w:rsidRDefault="004F74F5" w:rsidP="004F74F5">
      <w:pPr>
        <w:pStyle w:val="subparaa"/>
      </w:pPr>
      <w:r>
        <w:t xml:space="preserve">three independent </w:t>
      </w:r>
      <w:r w:rsidRPr="00050C20">
        <w:t>directors spent two hours considering the proposal, at a cost of $7500.</w:t>
      </w:r>
    </w:p>
    <w:p w:rsidR="004F74F5" w:rsidRDefault="004F74F5" w:rsidP="004F74F5">
      <w:pPr>
        <w:pStyle w:val="BodyText"/>
      </w:pPr>
      <w:r w:rsidRPr="00050C20">
        <w:t>These costs will vary depending on the availability of equity</w:t>
      </w:r>
      <w:r>
        <w:t xml:space="preserve"> capital</w:t>
      </w:r>
      <w:r w:rsidRPr="00050C20">
        <w:t xml:space="preserve"> in the m</w:t>
      </w:r>
      <w:r>
        <w:t xml:space="preserve">arket and the viability of the </w:t>
      </w:r>
      <w:r w:rsidR="00F315A5">
        <w:t>i</w:t>
      </w:r>
      <w:r>
        <w:t>ssuer</w:t>
      </w:r>
      <w:r w:rsidR="00927BB5">
        <w:t>’</w:t>
      </w:r>
      <w:r>
        <w:t>s business</w:t>
      </w:r>
      <w:r w:rsidRPr="00050C20">
        <w:t>.</w:t>
      </w:r>
      <w:r>
        <w:t xml:space="preserve"> It should be noted that, in light of recent collapses in the </w:t>
      </w:r>
      <w:r w:rsidR="00F315A5" w:rsidRPr="00F315A5">
        <w:t>retail OTC derivative</w:t>
      </w:r>
      <w:r w:rsidR="006A21D6">
        <w:t xml:space="preserve"> </w:t>
      </w:r>
      <w:r>
        <w:t xml:space="preserve">sector, it may be difficult for some smaller </w:t>
      </w:r>
      <w:r w:rsidR="00F315A5">
        <w:t>i</w:t>
      </w:r>
      <w:r>
        <w:t xml:space="preserve">ssuers to raise capital from third-party investors. </w:t>
      </w:r>
    </w:p>
    <w:p w:rsidR="001E1766" w:rsidRDefault="004F74F5" w:rsidP="00635350">
      <w:pPr>
        <w:pStyle w:val="BodyText"/>
        <w:ind w:right="-284"/>
      </w:pPr>
      <w:bookmarkStart w:id="41" w:name="_ASICRef862"/>
      <w:bookmarkStart w:id="42" w:name="_Ref315252790"/>
      <w:r w:rsidRPr="00671873">
        <w:t xml:space="preserve">The </w:t>
      </w:r>
      <w:bookmarkEnd w:id="41"/>
      <w:r w:rsidR="00671873">
        <w:t xml:space="preserve">overall cost of capital will also depend on the particular </w:t>
      </w:r>
      <w:r w:rsidR="00F315A5">
        <w:t>i</w:t>
      </w:r>
      <w:r w:rsidR="00671873">
        <w:t>ssuer</w:t>
      </w:r>
      <w:r w:rsidR="00927BB5">
        <w:t>’</w:t>
      </w:r>
      <w:r w:rsidR="00671873">
        <w:t xml:space="preserve">s cost of equity capital. While we </w:t>
      </w:r>
      <w:r w:rsidR="00635350">
        <w:t>cannot</w:t>
      </w:r>
      <w:r w:rsidR="00671873">
        <w:t xml:space="preserve"> determine what this will be for </w:t>
      </w:r>
      <w:r w:rsidR="00F315A5">
        <w:t>i</w:t>
      </w:r>
      <w:r w:rsidR="00671873">
        <w:t xml:space="preserve">ssuers, we have used the average return of the </w:t>
      </w:r>
      <w:r w:rsidR="00CC3106" w:rsidRPr="00CC3106">
        <w:t>S&amp;P ASX 200 Financials ex-REITS</w:t>
      </w:r>
      <w:r w:rsidR="00CC3106" w:rsidRPr="00CC3106">
        <w:rPr>
          <w:rStyle w:val="FootnoteReference"/>
        </w:rPr>
        <w:footnoteReference w:id="11"/>
      </w:r>
      <w:r w:rsidR="00CC3106" w:rsidRPr="00CC3106">
        <w:t xml:space="preserve"> Accumulation Index</w:t>
      </w:r>
      <w:r w:rsidR="00671873">
        <w:t xml:space="preserve"> from 2001</w:t>
      </w:r>
      <w:r w:rsidR="00FE5CEB">
        <w:t>–</w:t>
      </w:r>
      <w:r w:rsidR="00671873">
        <w:t xml:space="preserve">07 as a broad proxy for this. </w:t>
      </w:r>
      <w:r w:rsidR="00543607">
        <w:fldChar w:fldCharType="begin"/>
      </w:r>
      <w:r w:rsidR="00390F8C">
        <w:instrText xml:space="preserve"> REF _Ref324437603 \h </w:instrText>
      </w:r>
      <w:r w:rsidR="00543607">
        <w:fldChar w:fldCharType="separate"/>
      </w:r>
      <w:r w:rsidR="00337A8C">
        <w:t xml:space="preserve">Table </w:t>
      </w:r>
      <w:r w:rsidR="00337A8C">
        <w:rPr>
          <w:noProof/>
        </w:rPr>
        <w:t>9</w:t>
      </w:r>
      <w:r w:rsidR="00543607">
        <w:fldChar w:fldCharType="end"/>
      </w:r>
      <w:r w:rsidR="00390F8C">
        <w:t xml:space="preserve"> </w:t>
      </w:r>
      <w:r w:rsidR="00671873">
        <w:t xml:space="preserve">sets out the annual cost of an </w:t>
      </w:r>
      <w:r w:rsidR="00390F8C">
        <w:t>issuer</w:t>
      </w:r>
      <w:r w:rsidR="00927BB5">
        <w:t>’</w:t>
      </w:r>
      <w:r w:rsidR="00390F8C">
        <w:t xml:space="preserve">s </w:t>
      </w:r>
      <w:r w:rsidR="00671873">
        <w:t>equity capital on this basis.</w:t>
      </w:r>
      <w:bookmarkEnd w:id="42"/>
    </w:p>
    <w:p w:rsidR="00C3360C" w:rsidRDefault="00C3360C" w:rsidP="00102A61">
      <w:pPr>
        <w:pStyle w:val="tabletitlefullwidth"/>
      </w:pPr>
      <w:bookmarkStart w:id="43" w:name="_Ref324437603"/>
      <w:r>
        <w:t xml:space="preserve">Table </w:t>
      </w:r>
      <w:r w:rsidR="00543607">
        <w:fldChar w:fldCharType="begin"/>
      </w:r>
      <w:r>
        <w:instrText xml:space="preserve"> SEQ Table \* ARABIC </w:instrText>
      </w:r>
      <w:r w:rsidR="00543607">
        <w:fldChar w:fldCharType="separate"/>
      </w:r>
      <w:r w:rsidR="00337A8C">
        <w:rPr>
          <w:noProof/>
        </w:rPr>
        <w:t>9</w:t>
      </w:r>
      <w:r w:rsidR="00543607">
        <w:fldChar w:fldCharType="end"/>
      </w:r>
      <w:bookmarkEnd w:id="43"/>
      <w:r>
        <w:t>:</w:t>
      </w:r>
      <w:r>
        <w:tab/>
        <w:t>Retail OTC d</w:t>
      </w:r>
      <w:r w:rsidRPr="00C3360C">
        <w:t xml:space="preserve">erivative issuer cost of capital based on </w:t>
      </w:r>
      <w:r w:rsidR="00CC3106" w:rsidRPr="00CC3106">
        <w:t>S&amp;P ASX 200 Financials ex-REITs Accumulation Index</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2410"/>
        <w:gridCol w:w="2410"/>
        <w:gridCol w:w="4246"/>
      </w:tblGrid>
      <w:tr w:rsidR="00C3360C" w:rsidRPr="000540E1" w:rsidTr="00D3228B">
        <w:trPr>
          <w:cantSplit/>
          <w:tblHeader/>
        </w:trPr>
        <w:tc>
          <w:tcPr>
            <w:tcW w:w="2410" w:type="dxa"/>
            <w:shd w:val="clear" w:color="auto" w:fill="C2E3FA"/>
            <w:vAlign w:val="center"/>
          </w:tcPr>
          <w:p w:rsidR="00102A61" w:rsidRDefault="00D3228B">
            <w:pPr>
              <w:pStyle w:val="tablehead"/>
            </w:pPr>
            <w:r>
              <w:t>Average return on index</w:t>
            </w:r>
            <w:r w:rsidR="00632011">
              <w:t> </w:t>
            </w:r>
            <w:r>
              <w:t>2001–</w:t>
            </w:r>
            <w:r w:rsidR="00C3360C">
              <w:t>07</w:t>
            </w:r>
          </w:p>
        </w:tc>
        <w:tc>
          <w:tcPr>
            <w:tcW w:w="2410" w:type="dxa"/>
            <w:shd w:val="clear" w:color="auto" w:fill="C2E3FA"/>
            <w:vAlign w:val="center"/>
          </w:tcPr>
          <w:p w:rsidR="00C3360C" w:rsidRPr="000540E1" w:rsidRDefault="00C3360C" w:rsidP="00102A61">
            <w:pPr>
              <w:pStyle w:val="tablehead"/>
            </w:pPr>
            <w:r>
              <w:t>Annual cost of equity capital per $1,000,000</w:t>
            </w:r>
          </w:p>
        </w:tc>
        <w:tc>
          <w:tcPr>
            <w:tcW w:w="4246" w:type="dxa"/>
            <w:shd w:val="clear" w:color="auto" w:fill="C2E3FA"/>
            <w:vAlign w:val="center"/>
          </w:tcPr>
          <w:p w:rsidR="00C3360C" w:rsidRPr="000540E1" w:rsidRDefault="00C3360C" w:rsidP="00102A61">
            <w:pPr>
              <w:pStyle w:val="tablehead"/>
            </w:pPr>
            <w:r>
              <w:t>Annual cost of $600,000 of equity capital (averag</w:t>
            </w:r>
            <w:r w:rsidR="00632011">
              <w:t>e of that required by surveyed i</w:t>
            </w:r>
            <w:r>
              <w:t xml:space="preserve">ssuers) </w:t>
            </w:r>
          </w:p>
        </w:tc>
      </w:tr>
      <w:tr w:rsidR="00C3360C" w:rsidRPr="000540E1" w:rsidTr="00D3228B">
        <w:trPr>
          <w:cantSplit/>
        </w:trPr>
        <w:tc>
          <w:tcPr>
            <w:tcW w:w="2410" w:type="dxa"/>
          </w:tcPr>
          <w:p w:rsidR="00ED29D5" w:rsidRDefault="00C3360C" w:rsidP="00ED29D5">
            <w:pPr>
              <w:pStyle w:val="tbltext"/>
              <w:ind w:right="175"/>
              <w:jc w:val="center"/>
            </w:pPr>
            <w:r>
              <w:t>9.17%</w:t>
            </w:r>
          </w:p>
        </w:tc>
        <w:tc>
          <w:tcPr>
            <w:tcW w:w="2410" w:type="dxa"/>
          </w:tcPr>
          <w:p w:rsidR="00ED29D5" w:rsidRDefault="00C3360C" w:rsidP="00ED29D5">
            <w:pPr>
              <w:pStyle w:val="tbltext"/>
              <w:ind w:right="317"/>
              <w:jc w:val="center"/>
            </w:pPr>
            <w:r>
              <w:t>$91,695</w:t>
            </w:r>
          </w:p>
        </w:tc>
        <w:tc>
          <w:tcPr>
            <w:tcW w:w="4246" w:type="dxa"/>
          </w:tcPr>
          <w:p w:rsidR="00ED29D5" w:rsidRDefault="00C3360C" w:rsidP="00ED29D5">
            <w:pPr>
              <w:pStyle w:val="tbltext"/>
              <w:ind w:right="169"/>
              <w:jc w:val="center"/>
            </w:pPr>
            <w:r>
              <w:t>$55,017</w:t>
            </w:r>
          </w:p>
        </w:tc>
      </w:tr>
    </w:tbl>
    <w:p w:rsidR="00ED29D5" w:rsidRDefault="00122D72" w:rsidP="00ED29D5">
      <w:pPr>
        <w:pStyle w:val="BodyText"/>
        <w:spacing w:before="360"/>
      </w:pPr>
      <w:r>
        <w:t>Issuers</w:t>
      </w:r>
      <w:r w:rsidRPr="008100AE">
        <w:t xml:space="preserve"> may incur minor costs associated with calcul</w:t>
      </w:r>
      <w:r>
        <w:t xml:space="preserve">ating average gross revenue as part of calculating </w:t>
      </w:r>
      <w:r w:rsidR="00455126">
        <w:t xml:space="preserve">the </w:t>
      </w:r>
      <w:r>
        <w:t>required NTA</w:t>
      </w:r>
      <w:r w:rsidRPr="008100AE">
        <w:t xml:space="preserve">. </w:t>
      </w:r>
      <w:r>
        <w:t xml:space="preserve">Issuers </w:t>
      </w:r>
      <w:r w:rsidRPr="008100AE">
        <w:t>will be required to provide a forward estimate of these for the next 12 months</w:t>
      </w:r>
      <w:r>
        <w:t>.</w:t>
      </w:r>
      <w:r w:rsidRPr="008100AE">
        <w:t xml:space="preserve"> </w:t>
      </w:r>
    </w:p>
    <w:p w:rsidR="006D51BC" w:rsidRDefault="00461090" w:rsidP="0030766B">
      <w:pPr>
        <w:pStyle w:val="BodyText"/>
      </w:pPr>
      <w:r>
        <w:t xml:space="preserve">Most </w:t>
      </w:r>
      <w:r w:rsidR="00BE049B">
        <w:t>i</w:t>
      </w:r>
      <w:r w:rsidR="0030766B" w:rsidRPr="00461090">
        <w:t>ssuers</w:t>
      </w:r>
      <w:r w:rsidR="00D23003">
        <w:t>, in their survey responses,</w:t>
      </w:r>
      <w:r w:rsidR="0030766B" w:rsidRPr="00461090">
        <w:t xml:space="preserve"> did not provide an estimate of the costs of complying with the NTA requirement. </w:t>
      </w:r>
      <w:r w:rsidR="006D51BC">
        <w:t xml:space="preserve">The only </w:t>
      </w:r>
      <w:r w:rsidR="00BE049B">
        <w:t>i</w:t>
      </w:r>
      <w:r w:rsidR="006D51BC">
        <w:t xml:space="preserve">ssuer that did focused on the requirement to hold 50% of NTA in cash, which is discussed below. </w:t>
      </w:r>
    </w:p>
    <w:p w:rsidR="008C4658" w:rsidRPr="008C4658" w:rsidRDefault="006D51BC" w:rsidP="008C4658">
      <w:pPr>
        <w:pStyle w:val="Heading5"/>
      </w:pPr>
      <w:r>
        <w:t xml:space="preserve">Cost of NTA </w:t>
      </w:r>
      <w:r w:rsidR="00632011">
        <w:t>liquidity requirement</w:t>
      </w:r>
    </w:p>
    <w:p w:rsidR="00DF0A81" w:rsidRDefault="0030766B" w:rsidP="0030766B">
      <w:pPr>
        <w:pStyle w:val="BodyText"/>
      </w:pPr>
      <w:r w:rsidRPr="00461090">
        <w:t xml:space="preserve">Only one </w:t>
      </w:r>
      <w:r w:rsidR="00455126">
        <w:t>i</w:t>
      </w:r>
      <w:r w:rsidRPr="00461090">
        <w:t xml:space="preserve">ssuer appeared to consider the impact on its returns on equity of being required to </w:t>
      </w:r>
      <w:r w:rsidR="00927BB5">
        <w:t>‘</w:t>
      </w:r>
      <w:r w:rsidRPr="00461090">
        <w:t>ring fence</w:t>
      </w:r>
      <w:r w:rsidR="00927BB5">
        <w:t>’</w:t>
      </w:r>
      <w:r w:rsidRPr="00461090">
        <w:t xml:space="preserve"> 5% of annual revenue in relatively low-yielding cash assets. However, we expect this cost to be high across the industry.</w:t>
      </w:r>
      <w:r w:rsidR="008C4658">
        <w:t xml:space="preserve"> While some surveyed </w:t>
      </w:r>
      <w:r w:rsidR="00BE049B">
        <w:t>i</w:t>
      </w:r>
      <w:r w:rsidR="008C4658">
        <w:t xml:space="preserve">ssuers appeared to have sufficient cash </w:t>
      </w:r>
      <w:r w:rsidR="00F65BC0">
        <w:t>or</w:t>
      </w:r>
      <w:r w:rsidR="008C4658">
        <w:t xml:space="preserve"> </w:t>
      </w:r>
      <w:r w:rsidR="008C4658">
        <w:lastRenderedPageBreak/>
        <w:t xml:space="preserve">cash </w:t>
      </w:r>
      <w:r w:rsidR="00DF0A81">
        <w:t xml:space="preserve">equivalents to meet the requirement at the time of the survey, they </w:t>
      </w:r>
      <w:r w:rsidR="00DA35F5">
        <w:t>may still</w:t>
      </w:r>
      <w:r w:rsidR="00D23003">
        <w:t xml:space="preserve"> bear the cost of being required</w:t>
      </w:r>
      <w:r w:rsidR="00DF0A81">
        <w:t xml:space="preserve"> to retain funds in low-yielding cash accounts.</w:t>
      </w:r>
    </w:p>
    <w:p w:rsidR="00DF0A81" w:rsidRDefault="00D9733F" w:rsidP="0030766B">
      <w:pPr>
        <w:pStyle w:val="BodyText"/>
      </w:pPr>
      <w:bookmarkStart w:id="44" w:name="_Ref315252888"/>
      <w:r>
        <w:t xml:space="preserve">In </w:t>
      </w:r>
      <w:r w:rsidR="00543607">
        <w:fldChar w:fldCharType="begin"/>
      </w:r>
      <w:r w:rsidR="008025B7">
        <w:instrText xml:space="preserve"> REF _Ref325037593 \h </w:instrText>
      </w:r>
      <w:r w:rsidR="00543607">
        <w:fldChar w:fldCharType="separate"/>
      </w:r>
      <w:r w:rsidR="00337A8C">
        <w:t xml:space="preserve">Table </w:t>
      </w:r>
      <w:r w:rsidR="00337A8C">
        <w:rPr>
          <w:noProof/>
        </w:rPr>
        <w:t>10</w:t>
      </w:r>
      <w:r w:rsidR="00543607">
        <w:fldChar w:fldCharType="end"/>
      </w:r>
      <w:r>
        <w:t>, we</w:t>
      </w:r>
      <w:r w:rsidR="008025B7">
        <w:t xml:space="preserve"> </w:t>
      </w:r>
      <w:r w:rsidR="00DF0A81">
        <w:t xml:space="preserve">attempt to quantify the opportunity cost of an </w:t>
      </w:r>
      <w:r w:rsidR="00BE049B">
        <w:t>i</w:t>
      </w:r>
      <w:r w:rsidR="00DF0A81">
        <w:t xml:space="preserve">ssuer retaining funds as cash </w:t>
      </w:r>
      <w:r w:rsidR="00F65BC0">
        <w:t>or</w:t>
      </w:r>
      <w:r w:rsidR="00DF0A81">
        <w:t xml:space="preserve"> cash equivalents, rather</w:t>
      </w:r>
      <w:r w:rsidR="00D23003">
        <w:t xml:space="preserve"> than being able to use those funds</w:t>
      </w:r>
      <w:r w:rsidR="00DF0A81">
        <w:t xml:space="preserve"> in </w:t>
      </w:r>
      <w:r w:rsidR="00DA35F5">
        <w:t xml:space="preserve">its </w:t>
      </w:r>
      <w:r w:rsidR="00DF0A81">
        <w:t xml:space="preserve">business. </w:t>
      </w:r>
      <w:r w:rsidR="00A40C8B">
        <w:t>A</w:t>
      </w:r>
      <w:r w:rsidR="00DA35F5">
        <w:t xml:space="preserve">s in our proposals for financial requirements for </w:t>
      </w:r>
      <w:r w:rsidR="00DF0A81">
        <w:t>responsible entities, we have used the</w:t>
      </w:r>
      <w:r w:rsidR="00412F45">
        <w:t xml:space="preserve"> average</w:t>
      </w:r>
      <w:r w:rsidR="00DF0A81">
        <w:t xml:space="preserve"> cash rate </w:t>
      </w:r>
      <w:r w:rsidR="00DA35F5">
        <w:t xml:space="preserve">from the Reserve Bank of Australia (RBA) </w:t>
      </w:r>
      <w:r w:rsidR="00DF0A81">
        <w:t xml:space="preserve">as a proxy for the returns of the cash investments in which </w:t>
      </w:r>
      <w:r w:rsidR="00DA35F5">
        <w:t>i</w:t>
      </w:r>
      <w:r w:rsidR="00DF0A81">
        <w:t xml:space="preserve">ssuers will need to retain the cash NTA, and the average return of the </w:t>
      </w:r>
      <w:r w:rsidR="00CC3106" w:rsidRPr="00CC3106">
        <w:t>S&amp;P ASX 200 Financials ex-REITS Accumulation Index</w:t>
      </w:r>
      <w:r w:rsidR="00FE5CEB" w:rsidRPr="00FE5CEB">
        <w:t xml:space="preserve"> </w:t>
      </w:r>
      <w:r w:rsidR="00DF0A81">
        <w:t>from 2001</w:t>
      </w:r>
      <w:r w:rsidR="00DA35F5">
        <w:t>–</w:t>
      </w:r>
      <w:r w:rsidR="00DF0A81">
        <w:t xml:space="preserve">07 as a proxy for the </w:t>
      </w:r>
      <w:r w:rsidR="00DA35F5">
        <w:t>i</w:t>
      </w:r>
      <w:r w:rsidR="00DF0A81">
        <w:t>ssuer</w:t>
      </w:r>
      <w:r w:rsidR="00927BB5">
        <w:t>’</w:t>
      </w:r>
      <w:r w:rsidR="00DF0A81">
        <w:t>s cost of capital.</w:t>
      </w:r>
      <w:bookmarkEnd w:id="44"/>
    </w:p>
    <w:p w:rsidR="005007A5" w:rsidRDefault="00082E1C" w:rsidP="0030766B">
      <w:pPr>
        <w:pStyle w:val="BodyText"/>
      </w:pPr>
      <w:r>
        <w:t>Index returns from 2001</w:t>
      </w:r>
      <w:r w:rsidR="00A40C8B" w:rsidRPr="00A40C8B">
        <w:t>–</w:t>
      </w:r>
      <w:r>
        <w:t xml:space="preserve">07 have been used because, due to the market dislocation and losses in that index since 2007 caused by the </w:t>
      </w:r>
      <w:r w:rsidR="00BA6C4B">
        <w:t>global financial crisis, it would not be a realistic reflection of the expected returns for owners of retail OTC derivative issuers.</w:t>
      </w:r>
      <w:r w:rsidR="005007A5">
        <w:t xml:space="preserve"> (</w:t>
      </w:r>
      <w:r w:rsidR="00A40C8B">
        <w:t xml:space="preserve">However, </w:t>
      </w:r>
      <w:r w:rsidR="005007A5">
        <w:t>it may reflect the actual returns of equity holders in financial services firms generally.)</w:t>
      </w:r>
      <w:r w:rsidR="00BA6C4B">
        <w:t xml:space="preserve"> </w:t>
      </w:r>
    </w:p>
    <w:p w:rsidR="00082E1C" w:rsidRDefault="00AF25ED" w:rsidP="0030766B">
      <w:pPr>
        <w:pStyle w:val="BodyText"/>
      </w:pPr>
      <w:r>
        <w:t xml:space="preserve">We also make the general observation that it is very difficult to determine what equity owners of retail OTC derivative issuers would regard as a reasonable expected return on equity. The costs in </w:t>
      </w:r>
      <w:r w:rsidR="00543607">
        <w:fldChar w:fldCharType="begin"/>
      </w:r>
      <w:r w:rsidR="008025B7">
        <w:instrText xml:space="preserve"> REF _Ref325037593 \h </w:instrText>
      </w:r>
      <w:r w:rsidR="00543607">
        <w:fldChar w:fldCharType="separate"/>
      </w:r>
      <w:r w:rsidR="00337A8C">
        <w:t xml:space="preserve">Table </w:t>
      </w:r>
      <w:r w:rsidR="00337A8C">
        <w:rPr>
          <w:noProof/>
        </w:rPr>
        <w:t>10</w:t>
      </w:r>
      <w:r w:rsidR="00543607">
        <w:fldChar w:fldCharType="end"/>
      </w:r>
      <w:r w:rsidR="008025B7">
        <w:t xml:space="preserve"> </w:t>
      </w:r>
      <w:r>
        <w:t xml:space="preserve">should therefore be seen as a guide only. </w:t>
      </w:r>
    </w:p>
    <w:p w:rsidR="00632011" w:rsidRDefault="00632011" w:rsidP="00102A61">
      <w:pPr>
        <w:pStyle w:val="tabletitlefullwidth"/>
      </w:pPr>
      <w:bookmarkStart w:id="45" w:name="_Ref325037593"/>
      <w:r>
        <w:t xml:space="preserve">Table </w:t>
      </w:r>
      <w:r w:rsidR="00543607">
        <w:fldChar w:fldCharType="begin"/>
      </w:r>
      <w:r>
        <w:instrText xml:space="preserve"> SEQ Table \* ARABIC </w:instrText>
      </w:r>
      <w:r w:rsidR="00543607">
        <w:fldChar w:fldCharType="separate"/>
      </w:r>
      <w:r w:rsidR="00337A8C">
        <w:rPr>
          <w:noProof/>
        </w:rPr>
        <w:t>10</w:t>
      </w:r>
      <w:r w:rsidR="00543607">
        <w:fldChar w:fldCharType="end"/>
      </w:r>
      <w:bookmarkEnd w:id="45"/>
      <w:r>
        <w:t>:</w:t>
      </w:r>
      <w:r>
        <w:tab/>
      </w:r>
      <w:r w:rsidR="00555D36" w:rsidRPr="00555D36">
        <w:rPr>
          <w:spacing w:val="2"/>
        </w:rPr>
        <w:t>Opportunity cost of retail OTC derivative issuers meeting the NTA liquidity requirement</w:t>
      </w:r>
      <w:r w:rsidRPr="00632011">
        <w:t xml:space="preserve"> </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2268"/>
        <w:gridCol w:w="3544"/>
        <w:gridCol w:w="3254"/>
      </w:tblGrid>
      <w:tr w:rsidR="0060550E" w:rsidRPr="000540E1" w:rsidTr="00FE5CEB">
        <w:trPr>
          <w:cantSplit/>
          <w:tblHeader/>
        </w:trPr>
        <w:tc>
          <w:tcPr>
            <w:tcW w:w="2268" w:type="dxa"/>
            <w:shd w:val="clear" w:color="auto" w:fill="C2E3FA"/>
          </w:tcPr>
          <w:p w:rsidR="00632011" w:rsidRPr="000540E1" w:rsidRDefault="00632011" w:rsidP="00102A61">
            <w:pPr>
              <w:pStyle w:val="tablehead"/>
            </w:pPr>
            <w:r>
              <w:t xml:space="preserve">RBA cash rate </w:t>
            </w:r>
            <w:r w:rsidR="0060550E">
              <w:br/>
            </w:r>
            <w:r>
              <w:t>(10-year average)</w:t>
            </w:r>
            <w:r>
              <w:rPr>
                <w:rStyle w:val="FootnoteReference"/>
              </w:rPr>
              <w:footnoteReference w:id="12"/>
            </w:r>
          </w:p>
        </w:tc>
        <w:tc>
          <w:tcPr>
            <w:tcW w:w="3544" w:type="dxa"/>
            <w:shd w:val="clear" w:color="auto" w:fill="C2E3FA"/>
          </w:tcPr>
          <w:p w:rsidR="00102A61" w:rsidRDefault="00CC3106" w:rsidP="00FE5CEB">
            <w:pPr>
              <w:pStyle w:val="tablehead"/>
            </w:pPr>
            <w:r w:rsidRPr="00CC3106">
              <w:t>S&amp;P ASX 200 Financials ex-REITs Accumulation Index</w:t>
            </w:r>
            <w:r w:rsidR="00632011">
              <w:t xml:space="preserve"> (average annual return 2001</w:t>
            </w:r>
            <w:r w:rsidR="00632011" w:rsidRPr="00632011">
              <w:t>–</w:t>
            </w:r>
            <w:r w:rsidR="00632011">
              <w:t>07)</w:t>
            </w:r>
          </w:p>
        </w:tc>
        <w:tc>
          <w:tcPr>
            <w:tcW w:w="3254" w:type="dxa"/>
            <w:shd w:val="clear" w:color="auto" w:fill="C2E3FA"/>
          </w:tcPr>
          <w:p w:rsidR="00632011" w:rsidRPr="000540E1" w:rsidRDefault="00632011" w:rsidP="00102A61">
            <w:pPr>
              <w:pStyle w:val="tablehead"/>
            </w:pPr>
            <w:r>
              <w:t>Annual opportunity cost of holding $500,000 in cash or equivalents under the liquid NTA requirement</w:t>
            </w:r>
          </w:p>
        </w:tc>
      </w:tr>
      <w:tr w:rsidR="0060550E" w:rsidRPr="000540E1" w:rsidTr="00FE5CEB">
        <w:trPr>
          <w:cantSplit/>
        </w:trPr>
        <w:tc>
          <w:tcPr>
            <w:tcW w:w="2268" w:type="dxa"/>
          </w:tcPr>
          <w:p w:rsidR="00ED29D5" w:rsidRDefault="00632011" w:rsidP="00ED29D5">
            <w:pPr>
              <w:pStyle w:val="tbltext"/>
              <w:ind w:right="318"/>
              <w:jc w:val="center"/>
            </w:pPr>
            <w:r>
              <w:t>5.1%</w:t>
            </w:r>
          </w:p>
        </w:tc>
        <w:tc>
          <w:tcPr>
            <w:tcW w:w="3544" w:type="dxa"/>
            <w:vAlign w:val="center"/>
          </w:tcPr>
          <w:p w:rsidR="00ED29D5" w:rsidRDefault="00632011" w:rsidP="00ED29D5">
            <w:pPr>
              <w:pStyle w:val="tbltext"/>
              <w:ind w:right="459"/>
              <w:jc w:val="center"/>
            </w:pPr>
            <w:r>
              <w:t>9.17%</w:t>
            </w:r>
          </w:p>
        </w:tc>
        <w:tc>
          <w:tcPr>
            <w:tcW w:w="3254" w:type="dxa"/>
            <w:vAlign w:val="center"/>
          </w:tcPr>
          <w:p w:rsidR="00ED29D5" w:rsidRDefault="00632011" w:rsidP="00ED29D5">
            <w:pPr>
              <w:pStyle w:val="tbltext"/>
              <w:jc w:val="center"/>
            </w:pPr>
            <w:r>
              <w:t>$20,350</w:t>
            </w:r>
          </w:p>
        </w:tc>
      </w:tr>
    </w:tbl>
    <w:p w:rsidR="00A36A25" w:rsidRDefault="00E447E4">
      <w:pPr>
        <w:pStyle w:val="Heading4"/>
      </w:pPr>
      <w:r>
        <w:t xml:space="preserve">Costs to ASIC </w:t>
      </w:r>
      <w:r w:rsidR="00455126">
        <w:t>under</w:t>
      </w:r>
      <w:r>
        <w:t xml:space="preserve"> Option 1</w:t>
      </w:r>
    </w:p>
    <w:p w:rsidR="00A36A25" w:rsidRDefault="00E447E4">
      <w:pPr>
        <w:pStyle w:val="BodyText"/>
      </w:pPr>
      <w:r>
        <w:t xml:space="preserve">We do not believe that Option 1 will impose additional costs on ASIC. </w:t>
      </w:r>
      <w:r w:rsidR="00455126">
        <w:t>We</w:t>
      </w:r>
      <w:r>
        <w:t xml:space="preserve"> already conduct surveillance activities in the retai</w:t>
      </w:r>
      <w:r w:rsidR="00472D7B">
        <w:t xml:space="preserve">l OTC sectors, which may be targeted based on our assessment of risks, or may be commenced in response to breaches or complaints. These compliance activities often include </w:t>
      </w:r>
      <w:r w:rsidR="00455126">
        <w:t xml:space="preserve">considering </w:t>
      </w:r>
      <w:r w:rsidR="00472D7B">
        <w:t>issuers</w:t>
      </w:r>
      <w:r w:rsidR="00927BB5">
        <w:t>’</w:t>
      </w:r>
      <w:r w:rsidR="00472D7B">
        <w:t xml:space="preserve"> compliance with</w:t>
      </w:r>
      <w:r w:rsidR="00455126">
        <w:t xml:space="preserve"> the financial requirements under their</w:t>
      </w:r>
      <w:r w:rsidR="00472D7B">
        <w:t xml:space="preserve"> AFS licence </w:t>
      </w:r>
      <w:r w:rsidR="00AF25ED">
        <w:t>and review</w:t>
      </w:r>
      <w:r w:rsidR="00455126">
        <w:t>ing</w:t>
      </w:r>
      <w:r w:rsidR="00AF25ED">
        <w:t xml:space="preserve"> submitted with their profit and loss statement under s989B of the Corporations Act</w:t>
      </w:r>
      <w:r w:rsidR="00472D7B">
        <w:t xml:space="preserve">. </w:t>
      </w:r>
    </w:p>
    <w:p w:rsidR="004C4A71" w:rsidRDefault="004C4A71" w:rsidP="004526BB">
      <w:pPr>
        <w:pStyle w:val="BodyText"/>
        <w:keepLines/>
      </w:pPr>
      <w:r w:rsidRPr="004C4A71">
        <w:lastRenderedPageBreak/>
        <w:t xml:space="preserve">Because of the complexity of the </w:t>
      </w:r>
      <w:r w:rsidR="00886DDF">
        <w:t>current</w:t>
      </w:r>
      <w:r w:rsidRPr="004C4A71">
        <w:t xml:space="preserve"> financial requirements, and because there is no requirement for licensees to regularly report their ASLF position, </w:t>
      </w:r>
      <w:r w:rsidR="000218CF">
        <w:t>we</w:t>
      </w:r>
      <w:r w:rsidRPr="004C4A71">
        <w:t xml:space="preserve"> incur costs in </w:t>
      </w:r>
      <w:r w:rsidR="000218CF">
        <w:t xml:space="preserve">collecting and reviewing </w:t>
      </w:r>
      <w:r w:rsidRPr="004C4A71">
        <w:t>financial information to assess licensees</w:t>
      </w:r>
      <w:r w:rsidR="00927BB5">
        <w:t>’</w:t>
      </w:r>
      <w:r w:rsidRPr="004C4A71">
        <w:t xml:space="preserve"> compliance with the financial requirements.</w:t>
      </w:r>
    </w:p>
    <w:p w:rsidR="00DF6B1B" w:rsidRDefault="000218CF">
      <w:pPr>
        <w:pStyle w:val="BodyText"/>
      </w:pPr>
      <w:r>
        <w:t>We</w:t>
      </w:r>
      <w:r w:rsidR="00472D7B">
        <w:t xml:space="preserve"> do not expect to conduct more frequent surveillances</w:t>
      </w:r>
      <w:r>
        <w:t xml:space="preserve"> under Option 1</w:t>
      </w:r>
      <w:r w:rsidR="00886DDF">
        <w:t>. On </w:t>
      </w:r>
      <w:r w:rsidR="00472D7B">
        <w:t>the contrary,</w:t>
      </w:r>
      <w:r w:rsidR="00E92BB7">
        <w:t xml:space="preserve"> we expect</w:t>
      </w:r>
      <w:r w:rsidR="00472D7B">
        <w:t xml:space="preserve"> the</w:t>
      </w:r>
      <w:r w:rsidR="00E92BB7">
        <w:t xml:space="preserve"> increased</w:t>
      </w:r>
      <w:r w:rsidR="00472D7B">
        <w:t xml:space="preserve"> simplicity of the proposed requirements, and the </w:t>
      </w:r>
      <w:r w:rsidR="00E92BB7">
        <w:t xml:space="preserve">more detailed reporting requirements will actually make it easier for </w:t>
      </w:r>
      <w:r>
        <w:t>us</w:t>
      </w:r>
      <w:r w:rsidR="00E92BB7">
        <w:t xml:space="preserve"> to monitor and assess the compliance of issuers with the financial requirements.</w:t>
      </w:r>
      <w:r w:rsidR="000D5C64">
        <w:t xml:space="preserve"> </w:t>
      </w:r>
    </w:p>
    <w:p w:rsidR="0030766B" w:rsidRDefault="005A082F" w:rsidP="0030766B">
      <w:pPr>
        <w:pStyle w:val="Heading3"/>
      </w:pPr>
      <w:r>
        <w:t>E</w:t>
      </w:r>
      <w:r w:rsidR="0030766B">
        <w:t>ffects on competition of Option 1</w:t>
      </w:r>
    </w:p>
    <w:p w:rsidR="00A030FC" w:rsidRDefault="00A030FC" w:rsidP="0030766B">
      <w:pPr>
        <w:pStyle w:val="BodyText"/>
      </w:pPr>
      <w:r>
        <w:t xml:space="preserve">Only one </w:t>
      </w:r>
      <w:r w:rsidR="00BE049B">
        <w:t>i</w:t>
      </w:r>
      <w:r>
        <w:t xml:space="preserve">ssuer reported that it would be unable to raise funds to meet the NTA requirement. (This </w:t>
      </w:r>
      <w:r w:rsidR="00BE049B">
        <w:t>i</w:t>
      </w:r>
      <w:r>
        <w:t>ssuer was in the process of exiting the market at the time, due in part to ongoing regulatory action</w:t>
      </w:r>
      <w:r w:rsidR="00D23003">
        <w:t xml:space="preserve"> by ASIC</w:t>
      </w:r>
      <w:r>
        <w:t xml:space="preserve">.) However, four </w:t>
      </w:r>
      <w:r w:rsidR="00390F8C">
        <w:t xml:space="preserve">issuers </w:t>
      </w:r>
      <w:r>
        <w:t>stated that they would consider exiting the market due to the imposition of the financial requirements.</w:t>
      </w:r>
    </w:p>
    <w:p w:rsidR="005D7AFD" w:rsidRDefault="005D7AFD" w:rsidP="0030766B">
      <w:pPr>
        <w:pStyle w:val="BodyText"/>
      </w:pPr>
      <w:r>
        <w:t>The respondent</w:t>
      </w:r>
      <w:r w:rsidR="000218CF">
        <w:t>s</w:t>
      </w:r>
      <w:r>
        <w:t xml:space="preserve"> to CP 156 generally expected the proposals to have limited impacts on competition. (</w:t>
      </w:r>
      <w:r w:rsidR="000218CF">
        <w:t>One</w:t>
      </w:r>
      <w:r>
        <w:t xml:space="preserve"> exception was the issuer that identified the cost of maintaining funds as liquid NTA, who argued this was especially burdensome in </w:t>
      </w:r>
      <w:r w:rsidR="000218CF">
        <w:t>its</w:t>
      </w:r>
      <w:r>
        <w:t xml:space="preserve"> case.) </w:t>
      </w:r>
    </w:p>
    <w:p w:rsidR="006E67EA" w:rsidRDefault="005D7AFD" w:rsidP="0030766B">
      <w:pPr>
        <w:pStyle w:val="BodyText"/>
      </w:pPr>
      <w:r>
        <w:t>Respondent</w:t>
      </w:r>
      <w:r w:rsidR="00230726">
        <w:t>s</w:t>
      </w:r>
      <w:r>
        <w:t xml:space="preserve"> noted, however, that the </w:t>
      </w:r>
      <w:r w:rsidR="009E0626">
        <w:t xml:space="preserve">requirement for </w:t>
      </w:r>
      <w:r>
        <w:t>$1</w:t>
      </w:r>
      <w:r w:rsidR="009E0626">
        <w:t xml:space="preserve"> </w:t>
      </w:r>
      <w:r>
        <w:t xml:space="preserve">million minimum NTA </w:t>
      </w:r>
      <w:r w:rsidR="009E0626">
        <w:t>c</w:t>
      </w:r>
      <w:r>
        <w:t xml:space="preserve">ould act as a barrier to entry, and that the proposed financial requirements may prompt </w:t>
      </w:r>
      <w:r w:rsidR="00EC5F08">
        <w:t xml:space="preserve">some </w:t>
      </w:r>
      <w:r w:rsidR="00783431">
        <w:t xml:space="preserve">sector consolidation. Respondents argued that this would have both positive and negative impacts. For example, it was suggested that consumers may benefit from choosing between a smaller number of better-capitalised </w:t>
      </w:r>
      <w:r w:rsidR="00A94C3E">
        <w:t>i</w:t>
      </w:r>
      <w:r w:rsidR="00783431">
        <w:t>ssuers.</w:t>
      </w:r>
      <w:r w:rsidR="006A21D6">
        <w:t xml:space="preserve"> </w:t>
      </w:r>
      <w:r w:rsidR="00EC5F08">
        <w:t>In general, respondents argued that, given the perceived leniency of the requirements, effects on competition would be limited.</w:t>
      </w:r>
    </w:p>
    <w:p w:rsidR="00A030FC" w:rsidRDefault="006306C6" w:rsidP="0030766B">
      <w:pPr>
        <w:pStyle w:val="BodyText"/>
      </w:pPr>
      <w:r>
        <w:t xml:space="preserve">We are unsure whether </w:t>
      </w:r>
      <w:r w:rsidR="00A94C3E">
        <w:t>i</w:t>
      </w:r>
      <w:r>
        <w:t>ssuers</w:t>
      </w:r>
      <w:r w:rsidR="00927BB5">
        <w:t>’</w:t>
      </w:r>
      <w:r>
        <w:t xml:space="preserve"> apparent failure to consider the opportunity costs of meeting the NTA liquidity requirement (mentioned above) </w:t>
      </w:r>
      <w:r w:rsidR="0029016A">
        <w:t xml:space="preserve">would have affected their </w:t>
      </w:r>
      <w:r w:rsidR="006E67EA">
        <w:t>assessment of the impact on competition of the</w:t>
      </w:r>
      <w:r w:rsidR="000218CF">
        <w:t xml:space="preserve"> proposed financial requirements</w:t>
      </w:r>
      <w:r w:rsidR="006E67EA">
        <w:t>.</w:t>
      </w:r>
      <w:r w:rsidR="005D7AFD">
        <w:t xml:space="preserve"> </w:t>
      </w:r>
    </w:p>
    <w:p w:rsidR="00ED29D5" w:rsidRDefault="00EF46E5" w:rsidP="00ED29D5">
      <w:pPr>
        <w:pStyle w:val="Heading3"/>
      </w:pPr>
      <w:r>
        <w:t>Summary of analysis</w:t>
      </w:r>
    </w:p>
    <w:p w:rsidR="0007173A" w:rsidRDefault="00680B64" w:rsidP="0007173A">
      <w:pPr>
        <w:pStyle w:val="BodyText"/>
      </w:pPr>
      <w:r>
        <w:t>We</w:t>
      </w:r>
      <w:r w:rsidR="0007173A">
        <w:t xml:space="preserve"> consider on balance that t</w:t>
      </w:r>
      <w:r w:rsidR="0007173A" w:rsidRPr="00445787">
        <w:t>he</w:t>
      </w:r>
      <w:r w:rsidR="00A94C3E">
        <w:t xml:space="preserve"> potential</w:t>
      </w:r>
      <w:r w:rsidR="0007173A" w:rsidRPr="00445787">
        <w:t xml:space="preserve"> </w:t>
      </w:r>
      <w:r w:rsidR="0007173A">
        <w:t>enhancement of investor and financial consumer confidence in</w:t>
      </w:r>
      <w:r w:rsidR="004D325B">
        <w:t xml:space="preserve"> the</w:t>
      </w:r>
      <w:r w:rsidR="00A94C3E">
        <w:t xml:space="preserve"> retail derivative</w:t>
      </w:r>
      <w:r w:rsidR="004D325B">
        <w:t xml:space="preserve"> sector</w:t>
      </w:r>
      <w:r w:rsidR="0007173A">
        <w:t xml:space="preserve"> flowing from </w:t>
      </w:r>
      <w:r w:rsidR="00A94C3E">
        <w:t>i</w:t>
      </w:r>
      <w:r w:rsidR="004D325B">
        <w:t xml:space="preserve">ssuers </w:t>
      </w:r>
      <w:r w:rsidR="0007173A">
        <w:t xml:space="preserve">being more stable as a consequence of being required to prepare longer and more accurate 12-month cash flow forecasts outweighs any additional costs to </w:t>
      </w:r>
      <w:r>
        <w:t>i</w:t>
      </w:r>
      <w:r w:rsidR="004D325B">
        <w:t xml:space="preserve">ssuers for the </w:t>
      </w:r>
      <w:r w:rsidR="0007173A">
        <w:t xml:space="preserve">preparation of the cash flow forecasts. </w:t>
      </w:r>
    </w:p>
    <w:p w:rsidR="0007173A" w:rsidRDefault="0007173A" w:rsidP="0007173A">
      <w:pPr>
        <w:pStyle w:val="BodyText"/>
      </w:pPr>
      <w:r>
        <w:lastRenderedPageBreak/>
        <w:t xml:space="preserve">The </w:t>
      </w:r>
      <w:r w:rsidRPr="00C61E86">
        <w:t>benefit</w:t>
      </w:r>
      <w:r>
        <w:t xml:space="preserve">s to </w:t>
      </w:r>
      <w:r w:rsidRPr="00C61E86">
        <w:t>investors, resp</w:t>
      </w:r>
      <w:r>
        <w:t>onsible entities, the</w:t>
      </w:r>
      <w:r w:rsidR="00A94C3E">
        <w:t xml:space="preserve"> </w:t>
      </w:r>
      <w:r w:rsidR="00A94C3E" w:rsidRPr="00A94C3E">
        <w:t>retail derivative</w:t>
      </w:r>
      <w:r w:rsidR="004D325B">
        <w:t xml:space="preserve"> sector</w:t>
      </w:r>
      <w:r w:rsidRPr="00C61E86">
        <w:t xml:space="preserve"> and Governmen</w:t>
      </w:r>
      <w:r>
        <w:t xml:space="preserve">t </w:t>
      </w:r>
      <w:r w:rsidRPr="00C84EA0">
        <w:t xml:space="preserve">that arise </w:t>
      </w:r>
      <w:r>
        <w:t>from</w:t>
      </w:r>
      <w:r w:rsidRPr="00C84EA0">
        <w:t xml:space="preserve"> the new method of calculating the NTA requirement</w:t>
      </w:r>
      <w:r>
        <w:t xml:space="preserve"> include:</w:t>
      </w:r>
    </w:p>
    <w:p w:rsidR="0007173A" w:rsidRDefault="0007173A" w:rsidP="0007173A">
      <w:pPr>
        <w:pStyle w:val="subparaa"/>
      </w:pPr>
      <w:r w:rsidRPr="00C61E86">
        <w:t xml:space="preserve">enhancing </w:t>
      </w:r>
      <w:r w:rsidR="00A94C3E">
        <w:t>i</w:t>
      </w:r>
      <w:r w:rsidR="004D325B">
        <w:t>ssuer</w:t>
      </w:r>
      <w:r>
        <w:t xml:space="preserve"> </w:t>
      </w:r>
      <w:r w:rsidRPr="00C61E86">
        <w:t>compliance with the Corporations Act</w:t>
      </w:r>
      <w:r>
        <w:t>;</w:t>
      </w:r>
    </w:p>
    <w:p w:rsidR="0007173A" w:rsidRDefault="0007173A" w:rsidP="0007173A">
      <w:pPr>
        <w:pStyle w:val="subparaa"/>
      </w:pPr>
      <w:r w:rsidRPr="00C61E86">
        <w:t>better aligni</w:t>
      </w:r>
      <w:r w:rsidR="004D325B">
        <w:t xml:space="preserve">ng the interests of </w:t>
      </w:r>
      <w:r w:rsidR="00A94C3E">
        <w:t>i</w:t>
      </w:r>
      <w:r w:rsidR="004D325B">
        <w:t>ssuers with clients</w:t>
      </w:r>
      <w:r>
        <w:t>;</w:t>
      </w:r>
    </w:p>
    <w:p w:rsidR="0007173A" w:rsidRDefault="0007173A" w:rsidP="0007173A">
      <w:pPr>
        <w:pStyle w:val="subparaa"/>
      </w:pPr>
      <w:r w:rsidRPr="005130FD">
        <w:t>enhancing the alignment of the NTA requirement with operational risk</w:t>
      </w:r>
      <w:r>
        <w:t>;</w:t>
      </w:r>
    </w:p>
    <w:p w:rsidR="0007173A" w:rsidRDefault="0007173A" w:rsidP="0007173A">
      <w:pPr>
        <w:pStyle w:val="subparaa"/>
      </w:pPr>
      <w:r>
        <w:t>improving incentives for</w:t>
      </w:r>
      <w:r w:rsidRPr="00C61E86">
        <w:t xml:space="preserve"> </w:t>
      </w:r>
      <w:r w:rsidR="00A94C3E" w:rsidRPr="00A94C3E">
        <w:t>retail</w:t>
      </w:r>
      <w:r w:rsidR="00A94C3E">
        <w:t xml:space="preserve"> OTC</w:t>
      </w:r>
      <w:r w:rsidR="00A94C3E" w:rsidRPr="00A94C3E">
        <w:t xml:space="preserve"> derivatives</w:t>
      </w:r>
      <w:r w:rsidR="006A21D6">
        <w:t xml:space="preserve"> </w:t>
      </w:r>
      <w:r w:rsidR="004D325B">
        <w:t>to comply with their Corporations Act obligations through risk of loss</w:t>
      </w:r>
      <w:r>
        <w:t>;</w:t>
      </w:r>
    </w:p>
    <w:p w:rsidR="0007173A" w:rsidRDefault="0007173A" w:rsidP="0007173A">
      <w:pPr>
        <w:pStyle w:val="subparaa"/>
      </w:pPr>
      <w:r w:rsidRPr="00C61E86">
        <w:t>reduc</w:t>
      </w:r>
      <w:r>
        <w:t>ing</w:t>
      </w:r>
      <w:r w:rsidRPr="00C61E86">
        <w:t xml:space="preserve"> the ri</w:t>
      </w:r>
      <w:r w:rsidR="004D325B">
        <w:t>sk of</w:t>
      </w:r>
      <w:r w:rsidR="00A94C3E">
        <w:t xml:space="preserve"> disorderly</w:t>
      </w:r>
      <w:r w:rsidR="004D325B">
        <w:t xml:space="preserve"> </w:t>
      </w:r>
      <w:r w:rsidR="00A94C3E" w:rsidRPr="00A94C3E">
        <w:t>retail OTC derivatives</w:t>
      </w:r>
      <w:r w:rsidR="006A21D6">
        <w:t xml:space="preserve"> </w:t>
      </w:r>
      <w:r w:rsidR="004D325B">
        <w:t>failure</w:t>
      </w:r>
      <w:r>
        <w:t>; and</w:t>
      </w:r>
    </w:p>
    <w:p w:rsidR="0007173A" w:rsidRDefault="0007173A" w:rsidP="0007173A">
      <w:pPr>
        <w:pStyle w:val="subparaa"/>
      </w:pPr>
      <w:r>
        <w:t>providing</w:t>
      </w:r>
      <w:r w:rsidRPr="00C61E86">
        <w:t xml:space="preserve"> a larger pool of capital to fund the orderly</w:t>
      </w:r>
      <w:r w:rsidR="004D325B">
        <w:t xml:space="preserve"> winding up of an </w:t>
      </w:r>
      <w:r w:rsidR="00A94C3E">
        <w:t>i</w:t>
      </w:r>
      <w:r w:rsidR="004D325B">
        <w:t>ssuer if that issuer failed due to trading losses</w:t>
      </w:r>
      <w:r>
        <w:t>.</w:t>
      </w:r>
    </w:p>
    <w:p w:rsidR="0007173A" w:rsidRDefault="0007173A" w:rsidP="0007173A">
      <w:pPr>
        <w:pStyle w:val="BodyText"/>
      </w:pPr>
      <w:r>
        <w:t>These benefits outweigh any addition</w:t>
      </w:r>
      <w:r w:rsidR="004D325B">
        <w:t xml:space="preserve">al costs to </w:t>
      </w:r>
      <w:r w:rsidR="00A94C3E">
        <w:t>i</w:t>
      </w:r>
      <w:r w:rsidR="004D325B">
        <w:t>ssuers</w:t>
      </w:r>
      <w:r>
        <w:t xml:space="preserve"> and investors incurred in complying with the requirements </w:t>
      </w:r>
      <w:r w:rsidRPr="005130FD">
        <w:t xml:space="preserve">and the disadvantage of the potential loss of a small number of undercapitalised and </w:t>
      </w:r>
      <w:r w:rsidR="004D325B">
        <w:t xml:space="preserve">less stable </w:t>
      </w:r>
      <w:r w:rsidR="00A94C3E">
        <w:t>i</w:t>
      </w:r>
      <w:r w:rsidR="004D325B">
        <w:t>ssuers from the market place</w:t>
      </w:r>
      <w:r>
        <w:t>.</w:t>
      </w:r>
    </w:p>
    <w:p w:rsidR="0007173A" w:rsidRDefault="0007173A" w:rsidP="0007173A">
      <w:pPr>
        <w:pStyle w:val="BodyText"/>
      </w:pPr>
      <w:r>
        <w:t xml:space="preserve">The </w:t>
      </w:r>
      <w:r w:rsidRPr="00671980">
        <w:t xml:space="preserve">requirement to hold 50% of the </w:t>
      </w:r>
      <w:r w:rsidR="006C1097">
        <w:t xml:space="preserve">required </w:t>
      </w:r>
      <w:r w:rsidRPr="00671980">
        <w:t xml:space="preserve">NTA in cash or cash equivalents and the balance in liquid assets </w:t>
      </w:r>
      <w:r>
        <w:t xml:space="preserve">will ensure </w:t>
      </w:r>
      <w:r w:rsidR="006C1097">
        <w:t xml:space="preserve">retail OTC derivative </w:t>
      </w:r>
      <w:r w:rsidR="00A94C3E">
        <w:t>i</w:t>
      </w:r>
      <w:r w:rsidR="004D325B">
        <w:t xml:space="preserve">ssuers </w:t>
      </w:r>
      <w:r>
        <w:t xml:space="preserve">will be more liquid and capable of managing </w:t>
      </w:r>
      <w:r w:rsidRPr="009947B8">
        <w:t>unanticipated circumstances</w:t>
      </w:r>
      <w:r>
        <w:t>. This benefit outweigh</w:t>
      </w:r>
      <w:r w:rsidR="006C1097">
        <w:t>s</w:t>
      </w:r>
      <w:r>
        <w:t xml:space="preserve"> the additional costs of being required to hold </w:t>
      </w:r>
      <w:r w:rsidR="006C1097">
        <w:t>this amount of NTA</w:t>
      </w:r>
      <w:r>
        <w:t xml:space="preserve"> in cash or liquid assets.</w:t>
      </w:r>
    </w:p>
    <w:p w:rsidR="00BD6391" w:rsidRDefault="00BD6391" w:rsidP="00BD6391">
      <w:pPr>
        <w:pStyle w:val="Heading2"/>
      </w:pPr>
      <w:bookmarkStart w:id="46" w:name="_Toc331415819"/>
      <w:r>
        <w:t xml:space="preserve">Option 2: </w:t>
      </w:r>
      <w:r w:rsidR="00963C15">
        <w:t>Maintain c</w:t>
      </w:r>
      <w:r w:rsidR="00E46CB2">
        <w:t xml:space="preserve">urrent </w:t>
      </w:r>
      <w:r>
        <w:t>financial requirements (status quo)</w:t>
      </w:r>
      <w:bookmarkEnd w:id="46"/>
    </w:p>
    <w:p w:rsidR="00ED29D5" w:rsidRDefault="00BE0524" w:rsidP="00ED29D5">
      <w:pPr>
        <w:pStyle w:val="BodyText"/>
        <w:keepNext/>
      </w:pPr>
      <w:r w:rsidRPr="006E4B38">
        <w:t xml:space="preserve">Under </w:t>
      </w:r>
      <w:r w:rsidR="00BA4E24">
        <w:t>O</w:t>
      </w:r>
      <w:r w:rsidRPr="006E4B38">
        <w:t>ption</w:t>
      </w:r>
      <w:r w:rsidR="00BA4E24">
        <w:t xml:space="preserve"> 2</w:t>
      </w:r>
      <w:r>
        <w:t xml:space="preserve">, </w:t>
      </w:r>
      <w:r w:rsidRPr="006E4B38">
        <w:t xml:space="preserve">the </w:t>
      </w:r>
      <w:r w:rsidR="00BA4E24">
        <w:t>current</w:t>
      </w:r>
      <w:r w:rsidRPr="006E4B38">
        <w:t xml:space="preserve"> financial requirements </w:t>
      </w:r>
      <w:r w:rsidR="00BA4E24">
        <w:t xml:space="preserve">in RG 166 would continue to apply to </w:t>
      </w:r>
      <w:r w:rsidR="00A94C3E" w:rsidRPr="00A94C3E">
        <w:t>retail OTC derivative</w:t>
      </w:r>
      <w:r w:rsidR="006A21D6">
        <w:t xml:space="preserve"> </w:t>
      </w:r>
      <w:r w:rsidR="00BA4E24">
        <w:t>issuers</w:t>
      </w:r>
      <w:r w:rsidRPr="006E4B38">
        <w:t xml:space="preserve">. </w:t>
      </w:r>
      <w:r>
        <w:t>This would mean</w:t>
      </w:r>
      <w:r w:rsidR="00230726">
        <w:t xml:space="preserve"> that</w:t>
      </w:r>
      <w:r>
        <w:t>:</w:t>
      </w:r>
    </w:p>
    <w:p w:rsidR="00BE0524" w:rsidRDefault="00BE0524" w:rsidP="00230726">
      <w:pPr>
        <w:pStyle w:val="subparaa"/>
        <w:spacing w:before="80"/>
      </w:pPr>
      <w:r>
        <w:t xml:space="preserve">only </w:t>
      </w:r>
      <w:r w:rsidR="00A94C3E" w:rsidRPr="00A94C3E">
        <w:t xml:space="preserve">retail OTC derivative </w:t>
      </w:r>
      <w:r w:rsidR="00A94C3E">
        <w:t xml:space="preserve">issuers </w:t>
      </w:r>
      <w:r w:rsidR="00BA4E24">
        <w:t xml:space="preserve">who select the first two options for </w:t>
      </w:r>
      <w:r w:rsidR="00A94C3E">
        <w:t xml:space="preserve">meeting </w:t>
      </w:r>
      <w:r>
        <w:t xml:space="preserve">the cash needs requirement would </w:t>
      </w:r>
      <w:r w:rsidR="00BA4E24">
        <w:t xml:space="preserve">need </w:t>
      </w:r>
      <w:r>
        <w:t>to prepare cash flow forecasts</w:t>
      </w:r>
      <w:r w:rsidR="008609D2">
        <w:t xml:space="preserve">, and then only for </w:t>
      </w:r>
      <w:r w:rsidR="0060550E">
        <w:t>three</w:t>
      </w:r>
      <w:r w:rsidR="008609D2">
        <w:t xml:space="preserve"> months</w:t>
      </w:r>
      <w:r>
        <w:t>;</w:t>
      </w:r>
    </w:p>
    <w:p w:rsidR="00BE0524" w:rsidRDefault="00230726" w:rsidP="00230726">
      <w:pPr>
        <w:pStyle w:val="subparaa"/>
        <w:spacing w:before="80"/>
      </w:pPr>
      <w:r>
        <w:t>t</w:t>
      </w:r>
      <w:r w:rsidR="008609D2">
        <w:t>he minimum capital</w:t>
      </w:r>
      <w:r w:rsidR="00BE0524" w:rsidRPr="006E4B38">
        <w:t xml:space="preserve"> </w:t>
      </w:r>
      <w:r w:rsidR="00BE0524">
        <w:t>requirement</w:t>
      </w:r>
      <w:r w:rsidR="008609D2">
        <w:t xml:space="preserve">, </w:t>
      </w:r>
      <w:r w:rsidR="00626AFC">
        <w:t>as</w:t>
      </w:r>
      <w:r w:rsidR="008609D2">
        <w:t xml:space="preserve"> ASLF,</w:t>
      </w:r>
      <w:r w:rsidR="00BE0524">
        <w:t xml:space="preserve"> </w:t>
      </w:r>
      <w:r w:rsidR="00BE0524" w:rsidRPr="006E4B38">
        <w:t>would remain at $50,000</w:t>
      </w:r>
      <w:r w:rsidR="00BE0524">
        <w:t>;</w:t>
      </w:r>
    </w:p>
    <w:p w:rsidR="00FF7BEC" w:rsidRDefault="00BA4E24" w:rsidP="00230726">
      <w:pPr>
        <w:pStyle w:val="subparaa"/>
        <w:spacing w:before="80"/>
      </w:pPr>
      <w:r>
        <w:t xml:space="preserve">the </w:t>
      </w:r>
      <w:r w:rsidR="00FF7BEC">
        <w:t xml:space="preserve">financial requirements would </w:t>
      </w:r>
      <w:r>
        <w:t>be</w:t>
      </w:r>
      <w:r w:rsidR="00FF7BEC">
        <w:t xml:space="preserve"> based on ASLF, which is subject to different accounting interpretations;</w:t>
      </w:r>
      <w:r w:rsidR="00230726">
        <w:t xml:space="preserve"> and</w:t>
      </w:r>
    </w:p>
    <w:p w:rsidR="00BE0524" w:rsidRPr="006E4B38" w:rsidRDefault="00BE0524" w:rsidP="00230726">
      <w:pPr>
        <w:pStyle w:val="subparaa"/>
        <w:spacing w:before="80"/>
      </w:pPr>
      <w:r>
        <w:t>there would be no NTA liquidity requirement</w:t>
      </w:r>
      <w:r w:rsidRPr="006E4B38">
        <w:t>.</w:t>
      </w:r>
    </w:p>
    <w:p w:rsidR="00ED29D5" w:rsidRDefault="00EF6DF8" w:rsidP="00626AFC">
      <w:pPr>
        <w:pStyle w:val="Heading3"/>
        <w:spacing w:before="300"/>
      </w:pPr>
      <w:r w:rsidRPr="00A4416C">
        <w:t>Benefits</w:t>
      </w:r>
      <w:r>
        <w:t xml:space="preserve"> of Option 2</w:t>
      </w:r>
    </w:p>
    <w:p w:rsidR="00BE0524" w:rsidRDefault="00BE0524" w:rsidP="00626AFC">
      <w:pPr>
        <w:pStyle w:val="BodyText"/>
        <w:spacing w:before="120"/>
      </w:pPr>
      <w:r>
        <w:t xml:space="preserve">The benefit of </w:t>
      </w:r>
      <w:r w:rsidR="00E46CB2">
        <w:t>continuing to apply</w:t>
      </w:r>
      <w:r w:rsidRPr="00A4416C">
        <w:t xml:space="preserve"> the current financial </w:t>
      </w:r>
      <w:r>
        <w:t>requirements</w:t>
      </w:r>
      <w:r w:rsidRPr="00A4416C">
        <w:t xml:space="preserve"> </w:t>
      </w:r>
      <w:r>
        <w:t>is that</w:t>
      </w:r>
      <w:r w:rsidR="00A94C3E">
        <w:t xml:space="preserve"> </w:t>
      </w:r>
      <w:r w:rsidR="00A94C3E" w:rsidRPr="00A94C3E">
        <w:t>retail OTC derivative</w:t>
      </w:r>
      <w:r w:rsidR="00FF7BEC">
        <w:t xml:space="preserve"> </w:t>
      </w:r>
      <w:r w:rsidR="00A94C3E">
        <w:t>i</w:t>
      </w:r>
      <w:r w:rsidR="00FF7BEC">
        <w:t>ssuers</w:t>
      </w:r>
      <w:r w:rsidRPr="00A4416C">
        <w:t xml:space="preserve"> </w:t>
      </w:r>
      <w:r>
        <w:t>and investors will</w:t>
      </w:r>
      <w:r w:rsidRPr="00A4416C">
        <w:t xml:space="preserve"> avoid </w:t>
      </w:r>
      <w:r>
        <w:t xml:space="preserve">any additional </w:t>
      </w:r>
      <w:r w:rsidRPr="00A4416C">
        <w:t>costs</w:t>
      </w:r>
      <w:r>
        <w:t xml:space="preserve"> associated with the </w:t>
      </w:r>
      <w:r w:rsidR="00E46CB2">
        <w:t xml:space="preserve">clarified </w:t>
      </w:r>
      <w:r>
        <w:t>financial requirements</w:t>
      </w:r>
      <w:r w:rsidR="00E46CB2">
        <w:t xml:space="preserve"> under Option 1</w:t>
      </w:r>
      <w:r w:rsidRPr="00A4416C">
        <w:t>.</w:t>
      </w:r>
    </w:p>
    <w:p w:rsidR="00ED29D5" w:rsidRDefault="00EF6DF8" w:rsidP="00626AFC">
      <w:pPr>
        <w:pStyle w:val="Heading3"/>
        <w:spacing w:before="300"/>
      </w:pPr>
      <w:r>
        <w:lastRenderedPageBreak/>
        <w:t>Costs of Option 2</w:t>
      </w:r>
    </w:p>
    <w:p w:rsidR="00BE0524" w:rsidRDefault="00BE0524" w:rsidP="00626AFC">
      <w:pPr>
        <w:pStyle w:val="BodyText"/>
        <w:spacing w:before="120"/>
      </w:pPr>
      <w:r>
        <w:t xml:space="preserve">We </w:t>
      </w:r>
      <w:r w:rsidRPr="00192F4D">
        <w:t xml:space="preserve">estimate </w:t>
      </w:r>
      <w:r>
        <w:t xml:space="preserve">a number of potential </w:t>
      </w:r>
      <w:r w:rsidRPr="00192F4D">
        <w:t xml:space="preserve">costs </w:t>
      </w:r>
      <w:r w:rsidR="00E46CB2">
        <w:t>would</w:t>
      </w:r>
      <w:r w:rsidRPr="00192F4D">
        <w:t xml:space="preserve"> be incurred by </w:t>
      </w:r>
      <w:r w:rsidR="00A94C3E" w:rsidRPr="00A94C3E">
        <w:t>retail OTC derivative</w:t>
      </w:r>
      <w:r w:rsidR="00A94C3E" w:rsidRPr="00A94C3E" w:rsidDel="00A94C3E">
        <w:t xml:space="preserve"> </w:t>
      </w:r>
      <w:r w:rsidR="00A94C3E">
        <w:t>issuers</w:t>
      </w:r>
      <w:r>
        <w:t>,</w:t>
      </w:r>
      <w:r w:rsidRPr="00192F4D">
        <w:t xml:space="preserve"> investors</w:t>
      </w:r>
      <w:r>
        <w:t>, the</w:t>
      </w:r>
      <w:r w:rsidR="00A94C3E">
        <w:t xml:space="preserve"> </w:t>
      </w:r>
      <w:r w:rsidR="00A94C3E" w:rsidRPr="00A94C3E">
        <w:t>retail derivative</w:t>
      </w:r>
      <w:r w:rsidR="00FF7BEC">
        <w:t xml:space="preserve"> sector </w:t>
      </w:r>
      <w:r>
        <w:t>and Government</w:t>
      </w:r>
      <w:r w:rsidRPr="00192F4D">
        <w:t xml:space="preserve"> </w:t>
      </w:r>
      <w:r w:rsidR="00E46CB2">
        <w:t xml:space="preserve">if </w:t>
      </w:r>
      <w:r w:rsidRPr="00192F4D">
        <w:t xml:space="preserve">the </w:t>
      </w:r>
      <w:r w:rsidR="00E46CB2">
        <w:t>current</w:t>
      </w:r>
      <w:r>
        <w:t xml:space="preserve"> </w:t>
      </w:r>
      <w:r w:rsidRPr="00192F4D">
        <w:t>financial requirements</w:t>
      </w:r>
      <w:r w:rsidR="00E46CB2">
        <w:t xml:space="preserve"> continue to apply</w:t>
      </w:r>
      <w:r>
        <w:t xml:space="preserve">. There may be a </w:t>
      </w:r>
      <w:r w:rsidR="00E350CE">
        <w:t xml:space="preserve">loss </w:t>
      </w:r>
      <w:r>
        <w:t xml:space="preserve">of </w:t>
      </w:r>
      <w:r w:rsidRPr="00192F4D">
        <w:t>investor confidence in the</w:t>
      </w:r>
      <w:r w:rsidR="00FF7BEC">
        <w:t xml:space="preserve"> sector </w:t>
      </w:r>
      <w:r w:rsidRPr="00192F4D">
        <w:t>f</w:t>
      </w:r>
      <w:r w:rsidR="00FF7BEC">
        <w:t xml:space="preserve">lowing from </w:t>
      </w:r>
      <w:r w:rsidR="00A94C3E">
        <w:t>i</w:t>
      </w:r>
      <w:r w:rsidR="00FF7BEC">
        <w:t>ssuers</w:t>
      </w:r>
      <w:r>
        <w:t>:</w:t>
      </w:r>
    </w:p>
    <w:p w:rsidR="00BE0524" w:rsidRDefault="00BE0524" w:rsidP="00230726">
      <w:pPr>
        <w:pStyle w:val="subparaa"/>
        <w:spacing w:before="80"/>
      </w:pPr>
      <w:r>
        <w:t>not having sufficient liquid assets to enable anticipated and unexpected events to be addressed;</w:t>
      </w:r>
    </w:p>
    <w:p w:rsidR="00BE0524" w:rsidRDefault="00BE0524" w:rsidP="00626AFC">
      <w:pPr>
        <w:pStyle w:val="subparaa"/>
        <w:spacing w:before="80"/>
        <w:ind w:right="-284"/>
      </w:pPr>
      <w:r>
        <w:t xml:space="preserve">having insufficient capital at risk </w:t>
      </w:r>
      <w:r w:rsidR="00626AFC">
        <w:t>to have</w:t>
      </w:r>
      <w:r>
        <w:t xml:space="preserve"> appropriate incentives to succeed;</w:t>
      </w:r>
    </w:p>
    <w:p w:rsidR="008E145F" w:rsidRDefault="00BE0524" w:rsidP="00230726">
      <w:pPr>
        <w:pStyle w:val="subparaa"/>
        <w:spacing w:before="80"/>
      </w:pPr>
      <w:r>
        <w:t>having</w:t>
      </w:r>
      <w:r w:rsidR="00FF7BEC">
        <w:t xml:space="preserve"> minimum financial </w:t>
      </w:r>
      <w:r>
        <w:t>requirements significantly below regional financial service centre peers</w:t>
      </w:r>
      <w:r w:rsidR="008E145F">
        <w:t>;</w:t>
      </w:r>
      <w:r w:rsidR="004C4A71">
        <w:t xml:space="preserve"> and</w:t>
      </w:r>
    </w:p>
    <w:p w:rsidR="00230726" w:rsidRDefault="00E46CB2" w:rsidP="00230726">
      <w:pPr>
        <w:pStyle w:val="subparaa"/>
        <w:spacing w:before="80"/>
      </w:pPr>
      <w:r>
        <w:t xml:space="preserve">the </w:t>
      </w:r>
      <w:r w:rsidR="004C4A71">
        <w:t xml:space="preserve">complexity of the current financial requirements and continued difficulty of oversight. </w:t>
      </w:r>
    </w:p>
    <w:p w:rsidR="00110725" w:rsidRDefault="00110725" w:rsidP="00626AFC">
      <w:pPr>
        <w:pStyle w:val="BodyText"/>
        <w:spacing w:before="160"/>
      </w:pPr>
      <w:r>
        <w:t>R</w:t>
      </w:r>
      <w:r w:rsidR="00BE0524" w:rsidRPr="00110725">
        <w:t>educed levels of compliance with the Corporations Act</w:t>
      </w:r>
      <w:r w:rsidRPr="00110725">
        <w:t xml:space="preserve"> </w:t>
      </w:r>
      <w:r>
        <w:t xml:space="preserve">may result where </w:t>
      </w:r>
      <w:r w:rsidR="00A94C3E" w:rsidRPr="00A94C3E">
        <w:t>retail OTC derivative</w:t>
      </w:r>
      <w:r w:rsidR="00FF7BEC">
        <w:t xml:space="preserve"> </w:t>
      </w:r>
      <w:r w:rsidR="00A94C3E">
        <w:t>i</w:t>
      </w:r>
      <w:r w:rsidR="00FF7BEC">
        <w:t>ssuers</w:t>
      </w:r>
      <w:r w:rsidR="00BE0524">
        <w:t xml:space="preserve"> </w:t>
      </w:r>
      <w:r>
        <w:t>have</w:t>
      </w:r>
      <w:r w:rsidR="00BE0524">
        <w:t xml:space="preserve"> insufficient capital</w:t>
      </w:r>
      <w:r w:rsidR="00BE0524" w:rsidRPr="00192F4D">
        <w:t xml:space="preserve"> to fund the orderly winding up of the</w:t>
      </w:r>
      <w:r w:rsidR="00FF7BEC">
        <w:t>ir</w:t>
      </w:r>
      <w:r w:rsidR="00BE0524" w:rsidRPr="00192F4D">
        <w:t xml:space="preserve"> </w:t>
      </w:r>
      <w:r w:rsidR="00FF7BEC">
        <w:t xml:space="preserve">business </w:t>
      </w:r>
      <w:r>
        <w:t>if it fails</w:t>
      </w:r>
      <w:r w:rsidR="00BE0524">
        <w:t>.</w:t>
      </w:r>
      <w:r>
        <w:t xml:space="preserve"> </w:t>
      </w:r>
    </w:p>
    <w:p w:rsidR="00BE0524" w:rsidRDefault="00BE0524" w:rsidP="00626AFC">
      <w:pPr>
        <w:pStyle w:val="BodyText"/>
        <w:spacing w:before="160"/>
      </w:pPr>
      <w:r>
        <w:t xml:space="preserve">Another potential cost is the loss of confidence in the Government by local and international investors </w:t>
      </w:r>
      <w:r w:rsidR="00680B64">
        <w:t>because of</w:t>
      </w:r>
      <w:r>
        <w:t xml:space="preserve"> failure to address the problems identified with the </w:t>
      </w:r>
      <w:r w:rsidR="00680B64">
        <w:t>current</w:t>
      </w:r>
      <w:r>
        <w:t xml:space="preserve"> financial requirements.</w:t>
      </w:r>
    </w:p>
    <w:p w:rsidR="00BE0524" w:rsidRDefault="00BE0524" w:rsidP="00626AFC">
      <w:pPr>
        <w:pStyle w:val="BodyText"/>
        <w:spacing w:before="160"/>
      </w:pPr>
      <w:r>
        <w:t xml:space="preserve">Finally, </w:t>
      </w:r>
      <w:r w:rsidR="00680B64">
        <w:t xml:space="preserve">there may be </w:t>
      </w:r>
      <w:r>
        <w:t>increased cost</w:t>
      </w:r>
      <w:r w:rsidR="00680B64">
        <w:t>s</w:t>
      </w:r>
      <w:r>
        <w:t xml:space="preserve"> to Government in addressing the co</w:t>
      </w:r>
      <w:r w:rsidR="00FF7BEC">
        <w:t>nsequences o</w:t>
      </w:r>
      <w:r w:rsidR="00A94C3E">
        <w:t xml:space="preserve">f </w:t>
      </w:r>
      <w:r w:rsidR="00A94C3E" w:rsidRPr="00A94C3E">
        <w:t>retail OTC derivative</w:t>
      </w:r>
      <w:r w:rsidR="00A94C3E" w:rsidRPr="00A94C3E" w:rsidDel="00A94C3E">
        <w:t xml:space="preserve"> </w:t>
      </w:r>
      <w:r w:rsidR="00A94C3E">
        <w:t>i</w:t>
      </w:r>
      <w:r w:rsidR="00FF7BEC">
        <w:t>ssuer</w:t>
      </w:r>
      <w:r>
        <w:t xml:space="preserve"> failure, including licensing action</w:t>
      </w:r>
      <w:r w:rsidR="00FF7BEC">
        <w:t xml:space="preserve">, </w:t>
      </w:r>
      <w:r w:rsidR="00680B64">
        <w:t>c</w:t>
      </w:r>
      <w:r w:rsidR="00FF7BEC">
        <w:t xml:space="preserve">ourt </w:t>
      </w:r>
      <w:r w:rsidR="00680B64">
        <w:t>p</w:t>
      </w:r>
      <w:r w:rsidR="00FF7BEC">
        <w:t>roceedings</w:t>
      </w:r>
      <w:r>
        <w:t xml:space="preserve"> and addressing investor complaints.</w:t>
      </w:r>
    </w:p>
    <w:p w:rsidR="00ED29D5" w:rsidRDefault="00EF6DF8" w:rsidP="00626AFC">
      <w:pPr>
        <w:pStyle w:val="Heading3"/>
        <w:spacing w:before="300"/>
      </w:pPr>
      <w:r>
        <w:t>Summary of analysis</w:t>
      </w:r>
    </w:p>
    <w:p w:rsidR="00A94C3E" w:rsidRDefault="00680B64" w:rsidP="00524214">
      <w:pPr>
        <w:pStyle w:val="BodyText"/>
        <w:spacing w:before="120"/>
      </w:pPr>
      <w:r>
        <w:t>We</w:t>
      </w:r>
      <w:r w:rsidR="00BE0524">
        <w:t xml:space="preserve"> consider the </w:t>
      </w:r>
      <w:r>
        <w:t xml:space="preserve">costs of Option 2 outweigh the </w:t>
      </w:r>
      <w:r w:rsidR="00110725">
        <w:t>benefits</w:t>
      </w:r>
      <w:r w:rsidR="00BE0524">
        <w:t>.</w:t>
      </w:r>
    </w:p>
    <w:p w:rsidR="00E62DB4" w:rsidRDefault="00FF7BEC" w:rsidP="00E62DB4">
      <w:pPr>
        <w:pStyle w:val="Heading1"/>
      </w:pPr>
      <w:bookmarkStart w:id="47" w:name="_Toc321227100"/>
      <w:bookmarkStart w:id="48" w:name="_Toc331415820"/>
      <w:r>
        <w:lastRenderedPageBreak/>
        <w:t>Consultation</w:t>
      </w:r>
      <w:bookmarkEnd w:id="47"/>
      <w:bookmarkEnd w:id="48"/>
    </w:p>
    <w:p w:rsidR="00FF7BEC" w:rsidRDefault="004254DE" w:rsidP="004C2F74">
      <w:pPr>
        <w:pStyle w:val="BodyText"/>
      </w:pPr>
      <w:r>
        <w:t xml:space="preserve">On 9 May 2011, </w:t>
      </w:r>
      <w:r w:rsidR="00FC10C1">
        <w:t>we</w:t>
      </w:r>
      <w:r>
        <w:t xml:space="preserve"> released CP</w:t>
      </w:r>
      <w:r w:rsidR="0060550E">
        <w:t> </w:t>
      </w:r>
      <w:r>
        <w:t>156</w:t>
      </w:r>
      <w:r w:rsidR="007D2641">
        <w:t>, with the consultation period ending on 4 </w:t>
      </w:r>
      <w:r w:rsidR="004C2F74">
        <w:t xml:space="preserve">July 2011. </w:t>
      </w:r>
      <w:r w:rsidR="00FC10C1" w:rsidRPr="00FC10C1">
        <w:t xml:space="preserve">We received </w:t>
      </w:r>
      <w:r w:rsidR="00337A8C">
        <w:t>four</w:t>
      </w:r>
      <w:r w:rsidR="00FC10C1" w:rsidRPr="00FC10C1">
        <w:t xml:space="preserve"> submissions </w:t>
      </w:r>
      <w:r w:rsidR="007D2641">
        <w:t>on</w:t>
      </w:r>
      <w:r w:rsidR="00FC10C1" w:rsidRPr="00FC10C1">
        <w:t xml:space="preserve"> the proposals in CP 156.</w:t>
      </w:r>
    </w:p>
    <w:p w:rsidR="00143390" w:rsidRDefault="004254DE" w:rsidP="004254DE">
      <w:pPr>
        <w:pStyle w:val="BodyText"/>
      </w:pPr>
      <w:r>
        <w:t>Respondents were</w:t>
      </w:r>
      <w:r w:rsidRPr="004254DE">
        <w:t xml:space="preserve"> generally supportive of the proposals</w:t>
      </w:r>
      <w:r w:rsidR="00143390">
        <w:t>. However, there were some other relevant comments made by respondents, as follows:</w:t>
      </w:r>
    </w:p>
    <w:p w:rsidR="004254DE" w:rsidRPr="004254DE" w:rsidRDefault="00F41179" w:rsidP="00143390">
      <w:pPr>
        <w:pStyle w:val="subparaa"/>
      </w:pPr>
      <w:r>
        <w:t>Some</w:t>
      </w:r>
      <w:r w:rsidR="00143390">
        <w:t xml:space="preserve"> respondents thought</w:t>
      </w:r>
      <w:r w:rsidR="004254DE" w:rsidRPr="004254DE">
        <w:t xml:space="preserve"> that</w:t>
      </w:r>
      <w:r w:rsidR="00143390">
        <w:t xml:space="preserve"> the</w:t>
      </w:r>
      <w:r w:rsidR="004254DE" w:rsidRPr="004254DE">
        <w:t xml:space="preserve"> proposals </w:t>
      </w:r>
      <w:r w:rsidR="00143390">
        <w:t>should go further, including having a higher minimum NTA</w:t>
      </w:r>
      <w:r w:rsidR="00FC10C1">
        <w:t xml:space="preserve"> requirement.</w:t>
      </w:r>
    </w:p>
    <w:p w:rsidR="004254DE" w:rsidRPr="004254DE" w:rsidRDefault="00FC10C1" w:rsidP="00143390">
      <w:pPr>
        <w:pStyle w:val="subparaa"/>
      </w:pPr>
      <w:r>
        <w:t>C</w:t>
      </w:r>
      <w:r w:rsidR="00143390">
        <w:t>oncern was raised about how the proposals may</w:t>
      </w:r>
      <w:r w:rsidR="004254DE" w:rsidRPr="004254DE">
        <w:t xml:space="preserve"> </w:t>
      </w:r>
      <w:r>
        <w:t>affect</w:t>
      </w:r>
      <w:r w:rsidR="00143390">
        <w:t xml:space="preserve"> </w:t>
      </w:r>
      <w:r>
        <w:t>i</w:t>
      </w:r>
      <w:r w:rsidR="00143390">
        <w:t>ssuers differently depending on their corporate structure</w:t>
      </w:r>
      <w:r>
        <w:t>.</w:t>
      </w:r>
      <w:r w:rsidR="006A21D6">
        <w:t xml:space="preserve"> </w:t>
      </w:r>
    </w:p>
    <w:p w:rsidR="004254DE" w:rsidRPr="004254DE" w:rsidRDefault="00FC10C1" w:rsidP="00143390">
      <w:pPr>
        <w:pStyle w:val="subparaa"/>
      </w:pPr>
      <w:r>
        <w:t>T</w:t>
      </w:r>
      <w:r w:rsidR="00143390">
        <w:t>here was a fairly c</w:t>
      </w:r>
      <w:r w:rsidR="004254DE" w:rsidRPr="004254DE">
        <w:t>onsistent view that</w:t>
      </w:r>
      <w:r w:rsidR="00143390">
        <w:t xml:space="preserve"> the proposals would not</w:t>
      </w:r>
      <w:r w:rsidR="004254DE" w:rsidRPr="004254DE">
        <w:t xml:space="preserve"> substantially increase barriers to entry or lead to consolidation</w:t>
      </w:r>
      <w:r w:rsidR="00143390">
        <w:t xml:space="preserve"> and thus, would not</w:t>
      </w:r>
      <w:r w:rsidR="00EC5F08">
        <w:t xml:space="preserve"> greatly</w:t>
      </w:r>
      <w:r w:rsidR="004254DE" w:rsidRPr="004254DE">
        <w:t xml:space="preserve"> affect competition</w:t>
      </w:r>
      <w:r>
        <w:t>.</w:t>
      </w:r>
    </w:p>
    <w:p w:rsidR="004254DE" w:rsidRDefault="00FC10C1" w:rsidP="001B2EB5">
      <w:pPr>
        <w:pStyle w:val="subparaa"/>
      </w:pPr>
      <w:r>
        <w:t>T</w:t>
      </w:r>
      <w:r w:rsidR="001B2EB5">
        <w:t xml:space="preserve">here were differing views about whether the proposals </w:t>
      </w:r>
      <w:r>
        <w:t>would</w:t>
      </w:r>
      <w:r w:rsidR="001B2EB5">
        <w:t xml:space="preserve"> achie</w:t>
      </w:r>
      <w:r w:rsidR="00EC5F08">
        <w:t>ve their stated objectives, with some respondents stating</w:t>
      </w:r>
      <w:r w:rsidR="001B2EB5">
        <w:t xml:space="preserve"> that the</w:t>
      </w:r>
      <w:r w:rsidR="004254DE" w:rsidRPr="004254DE">
        <w:t xml:space="preserve"> proposals</w:t>
      </w:r>
      <w:r w:rsidR="00EC5F08">
        <w:t xml:space="preserve"> </w:t>
      </w:r>
      <w:r>
        <w:t>were</w:t>
      </w:r>
      <w:r w:rsidR="004254DE" w:rsidRPr="004254DE">
        <w:t xml:space="preserve"> too lenient</w:t>
      </w:r>
      <w:r w:rsidR="00EC5F08">
        <w:t xml:space="preserve"> or</w:t>
      </w:r>
      <w:r w:rsidR="001B2EB5">
        <w:t xml:space="preserve"> that business-as</w:t>
      </w:r>
      <w:r w:rsidR="00EC5F08">
        <w:t xml:space="preserve">-usual cash-flow forecasting </w:t>
      </w:r>
      <w:r>
        <w:t>did</w:t>
      </w:r>
      <w:r w:rsidR="001B2EB5">
        <w:t xml:space="preserve"> not cover off on all</w:t>
      </w:r>
      <w:r w:rsidR="00EC5F08">
        <w:t xml:space="preserve"> material</w:t>
      </w:r>
      <w:r w:rsidR="001B2EB5">
        <w:t xml:space="preserve"> risks.</w:t>
      </w:r>
    </w:p>
    <w:p w:rsidR="004C2F74" w:rsidRDefault="004C2F74" w:rsidP="004C2F74">
      <w:pPr>
        <w:pStyle w:val="BodyText"/>
      </w:pPr>
      <w:r>
        <w:t>To build on the information obtained in the consultation process, in August 2011</w:t>
      </w:r>
      <w:r w:rsidR="00FC10C1">
        <w:t>,</w:t>
      </w:r>
      <w:r>
        <w:t xml:space="preserve"> we sent </w:t>
      </w:r>
      <w:r w:rsidR="00FC10C1">
        <w:t xml:space="preserve">a </w:t>
      </w:r>
      <w:r>
        <w:t xml:space="preserve">questionnaire to </w:t>
      </w:r>
      <w:r w:rsidR="00FC10C1">
        <w:t>i</w:t>
      </w:r>
      <w:r>
        <w:t xml:space="preserve">ssuers that would be affected by the proposals. We invited these issuers to voluntarily complete the questionnaire, which </w:t>
      </w:r>
      <w:r w:rsidR="00FC10C1">
        <w:t xml:space="preserve">asked for </w:t>
      </w:r>
      <w:r>
        <w:t xml:space="preserve">information about the financial impact of complying with the proposed </w:t>
      </w:r>
      <w:r w:rsidR="00991801">
        <w:t>requirements</w:t>
      </w:r>
      <w:r>
        <w:t>.</w:t>
      </w:r>
    </w:p>
    <w:p w:rsidR="004C2F74" w:rsidRPr="004254DE" w:rsidRDefault="00356C2B" w:rsidP="004C2F74">
      <w:pPr>
        <w:pStyle w:val="BodyText"/>
      </w:pPr>
      <w:r>
        <w:t>These responses form the basis of our assessment of the costs of implementing Option 1.</w:t>
      </w:r>
    </w:p>
    <w:p w:rsidR="00814188" w:rsidRDefault="00356C2B">
      <w:pPr>
        <w:pStyle w:val="Heading1"/>
      </w:pPr>
      <w:bookmarkStart w:id="49" w:name="_Toc321227101"/>
      <w:bookmarkStart w:id="50" w:name="_Toc331415821"/>
      <w:r>
        <w:lastRenderedPageBreak/>
        <w:t>Conclusions and recommended option</w:t>
      </w:r>
      <w:bookmarkEnd w:id="49"/>
      <w:bookmarkEnd w:id="50"/>
    </w:p>
    <w:p w:rsidR="00356C2B" w:rsidRDefault="00356C2B" w:rsidP="00356C2B">
      <w:pPr>
        <w:pStyle w:val="BodyText"/>
      </w:pPr>
      <w:r>
        <w:t>There is significant uncertainty sur</w:t>
      </w:r>
      <w:r w:rsidR="00EC5F08">
        <w:t>rounding the quantitative whole-of-</w:t>
      </w:r>
      <w:r>
        <w:t xml:space="preserve">industry costs and benefits of the options proposed in this paper. However, </w:t>
      </w:r>
      <w:r w:rsidR="00FC10C1">
        <w:t>we</w:t>
      </w:r>
      <w:r w:rsidRPr="00276068">
        <w:t xml:space="preserve"> recommend </w:t>
      </w:r>
      <w:r>
        <w:t>O</w:t>
      </w:r>
      <w:r w:rsidRPr="00276068">
        <w:t>ption 1 because</w:t>
      </w:r>
      <w:r>
        <w:t>,</w:t>
      </w:r>
      <w:r w:rsidRPr="00276068">
        <w:t xml:space="preserve"> </w:t>
      </w:r>
      <w:r>
        <w:t xml:space="preserve">on the qualitative evidence available, </w:t>
      </w:r>
      <w:r w:rsidRPr="00276068">
        <w:t>it ad</w:t>
      </w:r>
      <w:r>
        <w:t>dresses the identified problems and</w:t>
      </w:r>
      <w:r w:rsidRPr="00276068">
        <w:t xml:space="preserve"> achieves </w:t>
      </w:r>
      <w:r w:rsidR="00FC10C1">
        <w:t xml:space="preserve">our </w:t>
      </w:r>
      <w:r w:rsidRPr="00276068">
        <w:t>objectives</w:t>
      </w:r>
      <w:r>
        <w:t>.</w:t>
      </w:r>
    </w:p>
    <w:p w:rsidR="00356C2B" w:rsidRDefault="00356C2B" w:rsidP="00356C2B">
      <w:pPr>
        <w:pStyle w:val="BodyText"/>
      </w:pPr>
      <w:r>
        <w:t>We consider Option 1 achieves our objectives</w:t>
      </w:r>
      <w:r w:rsidR="00FC10C1">
        <w:t xml:space="preserve"> for the following reasons</w:t>
      </w:r>
      <w:r>
        <w:t>:</w:t>
      </w:r>
    </w:p>
    <w:p w:rsidR="004535B5" w:rsidRDefault="00FC10C1" w:rsidP="00356C2B">
      <w:pPr>
        <w:pStyle w:val="subparaa"/>
      </w:pPr>
      <w:r>
        <w:t xml:space="preserve">This option will </w:t>
      </w:r>
      <w:r w:rsidR="00356C2B">
        <w:t>ensure that</w:t>
      </w:r>
      <w:r w:rsidR="00A94C3E">
        <w:t xml:space="preserve"> </w:t>
      </w:r>
      <w:r w:rsidR="00A94C3E" w:rsidRPr="00A94C3E">
        <w:t>retail OTC derivative</w:t>
      </w:r>
      <w:r w:rsidR="00356C2B">
        <w:t xml:space="preserve"> </w:t>
      </w:r>
      <w:r w:rsidR="00A94C3E">
        <w:t>i</w:t>
      </w:r>
      <w:r w:rsidR="00356C2B">
        <w:t>ssuers</w:t>
      </w:r>
      <w:r w:rsidR="006A21D6">
        <w:t xml:space="preserve"> </w:t>
      </w:r>
      <w:r w:rsidR="00356C2B">
        <w:t>have more financial r</w:t>
      </w:r>
      <w:r w:rsidR="004535B5">
        <w:t>esources and are better able to operate their business in compliance with the Corporations Act</w:t>
      </w:r>
      <w:r w:rsidR="004C4A71" w:rsidRPr="004C4A71">
        <w:t>, including carrying out supervisory activities,</w:t>
      </w:r>
      <w:r w:rsidR="004535B5">
        <w:t xml:space="preserve"> by requiring</w:t>
      </w:r>
      <w:r w:rsidR="0060550E">
        <w:t>:</w:t>
      </w:r>
      <w:r w:rsidR="00356C2B" w:rsidRPr="00DD6CBF">
        <w:t xml:space="preserve"> </w:t>
      </w:r>
    </w:p>
    <w:p w:rsidR="00ED29D5" w:rsidRDefault="00356C2B" w:rsidP="00ED29D5">
      <w:pPr>
        <w:pStyle w:val="subsubparai"/>
      </w:pPr>
      <w:r>
        <w:t>more robust cash flow forecasting</w:t>
      </w:r>
      <w:r w:rsidR="008E145F">
        <w:t>;</w:t>
      </w:r>
      <w:r>
        <w:t xml:space="preserve"> </w:t>
      </w:r>
    </w:p>
    <w:p w:rsidR="00ED29D5" w:rsidRDefault="004535B5" w:rsidP="00ED29D5">
      <w:pPr>
        <w:pStyle w:val="subsubparai"/>
      </w:pPr>
      <w:r>
        <w:t>greater amounts</w:t>
      </w:r>
      <w:r w:rsidR="00356C2B">
        <w:t xml:space="preserve"> of capital and liquidity</w:t>
      </w:r>
      <w:r>
        <w:t>;</w:t>
      </w:r>
      <w:r w:rsidR="00356C2B">
        <w:t xml:space="preserve"> and</w:t>
      </w:r>
    </w:p>
    <w:p w:rsidR="00ED29D5" w:rsidRDefault="00356C2B" w:rsidP="00ED29D5">
      <w:pPr>
        <w:pStyle w:val="subsubparai"/>
      </w:pPr>
      <w:r>
        <w:t>capit</w:t>
      </w:r>
      <w:r w:rsidR="004535B5">
        <w:t xml:space="preserve">al levels better reflecting </w:t>
      </w:r>
      <w:r>
        <w:t>operational</w:t>
      </w:r>
      <w:r w:rsidR="004535B5">
        <w:t xml:space="preserve"> risk</w:t>
      </w:r>
      <w:r w:rsidR="00FC10C1">
        <w:t>.</w:t>
      </w:r>
    </w:p>
    <w:p w:rsidR="00356C2B" w:rsidRDefault="00FC10C1" w:rsidP="00356C2B">
      <w:pPr>
        <w:pStyle w:val="subparaa"/>
      </w:pPr>
      <w:r>
        <w:t xml:space="preserve">It </w:t>
      </w:r>
      <w:r w:rsidR="00356C2B">
        <w:t>a</w:t>
      </w:r>
      <w:r w:rsidR="00356C2B" w:rsidRPr="00DD6CBF">
        <w:t>lign</w:t>
      </w:r>
      <w:r>
        <w:t>s</w:t>
      </w:r>
      <w:r w:rsidR="00356C2B" w:rsidRPr="00DD6CBF">
        <w:t xml:space="preserve"> the interests of </w:t>
      </w:r>
      <w:r w:rsidR="00A94C3E" w:rsidRPr="00A94C3E">
        <w:t>retail OTC derivative</w:t>
      </w:r>
      <w:r w:rsidR="006A21D6">
        <w:t xml:space="preserve"> </w:t>
      </w:r>
      <w:r w:rsidR="00A94C3E">
        <w:t>i</w:t>
      </w:r>
      <w:r w:rsidR="004535B5">
        <w:t xml:space="preserve">ssuers and their clients by </w:t>
      </w:r>
      <w:r w:rsidR="00356C2B">
        <w:t xml:space="preserve">imposing </w:t>
      </w:r>
      <w:r>
        <w:t xml:space="preserve">a </w:t>
      </w:r>
      <w:r w:rsidR="00356C2B">
        <w:t xml:space="preserve">minimum NTA </w:t>
      </w:r>
      <w:r>
        <w:t xml:space="preserve">requirement </w:t>
      </w:r>
      <w:r w:rsidR="00356C2B">
        <w:t xml:space="preserve">so that </w:t>
      </w:r>
      <w:r w:rsidR="00A94C3E" w:rsidRPr="00A94C3E">
        <w:t>retail OTC derivative</w:t>
      </w:r>
      <w:r w:rsidR="006A21D6">
        <w:t xml:space="preserve"> </w:t>
      </w:r>
      <w:r w:rsidR="00A94C3E">
        <w:t>i</w:t>
      </w:r>
      <w:r w:rsidR="004535B5">
        <w:t>ssuers</w:t>
      </w:r>
      <w:r w:rsidR="00356C2B">
        <w:t xml:space="preserve"> are </w:t>
      </w:r>
      <w:r w:rsidR="00356C2B" w:rsidRPr="00DD6CBF">
        <w:t>entities of</w:t>
      </w:r>
      <w:r w:rsidR="004535B5">
        <w:t xml:space="preserve"> clear financial</w:t>
      </w:r>
      <w:r w:rsidR="00356C2B" w:rsidRPr="00DD6CBF">
        <w:t xml:space="preserve"> substance </w:t>
      </w:r>
      <w:r w:rsidR="00356C2B">
        <w:t xml:space="preserve">with sufficient capital at risk to provide </w:t>
      </w:r>
      <w:r w:rsidR="004535B5">
        <w:t xml:space="preserve">their owners and directors with </w:t>
      </w:r>
      <w:r w:rsidR="00356C2B" w:rsidRPr="00DD6CBF">
        <w:t>incentive</w:t>
      </w:r>
      <w:r w:rsidR="004535B5">
        <w:t>s</w:t>
      </w:r>
      <w:r w:rsidR="00356C2B" w:rsidRPr="00DD6CBF">
        <w:t xml:space="preserve"> to </w:t>
      </w:r>
      <w:r w:rsidR="00356C2B">
        <w:t>s</w:t>
      </w:r>
      <w:r w:rsidR="004535B5">
        <w:t>uccessfully manage the risks that arise in their business</w:t>
      </w:r>
      <w:r>
        <w:t>.</w:t>
      </w:r>
      <w:r w:rsidR="00356C2B" w:rsidRPr="00DD6CBF">
        <w:t xml:space="preserve"> </w:t>
      </w:r>
    </w:p>
    <w:p w:rsidR="00356C2B" w:rsidRDefault="00FC10C1" w:rsidP="00356C2B">
      <w:pPr>
        <w:pStyle w:val="subparaa"/>
      </w:pPr>
      <w:r>
        <w:t xml:space="preserve">It </w:t>
      </w:r>
      <w:r w:rsidR="00356C2B">
        <w:t>e</w:t>
      </w:r>
      <w:r w:rsidR="00356C2B" w:rsidRPr="00DD6CBF">
        <w:t>nsure</w:t>
      </w:r>
      <w:r>
        <w:t>s</w:t>
      </w:r>
      <w:r w:rsidR="00356C2B" w:rsidRPr="00DD6CBF">
        <w:t xml:space="preserve"> </w:t>
      </w:r>
      <w:r w:rsidR="0060550E">
        <w:t xml:space="preserve">that </w:t>
      </w:r>
      <w:r w:rsidR="00356C2B" w:rsidRPr="00DD6CBF">
        <w:t xml:space="preserve">Australia provides comparable investor protection to other leading financial services centres and comparable regulatory regimes </w:t>
      </w:r>
      <w:r w:rsidR="00356C2B">
        <w:t xml:space="preserve">by </w:t>
      </w:r>
      <w:r>
        <w:t>imposing</w:t>
      </w:r>
      <w:r w:rsidR="00356C2B">
        <w:t xml:space="preserve"> </w:t>
      </w:r>
      <w:r>
        <w:t xml:space="preserve">a </w:t>
      </w:r>
      <w:r w:rsidR="00356C2B">
        <w:t xml:space="preserve">minimum NTA requirement </w:t>
      </w:r>
      <w:r>
        <w:t xml:space="preserve">that is better aligned </w:t>
      </w:r>
      <w:r w:rsidR="00356C2B">
        <w:t xml:space="preserve">with operational risk </w:t>
      </w:r>
      <w:r w:rsidR="00356C2B" w:rsidRPr="00DD6CBF">
        <w:t xml:space="preserve">to </w:t>
      </w:r>
      <w:r w:rsidR="00356C2B">
        <w:t>enhance investor confidence in</w:t>
      </w:r>
      <w:r w:rsidR="00356C2B" w:rsidRPr="00DD6CBF">
        <w:t xml:space="preserve"> Australia</w:t>
      </w:r>
      <w:r w:rsidR="00927BB5">
        <w:t>’</w:t>
      </w:r>
      <w:r w:rsidR="00356C2B" w:rsidRPr="00DD6CBF">
        <w:t>s reputation as a</w:t>
      </w:r>
      <w:r w:rsidR="00356C2B">
        <w:t>n</w:t>
      </w:r>
      <w:r w:rsidR="00356C2B" w:rsidRPr="00DD6CBF">
        <w:t xml:space="preserve"> attractive financial services centre</w:t>
      </w:r>
      <w:r>
        <w:t>.</w:t>
      </w:r>
    </w:p>
    <w:p w:rsidR="00356C2B" w:rsidRDefault="00FC10C1" w:rsidP="00356C2B">
      <w:pPr>
        <w:pStyle w:val="subparaa"/>
      </w:pPr>
      <w:r>
        <w:t xml:space="preserve">It </w:t>
      </w:r>
      <w:r w:rsidR="00356C2B">
        <w:t>p</w:t>
      </w:r>
      <w:r w:rsidR="00356C2B" w:rsidRPr="00DD6CBF">
        <w:t>rovide</w:t>
      </w:r>
      <w:r>
        <w:t>s</w:t>
      </w:r>
      <w:r w:rsidR="00356C2B" w:rsidRPr="00DD6CBF">
        <w:t xml:space="preserve"> </w:t>
      </w:r>
      <w:r w:rsidR="00356C2B">
        <w:t xml:space="preserve">increased </w:t>
      </w:r>
      <w:r w:rsidR="00356C2B" w:rsidRPr="00DD6CBF">
        <w:t>level</w:t>
      </w:r>
      <w:r w:rsidR="00356C2B">
        <w:t>s</w:t>
      </w:r>
      <w:r w:rsidR="00356C2B" w:rsidRPr="00DD6CBF">
        <w:t xml:space="preserve"> of assuran</w:t>
      </w:r>
      <w:r w:rsidR="004535B5">
        <w:t xml:space="preserve">ce that, if a </w:t>
      </w:r>
      <w:r w:rsidR="00A94C3E" w:rsidRPr="00A94C3E">
        <w:t>retail OTC derivative</w:t>
      </w:r>
      <w:r w:rsidR="004535B5">
        <w:t xml:space="preserve"> </w:t>
      </w:r>
      <w:r w:rsidR="006A21D6">
        <w:t>i</w:t>
      </w:r>
      <w:r w:rsidR="004535B5">
        <w:t>ssuer</w:t>
      </w:r>
      <w:r w:rsidR="00356C2B" w:rsidRPr="00DD6CBF">
        <w:t xml:space="preserve"> does fail</w:t>
      </w:r>
      <w:r w:rsidR="004535B5">
        <w:t xml:space="preserve"> due to trading losses</w:t>
      </w:r>
      <w:r w:rsidR="00356C2B" w:rsidRPr="00DD6CBF">
        <w:t xml:space="preserve">, there </w:t>
      </w:r>
      <w:r w:rsidR="00356C2B">
        <w:t>will be more</w:t>
      </w:r>
      <w:r w:rsidR="00356C2B" w:rsidRPr="00DD6CBF">
        <w:t xml:space="preserve"> money available for the orderly wind</w:t>
      </w:r>
      <w:r w:rsidR="00356C2B">
        <w:t>ing</w:t>
      </w:r>
      <w:r w:rsidR="004535B5">
        <w:t xml:space="preserve"> up of its business</w:t>
      </w:r>
      <w:r>
        <w:t>.</w:t>
      </w:r>
    </w:p>
    <w:p w:rsidR="00356C2B" w:rsidRDefault="00356C2B" w:rsidP="00356C2B">
      <w:pPr>
        <w:pStyle w:val="BodyText"/>
      </w:pPr>
      <w:r>
        <w:t xml:space="preserve">We conclude that the benefits of Option 1 on balance outweigh </w:t>
      </w:r>
      <w:r w:rsidR="00FC10C1">
        <w:t>the</w:t>
      </w:r>
      <w:r>
        <w:t xml:space="preserve"> costs </w:t>
      </w:r>
      <w:r w:rsidR="00FC10C1">
        <w:t xml:space="preserve">of this option </w:t>
      </w:r>
      <w:r>
        <w:t>as follows:</w:t>
      </w:r>
    </w:p>
    <w:p w:rsidR="00356C2B" w:rsidRPr="004E5475" w:rsidRDefault="00FC10C1" w:rsidP="00356C2B">
      <w:pPr>
        <w:pStyle w:val="subparaa"/>
      </w:pPr>
      <w:r>
        <w:t>T</w:t>
      </w:r>
      <w:r w:rsidR="00356C2B" w:rsidRPr="004E5475">
        <w:t>he</w:t>
      </w:r>
      <w:r w:rsidR="00356C2B">
        <w:t xml:space="preserve"> </w:t>
      </w:r>
      <w:r w:rsidR="00E350CE">
        <w:t xml:space="preserve">safeguarding of </w:t>
      </w:r>
      <w:r w:rsidR="00356C2B" w:rsidRPr="004E5475">
        <w:t xml:space="preserve">investor confidence in the </w:t>
      </w:r>
      <w:r w:rsidR="00A94C3E" w:rsidRPr="00A94C3E">
        <w:t>retail derivative</w:t>
      </w:r>
      <w:r w:rsidR="006A21D6">
        <w:t xml:space="preserve"> </w:t>
      </w:r>
      <w:r w:rsidR="004535B5">
        <w:t xml:space="preserve">sector </w:t>
      </w:r>
      <w:r w:rsidR="00E350CE">
        <w:t>by encouraging</w:t>
      </w:r>
      <w:r w:rsidR="006A21D6">
        <w:t xml:space="preserve"> </w:t>
      </w:r>
      <w:r w:rsidR="00E350CE">
        <w:t>i</w:t>
      </w:r>
      <w:r w:rsidR="004535B5">
        <w:t>ssuers</w:t>
      </w:r>
      <w:r w:rsidR="00927BB5">
        <w:t>’</w:t>
      </w:r>
      <w:r w:rsidR="004535B5">
        <w:t xml:space="preserve"> </w:t>
      </w:r>
      <w:r w:rsidR="00356C2B" w:rsidRPr="004E5475">
        <w:t>stab</w:t>
      </w:r>
      <w:r w:rsidR="00E350CE">
        <w:t>ility through the</w:t>
      </w:r>
      <w:r w:rsidR="00356C2B" w:rsidRPr="004E5475">
        <w:t xml:space="preserve"> require</w:t>
      </w:r>
      <w:r w:rsidR="00E350CE">
        <w:t>ment that issuers</w:t>
      </w:r>
      <w:r w:rsidR="00356C2B" w:rsidRPr="004E5475">
        <w:t xml:space="preserve"> prepare longer and more accurate 12</w:t>
      </w:r>
      <w:r w:rsidR="00356C2B">
        <w:t>-</w:t>
      </w:r>
      <w:r w:rsidR="00356C2B" w:rsidRPr="004E5475">
        <w:t>month cash flow forecasts outweighs any addition</w:t>
      </w:r>
      <w:r w:rsidR="004535B5">
        <w:t xml:space="preserve">al costs to </w:t>
      </w:r>
      <w:r w:rsidR="0060550E">
        <w:t>issuers</w:t>
      </w:r>
      <w:r w:rsidR="0060550E" w:rsidRPr="004E5475">
        <w:t xml:space="preserve"> </w:t>
      </w:r>
      <w:r w:rsidR="00356C2B" w:rsidRPr="004E5475">
        <w:t>and investors associated with preparation of the cash flow forecasts</w:t>
      </w:r>
      <w:r>
        <w:t>.</w:t>
      </w:r>
    </w:p>
    <w:p w:rsidR="00B72CBF" w:rsidRDefault="0060550E" w:rsidP="00356C2B">
      <w:pPr>
        <w:pStyle w:val="subparaa"/>
      </w:pPr>
      <w:r>
        <w:t>o</w:t>
      </w:r>
      <w:r w:rsidR="00082E1C">
        <w:t xml:space="preserve">n the basis of the information presently available, </w:t>
      </w:r>
      <w:r w:rsidR="00356C2B">
        <w:t>t</w:t>
      </w:r>
      <w:r w:rsidR="00356C2B" w:rsidRPr="004E5475">
        <w:t>he</w:t>
      </w:r>
      <w:r w:rsidR="00B950D5">
        <w:t xml:space="preserve"> q</w:t>
      </w:r>
      <w:r w:rsidR="00082E1C">
        <w:t>ualitative</w:t>
      </w:r>
      <w:r w:rsidR="00356C2B" w:rsidRPr="004E5475">
        <w:t xml:space="preserve"> benefits to</w:t>
      </w:r>
      <w:r w:rsidR="004535B5">
        <w:t xml:space="preserve"> investors, </w:t>
      </w:r>
      <w:r w:rsidR="00A94C3E">
        <w:t>i</w:t>
      </w:r>
      <w:r w:rsidR="004535B5">
        <w:t xml:space="preserve">ssuers, the </w:t>
      </w:r>
      <w:r w:rsidR="00A94C3E" w:rsidRPr="00A94C3E">
        <w:t>retail derivative</w:t>
      </w:r>
      <w:r w:rsidR="006A21D6">
        <w:t xml:space="preserve"> </w:t>
      </w:r>
      <w:r w:rsidR="004535B5">
        <w:t xml:space="preserve">sector </w:t>
      </w:r>
      <w:r w:rsidR="00356C2B" w:rsidRPr="004E5475">
        <w:t xml:space="preserve">and Government </w:t>
      </w:r>
      <w:r w:rsidR="00FC10C1">
        <w:t xml:space="preserve">of the </w:t>
      </w:r>
      <w:r w:rsidR="00B72CBF">
        <w:t>NTA requirement</w:t>
      </w:r>
      <w:r w:rsidR="00FC10C1">
        <w:t xml:space="preserve"> </w:t>
      </w:r>
      <w:r w:rsidR="00FC10C1" w:rsidRPr="00FC10C1">
        <w:t>potentially outweigh any additional costs to issuers and investors incurred in complying with th</w:t>
      </w:r>
      <w:r w:rsidR="00FC10C1">
        <w:t>is</w:t>
      </w:r>
      <w:r w:rsidR="00FC10C1" w:rsidRPr="00FC10C1">
        <w:t xml:space="preserve"> requirement</w:t>
      </w:r>
      <w:r w:rsidR="00FC10C1">
        <w:t>. These benefits</w:t>
      </w:r>
      <w:r w:rsidR="00EC5F08">
        <w:t xml:space="preserve"> includ</w:t>
      </w:r>
      <w:r w:rsidR="00FC10C1">
        <w:t>e</w:t>
      </w:r>
      <w:r w:rsidR="00B72CBF">
        <w:t xml:space="preserve">: </w:t>
      </w:r>
    </w:p>
    <w:p w:rsidR="00EC5F08" w:rsidRDefault="00B72CBF" w:rsidP="00EC5F08">
      <w:pPr>
        <w:pStyle w:val="subsubparai"/>
      </w:pPr>
      <w:r w:rsidRPr="00B72CBF">
        <w:lastRenderedPageBreak/>
        <w:t xml:space="preserve">enhancing </w:t>
      </w:r>
      <w:r w:rsidR="00A94C3E" w:rsidRPr="00A94C3E">
        <w:t>retail OTC derivative</w:t>
      </w:r>
      <w:r w:rsidR="006A21D6">
        <w:t xml:space="preserve"> </w:t>
      </w:r>
      <w:r w:rsidRPr="00B72CBF">
        <w:t>issuers</w:t>
      </w:r>
      <w:r w:rsidR="00927BB5">
        <w:t>’</w:t>
      </w:r>
      <w:r w:rsidRPr="00B72CBF">
        <w:t xml:space="preserve"> </w:t>
      </w:r>
      <w:r w:rsidR="00356C2B" w:rsidRPr="00B72CBF">
        <w:t>compl</w:t>
      </w:r>
      <w:r w:rsidRPr="00B72CBF">
        <w:t>iance with the Corporations Act</w:t>
      </w:r>
      <w:r w:rsidR="004C4A71" w:rsidRPr="004C4A71">
        <w:t>, including enhanced support for effective supervisory activities</w:t>
      </w:r>
      <w:r w:rsidRPr="00B72CBF">
        <w:t>;</w:t>
      </w:r>
    </w:p>
    <w:p w:rsidR="00EC5F08" w:rsidRDefault="00356C2B" w:rsidP="00EC5F08">
      <w:pPr>
        <w:pStyle w:val="subsubparai"/>
      </w:pPr>
      <w:r w:rsidRPr="00B72CBF">
        <w:t>better align</w:t>
      </w:r>
      <w:r w:rsidR="004535B5" w:rsidRPr="00B72CBF">
        <w:t xml:space="preserve">ing the interests of </w:t>
      </w:r>
      <w:r w:rsidR="00A94C3E">
        <w:t>issuers</w:t>
      </w:r>
      <w:r w:rsidRPr="00B72CBF">
        <w:t xml:space="preserve"> </w:t>
      </w:r>
      <w:r w:rsidR="004535B5" w:rsidRPr="00B72CBF">
        <w:t>with their clients</w:t>
      </w:r>
      <w:r w:rsidR="00B72CBF" w:rsidRPr="00B72CBF">
        <w:t>;</w:t>
      </w:r>
      <w:r w:rsidRPr="00B72CBF">
        <w:t xml:space="preserve"> </w:t>
      </w:r>
    </w:p>
    <w:p w:rsidR="00EC5F08" w:rsidRDefault="00FC10C1" w:rsidP="00EC5F08">
      <w:pPr>
        <w:pStyle w:val="subsubparai"/>
      </w:pPr>
      <w:r>
        <w:t xml:space="preserve">better aligning the </w:t>
      </w:r>
      <w:r w:rsidR="00EC5F08">
        <w:t>financial requirements</w:t>
      </w:r>
      <w:r w:rsidR="004535B5" w:rsidRPr="00B72CBF">
        <w:t xml:space="preserve"> </w:t>
      </w:r>
      <w:r w:rsidR="00B72CBF" w:rsidRPr="00B72CBF">
        <w:t>with operational risk;</w:t>
      </w:r>
      <w:r w:rsidR="00356C2B" w:rsidRPr="00B72CBF">
        <w:t xml:space="preserve"> </w:t>
      </w:r>
    </w:p>
    <w:p w:rsidR="00B72CBF" w:rsidRPr="00B72CBF" w:rsidRDefault="00356C2B" w:rsidP="00EC5F08">
      <w:pPr>
        <w:pStyle w:val="subsubparai"/>
      </w:pPr>
      <w:r w:rsidRPr="00B72CBF">
        <w:t>reducin</w:t>
      </w:r>
      <w:r w:rsidR="00EC5F08">
        <w:t xml:space="preserve">g the risk of </w:t>
      </w:r>
      <w:r w:rsidR="00A94C3E" w:rsidRPr="00A94C3E">
        <w:t>retail OTC derivative</w:t>
      </w:r>
      <w:r w:rsidR="006A21D6">
        <w:t xml:space="preserve"> </w:t>
      </w:r>
      <w:r w:rsidR="00A94C3E">
        <w:t>i</w:t>
      </w:r>
      <w:r w:rsidR="00EC5F08">
        <w:t>ssuer</w:t>
      </w:r>
      <w:r w:rsidRPr="00B72CBF">
        <w:t xml:space="preserve"> failure</w:t>
      </w:r>
      <w:r w:rsidR="009C2DE0">
        <w:t xml:space="preserve"> by both increasing the </w:t>
      </w:r>
      <w:r w:rsidR="00FC10C1">
        <w:t xml:space="preserve">required </w:t>
      </w:r>
      <w:r w:rsidR="009C2DE0">
        <w:t>amount and liquidity of capital, as well as requiring more</w:t>
      </w:r>
      <w:r w:rsidR="00B111C4">
        <w:t xml:space="preserve"> detailed cash flow projections</w:t>
      </w:r>
      <w:r w:rsidR="00B72CBF" w:rsidRPr="00B72CBF">
        <w:t>;</w:t>
      </w:r>
      <w:r w:rsidRPr="00B72CBF">
        <w:t xml:space="preserve"> and </w:t>
      </w:r>
    </w:p>
    <w:p w:rsidR="00B72CBF" w:rsidRPr="00B72CBF" w:rsidRDefault="00356C2B" w:rsidP="00EC5F08">
      <w:pPr>
        <w:pStyle w:val="subsubparai"/>
      </w:pPr>
      <w:r w:rsidRPr="00B72CBF">
        <w:t>providing a larger pool of capital to fund the o</w:t>
      </w:r>
      <w:r w:rsidR="004535B5" w:rsidRPr="00B72CBF">
        <w:t>rderly</w:t>
      </w:r>
      <w:r w:rsidRPr="00B72CBF">
        <w:t xml:space="preserve"> windi</w:t>
      </w:r>
      <w:r w:rsidR="004535B5" w:rsidRPr="00B72CBF">
        <w:t xml:space="preserve">ng up of an </w:t>
      </w:r>
      <w:r w:rsidR="0060550E" w:rsidRPr="00B72CBF">
        <w:t xml:space="preserve">issuer </w:t>
      </w:r>
      <w:r w:rsidR="004535B5" w:rsidRPr="00B72CBF">
        <w:t>due to trading losses</w:t>
      </w:r>
      <w:r w:rsidR="00FC10C1">
        <w:t>.</w:t>
      </w:r>
      <w:r w:rsidRPr="00B72CBF">
        <w:t xml:space="preserve"> </w:t>
      </w:r>
    </w:p>
    <w:p w:rsidR="00356C2B" w:rsidRPr="004E5475" w:rsidRDefault="00FC10C1" w:rsidP="00356C2B">
      <w:pPr>
        <w:pStyle w:val="subparaa"/>
      </w:pPr>
      <w:r>
        <w:t>T</w:t>
      </w:r>
      <w:r w:rsidR="00356C2B" w:rsidRPr="004E5475">
        <w:t>he bene</w:t>
      </w:r>
      <w:r w:rsidR="004535B5">
        <w:t>fit</w:t>
      </w:r>
      <w:r>
        <w:t>s</w:t>
      </w:r>
      <w:r w:rsidR="004535B5">
        <w:t xml:space="preserve"> to investors, </w:t>
      </w:r>
      <w:r w:rsidR="00A94C3E" w:rsidRPr="00A94C3E">
        <w:t>retail OTC derivative</w:t>
      </w:r>
      <w:r w:rsidR="00A94C3E" w:rsidRPr="00A94C3E" w:rsidDel="00A94C3E">
        <w:t xml:space="preserve"> </w:t>
      </w:r>
      <w:r w:rsidR="00A94C3E">
        <w:t>i</w:t>
      </w:r>
      <w:r w:rsidR="004535B5">
        <w:t>ssuers</w:t>
      </w:r>
      <w:r w:rsidR="00356C2B" w:rsidRPr="004E5475">
        <w:t xml:space="preserve"> and the </w:t>
      </w:r>
      <w:r w:rsidR="00A94C3E" w:rsidRPr="00A94C3E">
        <w:t>retail derivative</w:t>
      </w:r>
      <w:r w:rsidR="006A21D6">
        <w:t xml:space="preserve"> </w:t>
      </w:r>
      <w:r w:rsidR="004535B5">
        <w:t xml:space="preserve">sector </w:t>
      </w:r>
      <w:r w:rsidR="00356C2B" w:rsidRPr="004E5475">
        <w:t xml:space="preserve">of </w:t>
      </w:r>
      <w:r w:rsidR="00A94C3E">
        <w:t>i</w:t>
      </w:r>
      <w:r w:rsidR="004535B5">
        <w:t xml:space="preserve">ssuers </w:t>
      </w:r>
      <w:r w:rsidR="00356C2B" w:rsidRPr="004E5475">
        <w:t>being more liquid and capable of managing unanticipated circumstances, which will result from the requirement to hold 50</w:t>
      </w:r>
      <w:r w:rsidR="00356C2B">
        <w:t>%</w:t>
      </w:r>
      <w:r w:rsidR="00356C2B" w:rsidRPr="004E5475">
        <w:t xml:space="preserve"> of the </w:t>
      </w:r>
      <w:r>
        <w:t xml:space="preserve">required </w:t>
      </w:r>
      <w:r w:rsidR="00356C2B" w:rsidRPr="004E5475">
        <w:t xml:space="preserve">NTA in cash or cash equivalents and the balance in liquid assets, outweigh the additional costs </w:t>
      </w:r>
      <w:r w:rsidR="00356C2B">
        <w:t xml:space="preserve">to responsible entities </w:t>
      </w:r>
      <w:r w:rsidR="00356C2B" w:rsidRPr="004E5475">
        <w:t xml:space="preserve">of </w:t>
      </w:r>
      <w:r w:rsidR="00F41090">
        <w:t>this requirement</w:t>
      </w:r>
    </w:p>
    <w:p w:rsidR="00356C2B" w:rsidRPr="00356C2B" w:rsidRDefault="00356C2B" w:rsidP="008A6A1B">
      <w:pPr>
        <w:pStyle w:val="BodyText"/>
      </w:pPr>
      <w:r>
        <w:t>On this basis, ASIC recommends Option 1.</w:t>
      </w:r>
    </w:p>
    <w:p w:rsidR="00B72CBF" w:rsidRPr="00B72CBF" w:rsidRDefault="00B72CBF" w:rsidP="00B72CBF">
      <w:pPr>
        <w:pStyle w:val="Heading1"/>
      </w:pPr>
      <w:bookmarkStart w:id="51" w:name="_Toc299118304"/>
      <w:bookmarkStart w:id="52" w:name="_Toc321227102"/>
      <w:bookmarkStart w:id="53" w:name="_Toc331415822"/>
      <w:r w:rsidRPr="00B72CBF">
        <w:lastRenderedPageBreak/>
        <w:t>Implementation and review</w:t>
      </w:r>
      <w:bookmarkEnd w:id="51"/>
      <w:bookmarkEnd w:id="52"/>
      <w:bookmarkEnd w:id="53"/>
    </w:p>
    <w:p w:rsidR="00ED29D5" w:rsidRDefault="00B72CBF" w:rsidP="00ED29D5">
      <w:pPr>
        <w:pStyle w:val="Heading2"/>
        <w:spacing w:before="600"/>
        <w:rPr>
          <w:kern w:val="28"/>
        </w:rPr>
      </w:pPr>
      <w:bookmarkStart w:id="54" w:name="_Toc321227103"/>
      <w:bookmarkStart w:id="55" w:name="_Toc331415823"/>
      <w:r w:rsidRPr="00B72CBF">
        <w:rPr>
          <w:kern w:val="28"/>
        </w:rPr>
        <w:t>Implementation</w:t>
      </w:r>
      <w:bookmarkEnd w:id="54"/>
      <w:bookmarkEnd w:id="55"/>
      <w:r w:rsidRPr="00B72CBF">
        <w:rPr>
          <w:kern w:val="28"/>
        </w:rPr>
        <w:t xml:space="preserve"> </w:t>
      </w:r>
    </w:p>
    <w:p w:rsidR="00555D36" w:rsidRDefault="00822B78" w:rsidP="00822B78">
      <w:pPr>
        <w:pStyle w:val="BodyText"/>
        <w:rPr>
          <w:kern w:val="28"/>
        </w:rPr>
      </w:pPr>
      <w:r>
        <w:rPr>
          <w:kern w:val="28"/>
        </w:rPr>
        <w:t>We</w:t>
      </w:r>
      <w:r w:rsidR="00B72CBF" w:rsidRPr="00B72CBF">
        <w:rPr>
          <w:kern w:val="28"/>
        </w:rPr>
        <w:t xml:space="preserve"> propose to use </w:t>
      </w:r>
      <w:r>
        <w:rPr>
          <w:kern w:val="28"/>
        </w:rPr>
        <w:t xml:space="preserve">our power </w:t>
      </w:r>
      <w:r w:rsidR="00B72CBF" w:rsidRPr="00B72CBF">
        <w:rPr>
          <w:kern w:val="28"/>
        </w:rPr>
        <w:t xml:space="preserve">to modify the law to implement </w:t>
      </w:r>
      <w:r w:rsidR="00ED29D5" w:rsidRPr="00ED29D5">
        <w:rPr>
          <w:spacing w:val="-2"/>
          <w:kern w:val="28"/>
        </w:rPr>
        <w:t xml:space="preserve">the </w:t>
      </w:r>
      <w:r>
        <w:rPr>
          <w:spacing w:val="-2"/>
          <w:kern w:val="28"/>
        </w:rPr>
        <w:t xml:space="preserve">proposed financial </w:t>
      </w:r>
      <w:r w:rsidR="00ED29D5" w:rsidRPr="00ED29D5">
        <w:rPr>
          <w:spacing w:val="-2"/>
          <w:kern w:val="28"/>
        </w:rPr>
        <w:t xml:space="preserve">requirement </w:t>
      </w:r>
      <w:r>
        <w:rPr>
          <w:spacing w:val="-2"/>
          <w:kern w:val="28"/>
        </w:rPr>
        <w:t>for</w:t>
      </w:r>
      <w:r w:rsidR="00ED29D5" w:rsidRPr="00ED29D5">
        <w:rPr>
          <w:spacing w:val="-2"/>
          <w:kern w:val="28"/>
        </w:rPr>
        <w:t xml:space="preserve"> all retail OTC derivative issuers. We did not formally</w:t>
      </w:r>
      <w:r w:rsidR="00B72CBF" w:rsidRPr="00B72CBF">
        <w:rPr>
          <w:kern w:val="28"/>
        </w:rPr>
        <w:t xml:space="preserve"> consult on this method</w:t>
      </w:r>
      <w:r>
        <w:rPr>
          <w:kern w:val="28"/>
        </w:rPr>
        <w:t xml:space="preserve"> of</w:t>
      </w:r>
      <w:r w:rsidR="00B72CBF" w:rsidRPr="00B72CBF">
        <w:rPr>
          <w:kern w:val="28"/>
        </w:rPr>
        <w:t xml:space="preserve"> implementation</w:t>
      </w:r>
      <w:r>
        <w:rPr>
          <w:kern w:val="28"/>
        </w:rPr>
        <w:t xml:space="preserve"> as it had not been settled at that time</w:t>
      </w:r>
      <w:r w:rsidR="00B72CBF" w:rsidRPr="00B72CBF">
        <w:rPr>
          <w:kern w:val="28"/>
        </w:rPr>
        <w:t>.</w:t>
      </w:r>
    </w:p>
    <w:p w:rsidR="00ED29D5" w:rsidRPr="007D2641" w:rsidRDefault="00B72CBF" w:rsidP="00ED29D5">
      <w:pPr>
        <w:pStyle w:val="BodyText"/>
        <w:spacing w:before="160"/>
        <w:rPr>
          <w:kern w:val="28"/>
        </w:rPr>
      </w:pPr>
      <w:r w:rsidRPr="00B72CBF">
        <w:rPr>
          <w:kern w:val="28"/>
        </w:rPr>
        <w:t>We typically use our modification power to grant relief</w:t>
      </w:r>
      <w:r w:rsidR="00822B78">
        <w:rPr>
          <w:kern w:val="28"/>
        </w:rPr>
        <w:t>. However</w:t>
      </w:r>
      <w:r w:rsidRPr="00B72CBF">
        <w:rPr>
          <w:kern w:val="28"/>
        </w:rPr>
        <w:t xml:space="preserve">, we have used </w:t>
      </w:r>
      <w:r w:rsidR="00822B78">
        <w:rPr>
          <w:kern w:val="28"/>
        </w:rPr>
        <w:t>it</w:t>
      </w:r>
      <w:r w:rsidRPr="00B72CBF">
        <w:rPr>
          <w:kern w:val="28"/>
        </w:rPr>
        <w:t xml:space="preserve"> to impose requirements </w:t>
      </w:r>
      <w:r w:rsidR="00822B78">
        <w:rPr>
          <w:kern w:val="28"/>
        </w:rPr>
        <w:t>on</w:t>
      </w:r>
      <w:r w:rsidRPr="00B72CBF">
        <w:rPr>
          <w:kern w:val="28"/>
        </w:rPr>
        <w:t xml:space="preserve"> short selling and credit legislation. </w:t>
      </w:r>
      <w:r w:rsidR="00822B78">
        <w:rPr>
          <w:kern w:val="28"/>
        </w:rPr>
        <w:t xml:space="preserve">Exercising </w:t>
      </w:r>
      <w:r w:rsidRPr="00B72CBF">
        <w:rPr>
          <w:kern w:val="28"/>
        </w:rPr>
        <w:t xml:space="preserve">our modification power </w:t>
      </w:r>
      <w:r w:rsidR="00822B78">
        <w:rPr>
          <w:kern w:val="28"/>
        </w:rPr>
        <w:t xml:space="preserve">through a class order </w:t>
      </w:r>
      <w:r w:rsidRPr="00B72CBF">
        <w:rPr>
          <w:kern w:val="28"/>
        </w:rPr>
        <w:t xml:space="preserve">is an efficient </w:t>
      </w:r>
      <w:r w:rsidR="00822B78">
        <w:rPr>
          <w:kern w:val="28"/>
        </w:rPr>
        <w:t xml:space="preserve">way to implement </w:t>
      </w:r>
      <w:r w:rsidRPr="00B72CBF">
        <w:rPr>
          <w:kern w:val="28"/>
        </w:rPr>
        <w:t xml:space="preserve">the proposed </w:t>
      </w:r>
      <w:r w:rsidR="00822B78">
        <w:rPr>
          <w:kern w:val="28"/>
        </w:rPr>
        <w:t>requirements</w:t>
      </w:r>
      <w:r w:rsidRPr="00B72CBF">
        <w:rPr>
          <w:kern w:val="28"/>
        </w:rPr>
        <w:t xml:space="preserve">. </w:t>
      </w:r>
      <w:r w:rsidR="00822B78">
        <w:rPr>
          <w:kern w:val="28"/>
        </w:rPr>
        <w:t xml:space="preserve">A </w:t>
      </w:r>
      <w:r w:rsidRPr="00B72CBF">
        <w:rPr>
          <w:kern w:val="28"/>
        </w:rPr>
        <w:t xml:space="preserve">class order is a disallowable instrument and is reviewable by the Senate. This means that the Senate could disallow the </w:t>
      </w:r>
      <w:r w:rsidRPr="00771F2F">
        <w:rPr>
          <w:kern w:val="28"/>
        </w:rPr>
        <w:t xml:space="preserve">proposal if it objected to it. Implementation will occur by around </w:t>
      </w:r>
      <w:r w:rsidR="00CC3106" w:rsidRPr="00CC3106">
        <w:rPr>
          <w:kern w:val="28"/>
        </w:rPr>
        <w:t>31 January 2012</w:t>
      </w:r>
      <w:r w:rsidRPr="00771F2F">
        <w:rPr>
          <w:kern w:val="28"/>
        </w:rPr>
        <w:t>, with the new requirements commencing</w:t>
      </w:r>
      <w:r w:rsidR="00DD5528" w:rsidRPr="00771F2F">
        <w:rPr>
          <w:kern w:val="28"/>
        </w:rPr>
        <w:t xml:space="preserve"> in stages from</w:t>
      </w:r>
      <w:r w:rsidRPr="00771F2F">
        <w:rPr>
          <w:kern w:val="28"/>
        </w:rPr>
        <w:t xml:space="preserve"> </w:t>
      </w:r>
      <w:r w:rsidR="00CC3106" w:rsidRPr="00CC3106">
        <w:rPr>
          <w:kern w:val="28"/>
        </w:rPr>
        <w:t>31 January 2013</w:t>
      </w:r>
      <w:r w:rsidRPr="00B72CBF">
        <w:rPr>
          <w:kern w:val="28"/>
        </w:rPr>
        <w:t>.</w:t>
      </w:r>
    </w:p>
    <w:p w:rsidR="00ED29D5" w:rsidRDefault="00B72CBF" w:rsidP="00ED29D5">
      <w:pPr>
        <w:pStyle w:val="BodyText"/>
        <w:spacing w:before="160"/>
        <w:rPr>
          <w:kern w:val="28"/>
        </w:rPr>
      </w:pPr>
      <w:r w:rsidRPr="00B72CBF">
        <w:rPr>
          <w:kern w:val="28"/>
        </w:rPr>
        <w:t xml:space="preserve">The other </w:t>
      </w:r>
      <w:r w:rsidR="00947794">
        <w:rPr>
          <w:kern w:val="28"/>
        </w:rPr>
        <w:t xml:space="preserve">method of we </w:t>
      </w:r>
      <w:r w:rsidRPr="00B72CBF">
        <w:rPr>
          <w:kern w:val="28"/>
        </w:rPr>
        <w:t>considered was varying the individual licence condi</w:t>
      </w:r>
      <w:r w:rsidR="00DD5528">
        <w:rPr>
          <w:kern w:val="28"/>
        </w:rPr>
        <w:t>tions of each</w:t>
      </w:r>
      <w:r w:rsidR="00A94C3E">
        <w:rPr>
          <w:kern w:val="28"/>
        </w:rPr>
        <w:t xml:space="preserve"> </w:t>
      </w:r>
      <w:r w:rsidR="00A94C3E" w:rsidRPr="00A94C3E">
        <w:rPr>
          <w:kern w:val="28"/>
        </w:rPr>
        <w:t>retail OTC derivative</w:t>
      </w:r>
      <w:r w:rsidR="00B950D5">
        <w:rPr>
          <w:kern w:val="28"/>
        </w:rPr>
        <w:t xml:space="preserve"> </w:t>
      </w:r>
      <w:r w:rsidR="00A94C3E">
        <w:rPr>
          <w:kern w:val="28"/>
        </w:rPr>
        <w:t>i</w:t>
      </w:r>
      <w:r w:rsidR="00DD5528">
        <w:rPr>
          <w:kern w:val="28"/>
        </w:rPr>
        <w:t>ssuer</w:t>
      </w:r>
      <w:r w:rsidRPr="00B72CBF">
        <w:rPr>
          <w:kern w:val="28"/>
        </w:rPr>
        <w:t xml:space="preserve">. However, this method is inefficient because each </w:t>
      </w:r>
      <w:r w:rsidR="00947794">
        <w:rPr>
          <w:kern w:val="28"/>
        </w:rPr>
        <w:t>i</w:t>
      </w:r>
      <w:r w:rsidR="00DD5528">
        <w:rPr>
          <w:kern w:val="28"/>
        </w:rPr>
        <w:t>ssuer</w:t>
      </w:r>
      <w:r w:rsidRPr="00B72CBF">
        <w:rPr>
          <w:kern w:val="28"/>
        </w:rPr>
        <w:t xml:space="preserve"> could request a hearing </w:t>
      </w:r>
      <w:r w:rsidR="00947794">
        <w:rPr>
          <w:kern w:val="28"/>
        </w:rPr>
        <w:t xml:space="preserve">on </w:t>
      </w:r>
      <w:r w:rsidRPr="00B72CBF">
        <w:rPr>
          <w:kern w:val="28"/>
        </w:rPr>
        <w:t>the varying of their licence conditions</w:t>
      </w:r>
      <w:r w:rsidR="00947794">
        <w:rPr>
          <w:kern w:val="28"/>
        </w:rPr>
        <w:t>.</w:t>
      </w:r>
      <w:r w:rsidRPr="00B72CBF">
        <w:rPr>
          <w:kern w:val="28"/>
        </w:rPr>
        <w:t xml:space="preserve"> </w:t>
      </w:r>
      <w:r w:rsidR="00947794">
        <w:rPr>
          <w:kern w:val="28"/>
        </w:rPr>
        <w:t>It</w:t>
      </w:r>
      <w:r w:rsidRPr="00B72CBF">
        <w:rPr>
          <w:kern w:val="28"/>
        </w:rPr>
        <w:t xml:space="preserve"> could be a significant drain on ASIC</w:t>
      </w:r>
      <w:r w:rsidR="00927BB5">
        <w:rPr>
          <w:kern w:val="28"/>
        </w:rPr>
        <w:t>’</w:t>
      </w:r>
      <w:r w:rsidR="00DD5528">
        <w:rPr>
          <w:kern w:val="28"/>
        </w:rPr>
        <w:t xml:space="preserve">s resources if all </w:t>
      </w:r>
      <w:r w:rsidR="00B111C4">
        <w:rPr>
          <w:kern w:val="28"/>
        </w:rPr>
        <w:t>29</w:t>
      </w:r>
      <w:r w:rsidR="00DD5528">
        <w:rPr>
          <w:kern w:val="28"/>
        </w:rPr>
        <w:t xml:space="preserve"> active issuers (and potentially many others who have the relevant authorisations but are not currently offering </w:t>
      </w:r>
      <w:r w:rsidR="00A94C3E" w:rsidRPr="00A94C3E">
        <w:rPr>
          <w:kern w:val="28"/>
        </w:rPr>
        <w:t>retail OTC derivatives</w:t>
      </w:r>
      <w:r w:rsidR="00DD5528">
        <w:rPr>
          <w:kern w:val="28"/>
        </w:rPr>
        <w:t>) sought a hearing</w:t>
      </w:r>
      <w:r w:rsidRPr="00B72CBF">
        <w:rPr>
          <w:kern w:val="28"/>
        </w:rPr>
        <w:t xml:space="preserve">. </w:t>
      </w:r>
    </w:p>
    <w:p w:rsidR="00ED29D5" w:rsidRDefault="00B72CBF" w:rsidP="00ED29D5">
      <w:pPr>
        <w:pStyle w:val="BodyText"/>
        <w:spacing w:before="160"/>
        <w:rPr>
          <w:kern w:val="28"/>
        </w:rPr>
      </w:pPr>
      <w:r w:rsidRPr="00DD5528">
        <w:rPr>
          <w:kern w:val="28"/>
        </w:rPr>
        <w:t xml:space="preserve">We </w:t>
      </w:r>
      <w:r w:rsidR="00947794">
        <w:rPr>
          <w:kern w:val="28"/>
        </w:rPr>
        <w:t>would</w:t>
      </w:r>
      <w:r w:rsidRPr="00DD5528">
        <w:rPr>
          <w:kern w:val="28"/>
        </w:rPr>
        <w:t>, on a case-by-</w:t>
      </w:r>
      <w:r w:rsidR="00DD5528">
        <w:rPr>
          <w:kern w:val="28"/>
        </w:rPr>
        <w:t>case basis, consider granting relief to a</w:t>
      </w:r>
      <w:r w:rsidRPr="00DD5528">
        <w:rPr>
          <w:kern w:val="28"/>
        </w:rPr>
        <w:t xml:space="preserve"> </w:t>
      </w:r>
      <w:r w:rsidR="00A94C3E" w:rsidRPr="00A94C3E">
        <w:rPr>
          <w:kern w:val="28"/>
        </w:rPr>
        <w:t>retail OTC derivative</w:t>
      </w:r>
      <w:r w:rsidR="00A94C3E" w:rsidRPr="00A94C3E" w:rsidDel="00A94C3E">
        <w:rPr>
          <w:kern w:val="28"/>
        </w:rPr>
        <w:t xml:space="preserve"> </w:t>
      </w:r>
      <w:r w:rsidR="00A94C3E">
        <w:rPr>
          <w:kern w:val="28"/>
        </w:rPr>
        <w:t>i</w:t>
      </w:r>
      <w:r w:rsidR="00DD5528" w:rsidRPr="00DD5528">
        <w:rPr>
          <w:kern w:val="28"/>
        </w:rPr>
        <w:t xml:space="preserve">ssuer </w:t>
      </w:r>
      <w:r w:rsidR="00EC5F08">
        <w:rPr>
          <w:kern w:val="28"/>
        </w:rPr>
        <w:t>from the proposed financial requirements where the</w:t>
      </w:r>
      <w:r w:rsidR="00DD5528">
        <w:rPr>
          <w:kern w:val="28"/>
        </w:rPr>
        <w:t xml:space="preserve"> </w:t>
      </w:r>
      <w:r w:rsidR="00A94C3E">
        <w:rPr>
          <w:kern w:val="28"/>
        </w:rPr>
        <w:t>i</w:t>
      </w:r>
      <w:r w:rsidR="00DD5528">
        <w:rPr>
          <w:kern w:val="28"/>
        </w:rPr>
        <w:t xml:space="preserve">ssuer is prudentially regulated overseas. </w:t>
      </w:r>
    </w:p>
    <w:p w:rsidR="00ED29D5" w:rsidRDefault="00B72CBF" w:rsidP="00ED29D5">
      <w:pPr>
        <w:pStyle w:val="BodyText"/>
        <w:spacing w:before="160"/>
        <w:rPr>
          <w:kern w:val="28"/>
        </w:rPr>
      </w:pPr>
      <w:r w:rsidRPr="00B72CBF">
        <w:rPr>
          <w:kern w:val="28"/>
        </w:rPr>
        <w:t xml:space="preserve">We </w:t>
      </w:r>
      <w:r w:rsidR="00947794">
        <w:rPr>
          <w:kern w:val="28"/>
        </w:rPr>
        <w:t>would</w:t>
      </w:r>
      <w:r w:rsidR="00EC5F08">
        <w:rPr>
          <w:kern w:val="28"/>
        </w:rPr>
        <w:t xml:space="preserve"> set out the proposed requirements</w:t>
      </w:r>
      <w:r w:rsidR="00DD5528">
        <w:rPr>
          <w:kern w:val="28"/>
        </w:rPr>
        <w:t xml:space="preserve"> and</w:t>
      </w:r>
      <w:r w:rsidRPr="00B72CBF">
        <w:rPr>
          <w:kern w:val="28"/>
        </w:rPr>
        <w:t xml:space="preserve"> provide guidance</w:t>
      </w:r>
      <w:r w:rsidR="00DD5528">
        <w:rPr>
          <w:kern w:val="28"/>
        </w:rPr>
        <w:t xml:space="preserve"> to </w:t>
      </w:r>
      <w:r w:rsidR="00A94C3E">
        <w:rPr>
          <w:kern w:val="28"/>
        </w:rPr>
        <w:t>i</w:t>
      </w:r>
      <w:r w:rsidR="00DD5528">
        <w:rPr>
          <w:kern w:val="28"/>
        </w:rPr>
        <w:t xml:space="preserve">ssuers </w:t>
      </w:r>
      <w:r w:rsidR="00ED29D5" w:rsidRPr="00ED29D5">
        <w:rPr>
          <w:spacing w:val="-2"/>
          <w:kern w:val="28"/>
        </w:rPr>
        <w:t xml:space="preserve">in a stand-alone regulatory guide. This </w:t>
      </w:r>
      <w:r w:rsidR="00947794">
        <w:rPr>
          <w:spacing w:val="-2"/>
          <w:kern w:val="28"/>
        </w:rPr>
        <w:t xml:space="preserve">would </w:t>
      </w:r>
      <w:r w:rsidR="00ED29D5" w:rsidRPr="00ED29D5">
        <w:rPr>
          <w:spacing w:val="-2"/>
          <w:kern w:val="28"/>
        </w:rPr>
        <w:t xml:space="preserve">prevent RG 166, which contains general guidance on financial requirements for </w:t>
      </w:r>
      <w:r w:rsidR="00947794">
        <w:rPr>
          <w:spacing w:val="-2"/>
          <w:kern w:val="28"/>
        </w:rPr>
        <w:t xml:space="preserve">all </w:t>
      </w:r>
      <w:r w:rsidR="00ED29D5" w:rsidRPr="00ED29D5">
        <w:rPr>
          <w:spacing w:val="-2"/>
          <w:kern w:val="28"/>
        </w:rPr>
        <w:t>AFS licensees,</w:t>
      </w:r>
      <w:r w:rsidR="00DD5528">
        <w:rPr>
          <w:kern w:val="28"/>
        </w:rPr>
        <w:t xml:space="preserve"> from becoming cluttered and unw</w:t>
      </w:r>
      <w:r w:rsidR="00EC5F08">
        <w:rPr>
          <w:kern w:val="28"/>
        </w:rPr>
        <w:t>ieldy and ensure the requirements have</w:t>
      </w:r>
      <w:r w:rsidR="00DD5528">
        <w:rPr>
          <w:kern w:val="28"/>
        </w:rPr>
        <w:t xml:space="preserve"> an appropriate profile within the</w:t>
      </w:r>
      <w:r w:rsidR="00EC5F08">
        <w:rPr>
          <w:kern w:val="28"/>
        </w:rPr>
        <w:t xml:space="preserve"> </w:t>
      </w:r>
      <w:r w:rsidR="00A94C3E" w:rsidRPr="00A94C3E">
        <w:rPr>
          <w:kern w:val="28"/>
        </w:rPr>
        <w:t>retail OTC derivative</w:t>
      </w:r>
      <w:r w:rsidR="006A21D6">
        <w:rPr>
          <w:kern w:val="28"/>
        </w:rPr>
        <w:t xml:space="preserve"> </w:t>
      </w:r>
      <w:r w:rsidR="00DD5528">
        <w:rPr>
          <w:kern w:val="28"/>
        </w:rPr>
        <w:t>sector</w:t>
      </w:r>
      <w:r w:rsidR="0060550E">
        <w:rPr>
          <w:kern w:val="28"/>
        </w:rPr>
        <w:t>.</w:t>
      </w:r>
    </w:p>
    <w:p w:rsidR="00ED29D5" w:rsidRDefault="00B72CBF" w:rsidP="00ED29D5">
      <w:pPr>
        <w:pStyle w:val="Heading2"/>
        <w:spacing w:before="480"/>
        <w:rPr>
          <w:kern w:val="28"/>
        </w:rPr>
      </w:pPr>
      <w:bookmarkStart w:id="56" w:name="_Toc321227104"/>
      <w:bookmarkStart w:id="57" w:name="_Toc331415824"/>
      <w:r w:rsidRPr="00B72CBF">
        <w:rPr>
          <w:kern w:val="28"/>
        </w:rPr>
        <w:t>Review</w:t>
      </w:r>
      <w:bookmarkEnd w:id="56"/>
      <w:bookmarkEnd w:id="57"/>
    </w:p>
    <w:p w:rsidR="00ED29D5" w:rsidRPr="00ED29D5" w:rsidRDefault="00B72CBF" w:rsidP="00ED29D5">
      <w:pPr>
        <w:pStyle w:val="BodyText"/>
        <w:spacing w:before="160"/>
      </w:pPr>
      <w:r w:rsidRPr="00B72CBF">
        <w:rPr>
          <w:kern w:val="28"/>
        </w:rPr>
        <w:t>We will continue to monitor co</w:t>
      </w:r>
      <w:r w:rsidR="00DD5528">
        <w:rPr>
          <w:kern w:val="28"/>
        </w:rPr>
        <w:t>mpliance by</w:t>
      </w:r>
      <w:r w:rsidR="00A94C3E">
        <w:rPr>
          <w:kern w:val="28"/>
        </w:rPr>
        <w:t xml:space="preserve"> </w:t>
      </w:r>
      <w:r w:rsidR="00A94C3E" w:rsidRPr="00A94C3E">
        <w:rPr>
          <w:kern w:val="28"/>
        </w:rPr>
        <w:t>retail OTC derivative</w:t>
      </w:r>
      <w:r w:rsidR="00DD5528">
        <w:rPr>
          <w:kern w:val="28"/>
        </w:rPr>
        <w:t xml:space="preserve"> </w:t>
      </w:r>
      <w:r w:rsidR="00A94C3E">
        <w:rPr>
          <w:kern w:val="28"/>
        </w:rPr>
        <w:t>i</w:t>
      </w:r>
      <w:r w:rsidR="00DD5528">
        <w:rPr>
          <w:kern w:val="28"/>
        </w:rPr>
        <w:t>ssuers</w:t>
      </w:r>
      <w:r w:rsidRPr="00B72CBF">
        <w:rPr>
          <w:kern w:val="28"/>
        </w:rPr>
        <w:t xml:space="preserve"> with the financial requirements through breach rep</w:t>
      </w:r>
      <w:r w:rsidR="00DD5528">
        <w:rPr>
          <w:kern w:val="28"/>
        </w:rPr>
        <w:t xml:space="preserve">orting by </w:t>
      </w:r>
      <w:r w:rsidR="00D07876">
        <w:rPr>
          <w:kern w:val="28"/>
        </w:rPr>
        <w:t>i</w:t>
      </w:r>
      <w:r w:rsidR="00DD5528">
        <w:rPr>
          <w:kern w:val="28"/>
        </w:rPr>
        <w:t>ssuers</w:t>
      </w:r>
      <w:r w:rsidR="008D4ACA">
        <w:rPr>
          <w:kern w:val="28"/>
        </w:rPr>
        <w:t xml:space="preserve"> and</w:t>
      </w:r>
      <w:r w:rsidRPr="00B72CBF">
        <w:rPr>
          <w:kern w:val="28"/>
        </w:rPr>
        <w:t xml:space="preserve"> the</w:t>
      </w:r>
      <w:r w:rsidR="008D4ACA">
        <w:rPr>
          <w:kern w:val="28"/>
        </w:rPr>
        <w:t>ir</w:t>
      </w:r>
      <w:r w:rsidRPr="00B72CBF">
        <w:rPr>
          <w:kern w:val="28"/>
        </w:rPr>
        <w:t xml:space="preserve"> auditor</w:t>
      </w:r>
      <w:r w:rsidR="008D4ACA">
        <w:rPr>
          <w:kern w:val="28"/>
        </w:rPr>
        <w:t>s</w:t>
      </w:r>
      <w:r w:rsidRPr="00B72CBF">
        <w:rPr>
          <w:kern w:val="28"/>
        </w:rPr>
        <w:t xml:space="preserve"> and when conducting individual surveillances. </w:t>
      </w:r>
    </w:p>
    <w:p w:rsidR="007D5602" w:rsidRDefault="00B72CBF">
      <w:pPr>
        <w:pStyle w:val="BodyText"/>
        <w:spacing w:before="160"/>
      </w:pPr>
      <w:r w:rsidRPr="00B72CBF">
        <w:rPr>
          <w:kern w:val="28"/>
        </w:rPr>
        <w:t>We propose to monitor and review the effectiveness of the proposed requirements within three years of their application and may subsequently make alternative proposals to enhance the</w:t>
      </w:r>
      <w:r w:rsidR="00D07876">
        <w:rPr>
          <w:kern w:val="28"/>
        </w:rPr>
        <w:t>ir</w:t>
      </w:r>
      <w:r w:rsidRPr="00B72CBF">
        <w:rPr>
          <w:kern w:val="28"/>
        </w:rPr>
        <w:t xml:space="preserve"> effectiveness as required.</w:t>
      </w:r>
    </w:p>
    <w:sectPr w:rsidR="007D5602" w:rsidSect="002D0BF2">
      <w:headerReference w:type="even" r:id="rId11"/>
      <w:headerReference w:type="default" r:id="rId12"/>
      <w:footerReference w:type="even" r:id="rId13"/>
      <w:footerReference w:type="default" r:id="rId14"/>
      <w:headerReference w:type="first" r:id="rId15"/>
      <w:pgSz w:w="11906" w:h="16838" w:code="9"/>
      <w:pgMar w:top="1644" w:right="1418" w:bottom="1418" w:left="1418" w:header="567"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E5C" w:rsidRDefault="00F84E5C">
      <w:r>
        <w:separator/>
      </w:r>
    </w:p>
  </w:endnote>
  <w:endnote w:type="continuationSeparator" w:id="0">
    <w:p w:rsidR="00F84E5C" w:rsidRDefault="00F84E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HelveticaNeue LT 55 Roman">
    <w:charset w:val="00"/>
    <w:family w:val="auto"/>
    <w:pitch w:val="variable"/>
    <w:sig w:usb0="80000027"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89" w:rsidRDefault="00543607">
    <w:pPr>
      <w:pStyle w:val="Footer"/>
      <w:framePr w:wrap="around" w:vAnchor="text" w:hAnchor="margin" w:xAlign="right" w:y="1"/>
      <w:rPr>
        <w:rStyle w:val="PageNumber"/>
      </w:rPr>
    </w:pPr>
    <w:r>
      <w:rPr>
        <w:rStyle w:val="PageNumber"/>
      </w:rPr>
      <w:fldChar w:fldCharType="begin"/>
    </w:r>
    <w:r w:rsidR="008D0389">
      <w:rPr>
        <w:rStyle w:val="PageNumber"/>
      </w:rPr>
      <w:instrText xml:space="preserve">PAGE  </w:instrText>
    </w:r>
    <w:r>
      <w:rPr>
        <w:rStyle w:val="PageNumber"/>
      </w:rPr>
      <w:fldChar w:fldCharType="separate"/>
    </w:r>
    <w:r w:rsidR="00337A8C">
      <w:rPr>
        <w:rStyle w:val="PageNumber"/>
        <w:noProof/>
      </w:rPr>
      <w:t>37</w:t>
    </w:r>
    <w:r>
      <w:rPr>
        <w:rStyle w:val="PageNumber"/>
      </w:rPr>
      <w:fldChar w:fldCharType="end"/>
    </w:r>
  </w:p>
  <w:p w:rsidR="008D0389" w:rsidRDefault="008D0389">
    <w:pPr>
      <w:pStyle w:val="Footer"/>
      <w:ind w:right="360"/>
    </w:pPr>
  </w:p>
  <w:p w:rsidR="008D0389" w:rsidRDefault="008D0389"/>
  <w:p w:rsidR="008D0389" w:rsidRDefault="008D0389"/>
  <w:p w:rsidR="008D0389" w:rsidRDefault="008D0389"/>
  <w:p w:rsidR="008D0389" w:rsidRDefault="008D038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89" w:rsidRDefault="008D0389">
    <w:pPr>
      <w:pStyle w:val="Footer"/>
      <w:pBdr>
        <w:top w:val="single" w:sz="4" w:space="1" w:color="117DC7"/>
      </w:pBdr>
      <w:rPr>
        <w:b/>
        <w:color w:val="117DC7"/>
      </w:rPr>
    </w:pPr>
    <w:r>
      <w:rPr>
        <w:color w:val="117DC7"/>
      </w:rPr>
      <w:t xml:space="preserve">© Australian Securities and Investments Commission </w:t>
    </w:r>
    <w:fldSimple w:instr=" DOCPROPERTY  &quot;Issue date&quot;  \* MERGEFORMAT ">
      <w:r w:rsidR="00337A8C" w:rsidRPr="00337A8C">
        <w:rPr>
          <w:color w:val="117DC7"/>
        </w:rPr>
        <w:t>July 2012</w:t>
      </w:r>
    </w:fldSimple>
    <w:r>
      <w:rPr>
        <w:color w:val="117DC7"/>
      </w:rPr>
      <w:tab/>
      <w:t xml:space="preserve">Page </w:t>
    </w:r>
    <w:r w:rsidR="00543607">
      <w:rPr>
        <w:rStyle w:val="PageNumber"/>
        <w:color w:val="117DC7"/>
        <w:sz w:val="16"/>
      </w:rPr>
      <w:fldChar w:fldCharType="begin"/>
    </w:r>
    <w:r>
      <w:rPr>
        <w:rStyle w:val="PageNumber"/>
        <w:color w:val="117DC7"/>
        <w:sz w:val="16"/>
      </w:rPr>
      <w:instrText xml:space="preserve"> PAGE </w:instrText>
    </w:r>
    <w:r w:rsidR="00543607">
      <w:rPr>
        <w:rStyle w:val="PageNumber"/>
        <w:color w:val="117DC7"/>
        <w:sz w:val="16"/>
      </w:rPr>
      <w:fldChar w:fldCharType="separate"/>
    </w:r>
    <w:r w:rsidR="005A082F">
      <w:rPr>
        <w:rStyle w:val="PageNumber"/>
        <w:noProof/>
        <w:color w:val="117DC7"/>
        <w:sz w:val="16"/>
      </w:rPr>
      <w:t>31</w:t>
    </w:r>
    <w:r w:rsidR="00543607">
      <w:rPr>
        <w:rStyle w:val="PageNumber"/>
        <w:color w:val="117DC7"/>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E5C" w:rsidRDefault="00F84E5C">
      <w:r>
        <w:separator/>
      </w:r>
    </w:p>
  </w:footnote>
  <w:footnote w:type="continuationSeparator" w:id="0">
    <w:p w:rsidR="00F84E5C" w:rsidRDefault="00F84E5C">
      <w:r>
        <w:continuationSeparator/>
      </w:r>
    </w:p>
  </w:footnote>
  <w:footnote w:id="1">
    <w:p w:rsidR="008D0389" w:rsidRPr="007B094C" w:rsidRDefault="008D0389">
      <w:pPr>
        <w:pStyle w:val="FootnoteText"/>
        <w:rPr>
          <w:lang w:val="en-US"/>
        </w:rPr>
      </w:pPr>
      <w:r>
        <w:rPr>
          <w:rStyle w:val="FootnoteReference"/>
        </w:rPr>
        <w:footnoteRef/>
      </w:r>
      <w:r>
        <w:t xml:space="preserve"> </w:t>
      </w:r>
      <w:r w:rsidRPr="007B094C">
        <w:t xml:space="preserve">In this RIS, we refer to these issuers as </w:t>
      </w:r>
      <w:r>
        <w:t>‘</w:t>
      </w:r>
      <w:r w:rsidRPr="007B094C">
        <w:t>retail OTC derivative issuers</w:t>
      </w:r>
      <w:r>
        <w:t>’</w:t>
      </w:r>
      <w:r w:rsidRPr="007B094C">
        <w:t>.</w:t>
      </w:r>
    </w:p>
  </w:footnote>
  <w:footnote w:id="2">
    <w:p w:rsidR="008D0389" w:rsidRPr="008270C0" w:rsidRDefault="008D0389">
      <w:pPr>
        <w:pStyle w:val="FootnoteText"/>
        <w:rPr>
          <w:lang w:val="en-US"/>
        </w:rPr>
      </w:pPr>
      <w:r>
        <w:rPr>
          <w:rStyle w:val="FootnoteReference"/>
        </w:rPr>
        <w:footnoteRef/>
      </w:r>
      <w:r>
        <w:t xml:space="preserve"> </w:t>
      </w:r>
      <w:r>
        <w:rPr>
          <w:lang w:val="en-US"/>
        </w:rPr>
        <w:t xml:space="preserve">Investment Trends, </w:t>
      </w:r>
      <w:r w:rsidRPr="008270C0">
        <w:rPr>
          <w:i/>
          <w:lang w:val="en-US"/>
        </w:rPr>
        <w:t xml:space="preserve">2010 Australia CFD </w:t>
      </w:r>
      <w:r>
        <w:rPr>
          <w:i/>
          <w:lang w:val="en-US"/>
        </w:rPr>
        <w:t>r</w:t>
      </w:r>
      <w:r w:rsidRPr="008270C0">
        <w:rPr>
          <w:i/>
          <w:lang w:val="en-US"/>
        </w:rPr>
        <w:t>eport</w:t>
      </w:r>
      <w:r>
        <w:rPr>
          <w:i/>
          <w:lang w:val="en-US"/>
        </w:rPr>
        <w:t>,</w:t>
      </w:r>
      <w:r>
        <w:rPr>
          <w:lang w:val="en-US"/>
        </w:rPr>
        <w:t xml:space="preserve"> May 2010 (Investment Trends report).</w:t>
      </w:r>
    </w:p>
  </w:footnote>
  <w:footnote w:id="3">
    <w:p w:rsidR="008D0389" w:rsidRPr="008270C0" w:rsidRDefault="008D0389">
      <w:pPr>
        <w:pStyle w:val="FootnoteText"/>
        <w:rPr>
          <w:lang w:val="en-US"/>
        </w:rPr>
      </w:pPr>
      <w:r>
        <w:rPr>
          <w:rStyle w:val="FootnoteReference"/>
        </w:rPr>
        <w:footnoteRef/>
      </w:r>
      <w:r>
        <w:t xml:space="preserve"> According to the </w:t>
      </w:r>
      <w:r w:rsidRPr="008270C0">
        <w:rPr>
          <w:lang w:val="en-US"/>
        </w:rPr>
        <w:t xml:space="preserve">Investment Trends </w:t>
      </w:r>
      <w:r>
        <w:rPr>
          <w:lang w:val="en-US"/>
        </w:rPr>
        <w:t xml:space="preserve">report, four leading issuers control almost 65% of primary client relationships in the sector. </w:t>
      </w:r>
    </w:p>
  </w:footnote>
  <w:footnote w:id="4">
    <w:p w:rsidR="008D0389" w:rsidRPr="003B5075" w:rsidRDefault="008D0389">
      <w:pPr>
        <w:pStyle w:val="FootnoteText"/>
        <w:rPr>
          <w:lang w:val="en-US"/>
        </w:rPr>
      </w:pPr>
      <w:r>
        <w:rPr>
          <w:rStyle w:val="FootnoteReference"/>
        </w:rPr>
        <w:footnoteRef/>
      </w:r>
      <w:r>
        <w:t xml:space="preserve"> Press release, </w:t>
      </w:r>
      <w:r w:rsidRPr="00654273">
        <w:rPr>
          <w:bCs/>
          <w:i/>
        </w:rPr>
        <w:t xml:space="preserve">Australian CFD </w:t>
      </w:r>
      <w:r>
        <w:rPr>
          <w:bCs/>
          <w:i/>
        </w:rPr>
        <w:t>p</w:t>
      </w:r>
      <w:r w:rsidRPr="00654273">
        <w:rPr>
          <w:bCs/>
          <w:i/>
        </w:rPr>
        <w:t>roviders to form industry body</w:t>
      </w:r>
      <w:r>
        <w:rPr>
          <w:bCs/>
          <w:i/>
        </w:rPr>
        <w:t>,</w:t>
      </w:r>
      <w:r>
        <w:rPr>
          <w:bCs/>
        </w:rPr>
        <w:t xml:space="preserve"> 30 March 2012, Honner Media.</w:t>
      </w:r>
    </w:p>
  </w:footnote>
  <w:footnote w:id="5">
    <w:p w:rsidR="008D0389" w:rsidRPr="004F7D5D" w:rsidRDefault="008D0389">
      <w:pPr>
        <w:pStyle w:val="FootnoteText"/>
        <w:rPr>
          <w:lang w:val="en-US"/>
        </w:rPr>
      </w:pPr>
      <w:r>
        <w:rPr>
          <w:rStyle w:val="FootnoteReference"/>
        </w:rPr>
        <w:footnoteRef/>
      </w:r>
      <w:r>
        <w:t xml:space="preserve"> </w:t>
      </w:r>
      <w:r>
        <w:rPr>
          <w:lang w:val="en-US"/>
        </w:rPr>
        <w:t xml:space="preserve">White labelling is where one financial services firm offers </w:t>
      </w:r>
      <w:r w:rsidRPr="002471C7">
        <w:rPr>
          <w:lang w:val="en-US"/>
        </w:rPr>
        <w:t xml:space="preserve">to its clients </w:t>
      </w:r>
      <w:r>
        <w:rPr>
          <w:lang w:val="en-US"/>
        </w:rPr>
        <w:t>products or services that are issued by another financial services firm, or relies on another firm’s infrastructure and capabilities.</w:t>
      </w:r>
    </w:p>
  </w:footnote>
  <w:footnote w:id="6">
    <w:p w:rsidR="008D0389" w:rsidRPr="00EE4ED1" w:rsidRDefault="008D0389">
      <w:pPr>
        <w:pStyle w:val="FootnoteText"/>
        <w:rPr>
          <w:lang w:val="en-US"/>
        </w:rPr>
      </w:pPr>
      <w:r>
        <w:rPr>
          <w:rStyle w:val="FootnoteReference"/>
        </w:rPr>
        <w:footnoteRef/>
      </w:r>
      <w:r>
        <w:t xml:space="preserve"> </w:t>
      </w:r>
      <w:r w:rsidRPr="00EE4ED1">
        <w:t xml:space="preserve">For details of this consultation, see paragraphs </w:t>
      </w:r>
      <w:r w:rsidR="00543607" w:rsidRPr="00EE4ED1">
        <w:fldChar w:fldCharType="begin"/>
      </w:r>
      <w:r w:rsidRPr="00EE4ED1">
        <w:instrText xml:space="preserve"> REF _ASICRef709 \w \h </w:instrText>
      </w:r>
      <w:r w:rsidR="00543607" w:rsidRPr="00EE4ED1">
        <w:fldChar w:fldCharType="separate"/>
      </w:r>
      <w:r w:rsidR="00337A8C">
        <w:t>105</w:t>
      </w:r>
      <w:r w:rsidR="00543607" w:rsidRPr="00EE4ED1">
        <w:fldChar w:fldCharType="end"/>
      </w:r>
      <w:r w:rsidRPr="00EE4ED1">
        <w:t>–</w:t>
      </w:r>
      <w:r w:rsidR="00543607" w:rsidRPr="00EE4ED1">
        <w:fldChar w:fldCharType="begin"/>
      </w:r>
      <w:r w:rsidRPr="00EE4ED1">
        <w:instrText xml:space="preserve"> REF _ASICRef45 \w \h </w:instrText>
      </w:r>
      <w:r w:rsidR="00543607" w:rsidRPr="00EE4ED1">
        <w:fldChar w:fldCharType="separate"/>
      </w:r>
      <w:r w:rsidR="00337A8C">
        <w:t>106</w:t>
      </w:r>
      <w:r w:rsidR="00543607" w:rsidRPr="00EE4ED1">
        <w:fldChar w:fldCharType="end"/>
      </w:r>
      <w:r w:rsidRPr="00EE4ED1">
        <w:t xml:space="preserve"> and Section D of this RIS.</w:t>
      </w:r>
    </w:p>
  </w:footnote>
  <w:footnote w:id="7">
    <w:p w:rsidR="008D0389" w:rsidRPr="00412F45" w:rsidRDefault="008D0389">
      <w:pPr>
        <w:pStyle w:val="FootnoteText"/>
        <w:rPr>
          <w:lang w:val="en-US"/>
        </w:rPr>
      </w:pPr>
      <w:r>
        <w:rPr>
          <w:rStyle w:val="FootnoteReference"/>
        </w:rPr>
        <w:footnoteRef/>
      </w:r>
      <w:r>
        <w:t xml:space="preserve"> </w:t>
      </w:r>
      <w:r>
        <w:rPr>
          <w:lang w:val="en-US"/>
        </w:rPr>
        <w:t>Median of issuer responses to the relevant question in ASIC survey conducted August 2011.</w:t>
      </w:r>
    </w:p>
  </w:footnote>
  <w:footnote w:id="8">
    <w:p w:rsidR="008D0389" w:rsidRPr="00A70E95" w:rsidRDefault="008D0389" w:rsidP="00A70E95">
      <w:pPr>
        <w:pStyle w:val="FootnoteText"/>
        <w:rPr>
          <w:lang w:val="en-US"/>
        </w:rPr>
      </w:pPr>
      <w:r>
        <w:rPr>
          <w:rStyle w:val="FootnoteReference"/>
        </w:rPr>
        <w:footnoteRef/>
      </w:r>
      <w:r>
        <w:t xml:space="preserve"> </w:t>
      </w:r>
      <w:r>
        <w:rPr>
          <w:lang w:val="en-US"/>
        </w:rPr>
        <w:t>Taken from responses to our survey of August 2011.</w:t>
      </w:r>
    </w:p>
  </w:footnote>
  <w:footnote w:id="9">
    <w:p w:rsidR="008D0389" w:rsidRPr="00A70E95" w:rsidRDefault="008D0389">
      <w:pPr>
        <w:pStyle w:val="FootnoteText"/>
        <w:rPr>
          <w:lang w:val="en-US"/>
        </w:rPr>
      </w:pPr>
      <w:r>
        <w:rPr>
          <w:rStyle w:val="FootnoteReference"/>
        </w:rPr>
        <w:footnoteRef/>
      </w:r>
      <w:r>
        <w:t xml:space="preserve"> </w:t>
      </w:r>
      <w:r>
        <w:rPr>
          <w:lang w:val="en-US"/>
        </w:rPr>
        <w:t>Based on an extrapolation of the proportion of responding issuers requiring more capital to meet the NTA requirement compared to those issuers that did not respond to our survey of August 2011.</w:t>
      </w:r>
    </w:p>
  </w:footnote>
  <w:footnote w:id="10">
    <w:p w:rsidR="008D0389" w:rsidRPr="00A70E95" w:rsidRDefault="008D0389">
      <w:pPr>
        <w:pStyle w:val="FootnoteText"/>
        <w:rPr>
          <w:lang w:val="en-US"/>
        </w:rPr>
      </w:pPr>
      <w:r>
        <w:rPr>
          <w:rStyle w:val="FootnoteReference"/>
        </w:rPr>
        <w:footnoteRef/>
      </w:r>
      <w:r>
        <w:t xml:space="preserve"> </w:t>
      </w:r>
      <w:r w:rsidRPr="00A70E95">
        <w:rPr>
          <w:lang w:val="en-US"/>
        </w:rPr>
        <w:t>Taken from respo</w:t>
      </w:r>
      <w:r>
        <w:rPr>
          <w:lang w:val="en-US"/>
        </w:rPr>
        <w:t>nses to our survey of August 201</w:t>
      </w:r>
      <w:r w:rsidRPr="00A70E95">
        <w:rPr>
          <w:lang w:val="en-US"/>
        </w:rPr>
        <w:t>1</w:t>
      </w:r>
      <w:r>
        <w:rPr>
          <w:lang w:val="en-US"/>
        </w:rPr>
        <w:t>.</w:t>
      </w:r>
    </w:p>
  </w:footnote>
  <w:footnote w:id="11">
    <w:p w:rsidR="008D0389" w:rsidRPr="00D23003" w:rsidRDefault="008D0389">
      <w:pPr>
        <w:pStyle w:val="FootnoteText"/>
        <w:rPr>
          <w:lang w:val="en-US"/>
        </w:rPr>
      </w:pPr>
      <w:r>
        <w:rPr>
          <w:rStyle w:val="FootnoteReference"/>
        </w:rPr>
        <w:footnoteRef/>
      </w:r>
      <w:r>
        <w:t xml:space="preserve"> </w:t>
      </w:r>
      <w:r>
        <w:rPr>
          <w:lang w:val="en-US"/>
        </w:rPr>
        <w:t xml:space="preserve">This is a stock index maintained by Standard and Poor’s. The term ‘REIT’ stands for ‘real estate investment trusts’. </w:t>
      </w:r>
    </w:p>
  </w:footnote>
  <w:footnote w:id="12">
    <w:p w:rsidR="008D0389" w:rsidRPr="00C5349C" w:rsidRDefault="008D0389">
      <w:pPr>
        <w:pStyle w:val="FootnoteText"/>
        <w:rPr>
          <w:lang w:val="en-US"/>
        </w:rPr>
      </w:pPr>
      <w:r>
        <w:rPr>
          <w:rStyle w:val="FootnoteReference"/>
        </w:rPr>
        <w:footnoteRef/>
      </w:r>
      <w:r>
        <w:t xml:space="preserve"> </w:t>
      </w:r>
      <w:r>
        <w:rPr>
          <w:lang w:val="en-US"/>
        </w:rPr>
        <w:t>RBA 10-year average cash rate 2001–11.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89" w:rsidRDefault="008D0389"/>
  <w:p w:rsidR="008D0389" w:rsidRDefault="008D038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89" w:rsidRDefault="008D0389" w:rsidP="00ED29D5">
    <w:pPr>
      <w:pStyle w:val="Footer"/>
      <w:pBdr>
        <w:bottom w:val="single" w:sz="4" w:space="1" w:color="117DC7"/>
      </w:pBdr>
      <w:jc w:val="right"/>
      <w:rPr>
        <w:color w:val="4F81BD" w:themeColor="accent1"/>
      </w:rPr>
    </w:pPr>
    <w:r w:rsidRPr="00ED29D5">
      <w:rPr>
        <w:color w:val="4F81BD" w:themeColor="accent1"/>
      </w:rPr>
      <w:t xml:space="preserve">Regulation Impact Statement: </w:t>
    </w:r>
    <w:fldSimple w:instr=" DOCPROPERTY  &quot;Document title&quot;  \* MERGEFORMAT ">
      <w:r w:rsidR="00337A8C" w:rsidRPr="00337A8C">
        <w:rPr>
          <w:color w:val="4F81BD" w:themeColor="accent1"/>
        </w:rPr>
        <w:t>Retail OTC derivative issuers: Financial requirements</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389" w:rsidRDefault="008D0389">
    <w:pPr>
      <w:pStyle w:val="Header"/>
      <w:pBdr>
        <w:bottom w:val="none" w:sz="0" w:space="0" w:color="auto"/>
      </w:pBdr>
      <w:jc w:val="center"/>
      <w:rPr>
        <w:b/>
        <w:bCs/>
        <w:color w:val="C0C0C0"/>
        <w:sz w:val="48"/>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F8"/>
    <w:multiLevelType w:val="hybridMultilevel"/>
    <w:tmpl w:val="34BA52D2"/>
    <w:lvl w:ilvl="0" w:tplc="D4741F5E">
      <w:start w:val="1"/>
      <w:numFmt w:val="lowerLetter"/>
      <w:lvlText w:val="(%1)"/>
      <w:lvlJc w:val="left"/>
      <w:pPr>
        <w:ind w:left="2988" w:hanging="360"/>
      </w:pPr>
      <w:rPr>
        <w:rFonts w:ascii="Times New Roman" w:eastAsia="Times New Roman" w:hAnsi="Times New Roman" w:cs="Times New Roman"/>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9B6943"/>
    <w:multiLevelType w:val="hybridMultilevel"/>
    <w:tmpl w:val="F536BD68"/>
    <w:lvl w:ilvl="0" w:tplc="0C090001">
      <w:start w:val="1"/>
      <w:numFmt w:val="bullet"/>
      <w:lvlText w:val=""/>
      <w:lvlJc w:val="left"/>
      <w:pPr>
        <w:ind w:left="360" w:hanging="360"/>
      </w:pPr>
      <w:rPr>
        <w:rFonts w:ascii="Symbol" w:hAnsi="Symbol" w:hint="default"/>
      </w:rPr>
    </w:lvl>
    <w:lvl w:ilvl="1" w:tplc="6DCCB522">
      <w:start w:val="1"/>
      <w:numFmt w:val="bullet"/>
      <w:lvlText w:val="−"/>
      <w:lvlJc w:val="center"/>
      <w:pPr>
        <w:ind w:left="1570" w:hanging="360"/>
      </w:pPr>
      <w:rPr>
        <w:rFonts w:ascii="Arial" w:hAnsi="Arial"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4">
    <w:nsid w:val="08350AAF"/>
    <w:multiLevelType w:val="multilevel"/>
    <w:tmpl w:val="34E6B782"/>
    <w:lvl w:ilvl="0">
      <w:start w:val="1"/>
      <w:numFmt w:val="decimal"/>
      <w:lvlText w:val="%1"/>
      <w:lvlJc w:val="left"/>
      <w:pPr>
        <w:tabs>
          <w:tab w:val="num" w:pos="425"/>
        </w:tabs>
        <w:ind w:left="425" w:hanging="425"/>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993"/>
        </w:tabs>
        <w:ind w:left="993" w:hanging="1418"/>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5">
    <w:nsid w:val="1DFF6F1D"/>
    <w:multiLevelType w:val="hybridMultilevel"/>
    <w:tmpl w:val="F5F44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0C6808"/>
    <w:multiLevelType w:val="multilevel"/>
    <w:tmpl w:val="857202D0"/>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2D62565"/>
    <w:multiLevelType w:val="multilevel"/>
    <w:tmpl w:val="D43CAEE8"/>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CA74B2"/>
    <w:multiLevelType w:val="multilevel"/>
    <w:tmpl w:val="94F2AE08"/>
    <w:lvl w:ilvl="0">
      <w:start w:val="1"/>
      <w:numFmt w:val="decimal"/>
      <w:lvlText w:val="%1"/>
      <w:lvlJc w:val="right"/>
      <w:pPr>
        <w:tabs>
          <w:tab w:val="num" w:pos="2268"/>
        </w:tabs>
        <w:ind w:left="2268" w:hanging="283"/>
      </w:pPr>
      <w:rPr>
        <w:rFonts w:hint="default"/>
        <w:b/>
        <w:i w:val="0"/>
        <w:color w:val="auto"/>
        <w:sz w:val="36"/>
        <w:szCs w:val="36"/>
      </w:rPr>
    </w:lvl>
    <w:lvl w:ilvl="1">
      <w:start w:val="1"/>
      <w:numFmt w:val="decimal"/>
      <w:lvlText w:val="%1.%2"/>
      <w:lvlJc w:val="right"/>
      <w:pPr>
        <w:tabs>
          <w:tab w:val="num" w:pos="2268"/>
        </w:tabs>
        <w:ind w:left="2268" w:hanging="283"/>
      </w:pPr>
      <w:rPr>
        <w:rFonts w:hint="default"/>
        <w:b w:val="0"/>
        <w:i w:val="0"/>
        <w:color w:val="auto"/>
        <w:sz w:val="28"/>
        <w:szCs w:val="28"/>
      </w:rPr>
    </w:lvl>
    <w:lvl w:ilvl="2">
      <w:start w:val="1"/>
      <w:numFmt w:val="decimal"/>
      <w:lvlText w:val="%1.%2.%3"/>
      <w:lvlJc w:val="right"/>
      <w:pPr>
        <w:tabs>
          <w:tab w:val="num" w:pos="2268"/>
        </w:tabs>
        <w:ind w:left="2268" w:hanging="283"/>
      </w:pPr>
      <w:rPr>
        <w:rFonts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vertAlign w:val="baseline"/>
        <w:em w:val="no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1">
    <w:nsid w:val="3C041993"/>
    <w:multiLevelType w:val="multilevel"/>
    <w:tmpl w:val="4680F51A"/>
    <w:lvl w:ilvl="0">
      <w:start w:val="1"/>
      <w:numFmt w:val="decimal"/>
      <w:pStyle w:val="Listnumber"/>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2">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7D43A43"/>
    <w:multiLevelType w:val="hybridMultilevel"/>
    <w:tmpl w:val="16D0674C"/>
    <w:lvl w:ilvl="0" w:tplc="9594E4D4">
      <w:start w:val="1"/>
      <w:numFmt w:val="upp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14">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003569"/>
    <w:multiLevelType w:val="hybridMultilevel"/>
    <w:tmpl w:val="C1D247A8"/>
    <w:lvl w:ilvl="0" w:tplc="470CE9E8">
      <w:start w:val="1"/>
      <w:numFmt w:val="lowerLetter"/>
      <w:lvlText w:val="(%1)"/>
      <w:lvlJc w:val="left"/>
      <w:pPr>
        <w:ind w:left="2988" w:hanging="360"/>
      </w:pPr>
      <w:rPr>
        <w:rFonts w:ascii="Times New Roman" w:eastAsia="Times New Roman" w:hAnsi="Times New Roman" w:cs="Times New Roman"/>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9">
    <w:nsid w:val="7A04370D"/>
    <w:multiLevelType w:val="hybridMultilevel"/>
    <w:tmpl w:val="94749C48"/>
    <w:lvl w:ilvl="0" w:tplc="21A06F82">
      <w:start w:val="1"/>
      <w:numFmt w:val="bullet"/>
      <w:pStyle w:val="Listdash"/>
      <w:lvlText w:val=""/>
      <w:lvlJc w:val="left"/>
      <w:pPr>
        <w:tabs>
          <w:tab w:val="num" w:pos="3119"/>
        </w:tabs>
        <w:ind w:left="3119"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EF71713"/>
    <w:multiLevelType w:val="multilevel"/>
    <w:tmpl w:val="F3D86E5A"/>
    <w:lvl w:ilvl="0">
      <w:start w:val="1"/>
      <w:numFmt w:val="upperLetter"/>
      <w:pStyle w:val="RPGNumbering"/>
      <w:lvlText w:val="%1"/>
      <w:lvlJc w:val="left"/>
      <w:pPr>
        <w:tabs>
          <w:tab w:val="num" w:pos="720"/>
        </w:tabs>
        <w:ind w:left="720" w:hanging="720"/>
      </w:pPr>
      <w:rPr>
        <w:rFonts w:ascii="Arial" w:hAnsi="Arial" w:hint="default"/>
        <w:b/>
        <w:i w:val="0"/>
        <w:sz w:val="24"/>
      </w:rPr>
    </w:lvl>
    <w:lvl w:ilvl="1">
      <w:start w:val="1"/>
      <w:numFmt w:val="decimal"/>
      <w:lvlText w:val="%1%2"/>
      <w:lvlJc w:val="left"/>
      <w:pPr>
        <w:tabs>
          <w:tab w:val="num" w:pos="576"/>
        </w:tabs>
        <w:ind w:left="576" w:hanging="576"/>
      </w:pPr>
      <w:rPr>
        <w:rFonts w:ascii="Times New Roman" w:hAnsi="Times New Roman" w:hint="default"/>
        <w:b w:val="0"/>
        <w:i w:val="0"/>
        <w:sz w:val="22"/>
      </w:rPr>
    </w:lvl>
    <w:lvl w:ilvl="2">
      <w:start w:val="1"/>
      <w:numFmt w:val="lowerLetter"/>
      <w:lvlText w:val="(%3)"/>
      <w:lvlJc w:val="left"/>
      <w:pPr>
        <w:tabs>
          <w:tab w:val="num" w:pos="1080"/>
        </w:tabs>
        <w:ind w:left="1077" w:hanging="357"/>
      </w:pPr>
      <w:rPr>
        <w:rFonts w:ascii="Times New Roman" w:hAnsi="Times New Roman"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1"/>
  </w:num>
  <w:num w:numId="2">
    <w:abstractNumId w:val="9"/>
  </w:num>
  <w:num w:numId="3">
    <w:abstractNumId w:val="17"/>
  </w:num>
  <w:num w:numId="4">
    <w:abstractNumId w:val="2"/>
  </w:num>
  <w:num w:numId="5">
    <w:abstractNumId w:val="15"/>
  </w:num>
  <w:num w:numId="6">
    <w:abstractNumId w:val="8"/>
  </w:num>
  <w:num w:numId="7">
    <w:abstractNumId w:val="6"/>
  </w:num>
  <w:num w:numId="8">
    <w:abstractNumId w:val="19"/>
  </w:num>
  <w:num w:numId="9">
    <w:abstractNumId w:val="12"/>
  </w:num>
  <w:num w:numId="10">
    <w:abstractNumId w:val="14"/>
  </w:num>
  <w:num w:numId="11">
    <w:abstractNumId w:val="1"/>
  </w:num>
  <w:num w:numId="12">
    <w:abstractNumId w:val="0"/>
  </w:num>
  <w:num w:numId="13">
    <w:abstractNumId w:val="16"/>
  </w:num>
  <w:num w:numId="14">
    <w:abstractNumId w:val="13"/>
  </w:num>
  <w:num w:numId="15">
    <w:abstractNumId w:val="20"/>
  </w:num>
  <w:num w:numId="16">
    <w:abstractNumId w:val="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6"/>
  </w:num>
  <w:num w:numId="24">
    <w:abstractNumId w:val="10"/>
  </w:num>
  <w:num w:numId="25">
    <w:abstractNumId w:val="5"/>
  </w:num>
  <w:num w:numId="26">
    <w:abstractNumId w:val="9"/>
  </w:num>
  <w:num w:numId="27">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attachedTemplate r:id="rId1"/>
  <w:defaultTabStop w:val="425"/>
  <w:displayHorizontalDrawingGridEvery w:val="0"/>
  <w:displayVerticalDrawingGridEvery w:val="0"/>
  <w:doNotUseMarginsForDrawingGridOrigin/>
  <w:noPunctuationKerning/>
  <w:characterSpacingControl w:val="doNotCompress"/>
  <w:hdrShapeDefaults>
    <o:shapedefaults v:ext="edit" spidmax="57345">
      <o:colormru v:ext="edit" colors="#00a8d0,#008eb0,#1492e8,#1287d6,#117dc7,#c2e3fa"/>
    </o:shapedefaults>
  </w:hdrShapeDefaults>
  <w:footnotePr>
    <w:footnote w:id="-1"/>
    <w:footnote w:id="0"/>
  </w:footnotePr>
  <w:endnotePr>
    <w:endnote w:id="-1"/>
    <w:endnote w:id="0"/>
  </w:endnotePr>
  <w:compat/>
  <w:rsids>
    <w:rsidRoot w:val="00892ABC"/>
    <w:rsid w:val="00001619"/>
    <w:rsid w:val="00006119"/>
    <w:rsid w:val="00013B51"/>
    <w:rsid w:val="00017BEF"/>
    <w:rsid w:val="00020B27"/>
    <w:rsid w:val="000218CF"/>
    <w:rsid w:val="00030E93"/>
    <w:rsid w:val="00031FEB"/>
    <w:rsid w:val="00036E51"/>
    <w:rsid w:val="00037AB4"/>
    <w:rsid w:val="00041E5B"/>
    <w:rsid w:val="00051D3F"/>
    <w:rsid w:val="0005431C"/>
    <w:rsid w:val="000546A3"/>
    <w:rsid w:val="0006257F"/>
    <w:rsid w:val="000654FC"/>
    <w:rsid w:val="0007173A"/>
    <w:rsid w:val="00071A64"/>
    <w:rsid w:val="0007658D"/>
    <w:rsid w:val="00082E1C"/>
    <w:rsid w:val="00087F5F"/>
    <w:rsid w:val="00091896"/>
    <w:rsid w:val="000A34A8"/>
    <w:rsid w:val="000B01CD"/>
    <w:rsid w:val="000B2DF9"/>
    <w:rsid w:val="000B5B2F"/>
    <w:rsid w:val="000D5C64"/>
    <w:rsid w:val="000D7EDB"/>
    <w:rsid w:val="000E77E8"/>
    <w:rsid w:val="000E7D14"/>
    <w:rsid w:val="000F2324"/>
    <w:rsid w:val="001002B4"/>
    <w:rsid w:val="00102A61"/>
    <w:rsid w:val="001043BF"/>
    <w:rsid w:val="00110725"/>
    <w:rsid w:val="00122D72"/>
    <w:rsid w:val="00123C82"/>
    <w:rsid w:val="0013157F"/>
    <w:rsid w:val="00132F4C"/>
    <w:rsid w:val="00136CC7"/>
    <w:rsid w:val="00142571"/>
    <w:rsid w:val="00143390"/>
    <w:rsid w:val="00146267"/>
    <w:rsid w:val="0014674A"/>
    <w:rsid w:val="001528CA"/>
    <w:rsid w:val="00155416"/>
    <w:rsid w:val="00161B7D"/>
    <w:rsid w:val="001629FB"/>
    <w:rsid w:val="00163124"/>
    <w:rsid w:val="001746B6"/>
    <w:rsid w:val="00175883"/>
    <w:rsid w:val="00183E9B"/>
    <w:rsid w:val="001A21E4"/>
    <w:rsid w:val="001A6C7E"/>
    <w:rsid w:val="001B2EB5"/>
    <w:rsid w:val="001B6111"/>
    <w:rsid w:val="001C47F8"/>
    <w:rsid w:val="001D56F3"/>
    <w:rsid w:val="001D7B52"/>
    <w:rsid w:val="001E12E3"/>
    <w:rsid w:val="001E1766"/>
    <w:rsid w:val="001E3844"/>
    <w:rsid w:val="001F27DB"/>
    <w:rsid w:val="0020073B"/>
    <w:rsid w:val="00215DCA"/>
    <w:rsid w:val="00220C57"/>
    <w:rsid w:val="00220CF4"/>
    <w:rsid w:val="00220DCC"/>
    <w:rsid w:val="00222067"/>
    <w:rsid w:val="002222D4"/>
    <w:rsid w:val="00230726"/>
    <w:rsid w:val="00235950"/>
    <w:rsid w:val="00245D66"/>
    <w:rsid w:val="002471C7"/>
    <w:rsid w:val="00247527"/>
    <w:rsid w:val="00250225"/>
    <w:rsid w:val="00250B90"/>
    <w:rsid w:val="002536E0"/>
    <w:rsid w:val="002615E1"/>
    <w:rsid w:val="00262992"/>
    <w:rsid w:val="00265176"/>
    <w:rsid w:val="00266A70"/>
    <w:rsid w:val="0027601D"/>
    <w:rsid w:val="0029016A"/>
    <w:rsid w:val="0029073C"/>
    <w:rsid w:val="00293838"/>
    <w:rsid w:val="002A2CC5"/>
    <w:rsid w:val="002A4F58"/>
    <w:rsid w:val="002A5AD7"/>
    <w:rsid w:val="002A662B"/>
    <w:rsid w:val="002B4B82"/>
    <w:rsid w:val="002C18A2"/>
    <w:rsid w:val="002C5650"/>
    <w:rsid w:val="002D0BF2"/>
    <w:rsid w:val="002D1C89"/>
    <w:rsid w:val="002D223E"/>
    <w:rsid w:val="002D2641"/>
    <w:rsid w:val="002D6994"/>
    <w:rsid w:val="002E3E16"/>
    <w:rsid w:val="002E6D5C"/>
    <w:rsid w:val="002E771D"/>
    <w:rsid w:val="002F1336"/>
    <w:rsid w:val="002F2034"/>
    <w:rsid w:val="002F2B1C"/>
    <w:rsid w:val="002F46DE"/>
    <w:rsid w:val="00304F61"/>
    <w:rsid w:val="0030766B"/>
    <w:rsid w:val="00310552"/>
    <w:rsid w:val="00310BF4"/>
    <w:rsid w:val="0032709A"/>
    <w:rsid w:val="00336F4B"/>
    <w:rsid w:val="003374FB"/>
    <w:rsid w:val="00337A8C"/>
    <w:rsid w:val="00341355"/>
    <w:rsid w:val="00346A0B"/>
    <w:rsid w:val="00356C2B"/>
    <w:rsid w:val="00356CDC"/>
    <w:rsid w:val="003605E5"/>
    <w:rsid w:val="0036197A"/>
    <w:rsid w:val="00365C6D"/>
    <w:rsid w:val="00366A0E"/>
    <w:rsid w:val="0037060D"/>
    <w:rsid w:val="0037139F"/>
    <w:rsid w:val="00375FDE"/>
    <w:rsid w:val="00383879"/>
    <w:rsid w:val="00390F8C"/>
    <w:rsid w:val="00393BB2"/>
    <w:rsid w:val="003A0F74"/>
    <w:rsid w:val="003A22F2"/>
    <w:rsid w:val="003A6E73"/>
    <w:rsid w:val="003B211E"/>
    <w:rsid w:val="003B5075"/>
    <w:rsid w:val="003B5B24"/>
    <w:rsid w:val="003B6E91"/>
    <w:rsid w:val="003C0ED5"/>
    <w:rsid w:val="003D6425"/>
    <w:rsid w:val="003E058B"/>
    <w:rsid w:val="003E2D14"/>
    <w:rsid w:val="003E54EE"/>
    <w:rsid w:val="003F1F81"/>
    <w:rsid w:val="003F5224"/>
    <w:rsid w:val="00400B15"/>
    <w:rsid w:val="00412F45"/>
    <w:rsid w:val="00415361"/>
    <w:rsid w:val="004254DE"/>
    <w:rsid w:val="0042661F"/>
    <w:rsid w:val="004319BF"/>
    <w:rsid w:val="0043751D"/>
    <w:rsid w:val="0044780F"/>
    <w:rsid w:val="00447D5F"/>
    <w:rsid w:val="00450064"/>
    <w:rsid w:val="004501CC"/>
    <w:rsid w:val="0045236C"/>
    <w:rsid w:val="004526BB"/>
    <w:rsid w:val="004535B5"/>
    <w:rsid w:val="00454795"/>
    <w:rsid w:val="004547B1"/>
    <w:rsid w:val="00455126"/>
    <w:rsid w:val="004562F5"/>
    <w:rsid w:val="00457E36"/>
    <w:rsid w:val="00460887"/>
    <w:rsid w:val="00461090"/>
    <w:rsid w:val="00463C0A"/>
    <w:rsid w:val="00465B35"/>
    <w:rsid w:val="004664ED"/>
    <w:rsid w:val="00472008"/>
    <w:rsid w:val="00472D7B"/>
    <w:rsid w:val="00474A60"/>
    <w:rsid w:val="0048210D"/>
    <w:rsid w:val="00484680"/>
    <w:rsid w:val="0048515D"/>
    <w:rsid w:val="00487FE2"/>
    <w:rsid w:val="00490178"/>
    <w:rsid w:val="0049020F"/>
    <w:rsid w:val="004A0291"/>
    <w:rsid w:val="004A191C"/>
    <w:rsid w:val="004B2A4B"/>
    <w:rsid w:val="004B75D2"/>
    <w:rsid w:val="004C2F74"/>
    <w:rsid w:val="004C30FA"/>
    <w:rsid w:val="004C4A71"/>
    <w:rsid w:val="004C4AC8"/>
    <w:rsid w:val="004D325B"/>
    <w:rsid w:val="004D39C0"/>
    <w:rsid w:val="004D4BF7"/>
    <w:rsid w:val="004E4E88"/>
    <w:rsid w:val="004E7F0D"/>
    <w:rsid w:val="004F1E5B"/>
    <w:rsid w:val="004F3682"/>
    <w:rsid w:val="004F4079"/>
    <w:rsid w:val="004F74F5"/>
    <w:rsid w:val="004F7D5D"/>
    <w:rsid w:val="005007A5"/>
    <w:rsid w:val="0051268F"/>
    <w:rsid w:val="005127C1"/>
    <w:rsid w:val="00517971"/>
    <w:rsid w:val="00521244"/>
    <w:rsid w:val="00522C32"/>
    <w:rsid w:val="00524214"/>
    <w:rsid w:val="00531F99"/>
    <w:rsid w:val="00536B14"/>
    <w:rsid w:val="00542D15"/>
    <w:rsid w:val="00543607"/>
    <w:rsid w:val="0055213B"/>
    <w:rsid w:val="00555D36"/>
    <w:rsid w:val="00557215"/>
    <w:rsid w:val="00575B72"/>
    <w:rsid w:val="00576E8F"/>
    <w:rsid w:val="005809E9"/>
    <w:rsid w:val="00583A77"/>
    <w:rsid w:val="00584315"/>
    <w:rsid w:val="005845A9"/>
    <w:rsid w:val="00584CC4"/>
    <w:rsid w:val="00586BD0"/>
    <w:rsid w:val="00590468"/>
    <w:rsid w:val="00590CB2"/>
    <w:rsid w:val="005955FD"/>
    <w:rsid w:val="005A082F"/>
    <w:rsid w:val="005A3736"/>
    <w:rsid w:val="005B28E9"/>
    <w:rsid w:val="005C5926"/>
    <w:rsid w:val="005C5E24"/>
    <w:rsid w:val="005C5E4C"/>
    <w:rsid w:val="005D092F"/>
    <w:rsid w:val="005D7AFD"/>
    <w:rsid w:val="005E27BD"/>
    <w:rsid w:val="005E36C2"/>
    <w:rsid w:val="005E6EE5"/>
    <w:rsid w:val="005E72A6"/>
    <w:rsid w:val="005F3C63"/>
    <w:rsid w:val="005F7D01"/>
    <w:rsid w:val="006030AD"/>
    <w:rsid w:val="0060528D"/>
    <w:rsid w:val="0060550E"/>
    <w:rsid w:val="00606065"/>
    <w:rsid w:val="00612A2D"/>
    <w:rsid w:val="00623A43"/>
    <w:rsid w:val="00625F1A"/>
    <w:rsid w:val="00626AFC"/>
    <w:rsid w:val="006306C6"/>
    <w:rsid w:val="00630D26"/>
    <w:rsid w:val="00632011"/>
    <w:rsid w:val="00635350"/>
    <w:rsid w:val="00636802"/>
    <w:rsid w:val="0064190A"/>
    <w:rsid w:val="00644093"/>
    <w:rsid w:val="006506C9"/>
    <w:rsid w:val="00650A8F"/>
    <w:rsid w:val="00654273"/>
    <w:rsid w:val="00654699"/>
    <w:rsid w:val="00667030"/>
    <w:rsid w:val="00671873"/>
    <w:rsid w:val="0068059B"/>
    <w:rsid w:val="00680B64"/>
    <w:rsid w:val="006850D7"/>
    <w:rsid w:val="006853AB"/>
    <w:rsid w:val="00695492"/>
    <w:rsid w:val="006972E3"/>
    <w:rsid w:val="006A21D6"/>
    <w:rsid w:val="006A312B"/>
    <w:rsid w:val="006A38C5"/>
    <w:rsid w:val="006A3A61"/>
    <w:rsid w:val="006B2837"/>
    <w:rsid w:val="006B633E"/>
    <w:rsid w:val="006C1097"/>
    <w:rsid w:val="006C6041"/>
    <w:rsid w:val="006D172C"/>
    <w:rsid w:val="006D3DD0"/>
    <w:rsid w:val="006D51BC"/>
    <w:rsid w:val="006D69E5"/>
    <w:rsid w:val="006E41E9"/>
    <w:rsid w:val="006E67EA"/>
    <w:rsid w:val="006E79E2"/>
    <w:rsid w:val="006F1710"/>
    <w:rsid w:val="006F34FD"/>
    <w:rsid w:val="006F7822"/>
    <w:rsid w:val="00704A89"/>
    <w:rsid w:val="007144C6"/>
    <w:rsid w:val="00725184"/>
    <w:rsid w:val="007323BF"/>
    <w:rsid w:val="00735570"/>
    <w:rsid w:val="00735884"/>
    <w:rsid w:val="007503E8"/>
    <w:rsid w:val="00756A95"/>
    <w:rsid w:val="007575D9"/>
    <w:rsid w:val="00762E33"/>
    <w:rsid w:val="00766E73"/>
    <w:rsid w:val="007675C6"/>
    <w:rsid w:val="00771F2F"/>
    <w:rsid w:val="007753DC"/>
    <w:rsid w:val="00782445"/>
    <w:rsid w:val="00782E2D"/>
    <w:rsid w:val="00783431"/>
    <w:rsid w:val="007857D2"/>
    <w:rsid w:val="00785E97"/>
    <w:rsid w:val="007A13CF"/>
    <w:rsid w:val="007A164F"/>
    <w:rsid w:val="007A302A"/>
    <w:rsid w:val="007A310E"/>
    <w:rsid w:val="007B094C"/>
    <w:rsid w:val="007C7505"/>
    <w:rsid w:val="007D2641"/>
    <w:rsid w:val="007D5602"/>
    <w:rsid w:val="007D5E03"/>
    <w:rsid w:val="007F608F"/>
    <w:rsid w:val="00801734"/>
    <w:rsid w:val="008021AE"/>
    <w:rsid w:val="008023A4"/>
    <w:rsid w:val="008025B7"/>
    <w:rsid w:val="00812A43"/>
    <w:rsid w:val="00812AF1"/>
    <w:rsid w:val="00814188"/>
    <w:rsid w:val="00814B3F"/>
    <w:rsid w:val="00821961"/>
    <w:rsid w:val="00822B78"/>
    <w:rsid w:val="008270C0"/>
    <w:rsid w:val="008275E8"/>
    <w:rsid w:val="008277B5"/>
    <w:rsid w:val="00827FEC"/>
    <w:rsid w:val="00830479"/>
    <w:rsid w:val="0083380A"/>
    <w:rsid w:val="008376BD"/>
    <w:rsid w:val="00841CDF"/>
    <w:rsid w:val="00842B63"/>
    <w:rsid w:val="008431A3"/>
    <w:rsid w:val="00850C50"/>
    <w:rsid w:val="00854D4C"/>
    <w:rsid w:val="008609D2"/>
    <w:rsid w:val="008645A8"/>
    <w:rsid w:val="00865192"/>
    <w:rsid w:val="00870DD3"/>
    <w:rsid w:val="00877683"/>
    <w:rsid w:val="008857DF"/>
    <w:rsid w:val="00885ADB"/>
    <w:rsid w:val="00886DDF"/>
    <w:rsid w:val="0089253F"/>
    <w:rsid w:val="00892ABC"/>
    <w:rsid w:val="0089353D"/>
    <w:rsid w:val="00894103"/>
    <w:rsid w:val="00894EBB"/>
    <w:rsid w:val="008951CC"/>
    <w:rsid w:val="0089639A"/>
    <w:rsid w:val="0089688E"/>
    <w:rsid w:val="008A04B8"/>
    <w:rsid w:val="008A6A1B"/>
    <w:rsid w:val="008A7DCC"/>
    <w:rsid w:val="008C1DE6"/>
    <w:rsid w:val="008C4658"/>
    <w:rsid w:val="008C4EFB"/>
    <w:rsid w:val="008C7F1C"/>
    <w:rsid w:val="008D0389"/>
    <w:rsid w:val="008D36C1"/>
    <w:rsid w:val="008D4ACA"/>
    <w:rsid w:val="008D7375"/>
    <w:rsid w:val="008E145F"/>
    <w:rsid w:val="008E5FC2"/>
    <w:rsid w:val="008F14CA"/>
    <w:rsid w:val="008F2EFC"/>
    <w:rsid w:val="008F6041"/>
    <w:rsid w:val="00901FAC"/>
    <w:rsid w:val="0090282B"/>
    <w:rsid w:val="00903244"/>
    <w:rsid w:val="0091074D"/>
    <w:rsid w:val="00911A72"/>
    <w:rsid w:val="00917AD6"/>
    <w:rsid w:val="00921783"/>
    <w:rsid w:val="00922859"/>
    <w:rsid w:val="00923E8C"/>
    <w:rsid w:val="00927BB5"/>
    <w:rsid w:val="009313C1"/>
    <w:rsid w:val="00931A2B"/>
    <w:rsid w:val="009356C8"/>
    <w:rsid w:val="009409B7"/>
    <w:rsid w:val="009468B8"/>
    <w:rsid w:val="009471FB"/>
    <w:rsid w:val="00947794"/>
    <w:rsid w:val="009538F7"/>
    <w:rsid w:val="0096170C"/>
    <w:rsid w:val="00962EAB"/>
    <w:rsid w:val="00963C15"/>
    <w:rsid w:val="0097053F"/>
    <w:rsid w:val="00974EB5"/>
    <w:rsid w:val="009826F8"/>
    <w:rsid w:val="00985287"/>
    <w:rsid w:val="00991801"/>
    <w:rsid w:val="009A001A"/>
    <w:rsid w:val="009A08BA"/>
    <w:rsid w:val="009A66B7"/>
    <w:rsid w:val="009B12EC"/>
    <w:rsid w:val="009B27CE"/>
    <w:rsid w:val="009C0553"/>
    <w:rsid w:val="009C2DE0"/>
    <w:rsid w:val="009C41B4"/>
    <w:rsid w:val="009C4A7F"/>
    <w:rsid w:val="009C58C2"/>
    <w:rsid w:val="009C5A32"/>
    <w:rsid w:val="009C7225"/>
    <w:rsid w:val="009C79B5"/>
    <w:rsid w:val="009D1DDF"/>
    <w:rsid w:val="009D31C4"/>
    <w:rsid w:val="009E0626"/>
    <w:rsid w:val="009E0DC8"/>
    <w:rsid w:val="009E70F3"/>
    <w:rsid w:val="009F4EE5"/>
    <w:rsid w:val="00A030FC"/>
    <w:rsid w:val="00A07062"/>
    <w:rsid w:val="00A1539D"/>
    <w:rsid w:val="00A32F0B"/>
    <w:rsid w:val="00A36A25"/>
    <w:rsid w:val="00A40A07"/>
    <w:rsid w:val="00A40C8B"/>
    <w:rsid w:val="00A47DFB"/>
    <w:rsid w:val="00A53364"/>
    <w:rsid w:val="00A60550"/>
    <w:rsid w:val="00A62427"/>
    <w:rsid w:val="00A66F5B"/>
    <w:rsid w:val="00A70E95"/>
    <w:rsid w:val="00A715A8"/>
    <w:rsid w:val="00A75D4C"/>
    <w:rsid w:val="00A766D3"/>
    <w:rsid w:val="00A76FEF"/>
    <w:rsid w:val="00A80F12"/>
    <w:rsid w:val="00A80F3B"/>
    <w:rsid w:val="00A822D3"/>
    <w:rsid w:val="00A84EDC"/>
    <w:rsid w:val="00A87201"/>
    <w:rsid w:val="00A902F0"/>
    <w:rsid w:val="00A921AA"/>
    <w:rsid w:val="00A93B94"/>
    <w:rsid w:val="00A9482E"/>
    <w:rsid w:val="00A94C3E"/>
    <w:rsid w:val="00A96CEA"/>
    <w:rsid w:val="00A96FDE"/>
    <w:rsid w:val="00AA4EED"/>
    <w:rsid w:val="00AA6036"/>
    <w:rsid w:val="00AA7AF4"/>
    <w:rsid w:val="00AB043C"/>
    <w:rsid w:val="00AB051C"/>
    <w:rsid w:val="00AB1229"/>
    <w:rsid w:val="00AC2C37"/>
    <w:rsid w:val="00AD15FF"/>
    <w:rsid w:val="00AD51FA"/>
    <w:rsid w:val="00AD6211"/>
    <w:rsid w:val="00AD7F2B"/>
    <w:rsid w:val="00AE157F"/>
    <w:rsid w:val="00AF23F2"/>
    <w:rsid w:val="00AF25ED"/>
    <w:rsid w:val="00AF4299"/>
    <w:rsid w:val="00AF6023"/>
    <w:rsid w:val="00AF66FB"/>
    <w:rsid w:val="00B03E23"/>
    <w:rsid w:val="00B109D9"/>
    <w:rsid w:val="00B111A4"/>
    <w:rsid w:val="00B111C4"/>
    <w:rsid w:val="00B130C3"/>
    <w:rsid w:val="00B131C8"/>
    <w:rsid w:val="00B14D84"/>
    <w:rsid w:val="00B16C18"/>
    <w:rsid w:val="00B2438B"/>
    <w:rsid w:val="00B243D8"/>
    <w:rsid w:val="00B33A61"/>
    <w:rsid w:val="00B41F62"/>
    <w:rsid w:val="00B457D9"/>
    <w:rsid w:val="00B46F1E"/>
    <w:rsid w:val="00B51778"/>
    <w:rsid w:val="00B55464"/>
    <w:rsid w:val="00B55BC8"/>
    <w:rsid w:val="00B6097B"/>
    <w:rsid w:val="00B62DF8"/>
    <w:rsid w:val="00B645B1"/>
    <w:rsid w:val="00B668D2"/>
    <w:rsid w:val="00B719E9"/>
    <w:rsid w:val="00B72CBF"/>
    <w:rsid w:val="00B72FDC"/>
    <w:rsid w:val="00B80C50"/>
    <w:rsid w:val="00B81B40"/>
    <w:rsid w:val="00B832DE"/>
    <w:rsid w:val="00B84EC8"/>
    <w:rsid w:val="00B864E3"/>
    <w:rsid w:val="00B950D5"/>
    <w:rsid w:val="00B96C59"/>
    <w:rsid w:val="00BA4E24"/>
    <w:rsid w:val="00BA6C4B"/>
    <w:rsid w:val="00BD03E5"/>
    <w:rsid w:val="00BD2A99"/>
    <w:rsid w:val="00BD44EF"/>
    <w:rsid w:val="00BD565A"/>
    <w:rsid w:val="00BD6391"/>
    <w:rsid w:val="00BD6CD8"/>
    <w:rsid w:val="00BE049B"/>
    <w:rsid w:val="00BE0524"/>
    <w:rsid w:val="00BF38C6"/>
    <w:rsid w:val="00BF5B8F"/>
    <w:rsid w:val="00C03F8A"/>
    <w:rsid w:val="00C045BB"/>
    <w:rsid w:val="00C05CCA"/>
    <w:rsid w:val="00C07EC5"/>
    <w:rsid w:val="00C10076"/>
    <w:rsid w:val="00C12086"/>
    <w:rsid w:val="00C1272A"/>
    <w:rsid w:val="00C140A6"/>
    <w:rsid w:val="00C14606"/>
    <w:rsid w:val="00C21EBE"/>
    <w:rsid w:val="00C31DF0"/>
    <w:rsid w:val="00C3333D"/>
    <w:rsid w:val="00C3360C"/>
    <w:rsid w:val="00C348C7"/>
    <w:rsid w:val="00C44CAA"/>
    <w:rsid w:val="00C4589C"/>
    <w:rsid w:val="00C46A26"/>
    <w:rsid w:val="00C5349C"/>
    <w:rsid w:val="00C5514F"/>
    <w:rsid w:val="00C611B2"/>
    <w:rsid w:val="00C6128E"/>
    <w:rsid w:val="00C61FE6"/>
    <w:rsid w:val="00C6264B"/>
    <w:rsid w:val="00C669B4"/>
    <w:rsid w:val="00C67AAF"/>
    <w:rsid w:val="00C70F89"/>
    <w:rsid w:val="00C715FE"/>
    <w:rsid w:val="00C72150"/>
    <w:rsid w:val="00C732C7"/>
    <w:rsid w:val="00C845AE"/>
    <w:rsid w:val="00C90242"/>
    <w:rsid w:val="00C919F3"/>
    <w:rsid w:val="00C97369"/>
    <w:rsid w:val="00CA4275"/>
    <w:rsid w:val="00CB5686"/>
    <w:rsid w:val="00CC3106"/>
    <w:rsid w:val="00CC3732"/>
    <w:rsid w:val="00CD56AE"/>
    <w:rsid w:val="00CE25F0"/>
    <w:rsid w:val="00CE338D"/>
    <w:rsid w:val="00CE6682"/>
    <w:rsid w:val="00D04F49"/>
    <w:rsid w:val="00D06DA4"/>
    <w:rsid w:val="00D07241"/>
    <w:rsid w:val="00D07876"/>
    <w:rsid w:val="00D132CB"/>
    <w:rsid w:val="00D15DF8"/>
    <w:rsid w:val="00D23003"/>
    <w:rsid w:val="00D24B78"/>
    <w:rsid w:val="00D2574F"/>
    <w:rsid w:val="00D31673"/>
    <w:rsid w:val="00D3228B"/>
    <w:rsid w:val="00D53304"/>
    <w:rsid w:val="00D63444"/>
    <w:rsid w:val="00D64DA6"/>
    <w:rsid w:val="00D7356A"/>
    <w:rsid w:val="00D762F5"/>
    <w:rsid w:val="00D816CD"/>
    <w:rsid w:val="00D857A9"/>
    <w:rsid w:val="00D8595D"/>
    <w:rsid w:val="00D9693F"/>
    <w:rsid w:val="00D9733F"/>
    <w:rsid w:val="00DA35F5"/>
    <w:rsid w:val="00DB0136"/>
    <w:rsid w:val="00DB0FDB"/>
    <w:rsid w:val="00DB2862"/>
    <w:rsid w:val="00DC2C53"/>
    <w:rsid w:val="00DC342D"/>
    <w:rsid w:val="00DC6BDA"/>
    <w:rsid w:val="00DD5528"/>
    <w:rsid w:val="00DD7FD8"/>
    <w:rsid w:val="00DE5539"/>
    <w:rsid w:val="00DE7CBF"/>
    <w:rsid w:val="00DF0A81"/>
    <w:rsid w:val="00DF279D"/>
    <w:rsid w:val="00DF6B1B"/>
    <w:rsid w:val="00E06ECD"/>
    <w:rsid w:val="00E114F4"/>
    <w:rsid w:val="00E116AD"/>
    <w:rsid w:val="00E23CA8"/>
    <w:rsid w:val="00E2716C"/>
    <w:rsid w:val="00E350CE"/>
    <w:rsid w:val="00E355A2"/>
    <w:rsid w:val="00E43978"/>
    <w:rsid w:val="00E43CC6"/>
    <w:rsid w:val="00E4427B"/>
    <w:rsid w:val="00E447E4"/>
    <w:rsid w:val="00E452F0"/>
    <w:rsid w:val="00E46CB2"/>
    <w:rsid w:val="00E5168A"/>
    <w:rsid w:val="00E55220"/>
    <w:rsid w:val="00E55257"/>
    <w:rsid w:val="00E62DB4"/>
    <w:rsid w:val="00E749B3"/>
    <w:rsid w:val="00E8384E"/>
    <w:rsid w:val="00E84015"/>
    <w:rsid w:val="00E84BD0"/>
    <w:rsid w:val="00E84D70"/>
    <w:rsid w:val="00E84F41"/>
    <w:rsid w:val="00E90C07"/>
    <w:rsid w:val="00E91471"/>
    <w:rsid w:val="00E91F87"/>
    <w:rsid w:val="00E92BB7"/>
    <w:rsid w:val="00E97BCD"/>
    <w:rsid w:val="00EA1FF0"/>
    <w:rsid w:val="00EB1B2E"/>
    <w:rsid w:val="00EB4B46"/>
    <w:rsid w:val="00EC5A78"/>
    <w:rsid w:val="00EC5F08"/>
    <w:rsid w:val="00EC6E4E"/>
    <w:rsid w:val="00EC754E"/>
    <w:rsid w:val="00ED1B51"/>
    <w:rsid w:val="00ED29D5"/>
    <w:rsid w:val="00ED38C7"/>
    <w:rsid w:val="00ED4760"/>
    <w:rsid w:val="00ED7F36"/>
    <w:rsid w:val="00EE4ED1"/>
    <w:rsid w:val="00EE6738"/>
    <w:rsid w:val="00EF069C"/>
    <w:rsid w:val="00EF46E5"/>
    <w:rsid w:val="00EF6DF8"/>
    <w:rsid w:val="00EF760A"/>
    <w:rsid w:val="00F00495"/>
    <w:rsid w:val="00F0074B"/>
    <w:rsid w:val="00F024DE"/>
    <w:rsid w:val="00F10D2B"/>
    <w:rsid w:val="00F2184D"/>
    <w:rsid w:val="00F247C1"/>
    <w:rsid w:val="00F24B5C"/>
    <w:rsid w:val="00F31316"/>
    <w:rsid w:val="00F315A5"/>
    <w:rsid w:val="00F41090"/>
    <w:rsid w:val="00F41179"/>
    <w:rsid w:val="00F44B8B"/>
    <w:rsid w:val="00F46B77"/>
    <w:rsid w:val="00F479DC"/>
    <w:rsid w:val="00F55131"/>
    <w:rsid w:val="00F61559"/>
    <w:rsid w:val="00F638B7"/>
    <w:rsid w:val="00F65BC0"/>
    <w:rsid w:val="00F7538B"/>
    <w:rsid w:val="00F753A2"/>
    <w:rsid w:val="00F77E4B"/>
    <w:rsid w:val="00F77FFA"/>
    <w:rsid w:val="00F84E5C"/>
    <w:rsid w:val="00F85314"/>
    <w:rsid w:val="00F91F7E"/>
    <w:rsid w:val="00F93D77"/>
    <w:rsid w:val="00F95966"/>
    <w:rsid w:val="00F96653"/>
    <w:rsid w:val="00FA1CD0"/>
    <w:rsid w:val="00FA7411"/>
    <w:rsid w:val="00FB542E"/>
    <w:rsid w:val="00FC10C1"/>
    <w:rsid w:val="00FC430F"/>
    <w:rsid w:val="00FD1D2D"/>
    <w:rsid w:val="00FE16DC"/>
    <w:rsid w:val="00FE2B75"/>
    <w:rsid w:val="00FE5CEB"/>
    <w:rsid w:val="00FE6125"/>
    <w:rsid w:val="00FF6E65"/>
    <w:rsid w:val="00FF7B79"/>
    <w:rsid w:val="00FF7BE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00a8d0,#008eb0,#1492e8,#1287d6,#117dc7,#c2e3f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F1A"/>
    <w:pPr>
      <w:spacing w:after="240"/>
    </w:pPr>
    <w:rPr>
      <w:sz w:val="22"/>
    </w:rPr>
  </w:style>
  <w:style w:type="paragraph" w:styleId="Heading1">
    <w:name w:val="heading 1"/>
    <w:basedOn w:val="Normal"/>
    <w:next w:val="BodyText"/>
    <w:qFormat/>
    <w:rsid w:val="00625F1A"/>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qFormat/>
    <w:rsid w:val="00625F1A"/>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625F1A"/>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qFormat/>
    <w:rsid w:val="00625F1A"/>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link w:val="Heading5Char"/>
    <w:qFormat/>
    <w:rsid w:val="00625F1A"/>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625F1A"/>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625F1A"/>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25F1A"/>
    <w:pPr>
      <w:numPr>
        <w:numId w:val="7"/>
      </w:numPr>
      <w:spacing w:before="200" w:after="0" w:line="300" w:lineRule="atLeast"/>
    </w:pPr>
    <w:rPr>
      <w:szCs w:val="22"/>
    </w:rPr>
  </w:style>
  <w:style w:type="paragraph" w:customStyle="1" w:styleId="Tiptext">
    <w:name w:val="Tip text"/>
    <w:basedOn w:val="Fronttext"/>
    <w:next w:val="Bodytextplain"/>
    <w:rsid w:val="00814188"/>
    <w:rPr>
      <w:vanish/>
      <w:color w:val="800000"/>
    </w:rPr>
  </w:style>
  <w:style w:type="paragraph" w:customStyle="1" w:styleId="tblnote">
    <w:name w:val="tbl note"/>
    <w:basedOn w:val="sourcenotefullwidth"/>
    <w:next w:val="tbltext"/>
    <w:qFormat/>
    <w:rsid w:val="00625F1A"/>
    <w:pPr>
      <w:ind w:left="425"/>
    </w:pPr>
  </w:style>
  <w:style w:type="paragraph" w:styleId="Footer">
    <w:name w:val="footer"/>
    <w:basedOn w:val="Normal"/>
    <w:semiHidden/>
    <w:rsid w:val="00625F1A"/>
    <w:pPr>
      <w:tabs>
        <w:tab w:val="right" w:pos="9070"/>
      </w:tabs>
      <w:spacing w:after="0"/>
    </w:pPr>
    <w:rPr>
      <w:rFonts w:ascii="Arial" w:hAnsi="Arial"/>
      <w:sz w:val="16"/>
      <w:szCs w:val="16"/>
    </w:rPr>
  </w:style>
  <w:style w:type="character" w:styleId="PageNumber">
    <w:name w:val="page number"/>
    <w:basedOn w:val="DefaultParagraphFont"/>
    <w:rsid w:val="00625F1A"/>
    <w:rPr>
      <w:b/>
      <w:sz w:val="20"/>
    </w:rPr>
  </w:style>
  <w:style w:type="paragraph" w:styleId="Header">
    <w:name w:val="header"/>
    <w:basedOn w:val="Normal"/>
    <w:semiHidden/>
    <w:rsid w:val="00625F1A"/>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625F1A"/>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
    <w:rsid w:val="00625F1A"/>
    <w:pPr>
      <w:numPr>
        <w:ilvl w:val="1"/>
      </w:numPr>
    </w:pPr>
  </w:style>
  <w:style w:type="paragraph" w:customStyle="1" w:styleId="Listnumber">
    <w:name w:val="List number"/>
    <w:basedOn w:val="Normal"/>
    <w:rsid w:val="00625F1A"/>
    <w:pPr>
      <w:numPr>
        <w:numId w:val="1"/>
      </w:numPr>
      <w:spacing w:before="100" w:after="0" w:line="300" w:lineRule="atLeast"/>
    </w:pPr>
    <w:rPr>
      <w:szCs w:val="24"/>
    </w:rPr>
  </w:style>
  <w:style w:type="paragraph" w:customStyle="1" w:styleId="figuretitleindented">
    <w:name w:val="figure title indented"/>
    <w:basedOn w:val="figuretitlefullwidth"/>
    <w:rsid w:val="00625F1A"/>
    <w:pPr>
      <w:ind w:left="3260"/>
    </w:pPr>
  </w:style>
  <w:style w:type="paragraph" w:customStyle="1" w:styleId="figuretitlefullwidth">
    <w:name w:val="figure title full width"/>
    <w:basedOn w:val="tabletitlefullwidth"/>
    <w:next w:val="figuretext"/>
    <w:rsid w:val="00625F1A"/>
    <w:rPr>
      <w:szCs w:val="22"/>
    </w:rPr>
  </w:style>
  <w:style w:type="paragraph" w:customStyle="1" w:styleId="tabletitlefullwidth">
    <w:name w:val="table title full width"/>
    <w:basedOn w:val="Normal"/>
    <w:rsid w:val="00625F1A"/>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625F1A"/>
    <w:pPr>
      <w:widowControl w:val="0"/>
      <w:spacing w:after="0" w:line="240" w:lineRule="atLeast"/>
    </w:pPr>
    <w:rPr>
      <w:rFonts w:ascii="Arial" w:hAnsi="Arial" w:cs="Arial"/>
      <w:sz w:val="18"/>
      <w:szCs w:val="18"/>
    </w:rPr>
  </w:style>
  <w:style w:type="paragraph" w:customStyle="1" w:styleId="tbltext">
    <w:name w:val="tbl text"/>
    <w:basedOn w:val="Bodytextplain"/>
    <w:rsid w:val="00625F1A"/>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625F1A"/>
    <w:pPr>
      <w:numPr>
        <w:numId w:val="0"/>
      </w:numPr>
      <w:ind w:left="2268"/>
    </w:pPr>
  </w:style>
  <w:style w:type="paragraph" w:customStyle="1" w:styleId="tablehead">
    <w:name w:val="table head"/>
    <w:basedOn w:val="Normal"/>
    <w:rsid w:val="00625F1A"/>
    <w:pPr>
      <w:keepNext/>
      <w:spacing w:before="120" w:after="0" w:line="240" w:lineRule="atLeast"/>
    </w:pPr>
    <w:rPr>
      <w:rFonts w:ascii="Arial" w:hAnsi="Arial" w:cs="Arial"/>
      <w:b/>
      <w:sz w:val="18"/>
      <w:szCs w:val="18"/>
    </w:rPr>
  </w:style>
  <w:style w:type="paragraph" w:styleId="ListBullet2">
    <w:name w:val="List Bullet 2"/>
    <w:basedOn w:val="Normal"/>
    <w:rsid w:val="00625F1A"/>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625F1A"/>
    <w:rPr>
      <w:color w:val="0000FF"/>
      <w:u w:val="single"/>
    </w:rPr>
  </w:style>
  <w:style w:type="paragraph" w:customStyle="1" w:styleId="tablebullet">
    <w:name w:val="table bullet"/>
    <w:basedOn w:val="Normal"/>
    <w:rsid w:val="00625F1A"/>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625F1A"/>
    <w:pPr>
      <w:spacing w:after="0"/>
    </w:pPr>
    <w:rPr>
      <w:sz w:val="18"/>
    </w:rPr>
  </w:style>
  <w:style w:type="character" w:styleId="FootnoteReference">
    <w:name w:val="footnote reference"/>
    <w:basedOn w:val="DefaultParagraphFont"/>
    <w:semiHidden/>
    <w:rsid w:val="00625F1A"/>
    <w:rPr>
      <w:vertAlign w:val="superscript"/>
    </w:rPr>
  </w:style>
  <w:style w:type="paragraph" w:styleId="TOC1">
    <w:name w:val="toc 1"/>
    <w:basedOn w:val="Normal"/>
    <w:next w:val="Normal"/>
    <w:autoRedefine/>
    <w:uiPriority w:val="39"/>
    <w:rsid w:val="00625F1A"/>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625F1A"/>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625F1A"/>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625F1A"/>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rsid w:val="002D0BF2"/>
    <w:pPr>
      <w:numPr>
        <w:numId w:val="0"/>
      </w:numPr>
    </w:pPr>
  </w:style>
  <w:style w:type="paragraph" w:customStyle="1" w:styleId="tabletitleindented">
    <w:name w:val="table title indented"/>
    <w:basedOn w:val="tabletitlefullwidth"/>
    <w:rsid w:val="00625F1A"/>
    <w:pPr>
      <w:ind w:left="3260"/>
    </w:pPr>
  </w:style>
  <w:style w:type="paragraph" w:styleId="Caption">
    <w:name w:val="caption"/>
    <w:basedOn w:val="Normal"/>
    <w:next w:val="Normal"/>
    <w:qFormat/>
    <w:rsid w:val="00625F1A"/>
    <w:pPr>
      <w:spacing w:before="120" w:after="120"/>
    </w:pPr>
    <w:rPr>
      <w:b/>
      <w:bCs/>
      <w:sz w:val="20"/>
    </w:rPr>
  </w:style>
  <w:style w:type="paragraph" w:customStyle="1" w:styleId="tabledash">
    <w:name w:val="table dash"/>
    <w:basedOn w:val="tablebullet"/>
    <w:rsid w:val="00625F1A"/>
    <w:pPr>
      <w:numPr>
        <w:numId w:val="4"/>
      </w:numPr>
    </w:pPr>
  </w:style>
  <w:style w:type="paragraph" w:customStyle="1" w:styleId="Tablebody">
    <w:name w:val="Table body"/>
    <w:basedOn w:val="Normal"/>
    <w:semiHidden/>
    <w:rsid w:val="00625F1A"/>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625F1A"/>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625F1A"/>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625F1A"/>
    <w:rPr>
      <w:b w:val="0"/>
    </w:rPr>
  </w:style>
  <w:style w:type="character" w:customStyle="1" w:styleId="KPboldChar">
    <w:name w:val="KP bold Char"/>
    <w:basedOn w:val="DefaultParagraphFont"/>
    <w:rsid w:val="002D0BF2"/>
    <w:rPr>
      <w:rFonts w:ascii="Arial" w:hAnsi="Arial" w:cs="Arial"/>
      <w:b/>
      <w:lang w:val="en-AU" w:eastAsia="en-AU" w:bidi="ar-SA"/>
    </w:rPr>
  </w:style>
  <w:style w:type="paragraph" w:customStyle="1" w:styleId="KPbullet">
    <w:name w:val="KP bullet"/>
    <w:basedOn w:val="KPtext"/>
    <w:rsid w:val="00625F1A"/>
    <w:pPr>
      <w:numPr>
        <w:numId w:val="5"/>
      </w:numPr>
      <w:tabs>
        <w:tab w:val="clear" w:pos="2807"/>
        <w:tab w:val="left" w:pos="2665"/>
      </w:tabs>
      <w:spacing w:before="100"/>
      <w:ind w:left="2665" w:hanging="284"/>
    </w:pPr>
  </w:style>
  <w:style w:type="paragraph" w:customStyle="1" w:styleId="Note">
    <w:name w:val="Note"/>
    <w:basedOn w:val="BodyText"/>
    <w:next w:val="BodyText"/>
    <w:rsid w:val="00625F1A"/>
    <w:pPr>
      <w:numPr>
        <w:numId w:val="0"/>
      </w:numPr>
      <w:spacing w:line="240" w:lineRule="atLeast"/>
      <w:ind w:left="2693"/>
    </w:pPr>
    <w:rPr>
      <w:sz w:val="18"/>
    </w:rPr>
  </w:style>
  <w:style w:type="paragraph" w:customStyle="1" w:styleId="subparaa">
    <w:name w:val="sub para (a)"/>
    <w:basedOn w:val="BodyText"/>
    <w:rsid w:val="00625F1A"/>
    <w:pPr>
      <w:numPr>
        <w:ilvl w:val="1"/>
      </w:numPr>
      <w:spacing w:before="100"/>
    </w:pPr>
  </w:style>
  <w:style w:type="paragraph" w:customStyle="1" w:styleId="Listdash">
    <w:name w:val="List dash"/>
    <w:basedOn w:val="Normal"/>
    <w:rsid w:val="002D0BF2"/>
    <w:pPr>
      <w:numPr>
        <w:numId w:val="8"/>
      </w:numPr>
      <w:spacing w:before="100" w:after="0" w:line="300" w:lineRule="atLeast"/>
      <w:ind w:left="3118" w:hanging="425"/>
    </w:pPr>
  </w:style>
  <w:style w:type="paragraph" w:customStyle="1" w:styleId="Feedbackhead">
    <w:name w:val="Feedback head"/>
    <w:basedOn w:val="KPhead"/>
    <w:next w:val="Feedbackquestion"/>
    <w:rsid w:val="00625F1A"/>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625F1A"/>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625F1A"/>
    <w:pPr>
      <w:numPr>
        <w:ilvl w:val="5"/>
      </w:numPr>
    </w:pPr>
  </w:style>
  <w:style w:type="paragraph" w:customStyle="1" w:styleId="figuretitle">
    <w:name w:val="figure title"/>
    <w:basedOn w:val="Normal"/>
    <w:next w:val="figuretext"/>
    <w:rsid w:val="002D0BF2"/>
    <w:pPr>
      <w:keepNext/>
      <w:spacing w:before="360" w:after="60"/>
      <w:ind w:left="2268" w:hanging="1276"/>
    </w:pPr>
    <w:rPr>
      <w:rFonts w:ascii="Arial" w:hAnsi="Arial"/>
      <w:b/>
      <w:sz w:val="20"/>
    </w:rPr>
  </w:style>
  <w:style w:type="paragraph" w:customStyle="1" w:styleId="subsubparai">
    <w:name w:val="sub sub para (i)"/>
    <w:basedOn w:val="subparaa"/>
    <w:rsid w:val="00625F1A"/>
    <w:pPr>
      <w:numPr>
        <w:ilvl w:val="2"/>
      </w:numPr>
    </w:pPr>
  </w:style>
  <w:style w:type="paragraph" w:customStyle="1" w:styleId="DescriptorRG">
    <w:name w:val="Descriptor RG"/>
    <w:basedOn w:val="Normal"/>
    <w:next w:val="Normal"/>
    <w:rsid w:val="00625F1A"/>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814188"/>
    <w:pPr>
      <w:keepNext w:val="0"/>
    </w:pPr>
    <w:rPr>
      <w:b w:val="0"/>
    </w:rPr>
  </w:style>
  <w:style w:type="paragraph" w:customStyle="1" w:styleId="DescriptorCP">
    <w:name w:val="Descriptor CP"/>
    <w:basedOn w:val="DescriptorRG"/>
    <w:next w:val="Normal"/>
    <w:rsid w:val="00625F1A"/>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625F1A"/>
    <w:pPr>
      <w:spacing w:line="260" w:lineRule="atLeast"/>
    </w:pPr>
    <w:rPr>
      <w:rFonts w:ascii="Arial" w:hAnsi="Arial" w:cs="Arial"/>
      <w:sz w:val="20"/>
      <w:szCs w:val="20"/>
    </w:rPr>
  </w:style>
  <w:style w:type="paragraph" w:customStyle="1" w:styleId="Frontbullet">
    <w:name w:val="Front bullet"/>
    <w:basedOn w:val="Fronttext"/>
    <w:rsid w:val="00625F1A"/>
    <w:pPr>
      <w:numPr>
        <w:ilvl w:val="5"/>
        <w:numId w:val="9"/>
      </w:numPr>
      <w:spacing w:before="120"/>
    </w:pPr>
  </w:style>
  <w:style w:type="paragraph" w:customStyle="1" w:styleId="Frontheading">
    <w:name w:val="Front heading"/>
    <w:basedOn w:val="Heading3"/>
    <w:next w:val="Fronttext"/>
    <w:rsid w:val="00625F1A"/>
  </w:style>
  <w:style w:type="paragraph" w:customStyle="1" w:styleId="Blockquote">
    <w:name w:val="Block quote"/>
    <w:basedOn w:val="Bodytextplain"/>
    <w:rsid w:val="00625F1A"/>
    <w:pPr>
      <w:spacing w:before="100" w:line="240" w:lineRule="auto"/>
      <w:ind w:left="2693"/>
    </w:pPr>
    <w:rPr>
      <w:sz w:val="21"/>
      <w:szCs w:val="21"/>
    </w:rPr>
  </w:style>
  <w:style w:type="paragraph" w:customStyle="1" w:styleId="Heading2noToC">
    <w:name w:val="Heading 2 no ToC"/>
    <w:basedOn w:val="Bodytextplain"/>
    <w:next w:val="Bodytextplain"/>
    <w:rsid w:val="002D0BF2"/>
    <w:pPr>
      <w:spacing w:before="720"/>
      <w:ind w:left="0"/>
    </w:pPr>
    <w:rPr>
      <w:rFonts w:ascii="Arial" w:hAnsi="Arial" w:cs="Arial"/>
      <w:b/>
      <w:sz w:val="28"/>
      <w:szCs w:val="28"/>
    </w:rPr>
  </w:style>
  <w:style w:type="paragraph" w:customStyle="1" w:styleId="Proposalhead">
    <w:name w:val="Proposal head"/>
    <w:basedOn w:val="Bodytextplain"/>
    <w:next w:val="Proposaltext"/>
    <w:rsid w:val="00625F1A"/>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625F1A"/>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625F1A"/>
    <w:pPr>
      <w:numPr>
        <w:ilvl w:val="2"/>
      </w:numPr>
      <w:spacing w:before="100"/>
    </w:pPr>
  </w:style>
  <w:style w:type="paragraph" w:customStyle="1" w:styleId="Proposalsubsubpara">
    <w:name w:val="Proposal sub sub para"/>
    <w:basedOn w:val="Proposaltext"/>
    <w:rsid w:val="00625F1A"/>
    <w:pPr>
      <w:numPr>
        <w:ilvl w:val="3"/>
      </w:numPr>
      <w:spacing w:before="100"/>
    </w:pPr>
  </w:style>
  <w:style w:type="paragraph" w:customStyle="1" w:styleId="Proposalnote">
    <w:name w:val="Proposal note"/>
    <w:basedOn w:val="Note"/>
    <w:rsid w:val="00625F1A"/>
    <w:pPr>
      <w:spacing w:before="100"/>
      <w:ind w:left="3119"/>
    </w:pPr>
    <w:rPr>
      <w:rFonts w:ascii="Arial" w:hAnsi="Arial" w:cs="Arial"/>
      <w:sz w:val="16"/>
      <w:szCs w:val="16"/>
    </w:rPr>
  </w:style>
  <w:style w:type="character" w:styleId="CommentReference">
    <w:name w:val="annotation reference"/>
    <w:basedOn w:val="DefaultParagraphFont"/>
    <w:semiHidden/>
    <w:rsid w:val="00625F1A"/>
    <w:rPr>
      <w:sz w:val="16"/>
      <w:szCs w:val="16"/>
    </w:rPr>
  </w:style>
  <w:style w:type="paragraph" w:styleId="CommentText">
    <w:name w:val="annotation text"/>
    <w:basedOn w:val="Normal"/>
    <w:link w:val="CommentTextChar"/>
    <w:semiHidden/>
    <w:rsid w:val="00625F1A"/>
    <w:rPr>
      <w:sz w:val="20"/>
    </w:rPr>
  </w:style>
  <w:style w:type="paragraph" w:customStyle="1" w:styleId="issueddate">
    <w:name w:val="issued date"/>
    <w:rsid w:val="002D0BF2"/>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625F1A"/>
    <w:rPr>
      <w:rFonts w:ascii="Tahoma" w:hAnsi="Tahoma" w:cs="Tahoma"/>
      <w:sz w:val="16"/>
      <w:szCs w:val="16"/>
    </w:rPr>
  </w:style>
  <w:style w:type="paragraph" w:customStyle="1" w:styleId="boxbullet">
    <w:name w:val="box bullet"/>
    <w:basedOn w:val="Frontbullet"/>
    <w:rsid w:val="00625F1A"/>
    <w:pPr>
      <w:numPr>
        <w:ilvl w:val="0"/>
        <w:numId w:val="11"/>
      </w:numPr>
      <w:spacing w:before="60"/>
    </w:pPr>
  </w:style>
  <w:style w:type="paragraph" w:customStyle="1" w:styleId="boxtext">
    <w:name w:val="box text"/>
    <w:basedOn w:val="Fronttext"/>
    <w:rsid w:val="00625F1A"/>
    <w:pPr>
      <w:spacing w:before="120"/>
      <w:ind w:left="0"/>
    </w:pPr>
  </w:style>
  <w:style w:type="paragraph" w:styleId="ListParagraph">
    <w:name w:val="List Paragraph"/>
    <w:basedOn w:val="Normal"/>
    <w:uiPriority w:val="34"/>
    <w:qFormat/>
    <w:rsid w:val="00892ABC"/>
    <w:pPr>
      <w:ind w:left="720"/>
    </w:pPr>
  </w:style>
  <w:style w:type="character" w:customStyle="1" w:styleId="Heading5Char">
    <w:name w:val="Heading 5 Char"/>
    <w:basedOn w:val="DefaultParagraphFont"/>
    <w:link w:val="Heading5"/>
    <w:rsid w:val="005C5E4C"/>
    <w:rPr>
      <w:rFonts w:ascii="Arial" w:hAnsi="Arial" w:cs="Arial"/>
      <w:i/>
    </w:rPr>
  </w:style>
  <w:style w:type="character" w:customStyle="1" w:styleId="BodyTextChar">
    <w:name w:val="Body Text Char"/>
    <w:basedOn w:val="DefaultParagraphFont"/>
    <w:link w:val="BodyText"/>
    <w:semiHidden/>
    <w:rsid w:val="005C5E4C"/>
    <w:rPr>
      <w:sz w:val="22"/>
      <w:szCs w:val="22"/>
    </w:rPr>
  </w:style>
  <w:style w:type="paragraph" w:customStyle="1" w:styleId="Default">
    <w:name w:val="Default"/>
    <w:rsid w:val="006A38C5"/>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50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GNumbering">
    <w:name w:val="RPG Numbering"/>
    <w:basedOn w:val="Heading1"/>
    <w:rsid w:val="004254DE"/>
    <w:pPr>
      <w:pageBreakBefore w:val="0"/>
      <w:widowControl w:val="0"/>
      <w:numPr>
        <w:numId w:val="15"/>
      </w:numPr>
      <w:adjustRightInd w:val="0"/>
      <w:snapToGrid w:val="0"/>
      <w:spacing w:after="120" w:line="240" w:lineRule="auto"/>
    </w:pPr>
    <w:rPr>
      <w:rFonts w:ascii="Times New Roman" w:hAnsi="Times New Roman" w:cs="Times New Roman"/>
      <w:b w:val="0"/>
      <w:spacing w:val="-5"/>
      <w:kern w:val="32"/>
      <w:sz w:val="22"/>
      <w:szCs w:val="24"/>
      <w:lang w:eastAsia="en-US"/>
    </w:rPr>
  </w:style>
  <w:style w:type="paragraph" w:styleId="CommentSubject">
    <w:name w:val="annotation subject"/>
    <w:basedOn w:val="CommentText"/>
    <w:next w:val="CommentText"/>
    <w:link w:val="CommentSubjectChar"/>
    <w:uiPriority w:val="99"/>
    <w:semiHidden/>
    <w:unhideWhenUsed/>
    <w:rsid w:val="006A3A61"/>
    <w:rPr>
      <w:b/>
      <w:bCs/>
    </w:rPr>
  </w:style>
  <w:style w:type="character" w:customStyle="1" w:styleId="CommentTextChar">
    <w:name w:val="Comment Text Char"/>
    <w:basedOn w:val="DefaultParagraphFont"/>
    <w:link w:val="CommentText"/>
    <w:semiHidden/>
    <w:rsid w:val="006A3A61"/>
  </w:style>
  <w:style w:type="character" w:customStyle="1" w:styleId="CommentSubjectChar">
    <w:name w:val="Comment Subject Char"/>
    <w:basedOn w:val="CommentTextChar"/>
    <w:link w:val="CommentSubject"/>
    <w:rsid w:val="006A3A61"/>
  </w:style>
  <w:style w:type="paragraph" w:customStyle="1" w:styleId="sourcenotefullwidth">
    <w:name w:val="source note full width"/>
    <w:rsid w:val="00625F1A"/>
    <w:pPr>
      <w:spacing w:before="120"/>
    </w:pPr>
    <w:rPr>
      <w:rFonts w:ascii="Arial" w:hAnsi="Arial"/>
      <w:sz w:val="16"/>
      <w:szCs w:val="22"/>
    </w:rPr>
  </w:style>
  <w:style w:type="paragraph" w:customStyle="1" w:styleId="sub3paraA">
    <w:name w:val="sub3para (A)"/>
    <w:basedOn w:val="subsubparai"/>
    <w:qFormat/>
    <w:rsid w:val="00625F1A"/>
    <w:pPr>
      <w:numPr>
        <w:ilvl w:val="3"/>
      </w:numPr>
    </w:pPr>
  </w:style>
  <w:style w:type="paragraph" w:customStyle="1" w:styleId="sub4paraI">
    <w:name w:val="sub4para (I)"/>
    <w:basedOn w:val="subsubparai"/>
    <w:qFormat/>
    <w:rsid w:val="00625F1A"/>
    <w:pPr>
      <w:numPr>
        <w:ilvl w:val="4"/>
      </w:numPr>
    </w:pPr>
  </w:style>
  <w:style w:type="paragraph" w:customStyle="1" w:styleId="Feedbacksubsubquestion">
    <w:name w:val="Feedback subsubquestion"/>
    <w:basedOn w:val="Feedbacksubquestion"/>
    <w:qFormat/>
    <w:rsid w:val="00625F1A"/>
    <w:pPr>
      <w:numPr>
        <w:ilvl w:val="6"/>
      </w:numPr>
    </w:pPr>
  </w:style>
  <w:style w:type="paragraph" w:customStyle="1" w:styleId="sourcenoteindented">
    <w:name w:val="source note indented"/>
    <w:basedOn w:val="sourcenotefullwidth"/>
    <w:qFormat/>
    <w:rsid w:val="00625F1A"/>
    <w:pPr>
      <w:ind w:left="2268"/>
    </w:pPr>
  </w:style>
  <w:style w:type="paragraph" w:customStyle="1" w:styleId="tblProposalsubpara">
    <w:name w:val="tbl Proposal sub para"/>
    <w:basedOn w:val="tbltext"/>
    <w:qFormat/>
    <w:rsid w:val="00625F1A"/>
    <w:pPr>
      <w:ind w:left="885" w:hanging="425"/>
    </w:pPr>
  </w:style>
  <w:style w:type="paragraph" w:customStyle="1" w:styleId="tblProposalsubsubpara">
    <w:name w:val="tbl Proposal sub sub para"/>
    <w:basedOn w:val="tbltext"/>
    <w:qFormat/>
    <w:rsid w:val="00625F1A"/>
    <w:pPr>
      <w:ind w:left="1310" w:hanging="425"/>
    </w:pPr>
  </w:style>
  <w:style w:type="paragraph" w:customStyle="1" w:styleId="tblProposaltext">
    <w:name w:val="tbl Proposal text"/>
    <w:basedOn w:val="tbltext"/>
    <w:qFormat/>
    <w:rsid w:val="00625F1A"/>
    <w:pPr>
      <w:ind w:left="425" w:hanging="425"/>
    </w:pPr>
  </w:style>
  <w:style w:type="paragraph" w:customStyle="1" w:styleId="tblProposaltextnonumber">
    <w:name w:val="tbl Proposal text no number"/>
    <w:basedOn w:val="tbltext"/>
    <w:qFormat/>
    <w:rsid w:val="00625F1A"/>
    <w:pPr>
      <w:ind w:left="425"/>
    </w:pPr>
  </w:style>
  <w:style w:type="paragraph" w:customStyle="1" w:styleId="tblFeedbackquestion">
    <w:name w:val="tbl Feedback question"/>
    <w:basedOn w:val="Proposaltext"/>
    <w:qFormat/>
    <w:rsid w:val="00625F1A"/>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625F1A"/>
    <w:rPr>
      <w:sz w:val="16"/>
      <w:szCs w:val="16"/>
    </w:rPr>
  </w:style>
  <w:style w:type="paragraph" w:customStyle="1" w:styleId="tblFeedbacksubquestion">
    <w:name w:val="tbl Feedback subquestion"/>
    <w:basedOn w:val="tblProposalsubpara"/>
    <w:rsid w:val="00625F1A"/>
    <w:pPr>
      <w:ind w:left="964" w:hanging="340"/>
    </w:pPr>
  </w:style>
  <w:style w:type="paragraph" w:customStyle="1" w:styleId="tblFeedbacksubsubquestion">
    <w:name w:val="tbl Feedback subsubquestion"/>
    <w:basedOn w:val="tblProposalsubsubpara"/>
    <w:qFormat/>
    <w:rsid w:val="00625F1A"/>
    <w:pPr>
      <w:ind w:left="1304" w:hanging="340"/>
    </w:pPr>
  </w:style>
</w:styles>
</file>

<file path=word/webSettings.xml><?xml version="1.0" encoding="utf-8"?>
<w:webSettings xmlns:r="http://schemas.openxmlformats.org/officeDocument/2006/relationships" xmlns:w="http://schemas.openxmlformats.org/wordprocessingml/2006/main">
  <w:divs>
    <w:div w:id="805004461">
      <w:bodyDiv w:val="1"/>
      <w:marLeft w:val="0"/>
      <w:marRight w:val="0"/>
      <w:marTop w:val="0"/>
      <w:marBottom w:val="0"/>
      <w:divBdr>
        <w:top w:val="none" w:sz="0" w:space="0" w:color="auto"/>
        <w:left w:val="none" w:sz="0" w:space="0" w:color="auto"/>
        <w:bottom w:val="none" w:sz="0" w:space="0" w:color="auto"/>
        <w:right w:val="none" w:sz="0" w:space="0" w:color="auto"/>
      </w:divBdr>
    </w:div>
    <w:div w:id="929199871">
      <w:bodyDiv w:val="1"/>
      <w:marLeft w:val="0"/>
      <w:marRight w:val="0"/>
      <w:marTop w:val="0"/>
      <w:marBottom w:val="0"/>
      <w:divBdr>
        <w:top w:val="none" w:sz="0" w:space="0" w:color="auto"/>
        <w:left w:val="none" w:sz="0" w:space="0" w:color="auto"/>
        <w:bottom w:val="none" w:sz="0" w:space="0" w:color="auto"/>
        <w:right w:val="none" w:sz="0" w:space="0" w:color="auto"/>
      </w:divBdr>
    </w:div>
    <w:div w:id="183607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034CA-0052-43ED-8AE6-4DD59A800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3</TotalTime>
  <Pages>37</Pages>
  <Words>12248</Words>
  <Characters>67034</Characters>
  <Application>Microsoft Office Word</Application>
  <DocSecurity>0</DocSecurity>
  <Lines>558</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79124</CharactersWithSpaces>
  <SharedDoc>false</SharedDoc>
  <HyperlinkBase/>
  <HLinks>
    <vt:vector size="114" baseType="variant">
      <vt:variant>
        <vt:i4>4915297</vt:i4>
      </vt:variant>
      <vt:variant>
        <vt:i4>126</vt:i4>
      </vt:variant>
      <vt:variant>
        <vt:i4>0</vt:i4>
      </vt:variant>
      <vt:variant>
        <vt:i4>5</vt:i4>
      </vt:variant>
      <vt:variant>
        <vt:lpwstr>\\MELF3\officeware\msoffice2000\template\RPB Forms\Source Docs\RR help.doc</vt:lpwstr>
      </vt:variant>
      <vt:variant>
        <vt:lpwstr>B</vt:lpwstr>
      </vt:variant>
      <vt:variant>
        <vt:i4>1179705</vt:i4>
      </vt:variant>
      <vt:variant>
        <vt:i4>107</vt:i4>
      </vt:variant>
      <vt:variant>
        <vt:i4>0</vt:i4>
      </vt:variant>
      <vt:variant>
        <vt:i4>5</vt:i4>
      </vt:variant>
      <vt:variant>
        <vt:lpwstr/>
      </vt:variant>
      <vt:variant>
        <vt:lpwstr>_Toc164754907</vt:lpwstr>
      </vt:variant>
      <vt:variant>
        <vt:i4>1179705</vt:i4>
      </vt:variant>
      <vt:variant>
        <vt:i4>101</vt:i4>
      </vt:variant>
      <vt:variant>
        <vt:i4>0</vt:i4>
      </vt:variant>
      <vt:variant>
        <vt:i4>5</vt:i4>
      </vt:variant>
      <vt:variant>
        <vt:lpwstr/>
      </vt:variant>
      <vt:variant>
        <vt:lpwstr>_Toc164754906</vt:lpwstr>
      </vt:variant>
      <vt:variant>
        <vt:i4>1179705</vt:i4>
      </vt:variant>
      <vt:variant>
        <vt:i4>95</vt:i4>
      </vt:variant>
      <vt:variant>
        <vt:i4>0</vt:i4>
      </vt:variant>
      <vt:variant>
        <vt:i4>5</vt:i4>
      </vt:variant>
      <vt:variant>
        <vt:lpwstr/>
      </vt:variant>
      <vt:variant>
        <vt:lpwstr>_Toc164754905</vt:lpwstr>
      </vt:variant>
      <vt:variant>
        <vt:i4>1179705</vt:i4>
      </vt:variant>
      <vt:variant>
        <vt:i4>89</vt:i4>
      </vt:variant>
      <vt:variant>
        <vt:i4>0</vt:i4>
      </vt:variant>
      <vt:variant>
        <vt:i4>5</vt:i4>
      </vt:variant>
      <vt:variant>
        <vt:lpwstr/>
      </vt:variant>
      <vt:variant>
        <vt:lpwstr>_Toc164754904</vt:lpwstr>
      </vt:variant>
      <vt:variant>
        <vt:i4>1179705</vt:i4>
      </vt:variant>
      <vt:variant>
        <vt:i4>83</vt:i4>
      </vt:variant>
      <vt:variant>
        <vt:i4>0</vt:i4>
      </vt:variant>
      <vt:variant>
        <vt:i4>5</vt:i4>
      </vt:variant>
      <vt:variant>
        <vt:lpwstr/>
      </vt:variant>
      <vt:variant>
        <vt:lpwstr>_Toc164754903</vt:lpwstr>
      </vt:variant>
      <vt:variant>
        <vt:i4>1179705</vt:i4>
      </vt:variant>
      <vt:variant>
        <vt:i4>77</vt:i4>
      </vt:variant>
      <vt:variant>
        <vt:i4>0</vt:i4>
      </vt:variant>
      <vt:variant>
        <vt:i4>5</vt:i4>
      </vt:variant>
      <vt:variant>
        <vt:lpwstr/>
      </vt:variant>
      <vt:variant>
        <vt:lpwstr>_Toc164754902</vt:lpwstr>
      </vt:variant>
      <vt:variant>
        <vt:i4>1179705</vt:i4>
      </vt:variant>
      <vt:variant>
        <vt:i4>71</vt:i4>
      </vt:variant>
      <vt:variant>
        <vt:i4>0</vt:i4>
      </vt:variant>
      <vt:variant>
        <vt:i4>5</vt:i4>
      </vt:variant>
      <vt:variant>
        <vt:lpwstr/>
      </vt:variant>
      <vt:variant>
        <vt:lpwstr>_Toc164754901</vt:lpwstr>
      </vt:variant>
      <vt:variant>
        <vt:i4>1179705</vt:i4>
      </vt:variant>
      <vt:variant>
        <vt:i4>65</vt:i4>
      </vt:variant>
      <vt:variant>
        <vt:i4>0</vt:i4>
      </vt:variant>
      <vt:variant>
        <vt:i4>5</vt:i4>
      </vt:variant>
      <vt:variant>
        <vt:lpwstr/>
      </vt:variant>
      <vt:variant>
        <vt:lpwstr>_Toc164754900</vt:lpwstr>
      </vt:variant>
      <vt:variant>
        <vt:i4>1769528</vt:i4>
      </vt:variant>
      <vt:variant>
        <vt:i4>59</vt:i4>
      </vt:variant>
      <vt:variant>
        <vt:i4>0</vt:i4>
      </vt:variant>
      <vt:variant>
        <vt:i4>5</vt:i4>
      </vt:variant>
      <vt:variant>
        <vt:lpwstr/>
      </vt:variant>
      <vt:variant>
        <vt:lpwstr>_Toc164754899</vt:lpwstr>
      </vt:variant>
      <vt:variant>
        <vt:i4>1769528</vt:i4>
      </vt:variant>
      <vt:variant>
        <vt:i4>53</vt:i4>
      </vt:variant>
      <vt:variant>
        <vt:i4>0</vt:i4>
      </vt:variant>
      <vt:variant>
        <vt:i4>5</vt:i4>
      </vt:variant>
      <vt:variant>
        <vt:lpwstr/>
      </vt:variant>
      <vt:variant>
        <vt:lpwstr>_Toc164754898</vt:lpwstr>
      </vt:variant>
      <vt:variant>
        <vt:i4>1769528</vt:i4>
      </vt:variant>
      <vt:variant>
        <vt:i4>47</vt:i4>
      </vt:variant>
      <vt:variant>
        <vt:i4>0</vt:i4>
      </vt:variant>
      <vt:variant>
        <vt:i4>5</vt:i4>
      </vt:variant>
      <vt:variant>
        <vt:lpwstr/>
      </vt:variant>
      <vt:variant>
        <vt:lpwstr>_Toc164754897</vt:lpwstr>
      </vt:variant>
      <vt:variant>
        <vt:i4>1769528</vt:i4>
      </vt:variant>
      <vt:variant>
        <vt:i4>41</vt:i4>
      </vt:variant>
      <vt:variant>
        <vt:i4>0</vt:i4>
      </vt:variant>
      <vt:variant>
        <vt:i4>5</vt:i4>
      </vt:variant>
      <vt:variant>
        <vt:lpwstr/>
      </vt:variant>
      <vt:variant>
        <vt:lpwstr>_Toc164754896</vt:lpwstr>
      </vt:variant>
      <vt:variant>
        <vt:i4>1769528</vt:i4>
      </vt:variant>
      <vt:variant>
        <vt:i4>35</vt:i4>
      </vt:variant>
      <vt:variant>
        <vt:i4>0</vt:i4>
      </vt:variant>
      <vt:variant>
        <vt:i4>5</vt:i4>
      </vt:variant>
      <vt:variant>
        <vt:lpwstr/>
      </vt:variant>
      <vt:variant>
        <vt:lpwstr>_Toc164754895</vt:lpwstr>
      </vt:variant>
      <vt:variant>
        <vt:i4>1769528</vt:i4>
      </vt:variant>
      <vt:variant>
        <vt:i4>29</vt:i4>
      </vt:variant>
      <vt:variant>
        <vt:i4>0</vt:i4>
      </vt:variant>
      <vt:variant>
        <vt:i4>5</vt:i4>
      </vt:variant>
      <vt:variant>
        <vt:lpwstr/>
      </vt:variant>
      <vt:variant>
        <vt:lpwstr>_Toc164754894</vt:lpwstr>
      </vt:variant>
      <vt:variant>
        <vt:i4>2752627</vt:i4>
      </vt:variant>
      <vt:variant>
        <vt:i4>24</vt:i4>
      </vt:variant>
      <vt:variant>
        <vt:i4>0</vt:i4>
      </vt:variant>
      <vt:variant>
        <vt:i4>5</vt:i4>
      </vt:variant>
      <vt:variant>
        <vt:lpwstr>\\MELF3\officeware\msoffice2000\template\RPB Forms\Source Docs\RR help.doc</vt:lpwstr>
      </vt:variant>
      <vt:variant>
        <vt:lpwstr>AboutThisGuide</vt:lpwstr>
      </vt:variant>
      <vt:variant>
        <vt:i4>4915203</vt:i4>
      </vt:variant>
      <vt:variant>
        <vt:i4>15</vt:i4>
      </vt:variant>
      <vt:variant>
        <vt:i4>0</vt:i4>
      </vt:variant>
      <vt:variant>
        <vt:i4>5</vt:i4>
      </vt:variant>
      <vt:variant>
        <vt:lpwstr>\\MELF3\officeware\msoffice2000\template\RPB Forms\Source Docs\RR help.doc</vt:lpwstr>
      </vt:variant>
      <vt:variant>
        <vt:lpwstr/>
      </vt:variant>
      <vt:variant>
        <vt:i4>4915203</vt:i4>
      </vt:variant>
      <vt:variant>
        <vt:i4>9</vt:i4>
      </vt:variant>
      <vt:variant>
        <vt:i4>0</vt:i4>
      </vt:variant>
      <vt:variant>
        <vt:i4>5</vt:i4>
      </vt:variant>
      <vt:variant>
        <vt:lpwstr>\\MELF3\officeware\msoffice2000\template\RPB Forms\Source Docs\RR help.doc</vt:lpwstr>
      </vt:variant>
      <vt:variant>
        <vt:lpwstr/>
      </vt:variant>
      <vt:variant>
        <vt:i4>4915203</vt:i4>
      </vt:variant>
      <vt:variant>
        <vt:i4>3</vt:i4>
      </vt:variant>
      <vt:variant>
        <vt:i4>0</vt:i4>
      </vt:variant>
      <vt:variant>
        <vt:i4>5</vt:i4>
      </vt:variant>
      <vt:variant>
        <vt:lpwstr>\\MELF3\officeware\msoffice2000\template\RPB Forms\Source Docs\RR help.doc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Impact Study for RG 239</dc:title>
  <dc:subject>Retail OTC derivative issuers: Financial requirements</dc:subject>
  <dc:creator>ASIC</dc:creator>
  <cp:keywords/>
  <dc:description/>
  <cp:lastModifiedBy>Chris Flanagan</cp:lastModifiedBy>
  <cp:revision>4</cp:revision>
  <cp:lastPrinted>2012-07-30T02:48:00Z</cp:lastPrinted>
  <dcterms:created xsi:type="dcterms:W3CDTF">2012-07-30T03:22:00Z</dcterms:created>
  <dcterms:modified xsi:type="dcterms:W3CDTF">2012-07-30T04:34:00Z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REPORT</vt:lpwstr>
  </property>
  <property fmtid="{D5CDD505-2E9C-101B-9397-08002B2CF9AE}" pid="3" name="Document title">
    <vt:lpwstr>Retail OTC derivative issuers: Financial requirements</vt:lpwstr>
  </property>
  <property fmtid="{D5CDD505-2E9C-101B-9397-08002B2CF9AE}" pid="4" name="Document num">
    <vt:lpwstr>000</vt:lpwstr>
  </property>
  <property fmtid="{D5CDD505-2E9C-101B-9397-08002B2CF9AE}" pid="5" name="Issue date">
    <vt:lpwstr>July 2012</vt:lpwstr>
  </property>
  <property fmtid="{D5CDD505-2E9C-101B-9397-08002B2CF9AE}" pid="6" name="Source file type">
    <vt:lpwstr>RR</vt:lpwstr>
  </property>
  <property fmtid="{D5CDD505-2E9C-101B-9397-08002B2CF9AE}" pid="7" name="Objective-Id">
    <vt:lpwstr>A3604079</vt:lpwstr>
  </property>
  <property fmtid="{D5CDD505-2E9C-101B-9397-08002B2CF9AE}" pid="8" name="Objective-Title">
    <vt:lpwstr>Retail OTC derivatives issuers - Financial requirements - RIS - 201207 - Checked (clean)</vt:lpwstr>
  </property>
  <property fmtid="{D5CDD505-2E9C-101B-9397-08002B2CF9AE}" pid="9" name="Objective-Comment">
    <vt:lpwstr/>
  </property>
  <property fmtid="{D5CDD505-2E9C-101B-9397-08002B2CF9AE}" pid="10" name="Objective-CreationStamp">
    <vt:filetime>2012-07-27T07:54:24Z</vt:filetime>
  </property>
  <property fmtid="{D5CDD505-2E9C-101B-9397-08002B2CF9AE}" pid="11" name="Objective-IsApproved">
    <vt:bool>false</vt:bool>
  </property>
  <property fmtid="{D5CDD505-2E9C-101B-9397-08002B2CF9AE}" pid="12" name="Objective-IsPublished">
    <vt:bool>false</vt:bool>
  </property>
  <property fmtid="{D5CDD505-2E9C-101B-9397-08002B2CF9AE}" pid="13" name="Objective-DatePublished">
    <vt:lpwstr/>
  </property>
  <property fmtid="{D5CDD505-2E9C-101B-9397-08002B2CF9AE}" pid="14" name="Objective-ModificationStamp">
    <vt:filetime>2012-07-30T03:12:40Z</vt:filetime>
  </property>
  <property fmtid="{D5CDD505-2E9C-101B-9397-08002B2CF9AE}" pid="15" name="Objective-Owner">
    <vt:lpwstr>Ros Irvine</vt:lpwstr>
  </property>
  <property fmtid="{D5CDD505-2E9C-101B-9397-08002B2CF9AE}" pid="16" name="Objective-Path">
    <vt:lpwstr>ASIC BCS:CORPORATE COMMUNICATION &amp; RELATIONS:Publications:Editing:Regulation Impact Statements:Retail OTC derivatives issuers: Financial Requirements:Final Changes - 201207:</vt:lpwstr>
  </property>
  <property fmtid="{D5CDD505-2E9C-101B-9397-08002B2CF9AE}" pid="17" name="Objective-Parent">
    <vt:lpwstr>Final Changes - 201207</vt:lpwstr>
  </property>
  <property fmtid="{D5CDD505-2E9C-101B-9397-08002B2CF9AE}" pid="18" name="Objective-State">
    <vt:lpwstr>Being Drafted</vt:lpwstr>
  </property>
  <property fmtid="{D5CDD505-2E9C-101B-9397-08002B2CF9AE}" pid="19" name="Objective-Version">
    <vt:lpwstr>1.1</vt:lpwstr>
  </property>
  <property fmtid="{D5CDD505-2E9C-101B-9397-08002B2CF9AE}" pid="20" name="Objective-VersionNumber">
    <vt:i4>3</vt:i4>
  </property>
  <property fmtid="{D5CDD505-2E9C-101B-9397-08002B2CF9AE}" pid="21" name="Objective-VersionComment">
    <vt:lpwstr/>
  </property>
  <property fmtid="{D5CDD505-2E9C-101B-9397-08002B2CF9AE}" pid="22" name="Objective-FileNumber">
    <vt:lpwstr/>
  </property>
  <property fmtid="{D5CDD505-2E9C-101B-9397-08002B2CF9AE}" pid="23" name="Objective-Classification">
    <vt:lpwstr>IN-CONFIDENCE</vt:lpwstr>
  </property>
  <property fmtid="{D5CDD505-2E9C-101B-9397-08002B2CF9AE}" pid="24" name="Objective-Caveats">
    <vt:lpwstr/>
  </property>
  <property fmtid="{D5CDD505-2E9C-101B-9397-08002B2CF9AE}" pid="25" name="Objective-Category [system]">
    <vt:lpwstr/>
  </property>
</Properties>
</file>