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583" w:rsidRDefault="00F13583" w:rsidP="00F13583">
      <w:pPr>
        <w:widowControl w:val="0"/>
        <w:jc w:val="center"/>
        <w:rPr>
          <w:rFonts w:ascii="Courier New" w:hAnsi="Courier New" w:cs="Courier New"/>
          <w:snapToGrid w:val="0"/>
          <w:lang w:val="en-US" w:eastAsia="en-US"/>
        </w:rPr>
      </w:pPr>
    </w:p>
    <w:p w:rsidR="00F13583" w:rsidRDefault="00F13583" w:rsidP="00F13583">
      <w:pPr>
        <w:widowControl w:val="0"/>
        <w:jc w:val="center"/>
        <w:rPr>
          <w:snapToGrid w:val="0"/>
          <w:lang w:eastAsia="en-US"/>
        </w:rPr>
      </w:pPr>
    </w:p>
    <w:p w:rsidR="00F13583" w:rsidRDefault="00F13583" w:rsidP="00F13583">
      <w:pPr>
        <w:widowControl w:val="0"/>
        <w:jc w:val="center"/>
        <w:rPr>
          <w:snapToGrid w:val="0"/>
          <w:lang w:eastAsia="en-US"/>
        </w:rPr>
      </w:pPr>
    </w:p>
    <w:p w:rsidR="00F13583" w:rsidRDefault="00752BF8" w:rsidP="00F13583">
      <w:pPr>
        <w:widowControl w:val="0"/>
        <w:ind w:right="135"/>
        <w:jc w:val="center"/>
      </w:pPr>
      <w:r w:rsidRPr="008621C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i1025" type="#_x0000_t75" alt="Description: Therapeutic Goods Administration" style="width:156pt;height:91.5pt;visibility:visible">
            <v:imagedata r:id="rId8" o:title="Therapeutic Goods Administration"/>
          </v:shape>
        </w:pict>
      </w:r>
    </w:p>
    <w:p w:rsidR="00F13583" w:rsidRDefault="00F13583" w:rsidP="00F13583">
      <w:pPr>
        <w:widowControl w:val="0"/>
        <w:ind w:right="135"/>
        <w:jc w:val="center"/>
      </w:pPr>
    </w:p>
    <w:p w:rsidR="00F13583" w:rsidRDefault="00F13583" w:rsidP="00F13583">
      <w:pPr>
        <w:widowControl w:val="0"/>
        <w:ind w:right="135"/>
        <w:jc w:val="center"/>
      </w:pPr>
    </w:p>
    <w:p w:rsidR="00F13583" w:rsidRDefault="00F13583" w:rsidP="00F13583">
      <w:pPr>
        <w:widowControl w:val="0"/>
        <w:ind w:right="135"/>
        <w:jc w:val="center"/>
      </w:pPr>
    </w:p>
    <w:p w:rsidR="00F13583" w:rsidRPr="002C3FCF" w:rsidRDefault="00F13583" w:rsidP="00F13583">
      <w:pPr>
        <w:ind w:right="135"/>
        <w:jc w:val="center"/>
        <w:rPr>
          <w:b/>
        </w:rPr>
      </w:pPr>
      <w:r>
        <w:rPr>
          <w:b/>
        </w:rPr>
        <w:t xml:space="preserve">POISONS STANDARD AMENDMENT </w:t>
      </w:r>
      <w:r w:rsidRPr="00766674">
        <w:rPr>
          <w:b/>
        </w:rPr>
        <w:t xml:space="preserve">No. </w:t>
      </w:r>
      <w:r w:rsidR="002C3FCF" w:rsidRPr="002C3FCF">
        <w:rPr>
          <w:b/>
        </w:rPr>
        <w:t>3</w:t>
      </w:r>
      <w:r w:rsidRPr="002C3FCF">
        <w:rPr>
          <w:b/>
        </w:rPr>
        <w:t xml:space="preserve"> OF 201</w:t>
      </w:r>
      <w:r w:rsidR="002C3FCF" w:rsidRPr="002C3FCF">
        <w:rPr>
          <w:b/>
        </w:rPr>
        <w:t>2</w:t>
      </w:r>
    </w:p>
    <w:p w:rsidR="00F13583" w:rsidRPr="002C3FCF" w:rsidRDefault="00F13583" w:rsidP="00F13583">
      <w:pPr>
        <w:ind w:right="135"/>
      </w:pPr>
    </w:p>
    <w:p w:rsidR="00F13583" w:rsidRPr="002C3FCF" w:rsidRDefault="00F13583" w:rsidP="00F13583">
      <w:pPr>
        <w:ind w:right="135"/>
      </w:pPr>
      <w:r w:rsidRPr="002C3FCF">
        <w:t xml:space="preserve">I, ANTHONY GILL, a delegate of the Secretary to the Department of Health and Ageing for the purposes of paragraph 52D(2)(a) of the </w:t>
      </w:r>
      <w:r w:rsidRPr="002C3FCF">
        <w:rPr>
          <w:i/>
        </w:rPr>
        <w:t>Therapeutic Goods Act 1989</w:t>
      </w:r>
      <w:r w:rsidRPr="002C3FCF">
        <w:t xml:space="preserve"> (the Act) and acting in accordance with the Secretary’s power under that paragraph of the Act, hereby amend the Poisons Standard 201</w:t>
      </w:r>
      <w:r w:rsidR="002C3FCF" w:rsidRPr="002C3FCF">
        <w:t>2</w:t>
      </w:r>
      <w:r w:rsidRPr="002C3FCF">
        <w:t xml:space="preserve"> in the manner set out in Schedule 1.</w:t>
      </w:r>
    </w:p>
    <w:p w:rsidR="00F13583" w:rsidRPr="002C3FCF" w:rsidRDefault="00F13583" w:rsidP="00F13583">
      <w:pPr>
        <w:ind w:right="135"/>
      </w:pPr>
    </w:p>
    <w:p w:rsidR="00F13583" w:rsidRPr="002C3FCF" w:rsidRDefault="00F13583" w:rsidP="00F13583">
      <w:pPr>
        <w:ind w:right="135"/>
      </w:pPr>
      <w:r w:rsidRPr="002C3FCF">
        <w:t>The amendment</w:t>
      </w:r>
      <w:r w:rsidR="00752BF8">
        <w:t>s</w:t>
      </w:r>
      <w:r w:rsidRPr="002C3FCF">
        <w:t xml:space="preserve"> to the Poisons Standard 201</w:t>
      </w:r>
      <w:r w:rsidR="002C3FCF" w:rsidRPr="002C3FCF">
        <w:t>2</w:t>
      </w:r>
      <w:r w:rsidRPr="002C3FCF">
        <w:t xml:space="preserve"> as set out in Schedule 1 commence</w:t>
      </w:r>
      <w:r w:rsidR="00B74574" w:rsidRPr="002C3FCF">
        <w:t xml:space="preserve"> on </w:t>
      </w:r>
      <w:r w:rsidR="002C3FCF">
        <w:t>1 September </w:t>
      </w:r>
      <w:r w:rsidR="002C3FCF" w:rsidRPr="002C3FCF">
        <w:t>2012</w:t>
      </w:r>
      <w:r w:rsidR="00D41671">
        <w:t>.</w:t>
      </w:r>
    </w:p>
    <w:p w:rsidR="00F13583" w:rsidRDefault="00F13583" w:rsidP="00F13583">
      <w:pPr>
        <w:ind w:right="135"/>
      </w:pPr>
    </w:p>
    <w:p w:rsidR="00F13583" w:rsidRDefault="00F13583" w:rsidP="00F13583">
      <w:pPr>
        <w:ind w:right="135"/>
      </w:pPr>
    </w:p>
    <w:p w:rsidR="00F13583" w:rsidRDefault="005D1768" w:rsidP="00F13583">
      <w:pPr>
        <w:ind w:right="135"/>
      </w:pPr>
      <w:r>
        <w:t>(</w:t>
      </w:r>
      <w:proofErr w:type="gramStart"/>
      <w:r>
        <w:t>signed</w:t>
      </w:r>
      <w:proofErr w:type="gramEnd"/>
      <w:r>
        <w:t xml:space="preserve"> by)</w:t>
      </w:r>
    </w:p>
    <w:p w:rsidR="00F13583" w:rsidRDefault="00F13583" w:rsidP="00F13583">
      <w:pPr>
        <w:ind w:right="135"/>
      </w:pPr>
    </w:p>
    <w:p w:rsidR="00F13583" w:rsidRDefault="00F13583" w:rsidP="00F13583">
      <w:pPr>
        <w:ind w:right="135"/>
      </w:pPr>
    </w:p>
    <w:p w:rsidR="00F13583" w:rsidRDefault="00F13583" w:rsidP="00F13583">
      <w:pPr>
        <w:ind w:right="135"/>
      </w:pPr>
      <w:r>
        <w:t>ANTHONY GILL</w:t>
      </w:r>
    </w:p>
    <w:p w:rsidR="00F13583" w:rsidRDefault="00F13583" w:rsidP="00F13583">
      <w:pPr>
        <w:ind w:right="135"/>
      </w:pPr>
      <w:r>
        <w:t>Delegate of the Secretary to the Department of Health and Ageing</w:t>
      </w:r>
    </w:p>
    <w:p w:rsidR="00F13583" w:rsidRDefault="00F13583" w:rsidP="00F13583">
      <w:pPr>
        <w:ind w:right="135"/>
      </w:pPr>
    </w:p>
    <w:p w:rsidR="00F13583" w:rsidRDefault="00F13583" w:rsidP="00F13583">
      <w:pPr>
        <w:ind w:right="135"/>
      </w:pPr>
    </w:p>
    <w:p w:rsidR="00F13583" w:rsidRDefault="00F13583" w:rsidP="00F13583">
      <w:pPr>
        <w:ind w:right="1273"/>
      </w:pPr>
      <w:r>
        <w:t xml:space="preserve">Dated </w:t>
      </w:r>
      <w:r w:rsidR="005D1768">
        <w:t>this 8</w:t>
      </w:r>
      <w:r w:rsidR="005D1768" w:rsidRPr="005D1768">
        <w:rPr>
          <w:vertAlign w:val="superscript"/>
        </w:rPr>
        <w:t>th</w:t>
      </w:r>
      <w:r w:rsidR="005D1768">
        <w:rPr>
          <w:vertAlign w:val="superscript"/>
        </w:rPr>
        <w:t xml:space="preserve"> </w:t>
      </w:r>
      <w:r w:rsidR="005D1768">
        <w:t>day</w:t>
      </w:r>
      <w:r>
        <w:t xml:space="preserve"> of </w:t>
      </w:r>
      <w:r w:rsidR="005D1768">
        <w:t>August</w:t>
      </w:r>
      <w:r>
        <w:t xml:space="preserve"> </w:t>
      </w:r>
      <w:r w:rsidRPr="002C3FCF">
        <w:t>201</w:t>
      </w:r>
      <w:r w:rsidR="002C3FCF" w:rsidRPr="002C3FCF">
        <w:t>2</w:t>
      </w:r>
    </w:p>
    <w:p w:rsidR="00F13583" w:rsidRDefault="00F13583" w:rsidP="00F13583">
      <w:pPr>
        <w:ind w:right="135"/>
      </w:pPr>
    </w:p>
    <w:p w:rsidR="00F13583" w:rsidRDefault="00F13583" w:rsidP="00752BF8">
      <w:pPr>
        <w:widowControl w:val="0"/>
        <w:jc w:val="center"/>
        <w:rPr>
          <w:b/>
          <w:snapToGrid w:val="0"/>
          <w:sz w:val="96"/>
          <w:szCs w:val="96"/>
          <w:lang w:eastAsia="en-US"/>
        </w:rPr>
      </w:pPr>
      <w:r>
        <w:rPr>
          <w:rFonts w:ascii="Courier New" w:hAnsi="Courier New" w:cs="Courier New"/>
          <w:snapToGrid w:val="0"/>
          <w:lang w:val="en-US" w:eastAsia="en-US"/>
        </w:rPr>
        <w:br w:type="page"/>
      </w:r>
      <w:r>
        <w:rPr>
          <w:b/>
          <w:snapToGrid w:val="0"/>
          <w:sz w:val="96"/>
          <w:szCs w:val="96"/>
          <w:lang w:eastAsia="en-US"/>
        </w:rPr>
        <w:lastRenderedPageBreak/>
        <w:t xml:space="preserve">Schedule 1-Amendment to the Poisons Standard </w:t>
      </w:r>
      <w:r w:rsidRPr="002C3FCF">
        <w:rPr>
          <w:b/>
          <w:snapToGrid w:val="0"/>
          <w:sz w:val="96"/>
          <w:szCs w:val="96"/>
          <w:lang w:eastAsia="en-US"/>
        </w:rPr>
        <w:t>201</w:t>
      </w:r>
      <w:r w:rsidR="002C3FCF" w:rsidRPr="002C3FCF">
        <w:rPr>
          <w:b/>
          <w:snapToGrid w:val="0"/>
          <w:sz w:val="96"/>
          <w:szCs w:val="96"/>
          <w:lang w:eastAsia="en-US"/>
        </w:rPr>
        <w:t>2</w:t>
      </w:r>
    </w:p>
    <w:p w:rsidR="00AF388F" w:rsidRDefault="00AF388F">
      <w:pPr>
        <w:widowControl w:val="0"/>
        <w:jc w:val="center"/>
        <w:rPr>
          <w:rFonts w:ascii="Courier New" w:hAnsi="Courier New" w:cs="Courier New"/>
          <w:snapToGrid w:val="0"/>
          <w:lang w:val="en-US" w:eastAsia="en-US"/>
        </w:rPr>
      </w:pPr>
    </w:p>
    <w:p w:rsidR="00AF388F" w:rsidRDefault="00AF388F">
      <w:pPr>
        <w:widowControl w:val="0"/>
        <w:jc w:val="center"/>
        <w:rPr>
          <w:snapToGrid w:val="0"/>
          <w:lang w:eastAsia="en-US"/>
        </w:rPr>
      </w:pPr>
    </w:p>
    <w:p w:rsidR="00752BF8" w:rsidRDefault="00752BF8">
      <w:pPr>
        <w:widowControl w:val="0"/>
        <w:jc w:val="center"/>
        <w:rPr>
          <w:snapToGrid w:val="0"/>
          <w:lang w:eastAsia="en-US"/>
        </w:rPr>
      </w:pPr>
    </w:p>
    <w:p w:rsidR="00752BF8" w:rsidRDefault="00752BF8">
      <w:pPr>
        <w:widowControl w:val="0"/>
        <w:jc w:val="center"/>
        <w:rPr>
          <w:snapToGrid w:val="0"/>
          <w:lang w:eastAsia="en-US"/>
        </w:rPr>
      </w:pPr>
    </w:p>
    <w:p w:rsidR="00752BF8" w:rsidRDefault="00752BF8">
      <w:pPr>
        <w:widowControl w:val="0"/>
        <w:jc w:val="center"/>
        <w:rPr>
          <w:snapToGrid w:val="0"/>
          <w:lang w:eastAsia="en-US"/>
        </w:rPr>
      </w:pPr>
    </w:p>
    <w:p w:rsidR="00AF388F" w:rsidRDefault="00AF388F">
      <w:pPr>
        <w:widowControl w:val="0"/>
        <w:jc w:val="center"/>
        <w:rPr>
          <w:snapToGrid w:val="0"/>
          <w:lang w:eastAsia="en-US"/>
        </w:rPr>
      </w:pPr>
    </w:p>
    <w:p w:rsidR="00AF388F" w:rsidRDefault="00AF388F">
      <w:pPr>
        <w:widowControl w:val="0"/>
        <w:jc w:val="center"/>
        <w:rPr>
          <w:snapToGrid w:val="0"/>
          <w:sz w:val="48"/>
          <w:szCs w:val="48"/>
          <w:lang w:eastAsia="en-US"/>
        </w:rPr>
      </w:pPr>
      <w:r>
        <w:rPr>
          <w:snapToGrid w:val="0"/>
          <w:sz w:val="48"/>
          <w:szCs w:val="48"/>
          <w:lang w:eastAsia="en-US"/>
        </w:rPr>
        <w:t xml:space="preserve">STANDARD </w:t>
      </w:r>
    </w:p>
    <w:p w:rsidR="00AF388F" w:rsidRDefault="00AF388F">
      <w:pPr>
        <w:widowControl w:val="0"/>
        <w:jc w:val="center"/>
        <w:rPr>
          <w:snapToGrid w:val="0"/>
          <w:sz w:val="48"/>
          <w:szCs w:val="48"/>
          <w:lang w:eastAsia="en-US"/>
        </w:rPr>
      </w:pPr>
      <w:r>
        <w:rPr>
          <w:snapToGrid w:val="0"/>
          <w:sz w:val="48"/>
          <w:szCs w:val="48"/>
          <w:lang w:eastAsia="en-US"/>
        </w:rPr>
        <w:t xml:space="preserve">FOR THE </w:t>
      </w:r>
    </w:p>
    <w:p w:rsidR="00AF388F" w:rsidRDefault="00AF388F">
      <w:pPr>
        <w:widowControl w:val="0"/>
        <w:jc w:val="center"/>
        <w:rPr>
          <w:snapToGrid w:val="0"/>
          <w:sz w:val="48"/>
          <w:szCs w:val="48"/>
          <w:lang w:eastAsia="en-US"/>
        </w:rPr>
      </w:pPr>
      <w:r>
        <w:rPr>
          <w:snapToGrid w:val="0"/>
          <w:sz w:val="48"/>
          <w:szCs w:val="48"/>
          <w:lang w:eastAsia="en-US"/>
        </w:rPr>
        <w:t>UNIFORM SCHEDULING</w:t>
      </w:r>
    </w:p>
    <w:p w:rsidR="00AF388F" w:rsidRDefault="00AF388F">
      <w:pPr>
        <w:widowControl w:val="0"/>
        <w:jc w:val="center"/>
        <w:rPr>
          <w:snapToGrid w:val="0"/>
          <w:sz w:val="48"/>
          <w:szCs w:val="48"/>
          <w:lang w:eastAsia="en-US"/>
        </w:rPr>
      </w:pPr>
      <w:r>
        <w:rPr>
          <w:snapToGrid w:val="0"/>
          <w:sz w:val="48"/>
          <w:szCs w:val="48"/>
          <w:lang w:eastAsia="en-US"/>
        </w:rPr>
        <w:t>OF</w:t>
      </w:r>
    </w:p>
    <w:p w:rsidR="00AF388F" w:rsidRDefault="00C314CF">
      <w:pPr>
        <w:widowControl w:val="0"/>
        <w:jc w:val="center"/>
        <w:rPr>
          <w:snapToGrid w:val="0"/>
          <w:sz w:val="48"/>
          <w:szCs w:val="48"/>
          <w:lang w:eastAsia="en-US"/>
        </w:rPr>
      </w:pPr>
      <w:r>
        <w:rPr>
          <w:snapToGrid w:val="0"/>
          <w:sz w:val="48"/>
          <w:szCs w:val="48"/>
          <w:lang w:eastAsia="en-US"/>
        </w:rPr>
        <w:t>MEDICINES</w:t>
      </w:r>
      <w:r w:rsidR="00AF388F">
        <w:rPr>
          <w:snapToGrid w:val="0"/>
          <w:sz w:val="48"/>
          <w:szCs w:val="48"/>
          <w:lang w:eastAsia="en-US"/>
        </w:rPr>
        <w:t xml:space="preserve"> AND POISONS</w:t>
      </w:r>
    </w:p>
    <w:p w:rsidR="00AF388F" w:rsidRDefault="00AF388F">
      <w:pPr>
        <w:widowControl w:val="0"/>
        <w:jc w:val="center"/>
        <w:rPr>
          <w:b/>
          <w:bCs/>
          <w:snapToGrid w:val="0"/>
          <w:sz w:val="48"/>
          <w:szCs w:val="48"/>
          <w:lang w:eastAsia="en-US"/>
        </w:rPr>
      </w:pPr>
    </w:p>
    <w:p w:rsidR="00AF388F" w:rsidRPr="00A66C1B" w:rsidRDefault="00361E34">
      <w:pPr>
        <w:widowControl w:val="0"/>
        <w:jc w:val="center"/>
        <w:rPr>
          <w:bCs/>
          <w:snapToGrid w:val="0"/>
          <w:sz w:val="48"/>
          <w:szCs w:val="48"/>
          <w:lang w:eastAsia="en-US"/>
        </w:rPr>
      </w:pPr>
      <w:r w:rsidRPr="00B17D10">
        <w:rPr>
          <w:bCs/>
          <w:snapToGrid w:val="0"/>
          <w:sz w:val="48"/>
          <w:szCs w:val="48"/>
          <w:lang w:eastAsia="en-US"/>
        </w:rPr>
        <w:t xml:space="preserve">No. </w:t>
      </w:r>
      <w:r w:rsidR="00A66C1B" w:rsidRPr="00A66C1B">
        <w:rPr>
          <w:bCs/>
          <w:snapToGrid w:val="0"/>
          <w:sz w:val="48"/>
          <w:szCs w:val="48"/>
          <w:lang w:eastAsia="en-US"/>
        </w:rPr>
        <w:t>3</w:t>
      </w:r>
    </w:p>
    <w:p w:rsidR="00AF388F" w:rsidRDefault="00AF388F">
      <w:pPr>
        <w:widowControl w:val="0"/>
        <w:jc w:val="center"/>
        <w:rPr>
          <w:bCs/>
          <w:snapToGrid w:val="0"/>
          <w:sz w:val="48"/>
          <w:szCs w:val="48"/>
          <w:lang w:eastAsia="en-US"/>
        </w:rPr>
      </w:pPr>
    </w:p>
    <w:p w:rsidR="00752BF8" w:rsidRPr="00A66C1B" w:rsidRDefault="00752BF8">
      <w:pPr>
        <w:widowControl w:val="0"/>
        <w:jc w:val="center"/>
        <w:rPr>
          <w:bCs/>
          <w:snapToGrid w:val="0"/>
          <w:sz w:val="48"/>
          <w:szCs w:val="48"/>
          <w:lang w:eastAsia="en-US"/>
        </w:rPr>
      </w:pPr>
    </w:p>
    <w:p w:rsidR="00AF388F" w:rsidRPr="00A66C1B" w:rsidRDefault="00361E34">
      <w:pPr>
        <w:widowControl w:val="0"/>
        <w:jc w:val="center"/>
        <w:rPr>
          <w:bCs/>
          <w:snapToGrid w:val="0"/>
          <w:sz w:val="36"/>
          <w:szCs w:val="36"/>
          <w:lang w:eastAsia="en-US"/>
        </w:rPr>
      </w:pPr>
      <w:r w:rsidRPr="00A66C1B">
        <w:rPr>
          <w:bCs/>
          <w:snapToGrid w:val="0"/>
          <w:sz w:val="36"/>
          <w:szCs w:val="36"/>
          <w:lang w:eastAsia="en-US"/>
        </w:rPr>
        <w:t xml:space="preserve">AMENDMENT No. </w:t>
      </w:r>
      <w:r w:rsidR="00A66C1B" w:rsidRPr="00A66C1B">
        <w:rPr>
          <w:bCs/>
          <w:snapToGrid w:val="0"/>
          <w:sz w:val="36"/>
          <w:szCs w:val="36"/>
          <w:lang w:eastAsia="en-US"/>
        </w:rPr>
        <w:t>2</w:t>
      </w:r>
    </w:p>
    <w:p w:rsidR="00AF388F" w:rsidRPr="00A66C1B" w:rsidRDefault="00AF388F">
      <w:pPr>
        <w:widowControl w:val="0"/>
        <w:jc w:val="center"/>
        <w:rPr>
          <w:b/>
          <w:bCs/>
          <w:snapToGrid w:val="0"/>
          <w:sz w:val="36"/>
          <w:szCs w:val="36"/>
          <w:lang w:eastAsia="en-US"/>
        </w:rPr>
      </w:pPr>
    </w:p>
    <w:p w:rsidR="00A40F9E" w:rsidRPr="00A66C1B" w:rsidRDefault="00A40F9E" w:rsidP="00A40F9E">
      <w:pPr>
        <w:widowControl w:val="0"/>
        <w:jc w:val="center"/>
        <w:rPr>
          <w:snapToGrid w:val="0"/>
          <w:sz w:val="28"/>
          <w:szCs w:val="28"/>
          <w:lang w:eastAsia="en-US"/>
        </w:rPr>
      </w:pPr>
      <w:r w:rsidRPr="00A66C1B">
        <w:rPr>
          <w:snapToGrid w:val="0"/>
          <w:sz w:val="28"/>
          <w:szCs w:val="28"/>
          <w:lang w:eastAsia="en-US"/>
        </w:rPr>
        <w:t>Effective Date –</w:t>
      </w:r>
      <w:r w:rsidR="00CC0A45" w:rsidRPr="00A66C1B">
        <w:rPr>
          <w:snapToGrid w:val="0"/>
          <w:sz w:val="28"/>
          <w:szCs w:val="28"/>
          <w:lang w:eastAsia="en-US"/>
        </w:rPr>
        <w:t xml:space="preserve"> </w:t>
      </w:r>
      <w:r w:rsidR="00A66C1B" w:rsidRPr="00A66C1B">
        <w:rPr>
          <w:snapToGrid w:val="0"/>
          <w:sz w:val="28"/>
          <w:szCs w:val="28"/>
          <w:lang w:eastAsia="en-US"/>
        </w:rPr>
        <w:t>1 September 2012</w:t>
      </w:r>
    </w:p>
    <w:p w:rsidR="00A40F9E" w:rsidRDefault="00A40F9E" w:rsidP="00DB75DF">
      <w:pPr>
        <w:widowControl w:val="0"/>
        <w:jc w:val="center"/>
        <w:rPr>
          <w:snapToGrid w:val="0"/>
          <w:sz w:val="28"/>
          <w:szCs w:val="28"/>
          <w:lang w:eastAsia="en-US"/>
        </w:rPr>
        <w:sectPr w:rsidR="00A40F9E">
          <w:pgSz w:w="12240" w:h="15840"/>
          <w:pgMar w:top="1440" w:right="1800" w:bottom="1440" w:left="1800" w:header="720" w:footer="720" w:gutter="0"/>
          <w:cols w:space="720"/>
        </w:sectPr>
      </w:pPr>
    </w:p>
    <w:p w:rsidR="00AF388F" w:rsidRPr="00A66C1B" w:rsidRDefault="00756C62">
      <w:pPr>
        <w:widowControl w:val="0"/>
        <w:rPr>
          <w:snapToGrid w:val="0"/>
          <w:sz w:val="22"/>
          <w:szCs w:val="22"/>
          <w:lang w:eastAsia="en-US"/>
        </w:rPr>
      </w:pPr>
      <w:r w:rsidRPr="00A66C1B">
        <w:rPr>
          <w:snapToGrid w:val="0"/>
          <w:sz w:val="22"/>
          <w:szCs w:val="22"/>
          <w:lang w:eastAsia="en-US"/>
        </w:rPr>
        <w:lastRenderedPageBreak/>
        <w:t>© Commonwealth of Australia 20</w:t>
      </w:r>
      <w:r w:rsidR="00C314CF" w:rsidRPr="00A66C1B">
        <w:rPr>
          <w:snapToGrid w:val="0"/>
          <w:sz w:val="22"/>
          <w:szCs w:val="22"/>
          <w:lang w:eastAsia="en-US"/>
        </w:rPr>
        <w:t>1</w:t>
      </w:r>
      <w:r w:rsidR="00980A0D">
        <w:rPr>
          <w:snapToGrid w:val="0"/>
          <w:sz w:val="22"/>
          <w:szCs w:val="22"/>
          <w:lang w:eastAsia="en-US"/>
        </w:rPr>
        <w:t>2</w:t>
      </w:r>
    </w:p>
    <w:p w:rsidR="00AF388F" w:rsidRPr="00A66C1B" w:rsidRDefault="00AF388F">
      <w:pPr>
        <w:widowControl w:val="0"/>
        <w:rPr>
          <w:snapToGrid w:val="0"/>
          <w:sz w:val="22"/>
          <w:szCs w:val="22"/>
          <w:lang w:eastAsia="en-US"/>
        </w:rPr>
      </w:pPr>
    </w:p>
    <w:p w:rsidR="00F13583" w:rsidRPr="00A66C1B" w:rsidRDefault="00F13583" w:rsidP="000B68DE">
      <w:pPr>
        <w:widowControl w:val="0"/>
        <w:rPr>
          <w:snapToGrid w:val="0"/>
          <w:sz w:val="22"/>
          <w:szCs w:val="22"/>
          <w:lang w:eastAsia="en-US"/>
        </w:rPr>
      </w:pPr>
      <w:r w:rsidRPr="00A66C1B">
        <w:rPr>
          <w:snapToGrid w:val="0"/>
          <w:sz w:val="22"/>
          <w:szCs w:val="22"/>
          <w:lang w:eastAsia="en-US"/>
        </w:rPr>
        <w:t>Online ISBN</w:t>
      </w:r>
      <w:r w:rsidR="000B68DE" w:rsidRPr="00A66C1B">
        <w:rPr>
          <w:snapToGrid w:val="0"/>
          <w:sz w:val="22"/>
          <w:szCs w:val="22"/>
          <w:lang w:eastAsia="en-US"/>
        </w:rPr>
        <w:t xml:space="preserve">: </w:t>
      </w:r>
      <w:r w:rsidRPr="00A66C1B">
        <w:rPr>
          <w:snapToGrid w:val="0"/>
          <w:sz w:val="22"/>
          <w:szCs w:val="22"/>
          <w:lang w:eastAsia="en-US"/>
        </w:rPr>
        <w:t xml:space="preserve"> </w:t>
      </w:r>
      <w:r w:rsidR="00A66C1B" w:rsidRPr="00A66C1B">
        <w:rPr>
          <w:snapToGrid w:val="0"/>
          <w:sz w:val="22"/>
          <w:szCs w:val="22"/>
          <w:lang w:eastAsia="en-US"/>
        </w:rPr>
        <w:t>978-1-74241-779-0</w:t>
      </w:r>
    </w:p>
    <w:p w:rsidR="000B68DE" w:rsidRPr="00A66C1B" w:rsidRDefault="000B68DE" w:rsidP="000B68DE">
      <w:pPr>
        <w:widowControl w:val="0"/>
        <w:rPr>
          <w:snapToGrid w:val="0"/>
          <w:sz w:val="22"/>
          <w:szCs w:val="22"/>
          <w:lang w:eastAsia="en-US"/>
        </w:rPr>
      </w:pPr>
    </w:p>
    <w:p w:rsidR="00A66C1B" w:rsidRPr="00A66C1B" w:rsidRDefault="00A66C1B" w:rsidP="00A66C1B">
      <w:pPr>
        <w:autoSpaceDE w:val="0"/>
        <w:autoSpaceDN w:val="0"/>
        <w:adjustRightInd w:val="0"/>
        <w:rPr>
          <w:snapToGrid w:val="0"/>
          <w:sz w:val="22"/>
          <w:szCs w:val="22"/>
          <w:lang w:eastAsia="en-US"/>
        </w:rPr>
      </w:pPr>
      <w:r w:rsidRPr="00A66C1B">
        <w:rPr>
          <w:snapToGrid w:val="0"/>
          <w:sz w:val="22"/>
          <w:szCs w:val="22"/>
          <w:lang w:eastAsia="en-US"/>
        </w:rPr>
        <w:t xml:space="preserve">This work is copyright. You may download, display, print and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752BF8">
        <w:rPr>
          <w:i/>
          <w:snapToGrid w:val="0"/>
          <w:sz w:val="22"/>
          <w:szCs w:val="22"/>
          <w:lang w:eastAsia="en-US"/>
        </w:rPr>
        <w:t>Copyright Act</w:t>
      </w:r>
      <w:r w:rsidRPr="00A66C1B">
        <w:rPr>
          <w:snapToGrid w:val="0"/>
          <w:sz w:val="22"/>
          <w:szCs w:val="22"/>
          <w:lang w:eastAsia="en-US"/>
        </w:rPr>
        <w:t xml:space="preserve"> 1968 or allowed by this copyright notice, all other rights are reserved and you are not allowed to reproduce the whole or any part of this work in any way (electronic or otherwise) without first being given the specific written permission from the Commonwealth to do so. Requests and inquiries concerning reproduction and rights are to be sent to the Online, Services and External Relations Branch, Department of Health and Ageing, GPO Box 9848, Canberra ACT 2601, or via e-mail to copyright@health.gov.au. </w:t>
      </w:r>
    </w:p>
    <w:p w:rsidR="00A66C1B" w:rsidRPr="00A66C1B" w:rsidRDefault="00A66C1B" w:rsidP="00A66C1B">
      <w:pPr>
        <w:autoSpaceDE w:val="0"/>
        <w:autoSpaceDN w:val="0"/>
        <w:adjustRightInd w:val="0"/>
        <w:rPr>
          <w:snapToGrid w:val="0"/>
          <w:sz w:val="22"/>
          <w:szCs w:val="22"/>
          <w:lang w:eastAsia="en-US"/>
        </w:rPr>
      </w:pPr>
    </w:p>
    <w:p w:rsidR="00A66C1B" w:rsidRPr="00A66C1B" w:rsidRDefault="00A66C1B" w:rsidP="00A66C1B">
      <w:pPr>
        <w:autoSpaceDE w:val="0"/>
        <w:autoSpaceDN w:val="0"/>
        <w:adjustRightInd w:val="0"/>
        <w:jc w:val="both"/>
        <w:rPr>
          <w:snapToGrid w:val="0"/>
          <w:sz w:val="22"/>
          <w:szCs w:val="22"/>
          <w:lang w:eastAsia="en-US"/>
        </w:rPr>
      </w:pPr>
    </w:p>
    <w:p w:rsidR="00F13583" w:rsidRPr="00A66C1B" w:rsidRDefault="00F13583" w:rsidP="00F13583">
      <w:pPr>
        <w:widowControl w:val="0"/>
        <w:rPr>
          <w:snapToGrid w:val="0"/>
          <w:sz w:val="22"/>
          <w:szCs w:val="22"/>
          <w:lang w:eastAsia="en-US"/>
        </w:rPr>
      </w:pPr>
      <w:proofErr w:type="gramStart"/>
      <w:r w:rsidRPr="00A66C1B">
        <w:rPr>
          <w:snapToGrid w:val="0"/>
          <w:sz w:val="22"/>
          <w:szCs w:val="22"/>
          <w:lang w:eastAsia="en-US"/>
        </w:rPr>
        <w:t xml:space="preserve">Published by the Australian Government under the </w:t>
      </w:r>
      <w:r w:rsidRPr="00752BF8">
        <w:rPr>
          <w:i/>
          <w:snapToGrid w:val="0"/>
          <w:sz w:val="22"/>
          <w:szCs w:val="22"/>
          <w:lang w:eastAsia="en-US"/>
        </w:rPr>
        <w:t>Therapeutic Goods Act 1989</w:t>
      </w:r>
      <w:r w:rsidRPr="00A66C1B">
        <w:rPr>
          <w:snapToGrid w:val="0"/>
          <w:sz w:val="22"/>
          <w:szCs w:val="22"/>
          <w:lang w:eastAsia="en-US"/>
        </w:rPr>
        <w:t>.</w:t>
      </w:r>
      <w:proofErr w:type="gramEnd"/>
    </w:p>
    <w:p w:rsidR="00F13583" w:rsidRPr="00A66C1B" w:rsidRDefault="00F13583" w:rsidP="00F13583">
      <w:pPr>
        <w:widowControl w:val="0"/>
        <w:rPr>
          <w:snapToGrid w:val="0"/>
          <w:sz w:val="22"/>
          <w:szCs w:val="22"/>
          <w:lang w:eastAsia="en-US"/>
        </w:rPr>
      </w:pPr>
    </w:p>
    <w:p w:rsidR="00F13583" w:rsidRPr="00A66C1B" w:rsidRDefault="00F13583" w:rsidP="00F13583">
      <w:pPr>
        <w:tabs>
          <w:tab w:val="clear" w:pos="1440"/>
        </w:tabs>
        <w:autoSpaceDE w:val="0"/>
        <w:autoSpaceDN w:val="0"/>
        <w:adjustRightInd w:val="0"/>
        <w:rPr>
          <w:snapToGrid w:val="0"/>
          <w:sz w:val="22"/>
          <w:szCs w:val="22"/>
          <w:lang w:eastAsia="en-US"/>
        </w:rPr>
      </w:pPr>
      <w:r w:rsidRPr="00A66C1B">
        <w:rPr>
          <w:snapToGrid w:val="0"/>
          <w:sz w:val="22"/>
          <w:szCs w:val="22"/>
          <w:lang w:eastAsia="en-US"/>
        </w:rPr>
        <w:t xml:space="preserve">Publication approval number: </w:t>
      </w:r>
      <w:r w:rsidR="00A66C1B" w:rsidRPr="00A66C1B">
        <w:rPr>
          <w:snapToGrid w:val="0"/>
          <w:sz w:val="22"/>
          <w:szCs w:val="22"/>
          <w:lang w:eastAsia="en-US"/>
        </w:rPr>
        <w:t>D0892</w:t>
      </w:r>
    </w:p>
    <w:p w:rsidR="00AF388F" w:rsidRPr="00A66C1B" w:rsidRDefault="00AF388F">
      <w:pPr>
        <w:widowControl w:val="0"/>
        <w:rPr>
          <w:snapToGrid w:val="0"/>
          <w:sz w:val="22"/>
          <w:szCs w:val="22"/>
          <w:lang w:eastAsia="en-US"/>
        </w:rPr>
      </w:pPr>
    </w:p>
    <w:p w:rsidR="00AF388F" w:rsidRPr="00A66C1B" w:rsidRDefault="00AF388F">
      <w:pPr>
        <w:widowControl w:val="0"/>
        <w:rPr>
          <w:snapToGrid w:val="0"/>
          <w:sz w:val="22"/>
          <w:szCs w:val="22"/>
          <w:lang w:eastAsia="en-US"/>
        </w:rPr>
      </w:pPr>
    </w:p>
    <w:p w:rsidR="00AF388F" w:rsidRPr="00A66C1B" w:rsidRDefault="00AF388F">
      <w:pPr>
        <w:widowControl w:val="0"/>
        <w:rPr>
          <w:snapToGrid w:val="0"/>
          <w:sz w:val="22"/>
          <w:szCs w:val="22"/>
          <w:lang w:eastAsia="en-US"/>
        </w:rPr>
      </w:pPr>
    </w:p>
    <w:p w:rsidR="00AF388F" w:rsidRPr="00A66C1B" w:rsidRDefault="00AF388F">
      <w:pPr>
        <w:widowControl w:val="0"/>
        <w:rPr>
          <w:snapToGrid w:val="0"/>
          <w:sz w:val="22"/>
          <w:szCs w:val="22"/>
          <w:lang w:eastAsia="en-US"/>
        </w:rPr>
      </w:pPr>
    </w:p>
    <w:p w:rsidR="00AF388F" w:rsidRPr="00A66C1B" w:rsidRDefault="00AF388F">
      <w:pPr>
        <w:widowControl w:val="0"/>
        <w:rPr>
          <w:snapToGrid w:val="0"/>
          <w:sz w:val="22"/>
          <w:szCs w:val="22"/>
          <w:lang w:eastAsia="en-US"/>
        </w:rPr>
      </w:pPr>
    </w:p>
    <w:p w:rsidR="00AF388F" w:rsidRPr="00A66C1B" w:rsidRDefault="00AF388F">
      <w:pPr>
        <w:widowControl w:val="0"/>
        <w:rPr>
          <w:snapToGrid w:val="0"/>
          <w:sz w:val="22"/>
          <w:szCs w:val="22"/>
          <w:lang w:eastAsia="en-US"/>
        </w:rPr>
      </w:pPr>
    </w:p>
    <w:p w:rsidR="00AF388F" w:rsidRPr="00A66C1B" w:rsidRDefault="00AF388F">
      <w:pPr>
        <w:widowControl w:val="0"/>
        <w:rPr>
          <w:snapToGrid w:val="0"/>
          <w:sz w:val="22"/>
          <w:szCs w:val="22"/>
          <w:lang w:eastAsia="en-US"/>
        </w:rPr>
      </w:pPr>
    </w:p>
    <w:p w:rsidR="00AF388F" w:rsidRPr="00A66C1B" w:rsidRDefault="00AF388F">
      <w:pPr>
        <w:widowControl w:val="0"/>
        <w:rPr>
          <w:rStyle w:val="Hyperlink"/>
          <w:sz w:val="22"/>
          <w:szCs w:val="22"/>
        </w:rPr>
      </w:pPr>
      <w:r w:rsidRPr="00A66C1B">
        <w:rPr>
          <w:snapToGrid w:val="0"/>
          <w:sz w:val="22"/>
          <w:szCs w:val="22"/>
          <w:lang w:eastAsia="en-US"/>
        </w:rPr>
        <w:t>The amendments listed in this docu</w:t>
      </w:r>
      <w:r w:rsidR="00F239CC" w:rsidRPr="00A66C1B">
        <w:rPr>
          <w:snapToGrid w:val="0"/>
          <w:sz w:val="22"/>
          <w:szCs w:val="22"/>
          <w:lang w:eastAsia="en-US"/>
        </w:rPr>
        <w:t xml:space="preserve">ment </w:t>
      </w:r>
      <w:r w:rsidR="00C314CF" w:rsidRPr="00A66C1B">
        <w:rPr>
          <w:snapToGrid w:val="0"/>
          <w:sz w:val="22"/>
          <w:szCs w:val="22"/>
          <w:lang w:eastAsia="en-US"/>
        </w:rPr>
        <w:t>are a result of decision</w:t>
      </w:r>
      <w:r w:rsidR="00955C2C" w:rsidRPr="00A66C1B">
        <w:rPr>
          <w:snapToGrid w:val="0"/>
          <w:sz w:val="22"/>
          <w:szCs w:val="22"/>
          <w:lang w:eastAsia="en-US"/>
        </w:rPr>
        <w:t xml:space="preserve">s made by </w:t>
      </w:r>
      <w:r w:rsidR="00752BF8">
        <w:rPr>
          <w:snapToGrid w:val="0"/>
          <w:sz w:val="22"/>
          <w:szCs w:val="22"/>
          <w:lang w:eastAsia="en-US"/>
        </w:rPr>
        <w:t>a</w:t>
      </w:r>
      <w:r w:rsidR="00ED1730">
        <w:rPr>
          <w:snapToGrid w:val="0"/>
          <w:sz w:val="22"/>
          <w:szCs w:val="22"/>
          <w:lang w:eastAsia="en-US"/>
        </w:rPr>
        <w:t xml:space="preserve"> delegate of </w:t>
      </w:r>
      <w:r w:rsidR="00955C2C" w:rsidRPr="00A66C1B">
        <w:rPr>
          <w:snapToGrid w:val="0"/>
          <w:sz w:val="22"/>
          <w:szCs w:val="22"/>
          <w:lang w:eastAsia="en-US"/>
        </w:rPr>
        <w:t>the Secretary of the D</w:t>
      </w:r>
      <w:r w:rsidR="00C314CF" w:rsidRPr="00A66C1B">
        <w:rPr>
          <w:snapToGrid w:val="0"/>
          <w:sz w:val="22"/>
          <w:szCs w:val="22"/>
          <w:lang w:eastAsia="en-US"/>
        </w:rPr>
        <w:t xml:space="preserve">epartment of Health and Ageing </w:t>
      </w:r>
      <w:r w:rsidR="005331BE" w:rsidRPr="00A66C1B">
        <w:rPr>
          <w:snapToGrid w:val="0"/>
          <w:sz w:val="22"/>
          <w:szCs w:val="22"/>
          <w:lang w:eastAsia="en-US"/>
        </w:rPr>
        <w:t xml:space="preserve">in </w:t>
      </w:r>
      <w:r w:rsidR="00A66C1B" w:rsidRPr="00A66C1B">
        <w:rPr>
          <w:snapToGrid w:val="0"/>
          <w:sz w:val="22"/>
          <w:szCs w:val="22"/>
          <w:lang w:eastAsia="en-US"/>
        </w:rPr>
        <w:t>May 2012</w:t>
      </w:r>
      <w:r w:rsidRPr="00A66C1B">
        <w:rPr>
          <w:snapToGrid w:val="0"/>
          <w:sz w:val="22"/>
          <w:szCs w:val="22"/>
          <w:lang w:eastAsia="en-US"/>
        </w:rPr>
        <w:t>.  The basis of these amendments can be found in the ‘Reasons</w:t>
      </w:r>
      <w:r w:rsidR="0072120A" w:rsidRPr="00A66C1B">
        <w:rPr>
          <w:snapToGrid w:val="0"/>
          <w:sz w:val="22"/>
          <w:szCs w:val="22"/>
          <w:lang w:eastAsia="en-US"/>
        </w:rPr>
        <w:t xml:space="preserve"> for scheduling delegate’s final decisions</w:t>
      </w:r>
      <w:r w:rsidRPr="00A66C1B">
        <w:rPr>
          <w:snapToGrid w:val="0"/>
          <w:sz w:val="22"/>
          <w:szCs w:val="22"/>
          <w:lang w:eastAsia="en-US"/>
        </w:rPr>
        <w:t xml:space="preserve">’, which can be accessed from the </w:t>
      </w:r>
      <w:r w:rsidR="00406F6F" w:rsidRPr="00A66C1B">
        <w:rPr>
          <w:snapToGrid w:val="0"/>
          <w:sz w:val="22"/>
          <w:szCs w:val="22"/>
          <w:lang w:eastAsia="en-US"/>
        </w:rPr>
        <w:t>TGA</w:t>
      </w:r>
      <w:r w:rsidR="0072120A" w:rsidRPr="00A66C1B">
        <w:rPr>
          <w:snapToGrid w:val="0"/>
          <w:sz w:val="22"/>
          <w:szCs w:val="22"/>
          <w:lang w:eastAsia="en-US"/>
        </w:rPr>
        <w:t xml:space="preserve"> website</w:t>
      </w:r>
      <w:r w:rsidR="00406F6F" w:rsidRPr="00A66C1B">
        <w:rPr>
          <w:snapToGrid w:val="0"/>
          <w:sz w:val="22"/>
          <w:szCs w:val="22"/>
          <w:lang w:eastAsia="en-US"/>
        </w:rPr>
        <w:t xml:space="preserve"> at </w:t>
      </w:r>
      <w:r w:rsidR="001C075E" w:rsidRPr="00A66C1B">
        <w:rPr>
          <w:rStyle w:val="Hyperlink"/>
          <w:sz w:val="22"/>
          <w:szCs w:val="22"/>
        </w:rPr>
        <w:t>www.tga.gov.au/</w:t>
      </w:r>
      <w:r w:rsidR="0072120A" w:rsidRPr="00A66C1B">
        <w:rPr>
          <w:rStyle w:val="Hyperlink"/>
          <w:sz w:val="22"/>
          <w:szCs w:val="22"/>
        </w:rPr>
        <w:t>industry</w:t>
      </w:r>
      <w:r w:rsidR="001C075E" w:rsidRPr="00A66C1B">
        <w:rPr>
          <w:rStyle w:val="Hyperlink"/>
          <w:sz w:val="22"/>
          <w:szCs w:val="22"/>
        </w:rPr>
        <w:t>/scheduling-decisions.htm</w:t>
      </w:r>
      <w:r w:rsidR="00406F6F" w:rsidRPr="00A66C1B">
        <w:rPr>
          <w:rStyle w:val="Hyperlink"/>
          <w:sz w:val="22"/>
          <w:szCs w:val="22"/>
        </w:rPr>
        <w:t>.</w:t>
      </w:r>
    </w:p>
    <w:p w:rsidR="00AF388F" w:rsidRPr="00A66C1B" w:rsidRDefault="00AF388F">
      <w:pPr>
        <w:widowControl w:val="0"/>
        <w:rPr>
          <w:snapToGrid w:val="0"/>
          <w:sz w:val="22"/>
          <w:szCs w:val="22"/>
          <w:lang w:eastAsia="en-US"/>
        </w:rPr>
      </w:pPr>
    </w:p>
    <w:p w:rsidR="00AF388F" w:rsidRPr="00A66C1B" w:rsidRDefault="00AF388F">
      <w:pPr>
        <w:widowControl w:val="0"/>
        <w:rPr>
          <w:snapToGrid w:val="0"/>
          <w:sz w:val="22"/>
          <w:szCs w:val="22"/>
          <w:lang w:eastAsia="en-US"/>
        </w:rPr>
      </w:pPr>
      <w:r w:rsidRPr="00A66C1B">
        <w:rPr>
          <w:snapToGrid w:val="0"/>
          <w:sz w:val="22"/>
          <w:szCs w:val="22"/>
          <w:lang w:eastAsia="en-US"/>
        </w:rPr>
        <w:t>Further inquiries should be directed to:</w:t>
      </w:r>
    </w:p>
    <w:p w:rsidR="00406F6F" w:rsidRPr="00A66C1B" w:rsidRDefault="00406F6F">
      <w:pPr>
        <w:widowControl w:val="0"/>
        <w:rPr>
          <w:snapToGrid w:val="0"/>
          <w:sz w:val="22"/>
          <w:szCs w:val="22"/>
          <w:lang w:eastAsia="en-US"/>
        </w:rPr>
      </w:pPr>
    </w:p>
    <w:p w:rsidR="00AF388F" w:rsidRPr="00A66C1B" w:rsidRDefault="00AF388F" w:rsidP="00406F6F">
      <w:pPr>
        <w:widowControl w:val="0"/>
        <w:ind w:left="567"/>
        <w:rPr>
          <w:snapToGrid w:val="0"/>
          <w:sz w:val="22"/>
          <w:szCs w:val="22"/>
          <w:lang w:eastAsia="en-US"/>
        </w:rPr>
      </w:pPr>
      <w:r w:rsidRPr="00A66C1B">
        <w:rPr>
          <w:snapToGrid w:val="0"/>
          <w:sz w:val="22"/>
          <w:szCs w:val="22"/>
          <w:lang w:eastAsia="en-US"/>
        </w:rPr>
        <w:t>The Secretary</w:t>
      </w:r>
    </w:p>
    <w:p w:rsidR="00AF388F" w:rsidRPr="00A66C1B" w:rsidRDefault="00C314CF" w:rsidP="00406F6F">
      <w:pPr>
        <w:widowControl w:val="0"/>
        <w:ind w:left="567"/>
        <w:rPr>
          <w:snapToGrid w:val="0"/>
          <w:sz w:val="22"/>
          <w:szCs w:val="22"/>
          <w:lang w:eastAsia="en-US"/>
        </w:rPr>
      </w:pPr>
      <w:r w:rsidRPr="00A66C1B">
        <w:rPr>
          <w:snapToGrid w:val="0"/>
          <w:sz w:val="22"/>
          <w:szCs w:val="22"/>
          <w:lang w:eastAsia="en-US"/>
        </w:rPr>
        <w:t>Medicines and Poisons Scheduling Secretariat</w:t>
      </w:r>
      <w:r w:rsidR="0072120A" w:rsidRPr="00A66C1B">
        <w:rPr>
          <w:snapToGrid w:val="0"/>
          <w:sz w:val="22"/>
          <w:szCs w:val="22"/>
          <w:lang w:eastAsia="en-US"/>
        </w:rPr>
        <w:t xml:space="preserve"> (MDP88)</w:t>
      </w:r>
    </w:p>
    <w:p w:rsidR="00955C2C" w:rsidRPr="00A66C1B" w:rsidRDefault="00955C2C" w:rsidP="00406F6F">
      <w:pPr>
        <w:widowControl w:val="0"/>
        <w:ind w:left="567"/>
        <w:rPr>
          <w:snapToGrid w:val="0"/>
          <w:sz w:val="22"/>
          <w:szCs w:val="22"/>
          <w:lang w:eastAsia="en-US"/>
        </w:rPr>
      </w:pPr>
      <w:r w:rsidRPr="00A66C1B">
        <w:rPr>
          <w:snapToGrid w:val="0"/>
          <w:sz w:val="22"/>
          <w:szCs w:val="22"/>
          <w:lang w:eastAsia="en-US"/>
        </w:rPr>
        <w:t>Office of Health Protection</w:t>
      </w:r>
    </w:p>
    <w:p w:rsidR="00955C2C" w:rsidRPr="00A66C1B" w:rsidRDefault="00955C2C" w:rsidP="00406F6F">
      <w:pPr>
        <w:widowControl w:val="0"/>
        <w:ind w:left="567"/>
        <w:rPr>
          <w:snapToGrid w:val="0"/>
          <w:sz w:val="22"/>
          <w:szCs w:val="22"/>
          <w:lang w:eastAsia="en-US"/>
        </w:rPr>
      </w:pPr>
      <w:r w:rsidRPr="00A66C1B">
        <w:rPr>
          <w:snapToGrid w:val="0"/>
          <w:sz w:val="22"/>
          <w:szCs w:val="22"/>
          <w:lang w:eastAsia="en-US"/>
        </w:rPr>
        <w:t>Department of Health and Ageing</w:t>
      </w:r>
    </w:p>
    <w:p w:rsidR="00AF388F" w:rsidRPr="00A66C1B" w:rsidRDefault="009C5459" w:rsidP="00406F6F">
      <w:pPr>
        <w:widowControl w:val="0"/>
        <w:ind w:left="567"/>
        <w:rPr>
          <w:snapToGrid w:val="0"/>
          <w:sz w:val="22"/>
          <w:szCs w:val="22"/>
          <w:lang w:eastAsia="en-US"/>
        </w:rPr>
      </w:pPr>
      <w:r w:rsidRPr="00A66C1B">
        <w:rPr>
          <w:snapToGrid w:val="0"/>
          <w:sz w:val="22"/>
          <w:szCs w:val="22"/>
          <w:lang w:eastAsia="en-US"/>
        </w:rPr>
        <w:t>GPO Box 9848</w:t>
      </w:r>
    </w:p>
    <w:p w:rsidR="00AF388F" w:rsidRPr="00A66C1B" w:rsidRDefault="009C5459" w:rsidP="00406F6F">
      <w:pPr>
        <w:widowControl w:val="0"/>
        <w:ind w:left="567"/>
        <w:rPr>
          <w:snapToGrid w:val="0"/>
          <w:sz w:val="22"/>
          <w:szCs w:val="22"/>
          <w:lang w:eastAsia="en-US"/>
        </w:rPr>
      </w:pPr>
      <w:proofErr w:type="gramStart"/>
      <w:r w:rsidRPr="00A66C1B">
        <w:rPr>
          <w:snapToGrid w:val="0"/>
          <w:sz w:val="22"/>
          <w:szCs w:val="22"/>
          <w:lang w:eastAsia="en-US"/>
        </w:rPr>
        <w:t>CANBERRA  ACT</w:t>
      </w:r>
      <w:proofErr w:type="gramEnd"/>
      <w:r w:rsidRPr="00A66C1B">
        <w:rPr>
          <w:snapToGrid w:val="0"/>
          <w:sz w:val="22"/>
          <w:szCs w:val="22"/>
          <w:lang w:eastAsia="en-US"/>
        </w:rPr>
        <w:t xml:space="preserve">  2601</w:t>
      </w:r>
    </w:p>
    <w:p w:rsidR="00AF388F" w:rsidRPr="00A66C1B" w:rsidRDefault="00AF388F" w:rsidP="00406F6F">
      <w:pPr>
        <w:widowControl w:val="0"/>
        <w:ind w:left="567"/>
        <w:rPr>
          <w:snapToGrid w:val="0"/>
          <w:sz w:val="22"/>
          <w:szCs w:val="22"/>
          <w:lang w:eastAsia="en-US"/>
        </w:rPr>
      </w:pPr>
    </w:p>
    <w:p w:rsidR="00AF388F" w:rsidRPr="00A66C1B" w:rsidRDefault="00406F6F" w:rsidP="00406F6F">
      <w:pPr>
        <w:widowControl w:val="0"/>
        <w:ind w:left="567"/>
        <w:rPr>
          <w:snapToGrid w:val="0"/>
          <w:sz w:val="22"/>
          <w:szCs w:val="22"/>
          <w:lang w:eastAsia="en-US"/>
        </w:rPr>
      </w:pPr>
      <w:bookmarkStart w:id="0" w:name="_Hlt12845988"/>
      <w:proofErr w:type="gramStart"/>
      <w:r w:rsidRPr="00A66C1B">
        <w:rPr>
          <w:snapToGrid w:val="0"/>
          <w:sz w:val="22"/>
          <w:szCs w:val="22"/>
          <w:lang w:eastAsia="en-US"/>
        </w:rPr>
        <w:t>o</w:t>
      </w:r>
      <w:r w:rsidR="00AF388F" w:rsidRPr="00A66C1B">
        <w:rPr>
          <w:snapToGrid w:val="0"/>
          <w:sz w:val="22"/>
          <w:szCs w:val="22"/>
          <w:lang w:eastAsia="en-US"/>
        </w:rPr>
        <w:t>r</w:t>
      </w:r>
      <w:proofErr w:type="gramEnd"/>
      <w:r w:rsidR="00AF388F" w:rsidRPr="00A66C1B">
        <w:rPr>
          <w:snapToGrid w:val="0"/>
          <w:sz w:val="22"/>
          <w:szCs w:val="22"/>
          <w:lang w:eastAsia="en-US"/>
        </w:rPr>
        <w:t xml:space="preserve"> by email:  </w:t>
      </w:r>
      <w:hyperlink r:id="rId9" w:history="1">
        <w:r w:rsidR="00C314CF" w:rsidRPr="00A66C1B">
          <w:rPr>
            <w:rStyle w:val="Hyperlink"/>
            <w:sz w:val="22"/>
            <w:szCs w:val="22"/>
          </w:rPr>
          <w:t>SMP@health.gov.au</w:t>
        </w:r>
      </w:hyperlink>
      <w:bookmarkEnd w:id="0"/>
    </w:p>
    <w:p w:rsidR="00AF388F" w:rsidRPr="00A66C1B" w:rsidRDefault="00AF388F">
      <w:pPr>
        <w:widowControl w:val="0"/>
        <w:rPr>
          <w:snapToGrid w:val="0"/>
          <w:sz w:val="22"/>
          <w:szCs w:val="22"/>
          <w:lang w:eastAsia="en-US"/>
        </w:rPr>
      </w:pPr>
    </w:p>
    <w:p w:rsidR="00AF388F" w:rsidRPr="00A66C1B" w:rsidRDefault="00AF388F">
      <w:pPr>
        <w:widowControl w:val="0"/>
        <w:rPr>
          <w:snapToGrid w:val="0"/>
          <w:sz w:val="22"/>
          <w:szCs w:val="22"/>
          <w:lang w:eastAsia="en-US"/>
        </w:rPr>
      </w:pPr>
      <w:r w:rsidRPr="00A66C1B">
        <w:rPr>
          <w:snapToGrid w:val="0"/>
          <w:sz w:val="22"/>
          <w:szCs w:val="22"/>
          <w:lang w:eastAsia="en-US"/>
        </w:rPr>
        <w:t>Media Liaison Unit</w:t>
      </w:r>
    </w:p>
    <w:p w:rsidR="00AF388F" w:rsidRDefault="00AF388F">
      <w:pPr>
        <w:widowControl w:val="0"/>
        <w:rPr>
          <w:snapToGrid w:val="0"/>
          <w:lang w:eastAsia="en-US"/>
        </w:rPr>
      </w:pPr>
      <w:r>
        <w:rPr>
          <w:snapToGrid w:val="0"/>
          <w:lang w:eastAsia="en-US"/>
        </w:rPr>
        <w:t>Australian Government Department of Health and Ageing</w:t>
      </w:r>
    </w:p>
    <w:p w:rsidR="006F589E" w:rsidRDefault="00766674" w:rsidP="006F589E">
      <w:pPr>
        <w:widowControl w:val="0"/>
        <w:rPr>
          <w:b/>
          <w:bCs/>
          <w:snapToGrid w:val="0"/>
          <w:sz w:val="32"/>
          <w:szCs w:val="32"/>
          <w:lang w:eastAsia="en-US"/>
        </w:rPr>
      </w:pPr>
      <w:r>
        <w:rPr>
          <w:snapToGrid w:val="0"/>
          <w:lang w:eastAsia="en-US"/>
        </w:rPr>
        <w:br w:type="page"/>
      </w:r>
    </w:p>
    <w:p w:rsidR="005A1F81" w:rsidRDefault="005A1F81" w:rsidP="005A1F81">
      <w:pPr>
        <w:widowControl w:val="0"/>
        <w:jc w:val="center"/>
        <w:rPr>
          <w:b/>
          <w:bCs/>
          <w:snapToGrid w:val="0"/>
          <w:sz w:val="32"/>
          <w:szCs w:val="32"/>
          <w:lang w:eastAsia="en-US"/>
        </w:rPr>
      </w:pPr>
      <w:r>
        <w:rPr>
          <w:b/>
          <w:bCs/>
          <w:snapToGrid w:val="0"/>
          <w:sz w:val="32"/>
          <w:szCs w:val="32"/>
          <w:lang w:eastAsia="en-US"/>
        </w:rPr>
        <w:t>TABLE OF CONTENTS</w:t>
      </w:r>
    </w:p>
    <w:p w:rsidR="005A1F81" w:rsidRDefault="005A1F81" w:rsidP="005A1F81">
      <w:pPr>
        <w:widowControl w:val="0"/>
        <w:jc w:val="center"/>
        <w:rPr>
          <w:b/>
          <w:bCs/>
          <w:snapToGrid w:val="0"/>
          <w:sz w:val="32"/>
          <w:szCs w:val="32"/>
          <w:lang w:eastAsia="en-US"/>
        </w:rPr>
      </w:pPr>
      <w:r>
        <w:rPr>
          <w:noProof/>
        </w:rPr>
        <w:pict>
          <v:line id="_x0000_s1030" style="position:absolute;left:0;text-align:left;z-index:251657728" from="3.6pt,10.4pt" to="428.4pt,10.4pt" o:allowincell="f" strokeweight="1.25pt"/>
        </w:pict>
      </w:r>
    </w:p>
    <w:p w:rsidR="006F589E" w:rsidRPr="00947C9D" w:rsidRDefault="005A1F81">
      <w:pPr>
        <w:pStyle w:val="TOC1"/>
        <w:tabs>
          <w:tab w:val="right" w:pos="8630"/>
        </w:tabs>
        <w:rPr>
          <w:rFonts w:ascii="Calibri" w:hAnsi="Calibri"/>
          <w:b w:val="0"/>
          <w:bCs w:val="0"/>
          <w:caps w:val="0"/>
          <w:noProof/>
          <w:sz w:val="22"/>
          <w:szCs w:val="22"/>
        </w:rPr>
      </w:pPr>
      <w:r>
        <w:rPr>
          <w:snapToGrid w:val="0"/>
          <w:lang w:eastAsia="en-US"/>
        </w:rPr>
        <w:fldChar w:fldCharType="begin"/>
      </w:r>
      <w:r>
        <w:rPr>
          <w:snapToGrid w:val="0"/>
          <w:lang w:eastAsia="en-US"/>
        </w:rPr>
        <w:instrText xml:space="preserve"> TOC \o "1-6" </w:instrText>
      </w:r>
      <w:r>
        <w:rPr>
          <w:snapToGrid w:val="0"/>
          <w:lang w:eastAsia="en-US"/>
        </w:rPr>
        <w:fldChar w:fldCharType="separate"/>
      </w:r>
      <w:r w:rsidR="006F589E">
        <w:rPr>
          <w:noProof/>
        </w:rPr>
        <w:t>Part 1 – INTERPRETATION</w:t>
      </w:r>
      <w:r w:rsidR="006F589E">
        <w:rPr>
          <w:noProof/>
        </w:rPr>
        <w:tab/>
      </w:r>
      <w:r w:rsidR="006F589E">
        <w:rPr>
          <w:noProof/>
        </w:rPr>
        <w:fldChar w:fldCharType="begin"/>
      </w:r>
      <w:r w:rsidR="006F589E">
        <w:rPr>
          <w:noProof/>
        </w:rPr>
        <w:instrText xml:space="preserve"> PAGEREF _Toc330287163 \h </w:instrText>
      </w:r>
      <w:r w:rsidR="006F589E">
        <w:rPr>
          <w:noProof/>
        </w:rPr>
      </w:r>
      <w:r w:rsidR="006F589E">
        <w:rPr>
          <w:noProof/>
        </w:rPr>
        <w:fldChar w:fldCharType="separate"/>
      </w:r>
      <w:r w:rsidR="00D41671">
        <w:rPr>
          <w:noProof/>
        </w:rPr>
        <w:t>1</w:t>
      </w:r>
      <w:r w:rsidR="006F589E">
        <w:rPr>
          <w:noProof/>
        </w:rPr>
        <w:fldChar w:fldCharType="end"/>
      </w:r>
    </w:p>
    <w:p w:rsidR="006F589E" w:rsidRPr="00947C9D" w:rsidRDefault="006F589E">
      <w:pPr>
        <w:pStyle w:val="TOC2"/>
        <w:tabs>
          <w:tab w:val="right" w:pos="8630"/>
        </w:tabs>
        <w:rPr>
          <w:rFonts w:ascii="Calibri" w:hAnsi="Calibri"/>
          <w:smallCaps w:val="0"/>
          <w:noProof/>
          <w:sz w:val="22"/>
          <w:szCs w:val="22"/>
        </w:rPr>
      </w:pPr>
      <w:r>
        <w:rPr>
          <w:noProof/>
        </w:rPr>
        <w:t>Subparagraph 1(1) – New Entry</w:t>
      </w:r>
      <w:r>
        <w:rPr>
          <w:noProof/>
        </w:rPr>
        <w:tab/>
      </w:r>
      <w:r>
        <w:rPr>
          <w:noProof/>
        </w:rPr>
        <w:fldChar w:fldCharType="begin"/>
      </w:r>
      <w:r>
        <w:rPr>
          <w:noProof/>
        </w:rPr>
        <w:instrText xml:space="preserve"> PAGEREF _Toc330287164 \h </w:instrText>
      </w:r>
      <w:r>
        <w:rPr>
          <w:noProof/>
        </w:rPr>
      </w:r>
      <w:r>
        <w:rPr>
          <w:noProof/>
        </w:rPr>
        <w:fldChar w:fldCharType="separate"/>
      </w:r>
      <w:r w:rsidR="00D41671">
        <w:rPr>
          <w:noProof/>
        </w:rPr>
        <w:t>1</w:t>
      </w:r>
      <w:r>
        <w:rPr>
          <w:noProof/>
        </w:rPr>
        <w:fldChar w:fldCharType="end"/>
      </w:r>
    </w:p>
    <w:p w:rsidR="006F589E" w:rsidRPr="00947C9D" w:rsidRDefault="006F589E">
      <w:pPr>
        <w:pStyle w:val="TOC1"/>
        <w:tabs>
          <w:tab w:val="right" w:pos="8630"/>
        </w:tabs>
        <w:rPr>
          <w:rFonts w:ascii="Calibri" w:hAnsi="Calibri"/>
          <w:b w:val="0"/>
          <w:bCs w:val="0"/>
          <w:caps w:val="0"/>
          <w:noProof/>
          <w:sz w:val="22"/>
          <w:szCs w:val="22"/>
        </w:rPr>
      </w:pPr>
      <w:r>
        <w:rPr>
          <w:noProof/>
        </w:rPr>
        <w:t>Part 4 – The Schedules</w:t>
      </w:r>
      <w:r>
        <w:rPr>
          <w:noProof/>
        </w:rPr>
        <w:tab/>
      </w:r>
      <w:r>
        <w:rPr>
          <w:noProof/>
        </w:rPr>
        <w:fldChar w:fldCharType="begin"/>
      </w:r>
      <w:r>
        <w:rPr>
          <w:noProof/>
        </w:rPr>
        <w:instrText xml:space="preserve"> PAGEREF _Toc330287165 \h </w:instrText>
      </w:r>
      <w:r>
        <w:rPr>
          <w:noProof/>
        </w:rPr>
      </w:r>
      <w:r>
        <w:rPr>
          <w:noProof/>
        </w:rPr>
        <w:fldChar w:fldCharType="separate"/>
      </w:r>
      <w:r w:rsidR="00D41671">
        <w:rPr>
          <w:noProof/>
        </w:rPr>
        <w:t>1</w:t>
      </w:r>
      <w:r>
        <w:rPr>
          <w:noProof/>
        </w:rPr>
        <w:fldChar w:fldCharType="end"/>
      </w:r>
    </w:p>
    <w:p w:rsidR="006F589E" w:rsidRPr="00947C9D" w:rsidRDefault="006F589E">
      <w:pPr>
        <w:pStyle w:val="TOC2"/>
        <w:tabs>
          <w:tab w:val="right" w:pos="8630"/>
        </w:tabs>
        <w:rPr>
          <w:rFonts w:ascii="Calibri" w:hAnsi="Calibri"/>
          <w:smallCaps w:val="0"/>
          <w:noProof/>
          <w:sz w:val="22"/>
          <w:szCs w:val="22"/>
        </w:rPr>
      </w:pPr>
      <w:r>
        <w:rPr>
          <w:noProof/>
        </w:rPr>
        <w:t>Schedule 2 – Amendments</w:t>
      </w:r>
      <w:r>
        <w:rPr>
          <w:noProof/>
        </w:rPr>
        <w:tab/>
      </w:r>
      <w:r>
        <w:rPr>
          <w:noProof/>
        </w:rPr>
        <w:fldChar w:fldCharType="begin"/>
      </w:r>
      <w:r>
        <w:rPr>
          <w:noProof/>
        </w:rPr>
        <w:instrText xml:space="preserve"> PAGEREF _Toc330287166 \h </w:instrText>
      </w:r>
      <w:r>
        <w:rPr>
          <w:noProof/>
        </w:rPr>
      </w:r>
      <w:r>
        <w:rPr>
          <w:noProof/>
        </w:rPr>
        <w:fldChar w:fldCharType="separate"/>
      </w:r>
      <w:r w:rsidR="00D41671">
        <w:rPr>
          <w:noProof/>
        </w:rPr>
        <w:t>1</w:t>
      </w:r>
      <w:r>
        <w:rPr>
          <w:noProof/>
        </w:rPr>
        <w:fldChar w:fldCharType="end"/>
      </w:r>
    </w:p>
    <w:p w:rsidR="006F589E" w:rsidRPr="00947C9D" w:rsidRDefault="006F589E">
      <w:pPr>
        <w:pStyle w:val="TOC2"/>
        <w:tabs>
          <w:tab w:val="right" w:pos="8630"/>
        </w:tabs>
        <w:rPr>
          <w:rFonts w:ascii="Calibri" w:hAnsi="Calibri"/>
          <w:smallCaps w:val="0"/>
          <w:noProof/>
          <w:sz w:val="22"/>
          <w:szCs w:val="22"/>
        </w:rPr>
      </w:pPr>
      <w:r>
        <w:rPr>
          <w:noProof/>
        </w:rPr>
        <w:t>Schedule 3 – Amendment</w:t>
      </w:r>
      <w:r>
        <w:rPr>
          <w:noProof/>
        </w:rPr>
        <w:tab/>
      </w:r>
      <w:r>
        <w:rPr>
          <w:noProof/>
        </w:rPr>
        <w:fldChar w:fldCharType="begin"/>
      </w:r>
      <w:r>
        <w:rPr>
          <w:noProof/>
        </w:rPr>
        <w:instrText xml:space="preserve"> PAGEREF _Toc330287167 \h </w:instrText>
      </w:r>
      <w:r>
        <w:rPr>
          <w:noProof/>
        </w:rPr>
      </w:r>
      <w:r>
        <w:rPr>
          <w:noProof/>
        </w:rPr>
        <w:fldChar w:fldCharType="separate"/>
      </w:r>
      <w:r w:rsidR="00D41671">
        <w:rPr>
          <w:noProof/>
        </w:rPr>
        <w:t>1</w:t>
      </w:r>
      <w:r>
        <w:rPr>
          <w:noProof/>
        </w:rPr>
        <w:fldChar w:fldCharType="end"/>
      </w:r>
    </w:p>
    <w:p w:rsidR="006F589E" w:rsidRPr="00947C9D" w:rsidRDefault="006F589E">
      <w:pPr>
        <w:pStyle w:val="TOC2"/>
        <w:tabs>
          <w:tab w:val="right" w:pos="8630"/>
        </w:tabs>
        <w:rPr>
          <w:rFonts w:ascii="Calibri" w:hAnsi="Calibri"/>
          <w:smallCaps w:val="0"/>
          <w:noProof/>
          <w:sz w:val="22"/>
          <w:szCs w:val="22"/>
        </w:rPr>
      </w:pPr>
      <w:r>
        <w:rPr>
          <w:noProof/>
        </w:rPr>
        <w:t>Schedule 4 – New Entries</w:t>
      </w:r>
      <w:r>
        <w:rPr>
          <w:noProof/>
        </w:rPr>
        <w:tab/>
      </w:r>
      <w:r>
        <w:rPr>
          <w:noProof/>
        </w:rPr>
        <w:fldChar w:fldCharType="begin"/>
      </w:r>
      <w:r>
        <w:rPr>
          <w:noProof/>
        </w:rPr>
        <w:instrText xml:space="preserve"> PAGEREF _Toc330287168 \h </w:instrText>
      </w:r>
      <w:r>
        <w:rPr>
          <w:noProof/>
        </w:rPr>
      </w:r>
      <w:r>
        <w:rPr>
          <w:noProof/>
        </w:rPr>
        <w:fldChar w:fldCharType="separate"/>
      </w:r>
      <w:r w:rsidR="00D41671">
        <w:rPr>
          <w:noProof/>
        </w:rPr>
        <w:t>1</w:t>
      </w:r>
      <w:r>
        <w:rPr>
          <w:noProof/>
        </w:rPr>
        <w:fldChar w:fldCharType="end"/>
      </w:r>
    </w:p>
    <w:p w:rsidR="006F589E" w:rsidRPr="00947C9D" w:rsidRDefault="006F589E">
      <w:pPr>
        <w:pStyle w:val="TOC2"/>
        <w:tabs>
          <w:tab w:val="right" w:pos="8630"/>
        </w:tabs>
        <w:rPr>
          <w:rFonts w:ascii="Calibri" w:hAnsi="Calibri"/>
          <w:smallCaps w:val="0"/>
          <w:noProof/>
          <w:sz w:val="22"/>
          <w:szCs w:val="22"/>
        </w:rPr>
      </w:pPr>
      <w:r>
        <w:rPr>
          <w:noProof/>
        </w:rPr>
        <w:t>Schedule 4 – Amendments</w:t>
      </w:r>
      <w:r>
        <w:rPr>
          <w:noProof/>
        </w:rPr>
        <w:tab/>
      </w:r>
      <w:r>
        <w:rPr>
          <w:noProof/>
        </w:rPr>
        <w:fldChar w:fldCharType="begin"/>
      </w:r>
      <w:r>
        <w:rPr>
          <w:noProof/>
        </w:rPr>
        <w:instrText xml:space="preserve"> PAGEREF _Toc330287169 \h </w:instrText>
      </w:r>
      <w:r>
        <w:rPr>
          <w:noProof/>
        </w:rPr>
      </w:r>
      <w:r>
        <w:rPr>
          <w:noProof/>
        </w:rPr>
        <w:fldChar w:fldCharType="separate"/>
      </w:r>
      <w:r w:rsidR="00D41671">
        <w:rPr>
          <w:noProof/>
        </w:rPr>
        <w:t>1</w:t>
      </w:r>
      <w:r>
        <w:rPr>
          <w:noProof/>
        </w:rPr>
        <w:fldChar w:fldCharType="end"/>
      </w:r>
    </w:p>
    <w:p w:rsidR="006F589E" w:rsidRPr="00947C9D" w:rsidRDefault="006F589E">
      <w:pPr>
        <w:pStyle w:val="TOC2"/>
        <w:tabs>
          <w:tab w:val="right" w:pos="8630"/>
        </w:tabs>
        <w:rPr>
          <w:rFonts w:ascii="Calibri" w:hAnsi="Calibri"/>
          <w:smallCaps w:val="0"/>
          <w:noProof/>
          <w:sz w:val="22"/>
          <w:szCs w:val="22"/>
        </w:rPr>
      </w:pPr>
      <w:r>
        <w:rPr>
          <w:noProof/>
        </w:rPr>
        <w:t>Schedule 5 – New Entries</w:t>
      </w:r>
      <w:r>
        <w:rPr>
          <w:noProof/>
        </w:rPr>
        <w:tab/>
      </w:r>
      <w:r>
        <w:rPr>
          <w:noProof/>
        </w:rPr>
        <w:fldChar w:fldCharType="begin"/>
      </w:r>
      <w:r>
        <w:rPr>
          <w:noProof/>
        </w:rPr>
        <w:instrText xml:space="preserve"> PAGEREF _Toc330287170 \h </w:instrText>
      </w:r>
      <w:r>
        <w:rPr>
          <w:noProof/>
        </w:rPr>
      </w:r>
      <w:r>
        <w:rPr>
          <w:noProof/>
        </w:rPr>
        <w:fldChar w:fldCharType="separate"/>
      </w:r>
      <w:r w:rsidR="00D41671">
        <w:rPr>
          <w:noProof/>
        </w:rPr>
        <w:t>2</w:t>
      </w:r>
      <w:r>
        <w:rPr>
          <w:noProof/>
        </w:rPr>
        <w:fldChar w:fldCharType="end"/>
      </w:r>
    </w:p>
    <w:p w:rsidR="006F589E" w:rsidRPr="00947C9D" w:rsidRDefault="006F589E">
      <w:pPr>
        <w:pStyle w:val="TOC2"/>
        <w:tabs>
          <w:tab w:val="right" w:pos="8630"/>
        </w:tabs>
        <w:rPr>
          <w:rFonts w:ascii="Calibri" w:hAnsi="Calibri"/>
          <w:smallCaps w:val="0"/>
          <w:noProof/>
          <w:sz w:val="22"/>
          <w:szCs w:val="22"/>
        </w:rPr>
      </w:pPr>
      <w:r>
        <w:rPr>
          <w:noProof/>
        </w:rPr>
        <w:t>Schedule 6 – New Entries</w:t>
      </w:r>
      <w:r>
        <w:rPr>
          <w:noProof/>
        </w:rPr>
        <w:tab/>
      </w:r>
      <w:r>
        <w:rPr>
          <w:noProof/>
        </w:rPr>
        <w:fldChar w:fldCharType="begin"/>
      </w:r>
      <w:r>
        <w:rPr>
          <w:noProof/>
        </w:rPr>
        <w:instrText xml:space="preserve"> PAGEREF _Toc330287171 \h </w:instrText>
      </w:r>
      <w:r>
        <w:rPr>
          <w:noProof/>
        </w:rPr>
      </w:r>
      <w:r>
        <w:rPr>
          <w:noProof/>
        </w:rPr>
        <w:fldChar w:fldCharType="separate"/>
      </w:r>
      <w:r w:rsidR="00D41671">
        <w:rPr>
          <w:noProof/>
        </w:rPr>
        <w:t>2</w:t>
      </w:r>
      <w:r>
        <w:rPr>
          <w:noProof/>
        </w:rPr>
        <w:fldChar w:fldCharType="end"/>
      </w:r>
    </w:p>
    <w:p w:rsidR="006F589E" w:rsidRPr="00947C9D" w:rsidRDefault="006F589E">
      <w:pPr>
        <w:pStyle w:val="TOC1"/>
        <w:tabs>
          <w:tab w:val="right" w:pos="8630"/>
        </w:tabs>
        <w:rPr>
          <w:rFonts w:ascii="Calibri" w:hAnsi="Calibri"/>
          <w:b w:val="0"/>
          <w:bCs w:val="0"/>
          <w:caps w:val="0"/>
          <w:noProof/>
          <w:sz w:val="22"/>
          <w:szCs w:val="22"/>
        </w:rPr>
      </w:pPr>
      <w:r>
        <w:rPr>
          <w:noProof/>
        </w:rPr>
        <w:t>PART 5 – appendices</w:t>
      </w:r>
      <w:r>
        <w:rPr>
          <w:noProof/>
        </w:rPr>
        <w:tab/>
      </w:r>
      <w:r>
        <w:rPr>
          <w:noProof/>
        </w:rPr>
        <w:fldChar w:fldCharType="begin"/>
      </w:r>
      <w:r>
        <w:rPr>
          <w:noProof/>
        </w:rPr>
        <w:instrText xml:space="preserve"> PAGEREF _Toc330287172 \h </w:instrText>
      </w:r>
      <w:r>
        <w:rPr>
          <w:noProof/>
        </w:rPr>
      </w:r>
      <w:r>
        <w:rPr>
          <w:noProof/>
        </w:rPr>
        <w:fldChar w:fldCharType="separate"/>
      </w:r>
      <w:r w:rsidR="00D41671">
        <w:rPr>
          <w:noProof/>
        </w:rPr>
        <w:t>2</w:t>
      </w:r>
      <w:r>
        <w:rPr>
          <w:noProof/>
        </w:rPr>
        <w:fldChar w:fldCharType="end"/>
      </w:r>
    </w:p>
    <w:p w:rsidR="006F589E" w:rsidRPr="00947C9D" w:rsidRDefault="006F589E">
      <w:pPr>
        <w:pStyle w:val="TOC2"/>
        <w:tabs>
          <w:tab w:val="right" w:pos="8630"/>
        </w:tabs>
        <w:rPr>
          <w:rFonts w:ascii="Calibri" w:hAnsi="Calibri"/>
          <w:smallCaps w:val="0"/>
          <w:noProof/>
          <w:sz w:val="22"/>
          <w:szCs w:val="22"/>
        </w:rPr>
      </w:pPr>
      <w:r>
        <w:rPr>
          <w:noProof/>
        </w:rPr>
        <w:t>Appendix B – New Entry</w:t>
      </w:r>
      <w:r>
        <w:rPr>
          <w:noProof/>
        </w:rPr>
        <w:tab/>
      </w:r>
      <w:r>
        <w:rPr>
          <w:noProof/>
        </w:rPr>
        <w:fldChar w:fldCharType="begin"/>
      </w:r>
      <w:r>
        <w:rPr>
          <w:noProof/>
        </w:rPr>
        <w:instrText xml:space="preserve"> PAGEREF _Toc330287173 \h </w:instrText>
      </w:r>
      <w:r>
        <w:rPr>
          <w:noProof/>
        </w:rPr>
      </w:r>
      <w:r>
        <w:rPr>
          <w:noProof/>
        </w:rPr>
        <w:fldChar w:fldCharType="separate"/>
      </w:r>
      <w:r w:rsidR="00D41671">
        <w:rPr>
          <w:noProof/>
        </w:rPr>
        <w:t>2</w:t>
      </w:r>
      <w:r>
        <w:rPr>
          <w:noProof/>
        </w:rPr>
        <w:fldChar w:fldCharType="end"/>
      </w:r>
    </w:p>
    <w:p w:rsidR="006F589E" w:rsidRPr="00947C9D" w:rsidRDefault="006F589E">
      <w:pPr>
        <w:pStyle w:val="TOC2"/>
        <w:tabs>
          <w:tab w:val="right" w:pos="8630"/>
        </w:tabs>
        <w:rPr>
          <w:rFonts w:ascii="Calibri" w:hAnsi="Calibri"/>
          <w:smallCaps w:val="0"/>
          <w:noProof/>
          <w:sz w:val="22"/>
          <w:szCs w:val="22"/>
        </w:rPr>
      </w:pPr>
      <w:r>
        <w:rPr>
          <w:noProof/>
        </w:rPr>
        <w:t>Appendix C – Amendments</w:t>
      </w:r>
      <w:r>
        <w:rPr>
          <w:noProof/>
        </w:rPr>
        <w:tab/>
      </w:r>
      <w:r>
        <w:rPr>
          <w:noProof/>
        </w:rPr>
        <w:fldChar w:fldCharType="begin"/>
      </w:r>
      <w:r>
        <w:rPr>
          <w:noProof/>
        </w:rPr>
        <w:instrText xml:space="preserve"> PAGEREF _Toc330287174 \h </w:instrText>
      </w:r>
      <w:r>
        <w:rPr>
          <w:noProof/>
        </w:rPr>
      </w:r>
      <w:r>
        <w:rPr>
          <w:noProof/>
        </w:rPr>
        <w:fldChar w:fldCharType="separate"/>
      </w:r>
      <w:r w:rsidR="00D41671">
        <w:rPr>
          <w:noProof/>
        </w:rPr>
        <w:t>2</w:t>
      </w:r>
      <w:r>
        <w:rPr>
          <w:noProof/>
        </w:rPr>
        <w:fldChar w:fldCharType="end"/>
      </w:r>
    </w:p>
    <w:p w:rsidR="005A1F81" w:rsidRDefault="005A1F81" w:rsidP="005A1F81">
      <w:pPr>
        <w:widowControl w:val="0"/>
        <w:rPr>
          <w:snapToGrid w:val="0"/>
          <w:lang w:eastAsia="en-US"/>
        </w:rPr>
      </w:pPr>
      <w:r>
        <w:rPr>
          <w:snapToGrid w:val="0"/>
          <w:lang w:eastAsia="en-US"/>
        </w:rPr>
        <w:fldChar w:fldCharType="end"/>
      </w:r>
    </w:p>
    <w:p w:rsidR="005A1F81" w:rsidRDefault="005A1F81" w:rsidP="005A1F81">
      <w:pPr>
        <w:widowControl w:val="0"/>
        <w:rPr>
          <w:snapToGrid w:val="0"/>
          <w:lang w:eastAsia="en-US"/>
        </w:rPr>
      </w:pPr>
    </w:p>
    <w:p w:rsidR="005A1F81" w:rsidRDefault="005A1F81" w:rsidP="005A1F81">
      <w:pPr>
        <w:widowControl w:val="0"/>
        <w:rPr>
          <w:b/>
          <w:bCs/>
          <w:snapToGrid w:val="0"/>
          <w:lang w:eastAsia="en-US"/>
        </w:rPr>
        <w:sectPr w:rsidR="005A1F81">
          <w:headerReference w:type="even" r:id="rId10"/>
          <w:headerReference w:type="default" r:id="rId11"/>
          <w:headerReference w:type="first" r:id="rId12"/>
          <w:pgSz w:w="12240" w:h="15840"/>
          <w:pgMar w:top="1440" w:right="1800" w:bottom="1440" w:left="1800" w:header="720" w:footer="720" w:gutter="0"/>
          <w:pgNumType w:fmt="lowerRoman" w:start="1"/>
          <w:cols w:space="720"/>
        </w:sectPr>
      </w:pPr>
    </w:p>
    <w:p w:rsidR="005A1F81" w:rsidRPr="006F589E" w:rsidRDefault="005A1F81" w:rsidP="006F589E">
      <w:pPr>
        <w:widowControl w:val="0"/>
        <w:spacing w:after="120"/>
        <w:rPr>
          <w:b/>
          <w:bCs/>
          <w:snapToGrid w:val="0"/>
          <w:sz w:val="22"/>
          <w:szCs w:val="22"/>
          <w:lang w:eastAsia="en-US"/>
        </w:rPr>
      </w:pPr>
      <w:r w:rsidRPr="006F589E">
        <w:rPr>
          <w:b/>
          <w:bCs/>
          <w:snapToGrid w:val="0"/>
          <w:sz w:val="22"/>
          <w:szCs w:val="22"/>
          <w:lang w:eastAsia="en-US"/>
        </w:rPr>
        <w:lastRenderedPageBreak/>
        <w:t>Amendments to the Standard for the Uniform Scheduling of Medicines and Poisons</w:t>
      </w:r>
    </w:p>
    <w:p w:rsidR="005A1F81" w:rsidRPr="006F589E" w:rsidRDefault="005A1F81" w:rsidP="006F589E">
      <w:pPr>
        <w:spacing w:after="120"/>
        <w:rPr>
          <w:snapToGrid w:val="0"/>
          <w:sz w:val="22"/>
          <w:szCs w:val="22"/>
          <w:lang w:eastAsia="en-US"/>
        </w:rPr>
      </w:pPr>
      <w:r w:rsidRPr="006F589E">
        <w:rPr>
          <w:snapToGrid w:val="0"/>
          <w:sz w:val="22"/>
          <w:szCs w:val="22"/>
          <w:lang w:eastAsia="en-US"/>
        </w:rPr>
        <w:t>The Secretary of the Department of Health and Ageing directs that the amendments below be applied to the Standard for the Uniform Scheduling of Medicines and Poisons No. 3 and recommends that these amendments be adopted by the States and Territories with effect f</w:t>
      </w:r>
      <w:r w:rsidR="006F589E">
        <w:rPr>
          <w:snapToGrid w:val="0"/>
          <w:sz w:val="22"/>
          <w:szCs w:val="22"/>
          <w:lang w:eastAsia="en-US"/>
        </w:rPr>
        <w:t>rom 1 </w:t>
      </w:r>
      <w:r w:rsidRPr="006F589E">
        <w:rPr>
          <w:snapToGrid w:val="0"/>
          <w:sz w:val="22"/>
          <w:szCs w:val="22"/>
          <w:lang w:eastAsia="en-US"/>
        </w:rPr>
        <w:t xml:space="preserve">September 2012.  </w:t>
      </w:r>
    </w:p>
    <w:p w:rsidR="005A1F81" w:rsidRPr="006F589E" w:rsidRDefault="005A1F81" w:rsidP="006F589E">
      <w:pPr>
        <w:pStyle w:val="Heading1"/>
        <w:spacing w:after="120"/>
        <w:rPr>
          <w:sz w:val="22"/>
          <w:szCs w:val="22"/>
        </w:rPr>
      </w:pPr>
      <w:bookmarkStart w:id="1" w:name="_Toc330287163"/>
      <w:r w:rsidRPr="006F589E">
        <w:rPr>
          <w:sz w:val="22"/>
          <w:szCs w:val="22"/>
        </w:rPr>
        <w:t>Part 1 – INTERPRETATION</w:t>
      </w:r>
      <w:bookmarkEnd w:id="1"/>
    </w:p>
    <w:p w:rsidR="005A1F81" w:rsidRPr="006F589E" w:rsidRDefault="005A1F81" w:rsidP="006F589E">
      <w:pPr>
        <w:pStyle w:val="Heading2"/>
        <w:spacing w:after="120"/>
        <w:rPr>
          <w:sz w:val="22"/>
          <w:szCs w:val="22"/>
        </w:rPr>
      </w:pPr>
      <w:bookmarkStart w:id="2" w:name="_Toc330287164"/>
      <w:r w:rsidRPr="006F589E">
        <w:rPr>
          <w:sz w:val="22"/>
          <w:szCs w:val="22"/>
        </w:rPr>
        <w:t>Subparagraph 1(1) – New Entry</w:t>
      </w:r>
      <w:bookmarkEnd w:id="2"/>
    </w:p>
    <w:p w:rsidR="005A1F81" w:rsidRPr="006F589E" w:rsidRDefault="005A1F81" w:rsidP="006F589E">
      <w:pPr>
        <w:pStyle w:val="BodyText"/>
        <w:numPr>
          <w:ilvl w:val="0"/>
          <w:numId w:val="0"/>
        </w:numPr>
        <w:ind w:left="567" w:hanging="567"/>
        <w:rPr>
          <w:sz w:val="22"/>
          <w:szCs w:val="22"/>
        </w:rPr>
      </w:pPr>
      <w:r w:rsidRPr="006F589E">
        <w:rPr>
          <w:b/>
          <w:sz w:val="22"/>
          <w:szCs w:val="22"/>
        </w:rPr>
        <w:t>“Free formaldehyde”</w:t>
      </w:r>
      <w:r w:rsidRPr="006F589E">
        <w:rPr>
          <w:sz w:val="22"/>
          <w:szCs w:val="22"/>
        </w:rPr>
        <w:t xml:space="preserve"> includes all hydrated and non-hydrated formaldehyde present in aqueous solution, including methylene glycol.</w:t>
      </w:r>
    </w:p>
    <w:p w:rsidR="005A1F81" w:rsidRPr="006F589E" w:rsidRDefault="005A1F81" w:rsidP="006F589E">
      <w:pPr>
        <w:pStyle w:val="Heading1"/>
        <w:spacing w:after="120"/>
        <w:rPr>
          <w:sz w:val="22"/>
          <w:szCs w:val="22"/>
        </w:rPr>
      </w:pPr>
      <w:bookmarkStart w:id="3" w:name="_Toc330287165"/>
      <w:r w:rsidRPr="006F589E">
        <w:rPr>
          <w:sz w:val="22"/>
          <w:szCs w:val="22"/>
        </w:rPr>
        <w:t>Part 4 – The Schedules</w:t>
      </w:r>
      <w:bookmarkEnd w:id="3"/>
    </w:p>
    <w:p w:rsidR="005A1F81" w:rsidRPr="006F589E" w:rsidRDefault="005A1F81" w:rsidP="006F589E">
      <w:pPr>
        <w:pStyle w:val="Heading2"/>
        <w:spacing w:after="120"/>
        <w:rPr>
          <w:sz w:val="22"/>
          <w:szCs w:val="22"/>
        </w:rPr>
      </w:pPr>
      <w:bookmarkStart w:id="4" w:name="_Toc143505177"/>
      <w:bookmarkStart w:id="5" w:name="_Toc330287166"/>
      <w:r w:rsidRPr="006F589E">
        <w:rPr>
          <w:sz w:val="22"/>
          <w:szCs w:val="22"/>
        </w:rPr>
        <w:t>Schedule 2 – Amendments</w:t>
      </w:r>
      <w:bookmarkEnd w:id="4"/>
      <w:bookmarkEnd w:id="5"/>
    </w:p>
    <w:p w:rsidR="005A1F81" w:rsidRPr="006F589E" w:rsidRDefault="005A1F81" w:rsidP="006F589E">
      <w:pPr>
        <w:spacing w:after="120"/>
        <w:rPr>
          <w:sz w:val="22"/>
          <w:szCs w:val="22"/>
        </w:rPr>
      </w:pPr>
      <w:r w:rsidRPr="006F589E">
        <w:rPr>
          <w:sz w:val="22"/>
          <w:szCs w:val="22"/>
        </w:rPr>
        <w:t>CICLOPIROX – Amend entry to read:</w:t>
      </w:r>
    </w:p>
    <w:p w:rsidR="005A1F81" w:rsidRPr="006F589E" w:rsidRDefault="005A1F81" w:rsidP="006F589E">
      <w:pPr>
        <w:pStyle w:val="ScheduleBody"/>
        <w:spacing w:after="120"/>
        <w:rPr>
          <w:rFonts w:ascii="Tms Rmn" w:hAnsi="Tms Rmn" w:cs="Tms Rmn"/>
          <w:sz w:val="22"/>
          <w:szCs w:val="22"/>
          <w:lang w:val="en-US" w:eastAsia="en-US"/>
        </w:rPr>
      </w:pPr>
      <w:r w:rsidRPr="006F589E">
        <w:rPr>
          <w:sz w:val="22"/>
          <w:szCs w:val="22"/>
          <w:lang w:val="en-US" w:eastAsia="en-US"/>
        </w:rPr>
        <w:t>CICLOPIROX:</w:t>
      </w:r>
      <w:r w:rsidRPr="006F589E">
        <w:rPr>
          <w:rFonts w:ascii="Tms Rmn" w:hAnsi="Tms Rmn" w:cs="Tms Rmn"/>
          <w:sz w:val="22"/>
          <w:szCs w:val="22"/>
          <w:lang w:val="en-US" w:eastAsia="en-US"/>
        </w:rPr>
        <w:t xml:space="preserve"> </w:t>
      </w:r>
    </w:p>
    <w:p w:rsidR="005A1F81" w:rsidRPr="006F589E" w:rsidRDefault="005A1F81" w:rsidP="006F589E">
      <w:pPr>
        <w:pStyle w:val="Schedulea"/>
        <w:numPr>
          <w:ilvl w:val="0"/>
          <w:numId w:val="44"/>
        </w:numPr>
        <w:spacing w:after="120"/>
        <w:ind w:left="1418" w:hanging="567"/>
        <w:rPr>
          <w:rFonts w:ascii="Tms Rmn" w:hAnsi="Tms Rmn" w:cs="Tms Rmn"/>
          <w:sz w:val="22"/>
          <w:szCs w:val="22"/>
          <w:lang w:val="en-US" w:eastAsia="en-US"/>
        </w:rPr>
      </w:pPr>
      <w:r w:rsidRPr="006F589E">
        <w:rPr>
          <w:sz w:val="22"/>
          <w:szCs w:val="22"/>
          <w:lang w:val="en-US" w:eastAsia="en-US"/>
        </w:rPr>
        <w:t>in preparations for dermal use containing 2 per cent or less of ciclopirox</w:t>
      </w:r>
      <w:r w:rsidRPr="006F589E">
        <w:rPr>
          <w:b/>
          <w:bCs/>
          <w:sz w:val="22"/>
          <w:szCs w:val="22"/>
          <w:lang w:val="en-US" w:eastAsia="en-US"/>
        </w:rPr>
        <w:t xml:space="preserve"> except</w:t>
      </w:r>
      <w:r w:rsidRPr="006F589E">
        <w:rPr>
          <w:sz w:val="22"/>
          <w:szCs w:val="22"/>
          <w:lang w:val="en-US" w:eastAsia="en-US"/>
        </w:rPr>
        <w:t xml:space="preserve"> in preparations for tinea pedis; or</w:t>
      </w:r>
      <w:r w:rsidRPr="006F589E">
        <w:rPr>
          <w:rFonts w:ascii="Tms Rmn" w:hAnsi="Tms Rmn" w:cs="Tms Rmn"/>
          <w:sz w:val="22"/>
          <w:szCs w:val="22"/>
          <w:lang w:val="en-US" w:eastAsia="en-US"/>
        </w:rPr>
        <w:t xml:space="preserve"> </w:t>
      </w:r>
    </w:p>
    <w:p w:rsidR="005A1F81" w:rsidRPr="006F589E" w:rsidRDefault="005A1F81" w:rsidP="006F589E">
      <w:pPr>
        <w:pStyle w:val="Schedulea"/>
        <w:rPr>
          <w:rFonts w:ascii="Tms Rmn" w:hAnsi="Tms Rmn" w:cs="Tms Rmn"/>
          <w:sz w:val="22"/>
          <w:szCs w:val="22"/>
          <w:lang w:val="en-US" w:eastAsia="en-US"/>
        </w:rPr>
      </w:pPr>
      <w:r w:rsidRPr="006F589E">
        <w:rPr>
          <w:sz w:val="22"/>
          <w:szCs w:val="22"/>
          <w:lang w:val="en-US" w:eastAsia="en-US"/>
        </w:rPr>
        <w:t>(b)</w:t>
      </w:r>
      <w:r w:rsidRPr="006F589E">
        <w:rPr>
          <w:sz w:val="22"/>
          <w:szCs w:val="22"/>
          <w:lang w:val="en-US" w:eastAsia="en-US"/>
        </w:rPr>
        <w:tab/>
      </w:r>
      <w:proofErr w:type="gramStart"/>
      <w:r w:rsidRPr="006F589E">
        <w:rPr>
          <w:sz w:val="22"/>
          <w:szCs w:val="22"/>
          <w:lang w:val="en-US" w:eastAsia="en-US"/>
        </w:rPr>
        <w:t>in</w:t>
      </w:r>
      <w:proofErr w:type="gramEnd"/>
      <w:r w:rsidRPr="006F589E">
        <w:rPr>
          <w:sz w:val="22"/>
          <w:szCs w:val="22"/>
          <w:lang w:val="en-US" w:eastAsia="en-US"/>
        </w:rPr>
        <w:t xml:space="preserve"> preparations for application to the nails containing 8 per cent or less of ciclopirox.</w:t>
      </w:r>
      <w:r w:rsidRPr="006F589E">
        <w:rPr>
          <w:rFonts w:ascii="Tms Rmn" w:hAnsi="Tms Rmn" w:cs="Tms Rmn"/>
          <w:sz w:val="22"/>
          <w:szCs w:val="22"/>
          <w:lang w:val="en-US" w:eastAsia="en-US"/>
        </w:rPr>
        <w:t xml:space="preserve"> </w:t>
      </w:r>
    </w:p>
    <w:p w:rsidR="005A1F81" w:rsidRPr="006F589E" w:rsidRDefault="005A1F81" w:rsidP="006F589E">
      <w:pPr>
        <w:spacing w:after="120"/>
        <w:rPr>
          <w:sz w:val="22"/>
          <w:szCs w:val="22"/>
        </w:rPr>
      </w:pPr>
      <w:r w:rsidRPr="006F589E">
        <w:rPr>
          <w:sz w:val="22"/>
          <w:szCs w:val="22"/>
        </w:rPr>
        <w:t>LORATADINE – Amendment to read:</w:t>
      </w:r>
    </w:p>
    <w:p w:rsidR="005A1F81" w:rsidRPr="006F589E" w:rsidRDefault="005A1F81" w:rsidP="006F589E">
      <w:pPr>
        <w:pStyle w:val="ScheduleBody"/>
        <w:spacing w:after="120"/>
        <w:rPr>
          <w:sz w:val="22"/>
          <w:szCs w:val="22"/>
        </w:rPr>
      </w:pPr>
      <w:r w:rsidRPr="006F589E">
        <w:rPr>
          <w:sz w:val="22"/>
          <w:szCs w:val="22"/>
        </w:rPr>
        <w:t xml:space="preserve">LORATADINE in solid dose preparations for oral use </w:t>
      </w:r>
      <w:r w:rsidRPr="006F589E">
        <w:rPr>
          <w:b/>
          <w:sz w:val="22"/>
          <w:szCs w:val="22"/>
        </w:rPr>
        <w:t>except</w:t>
      </w:r>
      <w:r w:rsidRPr="006F589E">
        <w:rPr>
          <w:sz w:val="22"/>
          <w:szCs w:val="22"/>
        </w:rPr>
        <w:t xml:space="preserve"> in preparations for the treatment of seasonal allergic rhinitis in adults and children 12 years of age and over when:</w:t>
      </w:r>
    </w:p>
    <w:p w:rsidR="005A1F81" w:rsidRPr="006F589E" w:rsidRDefault="005A1F81" w:rsidP="006F589E">
      <w:pPr>
        <w:pStyle w:val="Schedulea"/>
        <w:spacing w:after="120"/>
        <w:rPr>
          <w:sz w:val="22"/>
          <w:szCs w:val="22"/>
        </w:rPr>
      </w:pPr>
      <w:r w:rsidRPr="006F589E">
        <w:rPr>
          <w:sz w:val="22"/>
          <w:szCs w:val="22"/>
        </w:rPr>
        <w:t>(a)</w:t>
      </w:r>
      <w:r w:rsidRPr="006F589E">
        <w:rPr>
          <w:sz w:val="22"/>
          <w:szCs w:val="22"/>
        </w:rPr>
        <w:tab/>
      </w:r>
      <w:proofErr w:type="gramStart"/>
      <w:r w:rsidRPr="006F589E">
        <w:rPr>
          <w:sz w:val="22"/>
          <w:szCs w:val="22"/>
        </w:rPr>
        <w:t>in</w:t>
      </w:r>
      <w:proofErr w:type="gramEnd"/>
      <w:r w:rsidRPr="006F589E">
        <w:rPr>
          <w:sz w:val="22"/>
          <w:szCs w:val="22"/>
        </w:rPr>
        <w:t xml:space="preserve"> a primary pack containing 5 dosage units o</w:t>
      </w:r>
      <w:r w:rsidR="00FF3202">
        <w:rPr>
          <w:sz w:val="22"/>
          <w:szCs w:val="22"/>
        </w:rPr>
        <w:t>r</w:t>
      </w:r>
      <w:r w:rsidRPr="006F589E">
        <w:rPr>
          <w:sz w:val="22"/>
          <w:szCs w:val="22"/>
        </w:rPr>
        <w:t xml:space="preserve"> less; and</w:t>
      </w:r>
    </w:p>
    <w:p w:rsidR="005A1F81" w:rsidRPr="006F589E" w:rsidRDefault="005A1F81" w:rsidP="006F589E">
      <w:pPr>
        <w:pStyle w:val="Schedulea"/>
        <w:rPr>
          <w:sz w:val="22"/>
          <w:szCs w:val="22"/>
        </w:rPr>
      </w:pPr>
      <w:r w:rsidRPr="006F589E">
        <w:rPr>
          <w:sz w:val="22"/>
          <w:szCs w:val="22"/>
        </w:rPr>
        <w:t>(b)</w:t>
      </w:r>
      <w:r w:rsidRPr="006F589E">
        <w:rPr>
          <w:sz w:val="22"/>
          <w:szCs w:val="22"/>
        </w:rPr>
        <w:tab/>
      </w:r>
      <w:proofErr w:type="gramStart"/>
      <w:r w:rsidRPr="006F589E">
        <w:rPr>
          <w:sz w:val="22"/>
          <w:szCs w:val="22"/>
        </w:rPr>
        <w:t>labelled</w:t>
      </w:r>
      <w:proofErr w:type="gramEnd"/>
      <w:r w:rsidRPr="006F589E">
        <w:rPr>
          <w:sz w:val="22"/>
          <w:szCs w:val="22"/>
        </w:rPr>
        <w:t xml:space="preserve"> with a recommended daily dose not exceeding 10 mg of loratadine.</w:t>
      </w:r>
    </w:p>
    <w:p w:rsidR="005A1F81" w:rsidRPr="006F589E" w:rsidRDefault="005A1F81" w:rsidP="006F589E">
      <w:pPr>
        <w:pStyle w:val="Heading2"/>
        <w:spacing w:after="120"/>
        <w:rPr>
          <w:sz w:val="22"/>
          <w:szCs w:val="22"/>
        </w:rPr>
      </w:pPr>
      <w:bookmarkStart w:id="6" w:name="_Toc330287167"/>
      <w:r w:rsidRPr="006F589E">
        <w:rPr>
          <w:sz w:val="22"/>
          <w:szCs w:val="22"/>
        </w:rPr>
        <w:t>Schedule 3 – Amendment</w:t>
      </w:r>
      <w:bookmarkEnd w:id="6"/>
    </w:p>
    <w:p w:rsidR="005A1F81" w:rsidRPr="006F589E" w:rsidRDefault="005A1F81" w:rsidP="006F589E">
      <w:pPr>
        <w:pStyle w:val="ScheduleBody"/>
        <w:spacing w:after="120"/>
        <w:rPr>
          <w:sz w:val="22"/>
          <w:szCs w:val="22"/>
        </w:rPr>
      </w:pPr>
      <w:r w:rsidRPr="006F589E">
        <w:rPr>
          <w:sz w:val="22"/>
          <w:szCs w:val="22"/>
        </w:rPr>
        <w:t>ADRENALINE – Amend entry to read:</w:t>
      </w:r>
    </w:p>
    <w:p w:rsidR="005A1F81" w:rsidRPr="006F589E" w:rsidRDefault="005A1F81" w:rsidP="006F589E">
      <w:pPr>
        <w:pStyle w:val="ScheduleBody"/>
        <w:rPr>
          <w:sz w:val="22"/>
          <w:szCs w:val="22"/>
        </w:rPr>
      </w:pPr>
      <w:r w:rsidRPr="006F589E">
        <w:rPr>
          <w:sz w:val="22"/>
          <w:szCs w:val="22"/>
        </w:rPr>
        <w:t xml:space="preserve">ADRENALINE in preparations containing 1 per cent or less of adrenaline </w:t>
      </w:r>
      <w:r w:rsidRPr="006F589E">
        <w:rPr>
          <w:b/>
          <w:sz w:val="22"/>
          <w:szCs w:val="22"/>
        </w:rPr>
        <w:t>except</w:t>
      </w:r>
      <w:r w:rsidRPr="006F589E">
        <w:rPr>
          <w:sz w:val="22"/>
          <w:szCs w:val="22"/>
        </w:rPr>
        <w:t xml:space="preserve"> in preparations containing 0.02 per cent or less of adrenaline unless packed and labelled for injection.</w:t>
      </w:r>
    </w:p>
    <w:p w:rsidR="005A1F81" w:rsidRPr="006F589E" w:rsidRDefault="005A1F81" w:rsidP="006F589E">
      <w:pPr>
        <w:pStyle w:val="Heading2"/>
        <w:spacing w:after="120"/>
        <w:rPr>
          <w:sz w:val="22"/>
          <w:szCs w:val="22"/>
        </w:rPr>
      </w:pPr>
      <w:bookmarkStart w:id="7" w:name="_Toc143505180"/>
      <w:bookmarkStart w:id="8" w:name="_Toc330287168"/>
      <w:r w:rsidRPr="006F589E">
        <w:rPr>
          <w:sz w:val="22"/>
          <w:szCs w:val="22"/>
        </w:rPr>
        <w:t>Schedule 4 – New Entries</w:t>
      </w:r>
      <w:bookmarkEnd w:id="7"/>
      <w:bookmarkEnd w:id="8"/>
    </w:p>
    <w:p w:rsidR="005A1F81" w:rsidRPr="006F589E" w:rsidRDefault="005A1F81" w:rsidP="006F589E">
      <w:pPr>
        <w:spacing w:after="120"/>
        <w:rPr>
          <w:sz w:val="22"/>
          <w:szCs w:val="22"/>
        </w:rPr>
      </w:pPr>
      <w:proofErr w:type="gramStart"/>
      <w:r w:rsidRPr="006F589E">
        <w:rPr>
          <w:sz w:val="22"/>
          <w:szCs w:val="22"/>
        </w:rPr>
        <w:t>AXITINIB.</w:t>
      </w:r>
      <w:proofErr w:type="gramEnd"/>
    </w:p>
    <w:p w:rsidR="005A1F81" w:rsidRPr="006F589E" w:rsidRDefault="005A1F81" w:rsidP="006F589E">
      <w:pPr>
        <w:spacing w:after="120"/>
        <w:rPr>
          <w:sz w:val="22"/>
          <w:szCs w:val="22"/>
        </w:rPr>
      </w:pPr>
      <w:proofErr w:type="gramStart"/>
      <w:r w:rsidRPr="006F589E">
        <w:rPr>
          <w:sz w:val="22"/>
          <w:szCs w:val="22"/>
        </w:rPr>
        <w:t>COBICISTAT.</w:t>
      </w:r>
      <w:proofErr w:type="gramEnd"/>
    </w:p>
    <w:p w:rsidR="005A1F81" w:rsidRPr="006F589E" w:rsidRDefault="005A1F81" w:rsidP="006F589E">
      <w:pPr>
        <w:spacing w:after="240"/>
        <w:rPr>
          <w:sz w:val="22"/>
          <w:szCs w:val="22"/>
        </w:rPr>
      </w:pPr>
      <w:proofErr w:type="gramStart"/>
      <w:r w:rsidRPr="006F589E">
        <w:rPr>
          <w:sz w:val="22"/>
          <w:szCs w:val="22"/>
        </w:rPr>
        <w:t>ELVITEGRAVIR.</w:t>
      </w:r>
      <w:proofErr w:type="gramEnd"/>
    </w:p>
    <w:p w:rsidR="005A1F81" w:rsidRPr="006F589E" w:rsidRDefault="005A1F81" w:rsidP="006F589E">
      <w:pPr>
        <w:pStyle w:val="Heading2"/>
        <w:spacing w:after="120"/>
        <w:rPr>
          <w:sz w:val="22"/>
          <w:szCs w:val="22"/>
        </w:rPr>
      </w:pPr>
      <w:bookmarkStart w:id="9" w:name="_Toc143505181"/>
      <w:bookmarkStart w:id="10" w:name="_Toc330287169"/>
      <w:r w:rsidRPr="006F589E">
        <w:rPr>
          <w:sz w:val="22"/>
          <w:szCs w:val="22"/>
        </w:rPr>
        <w:t>Schedule 4 – Amendments</w:t>
      </w:r>
      <w:bookmarkEnd w:id="9"/>
      <w:bookmarkEnd w:id="10"/>
    </w:p>
    <w:p w:rsidR="005A1F81" w:rsidRPr="006F589E" w:rsidRDefault="005A1F81" w:rsidP="006F589E">
      <w:pPr>
        <w:pStyle w:val="ScheduleBody"/>
        <w:spacing w:after="120"/>
        <w:rPr>
          <w:sz w:val="22"/>
          <w:szCs w:val="22"/>
        </w:rPr>
      </w:pPr>
      <w:r w:rsidRPr="006F589E">
        <w:rPr>
          <w:sz w:val="22"/>
          <w:szCs w:val="22"/>
        </w:rPr>
        <w:t>ADRENALINE – Amend entry to read:</w:t>
      </w:r>
    </w:p>
    <w:p w:rsidR="005A1F81" w:rsidRPr="006F589E" w:rsidRDefault="005A1F81" w:rsidP="006F589E">
      <w:pPr>
        <w:pStyle w:val="ScheduleBody"/>
        <w:spacing w:after="120"/>
        <w:rPr>
          <w:sz w:val="22"/>
          <w:szCs w:val="22"/>
        </w:rPr>
      </w:pPr>
      <w:r w:rsidRPr="006F589E">
        <w:rPr>
          <w:sz w:val="22"/>
          <w:szCs w:val="22"/>
        </w:rPr>
        <w:t xml:space="preserve">ADRENALINE </w:t>
      </w:r>
      <w:r w:rsidRPr="006F589E">
        <w:rPr>
          <w:b/>
          <w:sz w:val="22"/>
          <w:szCs w:val="22"/>
        </w:rPr>
        <w:t>except</w:t>
      </w:r>
      <w:r w:rsidRPr="006F589E">
        <w:rPr>
          <w:sz w:val="22"/>
          <w:szCs w:val="22"/>
        </w:rPr>
        <w:t>:</w:t>
      </w:r>
    </w:p>
    <w:p w:rsidR="005A1F81" w:rsidRPr="006F589E" w:rsidRDefault="005A1F81" w:rsidP="006F589E">
      <w:pPr>
        <w:pStyle w:val="Schedulea"/>
        <w:numPr>
          <w:ilvl w:val="0"/>
          <w:numId w:val="45"/>
        </w:numPr>
        <w:spacing w:after="120"/>
        <w:rPr>
          <w:sz w:val="22"/>
          <w:szCs w:val="22"/>
        </w:rPr>
      </w:pPr>
      <w:r w:rsidRPr="006F589E">
        <w:rPr>
          <w:sz w:val="22"/>
          <w:szCs w:val="22"/>
        </w:rPr>
        <w:t>when included in Schedule 3; or</w:t>
      </w:r>
    </w:p>
    <w:p w:rsidR="005A1F81" w:rsidRPr="006F589E" w:rsidRDefault="005A1F81" w:rsidP="006F589E">
      <w:pPr>
        <w:pStyle w:val="Schedulea"/>
        <w:numPr>
          <w:ilvl w:val="0"/>
          <w:numId w:val="45"/>
        </w:numPr>
        <w:rPr>
          <w:sz w:val="22"/>
          <w:szCs w:val="22"/>
        </w:rPr>
      </w:pPr>
      <w:proofErr w:type="gramStart"/>
      <w:r w:rsidRPr="006F589E">
        <w:rPr>
          <w:sz w:val="22"/>
          <w:szCs w:val="22"/>
        </w:rPr>
        <w:lastRenderedPageBreak/>
        <w:t>in</w:t>
      </w:r>
      <w:proofErr w:type="gramEnd"/>
      <w:r w:rsidRPr="006F589E">
        <w:rPr>
          <w:sz w:val="22"/>
          <w:szCs w:val="22"/>
        </w:rPr>
        <w:t xml:space="preserve"> preparations containing 0.02 per cent or less of adrenaline unless packed and labelled for injection.</w:t>
      </w:r>
    </w:p>
    <w:p w:rsidR="005A1F81" w:rsidRPr="006F589E" w:rsidRDefault="005A1F81" w:rsidP="006F589E">
      <w:pPr>
        <w:spacing w:after="120"/>
        <w:rPr>
          <w:sz w:val="22"/>
          <w:szCs w:val="22"/>
        </w:rPr>
      </w:pPr>
      <w:r w:rsidRPr="006F589E">
        <w:rPr>
          <w:sz w:val="22"/>
          <w:szCs w:val="22"/>
        </w:rPr>
        <w:t>CICLOPIROX – Amend entry to read:</w:t>
      </w:r>
    </w:p>
    <w:p w:rsidR="005A1F81" w:rsidRPr="006F589E" w:rsidRDefault="005A1F81" w:rsidP="006F589E">
      <w:pPr>
        <w:pStyle w:val="ScheduleBody"/>
        <w:spacing w:after="120"/>
        <w:rPr>
          <w:sz w:val="22"/>
          <w:szCs w:val="22"/>
        </w:rPr>
      </w:pPr>
      <w:r w:rsidRPr="006F589E">
        <w:rPr>
          <w:sz w:val="22"/>
          <w:szCs w:val="22"/>
        </w:rPr>
        <w:t xml:space="preserve">CICLOPIROX </w:t>
      </w:r>
      <w:r w:rsidRPr="006F589E">
        <w:rPr>
          <w:b/>
          <w:sz w:val="22"/>
          <w:szCs w:val="22"/>
        </w:rPr>
        <w:t>except</w:t>
      </w:r>
      <w:r w:rsidRPr="006F589E">
        <w:rPr>
          <w:sz w:val="22"/>
          <w:szCs w:val="22"/>
        </w:rPr>
        <w:t>:</w:t>
      </w:r>
    </w:p>
    <w:p w:rsidR="005A1F81" w:rsidRPr="006F589E" w:rsidRDefault="005A1F81" w:rsidP="006F589E">
      <w:pPr>
        <w:pStyle w:val="Schedulea"/>
        <w:numPr>
          <w:ilvl w:val="0"/>
          <w:numId w:val="46"/>
        </w:numPr>
        <w:spacing w:after="120"/>
        <w:rPr>
          <w:sz w:val="22"/>
          <w:szCs w:val="22"/>
        </w:rPr>
      </w:pPr>
      <w:r w:rsidRPr="006F589E">
        <w:rPr>
          <w:sz w:val="22"/>
          <w:szCs w:val="22"/>
        </w:rPr>
        <w:t>when included in Schedule 2 or 3; or</w:t>
      </w:r>
    </w:p>
    <w:p w:rsidR="005A1F81" w:rsidRPr="006F589E" w:rsidRDefault="005A1F81" w:rsidP="006F589E">
      <w:pPr>
        <w:pStyle w:val="Schedulea"/>
        <w:numPr>
          <w:ilvl w:val="0"/>
          <w:numId w:val="46"/>
        </w:numPr>
        <w:rPr>
          <w:sz w:val="22"/>
          <w:szCs w:val="22"/>
        </w:rPr>
      </w:pPr>
      <w:proofErr w:type="gramStart"/>
      <w:r w:rsidRPr="006F589E">
        <w:rPr>
          <w:sz w:val="22"/>
          <w:szCs w:val="22"/>
        </w:rPr>
        <w:t>in</w:t>
      </w:r>
      <w:proofErr w:type="gramEnd"/>
      <w:r w:rsidRPr="006F589E">
        <w:rPr>
          <w:sz w:val="22"/>
          <w:szCs w:val="22"/>
        </w:rPr>
        <w:t xml:space="preserve"> preparations for the treatment of tinea pedis.</w:t>
      </w:r>
    </w:p>
    <w:p w:rsidR="005A1F81" w:rsidRPr="006F589E" w:rsidRDefault="005A1F81" w:rsidP="006F589E">
      <w:pPr>
        <w:spacing w:after="120"/>
        <w:rPr>
          <w:sz w:val="22"/>
          <w:szCs w:val="22"/>
        </w:rPr>
      </w:pPr>
      <w:r w:rsidRPr="006F589E">
        <w:rPr>
          <w:sz w:val="22"/>
          <w:szCs w:val="22"/>
        </w:rPr>
        <w:t>LORATADINE – Amend entry to read:</w:t>
      </w:r>
    </w:p>
    <w:p w:rsidR="005A1F81" w:rsidRPr="006F589E" w:rsidRDefault="005A1F81" w:rsidP="006F589E">
      <w:pPr>
        <w:pStyle w:val="schedbody"/>
        <w:spacing w:after="120"/>
        <w:rPr>
          <w:rFonts w:ascii="Times New Roman" w:hAnsi="Times New Roman"/>
          <w:sz w:val="22"/>
          <w:szCs w:val="22"/>
        </w:rPr>
      </w:pPr>
      <w:r w:rsidRPr="006F589E">
        <w:rPr>
          <w:rFonts w:ascii="Times New Roman" w:hAnsi="Times New Roman"/>
          <w:sz w:val="22"/>
          <w:szCs w:val="22"/>
        </w:rPr>
        <w:t xml:space="preserve">LORATADINE </w:t>
      </w:r>
      <w:r w:rsidRPr="006F589E">
        <w:rPr>
          <w:rFonts w:ascii="Times New Roman" w:hAnsi="Times New Roman"/>
          <w:b/>
          <w:sz w:val="22"/>
          <w:szCs w:val="22"/>
        </w:rPr>
        <w:t>except</w:t>
      </w:r>
      <w:r w:rsidRPr="006F589E">
        <w:rPr>
          <w:rFonts w:ascii="Times New Roman" w:hAnsi="Times New Roman"/>
          <w:sz w:val="22"/>
          <w:szCs w:val="22"/>
        </w:rPr>
        <w:t xml:space="preserve"> </w:t>
      </w:r>
    </w:p>
    <w:p w:rsidR="005A1F81" w:rsidRPr="006F589E" w:rsidRDefault="005A1F81" w:rsidP="006F589E">
      <w:pPr>
        <w:pStyle w:val="Schedulea"/>
        <w:spacing w:after="120"/>
        <w:rPr>
          <w:sz w:val="22"/>
          <w:szCs w:val="22"/>
        </w:rPr>
      </w:pPr>
      <w:r w:rsidRPr="006F589E">
        <w:rPr>
          <w:sz w:val="22"/>
          <w:szCs w:val="22"/>
        </w:rPr>
        <w:t>(a)</w:t>
      </w:r>
      <w:r w:rsidRPr="006F589E">
        <w:rPr>
          <w:sz w:val="22"/>
          <w:szCs w:val="22"/>
        </w:rPr>
        <w:tab/>
      </w:r>
      <w:proofErr w:type="gramStart"/>
      <w:r w:rsidRPr="006F589E">
        <w:rPr>
          <w:sz w:val="22"/>
          <w:szCs w:val="22"/>
        </w:rPr>
        <w:t>when</w:t>
      </w:r>
      <w:proofErr w:type="gramEnd"/>
      <w:r w:rsidRPr="006F589E">
        <w:rPr>
          <w:sz w:val="22"/>
          <w:szCs w:val="22"/>
        </w:rPr>
        <w:t xml:space="preserve"> included in Schedule 2; or</w:t>
      </w:r>
    </w:p>
    <w:p w:rsidR="005A1F81" w:rsidRPr="006F589E" w:rsidRDefault="005A1F81" w:rsidP="006F589E">
      <w:pPr>
        <w:pStyle w:val="Schedulea"/>
        <w:spacing w:after="120"/>
        <w:rPr>
          <w:sz w:val="22"/>
          <w:szCs w:val="22"/>
        </w:rPr>
      </w:pPr>
      <w:r w:rsidRPr="006F589E">
        <w:rPr>
          <w:sz w:val="22"/>
          <w:szCs w:val="22"/>
        </w:rPr>
        <w:t>(b)</w:t>
      </w:r>
      <w:r w:rsidRPr="006F589E">
        <w:rPr>
          <w:sz w:val="22"/>
          <w:szCs w:val="22"/>
        </w:rPr>
        <w:tab/>
      </w:r>
      <w:proofErr w:type="gramStart"/>
      <w:r w:rsidRPr="006F589E">
        <w:rPr>
          <w:sz w:val="22"/>
          <w:szCs w:val="22"/>
        </w:rPr>
        <w:t>in</w:t>
      </w:r>
      <w:proofErr w:type="gramEnd"/>
      <w:r w:rsidRPr="006F589E">
        <w:rPr>
          <w:sz w:val="22"/>
          <w:szCs w:val="22"/>
        </w:rPr>
        <w:t xml:space="preserve"> solid dose preparations for the treatment of seasonal allergic rhinitis in adults and children 12 years of age and over when:</w:t>
      </w:r>
    </w:p>
    <w:p w:rsidR="005A1F81" w:rsidRPr="006F589E" w:rsidRDefault="005A1F81" w:rsidP="006F589E">
      <w:pPr>
        <w:pStyle w:val="Schedulei"/>
        <w:numPr>
          <w:ilvl w:val="0"/>
          <w:numId w:val="47"/>
        </w:numPr>
        <w:tabs>
          <w:tab w:val="clear" w:pos="2268"/>
          <w:tab w:val="left" w:pos="2127"/>
        </w:tabs>
        <w:spacing w:after="120"/>
        <w:rPr>
          <w:sz w:val="22"/>
          <w:szCs w:val="22"/>
        </w:rPr>
      </w:pPr>
      <w:r w:rsidRPr="006F589E">
        <w:rPr>
          <w:sz w:val="22"/>
          <w:szCs w:val="22"/>
        </w:rPr>
        <w:t>in a primary pack containing 5 dosage units or less; and</w:t>
      </w:r>
    </w:p>
    <w:p w:rsidR="005A1F81" w:rsidRPr="006F589E" w:rsidRDefault="005A1F81" w:rsidP="006F589E">
      <w:pPr>
        <w:pStyle w:val="Schedulei"/>
        <w:tabs>
          <w:tab w:val="clear" w:pos="2268"/>
        </w:tabs>
        <w:ind w:left="2127" w:hanging="709"/>
        <w:rPr>
          <w:sz w:val="22"/>
          <w:szCs w:val="22"/>
        </w:rPr>
      </w:pPr>
      <w:r w:rsidRPr="006F589E">
        <w:rPr>
          <w:sz w:val="22"/>
          <w:szCs w:val="22"/>
        </w:rPr>
        <w:t>(ii)</w:t>
      </w:r>
      <w:r w:rsidRPr="006F589E">
        <w:rPr>
          <w:sz w:val="22"/>
          <w:szCs w:val="22"/>
        </w:rPr>
        <w:tab/>
      </w:r>
      <w:proofErr w:type="gramStart"/>
      <w:r w:rsidRPr="006F589E">
        <w:rPr>
          <w:sz w:val="22"/>
          <w:szCs w:val="22"/>
        </w:rPr>
        <w:t>labelled</w:t>
      </w:r>
      <w:proofErr w:type="gramEnd"/>
      <w:r w:rsidRPr="006F589E">
        <w:rPr>
          <w:sz w:val="22"/>
          <w:szCs w:val="22"/>
        </w:rPr>
        <w:t xml:space="preserve"> with a recommended daily dose not exceeding 10 mg of loratadine.</w:t>
      </w:r>
    </w:p>
    <w:p w:rsidR="005A1F81" w:rsidRPr="006F589E" w:rsidRDefault="005A1F81" w:rsidP="006F589E">
      <w:pPr>
        <w:pStyle w:val="Heading2"/>
        <w:spacing w:after="120"/>
        <w:rPr>
          <w:sz w:val="22"/>
          <w:szCs w:val="22"/>
        </w:rPr>
      </w:pPr>
      <w:bookmarkStart w:id="11" w:name="_Toc330287170"/>
      <w:r w:rsidRPr="006F589E">
        <w:rPr>
          <w:sz w:val="22"/>
          <w:szCs w:val="22"/>
        </w:rPr>
        <w:t>Schedule 5 – New Entries</w:t>
      </w:r>
      <w:bookmarkEnd w:id="11"/>
    </w:p>
    <w:p w:rsidR="005A1F81" w:rsidRPr="006F589E" w:rsidRDefault="005A1F81" w:rsidP="006F589E">
      <w:pPr>
        <w:pStyle w:val="ListBullet"/>
        <w:numPr>
          <w:ilvl w:val="0"/>
          <w:numId w:val="0"/>
        </w:numPr>
        <w:ind w:left="360" w:hanging="360"/>
        <w:rPr>
          <w:sz w:val="22"/>
          <w:szCs w:val="22"/>
        </w:rPr>
      </w:pPr>
      <w:r w:rsidRPr="006F589E">
        <w:rPr>
          <w:sz w:val="22"/>
          <w:szCs w:val="22"/>
        </w:rPr>
        <w:t>CYFLUFENAMID.</w:t>
      </w:r>
    </w:p>
    <w:p w:rsidR="005A1F81" w:rsidRPr="006F589E" w:rsidRDefault="005A1F81" w:rsidP="006F589E">
      <w:pPr>
        <w:pStyle w:val="ListBullet"/>
        <w:numPr>
          <w:ilvl w:val="0"/>
          <w:numId w:val="0"/>
        </w:numPr>
        <w:spacing w:after="240"/>
        <w:ind w:left="360" w:hanging="360"/>
        <w:rPr>
          <w:sz w:val="22"/>
          <w:szCs w:val="22"/>
        </w:rPr>
      </w:pPr>
      <w:r w:rsidRPr="006F589E">
        <w:rPr>
          <w:sz w:val="22"/>
          <w:szCs w:val="22"/>
        </w:rPr>
        <w:t>SEDAXANE.</w:t>
      </w:r>
    </w:p>
    <w:p w:rsidR="005A1F81" w:rsidRPr="006F589E" w:rsidRDefault="005A1F81" w:rsidP="006F589E">
      <w:pPr>
        <w:pStyle w:val="Heading2"/>
        <w:spacing w:after="120"/>
        <w:rPr>
          <w:sz w:val="22"/>
          <w:szCs w:val="22"/>
        </w:rPr>
      </w:pPr>
      <w:bookmarkStart w:id="12" w:name="_Toc143505183"/>
      <w:bookmarkStart w:id="13" w:name="_Toc330287171"/>
      <w:r w:rsidRPr="006F589E">
        <w:rPr>
          <w:sz w:val="22"/>
          <w:szCs w:val="22"/>
        </w:rPr>
        <w:t>Schedule 6 – New Entries</w:t>
      </w:r>
      <w:bookmarkEnd w:id="13"/>
    </w:p>
    <w:p w:rsidR="005A1F81" w:rsidRPr="006F589E" w:rsidRDefault="005A1F81" w:rsidP="006F589E">
      <w:pPr>
        <w:pStyle w:val="BodyText"/>
        <w:numPr>
          <w:ilvl w:val="0"/>
          <w:numId w:val="0"/>
        </w:numPr>
        <w:spacing w:after="120"/>
        <w:rPr>
          <w:sz w:val="22"/>
          <w:szCs w:val="22"/>
        </w:rPr>
      </w:pPr>
      <w:proofErr w:type="gramStart"/>
      <w:r w:rsidRPr="006F589E">
        <w:rPr>
          <w:sz w:val="22"/>
          <w:szCs w:val="22"/>
        </w:rPr>
        <w:t>FLONICAMID.</w:t>
      </w:r>
      <w:proofErr w:type="gramEnd"/>
    </w:p>
    <w:p w:rsidR="005A1F81" w:rsidRPr="006F589E" w:rsidRDefault="005A1F81" w:rsidP="006F589E">
      <w:pPr>
        <w:spacing w:after="240"/>
        <w:rPr>
          <w:sz w:val="22"/>
          <w:szCs w:val="22"/>
        </w:rPr>
      </w:pPr>
      <w:r w:rsidRPr="006F589E">
        <w:rPr>
          <w:sz w:val="22"/>
          <w:szCs w:val="22"/>
        </w:rPr>
        <w:t>ZINC BORATE (excluding its derivatives) for use as an agricultural chemical.</w:t>
      </w:r>
    </w:p>
    <w:p w:rsidR="005A1F81" w:rsidRPr="006F589E" w:rsidRDefault="005A1F81" w:rsidP="006F589E">
      <w:pPr>
        <w:pStyle w:val="Heading1"/>
        <w:spacing w:after="120"/>
        <w:rPr>
          <w:sz w:val="22"/>
          <w:szCs w:val="22"/>
        </w:rPr>
      </w:pPr>
      <w:bookmarkStart w:id="14" w:name="_Toc330287172"/>
      <w:bookmarkEnd w:id="12"/>
      <w:r w:rsidRPr="006F589E">
        <w:rPr>
          <w:sz w:val="22"/>
          <w:szCs w:val="22"/>
        </w:rPr>
        <w:t>PART 5 – appendices</w:t>
      </w:r>
      <w:bookmarkEnd w:id="14"/>
    </w:p>
    <w:p w:rsidR="005A1F81" w:rsidRPr="006F589E" w:rsidRDefault="005A1F81" w:rsidP="006F589E">
      <w:pPr>
        <w:pStyle w:val="Heading2"/>
        <w:spacing w:after="120"/>
        <w:rPr>
          <w:sz w:val="22"/>
          <w:szCs w:val="22"/>
        </w:rPr>
      </w:pPr>
      <w:bookmarkStart w:id="15" w:name="_Toc330287173"/>
      <w:r w:rsidRPr="006F589E">
        <w:rPr>
          <w:sz w:val="22"/>
          <w:szCs w:val="22"/>
        </w:rPr>
        <w:t>Appendix B – New Entry</w:t>
      </w:r>
      <w:bookmarkEnd w:id="15"/>
    </w:p>
    <w:p w:rsidR="005A1F81" w:rsidRPr="006F589E" w:rsidRDefault="006F589E" w:rsidP="006F589E">
      <w:pPr>
        <w:rPr>
          <w:b/>
          <w:sz w:val="22"/>
          <w:szCs w:val="22"/>
        </w:rPr>
      </w:pPr>
      <w:r w:rsidRPr="006F589E">
        <w:rPr>
          <w:b/>
          <w:sz w:val="22"/>
          <w:szCs w:val="22"/>
        </w:rPr>
        <w:t>Substance</w:t>
      </w:r>
      <w:r w:rsidRPr="006F589E">
        <w:rPr>
          <w:b/>
          <w:sz w:val="22"/>
          <w:szCs w:val="22"/>
        </w:rPr>
        <w:tab/>
      </w:r>
      <w:r w:rsidRPr="006F589E">
        <w:rPr>
          <w:b/>
          <w:sz w:val="22"/>
          <w:szCs w:val="22"/>
        </w:rPr>
        <w:tab/>
      </w:r>
      <w:r w:rsidRPr="006F589E">
        <w:rPr>
          <w:b/>
          <w:sz w:val="22"/>
          <w:szCs w:val="22"/>
        </w:rPr>
        <w:tab/>
        <w:t xml:space="preserve">Date </w:t>
      </w:r>
      <w:proofErr w:type="gramStart"/>
      <w:r w:rsidRPr="006F589E">
        <w:rPr>
          <w:b/>
          <w:sz w:val="22"/>
          <w:szCs w:val="22"/>
        </w:rPr>
        <w:t>Of</w:t>
      </w:r>
      <w:proofErr w:type="gramEnd"/>
      <w:r w:rsidRPr="006F589E">
        <w:rPr>
          <w:b/>
          <w:sz w:val="22"/>
          <w:szCs w:val="22"/>
        </w:rPr>
        <w:t xml:space="preserve"> </w:t>
      </w:r>
      <w:r w:rsidRPr="006F589E">
        <w:rPr>
          <w:b/>
          <w:sz w:val="22"/>
          <w:szCs w:val="22"/>
        </w:rPr>
        <w:tab/>
      </w:r>
      <w:r w:rsidRPr="006F589E">
        <w:rPr>
          <w:b/>
          <w:sz w:val="22"/>
          <w:szCs w:val="22"/>
        </w:rPr>
        <w:tab/>
        <w:t>Reason</w:t>
      </w:r>
      <w:r w:rsidRPr="006F589E">
        <w:rPr>
          <w:b/>
          <w:sz w:val="22"/>
          <w:szCs w:val="22"/>
        </w:rPr>
        <w:tab/>
      </w:r>
      <w:r w:rsidRPr="006F589E">
        <w:rPr>
          <w:b/>
          <w:sz w:val="22"/>
          <w:szCs w:val="22"/>
        </w:rPr>
        <w:tab/>
        <w:t>Area</w:t>
      </w:r>
    </w:p>
    <w:p w:rsidR="005A1F81" w:rsidRPr="006F589E" w:rsidRDefault="006F589E" w:rsidP="006F589E">
      <w:pPr>
        <w:rPr>
          <w:b/>
          <w:sz w:val="22"/>
          <w:szCs w:val="22"/>
        </w:rPr>
      </w:pPr>
      <w:r w:rsidRPr="006F589E">
        <w:rPr>
          <w:b/>
          <w:sz w:val="22"/>
          <w:szCs w:val="22"/>
        </w:rPr>
        <w:tab/>
      </w:r>
      <w:r w:rsidRPr="006F589E">
        <w:rPr>
          <w:b/>
          <w:sz w:val="22"/>
          <w:szCs w:val="22"/>
        </w:rPr>
        <w:tab/>
      </w:r>
      <w:r w:rsidRPr="006F589E">
        <w:rPr>
          <w:b/>
          <w:sz w:val="22"/>
          <w:szCs w:val="22"/>
        </w:rPr>
        <w:tab/>
      </w:r>
      <w:r>
        <w:rPr>
          <w:b/>
          <w:sz w:val="22"/>
          <w:szCs w:val="22"/>
        </w:rPr>
        <w:t>E</w:t>
      </w:r>
      <w:r w:rsidRPr="006F589E">
        <w:rPr>
          <w:b/>
          <w:sz w:val="22"/>
          <w:szCs w:val="22"/>
        </w:rPr>
        <w:t>ntry</w:t>
      </w:r>
      <w:r w:rsidRPr="006F589E">
        <w:rPr>
          <w:b/>
          <w:sz w:val="22"/>
          <w:szCs w:val="22"/>
        </w:rPr>
        <w:tab/>
      </w:r>
      <w:r>
        <w:rPr>
          <w:b/>
          <w:sz w:val="22"/>
          <w:szCs w:val="22"/>
        </w:rPr>
        <w:tab/>
      </w:r>
      <w:r w:rsidRPr="006F589E">
        <w:rPr>
          <w:b/>
          <w:sz w:val="22"/>
          <w:szCs w:val="22"/>
        </w:rPr>
        <w:tab/>
        <w:t>For</w:t>
      </w:r>
      <w:r w:rsidRPr="006F589E">
        <w:rPr>
          <w:b/>
          <w:sz w:val="22"/>
          <w:szCs w:val="22"/>
        </w:rPr>
        <w:tab/>
      </w:r>
      <w:r w:rsidRPr="006F589E">
        <w:rPr>
          <w:b/>
          <w:sz w:val="22"/>
          <w:szCs w:val="22"/>
        </w:rPr>
        <w:tab/>
        <w:t>Of</w:t>
      </w:r>
    </w:p>
    <w:p w:rsidR="005A1F81" w:rsidRPr="006F589E" w:rsidRDefault="006F589E" w:rsidP="006F589E">
      <w:pPr>
        <w:spacing w:after="120"/>
        <w:rPr>
          <w:b/>
          <w:sz w:val="22"/>
          <w:szCs w:val="22"/>
        </w:rPr>
      </w:pPr>
      <w:r w:rsidRPr="006F589E">
        <w:rPr>
          <w:b/>
          <w:sz w:val="22"/>
          <w:szCs w:val="22"/>
        </w:rPr>
        <w:tab/>
      </w:r>
      <w:r w:rsidRPr="006F589E">
        <w:rPr>
          <w:b/>
          <w:sz w:val="22"/>
          <w:szCs w:val="22"/>
        </w:rPr>
        <w:tab/>
      </w:r>
      <w:r w:rsidRPr="006F589E">
        <w:rPr>
          <w:b/>
          <w:sz w:val="22"/>
          <w:szCs w:val="22"/>
        </w:rPr>
        <w:tab/>
      </w:r>
      <w:r w:rsidRPr="006F589E">
        <w:rPr>
          <w:b/>
          <w:sz w:val="22"/>
          <w:szCs w:val="22"/>
        </w:rPr>
        <w:tab/>
      </w:r>
      <w:r w:rsidRPr="006F589E">
        <w:rPr>
          <w:b/>
          <w:sz w:val="22"/>
          <w:szCs w:val="22"/>
        </w:rPr>
        <w:tab/>
      </w:r>
      <w:r w:rsidRPr="006F589E">
        <w:rPr>
          <w:b/>
          <w:sz w:val="22"/>
          <w:szCs w:val="22"/>
        </w:rPr>
        <w:tab/>
        <w:t>Listing</w:t>
      </w:r>
      <w:r w:rsidRPr="006F589E">
        <w:rPr>
          <w:b/>
          <w:sz w:val="22"/>
          <w:szCs w:val="22"/>
        </w:rPr>
        <w:tab/>
      </w:r>
      <w:r w:rsidRPr="006F589E">
        <w:rPr>
          <w:b/>
          <w:sz w:val="22"/>
          <w:szCs w:val="22"/>
        </w:rPr>
        <w:tab/>
        <w:t>Use</w:t>
      </w:r>
    </w:p>
    <w:p w:rsidR="005A1F81" w:rsidRPr="006F589E" w:rsidRDefault="005A1F81" w:rsidP="006F589E">
      <w:pPr>
        <w:spacing w:after="240"/>
        <w:rPr>
          <w:sz w:val="22"/>
          <w:szCs w:val="22"/>
        </w:rPr>
      </w:pPr>
      <w:r w:rsidRPr="006F589E">
        <w:rPr>
          <w:sz w:val="22"/>
          <w:szCs w:val="22"/>
        </w:rPr>
        <w:t>BISTRIFLURON</w:t>
      </w:r>
      <w:r w:rsidRPr="006F589E">
        <w:rPr>
          <w:sz w:val="22"/>
          <w:szCs w:val="22"/>
        </w:rPr>
        <w:tab/>
      </w:r>
      <w:r w:rsidRPr="006F589E">
        <w:rPr>
          <w:sz w:val="22"/>
          <w:szCs w:val="22"/>
        </w:rPr>
        <w:tab/>
        <w:t>Sep 2012</w:t>
      </w:r>
      <w:r w:rsidRPr="006F589E">
        <w:rPr>
          <w:sz w:val="22"/>
          <w:szCs w:val="22"/>
        </w:rPr>
        <w:tab/>
      </w:r>
      <w:r w:rsidRPr="006F589E">
        <w:rPr>
          <w:sz w:val="22"/>
          <w:szCs w:val="22"/>
        </w:rPr>
        <w:tab/>
        <w:t>a</w:t>
      </w:r>
      <w:r w:rsidRPr="006F589E">
        <w:rPr>
          <w:sz w:val="22"/>
          <w:szCs w:val="22"/>
        </w:rPr>
        <w:tab/>
      </w:r>
      <w:r w:rsidRPr="006F589E">
        <w:rPr>
          <w:sz w:val="22"/>
          <w:szCs w:val="22"/>
        </w:rPr>
        <w:tab/>
        <w:t>1.1.2</w:t>
      </w:r>
    </w:p>
    <w:p w:rsidR="005A1F81" w:rsidRPr="006F589E" w:rsidRDefault="005A1F81" w:rsidP="006F589E">
      <w:pPr>
        <w:pStyle w:val="Heading2"/>
        <w:spacing w:after="120"/>
        <w:rPr>
          <w:sz w:val="22"/>
          <w:szCs w:val="22"/>
        </w:rPr>
      </w:pPr>
      <w:bookmarkStart w:id="16" w:name="_Toc330287174"/>
      <w:r w:rsidRPr="006F589E">
        <w:rPr>
          <w:sz w:val="22"/>
          <w:szCs w:val="22"/>
        </w:rPr>
        <w:t>Appendix C – Amendments</w:t>
      </w:r>
      <w:bookmarkEnd w:id="16"/>
    </w:p>
    <w:p w:rsidR="005A1F81" w:rsidRPr="006F589E" w:rsidRDefault="005A1F81" w:rsidP="006F589E">
      <w:pPr>
        <w:pStyle w:val="ScheduleBody"/>
        <w:spacing w:after="120"/>
        <w:rPr>
          <w:sz w:val="22"/>
          <w:szCs w:val="22"/>
        </w:rPr>
      </w:pPr>
      <w:r w:rsidRPr="006F589E">
        <w:rPr>
          <w:sz w:val="22"/>
          <w:szCs w:val="22"/>
        </w:rPr>
        <w:t>DIETHYLPHTHALATE – Amend entry to read:</w:t>
      </w:r>
    </w:p>
    <w:p w:rsidR="005A1F81" w:rsidRPr="006F589E" w:rsidRDefault="005A1F81" w:rsidP="006F589E">
      <w:pPr>
        <w:pStyle w:val="ScheduleBody"/>
        <w:rPr>
          <w:sz w:val="22"/>
          <w:szCs w:val="22"/>
        </w:rPr>
      </w:pPr>
      <w:proofErr w:type="gramStart"/>
      <w:r w:rsidRPr="006F589E">
        <w:rPr>
          <w:sz w:val="22"/>
          <w:szCs w:val="22"/>
        </w:rPr>
        <w:t xml:space="preserve">DIETHYLPHTHALATE in sunscreens, personal insect repellents or body lotion preparations for human use </w:t>
      </w:r>
      <w:r w:rsidRPr="006F589E">
        <w:rPr>
          <w:b/>
          <w:sz w:val="22"/>
          <w:szCs w:val="22"/>
        </w:rPr>
        <w:t>except</w:t>
      </w:r>
      <w:r w:rsidRPr="006F589E">
        <w:rPr>
          <w:sz w:val="22"/>
          <w:szCs w:val="22"/>
        </w:rPr>
        <w:t xml:space="preserve"> in preparations containing 0.5 per cent or less of diethylphthalate.</w:t>
      </w:r>
      <w:proofErr w:type="gramEnd"/>
    </w:p>
    <w:p w:rsidR="005A1F81" w:rsidRPr="006F589E" w:rsidRDefault="005A1F81" w:rsidP="006F589E">
      <w:pPr>
        <w:pStyle w:val="ScheduleBody"/>
        <w:spacing w:after="120"/>
        <w:rPr>
          <w:sz w:val="22"/>
          <w:szCs w:val="22"/>
        </w:rPr>
      </w:pPr>
      <w:r w:rsidRPr="006F589E">
        <w:rPr>
          <w:sz w:val="22"/>
          <w:szCs w:val="22"/>
        </w:rPr>
        <w:t>DIMETHYLPHTHALATE – Amend entry to read:</w:t>
      </w:r>
    </w:p>
    <w:p w:rsidR="00766674" w:rsidRPr="006F589E" w:rsidRDefault="005A1F81" w:rsidP="006F589E">
      <w:pPr>
        <w:pStyle w:val="ScheduleBody"/>
        <w:spacing w:after="120"/>
        <w:rPr>
          <w:sz w:val="22"/>
          <w:szCs w:val="22"/>
        </w:rPr>
      </w:pPr>
      <w:proofErr w:type="gramStart"/>
      <w:r w:rsidRPr="006F589E">
        <w:rPr>
          <w:sz w:val="22"/>
          <w:szCs w:val="22"/>
        </w:rPr>
        <w:t xml:space="preserve">DIMETHYLPHTHALATE in sunscreens, personal insect repellents or body lotion preparations for human use </w:t>
      </w:r>
      <w:r w:rsidRPr="006F589E">
        <w:rPr>
          <w:b/>
          <w:sz w:val="22"/>
          <w:szCs w:val="22"/>
        </w:rPr>
        <w:t>except</w:t>
      </w:r>
      <w:r w:rsidRPr="006F589E">
        <w:rPr>
          <w:sz w:val="22"/>
          <w:szCs w:val="22"/>
        </w:rPr>
        <w:t xml:space="preserve"> in preparations containing 0.5 per cent or less of dimethylphthalate.</w:t>
      </w:r>
      <w:proofErr w:type="gramEnd"/>
    </w:p>
    <w:p w:rsidR="009C4318" w:rsidRPr="006F589E" w:rsidRDefault="009C4318">
      <w:pPr>
        <w:pStyle w:val="ScheduleBody"/>
        <w:spacing w:after="120"/>
        <w:rPr>
          <w:sz w:val="22"/>
          <w:szCs w:val="22"/>
        </w:rPr>
      </w:pPr>
    </w:p>
    <w:sectPr w:rsidR="009C4318" w:rsidRPr="006F589E">
      <w:headerReference w:type="even" r:id="rId13"/>
      <w:headerReference w:type="default" r:id="rId14"/>
      <w:headerReference w:type="first" r:id="rId15"/>
      <w:pgSz w:w="12240" w:h="15840"/>
      <w:pgMar w:top="1440" w:right="1797" w:bottom="1440" w:left="1797"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390" w:rsidRDefault="00861390">
      <w:r>
        <w:separator/>
      </w:r>
    </w:p>
  </w:endnote>
  <w:endnote w:type="continuationSeparator" w:id="0">
    <w:p w:rsidR="00861390" w:rsidRDefault="008613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390" w:rsidRDefault="00861390">
      <w:r>
        <w:separator/>
      </w:r>
    </w:p>
  </w:footnote>
  <w:footnote w:type="continuationSeparator" w:id="0">
    <w:p w:rsidR="00861390" w:rsidRDefault="008613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B28" w:rsidRDefault="008C6B2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B28" w:rsidRDefault="008C6B28">
    <w:pPr>
      <w:pStyle w:val="Header"/>
      <w:jc w:val="center"/>
    </w:pPr>
    <w:r>
      <w:rPr>
        <w:rStyle w:val="PageNumber"/>
      </w:rPr>
      <w:fldChar w:fldCharType="begin"/>
    </w:r>
    <w:r>
      <w:rPr>
        <w:rStyle w:val="PageNumber"/>
      </w:rPr>
      <w:instrText xml:space="preserve"> PAGE </w:instrText>
    </w:r>
    <w:r>
      <w:rPr>
        <w:rStyle w:val="PageNumber"/>
      </w:rPr>
      <w:fldChar w:fldCharType="separate"/>
    </w:r>
    <w:r w:rsidR="0065305C">
      <w:rPr>
        <w:rStyle w:val="PageNumber"/>
        <w:noProof/>
      </w:rPr>
      <w:t>ii</w:t>
    </w:r>
    <w:r>
      <w:rPr>
        <w:rStyle w:val="PageNumb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B28" w:rsidRDefault="008C6B28">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B28" w:rsidRDefault="008C6B28">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B28" w:rsidRDefault="008C6B28">
    <w:pPr>
      <w:pStyle w:val="Header"/>
      <w:jc w:val="center"/>
    </w:pPr>
    <w:r>
      <w:rPr>
        <w:rStyle w:val="PageNumber"/>
      </w:rPr>
      <w:fldChar w:fldCharType="begin"/>
    </w:r>
    <w:r>
      <w:rPr>
        <w:rStyle w:val="PageNumber"/>
      </w:rPr>
      <w:instrText xml:space="preserve"> PAGE </w:instrText>
    </w:r>
    <w:r>
      <w:rPr>
        <w:rStyle w:val="PageNumber"/>
      </w:rPr>
      <w:fldChar w:fldCharType="separate"/>
    </w:r>
    <w:r w:rsidR="0065305C">
      <w:rPr>
        <w:rStyle w:val="PageNumber"/>
        <w:noProof/>
      </w:rPr>
      <w:t>2</w:t>
    </w:r>
    <w:r>
      <w:rPr>
        <w:rStyle w:val="PageNumber"/>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B28" w:rsidRDefault="008C6B2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550E45E"/>
    <w:lvl w:ilvl="0">
      <w:start w:val="1"/>
      <w:numFmt w:val="bullet"/>
      <w:lvlText w:val=""/>
      <w:lvlJc w:val="left"/>
      <w:pPr>
        <w:tabs>
          <w:tab w:val="num" w:pos="360"/>
        </w:tabs>
        <w:ind w:left="360" w:hanging="360"/>
      </w:pPr>
      <w:rPr>
        <w:rFonts w:ascii="Symbol" w:hAnsi="Symbol" w:cs="Symbol" w:hint="default"/>
      </w:rPr>
    </w:lvl>
  </w:abstractNum>
  <w:abstractNum w:abstractNumId="1">
    <w:nsid w:val="0E212767"/>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
    <w:nsid w:val="0F1A1756"/>
    <w:multiLevelType w:val="hybridMultilevel"/>
    <w:tmpl w:val="CA0846FA"/>
    <w:lvl w:ilvl="0" w:tplc="966C4230">
      <w:start w:val="1"/>
      <w:numFmt w:val="bullet"/>
      <w:lvlText w:val=""/>
      <w:lvlJc w:val="left"/>
      <w:pPr>
        <w:tabs>
          <w:tab w:val="num" w:pos="284"/>
        </w:tabs>
        <w:ind w:left="284" w:hanging="284"/>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3">
    <w:nsid w:val="12964190"/>
    <w:multiLevelType w:val="singleLevel"/>
    <w:tmpl w:val="7136C6BE"/>
    <w:lvl w:ilvl="0">
      <w:start w:val="1"/>
      <w:numFmt w:val="decimal"/>
      <w:lvlText w:val="%1."/>
      <w:lvlJc w:val="left"/>
      <w:pPr>
        <w:tabs>
          <w:tab w:val="num" w:pos="360"/>
        </w:tabs>
      </w:pPr>
    </w:lvl>
  </w:abstractNum>
  <w:abstractNum w:abstractNumId="4">
    <w:nsid w:val="168824C6"/>
    <w:multiLevelType w:val="singleLevel"/>
    <w:tmpl w:val="12C69794"/>
    <w:lvl w:ilvl="0">
      <w:start w:val="1"/>
      <w:numFmt w:val="lowerLetter"/>
      <w:lvlText w:val="(%1)"/>
      <w:lvlJc w:val="left"/>
      <w:pPr>
        <w:tabs>
          <w:tab w:val="num" w:pos="1415"/>
        </w:tabs>
        <w:ind w:left="1415" w:hanging="564"/>
      </w:pPr>
      <w:rPr>
        <w:rFonts w:hint="default"/>
      </w:rPr>
    </w:lvl>
  </w:abstractNum>
  <w:abstractNum w:abstractNumId="5">
    <w:nsid w:val="19FA3C86"/>
    <w:multiLevelType w:val="hybridMultilevel"/>
    <w:tmpl w:val="5B8EB594"/>
    <w:lvl w:ilvl="0" w:tplc="774AD642">
      <w:start w:val="1"/>
      <w:numFmt w:val="lowerLetter"/>
      <w:lvlText w:val="(%1)"/>
      <w:lvlJc w:val="left"/>
      <w:pPr>
        <w:tabs>
          <w:tab w:val="num" w:pos="1211"/>
        </w:tabs>
        <w:ind w:left="1211" w:hanging="360"/>
      </w:pPr>
      <w:rPr>
        <w:rFonts w:hint="default"/>
      </w:rPr>
    </w:lvl>
    <w:lvl w:ilvl="1" w:tplc="0C090019">
      <w:start w:val="1"/>
      <w:numFmt w:val="lowerLetter"/>
      <w:lvlText w:val="%2."/>
      <w:lvlJc w:val="left"/>
      <w:pPr>
        <w:tabs>
          <w:tab w:val="num" w:pos="1931"/>
        </w:tabs>
        <w:ind w:left="1931" w:hanging="360"/>
      </w:pPr>
    </w:lvl>
    <w:lvl w:ilvl="2" w:tplc="0C09001B">
      <w:start w:val="1"/>
      <w:numFmt w:val="lowerRoman"/>
      <w:lvlText w:val="%3."/>
      <w:lvlJc w:val="right"/>
      <w:pPr>
        <w:tabs>
          <w:tab w:val="num" w:pos="2651"/>
        </w:tabs>
        <w:ind w:left="2651" w:hanging="180"/>
      </w:pPr>
    </w:lvl>
    <w:lvl w:ilvl="3" w:tplc="0C09000F">
      <w:start w:val="1"/>
      <w:numFmt w:val="decimal"/>
      <w:lvlText w:val="%4."/>
      <w:lvlJc w:val="left"/>
      <w:pPr>
        <w:tabs>
          <w:tab w:val="num" w:pos="3371"/>
        </w:tabs>
        <w:ind w:left="3371" w:hanging="360"/>
      </w:pPr>
    </w:lvl>
    <w:lvl w:ilvl="4" w:tplc="0C090019">
      <w:start w:val="1"/>
      <w:numFmt w:val="lowerLetter"/>
      <w:lvlText w:val="%5."/>
      <w:lvlJc w:val="left"/>
      <w:pPr>
        <w:tabs>
          <w:tab w:val="num" w:pos="4091"/>
        </w:tabs>
        <w:ind w:left="4091" w:hanging="360"/>
      </w:pPr>
    </w:lvl>
    <w:lvl w:ilvl="5" w:tplc="0C09001B">
      <w:start w:val="1"/>
      <w:numFmt w:val="lowerRoman"/>
      <w:lvlText w:val="%6."/>
      <w:lvlJc w:val="right"/>
      <w:pPr>
        <w:tabs>
          <w:tab w:val="num" w:pos="4811"/>
        </w:tabs>
        <w:ind w:left="4811" w:hanging="180"/>
      </w:pPr>
    </w:lvl>
    <w:lvl w:ilvl="6" w:tplc="0C09000F">
      <w:start w:val="1"/>
      <w:numFmt w:val="decimal"/>
      <w:lvlText w:val="%7."/>
      <w:lvlJc w:val="left"/>
      <w:pPr>
        <w:tabs>
          <w:tab w:val="num" w:pos="5531"/>
        </w:tabs>
        <w:ind w:left="5531" w:hanging="360"/>
      </w:pPr>
    </w:lvl>
    <w:lvl w:ilvl="7" w:tplc="0C090019">
      <w:start w:val="1"/>
      <w:numFmt w:val="lowerLetter"/>
      <w:lvlText w:val="%8."/>
      <w:lvlJc w:val="left"/>
      <w:pPr>
        <w:tabs>
          <w:tab w:val="num" w:pos="6251"/>
        </w:tabs>
        <w:ind w:left="6251" w:hanging="360"/>
      </w:pPr>
    </w:lvl>
    <w:lvl w:ilvl="8" w:tplc="0C09001B">
      <w:start w:val="1"/>
      <w:numFmt w:val="lowerRoman"/>
      <w:lvlText w:val="%9."/>
      <w:lvlJc w:val="right"/>
      <w:pPr>
        <w:tabs>
          <w:tab w:val="num" w:pos="6971"/>
        </w:tabs>
        <w:ind w:left="6971" w:hanging="180"/>
      </w:pPr>
    </w:lvl>
  </w:abstractNum>
  <w:abstractNum w:abstractNumId="6">
    <w:nsid w:val="1D1B40E9"/>
    <w:multiLevelType w:val="hybridMultilevel"/>
    <w:tmpl w:val="BD8897FC"/>
    <w:lvl w:ilvl="0" w:tplc="FEEA2454">
      <w:start w:val="1"/>
      <w:numFmt w:val="lowerLetter"/>
      <w:lvlText w:val="(%1)"/>
      <w:lvlJc w:val="left"/>
      <w:pPr>
        <w:tabs>
          <w:tab w:val="num" w:pos="1140"/>
        </w:tabs>
        <w:ind w:left="114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D7372A6"/>
    <w:multiLevelType w:val="singleLevel"/>
    <w:tmpl w:val="2E887F22"/>
    <w:lvl w:ilvl="0">
      <w:start w:val="1"/>
      <w:numFmt w:val="lowerRoman"/>
      <w:lvlText w:val="(%1)"/>
      <w:lvlJc w:val="left"/>
      <w:pPr>
        <w:tabs>
          <w:tab w:val="num" w:pos="2258"/>
        </w:tabs>
        <w:ind w:left="2258" w:hanging="840"/>
      </w:pPr>
      <w:rPr>
        <w:rFonts w:hint="default"/>
      </w:rPr>
    </w:lvl>
  </w:abstractNum>
  <w:abstractNum w:abstractNumId="8">
    <w:nsid w:val="1E333EAF"/>
    <w:multiLevelType w:val="hybridMultilevel"/>
    <w:tmpl w:val="F0BCECB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nsid w:val="22CC35A1"/>
    <w:multiLevelType w:val="hybridMultilevel"/>
    <w:tmpl w:val="3FAAE83C"/>
    <w:lvl w:ilvl="0" w:tplc="BB7ADE7E">
      <w:start w:val="1"/>
      <w:numFmt w:val="lowerLetter"/>
      <w:lvlText w:val="(%1)"/>
      <w:lvlJc w:val="left"/>
      <w:pPr>
        <w:tabs>
          <w:tab w:val="num" w:pos="1211"/>
        </w:tabs>
        <w:ind w:left="1211" w:hanging="360"/>
      </w:pPr>
      <w:rPr>
        <w:rFonts w:hint="default"/>
      </w:rPr>
    </w:lvl>
    <w:lvl w:ilvl="1" w:tplc="0C090019" w:tentative="1">
      <w:start w:val="1"/>
      <w:numFmt w:val="lowerLetter"/>
      <w:lvlText w:val="%2."/>
      <w:lvlJc w:val="left"/>
      <w:pPr>
        <w:tabs>
          <w:tab w:val="num" w:pos="1931"/>
        </w:tabs>
        <w:ind w:left="1931" w:hanging="360"/>
      </w:pPr>
    </w:lvl>
    <w:lvl w:ilvl="2" w:tplc="0C09001B" w:tentative="1">
      <w:start w:val="1"/>
      <w:numFmt w:val="lowerRoman"/>
      <w:lvlText w:val="%3."/>
      <w:lvlJc w:val="right"/>
      <w:pPr>
        <w:tabs>
          <w:tab w:val="num" w:pos="2651"/>
        </w:tabs>
        <w:ind w:left="2651" w:hanging="180"/>
      </w:pPr>
    </w:lvl>
    <w:lvl w:ilvl="3" w:tplc="0C09000F" w:tentative="1">
      <w:start w:val="1"/>
      <w:numFmt w:val="decimal"/>
      <w:lvlText w:val="%4."/>
      <w:lvlJc w:val="left"/>
      <w:pPr>
        <w:tabs>
          <w:tab w:val="num" w:pos="3371"/>
        </w:tabs>
        <w:ind w:left="3371" w:hanging="360"/>
      </w:pPr>
    </w:lvl>
    <w:lvl w:ilvl="4" w:tplc="0C090019" w:tentative="1">
      <w:start w:val="1"/>
      <w:numFmt w:val="lowerLetter"/>
      <w:lvlText w:val="%5."/>
      <w:lvlJc w:val="left"/>
      <w:pPr>
        <w:tabs>
          <w:tab w:val="num" w:pos="4091"/>
        </w:tabs>
        <w:ind w:left="4091" w:hanging="360"/>
      </w:pPr>
    </w:lvl>
    <w:lvl w:ilvl="5" w:tplc="0C09001B" w:tentative="1">
      <w:start w:val="1"/>
      <w:numFmt w:val="lowerRoman"/>
      <w:lvlText w:val="%6."/>
      <w:lvlJc w:val="right"/>
      <w:pPr>
        <w:tabs>
          <w:tab w:val="num" w:pos="4811"/>
        </w:tabs>
        <w:ind w:left="4811" w:hanging="180"/>
      </w:pPr>
    </w:lvl>
    <w:lvl w:ilvl="6" w:tplc="0C09000F" w:tentative="1">
      <w:start w:val="1"/>
      <w:numFmt w:val="decimal"/>
      <w:lvlText w:val="%7."/>
      <w:lvlJc w:val="left"/>
      <w:pPr>
        <w:tabs>
          <w:tab w:val="num" w:pos="5531"/>
        </w:tabs>
        <w:ind w:left="5531" w:hanging="360"/>
      </w:pPr>
    </w:lvl>
    <w:lvl w:ilvl="7" w:tplc="0C090019" w:tentative="1">
      <w:start w:val="1"/>
      <w:numFmt w:val="lowerLetter"/>
      <w:lvlText w:val="%8."/>
      <w:lvlJc w:val="left"/>
      <w:pPr>
        <w:tabs>
          <w:tab w:val="num" w:pos="6251"/>
        </w:tabs>
        <w:ind w:left="6251" w:hanging="360"/>
      </w:pPr>
    </w:lvl>
    <w:lvl w:ilvl="8" w:tplc="0C09001B" w:tentative="1">
      <w:start w:val="1"/>
      <w:numFmt w:val="lowerRoman"/>
      <w:lvlText w:val="%9."/>
      <w:lvlJc w:val="right"/>
      <w:pPr>
        <w:tabs>
          <w:tab w:val="num" w:pos="6971"/>
        </w:tabs>
        <w:ind w:left="6971" w:hanging="180"/>
      </w:pPr>
    </w:lvl>
  </w:abstractNum>
  <w:abstractNum w:abstractNumId="10">
    <w:nsid w:val="2CA914D6"/>
    <w:multiLevelType w:val="hybridMultilevel"/>
    <w:tmpl w:val="F4E0CA98"/>
    <w:lvl w:ilvl="0" w:tplc="11F2E684">
      <w:start w:val="1"/>
      <w:numFmt w:val="lowerLetter"/>
      <w:lvlText w:val="(%1)"/>
      <w:lvlJc w:val="left"/>
      <w:pPr>
        <w:ind w:left="930" w:hanging="360"/>
      </w:pPr>
      <w:rPr>
        <w:rFonts w:ascii="Times New Roman" w:hAnsi="Times New Roman" w:cs="Times New Roman"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1">
    <w:nsid w:val="2E610BBE"/>
    <w:multiLevelType w:val="hybridMultilevel"/>
    <w:tmpl w:val="7B2E0176"/>
    <w:lvl w:ilvl="0" w:tplc="8A6005A8">
      <w:start w:val="1"/>
      <w:numFmt w:val="lowerLetter"/>
      <w:lvlText w:val="(%1)"/>
      <w:lvlJc w:val="left"/>
      <w:pPr>
        <w:tabs>
          <w:tab w:val="num" w:pos="1367"/>
        </w:tabs>
        <w:ind w:left="1367" w:hanging="516"/>
      </w:pPr>
      <w:rPr>
        <w:rFonts w:hint="default"/>
      </w:rPr>
    </w:lvl>
    <w:lvl w:ilvl="1" w:tplc="0C090019">
      <w:start w:val="1"/>
      <w:numFmt w:val="lowerLetter"/>
      <w:lvlText w:val="%2."/>
      <w:lvlJc w:val="left"/>
      <w:pPr>
        <w:tabs>
          <w:tab w:val="num" w:pos="1931"/>
        </w:tabs>
        <w:ind w:left="1931" w:hanging="360"/>
      </w:pPr>
    </w:lvl>
    <w:lvl w:ilvl="2" w:tplc="0C09001B">
      <w:start w:val="1"/>
      <w:numFmt w:val="lowerRoman"/>
      <w:lvlText w:val="%3."/>
      <w:lvlJc w:val="right"/>
      <w:pPr>
        <w:tabs>
          <w:tab w:val="num" w:pos="2651"/>
        </w:tabs>
        <w:ind w:left="2651" w:hanging="180"/>
      </w:pPr>
    </w:lvl>
    <w:lvl w:ilvl="3" w:tplc="0C09000F">
      <w:start w:val="1"/>
      <w:numFmt w:val="decimal"/>
      <w:lvlText w:val="%4."/>
      <w:lvlJc w:val="left"/>
      <w:pPr>
        <w:tabs>
          <w:tab w:val="num" w:pos="3371"/>
        </w:tabs>
        <w:ind w:left="3371" w:hanging="360"/>
      </w:pPr>
    </w:lvl>
    <w:lvl w:ilvl="4" w:tplc="0C090019">
      <w:start w:val="1"/>
      <w:numFmt w:val="lowerLetter"/>
      <w:lvlText w:val="%5."/>
      <w:lvlJc w:val="left"/>
      <w:pPr>
        <w:tabs>
          <w:tab w:val="num" w:pos="4091"/>
        </w:tabs>
        <w:ind w:left="4091" w:hanging="360"/>
      </w:pPr>
    </w:lvl>
    <w:lvl w:ilvl="5" w:tplc="0C09001B">
      <w:start w:val="1"/>
      <w:numFmt w:val="lowerRoman"/>
      <w:lvlText w:val="%6."/>
      <w:lvlJc w:val="right"/>
      <w:pPr>
        <w:tabs>
          <w:tab w:val="num" w:pos="4811"/>
        </w:tabs>
        <w:ind w:left="4811" w:hanging="180"/>
      </w:pPr>
    </w:lvl>
    <w:lvl w:ilvl="6" w:tplc="0C09000F">
      <w:start w:val="1"/>
      <w:numFmt w:val="decimal"/>
      <w:lvlText w:val="%7."/>
      <w:lvlJc w:val="left"/>
      <w:pPr>
        <w:tabs>
          <w:tab w:val="num" w:pos="5531"/>
        </w:tabs>
        <w:ind w:left="5531" w:hanging="360"/>
      </w:pPr>
    </w:lvl>
    <w:lvl w:ilvl="7" w:tplc="0C090019">
      <w:start w:val="1"/>
      <w:numFmt w:val="lowerLetter"/>
      <w:lvlText w:val="%8."/>
      <w:lvlJc w:val="left"/>
      <w:pPr>
        <w:tabs>
          <w:tab w:val="num" w:pos="6251"/>
        </w:tabs>
        <w:ind w:left="6251" w:hanging="360"/>
      </w:pPr>
    </w:lvl>
    <w:lvl w:ilvl="8" w:tplc="0C09001B">
      <w:start w:val="1"/>
      <w:numFmt w:val="lowerRoman"/>
      <w:lvlText w:val="%9."/>
      <w:lvlJc w:val="right"/>
      <w:pPr>
        <w:tabs>
          <w:tab w:val="num" w:pos="6971"/>
        </w:tabs>
        <w:ind w:left="6971" w:hanging="180"/>
      </w:pPr>
    </w:lvl>
  </w:abstractNum>
  <w:abstractNum w:abstractNumId="12">
    <w:nsid w:val="345310EE"/>
    <w:multiLevelType w:val="singleLevel"/>
    <w:tmpl w:val="6F56B5CC"/>
    <w:lvl w:ilvl="0">
      <w:start w:val="1"/>
      <w:numFmt w:val="lowerLetter"/>
      <w:lvlText w:val="(%1)"/>
      <w:lvlJc w:val="left"/>
      <w:pPr>
        <w:tabs>
          <w:tab w:val="num" w:pos="360"/>
        </w:tabs>
        <w:ind w:left="360" w:hanging="360"/>
      </w:pPr>
    </w:lvl>
  </w:abstractNum>
  <w:abstractNum w:abstractNumId="13">
    <w:nsid w:val="38501749"/>
    <w:multiLevelType w:val="hybridMultilevel"/>
    <w:tmpl w:val="E8280C00"/>
    <w:lvl w:ilvl="0" w:tplc="CC708222">
      <w:start w:val="3"/>
      <w:numFmt w:val="lowerRoman"/>
      <w:lvlText w:val="(%1)"/>
      <w:lvlJc w:val="left"/>
      <w:pPr>
        <w:tabs>
          <w:tab w:val="num" w:pos="2258"/>
        </w:tabs>
        <w:ind w:left="2258" w:hanging="840"/>
      </w:pPr>
      <w:rPr>
        <w:rFonts w:hint="default"/>
      </w:rPr>
    </w:lvl>
    <w:lvl w:ilvl="1" w:tplc="04090019" w:tentative="1">
      <w:start w:val="1"/>
      <w:numFmt w:val="lowerLetter"/>
      <w:lvlText w:val="%2."/>
      <w:lvlJc w:val="left"/>
      <w:pPr>
        <w:tabs>
          <w:tab w:val="num" w:pos="2498"/>
        </w:tabs>
        <w:ind w:left="2498" w:hanging="360"/>
      </w:pPr>
    </w:lvl>
    <w:lvl w:ilvl="2" w:tplc="0409001B" w:tentative="1">
      <w:start w:val="1"/>
      <w:numFmt w:val="lowerRoman"/>
      <w:lvlText w:val="%3."/>
      <w:lvlJc w:val="right"/>
      <w:pPr>
        <w:tabs>
          <w:tab w:val="num" w:pos="3218"/>
        </w:tabs>
        <w:ind w:left="3218" w:hanging="180"/>
      </w:pPr>
    </w:lvl>
    <w:lvl w:ilvl="3" w:tplc="0409000F" w:tentative="1">
      <w:start w:val="1"/>
      <w:numFmt w:val="decimal"/>
      <w:lvlText w:val="%4."/>
      <w:lvlJc w:val="left"/>
      <w:pPr>
        <w:tabs>
          <w:tab w:val="num" w:pos="3938"/>
        </w:tabs>
        <w:ind w:left="3938" w:hanging="360"/>
      </w:pPr>
    </w:lvl>
    <w:lvl w:ilvl="4" w:tplc="04090019" w:tentative="1">
      <w:start w:val="1"/>
      <w:numFmt w:val="lowerLetter"/>
      <w:lvlText w:val="%5."/>
      <w:lvlJc w:val="left"/>
      <w:pPr>
        <w:tabs>
          <w:tab w:val="num" w:pos="4658"/>
        </w:tabs>
        <w:ind w:left="4658" w:hanging="360"/>
      </w:pPr>
    </w:lvl>
    <w:lvl w:ilvl="5" w:tplc="0409001B" w:tentative="1">
      <w:start w:val="1"/>
      <w:numFmt w:val="lowerRoman"/>
      <w:lvlText w:val="%6."/>
      <w:lvlJc w:val="right"/>
      <w:pPr>
        <w:tabs>
          <w:tab w:val="num" w:pos="5378"/>
        </w:tabs>
        <w:ind w:left="5378" w:hanging="180"/>
      </w:pPr>
    </w:lvl>
    <w:lvl w:ilvl="6" w:tplc="0409000F" w:tentative="1">
      <w:start w:val="1"/>
      <w:numFmt w:val="decimal"/>
      <w:lvlText w:val="%7."/>
      <w:lvlJc w:val="left"/>
      <w:pPr>
        <w:tabs>
          <w:tab w:val="num" w:pos="6098"/>
        </w:tabs>
        <w:ind w:left="6098" w:hanging="360"/>
      </w:pPr>
    </w:lvl>
    <w:lvl w:ilvl="7" w:tplc="04090019" w:tentative="1">
      <w:start w:val="1"/>
      <w:numFmt w:val="lowerLetter"/>
      <w:lvlText w:val="%8."/>
      <w:lvlJc w:val="left"/>
      <w:pPr>
        <w:tabs>
          <w:tab w:val="num" w:pos="6818"/>
        </w:tabs>
        <w:ind w:left="6818" w:hanging="360"/>
      </w:pPr>
    </w:lvl>
    <w:lvl w:ilvl="8" w:tplc="0409001B" w:tentative="1">
      <w:start w:val="1"/>
      <w:numFmt w:val="lowerRoman"/>
      <w:lvlText w:val="%9."/>
      <w:lvlJc w:val="right"/>
      <w:pPr>
        <w:tabs>
          <w:tab w:val="num" w:pos="7538"/>
        </w:tabs>
        <w:ind w:left="7538" w:hanging="180"/>
      </w:pPr>
    </w:lvl>
  </w:abstractNum>
  <w:abstractNum w:abstractNumId="14">
    <w:nsid w:val="3A505CFE"/>
    <w:multiLevelType w:val="singleLevel"/>
    <w:tmpl w:val="A46E9C4E"/>
    <w:lvl w:ilvl="0">
      <w:start w:val="2"/>
      <w:numFmt w:val="lowerLetter"/>
      <w:lvlText w:val="(%1)"/>
      <w:lvlJc w:val="left"/>
      <w:pPr>
        <w:tabs>
          <w:tab w:val="num" w:pos="1421"/>
        </w:tabs>
        <w:ind w:left="1421" w:hanging="570"/>
      </w:pPr>
      <w:rPr>
        <w:rFonts w:hint="default"/>
      </w:rPr>
    </w:lvl>
  </w:abstractNum>
  <w:abstractNum w:abstractNumId="15">
    <w:nsid w:val="3A714F7F"/>
    <w:multiLevelType w:val="hybridMultilevel"/>
    <w:tmpl w:val="0F7A235C"/>
    <w:lvl w:ilvl="0" w:tplc="F630401E">
      <w:start w:val="1"/>
      <w:numFmt w:val="lowerLetter"/>
      <w:lvlText w:val="(%1)"/>
      <w:lvlJc w:val="left"/>
      <w:pPr>
        <w:tabs>
          <w:tab w:val="num" w:pos="1211"/>
        </w:tabs>
        <w:ind w:left="1211" w:hanging="360"/>
      </w:pPr>
      <w:rPr>
        <w:rFonts w:hint="default"/>
      </w:rPr>
    </w:lvl>
    <w:lvl w:ilvl="1" w:tplc="0C090019" w:tentative="1">
      <w:start w:val="1"/>
      <w:numFmt w:val="lowerLetter"/>
      <w:lvlText w:val="%2."/>
      <w:lvlJc w:val="left"/>
      <w:pPr>
        <w:tabs>
          <w:tab w:val="num" w:pos="1931"/>
        </w:tabs>
        <w:ind w:left="1931" w:hanging="360"/>
      </w:pPr>
    </w:lvl>
    <w:lvl w:ilvl="2" w:tplc="0C09001B" w:tentative="1">
      <w:start w:val="1"/>
      <w:numFmt w:val="lowerRoman"/>
      <w:lvlText w:val="%3."/>
      <w:lvlJc w:val="right"/>
      <w:pPr>
        <w:tabs>
          <w:tab w:val="num" w:pos="2651"/>
        </w:tabs>
        <w:ind w:left="2651" w:hanging="180"/>
      </w:pPr>
    </w:lvl>
    <w:lvl w:ilvl="3" w:tplc="0C09000F" w:tentative="1">
      <w:start w:val="1"/>
      <w:numFmt w:val="decimal"/>
      <w:lvlText w:val="%4."/>
      <w:lvlJc w:val="left"/>
      <w:pPr>
        <w:tabs>
          <w:tab w:val="num" w:pos="3371"/>
        </w:tabs>
        <w:ind w:left="3371" w:hanging="360"/>
      </w:pPr>
    </w:lvl>
    <w:lvl w:ilvl="4" w:tplc="0C090019" w:tentative="1">
      <w:start w:val="1"/>
      <w:numFmt w:val="lowerLetter"/>
      <w:lvlText w:val="%5."/>
      <w:lvlJc w:val="left"/>
      <w:pPr>
        <w:tabs>
          <w:tab w:val="num" w:pos="4091"/>
        </w:tabs>
        <w:ind w:left="4091" w:hanging="360"/>
      </w:pPr>
    </w:lvl>
    <w:lvl w:ilvl="5" w:tplc="0C09001B" w:tentative="1">
      <w:start w:val="1"/>
      <w:numFmt w:val="lowerRoman"/>
      <w:lvlText w:val="%6."/>
      <w:lvlJc w:val="right"/>
      <w:pPr>
        <w:tabs>
          <w:tab w:val="num" w:pos="4811"/>
        </w:tabs>
        <w:ind w:left="4811" w:hanging="180"/>
      </w:pPr>
    </w:lvl>
    <w:lvl w:ilvl="6" w:tplc="0C09000F" w:tentative="1">
      <w:start w:val="1"/>
      <w:numFmt w:val="decimal"/>
      <w:lvlText w:val="%7."/>
      <w:lvlJc w:val="left"/>
      <w:pPr>
        <w:tabs>
          <w:tab w:val="num" w:pos="5531"/>
        </w:tabs>
        <w:ind w:left="5531" w:hanging="360"/>
      </w:pPr>
    </w:lvl>
    <w:lvl w:ilvl="7" w:tplc="0C090019" w:tentative="1">
      <w:start w:val="1"/>
      <w:numFmt w:val="lowerLetter"/>
      <w:lvlText w:val="%8."/>
      <w:lvlJc w:val="left"/>
      <w:pPr>
        <w:tabs>
          <w:tab w:val="num" w:pos="6251"/>
        </w:tabs>
        <w:ind w:left="6251" w:hanging="360"/>
      </w:pPr>
    </w:lvl>
    <w:lvl w:ilvl="8" w:tplc="0C09001B" w:tentative="1">
      <w:start w:val="1"/>
      <w:numFmt w:val="lowerRoman"/>
      <w:lvlText w:val="%9."/>
      <w:lvlJc w:val="right"/>
      <w:pPr>
        <w:tabs>
          <w:tab w:val="num" w:pos="6971"/>
        </w:tabs>
        <w:ind w:left="6971" w:hanging="180"/>
      </w:pPr>
    </w:lvl>
  </w:abstractNum>
  <w:abstractNum w:abstractNumId="16">
    <w:nsid w:val="41B16D0B"/>
    <w:multiLevelType w:val="multilevel"/>
    <w:tmpl w:val="2714763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43B95309"/>
    <w:multiLevelType w:val="singleLevel"/>
    <w:tmpl w:val="6DF49DBE"/>
    <w:lvl w:ilvl="0">
      <w:start w:val="1"/>
      <w:numFmt w:val="lowerLetter"/>
      <w:lvlText w:val="(%1)"/>
      <w:lvlJc w:val="left"/>
      <w:pPr>
        <w:tabs>
          <w:tab w:val="num" w:pos="1421"/>
        </w:tabs>
        <w:ind w:left="1421" w:hanging="570"/>
      </w:pPr>
      <w:rPr>
        <w:rFonts w:hint="default"/>
      </w:rPr>
    </w:lvl>
  </w:abstractNum>
  <w:abstractNum w:abstractNumId="18">
    <w:nsid w:val="49103DCA"/>
    <w:multiLevelType w:val="hybridMultilevel"/>
    <w:tmpl w:val="E1062B2E"/>
    <w:lvl w:ilvl="0" w:tplc="A3A6871C">
      <w:start w:val="1"/>
      <w:numFmt w:val="lowerRoman"/>
      <w:lvlText w:val="(%1)"/>
      <w:lvlJc w:val="left"/>
      <w:pPr>
        <w:ind w:left="2138" w:hanging="72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9">
    <w:nsid w:val="492A0A2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0">
    <w:nsid w:val="4CD723C9"/>
    <w:multiLevelType w:val="singleLevel"/>
    <w:tmpl w:val="7EFE7D8E"/>
    <w:lvl w:ilvl="0">
      <w:start w:val="1"/>
      <w:numFmt w:val="lowerRoman"/>
      <w:lvlText w:val="(%1)"/>
      <w:lvlJc w:val="left"/>
      <w:pPr>
        <w:tabs>
          <w:tab w:val="num" w:pos="2138"/>
        </w:tabs>
        <w:ind w:left="2138" w:hanging="720"/>
      </w:pPr>
      <w:rPr>
        <w:rFonts w:hint="default"/>
      </w:rPr>
    </w:lvl>
  </w:abstractNum>
  <w:abstractNum w:abstractNumId="21">
    <w:nsid w:val="4CE70D70"/>
    <w:multiLevelType w:val="hybridMultilevel"/>
    <w:tmpl w:val="DD36F426"/>
    <w:lvl w:ilvl="0" w:tplc="227E83A2">
      <w:start w:val="1"/>
      <w:numFmt w:val="lowerLetter"/>
      <w:lvlText w:val="(%1)"/>
      <w:lvlJc w:val="left"/>
      <w:pPr>
        <w:tabs>
          <w:tab w:val="num" w:pos="1421"/>
        </w:tabs>
        <w:ind w:left="1421" w:hanging="570"/>
      </w:pPr>
      <w:rPr>
        <w:rFonts w:hint="default"/>
      </w:rPr>
    </w:lvl>
    <w:lvl w:ilvl="1" w:tplc="0C090019">
      <w:start w:val="1"/>
      <w:numFmt w:val="lowerLetter"/>
      <w:lvlText w:val="%2."/>
      <w:lvlJc w:val="left"/>
      <w:pPr>
        <w:tabs>
          <w:tab w:val="num" w:pos="1931"/>
        </w:tabs>
        <w:ind w:left="1931" w:hanging="360"/>
      </w:pPr>
    </w:lvl>
    <w:lvl w:ilvl="2" w:tplc="0C09001B">
      <w:start w:val="1"/>
      <w:numFmt w:val="lowerRoman"/>
      <w:lvlText w:val="%3."/>
      <w:lvlJc w:val="right"/>
      <w:pPr>
        <w:tabs>
          <w:tab w:val="num" w:pos="2651"/>
        </w:tabs>
        <w:ind w:left="2651" w:hanging="180"/>
      </w:pPr>
    </w:lvl>
    <w:lvl w:ilvl="3" w:tplc="0C09000F">
      <w:start w:val="1"/>
      <w:numFmt w:val="decimal"/>
      <w:lvlText w:val="%4."/>
      <w:lvlJc w:val="left"/>
      <w:pPr>
        <w:tabs>
          <w:tab w:val="num" w:pos="3371"/>
        </w:tabs>
        <w:ind w:left="3371" w:hanging="360"/>
      </w:pPr>
    </w:lvl>
    <w:lvl w:ilvl="4" w:tplc="0C090019">
      <w:start w:val="1"/>
      <w:numFmt w:val="lowerLetter"/>
      <w:lvlText w:val="%5."/>
      <w:lvlJc w:val="left"/>
      <w:pPr>
        <w:tabs>
          <w:tab w:val="num" w:pos="4091"/>
        </w:tabs>
        <w:ind w:left="4091" w:hanging="360"/>
      </w:pPr>
    </w:lvl>
    <w:lvl w:ilvl="5" w:tplc="0C09001B">
      <w:start w:val="1"/>
      <w:numFmt w:val="lowerRoman"/>
      <w:lvlText w:val="%6."/>
      <w:lvlJc w:val="right"/>
      <w:pPr>
        <w:tabs>
          <w:tab w:val="num" w:pos="4811"/>
        </w:tabs>
        <w:ind w:left="4811" w:hanging="180"/>
      </w:pPr>
    </w:lvl>
    <w:lvl w:ilvl="6" w:tplc="0C09000F">
      <w:start w:val="1"/>
      <w:numFmt w:val="decimal"/>
      <w:lvlText w:val="%7."/>
      <w:lvlJc w:val="left"/>
      <w:pPr>
        <w:tabs>
          <w:tab w:val="num" w:pos="5531"/>
        </w:tabs>
        <w:ind w:left="5531" w:hanging="360"/>
      </w:pPr>
    </w:lvl>
    <w:lvl w:ilvl="7" w:tplc="0C090019">
      <w:start w:val="1"/>
      <w:numFmt w:val="lowerLetter"/>
      <w:lvlText w:val="%8."/>
      <w:lvlJc w:val="left"/>
      <w:pPr>
        <w:tabs>
          <w:tab w:val="num" w:pos="6251"/>
        </w:tabs>
        <w:ind w:left="6251" w:hanging="360"/>
      </w:pPr>
    </w:lvl>
    <w:lvl w:ilvl="8" w:tplc="0C09001B">
      <w:start w:val="1"/>
      <w:numFmt w:val="lowerRoman"/>
      <w:lvlText w:val="%9."/>
      <w:lvlJc w:val="right"/>
      <w:pPr>
        <w:tabs>
          <w:tab w:val="num" w:pos="6971"/>
        </w:tabs>
        <w:ind w:left="6971" w:hanging="180"/>
      </w:pPr>
    </w:lvl>
  </w:abstractNum>
  <w:abstractNum w:abstractNumId="22">
    <w:nsid w:val="56AD7AC2"/>
    <w:multiLevelType w:val="hybridMultilevel"/>
    <w:tmpl w:val="27987412"/>
    <w:lvl w:ilvl="0" w:tplc="50B21D22">
      <w:start w:val="1"/>
      <w:numFmt w:val="lowerLetter"/>
      <w:lvlText w:val="(%1)"/>
      <w:lvlJc w:val="left"/>
      <w:pPr>
        <w:tabs>
          <w:tab w:val="num" w:pos="1427"/>
        </w:tabs>
        <w:ind w:left="1427" w:hanging="576"/>
      </w:pPr>
      <w:rPr>
        <w:rFonts w:hint="default"/>
      </w:rPr>
    </w:lvl>
    <w:lvl w:ilvl="1" w:tplc="0C090019">
      <w:start w:val="1"/>
      <w:numFmt w:val="lowerLetter"/>
      <w:lvlText w:val="%2."/>
      <w:lvlJc w:val="left"/>
      <w:pPr>
        <w:tabs>
          <w:tab w:val="num" w:pos="1931"/>
        </w:tabs>
        <w:ind w:left="1931" w:hanging="360"/>
      </w:pPr>
    </w:lvl>
    <w:lvl w:ilvl="2" w:tplc="0C09001B">
      <w:start w:val="1"/>
      <w:numFmt w:val="lowerRoman"/>
      <w:lvlText w:val="%3."/>
      <w:lvlJc w:val="right"/>
      <w:pPr>
        <w:tabs>
          <w:tab w:val="num" w:pos="2651"/>
        </w:tabs>
        <w:ind w:left="2651" w:hanging="180"/>
      </w:pPr>
    </w:lvl>
    <w:lvl w:ilvl="3" w:tplc="0C09000F">
      <w:start w:val="1"/>
      <w:numFmt w:val="decimal"/>
      <w:lvlText w:val="%4."/>
      <w:lvlJc w:val="left"/>
      <w:pPr>
        <w:tabs>
          <w:tab w:val="num" w:pos="3371"/>
        </w:tabs>
        <w:ind w:left="3371" w:hanging="360"/>
      </w:pPr>
    </w:lvl>
    <w:lvl w:ilvl="4" w:tplc="0C090019">
      <w:start w:val="1"/>
      <w:numFmt w:val="lowerLetter"/>
      <w:lvlText w:val="%5."/>
      <w:lvlJc w:val="left"/>
      <w:pPr>
        <w:tabs>
          <w:tab w:val="num" w:pos="4091"/>
        </w:tabs>
        <w:ind w:left="4091" w:hanging="360"/>
      </w:pPr>
    </w:lvl>
    <w:lvl w:ilvl="5" w:tplc="0C09001B">
      <w:start w:val="1"/>
      <w:numFmt w:val="lowerRoman"/>
      <w:lvlText w:val="%6."/>
      <w:lvlJc w:val="right"/>
      <w:pPr>
        <w:tabs>
          <w:tab w:val="num" w:pos="4811"/>
        </w:tabs>
        <w:ind w:left="4811" w:hanging="180"/>
      </w:pPr>
    </w:lvl>
    <w:lvl w:ilvl="6" w:tplc="0C09000F">
      <w:start w:val="1"/>
      <w:numFmt w:val="decimal"/>
      <w:lvlText w:val="%7."/>
      <w:lvlJc w:val="left"/>
      <w:pPr>
        <w:tabs>
          <w:tab w:val="num" w:pos="5531"/>
        </w:tabs>
        <w:ind w:left="5531" w:hanging="360"/>
      </w:pPr>
    </w:lvl>
    <w:lvl w:ilvl="7" w:tplc="0C090019">
      <w:start w:val="1"/>
      <w:numFmt w:val="lowerLetter"/>
      <w:lvlText w:val="%8."/>
      <w:lvlJc w:val="left"/>
      <w:pPr>
        <w:tabs>
          <w:tab w:val="num" w:pos="6251"/>
        </w:tabs>
        <w:ind w:left="6251" w:hanging="360"/>
      </w:pPr>
    </w:lvl>
    <w:lvl w:ilvl="8" w:tplc="0C09001B">
      <w:start w:val="1"/>
      <w:numFmt w:val="lowerRoman"/>
      <w:lvlText w:val="%9."/>
      <w:lvlJc w:val="right"/>
      <w:pPr>
        <w:tabs>
          <w:tab w:val="num" w:pos="6971"/>
        </w:tabs>
        <w:ind w:left="6971" w:hanging="180"/>
      </w:pPr>
    </w:lvl>
  </w:abstractNum>
  <w:abstractNum w:abstractNumId="23">
    <w:nsid w:val="5E152616"/>
    <w:multiLevelType w:val="hybridMultilevel"/>
    <w:tmpl w:val="8154F6FC"/>
    <w:lvl w:ilvl="0" w:tplc="3FA2795E">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0E73D25"/>
    <w:multiLevelType w:val="hybridMultilevel"/>
    <w:tmpl w:val="763E9432"/>
    <w:lvl w:ilvl="0" w:tplc="896208A8">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E090F39"/>
    <w:multiLevelType w:val="hybridMultilevel"/>
    <w:tmpl w:val="AB24EFBA"/>
    <w:lvl w:ilvl="0" w:tplc="265C2376">
      <w:start w:val="1"/>
      <w:numFmt w:val="lowerLetter"/>
      <w:lvlText w:val="(%1)"/>
      <w:lvlJc w:val="left"/>
      <w:pPr>
        <w:tabs>
          <w:tab w:val="num" w:pos="1367"/>
        </w:tabs>
        <w:ind w:left="1367" w:hanging="516"/>
      </w:pPr>
      <w:rPr>
        <w:rFonts w:hint="default"/>
      </w:rPr>
    </w:lvl>
    <w:lvl w:ilvl="1" w:tplc="0C090019">
      <w:start w:val="1"/>
      <w:numFmt w:val="lowerLetter"/>
      <w:lvlText w:val="%2."/>
      <w:lvlJc w:val="left"/>
      <w:pPr>
        <w:tabs>
          <w:tab w:val="num" w:pos="1931"/>
        </w:tabs>
        <w:ind w:left="1931" w:hanging="360"/>
      </w:pPr>
    </w:lvl>
    <w:lvl w:ilvl="2" w:tplc="0C09001B">
      <w:start w:val="1"/>
      <w:numFmt w:val="lowerRoman"/>
      <w:lvlText w:val="%3."/>
      <w:lvlJc w:val="right"/>
      <w:pPr>
        <w:tabs>
          <w:tab w:val="num" w:pos="2651"/>
        </w:tabs>
        <w:ind w:left="2651" w:hanging="180"/>
      </w:pPr>
    </w:lvl>
    <w:lvl w:ilvl="3" w:tplc="0C09000F">
      <w:start w:val="1"/>
      <w:numFmt w:val="decimal"/>
      <w:lvlText w:val="%4."/>
      <w:lvlJc w:val="left"/>
      <w:pPr>
        <w:tabs>
          <w:tab w:val="num" w:pos="3371"/>
        </w:tabs>
        <w:ind w:left="3371" w:hanging="360"/>
      </w:pPr>
    </w:lvl>
    <w:lvl w:ilvl="4" w:tplc="0C090019">
      <w:start w:val="1"/>
      <w:numFmt w:val="lowerLetter"/>
      <w:lvlText w:val="%5."/>
      <w:lvlJc w:val="left"/>
      <w:pPr>
        <w:tabs>
          <w:tab w:val="num" w:pos="4091"/>
        </w:tabs>
        <w:ind w:left="4091" w:hanging="360"/>
      </w:pPr>
    </w:lvl>
    <w:lvl w:ilvl="5" w:tplc="0C09001B">
      <w:start w:val="1"/>
      <w:numFmt w:val="lowerRoman"/>
      <w:lvlText w:val="%6."/>
      <w:lvlJc w:val="right"/>
      <w:pPr>
        <w:tabs>
          <w:tab w:val="num" w:pos="4811"/>
        </w:tabs>
        <w:ind w:left="4811" w:hanging="180"/>
      </w:pPr>
    </w:lvl>
    <w:lvl w:ilvl="6" w:tplc="0C09000F">
      <w:start w:val="1"/>
      <w:numFmt w:val="decimal"/>
      <w:lvlText w:val="%7."/>
      <w:lvlJc w:val="left"/>
      <w:pPr>
        <w:tabs>
          <w:tab w:val="num" w:pos="5531"/>
        </w:tabs>
        <w:ind w:left="5531" w:hanging="360"/>
      </w:pPr>
    </w:lvl>
    <w:lvl w:ilvl="7" w:tplc="0C090019">
      <w:start w:val="1"/>
      <w:numFmt w:val="lowerLetter"/>
      <w:lvlText w:val="%8."/>
      <w:lvlJc w:val="left"/>
      <w:pPr>
        <w:tabs>
          <w:tab w:val="num" w:pos="6251"/>
        </w:tabs>
        <w:ind w:left="6251" w:hanging="360"/>
      </w:pPr>
    </w:lvl>
    <w:lvl w:ilvl="8" w:tplc="0C09001B">
      <w:start w:val="1"/>
      <w:numFmt w:val="lowerRoman"/>
      <w:lvlText w:val="%9."/>
      <w:lvlJc w:val="right"/>
      <w:pPr>
        <w:tabs>
          <w:tab w:val="num" w:pos="6971"/>
        </w:tabs>
        <w:ind w:left="6971" w:hanging="180"/>
      </w:pPr>
    </w:lvl>
  </w:abstractNum>
  <w:abstractNum w:abstractNumId="26">
    <w:nsid w:val="71BC7BC8"/>
    <w:multiLevelType w:val="singleLevel"/>
    <w:tmpl w:val="8AA8C4FC"/>
    <w:lvl w:ilvl="0">
      <w:start w:val="1"/>
      <w:numFmt w:val="bullet"/>
      <w:lvlText w:val=""/>
      <w:lvlJc w:val="left"/>
      <w:pPr>
        <w:tabs>
          <w:tab w:val="num" w:pos="757"/>
        </w:tabs>
        <w:ind w:left="737" w:hanging="340"/>
      </w:pPr>
      <w:rPr>
        <w:rFonts w:ascii="Symbol" w:hAnsi="Symbol" w:cs="Symbol" w:hint="default"/>
        <w:color w:val="auto"/>
      </w:rPr>
    </w:lvl>
  </w:abstractNum>
  <w:abstractNum w:abstractNumId="27">
    <w:nsid w:val="723A704D"/>
    <w:multiLevelType w:val="multilevel"/>
    <w:tmpl w:val="E0281F9C"/>
    <w:lvl w:ilvl="0">
      <w:start w:val="1"/>
      <w:numFmt w:val="none"/>
      <w:lvlText w:val="%1"/>
      <w:lvlJc w:val="left"/>
      <w:pPr>
        <w:tabs>
          <w:tab w:val="num" w:pos="1440"/>
        </w:tabs>
        <w:ind w:left="1440" w:hanging="144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772A5B41"/>
    <w:multiLevelType w:val="hybridMultilevel"/>
    <w:tmpl w:val="7652AB8A"/>
    <w:lvl w:ilvl="0" w:tplc="B6463A86">
      <w:start w:val="1"/>
      <w:numFmt w:val="lowerLetter"/>
      <w:lvlText w:val="(%1)"/>
      <w:lvlJc w:val="left"/>
      <w:pPr>
        <w:ind w:left="1421" w:hanging="57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9">
    <w:nsid w:val="7A782688"/>
    <w:multiLevelType w:val="hybridMultilevel"/>
    <w:tmpl w:val="F9D4F1AA"/>
    <w:lvl w:ilvl="0" w:tplc="3DB84BF2">
      <w:start w:val="1"/>
      <w:numFmt w:val="lowerLetter"/>
      <w:lvlText w:val="(%1)"/>
      <w:lvlJc w:val="left"/>
      <w:pPr>
        <w:tabs>
          <w:tab w:val="num" w:pos="1427"/>
        </w:tabs>
        <w:ind w:left="1427" w:hanging="576"/>
      </w:pPr>
      <w:rPr>
        <w:rFonts w:hint="default"/>
      </w:rPr>
    </w:lvl>
    <w:lvl w:ilvl="1" w:tplc="0C090019">
      <w:start w:val="1"/>
      <w:numFmt w:val="lowerLetter"/>
      <w:lvlText w:val="%2."/>
      <w:lvlJc w:val="left"/>
      <w:pPr>
        <w:tabs>
          <w:tab w:val="num" w:pos="1931"/>
        </w:tabs>
        <w:ind w:left="1931" w:hanging="360"/>
      </w:pPr>
    </w:lvl>
    <w:lvl w:ilvl="2" w:tplc="0C09001B">
      <w:start w:val="1"/>
      <w:numFmt w:val="lowerRoman"/>
      <w:lvlText w:val="%3."/>
      <w:lvlJc w:val="right"/>
      <w:pPr>
        <w:tabs>
          <w:tab w:val="num" w:pos="2651"/>
        </w:tabs>
        <w:ind w:left="2651" w:hanging="180"/>
      </w:pPr>
    </w:lvl>
    <w:lvl w:ilvl="3" w:tplc="0C09000F">
      <w:start w:val="1"/>
      <w:numFmt w:val="decimal"/>
      <w:lvlText w:val="%4."/>
      <w:lvlJc w:val="left"/>
      <w:pPr>
        <w:tabs>
          <w:tab w:val="num" w:pos="3371"/>
        </w:tabs>
        <w:ind w:left="3371" w:hanging="360"/>
      </w:pPr>
    </w:lvl>
    <w:lvl w:ilvl="4" w:tplc="0C090019">
      <w:start w:val="1"/>
      <w:numFmt w:val="lowerLetter"/>
      <w:lvlText w:val="%5."/>
      <w:lvlJc w:val="left"/>
      <w:pPr>
        <w:tabs>
          <w:tab w:val="num" w:pos="4091"/>
        </w:tabs>
        <w:ind w:left="4091" w:hanging="360"/>
      </w:pPr>
    </w:lvl>
    <w:lvl w:ilvl="5" w:tplc="0C09001B">
      <w:start w:val="1"/>
      <w:numFmt w:val="lowerRoman"/>
      <w:lvlText w:val="%6."/>
      <w:lvlJc w:val="right"/>
      <w:pPr>
        <w:tabs>
          <w:tab w:val="num" w:pos="4811"/>
        </w:tabs>
        <w:ind w:left="4811" w:hanging="180"/>
      </w:pPr>
    </w:lvl>
    <w:lvl w:ilvl="6" w:tplc="0C09000F">
      <w:start w:val="1"/>
      <w:numFmt w:val="decimal"/>
      <w:lvlText w:val="%7."/>
      <w:lvlJc w:val="left"/>
      <w:pPr>
        <w:tabs>
          <w:tab w:val="num" w:pos="5531"/>
        </w:tabs>
        <w:ind w:left="5531" w:hanging="360"/>
      </w:pPr>
    </w:lvl>
    <w:lvl w:ilvl="7" w:tplc="0C090019">
      <w:start w:val="1"/>
      <w:numFmt w:val="lowerLetter"/>
      <w:lvlText w:val="%8."/>
      <w:lvlJc w:val="left"/>
      <w:pPr>
        <w:tabs>
          <w:tab w:val="num" w:pos="6251"/>
        </w:tabs>
        <w:ind w:left="6251" w:hanging="360"/>
      </w:pPr>
    </w:lvl>
    <w:lvl w:ilvl="8" w:tplc="0C09001B">
      <w:start w:val="1"/>
      <w:numFmt w:val="lowerRoman"/>
      <w:lvlText w:val="%9."/>
      <w:lvlJc w:val="right"/>
      <w:pPr>
        <w:tabs>
          <w:tab w:val="num" w:pos="6971"/>
        </w:tabs>
        <w:ind w:left="6971" w:hanging="180"/>
      </w:pPr>
    </w:lvl>
  </w:abstractNum>
  <w:abstractNum w:abstractNumId="30">
    <w:nsid w:val="7AA96ECD"/>
    <w:multiLevelType w:val="hybridMultilevel"/>
    <w:tmpl w:val="47DE643E"/>
    <w:lvl w:ilvl="0" w:tplc="6C5206E8">
      <w:start w:val="1"/>
      <w:numFmt w:val="lowerLetter"/>
      <w:lvlText w:val="(%1)"/>
      <w:lvlJc w:val="left"/>
      <w:pPr>
        <w:ind w:left="1421" w:hanging="57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1">
    <w:nsid w:val="7C940805"/>
    <w:multiLevelType w:val="hybridMultilevel"/>
    <w:tmpl w:val="E264AF08"/>
    <w:lvl w:ilvl="0" w:tplc="182EE99E">
      <w:start w:val="6"/>
      <w:numFmt w:val="lowerLetter"/>
      <w:lvlText w:val="(%1)"/>
      <w:lvlJc w:val="left"/>
      <w:pPr>
        <w:tabs>
          <w:tab w:val="num" w:pos="1695"/>
        </w:tabs>
        <w:ind w:left="1695" w:hanging="1125"/>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16"/>
  </w:num>
  <w:num w:numId="10">
    <w:abstractNumId w:val="3"/>
  </w:num>
  <w:num w:numId="11">
    <w:abstractNumId w:val="16"/>
    <w:lvlOverride w:ilvl="0">
      <w:startOverride w:val="1"/>
    </w:lvlOverride>
  </w:num>
  <w:num w:numId="12">
    <w:abstractNumId w:val="1"/>
  </w:num>
  <w:num w:numId="13">
    <w:abstractNumId w:val="0"/>
  </w:num>
  <w:num w:numId="14">
    <w:abstractNumId w:val="4"/>
  </w:num>
  <w:num w:numId="15">
    <w:abstractNumId w:val="20"/>
  </w:num>
  <w:num w:numId="16">
    <w:abstractNumId w:val="12"/>
  </w:num>
  <w:num w:numId="17">
    <w:abstractNumId w:val="19"/>
  </w:num>
  <w:num w:numId="18">
    <w:abstractNumId w:val="27"/>
  </w:num>
  <w:num w:numId="19">
    <w:abstractNumId w:val="26"/>
  </w:num>
  <w:num w:numId="20">
    <w:abstractNumId w:val="26"/>
  </w:num>
  <w:num w:numId="21">
    <w:abstractNumId w:val="3"/>
  </w:num>
  <w:num w:numId="22">
    <w:abstractNumId w:val="0"/>
  </w:num>
  <w:num w:numId="23">
    <w:abstractNumId w:val="26"/>
  </w:num>
  <w:num w:numId="24">
    <w:abstractNumId w:val="3"/>
  </w:num>
  <w:num w:numId="25">
    <w:abstractNumId w:val="0"/>
  </w:num>
  <w:num w:numId="26">
    <w:abstractNumId w:val="14"/>
  </w:num>
  <w:num w:numId="27">
    <w:abstractNumId w:val="7"/>
  </w:num>
  <w:num w:numId="28">
    <w:abstractNumId w:val="11"/>
  </w:num>
  <w:num w:numId="29">
    <w:abstractNumId w:val="29"/>
  </w:num>
  <w:num w:numId="30">
    <w:abstractNumId w:val="22"/>
  </w:num>
  <w:num w:numId="31">
    <w:abstractNumId w:val="25"/>
  </w:num>
  <w:num w:numId="32">
    <w:abstractNumId w:val="5"/>
  </w:num>
  <w:num w:numId="33">
    <w:abstractNumId w:val="2"/>
  </w:num>
  <w:num w:numId="34">
    <w:abstractNumId w:val="17"/>
  </w:num>
  <w:num w:numId="35">
    <w:abstractNumId w:val="21"/>
  </w:num>
  <w:num w:numId="36">
    <w:abstractNumId w:val="15"/>
  </w:num>
  <w:num w:numId="37">
    <w:abstractNumId w:val="9"/>
  </w:num>
  <w:num w:numId="38">
    <w:abstractNumId w:val="8"/>
  </w:num>
  <w:num w:numId="39">
    <w:abstractNumId w:val="31"/>
  </w:num>
  <w:num w:numId="40">
    <w:abstractNumId w:val="23"/>
  </w:num>
  <w:num w:numId="41">
    <w:abstractNumId w:val="24"/>
  </w:num>
  <w:num w:numId="42">
    <w:abstractNumId w:val="13"/>
  </w:num>
  <w:num w:numId="43">
    <w:abstractNumId w:val="6"/>
  </w:num>
  <w:num w:numId="44">
    <w:abstractNumId w:val="10"/>
  </w:num>
  <w:num w:numId="45">
    <w:abstractNumId w:val="28"/>
  </w:num>
  <w:num w:numId="46">
    <w:abstractNumId w:val="30"/>
  </w:num>
  <w:num w:numId="4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attachedTemplate r:id="rId1"/>
  <w:stylePaneFormatFilter w:val="3F01"/>
  <w:doNotTrackMove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F388F"/>
    <w:rsid w:val="00022475"/>
    <w:rsid w:val="0002289A"/>
    <w:rsid w:val="00025FCA"/>
    <w:rsid w:val="00030F2B"/>
    <w:rsid w:val="00036EDA"/>
    <w:rsid w:val="00040124"/>
    <w:rsid w:val="00042225"/>
    <w:rsid w:val="00043317"/>
    <w:rsid w:val="00045657"/>
    <w:rsid w:val="00045C36"/>
    <w:rsid w:val="00045EC1"/>
    <w:rsid w:val="0005642A"/>
    <w:rsid w:val="000603AD"/>
    <w:rsid w:val="00061E65"/>
    <w:rsid w:val="00063C2D"/>
    <w:rsid w:val="00063F59"/>
    <w:rsid w:val="00072977"/>
    <w:rsid w:val="00080F9A"/>
    <w:rsid w:val="00081163"/>
    <w:rsid w:val="00087619"/>
    <w:rsid w:val="000A0844"/>
    <w:rsid w:val="000A156A"/>
    <w:rsid w:val="000B68DE"/>
    <w:rsid w:val="000C169F"/>
    <w:rsid w:val="000C56DA"/>
    <w:rsid w:val="000C6A24"/>
    <w:rsid w:val="000D100A"/>
    <w:rsid w:val="000D2DF8"/>
    <w:rsid w:val="000E1D72"/>
    <w:rsid w:val="000E4BB9"/>
    <w:rsid w:val="000F4B7E"/>
    <w:rsid w:val="000F6420"/>
    <w:rsid w:val="000F6472"/>
    <w:rsid w:val="000F68EA"/>
    <w:rsid w:val="00107A4B"/>
    <w:rsid w:val="00110534"/>
    <w:rsid w:val="00111FCE"/>
    <w:rsid w:val="001140CA"/>
    <w:rsid w:val="00124297"/>
    <w:rsid w:val="00134A1D"/>
    <w:rsid w:val="00137DD2"/>
    <w:rsid w:val="00140596"/>
    <w:rsid w:val="0014516B"/>
    <w:rsid w:val="00145C3D"/>
    <w:rsid w:val="0014782D"/>
    <w:rsid w:val="00152881"/>
    <w:rsid w:val="001542AE"/>
    <w:rsid w:val="0016391B"/>
    <w:rsid w:val="00163C34"/>
    <w:rsid w:val="001667CA"/>
    <w:rsid w:val="0017113F"/>
    <w:rsid w:val="00182D0E"/>
    <w:rsid w:val="001832DB"/>
    <w:rsid w:val="00195AAB"/>
    <w:rsid w:val="001A2779"/>
    <w:rsid w:val="001A3D29"/>
    <w:rsid w:val="001A53D0"/>
    <w:rsid w:val="001A688D"/>
    <w:rsid w:val="001B3477"/>
    <w:rsid w:val="001B7E2D"/>
    <w:rsid w:val="001C075E"/>
    <w:rsid w:val="001C0DEA"/>
    <w:rsid w:val="001C2682"/>
    <w:rsid w:val="001C5E17"/>
    <w:rsid w:val="001D15BF"/>
    <w:rsid w:val="001D3CFD"/>
    <w:rsid w:val="001E0774"/>
    <w:rsid w:val="001E1618"/>
    <w:rsid w:val="001E2009"/>
    <w:rsid w:val="001E21C3"/>
    <w:rsid w:val="001E4DE2"/>
    <w:rsid w:val="001F00A7"/>
    <w:rsid w:val="001F48C2"/>
    <w:rsid w:val="00204190"/>
    <w:rsid w:val="00212DC4"/>
    <w:rsid w:val="0021553C"/>
    <w:rsid w:val="00225B6D"/>
    <w:rsid w:val="00226F39"/>
    <w:rsid w:val="00232D0E"/>
    <w:rsid w:val="00234F53"/>
    <w:rsid w:val="00240182"/>
    <w:rsid w:val="00250228"/>
    <w:rsid w:val="00254E36"/>
    <w:rsid w:val="00257174"/>
    <w:rsid w:val="00261244"/>
    <w:rsid w:val="00261EAD"/>
    <w:rsid w:val="00263433"/>
    <w:rsid w:val="00265CA0"/>
    <w:rsid w:val="00266034"/>
    <w:rsid w:val="00271EDD"/>
    <w:rsid w:val="00273A2C"/>
    <w:rsid w:val="002742D5"/>
    <w:rsid w:val="00290B7E"/>
    <w:rsid w:val="002A0549"/>
    <w:rsid w:val="002A31CB"/>
    <w:rsid w:val="002B26F7"/>
    <w:rsid w:val="002C187C"/>
    <w:rsid w:val="002C1EC0"/>
    <w:rsid w:val="002C3FCF"/>
    <w:rsid w:val="002C7A6A"/>
    <w:rsid w:val="002D6CAE"/>
    <w:rsid w:val="002E0737"/>
    <w:rsid w:val="002E3ABF"/>
    <w:rsid w:val="002E5B7F"/>
    <w:rsid w:val="002F5876"/>
    <w:rsid w:val="002F6541"/>
    <w:rsid w:val="0030007E"/>
    <w:rsid w:val="003064A7"/>
    <w:rsid w:val="003250D1"/>
    <w:rsid w:val="00326888"/>
    <w:rsid w:val="00327934"/>
    <w:rsid w:val="003279B3"/>
    <w:rsid w:val="00333401"/>
    <w:rsid w:val="00337D32"/>
    <w:rsid w:val="003416B8"/>
    <w:rsid w:val="00342277"/>
    <w:rsid w:val="003464F3"/>
    <w:rsid w:val="00347EAA"/>
    <w:rsid w:val="00357086"/>
    <w:rsid w:val="0036018B"/>
    <w:rsid w:val="00361E34"/>
    <w:rsid w:val="003658CC"/>
    <w:rsid w:val="00377A9D"/>
    <w:rsid w:val="00385368"/>
    <w:rsid w:val="003918E9"/>
    <w:rsid w:val="00392383"/>
    <w:rsid w:val="003973F5"/>
    <w:rsid w:val="003A081B"/>
    <w:rsid w:val="003A4ECC"/>
    <w:rsid w:val="003A70E9"/>
    <w:rsid w:val="003B3AEA"/>
    <w:rsid w:val="003C05CA"/>
    <w:rsid w:val="003C1F86"/>
    <w:rsid w:val="003C6E5E"/>
    <w:rsid w:val="003D59E7"/>
    <w:rsid w:val="003E15CD"/>
    <w:rsid w:val="003E701E"/>
    <w:rsid w:val="003E7DC8"/>
    <w:rsid w:val="003F0518"/>
    <w:rsid w:val="003F4303"/>
    <w:rsid w:val="003F593C"/>
    <w:rsid w:val="00405EDC"/>
    <w:rsid w:val="00406F6F"/>
    <w:rsid w:val="004142E2"/>
    <w:rsid w:val="004234DD"/>
    <w:rsid w:val="00433AE3"/>
    <w:rsid w:val="00441FBE"/>
    <w:rsid w:val="00450A0F"/>
    <w:rsid w:val="004569C8"/>
    <w:rsid w:val="0046184D"/>
    <w:rsid w:val="00461C86"/>
    <w:rsid w:val="004649F6"/>
    <w:rsid w:val="00464DB2"/>
    <w:rsid w:val="004676B3"/>
    <w:rsid w:val="004711F3"/>
    <w:rsid w:val="00477CC0"/>
    <w:rsid w:val="004872CC"/>
    <w:rsid w:val="004874B1"/>
    <w:rsid w:val="00494665"/>
    <w:rsid w:val="004956E8"/>
    <w:rsid w:val="00497A4A"/>
    <w:rsid w:val="004A2C53"/>
    <w:rsid w:val="004A4F57"/>
    <w:rsid w:val="004B35BD"/>
    <w:rsid w:val="004C1F41"/>
    <w:rsid w:val="004C55C0"/>
    <w:rsid w:val="004C668C"/>
    <w:rsid w:val="004D326C"/>
    <w:rsid w:val="004D4D65"/>
    <w:rsid w:val="004D6945"/>
    <w:rsid w:val="004D73E9"/>
    <w:rsid w:val="004E2C1E"/>
    <w:rsid w:val="004E530E"/>
    <w:rsid w:val="004E7DD6"/>
    <w:rsid w:val="004F0E63"/>
    <w:rsid w:val="004F3F1D"/>
    <w:rsid w:val="00506B05"/>
    <w:rsid w:val="00507A09"/>
    <w:rsid w:val="00512549"/>
    <w:rsid w:val="00512EA0"/>
    <w:rsid w:val="00514F76"/>
    <w:rsid w:val="0051560A"/>
    <w:rsid w:val="00520D96"/>
    <w:rsid w:val="005330F2"/>
    <w:rsid w:val="005331BE"/>
    <w:rsid w:val="00541A4D"/>
    <w:rsid w:val="005537A2"/>
    <w:rsid w:val="00571745"/>
    <w:rsid w:val="00581114"/>
    <w:rsid w:val="00585D8E"/>
    <w:rsid w:val="00585E8F"/>
    <w:rsid w:val="00596EE9"/>
    <w:rsid w:val="005A1F81"/>
    <w:rsid w:val="005A671A"/>
    <w:rsid w:val="005B5FDA"/>
    <w:rsid w:val="005C2671"/>
    <w:rsid w:val="005C272B"/>
    <w:rsid w:val="005C3E2B"/>
    <w:rsid w:val="005C43EF"/>
    <w:rsid w:val="005D1768"/>
    <w:rsid w:val="005D4D1E"/>
    <w:rsid w:val="005D63FE"/>
    <w:rsid w:val="005D7AF0"/>
    <w:rsid w:val="005D7B3A"/>
    <w:rsid w:val="005E06D4"/>
    <w:rsid w:val="005E12A1"/>
    <w:rsid w:val="005E2261"/>
    <w:rsid w:val="005E6152"/>
    <w:rsid w:val="005F2F72"/>
    <w:rsid w:val="005F4B55"/>
    <w:rsid w:val="00600242"/>
    <w:rsid w:val="00603FEE"/>
    <w:rsid w:val="0060659F"/>
    <w:rsid w:val="006102D5"/>
    <w:rsid w:val="0061259D"/>
    <w:rsid w:val="006129C7"/>
    <w:rsid w:val="00617696"/>
    <w:rsid w:val="00617BDE"/>
    <w:rsid w:val="006256AF"/>
    <w:rsid w:val="00642D7F"/>
    <w:rsid w:val="00643866"/>
    <w:rsid w:val="00645C97"/>
    <w:rsid w:val="00646988"/>
    <w:rsid w:val="0065179A"/>
    <w:rsid w:val="0065305C"/>
    <w:rsid w:val="00660DEE"/>
    <w:rsid w:val="0066665F"/>
    <w:rsid w:val="0067540D"/>
    <w:rsid w:val="00690193"/>
    <w:rsid w:val="006917F0"/>
    <w:rsid w:val="00693DC6"/>
    <w:rsid w:val="00695FB6"/>
    <w:rsid w:val="006A1C52"/>
    <w:rsid w:val="006A58BE"/>
    <w:rsid w:val="006A5D2D"/>
    <w:rsid w:val="006B2C73"/>
    <w:rsid w:val="006B5A18"/>
    <w:rsid w:val="006B5D79"/>
    <w:rsid w:val="006B645E"/>
    <w:rsid w:val="006C035A"/>
    <w:rsid w:val="006C14DF"/>
    <w:rsid w:val="006C3ECE"/>
    <w:rsid w:val="006C5465"/>
    <w:rsid w:val="006C7C98"/>
    <w:rsid w:val="006E1018"/>
    <w:rsid w:val="006E126F"/>
    <w:rsid w:val="006E15A1"/>
    <w:rsid w:val="006E7BA1"/>
    <w:rsid w:val="006F589E"/>
    <w:rsid w:val="006F68D9"/>
    <w:rsid w:val="007006CC"/>
    <w:rsid w:val="00701A18"/>
    <w:rsid w:val="0070742D"/>
    <w:rsid w:val="00711F5F"/>
    <w:rsid w:val="0072120A"/>
    <w:rsid w:val="00726601"/>
    <w:rsid w:val="00732422"/>
    <w:rsid w:val="00732A6E"/>
    <w:rsid w:val="0073314D"/>
    <w:rsid w:val="007345EB"/>
    <w:rsid w:val="00735C7A"/>
    <w:rsid w:val="0073759C"/>
    <w:rsid w:val="00741DD3"/>
    <w:rsid w:val="00744539"/>
    <w:rsid w:val="007445BD"/>
    <w:rsid w:val="0075009D"/>
    <w:rsid w:val="00752BF8"/>
    <w:rsid w:val="00754DEC"/>
    <w:rsid w:val="00755C09"/>
    <w:rsid w:val="00756C62"/>
    <w:rsid w:val="007653AE"/>
    <w:rsid w:val="00766674"/>
    <w:rsid w:val="00773BAA"/>
    <w:rsid w:val="0078124D"/>
    <w:rsid w:val="00783083"/>
    <w:rsid w:val="00784A07"/>
    <w:rsid w:val="00791E65"/>
    <w:rsid w:val="00793050"/>
    <w:rsid w:val="007A45CF"/>
    <w:rsid w:val="007A6F57"/>
    <w:rsid w:val="007A72B6"/>
    <w:rsid w:val="007B0AFE"/>
    <w:rsid w:val="007B0BEF"/>
    <w:rsid w:val="007B213A"/>
    <w:rsid w:val="007C1EDD"/>
    <w:rsid w:val="007C3FCE"/>
    <w:rsid w:val="007C7F04"/>
    <w:rsid w:val="007D1FA7"/>
    <w:rsid w:val="007D3FF6"/>
    <w:rsid w:val="007F4B2E"/>
    <w:rsid w:val="00801604"/>
    <w:rsid w:val="0080283D"/>
    <w:rsid w:val="0080560D"/>
    <w:rsid w:val="0080693E"/>
    <w:rsid w:val="00807DF4"/>
    <w:rsid w:val="0081209B"/>
    <w:rsid w:val="00812D99"/>
    <w:rsid w:val="00814DA0"/>
    <w:rsid w:val="008217C9"/>
    <w:rsid w:val="008231DD"/>
    <w:rsid w:val="00823767"/>
    <w:rsid w:val="008254B5"/>
    <w:rsid w:val="00833B1E"/>
    <w:rsid w:val="008342E1"/>
    <w:rsid w:val="00834E09"/>
    <w:rsid w:val="008352FF"/>
    <w:rsid w:val="00844DEE"/>
    <w:rsid w:val="00844EC7"/>
    <w:rsid w:val="008465B5"/>
    <w:rsid w:val="008512D6"/>
    <w:rsid w:val="00861390"/>
    <w:rsid w:val="00862257"/>
    <w:rsid w:val="00862E13"/>
    <w:rsid w:val="0086634E"/>
    <w:rsid w:val="0087726B"/>
    <w:rsid w:val="008778D4"/>
    <w:rsid w:val="00880910"/>
    <w:rsid w:val="0088325B"/>
    <w:rsid w:val="0088467E"/>
    <w:rsid w:val="00887813"/>
    <w:rsid w:val="008916E5"/>
    <w:rsid w:val="008A0292"/>
    <w:rsid w:val="008A3559"/>
    <w:rsid w:val="008A4038"/>
    <w:rsid w:val="008A73FF"/>
    <w:rsid w:val="008A74F7"/>
    <w:rsid w:val="008B7E51"/>
    <w:rsid w:val="008C272F"/>
    <w:rsid w:val="008C6B28"/>
    <w:rsid w:val="008D03CA"/>
    <w:rsid w:val="008E0CEE"/>
    <w:rsid w:val="008E3BFC"/>
    <w:rsid w:val="008F0B96"/>
    <w:rsid w:val="008F2226"/>
    <w:rsid w:val="008F6784"/>
    <w:rsid w:val="008F7214"/>
    <w:rsid w:val="009037CC"/>
    <w:rsid w:val="00904B8E"/>
    <w:rsid w:val="009078DC"/>
    <w:rsid w:val="00910F8E"/>
    <w:rsid w:val="00920BA3"/>
    <w:rsid w:val="009222D3"/>
    <w:rsid w:val="00927D4B"/>
    <w:rsid w:val="009306D9"/>
    <w:rsid w:val="00934594"/>
    <w:rsid w:val="00943639"/>
    <w:rsid w:val="00944AA4"/>
    <w:rsid w:val="00947C9D"/>
    <w:rsid w:val="00951DB1"/>
    <w:rsid w:val="00952027"/>
    <w:rsid w:val="00955C2C"/>
    <w:rsid w:val="00966866"/>
    <w:rsid w:val="00970B49"/>
    <w:rsid w:val="00977D17"/>
    <w:rsid w:val="00977F89"/>
    <w:rsid w:val="00980A0D"/>
    <w:rsid w:val="009821B9"/>
    <w:rsid w:val="00984AB7"/>
    <w:rsid w:val="00994BD0"/>
    <w:rsid w:val="00996482"/>
    <w:rsid w:val="009A52A4"/>
    <w:rsid w:val="009B2251"/>
    <w:rsid w:val="009B4579"/>
    <w:rsid w:val="009C0949"/>
    <w:rsid w:val="009C0BBD"/>
    <w:rsid w:val="009C29DB"/>
    <w:rsid w:val="009C4318"/>
    <w:rsid w:val="009C5459"/>
    <w:rsid w:val="009C677A"/>
    <w:rsid w:val="009D114C"/>
    <w:rsid w:val="009D2B94"/>
    <w:rsid w:val="009D3954"/>
    <w:rsid w:val="009D63CF"/>
    <w:rsid w:val="009E4623"/>
    <w:rsid w:val="009F1C4F"/>
    <w:rsid w:val="009F3937"/>
    <w:rsid w:val="009F3F7B"/>
    <w:rsid w:val="009F668F"/>
    <w:rsid w:val="00A0139F"/>
    <w:rsid w:val="00A03BB0"/>
    <w:rsid w:val="00A03D8F"/>
    <w:rsid w:val="00A0777A"/>
    <w:rsid w:val="00A14BF2"/>
    <w:rsid w:val="00A17EA5"/>
    <w:rsid w:val="00A20089"/>
    <w:rsid w:val="00A2327D"/>
    <w:rsid w:val="00A31ED6"/>
    <w:rsid w:val="00A40F9E"/>
    <w:rsid w:val="00A414D1"/>
    <w:rsid w:val="00A54AF0"/>
    <w:rsid w:val="00A604B3"/>
    <w:rsid w:val="00A621FB"/>
    <w:rsid w:val="00A66C1B"/>
    <w:rsid w:val="00A6744D"/>
    <w:rsid w:val="00A72866"/>
    <w:rsid w:val="00A72F51"/>
    <w:rsid w:val="00A74452"/>
    <w:rsid w:val="00A77E11"/>
    <w:rsid w:val="00A80DDD"/>
    <w:rsid w:val="00A83566"/>
    <w:rsid w:val="00A8491F"/>
    <w:rsid w:val="00A84C5F"/>
    <w:rsid w:val="00A90A58"/>
    <w:rsid w:val="00A91340"/>
    <w:rsid w:val="00A94F89"/>
    <w:rsid w:val="00AA0860"/>
    <w:rsid w:val="00AA7C79"/>
    <w:rsid w:val="00AB04EB"/>
    <w:rsid w:val="00AB1982"/>
    <w:rsid w:val="00AB450F"/>
    <w:rsid w:val="00AB4AA8"/>
    <w:rsid w:val="00AC389C"/>
    <w:rsid w:val="00AD09E6"/>
    <w:rsid w:val="00AD406D"/>
    <w:rsid w:val="00AD5030"/>
    <w:rsid w:val="00AE1EE5"/>
    <w:rsid w:val="00AE4988"/>
    <w:rsid w:val="00AE600C"/>
    <w:rsid w:val="00AE65E4"/>
    <w:rsid w:val="00AE68FB"/>
    <w:rsid w:val="00AE697A"/>
    <w:rsid w:val="00AF388F"/>
    <w:rsid w:val="00B0275F"/>
    <w:rsid w:val="00B034CC"/>
    <w:rsid w:val="00B03BB7"/>
    <w:rsid w:val="00B050B4"/>
    <w:rsid w:val="00B06FE4"/>
    <w:rsid w:val="00B135DA"/>
    <w:rsid w:val="00B177F0"/>
    <w:rsid w:val="00B17D10"/>
    <w:rsid w:val="00B21579"/>
    <w:rsid w:val="00B22DAC"/>
    <w:rsid w:val="00B26596"/>
    <w:rsid w:val="00B27698"/>
    <w:rsid w:val="00B34A04"/>
    <w:rsid w:val="00B34EBB"/>
    <w:rsid w:val="00B37712"/>
    <w:rsid w:val="00B43452"/>
    <w:rsid w:val="00B44EC5"/>
    <w:rsid w:val="00B45EEF"/>
    <w:rsid w:val="00B5026E"/>
    <w:rsid w:val="00B506D1"/>
    <w:rsid w:val="00B51621"/>
    <w:rsid w:val="00B52664"/>
    <w:rsid w:val="00B531D1"/>
    <w:rsid w:val="00B53C15"/>
    <w:rsid w:val="00B53FAB"/>
    <w:rsid w:val="00B6637F"/>
    <w:rsid w:val="00B67E02"/>
    <w:rsid w:val="00B71E4B"/>
    <w:rsid w:val="00B74574"/>
    <w:rsid w:val="00B745B4"/>
    <w:rsid w:val="00B7702E"/>
    <w:rsid w:val="00B8415F"/>
    <w:rsid w:val="00B925A8"/>
    <w:rsid w:val="00B93F2C"/>
    <w:rsid w:val="00B97276"/>
    <w:rsid w:val="00BA3BC6"/>
    <w:rsid w:val="00BA4146"/>
    <w:rsid w:val="00BB0E04"/>
    <w:rsid w:val="00BB50B1"/>
    <w:rsid w:val="00BB55CB"/>
    <w:rsid w:val="00BC1224"/>
    <w:rsid w:val="00BC2862"/>
    <w:rsid w:val="00BC3225"/>
    <w:rsid w:val="00BD5BE9"/>
    <w:rsid w:val="00BE126B"/>
    <w:rsid w:val="00BE1BED"/>
    <w:rsid w:val="00BE257D"/>
    <w:rsid w:val="00BE2D81"/>
    <w:rsid w:val="00BE5DE3"/>
    <w:rsid w:val="00BF1E3F"/>
    <w:rsid w:val="00BF1F19"/>
    <w:rsid w:val="00BF4D05"/>
    <w:rsid w:val="00BF60EA"/>
    <w:rsid w:val="00BF7578"/>
    <w:rsid w:val="00C00A00"/>
    <w:rsid w:val="00C00A7C"/>
    <w:rsid w:val="00C01B79"/>
    <w:rsid w:val="00C04A79"/>
    <w:rsid w:val="00C127D7"/>
    <w:rsid w:val="00C13C59"/>
    <w:rsid w:val="00C21922"/>
    <w:rsid w:val="00C21B70"/>
    <w:rsid w:val="00C21C7C"/>
    <w:rsid w:val="00C256A8"/>
    <w:rsid w:val="00C3108E"/>
    <w:rsid w:val="00C310E8"/>
    <w:rsid w:val="00C314CF"/>
    <w:rsid w:val="00C35159"/>
    <w:rsid w:val="00C37BCE"/>
    <w:rsid w:val="00C43D4B"/>
    <w:rsid w:val="00C51DC3"/>
    <w:rsid w:val="00C52796"/>
    <w:rsid w:val="00C536DF"/>
    <w:rsid w:val="00C5429F"/>
    <w:rsid w:val="00C54C45"/>
    <w:rsid w:val="00C556B7"/>
    <w:rsid w:val="00C61DA5"/>
    <w:rsid w:val="00C77A49"/>
    <w:rsid w:val="00C802A4"/>
    <w:rsid w:val="00C80333"/>
    <w:rsid w:val="00C945C1"/>
    <w:rsid w:val="00CA28A3"/>
    <w:rsid w:val="00CB07A7"/>
    <w:rsid w:val="00CB14A2"/>
    <w:rsid w:val="00CC0A45"/>
    <w:rsid w:val="00CC37AF"/>
    <w:rsid w:val="00CD1EF5"/>
    <w:rsid w:val="00CD5F65"/>
    <w:rsid w:val="00CD6286"/>
    <w:rsid w:val="00CE13B9"/>
    <w:rsid w:val="00CF4B7D"/>
    <w:rsid w:val="00CF4E52"/>
    <w:rsid w:val="00D05154"/>
    <w:rsid w:val="00D148DE"/>
    <w:rsid w:val="00D273B1"/>
    <w:rsid w:val="00D354CB"/>
    <w:rsid w:val="00D37390"/>
    <w:rsid w:val="00D37CFD"/>
    <w:rsid w:val="00D41671"/>
    <w:rsid w:val="00D51EC9"/>
    <w:rsid w:val="00D64CA4"/>
    <w:rsid w:val="00D64E54"/>
    <w:rsid w:val="00D6529A"/>
    <w:rsid w:val="00D676B5"/>
    <w:rsid w:val="00D71254"/>
    <w:rsid w:val="00D71DBD"/>
    <w:rsid w:val="00D74B46"/>
    <w:rsid w:val="00D82315"/>
    <w:rsid w:val="00D85942"/>
    <w:rsid w:val="00D92596"/>
    <w:rsid w:val="00D92D39"/>
    <w:rsid w:val="00D93575"/>
    <w:rsid w:val="00DB6C79"/>
    <w:rsid w:val="00DB75DF"/>
    <w:rsid w:val="00DC05A3"/>
    <w:rsid w:val="00DC119B"/>
    <w:rsid w:val="00DC32FD"/>
    <w:rsid w:val="00DC4AD6"/>
    <w:rsid w:val="00DD6CF6"/>
    <w:rsid w:val="00DE171D"/>
    <w:rsid w:val="00DF3F40"/>
    <w:rsid w:val="00E00B38"/>
    <w:rsid w:val="00E00CC2"/>
    <w:rsid w:val="00E0152A"/>
    <w:rsid w:val="00E0572A"/>
    <w:rsid w:val="00E060D4"/>
    <w:rsid w:val="00E22BAA"/>
    <w:rsid w:val="00E236DF"/>
    <w:rsid w:val="00E30BA2"/>
    <w:rsid w:val="00E30BCA"/>
    <w:rsid w:val="00E42CE3"/>
    <w:rsid w:val="00E43186"/>
    <w:rsid w:val="00E43439"/>
    <w:rsid w:val="00E43C0D"/>
    <w:rsid w:val="00E47504"/>
    <w:rsid w:val="00E47959"/>
    <w:rsid w:val="00E6025A"/>
    <w:rsid w:val="00E61BD7"/>
    <w:rsid w:val="00E640E7"/>
    <w:rsid w:val="00E64938"/>
    <w:rsid w:val="00E6660E"/>
    <w:rsid w:val="00E702BF"/>
    <w:rsid w:val="00E7117D"/>
    <w:rsid w:val="00E7585A"/>
    <w:rsid w:val="00E75DAA"/>
    <w:rsid w:val="00E817F9"/>
    <w:rsid w:val="00E8272F"/>
    <w:rsid w:val="00E87D57"/>
    <w:rsid w:val="00E90ADC"/>
    <w:rsid w:val="00E94B99"/>
    <w:rsid w:val="00EA111D"/>
    <w:rsid w:val="00EB4157"/>
    <w:rsid w:val="00EC7628"/>
    <w:rsid w:val="00ED13D1"/>
    <w:rsid w:val="00ED1730"/>
    <w:rsid w:val="00ED17AF"/>
    <w:rsid w:val="00ED2195"/>
    <w:rsid w:val="00ED3BE7"/>
    <w:rsid w:val="00ED69B7"/>
    <w:rsid w:val="00ED755E"/>
    <w:rsid w:val="00EE580F"/>
    <w:rsid w:val="00EF777E"/>
    <w:rsid w:val="00F0152B"/>
    <w:rsid w:val="00F10F84"/>
    <w:rsid w:val="00F115C0"/>
    <w:rsid w:val="00F133A4"/>
    <w:rsid w:val="00F13583"/>
    <w:rsid w:val="00F15587"/>
    <w:rsid w:val="00F1744D"/>
    <w:rsid w:val="00F17897"/>
    <w:rsid w:val="00F209C8"/>
    <w:rsid w:val="00F239CC"/>
    <w:rsid w:val="00F2437E"/>
    <w:rsid w:val="00F258FF"/>
    <w:rsid w:val="00F36578"/>
    <w:rsid w:val="00F5290F"/>
    <w:rsid w:val="00F53E62"/>
    <w:rsid w:val="00F57EB0"/>
    <w:rsid w:val="00F67A4B"/>
    <w:rsid w:val="00F7056B"/>
    <w:rsid w:val="00F726D3"/>
    <w:rsid w:val="00FA4154"/>
    <w:rsid w:val="00FA4636"/>
    <w:rsid w:val="00FA655F"/>
    <w:rsid w:val="00FB1767"/>
    <w:rsid w:val="00FB3E00"/>
    <w:rsid w:val="00FB7C3A"/>
    <w:rsid w:val="00FC210C"/>
    <w:rsid w:val="00FC3FBB"/>
    <w:rsid w:val="00FD35F1"/>
    <w:rsid w:val="00FD67A8"/>
    <w:rsid w:val="00FD75FE"/>
    <w:rsid w:val="00FE17DF"/>
    <w:rsid w:val="00FE1BFA"/>
    <w:rsid w:val="00FF0B57"/>
    <w:rsid w:val="00FF3202"/>
    <w:rsid w:val="00FF5AC2"/>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1440"/>
      </w:tabs>
    </w:pPr>
    <w:rPr>
      <w:sz w:val="24"/>
      <w:szCs w:val="24"/>
    </w:rPr>
  </w:style>
  <w:style w:type="paragraph" w:styleId="Heading1">
    <w:name w:val="heading 1"/>
    <w:basedOn w:val="Normal"/>
    <w:next w:val="Heading2"/>
    <w:link w:val="Heading1Char"/>
    <w:qFormat/>
    <w:pPr>
      <w:keepNext/>
      <w:spacing w:after="240"/>
      <w:ind w:left="1440" w:hanging="1440"/>
      <w:outlineLvl w:val="0"/>
    </w:pPr>
    <w:rPr>
      <w:b/>
      <w:bCs/>
      <w:caps/>
      <w:lang/>
    </w:rPr>
  </w:style>
  <w:style w:type="paragraph" w:styleId="Heading2">
    <w:name w:val="heading 2"/>
    <w:basedOn w:val="Normal"/>
    <w:next w:val="BodyText"/>
    <w:link w:val="Heading2Char"/>
    <w:qFormat/>
    <w:pPr>
      <w:keepNext/>
      <w:spacing w:after="240"/>
      <w:ind w:left="1440" w:hanging="1440"/>
      <w:outlineLvl w:val="1"/>
    </w:pPr>
    <w:rPr>
      <w:b/>
      <w:bCs/>
      <w:caps/>
      <w:lang/>
    </w:rPr>
  </w:style>
  <w:style w:type="paragraph" w:styleId="Heading3">
    <w:name w:val="heading 3"/>
    <w:basedOn w:val="Normal"/>
    <w:next w:val="BodyText"/>
    <w:qFormat/>
    <w:pPr>
      <w:keepNext/>
      <w:spacing w:after="240"/>
      <w:ind w:left="1440" w:hanging="1440"/>
      <w:outlineLvl w:val="2"/>
    </w:pPr>
    <w:rPr>
      <w:b/>
      <w:bCs/>
      <w:caps/>
    </w:rPr>
  </w:style>
  <w:style w:type="paragraph" w:styleId="Heading4">
    <w:name w:val="heading 4"/>
    <w:basedOn w:val="Normal"/>
    <w:next w:val="BodyText"/>
    <w:link w:val="Heading4Char"/>
    <w:qFormat/>
    <w:pPr>
      <w:keepNext/>
      <w:spacing w:after="240"/>
      <w:ind w:left="1440" w:hanging="1440"/>
      <w:outlineLvl w:val="3"/>
    </w:pPr>
    <w:rPr>
      <w:b/>
      <w:bCs/>
      <w:caps/>
    </w:rPr>
  </w:style>
  <w:style w:type="paragraph" w:styleId="Heading5">
    <w:name w:val="heading 5"/>
    <w:basedOn w:val="Normal"/>
    <w:next w:val="BodyText"/>
    <w:qFormat/>
    <w:pPr>
      <w:keepNext/>
      <w:spacing w:after="240"/>
      <w:ind w:left="1440" w:hanging="1440"/>
      <w:outlineLvl w:val="4"/>
    </w:pPr>
    <w:rPr>
      <w:b/>
      <w:bCs/>
      <w:caps/>
    </w:rPr>
  </w:style>
  <w:style w:type="paragraph" w:styleId="Heading6">
    <w:name w:val="heading 6"/>
    <w:basedOn w:val="Normal"/>
    <w:next w:val="BodyText"/>
    <w:qFormat/>
    <w:pPr>
      <w:keepNext/>
      <w:spacing w:after="240"/>
      <w:ind w:left="1440" w:hanging="1440"/>
      <w:outlineLvl w:val="5"/>
    </w:pPr>
    <w:rPr>
      <w:b/>
      <w:bCs/>
      <w:caps/>
    </w:rPr>
  </w:style>
  <w:style w:type="paragraph" w:styleId="Heading7">
    <w:name w:val="heading 7"/>
    <w:basedOn w:val="Normal"/>
    <w:next w:val="BodyText"/>
    <w:qFormat/>
    <w:pPr>
      <w:spacing w:after="240"/>
      <w:ind w:left="1440" w:hanging="1440"/>
      <w:outlineLvl w:val="6"/>
    </w:pPr>
    <w:rPr>
      <w:b/>
      <w:bCs/>
      <w:smallCaps/>
    </w:rPr>
  </w:style>
  <w:style w:type="paragraph" w:styleId="Heading8">
    <w:name w:val="heading 8"/>
    <w:basedOn w:val="Normal"/>
    <w:next w:val="Normal"/>
    <w:qFormat/>
    <w:pPr>
      <w:spacing w:after="240"/>
      <w:ind w:left="1440" w:hanging="1440"/>
      <w:outlineLvl w:val="7"/>
    </w:pPr>
    <w:rPr>
      <w:b/>
      <w:bCs/>
      <w:smallCaps/>
    </w:rPr>
  </w:style>
  <w:style w:type="paragraph" w:styleId="Heading9">
    <w:name w:val="heading 9"/>
    <w:basedOn w:val="Normal"/>
    <w:next w:val="Normal"/>
    <w:qFormat/>
    <w:pPr>
      <w:spacing w:before="240" w:after="60"/>
      <w:ind w:left="1440" w:hanging="1440"/>
      <w:outlineLvl w:val="8"/>
    </w:pPr>
    <w:rPr>
      <w:b/>
      <w:bCs/>
      <w:smallCap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Normal"/>
    <w:next w:val="Normal"/>
    <w:autoRedefine/>
    <w:uiPriority w:val="39"/>
    <w:pPr>
      <w:tabs>
        <w:tab w:val="clear" w:pos="1440"/>
      </w:tabs>
      <w:spacing w:before="120" w:after="120"/>
    </w:pPr>
    <w:rPr>
      <w:b/>
      <w:bCs/>
      <w:caps/>
      <w:sz w:val="20"/>
      <w:szCs w:val="20"/>
    </w:rPr>
  </w:style>
  <w:style w:type="paragraph" w:styleId="BodyText">
    <w:name w:val="Body Text"/>
    <w:basedOn w:val="Normal"/>
    <w:pPr>
      <w:numPr>
        <w:numId w:val="16"/>
      </w:numPr>
      <w:tabs>
        <w:tab w:val="clear" w:pos="360"/>
        <w:tab w:val="clear" w:pos="1440"/>
        <w:tab w:val="num" w:pos="757"/>
        <w:tab w:val="num" w:pos="851"/>
      </w:tabs>
      <w:spacing w:after="240"/>
      <w:ind w:left="737" w:hanging="340"/>
    </w:pPr>
  </w:style>
  <w:style w:type="paragraph" w:styleId="ListBullet">
    <w:name w:val="List Bullet"/>
    <w:basedOn w:val="Normal"/>
    <w:pPr>
      <w:numPr>
        <w:numId w:val="17"/>
      </w:numPr>
      <w:tabs>
        <w:tab w:val="clear" w:pos="360"/>
        <w:tab w:val="num" w:pos="757"/>
      </w:tabs>
      <w:spacing w:after="120"/>
    </w:pPr>
  </w:style>
  <w:style w:type="paragraph" w:customStyle="1" w:styleId="ScheduleBody">
    <w:name w:val="Schedule Body"/>
    <w:basedOn w:val="Normal"/>
    <w:next w:val="Normal"/>
    <w:link w:val="ScheduleBodyChar"/>
    <w:pPr>
      <w:tabs>
        <w:tab w:val="clear" w:pos="1440"/>
      </w:tabs>
      <w:spacing w:after="240"/>
      <w:ind w:left="851" w:hanging="851"/>
    </w:pPr>
  </w:style>
  <w:style w:type="paragraph" w:customStyle="1" w:styleId="Schedulea">
    <w:name w:val="Schedule (a)"/>
    <w:basedOn w:val="ScheduleBody"/>
    <w:link w:val="ScheduleaChar"/>
    <w:pPr>
      <w:tabs>
        <w:tab w:val="left" w:pos="1418"/>
      </w:tabs>
      <w:ind w:left="1418" w:right="1418" w:hanging="567"/>
    </w:pPr>
  </w:style>
  <w:style w:type="paragraph" w:customStyle="1" w:styleId="Schedulei">
    <w:name w:val="Schedule (i)"/>
    <w:basedOn w:val="Schedulea"/>
    <w:pPr>
      <w:tabs>
        <w:tab w:val="clear" w:pos="1418"/>
        <w:tab w:val="left" w:pos="2268"/>
      </w:tabs>
      <w:ind w:left="2268" w:hanging="850"/>
    </w:pPr>
  </w:style>
  <w:style w:type="paragraph" w:customStyle="1" w:styleId="AppendixE2">
    <w:name w:val="Appendix E2"/>
    <w:basedOn w:val="Normal"/>
    <w:pPr>
      <w:tabs>
        <w:tab w:val="clear" w:pos="1440"/>
        <w:tab w:val="left" w:leader="dot" w:pos="5103"/>
      </w:tabs>
    </w:pPr>
  </w:style>
  <w:style w:type="paragraph" w:styleId="TOC2">
    <w:name w:val="toc 2"/>
    <w:basedOn w:val="Normal"/>
    <w:next w:val="Normal"/>
    <w:autoRedefine/>
    <w:uiPriority w:val="39"/>
    <w:pPr>
      <w:tabs>
        <w:tab w:val="clear" w:pos="1440"/>
      </w:tabs>
      <w:ind w:left="240"/>
    </w:pPr>
    <w:rPr>
      <w:smallCaps/>
      <w:sz w:val="20"/>
      <w:szCs w:val="20"/>
    </w:rPr>
  </w:style>
  <w:style w:type="paragraph" w:styleId="TOC3">
    <w:name w:val="toc 3"/>
    <w:basedOn w:val="Normal"/>
    <w:next w:val="Normal"/>
    <w:autoRedefine/>
    <w:semiHidden/>
    <w:pPr>
      <w:tabs>
        <w:tab w:val="clear" w:pos="1440"/>
      </w:tabs>
      <w:ind w:left="480"/>
    </w:pPr>
    <w:rPr>
      <w:i/>
      <w:iCs/>
      <w:sz w:val="20"/>
      <w:szCs w:val="20"/>
    </w:rPr>
  </w:style>
  <w:style w:type="paragraph" w:styleId="TOC4">
    <w:name w:val="toc 4"/>
    <w:basedOn w:val="Normal"/>
    <w:next w:val="Normal"/>
    <w:autoRedefine/>
    <w:semiHidden/>
    <w:pPr>
      <w:tabs>
        <w:tab w:val="clear" w:pos="1440"/>
      </w:tabs>
      <w:ind w:left="720"/>
    </w:pPr>
    <w:rPr>
      <w:sz w:val="18"/>
      <w:szCs w:val="18"/>
    </w:rPr>
  </w:style>
  <w:style w:type="paragraph" w:styleId="TOC5">
    <w:name w:val="toc 5"/>
    <w:basedOn w:val="Normal"/>
    <w:next w:val="Normal"/>
    <w:autoRedefine/>
    <w:semiHidden/>
    <w:pPr>
      <w:tabs>
        <w:tab w:val="clear" w:pos="1440"/>
      </w:tabs>
      <w:ind w:left="960"/>
    </w:pPr>
    <w:rPr>
      <w:sz w:val="18"/>
      <w:szCs w:val="18"/>
    </w:rPr>
  </w:style>
  <w:style w:type="paragraph" w:styleId="TOC6">
    <w:name w:val="toc 6"/>
    <w:basedOn w:val="Normal"/>
    <w:next w:val="Normal"/>
    <w:autoRedefine/>
    <w:semiHidden/>
    <w:pPr>
      <w:tabs>
        <w:tab w:val="clear" w:pos="1440"/>
      </w:tabs>
      <w:ind w:left="1200"/>
    </w:pPr>
    <w:rPr>
      <w:sz w:val="18"/>
      <w:szCs w:val="18"/>
    </w:rPr>
  </w:style>
  <w:style w:type="paragraph" w:styleId="TOC7">
    <w:name w:val="toc 7"/>
    <w:basedOn w:val="Normal"/>
    <w:next w:val="Normal"/>
    <w:autoRedefine/>
    <w:semiHidden/>
    <w:pPr>
      <w:tabs>
        <w:tab w:val="clear" w:pos="1440"/>
      </w:tabs>
      <w:ind w:left="1440"/>
    </w:pPr>
    <w:rPr>
      <w:sz w:val="18"/>
      <w:szCs w:val="18"/>
    </w:rPr>
  </w:style>
  <w:style w:type="paragraph" w:styleId="TOC8">
    <w:name w:val="toc 8"/>
    <w:basedOn w:val="Normal"/>
    <w:next w:val="Normal"/>
    <w:autoRedefine/>
    <w:semiHidden/>
    <w:pPr>
      <w:tabs>
        <w:tab w:val="clear" w:pos="1440"/>
      </w:tabs>
      <w:ind w:left="1680"/>
    </w:pPr>
    <w:rPr>
      <w:sz w:val="18"/>
      <w:szCs w:val="18"/>
    </w:rPr>
  </w:style>
  <w:style w:type="paragraph" w:styleId="TOC9">
    <w:name w:val="toc 9"/>
    <w:basedOn w:val="Normal"/>
    <w:next w:val="Normal"/>
    <w:autoRedefine/>
    <w:semiHidden/>
    <w:pPr>
      <w:tabs>
        <w:tab w:val="clear" w:pos="1440"/>
      </w:tabs>
      <w:ind w:left="1920"/>
    </w:pPr>
    <w:rPr>
      <w:sz w:val="18"/>
      <w:szCs w:val="18"/>
    </w:rPr>
  </w:style>
  <w:style w:type="paragraph" w:styleId="Header">
    <w:name w:val="header"/>
    <w:basedOn w:val="Normal"/>
    <w:link w:val="HeaderChar"/>
    <w:pPr>
      <w:tabs>
        <w:tab w:val="clear" w:pos="1440"/>
        <w:tab w:val="center" w:pos="4320"/>
        <w:tab w:val="right" w:pos="8640"/>
      </w:tabs>
    </w:pPr>
    <w:rPr>
      <w:lang/>
    </w:rPr>
  </w:style>
  <w:style w:type="paragraph" w:styleId="Footer">
    <w:name w:val="footer"/>
    <w:basedOn w:val="Normal"/>
    <w:pPr>
      <w:tabs>
        <w:tab w:val="clear" w:pos="1440"/>
        <w:tab w:val="center" w:pos="4320"/>
        <w:tab w:val="right" w:pos="8640"/>
      </w:tabs>
    </w:pPr>
  </w:style>
  <w:style w:type="paragraph" w:customStyle="1" w:styleId="Gazettea">
    <w:name w:val="Gazette (a)"/>
    <w:basedOn w:val="Normal"/>
    <w:pPr>
      <w:ind w:left="567" w:hanging="567"/>
    </w:pPr>
  </w:style>
  <w:style w:type="paragraph" w:customStyle="1" w:styleId="ActionBullet">
    <w:name w:val="Action Bullet"/>
    <w:basedOn w:val="Normal"/>
    <w:pPr>
      <w:numPr>
        <w:numId w:val="15"/>
      </w:numPr>
      <w:tabs>
        <w:tab w:val="num" w:pos="757"/>
      </w:tabs>
      <w:spacing w:after="240"/>
      <w:ind w:left="737" w:hanging="340"/>
    </w:pPr>
    <w:rPr>
      <w:i/>
      <w:iCs/>
    </w:rPr>
  </w:style>
  <w:style w:type="paragraph" w:customStyle="1" w:styleId="AppendixXPart1">
    <w:name w:val="Appendix X Part 1"/>
    <w:aliases w:val="2 - Codes"/>
    <w:basedOn w:val="Normal"/>
    <w:pPr>
      <w:keepLines/>
      <w:tabs>
        <w:tab w:val="clear" w:pos="1440"/>
        <w:tab w:val="left" w:pos="851"/>
      </w:tabs>
      <w:spacing w:after="240"/>
      <w:ind w:left="851" w:hanging="851"/>
    </w:pPr>
  </w:style>
  <w:style w:type="paragraph" w:customStyle="1" w:styleId="AppendixF3">
    <w:name w:val="Appendix F3"/>
    <w:basedOn w:val="Normal"/>
    <w:next w:val="Normal"/>
    <w:link w:val="AppendixF3Char"/>
    <w:autoRedefine/>
    <w:rsid w:val="0087726B"/>
    <w:pPr>
      <w:tabs>
        <w:tab w:val="clear" w:pos="1440"/>
        <w:tab w:val="left" w:pos="709"/>
        <w:tab w:val="left" w:pos="851"/>
        <w:tab w:val="left" w:leader="dot" w:pos="5103"/>
      </w:tabs>
    </w:pPr>
    <w:rPr>
      <w:sz w:val="23"/>
      <w:szCs w:val="23"/>
    </w:rPr>
  </w:style>
  <w:style w:type="paragraph" w:customStyle="1" w:styleId="AppendixA">
    <w:name w:val="Appendix A"/>
    <w:basedOn w:val="Normal"/>
    <w:next w:val="Normal"/>
    <w:pPr>
      <w:spacing w:after="240"/>
      <w:ind w:left="851" w:hanging="851"/>
    </w:pPr>
  </w:style>
  <w:style w:type="paragraph" w:customStyle="1" w:styleId="AppendixG">
    <w:name w:val="Appendix G"/>
    <w:basedOn w:val="Normal"/>
    <w:next w:val="Normal"/>
    <w:pPr>
      <w:tabs>
        <w:tab w:val="clear" w:pos="1440"/>
        <w:tab w:val="left" w:pos="5103"/>
      </w:tabs>
    </w:pPr>
  </w:style>
  <w:style w:type="character" w:styleId="Hyperlink">
    <w:name w:val="Hyperlink"/>
    <w:rPr>
      <w:color w:val="0000FF"/>
      <w:u w:val="single"/>
    </w:rPr>
  </w:style>
  <w:style w:type="character" w:styleId="PageNumber">
    <w:name w:val="page number"/>
    <w:basedOn w:val="DefaultParagraphFont"/>
  </w:style>
  <w:style w:type="paragraph" w:styleId="PlainText">
    <w:name w:val="Plain Text"/>
    <w:basedOn w:val="Normal"/>
    <w:pPr>
      <w:tabs>
        <w:tab w:val="clear" w:pos="1440"/>
      </w:tabs>
    </w:pPr>
    <w:rPr>
      <w:rFonts w:ascii="Courier New" w:hAnsi="Courier New" w:cs="Courier New"/>
      <w:sz w:val="20"/>
      <w:szCs w:val="20"/>
      <w:lang w:eastAsia="en-US"/>
    </w:rPr>
  </w:style>
  <w:style w:type="character" w:styleId="FollowedHyperlink">
    <w:name w:val="FollowedHyperlink"/>
    <w:rPr>
      <w:color w:val="800080"/>
      <w:u w:val="single"/>
    </w:rPr>
  </w:style>
  <w:style w:type="paragraph" w:customStyle="1" w:styleId="GazetteXX">
    <w:name w:val="Gazette X.X"/>
    <w:basedOn w:val="Normal"/>
    <w:pPr>
      <w:ind w:left="567" w:hanging="567"/>
    </w:pPr>
  </w:style>
  <w:style w:type="paragraph" w:customStyle="1" w:styleId="ScheduleA0">
    <w:name w:val="Schedule (A)"/>
    <w:basedOn w:val="Schedulei"/>
    <w:pPr>
      <w:tabs>
        <w:tab w:val="clear" w:pos="2268"/>
        <w:tab w:val="left" w:pos="2977"/>
      </w:tabs>
      <w:ind w:left="2977" w:hanging="709"/>
    </w:pPr>
    <w:rPr>
      <w:lang w:eastAsia="en-US"/>
    </w:rPr>
  </w:style>
  <w:style w:type="paragraph" w:customStyle="1" w:styleId="ScheduleWS">
    <w:name w:val="Schedule WS"/>
    <w:basedOn w:val="Schedulei"/>
    <w:pPr>
      <w:spacing w:after="0"/>
      <w:ind w:left="2269" w:hanging="851"/>
    </w:pPr>
  </w:style>
  <w:style w:type="paragraph" w:customStyle="1" w:styleId="schedbody">
    <w:name w:val="sched body"/>
    <w:basedOn w:val="BodyText"/>
    <w:next w:val="Normal"/>
    <w:rsid w:val="00AF388F"/>
    <w:pPr>
      <w:widowControl w:val="0"/>
      <w:numPr>
        <w:numId w:val="0"/>
      </w:numPr>
      <w:tabs>
        <w:tab w:val="left" w:pos="624"/>
        <w:tab w:val="left" w:pos="1134"/>
        <w:tab w:val="right" w:pos="1871"/>
        <w:tab w:val="left" w:pos="2154"/>
        <w:tab w:val="left" w:pos="2494"/>
        <w:tab w:val="left" w:pos="3005"/>
        <w:tab w:val="left" w:pos="3969"/>
      </w:tabs>
      <w:spacing w:after="0"/>
      <w:ind w:left="624" w:hanging="624"/>
    </w:pPr>
    <w:rPr>
      <w:rFonts w:ascii="Times" w:hAnsi="Times" w:cs="Times"/>
      <w:sz w:val="20"/>
      <w:szCs w:val="20"/>
      <w:lang w:val="en-US" w:eastAsia="en-US"/>
    </w:rPr>
  </w:style>
  <w:style w:type="paragraph" w:customStyle="1" w:styleId="schedindenta">
    <w:name w:val="sched indent (a)"/>
    <w:basedOn w:val="schedbody"/>
    <w:rsid w:val="00AF388F"/>
    <w:pPr>
      <w:ind w:left="1133" w:hanging="1133"/>
    </w:pPr>
  </w:style>
  <w:style w:type="character" w:customStyle="1" w:styleId="ScheduleBodyChar">
    <w:name w:val="Schedule Body Char"/>
    <w:link w:val="ScheduleBody"/>
    <w:locked/>
    <w:rsid w:val="00C54C45"/>
    <w:rPr>
      <w:sz w:val="24"/>
      <w:szCs w:val="24"/>
      <w:lang w:val="en-AU" w:eastAsia="en-AU"/>
    </w:rPr>
  </w:style>
  <w:style w:type="character" w:customStyle="1" w:styleId="ScheduleaChar">
    <w:name w:val="Schedule (a) Char"/>
    <w:basedOn w:val="ScheduleBodyChar"/>
    <w:link w:val="Schedulea"/>
    <w:locked/>
    <w:rsid w:val="00C54C45"/>
  </w:style>
  <w:style w:type="character" w:customStyle="1" w:styleId="AppendixF3Char">
    <w:name w:val="Appendix F3 Char"/>
    <w:link w:val="AppendixF3"/>
    <w:locked/>
    <w:rsid w:val="0087726B"/>
    <w:rPr>
      <w:sz w:val="23"/>
      <w:szCs w:val="23"/>
      <w:lang w:val="en-AU" w:eastAsia="en-AU" w:bidi="ar-SA"/>
    </w:rPr>
  </w:style>
  <w:style w:type="paragraph" w:styleId="BalloonText">
    <w:name w:val="Balloon Text"/>
    <w:basedOn w:val="Normal"/>
    <w:semiHidden/>
    <w:rsid w:val="00FF5AC2"/>
    <w:rPr>
      <w:rFonts w:ascii="Tahoma" w:hAnsi="Tahoma" w:cs="Tahoma"/>
      <w:sz w:val="16"/>
      <w:szCs w:val="16"/>
    </w:rPr>
  </w:style>
  <w:style w:type="paragraph" w:styleId="NormalWeb">
    <w:name w:val="Normal (Web)"/>
    <w:basedOn w:val="Normal"/>
    <w:rsid w:val="00250228"/>
    <w:pPr>
      <w:tabs>
        <w:tab w:val="clear" w:pos="1440"/>
      </w:tabs>
      <w:spacing w:before="100" w:beforeAutospacing="1" w:after="100" w:afterAutospacing="1"/>
    </w:pPr>
  </w:style>
  <w:style w:type="character" w:styleId="CommentReference">
    <w:name w:val="annotation reference"/>
    <w:semiHidden/>
    <w:rsid w:val="0036018B"/>
    <w:rPr>
      <w:sz w:val="16"/>
      <w:szCs w:val="16"/>
    </w:rPr>
  </w:style>
  <w:style w:type="paragraph" w:styleId="CommentText">
    <w:name w:val="annotation text"/>
    <w:basedOn w:val="Normal"/>
    <w:semiHidden/>
    <w:rsid w:val="0036018B"/>
    <w:rPr>
      <w:sz w:val="20"/>
      <w:szCs w:val="20"/>
    </w:rPr>
  </w:style>
  <w:style w:type="paragraph" w:styleId="CommentSubject">
    <w:name w:val="annotation subject"/>
    <w:basedOn w:val="CommentText"/>
    <w:next w:val="CommentText"/>
    <w:semiHidden/>
    <w:rsid w:val="0036018B"/>
    <w:rPr>
      <w:b/>
      <w:bCs/>
    </w:rPr>
  </w:style>
  <w:style w:type="character" w:customStyle="1" w:styleId="CharChar">
    <w:name w:val=" Char Char"/>
    <w:rsid w:val="00A80DDD"/>
    <w:rPr>
      <w:sz w:val="24"/>
      <w:lang w:val="en-AU" w:eastAsia="en-AU" w:bidi="ar-SA"/>
    </w:rPr>
  </w:style>
  <w:style w:type="character" w:customStyle="1" w:styleId="Heading4Char">
    <w:name w:val="Heading 4 Char"/>
    <w:link w:val="Heading4"/>
    <w:rsid w:val="009D2B94"/>
    <w:rPr>
      <w:b/>
      <w:bCs/>
      <w:caps/>
      <w:sz w:val="24"/>
      <w:szCs w:val="24"/>
      <w:lang w:val="en-AU" w:eastAsia="en-AU" w:bidi="ar-SA"/>
    </w:rPr>
  </w:style>
  <w:style w:type="paragraph" w:customStyle="1" w:styleId="Char1">
    <w:name w:val=" Char1"/>
    <w:basedOn w:val="Normal"/>
    <w:rsid w:val="00766674"/>
    <w:pPr>
      <w:tabs>
        <w:tab w:val="clear" w:pos="1440"/>
      </w:tabs>
    </w:pPr>
    <w:rPr>
      <w:rFonts w:ascii="Arial" w:hAnsi="Arial" w:cs="Arial"/>
      <w:sz w:val="22"/>
      <w:szCs w:val="22"/>
      <w:lang w:eastAsia="en-US"/>
    </w:rPr>
  </w:style>
  <w:style w:type="character" w:customStyle="1" w:styleId="Heading1Char">
    <w:name w:val="Heading 1 Char"/>
    <w:link w:val="Heading1"/>
    <w:rsid w:val="005A1F81"/>
    <w:rPr>
      <w:b/>
      <w:bCs/>
      <w:caps/>
      <w:sz w:val="24"/>
      <w:szCs w:val="24"/>
    </w:rPr>
  </w:style>
  <w:style w:type="character" w:customStyle="1" w:styleId="Heading2Char">
    <w:name w:val="Heading 2 Char"/>
    <w:link w:val="Heading2"/>
    <w:rsid w:val="005A1F81"/>
    <w:rPr>
      <w:b/>
      <w:bCs/>
      <w:caps/>
      <w:sz w:val="24"/>
      <w:szCs w:val="24"/>
    </w:rPr>
  </w:style>
  <w:style w:type="character" w:customStyle="1" w:styleId="HeaderChar">
    <w:name w:val="Header Char"/>
    <w:link w:val="Header"/>
    <w:rsid w:val="005A1F81"/>
    <w:rPr>
      <w:sz w:val="24"/>
      <w:szCs w:val="24"/>
    </w:rPr>
  </w:style>
</w:styles>
</file>

<file path=word/webSettings.xml><?xml version="1.0" encoding="utf-8"?>
<w:webSettings xmlns:r="http://schemas.openxmlformats.org/officeDocument/2006/relationships" xmlns:w="http://schemas.openxmlformats.org/wordprocessingml/2006/main">
  <w:divs>
    <w:div w:id="1909850632">
      <w:bodyDiv w:val="1"/>
      <w:marLeft w:val="0"/>
      <w:marRight w:val="0"/>
      <w:marTop w:val="0"/>
      <w:marBottom w:val="0"/>
      <w:divBdr>
        <w:top w:val="none" w:sz="0" w:space="0" w:color="auto"/>
        <w:left w:val="none" w:sz="0" w:space="0" w:color="auto"/>
        <w:bottom w:val="none" w:sz="0" w:space="0" w:color="auto"/>
        <w:right w:val="none" w:sz="0" w:space="0" w:color="auto"/>
      </w:divBdr>
      <w:divsChild>
        <w:div w:id="1152212564">
          <w:marLeft w:val="0"/>
          <w:marRight w:val="0"/>
          <w:marTop w:val="0"/>
          <w:marBottom w:val="0"/>
          <w:divBdr>
            <w:top w:val="none" w:sz="0" w:space="0" w:color="auto"/>
            <w:left w:val="none" w:sz="0" w:space="0" w:color="auto"/>
            <w:bottom w:val="none" w:sz="0" w:space="0" w:color="auto"/>
            <w:right w:val="none" w:sz="0" w:space="0" w:color="auto"/>
          </w:divBdr>
          <w:divsChild>
            <w:div w:id="177531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MP@health.gov.au" TargetMode="Externa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S:\CO\TGA\CNPD\POISONS\SECTION\Templates\Amendment%20to%20SUSD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BD9EC-4572-4921-B553-2371CE9F1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Amendment to SUSDP</Template>
  <TotalTime>1</TotalTime>
  <Pages>6</Pages>
  <Words>928</Words>
  <Characters>5442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NDPSC Master Template</vt:lpstr>
    </vt:vector>
  </TitlesOfParts>
  <Company>DHA</Company>
  <LinksUpToDate>false</LinksUpToDate>
  <CharactersWithSpaces>6358</CharactersWithSpaces>
  <SharedDoc>false</SharedDoc>
  <HLinks>
    <vt:vector size="6" baseType="variant">
      <vt:variant>
        <vt:i4>393334</vt:i4>
      </vt:variant>
      <vt:variant>
        <vt:i4>0</vt:i4>
      </vt:variant>
      <vt:variant>
        <vt:i4>0</vt:i4>
      </vt:variant>
      <vt:variant>
        <vt:i4>5</vt:i4>
      </vt:variant>
      <vt:variant>
        <vt:lpwstr>mailto:SMP@health.gov.au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NDPSC Master Template</dc:title>
  <dc:creator>lumley</dc:creator>
  <cp:lastModifiedBy>Carter, Bless</cp:lastModifiedBy>
  <cp:revision>2</cp:revision>
  <cp:lastPrinted>2012-08-07T05:58:00Z</cp:lastPrinted>
  <dcterms:created xsi:type="dcterms:W3CDTF">2012-08-14T01:22:00Z</dcterms:created>
  <dcterms:modified xsi:type="dcterms:W3CDTF">2012-08-14T01:22:00Z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