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C2" w:rsidRPr="00026A50" w:rsidRDefault="00D95CC2" w:rsidP="00D95CC2">
      <w:pPr>
        <w:ind w:right="91"/>
        <w:jc w:val="center"/>
      </w:pPr>
      <w:bookmarkStart w:id="0" w:name="_GoBack"/>
      <w:bookmarkEnd w:id="0"/>
      <w:r w:rsidRPr="00026A50">
        <w:rPr>
          <w:b/>
          <w:u w:val="single"/>
        </w:rPr>
        <w:t>EXPLANATORY STATEMENT</w:t>
      </w:r>
    </w:p>
    <w:p w:rsidR="00D95CC2" w:rsidRPr="00026A50" w:rsidRDefault="00D95CC2" w:rsidP="00D95CC2">
      <w:pPr>
        <w:ind w:right="91"/>
        <w:jc w:val="center"/>
      </w:pPr>
    </w:p>
    <w:p w:rsidR="00D95CC2" w:rsidRPr="00026A50" w:rsidRDefault="004B7F81" w:rsidP="004B7F81">
      <w:pPr>
        <w:pStyle w:val="Heading6"/>
        <w:spacing w:before="0"/>
        <w:jc w:val="center"/>
        <w:rPr>
          <w:b/>
        </w:rPr>
      </w:pPr>
      <w:r w:rsidRPr="00026A50">
        <w:rPr>
          <w:b/>
        </w:rPr>
        <w:t>Select Legislative Instrument 2012 No. 202</w:t>
      </w:r>
    </w:p>
    <w:p w:rsidR="00D95CC2" w:rsidRPr="00026A50" w:rsidRDefault="00D95CC2" w:rsidP="00D95CC2">
      <w:pPr>
        <w:ind w:right="91"/>
      </w:pPr>
    </w:p>
    <w:p w:rsidR="00D95CC2" w:rsidRPr="00026A50" w:rsidRDefault="00D95CC2" w:rsidP="00D95CC2">
      <w:pPr>
        <w:ind w:left="1440" w:right="91" w:hanging="1440"/>
        <w:rPr>
          <w:i/>
        </w:rPr>
      </w:pPr>
      <w:r w:rsidRPr="00026A50">
        <w:t>Subject -</w:t>
      </w:r>
      <w:r w:rsidRPr="00026A50">
        <w:tab/>
      </w:r>
      <w:r w:rsidRPr="00026A50">
        <w:rPr>
          <w:i/>
        </w:rPr>
        <w:t>Retirement Savings Accounts Act 1997</w:t>
      </w:r>
    </w:p>
    <w:p w:rsidR="00D95CC2" w:rsidRPr="00026A50" w:rsidRDefault="00D95CC2" w:rsidP="00D95CC2">
      <w:pPr>
        <w:ind w:left="1440" w:right="91" w:hanging="1440"/>
      </w:pPr>
    </w:p>
    <w:p w:rsidR="00D95CC2" w:rsidRPr="00026A50" w:rsidRDefault="00D95CC2" w:rsidP="00D95CC2">
      <w:pPr>
        <w:ind w:right="91"/>
        <w:rPr>
          <w:i/>
        </w:rPr>
      </w:pPr>
      <w:r w:rsidRPr="00026A50">
        <w:rPr>
          <w:i/>
        </w:rPr>
        <w:tab/>
      </w:r>
      <w:r w:rsidRPr="00026A50">
        <w:rPr>
          <w:i/>
        </w:rPr>
        <w:tab/>
        <w:t xml:space="preserve">Retirement Savings Accounts </w:t>
      </w:r>
      <w:r w:rsidR="004B7F81" w:rsidRPr="00026A50">
        <w:rPr>
          <w:i/>
        </w:rPr>
        <w:t>Amendment Regulation 2012 (No. 2</w:t>
      </w:r>
      <w:r w:rsidRPr="00026A50">
        <w:rPr>
          <w:i/>
        </w:rPr>
        <w:t>)</w:t>
      </w:r>
    </w:p>
    <w:p w:rsidR="00D95CC2" w:rsidRPr="00026A50" w:rsidRDefault="00D95CC2" w:rsidP="00D95CC2"/>
    <w:p w:rsidR="00D95CC2" w:rsidRPr="00026A50" w:rsidRDefault="00D95CC2" w:rsidP="00D95CC2">
      <w:pPr>
        <w:ind w:right="91"/>
      </w:pPr>
    </w:p>
    <w:p w:rsidR="00D95CC2" w:rsidRPr="00026A50" w:rsidRDefault="00D95CC2" w:rsidP="00D95CC2">
      <w:pPr>
        <w:ind w:right="91"/>
        <w:rPr>
          <w:szCs w:val="24"/>
        </w:rPr>
      </w:pPr>
      <w:r w:rsidRPr="00026A50">
        <w:rPr>
          <w:szCs w:val="24"/>
        </w:rPr>
        <w:t xml:space="preserve">Subsection 200(1) of the </w:t>
      </w:r>
      <w:r w:rsidRPr="00026A50">
        <w:rPr>
          <w:i/>
          <w:iCs/>
          <w:szCs w:val="24"/>
        </w:rPr>
        <w:t>Retirement Savings Accounts Act 1997</w:t>
      </w:r>
      <w:r w:rsidRPr="00026A50">
        <w:rPr>
          <w:szCs w:val="24"/>
        </w:rPr>
        <w:t xml:space="preserve"> </w:t>
      </w:r>
      <w:r w:rsidRPr="00026A50">
        <w:t xml:space="preserve">(the RSAA 1997) </w:t>
      </w:r>
      <w:r w:rsidRPr="00026A50">
        <w:rPr>
          <w:szCs w:val="24"/>
        </w:rPr>
        <w:t xml:space="preserve">provides in part that the Governor-General may make regulations prescribing matters required or permitted by the </w:t>
      </w:r>
      <w:r w:rsidRPr="00026A50">
        <w:t xml:space="preserve">RSAA 1997 </w:t>
      </w:r>
      <w:r w:rsidRPr="00026A50">
        <w:rPr>
          <w:szCs w:val="24"/>
        </w:rPr>
        <w:t xml:space="preserve">to be prescribed, or necessary or convenient to be prescribed for carrying out or giving effect to the </w:t>
      </w:r>
      <w:r w:rsidRPr="00026A50">
        <w:t>RSAA 1997</w:t>
      </w:r>
      <w:r w:rsidRPr="00026A50">
        <w:rPr>
          <w:szCs w:val="24"/>
        </w:rPr>
        <w:t>.</w:t>
      </w:r>
    </w:p>
    <w:p w:rsidR="00D95CC2" w:rsidRPr="00026A50" w:rsidRDefault="00D95CC2" w:rsidP="00D95CC2">
      <w:pPr>
        <w:ind w:right="91"/>
      </w:pPr>
    </w:p>
    <w:p w:rsidR="00D95CC2" w:rsidRPr="00026A50" w:rsidRDefault="00D95CC2" w:rsidP="00D95CC2">
      <w:pPr>
        <w:ind w:right="91"/>
      </w:pPr>
      <w:r w:rsidRPr="00026A50">
        <w:t xml:space="preserve">The purpose of these amendments is to support the refund of excess concessional contributions (the refund) measure. The refund measure provides that the Commissioner of Taxation (the Commissioner) may issue a ‘release authority’ to a superannuation provider under subsection 292-420(1) of the </w:t>
      </w:r>
      <w:r w:rsidRPr="00026A50">
        <w:rPr>
          <w:i/>
          <w:iCs/>
          <w:szCs w:val="24"/>
        </w:rPr>
        <w:t>Income Tax Assessment Act 1997</w:t>
      </w:r>
      <w:r w:rsidRPr="00026A50">
        <w:rPr>
          <w:iCs/>
          <w:szCs w:val="24"/>
        </w:rPr>
        <w:t xml:space="preserve"> (the ITAA 1997)</w:t>
      </w:r>
      <w:r w:rsidRPr="00026A50">
        <w:t>. The release authority requires the superannuation provider to pay an amount in relation to the refund determination, made in accordance with subsection 292</w:t>
      </w:r>
      <w:r w:rsidRPr="00026A50">
        <w:noBreakHyphen/>
        <w:t xml:space="preserve">467(1) of the ITAA 1997. The money released is then used to make a refund payment to the individual. These amendments allow superannuation providers to release monies to the Commissioner to comply with the release authority. </w:t>
      </w:r>
    </w:p>
    <w:p w:rsidR="00D95CC2" w:rsidRPr="00026A50" w:rsidRDefault="00D95CC2" w:rsidP="00D95CC2">
      <w:pPr>
        <w:ind w:right="91"/>
      </w:pPr>
    </w:p>
    <w:p w:rsidR="00D95CC2" w:rsidRPr="00026A50" w:rsidRDefault="00D95CC2" w:rsidP="00D95CC2">
      <w:pPr>
        <w:ind w:right="91"/>
      </w:pPr>
      <w:r w:rsidRPr="00026A50">
        <w:t xml:space="preserve">These amendments are required because superannuation benefits are preserved, which means a condition of release must be met before the benefits can be paid out.  Provisions in the existing regulations do not currently allow the release of monies under the refund measure. </w:t>
      </w:r>
    </w:p>
    <w:p w:rsidR="00D95CC2" w:rsidRPr="00026A50" w:rsidRDefault="00D95CC2" w:rsidP="00D95CC2"/>
    <w:p w:rsidR="00D95CC2" w:rsidRPr="00026A50" w:rsidRDefault="00D95CC2" w:rsidP="00D95CC2">
      <w:pPr>
        <w:ind w:right="91"/>
      </w:pPr>
      <w:r w:rsidRPr="00026A50">
        <w:t xml:space="preserve">These amendments insert additional provisions in the </w:t>
      </w:r>
      <w:r w:rsidRPr="00026A50">
        <w:rPr>
          <w:i/>
        </w:rPr>
        <w:t>Retirement Savings Accounts Regulations 1997</w:t>
      </w:r>
      <w:r w:rsidRPr="00026A50">
        <w:t xml:space="preserve">. Similar amendments to the </w:t>
      </w:r>
      <w:r w:rsidRPr="00026A50">
        <w:rPr>
          <w:i/>
        </w:rPr>
        <w:t xml:space="preserve">Superannuation Industry (Supervision) Regulations 1994 </w:t>
      </w:r>
      <w:r w:rsidRPr="00026A50">
        <w:t xml:space="preserve">are also before the Executive Council. </w:t>
      </w:r>
    </w:p>
    <w:p w:rsidR="00D95CC2" w:rsidRPr="00026A50" w:rsidRDefault="00D95CC2" w:rsidP="00D95CC2"/>
    <w:p w:rsidR="00D95CC2" w:rsidRPr="00026A50" w:rsidRDefault="00D95CC2" w:rsidP="00D95CC2">
      <w:pPr>
        <w:ind w:right="91"/>
      </w:pPr>
      <w:r w:rsidRPr="00026A50">
        <w:t xml:space="preserve">The refund measure is given effect by Schedule 4 to the </w:t>
      </w:r>
      <w:r w:rsidRPr="00026A50">
        <w:rPr>
          <w:i/>
        </w:rPr>
        <w:t>Tax and Superannuation Laws Amendment (2012 Measures No. 1) Act 2012</w:t>
      </w:r>
      <w:r w:rsidRPr="00026A50">
        <w:t>, which commenced on 1 July 2011.</w:t>
      </w:r>
    </w:p>
    <w:p w:rsidR="00D95CC2" w:rsidRPr="00026A50" w:rsidRDefault="00D95CC2" w:rsidP="00D95CC2">
      <w:pPr>
        <w:ind w:right="91"/>
      </w:pPr>
    </w:p>
    <w:p w:rsidR="00D95CC2" w:rsidRPr="00026A50" w:rsidRDefault="00D95CC2" w:rsidP="00D95CC2">
      <w:pPr>
        <w:ind w:right="91"/>
      </w:pPr>
      <w:r w:rsidRPr="00026A50">
        <w:t>The refund measure is designed to give eligible individuals the option to have excess concessional contributions of $10,000 or less effectively refunded to them. Excess concessional contributions ineligible for the refund measure are subject to the excess contributions tax. Excess concessional contributions are concessional contributions above the concessional contributions cap. Under the refund measure those excess concessional contributions covered by the refund measure will be assessed as income at the individual’s marginal tax rate, rather than incurring the excess contributions tax.</w:t>
      </w:r>
    </w:p>
    <w:p w:rsidR="00D95CC2" w:rsidRPr="00026A50" w:rsidRDefault="00D95CC2" w:rsidP="00D95CC2">
      <w:pPr>
        <w:ind w:right="91"/>
      </w:pPr>
    </w:p>
    <w:p w:rsidR="00D95CC2" w:rsidRPr="00026A50" w:rsidRDefault="00D95CC2" w:rsidP="00D95CC2">
      <w:pPr>
        <w:ind w:right="91"/>
      </w:pPr>
      <w:r w:rsidRPr="00026A50">
        <w:t xml:space="preserve">Details of the regulation are set out in the </w:t>
      </w:r>
      <w:r w:rsidRPr="00026A50">
        <w:rPr>
          <w:u w:val="single"/>
        </w:rPr>
        <w:t>Attachment</w:t>
      </w:r>
      <w:r w:rsidRPr="00026A50">
        <w:t>.</w:t>
      </w:r>
    </w:p>
    <w:p w:rsidR="00D95CC2" w:rsidRPr="00026A50" w:rsidRDefault="00D95CC2" w:rsidP="00D95CC2">
      <w:pPr>
        <w:ind w:right="91"/>
      </w:pPr>
    </w:p>
    <w:p w:rsidR="00D95CC2" w:rsidRPr="00026A50" w:rsidRDefault="00D95CC2" w:rsidP="00D95CC2">
      <w:pPr>
        <w:ind w:right="91"/>
      </w:pPr>
      <w:r w:rsidRPr="00026A50">
        <w:t xml:space="preserve">The regulation would be a legislative instrument for the purposes of the </w:t>
      </w:r>
      <w:r w:rsidRPr="00026A50">
        <w:rPr>
          <w:i/>
        </w:rPr>
        <w:t>Legislative Instruments Act 2003</w:t>
      </w:r>
      <w:r w:rsidRPr="00026A50">
        <w:t xml:space="preserve">. </w:t>
      </w:r>
    </w:p>
    <w:p w:rsidR="00D95CC2" w:rsidRPr="00026A50" w:rsidRDefault="00D95CC2" w:rsidP="00D95CC2">
      <w:pPr>
        <w:ind w:right="91"/>
      </w:pPr>
    </w:p>
    <w:p w:rsidR="00D95CC2" w:rsidRPr="00026A50" w:rsidRDefault="00D95CC2" w:rsidP="00D95CC2">
      <w:pPr>
        <w:ind w:right="91"/>
      </w:pPr>
      <w:r w:rsidRPr="00026A50">
        <w:lastRenderedPageBreak/>
        <w:t xml:space="preserve">The </w:t>
      </w:r>
      <w:r w:rsidR="00883604" w:rsidRPr="00026A50">
        <w:t>regulation commence</w:t>
      </w:r>
      <w:r w:rsidR="001220C0" w:rsidRPr="00026A50">
        <w:t>s on the day after registration</w:t>
      </w:r>
      <w:r w:rsidRPr="00026A50">
        <w:t xml:space="preserve">.  </w:t>
      </w:r>
    </w:p>
    <w:p w:rsidR="00D95CC2" w:rsidRPr="00026A50" w:rsidRDefault="00D95CC2" w:rsidP="00D95CC2">
      <w:pPr>
        <w:tabs>
          <w:tab w:val="left" w:pos="6521"/>
        </w:tabs>
        <w:ind w:right="91"/>
      </w:pPr>
    </w:p>
    <w:p w:rsidR="00E17D6F" w:rsidRPr="00026A50" w:rsidRDefault="00E17D6F" w:rsidP="00E17D6F">
      <w:pPr>
        <w:tabs>
          <w:tab w:val="left" w:pos="6521"/>
        </w:tabs>
        <w:ind w:right="91"/>
      </w:pPr>
      <w:r w:rsidRPr="00026A50">
        <w:t xml:space="preserve">Public consultation </w:t>
      </w:r>
      <w:r w:rsidR="0045058B" w:rsidRPr="00026A50">
        <w:t xml:space="preserve">on the draft regulation </w:t>
      </w:r>
      <w:r w:rsidRPr="00026A50">
        <w:t xml:space="preserve">was conducted </w:t>
      </w:r>
      <w:r w:rsidR="00433196" w:rsidRPr="00026A50">
        <w:t>through</w:t>
      </w:r>
      <w:r w:rsidRPr="00026A50">
        <w:t xml:space="preserve"> the Treasury website. </w:t>
      </w:r>
    </w:p>
    <w:p w:rsidR="00D95CC2" w:rsidRPr="00026A50" w:rsidRDefault="00D95CC2" w:rsidP="00D95CC2">
      <w:pPr>
        <w:tabs>
          <w:tab w:val="left" w:pos="6521"/>
        </w:tabs>
        <w:ind w:right="91"/>
      </w:pPr>
    </w:p>
    <w:p w:rsidR="00D95CC2" w:rsidRPr="00026A50" w:rsidRDefault="00D95CC2" w:rsidP="00D95CC2">
      <w:pPr>
        <w:tabs>
          <w:tab w:val="left" w:pos="6521"/>
        </w:tabs>
        <w:ind w:right="91"/>
      </w:pPr>
    </w:p>
    <w:p w:rsidR="00D95CC2" w:rsidRPr="00026A50" w:rsidRDefault="00D95CC2" w:rsidP="00D95CC2">
      <w:pPr>
        <w:tabs>
          <w:tab w:val="left" w:pos="3969"/>
          <w:tab w:val="left" w:pos="4536"/>
        </w:tabs>
        <w:ind w:left="5040" w:right="91" w:hanging="3600"/>
        <w:rPr>
          <w:i/>
        </w:rPr>
      </w:pPr>
      <w:r w:rsidRPr="00026A50">
        <w:tab/>
      </w:r>
      <w:r w:rsidRPr="00026A50">
        <w:rPr>
          <w:u w:val="single"/>
        </w:rPr>
        <w:t>Authority:</w:t>
      </w:r>
      <w:r w:rsidRPr="00026A50">
        <w:tab/>
      </w:r>
      <w:r w:rsidRPr="00026A50">
        <w:rPr>
          <w:szCs w:val="24"/>
        </w:rPr>
        <w:t xml:space="preserve">Subsection 200(1) of the                                          </w:t>
      </w:r>
      <w:r w:rsidRPr="00026A50">
        <w:rPr>
          <w:i/>
          <w:iCs/>
          <w:szCs w:val="24"/>
        </w:rPr>
        <w:t>Retirement Savings Accounts Act 1997</w:t>
      </w:r>
    </w:p>
    <w:p w:rsidR="00D95CC2" w:rsidRPr="00026A50" w:rsidRDefault="00D95CC2" w:rsidP="00D95CC2">
      <w:pPr>
        <w:ind w:right="91"/>
      </w:pPr>
    </w:p>
    <w:p w:rsidR="00D95CC2" w:rsidRPr="00026A50" w:rsidRDefault="00D95CC2" w:rsidP="00D95CC2">
      <w:pPr>
        <w:ind w:right="91"/>
      </w:pPr>
    </w:p>
    <w:p w:rsidR="00D95CC2" w:rsidRPr="00026A50" w:rsidRDefault="00D95CC2" w:rsidP="00D95CC2">
      <w:pPr>
        <w:ind w:right="91"/>
        <w:rPr>
          <w:b/>
        </w:rPr>
      </w:pPr>
    </w:p>
    <w:p w:rsidR="00D95CC2" w:rsidRPr="00026A50" w:rsidRDefault="00D95CC2" w:rsidP="00D95CC2">
      <w:pPr>
        <w:ind w:right="91"/>
      </w:pPr>
    </w:p>
    <w:p w:rsidR="00D95CC2" w:rsidRPr="00026A50" w:rsidRDefault="00D95CC2" w:rsidP="00D95CC2">
      <w:pPr>
        <w:ind w:right="91"/>
      </w:pPr>
    </w:p>
    <w:p w:rsidR="00D95CC2" w:rsidRPr="00026A50" w:rsidRDefault="00D95CC2" w:rsidP="00D95CC2">
      <w:pPr>
        <w:ind w:right="91"/>
      </w:pPr>
    </w:p>
    <w:p w:rsidR="00D95CC2" w:rsidRPr="00026A50" w:rsidRDefault="00D95CC2" w:rsidP="00D95CC2">
      <w:pPr>
        <w:ind w:right="91"/>
        <w:sectPr w:rsidR="00D95CC2" w:rsidRPr="00026A50">
          <w:headerReference w:type="default" r:id="rId7"/>
          <w:pgSz w:w="11906" w:h="16838" w:code="9"/>
          <w:pgMar w:top="1134" w:right="1797" w:bottom="1134" w:left="1797" w:header="720" w:footer="720" w:gutter="0"/>
          <w:cols w:space="708"/>
          <w:titlePg/>
          <w:docGrid w:linePitch="360"/>
        </w:sectPr>
      </w:pPr>
    </w:p>
    <w:p w:rsidR="00D95CC2" w:rsidRPr="00026A50" w:rsidRDefault="00D95CC2" w:rsidP="00D95CC2">
      <w:pPr>
        <w:tabs>
          <w:tab w:val="center" w:pos="4111"/>
          <w:tab w:val="left" w:pos="4536"/>
        </w:tabs>
        <w:ind w:right="91"/>
      </w:pPr>
      <w:r w:rsidRPr="00026A50">
        <w:lastRenderedPageBreak/>
        <w:tab/>
      </w:r>
    </w:p>
    <w:p w:rsidR="00D95CC2" w:rsidRPr="00026A50" w:rsidRDefault="00D95CC2" w:rsidP="00D95CC2">
      <w:pPr>
        <w:ind w:right="91"/>
        <w:jc w:val="right"/>
        <w:rPr>
          <w:u w:val="single"/>
        </w:rPr>
      </w:pPr>
      <w:r w:rsidRPr="00026A50">
        <w:rPr>
          <w:b/>
          <w:u w:val="single"/>
        </w:rPr>
        <w:t>ATTACHMENT</w:t>
      </w:r>
    </w:p>
    <w:p w:rsidR="00D95CC2" w:rsidRPr="00026A50" w:rsidRDefault="00D95CC2" w:rsidP="00D95CC2">
      <w:pPr>
        <w:ind w:right="91"/>
        <w:jc w:val="right"/>
      </w:pPr>
    </w:p>
    <w:p w:rsidR="00D95CC2" w:rsidRPr="00026A50" w:rsidRDefault="00D95CC2" w:rsidP="00D95CC2">
      <w:pPr>
        <w:ind w:right="91"/>
        <w:rPr>
          <w:u w:val="single"/>
        </w:rPr>
      </w:pPr>
      <w:r w:rsidRPr="00026A50">
        <w:rPr>
          <w:b/>
          <w:u w:val="single"/>
        </w:rPr>
        <w:t>Details of the</w:t>
      </w:r>
      <w:r w:rsidRPr="00026A50">
        <w:rPr>
          <w:b/>
          <w:i/>
          <w:u w:val="single"/>
        </w:rPr>
        <w:t xml:space="preserve"> Retirement Savings Accounts Amendment Regulation 2012 (No. </w:t>
      </w:r>
      <w:r w:rsidR="004B7F81" w:rsidRPr="00026A50">
        <w:rPr>
          <w:b/>
          <w:i/>
          <w:u w:val="single"/>
        </w:rPr>
        <w:t>2</w:t>
      </w:r>
      <w:r w:rsidRPr="00026A50">
        <w:rPr>
          <w:b/>
          <w:i/>
          <w:u w:val="single"/>
        </w:rPr>
        <w:t>)</w:t>
      </w:r>
    </w:p>
    <w:p w:rsidR="00D95CC2" w:rsidRPr="00026A50" w:rsidRDefault="00D95CC2" w:rsidP="00D95CC2">
      <w:pPr>
        <w:ind w:right="91"/>
      </w:pPr>
    </w:p>
    <w:p w:rsidR="00D95CC2" w:rsidRPr="00026A50" w:rsidRDefault="00D95CC2" w:rsidP="00D95CC2">
      <w:pPr>
        <w:ind w:right="91"/>
      </w:pPr>
    </w:p>
    <w:p w:rsidR="00D95CC2" w:rsidRPr="00026A50" w:rsidRDefault="00D95CC2" w:rsidP="00D95CC2">
      <w:pPr>
        <w:spacing w:after="240"/>
        <w:ind w:right="91"/>
        <w:rPr>
          <w:u w:val="single"/>
        </w:rPr>
      </w:pPr>
      <w:r w:rsidRPr="00026A50">
        <w:rPr>
          <w:u w:val="single"/>
        </w:rPr>
        <w:t>Section 1 – Name of regulation</w:t>
      </w:r>
    </w:p>
    <w:p w:rsidR="00D95CC2" w:rsidRPr="00026A50" w:rsidRDefault="00D95CC2" w:rsidP="00D95CC2">
      <w:pPr>
        <w:ind w:right="91"/>
      </w:pPr>
      <w:r w:rsidRPr="00026A50">
        <w:t>This section specifies that the title of the regulation is the</w:t>
      </w:r>
      <w:r w:rsidRPr="00026A50">
        <w:rPr>
          <w:i/>
        </w:rPr>
        <w:t xml:space="preserve"> Retirement Savings Accounts Amendment Regulation 2012 (No. </w:t>
      </w:r>
      <w:r w:rsidR="004B7F81" w:rsidRPr="00026A50">
        <w:rPr>
          <w:i/>
        </w:rPr>
        <w:t>2</w:t>
      </w:r>
      <w:r w:rsidRPr="00026A50">
        <w:rPr>
          <w:i/>
        </w:rPr>
        <w:t>)</w:t>
      </w:r>
      <w:r w:rsidRPr="00026A50">
        <w:t>.</w:t>
      </w:r>
    </w:p>
    <w:p w:rsidR="00D95CC2" w:rsidRPr="00026A50" w:rsidRDefault="00D95CC2" w:rsidP="00D95CC2">
      <w:pPr>
        <w:ind w:right="91"/>
      </w:pPr>
    </w:p>
    <w:p w:rsidR="00D95CC2" w:rsidRPr="00026A50" w:rsidRDefault="00D95CC2" w:rsidP="00D95CC2">
      <w:pPr>
        <w:spacing w:after="240"/>
        <w:ind w:right="91"/>
        <w:rPr>
          <w:u w:val="single"/>
        </w:rPr>
      </w:pPr>
      <w:r w:rsidRPr="00026A50">
        <w:rPr>
          <w:u w:val="single"/>
        </w:rPr>
        <w:t>Section 2 – Commencement</w:t>
      </w:r>
    </w:p>
    <w:p w:rsidR="00D95CC2" w:rsidRPr="00026A50" w:rsidRDefault="00D95CC2" w:rsidP="00D95CC2">
      <w:pPr>
        <w:ind w:right="91"/>
      </w:pPr>
      <w:r w:rsidRPr="00026A50">
        <w:t xml:space="preserve">This section provides for the regulation to commence on the day after it is registered. </w:t>
      </w:r>
    </w:p>
    <w:p w:rsidR="00D95CC2" w:rsidRPr="00026A50" w:rsidRDefault="00D95CC2" w:rsidP="00D95CC2">
      <w:pPr>
        <w:ind w:right="91"/>
      </w:pPr>
    </w:p>
    <w:p w:rsidR="00D95CC2" w:rsidRPr="00026A50" w:rsidRDefault="00D95CC2" w:rsidP="00D95CC2">
      <w:pPr>
        <w:spacing w:after="240"/>
        <w:ind w:right="91"/>
        <w:rPr>
          <w:u w:val="single"/>
        </w:rPr>
      </w:pPr>
      <w:r w:rsidRPr="00026A50">
        <w:rPr>
          <w:u w:val="single"/>
        </w:rPr>
        <w:t xml:space="preserve">Section 3 – Amendment of </w:t>
      </w:r>
      <w:r w:rsidRPr="00026A50">
        <w:rPr>
          <w:i/>
          <w:u w:val="single"/>
        </w:rPr>
        <w:t>Retirement Savings Accounts Regulations 1997</w:t>
      </w:r>
    </w:p>
    <w:p w:rsidR="00D95CC2" w:rsidRPr="00026A50" w:rsidRDefault="00D95CC2" w:rsidP="00D95CC2">
      <w:pPr>
        <w:ind w:right="91"/>
      </w:pPr>
      <w:r w:rsidRPr="00026A50">
        <w:t>This section</w:t>
      </w:r>
      <w:r w:rsidRPr="00026A50">
        <w:rPr>
          <w:b/>
        </w:rPr>
        <w:t xml:space="preserve"> </w:t>
      </w:r>
      <w:r w:rsidRPr="00026A50">
        <w:t xml:space="preserve">provides that Schedule 1 to the regulation amends the </w:t>
      </w:r>
      <w:r w:rsidRPr="00026A50">
        <w:rPr>
          <w:i/>
        </w:rPr>
        <w:t>Retirement Savings Accounts Regulations 1997</w:t>
      </w:r>
      <w:r w:rsidRPr="00026A50">
        <w:t>.</w:t>
      </w:r>
    </w:p>
    <w:p w:rsidR="00D95CC2" w:rsidRPr="00026A50" w:rsidRDefault="00D95CC2" w:rsidP="00D95CC2">
      <w:pPr>
        <w:ind w:right="91"/>
      </w:pPr>
    </w:p>
    <w:p w:rsidR="00D95CC2" w:rsidRPr="00026A50" w:rsidRDefault="00D95CC2" w:rsidP="00D95CC2">
      <w:pPr>
        <w:spacing w:after="240"/>
        <w:ind w:right="91"/>
        <w:rPr>
          <w:u w:val="single"/>
        </w:rPr>
      </w:pPr>
      <w:r w:rsidRPr="00026A50">
        <w:rPr>
          <w:u w:val="single"/>
        </w:rPr>
        <w:t>Schedule 1 – Amendments</w:t>
      </w:r>
    </w:p>
    <w:p w:rsidR="00D95CC2" w:rsidRPr="00026A50" w:rsidRDefault="00D95CC2" w:rsidP="00D95CC2">
      <w:pPr>
        <w:spacing w:after="240"/>
        <w:ind w:right="91"/>
        <w:rPr>
          <w:u w:val="single"/>
        </w:rPr>
      </w:pPr>
      <w:r w:rsidRPr="00026A50">
        <w:rPr>
          <w:b/>
        </w:rPr>
        <w:t>Item [1]</w:t>
      </w:r>
    </w:p>
    <w:p w:rsidR="00D95CC2" w:rsidRPr="00026A50" w:rsidRDefault="00D95CC2" w:rsidP="00D95CC2">
      <w:pPr>
        <w:spacing w:after="240"/>
        <w:ind w:right="91"/>
      </w:pPr>
      <w:r w:rsidRPr="00026A50">
        <w:t>This item insert</w:t>
      </w:r>
      <w:r w:rsidR="008868B5" w:rsidRPr="00026A50">
        <w:t>s</w:t>
      </w:r>
      <w:r w:rsidRPr="00026A50">
        <w:t xml:space="preserve"> the new item 112A as described in Item 3 below, so that it also applies to temporary residents.  </w:t>
      </w:r>
    </w:p>
    <w:p w:rsidR="00D95CC2" w:rsidRPr="00026A50" w:rsidRDefault="00D95CC2" w:rsidP="00D95CC2">
      <w:pPr>
        <w:spacing w:after="240"/>
        <w:ind w:right="91"/>
        <w:rPr>
          <w:u w:val="single"/>
        </w:rPr>
      </w:pPr>
      <w:r w:rsidRPr="00026A50">
        <w:rPr>
          <w:b/>
        </w:rPr>
        <w:t>Item [2]</w:t>
      </w:r>
    </w:p>
    <w:p w:rsidR="00D95CC2" w:rsidRPr="00026A50" w:rsidRDefault="00D95CC2" w:rsidP="00D95CC2">
      <w:pPr>
        <w:spacing w:after="240"/>
        <w:ind w:right="91"/>
      </w:pPr>
      <w:r w:rsidRPr="00026A50">
        <w:t>This item amend</w:t>
      </w:r>
      <w:r w:rsidR="008868B5" w:rsidRPr="00026A50">
        <w:t>s</w:t>
      </w:r>
      <w:r w:rsidRPr="00026A50">
        <w:t xml:space="preserve"> paragraph 4.26(4)(a) to include reference to section 292-420 of the ITAA 1997.  The amendments in Item 3 below allow superannuation providers to cash benefits for the purpose of the refund release authority, but the existing regulation does not allow these benefits to be paid to persons other than the individual or their legal representative. These amendments allow benefits to be paid to the Commissioner for the purpose of the refund release authority, where the trustee has received a release authority under subsection 292-420(1) of the ITAA 1997.</w:t>
      </w:r>
    </w:p>
    <w:p w:rsidR="00D95CC2" w:rsidRPr="00026A50" w:rsidRDefault="00D95CC2" w:rsidP="00D95CC2">
      <w:pPr>
        <w:spacing w:after="240"/>
        <w:ind w:right="91"/>
        <w:rPr>
          <w:b/>
        </w:rPr>
      </w:pPr>
      <w:r w:rsidRPr="00026A50">
        <w:rPr>
          <w:b/>
        </w:rPr>
        <w:t xml:space="preserve">Item [3] </w:t>
      </w:r>
    </w:p>
    <w:p w:rsidR="00D95CC2" w:rsidRPr="00026A50" w:rsidRDefault="00D95CC2" w:rsidP="00D95CC2">
      <w:r w:rsidRPr="00026A50">
        <w:t>This item insert</w:t>
      </w:r>
      <w:r w:rsidR="008868B5" w:rsidRPr="00026A50">
        <w:t>s</w:t>
      </w:r>
      <w:r w:rsidRPr="00026A50">
        <w:t xml:space="preserve"> the new item 112A to Schedule 2 to insert a new ‘condition of release’. Schedule 2 sets out the ‘conditions of release’ that must be satisfied to allow the payment of a member’s benefits from a fund, and the ‘cashing restrictions’ that apply to each conditions. These amendments allow the giving of a release authority to a superannuation provider under subsection 292</w:t>
      </w:r>
      <w:r w:rsidRPr="00026A50">
        <w:noBreakHyphen/>
        <w:t>420(1) of the ITAA 1997 to be a prescribed ‘condition of release’, subject to the restrictions in subsections 292-420(4), (5) and (7) of the ITAA 1997.</w:t>
      </w:r>
    </w:p>
    <w:p w:rsidR="00D95CC2" w:rsidRPr="00026A50" w:rsidRDefault="00D95CC2" w:rsidP="00D95CC2"/>
    <w:p w:rsidR="00C95AA1" w:rsidRPr="00026A50" w:rsidRDefault="00C95AA1">
      <w:r w:rsidRPr="00026A50">
        <w:br w:type="page"/>
      </w:r>
    </w:p>
    <w:p w:rsidR="00C95AA1" w:rsidRPr="00026A50" w:rsidRDefault="00C95AA1" w:rsidP="00C95AA1">
      <w:pPr>
        <w:spacing w:before="360" w:after="120"/>
        <w:jc w:val="center"/>
        <w:rPr>
          <w:b/>
          <w:sz w:val="28"/>
          <w:szCs w:val="28"/>
        </w:rPr>
      </w:pPr>
      <w:r w:rsidRPr="00026A50">
        <w:rPr>
          <w:b/>
          <w:sz w:val="28"/>
          <w:szCs w:val="28"/>
        </w:rPr>
        <w:lastRenderedPageBreak/>
        <w:t>Statement of Compatibility with Human Rights</w:t>
      </w:r>
    </w:p>
    <w:p w:rsidR="00C95AA1" w:rsidRPr="00026A50" w:rsidRDefault="00C95AA1" w:rsidP="00C95AA1">
      <w:pPr>
        <w:spacing w:before="120" w:after="120"/>
        <w:jc w:val="center"/>
        <w:rPr>
          <w:szCs w:val="24"/>
        </w:rPr>
      </w:pPr>
      <w:r w:rsidRPr="00026A50">
        <w:rPr>
          <w:i/>
          <w:szCs w:val="24"/>
        </w:rPr>
        <w:t>Prepared in accordance with Part 3 of the Human Rights (Parliamentary Scrutiny) Act 2011</w:t>
      </w:r>
    </w:p>
    <w:p w:rsidR="00C95AA1" w:rsidRPr="00026A50" w:rsidRDefault="00C95AA1" w:rsidP="00C95AA1">
      <w:pPr>
        <w:spacing w:before="120" w:after="120"/>
        <w:jc w:val="center"/>
        <w:rPr>
          <w:szCs w:val="24"/>
        </w:rPr>
      </w:pPr>
    </w:p>
    <w:p w:rsidR="00C95AA1" w:rsidRPr="00026A50" w:rsidRDefault="00C95AA1" w:rsidP="00C95AA1">
      <w:pPr>
        <w:spacing w:before="120" w:after="120"/>
        <w:jc w:val="center"/>
        <w:rPr>
          <w:b/>
          <w:szCs w:val="24"/>
        </w:rPr>
      </w:pPr>
      <w:r w:rsidRPr="00026A50">
        <w:rPr>
          <w:b/>
          <w:szCs w:val="24"/>
        </w:rPr>
        <w:t xml:space="preserve">Retirement Savings Accounts </w:t>
      </w:r>
      <w:r w:rsidR="004B7F81" w:rsidRPr="00026A50">
        <w:rPr>
          <w:b/>
          <w:szCs w:val="24"/>
        </w:rPr>
        <w:t>Amendment Regulation 2012 (No. 2</w:t>
      </w:r>
      <w:r w:rsidRPr="00026A50">
        <w:rPr>
          <w:b/>
          <w:szCs w:val="24"/>
        </w:rPr>
        <w:t>)</w:t>
      </w:r>
    </w:p>
    <w:p w:rsidR="00C95AA1" w:rsidRPr="00026A50" w:rsidRDefault="00C95AA1" w:rsidP="00C95AA1">
      <w:pPr>
        <w:spacing w:before="120" w:after="120"/>
        <w:jc w:val="center"/>
        <w:rPr>
          <w:szCs w:val="24"/>
        </w:rPr>
      </w:pPr>
    </w:p>
    <w:p w:rsidR="00C95AA1" w:rsidRPr="00026A50" w:rsidRDefault="00C95AA1" w:rsidP="00C95AA1">
      <w:pPr>
        <w:spacing w:before="120" w:after="120"/>
        <w:rPr>
          <w:szCs w:val="24"/>
        </w:rPr>
      </w:pPr>
      <w:r w:rsidRPr="00026A50">
        <w:rPr>
          <w:szCs w:val="24"/>
        </w:rPr>
        <w:t xml:space="preserve">This Legislative Instrument is compatible with the human rights and freedoms recognised or declared in the international instruments listed in section 3 of the </w:t>
      </w:r>
      <w:r w:rsidRPr="00026A50">
        <w:rPr>
          <w:i/>
          <w:szCs w:val="24"/>
        </w:rPr>
        <w:t>Human Rights (Parliamentary Scrutiny) Act 2011</w:t>
      </w:r>
      <w:r w:rsidRPr="00026A50">
        <w:rPr>
          <w:szCs w:val="24"/>
        </w:rPr>
        <w:t>.</w:t>
      </w:r>
    </w:p>
    <w:p w:rsidR="00C95AA1" w:rsidRPr="00026A50" w:rsidRDefault="00C95AA1" w:rsidP="00C95AA1">
      <w:pPr>
        <w:spacing w:before="120" w:after="120"/>
        <w:jc w:val="center"/>
        <w:rPr>
          <w:szCs w:val="24"/>
        </w:rPr>
      </w:pPr>
    </w:p>
    <w:p w:rsidR="00C95AA1" w:rsidRPr="00026A50" w:rsidRDefault="00C95AA1" w:rsidP="00C95AA1">
      <w:pPr>
        <w:spacing w:before="120" w:after="120"/>
        <w:jc w:val="center"/>
        <w:rPr>
          <w:szCs w:val="24"/>
        </w:rPr>
      </w:pPr>
    </w:p>
    <w:p w:rsidR="00C95AA1" w:rsidRPr="00026A50" w:rsidRDefault="00C95AA1" w:rsidP="00C95AA1">
      <w:pPr>
        <w:spacing w:before="120" w:after="120"/>
        <w:jc w:val="both"/>
        <w:rPr>
          <w:b/>
          <w:szCs w:val="24"/>
        </w:rPr>
      </w:pPr>
      <w:r w:rsidRPr="00026A50">
        <w:rPr>
          <w:b/>
          <w:szCs w:val="24"/>
        </w:rPr>
        <w:t>Overview of the Legislative Instrument</w:t>
      </w:r>
    </w:p>
    <w:p w:rsidR="00C95AA1" w:rsidRPr="00026A50" w:rsidRDefault="00C95AA1" w:rsidP="00C95AA1">
      <w:pPr>
        <w:spacing w:after="240"/>
      </w:pPr>
      <w:r w:rsidRPr="00026A50">
        <w:t xml:space="preserve">The purpose of the Legislative Instrument is to allow superannuation providers to comply with the release authority, issued by the Commissioner of Taxation for the purpose of the refund of excess concessional contributions. </w:t>
      </w:r>
    </w:p>
    <w:p w:rsidR="00C95AA1" w:rsidRPr="00026A50" w:rsidRDefault="00C95AA1" w:rsidP="00C95AA1">
      <w:pPr>
        <w:spacing w:before="120" w:after="120"/>
        <w:rPr>
          <w:szCs w:val="24"/>
        </w:rPr>
      </w:pPr>
    </w:p>
    <w:p w:rsidR="00C95AA1" w:rsidRPr="00026A50" w:rsidRDefault="00C95AA1" w:rsidP="00C95AA1">
      <w:pPr>
        <w:spacing w:before="120" w:after="120"/>
        <w:rPr>
          <w:b/>
          <w:szCs w:val="24"/>
        </w:rPr>
      </w:pPr>
      <w:r w:rsidRPr="00026A50">
        <w:rPr>
          <w:b/>
          <w:szCs w:val="24"/>
        </w:rPr>
        <w:t>Human rights implications</w:t>
      </w:r>
    </w:p>
    <w:p w:rsidR="00C95AA1" w:rsidRPr="00026A50" w:rsidRDefault="00C95AA1" w:rsidP="00C95AA1">
      <w:pPr>
        <w:spacing w:before="120" w:after="120"/>
        <w:rPr>
          <w:szCs w:val="24"/>
        </w:rPr>
      </w:pPr>
      <w:r w:rsidRPr="00026A50">
        <w:rPr>
          <w:szCs w:val="24"/>
        </w:rPr>
        <w:t>This Legislative Instrument does not engage any of the applicable rights or freedoms.</w:t>
      </w:r>
    </w:p>
    <w:p w:rsidR="00C95AA1" w:rsidRPr="00026A50" w:rsidRDefault="00C95AA1" w:rsidP="00C95AA1">
      <w:pPr>
        <w:spacing w:before="120" w:after="120"/>
        <w:rPr>
          <w:szCs w:val="24"/>
        </w:rPr>
      </w:pPr>
    </w:p>
    <w:p w:rsidR="00C95AA1" w:rsidRPr="00026A50" w:rsidRDefault="00C95AA1" w:rsidP="00C95AA1">
      <w:pPr>
        <w:spacing w:before="120" w:after="120"/>
        <w:rPr>
          <w:b/>
          <w:szCs w:val="24"/>
        </w:rPr>
      </w:pPr>
      <w:r w:rsidRPr="00026A50">
        <w:rPr>
          <w:b/>
          <w:szCs w:val="24"/>
        </w:rPr>
        <w:t>Conclusion</w:t>
      </w:r>
    </w:p>
    <w:p w:rsidR="00C95AA1" w:rsidRPr="00026A50" w:rsidRDefault="00C95AA1" w:rsidP="00C95AA1">
      <w:pPr>
        <w:spacing w:before="120" w:after="120"/>
        <w:rPr>
          <w:szCs w:val="24"/>
        </w:rPr>
      </w:pPr>
      <w:r w:rsidRPr="00026A50">
        <w:rPr>
          <w:szCs w:val="24"/>
        </w:rPr>
        <w:t>This Legislative Instrument is compatible with human rights as it does not raise any human rights issues.</w:t>
      </w:r>
    </w:p>
    <w:p w:rsidR="00C95AA1" w:rsidRPr="00026A50" w:rsidRDefault="00C95AA1" w:rsidP="00C95AA1">
      <w:pPr>
        <w:spacing w:before="120" w:after="120"/>
      </w:pPr>
    </w:p>
    <w:p w:rsidR="00C95AA1" w:rsidRPr="00026A50" w:rsidRDefault="00C95AA1" w:rsidP="00C95AA1">
      <w:pPr>
        <w:spacing w:before="120" w:after="120"/>
      </w:pPr>
    </w:p>
    <w:p w:rsidR="00C95AA1" w:rsidRPr="00026A50" w:rsidRDefault="00C95AA1" w:rsidP="00C95AA1">
      <w:pPr>
        <w:spacing w:before="120" w:after="120"/>
      </w:pPr>
    </w:p>
    <w:p w:rsidR="00C95AA1" w:rsidRPr="00026A50" w:rsidRDefault="00C95AA1" w:rsidP="00C95AA1">
      <w:pPr>
        <w:spacing w:before="120" w:after="120"/>
      </w:pPr>
    </w:p>
    <w:p w:rsidR="00EA217E" w:rsidRPr="00026A50" w:rsidRDefault="00C95AA1" w:rsidP="00C95AA1">
      <w:pPr>
        <w:spacing w:before="120" w:after="120"/>
        <w:jc w:val="center"/>
        <w:rPr>
          <w:b/>
        </w:rPr>
      </w:pPr>
      <w:r w:rsidRPr="00026A50">
        <w:rPr>
          <w:b/>
        </w:rPr>
        <w:t xml:space="preserve">William Richard Shorten </w:t>
      </w:r>
    </w:p>
    <w:p w:rsidR="00C95AA1" w:rsidRPr="00C95AA1" w:rsidRDefault="00C95AA1" w:rsidP="00C95AA1">
      <w:pPr>
        <w:spacing w:before="120" w:after="120"/>
        <w:jc w:val="center"/>
        <w:rPr>
          <w:b/>
        </w:rPr>
      </w:pPr>
      <w:r w:rsidRPr="00026A50">
        <w:rPr>
          <w:b/>
        </w:rPr>
        <w:t>Minister for Financial Services and Superannuation</w:t>
      </w:r>
    </w:p>
    <w:p w:rsidR="00C95AA1" w:rsidRPr="00C95AA1" w:rsidRDefault="00C95AA1" w:rsidP="00C95AA1">
      <w:pPr>
        <w:spacing w:before="120" w:after="120"/>
      </w:pPr>
    </w:p>
    <w:p w:rsidR="00FC5C16" w:rsidRPr="00D95CC2" w:rsidRDefault="00FC5C16" w:rsidP="00D95CC2"/>
    <w:sectPr w:rsidR="00FC5C16" w:rsidRPr="00D95CC2" w:rsidSect="006F158F">
      <w:pgSz w:w="11906" w:h="16838" w:code="9"/>
      <w:pgMar w:top="1134" w:right="1797" w:bottom="1134" w:left="179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133" w:rsidRDefault="00FC5133">
      <w:r>
        <w:separator/>
      </w:r>
    </w:p>
  </w:endnote>
  <w:endnote w:type="continuationSeparator" w:id="0">
    <w:p w:rsidR="00FC5133" w:rsidRDefault="00FC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133" w:rsidRDefault="00FC5133">
      <w:r>
        <w:separator/>
      </w:r>
    </w:p>
  </w:footnote>
  <w:footnote w:type="continuationSeparator" w:id="0">
    <w:p w:rsidR="00FC5133" w:rsidRDefault="00FC5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799827"/>
      <w:docPartObj>
        <w:docPartGallery w:val="Page Numbers (Top of Page)"/>
        <w:docPartUnique/>
      </w:docPartObj>
    </w:sdtPr>
    <w:sdtEndPr>
      <w:rPr>
        <w:noProof/>
      </w:rPr>
    </w:sdtEndPr>
    <w:sdtContent>
      <w:p w:rsidR="00FC5133" w:rsidRDefault="00FE4862">
        <w:pPr>
          <w:pStyle w:val="Header"/>
          <w:jc w:val="center"/>
        </w:pPr>
        <w:r>
          <w:fldChar w:fldCharType="begin"/>
        </w:r>
        <w:r w:rsidR="00FC5133">
          <w:instrText xml:space="preserve"> PAGE   \* MERGEFORMAT </w:instrText>
        </w:r>
        <w:r>
          <w:fldChar w:fldCharType="separate"/>
        </w:r>
        <w:r w:rsidR="00026A50">
          <w:rPr>
            <w:noProof/>
          </w:rPr>
          <w:t>4</w:t>
        </w:r>
        <w:r>
          <w:rPr>
            <w:noProof/>
          </w:rPr>
          <w:fldChar w:fldCharType="end"/>
        </w:r>
      </w:p>
    </w:sdtContent>
  </w:sdt>
  <w:p w:rsidR="00FC5133" w:rsidRDefault="00FC51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9CA"/>
    <w:multiLevelType w:val="multilevel"/>
    <w:tmpl w:val="47980F30"/>
    <w:name w:val="StandardBulletedList"/>
    <w:lvl w:ilvl="0">
      <w:start w:val="1"/>
      <w:numFmt w:val="bullet"/>
      <w:pStyle w:val="Bullet"/>
      <w:lvlText w:val="•"/>
      <w:lvlJc w:val="left"/>
      <w:pPr>
        <w:tabs>
          <w:tab w:val="num" w:pos="1707"/>
        </w:tabs>
        <w:ind w:left="1707" w:hanging="567"/>
      </w:pPr>
      <w:rPr>
        <w:rFonts w:ascii="Times New Roman" w:hAnsi="Times New Roman" w:cs="Times New Roman"/>
      </w:rPr>
    </w:lvl>
    <w:lvl w:ilvl="1">
      <w:start w:val="1"/>
      <w:numFmt w:val="bullet"/>
      <w:pStyle w:val="Dash"/>
      <w:lvlText w:val="–"/>
      <w:lvlJc w:val="left"/>
      <w:pPr>
        <w:tabs>
          <w:tab w:val="num" w:pos="2274"/>
        </w:tabs>
        <w:ind w:left="2274" w:hanging="567"/>
      </w:pPr>
      <w:rPr>
        <w:rFonts w:ascii="Times New Roman" w:hAnsi="Times New Roman" w:cs="Times New Roman"/>
      </w:rPr>
    </w:lvl>
    <w:lvl w:ilvl="2">
      <w:start w:val="1"/>
      <w:numFmt w:val="bullet"/>
      <w:pStyle w:val="DoubleDot"/>
      <w:lvlText w:val=":"/>
      <w:lvlJc w:val="left"/>
      <w:pPr>
        <w:tabs>
          <w:tab w:val="num" w:pos="2841"/>
        </w:tabs>
        <w:ind w:left="2841" w:hanging="567"/>
      </w:pPr>
      <w:rPr>
        <w:rFonts w:ascii="Times New Roman" w:hAnsi="Times New Roman" w:cs="Times New Roman"/>
      </w:rPr>
    </w:lvl>
    <w:lvl w:ilvl="3">
      <w:start w:val="1"/>
      <w:numFmt w:val="decimal"/>
      <w:lvlText w:val="(%4)"/>
      <w:lvlJc w:val="left"/>
      <w:pPr>
        <w:tabs>
          <w:tab w:val="num" w:pos="10860"/>
        </w:tabs>
        <w:ind w:left="10860" w:hanging="360"/>
      </w:pPr>
    </w:lvl>
    <w:lvl w:ilvl="4">
      <w:start w:val="1"/>
      <w:numFmt w:val="lowerLetter"/>
      <w:lvlText w:val="(%5)"/>
      <w:lvlJc w:val="left"/>
      <w:pPr>
        <w:tabs>
          <w:tab w:val="num" w:pos="11220"/>
        </w:tabs>
        <w:ind w:left="11220" w:hanging="360"/>
      </w:pPr>
    </w:lvl>
    <w:lvl w:ilvl="5">
      <w:start w:val="1"/>
      <w:numFmt w:val="lowerRoman"/>
      <w:lvlText w:val="(%6)"/>
      <w:lvlJc w:val="left"/>
      <w:pPr>
        <w:tabs>
          <w:tab w:val="num" w:pos="11580"/>
        </w:tabs>
        <w:ind w:left="11580" w:hanging="360"/>
      </w:pPr>
    </w:lvl>
    <w:lvl w:ilvl="6">
      <w:start w:val="1"/>
      <w:numFmt w:val="decimal"/>
      <w:lvlText w:val="%7."/>
      <w:lvlJc w:val="left"/>
      <w:pPr>
        <w:tabs>
          <w:tab w:val="num" w:pos="11940"/>
        </w:tabs>
        <w:ind w:left="11940" w:hanging="360"/>
      </w:pPr>
    </w:lvl>
    <w:lvl w:ilvl="7">
      <w:start w:val="1"/>
      <w:numFmt w:val="lowerLetter"/>
      <w:lvlText w:val="%8."/>
      <w:lvlJc w:val="left"/>
      <w:pPr>
        <w:tabs>
          <w:tab w:val="num" w:pos="12300"/>
        </w:tabs>
        <w:ind w:left="12300" w:hanging="360"/>
      </w:pPr>
    </w:lvl>
    <w:lvl w:ilvl="8">
      <w:start w:val="1"/>
      <w:numFmt w:val="lowerRoman"/>
      <w:lvlText w:val="%9."/>
      <w:lvlJc w:val="left"/>
      <w:pPr>
        <w:tabs>
          <w:tab w:val="num" w:pos="12660"/>
        </w:tabs>
        <w:ind w:left="12660" w:hanging="360"/>
      </w:pPr>
    </w:lvl>
  </w:abstractNum>
  <w:abstractNum w:abstractNumId="1">
    <w:nsid w:val="23B33750"/>
    <w:multiLevelType w:val="multilevel"/>
    <w:tmpl w:val="D26CFFB6"/>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3">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attachedTemplate r:id="rId1"/>
  <w:stylePaneFormatFilter w:val="3F01"/>
  <w:defaultTabStop w:val="720"/>
  <w:noPunctuationKerning/>
  <w:characterSpacingControl w:val="doNotCompres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
  <w:rsids>
    <w:rsidRoot w:val="00C559DD"/>
    <w:rsid w:val="000148C0"/>
    <w:rsid w:val="00022D31"/>
    <w:rsid w:val="0002369A"/>
    <w:rsid w:val="00026A50"/>
    <w:rsid w:val="00091218"/>
    <w:rsid w:val="00092A85"/>
    <w:rsid w:val="000A7236"/>
    <w:rsid w:val="000A74C7"/>
    <w:rsid w:val="000B284C"/>
    <w:rsid w:val="000C5135"/>
    <w:rsid w:val="000D35BA"/>
    <w:rsid w:val="000F3C66"/>
    <w:rsid w:val="001220C0"/>
    <w:rsid w:val="00135A4F"/>
    <w:rsid w:val="001875BE"/>
    <w:rsid w:val="001922F7"/>
    <w:rsid w:val="00196FA5"/>
    <w:rsid w:val="00197D7E"/>
    <w:rsid w:val="001A5975"/>
    <w:rsid w:val="001B359B"/>
    <w:rsid w:val="001D4194"/>
    <w:rsid w:val="001E6C23"/>
    <w:rsid w:val="001E6ECD"/>
    <w:rsid w:val="00213921"/>
    <w:rsid w:val="002151CA"/>
    <w:rsid w:val="00241C05"/>
    <w:rsid w:val="00251EB4"/>
    <w:rsid w:val="002B124E"/>
    <w:rsid w:val="002D3344"/>
    <w:rsid w:val="002F20AC"/>
    <w:rsid w:val="003140B9"/>
    <w:rsid w:val="00350A37"/>
    <w:rsid w:val="00353C21"/>
    <w:rsid w:val="00362B04"/>
    <w:rsid w:val="0037232D"/>
    <w:rsid w:val="00377ABE"/>
    <w:rsid w:val="00390433"/>
    <w:rsid w:val="003A18A9"/>
    <w:rsid w:val="003B0F24"/>
    <w:rsid w:val="003B6DC3"/>
    <w:rsid w:val="003D30D2"/>
    <w:rsid w:val="003F52A1"/>
    <w:rsid w:val="003F53E0"/>
    <w:rsid w:val="004232EE"/>
    <w:rsid w:val="004240A6"/>
    <w:rsid w:val="00433196"/>
    <w:rsid w:val="00434AA1"/>
    <w:rsid w:val="004356E4"/>
    <w:rsid w:val="00444B36"/>
    <w:rsid w:val="0044693B"/>
    <w:rsid w:val="0045058B"/>
    <w:rsid w:val="00473024"/>
    <w:rsid w:val="00476551"/>
    <w:rsid w:val="00490FB2"/>
    <w:rsid w:val="0049175A"/>
    <w:rsid w:val="004B2B55"/>
    <w:rsid w:val="004B7F81"/>
    <w:rsid w:val="004D16CF"/>
    <w:rsid w:val="005171E4"/>
    <w:rsid w:val="00524CF7"/>
    <w:rsid w:val="005541CB"/>
    <w:rsid w:val="00554B31"/>
    <w:rsid w:val="00570CC9"/>
    <w:rsid w:val="00585DA6"/>
    <w:rsid w:val="005B5CDF"/>
    <w:rsid w:val="005D0FF2"/>
    <w:rsid w:val="005F5627"/>
    <w:rsid w:val="005F6539"/>
    <w:rsid w:val="00603D2C"/>
    <w:rsid w:val="00604CF4"/>
    <w:rsid w:val="00617609"/>
    <w:rsid w:val="00633B8A"/>
    <w:rsid w:val="00634E6C"/>
    <w:rsid w:val="00640F1A"/>
    <w:rsid w:val="00661E6F"/>
    <w:rsid w:val="00663D7A"/>
    <w:rsid w:val="006A6625"/>
    <w:rsid w:val="006C0367"/>
    <w:rsid w:val="006E5D5B"/>
    <w:rsid w:val="006F00DD"/>
    <w:rsid w:val="006F158F"/>
    <w:rsid w:val="00701412"/>
    <w:rsid w:val="0071628A"/>
    <w:rsid w:val="00734C43"/>
    <w:rsid w:val="00734DDB"/>
    <w:rsid w:val="0073548A"/>
    <w:rsid w:val="007836A4"/>
    <w:rsid w:val="00786AB5"/>
    <w:rsid w:val="00786CC8"/>
    <w:rsid w:val="007B2B6D"/>
    <w:rsid w:val="007B56B1"/>
    <w:rsid w:val="007B7CEB"/>
    <w:rsid w:val="007C1808"/>
    <w:rsid w:val="007E0E79"/>
    <w:rsid w:val="007F3CF9"/>
    <w:rsid w:val="00823D11"/>
    <w:rsid w:val="0082564B"/>
    <w:rsid w:val="00827D82"/>
    <w:rsid w:val="008441E8"/>
    <w:rsid w:val="0085735C"/>
    <w:rsid w:val="00883604"/>
    <w:rsid w:val="008868B5"/>
    <w:rsid w:val="0089119A"/>
    <w:rsid w:val="0089315F"/>
    <w:rsid w:val="008B3EF1"/>
    <w:rsid w:val="008C7D9A"/>
    <w:rsid w:val="008D619B"/>
    <w:rsid w:val="008D721E"/>
    <w:rsid w:val="008E7CCE"/>
    <w:rsid w:val="008F4F7A"/>
    <w:rsid w:val="0091507B"/>
    <w:rsid w:val="0093626D"/>
    <w:rsid w:val="00942937"/>
    <w:rsid w:val="009749C3"/>
    <w:rsid w:val="00976BF6"/>
    <w:rsid w:val="009823B7"/>
    <w:rsid w:val="009852BA"/>
    <w:rsid w:val="009A4C45"/>
    <w:rsid w:val="009C2047"/>
    <w:rsid w:val="009C210B"/>
    <w:rsid w:val="009D611B"/>
    <w:rsid w:val="009F29B7"/>
    <w:rsid w:val="009F55DD"/>
    <w:rsid w:val="00A07594"/>
    <w:rsid w:val="00A434BD"/>
    <w:rsid w:val="00A64A8A"/>
    <w:rsid w:val="00A86322"/>
    <w:rsid w:val="00AA378E"/>
    <w:rsid w:val="00AB51A5"/>
    <w:rsid w:val="00AC2866"/>
    <w:rsid w:val="00AE4F21"/>
    <w:rsid w:val="00AE7ECD"/>
    <w:rsid w:val="00B05542"/>
    <w:rsid w:val="00B20074"/>
    <w:rsid w:val="00B31502"/>
    <w:rsid w:val="00B46949"/>
    <w:rsid w:val="00B549F4"/>
    <w:rsid w:val="00B5598F"/>
    <w:rsid w:val="00B5650E"/>
    <w:rsid w:val="00B64C13"/>
    <w:rsid w:val="00B65261"/>
    <w:rsid w:val="00B679FE"/>
    <w:rsid w:val="00B740B5"/>
    <w:rsid w:val="00BA5921"/>
    <w:rsid w:val="00BB2EAC"/>
    <w:rsid w:val="00BB38CF"/>
    <w:rsid w:val="00C3599C"/>
    <w:rsid w:val="00C559DD"/>
    <w:rsid w:val="00C566E6"/>
    <w:rsid w:val="00C7160E"/>
    <w:rsid w:val="00C861E4"/>
    <w:rsid w:val="00C86DA9"/>
    <w:rsid w:val="00C9366C"/>
    <w:rsid w:val="00C94C0C"/>
    <w:rsid w:val="00C95AA1"/>
    <w:rsid w:val="00C97C9F"/>
    <w:rsid w:val="00CA0324"/>
    <w:rsid w:val="00CA2FD7"/>
    <w:rsid w:val="00CA56A7"/>
    <w:rsid w:val="00CD2B18"/>
    <w:rsid w:val="00D05C6F"/>
    <w:rsid w:val="00D136AB"/>
    <w:rsid w:val="00D31B2B"/>
    <w:rsid w:val="00D512BE"/>
    <w:rsid w:val="00D67E2A"/>
    <w:rsid w:val="00D80E79"/>
    <w:rsid w:val="00D86446"/>
    <w:rsid w:val="00D95CC2"/>
    <w:rsid w:val="00D96190"/>
    <w:rsid w:val="00DA213A"/>
    <w:rsid w:val="00DA5F5B"/>
    <w:rsid w:val="00DA77B7"/>
    <w:rsid w:val="00DB4B98"/>
    <w:rsid w:val="00DB5677"/>
    <w:rsid w:val="00DB713E"/>
    <w:rsid w:val="00DD34B3"/>
    <w:rsid w:val="00DD69E1"/>
    <w:rsid w:val="00DE6D2E"/>
    <w:rsid w:val="00DE6F91"/>
    <w:rsid w:val="00E04FCE"/>
    <w:rsid w:val="00E10840"/>
    <w:rsid w:val="00E17D6F"/>
    <w:rsid w:val="00E20B1B"/>
    <w:rsid w:val="00E50A4E"/>
    <w:rsid w:val="00E54198"/>
    <w:rsid w:val="00E842C3"/>
    <w:rsid w:val="00E842D6"/>
    <w:rsid w:val="00E9228A"/>
    <w:rsid w:val="00E95AD5"/>
    <w:rsid w:val="00EA217E"/>
    <w:rsid w:val="00EC375A"/>
    <w:rsid w:val="00EE130A"/>
    <w:rsid w:val="00EE3F55"/>
    <w:rsid w:val="00EE4CAF"/>
    <w:rsid w:val="00EF1196"/>
    <w:rsid w:val="00F011CA"/>
    <w:rsid w:val="00F02E33"/>
    <w:rsid w:val="00F123DD"/>
    <w:rsid w:val="00F23484"/>
    <w:rsid w:val="00F2398A"/>
    <w:rsid w:val="00F43D12"/>
    <w:rsid w:val="00F46186"/>
    <w:rsid w:val="00F548D0"/>
    <w:rsid w:val="00F56C4D"/>
    <w:rsid w:val="00F7752F"/>
    <w:rsid w:val="00FA42A9"/>
    <w:rsid w:val="00FB0265"/>
    <w:rsid w:val="00FB3687"/>
    <w:rsid w:val="00FB5405"/>
    <w:rsid w:val="00FC4669"/>
    <w:rsid w:val="00FC5133"/>
    <w:rsid w:val="00FC5C16"/>
    <w:rsid w:val="00FE486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C2"/>
    <w:rPr>
      <w:sz w:val="24"/>
    </w:rPr>
  </w:style>
  <w:style w:type="paragraph" w:styleId="Heading1">
    <w:name w:val="heading 1"/>
    <w:basedOn w:val="Normal"/>
    <w:next w:val="Normal"/>
    <w:qFormat/>
    <w:rsid w:val="006F158F"/>
    <w:pPr>
      <w:keepNext/>
      <w:spacing w:before="240" w:after="360"/>
      <w:outlineLvl w:val="0"/>
    </w:pPr>
    <w:rPr>
      <w:b/>
      <w:caps/>
      <w:sz w:val="28"/>
    </w:rPr>
  </w:style>
  <w:style w:type="paragraph" w:styleId="Heading2">
    <w:name w:val="heading 2"/>
    <w:basedOn w:val="Normal"/>
    <w:next w:val="Normal"/>
    <w:qFormat/>
    <w:rsid w:val="006F158F"/>
    <w:pPr>
      <w:keepNext/>
      <w:spacing w:before="120"/>
      <w:outlineLvl w:val="1"/>
    </w:pPr>
    <w:rPr>
      <w:b/>
      <w:caps/>
    </w:rPr>
  </w:style>
  <w:style w:type="paragraph" w:styleId="Heading3">
    <w:name w:val="heading 3"/>
    <w:basedOn w:val="Normal"/>
    <w:next w:val="Normal"/>
    <w:qFormat/>
    <w:rsid w:val="006F158F"/>
    <w:pPr>
      <w:keepNext/>
      <w:spacing w:before="60"/>
      <w:outlineLvl w:val="2"/>
    </w:pPr>
    <w:rPr>
      <w:b/>
    </w:rPr>
  </w:style>
  <w:style w:type="paragraph" w:styleId="Heading4">
    <w:name w:val="heading 4"/>
    <w:basedOn w:val="Normal"/>
    <w:next w:val="Normal"/>
    <w:qFormat/>
    <w:rsid w:val="006F158F"/>
    <w:pPr>
      <w:keepNext/>
      <w:outlineLvl w:val="3"/>
    </w:pPr>
    <w:rPr>
      <w:i/>
      <w:sz w:val="20"/>
    </w:rPr>
  </w:style>
  <w:style w:type="paragraph" w:styleId="Heading6">
    <w:name w:val="heading 6"/>
    <w:basedOn w:val="Normal"/>
    <w:next w:val="Normal"/>
    <w:qFormat/>
    <w:rsid w:val="006F158F"/>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6F158F"/>
  </w:style>
  <w:style w:type="paragraph" w:customStyle="1" w:styleId="ChartMainHeading">
    <w:name w:val="Chart Main Heading"/>
    <w:basedOn w:val="SingleParagraph"/>
    <w:next w:val="Normal"/>
    <w:rsid w:val="006F158F"/>
    <w:pPr>
      <w:jc w:val="center"/>
    </w:pPr>
    <w:rPr>
      <w:b/>
      <w:caps/>
    </w:rPr>
  </w:style>
  <w:style w:type="paragraph" w:customStyle="1" w:styleId="ChartSecondHeading">
    <w:name w:val="Chart Second Heading"/>
    <w:basedOn w:val="SingleParagraph"/>
    <w:next w:val="Normal"/>
    <w:rsid w:val="006F158F"/>
    <w:pPr>
      <w:jc w:val="center"/>
    </w:pPr>
    <w:rPr>
      <w:b/>
    </w:rPr>
  </w:style>
  <w:style w:type="paragraph" w:customStyle="1" w:styleId="TableMainHeading">
    <w:name w:val="Table Main Heading"/>
    <w:basedOn w:val="Heading2"/>
    <w:next w:val="Normal"/>
    <w:rsid w:val="006F158F"/>
    <w:pPr>
      <w:spacing w:before="240"/>
      <w:outlineLvl w:val="9"/>
    </w:pPr>
    <w:rPr>
      <w:rFonts w:ascii="Helvetica" w:hAnsi="Helvetica"/>
      <w:b w:val="0"/>
      <w:caps w:val="0"/>
      <w:spacing w:val="30"/>
      <w:sz w:val="22"/>
    </w:rPr>
  </w:style>
  <w:style w:type="paragraph" w:customStyle="1" w:styleId="Appendix">
    <w:name w:val="Appendix"/>
    <w:basedOn w:val="Normal"/>
    <w:link w:val="AppendixCharChar"/>
    <w:rsid w:val="006F158F"/>
    <w:pPr>
      <w:jc w:val="right"/>
    </w:pPr>
    <w:rPr>
      <w:b/>
    </w:rPr>
  </w:style>
  <w:style w:type="character" w:customStyle="1" w:styleId="AppendixCharChar">
    <w:name w:val="Appendix Char Char"/>
    <w:basedOn w:val="DefaultParagraphFont"/>
    <w:link w:val="Appendix"/>
    <w:rsid w:val="006F158F"/>
    <w:rPr>
      <w:b/>
      <w:sz w:val="24"/>
      <w:lang w:val="en-AU" w:eastAsia="en-AU" w:bidi="ar-SA"/>
    </w:rPr>
  </w:style>
  <w:style w:type="paragraph" w:customStyle="1" w:styleId="HB-dotpoint">
    <w:name w:val="HB - dotpoint"/>
    <w:basedOn w:val="Normal"/>
    <w:rsid w:val="006F158F"/>
    <w:pPr>
      <w:numPr>
        <w:numId w:val="1"/>
      </w:numPr>
      <w:spacing w:before="180"/>
    </w:pPr>
  </w:style>
  <w:style w:type="paragraph" w:customStyle="1" w:styleId="CharCharCharCharCharChar">
    <w:name w:val="Char Char Char Char Char Char"/>
    <w:basedOn w:val="Normal"/>
    <w:rsid w:val="00734C43"/>
    <w:pPr>
      <w:spacing w:after="160" w:line="240" w:lineRule="exact"/>
    </w:pPr>
    <w:rPr>
      <w:rFonts w:ascii="Verdana" w:hAnsi="Verdana"/>
      <w:sz w:val="20"/>
      <w:szCs w:val="24"/>
      <w:lang w:val="en-US" w:eastAsia="en-US"/>
    </w:rPr>
  </w:style>
  <w:style w:type="paragraph" w:customStyle="1" w:styleId="Bullet">
    <w:name w:val="Bullet"/>
    <w:aliases w:val="b"/>
    <w:basedOn w:val="Normal"/>
    <w:link w:val="BulletChar"/>
    <w:uiPriority w:val="99"/>
    <w:qFormat/>
    <w:rsid w:val="009F55DD"/>
    <w:pPr>
      <w:numPr>
        <w:numId w:val="3"/>
      </w:numPr>
      <w:spacing w:after="240"/>
    </w:pPr>
  </w:style>
  <w:style w:type="paragraph" w:customStyle="1" w:styleId="Dash">
    <w:name w:val="Dash"/>
    <w:basedOn w:val="Normal"/>
    <w:uiPriority w:val="99"/>
    <w:rsid w:val="009F55DD"/>
    <w:pPr>
      <w:numPr>
        <w:ilvl w:val="1"/>
        <w:numId w:val="3"/>
      </w:numPr>
      <w:spacing w:after="240"/>
    </w:pPr>
  </w:style>
  <w:style w:type="paragraph" w:customStyle="1" w:styleId="DoubleDot">
    <w:name w:val="Double Dot"/>
    <w:basedOn w:val="Normal"/>
    <w:uiPriority w:val="99"/>
    <w:rsid w:val="009F55DD"/>
    <w:pPr>
      <w:numPr>
        <w:ilvl w:val="2"/>
        <w:numId w:val="3"/>
      </w:numPr>
      <w:spacing w:after="240"/>
    </w:pPr>
  </w:style>
  <w:style w:type="character" w:customStyle="1" w:styleId="BulletChar">
    <w:name w:val="Bullet Char"/>
    <w:aliases w:val="b Char"/>
    <w:basedOn w:val="DefaultParagraphFont"/>
    <w:link w:val="Bullet"/>
    <w:uiPriority w:val="99"/>
    <w:rsid w:val="009F55DD"/>
    <w:rPr>
      <w:sz w:val="24"/>
    </w:rPr>
  </w:style>
  <w:style w:type="paragraph" w:styleId="BalloonText">
    <w:name w:val="Balloon Text"/>
    <w:basedOn w:val="Normal"/>
    <w:link w:val="BalloonTextChar"/>
    <w:uiPriority w:val="99"/>
    <w:semiHidden/>
    <w:unhideWhenUsed/>
    <w:rsid w:val="00B31502"/>
    <w:rPr>
      <w:rFonts w:ascii="Tahoma" w:hAnsi="Tahoma" w:cs="Tahoma"/>
      <w:sz w:val="16"/>
      <w:szCs w:val="16"/>
    </w:rPr>
  </w:style>
  <w:style w:type="character" w:customStyle="1" w:styleId="BalloonTextChar">
    <w:name w:val="Balloon Text Char"/>
    <w:basedOn w:val="DefaultParagraphFont"/>
    <w:link w:val="BalloonText"/>
    <w:uiPriority w:val="99"/>
    <w:semiHidden/>
    <w:rsid w:val="00B31502"/>
    <w:rPr>
      <w:rFonts w:ascii="Tahoma" w:hAnsi="Tahoma" w:cs="Tahoma"/>
      <w:sz w:val="16"/>
      <w:szCs w:val="16"/>
    </w:rPr>
  </w:style>
  <w:style w:type="paragraph" w:styleId="Header">
    <w:name w:val="header"/>
    <w:basedOn w:val="Normal"/>
    <w:link w:val="HeaderChar"/>
    <w:uiPriority w:val="99"/>
    <w:unhideWhenUsed/>
    <w:rsid w:val="00D95CC2"/>
    <w:pPr>
      <w:tabs>
        <w:tab w:val="center" w:pos="4513"/>
        <w:tab w:val="right" w:pos="9026"/>
      </w:tabs>
    </w:pPr>
  </w:style>
  <w:style w:type="character" w:customStyle="1" w:styleId="HeaderChar">
    <w:name w:val="Header Char"/>
    <w:basedOn w:val="DefaultParagraphFont"/>
    <w:link w:val="Header"/>
    <w:uiPriority w:val="99"/>
    <w:rsid w:val="00D95CC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CC2"/>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paragraph" w:customStyle="1" w:styleId="CharCharCharCharCharChar">
    <w:name w:val="Char Char Char Char Char Char"/>
    <w:basedOn w:val="Normal"/>
    <w:rsid w:val="00734C43"/>
    <w:pPr>
      <w:spacing w:after="160" w:line="240" w:lineRule="exact"/>
    </w:pPr>
    <w:rPr>
      <w:rFonts w:ascii="Verdana" w:hAnsi="Verdana"/>
      <w:sz w:val="20"/>
      <w:szCs w:val="24"/>
      <w:lang w:val="en-US" w:eastAsia="en-US"/>
    </w:rPr>
  </w:style>
  <w:style w:type="paragraph" w:customStyle="1" w:styleId="Bullet">
    <w:name w:val="Bullet"/>
    <w:aliases w:val="b"/>
    <w:basedOn w:val="Normal"/>
    <w:link w:val="BulletChar"/>
    <w:uiPriority w:val="99"/>
    <w:qFormat/>
    <w:rsid w:val="009F55DD"/>
    <w:pPr>
      <w:numPr>
        <w:numId w:val="3"/>
      </w:numPr>
      <w:spacing w:after="240"/>
    </w:pPr>
  </w:style>
  <w:style w:type="paragraph" w:customStyle="1" w:styleId="Dash">
    <w:name w:val="Dash"/>
    <w:basedOn w:val="Normal"/>
    <w:uiPriority w:val="99"/>
    <w:rsid w:val="009F55DD"/>
    <w:pPr>
      <w:numPr>
        <w:ilvl w:val="1"/>
        <w:numId w:val="3"/>
      </w:numPr>
      <w:spacing w:after="240"/>
    </w:pPr>
  </w:style>
  <w:style w:type="paragraph" w:customStyle="1" w:styleId="DoubleDot">
    <w:name w:val="Double Dot"/>
    <w:basedOn w:val="Normal"/>
    <w:uiPriority w:val="99"/>
    <w:rsid w:val="009F55DD"/>
    <w:pPr>
      <w:numPr>
        <w:ilvl w:val="2"/>
        <w:numId w:val="3"/>
      </w:numPr>
      <w:spacing w:after="240"/>
    </w:pPr>
  </w:style>
  <w:style w:type="character" w:customStyle="1" w:styleId="BulletChar">
    <w:name w:val="Bullet Char"/>
    <w:aliases w:val="b Char"/>
    <w:basedOn w:val="DefaultParagraphFont"/>
    <w:link w:val="Bullet"/>
    <w:uiPriority w:val="99"/>
    <w:rsid w:val="009F55DD"/>
    <w:rPr>
      <w:sz w:val="24"/>
    </w:rPr>
  </w:style>
  <w:style w:type="paragraph" w:styleId="BalloonText">
    <w:name w:val="Balloon Text"/>
    <w:basedOn w:val="Normal"/>
    <w:link w:val="BalloonTextChar"/>
    <w:uiPriority w:val="99"/>
    <w:semiHidden/>
    <w:unhideWhenUsed/>
    <w:rsid w:val="00B31502"/>
    <w:rPr>
      <w:rFonts w:ascii="Tahoma" w:hAnsi="Tahoma" w:cs="Tahoma"/>
      <w:sz w:val="16"/>
      <w:szCs w:val="16"/>
    </w:rPr>
  </w:style>
  <w:style w:type="character" w:customStyle="1" w:styleId="BalloonTextChar">
    <w:name w:val="Balloon Text Char"/>
    <w:basedOn w:val="DefaultParagraphFont"/>
    <w:link w:val="BalloonText"/>
    <w:uiPriority w:val="99"/>
    <w:semiHidden/>
    <w:rsid w:val="00B31502"/>
    <w:rPr>
      <w:rFonts w:ascii="Tahoma" w:hAnsi="Tahoma" w:cs="Tahoma"/>
      <w:sz w:val="16"/>
      <w:szCs w:val="16"/>
    </w:rPr>
  </w:style>
  <w:style w:type="paragraph" w:styleId="Header">
    <w:name w:val="header"/>
    <w:basedOn w:val="Normal"/>
    <w:link w:val="HeaderChar"/>
    <w:uiPriority w:val="99"/>
    <w:unhideWhenUsed/>
    <w:rsid w:val="00D95CC2"/>
    <w:pPr>
      <w:tabs>
        <w:tab w:val="center" w:pos="4513"/>
        <w:tab w:val="right" w:pos="9026"/>
      </w:tabs>
    </w:pPr>
  </w:style>
  <w:style w:type="character" w:customStyle="1" w:styleId="HeaderChar">
    <w:name w:val="Header Char"/>
    <w:basedOn w:val="DefaultParagraphFont"/>
    <w:link w:val="Header"/>
    <w:uiPriority w:val="99"/>
    <w:rsid w:val="00D95CC2"/>
    <w:rPr>
      <w:sz w:val="24"/>
    </w:rPr>
  </w:style>
</w:styles>
</file>

<file path=word/webSettings.xml><?xml version="1.0" encoding="utf-8"?>
<w:webSettings xmlns:r="http://schemas.openxmlformats.org/officeDocument/2006/relationships" xmlns:w="http://schemas.openxmlformats.org/wordprocessingml/2006/main">
  <w:divs>
    <w:div w:id="133425685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Example EM - Regulations</Template>
  <TotalTime>0</TotalTime>
  <Pages>4</Pages>
  <Words>844</Words>
  <Characters>4882</Characters>
  <Application>Microsoft Office Word</Application>
  <DocSecurity>0</DocSecurity>
  <Lines>143</Lines>
  <Paragraphs>51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Sturgiss, Heather</dc:creator>
  <cp:lastModifiedBy>woodsa</cp:lastModifiedBy>
  <cp:revision>3</cp:revision>
  <cp:lastPrinted>2012-07-20T00:41:00Z</cp:lastPrinted>
  <dcterms:created xsi:type="dcterms:W3CDTF">2012-08-16T23:07:00Z</dcterms:created>
  <dcterms:modified xsi:type="dcterms:W3CDTF">2012-08-16T23:16:00Z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-2001890420</vt:i4>
  </property>
  <property fmtid="{D5CDD505-2E9C-101B-9397-08002B2CF9AE}" pid="3" name="_NewReviewCycle">
    <vt:lpwstr/>
  </property>
  <property fmtid="{D5CDD505-2E9C-101B-9397-08002B2CF9AE}" pid="4" name="_EmailSubject">
    <vt:lpwstr>Additional info required for EXCO regulations [SEC=UNCLASSIFIED]</vt:lpwstr>
  </property>
  <property fmtid="{D5CDD505-2E9C-101B-9397-08002B2CF9AE}" pid="5" name="_AuthorEmail">
    <vt:lpwstr>Taike.Li@TREASURY.GOV.AU</vt:lpwstr>
  </property>
  <property fmtid="{D5CDD505-2E9C-101B-9397-08002B2CF9AE}" pid="6" name="_AuthorEmailDisplayName">
    <vt:lpwstr>Li, Taike</vt:lpwstr>
  </property>
  <property fmtid="{D5CDD505-2E9C-101B-9397-08002B2CF9AE}" pid="7" name="_PreviousAdHocReviewCycleID">
    <vt:i4>985494959</vt:i4>
  </property>
  <property fmtid="{D5CDD505-2E9C-101B-9397-08002B2CF9AE}" pid="8" name="_ReviewingToolsShownOnce">
    <vt:lpwstr/>
  </property>
</Properties>
</file>