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1C" w:rsidRPr="006956D8" w:rsidRDefault="00DA1022" w:rsidP="00776FB8">
      <w:pPr>
        <w:spacing w:line="360" w:lineRule="auto"/>
        <w:jc w:val="center"/>
        <w:rPr>
          <w:rFonts w:ascii="Arial" w:hAnsi="Arial" w:cs="Arial"/>
          <w:b/>
          <w:sz w:val="22"/>
          <w:szCs w:val="22"/>
          <w:lang w:val="en-AU"/>
        </w:rPr>
      </w:pPr>
      <w:r w:rsidRPr="006956D8">
        <w:rPr>
          <w:rFonts w:ascii="Arial" w:hAnsi="Arial" w:cs="Arial"/>
          <w:b/>
          <w:sz w:val="22"/>
          <w:szCs w:val="22"/>
          <w:lang w:val="en-AU"/>
        </w:rPr>
        <w:t xml:space="preserve">EXPLANATORY </w:t>
      </w:r>
      <w:r w:rsidR="003541E8" w:rsidRPr="006956D8">
        <w:rPr>
          <w:rFonts w:ascii="Arial" w:hAnsi="Arial" w:cs="Arial"/>
          <w:b/>
          <w:sz w:val="22"/>
          <w:szCs w:val="22"/>
          <w:lang w:val="en-AU"/>
        </w:rPr>
        <w:t>STATEMENT</w:t>
      </w:r>
    </w:p>
    <w:p w:rsidR="00E4020A" w:rsidRPr="006956D8" w:rsidRDefault="00E4020A" w:rsidP="00776FB8">
      <w:pPr>
        <w:spacing w:line="360" w:lineRule="auto"/>
        <w:jc w:val="center"/>
        <w:rPr>
          <w:rFonts w:ascii="Arial" w:hAnsi="Arial" w:cs="Arial"/>
          <w:i/>
          <w:sz w:val="22"/>
          <w:szCs w:val="22"/>
          <w:lang w:val="en-AU"/>
        </w:rPr>
      </w:pPr>
    </w:p>
    <w:p w:rsidR="007424D8" w:rsidRPr="006956D8" w:rsidRDefault="007424D8" w:rsidP="00776FB8">
      <w:pPr>
        <w:spacing w:line="360" w:lineRule="auto"/>
        <w:jc w:val="center"/>
        <w:rPr>
          <w:rFonts w:ascii="Arial" w:hAnsi="Arial" w:cs="Arial"/>
          <w:i/>
          <w:sz w:val="22"/>
          <w:szCs w:val="22"/>
          <w:lang w:val="en-AU"/>
        </w:rPr>
      </w:pPr>
    </w:p>
    <w:p w:rsidR="001A730C" w:rsidRPr="006956D8" w:rsidRDefault="001A730C" w:rsidP="001A730C">
      <w:pPr>
        <w:spacing w:line="360" w:lineRule="auto"/>
        <w:jc w:val="center"/>
        <w:rPr>
          <w:rFonts w:ascii="Arial" w:hAnsi="Arial" w:cs="Arial"/>
          <w:sz w:val="22"/>
          <w:szCs w:val="22"/>
          <w:lang w:val="en-AU"/>
        </w:rPr>
      </w:pPr>
      <w:r w:rsidRPr="006956D8">
        <w:rPr>
          <w:rFonts w:ascii="Arial" w:hAnsi="Arial" w:cs="Arial"/>
          <w:sz w:val="22"/>
          <w:szCs w:val="22"/>
          <w:lang w:val="en-AU"/>
        </w:rPr>
        <w:t>Issued by the Australian Communications and Media Authority</w:t>
      </w:r>
    </w:p>
    <w:p w:rsidR="001A730C" w:rsidRPr="006956D8" w:rsidRDefault="001A730C" w:rsidP="00776FB8">
      <w:pPr>
        <w:spacing w:line="360" w:lineRule="auto"/>
        <w:jc w:val="center"/>
        <w:rPr>
          <w:rFonts w:ascii="Arial" w:hAnsi="Arial" w:cs="Arial"/>
          <w:i/>
          <w:sz w:val="22"/>
          <w:szCs w:val="22"/>
          <w:lang w:val="en-AU"/>
        </w:rPr>
      </w:pPr>
    </w:p>
    <w:p w:rsidR="001A6F36" w:rsidRPr="006956D8" w:rsidRDefault="001A6F36" w:rsidP="00083579">
      <w:pPr>
        <w:spacing w:line="360" w:lineRule="auto"/>
        <w:jc w:val="center"/>
        <w:rPr>
          <w:rFonts w:ascii="Arial" w:hAnsi="Arial" w:cs="Arial"/>
          <w:i/>
          <w:sz w:val="22"/>
          <w:szCs w:val="22"/>
          <w:lang w:val="en-AU"/>
        </w:rPr>
      </w:pPr>
      <w:r w:rsidRPr="006956D8">
        <w:rPr>
          <w:rFonts w:ascii="Arial" w:hAnsi="Arial" w:cs="Arial"/>
          <w:i/>
          <w:sz w:val="22"/>
          <w:szCs w:val="22"/>
          <w:lang w:val="en-AU"/>
        </w:rPr>
        <w:t>Radiocommunications (Trading</w:t>
      </w:r>
      <w:r w:rsidR="00083579" w:rsidRPr="006956D8">
        <w:rPr>
          <w:rFonts w:ascii="Arial" w:hAnsi="Arial" w:cs="Arial"/>
          <w:i/>
          <w:sz w:val="22"/>
          <w:szCs w:val="22"/>
          <w:lang w:val="en-AU"/>
        </w:rPr>
        <w:t xml:space="preserve"> Rules for Spectrum Licences</w:t>
      </w:r>
      <w:r w:rsidRPr="006956D8">
        <w:rPr>
          <w:rFonts w:ascii="Arial" w:hAnsi="Arial" w:cs="Arial"/>
          <w:i/>
          <w:sz w:val="22"/>
          <w:szCs w:val="22"/>
          <w:lang w:val="en-AU"/>
        </w:rPr>
        <w:t>) Determination 2012</w:t>
      </w:r>
    </w:p>
    <w:p w:rsidR="001A6F36" w:rsidRPr="006956D8" w:rsidRDefault="001A6F36" w:rsidP="001A6F36">
      <w:pPr>
        <w:spacing w:line="360" w:lineRule="auto"/>
        <w:jc w:val="center"/>
        <w:rPr>
          <w:rFonts w:ascii="Arial" w:hAnsi="Arial" w:cs="Arial"/>
          <w:sz w:val="22"/>
          <w:szCs w:val="22"/>
          <w:lang w:val="en-AU"/>
        </w:rPr>
      </w:pPr>
    </w:p>
    <w:p w:rsidR="001A6F36" w:rsidRPr="006956D8" w:rsidRDefault="001A6F36" w:rsidP="001A6F36">
      <w:pPr>
        <w:spacing w:line="360" w:lineRule="auto"/>
        <w:jc w:val="center"/>
        <w:rPr>
          <w:rFonts w:ascii="Arial" w:hAnsi="Arial" w:cs="Arial"/>
          <w:i/>
          <w:sz w:val="22"/>
          <w:szCs w:val="22"/>
          <w:lang w:val="en-AU"/>
        </w:rPr>
      </w:pPr>
      <w:r w:rsidRPr="006956D8">
        <w:rPr>
          <w:rFonts w:ascii="Arial" w:hAnsi="Arial" w:cs="Arial"/>
          <w:i/>
          <w:sz w:val="22"/>
          <w:szCs w:val="22"/>
          <w:lang w:val="en-AU"/>
        </w:rPr>
        <w:t>Radiocommunications Act 1992</w:t>
      </w:r>
    </w:p>
    <w:p w:rsidR="001A6F36" w:rsidRPr="006956D8" w:rsidRDefault="001A6F36" w:rsidP="001A6F36">
      <w:pPr>
        <w:spacing w:line="360" w:lineRule="auto"/>
        <w:jc w:val="center"/>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Purpose</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The purpose of the </w:t>
      </w:r>
      <w:r w:rsidRPr="006956D8">
        <w:rPr>
          <w:rFonts w:ascii="Arial" w:hAnsi="Arial" w:cs="Arial"/>
          <w:i/>
          <w:sz w:val="22"/>
          <w:szCs w:val="22"/>
          <w:lang w:val="en-AU"/>
        </w:rPr>
        <w:t>Radiocommunications (</w:t>
      </w:r>
      <w:r w:rsidR="00083579" w:rsidRPr="006956D8">
        <w:rPr>
          <w:rFonts w:ascii="Arial" w:hAnsi="Arial" w:cs="Arial"/>
          <w:i/>
          <w:sz w:val="22"/>
          <w:szCs w:val="22"/>
          <w:lang w:val="en-AU"/>
        </w:rPr>
        <w:t>Trading Rules for Spectrum Licences</w:t>
      </w:r>
      <w:r w:rsidRPr="006956D8">
        <w:rPr>
          <w:rFonts w:ascii="Arial" w:hAnsi="Arial" w:cs="Arial"/>
          <w:i/>
          <w:sz w:val="22"/>
          <w:szCs w:val="22"/>
          <w:lang w:val="en-AU"/>
        </w:rPr>
        <w:t xml:space="preserve">) Determination 2012 </w:t>
      </w:r>
      <w:r w:rsidRPr="006956D8">
        <w:rPr>
          <w:rFonts w:ascii="Arial" w:hAnsi="Arial" w:cs="Arial"/>
          <w:sz w:val="22"/>
          <w:szCs w:val="22"/>
          <w:lang w:val="en-AU"/>
        </w:rPr>
        <w:t xml:space="preserve">(the </w:t>
      </w:r>
      <w:r w:rsidRPr="006956D8">
        <w:rPr>
          <w:rFonts w:ascii="Arial" w:hAnsi="Arial" w:cs="Arial"/>
          <w:b/>
          <w:sz w:val="22"/>
          <w:szCs w:val="22"/>
          <w:lang w:val="en-AU"/>
        </w:rPr>
        <w:t>Determination</w:t>
      </w:r>
      <w:r w:rsidRPr="006956D8">
        <w:rPr>
          <w:rFonts w:ascii="Arial" w:hAnsi="Arial" w:cs="Arial"/>
          <w:sz w:val="22"/>
          <w:szCs w:val="22"/>
          <w:lang w:val="en-AU"/>
        </w:rPr>
        <w:t>) is to set out</w:t>
      </w:r>
      <w:r w:rsidR="00083579" w:rsidRPr="006956D8">
        <w:rPr>
          <w:rFonts w:ascii="Arial" w:hAnsi="Arial" w:cs="Arial"/>
          <w:sz w:val="22"/>
          <w:szCs w:val="22"/>
          <w:lang w:val="en-AU"/>
        </w:rPr>
        <w:t xml:space="preserve"> the rules for the trading of spectrum licences.</w:t>
      </w:r>
      <w:r w:rsidRPr="006956D8">
        <w:rPr>
          <w:rFonts w:ascii="Arial" w:hAnsi="Arial" w:cs="Arial"/>
          <w:sz w:val="22"/>
          <w:szCs w:val="22"/>
          <w:lang w:val="en-AU"/>
        </w:rPr>
        <w:t xml:space="preserve">  </w:t>
      </w:r>
      <w:r w:rsidR="008609AB" w:rsidRPr="00EC6B02">
        <w:rPr>
          <w:rFonts w:ascii="Arial" w:hAnsi="Arial" w:cs="Arial"/>
          <w:sz w:val="22"/>
          <w:szCs w:val="22"/>
          <w:lang w:val="en-AU"/>
        </w:rPr>
        <w:t xml:space="preserve">The Determination revokes the </w:t>
      </w:r>
      <w:r w:rsidR="008609AB" w:rsidRPr="00EC6B02">
        <w:rPr>
          <w:rFonts w:ascii="Arial" w:hAnsi="Arial" w:cs="Arial"/>
          <w:i/>
          <w:sz w:val="22"/>
          <w:szCs w:val="22"/>
          <w:lang w:val="en-AU"/>
        </w:rPr>
        <w:t>Radiocommunications (Trading Rules for Spectrum Licences) Determination 1998</w:t>
      </w:r>
      <w:r w:rsidR="008609AB">
        <w:rPr>
          <w:rFonts w:ascii="Arial" w:hAnsi="Arial" w:cs="Arial"/>
          <w:sz w:val="22"/>
          <w:szCs w:val="22"/>
          <w:lang w:val="en-AU"/>
        </w:rPr>
        <w:t xml:space="preserve"> </w:t>
      </w:r>
      <w:r w:rsidR="00B70111">
        <w:rPr>
          <w:rFonts w:ascii="Arial" w:hAnsi="Arial" w:cs="Arial"/>
          <w:sz w:val="22"/>
          <w:szCs w:val="22"/>
          <w:lang w:val="en-AU"/>
        </w:rPr>
        <w:t xml:space="preserve">(the </w:t>
      </w:r>
      <w:r w:rsidR="00B70111">
        <w:rPr>
          <w:rFonts w:ascii="Arial" w:hAnsi="Arial" w:cs="Arial"/>
          <w:b/>
          <w:sz w:val="22"/>
          <w:szCs w:val="22"/>
          <w:lang w:val="en-AU"/>
        </w:rPr>
        <w:t xml:space="preserve">1998 </w:t>
      </w:r>
      <w:r w:rsidR="00B70111" w:rsidRPr="00AB3457">
        <w:rPr>
          <w:rFonts w:ascii="Arial" w:hAnsi="Arial" w:cs="Arial"/>
          <w:b/>
          <w:sz w:val="22"/>
          <w:szCs w:val="22"/>
          <w:lang w:val="en-AU"/>
        </w:rPr>
        <w:t>Determination</w:t>
      </w:r>
      <w:r w:rsidR="00B70111">
        <w:rPr>
          <w:rFonts w:ascii="Arial" w:hAnsi="Arial" w:cs="Arial"/>
          <w:sz w:val="22"/>
          <w:szCs w:val="22"/>
          <w:lang w:val="en-AU"/>
        </w:rPr>
        <w:t xml:space="preserve">) </w:t>
      </w:r>
      <w:r w:rsidR="008609AB" w:rsidRPr="00B70111">
        <w:rPr>
          <w:rFonts w:ascii="Arial" w:hAnsi="Arial" w:cs="Arial"/>
          <w:sz w:val="22"/>
          <w:szCs w:val="22"/>
          <w:lang w:val="en-AU"/>
        </w:rPr>
        <w:t>and</w:t>
      </w:r>
      <w:r w:rsidR="008609AB">
        <w:rPr>
          <w:rFonts w:ascii="Arial" w:hAnsi="Arial" w:cs="Arial"/>
          <w:sz w:val="22"/>
          <w:szCs w:val="22"/>
          <w:lang w:val="en-AU"/>
        </w:rPr>
        <w:t xml:space="preserve"> provides updated rules for the trading of spectrum licences which are aimed at providing greater flexibility for spectrum licensees. </w:t>
      </w:r>
      <w:r w:rsidR="008609AB" w:rsidRPr="00EC6B02">
        <w:rPr>
          <w:rFonts w:ascii="Arial" w:hAnsi="Arial" w:cs="Arial"/>
          <w:sz w:val="22"/>
          <w:szCs w:val="22"/>
          <w:lang w:val="en-AU"/>
        </w:rPr>
        <w:t xml:space="preserve"> </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Legislative Provisions</w:t>
      </w:r>
    </w:p>
    <w:p w:rsidR="001A6F36" w:rsidRPr="006956D8" w:rsidRDefault="001A6F36" w:rsidP="001A6F36">
      <w:pPr>
        <w:spacing w:line="360" w:lineRule="auto"/>
        <w:rPr>
          <w:rFonts w:ascii="Arial" w:hAnsi="Arial" w:cs="Arial"/>
          <w:sz w:val="22"/>
          <w:szCs w:val="22"/>
          <w:lang w:val="en-AU"/>
        </w:rPr>
      </w:pPr>
    </w:p>
    <w:p w:rsidR="00083579"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The Determination is made under section </w:t>
      </w:r>
      <w:r w:rsidR="00083579" w:rsidRPr="006956D8">
        <w:rPr>
          <w:rFonts w:ascii="Arial" w:hAnsi="Arial" w:cs="Arial"/>
          <w:sz w:val="22"/>
          <w:szCs w:val="22"/>
          <w:lang w:val="en-AU"/>
        </w:rPr>
        <w:t>88</w:t>
      </w:r>
      <w:r w:rsidRPr="006956D8">
        <w:rPr>
          <w:rFonts w:ascii="Arial" w:hAnsi="Arial" w:cs="Arial"/>
          <w:sz w:val="22"/>
          <w:szCs w:val="22"/>
          <w:lang w:val="en-AU"/>
        </w:rPr>
        <w:t xml:space="preserve"> of </w:t>
      </w:r>
      <w:r w:rsidRPr="006956D8">
        <w:rPr>
          <w:rFonts w:ascii="Arial" w:hAnsi="Arial" w:cs="Arial"/>
          <w:i/>
          <w:sz w:val="22"/>
          <w:szCs w:val="22"/>
          <w:lang w:val="en-AU"/>
        </w:rPr>
        <w:t>the Radiocommunications Act 1992</w:t>
      </w:r>
      <w:r w:rsidRPr="006956D8">
        <w:rPr>
          <w:rFonts w:ascii="Arial" w:hAnsi="Arial" w:cs="Arial"/>
          <w:sz w:val="22"/>
          <w:szCs w:val="22"/>
          <w:lang w:val="en-AU"/>
        </w:rPr>
        <w:t xml:space="preserve"> (the </w:t>
      </w:r>
      <w:r w:rsidRPr="006956D8">
        <w:rPr>
          <w:rFonts w:ascii="Arial" w:hAnsi="Arial" w:cs="Arial"/>
          <w:b/>
          <w:sz w:val="22"/>
          <w:szCs w:val="22"/>
          <w:lang w:val="en-AU"/>
        </w:rPr>
        <w:t>Act</w:t>
      </w:r>
      <w:r w:rsidRPr="006956D8">
        <w:rPr>
          <w:rFonts w:ascii="Arial" w:hAnsi="Arial" w:cs="Arial"/>
          <w:sz w:val="22"/>
          <w:szCs w:val="22"/>
          <w:lang w:val="en-AU"/>
        </w:rPr>
        <w:t>) which provides that the Australian Communications and Media Authority (</w:t>
      </w:r>
      <w:r w:rsidR="00B7253E">
        <w:rPr>
          <w:rFonts w:ascii="Arial" w:hAnsi="Arial" w:cs="Arial"/>
          <w:sz w:val="22"/>
          <w:szCs w:val="22"/>
          <w:lang w:val="en-AU"/>
        </w:rPr>
        <w:t xml:space="preserve">the </w:t>
      </w:r>
      <w:r w:rsidRPr="006956D8">
        <w:rPr>
          <w:rFonts w:ascii="Arial" w:hAnsi="Arial" w:cs="Arial"/>
          <w:b/>
          <w:sz w:val="22"/>
          <w:szCs w:val="22"/>
          <w:lang w:val="en-AU"/>
        </w:rPr>
        <w:t>ACMA</w:t>
      </w:r>
      <w:r w:rsidRPr="006956D8">
        <w:rPr>
          <w:rFonts w:ascii="Arial" w:hAnsi="Arial" w:cs="Arial"/>
          <w:sz w:val="22"/>
          <w:szCs w:val="22"/>
          <w:lang w:val="en-AU"/>
        </w:rPr>
        <w:t>) may</w:t>
      </w:r>
      <w:r w:rsidR="00083579" w:rsidRPr="006956D8">
        <w:rPr>
          <w:rFonts w:ascii="Arial" w:hAnsi="Arial" w:cs="Arial"/>
          <w:sz w:val="22"/>
          <w:szCs w:val="22"/>
          <w:lang w:val="en-AU"/>
        </w:rPr>
        <w:t xml:space="preserve"> determine rules for the assignment of spectrum licences and the circumstances in which licences can be varied, issued or cancelled as the result of an assignment.</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The Determination is a legislative instrument for the purposes of the </w:t>
      </w:r>
      <w:r w:rsidR="00AA59D2" w:rsidRPr="00AA59D2">
        <w:rPr>
          <w:rFonts w:ascii="Arial" w:hAnsi="Arial" w:cs="Arial"/>
          <w:i/>
          <w:sz w:val="22"/>
          <w:szCs w:val="22"/>
          <w:lang w:val="en-AU"/>
        </w:rPr>
        <w:t>Legislative Instruments Act 2003</w:t>
      </w:r>
      <w:r w:rsidR="008609AB">
        <w:rPr>
          <w:rFonts w:ascii="Arial" w:hAnsi="Arial" w:cs="Arial"/>
          <w:sz w:val="22"/>
          <w:szCs w:val="22"/>
          <w:lang w:val="en-AU"/>
        </w:rPr>
        <w:t>.</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b/>
          <w:sz w:val="22"/>
          <w:szCs w:val="22"/>
          <w:lang w:val="en-AU"/>
        </w:rPr>
        <w:t>Background</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The Determination is part of a set of legal instruments being made by the ACMA to give effect to the</w:t>
      </w:r>
      <w:r w:rsidR="00157501" w:rsidRPr="006956D8">
        <w:rPr>
          <w:rFonts w:ascii="Arial" w:hAnsi="Arial" w:cs="Arial"/>
          <w:sz w:val="22"/>
          <w:szCs w:val="22"/>
          <w:lang w:val="en-AU"/>
        </w:rPr>
        <w:t xml:space="preserve"> recommendations of the review of the spectrum licence framework detailed in the </w:t>
      </w:r>
      <w:r w:rsidR="00AA59D2" w:rsidRPr="00AA59D2">
        <w:rPr>
          <w:rFonts w:ascii="Arial" w:hAnsi="Arial" w:cs="Arial"/>
          <w:i/>
          <w:sz w:val="22"/>
          <w:szCs w:val="22"/>
          <w:lang w:val="en-AU"/>
        </w:rPr>
        <w:t xml:space="preserve">Proposed </w:t>
      </w:r>
      <w:r w:rsidR="004E7830" w:rsidRPr="006956D8">
        <w:rPr>
          <w:rFonts w:ascii="Arial" w:hAnsi="Arial" w:cs="Arial"/>
          <w:i/>
          <w:sz w:val="22"/>
          <w:szCs w:val="22"/>
          <w:lang w:val="en-AU"/>
        </w:rPr>
        <w:t>updates to the spectrum licence framework – Consultation paper</w:t>
      </w:r>
      <w:r w:rsidR="00157501" w:rsidRPr="006956D8">
        <w:rPr>
          <w:rFonts w:ascii="Arial" w:hAnsi="Arial" w:cs="Arial"/>
          <w:sz w:val="22"/>
          <w:szCs w:val="22"/>
          <w:lang w:val="en-AU"/>
        </w:rPr>
        <w:t>.</w:t>
      </w:r>
      <w:r w:rsidR="00B70111">
        <w:rPr>
          <w:rFonts w:ascii="Arial" w:hAnsi="Arial" w:cs="Arial"/>
          <w:sz w:val="22"/>
          <w:szCs w:val="22"/>
          <w:lang w:val="en-AU"/>
        </w:rPr>
        <w:t xml:space="preserve"> The consultation paper is available on the ACMA website.</w:t>
      </w:r>
    </w:p>
    <w:p w:rsidR="001A6F36" w:rsidRPr="006956D8" w:rsidRDefault="001A6F36" w:rsidP="001A6F36">
      <w:pPr>
        <w:spacing w:line="360" w:lineRule="auto"/>
        <w:rPr>
          <w:rFonts w:ascii="Arial" w:hAnsi="Arial" w:cs="Arial"/>
          <w:sz w:val="22"/>
          <w:szCs w:val="22"/>
          <w:lang w:val="en-AU"/>
        </w:rPr>
      </w:pPr>
    </w:p>
    <w:p w:rsidR="003756B4" w:rsidRPr="006956D8" w:rsidRDefault="00B70111" w:rsidP="001A6F36">
      <w:pPr>
        <w:spacing w:line="360" w:lineRule="auto"/>
        <w:rPr>
          <w:rFonts w:ascii="Arial" w:hAnsi="Arial" w:cs="Arial"/>
          <w:sz w:val="22"/>
          <w:szCs w:val="22"/>
          <w:lang w:val="en-AU"/>
        </w:rPr>
      </w:pPr>
      <w:r w:rsidRPr="006956D8">
        <w:rPr>
          <w:rFonts w:ascii="Arial" w:hAnsi="Arial" w:cs="Arial"/>
          <w:sz w:val="22"/>
          <w:szCs w:val="22"/>
          <w:lang w:val="en-AU"/>
        </w:rPr>
        <w:lastRenderedPageBreak/>
        <w:t xml:space="preserve">The Determination revokes the </w:t>
      </w:r>
      <w:r w:rsidRPr="006956D8">
        <w:rPr>
          <w:rFonts w:ascii="Arial" w:hAnsi="Arial" w:cs="Arial"/>
          <w:i/>
          <w:sz w:val="22"/>
          <w:szCs w:val="22"/>
          <w:lang w:val="en-AU"/>
        </w:rPr>
        <w:t>Radiocommunications (Trading Rules for Spectrum Licences) Determination 1998</w:t>
      </w:r>
      <w:r w:rsidRPr="006956D8">
        <w:rPr>
          <w:rFonts w:ascii="Arial" w:hAnsi="Arial" w:cs="Arial"/>
          <w:sz w:val="22"/>
          <w:szCs w:val="22"/>
          <w:lang w:val="en-AU"/>
        </w:rPr>
        <w:t xml:space="preserve"> and </w:t>
      </w:r>
      <w:r w:rsidR="004F7222">
        <w:rPr>
          <w:rFonts w:ascii="Arial" w:hAnsi="Arial" w:cs="Arial"/>
          <w:sz w:val="22"/>
          <w:szCs w:val="22"/>
          <w:lang w:val="en-AU"/>
        </w:rPr>
        <w:t>replaces it with</w:t>
      </w:r>
      <w:r>
        <w:rPr>
          <w:rFonts w:ascii="Arial" w:hAnsi="Arial" w:cs="Arial"/>
          <w:sz w:val="22"/>
          <w:szCs w:val="22"/>
          <w:lang w:val="en-AU"/>
        </w:rPr>
        <w:t xml:space="preserve"> a new set of </w:t>
      </w:r>
      <w:r w:rsidR="003756B4" w:rsidRPr="006956D8">
        <w:rPr>
          <w:rFonts w:ascii="Arial" w:hAnsi="Arial" w:cs="Arial"/>
          <w:sz w:val="22"/>
          <w:szCs w:val="22"/>
          <w:lang w:val="en-AU"/>
        </w:rPr>
        <w:t>spectrum trading rules, which are designed t</w:t>
      </w:r>
      <w:r w:rsidR="00376A04">
        <w:rPr>
          <w:rFonts w:ascii="Arial" w:hAnsi="Arial" w:cs="Arial"/>
          <w:sz w:val="22"/>
          <w:szCs w:val="22"/>
          <w:lang w:val="en-AU"/>
        </w:rPr>
        <w:t>o</w:t>
      </w:r>
      <w:r w:rsidR="003756B4" w:rsidRPr="006956D8">
        <w:rPr>
          <w:rFonts w:ascii="Arial" w:hAnsi="Arial" w:cs="Arial"/>
          <w:sz w:val="22"/>
          <w:szCs w:val="22"/>
          <w:lang w:val="en-AU"/>
        </w:rPr>
        <w:t xml:space="preserve"> provide increase</w:t>
      </w:r>
      <w:r>
        <w:rPr>
          <w:rFonts w:ascii="Arial" w:hAnsi="Arial" w:cs="Arial"/>
          <w:sz w:val="22"/>
          <w:szCs w:val="22"/>
          <w:lang w:val="en-AU"/>
        </w:rPr>
        <w:t>d</w:t>
      </w:r>
      <w:r w:rsidR="003756B4" w:rsidRPr="006956D8">
        <w:rPr>
          <w:rFonts w:ascii="Arial" w:hAnsi="Arial" w:cs="Arial"/>
          <w:sz w:val="22"/>
          <w:szCs w:val="22"/>
          <w:lang w:val="en-AU"/>
        </w:rPr>
        <w:t xml:space="preserve"> </w:t>
      </w:r>
      <w:r w:rsidRPr="006956D8">
        <w:rPr>
          <w:rFonts w:ascii="Arial" w:hAnsi="Arial" w:cs="Arial"/>
          <w:sz w:val="22"/>
          <w:szCs w:val="22"/>
          <w:lang w:val="en-AU"/>
        </w:rPr>
        <w:t>flexibility</w:t>
      </w:r>
      <w:r>
        <w:rPr>
          <w:rFonts w:ascii="Arial" w:hAnsi="Arial" w:cs="Arial"/>
          <w:sz w:val="22"/>
          <w:szCs w:val="22"/>
          <w:lang w:val="en-AU"/>
        </w:rPr>
        <w:t xml:space="preserve"> for spectrum licensees </w:t>
      </w:r>
      <w:r w:rsidR="003756B4" w:rsidRPr="006956D8">
        <w:rPr>
          <w:rFonts w:ascii="Arial" w:hAnsi="Arial" w:cs="Arial"/>
          <w:sz w:val="22"/>
          <w:szCs w:val="22"/>
          <w:lang w:val="en-AU"/>
        </w:rPr>
        <w:t>in trading of spectrum. The</w:t>
      </w:r>
      <w:r>
        <w:rPr>
          <w:rFonts w:ascii="Arial" w:hAnsi="Arial" w:cs="Arial"/>
          <w:sz w:val="22"/>
          <w:szCs w:val="22"/>
          <w:lang w:val="en-AU"/>
        </w:rPr>
        <w:t xml:space="preserve"> main differences between the Determination and the 1998 Determination </w:t>
      </w:r>
      <w:r w:rsidR="003756B4" w:rsidRPr="006956D8">
        <w:rPr>
          <w:rFonts w:ascii="Arial" w:hAnsi="Arial" w:cs="Arial"/>
          <w:sz w:val="22"/>
          <w:szCs w:val="22"/>
          <w:lang w:val="en-AU"/>
        </w:rPr>
        <w:t>are:</w:t>
      </w:r>
    </w:p>
    <w:p w:rsidR="00000000" w:rsidRDefault="00F5611E">
      <w:pPr>
        <w:pStyle w:val="definition"/>
        <w:numPr>
          <w:ilvl w:val="0"/>
          <w:numId w:val="22"/>
        </w:numPr>
        <w:spacing w:before="100" w:beforeAutospacing="1" w:after="120" w:line="360" w:lineRule="auto"/>
        <w:ind w:left="567" w:hanging="357"/>
        <w:rPr>
          <w:rFonts w:ascii="Arial" w:hAnsi="Arial" w:cs="Arial"/>
          <w:sz w:val="22"/>
          <w:szCs w:val="22"/>
        </w:rPr>
      </w:pPr>
      <w:r w:rsidRPr="005D3F58">
        <w:rPr>
          <w:rFonts w:ascii="Arial" w:hAnsi="Arial" w:cs="Arial"/>
          <w:sz w:val="22"/>
          <w:szCs w:val="22"/>
        </w:rPr>
        <w:t xml:space="preserve">the standard trading unit (STU) </w:t>
      </w:r>
      <w:r w:rsidR="00B70111" w:rsidRPr="005D3F58">
        <w:rPr>
          <w:rFonts w:ascii="Arial" w:hAnsi="Arial" w:cs="Arial"/>
          <w:sz w:val="22"/>
          <w:szCs w:val="22"/>
        </w:rPr>
        <w:t xml:space="preserve">has been </w:t>
      </w:r>
      <w:r w:rsidRPr="005D3F58">
        <w:rPr>
          <w:rFonts w:ascii="Arial" w:hAnsi="Arial" w:cs="Arial"/>
          <w:sz w:val="22"/>
          <w:szCs w:val="22"/>
        </w:rPr>
        <w:t xml:space="preserve">redefined with a frequency component of 1Hz and a geographic component defined as a single cell of the </w:t>
      </w:r>
      <w:r w:rsidR="00AA59D2" w:rsidRPr="00AA59D2">
        <w:rPr>
          <w:rFonts w:ascii="Arial" w:hAnsi="Arial" w:cs="Arial"/>
          <w:i/>
          <w:sz w:val="22"/>
          <w:szCs w:val="22"/>
        </w:rPr>
        <w:t>Australian Spectrum Map Grid 2012</w:t>
      </w:r>
      <w:r w:rsidRPr="005D3F58">
        <w:rPr>
          <w:rFonts w:ascii="Arial" w:hAnsi="Arial" w:cs="Arial"/>
          <w:sz w:val="22"/>
          <w:szCs w:val="22"/>
        </w:rPr>
        <w:t xml:space="preserve"> (ASMG). </w:t>
      </w:r>
      <w:r w:rsidR="00B70111" w:rsidRPr="005D3F58">
        <w:rPr>
          <w:rFonts w:ascii="Arial" w:hAnsi="Arial" w:cs="Arial"/>
          <w:sz w:val="22"/>
          <w:szCs w:val="22"/>
        </w:rPr>
        <w:t xml:space="preserve">The ASMG </w:t>
      </w:r>
      <w:r w:rsidR="00AA59D2" w:rsidRPr="00AA59D2">
        <w:rPr>
          <w:rFonts w:ascii="Arial" w:hAnsi="Arial" w:cs="Arial"/>
          <w:sz w:val="22"/>
          <w:szCs w:val="22"/>
        </w:rPr>
        <w:t xml:space="preserve">is spectrum map grid published by the ACMA and can be accessed on the ACMA website. </w:t>
      </w:r>
      <w:r w:rsidR="005D3F58">
        <w:rPr>
          <w:rFonts w:ascii="Arial" w:hAnsi="Arial" w:cs="Arial"/>
          <w:sz w:val="22"/>
          <w:szCs w:val="22"/>
        </w:rPr>
        <w:t>T</w:t>
      </w:r>
      <w:r w:rsidR="00AA59D2" w:rsidRPr="00AA59D2">
        <w:rPr>
          <w:rFonts w:ascii="Arial" w:hAnsi="Arial" w:cs="Arial"/>
          <w:sz w:val="22"/>
          <w:szCs w:val="22"/>
        </w:rPr>
        <w:t xml:space="preserve">he new STU is the smallest spectrum space that could be traded. </w:t>
      </w:r>
    </w:p>
    <w:p w:rsidR="00AA59D2" w:rsidRDefault="00F5611E" w:rsidP="00AA59D2">
      <w:pPr>
        <w:pStyle w:val="ListBullet"/>
        <w:numPr>
          <w:ilvl w:val="0"/>
          <w:numId w:val="22"/>
        </w:numPr>
        <w:spacing w:line="360" w:lineRule="auto"/>
        <w:ind w:left="567"/>
        <w:rPr>
          <w:rFonts w:ascii="Arial" w:hAnsi="Arial" w:cs="Arial"/>
          <w:sz w:val="22"/>
          <w:szCs w:val="22"/>
        </w:rPr>
      </w:pPr>
      <w:r w:rsidRPr="006956D8">
        <w:rPr>
          <w:rFonts w:ascii="Arial" w:hAnsi="Arial" w:cs="Arial"/>
          <w:sz w:val="22"/>
          <w:szCs w:val="22"/>
        </w:rPr>
        <w:t xml:space="preserve">the minimum contiguous bandwidth (MCB) for each </w:t>
      </w:r>
      <w:r w:rsidR="005D3F58">
        <w:rPr>
          <w:rFonts w:ascii="Arial" w:hAnsi="Arial" w:cs="Arial"/>
          <w:sz w:val="22"/>
          <w:szCs w:val="22"/>
        </w:rPr>
        <w:t xml:space="preserve">frequency </w:t>
      </w:r>
      <w:r w:rsidRPr="006956D8">
        <w:rPr>
          <w:rFonts w:ascii="Arial" w:hAnsi="Arial" w:cs="Arial"/>
          <w:sz w:val="22"/>
          <w:szCs w:val="22"/>
        </w:rPr>
        <w:t xml:space="preserve">band will continue to apply to the licensing of spectrum space. </w:t>
      </w:r>
      <w:r w:rsidR="005D3F58">
        <w:rPr>
          <w:rFonts w:ascii="Arial" w:hAnsi="Arial" w:cs="Arial"/>
          <w:sz w:val="22"/>
          <w:szCs w:val="22"/>
        </w:rPr>
        <w:t xml:space="preserve">If the trade of a part of a licence will result in a spectrum licence with a bandwidth less than the MCB for the frequency band of the licence, prior approval from the ACMA must be </w:t>
      </w:r>
      <w:r w:rsidR="004F7222">
        <w:rPr>
          <w:rFonts w:ascii="Arial" w:hAnsi="Arial" w:cs="Arial"/>
          <w:sz w:val="22"/>
          <w:szCs w:val="22"/>
        </w:rPr>
        <w:t>obtained</w:t>
      </w:r>
      <w:r w:rsidR="005D3F58">
        <w:rPr>
          <w:rFonts w:ascii="Arial" w:hAnsi="Arial" w:cs="Arial"/>
          <w:sz w:val="22"/>
          <w:szCs w:val="22"/>
        </w:rPr>
        <w:t xml:space="preserve"> before the trade can be conducted. </w:t>
      </w:r>
    </w:p>
    <w:p w:rsidR="00AA59D2" w:rsidRDefault="001A3F3D" w:rsidP="00AA59D2">
      <w:pPr>
        <w:pStyle w:val="ListBullet"/>
        <w:numPr>
          <w:ilvl w:val="0"/>
          <w:numId w:val="22"/>
        </w:numPr>
        <w:spacing w:line="360" w:lineRule="auto"/>
        <w:ind w:left="567"/>
        <w:rPr>
          <w:rFonts w:ascii="Arial" w:hAnsi="Arial" w:cs="Arial"/>
          <w:sz w:val="22"/>
          <w:szCs w:val="22"/>
        </w:rPr>
      </w:pPr>
      <w:r w:rsidRPr="006956D8">
        <w:rPr>
          <w:rFonts w:ascii="Arial" w:hAnsi="Arial" w:cs="Arial"/>
          <w:sz w:val="22"/>
          <w:szCs w:val="22"/>
        </w:rPr>
        <w:t>the MCB for the 700 MHz, 800 MHz, 1800 MHz and 2.5 GHz bands will be set to a value of 5 GHz</w:t>
      </w:r>
      <w:r>
        <w:rPr>
          <w:rFonts w:ascii="Arial" w:hAnsi="Arial" w:cs="Arial"/>
          <w:sz w:val="22"/>
          <w:szCs w:val="22"/>
        </w:rPr>
        <w:t>.</w:t>
      </w:r>
    </w:p>
    <w:p w:rsidR="00AA59D2" w:rsidRDefault="001A3F3D" w:rsidP="00AA59D2">
      <w:pPr>
        <w:pStyle w:val="ListBullet"/>
        <w:numPr>
          <w:ilvl w:val="0"/>
          <w:numId w:val="22"/>
        </w:numPr>
        <w:spacing w:line="360" w:lineRule="auto"/>
        <w:ind w:left="567"/>
        <w:rPr>
          <w:rFonts w:ascii="Arial" w:hAnsi="Arial" w:cs="Arial"/>
          <w:sz w:val="22"/>
          <w:szCs w:val="22"/>
        </w:rPr>
      </w:pPr>
      <w:r>
        <w:rPr>
          <w:rFonts w:ascii="Arial" w:hAnsi="Arial" w:cs="Arial"/>
          <w:sz w:val="22"/>
          <w:szCs w:val="22"/>
        </w:rPr>
        <w:t>t</w:t>
      </w:r>
      <w:r w:rsidRPr="006956D8">
        <w:rPr>
          <w:rFonts w:ascii="Arial" w:hAnsi="Arial" w:cs="Arial"/>
          <w:sz w:val="22"/>
          <w:szCs w:val="22"/>
        </w:rPr>
        <w:t>he MCB for the 27 GHz, 28 GHz and 31 GHz band will be set to a value of 50 MHz</w:t>
      </w:r>
      <w:r>
        <w:rPr>
          <w:rFonts w:ascii="Arial" w:hAnsi="Arial" w:cs="Arial"/>
          <w:sz w:val="22"/>
          <w:szCs w:val="22"/>
        </w:rPr>
        <w:t>.</w:t>
      </w:r>
    </w:p>
    <w:p w:rsidR="00AA59D2" w:rsidRDefault="00F5611E" w:rsidP="00AA59D2">
      <w:pPr>
        <w:pStyle w:val="ListBullet"/>
        <w:numPr>
          <w:ilvl w:val="0"/>
          <w:numId w:val="22"/>
        </w:numPr>
        <w:spacing w:line="360" w:lineRule="auto"/>
        <w:ind w:left="567"/>
        <w:rPr>
          <w:rFonts w:ascii="Arial" w:hAnsi="Arial" w:cs="Arial"/>
          <w:sz w:val="22"/>
          <w:szCs w:val="22"/>
        </w:rPr>
      </w:pPr>
      <w:r w:rsidRPr="005D3F58">
        <w:rPr>
          <w:rFonts w:ascii="Arial" w:hAnsi="Arial" w:cs="Arial"/>
          <w:sz w:val="22"/>
          <w:szCs w:val="22"/>
        </w:rPr>
        <w:t xml:space="preserve">The Hierarchical cell identification scheme (HCIS) </w:t>
      </w:r>
      <w:r w:rsidR="005D3F58">
        <w:rPr>
          <w:rFonts w:ascii="Arial" w:hAnsi="Arial" w:cs="Arial"/>
          <w:sz w:val="22"/>
          <w:szCs w:val="22"/>
        </w:rPr>
        <w:t xml:space="preserve">in the ASMG will </w:t>
      </w:r>
      <w:r w:rsidRPr="005D3F58">
        <w:rPr>
          <w:rFonts w:ascii="Arial" w:hAnsi="Arial" w:cs="Arial"/>
          <w:sz w:val="22"/>
          <w:szCs w:val="22"/>
        </w:rPr>
        <w:t>be used to describe the geographical area of a licence.</w:t>
      </w:r>
    </w:p>
    <w:p w:rsidR="003756B4" w:rsidRPr="006956D8" w:rsidRDefault="003756B4"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Operation</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sz w:val="22"/>
          <w:szCs w:val="22"/>
        </w:rPr>
      </w:pPr>
      <w:r w:rsidRPr="006956D8">
        <w:rPr>
          <w:rFonts w:ascii="Arial" w:hAnsi="Arial" w:cs="Arial"/>
          <w:sz w:val="22"/>
          <w:szCs w:val="22"/>
          <w:lang w:val="en-AU"/>
        </w:rPr>
        <w:t>The Determination sets out</w:t>
      </w:r>
      <w:r w:rsidR="00157501" w:rsidRPr="006956D8">
        <w:rPr>
          <w:rFonts w:ascii="Arial" w:hAnsi="Arial" w:cs="Arial"/>
          <w:sz w:val="22"/>
          <w:szCs w:val="22"/>
          <w:lang w:val="en-AU"/>
        </w:rPr>
        <w:t xml:space="preserve"> the new rules for the trading of spectrum licences. </w:t>
      </w:r>
      <w:r w:rsidRPr="006956D8">
        <w:rPr>
          <w:rFonts w:ascii="Arial" w:hAnsi="Arial" w:cs="Arial"/>
          <w:sz w:val="22"/>
          <w:szCs w:val="22"/>
          <w:lang w:val="en-AU"/>
        </w:rPr>
        <w:t xml:space="preserve">The Determination also revokes the </w:t>
      </w:r>
      <w:r w:rsidR="005D3F58">
        <w:rPr>
          <w:rFonts w:ascii="Arial" w:hAnsi="Arial" w:cs="Arial"/>
          <w:sz w:val="22"/>
          <w:szCs w:val="22"/>
          <w:lang w:val="en-AU"/>
        </w:rPr>
        <w:t>1998</w:t>
      </w:r>
      <w:r w:rsidR="00157501" w:rsidRPr="006956D8">
        <w:rPr>
          <w:rFonts w:ascii="Arial" w:hAnsi="Arial" w:cs="Arial"/>
          <w:sz w:val="22"/>
          <w:szCs w:val="22"/>
          <w:lang w:val="en-AU"/>
        </w:rPr>
        <w:t xml:space="preserve"> </w:t>
      </w:r>
      <w:r w:rsidR="005D3F58">
        <w:rPr>
          <w:rFonts w:ascii="Arial" w:hAnsi="Arial" w:cs="Arial"/>
          <w:sz w:val="22"/>
          <w:szCs w:val="22"/>
          <w:lang w:val="en-AU"/>
        </w:rPr>
        <w:t>D</w:t>
      </w:r>
      <w:r w:rsidR="00157501" w:rsidRPr="006956D8">
        <w:rPr>
          <w:rFonts w:ascii="Arial" w:hAnsi="Arial" w:cs="Arial"/>
          <w:sz w:val="22"/>
          <w:szCs w:val="22"/>
          <w:lang w:val="en-AU"/>
        </w:rPr>
        <w:t>etermination</w:t>
      </w:r>
      <w:r w:rsidRPr="006956D8">
        <w:rPr>
          <w:rFonts w:ascii="Arial" w:hAnsi="Arial" w:cs="Arial"/>
          <w:sz w:val="22"/>
          <w:szCs w:val="22"/>
          <w:lang w:val="en-AU"/>
        </w:rPr>
        <w:t>.</w:t>
      </w: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  </w:t>
      </w: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Consultation</w:t>
      </w:r>
    </w:p>
    <w:p w:rsidR="003756B4" w:rsidRPr="006956D8" w:rsidRDefault="003756B4" w:rsidP="003756B4">
      <w:pPr>
        <w:spacing w:line="360" w:lineRule="auto"/>
        <w:rPr>
          <w:rFonts w:ascii="Arial" w:hAnsi="Arial" w:cs="Arial"/>
          <w:b/>
          <w:sz w:val="22"/>
          <w:szCs w:val="22"/>
          <w:lang w:val="en-AU"/>
        </w:rPr>
      </w:pPr>
    </w:p>
    <w:p w:rsidR="003756B4" w:rsidRPr="006956D8" w:rsidRDefault="003756B4" w:rsidP="003756B4">
      <w:pPr>
        <w:spacing w:line="360" w:lineRule="auto"/>
        <w:rPr>
          <w:rFonts w:ascii="Arial" w:hAnsi="Arial" w:cs="Arial"/>
          <w:sz w:val="22"/>
          <w:szCs w:val="22"/>
          <w:lang w:val="en-AU"/>
        </w:rPr>
      </w:pPr>
      <w:r w:rsidRPr="006956D8">
        <w:rPr>
          <w:rFonts w:ascii="Arial" w:hAnsi="Arial" w:cs="Arial"/>
          <w:sz w:val="22"/>
          <w:szCs w:val="22"/>
          <w:lang w:val="en-AU"/>
        </w:rPr>
        <w:t xml:space="preserve">The ACMA has undertaken </w:t>
      </w:r>
      <w:r w:rsidR="001A3F3D">
        <w:rPr>
          <w:rFonts w:ascii="Arial" w:hAnsi="Arial" w:cs="Arial"/>
          <w:sz w:val="22"/>
          <w:szCs w:val="22"/>
          <w:lang w:val="en-AU"/>
        </w:rPr>
        <w:t xml:space="preserve">substantial </w:t>
      </w:r>
      <w:r w:rsidRPr="006956D8">
        <w:rPr>
          <w:rFonts w:ascii="Arial" w:hAnsi="Arial" w:cs="Arial"/>
          <w:sz w:val="22"/>
          <w:szCs w:val="22"/>
          <w:lang w:val="en-AU"/>
        </w:rPr>
        <w:t xml:space="preserve">consultation with stakeholders about its plans to update the spectrum licence framework.  </w:t>
      </w:r>
    </w:p>
    <w:p w:rsidR="003756B4" w:rsidRPr="006956D8" w:rsidRDefault="003756B4" w:rsidP="003756B4">
      <w:pPr>
        <w:spacing w:line="360" w:lineRule="auto"/>
        <w:rPr>
          <w:rFonts w:ascii="Arial" w:hAnsi="Arial" w:cs="Arial"/>
          <w:sz w:val="22"/>
          <w:szCs w:val="22"/>
          <w:lang w:val="en-AU"/>
        </w:rPr>
      </w:pPr>
    </w:p>
    <w:p w:rsidR="003756B4" w:rsidRPr="006956D8" w:rsidRDefault="003756B4" w:rsidP="003756B4">
      <w:pPr>
        <w:spacing w:line="360" w:lineRule="auto"/>
        <w:rPr>
          <w:rFonts w:ascii="Arial" w:hAnsi="Arial" w:cs="Arial"/>
          <w:sz w:val="22"/>
          <w:szCs w:val="22"/>
        </w:rPr>
      </w:pPr>
      <w:r w:rsidRPr="006956D8">
        <w:rPr>
          <w:rFonts w:ascii="Arial" w:hAnsi="Arial" w:cs="Arial"/>
          <w:sz w:val="22"/>
          <w:szCs w:val="22"/>
        </w:rPr>
        <w:t xml:space="preserve">In March 2012, the ACMA released a consultation paper, </w:t>
      </w:r>
      <w:hyperlink r:id="rId12" w:history="1">
        <w:r w:rsidRPr="006956D8">
          <w:rPr>
            <w:rStyle w:val="Hyperlink"/>
            <w:rFonts w:ascii="Arial" w:hAnsi="Arial" w:cs="Arial"/>
            <w:i/>
            <w:color w:val="auto"/>
            <w:sz w:val="22"/>
            <w:szCs w:val="22"/>
            <w:u w:val="none"/>
          </w:rPr>
          <w:t>Proposed updates to the spectrum licence framework</w:t>
        </w:r>
      </w:hyperlink>
      <w:r w:rsidRPr="006956D8">
        <w:rPr>
          <w:rFonts w:ascii="Arial" w:hAnsi="Arial" w:cs="Arial"/>
          <w:i/>
          <w:sz w:val="22"/>
          <w:szCs w:val="22"/>
        </w:rPr>
        <w:t xml:space="preserve">. </w:t>
      </w:r>
      <w:r w:rsidRPr="006956D8">
        <w:rPr>
          <w:rFonts w:ascii="Arial" w:hAnsi="Arial" w:cs="Arial"/>
          <w:sz w:val="22"/>
          <w:szCs w:val="22"/>
        </w:rPr>
        <w:t xml:space="preserve">This </w:t>
      </w:r>
      <w:r w:rsidR="00AA59D2" w:rsidRPr="00AA59D2">
        <w:rPr>
          <w:rFonts w:ascii="Arial" w:hAnsi="Arial" w:cs="Arial"/>
          <w:sz w:val="22"/>
          <w:szCs w:val="22"/>
        </w:rPr>
        <w:t>paper</w:t>
      </w:r>
      <w:r w:rsidRPr="006956D8">
        <w:rPr>
          <w:rFonts w:ascii="Arial" w:hAnsi="Arial" w:cs="Arial"/>
          <w:i/>
          <w:sz w:val="22"/>
          <w:szCs w:val="22"/>
        </w:rPr>
        <w:t xml:space="preserve"> </w:t>
      </w:r>
      <w:r w:rsidRPr="006956D8">
        <w:rPr>
          <w:rFonts w:ascii="Arial" w:hAnsi="Arial" w:cs="Arial"/>
          <w:sz w:val="22"/>
          <w:szCs w:val="22"/>
        </w:rPr>
        <w:t>was the culmination of a comprehensive series of reviews of elements of the spectrum licensing technical and regulatory frameworks. The reviews were conducted in anticipation of forthcoming major spectrum allocations and processes to re-allocate or re-issue expiring spectrum licences.</w:t>
      </w:r>
      <w:r w:rsidR="005D3F58">
        <w:rPr>
          <w:rFonts w:ascii="Arial" w:hAnsi="Arial" w:cs="Arial"/>
          <w:sz w:val="22"/>
          <w:szCs w:val="22"/>
        </w:rPr>
        <w:t xml:space="preserve"> The paper discussed the proposed changes </w:t>
      </w:r>
      <w:r w:rsidR="005D3F58">
        <w:rPr>
          <w:rFonts w:ascii="Arial" w:hAnsi="Arial" w:cs="Arial"/>
          <w:sz w:val="22"/>
          <w:szCs w:val="22"/>
        </w:rPr>
        <w:lastRenderedPageBreak/>
        <w:t xml:space="preserve">to the spectrum licence trading rules and a draft Determination was attached for public comment. </w:t>
      </w:r>
    </w:p>
    <w:p w:rsidR="003756B4" w:rsidRPr="006956D8" w:rsidRDefault="003756B4" w:rsidP="003756B4">
      <w:pPr>
        <w:spacing w:line="360" w:lineRule="auto"/>
        <w:rPr>
          <w:rFonts w:ascii="Arial" w:hAnsi="Arial" w:cs="Arial"/>
          <w:sz w:val="22"/>
          <w:szCs w:val="22"/>
        </w:rPr>
      </w:pPr>
    </w:p>
    <w:p w:rsidR="0045504A" w:rsidRDefault="0045504A" w:rsidP="0045504A">
      <w:pPr>
        <w:spacing w:line="360" w:lineRule="auto"/>
        <w:rPr>
          <w:rFonts w:ascii="Arial" w:hAnsi="Arial" w:cs="Arial"/>
          <w:sz w:val="22"/>
          <w:szCs w:val="22"/>
        </w:rPr>
      </w:pPr>
      <w:r w:rsidRPr="0045504A">
        <w:rPr>
          <w:rFonts w:ascii="Arial" w:hAnsi="Arial" w:cs="Arial"/>
          <w:sz w:val="22"/>
          <w:szCs w:val="22"/>
        </w:rPr>
        <w:t xml:space="preserve">Stakeholders were generally in favour of the changes to the </w:t>
      </w:r>
      <w:r w:rsidR="005D3F58">
        <w:rPr>
          <w:rFonts w:ascii="Arial" w:hAnsi="Arial" w:cs="Arial"/>
          <w:sz w:val="22"/>
          <w:szCs w:val="22"/>
        </w:rPr>
        <w:t xml:space="preserve">spectrum </w:t>
      </w:r>
      <w:r w:rsidRPr="0045504A">
        <w:rPr>
          <w:rFonts w:ascii="Arial" w:hAnsi="Arial" w:cs="Arial"/>
          <w:sz w:val="22"/>
          <w:szCs w:val="22"/>
        </w:rPr>
        <w:t>trading rules to allow greater flexibility in the trading of spectrum.</w:t>
      </w:r>
      <w:r w:rsidR="00007EEB">
        <w:rPr>
          <w:rFonts w:ascii="Arial" w:hAnsi="Arial" w:cs="Arial"/>
          <w:sz w:val="22"/>
          <w:szCs w:val="22"/>
        </w:rPr>
        <w:t xml:space="preserve">  There was concern raised that the </w:t>
      </w:r>
      <w:r w:rsidRPr="0045504A">
        <w:rPr>
          <w:rFonts w:ascii="Arial" w:hAnsi="Arial" w:cs="Arial"/>
          <w:sz w:val="22"/>
          <w:szCs w:val="22"/>
        </w:rPr>
        <w:t xml:space="preserve">changes to the minimum amount of bandwidth </w:t>
      </w:r>
      <w:r w:rsidR="005D3F58">
        <w:rPr>
          <w:rFonts w:ascii="Arial" w:hAnsi="Arial" w:cs="Arial"/>
          <w:sz w:val="22"/>
          <w:szCs w:val="22"/>
        </w:rPr>
        <w:t xml:space="preserve">(MCB) </w:t>
      </w:r>
      <w:r w:rsidRPr="0045504A">
        <w:rPr>
          <w:rFonts w:ascii="Arial" w:hAnsi="Arial" w:cs="Arial"/>
          <w:sz w:val="22"/>
          <w:szCs w:val="22"/>
        </w:rPr>
        <w:t xml:space="preserve">that can be traded </w:t>
      </w:r>
      <w:r w:rsidR="00C10576">
        <w:rPr>
          <w:rFonts w:ascii="Arial" w:hAnsi="Arial" w:cs="Arial"/>
          <w:sz w:val="22"/>
          <w:szCs w:val="22"/>
        </w:rPr>
        <w:t>may</w:t>
      </w:r>
      <w:r w:rsidR="00C10576" w:rsidRPr="0045504A">
        <w:rPr>
          <w:rFonts w:ascii="Arial" w:hAnsi="Arial" w:cs="Arial"/>
          <w:sz w:val="22"/>
          <w:szCs w:val="22"/>
        </w:rPr>
        <w:t xml:space="preserve"> </w:t>
      </w:r>
      <w:r w:rsidRPr="0045504A">
        <w:rPr>
          <w:rFonts w:ascii="Arial" w:hAnsi="Arial" w:cs="Arial"/>
          <w:sz w:val="22"/>
          <w:szCs w:val="22"/>
        </w:rPr>
        <w:t xml:space="preserve">result in band fragmentation. </w:t>
      </w:r>
      <w:r w:rsidR="00007EEB">
        <w:rPr>
          <w:rFonts w:ascii="Arial" w:hAnsi="Arial" w:cs="Arial"/>
          <w:sz w:val="22"/>
          <w:szCs w:val="22"/>
        </w:rPr>
        <w:t xml:space="preserve"> </w:t>
      </w:r>
      <w:r w:rsidRPr="0045504A">
        <w:rPr>
          <w:rFonts w:ascii="Arial" w:hAnsi="Arial" w:cs="Arial"/>
          <w:sz w:val="22"/>
          <w:szCs w:val="22"/>
        </w:rPr>
        <w:t xml:space="preserve">There was </w:t>
      </w:r>
      <w:r w:rsidR="00C10576">
        <w:rPr>
          <w:rFonts w:ascii="Arial" w:hAnsi="Arial" w:cs="Arial"/>
          <w:sz w:val="22"/>
          <w:szCs w:val="22"/>
        </w:rPr>
        <w:t>also a request for further information</w:t>
      </w:r>
      <w:r w:rsidRPr="0045504A">
        <w:rPr>
          <w:rFonts w:ascii="Arial" w:hAnsi="Arial" w:cs="Arial"/>
          <w:sz w:val="22"/>
          <w:szCs w:val="22"/>
        </w:rPr>
        <w:t xml:space="preserve"> about the process </w:t>
      </w:r>
      <w:r w:rsidR="005D3F58">
        <w:rPr>
          <w:rFonts w:ascii="Arial" w:hAnsi="Arial" w:cs="Arial"/>
          <w:sz w:val="22"/>
          <w:szCs w:val="22"/>
        </w:rPr>
        <w:t xml:space="preserve">for administrative review by the Administrative Appeals Tribunal </w:t>
      </w:r>
      <w:r w:rsidRPr="0045504A">
        <w:rPr>
          <w:rFonts w:ascii="Arial" w:hAnsi="Arial" w:cs="Arial"/>
          <w:sz w:val="22"/>
          <w:szCs w:val="22"/>
        </w:rPr>
        <w:t xml:space="preserve">where applications </w:t>
      </w:r>
      <w:r w:rsidR="005D3F58">
        <w:rPr>
          <w:rFonts w:ascii="Arial" w:hAnsi="Arial" w:cs="Arial"/>
          <w:sz w:val="22"/>
          <w:szCs w:val="22"/>
        </w:rPr>
        <w:t xml:space="preserve">for prior approval to trade parts of licences which result in licences with bandwidths less than the MCB for the band </w:t>
      </w:r>
      <w:r w:rsidRPr="0045504A">
        <w:rPr>
          <w:rFonts w:ascii="Arial" w:hAnsi="Arial" w:cs="Arial"/>
          <w:sz w:val="22"/>
          <w:szCs w:val="22"/>
        </w:rPr>
        <w:t>were refused by the ACM</w:t>
      </w:r>
      <w:r w:rsidR="00007EEB">
        <w:rPr>
          <w:rFonts w:ascii="Arial" w:hAnsi="Arial" w:cs="Arial"/>
          <w:sz w:val="22"/>
          <w:szCs w:val="22"/>
        </w:rPr>
        <w:t>A</w:t>
      </w:r>
      <w:r w:rsidR="00C10576">
        <w:rPr>
          <w:rFonts w:ascii="Arial" w:hAnsi="Arial" w:cs="Arial"/>
          <w:sz w:val="22"/>
          <w:szCs w:val="22"/>
        </w:rPr>
        <w:t>.  Stakeholders also</w:t>
      </w:r>
      <w:r w:rsidR="00007EEB">
        <w:rPr>
          <w:rFonts w:ascii="Arial" w:hAnsi="Arial" w:cs="Arial"/>
          <w:sz w:val="22"/>
          <w:szCs w:val="22"/>
        </w:rPr>
        <w:t xml:space="preserve"> request</w:t>
      </w:r>
      <w:r w:rsidR="00C10576">
        <w:rPr>
          <w:rFonts w:ascii="Arial" w:hAnsi="Arial" w:cs="Arial"/>
          <w:sz w:val="22"/>
          <w:szCs w:val="22"/>
        </w:rPr>
        <w:t>ed</w:t>
      </w:r>
      <w:r w:rsidR="00007EEB">
        <w:rPr>
          <w:rFonts w:ascii="Arial" w:hAnsi="Arial" w:cs="Arial"/>
          <w:sz w:val="22"/>
          <w:szCs w:val="22"/>
        </w:rPr>
        <w:t xml:space="preserve"> that the </w:t>
      </w:r>
      <w:r w:rsidR="00007EEB" w:rsidRPr="0045504A">
        <w:rPr>
          <w:rFonts w:ascii="Arial" w:hAnsi="Arial" w:cs="Arial"/>
          <w:sz w:val="22"/>
          <w:szCs w:val="22"/>
        </w:rPr>
        <w:t xml:space="preserve">ACMA provide </w:t>
      </w:r>
      <w:r w:rsidR="00C10576">
        <w:rPr>
          <w:rFonts w:ascii="Arial" w:hAnsi="Arial" w:cs="Arial"/>
          <w:sz w:val="22"/>
          <w:szCs w:val="22"/>
        </w:rPr>
        <w:t>a range of</w:t>
      </w:r>
      <w:r w:rsidR="00C10576" w:rsidRPr="0045504A">
        <w:rPr>
          <w:rFonts w:ascii="Arial" w:hAnsi="Arial" w:cs="Arial"/>
          <w:sz w:val="22"/>
          <w:szCs w:val="22"/>
        </w:rPr>
        <w:t xml:space="preserve"> </w:t>
      </w:r>
      <w:r w:rsidR="00007EEB" w:rsidRPr="0045504A">
        <w:rPr>
          <w:rFonts w:ascii="Arial" w:hAnsi="Arial" w:cs="Arial"/>
          <w:sz w:val="22"/>
          <w:szCs w:val="22"/>
        </w:rPr>
        <w:t>formats for reading maps by various</w:t>
      </w:r>
      <w:r w:rsidR="00C43DB3">
        <w:rPr>
          <w:rFonts w:ascii="Arial" w:hAnsi="Arial" w:cs="Arial"/>
          <w:sz w:val="22"/>
          <w:szCs w:val="22"/>
        </w:rPr>
        <w:t xml:space="preserve"> Geographic Information Systems</w:t>
      </w:r>
      <w:r w:rsidR="00007EEB" w:rsidRPr="0045504A">
        <w:rPr>
          <w:rFonts w:ascii="Arial" w:hAnsi="Arial" w:cs="Arial"/>
          <w:sz w:val="22"/>
          <w:szCs w:val="22"/>
        </w:rPr>
        <w:t xml:space="preserve"> (</w:t>
      </w:r>
      <w:r w:rsidR="00C43DB3">
        <w:rPr>
          <w:rFonts w:ascii="Arial" w:hAnsi="Arial" w:cs="Arial"/>
          <w:sz w:val="22"/>
          <w:szCs w:val="22"/>
        </w:rPr>
        <w:t xml:space="preserve">such as </w:t>
      </w:r>
      <w:r w:rsidR="00007EEB" w:rsidRPr="0045504A">
        <w:rPr>
          <w:rFonts w:ascii="Arial" w:hAnsi="Arial" w:cs="Arial"/>
          <w:sz w:val="22"/>
          <w:szCs w:val="22"/>
        </w:rPr>
        <w:t>Mapin</w:t>
      </w:r>
      <w:r w:rsidR="00007EEB">
        <w:rPr>
          <w:rFonts w:ascii="Arial" w:hAnsi="Arial" w:cs="Arial"/>
          <w:sz w:val="22"/>
          <w:szCs w:val="22"/>
        </w:rPr>
        <w:t xml:space="preserve">fo, Google Earth, Arc GIS, etc), </w:t>
      </w:r>
      <w:r w:rsidR="00007EEB" w:rsidRPr="0045504A">
        <w:rPr>
          <w:rFonts w:ascii="Arial" w:hAnsi="Arial" w:cs="Arial"/>
          <w:sz w:val="22"/>
          <w:szCs w:val="22"/>
        </w:rPr>
        <w:t>a consistent naming convention for spectrum licence areas</w:t>
      </w:r>
      <w:r w:rsidR="00007EEB">
        <w:rPr>
          <w:rFonts w:ascii="Arial" w:hAnsi="Arial" w:cs="Arial"/>
          <w:sz w:val="22"/>
          <w:szCs w:val="22"/>
        </w:rPr>
        <w:t xml:space="preserve"> and the grouping of HCIS identifiers in a table</w:t>
      </w:r>
      <w:r w:rsidR="00007EEB" w:rsidRPr="0045504A">
        <w:rPr>
          <w:rFonts w:ascii="Arial" w:hAnsi="Arial" w:cs="Arial"/>
          <w:sz w:val="22"/>
          <w:szCs w:val="22"/>
        </w:rPr>
        <w:t>.</w:t>
      </w:r>
    </w:p>
    <w:p w:rsidR="003756B4" w:rsidRPr="006956D8" w:rsidRDefault="003756B4" w:rsidP="003756B4">
      <w:pPr>
        <w:spacing w:line="360" w:lineRule="auto"/>
        <w:rPr>
          <w:rFonts w:ascii="Arial" w:hAnsi="Arial" w:cs="Arial"/>
          <w:sz w:val="22"/>
          <w:szCs w:val="22"/>
          <w:lang w:val="en-AU"/>
        </w:rPr>
      </w:pPr>
    </w:p>
    <w:p w:rsidR="00C10576" w:rsidRDefault="003756B4" w:rsidP="00007EEB">
      <w:pPr>
        <w:spacing w:line="360" w:lineRule="auto"/>
        <w:rPr>
          <w:rFonts w:ascii="Arial" w:hAnsi="Arial" w:cs="Arial"/>
          <w:sz w:val="22"/>
          <w:szCs w:val="22"/>
          <w:lang w:val="en-AU"/>
        </w:rPr>
      </w:pPr>
      <w:r w:rsidRPr="006956D8">
        <w:rPr>
          <w:rFonts w:ascii="Arial" w:hAnsi="Arial" w:cs="Arial"/>
          <w:sz w:val="22"/>
          <w:szCs w:val="22"/>
          <w:lang w:val="en-AU"/>
        </w:rPr>
        <w:t>All written submissions from this consultation</w:t>
      </w:r>
      <w:r w:rsidR="004C59CF">
        <w:rPr>
          <w:rFonts w:ascii="Arial" w:hAnsi="Arial" w:cs="Arial"/>
          <w:sz w:val="22"/>
          <w:szCs w:val="22"/>
          <w:lang w:val="en-AU"/>
        </w:rPr>
        <w:t xml:space="preserve"> process</w:t>
      </w:r>
      <w:r w:rsidRPr="006956D8">
        <w:rPr>
          <w:rFonts w:ascii="Arial" w:hAnsi="Arial" w:cs="Arial"/>
          <w:sz w:val="22"/>
          <w:szCs w:val="22"/>
          <w:lang w:val="en-AU"/>
        </w:rPr>
        <w:t xml:space="preserve"> are available on the ACMA’s website at </w:t>
      </w:r>
      <w:hyperlink r:id="rId13" w:history="1">
        <w:r w:rsidR="00C10576" w:rsidRPr="00033E7F">
          <w:rPr>
            <w:rStyle w:val="Hyperlink"/>
            <w:rFonts w:ascii="Arial" w:hAnsi="Arial" w:cs="Arial"/>
            <w:sz w:val="22"/>
            <w:szCs w:val="22"/>
            <w:lang w:val="en-AU"/>
          </w:rPr>
          <w:t>www.acma.gov.au</w:t>
        </w:r>
      </w:hyperlink>
      <w:r w:rsidRPr="006956D8">
        <w:rPr>
          <w:rFonts w:ascii="Arial" w:hAnsi="Arial" w:cs="Arial"/>
          <w:sz w:val="22"/>
          <w:szCs w:val="22"/>
          <w:lang w:val="en-AU"/>
        </w:rPr>
        <w:t>.</w:t>
      </w:r>
    </w:p>
    <w:p w:rsidR="00C10576" w:rsidRDefault="00C10576" w:rsidP="00007EEB">
      <w:pPr>
        <w:spacing w:line="360" w:lineRule="auto"/>
        <w:rPr>
          <w:rFonts w:ascii="Arial" w:hAnsi="Arial" w:cs="Arial"/>
          <w:sz w:val="22"/>
          <w:szCs w:val="22"/>
          <w:lang w:val="en-AU"/>
        </w:rPr>
      </w:pPr>
    </w:p>
    <w:p w:rsidR="003756B4" w:rsidRPr="006956D8" w:rsidRDefault="003756B4" w:rsidP="00007EEB">
      <w:pPr>
        <w:spacing w:line="360" w:lineRule="auto"/>
        <w:rPr>
          <w:rFonts w:ascii="Arial" w:hAnsi="Arial" w:cs="Arial"/>
          <w:sz w:val="22"/>
          <w:szCs w:val="22"/>
          <w:lang w:val="en-AU"/>
        </w:rPr>
      </w:pPr>
      <w:r w:rsidRPr="006956D8">
        <w:rPr>
          <w:rFonts w:ascii="Arial" w:hAnsi="Arial" w:cs="Arial"/>
          <w:sz w:val="22"/>
          <w:szCs w:val="22"/>
          <w:lang w:val="en-AU"/>
        </w:rPr>
        <w:t xml:space="preserve">The ACMA had regard to the </w:t>
      </w:r>
      <w:r w:rsidR="004A07EE">
        <w:rPr>
          <w:rFonts w:ascii="Arial" w:hAnsi="Arial" w:cs="Arial"/>
          <w:sz w:val="22"/>
          <w:szCs w:val="22"/>
          <w:lang w:val="en-AU"/>
        </w:rPr>
        <w:t>comments made</w:t>
      </w:r>
      <w:r w:rsidRPr="006956D8">
        <w:rPr>
          <w:rFonts w:ascii="Arial" w:hAnsi="Arial" w:cs="Arial"/>
          <w:sz w:val="22"/>
          <w:szCs w:val="22"/>
          <w:lang w:val="en-AU"/>
        </w:rPr>
        <w:t xml:space="preserve"> in these submissions when preparing the final Determination.</w:t>
      </w:r>
      <w:r w:rsidR="00007EEB">
        <w:rPr>
          <w:rFonts w:ascii="Arial" w:hAnsi="Arial" w:cs="Arial"/>
          <w:sz w:val="22"/>
          <w:szCs w:val="22"/>
          <w:lang w:val="en-AU"/>
        </w:rPr>
        <w:t xml:space="preserve">  There were no changes</w:t>
      </w:r>
      <w:r w:rsidR="00C10576">
        <w:rPr>
          <w:rFonts w:ascii="Arial" w:hAnsi="Arial" w:cs="Arial"/>
          <w:sz w:val="22"/>
          <w:szCs w:val="22"/>
          <w:lang w:val="en-AU"/>
        </w:rPr>
        <w:t xml:space="preserve"> required</w:t>
      </w:r>
      <w:r w:rsidR="00007EEB">
        <w:rPr>
          <w:rFonts w:ascii="Arial" w:hAnsi="Arial" w:cs="Arial"/>
          <w:sz w:val="22"/>
          <w:szCs w:val="22"/>
          <w:lang w:val="en-AU"/>
        </w:rPr>
        <w:t xml:space="preserve"> to the </w:t>
      </w:r>
      <w:r w:rsidR="00AB3457">
        <w:rPr>
          <w:rFonts w:ascii="Arial" w:hAnsi="Arial" w:cs="Arial"/>
          <w:sz w:val="22"/>
          <w:szCs w:val="22"/>
          <w:lang w:val="en-AU"/>
        </w:rPr>
        <w:t xml:space="preserve">Determination </w:t>
      </w:r>
      <w:r w:rsidR="004A07EE">
        <w:rPr>
          <w:rFonts w:ascii="Arial" w:hAnsi="Arial" w:cs="Arial"/>
          <w:sz w:val="22"/>
          <w:szCs w:val="22"/>
          <w:lang w:val="en-AU"/>
        </w:rPr>
        <w:t>as a result of</w:t>
      </w:r>
      <w:r w:rsidR="00C10576">
        <w:rPr>
          <w:rFonts w:ascii="Arial" w:hAnsi="Arial" w:cs="Arial"/>
          <w:sz w:val="22"/>
          <w:szCs w:val="22"/>
          <w:lang w:val="en-AU"/>
        </w:rPr>
        <w:t xml:space="preserve"> comments received</w:t>
      </w:r>
      <w:r w:rsidR="00007EEB">
        <w:rPr>
          <w:rFonts w:ascii="Arial" w:hAnsi="Arial" w:cs="Arial"/>
          <w:sz w:val="22"/>
          <w:szCs w:val="22"/>
          <w:lang w:val="en-AU"/>
        </w:rPr>
        <w:t>.  However, the ACMA has provided further explanation of the new trading rules</w:t>
      </w:r>
      <w:r w:rsidR="00C43DB3">
        <w:rPr>
          <w:rFonts w:ascii="Arial" w:hAnsi="Arial" w:cs="Arial"/>
          <w:sz w:val="22"/>
          <w:szCs w:val="22"/>
          <w:lang w:val="en-AU"/>
        </w:rPr>
        <w:t xml:space="preserve"> and administrative review process</w:t>
      </w:r>
      <w:r w:rsidR="00007EEB">
        <w:rPr>
          <w:rFonts w:ascii="Arial" w:hAnsi="Arial" w:cs="Arial"/>
          <w:sz w:val="22"/>
          <w:szCs w:val="22"/>
          <w:lang w:val="en-AU"/>
        </w:rPr>
        <w:t xml:space="preserve"> in the response paper to the consultation paper. </w:t>
      </w:r>
      <w:r w:rsidR="00C43DB3">
        <w:rPr>
          <w:rFonts w:ascii="Arial" w:hAnsi="Arial" w:cs="Arial"/>
          <w:sz w:val="22"/>
          <w:szCs w:val="22"/>
          <w:lang w:val="en-AU"/>
        </w:rPr>
        <w:t xml:space="preserve">The response paper is </w:t>
      </w:r>
      <w:r w:rsidR="00917B19">
        <w:rPr>
          <w:rFonts w:ascii="Arial" w:hAnsi="Arial" w:cs="Arial"/>
          <w:sz w:val="22"/>
          <w:szCs w:val="22"/>
          <w:lang w:val="en-AU"/>
        </w:rPr>
        <w:t>available</w:t>
      </w:r>
      <w:r w:rsidR="00C43DB3">
        <w:rPr>
          <w:rFonts w:ascii="Arial" w:hAnsi="Arial" w:cs="Arial"/>
          <w:sz w:val="22"/>
          <w:szCs w:val="22"/>
          <w:lang w:val="en-AU"/>
        </w:rPr>
        <w:t xml:space="preserve"> on the ACMA website.  </w:t>
      </w:r>
      <w:r w:rsidR="00007EEB">
        <w:rPr>
          <w:rFonts w:ascii="Arial" w:hAnsi="Arial" w:cs="Arial"/>
          <w:sz w:val="22"/>
          <w:szCs w:val="22"/>
          <w:lang w:val="en-AU"/>
        </w:rPr>
        <w:t>The ACMA also anticipates that this explanatory statement will provide further guidance to licensees about the purpose of the new trading rules</w:t>
      </w:r>
      <w:r w:rsidR="004A07EE">
        <w:rPr>
          <w:rFonts w:ascii="Arial" w:hAnsi="Arial" w:cs="Arial"/>
          <w:sz w:val="22"/>
          <w:szCs w:val="22"/>
          <w:lang w:val="en-AU"/>
        </w:rPr>
        <w:t>.</w:t>
      </w:r>
    </w:p>
    <w:p w:rsidR="001A6F36" w:rsidRPr="006956D8" w:rsidRDefault="001A6F36" w:rsidP="00007EEB">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Statement of compatibility with human rights</w:t>
      </w:r>
    </w:p>
    <w:p w:rsidR="001A6F36" w:rsidRPr="006956D8" w:rsidRDefault="001A6F36"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Subsection 9</w:t>
      </w:r>
      <w:r w:rsidR="00AB3457">
        <w:rPr>
          <w:rFonts w:ascii="Arial" w:hAnsi="Arial" w:cs="Arial"/>
          <w:sz w:val="22"/>
          <w:szCs w:val="22"/>
          <w:lang w:val="en-AU"/>
        </w:rPr>
        <w:t xml:space="preserve"> </w:t>
      </w:r>
      <w:r w:rsidRPr="006956D8">
        <w:rPr>
          <w:rFonts w:ascii="Arial" w:hAnsi="Arial" w:cs="Arial"/>
          <w:sz w:val="22"/>
          <w:szCs w:val="22"/>
          <w:lang w:val="en-AU"/>
        </w:rPr>
        <w:t xml:space="preserve">(1) of the </w:t>
      </w:r>
      <w:r w:rsidRPr="006956D8">
        <w:rPr>
          <w:rFonts w:ascii="Arial" w:hAnsi="Arial" w:cs="Arial"/>
          <w:i/>
          <w:sz w:val="22"/>
          <w:szCs w:val="22"/>
          <w:lang w:val="en-AU"/>
        </w:rPr>
        <w:t>Human Rights (Parliamentary Scrutiny) Act 2011</w:t>
      </w:r>
      <w:r w:rsidRPr="006956D8">
        <w:rPr>
          <w:rFonts w:ascii="Arial" w:hAnsi="Arial" w:cs="Arial"/>
          <w:sz w:val="22"/>
          <w:szCs w:val="22"/>
          <w:lang w:val="en-AU"/>
        </w:rPr>
        <w:t xml:space="preserve"> requires the rule maker in relation to a legislative instrument to which section 42 (disallowance) of the </w:t>
      </w:r>
      <w:r w:rsidRPr="006956D8">
        <w:rPr>
          <w:rFonts w:ascii="Arial" w:hAnsi="Arial" w:cs="Arial"/>
          <w:i/>
          <w:sz w:val="22"/>
          <w:szCs w:val="22"/>
          <w:lang w:val="en-AU"/>
        </w:rPr>
        <w:t>Legislative Instruments Act 2003</w:t>
      </w:r>
      <w:r w:rsidRPr="006956D8">
        <w:rPr>
          <w:rFonts w:ascii="Arial" w:hAnsi="Arial" w:cs="Arial"/>
          <w:sz w:val="22"/>
          <w:szCs w:val="22"/>
          <w:lang w:val="en-AU"/>
        </w:rPr>
        <w:t xml:space="preserve"> applies to cause a statement of compatibility to be prepared in respect of that legislative instrument. This statement is in </w:t>
      </w:r>
      <w:r w:rsidRPr="006956D8">
        <w:rPr>
          <w:rFonts w:ascii="Arial" w:hAnsi="Arial" w:cs="Arial"/>
          <w:b/>
          <w:sz w:val="22"/>
          <w:szCs w:val="22"/>
          <w:lang w:val="en-AU"/>
        </w:rPr>
        <w:t>Attachment B</w:t>
      </w:r>
      <w:r w:rsidRPr="006956D8">
        <w:rPr>
          <w:rFonts w:ascii="Arial" w:hAnsi="Arial" w:cs="Arial"/>
          <w:sz w:val="22"/>
          <w:szCs w:val="22"/>
          <w:lang w:val="en-AU"/>
        </w:rPr>
        <w:t>.</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 xml:space="preserve">Regulatory Impact </w:t>
      </w:r>
    </w:p>
    <w:p w:rsidR="001A6F36" w:rsidRPr="006956D8" w:rsidRDefault="001A6F36" w:rsidP="001A6F36">
      <w:pPr>
        <w:spacing w:line="360" w:lineRule="auto"/>
        <w:rPr>
          <w:rFonts w:ascii="Arial" w:hAnsi="Arial" w:cs="Arial"/>
          <w:sz w:val="22"/>
          <w:szCs w:val="22"/>
          <w:lang w:val="en-AU"/>
        </w:rPr>
      </w:pPr>
    </w:p>
    <w:p w:rsidR="001A6F36" w:rsidRPr="006956D8" w:rsidRDefault="001E3986" w:rsidP="001A6F36">
      <w:pPr>
        <w:spacing w:line="360" w:lineRule="auto"/>
        <w:rPr>
          <w:rFonts w:ascii="Arial" w:hAnsi="Arial" w:cs="Arial"/>
          <w:sz w:val="22"/>
          <w:szCs w:val="22"/>
          <w:lang w:val="en-AU"/>
        </w:rPr>
      </w:pPr>
      <w:r>
        <w:rPr>
          <w:rFonts w:ascii="Arial" w:hAnsi="Arial" w:cs="Arial"/>
          <w:sz w:val="22"/>
          <w:szCs w:val="22"/>
          <w:lang w:val="en-AU"/>
        </w:rPr>
        <w:t>The</w:t>
      </w:r>
      <w:r w:rsidR="001A6F36" w:rsidRPr="006956D8">
        <w:rPr>
          <w:rFonts w:ascii="Arial" w:hAnsi="Arial" w:cs="Arial"/>
          <w:sz w:val="22"/>
          <w:szCs w:val="22"/>
          <w:lang w:val="en-AU"/>
        </w:rPr>
        <w:t xml:space="preserve"> ACMA consulted with the Office of Best Practice Regulation (the </w:t>
      </w:r>
      <w:r w:rsidR="001A6F36" w:rsidRPr="006956D8">
        <w:rPr>
          <w:rFonts w:ascii="Arial" w:hAnsi="Arial" w:cs="Arial"/>
          <w:b/>
          <w:sz w:val="22"/>
          <w:szCs w:val="22"/>
          <w:lang w:val="en-AU"/>
        </w:rPr>
        <w:t>OBPR</w:t>
      </w:r>
      <w:r w:rsidR="001A6F36" w:rsidRPr="006956D8">
        <w:rPr>
          <w:rFonts w:ascii="Arial" w:hAnsi="Arial" w:cs="Arial"/>
          <w:sz w:val="22"/>
          <w:szCs w:val="22"/>
          <w:lang w:val="en-AU"/>
        </w:rPr>
        <w:t>) on the requirement for a Regulation Impact Statement (</w:t>
      </w:r>
      <w:r w:rsidR="001A6F36" w:rsidRPr="006956D8">
        <w:rPr>
          <w:rFonts w:ascii="Arial" w:hAnsi="Arial" w:cs="Arial"/>
          <w:b/>
          <w:sz w:val="22"/>
          <w:szCs w:val="22"/>
          <w:lang w:val="en-AU"/>
        </w:rPr>
        <w:t>RIS</w:t>
      </w:r>
      <w:r w:rsidR="001A6F36" w:rsidRPr="006956D8">
        <w:rPr>
          <w:rFonts w:ascii="Arial" w:hAnsi="Arial" w:cs="Arial"/>
          <w:sz w:val="22"/>
          <w:szCs w:val="22"/>
          <w:lang w:val="en-AU"/>
        </w:rPr>
        <w:t xml:space="preserve">) for this legislative instrument. The OBPR advised that </w:t>
      </w:r>
      <w:r w:rsidR="004244B7">
        <w:rPr>
          <w:rFonts w:ascii="Arial" w:hAnsi="Arial" w:cs="Arial"/>
          <w:sz w:val="22"/>
          <w:szCs w:val="22"/>
          <w:lang w:val="en-AU"/>
        </w:rPr>
        <w:t>this Determination does</w:t>
      </w:r>
      <w:r w:rsidR="001A6F36" w:rsidRPr="006956D8">
        <w:rPr>
          <w:rFonts w:ascii="Arial" w:hAnsi="Arial" w:cs="Arial"/>
          <w:sz w:val="22"/>
          <w:szCs w:val="22"/>
          <w:lang w:val="en-AU"/>
        </w:rPr>
        <w:t xml:space="preserve"> not warrant the preparation of a RIS</w:t>
      </w:r>
      <w:r w:rsidR="00C43DB3">
        <w:rPr>
          <w:rFonts w:ascii="Arial" w:hAnsi="Arial" w:cs="Arial"/>
          <w:sz w:val="22"/>
          <w:szCs w:val="22"/>
          <w:lang w:val="en-AU"/>
        </w:rPr>
        <w:t xml:space="preserve"> as it will </w:t>
      </w:r>
      <w:r w:rsidR="00BB696B">
        <w:rPr>
          <w:rFonts w:ascii="Arial" w:hAnsi="Arial" w:cs="Arial"/>
          <w:sz w:val="22"/>
          <w:szCs w:val="22"/>
          <w:lang w:val="en-AU"/>
        </w:rPr>
        <w:t xml:space="preserve">only </w:t>
      </w:r>
      <w:r w:rsidR="00C43DB3">
        <w:rPr>
          <w:rFonts w:ascii="Arial" w:hAnsi="Arial" w:cs="Arial"/>
          <w:sz w:val="22"/>
          <w:szCs w:val="22"/>
          <w:lang w:val="en-AU"/>
        </w:rPr>
        <w:t>have minor impacts</w:t>
      </w:r>
      <w:r w:rsidR="00BB696B">
        <w:rPr>
          <w:rFonts w:ascii="Arial" w:hAnsi="Arial" w:cs="Arial"/>
          <w:sz w:val="22"/>
          <w:szCs w:val="22"/>
          <w:lang w:val="en-AU"/>
        </w:rPr>
        <w:t xml:space="preserve"> – OBPR reference</w:t>
      </w:r>
      <w:r w:rsidR="001A6F36" w:rsidRPr="006956D8">
        <w:rPr>
          <w:rFonts w:ascii="Arial" w:hAnsi="Arial" w:cs="Arial"/>
          <w:sz w:val="22"/>
          <w:szCs w:val="22"/>
          <w:lang w:val="en-AU"/>
        </w:rPr>
        <w:t xml:space="preserve"> [</w:t>
      </w:r>
      <w:r w:rsidR="004244B7">
        <w:rPr>
          <w:rFonts w:ascii="Arial" w:hAnsi="Arial" w:cs="Arial"/>
          <w:sz w:val="22"/>
          <w:szCs w:val="22"/>
          <w:lang w:val="en-AU"/>
        </w:rPr>
        <w:t>ID13484</w:t>
      </w:r>
      <w:r w:rsidR="001A6F36" w:rsidRPr="006956D8">
        <w:rPr>
          <w:rFonts w:ascii="Arial" w:hAnsi="Arial" w:cs="Arial"/>
          <w:sz w:val="22"/>
          <w:szCs w:val="22"/>
          <w:lang w:val="en-AU"/>
        </w:rPr>
        <w:t>]</w:t>
      </w:r>
      <w:r w:rsidR="00BB696B">
        <w:rPr>
          <w:rFonts w:ascii="Arial" w:hAnsi="Arial" w:cs="Arial"/>
          <w:sz w:val="22"/>
          <w:szCs w:val="22"/>
          <w:lang w:val="en-AU"/>
        </w:rPr>
        <w:t>.</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 xml:space="preserve">Documents </w:t>
      </w:r>
      <w:r w:rsidR="00BB696B">
        <w:rPr>
          <w:rFonts w:ascii="Arial" w:hAnsi="Arial" w:cs="Arial"/>
          <w:b/>
          <w:sz w:val="22"/>
          <w:szCs w:val="22"/>
          <w:lang w:val="en-AU"/>
        </w:rPr>
        <w:t>i</w:t>
      </w:r>
      <w:r w:rsidRPr="006956D8">
        <w:rPr>
          <w:rFonts w:ascii="Arial" w:hAnsi="Arial" w:cs="Arial"/>
          <w:b/>
          <w:sz w:val="22"/>
          <w:szCs w:val="22"/>
          <w:lang w:val="en-AU"/>
        </w:rPr>
        <w:t xml:space="preserve">ncorporated by </w:t>
      </w:r>
      <w:r w:rsidR="00BB696B">
        <w:rPr>
          <w:rFonts w:ascii="Arial" w:hAnsi="Arial" w:cs="Arial"/>
          <w:b/>
          <w:sz w:val="22"/>
          <w:szCs w:val="22"/>
          <w:lang w:val="en-AU"/>
        </w:rPr>
        <w:t>r</w:t>
      </w:r>
      <w:r w:rsidRPr="006956D8">
        <w:rPr>
          <w:rFonts w:ascii="Arial" w:hAnsi="Arial" w:cs="Arial"/>
          <w:b/>
          <w:sz w:val="22"/>
          <w:szCs w:val="22"/>
          <w:lang w:val="en-AU"/>
        </w:rPr>
        <w:t>eference</w:t>
      </w:r>
    </w:p>
    <w:p w:rsidR="001A6F36" w:rsidRPr="008609AB"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The Determination incorporates the following documents by reference: </w:t>
      </w:r>
    </w:p>
    <w:p w:rsidR="00AA59D2" w:rsidRDefault="001E3986" w:rsidP="00AA59D2">
      <w:pPr>
        <w:numPr>
          <w:ilvl w:val="0"/>
          <w:numId w:val="23"/>
        </w:numPr>
        <w:spacing w:line="360" w:lineRule="auto"/>
        <w:rPr>
          <w:rFonts w:ascii="Arial" w:hAnsi="Arial" w:cs="Arial"/>
          <w:sz w:val="22"/>
          <w:szCs w:val="22"/>
          <w:lang w:val="en-AU"/>
        </w:rPr>
      </w:pPr>
      <w:r>
        <w:rPr>
          <w:rFonts w:ascii="Arial" w:hAnsi="Arial" w:cs="Arial"/>
          <w:sz w:val="22"/>
          <w:szCs w:val="22"/>
        </w:rPr>
        <w:t>t</w:t>
      </w:r>
      <w:r w:rsidR="00ED16E6">
        <w:rPr>
          <w:rFonts w:ascii="Arial" w:hAnsi="Arial" w:cs="Arial"/>
          <w:sz w:val="22"/>
          <w:szCs w:val="22"/>
        </w:rPr>
        <w:t xml:space="preserve">he </w:t>
      </w:r>
      <w:r w:rsidR="00AA59D2" w:rsidRPr="00AA59D2">
        <w:rPr>
          <w:rFonts w:ascii="Arial" w:hAnsi="Arial" w:cs="Arial"/>
          <w:i/>
          <w:sz w:val="22"/>
          <w:szCs w:val="22"/>
        </w:rPr>
        <w:t>Australian Spectrum Map Grid</w:t>
      </w:r>
      <w:r w:rsidR="003A4E4D">
        <w:rPr>
          <w:rFonts w:ascii="Arial" w:hAnsi="Arial" w:cs="Arial"/>
          <w:sz w:val="22"/>
          <w:szCs w:val="22"/>
        </w:rPr>
        <w:t xml:space="preserve"> </w:t>
      </w:r>
      <w:r w:rsidR="003A4E4D">
        <w:rPr>
          <w:rFonts w:ascii="Arial" w:hAnsi="Arial" w:cs="Arial"/>
          <w:i/>
          <w:sz w:val="22"/>
          <w:szCs w:val="22"/>
        </w:rPr>
        <w:t xml:space="preserve">2012 </w:t>
      </w:r>
      <w:r w:rsidR="003A4E4D">
        <w:rPr>
          <w:rFonts w:ascii="Arial" w:hAnsi="Arial" w:cs="Arial"/>
          <w:sz w:val="22"/>
          <w:szCs w:val="22"/>
        </w:rPr>
        <w:t xml:space="preserve">published by the ACMA as in force from time to time. </w:t>
      </w:r>
      <w:r>
        <w:rPr>
          <w:rFonts w:ascii="Arial" w:hAnsi="Arial" w:cs="Arial"/>
          <w:sz w:val="22"/>
          <w:szCs w:val="22"/>
        </w:rPr>
        <w:t xml:space="preserve"> </w:t>
      </w:r>
    </w:p>
    <w:p w:rsidR="001A6F36" w:rsidRPr="006956D8" w:rsidRDefault="001A6F36" w:rsidP="005D00CE">
      <w:pPr>
        <w:pStyle w:val="ListParagraph"/>
        <w:ind w:left="0"/>
        <w:rPr>
          <w:rFonts w:ascii="Arial" w:hAnsi="Arial" w:cs="Arial"/>
          <w:sz w:val="22"/>
          <w:szCs w:val="22"/>
          <w:lang w:val="en-AU"/>
        </w:rPr>
      </w:pPr>
    </w:p>
    <w:p w:rsidR="001A6F36" w:rsidRPr="006956D8" w:rsidRDefault="001A6F36" w:rsidP="001A6F36">
      <w:pPr>
        <w:pStyle w:val="ListParagraph"/>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 xml:space="preserve">Detailed Description of the </w:t>
      </w:r>
      <w:r w:rsidR="003A4E4D">
        <w:rPr>
          <w:rFonts w:ascii="Arial" w:hAnsi="Arial" w:cs="Arial"/>
          <w:b/>
          <w:sz w:val="22"/>
          <w:szCs w:val="22"/>
          <w:lang w:val="en-AU"/>
        </w:rPr>
        <w:t>Determination</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Details of the </w:t>
      </w:r>
      <w:r w:rsidR="003A4E4D">
        <w:rPr>
          <w:rFonts w:ascii="Arial" w:hAnsi="Arial" w:cs="Arial"/>
          <w:sz w:val="22"/>
          <w:szCs w:val="22"/>
          <w:lang w:val="en-AU"/>
        </w:rPr>
        <w:t>Determination</w:t>
      </w:r>
      <w:r w:rsidR="003A4E4D" w:rsidRPr="006956D8">
        <w:rPr>
          <w:rFonts w:ascii="Arial" w:hAnsi="Arial" w:cs="Arial"/>
          <w:sz w:val="22"/>
          <w:szCs w:val="22"/>
          <w:lang w:val="en-AU"/>
        </w:rPr>
        <w:t xml:space="preserve"> </w:t>
      </w:r>
      <w:r w:rsidRPr="006956D8">
        <w:rPr>
          <w:rFonts w:ascii="Arial" w:hAnsi="Arial" w:cs="Arial"/>
          <w:sz w:val="22"/>
          <w:szCs w:val="22"/>
          <w:lang w:val="en-AU"/>
        </w:rPr>
        <w:t xml:space="preserve">are set out in </w:t>
      </w:r>
      <w:r w:rsidRPr="006956D8">
        <w:rPr>
          <w:rFonts w:ascii="Arial" w:hAnsi="Arial" w:cs="Arial"/>
          <w:b/>
          <w:sz w:val="22"/>
          <w:szCs w:val="22"/>
          <w:lang w:val="en-AU"/>
        </w:rPr>
        <w:t>Attachment A</w:t>
      </w:r>
      <w:r w:rsidRPr="006956D8">
        <w:rPr>
          <w:rFonts w:ascii="Arial" w:hAnsi="Arial" w:cs="Arial"/>
          <w:sz w:val="22"/>
          <w:szCs w:val="22"/>
          <w:lang w:val="en-AU"/>
        </w:rPr>
        <w:t>.</w:t>
      </w:r>
    </w:p>
    <w:p w:rsidR="001A6F36" w:rsidRPr="006956D8" w:rsidRDefault="001A6F36" w:rsidP="001A6F36">
      <w:pPr>
        <w:spacing w:line="360" w:lineRule="auto"/>
        <w:ind w:left="6804"/>
        <w:rPr>
          <w:rFonts w:ascii="Arial" w:hAnsi="Arial" w:cs="Arial"/>
          <w:sz w:val="22"/>
          <w:szCs w:val="22"/>
          <w:lang w:val="en-AU"/>
        </w:rPr>
      </w:pPr>
    </w:p>
    <w:p w:rsidR="001A6F36" w:rsidRPr="006956D8" w:rsidRDefault="001A6F36" w:rsidP="001A6F36">
      <w:pPr>
        <w:spacing w:line="360" w:lineRule="auto"/>
        <w:ind w:left="6804"/>
        <w:rPr>
          <w:rFonts w:ascii="Arial" w:hAnsi="Arial" w:cs="Arial"/>
          <w:b/>
          <w:sz w:val="22"/>
          <w:szCs w:val="22"/>
          <w:lang w:val="en-AU"/>
        </w:rPr>
      </w:pPr>
      <w:r w:rsidRPr="006956D8">
        <w:rPr>
          <w:rFonts w:ascii="Arial" w:hAnsi="Arial" w:cs="Arial"/>
          <w:sz w:val="22"/>
          <w:szCs w:val="22"/>
          <w:lang w:val="en-AU"/>
        </w:rPr>
        <w:br/>
      </w:r>
      <w:r w:rsidRPr="006956D8">
        <w:rPr>
          <w:rFonts w:ascii="Arial" w:hAnsi="Arial" w:cs="Arial"/>
          <w:b/>
          <w:sz w:val="22"/>
          <w:szCs w:val="22"/>
          <w:lang w:val="en-AU"/>
        </w:rPr>
        <w:t>ATTACHMENT A</w:t>
      </w:r>
    </w:p>
    <w:p w:rsidR="001A6F36" w:rsidRPr="006956D8" w:rsidRDefault="001A6F36"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DETAILS OF THE RADIOCOMMUNICATIONS (</w:t>
      </w:r>
      <w:r w:rsidR="008C7749" w:rsidRPr="006956D8">
        <w:rPr>
          <w:rFonts w:ascii="Arial" w:hAnsi="Arial" w:cs="Arial"/>
          <w:b/>
          <w:sz w:val="22"/>
          <w:szCs w:val="22"/>
          <w:lang w:val="en-AU"/>
        </w:rPr>
        <w:t>TRADING RULES FOR SPECTRUM LICENCES</w:t>
      </w:r>
      <w:r w:rsidRPr="006956D8">
        <w:rPr>
          <w:rFonts w:ascii="Arial" w:hAnsi="Arial" w:cs="Arial"/>
          <w:b/>
          <w:sz w:val="22"/>
          <w:szCs w:val="22"/>
          <w:lang w:val="en-AU"/>
        </w:rPr>
        <w:t>) DETERMINATION 2012</w:t>
      </w:r>
    </w:p>
    <w:p w:rsidR="001A6F36" w:rsidRPr="006956D8" w:rsidRDefault="001A6F36"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 xml:space="preserve">Section 1 – </w:t>
      </w:r>
      <w:r w:rsidR="00256236">
        <w:rPr>
          <w:rFonts w:ascii="Arial" w:hAnsi="Arial" w:cs="Arial"/>
          <w:b/>
          <w:sz w:val="22"/>
          <w:szCs w:val="22"/>
          <w:lang w:val="en-AU"/>
        </w:rPr>
        <w:t>Title</w:t>
      </w:r>
    </w:p>
    <w:p w:rsidR="001A6F36" w:rsidRPr="006956D8" w:rsidRDefault="001A6F36" w:rsidP="001A6F36">
      <w:pPr>
        <w:spacing w:line="360" w:lineRule="auto"/>
        <w:rPr>
          <w:rFonts w:ascii="Arial" w:hAnsi="Arial" w:cs="Arial"/>
          <w:b/>
          <w:i/>
          <w:sz w:val="22"/>
          <w:szCs w:val="22"/>
          <w:lang w:val="en-AU"/>
        </w:rPr>
      </w:pPr>
      <w:r w:rsidRPr="006956D8">
        <w:rPr>
          <w:rFonts w:ascii="Arial" w:hAnsi="Arial" w:cs="Arial"/>
          <w:sz w:val="22"/>
          <w:szCs w:val="22"/>
          <w:lang w:val="en-AU"/>
        </w:rPr>
        <w:t xml:space="preserve">This section </w:t>
      </w:r>
      <w:r w:rsidR="00A22D57">
        <w:rPr>
          <w:rFonts w:ascii="Arial" w:hAnsi="Arial" w:cs="Arial"/>
          <w:sz w:val="22"/>
          <w:szCs w:val="22"/>
          <w:lang w:val="en-AU"/>
        </w:rPr>
        <w:t xml:space="preserve">provides that the name of </w:t>
      </w:r>
      <w:r w:rsidRPr="006956D8">
        <w:rPr>
          <w:rFonts w:ascii="Arial" w:hAnsi="Arial" w:cs="Arial"/>
          <w:sz w:val="22"/>
          <w:szCs w:val="22"/>
          <w:lang w:val="en-AU"/>
        </w:rPr>
        <w:t xml:space="preserve">the Determination </w:t>
      </w:r>
      <w:r w:rsidR="00032BFE">
        <w:rPr>
          <w:rFonts w:ascii="Arial" w:hAnsi="Arial" w:cs="Arial"/>
          <w:sz w:val="22"/>
          <w:szCs w:val="22"/>
          <w:lang w:val="en-AU"/>
        </w:rPr>
        <w:t>is</w:t>
      </w:r>
      <w:r w:rsidR="00032BFE" w:rsidRPr="006956D8">
        <w:rPr>
          <w:rFonts w:ascii="Arial" w:hAnsi="Arial" w:cs="Arial"/>
          <w:sz w:val="22"/>
          <w:szCs w:val="22"/>
          <w:lang w:val="en-AU"/>
        </w:rPr>
        <w:t xml:space="preserve"> </w:t>
      </w:r>
      <w:r w:rsidRPr="006956D8">
        <w:rPr>
          <w:rFonts w:ascii="Arial" w:hAnsi="Arial" w:cs="Arial"/>
          <w:sz w:val="22"/>
          <w:szCs w:val="22"/>
          <w:lang w:val="en-AU"/>
        </w:rPr>
        <w:t xml:space="preserve">the </w:t>
      </w:r>
      <w:r w:rsidRPr="006956D8">
        <w:rPr>
          <w:rFonts w:ascii="Arial" w:hAnsi="Arial" w:cs="Arial"/>
          <w:i/>
          <w:sz w:val="22"/>
          <w:szCs w:val="22"/>
          <w:lang w:val="en-AU"/>
        </w:rPr>
        <w:t>Radiocommunications (</w:t>
      </w:r>
      <w:r w:rsidR="008C7749" w:rsidRPr="006956D8">
        <w:rPr>
          <w:rFonts w:ascii="Arial" w:hAnsi="Arial" w:cs="Arial"/>
          <w:i/>
          <w:sz w:val="22"/>
          <w:szCs w:val="22"/>
          <w:lang w:val="en-AU"/>
        </w:rPr>
        <w:t>Trading Rules for Spectrum Licences</w:t>
      </w:r>
      <w:r w:rsidRPr="006956D8">
        <w:rPr>
          <w:rFonts w:ascii="Arial" w:hAnsi="Arial" w:cs="Arial"/>
          <w:i/>
          <w:sz w:val="22"/>
          <w:szCs w:val="22"/>
          <w:lang w:val="en-AU"/>
        </w:rPr>
        <w:t>) Determination 2012</w:t>
      </w:r>
      <w:r w:rsidR="00032BFE">
        <w:rPr>
          <w:rFonts w:ascii="Arial" w:hAnsi="Arial" w:cs="Arial"/>
          <w:i/>
          <w:sz w:val="22"/>
          <w:szCs w:val="22"/>
          <w:lang w:val="en-AU"/>
        </w:rPr>
        <w:t>.</w:t>
      </w:r>
      <w:r w:rsidRPr="006956D8">
        <w:rPr>
          <w:rFonts w:ascii="Arial" w:hAnsi="Arial" w:cs="Arial"/>
          <w:i/>
          <w:sz w:val="22"/>
          <w:szCs w:val="22"/>
          <w:lang w:val="en-AU"/>
        </w:rPr>
        <w:t xml:space="preserve"> </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 xml:space="preserve">Section 2 - Commencement </w:t>
      </w: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This section states that the Determination will commence on </w:t>
      </w:r>
      <w:r w:rsidR="008C7749" w:rsidRPr="006956D8">
        <w:rPr>
          <w:rFonts w:ascii="Arial" w:hAnsi="Arial" w:cs="Arial"/>
          <w:sz w:val="22"/>
          <w:szCs w:val="22"/>
          <w:lang w:val="en-AU"/>
        </w:rPr>
        <w:t>the day after it is registered on the Federal Regi</w:t>
      </w:r>
      <w:r w:rsidR="009E0D6D" w:rsidRPr="006956D8">
        <w:rPr>
          <w:rFonts w:ascii="Arial" w:hAnsi="Arial" w:cs="Arial"/>
          <w:sz w:val="22"/>
          <w:szCs w:val="22"/>
          <w:lang w:val="en-AU"/>
        </w:rPr>
        <w:t>ster of Legislative Instruments.</w:t>
      </w:r>
    </w:p>
    <w:p w:rsidR="001A6F36" w:rsidRPr="006956D8" w:rsidRDefault="001A6F36" w:rsidP="001A6F36">
      <w:pPr>
        <w:spacing w:line="360" w:lineRule="auto"/>
        <w:rPr>
          <w:rFonts w:ascii="Arial" w:hAnsi="Arial" w:cs="Arial"/>
          <w:b/>
          <w:sz w:val="22"/>
          <w:szCs w:val="22"/>
          <w:lang w:val="en-AU"/>
        </w:rPr>
      </w:pPr>
    </w:p>
    <w:p w:rsidR="001A6F36" w:rsidRPr="006956D8" w:rsidRDefault="001A6F36" w:rsidP="001A6F36">
      <w:pPr>
        <w:spacing w:line="360" w:lineRule="auto"/>
        <w:rPr>
          <w:rFonts w:ascii="Arial" w:hAnsi="Arial" w:cs="Arial"/>
          <w:b/>
          <w:sz w:val="22"/>
          <w:szCs w:val="22"/>
          <w:lang w:val="en-AU"/>
        </w:rPr>
      </w:pPr>
      <w:r w:rsidRPr="006956D8">
        <w:rPr>
          <w:rFonts w:ascii="Arial" w:hAnsi="Arial" w:cs="Arial"/>
          <w:b/>
          <w:sz w:val="22"/>
          <w:szCs w:val="22"/>
          <w:lang w:val="en-AU"/>
        </w:rPr>
        <w:t>Section 3 – Revocation</w:t>
      </w: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 xml:space="preserve">This section revokes the </w:t>
      </w:r>
      <w:r w:rsidRPr="006956D8">
        <w:rPr>
          <w:rFonts w:ascii="Arial" w:hAnsi="Arial" w:cs="Arial"/>
          <w:i/>
          <w:sz w:val="22"/>
          <w:szCs w:val="22"/>
          <w:lang w:val="en-AU"/>
        </w:rPr>
        <w:t>Radiocommunications</w:t>
      </w:r>
      <w:r w:rsidR="009E0D6D" w:rsidRPr="006956D8">
        <w:rPr>
          <w:rFonts w:ascii="Arial" w:hAnsi="Arial" w:cs="Arial"/>
          <w:i/>
          <w:sz w:val="22"/>
          <w:szCs w:val="22"/>
          <w:lang w:val="en-AU"/>
        </w:rPr>
        <w:t xml:space="preserve"> </w:t>
      </w:r>
      <w:r w:rsidRPr="006956D8">
        <w:rPr>
          <w:rFonts w:ascii="Arial" w:hAnsi="Arial" w:cs="Arial"/>
          <w:i/>
          <w:sz w:val="22"/>
          <w:szCs w:val="22"/>
          <w:lang w:val="en-AU"/>
        </w:rPr>
        <w:t>(</w:t>
      </w:r>
      <w:r w:rsidR="009E0D6D" w:rsidRPr="006956D8">
        <w:rPr>
          <w:rFonts w:ascii="Arial" w:hAnsi="Arial" w:cs="Arial"/>
          <w:i/>
          <w:sz w:val="22"/>
          <w:szCs w:val="22"/>
          <w:lang w:val="en-AU"/>
        </w:rPr>
        <w:t>Trading Rules for Spectrum Licences</w:t>
      </w:r>
      <w:r w:rsidRPr="006956D8">
        <w:rPr>
          <w:rFonts w:ascii="Arial" w:hAnsi="Arial" w:cs="Arial"/>
          <w:i/>
          <w:sz w:val="22"/>
          <w:szCs w:val="22"/>
          <w:lang w:val="en-AU"/>
        </w:rPr>
        <w:t xml:space="preserve">) Determination </w:t>
      </w:r>
      <w:r w:rsidR="009E0D6D" w:rsidRPr="006956D8">
        <w:rPr>
          <w:rFonts w:ascii="Arial" w:hAnsi="Arial" w:cs="Arial"/>
          <w:i/>
          <w:sz w:val="22"/>
          <w:szCs w:val="22"/>
          <w:lang w:val="en-AU"/>
        </w:rPr>
        <w:t>1998</w:t>
      </w:r>
      <w:r w:rsidRPr="006956D8">
        <w:rPr>
          <w:rFonts w:ascii="Arial" w:hAnsi="Arial" w:cs="Arial"/>
          <w:sz w:val="22"/>
          <w:szCs w:val="22"/>
          <w:lang w:val="en-AU"/>
        </w:rPr>
        <w:t xml:space="preserve">.  </w:t>
      </w:r>
    </w:p>
    <w:p w:rsidR="001A6F36" w:rsidRPr="006956D8" w:rsidRDefault="001A6F36" w:rsidP="001A6F36">
      <w:pPr>
        <w:spacing w:line="360" w:lineRule="auto"/>
        <w:ind w:left="570" w:hanging="570"/>
        <w:rPr>
          <w:rFonts w:ascii="Arial" w:hAnsi="Arial" w:cs="Arial"/>
          <w:sz w:val="22"/>
          <w:szCs w:val="22"/>
          <w:lang w:val="en-AU"/>
        </w:rPr>
      </w:pPr>
    </w:p>
    <w:p w:rsidR="001A6F36" w:rsidRPr="006956D8" w:rsidRDefault="001A6F36" w:rsidP="001A6F36">
      <w:pPr>
        <w:keepNext/>
        <w:keepLines/>
        <w:spacing w:line="360" w:lineRule="auto"/>
        <w:rPr>
          <w:rFonts w:ascii="Arial" w:hAnsi="Arial" w:cs="Arial"/>
          <w:b/>
          <w:i/>
          <w:sz w:val="22"/>
          <w:szCs w:val="22"/>
          <w:lang w:val="en-AU"/>
        </w:rPr>
      </w:pPr>
      <w:r w:rsidRPr="006956D8">
        <w:rPr>
          <w:rFonts w:ascii="Arial" w:hAnsi="Arial" w:cs="Arial"/>
          <w:b/>
          <w:sz w:val="22"/>
          <w:szCs w:val="22"/>
          <w:lang w:val="en-AU"/>
        </w:rPr>
        <w:t xml:space="preserve">Section 4 – Purpose </w:t>
      </w:r>
    </w:p>
    <w:p w:rsidR="001A6F36" w:rsidRPr="006956D8" w:rsidRDefault="001A6F36" w:rsidP="001A6F36">
      <w:pPr>
        <w:spacing w:line="360" w:lineRule="auto"/>
        <w:rPr>
          <w:rFonts w:ascii="Arial" w:hAnsi="Arial" w:cs="Arial"/>
          <w:sz w:val="22"/>
          <w:szCs w:val="22"/>
          <w:lang w:val="en-AU"/>
        </w:rPr>
      </w:pPr>
      <w:r w:rsidRPr="006956D8">
        <w:rPr>
          <w:rFonts w:ascii="Arial" w:hAnsi="Arial" w:cs="Arial"/>
          <w:sz w:val="22"/>
          <w:szCs w:val="22"/>
          <w:lang w:val="en-AU"/>
        </w:rPr>
        <w:t>This section states that the</w:t>
      </w:r>
      <w:r w:rsidR="009E0D6D" w:rsidRPr="006956D8">
        <w:rPr>
          <w:rFonts w:ascii="Arial" w:hAnsi="Arial" w:cs="Arial"/>
          <w:sz w:val="22"/>
          <w:szCs w:val="22"/>
          <w:lang w:val="en-AU"/>
        </w:rPr>
        <w:t xml:space="preserve"> purpose of th</w:t>
      </w:r>
      <w:r w:rsidR="003415E1">
        <w:rPr>
          <w:rFonts w:ascii="Arial" w:hAnsi="Arial" w:cs="Arial"/>
          <w:sz w:val="22"/>
          <w:szCs w:val="22"/>
          <w:lang w:val="en-AU"/>
        </w:rPr>
        <w:t>e D</w:t>
      </w:r>
      <w:r w:rsidR="009E0D6D" w:rsidRPr="006956D8">
        <w:rPr>
          <w:rFonts w:ascii="Arial" w:hAnsi="Arial" w:cs="Arial"/>
          <w:sz w:val="22"/>
          <w:szCs w:val="22"/>
          <w:lang w:val="en-AU"/>
        </w:rPr>
        <w:t xml:space="preserve">etermination is to set out the rules for the trading of spectrum licences. </w:t>
      </w:r>
    </w:p>
    <w:p w:rsidR="00BB696B" w:rsidRDefault="00BB696B" w:rsidP="001A6F36">
      <w:pPr>
        <w:keepNext/>
        <w:keepLines/>
        <w:spacing w:line="360" w:lineRule="auto"/>
        <w:rPr>
          <w:rFonts w:ascii="Arial" w:hAnsi="Arial" w:cs="Arial"/>
          <w:b/>
          <w:sz w:val="22"/>
          <w:szCs w:val="22"/>
          <w:lang w:val="en-AU"/>
        </w:rPr>
      </w:pPr>
    </w:p>
    <w:p w:rsidR="001A6F36" w:rsidRPr="006956D8" w:rsidRDefault="001A6F36" w:rsidP="001A6F36">
      <w:pPr>
        <w:keepNext/>
        <w:keepLines/>
        <w:spacing w:line="360" w:lineRule="auto"/>
        <w:rPr>
          <w:rFonts w:ascii="Arial" w:hAnsi="Arial" w:cs="Arial"/>
          <w:b/>
          <w:i/>
          <w:sz w:val="22"/>
          <w:szCs w:val="22"/>
          <w:lang w:val="en-AU"/>
        </w:rPr>
      </w:pPr>
      <w:r w:rsidRPr="006956D8">
        <w:rPr>
          <w:rFonts w:ascii="Arial" w:hAnsi="Arial" w:cs="Arial"/>
          <w:b/>
          <w:sz w:val="22"/>
          <w:szCs w:val="22"/>
          <w:lang w:val="en-AU"/>
        </w:rPr>
        <w:t>Section 5 – Interpretation</w:t>
      </w:r>
    </w:p>
    <w:p w:rsidR="001A6F36" w:rsidRPr="006956D8" w:rsidRDefault="001A6F36" w:rsidP="00BD21F2">
      <w:pPr>
        <w:keepNext/>
        <w:keepLines/>
        <w:spacing w:line="360" w:lineRule="auto"/>
        <w:rPr>
          <w:rFonts w:ascii="Arial" w:hAnsi="Arial" w:cs="Arial"/>
          <w:sz w:val="22"/>
          <w:szCs w:val="22"/>
          <w:lang w:val="en-AU"/>
        </w:rPr>
      </w:pPr>
      <w:r w:rsidRPr="006956D8">
        <w:rPr>
          <w:rFonts w:ascii="Arial" w:hAnsi="Arial" w:cs="Arial"/>
          <w:sz w:val="22"/>
          <w:szCs w:val="22"/>
          <w:lang w:val="en-AU"/>
        </w:rPr>
        <w:t xml:space="preserve">This section provides definitions for the terms used in </w:t>
      </w:r>
      <w:r w:rsidR="009E0D6D" w:rsidRPr="006956D8">
        <w:rPr>
          <w:rFonts w:ascii="Arial" w:hAnsi="Arial" w:cs="Arial"/>
          <w:sz w:val="22"/>
          <w:szCs w:val="22"/>
          <w:lang w:val="en-AU"/>
        </w:rPr>
        <w:t>the Determination</w:t>
      </w:r>
      <w:r w:rsidR="00032BFE">
        <w:rPr>
          <w:rFonts w:ascii="Arial" w:hAnsi="Arial" w:cs="Arial"/>
          <w:sz w:val="22"/>
          <w:szCs w:val="22"/>
          <w:lang w:val="en-AU"/>
        </w:rPr>
        <w:t xml:space="preserve">. The note to the section provides that certain terms have the same meaning as in the Act. </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keepNext/>
        <w:keepLines/>
        <w:spacing w:line="360" w:lineRule="auto"/>
        <w:ind w:left="570" w:hanging="570"/>
        <w:rPr>
          <w:rFonts w:ascii="Arial" w:hAnsi="Arial" w:cs="Arial"/>
          <w:b/>
          <w:sz w:val="22"/>
          <w:szCs w:val="22"/>
          <w:lang w:val="en-AU"/>
        </w:rPr>
      </w:pPr>
      <w:r w:rsidRPr="006956D8">
        <w:rPr>
          <w:rFonts w:ascii="Arial" w:hAnsi="Arial" w:cs="Arial"/>
          <w:b/>
          <w:sz w:val="22"/>
          <w:szCs w:val="22"/>
          <w:lang w:val="en-AU"/>
        </w:rPr>
        <w:t xml:space="preserve">Section 6 – </w:t>
      </w:r>
      <w:r w:rsidR="009E0D6D" w:rsidRPr="006956D8">
        <w:rPr>
          <w:rFonts w:ascii="Arial" w:hAnsi="Arial" w:cs="Arial"/>
          <w:b/>
          <w:sz w:val="22"/>
          <w:szCs w:val="22"/>
          <w:lang w:val="en-AU"/>
        </w:rPr>
        <w:t>Approval of form</w:t>
      </w:r>
    </w:p>
    <w:p w:rsidR="001A6F36" w:rsidRPr="006956D8" w:rsidRDefault="009E0D6D" w:rsidP="001A6F36">
      <w:pPr>
        <w:spacing w:line="360" w:lineRule="auto"/>
        <w:rPr>
          <w:rFonts w:ascii="Arial" w:hAnsi="Arial" w:cs="Arial"/>
          <w:color w:val="000000"/>
          <w:sz w:val="22"/>
          <w:szCs w:val="22"/>
        </w:rPr>
      </w:pPr>
      <w:r w:rsidRPr="006956D8">
        <w:rPr>
          <w:rFonts w:ascii="Arial" w:hAnsi="Arial" w:cs="Arial"/>
          <w:color w:val="000000"/>
          <w:sz w:val="22"/>
          <w:szCs w:val="22"/>
        </w:rPr>
        <w:t xml:space="preserve">This section </w:t>
      </w:r>
      <w:r w:rsidR="004F7222">
        <w:rPr>
          <w:rFonts w:ascii="Arial" w:hAnsi="Arial" w:cs="Arial"/>
          <w:color w:val="000000"/>
          <w:sz w:val="22"/>
          <w:szCs w:val="22"/>
        </w:rPr>
        <w:t>requires</w:t>
      </w:r>
      <w:r w:rsidRPr="006956D8">
        <w:rPr>
          <w:rFonts w:ascii="Arial" w:hAnsi="Arial" w:cs="Arial"/>
          <w:color w:val="000000"/>
          <w:sz w:val="22"/>
          <w:szCs w:val="22"/>
        </w:rPr>
        <w:t xml:space="preserve"> the AC</w:t>
      </w:r>
      <w:r w:rsidR="00376A04">
        <w:rPr>
          <w:rFonts w:ascii="Arial" w:hAnsi="Arial" w:cs="Arial"/>
          <w:color w:val="000000"/>
          <w:sz w:val="22"/>
          <w:szCs w:val="22"/>
        </w:rPr>
        <w:t>MA</w:t>
      </w:r>
      <w:r w:rsidRPr="006956D8">
        <w:rPr>
          <w:rFonts w:ascii="Arial" w:hAnsi="Arial" w:cs="Arial"/>
          <w:color w:val="000000"/>
          <w:sz w:val="22"/>
          <w:szCs w:val="22"/>
        </w:rPr>
        <w:t xml:space="preserve"> </w:t>
      </w:r>
      <w:r w:rsidR="004F7222">
        <w:rPr>
          <w:rFonts w:ascii="Arial" w:hAnsi="Arial" w:cs="Arial"/>
          <w:color w:val="000000"/>
          <w:sz w:val="22"/>
          <w:szCs w:val="22"/>
        </w:rPr>
        <w:t>to</w:t>
      </w:r>
      <w:r w:rsidR="004F7222" w:rsidRPr="006956D8">
        <w:rPr>
          <w:rFonts w:ascii="Arial" w:hAnsi="Arial" w:cs="Arial"/>
          <w:color w:val="000000"/>
          <w:sz w:val="22"/>
          <w:szCs w:val="22"/>
        </w:rPr>
        <w:t xml:space="preserve"> </w:t>
      </w:r>
      <w:r w:rsidRPr="006956D8">
        <w:rPr>
          <w:rFonts w:ascii="Arial" w:hAnsi="Arial" w:cs="Arial"/>
          <w:color w:val="000000"/>
          <w:sz w:val="22"/>
          <w:szCs w:val="22"/>
        </w:rPr>
        <w:t xml:space="preserve">approve a form </w:t>
      </w:r>
      <w:r w:rsidR="005B4DBE">
        <w:rPr>
          <w:rFonts w:ascii="Arial" w:hAnsi="Arial" w:cs="Arial"/>
          <w:color w:val="000000"/>
          <w:sz w:val="22"/>
          <w:szCs w:val="22"/>
        </w:rPr>
        <w:t xml:space="preserve">(Trading Form) </w:t>
      </w:r>
      <w:r w:rsidRPr="006956D8">
        <w:rPr>
          <w:rFonts w:ascii="Arial" w:hAnsi="Arial" w:cs="Arial"/>
          <w:color w:val="000000"/>
          <w:sz w:val="22"/>
          <w:szCs w:val="22"/>
        </w:rPr>
        <w:t>for trading licences</w:t>
      </w:r>
      <w:r w:rsidR="005B4DBE">
        <w:rPr>
          <w:rFonts w:ascii="Arial" w:hAnsi="Arial" w:cs="Arial"/>
          <w:color w:val="000000"/>
          <w:sz w:val="22"/>
          <w:szCs w:val="22"/>
        </w:rPr>
        <w:t xml:space="preserve"> in accordance with the Determination. The information that licensees have to provide t</w:t>
      </w:r>
      <w:r w:rsidR="00533AF1">
        <w:rPr>
          <w:rFonts w:ascii="Arial" w:hAnsi="Arial" w:cs="Arial"/>
          <w:color w:val="000000"/>
          <w:sz w:val="22"/>
          <w:szCs w:val="22"/>
        </w:rPr>
        <w:t xml:space="preserve">o the ACMA when trading licences (prescribed in section 9 of the Determination) must be provided using a Trading Form. </w:t>
      </w:r>
      <w:r w:rsidR="004F7222">
        <w:rPr>
          <w:rFonts w:ascii="Arial" w:hAnsi="Arial" w:cs="Arial"/>
          <w:color w:val="000000"/>
          <w:sz w:val="22"/>
          <w:szCs w:val="22"/>
        </w:rPr>
        <w:t>Once approved, t</w:t>
      </w:r>
      <w:r w:rsidR="00533AF1">
        <w:rPr>
          <w:rFonts w:ascii="Arial" w:hAnsi="Arial" w:cs="Arial"/>
          <w:color w:val="000000"/>
          <w:sz w:val="22"/>
          <w:szCs w:val="22"/>
        </w:rPr>
        <w:t xml:space="preserve">he Trading Form will be accessible on the ACMA website. </w:t>
      </w:r>
    </w:p>
    <w:p w:rsidR="001A6F36" w:rsidRPr="006956D8" w:rsidRDefault="001A6F36" w:rsidP="001A6F36">
      <w:pPr>
        <w:spacing w:line="360" w:lineRule="auto"/>
        <w:rPr>
          <w:rFonts w:ascii="Arial" w:hAnsi="Arial" w:cs="Arial"/>
          <w:color w:val="000000"/>
          <w:sz w:val="22"/>
          <w:szCs w:val="22"/>
        </w:rPr>
      </w:pPr>
    </w:p>
    <w:p w:rsidR="00681BC0" w:rsidRPr="006956D8" w:rsidRDefault="001A6F36" w:rsidP="001A6F36">
      <w:pPr>
        <w:spacing w:line="360" w:lineRule="auto"/>
        <w:rPr>
          <w:rFonts w:ascii="Arial" w:hAnsi="Arial" w:cs="Arial"/>
          <w:b/>
          <w:color w:val="000000"/>
          <w:sz w:val="22"/>
          <w:szCs w:val="22"/>
        </w:rPr>
      </w:pPr>
      <w:r w:rsidRPr="006956D8">
        <w:rPr>
          <w:rFonts w:ascii="Arial" w:hAnsi="Arial" w:cs="Arial"/>
          <w:b/>
          <w:color w:val="000000"/>
          <w:sz w:val="22"/>
          <w:szCs w:val="22"/>
        </w:rPr>
        <w:t xml:space="preserve">Section 7 – </w:t>
      </w:r>
      <w:r w:rsidR="00681BC0" w:rsidRPr="006956D8">
        <w:rPr>
          <w:rFonts w:ascii="Arial" w:hAnsi="Arial" w:cs="Arial"/>
          <w:b/>
          <w:color w:val="000000"/>
          <w:sz w:val="22"/>
          <w:szCs w:val="22"/>
        </w:rPr>
        <w:t>What may be traded</w:t>
      </w:r>
    </w:p>
    <w:p w:rsidR="00681BC0" w:rsidRPr="006956D8" w:rsidRDefault="00765AB0" w:rsidP="001A6F36">
      <w:pPr>
        <w:spacing w:line="360" w:lineRule="auto"/>
        <w:rPr>
          <w:rFonts w:ascii="Arial" w:hAnsi="Arial" w:cs="Arial"/>
          <w:color w:val="000000"/>
          <w:sz w:val="22"/>
          <w:szCs w:val="22"/>
        </w:rPr>
      </w:pPr>
      <w:r w:rsidRPr="006956D8">
        <w:rPr>
          <w:rFonts w:ascii="Arial" w:hAnsi="Arial" w:cs="Arial"/>
          <w:color w:val="000000"/>
          <w:sz w:val="22"/>
          <w:szCs w:val="22"/>
        </w:rPr>
        <w:t>The section sets out the rights of licensees to trade all or part of their licence.</w:t>
      </w:r>
      <w:r w:rsidR="004C7D21">
        <w:rPr>
          <w:rFonts w:ascii="Arial" w:hAnsi="Arial" w:cs="Arial"/>
          <w:color w:val="000000"/>
          <w:sz w:val="22"/>
          <w:szCs w:val="22"/>
        </w:rPr>
        <w:t xml:space="preserve"> Subject to the restrictions in section 8, this section provides that a licensee may trade all or part of their licence to an existing licensee or to another person and </w:t>
      </w:r>
      <w:r w:rsidR="00032BFE">
        <w:rPr>
          <w:rFonts w:ascii="Arial" w:hAnsi="Arial" w:cs="Arial"/>
          <w:color w:val="000000"/>
          <w:sz w:val="22"/>
          <w:szCs w:val="22"/>
        </w:rPr>
        <w:t xml:space="preserve">may </w:t>
      </w:r>
      <w:r w:rsidR="004C7D21">
        <w:rPr>
          <w:rFonts w:ascii="Arial" w:hAnsi="Arial" w:cs="Arial"/>
          <w:color w:val="000000"/>
          <w:sz w:val="22"/>
          <w:szCs w:val="22"/>
        </w:rPr>
        <w:t>trade parts of this licence to different persons.</w:t>
      </w:r>
    </w:p>
    <w:p w:rsidR="00765AB0" w:rsidRPr="006956D8" w:rsidRDefault="00765AB0" w:rsidP="001A6F36">
      <w:pPr>
        <w:spacing w:line="360" w:lineRule="auto"/>
        <w:rPr>
          <w:rFonts w:ascii="Arial" w:hAnsi="Arial" w:cs="Arial"/>
          <w:b/>
          <w:color w:val="000000"/>
          <w:sz w:val="22"/>
          <w:szCs w:val="22"/>
        </w:rPr>
      </w:pPr>
    </w:p>
    <w:p w:rsidR="00681BC0" w:rsidRPr="006956D8" w:rsidRDefault="00681BC0" w:rsidP="00681BC0">
      <w:pPr>
        <w:spacing w:line="360" w:lineRule="auto"/>
        <w:rPr>
          <w:rFonts w:ascii="Arial" w:hAnsi="Arial" w:cs="Arial"/>
          <w:b/>
          <w:color w:val="000000"/>
          <w:sz w:val="22"/>
          <w:szCs w:val="22"/>
        </w:rPr>
      </w:pPr>
      <w:r w:rsidRPr="006956D8">
        <w:rPr>
          <w:rFonts w:ascii="Arial" w:hAnsi="Arial" w:cs="Arial"/>
          <w:b/>
          <w:color w:val="000000"/>
          <w:sz w:val="22"/>
          <w:szCs w:val="22"/>
        </w:rPr>
        <w:t>Section 8 – Restrictions on trading</w:t>
      </w:r>
    </w:p>
    <w:p w:rsidR="00917B19" w:rsidRDefault="00765AB0" w:rsidP="00681BC0">
      <w:pPr>
        <w:spacing w:line="360" w:lineRule="auto"/>
        <w:rPr>
          <w:rFonts w:ascii="Arial" w:hAnsi="Arial" w:cs="Arial"/>
          <w:color w:val="000000"/>
          <w:sz w:val="22"/>
          <w:szCs w:val="22"/>
        </w:rPr>
      </w:pPr>
      <w:r w:rsidRPr="006956D8">
        <w:rPr>
          <w:rFonts w:ascii="Arial" w:hAnsi="Arial" w:cs="Arial"/>
          <w:color w:val="000000"/>
          <w:sz w:val="22"/>
          <w:szCs w:val="22"/>
        </w:rPr>
        <w:t>This section sets out the restrictions imposed on licen</w:t>
      </w:r>
      <w:r w:rsidR="006A45A1" w:rsidRPr="006956D8">
        <w:rPr>
          <w:rFonts w:ascii="Arial" w:hAnsi="Arial" w:cs="Arial"/>
          <w:color w:val="000000"/>
          <w:sz w:val="22"/>
          <w:szCs w:val="22"/>
        </w:rPr>
        <w:t>sees in trading licences.</w:t>
      </w:r>
      <w:r w:rsidR="004C7D21">
        <w:rPr>
          <w:rFonts w:ascii="Arial" w:hAnsi="Arial" w:cs="Arial"/>
          <w:color w:val="000000"/>
          <w:sz w:val="22"/>
          <w:szCs w:val="22"/>
        </w:rPr>
        <w:t xml:space="preserve">  </w:t>
      </w:r>
      <w:r w:rsidR="00917B19">
        <w:rPr>
          <w:rFonts w:ascii="Arial" w:hAnsi="Arial" w:cs="Arial"/>
          <w:color w:val="000000"/>
          <w:sz w:val="22"/>
          <w:szCs w:val="22"/>
        </w:rPr>
        <w:t xml:space="preserve">The restrictions have been imposed to prevent fragmentation of spectrum holdings and </w:t>
      </w:r>
      <w:r w:rsidR="00BB696B">
        <w:rPr>
          <w:rFonts w:ascii="Arial" w:hAnsi="Arial" w:cs="Arial"/>
          <w:color w:val="000000"/>
          <w:sz w:val="22"/>
          <w:szCs w:val="22"/>
        </w:rPr>
        <w:t xml:space="preserve">decrease </w:t>
      </w:r>
      <w:r w:rsidR="00A24CAE">
        <w:rPr>
          <w:rFonts w:ascii="Arial" w:hAnsi="Arial" w:cs="Arial"/>
          <w:color w:val="000000"/>
          <w:sz w:val="22"/>
          <w:szCs w:val="22"/>
        </w:rPr>
        <w:t>inefficient</w:t>
      </w:r>
      <w:r w:rsidR="00917B19">
        <w:rPr>
          <w:rFonts w:ascii="Arial" w:hAnsi="Arial" w:cs="Arial"/>
          <w:color w:val="000000"/>
          <w:sz w:val="22"/>
          <w:szCs w:val="22"/>
        </w:rPr>
        <w:t xml:space="preserve"> spectrum use.  </w:t>
      </w:r>
    </w:p>
    <w:p w:rsidR="00917B19" w:rsidRDefault="00917B19" w:rsidP="00681BC0">
      <w:pPr>
        <w:spacing w:line="360" w:lineRule="auto"/>
        <w:rPr>
          <w:rFonts w:ascii="Arial" w:hAnsi="Arial" w:cs="Arial"/>
          <w:color w:val="000000"/>
          <w:sz w:val="22"/>
          <w:szCs w:val="22"/>
        </w:rPr>
      </w:pPr>
    </w:p>
    <w:p w:rsidR="00BB696B" w:rsidRDefault="00032BFE" w:rsidP="00681BC0">
      <w:pPr>
        <w:spacing w:line="360" w:lineRule="auto"/>
        <w:rPr>
          <w:rFonts w:ascii="Arial" w:hAnsi="Arial" w:cs="Arial"/>
          <w:color w:val="000000"/>
          <w:sz w:val="22"/>
          <w:szCs w:val="22"/>
        </w:rPr>
      </w:pPr>
      <w:r>
        <w:rPr>
          <w:rFonts w:ascii="Arial" w:hAnsi="Arial" w:cs="Arial"/>
          <w:color w:val="000000"/>
          <w:sz w:val="22"/>
          <w:szCs w:val="22"/>
        </w:rPr>
        <w:t xml:space="preserve">The section sets out three restrictions on the trading of spectrum licences. </w:t>
      </w:r>
      <w:r w:rsidR="004F7222">
        <w:rPr>
          <w:rFonts w:ascii="Arial" w:hAnsi="Arial" w:cs="Arial"/>
          <w:color w:val="000000"/>
          <w:sz w:val="22"/>
          <w:szCs w:val="22"/>
        </w:rPr>
        <w:t>Firstly,</w:t>
      </w:r>
      <w:r w:rsidR="004C7D21">
        <w:rPr>
          <w:rFonts w:ascii="Arial" w:hAnsi="Arial" w:cs="Arial"/>
          <w:color w:val="000000"/>
          <w:sz w:val="22"/>
          <w:szCs w:val="22"/>
        </w:rPr>
        <w:t xml:space="preserve"> a licensee must only trade all or part of their licence as a single whole STU or a multiple of whole STUs. </w:t>
      </w:r>
      <w:r>
        <w:rPr>
          <w:rFonts w:ascii="Arial" w:hAnsi="Arial" w:cs="Arial"/>
          <w:color w:val="000000"/>
          <w:sz w:val="22"/>
          <w:szCs w:val="22"/>
        </w:rPr>
        <w:t xml:space="preserve">This restriction prevents licensees from trading parts of an STU or a multiple of part STUs. </w:t>
      </w:r>
      <w:r w:rsidR="004C7D21">
        <w:rPr>
          <w:rFonts w:ascii="Arial" w:hAnsi="Arial" w:cs="Arial"/>
          <w:color w:val="000000"/>
          <w:sz w:val="22"/>
          <w:szCs w:val="22"/>
        </w:rPr>
        <w:t xml:space="preserve"> </w:t>
      </w:r>
      <w:r>
        <w:rPr>
          <w:rFonts w:ascii="Arial" w:hAnsi="Arial" w:cs="Arial"/>
          <w:color w:val="000000"/>
          <w:sz w:val="22"/>
          <w:szCs w:val="22"/>
        </w:rPr>
        <w:t>Secondly</w:t>
      </w:r>
      <w:r w:rsidR="00F1524F">
        <w:rPr>
          <w:rFonts w:ascii="Arial" w:hAnsi="Arial" w:cs="Arial"/>
          <w:color w:val="000000"/>
          <w:sz w:val="22"/>
          <w:szCs w:val="22"/>
        </w:rPr>
        <w:t xml:space="preserve">, a licensee must not trade a part of their licence if the trade results in a licence with a bandwidth less than the MCB for the frequency band for which the licence operates, without </w:t>
      </w:r>
      <w:r w:rsidR="004F7222">
        <w:rPr>
          <w:rFonts w:ascii="Arial" w:hAnsi="Arial" w:cs="Arial"/>
          <w:color w:val="000000"/>
          <w:sz w:val="22"/>
          <w:szCs w:val="22"/>
        </w:rPr>
        <w:t xml:space="preserve">the ACMA’s </w:t>
      </w:r>
      <w:r w:rsidR="00F1524F">
        <w:rPr>
          <w:rFonts w:ascii="Arial" w:hAnsi="Arial" w:cs="Arial"/>
          <w:color w:val="000000"/>
          <w:sz w:val="22"/>
          <w:szCs w:val="22"/>
        </w:rPr>
        <w:t xml:space="preserve">prior written </w:t>
      </w:r>
      <w:r w:rsidR="00E55A4E">
        <w:rPr>
          <w:rFonts w:ascii="Arial" w:hAnsi="Arial" w:cs="Arial"/>
          <w:color w:val="000000"/>
          <w:sz w:val="22"/>
          <w:szCs w:val="22"/>
        </w:rPr>
        <w:t>permission</w:t>
      </w:r>
      <w:r w:rsidR="00F1524F">
        <w:rPr>
          <w:rFonts w:ascii="Arial" w:hAnsi="Arial" w:cs="Arial"/>
          <w:color w:val="000000"/>
          <w:sz w:val="22"/>
          <w:szCs w:val="22"/>
        </w:rPr>
        <w:t xml:space="preserve">.  </w:t>
      </w:r>
      <w:r w:rsidR="00917B19">
        <w:rPr>
          <w:rFonts w:ascii="Arial" w:hAnsi="Arial" w:cs="Arial"/>
          <w:color w:val="000000"/>
          <w:sz w:val="22"/>
          <w:szCs w:val="22"/>
        </w:rPr>
        <w:t xml:space="preserve">The purpose of restricting trade in this manner without the ACMA’s permission is that the MCB is the minimum spectrum required to deploy a commercial service using the technology likely to be used in the relevant frequency band. </w:t>
      </w:r>
      <w:r w:rsidR="005B4DBE">
        <w:rPr>
          <w:rFonts w:ascii="Arial" w:hAnsi="Arial" w:cs="Arial"/>
          <w:color w:val="000000"/>
          <w:sz w:val="22"/>
          <w:szCs w:val="22"/>
        </w:rPr>
        <w:t>Thirdly</w:t>
      </w:r>
      <w:r w:rsidR="00B83A20">
        <w:rPr>
          <w:rFonts w:ascii="Arial" w:hAnsi="Arial" w:cs="Arial"/>
          <w:color w:val="000000"/>
          <w:sz w:val="22"/>
          <w:szCs w:val="22"/>
        </w:rPr>
        <w:t>,</w:t>
      </w:r>
      <w:r w:rsidR="00F1524F">
        <w:rPr>
          <w:rFonts w:ascii="Arial" w:hAnsi="Arial" w:cs="Arial"/>
          <w:color w:val="000000"/>
          <w:sz w:val="22"/>
          <w:szCs w:val="22"/>
        </w:rPr>
        <w:t xml:space="preserve"> a licensee must not transfer their licence for the purpose of providing security for a loan.</w:t>
      </w:r>
      <w:r w:rsidR="004E5173">
        <w:rPr>
          <w:rFonts w:ascii="Arial" w:hAnsi="Arial" w:cs="Arial"/>
          <w:color w:val="000000"/>
          <w:sz w:val="22"/>
          <w:szCs w:val="22"/>
        </w:rPr>
        <w:t xml:space="preserve"> </w:t>
      </w:r>
    </w:p>
    <w:p w:rsidR="00681BC0" w:rsidRPr="006956D8" w:rsidRDefault="00BB696B" w:rsidP="00681BC0">
      <w:pPr>
        <w:spacing w:line="360" w:lineRule="auto"/>
        <w:rPr>
          <w:rFonts w:ascii="Arial" w:hAnsi="Arial" w:cs="Arial"/>
          <w:b/>
          <w:color w:val="000000"/>
          <w:sz w:val="22"/>
          <w:szCs w:val="22"/>
        </w:rPr>
      </w:pPr>
      <w:r>
        <w:rPr>
          <w:rFonts w:ascii="Arial" w:hAnsi="Arial" w:cs="Arial"/>
          <w:color w:val="000000"/>
          <w:sz w:val="22"/>
          <w:szCs w:val="22"/>
        </w:rPr>
        <w:br w:type="page"/>
      </w:r>
      <w:r w:rsidR="00681BC0" w:rsidRPr="006956D8">
        <w:rPr>
          <w:rFonts w:ascii="Arial" w:hAnsi="Arial" w:cs="Arial"/>
          <w:b/>
          <w:color w:val="000000"/>
          <w:sz w:val="22"/>
          <w:szCs w:val="22"/>
        </w:rPr>
        <w:t>Section 9 – Information to be given to the ACMA</w:t>
      </w:r>
    </w:p>
    <w:p w:rsidR="00D61BA7" w:rsidRDefault="00533AF1" w:rsidP="00681BC0">
      <w:pPr>
        <w:spacing w:line="360" w:lineRule="auto"/>
        <w:rPr>
          <w:rFonts w:ascii="Arial" w:hAnsi="Arial" w:cs="Arial"/>
          <w:color w:val="000000"/>
          <w:sz w:val="22"/>
          <w:szCs w:val="22"/>
        </w:rPr>
      </w:pPr>
      <w:r>
        <w:rPr>
          <w:rFonts w:ascii="Arial" w:hAnsi="Arial" w:cs="Arial"/>
          <w:color w:val="000000"/>
          <w:sz w:val="22"/>
          <w:szCs w:val="22"/>
        </w:rPr>
        <w:t xml:space="preserve">Subsection 86 (1) of the Act provides </w:t>
      </w:r>
      <w:r w:rsidR="000C509E">
        <w:rPr>
          <w:rFonts w:ascii="Arial" w:hAnsi="Arial" w:cs="Arial"/>
          <w:color w:val="000000"/>
          <w:sz w:val="22"/>
          <w:szCs w:val="22"/>
        </w:rPr>
        <w:t>as follows:</w:t>
      </w:r>
      <w:r>
        <w:rPr>
          <w:rFonts w:ascii="Arial" w:hAnsi="Arial" w:cs="Arial"/>
          <w:color w:val="000000"/>
          <w:sz w:val="22"/>
          <w:szCs w:val="22"/>
        </w:rPr>
        <w:t xml:space="preserve"> </w:t>
      </w:r>
    </w:p>
    <w:p w:rsidR="00D61BA7" w:rsidRPr="000C509E" w:rsidRDefault="00AA59D2" w:rsidP="00D61BA7">
      <w:pPr>
        <w:pStyle w:val="subsection"/>
        <w:rPr>
          <w:rFonts w:ascii="Arial" w:hAnsi="Arial" w:cs="Arial"/>
          <w:i/>
          <w:sz w:val="19"/>
          <w:szCs w:val="19"/>
        </w:rPr>
      </w:pPr>
      <w:r w:rsidRPr="00AA59D2">
        <w:rPr>
          <w:rFonts w:ascii="Arial" w:hAnsi="Arial" w:cs="Arial"/>
          <w:i/>
          <w:sz w:val="19"/>
          <w:szCs w:val="19"/>
        </w:rPr>
        <w:t>    (1)  The parties to an assignment under section 85 of the whole, or any part of, a licence that involves:</w:t>
      </w:r>
    </w:p>
    <w:p w:rsidR="00D61BA7" w:rsidRPr="000C509E" w:rsidRDefault="00AA59D2" w:rsidP="00D61BA7">
      <w:pPr>
        <w:pStyle w:val="paragraph"/>
        <w:rPr>
          <w:rFonts w:ascii="Arial" w:hAnsi="Arial" w:cs="Arial"/>
          <w:i/>
          <w:sz w:val="19"/>
          <w:szCs w:val="19"/>
        </w:rPr>
      </w:pPr>
      <w:r w:rsidRPr="00AA59D2">
        <w:rPr>
          <w:rFonts w:ascii="Arial" w:hAnsi="Arial" w:cs="Arial"/>
          <w:i/>
          <w:sz w:val="19"/>
          <w:szCs w:val="19"/>
        </w:rPr>
        <w:t>                     (a)  a change in the licensee; or</w:t>
      </w:r>
    </w:p>
    <w:p w:rsidR="00D61BA7" w:rsidRPr="000C509E" w:rsidRDefault="00AA59D2" w:rsidP="00D61BA7">
      <w:pPr>
        <w:pStyle w:val="paragraph"/>
        <w:rPr>
          <w:rFonts w:ascii="Arial" w:hAnsi="Arial" w:cs="Arial"/>
          <w:i/>
          <w:sz w:val="19"/>
          <w:szCs w:val="19"/>
        </w:rPr>
      </w:pPr>
      <w:r w:rsidRPr="00AA59D2">
        <w:rPr>
          <w:rFonts w:ascii="Arial" w:hAnsi="Arial" w:cs="Arial"/>
          <w:i/>
          <w:sz w:val="19"/>
          <w:szCs w:val="19"/>
        </w:rPr>
        <w:t>                     (b)  the issue of a spectrum licence; or</w:t>
      </w:r>
    </w:p>
    <w:p w:rsidR="00D61BA7" w:rsidRPr="000C509E" w:rsidRDefault="00AA59D2" w:rsidP="00D61BA7">
      <w:pPr>
        <w:pStyle w:val="paragraph"/>
        <w:rPr>
          <w:rFonts w:ascii="Arial" w:hAnsi="Arial" w:cs="Arial"/>
          <w:i/>
          <w:sz w:val="19"/>
          <w:szCs w:val="19"/>
        </w:rPr>
      </w:pPr>
      <w:r w:rsidRPr="00AA59D2">
        <w:rPr>
          <w:rFonts w:ascii="Arial" w:hAnsi="Arial" w:cs="Arial"/>
          <w:i/>
          <w:sz w:val="19"/>
          <w:szCs w:val="19"/>
        </w:rPr>
        <w:t>                     (c)  the variation of the conditions of a spectrum licence; or</w:t>
      </w:r>
    </w:p>
    <w:p w:rsidR="00D61BA7" w:rsidRPr="000C509E" w:rsidRDefault="00AA59D2" w:rsidP="00D61BA7">
      <w:pPr>
        <w:pStyle w:val="paragraph"/>
        <w:rPr>
          <w:rFonts w:ascii="Arial" w:hAnsi="Arial" w:cs="Arial"/>
          <w:i/>
          <w:sz w:val="19"/>
          <w:szCs w:val="19"/>
        </w:rPr>
      </w:pPr>
      <w:r w:rsidRPr="00AA59D2">
        <w:rPr>
          <w:rFonts w:ascii="Arial" w:hAnsi="Arial" w:cs="Arial"/>
          <w:i/>
          <w:sz w:val="19"/>
          <w:szCs w:val="19"/>
        </w:rPr>
        <w:t>                     (d)  the cancellation of one or more existing spectrum licences;</w:t>
      </w:r>
    </w:p>
    <w:p w:rsidR="00D61BA7" w:rsidRPr="000C509E" w:rsidRDefault="00AA59D2" w:rsidP="00D61BA7">
      <w:pPr>
        <w:pStyle w:val="subsection2"/>
        <w:rPr>
          <w:rFonts w:ascii="Arial" w:hAnsi="Arial" w:cs="Arial"/>
          <w:i/>
          <w:sz w:val="19"/>
          <w:szCs w:val="19"/>
        </w:rPr>
      </w:pPr>
      <w:r w:rsidRPr="00AA59D2">
        <w:rPr>
          <w:rFonts w:ascii="Arial" w:hAnsi="Arial" w:cs="Arial"/>
          <w:i/>
          <w:sz w:val="19"/>
          <w:szCs w:val="19"/>
        </w:rPr>
        <w:t>must give to the ACMA such information about the assignment as the ACMA requires (if any) for the purpose of amending the Register to take account of the assignment.</w:t>
      </w:r>
    </w:p>
    <w:p w:rsidR="006A45A1" w:rsidRPr="006956D8" w:rsidRDefault="000C509E" w:rsidP="00681BC0">
      <w:pPr>
        <w:spacing w:line="360" w:lineRule="auto"/>
        <w:rPr>
          <w:rFonts w:ascii="Arial" w:hAnsi="Arial" w:cs="Arial"/>
          <w:color w:val="000000"/>
          <w:sz w:val="22"/>
          <w:szCs w:val="22"/>
        </w:rPr>
      </w:pPr>
      <w:r>
        <w:rPr>
          <w:rFonts w:ascii="Arial" w:hAnsi="Arial" w:cs="Arial"/>
          <w:color w:val="000000"/>
          <w:sz w:val="22"/>
          <w:szCs w:val="22"/>
        </w:rPr>
        <w:t>S</w:t>
      </w:r>
      <w:r w:rsidRPr="006956D8">
        <w:rPr>
          <w:rFonts w:ascii="Arial" w:hAnsi="Arial" w:cs="Arial"/>
          <w:color w:val="000000"/>
          <w:sz w:val="22"/>
          <w:szCs w:val="22"/>
        </w:rPr>
        <w:t xml:space="preserve">ection </w:t>
      </w:r>
      <w:r>
        <w:rPr>
          <w:rFonts w:ascii="Arial" w:hAnsi="Arial" w:cs="Arial"/>
          <w:color w:val="000000"/>
          <w:sz w:val="22"/>
          <w:szCs w:val="22"/>
        </w:rPr>
        <w:t xml:space="preserve">9 of the Determination </w:t>
      </w:r>
      <w:r w:rsidRPr="006956D8">
        <w:rPr>
          <w:rFonts w:ascii="Arial" w:hAnsi="Arial" w:cs="Arial"/>
          <w:color w:val="000000"/>
          <w:sz w:val="22"/>
          <w:szCs w:val="22"/>
        </w:rPr>
        <w:t>details the information which must be provided to the ACMA as part of the trading process.</w:t>
      </w:r>
      <w:r>
        <w:rPr>
          <w:rFonts w:ascii="Arial" w:hAnsi="Arial" w:cs="Arial"/>
          <w:color w:val="000000"/>
          <w:sz w:val="22"/>
          <w:szCs w:val="22"/>
        </w:rPr>
        <w:t xml:space="preserve"> Subsection 9 (2) requires that the information be provided in the Trading Form. The information will be used by the ACMA to update the Register of Radiocommunications Licences </w:t>
      </w:r>
      <w:r w:rsidR="004F7222">
        <w:rPr>
          <w:rFonts w:ascii="Arial" w:hAnsi="Arial" w:cs="Arial"/>
          <w:color w:val="000000"/>
          <w:sz w:val="22"/>
          <w:szCs w:val="22"/>
        </w:rPr>
        <w:t>(</w:t>
      </w:r>
      <w:r>
        <w:rPr>
          <w:rFonts w:ascii="Arial" w:hAnsi="Arial" w:cs="Arial"/>
          <w:color w:val="000000"/>
          <w:sz w:val="22"/>
          <w:szCs w:val="22"/>
        </w:rPr>
        <w:t>which is established under section 143 of the Act</w:t>
      </w:r>
      <w:r w:rsidR="004F7222">
        <w:rPr>
          <w:rFonts w:ascii="Arial" w:hAnsi="Arial" w:cs="Arial"/>
          <w:color w:val="000000"/>
          <w:sz w:val="22"/>
          <w:szCs w:val="22"/>
        </w:rPr>
        <w:t>)</w:t>
      </w:r>
      <w:r>
        <w:rPr>
          <w:rFonts w:ascii="Arial" w:hAnsi="Arial" w:cs="Arial"/>
          <w:color w:val="000000"/>
          <w:sz w:val="22"/>
          <w:szCs w:val="22"/>
        </w:rPr>
        <w:t xml:space="preserve"> to reflect the changes that have occurred as a result of the trade. Subsection 86 (2) of the Act provides that an assignment covered by subsection 86 (1) cannot take effect before the Register is amended under Part 3.5 of the Act to take into account the assignment.  </w:t>
      </w:r>
    </w:p>
    <w:p w:rsidR="00681BC0" w:rsidRPr="006956D8" w:rsidRDefault="00681BC0" w:rsidP="00681BC0">
      <w:pPr>
        <w:spacing w:line="360" w:lineRule="auto"/>
        <w:rPr>
          <w:rFonts w:ascii="Arial" w:hAnsi="Arial" w:cs="Arial"/>
          <w:b/>
          <w:color w:val="000000"/>
          <w:sz w:val="22"/>
          <w:szCs w:val="22"/>
        </w:rPr>
      </w:pPr>
    </w:p>
    <w:p w:rsidR="00681BC0" w:rsidRPr="006956D8" w:rsidRDefault="00681BC0" w:rsidP="00681BC0">
      <w:pPr>
        <w:spacing w:line="360" w:lineRule="auto"/>
        <w:rPr>
          <w:rFonts w:ascii="Arial" w:hAnsi="Arial" w:cs="Arial"/>
          <w:b/>
          <w:color w:val="000000"/>
          <w:sz w:val="22"/>
          <w:szCs w:val="22"/>
        </w:rPr>
      </w:pPr>
      <w:r w:rsidRPr="006956D8">
        <w:rPr>
          <w:rFonts w:ascii="Arial" w:hAnsi="Arial" w:cs="Arial"/>
          <w:b/>
          <w:color w:val="000000"/>
          <w:sz w:val="22"/>
          <w:szCs w:val="22"/>
        </w:rPr>
        <w:t>Section 10 – Review of decision</w:t>
      </w:r>
    </w:p>
    <w:p w:rsidR="004E5173" w:rsidRDefault="006A45A1" w:rsidP="001A6F36">
      <w:pPr>
        <w:spacing w:line="360" w:lineRule="auto"/>
        <w:rPr>
          <w:rFonts w:ascii="Arial" w:hAnsi="Arial" w:cs="Arial"/>
          <w:color w:val="000000"/>
          <w:sz w:val="22"/>
          <w:szCs w:val="22"/>
        </w:rPr>
      </w:pPr>
      <w:r w:rsidRPr="006956D8">
        <w:rPr>
          <w:rFonts w:ascii="Arial" w:hAnsi="Arial" w:cs="Arial"/>
          <w:color w:val="000000"/>
          <w:sz w:val="22"/>
          <w:szCs w:val="22"/>
        </w:rPr>
        <w:t xml:space="preserve">The section sets out the process for </w:t>
      </w:r>
      <w:r w:rsidR="00396F72">
        <w:rPr>
          <w:rFonts w:ascii="Arial" w:hAnsi="Arial" w:cs="Arial"/>
          <w:color w:val="000000"/>
          <w:sz w:val="22"/>
          <w:szCs w:val="22"/>
        </w:rPr>
        <w:t xml:space="preserve">seeking </w:t>
      </w:r>
      <w:r w:rsidRPr="006956D8">
        <w:rPr>
          <w:rFonts w:ascii="Arial" w:hAnsi="Arial" w:cs="Arial"/>
          <w:color w:val="000000"/>
          <w:sz w:val="22"/>
          <w:szCs w:val="22"/>
        </w:rPr>
        <w:t xml:space="preserve">review of a decision made by the ACMA under </w:t>
      </w:r>
      <w:r w:rsidR="00396F72">
        <w:rPr>
          <w:rFonts w:ascii="Arial" w:hAnsi="Arial" w:cs="Arial"/>
          <w:color w:val="000000"/>
          <w:sz w:val="22"/>
          <w:szCs w:val="22"/>
        </w:rPr>
        <w:t>the Determination to refuse written permission under subsection 8 (2) of the Determination to trade a part of a licence in the circumstances set out in subsection 8 (2)</w:t>
      </w:r>
      <w:r w:rsidRPr="006956D8">
        <w:rPr>
          <w:rFonts w:ascii="Arial" w:hAnsi="Arial" w:cs="Arial"/>
          <w:color w:val="000000"/>
          <w:sz w:val="22"/>
          <w:szCs w:val="22"/>
        </w:rPr>
        <w:t>.</w:t>
      </w:r>
      <w:r w:rsidR="00F1524F">
        <w:rPr>
          <w:rFonts w:ascii="Arial" w:hAnsi="Arial" w:cs="Arial"/>
          <w:color w:val="000000"/>
          <w:sz w:val="22"/>
          <w:szCs w:val="22"/>
        </w:rPr>
        <w:t xml:space="preserve">  A licensee whose interests are affected by a refusal by the ACMA to give written permission</w:t>
      </w:r>
      <w:r w:rsidR="0060103B">
        <w:rPr>
          <w:rFonts w:ascii="Arial" w:hAnsi="Arial" w:cs="Arial"/>
          <w:color w:val="000000"/>
          <w:sz w:val="22"/>
          <w:szCs w:val="22"/>
        </w:rPr>
        <w:t xml:space="preserve"> for the trade</w:t>
      </w:r>
      <w:r w:rsidR="00F1524F">
        <w:rPr>
          <w:rFonts w:ascii="Arial" w:hAnsi="Arial" w:cs="Arial"/>
          <w:color w:val="000000"/>
          <w:sz w:val="22"/>
          <w:szCs w:val="22"/>
        </w:rPr>
        <w:t xml:space="preserve"> under subsection 8</w:t>
      </w:r>
      <w:r w:rsidR="00396F72">
        <w:rPr>
          <w:rFonts w:ascii="Arial" w:hAnsi="Arial" w:cs="Arial"/>
          <w:color w:val="000000"/>
          <w:sz w:val="22"/>
          <w:szCs w:val="22"/>
        </w:rPr>
        <w:t xml:space="preserve"> </w:t>
      </w:r>
      <w:r w:rsidR="00F1524F">
        <w:rPr>
          <w:rFonts w:ascii="Arial" w:hAnsi="Arial" w:cs="Arial"/>
          <w:color w:val="000000"/>
          <w:sz w:val="22"/>
          <w:szCs w:val="22"/>
        </w:rPr>
        <w:t>(2), may apply to the Administrative Appeals Tribunal</w:t>
      </w:r>
      <w:r w:rsidR="004A07EE">
        <w:rPr>
          <w:rFonts w:ascii="Arial" w:hAnsi="Arial" w:cs="Arial"/>
          <w:color w:val="000000"/>
          <w:sz w:val="22"/>
          <w:szCs w:val="22"/>
        </w:rPr>
        <w:t xml:space="preserve"> (the </w:t>
      </w:r>
      <w:r w:rsidR="004A07EE" w:rsidRPr="004A07EE">
        <w:rPr>
          <w:rFonts w:ascii="Arial" w:hAnsi="Arial" w:cs="Arial"/>
          <w:b/>
          <w:color w:val="000000"/>
          <w:sz w:val="22"/>
          <w:szCs w:val="22"/>
        </w:rPr>
        <w:t>AAT</w:t>
      </w:r>
      <w:r w:rsidR="004A07EE">
        <w:rPr>
          <w:rFonts w:ascii="Arial" w:hAnsi="Arial" w:cs="Arial"/>
          <w:color w:val="000000"/>
          <w:sz w:val="22"/>
          <w:szCs w:val="22"/>
        </w:rPr>
        <w:t>)</w:t>
      </w:r>
      <w:r w:rsidR="00F1524F">
        <w:rPr>
          <w:rFonts w:ascii="Arial" w:hAnsi="Arial" w:cs="Arial"/>
          <w:color w:val="000000"/>
          <w:sz w:val="22"/>
          <w:szCs w:val="22"/>
        </w:rPr>
        <w:t xml:space="preserve"> for a review of the decision.</w:t>
      </w:r>
    </w:p>
    <w:p w:rsidR="004E5173" w:rsidRDefault="004E5173" w:rsidP="001A6F36">
      <w:pPr>
        <w:spacing w:line="360" w:lineRule="auto"/>
        <w:rPr>
          <w:rFonts w:ascii="Arial" w:hAnsi="Arial" w:cs="Arial"/>
          <w:color w:val="000000"/>
          <w:sz w:val="22"/>
          <w:szCs w:val="22"/>
        </w:rPr>
      </w:pPr>
    </w:p>
    <w:p w:rsidR="0060103B" w:rsidRDefault="0060103B" w:rsidP="001A6F36">
      <w:pPr>
        <w:spacing w:line="360" w:lineRule="auto"/>
        <w:rPr>
          <w:rFonts w:ascii="Arial" w:hAnsi="Arial" w:cs="Arial"/>
          <w:color w:val="000000"/>
          <w:sz w:val="22"/>
          <w:szCs w:val="22"/>
        </w:rPr>
      </w:pPr>
      <w:r>
        <w:rPr>
          <w:rFonts w:ascii="Arial" w:hAnsi="Arial" w:cs="Arial"/>
          <w:color w:val="000000"/>
          <w:sz w:val="22"/>
          <w:szCs w:val="22"/>
        </w:rPr>
        <w:t xml:space="preserve">The section also sets out that the ACMA must give notice of their decision to </w:t>
      </w:r>
      <w:r w:rsidR="00687C51">
        <w:rPr>
          <w:rFonts w:ascii="Arial" w:hAnsi="Arial" w:cs="Arial"/>
          <w:color w:val="000000"/>
          <w:sz w:val="22"/>
          <w:szCs w:val="22"/>
        </w:rPr>
        <w:t xml:space="preserve">a </w:t>
      </w:r>
      <w:r>
        <w:rPr>
          <w:rFonts w:ascii="Arial" w:hAnsi="Arial" w:cs="Arial"/>
          <w:color w:val="000000"/>
          <w:sz w:val="22"/>
          <w:szCs w:val="22"/>
        </w:rPr>
        <w:t xml:space="preserve">licensee </w:t>
      </w:r>
      <w:r w:rsidR="00687C51">
        <w:rPr>
          <w:rFonts w:ascii="Arial" w:hAnsi="Arial" w:cs="Arial"/>
          <w:color w:val="000000"/>
          <w:sz w:val="22"/>
          <w:szCs w:val="22"/>
        </w:rPr>
        <w:t xml:space="preserve">whose interests are affected by the decision, </w:t>
      </w:r>
      <w:r>
        <w:rPr>
          <w:rFonts w:ascii="Arial" w:hAnsi="Arial" w:cs="Arial"/>
          <w:color w:val="000000"/>
          <w:sz w:val="22"/>
          <w:szCs w:val="22"/>
        </w:rPr>
        <w:t>and that the notice must</w:t>
      </w:r>
      <w:r w:rsidR="004A07EE">
        <w:rPr>
          <w:rFonts w:ascii="Arial" w:hAnsi="Arial" w:cs="Arial"/>
          <w:color w:val="000000"/>
          <w:sz w:val="22"/>
          <w:szCs w:val="22"/>
        </w:rPr>
        <w:t xml:space="preserve"> include a statement which</w:t>
      </w:r>
      <w:r>
        <w:rPr>
          <w:rFonts w:ascii="Arial" w:hAnsi="Arial" w:cs="Arial"/>
          <w:color w:val="000000"/>
          <w:sz w:val="22"/>
          <w:szCs w:val="22"/>
        </w:rPr>
        <w:t xml:space="preserve"> inform</w:t>
      </w:r>
      <w:r w:rsidR="004A07EE">
        <w:rPr>
          <w:rFonts w:ascii="Arial" w:hAnsi="Arial" w:cs="Arial"/>
          <w:color w:val="000000"/>
          <w:sz w:val="22"/>
          <w:szCs w:val="22"/>
        </w:rPr>
        <w:t>s</w:t>
      </w:r>
      <w:r>
        <w:rPr>
          <w:rFonts w:ascii="Arial" w:hAnsi="Arial" w:cs="Arial"/>
          <w:color w:val="000000"/>
          <w:sz w:val="22"/>
          <w:szCs w:val="22"/>
        </w:rPr>
        <w:t xml:space="preserve"> the </w:t>
      </w:r>
      <w:r w:rsidR="004A07EE">
        <w:rPr>
          <w:rFonts w:ascii="Arial" w:hAnsi="Arial" w:cs="Arial"/>
          <w:color w:val="000000"/>
          <w:sz w:val="22"/>
          <w:szCs w:val="22"/>
        </w:rPr>
        <w:t xml:space="preserve">licensee </w:t>
      </w:r>
      <w:r>
        <w:rPr>
          <w:rFonts w:ascii="Arial" w:hAnsi="Arial" w:cs="Arial"/>
          <w:color w:val="000000"/>
          <w:sz w:val="22"/>
          <w:szCs w:val="22"/>
        </w:rPr>
        <w:t xml:space="preserve">of their right </w:t>
      </w:r>
      <w:r w:rsidR="004A07EE">
        <w:rPr>
          <w:rFonts w:ascii="Arial" w:hAnsi="Arial" w:cs="Arial"/>
          <w:color w:val="000000"/>
          <w:sz w:val="22"/>
          <w:szCs w:val="22"/>
        </w:rPr>
        <w:t xml:space="preserve">to seek </w:t>
      </w:r>
      <w:r>
        <w:rPr>
          <w:rFonts w:ascii="Arial" w:hAnsi="Arial" w:cs="Arial"/>
          <w:color w:val="000000"/>
          <w:sz w:val="22"/>
          <w:szCs w:val="22"/>
        </w:rPr>
        <w:t>review of the decision</w:t>
      </w:r>
      <w:r w:rsidR="004A07EE">
        <w:rPr>
          <w:rFonts w:ascii="Arial" w:hAnsi="Arial" w:cs="Arial"/>
          <w:color w:val="000000"/>
          <w:sz w:val="22"/>
          <w:szCs w:val="22"/>
        </w:rPr>
        <w:t xml:space="preserve"> at the AAT</w:t>
      </w:r>
      <w:r>
        <w:rPr>
          <w:rFonts w:ascii="Arial" w:hAnsi="Arial" w:cs="Arial"/>
          <w:color w:val="000000"/>
          <w:sz w:val="22"/>
          <w:szCs w:val="22"/>
        </w:rPr>
        <w:t xml:space="preserve"> and that the licensee may request a statement</w:t>
      </w:r>
      <w:r w:rsidR="00687C51">
        <w:rPr>
          <w:rFonts w:ascii="Arial" w:hAnsi="Arial" w:cs="Arial"/>
          <w:color w:val="000000"/>
          <w:sz w:val="22"/>
          <w:szCs w:val="22"/>
        </w:rPr>
        <w:t xml:space="preserve"> of reasons from the ACMA</w:t>
      </w:r>
      <w:r>
        <w:rPr>
          <w:rFonts w:ascii="Arial" w:hAnsi="Arial" w:cs="Arial"/>
          <w:color w:val="000000"/>
          <w:sz w:val="22"/>
          <w:szCs w:val="22"/>
        </w:rPr>
        <w:t xml:space="preserve"> under section 28 of the </w:t>
      </w:r>
      <w:r w:rsidR="004A07EE" w:rsidRPr="004A07EE">
        <w:rPr>
          <w:rFonts w:ascii="Arial" w:hAnsi="Arial" w:cs="Arial"/>
          <w:i/>
          <w:color w:val="000000"/>
          <w:sz w:val="22"/>
          <w:szCs w:val="22"/>
        </w:rPr>
        <w:t xml:space="preserve">Administrative Appeals Tribunal </w:t>
      </w:r>
      <w:r w:rsidRPr="004A07EE">
        <w:rPr>
          <w:rFonts w:ascii="Arial" w:hAnsi="Arial" w:cs="Arial"/>
          <w:i/>
          <w:color w:val="000000"/>
          <w:sz w:val="22"/>
          <w:szCs w:val="22"/>
        </w:rPr>
        <w:t>Act</w:t>
      </w:r>
      <w:r w:rsidR="004A07EE" w:rsidRPr="004A07EE">
        <w:rPr>
          <w:rFonts w:ascii="Arial" w:hAnsi="Arial" w:cs="Arial"/>
          <w:i/>
          <w:color w:val="000000"/>
          <w:sz w:val="22"/>
          <w:szCs w:val="22"/>
        </w:rPr>
        <w:t xml:space="preserve"> 1975</w:t>
      </w:r>
      <w:r w:rsidRPr="004A07EE">
        <w:rPr>
          <w:rFonts w:ascii="Arial" w:hAnsi="Arial" w:cs="Arial"/>
          <w:i/>
          <w:color w:val="000000"/>
          <w:sz w:val="22"/>
          <w:szCs w:val="22"/>
        </w:rPr>
        <w:t xml:space="preserve"> </w:t>
      </w:r>
      <w:r>
        <w:rPr>
          <w:rFonts w:ascii="Arial" w:hAnsi="Arial" w:cs="Arial"/>
          <w:color w:val="000000"/>
          <w:sz w:val="22"/>
          <w:szCs w:val="22"/>
        </w:rPr>
        <w:t xml:space="preserve">in relation to the </w:t>
      </w:r>
      <w:r w:rsidR="00687C51">
        <w:rPr>
          <w:rFonts w:ascii="Arial" w:hAnsi="Arial" w:cs="Arial"/>
          <w:color w:val="000000"/>
          <w:sz w:val="22"/>
          <w:szCs w:val="22"/>
        </w:rPr>
        <w:t xml:space="preserve">ACMA’s </w:t>
      </w:r>
      <w:r>
        <w:rPr>
          <w:rFonts w:ascii="Arial" w:hAnsi="Arial" w:cs="Arial"/>
          <w:color w:val="000000"/>
          <w:sz w:val="22"/>
          <w:szCs w:val="22"/>
        </w:rPr>
        <w:t>decision.</w:t>
      </w:r>
      <w:r w:rsidR="00687C51">
        <w:rPr>
          <w:rFonts w:ascii="Arial" w:hAnsi="Arial" w:cs="Arial"/>
          <w:color w:val="000000"/>
          <w:sz w:val="22"/>
          <w:szCs w:val="22"/>
        </w:rPr>
        <w:t xml:space="preserve"> </w:t>
      </w:r>
      <w:r w:rsidR="00045A13">
        <w:rPr>
          <w:rFonts w:ascii="Arial" w:hAnsi="Arial" w:cs="Arial"/>
          <w:color w:val="000000"/>
          <w:sz w:val="22"/>
          <w:szCs w:val="22"/>
        </w:rPr>
        <w:t xml:space="preserve">The purpose of this provision is to give licensees whose interests may be affected by the ACMA’s decision to refuse </w:t>
      </w:r>
      <w:r w:rsidR="00E55A4E">
        <w:rPr>
          <w:rFonts w:ascii="Arial" w:hAnsi="Arial" w:cs="Arial"/>
          <w:color w:val="000000"/>
          <w:sz w:val="22"/>
          <w:szCs w:val="22"/>
        </w:rPr>
        <w:t>permission</w:t>
      </w:r>
      <w:r w:rsidR="00045A13">
        <w:rPr>
          <w:rFonts w:ascii="Arial" w:hAnsi="Arial" w:cs="Arial"/>
          <w:color w:val="000000"/>
          <w:sz w:val="22"/>
          <w:szCs w:val="22"/>
        </w:rPr>
        <w:t xml:space="preserve"> for a trade an avenue to seek administrative review of their decision if they are dissatisfied with the decision. </w:t>
      </w:r>
    </w:p>
    <w:p w:rsidR="001A6F36" w:rsidRPr="006956D8" w:rsidRDefault="001A6F36" w:rsidP="001A6F36">
      <w:pPr>
        <w:spacing w:line="360" w:lineRule="auto"/>
        <w:rPr>
          <w:rFonts w:ascii="Arial" w:hAnsi="Arial" w:cs="Arial"/>
          <w:color w:val="000000"/>
          <w:sz w:val="22"/>
          <w:szCs w:val="22"/>
        </w:rPr>
      </w:pPr>
    </w:p>
    <w:p w:rsidR="001A6F36" w:rsidRPr="006956D8" w:rsidRDefault="001A6F36" w:rsidP="001A6F36">
      <w:pPr>
        <w:spacing w:line="360" w:lineRule="auto"/>
        <w:rPr>
          <w:rFonts w:ascii="Arial" w:hAnsi="Arial" w:cs="Arial"/>
          <w:b/>
          <w:color w:val="000000"/>
          <w:sz w:val="22"/>
          <w:szCs w:val="22"/>
        </w:rPr>
      </w:pPr>
      <w:r w:rsidRPr="006956D8">
        <w:rPr>
          <w:rFonts w:ascii="Arial" w:hAnsi="Arial" w:cs="Arial"/>
          <w:b/>
          <w:color w:val="000000"/>
          <w:sz w:val="22"/>
          <w:szCs w:val="22"/>
        </w:rPr>
        <w:t xml:space="preserve">Schedule 1 – </w:t>
      </w:r>
      <w:r w:rsidR="00681BC0" w:rsidRPr="006956D8">
        <w:rPr>
          <w:rFonts w:ascii="Arial" w:hAnsi="Arial" w:cs="Arial"/>
          <w:b/>
          <w:color w:val="000000"/>
          <w:sz w:val="22"/>
          <w:szCs w:val="22"/>
        </w:rPr>
        <w:t>Minimum contiguous bandwidths</w:t>
      </w:r>
    </w:p>
    <w:p w:rsidR="006A45A1" w:rsidRPr="006956D8" w:rsidRDefault="006A45A1" w:rsidP="001A6F36">
      <w:pPr>
        <w:spacing w:line="360" w:lineRule="auto"/>
        <w:rPr>
          <w:rFonts w:ascii="Arial" w:hAnsi="Arial" w:cs="Arial"/>
          <w:color w:val="000000"/>
          <w:sz w:val="22"/>
          <w:szCs w:val="22"/>
        </w:rPr>
      </w:pPr>
      <w:r w:rsidRPr="006956D8">
        <w:rPr>
          <w:rFonts w:ascii="Arial" w:hAnsi="Arial" w:cs="Arial"/>
          <w:color w:val="000000"/>
          <w:sz w:val="22"/>
          <w:szCs w:val="22"/>
        </w:rPr>
        <w:t xml:space="preserve">This </w:t>
      </w:r>
      <w:r w:rsidR="00045A13">
        <w:rPr>
          <w:rFonts w:ascii="Arial" w:hAnsi="Arial" w:cs="Arial"/>
          <w:color w:val="000000"/>
          <w:sz w:val="22"/>
          <w:szCs w:val="22"/>
        </w:rPr>
        <w:t xml:space="preserve">Schedule </w:t>
      </w:r>
      <w:r w:rsidRPr="006956D8">
        <w:rPr>
          <w:rFonts w:ascii="Arial" w:hAnsi="Arial" w:cs="Arial"/>
          <w:color w:val="000000"/>
          <w:sz w:val="22"/>
          <w:szCs w:val="22"/>
        </w:rPr>
        <w:t xml:space="preserve">sets out a table which contains the minimum contiguous bandwidths </w:t>
      </w:r>
      <w:r w:rsidR="00045A13">
        <w:rPr>
          <w:rFonts w:ascii="Arial" w:hAnsi="Arial" w:cs="Arial"/>
          <w:color w:val="000000"/>
          <w:sz w:val="22"/>
          <w:szCs w:val="22"/>
        </w:rPr>
        <w:t xml:space="preserve">(MCB) </w:t>
      </w:r>
      <w:r w:rsidRPr="006956D8">
        <w:rPr>
          <w:rFonts w:ascii="Arial" w:hAnsi="Arial" w:cs="Arial"/>
          <w:color w:val="000000"/>
          <w:sz w:val="22"/>
          <w:szCs w:val="22"/>
        </w:rPr>
        <w:t xml:space="preserve">for each </w:t>
      </w:r>
      <w:r w:rsidR="00045A13">
        <w:rPr>
          <w:rFonts w:ascii="Arial" w:hAnsi="Arial" w:cs="Arial"/>
          <w:color w:val="000000"/>
          <w:sz w:val="22"/>
          <w:szCs w:val="22"/>
        </w:rPr>
        <w:t xml:space="preserve">frequency </w:t>
      </w:r>
      <w:r w:rsidRPr="006956D8">
        <w:rPr>
          <w:rFonts w:ascii="Arial" w:hAnsi="Arial" w:cs="Arial"/>
          <w:color w:val="000000"/>
          <w:sz w:val="22"/>
          <w:szCs w:val="22"/>
        </w:rPr>
        <w:t>band</w:t>
      </w:r>
      <w:r w:rsidR="00045A13">
        <w:rPr>
          <w:rFonts w:ascii="Arial" w:hAnsi="Arial" w:cs="Arial"/>
          <w:color w:val="000000"/>
          <w:sz w:val="22"/>
          <w:szCs w:val="22"/>
        </w:rPr>
        <w:t xml:space="preserve"> listed in column 2 of the table</w:t>
      </w:r>
      <w:r w:rsidRPr="006956D8">
        <w:rPr>
          <w:rFonts w:ascii="Arial" w:hAnsi="Arial" w:cs="Arial"/>
          <w:color w:val="000000"/>
          <w:sz w:val="22"/>
          <w:szCs w:val="22"/>
        </w:rPr>
        <w:t>.</w:t>
      </w:r>
      <w:r w:rsidR="00045A13">
        <w:rPr>
          <w:rFonts w:ascii="Arial" w:hAnsi="Arial" w:cs="Arial"/>
          <w:color w:val="000000"/>
          <w:sz w:val="22"/>
          <w:szCs w:val="22"/>
        </w:rPr>
        <w:t xml:space="preserve"> The MCB is the minimum bandwidth required for the provision of services in the relevant frequency band. Subsection 8 (2) of the Determination imposes a restriction on the trade of licences where the resulting licence has a frequency bandwidth that is less than the MCB for the frequency band of the licence as set out in Schedule 1. </w:t>
      </w:r>
    </w:p>
    <w:p w:rsidR="001A6F36" w:rsidRPr="006956D8" w:rsidRDefault="001A6F36" w:rsidP="001A6F36">
      <w:pPr>
        <w:spacing w:line="360" w:lineRule="auto"/>
        <w:rPr>
          <w:rFonts w:ascii="Arial" w:hAnsi="Arial" w:cs="Arial"/>
          <w:b/>
          <w:color w:val="000000"/>
          <w:sz w:val="22"/>
          <w:szCs w:val="22"/>
        </w:rPr>
      </w:pPr>
    </w:p>
    <w:p w:rsidR="001A6F36" w:rsidRPr="006956D8" w:rsidRDefault="001A6F36" w:rsidP="001A6F36">
      <w:pPr>
        <w:spacing w:line="360" w:lineRule="auto"/>
        <w:rPr>
          <w:rFonts w:ascii="Arial" w:hAnsi="Arial" w:cs="Arial"/>
          <w:b/>
          <w:color w:val="000000"/>
          <w:sz w:val="22"/>
          <w:szCs w:val="22"/>
        </w:rPr>
      </w:pPr>
    </w:p>
    <w:p w:rsidR="001A6F36" w:rsidRPr="006956D8" w:rsidRDefault="001A6F36" w:rsidP="001A6F36">
      <w:pPr>
        <w:spacing w:line="360" w:lineRule="auto"/>
        <w:rPr>
          <w:rFonts w:ascii="Arial" w:hAnsi="Arial" w:cs="Arial"/>
          <w:b/>
          <w:color w:val="000000"/>
          <w:sz w:val="22"/>
          <w:szCs w:val="22"/>
        </w:rPr>
      </w:pPr>
    </w:p>
    <w:p w:rsidR="00AA59D2" w:rsidRDefault="001A6F36" w:rsidP="00AA59D2">
      <w:pPr>
        <w:spacing w:line="360" w:lineRule="auto"/>
        <w:ind w:left="5670" w:firstLine="567"/>
        <w:rPr>
          <w:rFonts w:ascii="Arial" w:hAnsi="Arial" w:cs="Arial"/>
          <w:b/>
          <w:sz w:val="22"/>
          <w:szCs w:val="22"/>
          <w:lang w:val="en-AU"/>
        </w:rPr>
      </w:pPr>
      <w:r w:rsidRPr="006956D8">
        <w:rPr>
          <w:rFonts w:ascii="Arial" w:hAnsi="Arial" w:cs="Arial"/>
          <w:b/>
          <w:color w:val="000000"/>
          <w:sz w:val="22"/>
          <w:szCs w:val="22"/>
        </w:rPr>
        <w:br w:type="page"/>
      </w:r>
      <w:r w:rsidRPr="006956D8">
        <w:rPr>
          <w:rFonts w:ascii="Arial" w:hAnsi="Arial" w:cs="Arial"/>
          <w:b/>
          <w:sz w:val="22"/>
          <w:szCs w:val="22"/>
          <w:lang w:val="en-AU"/>
        </w:rPr>
        <w:t>ATTACHMENT B</w:t>
      </w:r>
    </w:p>
    <w:p w:rsidR="001A6F36" w:rsidRPr="006956D8" w:rsidRDefault="001A6F36" w:rsidP="001A6F36">
      <w:pPr>
        <w:jc w:val="center"/>
        <w:rPr>
          <w:rFonts w:ascii="Arial" w:hAnsi="Arial" w:cs="Arial"/>
          <w:sz w:val="22"/>
          <w:szCs w:val="22"/>
          <w:lang w:val="en-AU"/>
        </w:rPr>
      </w:pPr>
    </w:p>
    <w:p w:rsidR="001A6F36" w:rsidRPr="006956D8" w:rsidRDefault="001A6F36" w:rsidP="001A6F36">
      <w:pPr>
        <w:spacing w:line="360" w:lineRule="auto"/>
        <w:jc w:val="center"/>
        <w:rPr>
          <w:rFonts w:ascii="Arial" w:hAnsi="Arial" w:cs="Arial"/>
          <w:sz w:val="22"/>
          <w:szCs w:val="22"/>
          <w:lang w:val="en-AU"/>
        </w:rPr>
      </w:pPr>
    </w:p>
    <w:p w:rsidR="001A6F36" w:rsidRPr="006956D8" w:rsidRDefault="001A6F36" w:rsidP="001A6F36">
      <w:pPr>
        <w:spacing w:line="360" w:lineRule="auto"/>
        <w:jc w:val="center"/>
        <w:rPr>
          <w:rFonts w:ascii="Arial" w:hAnsi="Arial" w:cs="Arial"/>
          <w:b/>
          <w:sz w:val="22"/>
          <w:szCs w:val="22"/>
          <w:lang w:val="en-AU"/>
        </w:rPr>
      </w:pPr>
      <w:r w:rsidRPr="006956D8">
        <w:rPr>
          <w:rFonts w:ascii="Arial" w:hAnsi="Arial" w:cs="Arial"/>
          <w:b/>
          <w:sz w:val="22"/>
          <w:szCs w:val="22"/>
          <w:lang w:val="en-AU"/>
        </w:rPr>
        <w:t>Statement of Compatibility with Human Rights</w:t>
      </w:r>
    </w:p>
    <w:p w:rsidR="001A6F36" w:rsidRPr="006956D8" w:rsidRDefault="001A6F36" w:rsidP="001A6F36">
      <w:pPr>
        <w:spacing w:line="360" w:lineRule="auto"/>
        <w:jc w:val="center"/>
        <w:rPr>
          <w:rFonts w:ascii="Arial" w:hAnsi="Arial" w:cs="Arial"/>
          <w:sz w:val="22"/>
          <w:szCs w:val="22"/>
          <w:lang w:val="en-AU"/>
        </w:rPr>
      </w:pPr>
      <w:r w:rsidRPr="006956D8">
        <w:rPr>
          <w:rFonts w:ascii="Arial" w:hAnsi="Arial" w:cs="Arial"/>
          <w:sz w:val="22"/>
          <w:szCs w:val="22"/>
          <w:lang w:val="en-AU"/>
        </w:rPr>
        <w:t>Prepared in accordance with Part 3 of the Human Rights (Parliamentary Scrutiny) Act 2011</w:t>
      </w:r>
    </w:p>
    <w:p w:rsidR="001A6F36" w:rsidRPr="006956D8" w:rsidRDefault="001A6F36" w:rsidP="001A6F36">
      <w:pPr>
        <w:rPr>
          <w:rFonts w:ascii="Arial" w:hAnsi="Arial" w:cs="Arial"/>
          <w:i/>
          <w:sz w:val="22"/>
          <w:szCs w:val="22"/>
        </w:rPr>
      </w:pPr>
    </w:p>
    <w:p w:rsidR="001A6F36" w:rsidRPr="006956D8" w:rsidRDefault="001A6F36" w:rsidP="001A6F36">
      <w:pPr>
        <w:jc w:val="center"/>
        <w:rPr>
          <w:rFonts w:ascii="Arial" w:hAnsi="Arial" w:cs="Arial"/>
          <w:b/>
          <w:sz w:val="22"/>
          <w:szCs w:val="22"/>
        </w:rPr>
      </w:pPr>
    </w:p>
    <w:p w:rsidR="003756B4" w:rsidRPr="006956D8" w:rsidRDefault="003756B4" w:rsidP="003756B4">
      <w:pPr>
        <w:spacing w:line="360" w:lineRule="auto"/>
        <w:jc w:val="center"/>
        <w:rPr>
          <w:rFonts w:ascii="Arial" w:hAnsi="Arial" w:cs="Arial"/>
          <w:i/>
          <w:sz w:val="22"/>
          <w:szCs w:val="22"/>
          <w:lang w:val="en-AU"/>
        </w:rPr>
      </w:pPr>
      <w:r w:rsidRPr="006956D8">
        <w:rPr>
          <w:rFonts w:ascii="Arial" w:hAnsi="Arial" w:cs="Arial"/>
          <w:i/>
          <w:sz w:val="22"/>
          <w:szCs w:val="22"/>
          <w:lang w:val="en-AU"/>
        </w:rPr>
        <w:t>Radiocommunications (Trading Rules for Spectrum Licences) Determination 2012</w:t>
      </w:r>
    </w:p>
    <w:p w:rsidR="003756B4" w:rsidRPr="006956D8" w:rsidRDefault="003756B4" w:rsidP="003756B4">
      <w:pPr>
        <w:spacing w:line="360" w:lineRule="auto"/>
        <w:jc w:val="center"/>
        <w:rPr>
          <w:rFonts w:ascii="Arial" w:hAnsi="Arial" w:cs="Arial"/>
          <w:sz w:val="22"/>
          <w:szCs w:val="22"/>
          <w:lang w:val="en-AU"/>
        </w:rPr>
      </w:pPr>
    </w:p>
    <w:p w:rsidR="001A6F36" w:rsidRPr="006956D8" w:rsidRDefault="001A6F36" w:rsidP="001A6F36">
      <w:pPr>
        <w:jc w:val="center"/>
        <w:rPr>
          <w:rFonts w:ascii="Arial" w:hAnsi="Arial" w:cs="Arial"/>
          <w:b/>
          <w:sz w:val="22"/>
          <w:szCs w:val="22"/>
        </w:rPr>
      </w:pPr>
    </w:p>
    <w:p w:rsidR="001A6F36" w:rsidRPr="006956D8" w:rsidRDefault="001A6F36" w:rsidP="001A6F36">
      <w:pPr>
        <w:jc w:val="center"/>
        <w:rPr>
          <w:rFonts w:ascii="Arial" w:hAnsi="Arial" w:cs="Arial"/>
          <w:b/>
          <w:sz w:val="22"/>
          <w:szCs w:val="22"/>
        </w:rPr>
      </w:pPr>
    </w:p>
    <w:p w:rsidR="001A6F36" w:rsidRPr="006956D8" w:rsidRDefault="001A6F36" w:rsidP="001A6F36">
      <w:pPr>
        <w:spacing w:line="360" w:lineRule="auto"/>
        <w:rPr>
          <w:rFonts w:ascii="Arial" w:hAnsi="Arial" w:cs="Arial"/>
          <w:sz w:val="22"/>
          <w:szCs w:val="22"/>
        </w:rPr>
      </w:pPr>
      <w:r w:rsidRPr="006956D8">
        <w:rPr>
          <w:rFonts w:ascii="Arial" w:hAnsi="Arial" w:cs="Arial"/>
          <w:sz w:val="22"/>
          <w:szCs w:val="22"/>
        </w:rPr>
        <w:t xml:space="preserve">This legislative instrument is compatible with the human rights and freedoms recognised or declared in the international instruments listed in section 3 of the </w:t>
      </w:r>
      <w:r w:rsidRPr="006956D8">
        <w:rPr>
          <w:rFonts w:ascii="Arial" w:hAnsi="Arial" w:cs="Arial"/>
          <w:i/>
          <w:sz w:val="22"/>
          <w:szCs w:val="22"/>
        </w:rPr>
        <w:t>Human Rights (Parliamentary Scrutiny) Act 2011</w:t>
      </w:r>
      <w:r w:rsidRPr="006956D8">
        <w:rPr>
          <w:rFonts w:ascii="Arial" w:hAnsi="Arial" w:cs="Arial"/>
          <w:sz w:val="22"/>
          <w:szCs w:val="22"/>
        </w:rPr>
        <w:t>.</w:t>
      </w:r>
    </w:p>
    <w:p w:rsidR="001A6F36" w:rsidRPr="006956D8" w:rsidRDefault="001A6F36" w:rsidP="001A6F36">
      <w:pPr>
        <w:spacing w:line="360" w:lineRule="auto"/>
        <w:jc w:val="center"/>
        <w:rPr>
          <w:rFonts w:ascii="Arial" w:hAnsi="Arial" w:cs="Arial"/>
          <w:sz w:val="22"/>
          <w:szCs w:val="22"/>
        </w:rPr>
      </w:pPr>
    </w:p>
    <w:p w:rsidR="001A6F36" w:rsidRPr="006956D8" w:rsidRDefault="001A6F36" w:rsidP="001A6F36">
      <w:pPr>
        <w:spacing w:line="360" w:lineRule="auto"/>
        <w:rPr>
          <w:rFonts w:ascii="Arial" w:hAnsi="Arial" w:cs="Arial"/>
          <w:b/>
          <w:sz w:val="22"/>
          <w:szCs w:val="22"/>
        </w:rPr>
      </w:pPr>
      <w:r w:rsidRPr="006956D8">
        <w:rPr>
          <w:rFonts w:ascii="Arial" w:hAnsi="Arial" w:cs="Arial"/>
          <w:b/>
          <w:sz w:val="22"/>
          <w:szCs w:val="22"/>
        </w:rPr>
        <w:t>Overview of the Legislative Instrument</w:t>
      </w:r>
    </w:p>
    <w:p w:rsidR="001A6F36" w:rsidRPr="006956D8" w:rsidRDefault="001A6F36" w:rsidP="001A6F36">
      <w:pPr>
        <w:spacing w:line="360" w:lineRule="auto"/>
        <w:rPr>
          <w:rFonts w:ascii="Arial" w:hAnsi="Arial" w:cs="Arial"/>
          <w:sz w:val="22"/>
          <w:szCs w:val="22"/>
          <w:lang w:val="en-AU"/>
        </w:rPr>
      </w:pPr>
    </w:p>
    <w:p w:rsidR="00765AB0" w:rsidRPr="006956D8" w:rsidRDefault="00765AB0" w:rsidP="00765AB0">
      <w:pPr>
        <w:spacing w:line="360" w:lineRule="auto"/>
        <w:rPr>
          <w:rFonts w:ascii="Arial" w:hAnsi="Arial" w:cs="Arial"/>
          <w:sz w:val="22"/>
          <w:szCs w:val="22"/>
          <w:lang w:val="en-AU"/>
        </w:rPr>
      </w:pPr>
      <w:r w:rsidRPr="006956D8">
        <w:rPr>
          <w:rFonts w:ascii="Arial" w:hAnsi="Arial" w:cs="Arial"/>
          <w:sz w:val="22"/>
          <w:szCs w:val="22"/>
          <w:lang w:val="en-AU"/>
        </w:rPr>
        <w:t xml:space="preserve">Section 88 of the </w:t>
      </w:r>
      <w:r w:rsidR="00B83A20">
        <w:rPr>
          <w:rFonts w:ascii="Arial" w:hAnsi="Arial" w:cs="Arial"/>
          <w:i/>
          <w:sz w:val="22"/>
          <w:szCs w:val="22"/>
          <w:lang w:val="en-AU"/>
        </w:rPr>
        <w:t xml:space="preserve">Radiocommunications Act 1992 </w:t>
      </w:r>
      <w:r w:rsidR="00B83A20">
        <w:rPr>
          <w:rFonts w:ascii="Arial" w:hAnsi="Arial" w:cs="Arial"/>
          <w:sz w:val="22"/>
          <w:szCs w:val="22"/>
          <w:lang w:val="en-AU"/>
        </w:rPr>
        <w:t xml:space="preserve">(the </w:t>
      </w:r>
      <w:r w:rsidRPr="006956D8">
        <w:rPr>
          <w:rFonts w:ascii="Arial" w:hAnsi="Arial" w:cs="Arial"/>
          <w:sz w:val="22"/>
          <w:szCs w:val="22"/>
          <w:lang w:val="en-AU"/>
        </w:rPr>
        <w:t>Act</w:t>
      </w:r>
      <w:r w:rsidR="00B83A20">
        <w:rPr>
          <w:rFonts w:ascii="Arial" w:hAnsi="Arial" w:cs="Arial"/>
          <w:sz w:val="22"/>
          <w:szCs w:val="22"/>
          <w:lang w:val="en-AU"/>
        </w:rPr>
        <w:t>)</w:t>
      </w:r>
      <w:r w:rsidRPr="006956D8">
        <w:rPr>
          <w:rFonts w:ascii="Arial" w:hAnsi="Arial" w:cs="Arial"/>
          <w:sz w:val="22"/>
          <w:szCs w:val="22"/>
          <w:lang w:val="en-AU"/>
        </w:rPr>
        <w:t xml:space="preserve"> provides that the ACMA may determine rules for the assignment of spectrum licences and the circumstances in which licences can be varied, issued or cancelled as the result of an assignment.</w:t>
      </w:r>
    </w:p>
    <w:p w:rsidR="00765AB0" w:rsidRPr="006956D8" w:rsidRDefault="00765AB0" w:rsidP="00765AB0">
      <w:pPr>
        <w:spacing w:line="360" w:lineRule="auto"/>
        <w:rPr>
          <w:rFonts w:ascii="Arial" w:hAnsi="Arial" w:cs="Arial"/>
          <w:sz w:val="22"/>
          <w:szCs w:val="22"/>
          <w:lang w:val="en-AU"/>
        </w:rPr>
      </w:pPr>
    </w:p>
    <w:p w:rsidR="00B83A20" w:rsidRPr="006956D8" w:rsidRDefault="00765AB0" w:rsidP="00B83A20">
      <w:pPr>
        <w:spacing w:line="360" w:lineRule="auto"/>
        <w:rPr>
          <w:rFonts w:ascii="Arial" w:hAnsi="Arial" w:cs="Arial"/>
          <w:sz w:val="22"/>
          <w:szCs w:val="22"/>
          <w:lang w:val="en-AU"/>
        </w:rPr>
      </w:pPr>
      <w:r w:rsidRPr="006956D8">
        <w:rPr>
          <w:rFonts w:ascii="Arial" w:hAnsi="Arial" w:cs="Arial"/>
          <w:sz w:val="22"/>
          <w:szCs w:val="22"/>
          <w:lang w:val="en-AU"/>
        </w:rPr>
        <w:t xml:space="preserve">The purpose of the </w:t>
      </w:r>
      <w:r w:rsidRPr="006956D8">
        <w:rPr>
          <w:rFonts w:ascii="Arial" w:hAnsi="Arial" w:cs="Arial"/>
          <w:i/>
          <w:sz w:val="22"/>
          <w:szCs w:val="22"/>
          <w:lang w:val="en-AU"/>
        </w:rPr>
        <w:t xml:space="preserve">Radiocommunications (Trading Rules for Spectrum Licences) Determination 2012 </w:t>
      </w:r>
      <w:r w:rsidRPr="006956D8">
        <w:rPr>
          <w:rFonts w:ascii="Arial" w:hAnsi="Arial" w:cs="Arial"/>
          <w:sz w:val="22"/>
          <w:szCs w:val="22"/>
          <w:lang w:val="en-AU"/>
        </w:rPr>
        <w:t xml:space="preserve">(the </w:t>
      </w:r>
      <w:r w:rsidR="0008337D" w:rsidRPr="0008337D">
        <w:rPr>
          <w:rFonts w:ascii="Arial" w:hAnsi="Arial" w:cs="Arial"/>
          <w:sz w:val="22"/>
          <w:szCs w:val="22"/>
          <w:lang w:val="en-AU"/>
        </w:rPr>
        <w:t>Determination</w:t>
      </w:r>
      <w:r w:rsidRPr="006956D8">
        <w:rPr>
          <w:rFonts w:ascii="Arial" w:hAnsi="Arial" w:cs="Arial"/>
          <w:sz w:val="22"/>
          <w:szCs w:val="22"/>
          <w:lang w:val="en-AU"/>
        </w:rPr>
        <w:t xml:space="preserve">) is to set out the rules for the trading of spectrum licences.  </w:t>
      </w:r>
      <w:r w:rsidR="00B83A20" w:rsidRPr="00EC6B02">
        <w:rPr>
          <w:rFonts w:ascii="Arial" w:hAnsi="Arial" w:cs="Arial"/>
          <w:sz w:val="22"/>
          <w:szCs w:val="22"/>
          <w:lang w:val="en-AU"/>
        </w:rPr>
        <w:t xml:space="preserve">The Determination revokes the </w:t>
      </w:r>
      <w:r w:rsidR="00B83A20" w:rsidRPr="00EC6B02">
        <w:rPr>
          <w:rFonts w:ascii="Arial" w:hAnsi="Arial" w:cs="Arial"/>
          <w:i/>
          <w:sz w:val="22"/>
          <w:szCs w:val="22"/>
          <w:lang w:val="en-AU"/>
        </w:rPr>
        <w:t>Radiocommunications (Trading Rules for Spectrum Licences) Determination 1998</w:t>
      </w:r>
      <w:r w:rsidR="00B83A20">
        <w:rPr>
          <w:rFonts w:ascii="Arial" w:hAnsi="Arial" w:cs="Arial"/>
          <w:sz w:val="22"/>
          <w:szCs w:val="22"/>
          <w:lang w:val="en-AU"/>
        </w:rPr>
        <w:t xml:space="preserve"> </w:t>
      </w:r>
      <w:r w:rsidR="00B83A20" w:rsidRPr="00B70111">
        <w:rPr>
          <w:rFonts w:ascii="Arial" w:hAnsi="Arial" w:cs="Arial"/>
          <w:sz w:val="22"/>
          <w:szCs w:val="22"/>
          <w:lang w:val="en-AU"/>
        </w:rPr>
        <w:t>and</w:t>
      </w:r>
      <w:r w:rsidR="00B83A20">
        <w:rPr>
          <w:rFonts w:ascii="Arial" w:hAnsi="Arial" w:cs="Arial"/>
          <w:sz w:val="22"/>
          <w:szCs w:val="22"/>
          <w:lang w:val="en-AU"/>
        </w:rPr>
        <w:t xml:space="preserve"> provides updated rules for the trading of spectrum licences which are aimed at providing greater flexibility for spectrum licensees in trading spectrum licences. </w:t>
      </w:r>
      <w:r w:rsidR="00B83A20" w:rsidRPr="00EC6B02">
        <w:rPr>
          <w:rFonts w:ascii="Arial" w:hAnsi="Arial" w:cs="Arial"/>
          <w:sz w:val="22"/>
          <w:szCs w:val="22"/>
          <w:lang w:val="en-AU"/>
        </w:rPr>
        <w:t xml:space="preserve"> </w:t>
      </w:r>
    </w:p>
    <w:p w:rsidR="001A6F36" w:rsidRPr="006956D8" w:rsidRDefault="001A6F36" w:rsidP="001A6F36">
      <w:pPr>
        <w:spacing w:line="360" w:lineRule="auto"/>
        <w:rPr>
          <w:rFonts w:ascii="Arial" w:hAnsi="Arial" w:cs="Arial"/>
          <w:sz w:val="22"/>
          <w:szCs w:val="22"/>
          <w:lang w:val="en-AU"/>
        </w:rPr>
      </w:pPr>
    </w:p>
    <w:p w:rsidR="001A6F36" w:rsidRPr="006956D8" w:rsidRDefault="001A6F36" w:rsidP="001A6F36">
      <w:pPr>
        <w:spacing w:line="360" w:lineRule="auto"/>
        <w:rPr>
          <w:rFonts w:ascii="Arial" w:hAnsi="Arial" w:cs="Arial"/>
          <w:sz w:val="22"/>
          <w:szCs w:val="22"/>
        </w:rPr>
      </w:pPr>
      <w:r w:rsidRPr="006956D8">
        <w:rPr>
          <w:rFonts w:ascii="Arial" w:hAnsi="Arial" w:cs="Arial"/>
          <w:sz w:val="22"/>
          <w:szCs w:val="22"/>
        </w:rPr>
        <w:t>Subsection 9</w:t>
      </w:r>
      <w:r w:rsidR="00B83A20">
        <w:rPr>
          <w:rFonts w:ascii="Arial" w:hAnsi="Arial" w:cs="Arial"/>
          <w:sz w:val="22"/>
          <w:szCs w:val="22"/>
        </w:rPr>
        <w:t xml:space="preserve"> </w:t>
      </w:r>
      <w:r w:rsidRPr="006956D8">
        <w:rPr>
          <w:rFonts w:ascii="Arial" w:hAnsi="Arial" w:cs="Arial"/>
          <w:sz w:val="22"/>
          <w:szCs w:val="22"/>
        </w:rPr>
        <w:t xml:space="preserve">(1) of the </w:t>
      </w:r>
      <w:r w:rsidRPr="006956D8">
        <w:rPr>
          <w:rFonts w:ascii="Arial" w:hAnsi="Arial" w:cs="Arial"/>
          <w:i/>
          <w:sz w:val="22"/>
          <w:szCs w:val="22"/>
        </w:rPr>
        <w:t>Human Rights (Parliamentary Scrutiny) Act 2011</w:t>
      </w:r>
      <w:r w:rsidRPr="006956D8">
        <w:rPr>
          <w:rFonts w:ascii="Arial" w:hAnsi="Arial" w:cs="Arial"/>
          <w:sz w:val="22"/>
          <w:szCs w:val="22"/>
        </w:rPr>
        <w:t xml:space="preserve"> requires the rule</w:t>
      </w:r>
      <w:r w:rsidRPr="006956D8">
        <w:rPr>
          <w:rFonts w:ascii="Arial" w:eastAsia="MS Mincho" w:hAnsi="MS Mincho" w:cs="Arial"/>
          <w:sz w:val="22"/>
          <w:szCs w:val="22"/>
        </w:rPr>
        <w:t>‑</w:t>
      </w:r>
      <w:r w:rsidRPr="006956D8">
        <w:rPr>
          <w:rFonts w:ascii="Arial" w:hAnsi="Arial" w:cs="Arial"/>
          <w:sz w:val="22"/>
          <w:szCs w:val="22"/>
        </w:rPr>
        <w:t xml:space="preserve">maker in relation to a legislative instrument to which section 42 (disallowance) of the </w:t>
      </w:r>
      <w:r w:rsidRPr="006956D8">
        <w:rPr>
          <w:rFonts w:ascii="Arial" w:hAnsi="Arial" w:cs="Arial"/>
          <w:i/>
          <w:sz w:val="22"/>
          <w:szCs w:val="22"/>
        </w:rPr>
        <w:t>Legislative Instruments Act 2003</w:t>
      </w:r>
      <w:r w:rsidRPr="006956D8">
        <w:rPr>
          <w:rFonts w:ascii="Arial" w:hAnsi="Arial" w:cs="Arial"/>
          <w:sz w:val="22"/>
          <w:szCs w:val="22"/>
        </w:rPr>
        <w:t xml:space="preserve"> applies</w:t>
      </w:r>
      <w:r w:rsidR="004C59CF">
        <w:rPr>
          <w:rFonts w:ascii="Arial" w:hAnsi="Arial" w:cs="Arial"/>
          <w:sz w:val="22"/>
          <w:szCs w:val="22"/>
        </w:rPr>
        <w:t>,</w:t>
      </w:r>
      <w:r w:rsidRPr="006956D8">
        <w:rPr>
          <w:rFonts w:ascii="Arial" w:hAnsi="Arial" w:cs="Arial"/>
          <w:sz w:val="22"/>
          <w:szCs w:val="22"/>
        </w:rPr>
        <w:t xml:space="preserve"> to cause a statement of compatibility to be prepared in respect of that legislative instrument.</w:t>
      </w:r>
    </w:p>
    <w:p w:rsidR="001A6F36" w:rsidRPr="006956D8" w:rsidRDefault="001A6F36" w:rsidP="001A6F36">
      <w:pPr>
        <w:spacing w:line="360" w:lineRule="auto"/>
        <w:rPr>
          <w:rFonts w:ascii="Arial" w:hAnsi="Arial" w:cs="Arial"/>
          <w:sz w:val="22"/>
          <w:szCs w:val="22"/>
        </w:rPr>
      </w:pPr>
    </w:p>
    <w:p w:rsidR="001A6F36" w:rsidRPr="006956D8" w:rsidRDefault="001A6F36" w:rsidP="001A6F36">
      <w:pPr>
        <w:spacing w:line="360" w:lineRule="auto"/>
        <w:rPr>
          <w:rFonts w:ascii="Arial" w:hAnsi="Arial" w:cs="Arial"/>
          <w:sz w:val="22"/>
          <w:szCs w:val="22"/>
        </w:rPr>
      </w:pPr>
      <w:r w:rsidRPr="006956D8">
        <w:rPr>
          <w:rFonts w:ascii="Arial" w:hAnsi="Arial" w:cs="Arial"/>
          <w:sz w:val="22"/>
          <w:szCs w:val="22"/>
        </w:rPr>
        <w:t xml:space="preserve">The Determination is a legislative instrument that is subject to disallowance under section 42 of the </w:t>
      </w:r>
      <w:r w:rsidRPr="006956D8">
        <w:rPr>
          <w:rFonts w:ascii="Arial" w:hAnsi="Arial" w:cs="Arial"/>
          <w:i/>
          <w:sz w:val="22"/>
          <w:szCs w:val="22"/>
        </w:rPr>
        <w:t>Legislative Instruments Act 2003</w:t>
      </w:r>
      <w:r w:rsidRPr="006956D8">
        <w:rPr>
          <w:rFonts w:ascii="Arial" w:hAnsi="Arial" w:cs="Arial"/>
          <w:sz w:val="22"/>
          <w:szCs w:val="22"/>
        </w:rPr>
        <w:t>.</w:t>
      </w:r>
    </w:p>
    <w:p w:rsidR="001A6F36" w:rsidRPr="006956D8" w:rsidRDefault="00BB696B" w:rsidP="001A6F36">
      <w:pPr>
        <w:spacing w:line="360" w:lineRule="auto"/>
        <w:rPr>
          <w:rFonts w:ascii="Arial" w:hAnsi="Arial" w:cs="Arial"/>
          <w:b/>
          <w:sz w:val="22"/>
          <w:szCs w:val="22"/>
        </w:rPr>
      </w:pPr>
      <w:r>
        <w:rPr>
          <w:rFonts w:ascii="Arial" w:hAnsi="Arial" w:cs="Arial"/>
          <w:sz w:val="22"/>
          <w:szCs w:val="22"/>
        </w:rPr>
        <w:br w:type="page"/>
      </w:r>
      <w:r w:rsidR="001A6F36" w:rsidRPr="006956D8">
        <w:rPr>
          <w:rFonts w:ascii="Arial" w:hAnsi="Arial" w:cs="Arial"/>
          <w:b/>
          <w:sz w:val="22"/>
          <w:szCs w:val="22"/>
        </w:rPr>
        <w:t>Human Rights Implications</w:t>
      </w:r>
    </w:p>
    <w:p w:rsidR="001A6F36" w:rsidRPr="006956D8" w:rsidRDefault="001A6F36" w:rsidP="001A6F36">
      <w:pPr>
        <w:spacing w:line="360" w:lineRule="auto"/>
        <w:rPr>
          <w:rFonts w:ascii="Arial" w:hAnsi="Arial" w:cs="Arial"/>
          <w:b/>
          <w:sz w:val="22"/>
          <w:szCs w:val="22"/>
        </w:rPr>
      </w:pPr>
    </w:p>
    <w:p w:rsidR="001A6F36" w:rsidRPr="006956D8" w:rsidRDefault="001A6F36" w:rsidP="001A6F36">
      <w:pPr>
        <w:spacing w:line="360" w:lineRule="auto"/>
        <w:rPr>
          <w:rFonts w:ascii="Arial" w:hAnsi="Arial" w:cs="Arial"/>
          <w:sz w:val="22"/>
          <w:szCs w:val="22"/>
        </w:rPr>
      </w:pPr>
      <w:r w:rsidRPr="006956D8">
        <w:rPr>
          <w:rFonts w:ascii="Arial" w:hAnsi="Arial" w:cs="Arial"/>
          <w:sz w:val="22"/>
          <w:szCs w:val="22"/>
        </w:rPr>
        <w:t>The Determination does not engage any of the applicable rights or freedoms.</w:t>
      </w:r>
    </w:p>
    <w:p w:rsidR="001A6F36" w:rsidRPr="006956D8" w:rsidRDefault="001A6F36" w:rsidP="001A6F36">
      <w:pPr>
        <w:spacing w:line="360" w:lineRule="auto"/>
        <w:rPr>
          <w:rFonts w:ascii="Arial" w:hAnsi="Arial" w:cs="Arial"/>
          <w:sz w:val="22"/>
          <w:szCs w:val="22"/>
        </w:rPr>
      </w:pPr>
    </w:p>
    <w:p w:rsidR="001A6F36" w:rsidRPr="006956D8" w:rsidRDefault="001A6F36" w:rsidP="001A6F36">
      <w:pPr>
        <w:spacing w:line="360" w:lineRule="auto"/>
        <w:rPr>
          <w:rFonts w:ascii="Arial" w:hAnsi="Arial" w:cs="Arial"/>
          <w:b/>
          <w:sz w:val="22"/>
          <w:szCs w:val="22"/>
        </w:rPr>
      </w:pPr>
      <w:r w:rsidRPr="006956D8">
        <w:rPr>
          <w:rFonts w:ascii="Arial" w:hAnsi="Arial" w:cs="Arial"/>
          <w:b/>
          <w:sz w:val="22"/>
          <w:szCs w:val="22"/>
        </w:rPr>
        <w:t>Conclusion</w:t>
      </w:r>
    </w:p>
    <w:p w:rsidR="001A6F36" w:rsidRPr="006956D8" w:rsidRDefault="001A6F36" w:rsidP="001A6F36">
      <w:pPr>
        <w:spacing w:line="360" w:lineRule="auto"/>
        <w:rPr>
          <w:rFonts w:ascii="Arial" w:hAnsi="Arial" w:cs="Arial"/>
          <w:b/>
          <w:sz w:val="22"/>
          <w:szCs w:val="22"/>
        </w:rPr>
      </w:pPr>
      <w:r w:rsidRPr="006956D8">
        <w:rPr>
          <w:rFonts w:ascii="Arial" w:hAnsi="Arial" w:cs="Arial"/>
          <w:sz w:val="22"/>
          <w:szCs w:val="22"/>
        </w:rPr>
        <w:t>The Determination is compatible with human rights as it does not raise any human rights issues.</w:t>
      </w:r>
    </w:p>
    <w:p w:rsidR="001A6F36" w:rsidRPr="006956D8" w:rsidRDefault="001A6F36" w:rsidP="001A6F36">
      <w:pPr>
        <w:spacing w:line="360" w:lineRule="auto"/>
        <w:rPr>
          <w:rFonts w:ascii="Arial" w:hAnsi="Arial" w:cs="Arial"/>
          <w:sz w:val="22"/>
          <w:szCs w:val="22"/>
        </w:rPr>
      </w:pPr>
    </w:p>
    <w:p w:rsidR="001A6F36" w:rsidRPr="006956D8" w:rsidRDefault="001A6F36" w:rsidP="001A6F36">
      <w:pPr>
        <w:spacing w:line="360" w:lineRule="auto"/>
        <w:rPr>
          <w:rFonts w:ascii="Arial" w:hAnsi="Arial" w:cs="Arial"/>
          <w:sz w:val="22"/>
          <w:szCs w:val="22"/>
          <w:lang w:val="en-AU"/>
        </w:rPr>
      </w:pPr>
    </w:p>
    <w:p w:rsidR="00DC6183" w:rsidRPr="006956D8" w:rsidRDefault="00DC6183" w:rsidP="00776FB8">
      <w:pPr>
        <w:spacing w:line="360" w:lineRule="auto"/>
        <w:rPr>
          <w:rFonts w:ascii="Arial" w:hAnsi="Arial" w:cs="Arial"/>
          <w:sz w:val="22"/>
          <w:szCs w:val="22"/>
          <w:lang w:val="en-AU"/>
        </w:rPr>
      </w:pPr>
    </w:p>
    <w:sectPr w:rsidR="00DC6183" w:rsidRPr="006956D8" w:rsidSect="000907DE">
      <w:headerReference w:type="even" r:id="rId14"/>
      <w:headerReference w:type="default"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49" w:rsidRDefault="00F41049">
      <w:r>
        <w:separator/>
      </w:r>
    </w:p>
  </w:endnote>
  <w:endnote w:type="continuationSeparator" w:id="0">
    <w:p w:rsidR="00F41049" w:rsidRDefault="00F41049">
      <w:r>
        <w:continuationSeparator/>
      </w:r>
    </w:p>
  </w:endnote>
</w:endnotes>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C" w:rsidRDefault="00AF312C" w:rsidP="0036213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C" w:rsidRDefault="00AF312C" w:rsidP="00B32F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49" w:rsidRDefault="00F41049">
      <w:r>
        <w:separator/>
      </w:r>
    </w:p>
  </w:footnote>
  <w:footnote w:type="continuationSeparator" w:id="0">
    <w:p w:rsidR="00F41049" w:rsidRDefault="00F4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C" w:rsidRDefault="0008337D" w:rsidP="00A844EF">
    <w:pPr>
      <w:pStyle w:val="Header"/>
      <w:framePr w:wrap="around" w:vAnchor="text" w:hAnchor="margin" w:xAlign="center" w:y="1"/>
      <w:rPr>
        <w:rStyle w:val="PageNumber"/>
      </w:rPr>
    </w:pPr>
    <w:r>
      <w:rPr>
        <w:rStyle w:val="PageNumber"/>
      </w:rPr>
      <w:fldChar w:fldCharType="begin"/>
    </w:r>
    <w:r w:rsidR="00AF312C">
      <w:rPr>
        <w:rStyle w:val="PageNumber"/>
      </w:rPr>
      <w:instrText xml:space="preserve">PAGE  </w:instrText>
    </w:r>
    <w:r>
      <w:rPr>
        <w:rStyle w:val="PageNumber"/>
      </w:rPr>
      <w:fldChar w:fldCharType="end"/>
    </w:r>
  </w:p>
  <w:p w:rsidR="00AF312C" w:rsidRDefault="00AF3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C" w:rsidRDefault="0008337D" w:rsidP="00A13E1F">
    <w:pPr>
      <w:pStyle w:val="Header"/>
      <w:framePr w:wrap="around" w:vAnchor="text" w:hAnchor="margin" w:xAlign="center" w:y="1"/>
      <w:jc w:val="center"/>
      <w:rPr>
        <w:rStyle w:val="PageNumber"/>
      </w:rPr>
    </w:pPr>
    <w:r>
      <w:rPr>
        <w:rStyle w:val="PageNumber"/>
      </w:rPr>
      <w:fldChar w:fldCharType="begin"/>
    </w:r>
    <w:r w:rsidR="00AF312C">
      <w:rPr>
        <w:rStyle w:val="PageNumber"/>
      </w:rPr>
      <w:instrText xml:space="preserve">PAGE  </w:instrText>
    </w:r>
    <w:r>
      <w:rPr>
        <w:rStyle w:val="PageNumber"/>
      </w:rPr>
      <w:fldChar w:fldCharType="separate"/>
    </w:r>
    <w:r w:rsidR="00607E96">
      <w:rPr>
        <w:rStyle w:val="PageNumber"/>
        <w:noProof/>
      </w:rPr>
      <w:t>8</w:t>
    </w:r>
    <w:r>
      <w:rPr>
        <w:rStyle w:val="PageNumber"/>
      </w:rPr>
      <w:fldChar w:fldCharType="end"/>
    </w:r>
  </w:p>
  <w:p w:rsidR="00AF312C" w:rsidRDefault="00AF312C" w:rsidP="00362134">
    <w:pPr>
      <w:pStyle w:val="Header"/>
      <w:jc w:val="center"/>
      <w:rPr>
        <w:b/>
        <w:sz w:val="32"/>
        <w:szCs w:val="32"/>
        <w:lang w:val="en-AU"/>
      </w:rPr>
    </w:pPr>
  </w:p>
  <w:p w:rsidR="00AF312C" w:rsidRDefault="00AF312C" w:rsidP="00E72F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E56483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nsid w:val="FFFFFF89"/>
    <w:multiLevelType w:val="singleLevel"/>
    <w:tmpl w:val="EF66C5E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nsid w:val="FFFFFFFE"/>
    <w:multiLevelType w:val="singleLevel"/>
    <w:tmpl w:val="35B85848"/>
    <w:lvl w:ilvl="0">
      <w:numFmt w:val="bullet"/>
      <w:lvlText w:val="*"/>
      <w:lvlJc w:val="left"/>
    </w:lvl>
  </w:abstractNum>
  <w:abstractNum w:abstractNumId="3">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F67AD9"/>
    <w:multiLevelType w:val="hybridMultilevel"/>
    <w:tmpl w:val="26865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B76651"/>
    <w:multiLevelType w:val="hybridMultilevel"/>
    <w:tmpl w:val="E3888042"/>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4351AC"/>
    <w:multiLevelType w:val="hybridMultilevel"/>
    <w:tmpl w:val="0EE2324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nsid w:val="2D8B75E9"/>
    <w:multiLevelType w:val="hybridMultilevel"/>
    <w:tmpl w:val="4C1E80F8"/>
    <w:lvl w:ilvl="0" w:tplc="62CCACBC">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8"/>
  </w:num>
  <w:num w:numId="4">
    <w:abstractNumId w:val="3"/>
  </w:num>
  <w:num w:numId="5">
    <w:abstractNumId w:val="17"/>
  </w:num>
  <w:num w:numId="6">
    <w:abstractNumId w:val="2"/>
    <w:lvlOverride w:ilvl="0">
      <w:lvl w:ilvl="0">
        <w:numFmt w:val="bullet"/>
        <w:lvlText w:val="•"/>
        <w:legacy w:legacy="1" w:legacySpace="0" w:legacyIndent="0"/>
        <w:lvlJc w:val="left"/>
        <w:rPr>
          <w:rFonts w:ascii="Helv" w:hAnsi="Helv" w:hint="default"/>
        </w:rPr>
      </w:lvl>
    </w:lvlOverride>
  </w:num>
  <w:num w:numId="7">
    <w:abstractNumId w:val="19"/>
  </w:num>
  <w:num w:numId="8">
    <w:abstractNumId w:val="13"/>
  </w:num>
  <w:num w:numId="9">
    <w:abstractNumId w:val="14"/>
  </w:num>
  <w:num w:numId="10">
    <w:abstractNumId w:val="6"/>
  </w:num>
  <w:num w:numId="11">
    <w:abstractNumId w:val="12"/>
  </w:num>
  <w:num w:numId="12">
    <w:abstractNumId w:val="22"/>
  </w:num>
  <w:num w:numId="13">
    <w:abstractNumId w:val="15"/>
  </w:num>
  <w:num w:numId="14">
    <w:abstractNumId w:val="4"/>
  </w:num>
  <w:num w:numId="15">
    <w:abstractNumId w:val="7"/>
  </w:num>
  <w:num w:numId="16">
    <w:abstractNumId w:val="20"/>
  </w:num>
  <w:num w:numId="17">
    <w:abstractNumId w:val="5"/>
  </w:num>
  <w:num w:numId="18">
    <w:abstractNumId w:val="9"/>
  </w:num>
  <w:num w:numId="19">
    <w:abstractNumId w:val="1"/>
  </w:num>
  <w:num w:numId="20">
    <w:abstractNumId w:val="0"/>
  </w:num>
  <w:num w:numId="21">
    <w:abstractNumId w:val="10"/>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oNotTrackMoves/>
  <w:defaultTabStop w:val="567"/>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1022"/>
    <w:rsid w:val="0000300B"/>
    <w:rsid w:val="0000334E"/>
    <w:rsid w:val="00005643"/>
    <w:rsid w:val="00007C8D"/>
    <w:rsid w:val="00007EEB"/>
    <w:rsid w:val="000118A5"/>
    <w:rsid w:val="00016BA2"/>
    <w:rsid w:val="00023C08"/>
    <w:rsid w:val="00025D13"/>
    <w:rsid w:val="0003025D"/>
    <w:rsid w:val="00032B32"/>
    <w:rsid w:val="00032BFE"/>
    <w:rsid w:val="00036086"/>
    <w:rsid w:val="00040B05"/>
    <w:rsid w:val="0004274A"/>
    <w:rsid w:val="00045A13"/>
    <w:rsid w:val="00051A91"/>
    <w:rsid w:val="00052DB6"/>
    <w:rsid w:val="0005491A"/>
    <w:rsid w:val="000609D9"/>
    <w:rsid w:val="00065340"/>
    <w:rsid w:val="00070A52"/>
    <w:rsid w:val="00072306"/>
    <w:rsid w:val="00072549"/>
    <w:rsid w:val="000727E2"/>
    <w:rsid w:val="00073B86"/>
    <w:rsid w:val="0008337D"/>
    <w:rsid w:val="00083579"/>
    <w:rsid w:val="00084D8E"/>
    <w:rsid w:val="000907DE"/>
    <w:rsid w:val="00096FB8"/>
    <w:rsid w:val="000A0E4B"/>
    <w:rsid w:val="000A2AE5"/>
    <w:rsid w:val="000A3641"/>
    <w:rsid w:val="000A4D28"/>
    <w:rsid w:val="000A5293"/>
    <w:rsid w:val="000A6A9B"/>
    <w:rsid w:val="000A7A3F"/>
    <w:rsid w:val="000B1051"/>
    <w:rsid w:val="000B193B"/>
    <w:rsid w:val="000B2131"/>
    <w:rsid w:val="000B3A34"/>
    <w:rsid w:val="000B3F4F"/>
    <w:rsid w:val="000C14FE"/>
    <w:rsid w:val="000C2BDB"/>
    <w:rsid w:val="000C3067"/>
    <w:rsid w:val="000C509E"/>
    <w:rsid w:val="000C7244"/>
    <w:rsid w:val="000D02FC"/>
    <w:rsid w:val="000D1326"/>
    <w:rsid w:val="000D432B"/>
    <w:rsid w:val="000D4FF8"/>
    <w:rsid w:val="000D68D5"/>
    <w:rsid w:val="000D797B"/>
    <w:rsid w:val="000E312C"/>
    <w:rsid w:val="000E3954"/>
    <w:rsid w:val="000E44D2"/>
    <w:rsid w:val="000E7688"/>
    <w:rsid w:val="000E7BC7"/>
    <w:rsid w:val="000F145B"/>
    <w:rsid w:val="000F1F80"/>
    <w:rsid w:val="000F66BE"/>
    <w:rsid w:val="000F6A00"/>
    <w:rsid w:val="000F7B2C"/>
    <w:rsid w:val="000F7DDD"/>
    <w:rsid w:val="001002A8"/>
    <w:rsid w:val="001019FD"/>
    <w:rsid w:val="001037A5"/>
    <w:rsid w:val="001040ED"/>
    <w:rsid w:val="00105943"/>
    <w:rsid w:val="00107C9C"/>
    <w:rsid w:val="00110856"/>
    <w:rsid w:val="00111D3B"/>
    <w:rsid w:val="001127B6"/>
    <w:rsid w:val="001130BC"/>
    <w:rsid w:val="00113FC2"/>
    <w:rsid w:val="0011424C"/>
    <w:rsid w:val="00122FA0"/>
    <w:rsid w:val="0012342D"/>
    <w:rsid w:val="001240A3"/>
    <w:rsid w:val="001244AE"/>
    <w:rsid w:val="00124A67"/>
    <w:rsid w:val="00125A68"/>
    <w:rsid w:val="001264EA"/>
    <w:rsid w:val="0013300B"/>
    <w:rsid w:val="00134A4B"/>
    <w:rsid w:val="001358C8"/>
    <w:rsid w:val="00137EBF"/>
    <w:rsid w:val="00147015"/>
    <w:rsid w:val="001522E5"/>
    <w:rsid w:val="0015277E"/>
    <w:rsid w:val="00153F0C"/>
    <w:rsid w:val="00157501"/>
    <w:rsid w:val="00157AD8"/>
    <w:rsid w:val="001611E0"/>
    <w:rsid w:val="00161DE7"/>
    <w:rsid w:val="001631C5"/>
    <w:rsid w:val="00165E54"/>
    <w:rsid w:val="00170D27"/>
    <w:rsid w:val="00171504"/>
    <w:rsid w:val="001716D9"/>
    <w:rsid w:val="00175F46"/>
    <w:rsid w:val="001767FA"/>
    <w:rsid w:val="00176E4D"/>
    <w:rsid w:val="00177AFD"/>
    <w:rsid w:val="001802C0"/>
    <w:rsid w:val="0018129A"/>
    <w:rsid w:val="00181E1C"/>
    <w:rsid w:val="001847A6"/>
    <w:rsid w:val="00185301"/>
    <w:rsid w:val="001901D9"/>
    <w:rsid w:val="00191769"/>
    <w:rsid w:val="00193000"/>
    <w:rsid w:val="001939F0"/>
    <w:rsid w:val="00193CCB"/>
    <w:rsid w:val="00193EB6"/>
    <w:rsid w:val="001A0B8E"/>
    <w:rsid w:val="001A0C51"/>
    <w:rsid w:val="001A2609"/>
    <w:rsid w:val="001A3F3D"/>
    <w:rsid w:val="001A5D71"/>
    <w:rsid w:val="001A6F36"/>
    <w:rsid w:val="001A730C"/>
    <w:rsid w:val="001B2D44"/>
    <w:rsid w:val="001B30AB"/>
    <w:rsid w:val="001B466C"/>
    <w:rsid w:val="001B58E7"/>
    <w:rsid w:val="001B5A54"/>
    <w:rsid w:val="001B700D"/>
    <w:rsid w:val="001B79DD"/>
    <w:rsid w:val="001C2D26"/>
    <w:rsid w:val="001C7822"/>
    <w:rsid w:val="001D0811"/>
    <w:rsid w:val="001D3D7B"/>
    <w:rsid w:val="001E11A4"/>
    <w:rsid w:val="001E3986"/>
    <w:rsid w:val="001E4C38"/>
    <w:rsid w:val="001E504A"/>
    <w:rsid w:val="001F0D48"/>
    <w:rsid w:val="001F18D0"/>
    <w:rsid w:val="001F1B3D"/>
    <w:rsid w:val="001F375E"/>
    <w:rsid w:val="001F645C"/>
    <w:rsid w:val="001F6F5B"/>
    <w:rsid w:val="002036F3"/>
    <w:rsid w:val="00203DB1"/>
    <w:rsid w:val="002041C8"/>
    <w:rsid w:val="002104D9"/>
    <w:rsid w:val="002108C7"/>
    <w:rsid w:val="00212BDC"/>
    <w:rsid w:val="002137F6"/>
    <w:rsid w:val="00214F91"/>
    <w:rsid w:val="00217300"/>
    <w:rsid w:val="00217BC1"/>
    <w:rsid w:val="00221DD3"/>
    <w:rsid w:val="00224650"/>
    <w:rsid w:val="00224F56"/>
    <w:rsid w:val="00225E40"/>
    <w:rsid w:val="00232983"/>
    <w:rsid w:val="00236BB5"/>
    <w:rsid w:val="00237298"/>
    <w:rsid w:val="002378FB"/>
    <w:rsid w:val="002406D2"/>
    <w:rsid w:val="002419E7"/>
    <w:rsid w:val="00242911"/>
    <w:rsid w:val="00242A7B"/>
    <w:rsid w:val="00245D33"/>
    <w:rsid w:val="00246998"/>
    <w:rsid w:val="002520E1"/>
    <w:rsid w:val="002546FC"/>
    <w:rsid w:val="00256236"/>
    <w:rsid w:val="00257897"/>
    <w:rsid w:val="00260D08"/>
    <w:rsid w:val="00262777"/>
    <w:rsid w:val="002631B5"/>
    <w:rsid w:val="0026726C"/>
    <w:rsid w:val="00272394"/>
    <w:rsid w:val="00272903"/>
    <w:rsid w:val="00275CCC"/>
    <w:rsid w:val="00276EAE"/>
    <w:rsid w:val="002771E5"/>
    <w:rsid w:val="00277A54"/>
    <w:rsid w:val="00277B95"/>
    <w:rsid w:val="002806E5"/>
    <w:rsid w:val="00280F33"/>
    <w:rsid w:val="002815AE"/>
    <w:rsid w:val="00281E6D"/>
    <w:rsid w:val="002840DE"/>
    <w:rsid w:val="0029141C"/>
    <w:rsid w:val="00293E33"/>
    <w:rsid w:val="00293EA0"/>
    <w:rsid w:val="0029459F"/>
    <w:rsid w:val="00294E1F"/>
    <w:rsid w:val="00296E82"/>
    <w:rsid w:val="002A23F8"/>
    <w:rsid w:val="002A4EDD"/>
    <w:rsid w:val="002A6D08"/>
    <w:rsid w:val="002B2544"/>
    <w:rsid w:val="002B33EF"/>
    <w:rsid w:val="002B3894"/>
    <w:rsid w:val="002B4583"/>
    <w:rsid w:val="002B5972"/>
    <w:rsid w:val="002B79CE"/>
    <w:rsid w:val="002B7A07"/>
    <w:rsid w:val="002C0058"/>
    <w:rsid w:val="002C0956"/>
    <w:rsid w:val="002C1EB2"/>
    <w:rsid w:val="002C5DFB"/>
    <w:rsid w:val="002D0747"/>
    <w:rsid w:val="002D3196"/>
    <w:rsid w:val="002D6B3F"/>
    <w:rsid w:val="002E1DCA"/>
    <w:rsid w:val="002E1E61"/>
    <w:rsid w:val="002E37B6"/>
    <w:rsid w:val="002E4BAD"/>
    <w:rsid w:val="002E77CA"/>
    <w:rsid w:val="002F0B29"/>
    <w:rsid w:val="002F2964"/>
    <w:rsid w:val="002F482C"/>
    <w:rsid w:val="002F4D69"/>
    <w:rsid w:val="002F7391"/>
    <w:rsid w:val="00301425"/>
    <w:rsid w:val="003017BE"/>
    <w:rsid w:val="0030187D"/>
    <w:rsid w:val="00303130"/>
    <w:rsid w:val="003057AE"/>
    <w:rsid w:val="00305928"/>
    <w:rsid w:val="00311E45"/>
    <w:rsid w:val="0031334B"/>
    <w:rsid w:val="00321B79"/>
    <w:rsid w:val="00322075"/>
    <w:rsid w:val="00326BE5"/>
    <w:rsid w:val="003274A8"/>
    <w:rsid w:val="00327D8A"/>
    <w:rsid w:val="0033118F"/>
    <w:rsid w:val="0033639D"/>
    <w:rsid w:val="00337EE5"/>
    <w:rsid w:val="00340EA6"/>
    <w:rsid w:val="00340F08"/>
    <w:rsid w:val="003415E1"/>
    <w:rsid w:val="00342B33"/>
    <w:rsid w:val="00343425"/>
    <w:rsid w:val="00343921"/>
    <w:rsid w:val="00344282"/>
    <w:rsid w:val="0034610D"/>
    <w:rsid w:val="0034741A"/>
    <w:rsid w:val="00351C52"/>
    <w:rsid w:val="003541E8"/>
    <w:rsid w:val="00354A22"/>
    <w:rsid w:val="00357E8B"/>
    <w:rsid w:val="00362134"/>
    <w:rsid w:val="003634DD"/>
    <w:rsid w:val="00363579"/>
    <w:rsid w:val="00363C72"/>
    <w:rsid w:val="00367786"/>
    <w:rsid w:val="00370DB5"/>
    <w:rsid w:val="0037141B"/>
    <w:rsid w:val="0037224D"/>
    <w:rsid w:val="00374AF5"/>
    <w:rsid w:val="003756B4"/>
    <w:rsid w:val="00376093"/>
    <w:rsid w:val="00376A04"/>
    <w:rsid w:val="00382D1E"/>
    <w:rsid w:val="0038369F"/>
    <w:rsid w:val="00383D7C"/>
    <w:rsid w:val="003879DF"/>
    <w:rsid w:val="00390D0A"/>
    <w:rsid w:val="003955FC"/>
    <w:rsid w:val="00396F72"/>
    <w:rsid w:val="00397C1B"/>
    <w:rsid w:val="003A0F7D"/>
    <w:rsid w:val="003A346C"/>
    <w:rsid w:val="003A4E4D"/>
    <w:rsid w:val="003A547B"/>
    <w:rsid w:val="003B0803"/>
    <w:rsid w:val="003B0A1E"/>
    <w:rsid w:val="003B0E76"/>
    <w:rsid w:val="003B125F"/>
    <w:rsid w:val="003B1A98"/>
    <w:rsid w:val="003B324C"/>
    <w:rsid w:val="003B3402"/>
    <w:rsid w:val="003B3D41"/>
    <w:rsid w:val="003B61D0"/>
    <w:rsid w:val="003B71BC"/>
    <w:rsid w:val="003C0792"/>
    <w:rsid w:val="003C23DE"/>
    <w:rsid w:val="003C24D0"/>
    <w:rsid w:val="003D1955"/>
    <w:rsid w:val="003D4EA5"/>
    <w:rsid w:val="003D5948"/>
    <w:rsid w:val="003D629D"/>
    <w:rsid w:val="003D6ABF"/>
    <w:rsid w:val="003D7D4A"/>
    <w:rsid w:val="003E0537"/>
    <w:rsid w:val="003E1E77"/>
    <w:rsid w:val="003E225E"/>
    <w:rsid w:val="003E22FC"/>
    <w:rsid w:val="003F2116"/>
    <w:rsid w:val="003F2693"/>
    <w:rsid w:val="003F68EA"/>
    <w:rsid w:val="003F6C2D"/>
    <w:rsid w:val="0040129F"/>
    <w:rsid w:val="00402C1C"/>
    <w:rsid w:val="00402CED"/>
    <w:rsid w:val="00403F51"/>
    <w:rsid w:val="00404E95"/>
    <w:rsid w:val="00406A3E"/>
    <w:rsid w:val="00411188"/>
    <w:rsid w:val="004244B7"/>
    <w:rsid w:val="004261DB"/>
    <w:rsid w:val="004273B8"/>
    <w:rsid w:val="00427D2E"/>
    <w:rsid w:val="0043191F"/>
    <w:rsid w:val="00437CBA"/>
    <w:rsid w:val="004437B3"/>
    <w:rsid w:val="004471CE"/>
    <w:rsid w:val="00450357"/>
    <w:rsid w:val="00452BEB"/>
    <w:rsid w:val="00453A54"/>
    <w:rsid w:val="00454284"/>
    <w:rsid w:val="0045504A"/>
    <w:rsid w:val="0045517A"/>
    <w:rsid w:val="00456404"/>
    <w:rsid w:val="0045700F"/>
    <w:rsid w:val="00464707"/>
    <w:rsid w:val="0046505B"/>
    <w:rsid w:val="00466743"/>
    <w:rsid w:val="00467644"/>
    <w:rsid w:val="00476F8B"/>
    <w:rsid w:val="0048134B"/>
    <w:rsid w:val="00481707"/>
    <w:rsid w:val="004829D0"/>
    <w:rsid w:val="0048765D"/>
    <w:rsid w:val="00491998"/>
    <w:rsid w:val="00493C8E"/>
    <w:rsid w:val="004A054B"/>
    <w:rsid w:val="004A07EE"/>
    <w:rsid w:val="004A0D98"/>
    <w:rsid w:val="004A19A3"/>
    <w:rsid w:val="004A59D9"/>
    <w:rsid w:val="004A69DF"/>
    <w:rsid w:val="004A789E"/>
    <w:rsid w:val="004B0659"/>
    <w:rsid w:val="004B2D77"/>
    <w:rsid w:val="004C24D3"/>
    <w:rsid w:val="004C2506"/>
    <w:rsid w:val="004C3CE8"/>
    <w:rsid w:val="004C3FD6"/>
    <w:rsid w:val="004C59CF"/>
    <w:rsid w:val="004C61EA"/>
    <w:rsid w:val="004C7D21"/>
    <w:rsid w:val="004D52E9"/>
    <w:rsid w:val="004E0192"/>
    <w:rsid w:val="004E025A"/>
    <w:rsid w:val="004E35A3"/>
    <w:rsid w:val="004E5173"/>
    <w:rsid w:val="004E6C7A"/>
    <w:rsid w:val="004E6E14"/>
    <w:rsid w:val="004E7830"/>
    <w:rsid w:val="004F2FDE"/>
    <w:rsid w:val="004F3FEF"/>
    <w:rsid w:val="004F4155"/>
    <w:rsid w:val="004F5BAE"/>
    <w:rsid w:val="004F641F"/>
    <w:rsid w:val="004F6459"/>
    <w:rsid w:val="004F6A6B"/>
    <w:rsid w:val="004F7222"/>
    <w:rsid w:val="004F72F7"/>
    <w:rsid w:val="00502029"/>
    <w:rsid w:val="00503BDE"/>
    <w:rsid w:val="00503F64"/>
    <w:rsid w:val="00505C16"/>
    <w:rsid w:val="0050610A"/>
    <w:rsid w:val="00507010"/>
    <w:rsid w:val="00511097"/>
    <w:rsid w:val="00511181"/>
    <w:rsid w:val="00513CDE"/>
    <w:rsid w:val="0052206D"/>
    <w:rsid w:val="0052263F"/>
    <w:rsid w:val="00522C7C"/>
    <w:rsid w:val="00522DC5"/>
    <w:rsid w:val="0052325C"/>
    <w:rsid w:val="00524A35"/>
    <w:rsid w:val="00524A47"/>
    <w:rsid w:val="00525AF3"/>
    <w:rsid w:val="0052717F"/>
    <w:rsid w:val="00531B55"/>
    <w:rsid w:val="0053278B"/>
    <w:rsid w:val="00533AF1"/>
    <w:rsid w:val="0054110B"/>
    <w:rsid w:val="0054415C"/>
    <w:rsid w:val="0054416C"/>
    <w:rsid w:val="00544701"/>
    <w:rsid w:val="00551EE5"/>
    <w:rsid w:val="00557A8F"/>
    <w:rsid w:val="005614D6"/>
    <w:rsid w:val="00562BBE"/>
    <w:rsid w:val="00562DAE"/>
    <w:rsid w:val="00570FC1"/>
    <w:rsid w:val="00573732"/>
    <w:rsid w:val="0057385A"/>
    <w:rsid w:val="00574E59"/>
    <w:rsid w:val="00576D51"/>
    <w:rsid w:val="00580AC1"/>
    <w:rsid w:val="00581992"/>
    <w:rsid w:val="005842A4"/>
    <w:rsid w:val="005855E7"/>
    <w:rsid w:val="005861E6"/>
    <w:rsid w:val="005908D2"/>
    <w:rsid w:val="00591C99"/>
    <w:rsid w:val="00592092"/>
    <w:rsid w:val="00593959"/>
    <w:rsid w:val="005939A7"/>
    <w:rsid w:val="00593AB5"/>
    <w:rsid w:val="005958C1"/>
    <w:rsid w:val="00595E64"/>
    <w:rsid w:val="00597470"/>
    <w:rsid w:val="005A1292"/>
    <w:rsid w:val="005A1FF2"/>
    <w:rsid w:val="005A599B"/>
    <w:rsid w:val="005A64F7"/>
    <w:rsid w:val="005B4DBE"/>
    <w:rsid w:val="005C3AB7"/>
    <w:rsid w:val="005C51F7"/>
    <w:rsid w:val="005D00CE"/>
    <w:rsid w:val="005D1812"/>
    <w:rsid w:val="005D206A"/>
    <w:rsid w:val="005D3F58"/>
    <w:rsid w:val="005D48CA"/>
    <w:rsid w:val="005D5A16"/>
    <w:rsid w:val="005D6648"/>
    <w:rsid w:val="005E0661"/>
    <w:rsid w:val="005E09F7"/>
    <w:rsid w:val="005E306B"/>
    <w:rsid w:val="005E4329"/>
    <w:rsid w:val="005F0138"/>
    <w:rsid w:val="005F23D4"/>
    <w:rsid w:val="005F3083"/>
    <w:rsid w:val="005F4643"/>
    <w:rsid w:val="005F5D29"/>
    <w:rsid w:val="005F68AC"/>
    <w:rsid w:val="005F7F10"/>
    <w:rsid w:val="006009AE"/>
    <w:rsid w:val="0060103B"/>
    <w:rsid w:val="00601D0E"/>
    <w:rsid w:val="006046F8"/>
    <w:rsid w:val="00604ECF"/>
    <w:rsid w:val="00605EEE"/>
    <w:rsid w:val="006065D3"/>
    <w:rsid w:val="00606889"/>
    <w:rsid w:val="00607B24"/>
    <w:rsid w:val="00607E96"/>
    <w:rsid w:val="006103E3"/>
    <w:rsid w:val="0061493C"/>
    <w:rsid w:val="00615237"/>
    <w:rsid w:val="00617543"/>
    <w:rsid w:val="00621713"/>
    <w:rsid w:val="00626085"/>
    <w:rsid w:val="00626DE6"/>
    <w:rsid w:val="00627040"/>
    <w:rsid w:val="006300DE"/>
    <w:rsid w:val="0063048A"/>
    <w:rsid w:val="00631A55"/>
    <w:rsid w:val="00635547"/>
    <w:rsid w:val="0063614D"/>
    <w:rsid w:val="00640477"/>
    <w:rsid w:val="006445AD"/>
    <w:rsid w:val="00645126"/>
    <w:rsid w:val="0064732F"/>
    <w:rsid w:val="00647418"/>
    <w:rsid w:val="0065257F"/>
    <w:rsid w:val="006534C6"/>
    <w:rsid w:val="006623F2"/>
    <w:rsid w:val="00662DD9"/>
    <w:rsid w:val="006636A6"/>
    <w:rsid w:val="00664DC3"/>
    <w:rsid w:val="00665C05"/>
    <w:rsid w:val="0066629F"/>
    <w:rsid w:val="00667ADE"/>
    <w:rsid w:val="00675410"/>
    <w:rsid w:val="00681ADC"/>
    <w:rsid w:val="00681BC0"/>
    <w:rsid w:val="006846A9"/>
    <w:rsid w:val="00687704"/>
    <w:rsid w:val="00687C51"/>
    <w:rsid w:val="006956D8"/>
    <w:rsid w:val="006A1904"/>
    <w:rsid w:val="006A32AA"/>
    <w:rsid w:val="006A44C1"/>
    <w:rsid w:val="006A45A1"/>
    <w:rsid w:val="006A4999"/>
    <w:rsid w:val="006A5F06"/>
    <w:rsid w:val="006A727F"/>
    <w:rsid w:val="006B1347"/>
    <w:rsid w:val="006B28C4"/>
    <w:rsid w:val="006B2F38"/>
    <w:rsid w:val="006C60D1"/>
    <w:rsid w:val="006C7D95"/>
    <w:rsid w:val="006D0B5D"/>
    <w:rsid w:val="006D5E01"/>
    <w:rsid w:val="006D749A"/>
    <w:rsid w:val="006E00EA"/>
    <w:rsid w:val="006E0975"/>
    <w:rsid w:val="006E0AC6"/>
    <w:rsid w:val="006E1935"/>
    <w:rsid w:val="006E39EC"/>
    <w:rsid w:val="006E7459"/>
    <w:rsid w:val="006F011A"/>
    <w:rsid w:val="006F4C8C"/>
    <w:rsid w:val="006F4D67"/>
    <w:rsid w:val="006F778E"/>
    <w:rsid w:val="006F7A60"/>
    <w:rsid w:val="00700626"/>
    <w:rsid w:val="007022CD"/>
    <w:rsid w:val="007045F7"/>
    <w:rsid w:val="007055F7"/>
    <w:rsid w:val="00707DCF"/>
    <w:rsid w:val="00707FEF"/>
    <w:rsid w:val="00713A6E"/>
    <w:rsid w:val="00717714"/>
    <w:rsid w:val="00722EA1"/>
    <w:rsid w:val="00725AA7"/>
    <w:rsid w:val="007273F0"/>
    <w:rsid w:val="00732357"/>
    <w:rsid w:val="00735B89"/>
    <w:rsid w:val="007424D8"/>
    <w:rsid w:val="00742EA5"/>
    <w:rsid w:val="00742F88"/>
    <w:rsid w:val="00744FCB"/>
    <w:rsid w:val="00745491"/>
    <w:rsid w:val="00745527"/>
    <w:rsid w:val="007460C3"/>
    <w:rsid w:val="00746205"/>
    <w:rsid w:val="007506D8"/>
    <w:rsid w:val="00750DB6"/>
    <w:rsid w:val="00755E64"/>
    <w:rsid w:val="00756BEE"/>
    <w:rsid w:val="00757531"/>
    <w:rsid w:val="00760F83"/>
    <w:rsid w:val="00761C8D"/>
    <w:rsid w:val="00764418"/>
    <w:rsid w:val="00765927"/>
    <w:rsid w:val="00765AB0"/>
    <w:rsid w:val="007745AD"/>
    <w:rsid w:val="00774617"/>
    <w:rsid w:val="00776FB8"/>
    <w:rsid w:val="00780E42"/>
    <w:rsid w:val="00784997"/>
    <w:rsid w:val="0079221C"/>
    <w:rsid w:val="00796B12"/>
    <w:rsid w:val="007A0937"/>
    <w:rsid w:val="007A5674"/>
    <w:rsid w:val="007A6995"/>
    <w:rsid w:val="007A72F5"/>
    <w:rsid w:val="007B0EFD"/>
    <w:rsid w:val="007B4CDE"/>
    <w:rsid w:val="007C03B8"/>
    <w:rsid w:val="007C03C6"/>
    <w:rsid w:val="007C08A7"/>
    <w:rsid w:val="007C213F"/>
    <w:rsid w:val="007C4108"/>
    <w:rsid w:val="007C7864"/>
    <w:rsid w:val="007C79D1"/>
    <w:rsid w:val="007D0224"/>
    <w:rsid w:val="007D4A27"/>
    <w:rsid w:val="007E2540"/>
    <w:rsid w:val="007E42E6"/>
    <w:rsid w:val="007F0969"/>
    <w:rsid w:val="007F504F"/>
    <w:rsid w:val="007F6C6C"/>
    <w:rsid w:val="00800903"/>
    <w:rsid w:val="0080190D"/>
    <w:rsid w:val="00803443"/>
    <w:rsid w:val="00810038"/>
    <w:rsid w:val="00811EA3"/>
    <w:rsid w:val="0081505B"/>
    <w:rsid w:val="008160F0"/>
    <w:rsid w:val="008207A6"/>
    <w:rsid w:val="00821D09"/>
    <w:rsid w:val="008243BB"/>
    <w:rsid w:val="0082440D"/>
    <w:rsid w:val="00825324"/>
    <w:rsid w:val="00833ACD"/>
    <w:rsid w:val="00834D8C"/>
    <w:rsid w:val="00840056"/>
    <w:rsid w:val="008424C7"/>
    <w:rsid w:val="0084448C"/>
    <w:rsid w:val="00846186"/>
    <w:rsid w:val="00852E1F"/>
    <w:rsid w:val="00854A74"/>
    <w:rsid w:val="00855664"/>
    <w:rsid w:val="008565A7"/>
    <w:rsid w:val="008579AF"/>
    <w:rsid w:val="00857D0B"/>
    <w:rsid w:val="00860498"/>
    <w:rsid w:val="008609AB"/>
    <w:rsid w:val="0086194A"/>
    <w:rsid w:val="00861FE4"/>
    <w:rsid w:val="0086440B"/>
    <w:rsid w:val="0086502F"/>
    <w:rsid w:val="008664BE"/>
    <w:rsid w:val="0087052C"/>
    <w:rsid w:val="008735CD"/>
    <w:rsid w:val="00875E54"/>
    <w:rsid w:val="00875F47"/>
    <w:rsid w:val="00876233"/>
    <w:rsid w:val="00887248"/>
    <w:rsid w:val="00887CC1"/>
    <w:rsid w:val="00890895"/>
    <w:rsid w:val="00892E16"/>
    <w:rsid w:val="00893253"/>
    <w:rsid w:val="008965FB"/>
    <w:rsid w:val="00897680"/>
    <w:rsid w:val="008A0FB0"/>
    <w:rsid w:val="008A16B3"/>
    <w:rsid w:val="008A1D78"/>
    <w:rsid w:val="008A40F0"/>
    <w:rsid w:val="008A7A77"/>
    <w:rsid w:val="008B006E"/>
    <w:rsid w:val="008B608B"/>
    <w:rsid w:val="008C7749"/>
    <w:rsid w:val="008D1340"/>
    <w:rsid w:val="008D20E8"/>
    <w:rsid w:val="008D70C8"/>
    <w:rsid w:val="008D7AC0"/>
    <w:rsid w:val="008E3968"/>
    <w:rsid w:val="008E49A5"/>
    <w:rsid w:val="008E658A"/>
    <w:rsid w:val="008F0A2F"/>
    <w:rsid w:val="008F0AA0"/>
    <w:rsid w:val="008F1A30"/>
    <w:rsid w:val="008F265A"/>
    <w:rsid w:val="008F268F"/>
    <w:rsid w:val="008F3515"/>
    <w:rsid w:val="008F3CE5"/>
    <w:rsid w:val="009003FF"/>
    <w:rsid w:val="009007A8"/>
    <w:rsid w:val="0090366E"/>
    <w:rsid w:val="00904EB8"/>
    <w:rsid w:val="009156BD"/>
    <w:rsid w:val="009175FE"/>
    <w:rsid w:val="00917B19"/>
    <w:rsid w:val="009252EE"/>
    <w:rsid w:val="00926FB5"/>
    <w:rsid w:val="0092727E"/>
    <w:rsid w:val="009279BC"/>
    <w:rsid w:val="009319D8"/>
    <w:rsid w:val="009333A1"/>
    <w:rsid w:val="00933FDC"/>
    <w:rsid w:val="009345AD"/>
    <w:rsid w:val="009365B2"/>
    <w:rsid w:val="00944A58"/>
    <w:rsid w:val="00946CB6"/>
    <w:rsid w:val="00947063"/>
    <w:rsid w:val="00947EF9"/>
    <w:rsid w:val="00952071"/>
    <w:rsid w:val="00952274"/>
    <w:rsid w:val="009551D2"/>
    <w:rsid w:val="00956080"/>
    <w:rsid w:val="00957BDA"/>
    <w:rsid w:val="00962D6A"/>
    <w:rsid w:val="009660FA"/>
    <w:rsid w:val="00966614"/>
    <w:rsid w:val="00967803"/>
    <w:rsid w:val="00970DA6"/>
    <w:rsid w:val="009726DE"/>
    <w:rsid w:val="00975726"/>
    <w:rsid w:val="00980615"/>
    <w:rsid w:val="00982211"/>
    <w:rsid w:val="009824A5"/>
    <w:rsid w:val="0098262A"/>
    <w:rsid w:val="00983528"/>
    <w:rsid w:val="00983973"/>
    <w:rsid w:val="009861A4"/>
    <w:rsid w:val="00986FA1"/>
    <w:rsid w:val="00990EDA"/>
    <w:rsid w:val="0099442B"/>
    <w:rsid w:val="0099465D"/>
    <w:rsid w:val="0099662E"/>
    <w:rsid w:val="00997E2E"/>
    <w:rsid w:val="009A0C9C"/>
    <w:rsid w:val="009A3374"/>
    <w:rsid w:val="009A3E5C"/>
    <w:rsid w:val="009A7686"/>
    <w:rsid w:val="009A7F77"/>
    <w:rsid w:val="009B47B3"/>
    <w:rsid w:val="009C0ABD"/>
    <w:rsid w:val="009C0B38"/>
    <w:rsid w:val="009C3B95"/>
    <w:rsid w:val="009C6A28"/>
    <w:rsid w:val="009C6EE7"/>
    <w:rsid w:val="009C6FF8"/>
    <w:rsid w:val="009D092A"/>
    <w:rsid w:val="009D31C6"/>
    <w:rsid w:val="009D3892"/>
    <w:rsid w:val="009D67B7"/>
    <w:rsid w:val="009E0739"/>
    <w:rsid w:val="009E0D6D"/>
    <w:rsid w:val="009E1DD5"/>
    <w:rsid w:val="009E2171"/>
    <w:rsid w:val="009E5237"/>
    <w:rsid w:val="009E6A92"/>
    <w:rsid w:val="009E7C58"/>
    <w:rsid w:val="009F016C"/>
    <w:rsid w:val="009F027C"/>
    <w:rsid w:val="009F28F0"/>
    <w:rsid w:val="009F33FC"/>
    <w:rsid w:val="009F3690"/>
    <w:rsid w:val="009F4413"/>
    <w:rsid w:val="00A00FC6"/>
    <w:rsid w:val="00A03B39"/>
    <w:rsid w:val="00A067FA"/>
    <w:rsid w:val="00A11461"/>
    <w:rsid w:val="00A13E1F"/>
    <w:rsid w:val="00A14B5D"/>
    <w:rsid w:val="00A2098B"/>
    <w:rsid w:val="00A22D57"/>
    <w:rsid w:val="00A24CAE"/>
    <w:rsid w:val="00A25216"/>
    <w:rsid w:val="00A25DCA"/>
    <w:rsid w:val="00A32744"/>
    <w:rsid w:val="00A36EA1"/>
    <w:rsid w:val="00A37D63"/>
    <w:rsid w:val="00A4198D"/>
    <w:rsid w:val="00A444FB"/>
    <w:rsid w:val="00A4495C"/>
    <w:rsid w:val="00A45F0C"/>
    <w:rsid w:val="00A50ABE"/>
    <w:rsid w:val="00A5181E"/>
    <w:rsid w:val="00A52CC1"/>
    <w:rsid w:val="00A577B8"/>
    <w:rsid w:val="00A620CC"/>
    <w:rsid w:val="00A658A9"/>
    <w:rsid w:val="00A66403"/>
    <w:rsid w:val="00A67531"/>
    <w:rsid w:val="00A7100B"/>
    <w:rsid w:val="00A7120D"/>
    <w:rsid w:val="00A71AE7"/>
    <w:rsid w:val="00A749D9"/>
    <w:rsid w:val="00A806FE"/>
    <w:rsid w:val="00A81ABD"/>
    <w:rsid w:val="00A844EF"/>
    <w:rsid w:val="00A868CB"/>
    <w:rsid w:val="00A87974"/>
    <w:rsid w:val="00A91E45"/>
    <w:rsid w:val="00A94AEF"/>
    <w:rsid w:val="00A9565C"/>
    <w:rsid w:val="00AA09DF"/>
    <w:rsid w:val="00AA141F"/>
    <w:rsid w:val="00AA2FE2"/>
    <w:rsid w:val="00AA4283"/>
    <w:rsid w:val="00AA4E6A"/>
    <w:rsid w:val="00AA575B"/>
    <w:rsid w:val="00AA59D2"/>
    <w:rsid w:val="00AA7BC0"/>
    <w:rsid w:val="00AB3457"/>
    <w:rsid w:val="00AB6870"/>
    <w:rsid w:val="00AC5241"/>
    <w:rsid w:val="00AC58A1"/>
    <w:rsid w:val="00AC6B3A"/>
    <w:rsid w:val="00AD17F1"/>
    <w:rsid w:val="00AD38E2"/>
    <w:rsid w:val="00AD62F6"/>
    <w:rsid w:val="00AD7CEB"/>
    <w:rsid w:val="00AE09E2"/>
    <w:rsid w:val="00AE1898"/>
    <w:rsid w:val="00AE3CB2"/>
    <w:rsid w:val="00AE6F79"/>
    <w:rsid w:val="00AF0EF3"/>
    <w:rsid w:val="00AF312C"/>
    <w:rsid w:val="00AF38F4"/>
    <w:rsid w:val="00AF616A"/>
    <w:rsid w:val="00B014D6"/>
    <w:rsid w:val="00B017CE"/>
    <w:rsid w:val="00B028E2"/>
    <w:rsid w:val="00B109EF"/>
    <w:rsid w:val="00B1234C"/>
    <w:rsid w:val="00B127E3"/>
    <w:rsid w:val="00B13B74"/>
    <w:rsid w:val="00B1472D"/>
    <w:rsid w:val="00B15208"/>
    <w:rsid w:val="00B162D8"/>
    <w:rsid w:val="00B17A81"/>
    <w:rsid w:val="00B17E76"/>
    <w:rsid w:val="00B22411"/>
    <w:rsid w:val="00B30AB5"/>
    <w:rsid w:val="00B3186B"/>
    <w:rsid w:val="00B32862"/>
    <w:rsid w:val="00B32F28"/>
    <w:rsid w:val="00B3381D"/>
    <w:rsid w:val="00B341C6"/>
    <w:rsid w:val="00B35434"/>
    <w:rsid w:val="00B35C7A"/>
    <w:rsid w:val="00B36053"/>
    <w:rsid w:val="00B36865"/>
    <w:rsid w:val="00B37065"/>
    <w:rsid w:val="00B42036"/>
    <w:rsid w:val="00B435D9"/>
    <w:rsid w:val="00B473D3"/>
    <w:rsid w:val="00B51A0F"/>
    <w:rsid w:val="00B52B94"/>
    <w:rsid w:val="00B52C7C"/>
    <w:rsid w:val="00B53CB9"/>
    <w:rsid w:val="00B6044D"/>
    <w:rsid w:val="00B61244"/>
    <w:rsid w:val="00B62EE0"/>
    <w:rsid w:val="00B63516"/>
    <w:rsid w:val="00B64C3C"/>
    <w:rsid w:val="00B6650E"/>
    <w:rsid w:val="00B66D17"/>
    <w:rsid w:val="00B70111"/>
    <w:rsid w:val="00B722BF"/>
    <w:rsid w:val="00B7253E"/>
    <w:rsid w:val="00B7383F"/>
    <w:rsid w:val="00B75132"/>
    <w:rsid w:val="00B756EB"/>
    <w:rsid w:val="00B76D62"/>
    <w:rsid w:val="00B83A20"/>
    <w:rsid w:val="00B84901"/>
    <w:rsid w:val="00B91A15"/>
    <w:rsid w:val="00B92274"/>
    <w:rsid w:val="00B946C1"/>
    <w:rsid w:val="00B95749"/>
    <w:rsid w:val="00B97AC5"/>
    <w:rsid w:val="00BA4990"/>
    <w:rsid w:val="00BA5F93"/>
    <w:rsid w:val="00BB19EC"/>
    <w:rsid w:val="00BB696B"/>
    <w:rsid w:val="00BC51E6"/>
    <w:rsid w:val="00BC557B"/>
    <w:rsid w:val="00BC5704"/>
    <w:rsid w:val="00BC5BB1"/>
    <w:rsid w:val="00BC6486"/>
    <w:rsid w:val="00BD1172"/>
    <w:rsid w:val="00BD11CB"/>
    <w:rsid w:val="00BD21F2"/>
    <w:rsid w:val="00BD24F6"/>
    <w:rsid w:val="00BD2F8F"/>
    <w:rsid w:val="00BD327C"/>
    <w:rsid w:val="00BE09E5"/>
    <w:rsid w:val="00BE1682"/>
    <w:rsid w:val="00BE22C8"/>
    <w:rsid w:val="00BE4635"/>
    <w:rsid w:val="00BE6B53"/>
    <w:rsid w:val="00BF1852"/>
    <w:rsid w:val="00BF5DF2"/>
    <w:rsid w:val="00BF7EB1"/>
    <w:rsid w:val="00C02081"/>
    <w:rsid w:val="00C03098"/>
    <w:rsid w:val="00C03E0E"/>
    <w:rsid w:val="00C04739"/>
    <w:rsid w:val="00C04BFF"/>
    <w:rsid w:val="00C06AFA"/>
    <w:rsid w:val="00C10576"/>
    <w:rsid w:val="00C13808"/>
    <w:rsid w:val="00C17032"/>
    <w:rsid w:val="00C1716C"/>
    <w:rsid w:val="00C171D8"/>
    <w:rsid w:val="00C20C78"/>
    <w:rsid w:val="00C212C0"/>
    <w:rsid w:val="00C27FE8"/>
    <w:rsid w:val="00C309F5"/>
    <w:rsid w:val="00C33E7E"/>
    <w:rsid w:val="00C355E4"/>
    <w:rsid w:val="00C40793"/>
    <w:rsid w:val="00C419A2"/>
    <w:rsid w:val="00C43DB3"/>
    <w:rsid w:val="00C51656"/>
    <w:rsid w:val="00C55818"/>
    <w:rsid w:val="00C57060"/>
    <w:rsid w:val="00C57FF2"/>
    <w:rsid w:val="00C60269"/>
    <w:rsid w:val="00C63213"/>
    <w:rsid w:val="00C63969"/>
    <w:rsid w:val="00C65AB2"/>
    <w:rsid w:val="00C66C05"/>
    <w:rsid w:val="00C718DD"/>
    <w:rsid w:val="00C72A6C"/>
    <w:rsid w:val="00C72FA7"/>
    <w:rsid w:val="00C76BC1"/>
    <w:rsid w:val="00C911FE"/>
    <w:rsid w:val="00C92443"/>
    <w:rsid w:val="00CA326E"/>
    <w:rsid w:val="00CA4725"/>
    <w:rsid w:val="00CA552C"/>
    <w:rsid w:val="00CB14CD"/>
    <w:rsid w:val="00CB1EA4"/>
    <w:rsid w:val="00CB3163"/>
    <w:rsid w:val="00CB433D"/>
    <w:rsid w:val="00CB4CA0"/>
    <w:rsid w:val="00CB5D88"/>
    <w:rsid w:val="00CB79F9"/>
    <w:rsid w:val="00CC00E8"/>
    <w:rsid w:val="00CC0D17"/>
    <w:rsid w:val="00CC283F"/>
    <w:rsid w:val="00CC47D9"/>
    <w:rsid w:val="00CC7339"/>
    <w:rsid w:val="00CD2207"/>
    <w:rsid w:val="00CD4446"/>
    <w:rsid w:val="00CE0E62"/>
    <w:rsid w:val="00CE3604"/>
    <w:rsid w:val="00CE3C7C"/>
    <w:rsid w:val="00CE4095"/>
    <w:rsid w:val="00CE5E46"/>
    <w:rsid w:val="00CE6D23"/>
    <w:rsid w:val="00CE6F37"/>
    <w:rsid w:val="00CE7C33"/>
    <w:rsid w:val="00CF26D1"/>
    <w:rsid w:val="00CF660B"/>
    <w:rsid w:val="00D01FCD"/>
    <w:rsid w:val="00D025DE"/>
    <w:rsid w:val="00D02F76"/>
    <w:rsid w:val="00D067E0"/>
    <w:rsid w:val="00D07ECD"/>
    <w:rsid w:val="00D12417"/>
    <w:rsid w:val="00D12A02"/>
    <w:rsid w:val="00D12B1B"/>
    <w:rsid w:val="00D13F71"/>
    <w:rsid w:val="00D16197"/>
    <w:rsid w:val="00D17517"/>
    <w:rsid w:val="00D20F1F"/>
    <w:rsid w:val="00D2106C"/>
    <w:rsid w:val="00D24557"/>
    <w:rsid w:val="00D314FA"/>
    <w:rsid w:val="00D33A91"/>
    <w:rsid w:val="00D35180"/>
    <w:rsid w:val="00D35DFF"/>
    <w:rsid w:val="00D36A0F"/>
    <w:rsid w:val="00D3729D"/>
    <w:rsid w:val="00D40F8C"/>
    <w:rsid w:val="00D43617"/>
    <w:rsid w:val="00D44663"/>
    <w:rsid w:val="00D474BB"/>
    <w:rsid w:val="00D532BE"/>
    <w:rsid w:val="00D570D8"/>
    <w:rsid w:val="00D61BA7"/>
    <w:rsid w:val="00D61D65"/>
    <w:rsid w:val="00D622B6"/>
    <w:rsid w:val="00D66EA5"/>
    <w:rsid w:val="00D76247"/>
    <w:rsid w:val="00D806F1"/>
    <w:rsid w:val="00D8089E"/>
    <w:rsid w:val="00D80A44"/>
    <w:rsid w:val="00D80AAB"/>
    <w:rsid w:val="00D82EAF"/>
    <w:rsid w:val="00D84186"/>
    <w:rsid w:val="00D850C2"/>
    <w:rsid w:val="00D95309"/>
    <w:rsid w:val="00DA005B"/>
    <w:rsid w:val="00DA0381"/>
    <w:rsid w:val="00DA1022"/>
    <w:rsid w:val="00DA11FA"/>
    <w:rsid w:val="00DA2715"/>
    <w:rsid w:val="00DA2886"/>
    <w:rsid w:val="00DB0F56"/>
    <w:rsid w:val="00DB1BD2"/>
    <w:rsid w:val="00DB3913"/>
    <w:rsid w:val="00DB4593"/>
    <w:rsid w:val="00DB4BEF"/>
    <w:rsid w:val="00DB4D62"/>
    <w:rsid w:val="00DB4DB2"/>
    <w:rsid w:val="00DB5C77"/>
    <w:rsid w:val="00DB7543"/>
    <w:rsid w:val="00DC14B1"/>
    <w:rsid w:val="00DC219D"/>
    <w:rsid w:val="00DC6183"/>
    <w:rsid w:val="00DD0BE4"/>
    <w:rsid w:val="00DD24C5"/>
    <w:rsid w:val="00DD41C4"/>
    <w:rsid w:val="00DD4FD4"/>
    <w:rsid w:val="00DD6ACF"/>
    <w:rsid w:val="00DD7248"/>
    <w:rsid w:val="00DE0285"/>
    <w:rsid w:val="00DE15F8"/>
    <w:rsid w:val="00DE1E6E"/>
    <w:rsid w:val="00DE2CAB"/>
    <w:rsid w:val="00DE4570"/>
    <w:rsid w:val="00DE58D0"/>
    <w:rsid w:val="00DE5B5A"/>
    <w:rsid w:val="00DE5D6C"/>
    <w:rsid w:val="00DE72C3"/>
    <w:rsid w:val="00DE7BA3"/>
    <w:rsid w:val="00DF1BDF"/>
    <w:rsid w:val="00DF2BA6"/>
    <w:rsid w:val="00DF71D5"/>
    <w:rsid w:val="00E04C55"/>
    <w:rsid w:val="00E04E2B"/>
    <w:rsid w:val="00E0791A"/>
    <w:rsid w:val="00E10A07"/>
    <w:rsid w:val="00E1200C"/>
    <w:rsid w:val="00E12F94"/>
    <w:rsid w:val="00E15786"/>
    <w:rsid w:val="00E21332"/>
    <w:rsid w:val="00E21770"/>
    <w:rsid w:val="00E22C97"/>
    <w:rsid w:val="00E23238"/>
    <w:rsid w:val="00E3280A"/>
    <w:rsid w:val="00E3413E"/>
    <w:rsid w:val="00E4020A"/>
    <w:rsid w:val="00E40E95"/>
    <w:rsid w:val="00E4362F"/>
    <w:rsid w:val="00E47E91"/>
    <w:rsid w:val="00E52AFE"/>
    <w:rsid w:val="00E54BAA"/>
    <w:rsid w:val="00E54E24"/>
    <w:rsid w:val="00E55A4E"/>
    <w:rsid w:val="00E5658A"/>
    <w:rsid w:val="00E576F5"/>
    <w:rsid w:val="00E60415"/>
    <w:rsid w:val="00E60527"/>
    <w:rsid w:val="00E6103C"/>
    <w:rsid w:val="00E662FB"/>
    <w:rsid w:val="00E70E4E"/>
    <w:rsid w:val="00E72F2E"/>
    <w:rsid w:val="00E81264"/>
    <w:rsid w:val="00E82C4E"/>
    <w:rsid w:val="00E83561"/>
    <w:rsid w:val="00E866AA"/>
    <w:rsid w:val="00E87A30"/>
    <w:rsid w:val="00E90100"/>
    <w:rsid w:val="00E905DC"/>
    <w:rsid w:val="00E9703B"/>
    <w:rsid w:val="00EA0D64"/>
    <w:rsid w:val="00EA0E31"/>
    <w:rsid w:val="00EA1919"/>
    <w:rsid w:val="00EA4397"/>
    <w:rsid w:val="00EB48A9"/>
    <w:rsid w:val="00EB5FEC"/>
    <w:rsid w:val="00EB73AF"/>
    <w:rsid w:val="00EC373A"/>
    <w:rsid w:val="00EC40C8"/>
    <w:rsid w:val="00EC4232"/>
    <w:rsid w:val="00EC4C90"/>
    <w:rsid w:val="00EC4D12"/>
    <w:rsid w:val="00ED16E6"/>
    <w:rsid w:val="00ED567C"/>
    <w:rsid w:val="00ED6B7D"/>
    <w:rsid w:val="00ED77DC"/>
    <w:rsid w:val="00EE24FA"/>
    <w:rsid w:val="00EE4AAA"/>
    <w:rsid w:val="00EE54BF"/>
    <w:rsid w:val="00EE7CF9"/>
    <w:rsid w:val="00EF03BC"/>
    <w:rsid w:val="00EF0A1D"/>
    <w:rsid w:val="00EF1399"/>
    <w:rsid w:val="00EF250F"/>
    <w:rsid w:val="00EF32C1"/>
    <w:rsid w:val="00F03AFB"/>
    <w:rsid w:val="00F04A9B"/>
    <w:rsid w:val="00F05F4C"/>
    <w:rsid w:val="00F06C13"/>
    <w:rsid w:val="00F10653"/>
    <w:rsid w:val="00F10801"/>
    <w:rsid w:val="00F14961"/>
    <w:rsid w:val="00F1524F"/>
    <w:rsid w:val="00F2449E"/>
    <w:rsid w:val="00F24DF5"/>
    <w:rsid w:val="00F2642E"/>
    <w:rsid w:val="00F27F77"/>
    <w:rsid w:val="00F31BBD"/>
    <w:rsid w:val="00F328F7"/>
    <w:rsid w:val="00F3380E"/>
    <w:rsid w:val="00F35950"/>
    <w:rsid w:val="00F368EF"/>
    <w:rsid w:val="00F37D14"/>
    <w:rsid w:val="00F40B4E"/>
    <w:rsid w:val="00F41049"/>
    <w:rsid w:val="00F440DE"/>
    <w:rsid w:val="00F47C44"/>
    <w:rsid w:val="00F47E98"/>
    <w:rsid w:val="00F50A85"/>
    <w:rsid w:val="00F55166"/>
    <w:rsid w:val="00F55365"/>
    <w:rsid w:val="00F5611E"/>
    <w:rsid w:val="00F57F95"/>
    <w:rsid w:val="00F64025"/>
    <w:rsid w:val="00F64C76"/>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A088B"/>
    <w:rsid w:val="00FA095E"/>
    <w:rsid w:val="00FA1EB3"/>
    <w:rsid w:val="00FA2CAC"/>
    <w:rsid w:val="00FA30AD"/>
    <w:rsid w:val="00FA5F1D"/>
    <w:rsid w:val="00FB3DD1"/>
    <w:rsid w:val="00FB50DC"/>
    <w:rsid w:val="00FB661B"/>
    <w:rsid w:val="00FB6EED"/>
    <w:rsid w:val="00FC1E04"/>
    <w:rsid w:val="00FC32CF"/>
    <w:rsid w:val="00FC344E"/>
    <w:rsid w:val="00FC72C2"/>
    <w:rsid w:val="00FE0745"/>
    <w:rsid w:val="00FE11E2"/>
    <w:rsid w:val="00FE28FA"/>
    <w:rsid w:val="00FE2F4F"/>
    <w:rsid w:val="00FE4A1B"/>
    <w:rsid w:val="00FE6196"/>
    <w:rsid w:val="00FE756C"/>
    <w:rsid w:val="00FE7D07"/>
    <w:rsid w:val="00FF012B"/>
    <w:rsid w:val="00FF4A5E"/>
    <w:rsid w:val="00FF5FB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D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character" w:customStyle="1" w:styleId="CommentTextChar">
    <w:name w:val="Comment Text Char"/>
    <w:basedOn w:val="DefaultParagraphFont"/>
    <w:link w:val="CommentText"/>
    <w:rsid w:val="001A6F36"/>
    <w:rPr>
      <w:lang w:val="en-US" w:eastAsia="en-US"/>
    </w:rPr>
  </w:style>
  <w:style w:type="paragraph" w:styleId="ListBullet">
    <w:name w:val="List Bullet"/>
    <w:basedOn w:val="Normal"/>
    <w:rsid w:val="00F5611E"/>
    <w:pPr>
      <w:numPr>
        <w:numId w:val="19"/>
      </w:numPr>
      <w:spacing w:after="80" w:line="240" w:lineRule="atLeast"/>
    </w:pPr>
    <w:rPr>
      <w:rFonts w:ascii="HelveticaNeueLT Std Lt" w:hAnsi="HelveticaNeueLT Std Lt"/>
      <w:sz w:val="20"/>
      <w:lang w:val="en-AU" w:eastAsia="en-AU"/>
    </w:rPr>
  </w:style>
  <w:style w:type="paragraph" w:styleId="ListBullet2">
    <w:name w:val="List Bullet 2"/>
    <w:basedOn w:val="Normal"/>
    <w:rsid w:val="00F5611E"/>
    <w:pPr>
      <w:numPr>
        <w:numId w:val="20"/>
      </w:numPr>
      <w:spacing w:after="80" w:line="240" w:lineRule="atLeast"/>
    </w:pPr>
    <w:rPr>
      <w:rFonts w:ascii="HelveticaNeueLT Std Lt" w:hAnsi="HelveticaNeueLT Std Lt"/>
      <w:sz w:val="20"/>
      <w:lang w:val="en-AU" w:eastAsia="en-AU"/>
    </w:rPr>
  </w:style>
  <w:style w:type="paragraph" w:customStyle="1" w:styleId="definition">
    <w:name w:val="definition"/>
    <w:basedOn w:val="Normal"/>
    <w:rsid w:val="00B70111"/>
    <w:pPr>
      <w:spacing w:before="80" w:line="260" w:lineRule="exact"/>
      <w:ind w:left="964"/>
      <w:jc w:val="both"/>
    </w:pPr>
    <w:rPr>
      <w:lang w:val="en-AU"/>
    </w:rPr>
  </w:style>
  <w:style w:type="paragraph" w:customStyle="1" w:styleId="subsection">
    <w:name w:val="subsection"/>
    <w:basedOn w:val="Normal"/>
    <w:rsid w:val="00D61BA7"/>
    <w:pPr>
      <w:spacing w:before="100" w:beforeAutospacing="1" w:after="100" w:afterAutospacing="1"/>
    </w:pPr>
    <w:rPr>
      <w:lang w:val="en-AU" w:eastAsia="en-AU"/>
    </w:rPr>
  </w:style>
  <w:style w:type="paragraph" w:customStyle="1" w:styleId="paragraph">
    <w:name w:val="paragraph"/>
    <w:basedOn w:val="Normal"/>
    <w:rsid w:val="00D61BA7"/>
    <w:pPr>
      <w:spacing w:before="100" w:beforeAutospacing="1" w:after="100" w:afterAutospacing="1"/>
    </w:pPr>
    <w:rPr>
      <w:lang w:val="en-AU" w:eastAsia="en-AU"/>
    </w:rPr>
  </w:style>
  <w:style w:type="paragraph" w:customStyle="1" w:styleId="subsection2">
    <w:name w:val="subsection2"/>
    <w:basedOn w:val="Normal"/>
    <w:rsid w:val="00D61BA7"/>
    <w:pPr>
      <w:spacing w:before="100" w:beforeAutospacing="1" w:after="100" w:afterAutospacing="1"/>
    </w:pPr>
    <w:rPr>
      <w:lang w:val="en-AU" w:eastAsia="en-AU"/>
    </w:rPr>
  </w:style>
</w:styles>
</file>

<file path=word/webSettings.xml><?xml version="1.0" encoding="utf-8"?>
<w:webSettings xmlns:r="http://schemas.openxmlformats.org/officeDocument/2006/relationships" xmlns:w="http://schemas.openxmlformats.org/wordprocessingml/2006/main">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82468">
      <w:bodyDiv w:val="1"/>
      <w:marLeft w:val="0"/>
      <w:marRight w:val="0"/>
      <w:marTop w:val="0"/>
      <w:marBottom w:val="0"/>
      <w:divBdr>
        <w:top w:val="none" w:sz="0" w:space="0" w:color="auto"/>
        <w:left w:val="none" w:sz="0" w:space="0" w:color="auto"/>
        <w:bottom w:val="none" w:sz="0" w:space="0" w:color="auto"/>
        <w:right w:val="none" w:sz="0" w:space="0" w:color="auto"/>
      </w:divBdr>
      <w:divsChild>
        <w:div w:id="1129519013">
          <w:marLeft w:val="0"/>
          <w:marRight w:val="0"/>
          <w:marTop w:val="0"/>
          <w:marBottom w:val="0"/>
          <w:divBdr>
            <w:top w:val="none" w:sz="0" w:space="0" w:color="auto"/>
            <w:left w:val="none" w:sz="0" w:space="0" w:color="auto"/>
            <w:bottom w:val="none" w:sz="0" w:space="0" w:color="auto"/>
            <w:right w:val="none" w:sz="0" w:space="0" w:color="auto"/>
          </w:divBdr>
          <w:divsChild>
            <w:div w:id="1720518431">
              <w:marLeft w:val="0"/>
              <w:marRight w:val="0"/>
              <w:marTop w:val="0"/>
              <w:marBottom w:val="0"/>
              <w:divBdr>
                <w:top w:val="none" w:sz="0" w:space="0" w:color="auto"/>
                <w:left w:val="none" w:sz="0" w:space="0" w:color="auto"/>
                <w:bottom w:val="none" w:sz="0" w:space="0" w:color="auto"/>
                <w:right w:val="none" w:sz="0" w:space="0" w:color="auto"/>
              </w:divBdr>
              <w:divsChild>
                <w:div w:id="248468342">
                  <w:marLeft w:val="0"/>
                  <w:marRight w:val="0"/>
                  <w:marTop w:val="0"/>
                  <w:marBottom w:val="0"/>
                  <w:divBdr>
                    <w:top w:val="none" w:sz="0" w:space="0" w:color="auto"/>
                    <w:left w:val="none" w:sz="0" w:space="0" w:color="auto"/>
                    <w:bottom w:val="none" w:sz="0" w:space="0" w:color="auto"/>
                    <w:right w:val="none" w:sz="0" w:space="0" w:color="auto"/>
                  </w:divBdr>
                  <w:divsChild>
                    <w:div w:id="964653581">
                      <w:marLeft w:val="0"/>
                      <w:marRight w:val="0"/>
                      <w:marTop w:val="0"/>
                      <w:marBottom w:val="0"/>
                      <w:divBdr>
                        <w:top w:val="none" w:sz="0" w:space="0" w:color="auto"/>
                        <w:left w:val="none" w:sz="0" w:space="0" w:color="auto"/>
                        <w:bottom w:val="none" w:sz="0" w:space="0" w:color="auto"/>
                        <w:right w:val="none" w:sz="0" w:space="0" w:color="auto"/>
                      </w:divBdr>
                      <w:divsChild>
                        <w:div w:id="1764498415">
                          <w:marLeft w:val="0"/>
                          <w:marRight w:val="0"/>
                          <w:marTop w:val="0"/>
                          <w:marBottom w:val="0"/>
                          <w:divBdr>
                            <w:top w:val="single" w:sz="6" w:space="0" w:color="828282"/>
                            <w:left w:val="single" w:sz="6" w:space="0" w:color="828282"/>
                            <w:bottom w:val="single" w:sz="6" w:space="0" w:color="828282"/>
                            <w:right w:val="single" w:sz="6" w:space="0" w:color="828282"/>
                          </w:divBdr>
                          <w:divsChild>
                            <w:div w:id="886646459">
                              <w:marLeft w:val="0"/>
                              <w:marRight w:val="0"/>
                              <w:marTop w:val="0"/>
                              <w:marBottom w:val="0"/>
                              <w:divBdr>
                                <w:top w:val="none" w:sz="0" w:space="0" w:color="auto"/>
                                <w:left w:val="none" w:sz="0" w:space="0" w:color="auto"/>
                                <w:bottom w:val="none" w:sz="0" w:space="0" w:color="auto"/>
                                <w:right w:val="none" w:sz="0" w:space="0" w:color="auto"/>
                              </w:divBdr>
                              <w:divsChild>
                                <w:div w:id="1674259567">
                                  <w:marLeft w:val="0"/>
                                  <w:marRight w:val="0"/>
                                  <w:marTop w:val="0"/>
                                  <w:marBottom w:val="0"/>
                                  <w:divBdr>
                                    <w:top w:val="none" w:sz="0" w:space="0" w:color="auto"/>
                                    <w:left w:val="none" w:sz="0" w:space="0" w:color="auto"/>
                                    <w:bottom w:val="none" w:sz="0" w:space="0" w:color="auto"/>
                                    <w:right w:val="none" w:sz="0" w:space="0" w:color="auto"/>
                                  </w:divBdr>
                                  <w:divsChild>
                                    <w:div w:id="1323313111">
                                      <w:marLeft w:val="0"/>
                                      <w:marRight w:val="0"/>
                                      <w:marTop w:val="0"/>
                                      <w:marBottom w:val="0"/>
                                      <w:divBdr>
                                        <w:top w:val="none" w:sz="0" w:space="0" w:color="auto"/>
                                        <w:left w:val="none" w:sz="0" w:space="0" w:color="auto"/>
                                        <w:bottom w:val="none" w:sz="0" w:space="0" w:color="auto"/>
                                        <w:right w:val="none" w:sz="0" w:space="0" w:color="auto"/>
                                      </w:divBdr>
                                      <w:divsChild>
                                        <w:div w:id="626472025">
                                          <w:marLeft w:val="0"/>
                                          <w:marRight w:val="0"/>
                                          <w:marTop w:val="0"/>
                                          <w:marBottom w:val="0"/>
                                          <w:divBdr>
                                            <w:top w:val="none" w:sz="0" w:space="0" w:color="auto"/>
                                            <w:left w:val="none" w:sz="0" w:space="0" w:color="auto"/>
                                            <w:bottom w:val="none" w:sz="0" w:space="0" w:color="auto"/>
                                            <w:right w:val="none" w:sz="0" w:space="0" w:color="auto"/>
                                          </w:divBdr>
                                          <w:divsChild>
                                            <w:div w:id="1074201411">
                                              <w:marLeft w:val="0"/>
                                              <w:marRight w:val="0"/>
                                              <w:marTop w:val="0"/>
                                              <w:marBottom w:val="0"/>
                                              <w:divBdr>
                                                <w:top w:val="none" w:sz="0" w:space="0" w:color="auto"/>
                                                <w:left w:val="none" w:sz="0" w:space="0" w:color="auto"/>
                                                <w:bottom w:val="none" w:sz="0" w:space="0" w:color="auto"/>
                                                <w:right w:val="none" w:sz="0" w:space="0" w:color="auto"/>
                                              </w:divBdr>
                                              <w:divsChild>
                                                <w:div w:id="21320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WEB/STANDARD/pc=PC_4103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db8f3c6-01a1-4322-b043-a3b2a190f7a8">KNAH4PPFC442-1229-395</_dlc_DocId>
    <_dlc_DocIdUrl xmlns="6db8f3c6-01a1-4322-b043-a3b2a190f7a8">
      <Url>http://collaboration/organisation/CID/IRB/SORS/_layouts/DocIdRedir.aspx?ID=KNAH4PPFC442-1229-395</Url>
      <Description>KNAH4PPFC442-1229-395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608D-5358-4F2C-9F43-95E6094076B5}">
  <ds:schemaRefs>
    <ds:schemaRef ds:uri="http://schemas.microsoft.com/sharepoint/events"/>
  </ds:schemaRefs>
</ds:datastoreItem>
</file>

<file path=customXml/itemProps2.xml><?xml version="1.0" encoding="utf-8"?>
<ds:datastoreItem xmlns:ds="http://schemas.openxmlformats.org/officeDocument/2006/customXml" ds:itemID="{4BBCB347-A8F3-4CAF-8F8B-6ABDB4F4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DB36F-711C-4F49-82DA-29BD3B5100E5}">
  <ds:schemaRefs>
    <ds:schemaRef ds:uri="http://schemas.microsoft.com/sharepoint/v3/contenttype/forms"/>
  </ds:schemaRefs>
</ds:datastoreItem>
</file>

<file path=customXml/itemProps4.xml><?xml version="1.0" encoding="utf-8"?>
<ds:datastoreItem xmlns:ds="http://schemas.openxmlformats.org/officeDocument/2006/customXml" ds:itemID="{9DDD8598-2D72-4182-9CFF-124C536AF6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db8f3c6-01a1-4322-b043-a3b2a190f7a8"/>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BF6A7DDA-03A8-413A-9E12-33EE8F02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2154</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13813</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2010-06-25T01:30:00Z</cp:lastPrinted>
  <dcterms:created xsi:type="dcterms:W3CDTF">2012-08-09T03:11:00Z</dcterms:created>
  <dcterms:modified xsi:type="dcterms:W3CDTF">2012-08-16T00:22:00Z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3c16f921-ff99-4e44-832c-41cb2c59d428</vt:lpwstr>
  </property>
  <property fmtid="{D5CDD505-2E9C-101B-9397-08002B2CF9AE}" pid="4" name="ContentTypeId">
    <vt:lpwstr>0x010100F3B87CF1831231499AB06102660F5006</vt:lpwstr>
  </property>
</Properties>
</file>