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8A" w:rsidRPr="00465F26" w:rsidRDefault="0039588A" w:rsidP="0039588A">
      <w:pPr>
        <w:spacing w:line="360" w:lineRule="auto"/>
        <w:jc w:val="center"/>
        <w:rPr>
          <w:rFonts w:ascii="Arial" w:hAnsi="Arial" w:cs="Arial"/>
          <w:b/>
          <w:sz w:val="22"/>
          <w:szCs w:val="22"/>
          <w:lang w:val="en-AU"/>
        </w:rPr>
      </w:pPr>
      <w:r w:rsidRPr="00465F26">
        <w:rPr>
          <w:rFonts w:ascii="Arial" w:hAnsi="Arial" w:cs="Arial"/>
          <w:b/>
          <w:sz w:val="22"/>
          <w:szCs w:val="22"/>
          <w:lang w:val="en-AU"/>
        </w:rPr>
        <w:t>EXPLANATORY STATEMENT</w:t>
      </w:r>
    </w:p>
    <w:p w:rsidR="0039588A" w:rsidRPr="00465F26" w:rsidRDefault="0039588A" w:rsidP="0039588A">
      <w:pPr>
        <w:spacing w:line="360" w:lineRule="auto"/>
        <w:jc w:val="center"/>
        <w:rPr>
          <w:rFonts w:ascii="Arial" w:hAnsi="Arial" w:cs="Arial"/>
          <w:i/>
          <w:sz w:val="22"/>
          <w:szCs w:val="22"/>
          <w:lang w:val="en-AU"/>
        </w:rPr>
      </w:pPr>
    </w:p>
    <w:p w:rsidR="0039588A" w:rsidRPr="00465F26" w:rsidRDefault="0039588A" w:rsidP="0039588A">
      <w:pPr>
        <w:spacing w:line="360" w:lineRule="auto"/>
        <w:jc w:val="center"/>
        <w:rPr>
          <w:rFonts w:ascii="Arial" w:hAnsi="Arial" w:cs="Arial"/>
          <w:sz w:val="22"/>
          <w:szCs w:val="22"/>
          <w:lang w:val="en-AU"/>
        </w:rPr>
      </w:pPr>
      <w:r w:rsidRPr="00465F26">
        <w:rPr>
          <w:rFonts w:ascii="Arial" w:hAnsi="Arial" w:cs="Arial"/>
          <w:sz w:val="22"/>
          <w:szCs w:val="22"/>
          <w:lang w:val="en-AU"/>
        </w:rPr>
        <w:t>Issued by the Australian Communications and Media Authority</w:t>
      </w:r>
    </w:p>
    <w:p w:rsidR="0039588A" w:rsidRPr="00465F26" w:rsidRDefault="0039588A" w:rsidP="0039588A">
      <w:pPr>
        <w:spacing w:line="360" w:lineRule="auto"/>
        <w:jc w:val="center"/>
        <w:rPr>
          <w:rFonts w:ascii="Arial" w:hAnsi="Arial" w:cs="Arial"/>
          <w:i/>
          <w:sz w:val="22"/>
          <w:szCs w:val="22"/>
          <w:lang w:val="en-AU"/>
        </w:rPr>
      </w:pPr>
    </w:p>
    <w:p w:rsidR="0039588A" w:rsidRPr="00465F26" w:rsidRDefault="0039588A" w:rsidP="0039588A">
      <w:pPr>
        <w:spacing w:line="360" w:lineRule="auto"/>
        <w:jc w:val="center"/>
        <w:rPr>
          <w:rFonts w:ascii="Arial" w:hAnsi="Arial" w:cs="Arial"/>
          <w:i/>
          <w:sz w:val="22"/>
          <w:szCs w:val="22"/>
          <w:lang w:val="en-AU"/>
        </w:rPr>
      </w:pPr>
      <w:r w:rsidRPr="00465F26">
        <w:rPr>
          <w:rFonts w:ascii="Arial" w:hAnsi="Arial" w:cs="Arial"/>
          <w:i/>
          <w:sz w:val="22"/>
          <w:szCs w:val="22"/>
          <w:lang w:val="en-AU"/>
        </w:rPr>
        <w:t>Radiocommunications (</w:t>
      </w:r>
      <w:r w:rsidR="002D26A9">
        <w:rPr>
          <w:rFonts w:ascii="Arial" w:hAnsi="Arial" w:cs="Arial"/>
          <w:i/>
          <w:sz w:val="22"/>
          <w:szCs w:val="22"/>
          <w:lang w:val="en-AU"/>
        </w:rPr>
        <w:t>sub</w:t>
      </w:r>
      <w:r w:rsidRPr="00465F26">
        <w:rPr>
          <w:rFonts w:ascii="Arial" w:hAnsi="Arial" w:cs="Arial"/>
          <w:i/>
          <w:sz w:val="22"/>
          <w:szCs w:val="22"/>
          <w:lang w:val="en-AU"/>
        </w:rPr>
        <w:t>section 145</w:t>
      </w:r>
      <w:r w:rsidR="002D26A9">
        <w:rPr>
          <w:rFonts w:ascii="Arial" w:hAnsi="Arial" w:cs="Arial"/>
          <w:i/>
          <w:sz w:val="22"/>
          <w:szCs w:val="22"/>
          <w:lang w:val="en-AU"/>
        </w:rPr>
        <w:t xml:space="preserve"> </w:t>
      </w:r>
      <w:r w:rsidRPr="00465F26">
        <w:rPr>
          <w:rFonts w:ascii="Arial" w:hAnsi="Arial" w:cs="Arial"/>
          <w:i/>
          <w:sz w:val="22"/>
          <w:szCs w:val="22"/>
          <w:lang w:val="en-AU"/>
        </w:rPr>
        <w:t>(3) Certificates) Determination 2012</w:t>
      </w:r>
    </w:p>
    <w:p w:rsidR="0039588A" w:rsidRPr="00465F26" w:rsidRDefault="0039588A" w:rsidP="0039588A">
      <w:pPr>
        <w:spacing w:line="360" w:lineRule="auto"/>
        <w:jc w:val="center"/>
        <w:rPr>
          <w:rFonts w:ascii="Arial" w:hAnsi="Arial" w:cs="Arial"/>
          <w:sz w:val="22"/>
          <w:szCs w:val="22"/>
          <w:lang w:val="en-AU"/>
        </w:rPr>
      </w:pPr>
    </w:p>
    <w:p w:rsidR="0039588A" w:rsidRPr="00465F26" w:rsidRDefault="0039588A" w:rsidP="0039588A">
      <w:pPr>
        <w:spacing w:line="360" w:lineRule="auto"/>
        <w:jc w:val="center"/>
        <w:rPr>
          <w:rFonts w:ascii="Arial" w:hAnsi="Arial" w:cs="Arial"/>
          <w:i/>
          <w:sz w:val="22"/>
          <w:szCs w:val="22"/>
          <w:lang w:val="en-AU"/>
        </w:rPr>
      </w:pPr>
      <w:r w:rsidRPr="00465F26">
        <w:rPr>
          <w:rFonts w:ascii="Arial" w:hAnsi="Arial" w:cs="Arial"/>
          <w:i/>
          <w:sz w:val="22"/>
          <w:szCs w:val="22"/>
          <w:lang w:val="en-AU"/>
        </w:rPr>
        <w:t>Radiocommunications Act 1992</w:t>
      </w:r>
    </w:p>
    <w:p w:rsidR="0039588A" w:rsidRPr="00465F26" w:rsidRDefault="0039588A" w:rsidP="0039588A">
      <w:pPr>
        <w:spacing w:line="360" w:lineRule="auto"/>
        <w:jc w:val="center"/>
        <w:rPr>
          <w:rFonts w:ascii="Arial" w:hAnsi="Arial" w:cs="Arial"/>
          <w:sz w:val="22"/>
          <w:szCs w:val="22"/>
          <w:lang w:val="en-AU"/>
        </w:rPr>
      </w:pPr>
    </w:p>
    <w:p w:rsidR="0039588A" w:rsidRPr="00465F26" w:rsidRDefault="0039588A" w:rsidP="00D9556E">
      <w:pPr>
        <w:spacing w:line="360" w:lineRule="auto"/>
        <w:rPr>
          <w:rFonts w:ascii="Arial" w:hAnsi="Arial" w:cs="Arial"/>
          <w:b/>
          <w:sz w:val="22"/>
          <w:szCs w:val="22"/>
          <w:lang w:val="en-AU"/>
        </w:rPr>
      </w:pPr>
      <w:r w:rsidRPr="00465F26">
        <w:rPr>
          <w:rFonts w:ascii="Arial" w:hAnsi="Arial" w:cs="Arial"/>
          <w:b/>
          <w:sz w:val="22"/>
          <w:szCs w:val="22"/>
          <w:lang w:val="en-AU"/>
        </w:rPr>
        <w:t>Purpose</w:t>
      </w:r>
    </w:p>
    <w:p w:rsidR="00D841E1" w:rsidRDefault="00D841E1" w:rsidP="00D9556E">
      <w:pPr>
        <w:rPr>
          <w:rFonts w:ascii="Arial" w:hAnsi="Arial" w:cs="Arial"/>
          <w:sz w:val="22"/>
          <w:szCs w:val="22"/>
          <w:lang w:val="en-AU"/>
        </w:rPr>
      </w:pPr>
    </w:p>
    <w:p w:rsidR="00D841E1" w:rsidRDefault="0039588A" w:rsidP="00D9556E">
      <w:pPr>
        <w:rPr>
          <w:rFonts w:ascii="Arial" w:hAnsi="Arial" w:cs="Arial"/>
          <w:sz w:val="22"/>
          <w:szCs w:val="22"/>
          <w:lang w:val="en-AU"/>
        </w:rPr>
      </w:pPr>
      <w:r w:rsidRPr="00465F26">
        <w:rPr>
          <w:rFonts w:ascii="Arial" w:hAnsi="Arial" w:cs="Arial"/>
          <w:sz w:val="22"/>
          <w:szCs w:val="22"/>
          <w:lang w:val="en-AU"/>
        </w:rPr>
        <w:t xml:space="preserve">The purpose of the </w:t>
      </w:r>
      <w:r w:rsidRPr="00465F26">
        <w:rPr>
          <w:rFonts w:ascii="Arial" w:hAnsi="Arial" w:cs="Arial"/>
          <w:i/>
          <w:sz w:val="22"/>
          <w:szCs w:val="22"/>
          <w:lang w:val="en-AU"/>
        </w:rPr>
        <w:t>Radiocommunications (</w:t>
      </w:r>
      <w:r w:rsidR="002D26A9">
        <w:rPr>
          <w:rFonts w:ascii="Arial" w:hAnsi="Arial" w:cs="Arial"/>
          <w:i/>
          <w:sz w:val="22"/>
          <w:szCs w:val="22"/>
          <w:lang w:val="en-AU"/>
        </w:rPr>
        <w:t>sub</w:t>
      </w:r>
      <w:r w:rsidRPr="00465F26">
        <w:rPr>
          <w:rFonts w:ascii="Arial" w:hAnsi="Arial" w:cs="Arial"/>
          <w:i/>
          <w:sz w:val="22"/>
          <w:szCs w:val="22"/>
          <w:lang w:val="en-AU"/>
        </w:rPr>
        <w:t>section 145</w:t>
      </w:r>
      <w:r w:rsidR="002D26A9">
        <w:rPr>
          <w:rFonts w:ascii="Arial" w:hAnsi="Arial" w:cs="Arial"/>
          <w:i/>
          <w:sz w:val="22"/>
          <w:szCs w:val="22"/>
          <w:lang w:val="en-AU"/>
        </w:rPr>
        <w:t xml:space="preserve"> </w:t>
      </w:r>
      <w:r w:rsidRPr="00465F26">
        <w:rPr>
          <w:rFonts w:ascii="Arial" w:hAnsi="Arial" w:cs="Arial"/>
          <w:i/>
          <w:sz w:val="22"/>
          <w:szCs w:val="22"/>
          <w:lang w:val="en-AU"/>
        </w:rPr>
        <w:t>(3) Certificates) Determination 2012</w:t>
      </w:r>
      <w:r w:rsidR="006F2A0A" w:rsidRPr="00465F26">
        <w:rPr>
          <w:rFonts w:ascii="Arial" w:hAnsi="Arial" w:cs="Arial"/>
          <w:i/>
          <w:sz w:val="22"/>
          <w:szCs w:val="22"/>
          <w:lang w:val="en-AU"/>
        </w:rPr>
        <w:t xml:space="preserve"> </w:t>
      </w:r>
      <w:r w:rsidRPr="00465F26">
        <w:rPr>
          <w:rFonts w:ascii="Arial" w:hAnsi="Arial" w:cs="Arial"/>
          <w:sz w:val="22"/>
          <w:szCs w:val="22"/>
          <w:lang w:val="en-AU"/>
        </w:rPr>
        <w:t xml:space="preserve">(the </w:t>
      </w:r>
      <w:r w:rsidRPr="00465F26">
        <w:rPr>
          <w:rFonts w:ascii="Arial" w:hAnsi="Arial" w:cs="Arial"/>
          <w:b/>
          <w:sz w:val="22"/>
          <w:szCs w:val="22"/>
          <w:lang w:val="en-AU"/>
        </w:rPr>
        <w:t>Determination</w:t>
      </w:r>
      <w:r w:rsidRPr="00465F26">
        <w:rPr>
          <w:rFonts w:ascii="Arial" w:hAnsi="Arial" w:cs="Arial"/>
          <w:sz w:val="22"/>
          <w:szCs w:val="22"/>
          <w:lang w:val="en-AU"/>
        </w:rPr>
        <w:t xml:space="preserve">) is to </w:t>
      </w:r>
      <w:r w:rsidR="0035509A" w:rsidRPr="00465F26">
        <w:rPr>
          <w:rFonts w:ascii="Arial" w:hAnsi="Arial" w:cs="Arial"/>
          <w:sz w:val="22"/>
          <w:szCs w:val="22"/>
          <w:lang w:val="en-AU"/>
        </w:rPr>
        <w:t xml:space="preserve">set out the conditions which apply to the issuing of certificates under </w:t>
      </w:r>
      <w:r w:rsidR="009D27B5">
        <w:rPr>
          <w:rFonts w:ascii="Arial" w:hAnsi="Arial" w:cs="Arial"/>
          <w:sz w:val="22"/>
          <w:szCs w:val="22"/>
          <w:lang w:val="en-AU"/>
        </w:rPr>
        <w:t>sub</w:t>
      </w:r>
      <w:r w:rsidR="0035509A" w:rsidRPr="00465F26">
        <w:rPr>
          <w:rFonts w:ascii="Arial" w:hAnsi="Arial" w:cs="Arial"/>
          <w:sz w:val="22"/>
          <w:szCs w:val="22"/>
          <w:lang w:val="en-AU"/>
        </w:rPr>
        <w:t>section 145</w:t>
      </w:r>
      <w:r w:rsidR="00891DB4">
        <w:rPr>
          <w:rFonts w:ascii="Arial" w:hAnsi="Arial" w:cs="Arial"/>
          <w:sz w:val="22"/>
          <w:szCs w:val="22"/>
          <w:lang w:val="en-AU"/>
        </w:rPr>
        <w:t xml:space="preserve"> </w:t>
      </w:r>
      <w:r w:rsidR="0035509A" w:rsidRPr="00465F26">
        <w:rPr>
          <w:rFonts w:ascii="Arial" w:hAnsi="Arial" w:cs="Arial"/>
          <w:sz w:val="22"/>
          <w:szCs w:val="22"/>
          <w:lang w:val="en-AU"/>
        </w:rPr>
        <w:t xml:space="preserve">(3) of the </w:t>
      </w:r>
      <w:r w:rsidR="0035509A" w:rsidRPr="00465F26">
        <w:rPr>
          <w:rFonts w:ascii="Arial" w:hAnsi="Arial" w:cs="Arial"/>
          <w:i/>
          <w:sz w:val="22"/>
          <w:szCs w:val="22"/>
          <w:lang w:val="en-AU"/>
        </w:rPr>
        <w:t xml:space="preserve">Radiocommunications Act 1992 </w:t>
      </w:r>
      <w:r w:rsidR="0035509A" w:rsidRPr="00465F26">
        <w:rPr>
          <w:rFonts w:ascii="Arial" w:hAnsi="Arial" w:cs="Arial"/>
          <w:sz w:val="22"/>
          <w:szCs w:val="22"/>
          <w:lang w:val="en-AU"/>
        </w:rPr>
        <w:t xml:space="preserve">(the </w:t>
      </w:r>
      <w:r w:rsidR="0035509A" w:rsidRPr="00465F26">
        <w:rPr>
          <w:rFonts w:ascii="Arial" w:hAnsi="Arial" w:cs="Arial"/>
          <w:b/>
          <w:sz w:val="22"/>
          <w:szCs w:val="22"/>
          <w:lang w:val="en-AU"/>
        </w:rPr>
        <w:t>Act</w:t>
      </w:r>
      <w:r w:rsidR="0035509A" w:rsidRPr="00465F26">
        <w:rPr>
          <w:rFonts w:ascii="Arial" w:hAnsi="Arial" w:cs="Arial"/>
          <w:sz w:val="22"/>
          <w:szCs w:val="22"/>
          <w:lang w:val="en-AU"/>
        </w:rPr>
        <w:t>)</w:t>
      </w:r>
      <w:r w:rsidR="009D27B5">
        <w:rPr>
          <w:rFonts w:ascii="Arial" w:hAnsi="Arial" w:cs="Arial"/>
          <w:sz w:val="22"/>
          <w:szCs w:val="22"/>
          <w:lang w:val="en-AU"/>
        </w:rPr>
        <w:t xml:space="preserve"> relating to the registration of radiocommunications transmitters in the Register of Radiocommunications Licences (the </w:t>
      </w:r>
      <w:r w:rsidR="00CB73A7" w:rsidRPr="00CB73A7">
        <w:rPr>
          <w:rFonts w:ascii="Arial" w:hAnsi="Arial" w:cs="Arial"/>
          <w:b/>
          <w:sz w:val="22"/>
          <w:szCs w:val="22"/>
          <w:lang w:val="en-AU"/>
        </w:rPr>
        <w:t>Register</w:t>
      </w:r>
      <w:r w:rsidR="009D27B5">
        <w:rPr>
          <w:rFonts w:ascii="Arial" w:hAnsi="Arial" w:cs="Arial"/>
          <w:sz w:val="22"/>
          <w:szCs w:val="22"/>
          <w:lang w:val="en-AU"/>
        </w:rPr>
        <w:t xml:space="preserve">) </w:t>
      </w:r>
      <w:r w:rsidR="00B63225">
        <w:rPr>
          <w:rFonts w:ascii="Arial" w:hAnsi="Arial" w:cs="Arial"/>
          <w:sz w:val="22"/>
          <w:szCs w:val="22"/>
          <w:lang w:val="en-AU"/>
        </w:rPr>
        <w:t>established under</w:t>
      </w:r>
      <w:r w:rsidR="009D27B5">
        <w:rPr>
          <w:rFonts w:ascii="Arial" w:hAnsi="Arial" w:cs="Arial"/>
          <w:sz w:val="22"/>
          <w:szCs w:val="22"/>
          <w:lang w:val="en-AU"/>
        </w:rPr>
        <w:t xml:space="preserve"> section 143 of the Act</w:t>
      </w:r>
      <w:r w:rsidR="0035509A" w:rsidRPr="00465F26">
        <w:rPr>
          <w:rFonts w:ascii="Arial" w:hAnsi="Arial" w:cs="Arial"/>
          <w:sz w:val="22"/>
          <w:szCs w:val="22"/>
          <w:lang w:val="en-AU"/>
        </w:rPr>
        <w:t>.</w:t>
      </w:r>
      <w:r w:rsidR="0078631E" w:rsidRPr="00465F26">
        <w:rPr>
          <w:rFonts w:ascii="Arial" w:hAnsi="Arial" w:cs="Arial"/>
          <w:sz w:val="22"/>
          <w:szCs w:val="22"/>
          <w:lang w:val="en-AU"/>
        </w:rPr>
        <w:t xml:space="preserve"> </w:t>
      </w:r>
    </w:p>
    <w:p w:rsidR="00D841E1" w:rsidRDefault="00D841E1" w:rsidP="00D9556E">
      <w:pPr>
        <w:rPr>
          <w:rFonts w:ascii="Arial" w:hAnsi="Arial" w:cs="Arial"/>
          <w:sz w:val="22"/>
          <w:szCs w:val="22"/>
          <w:lang w:val="en-AU"/>
        </w:rPr>
      </w:pPr>
    </w:p>
    <w:p w:rsidR="00D841E1" w:rsidRDefault="0039588A" w:rsidP="00D9556E">
      <w:pPr>
        <w:rPr>
          <w:rFonts w:ascii="Arial" w:hAnsi="Arial" w:cs="Arial"/>
          <w:b/>
          <w:sz w:val="22"/>
          <w:szCs w:val="22"/>
          <w:lang w:val="en-AU"/>
        </w:rPr>
      </w:pPr>
      <w:r w:rsidRPr="00465F26">
        <w:rPr>
          <w:rFonts w:ascii="Arial" w:hAnsi="Arial" w:cs="Arial"/>
          <w:b/>
          <w:sz w:val="22"/>
          <w:szCs w:val="22"/>
          <w:lang w:val="en-AU"/>
        </w:rPr>
        <w:t>Legislative Provisions</w:t>
      </w:r>
    </w:p>
    <w:p w:rsidR="00D841E1" w:rsidRDefault="00D841E1" w:rsidP="00D9556E">
      <w:pPr>
        <w:rPr>
          <w:rFonts w:ascii="Arial" w:hAnsi="Arial" w:cs="Arial"/>
          <w:sz w:val="22"/>
          <w:szCs w:val="22"/>
          <w:lang w:val="en-AU"/>
        </w:rPr>
      </w:pPr>
    </w:p>
    <w:p w:rsidR="00D841E1" w:rsidRDefault="00653865" w:rsidP="00D9556E">
      <w:pPr>
        <w:rPr>
          <w:rFonts w:ascii="Arial" w:hAnsi="Arial" w:cs="Arial"/>
          <w:sz w:val="22"/>
          <w:szCs w:val="22"/>
          <w:lang w:val="en-AU"/>
        </w:rPr>
      </w:pPr>
      <w:r>
        <w:rPr>
          <w:rFonts w:ascii="Arial" w:hAnsi="Arial" w:cs="Arial"/>
          <w:sz w:val="22"/>
          <w:szCs w:val="22"/>
          <w:lang w:val="en-AU"/>
        </w:rPr>
        <w:t>Subsection 145</w:t>
      </w:r>
      <w:r w:rsidR="00891DB4">
        <w:rPr>
          <w:rFonts w:ascii="Arial" w:hAnsi="Arial" w:cs="Arial"/>
          <w:sz w:val="22"/>
          <w:szCs w:val="22"/>
          <w:lang w:val="en-AU"/>
        </w:rPr>
        <w:t xml:space="preserve"> </w:t>
      </w:r>
      <w:r>
        <w:rPr>
          <w:rFonts w:ascii="Arial" w:hAnsi="Arial" w:cs="Arial"/>
          <w:sz w:val="22"/>
          <w:szCs w:val="22"/>
          <w:lang w:val="en-AU"/>
        </w:rPr>
        <w:t xml:space="preserve">(3) of the Act provides that the </w:t>
      </w:r>
      <w:r w:rsidR="009D27B5" w:rsidRPr="00465F26">
        <w:rPr>
          <w:rFonts w:ascii="Arial" w:hAnsi="Arial" w:cs="Arial"/>
          <w:sz w:val="22"/>
          <w:szCs w:val="22"/>
          <w:lang w:val="en-AU"/>
        </w:rPr>
        <w:t>Australian Communications and Media Authority (</w:t>
      </w:r>
      <w:r w:rsidR="0088646A" w:rsidRPr="0088646A">
        <w:rPr>
          <w:rFonts w:ascii="Arial" w:hAnsi="Arial" w:cs="Arial"/>
          <w:sz w:val="22"/>
          <w:szCs w:val="22"/>
          <w:lang w:val="en-AU"/>
        </w:rPr>
        <w:t>the</w:t>
      </w:r>
      <w:r w:rsidR="009D27B5">
        <w:rPr>
          <w:rFonts w:ascii="Arial" w:hAnsi="Arial" w:cs="Arial"/>
          <w:sz w:val="22"/>
          <w:szCs w:val="22"/>
          <w:lang w:val="en-AU"/>
        </w:rPr>
        <w:t xml:space="preserve"> </w:t>
      </w:r>
      <w:r w:rsidR="009D27B5" w:rsidRPr="00465F26">
        <w:rPr>
          <w:rFonts w:ascii="Arial" w:hAnsi="Arial" w:cs="Arial"/>
          <w:b/>
          <w:sz w:val="22"/>
          <w:szCs w:val="22"/>
          <w:lang w:val="en-AU"/>
        </w:rPr>
        <w:t>ACMA</w:t>
      </w:r>
      <w:r w:rsidR="009D27B5" w:rsidRPr="00465F26">
        <w:rPr>
          <w:rFonts w:ascii="Arial" w:hAnsi="Arial" w:cs="Arial"/>
          <w:sz w:val="22"/>
          <w:szCs w:val="22"/>
          <w:lang w:val="en-AU"/>
        </w:rPr>
        <w:t xml:space="preserve">) </w:t>
      </w:r>
      <w:r>
        <w:rPr>
          <w:rFonts w:ascii="Arial" w:hAnsi="Arial" w:cs="Arial"/>
          <w:sz w:val="22"/>
          <w:szCs w:val="22"/>
          <w:lang w:val="en-AU"/>
        </w:rPr>
        <w:t xml:space="preserve">may require that before details of a radiocommunications transmitter are included in </w:t>
      </w:r>
      <w:r w:rsidR="009D27B5">
        <w:rPr>
          <w:rFonts w:ascii="Arial" w:hAnsi="Arial" w:cs="Arial"/>
          <w:sz w:val="22"/>
          <w:szCs w:val="22"/>
          <w:lang w:val="en-AU"/>
        </w:rPr>
        <w:t>the Register</w:t>
      </w:r>
      <w:r>
        <w:rPr>
          <w:rFonts w:ascii="Arial" w:hAnsi="Arial" w:cs="Arial"/>
          <w:sz w:val="22"/>
          <w:szCs w:val="22"/>
          <w:lang w:val="en-AU"/>
        </w:rPr>
        <w:t>, there be presented to the ACMA a certificate, issued by a person accredited under section 263 of the Act to issue certificates for the purposes of subsection 145</w:t>
      </w:r>
      <w:r w:rsidR="00891DB4">
        <w:rPr>
          <w:rFonts w:ascii="Arial" w:hAnsi="Arial" w:cs="Arial"/>
          <w:sz w:val="22"/>
          <w:szCs w:val="22"/>
          <w:lang w:val="en-AU"/>
        </w:rPr>
        <w:t xml:space="preserve"> </w:t>
      </w:r>
      <w:r>
        <w:rPr>
          <w:rFonts w:ascii="Arial" w:hAnsi="Arial" w:cs="Arial"/>
          <w:sz w:val="22"/>
          <w:szCs w:val="22"/>
          <w:lang w:val="en-AU"/>
        </w:rPr>
        <w:t xml:space="preserve">(3), stating that the operation of the device under the spectrum licence satisfies any conditions that are required to be satisfied, in relation to the issue of such a certificate, under a determination made under section 266A of the Act. </w:t>
      </w:r>
    </w:p>
    <w:p w:rsidR="00D841E1" w:rsidRDefault="00D841E1" w:rsidP="00D9556E">
      <w:pPr>
        <w:rPr>
          <w:rFonts w:ascii="Arial" w:hAnsi="Arial" w:cs="Arial"/>
          <w:sz w:val="22"/>
          <w:szCs w:val="22"/>
          <w:lang w:val="en-AU"/>
        </w:rPr>
      </w:pPr>
    </w:p>
    <w:p w:rsidR="00D841E1" w:rsidRDefault="009D27B5" w:rsidP="00D9556E">
      <w:pPr>
        <w:rPr>
          <w:rFonts w:ascii="Arial" w:hAnsi="Arial" w:cs="Arial"/>
          <w:sz w:val="22"/>
          <w:szCs w:val="22"/>
          <w:lang w:val="en-AU"/>
        </w:rPr>
      </w:pPr>
      <w:r w:rsidRPr="00465F26">
        <w:rPr>
          <w:rFonts w:ascii="Arial" w:hAnsi="Arial" w:cs="Arial"/>
          <w:sz w:val="22"/>
          <w:szCs w:val="22"/>
          <w:lang w:val="en-AU"/>
        </w:rPr>
        <w:t>The Determination is made under section 266A of the</w:t>
      </w:r>
      <w:r w:rsidRPr="00465F26">
        <w:rPr>
          <w:rFonts w:ascii="Arial" w:hAnsi="Arial" w:cs="Arial"/>
          <w:i/>
          <w:sz w:val="22"/>
          <w:szCs w:val="22"/>
          <w:lang w:val="en-AU"/>
        </w:rPr>
        <w:t xml:space="preserve"> </w:t>
      </w:r>
      <w:r w:rsidRPr="00465F26">
        <w:rPr>
          <w:rFonts w:ascii="Arial" w:hAnsi="Arial" w:cs="Arial"/>
          <w:sz w:val="22"/>
          <w:szCs w:val="22"/>
          <w:lang w:val="en-AU"/>
        </w:rPr>
        <w:t xml:space="preserve">Act which provides that the </w:t>
      </w:r>
      <w:r>
        <w:rPr>
          <w:rFonts w:ascii="Arial" w:hAnsi="Arial" w:cs="Arial"/>
          <w:sz w:val="22"/>
          <w:szCs w:val="22"/>
          <w:lang w:val="en-AU"/>
        </w:rPr>
        <w:t xml:space="preserve">ACMA </w:t>
      </w:r>
      <w:r w:rsidRPr="00465F26">
        <w:rPr>
          <w:rFonts w:ascii="Arial" w:hAnsi="Arial" w:cs="Arial"/>
          <w:sz w:val="22"/>
          <w:szCs w:val="22"/>
          <w:lang w:val="en-AU"/>
        </w:rPr>
        <w:t>may determine, in writing, the conditions that are to apply to the issuing of a certificate under this Act.</w:t>
      </w:r>
    </w:p>
    <w:p w:rsidR="00D841E1" w:rsidRDefault="00D841E1" w:rsidP="00D9556E">
      <w:pPr>
        <w:rPr>
          <w:rFonts w:ascii="Arial" w:hAnsi="Arial" w:cs="Arial"/>
          <w:sz w:val="22"/>
          <w:szCs w:val="22"/>
          <w:lang w:val="en-AU"/>
        </w:rPr>
      </w:pPr>
    </w:p>
    <w:p w:rsidR="00D841E1" w:rsidRDefault="0039588A" w:rsidP="00D9556E">
      <w:pPr>
        <w:rPr>
          <w:rFonts w:ascii="Arial" w:hAnsi="Arial" w:cs="Arial"/>
          <w:sz w:val="22"/>
          <w:szCs w:val="22"/>
          <w:lang w:val="en-AU"/>
        </w:rPr>
      </w:pPr>
      <w:r w:rsidRPr="00465F26">
        <w:rPr>
          <w:rFonts w:ascii="Arial" w:hAnsi="Arial" w:cs="Arial"/>
          <w:sz w:val="22"/>
          <w:szCs w:val="22"/>
          <w:lang w:val="en-AU"/>
        </w:rPr>
        <w:t xml:space="preserve">The Determination is a legislative instrument for the purposes of the </w:t>
      </w:r>
      <w:r w:rsidRPr="00465F26">
        <w:rPr>
          <w:rFonts w:ascii="Arial" w:hAnsi="Arial" w:cs="Arial"/>
          <w:i/>
          <w:sz w:val="22"/>
          <w:szCs w:val="22"/>
          <w:lang w:val="en-AU"/>
        </w:rPr>
        <w:t>Legislative Instruments Act 2003</w:t>
      </w:r>
      <w:r w:rsidR="009D27B5">
        <w:rPr>
          <w:rFonts w:ascii="Arial" w:hAnsi="Arial" w:cs="Arial"/>
          <w:sz w:val="22"/>
          <w:szCs w:val="22"/>
          <w:lang w:val="en-AU"/>
        </w:rPr>
        <w:t xml:space="preserve">. </w:t>
      </w:r>
    </w:p>
    <w:p w:rsidR="00D841E1" w:rsidRDefault="00D841E1" w:rsidP="00D9556E">
      <w:pPr>
        <w:rPr>
          <w:rFonts w:ascii="Arial" w:hAnsi="Arial" w:cs="Arial"/>
          <w:sz w:val="22"/>
          <w:szCs w:val="22"/>
          <w:lang w:val="en-AU"/>
        </w:rPr>
      </w:pPr>
    </w:p>
    <w:p w:rsidR="00D841E1" w:rsidRDefault="0039588A" w:rsidP="00D9556E">
      <w:pPr>
        <w:rPr>
          <w:rFonts w:ascii="Arial" w:hAnsi="Arial" w:cs="Arial"/>
          <w:b/>
          <w:sz w:val="22"/>
          <w:szCs w:val="22"/>
          <w:lang w:val="en-AU"/>
        </w:rPr>
      </w:pPr>
      <w:r w:rsidRPr="00465F26">
        <w:rPr>
          <w:rFonts w:ascii="Arial" w:hAnsi="Arial" w:cs="Arial"/>
          <w:b/>
          <w:sz w:val="22"/>
          <w:szCs w:val="22"/>
          <w:lang w:val="en-AU"/>
        </w:rPr>
        <w:t>Operation</w:t>
      </w:r>
    </w:p>
    <w:p w:rsidR="00D841E1" w:rsidRDefault="00D841E1" w:rsidP="00D9556E">
      <w:pPr>
        <w:rPr>
          <w:rFonts w:ascii="Arial" w:hAnsi="Arial" w:cs="Arial"/>
          <w:sz w:val="22"/>
          <w:szCs w:val="22"/>
          <w:lang w:val="en-AU"/>
        </w:rPr>
      </w:pPr>
    </w:p>
    <w:p w:rsidR="00D841E1" w:rsidRDefault="00E15ABE" w:rsidP="00D9556E">
      <w:pPr>
        <w:rPr>
          <w:rFonts w:ascii="Arial" w:hAnsi="Arial" w:cs="Arial"/>
          <w:sz w:val="22"/>
          <w:szCs w:val="22"/>
          <w:lang w:val="en-AU"/>
        </w:rPr>
      </w:pPr>
      <w:r>
        <w:rPr>
          <w:rFonts w:ascii="Arial" w:hAnsi="Arial" w:cs="Arial"/>
          <w:sz w:val="22"/>
          <w:szCs w:val="22"/>
          <w:lang w:val="en-AU"/>
        </w:rPr>
        <w:t>Section 69 of the Act provides that it is a condition of a spectrum licence that a radiocommunications transmitter must not be operated under the licence unless the registration requirements in Part 3.5 of the Act are satisfied. Subsection 69</w:t>
      </w:r>
      <w:r w:rsidR="007C504D">
        <w:rPr>
          <w:rFonts w:ascii="Arial" w:hAnsi="Arial" w:cs="Arial"/>
          <w:sz w:val="22"/>
          <w:szCs w:val="22"/>
          <w:lang w:val="en-AU"/>
        </w:rPr>
        <w:t xml:space="preserve"> </w:t>
      </w:r>
      <w:r>
        <w:rPr>
          <w:rFonts w:ascii="Arial" w:hAnsi="Arial" w:cs="Arial"/>
          <w:sz w:val="22"/>
          <w:szCs w:val="22"/>
          <w:lang w:val="en-AU"/>
        </w:rPr>
        <w:t xml:space="preserve">(2) provides that a spectrum licence condition may exempt particular kinds of radiocommunications transmitters from meeting the registration requirements in Part 3.5 of the Act. </w:t>
      </w:r>
    </w:p>
    <w:p w:rsidR="00D841E1" w:rsidRDefault="00D841E1" w:rsidP="00D9556E">
      <w:pPr>
        <w:rPr>
          <w:rFonts w:ascii="Arial" w:hAnsi="Arial" w:cs="Arial"/>
          <w:sz w:val="22"/>
          <w:szCs w:val="22"/>
          <w:lang w:val="en-AU"/>
        </w:rPr>
      </w:pPr>
    </w:p>
    <w:p w:rsidR="00D841E1" w:rsidRDefault="004C4758" w:rsidP="00D9556E">
      <w:pPr>
        <w:rPr>
          <w:rFonts w:ascii="Arial" w:hAnsi="Arial" w:cs="Arial"/>
          <w:sz w:val="22"/>
          <w:szCs w:val="22"/>
          <w:lang w:val="en-AU"/>
        </w:rPr>
      </w:pPr>
      <w:r>
        <w:rPr>
          <w:rFonts w:ascii="Arial" w:hAnsi="Arial" w:cs="Arial"/>
          <w:sz w:val="22"/>
          <w:szCs w:val="22"/>
          <w:lang w:val="en-AU"/>
        </w:rPr>
        <w:t>Under s</w:t>
      </w:r>
      <w:r w:rsidR="00E15ABE">
        <w:rPr>
          <w:rFonts w:ascii="Arial" w:hAnsi="Arial" w:cs="Arial"/>
          <w:sz w:val="22"/>
          <w:szCs w:val="22"/>
          <w:lang w:val="en-AU"/>
        </w:rPr>
        <w:t xml:space="preserve">ection 145 the ACMA may refuse to include details of a </w:t>
      </w:r>
      <w:r w:rsidR="007C504D">
        <w:rPr>
          <w:rFonts w:ascii="Arial" w:hAnsi="Arial" w:cs="Arial"/>
          <w:sz w:val="22"/>
          <w:szCs w:val="22"/>
          <w:lang w:val="en-AU"/>
        </w:rPr>
        <w:t xml:space="preserve">radiocommunications </w:t>
      </w:r>
      <w:r w:rsidR="00E15ABE">
        <w:rPr>
          <w:rFonts w:ascii="Arial" w:hAnsi="Arial" w:cs="Arial"/>
          <w:sz w:val="22"/>
          <w:szCs w:val="22"/>
          <w:lang w:val="en-AU"/>
        </w:rPr>
        <w:t>transmitter in the Register if it is satisfied that the operation of the transmitter could cause an unacceptable level of interference to the operation of other radiocommunications devices. The ACMA may, under subsection 145</w:t>
      </w:r>
      <w:r w:rsidR="007C504D">
        <w:rPr>
          <w:rFonts w:ascii="Arial" w:hAnsi="Arial" w:cs="Arial"/>
          <w:sz w:val="22"/>
          <w:szCs w:val="22"/>
          <w:lang w:val="en-AU"/>
        </w:rPr>
        <w:t xml:space="preserve"> </w:t>
      </w:r>
      <w:r w:rsidR="00E15ABE">
        <w:rPr>
          <w:rFonts w:ascii="Arial" w:hAnsi="Arial" w:cs="Arial"/>
          <w:sz w:val="22"/>
          <w:szCs w:val="22"/>
          <w:lang w:val="en-AU"/>
        </w:rPr>
        <w:t>(4)</w:t>
      </w:r>
      <w:r w:rsidR="00B63225">
        <w:rPr>
          <w:rFonts w:ascii="Arial" w:hAnsi="Arial" w:cs="Arial"/>
          <w:sz w:val="22"/>
          <w:szCs w:val="22"/>
          <w:lang w:val="en-AU"/>
        </w:rPr>
        <w:t>,</w:t>
      </w:r>
      <w:r w:rsidR="00E15ABE">
        <w:rPr>
          <w:rFonts w:ascii="Arial" w:hAnsi="Arial" w:cs="Arial"/>
          <w:sz w:val="22"/>
          <w:szCs w:val="22"/>
          <w:lang w:val="en-AU"/>
        </w:rPr>
        <w:t xml:space="preserve"> determine in writing what the unacceptable levels of interference are. In addition, the ACMA</w:t>
      </w:r>
      <w:r w:rsidR="001F1D68">
        <w:rPr>
          <w:rFonts w:ascii="Arial" w:hAnsi="Arial" w:cs="Arial"/>
          <w:sz w:val="22"/>
          <w:szCs w:val="22"/>
          <w:lang w:val="en-AU"/>
        </w:rPr>
        <w:t xml:space="preserve"> may, under subsection 145</w:t>
      </w:r>
      <w:r w:rsidR="007C504D">
        <w:rPr>
          <w:rFonts w:ascii="Arial" w:hAnsi="Arial" w:cs="Arial"/>
          <w:sz w:val="22"/>
          <w:szCs w:val="22"/>
          <w:lang w:val="en-AU"/>
        </w:rPr>
        <w:t xml:space="preserve"> </w:t>
      </w:r>
      <w:r w:rsidR="001F1D68">
        <w:rPr>
          <w:rFonts w:ascii="Arial" w:hAnsi="Arial" w:cs="Arial"/>
          <w:sz w:val="22"/>
          <w:szCs w:val="22"/>
          <w:lang w:val="en-AU"/>
        </w:rPr>
        <w:t>(3), p</w:t>
      </w:r>
      <w:r w:rsidR="00E15ABE">
        <w:rPr>
          <w:rFonts w:ascii="Arial" w:hAnsi="Arial" w:cs="Arial"/>
          <w:sz w:val="22"/>
          <w:szCs w:val="22"/>
          <w:lang w:val="en-AU"/>
        </w:rPr>
        <w:t>rescribe conditions under which a person accredited under the Act to issue certificates under subsection 145</w:t>
      </w:r>
      <w:r w:rsidR="007C504D">
        <w:rPr>
          <w:rFonts w:ascii="Arial" w:hAnsi="Arial" w:cs="Arial"/>
          <w:sz w:val="22"/>
          <w:szCs w:val="22"/>
          <w:lang w:val="en-AU"/>
        </w:rPr>
        <w:t xml:space="preserve"> </w:t>
      </w:r>
      <w:r w:rsidR="00E15ABE">
        <w:rPr>
          <w:rFonts w:ascii="Arial" w:hAnsi="Arial" w:cs="Arial"/>
          <w:sz w:val="22"/>
          <w:szCs w:val="22"/>
          <w:lang w:val="en-AU"/>
        </w:rPr>
        <w:t>(3) may issue such certificates. The ACMA can then use the certificates (</w:t>
      </w:r>
      <w:r w:rsidR="00CB73A7" w:rsidRPr="00CB73A7">
        <w:rPr>
          <w:rFonts w:ascii="Arial" w:hAnsi="Arial" w:cs="Arial"/>
          <w:b/>
          <w:sz w:val="22"/>
          <w:szCs w:val="22"/>
          <w:lang w:val="en-AU"/>
        </w:rPr>
        <w:t>Interference Impact Certificates</w:t>
      </w:r>
      <w:r w:rsidR="00E15ABE">
        <w:rPr>
          <w:rFonts w:ascii="Arial" w:hAnsi="Arial" w:cs="Arial"/>
          <w:sz w:val="22"/>
          <w:szCs w:val="22"/>
          <w:lang w:val="en-AU"/>
        </w:rPr>
        <w:t xml:space="preserve">) </w:t>
      </w:r>
      <w:r w:rsidR="00B63225">
        <w:rPr>
          <w:rFonts w:ascii="Arial" w:hAnsi="Arial" w:cs="Arial"/>
          <w:sz w:val="22"/>
          <w:szCs w:val="22"/>
          <w:lang w:val="en-AU"/>
        </w:rPr>
        <w:t>in determining</w:t>
      </w:r>
      <w:r w:rsidR="00E15ABE">
        <w:rPr>
          <w:rFonts w:ascii="Arial" w:hAnsi="Arial" w:cs="Arial"/>
          <w:sz w:val="22"/>
          <w:szCs w:val="22"/>
          <w:lang w:val="en-AU"/>
        </w:rPr>
        <w:t xml:space="preserve"> whether a </w:t>
      </w:r>
      <w:r w:rsidR="000954CB">
        <w:rPr>
          <w:rFonts w:ascii="Arial" w:hAnsi="Arial" w:cs="Arial"/>
          <w:sz w:val="22"/>
          <w:szCs w:val="22"/>
          <w:lang w:val="en-AU"/>
        </w:rPr>
        <w:t>transmitter’s</w:t>
      </w:r>
      <w:r w:rsidR="00E15ABE">
        <w:rPr>
          <w:rFonts w:ascii="Arial" w:hAnsi="Arial" w:cs="Arial"/>
          <w:sz w:val="22"/>
          <w:szCs w:val="22"/>
          <w:lang w:val="en-AU"/>
        </w:rPr>
        <w:t xml:space="preserve"> details should be included in the Register.</w:t>
      </w:r>
    </w:p>
    <w:p w:rsidR="00B63225" w:rsidRDefault="00B63225" w:rsidP="00D9556E">
      <w:pPr>
        <w:rPr>
          <w:rFonts w:ascii="Arial" w:hAnsi="Arial" w:cs="Arial"/>
          <w:sz w:val="22"/>
          <w:szCs w:val="22"/>
          <w:lang w:val="en-AU"/>
        </w:rPr>
      </w:pPr>
    </w:p>
    <w:p w:rsidR="00D841E1" w:rsidRDefault="00E9091D" w:rsidP="00D9556E">
      <w:pPr>
        <w:rPr>
          <w:rFonts w:ascii="Arial" w:hAnsi="Arial" w:cs="Arial"/>
          <w:sz w:val="22"/>
          <w:szCs w:val="22"/>
          <w:lang w:val="en-AU"/>
        </w:rPr>
      </w:pPr>
      <w:r>
        <w:rPr>
          <w:rFonts w:ascii="Arial" w:hAnsi="Arial" w:cs="Arial"/>
          <w:sz w:val="22"/>
          <w:szCs w:val="22"/>
          <w:lang w:val="en-AU"/>
        </w:rPr>
        <w:t xml:space="preserve">The Determination specifies the conditions that apply to the issuing of Interference Impact Certificates. </w:t>
      </w:r>
      <w:r w:rsidR="0039588A" w:rsidRPr="00465F26">
        <w:rPr>
          <w:rFonts w:ascii="Arial" w:hAnsi="Arial" w:cs="Arial"/>
          <w:sz w:val="22"/>
          <w:szCs w:val="22"/>
          <w:lang w:val="en-AU"/>
        </w:rPr>
        <w:t>The Determination revokes the</w:t>
      </w:r>
      <w:r w:rsidR="00265D0D" w:rsidRPr="00465F26">
        <w:rPr>
          <w:rFonts w:ascii="Arial" w:hAnsi="Arial" w:cs="Arial"/>
          <w:sz w:val="22"/>
          <w:szCs w:val="22"/>
          <w:lang w:val="en-AU"/>
        </w:rPr>
        <w:t xml:space="preserve"> </w:t>
      </w:r>
      <w:r w:rsidR="0035509A" w:rsidRPr="00465F26">
        <w:rPr>
          <w:rFonts w:ascii="Arial" w:hAnsi="Arial" w:cs="Arial"/>
          <w:i/>
          <w:sz w:val="22"/>
          <w:szCs w:val="22"/>
          <w:lang w:val="en-AU"/>
        </w:rPr>
        <w:t>Radiocommunications (section 145(3) Certificates) Determination 2000</w:t>
      </w:r>
      <w:r w:rsidR="00AA7FC8" w:rsidRPr="00465F26">
        <w:rPr>
          <w:rFonts w:ascii="Arial" w:hAnsi="Arial" w:cs="Arial"/>
          <w:i/>
          <w:sz w:val="22"/>
          <w:szCs w:val="22"/>
          <w:lang w:val="en-AU"/>
        </w:rPr>
        <w:t xml:space="preserve"> </w:t>
      </w:r>
      <w:r w:rsidR="00781C8C" w:rsidRPr="00465F26">
        <w:rPr>
          <w:rFonts w:ascii="Arial" w:hAnsi="Arial" w:cs="Arial"/>
          <w:sz w:val="22"/>
          <w:szCs w:val="22"/>
        </w:rPr>
        <w:t>(</w:t>
      </w:r>
      <w:r w:rsidR="00781C8C">
        <w:rPr>
          <w:rFonts w:ascii="Arial" w:hAnsi="Arial" w:cs="Arial"/>
          <w:sz w:val="22"/>
          <w:szCs w:val="22"/>
        </w:rPr>
        <w:t xml:space="preserve">the </w:t>
      </w:r>
      <w:r w:rsidR="00781C8C" w:rsidRPr="00465F26">
        <w:rPr>
          <w:rFonts w:ascii="Arial" w:hAnsi="Arial" w:cs="Arial"/>
          <w:b/>
          <w:sz w:val="22"/>
          <w:szCs w:val="22"/>
        </w:rPr>
        <w:t xml:space="preserve">IIC </w:t>
      </w:r>
      <w:r w:rsidR="00781C8C">
        <w:rPr>
          <w:rFonts w:ascii="Arial" w:hAnsi="Arial" w:cs="Arial"/>
          <w:b/>
          <w:sz w:val="22"/>
          <w:szCs w:val="22"/>
        </w:rPr>
        <w:t>D</w:t>
      </w:r>
      <w:r w:rsidR="00781C8C" w:rsidRPr="00465F26">
        <w:rPr>
          <w:rFonts w:ascii="Arial" w:hAnsi="Arial" w:cs="Arial"/>
          <w:b/>
          <w:sz w:val="22"/>
          <w:szCs w:val="22"/>
        </w:rPr>
        <w:t>etermination</w:t>
      </w:r>
      <w:r w:rsidR="00781C8C" w:rsidRPr="00465F26">
        <w:rPr>
          <w:rFonts w:ascii="Arial" w:hAnsi="Arial" w:cs="Arial"/>
          <w:sz w:val="22"/>
          <w:szCs w:val="22"/>
        </w:rPr>
        <w:t xml:space="preserve">) </w:t>
      </w:r>
      <w:r w:rsidR="00AA7FC8" w:rsidRPr="00465F26">
        <w:rPr>
          <w:rFonts w:ascii="Arial" w:hAnsi="Arial" w:cs="Arial"/>
          <w:sz w:val="22"/>
          <w:szCs w:val="22"/>
          <w:lang w:val="en-AU"/>
        </w:rPr>
        <w:t>and in its place, provides an updated version of the conditions that apply to the issuing of a certificate under subsection 145</w:t>
      </w:r>
      <w:r w:rsidR="007C504D">
        <w:rPr>
          <w:rFonts w:ascii="Arial" w:hAnsi="Arial" w:cs="Arial"/>
          <w:sz w:val="22"/>
          <w:szCs w:val="22"/>
          <w:lang w:val="en-AU"/>
        </w:rPr>
        <w:t xml:space="preserve"> </w:t>
      </w:r>
      <w:r w:rsidR="00AA7FC8" w:rsidRPr="00465F26">
        <w:rPr>
          <w:rFonts w:ascii="Arial" w:hAnsi="Arial" w:cs="Arial"/>
          <w:sz w:val="22"/>
          <w:szCs w:val="22"/>
          <w:lang w:val="en-AU"/>
        </w:rPr>
        <w:t>(3) of the Act.</w:t>
      </w:r>
      <w:r w:rsidR="003F61DA">
        <w:rPr>
          <w:rFonts w:ascii="Arial" w:hAnsi="Arial" w:cs="Arial"/>
          <w:sz w:val="22"/>
          <w:szCs w:val="22"/>
          <w:lang w:val="en-AU"/>
        </w:rPr>
        <w:t xml:space="preserve"> </w:t>
      </w:r>
    </w:p>
    <w:p w:rsidR="007C504D" w:rsidRDefault="007C504D" w:rsidP="00D9556E">
      <w:pPr>
        <w:rPr>
          <w:rFonts w:ascii="Arial" w:hAnsi="Arial" w:cs="Arial"/>
          <w:sz w:val="22"/>
          <w:szCs w:val="22"/>
          <w:lang w:val="en-AU"/>
        </w:rPr>
      </w:pPr>
    </w:p>
    <w:p w:rsidR="00D841E1" w:rsidRDefault="00215918" w:rsidP="00D9556E">
      <w:pPr>
        <w:rPr>
          <w:rFonts w:ascii="Arial" w:hAnsi="Arial" w:cs="Arial"/>
          <w:sz w:val="22"/>
          <w:szCs w:val="22"/>
          <w:lang w:val="en-AU"/>
        </w:rPr>
      </w:pPr>
      <w:r w:rsidRPr="00215918">
        <w:rPr>
          <w:rFonts w:ascii="Arial" w:hAnsi="Arial" w:cs="Arial"/>
          <w:sz w:val="22"/>
          <w:szCs w:val="22"/>
          <w:lang w:val="en-AU"/>
        </w:rPr>
        <w:t>The conditions in the IIC Determination required that prior to issuing a certificate under subsection 145</w:t>
      </w:r>
      <w:r w:rsidR="007C504D">
        <w:rPr>
          <w:rFonts w:ascii="Arial" w:hAnsi="Arial" w:cs="Arial"/>
          <w:sz w:val="22"/>
          <w:szCs w:val="22"/>
          <w:lang w:val="en-AU"/>
        </w:rPr>
        <w:t xml:space="preserve"> </w:t>
      </w:r>
      <w:r w:rsidRPr="00215918">
        <w:rPr>
          <w:rFonts w:ascii="Arial" w:hAnsi="Arial" w:cs="Arial"/>
          <w:sz w:val="22"/>
          <w:szCs w:val="22"/>
          <w:lang w:val="en-AU"/>
        </w:rPr>
        <w:t>(3) of the Act, accredited persons must be satisfied that:</w:t>
      </w:r>
    </w:p>
    <w:p w:rsidR="00D841E1" w:rsidRDefault="00CB73A7" w:rsidP="00D9556E">
      <w:pPr>
        <w:pStyle w:val="p1"/>
        <w:ind w:left="567"/>
        <w:rPr>
          <w:rFonts w:ascii="Arial" w:hAnsi="Arial" w:cs="Arial"/>
          <w:b/>
          <w:sz w:val="22"/>
          <w:szCs w:val="22"/>
        </w:rPr>
      </w:pPr>
      <w:r w:rsidRPr="00CB73A7">
        <w:rPr>
          <w:rFonts w:ascii="Arial" w:hAnsi="Arial" w:cs="Arial"/>
          <w:sz w:val="22"/>
          <w:szCs w:val="22"/>
        </w:rPr>
        <w:t>(a)</w:t>
      </w:r>
      <w:r w:rsidRPr="00CB73A7">
        <w:rPr>
          <w:rFonts w:ascii="Arial" w:hAnsi="Arial" w:cs="Arial"/>
          <w:sz w:val="22"/>
          <w:szCs w:val="22"/>
        </w:rPr>
        <w:tab/>
      </w:r>
      <w:proofErr w:type="gramStart"/>
      <w:r w:rsidRPr="00CB73A7">
        <w:rPr>
          <w:rFonts w:ascii="Arial" w:hAnsi="Arial" w:cs="Arial"/>
          <w:sz w:val="22"/>
          <w:szCs w:val="22"/>
        </w:rPr>
        <w:t>the</w:t>
      </w:r>
      <w:proofErr w:type="gramEnd"/>
      <w:r w:rsidRPr="00CB73A7">
        <w:rPr>
          <w:rFonts w:ascii="Arial" w:hAnsi="Arial" w:cs="Arial"/>
          <w:sz w:val="22"/>
          <w:szCs w:val="22"/>
        </w:rPr>
        <w:t xml:space="preserve"> accredited person is satisfied that the operation of the device will not cause an unacceptable level of interference as set out in the section</w:t>
      </w:r>
      <w:r w:rsidRPr="00CB73A7">
        <w:rPr>
          <w:rFonts w:ascii="Arial" w:hAnsi="Arial" w:cs="Arial" w:hint="eastAsia"/>
          <w:sz w:val="22"/>
          <w:szCs w:val="22"/>
        </w:rPr>
        <w:t> </w:t>
      </w:r>
      <w:r w:rsidRPr="00CB73A7">
        <w:rPr>
          <w:rFonts w:ascii="Arial" w:hAnsi="Arial" w:cs="Arial"/>
          <w:sz w:val="22"/>
          <w:szCs w:val="22"/>
        </w:rPr>
        <w:t xml:space="preserve">145 determination for the band; </w:t>
      </w:r>
      <w:r w:rsidRPr="00CB73A7">
        <w:rPr>
          <w:rFonts w:ascii="Arial" w:hAnsi="Arial" w:cs="Arial"/>
          <w:b/>
          <w:sz w:val="22"/>
          <w:szCs w:val="22"/>
        </w:rPr>
        <w:t>or</w:t>
      </w:r>
    </w:p>
    <w:p w:rsidR="00D841E1" w:rsidRDefault="00CB73A7" w:rsidP="00D9556E">
      <w:pPr>
        <w:pStyle w:val="p1"/>
        <w:ind w:left="567"/>
        <w:rPr>
          <w:rFonts w:ascii="Arial" w:hAnsi="Arial" w:cs="Arial"/>
          <w:b/>
          <w:sz w:val="22"/>
          <w:szCs w:val="22"/>
        </w:rPr>
      </w:pPr>
      <w:r w:rsidRPr="00CB73A7">
        <w:rPr>
          <w:rFonts w:ascii="Arial" w:hAnsi="Arial" w:cs="Arial"/>
          <w:sz w:val="22"/>
          <w:szCs w:val="22"/>
        </w:rPr>
        <w:t>(b)</w:t>
      </w:r>
      <w:r w:rsidRPr="00CB73A7">
        <w:rPr>
          <w:rFonts w:ascii="Arial" w:hAnsi="Arial" w:cs="Arial"/>
          <w:sz w:val="22"/>
          <w:szCs w:val="22"/>
        </w:rPr>
        <w:tab/>
        <w:t xml:space="preserve">the accredited person is satisfied that sufficient internal guard space has been allocated to mitigate potential interference from the transmitter, in accordance with the </w:t>
      </w:r>
      <w:r w:rsidRPr="00CB73A7">
        <w:rPr>
          <w:rFonts w:ascii="Arial" w:hAnsi="Arial" w:cs="Arial"/>
          <w:i/>
          <w:iCs/>
          <w:sz w:val="22"/>
          <w:szCs w:val="22"/>
        </w:rPr>
        <w:t>Radiocommunications Advisory Guidelines (Registration of Devices under Spectrum Licences without an Interference Impact Certificate) 1998</w:t>
      </w:r>
      <w:r w:rsidRPr="00CB73A7">
        <w:rPr>
          <w:rFonts w:ascii="Arial" w:hAnsi="Arial" w:cs="Arial"/>
          <w:sz w:val="22"/>
          <w:szCs w:val="22"/>
        </w:rPr>
        <w:t xml:space="preserve">; </w:t>
      </w:r>
      <w:r w:rsidRPr="00CB73A7">
        <w:rPr>
          <w:rFonts w:ascii="Arial" w:hAnsi="Arial" w:cs="Arial"/>
          <w:b/>
          <w:sz w:val="22"/>
          <w:szCs w:val="22"/>
        </w:rPr>
        <w:t>or</w:t>
      </w:r>
    </w:p>
    <w:p w:rsidR="00D841E1" w:rsidRDefault="00CB73A7" w:rsidP="00D9556E">
      <w:pPr>
        <w:pStyle w:val="p1"/>
        <w:ind w:left="567"/>
        <w:rPr>
          <w:rFonts w:ascii="Arial" w:hAnsi="Arial" w:cs="Arial"/>
          <w:sz w:val="22"/>
          <w:szCs w:val="22"/>
        </w:rPr>
      </w:pPr>
      <w:r w:rsidRPr="00CB73A7">
        <w:rPr>
          <w:rFonts w:ascii="Arial" w:hAnsi="Arial" w:cs="Arial"/>
          <w:sz w:val="22"/>
          <w:szCs w:val="22"/>
        </w:rPr>
        <w:t>(c)</w:t>
      </w:r>
      <w:r w:rsidRPr="00CB73A7">
        <w:rPr>
          <w:rFonts w:ascii="Arial" w:hAnsi="Arial" w:cs="Arial"/>
          <w:sz w:val="22"/>
          <w:szCs w:val="22"/>
        </w:rPr>
        <w:tab/>
      </w:r>
      <w:proofErr w:type="gramStart"/>
      <w:r w:rsidRPr="00CB73A7">
        <w:rPr>
          <w:rFonts w:ascii="Arial" w:hAnsi="Arial" w:cs="Arial"/>
          <w:sz w:val="22"/>
          <w:szCs w:val="22"/>
        </w:rPr>
        <w:t>the</w:t>
      </w:r>
      <w:proofErr w:type="gramEnd"/>
      <w:r w:rsidRPr="00CB73A7">
        <w:rPr>
          <w:rFonts w:ascii="Arial" w:hAnsi="Arial" w:cs="Arial"/>
          <w:sz w:val="22"/>
          <w:szCs w:val="22"/>
        </w:rPr>
        <w:t xml:space="preserve"> accredited person is satisfied that consent in writing to interference from the transmitter has been given by all licensees who, in the opinion of the accredited person, may be affected by the interference.</w:t>
      </w:r>
    </w:p>
    <w:p w:rsidR="00D841E1" w:rsidRDefault="007C3D44" w:rsidP="00D9556E">
      <w:pPr>
        <w:spacing w:before="100" w:beforeAutospacing="1" w:after="100" w:afterAutospacing="1"/>
        <w:rPr>
          <w:rFonts w:ascii="Arial" w:hAnsi="Arial" w:cs="Arial"/>
          <w:iCs/>
          <w:sz w:val="22"/>
          <w:szCs w:val="22"/>
        </w:rPr>
      </w:pPr>
      <w:r>
        <w:rPr>
          <w:rFonts w:ascii="Arial" w:hAnsi="Arial" w:cs="Arial"/>
          <w:sz w:val="22"/>
          <w:szCs w:val="22"/>
        </w:rPr>
        <w:t xml:space="preserve">For paragraph (b), an accredited person </w:t>
      </w:r>
      <w:r w:rsidR="00B63225">
        <w:rPr>
          <w:rFonts w:ascii="Arial" w:hAnsi="Arial" w:cs="Arial"/>
          <w:sz w:val="22"/>
          <w:szCs w:val="22"/>
        </w:rPr>
        <w:t xml:space="preserve">could </w:t>
      </w:r>
      <w:r>
        <w:rPr>
          <w:rFonts w:ascii="Arial" w:hAnsi="Arial" w:cs="Arial"/>
          <w:sz w:val="22"/>
          <w:szCs w:val="22"/>
        </w:rPr>
        <w:t xml:space="preserve">issue a certificate under the IIC Determination if they were satisfied that </w:t>
      </w:r>
      <w:r w:rsidR="00CB73A7" w:rsidRPr="00CB73A7">
        <w:rPr>
          <w:rFonts w:ascii="Arial" w:hAnsi="Arial" w:cs="Arial"/>
          <w:sz w:val="22"/>
          <w:szCs w:val="22"/>
          <w:lang w:val="en-AU" w:eastAsia="en-AU"/>
        </w:rPr>
        <w:t>sufficient internal guard space has been allocated to mitigate potential interference from the transmitter, in accordance with the</w:t>
      </w:r>
      <w:r w:rsidR="00F22D72" w:rsidRPr="007F5EC2">
        <w:rPr>
          <w:rFonts w:ascii="Arial" w:hAnsi="Arial" w:cs="Arial"/>
          <w:sz w:val="20"/>
          <w:szCs w:val="20"/>
          <w:lang w:val="en-AU" w:eastAsia="en-AU"/>
        </w:rPr>
        <w:t xml:space="preserve"> </w:t>
      </w:r>
      <w:r w:rsidRPr="00215918">
        <w:rPr>
          <w:rFonts w:ascii="Arial" w:hAnsi="Arial" w:cs="Arial"/>
          <w:i/>
          <w:iCs/>
          <w:sz w:val="22"/>
          <w:szCs w:val="22"/>
        </w:rPr>
        <w:t>Radiocommunications Advisory Guidelines (Registration of Devices under Spectrum Licences without an Interference Impact Certificate) 1998</w:t>
      </w:r>
      <w:r>
        <w:rPr>
          <w:rFonts w:ascii="Arial" w:hAnsi="Arial" w:cs="Arial"/>
          <w:i/>
          <w:iCs/>
          <w:sz w:val="22"/>
          <w:szCs w:val="22"/>
        </w:rPr>
        <w:t xml:space="preserve"> </w:t>
      </w:r>
      <w:r>
        <w:rPr>
          <w:rFonts w:ascii="Arial" w:hAnsi="Arial" w:cs="Arial"/>
          <w:iCs/>
          <w:sz w:val="22"/>
          <w:szCs w:val="22"/>
        </w:rPr>
        <w:t>made by the ACMA under section 266 of the Act</w:t>
      </w:r>
      <w:r w:rsidR="00F22D72">
        <w:rPr>
          <w:rFonts w:ascii="Arial" w:hAnsi="Arial" w:cs="Arial"/>
          <w:iCs/>
          <w:sz w:val="22"/>
          <w:szCs w:val="22"/>
        </w:rPr>
        <w:t>.</w:t>
      </w:r>
      <w:r>
        <w:rPr>
          <w:rFonts w:ascii="Arial" w:hAnsi="Arial" w:cs="Arial"/>
          <w:iCs/>
          <w:sz w:val="22"/>
          <w:szCs w:val="22"/>
        </w:rPr>
        <w:t xml:space="preserve"> </w:t>
      </w:r>
    </w:p>
    <w:p w:rsidR="00D841E1" w:rsidRDefault="00215918" w:rsidP="00D9556E">
      <w:pPr>
        <w:spacing w:before="100" w:beforeAutospacing="1" w:after="100" w:afterAutospacing="1"/>
        <w:rPr>
          <w:rFonts w:ascii="Arial" w:hAnsi="Arial" w:cs="Arial"/>
          <w:i/>
          <w:iCs/>
          <w:sz w:val="22"/>
          <w:szCs w:val="22"/>
        </w:rPr>
      </w:pPr>
      <w:r>
        <w:rPr>
          <w:rFonts w:ascii="Arial" w:hAnsi="Arial" w:cs="Arial"/>
          <w:sz w:val="22"/>
          <w:szCs w:val="22"/>
        </w:rPr>
        <w:t xml:space="preserve">As part of its review of the spectrum licence regulatory framework, the ACMA has decided to revoke the </w:t>
      </w:r>
      <w:r w:rsidRPr="00215918">
        <w:rPr>
          <w:rFonts w:ascii="Arial" w:hAnsi="Arial" w:cs="Arial"/>
          <w:i/>
          <w:iCs/>
          <w:sz w:val="22"/>
          <w:szCs w:val="22"/>
        </w:rPr>
        <w:t>Radiocommunications Advisory Guidelines (Registration of Devices under Spectrum Licences without an Interference Impact Certificate) 1998</w:t>
      </w:r>
      <w:r w:rsidR="00E9091D">
        <w:rPr>
          <w:rFonts w:ascii="Arial" w:hAnsi="Arial" w:cs="Arial"/>
          <w:i/>
          <w:iCs/>
          <w:sz w:val="22"/>
          <w:szCs w:val="22"/>
        </w:rPr>
        <w:t xml:space="preserve">. </w:t>
      </w:r>
    </w:p>
    <w:p w:rsidR="00D841E1" w:rsidRDefault="00E9091D" w:rsidP="00D9556E">
      <w:pPr>
        <w:spacing w:before="100" w:beforeAutospacing="1" w:after="100" w:afterAutospacing="1"/>
        <w:rPr>
          <w:rFonts w:ascii="Arial" w:hAnsi="Arial" w:cs="Arial"/>
          <w:sz w:val="22"/>
          <w:szCs w:val="22"/>
        </w:rPr>
      </w:pPr>
      <w:r>
        <w:rPr>
          <w:rFonts w:ascii="Arial" w:hAnsi="Arial" w:cs="Arial"/>
          <w:iCs/>
          <w:sz w:val="22"/>
          <w:szCs w:val="22"/>
        </w:rPr>
        <w:t xml:space="preserve">Consequently, it was necessary to review </w:t>
      </w:r>
      <w:r w:rsidR="00F22D72">
        <w:rPr>
          <w:rFonts w:ascii="Arial" w:hAnsi="Arial" w:cs="Arial"/>
          <w:iCs/>
          <w:sz w:val="22"/>
          <w:szCs w:val="22"/>
        </w:rPr>
        <w:t>and</w:t>
      </w:r>
      <w:r>
        <w:rPr>
          <w:rFonts w:ascii="Arial" w:hAnsi="Arial" w:cs="Arial"/>
          <w:iCs/>
          <w:sz w:val="22"/>
          <w:szCs w:val="22"/>
        </w:rPr>
        <w:t xml:space="preserve"> revise the conditions under which certificates </w:t>
      </w:r>
      <w:r w:rsidR="00F22D72">
        <w:rPr>
          <w:rFonts w:ascii="Arial" w:hAnsi="Arial" w:cs="Arial"/>
          <w:iCs/>
          <w:sz w:val="22"/>
          <w:szCs w:val="22"/>
        </w:rPr>
        <w:t>are issued under subsection 145</w:t>
      </w:r>
      <w:r w:rsidR="00B63225">
        <w:rPr>
          <w:rFonts w:ascii="Arial" w:hAnsi="Arial" w:cs="Arial"/>
          <w:iCs/>
          <w:sz w:val="22"/>
          <w:szCs w:val="22"/>
        </w:rPr>
        <w:t xml:space="preserve"> </w:t>
      </w:r>
      <w:r w:rsidR="00F22D72">
        <w:rPr>
          <w:rFonts w:ascii="Arial" w:hAnsi="Arial" w:cs="Arial"/>
          <w:iCs/>
          <w:sz w:val="22"/>
          <w:szCs w:val="22"/>
        </w:rPr>
        <w:t>(3), particularly in relation to the use of guard space to mitigate potential interference. Paragraph 6</w:t>
      </w:r>
      <w:r w:rsidR="00B63225">
        <w:rPr>
          <w:rFonts w:ascii="Arial" w:hAnsi="Arial" w:cs="Arial"/>
          <w:iCs/>
          <w:sz w:val="22"/>
          <w:szCs w:val="22"/>
        </w:rPr>
        <w:t xml:space="preserve"> </w:t>
      </w:r>
      <w:r w:rsidR="00F22D72">
        <w:rPr>
          <w:rFonts w:ascii="Arial" w:hAnsi="Arial" w:cs="Arial"/>
          <w:iCs/>
          <w:sz w:val="22"/>
          <w:szCs w:val="22"/>
        </w:rPr>
        <w:t>(b) of the Determination now provides that one of the conditions that apply to the issue of an Interference Impact Certificate is that</w:t>
      </w:r>
      <w:r w:rsidR="003A1707">
        <w:rPr>
          <w:rFonts w:ascii="Arial" w:hAnsi="Arial" w:cs="Arial"/>
          <w:sz w:val="22"/>
          <w:szCs w:val="22"/>
        </w:rPr>
        <w:t xml:space="preserve"> </w:t>
      </w:r>
      <w:r w:rsidR="00CB73A7" w:rsidRPr="00CB73A7">
        <w:rPr>
          <w:rFonts w:ascii="Arial" w:hAnsi="Arial" w:cs="Arial"/>
          <w:sz w:val="22"/>
          <w:szCs w:val="22"/>
        </w:rPr>
        <w:t xml:space="preserve">the accredited person is satisfied that </w:t>
      </w:r>
      <w:r w:rsidR="000B0CC6" w:rsidRPr="00F22D72">
        <w:rPr>
          <w:rFonts w:ascii="Arial" w:hAnsi="Arial" w:cs="Arial"/>
          <w:sz w:val="22"/>
          <w:szCs w:val="22"/>
        </w:rPr>
        <w:t xml:space="preserve">the use of guard space is </w:t>
      </w:r>
      <w:r w:rsidR="003F61DA" w:rsidRPr="00F22D72">
        <w:rPr>
          <w:rFonts w:ascii="Arial" w:hAnsi="Arial" w:cs="Arial"/>
          <w:sz w:val="22"/>
          <w:szCs w:val="22"/>
        </w:rPr>
        <w:t>s</w:t>
      </w:r>
      <w:r w:rsidR="00CB73A7" w:rsidRPr="00CB73A7">
        <w:rPr>
          <w:rFonts w:ascii="Arial" w:hAnsi="Arial" w:cs="Arial"/>
          <w:sz w:val="22"/>
          <w:szCs w:val="22"/>
        </w:rPr>
        <w:t xml:space="preserve">ufficient to mitigate potential interference from the </w:t>
      </w:r>
      <w:r w:rsidR="00F22D72" w:rsidRPr="00F22D72">
        <w:rPr>
          <w:rFonts w:ascii="Arial" w:hAnsi="Arial" w:cs="Arial"/>
          <w:sz w:val="22"/>
          <w:szCs w:val="22"/>
        </w:rPr>
        <w:t xml:space="preserve">radiocommunications </w:t>
      </w:r>
      <w:r w:rsidR="00CB73A7" w:rsidRPr="00CB73A7">
        <w:rPr>
          <w:rFonts w:ascii="Arial" w:hAnsi="Arial" w:cs="Arial"/>
          <w:sz w:val="22"/>
          <w:szCs w:val="22"/>
        </w:rPr>
        <w:t>transmitter</w:t>
      </w:r>
      <w:r w:rsidR="00F22D72" w:rsidRPr="00F22D72">
        <w:rPr>
          <w:rFonts w:ascii="Arial" w:hAnsi="Arial" w:cs="Arial"/>
          <w:sz w:val="22"/>
          <w:szCs w:val="22"/>
        </w:rPr>
        <w:t>.</w:t>
      </w:r>
    </w:p>
    <w:p w:rsidR="00D841E1" w:rsidRDefault="00F22D72" w:rsidP="00D9556E">
      <w:pPr>
        <w:rPr>
          <w:rFonts w:ascii="Arial" w:hAnsi="Arial" w:cs="Arial"/>
          <w:sz w:val="22"/>
          <w:szCs w:val="22"/>
        </w:rPr>
      </w:pPr>
      <w:r>
        <w:rPr>
          <w:rFonts w:ascii="Arial" w:hAnsi="Arial" w:cs="Arial"/>
          <w:sz w:val="22"/>
          <w:szCs w:val="22"/>
        </w:rPr>
        <w:t xml:space="preserve">The new provisions </w:t>
      </w:r>
      <w:r w:rsidR="007C504D">
        <w:rPr>
          <w:rFonts w:ascii="Arial" w:hAnsi="Arial" w:cs="Arial"/>
          <w:sz w:val="22"/>
          <w:szCs w:val="22"/>
        </w:rPr>
        <w:t xml:space="preserve">in the Determination </w:t>
      </w:r>
      <w:r>
        <w:rPr>
          <w:rFonts w:ascii="Arial" w:hAnsi="Arial" w:cs="Arial"/>
          <w:sz w:val="22"/>
          <w:szCs w:val="22"/>
        </w:rPr>
        <w:t>remove the refer</w:t>
      </w:r>
      <w:r w:rsidR="00502443">
        <w:rPr>
          <w:rFonts w:ascii="Arial" w:hAnsi="Arial" w:cs="Arial"/>
          <w:sz w:val="22"/>
          <w:szCs w:val="22"/>
        </w:rPr>
        <w:t>ence to the revoked g</w:t>
      </w:r>
      <w:r>
        <w:rPr>
          <w:rFonts w:ascii="Arial" w:hAnsi="Arial" w:cs="Arial"/>
          <w:sz w:val="22"/>
          <w:szCs w:val="22"/>
        </w:rPr>
        <w:t xml:space="preserve">uidelines, but retain the use of guard space as a mechanism for managing potential interference between radiocommunications </w:t>
      </w:r>
      <w:r w:rsidR="00502443">
        <w:rPr>
          <w:rFonts w:ascii="Arial" w:hAnsi="Arial" w:cs="Arial"/>
          <w:sz w:val="22"/>
          <w:szCs w:val="22"/>
        </w:rPr>
        <w:t xml:space="preserve">transmitters and other </w:t>
      </w:r>
      <w:r>
        <w:rPr>
          <w:rFonts w:ascii="Arial" w:hAnsi="Arial" w:cs="Arial"/>
          <w:sz w:val="22"/>
          <w:szCs w:val="22"/>
        </w:rPr>
        <w:t xml:space="preserve">devices. </w:t>
      </w:r>
    </w:p>
    <w:p w:rsidR="00D841E1" w:rsidRDefault="00D841E1" w:rsidP="00D9556E">
      <w:pPr>
        <w:rPr>
          <w:rFonts w:ascii="Arial" w:hAnsi="Arial" w:cs="Arial"/>
          <w:sz w:val="22"/>
          <w:szCs w:val="22"/>
          <w:lang w:val="en-AU"/>
        </w:rPr>
      </w:pPr>
    </w:p>
    <w:p w:rsidR="00D841E1" w:rsidRDefault="00EC19FB" w:rsidP="00D9556E">
      <w:pPr>
        <w:rPr>
          <w:rFonts w:ascii="Arial" w:hAnsi="Arial" w:cs="Arial"/>
          <w:sz w:val="22"/>
          <w:szCs w:val="22"/>
          <w:lang w:val="en-AU"/>
        </w:rPr>
      </w:pPr>
      <w:r w:rsidRPr="00465F26">
        <w:rPr>
          <w:rFonts w:ascii="Arial" w:hAnsi="Arial" w:cs="Arial"/>
          <w:sz w:val="22"/>
          <w:szCs w:val="22"/>
          <w:lang w:val="en-AU"/>
        </w:rPr>
        <w:t xml:space="preserve">         </w:t>
      </w:r>
    </w:p>
    <w:p w:rsidR="00D841E1" w:rsidRDefault="0039588A" w:rsidP="00D9556E">
      <w:pPr>
        <w:rPr>
          <w:rFonts w:ascii="Arial" w:hAnsi="Arial" w:cs="Arial"/>
          <w:b/>
          <w:sz w:val="22"/>
          <w:szCs w:val="22"/>
          <w:lang w:val="en-AU"/>
        </w:rPr>
      </w:pPr>
      <w:r w:rsidRPr="00465F26">
        <w:rPr>
          <w:rFonts w:ascii="Arial" w:hAnsi="Arial" w:cs="Arial"/>
          <w:b/>
          <w:sz w:val="22"/>
          <w:szCs w:val="22"/>
          <w:lang w:val="en-AU"/>
        </w:rPr>
        <w:t>Consultation</w:t>
      </w:r>
    </w:p>
    <w:p w:rsidR="00D841E1" w:rsidRDefault="00D841E1" w:rsidP="00D9556E">
      <w:pPr>
        <w:rPr>
          <w:rFonts w:ascii="Arial" w:hAnsi="Arial" w:cs="Arial"/>
          <w:b/>
          <w:sz w:val="22"/>
          <w:szCs w:val="22"/>
          <w:lang w:val="en-AU"/>
        </w:rPr>
      </w:pPr>
    </w:p>
    <w:p w:rsidR="00D841E1" w:rsidRDefault="0039588A" w:rsidP="00D9556E">
      <w:pPr>
        <w:rPr>
          <w:rFonts w:ascii="Arial" w:hAnsi="Arial" w:cs="Arial"/>
          <w:sz w:val="22"/>
          <w:szCs w:val="22"/>
          <w:lang w:val="en-AU"/>
        </w:rPr>
      </w:pPr>
      <w:r w:rsidRPr="00465F26">
        <w:rPr>
          <w:rFonts w:ascii="Arial" w:hAnsi="Arial" w:cs="Arial"/>
          <w:sz w:val="22"/>
          <w:szCs w:val="22"/>
          <w:lang w:val="en-AU"/>
        </w:rPr>
        <w:t xml:space="preserve">The ACMA has consulted widely about its plans to update the spectrum licence framework.  </w:t>
      </w:r>
    </w:p>
    <w:p w:rsidR="00D841E1" w:rsidRDefault="0039588A" w:rsidP="00D9556E">
      <w:pPr>
        <w:rPr>
          <w:rFonts w:ascii="Arial" w:hAnsi="Arial" w:cs="Arial"/>
          <w:sz w:val="22"/>
          <w:szCs w:val="22"/>
        </w:rPr>
      </w:pPr>
      <w:r w:rsidRPr="00465F26">
        <w:rPr>
          <w:rFonts w:ascii="Arial" w:hAnsi="Arial" w:cs="Arial"/>
          <w:sz w:val="22"/>
          <w:szCs w:val="22"/>
        </w:rPr>
        <w:t xml:space="preserve">In March 2012, the ACMA released a consultation paper, </w:t>
      </w:r>
      <w:hyperlink r:id="rId12" w:history="1">
        <w:proofErr w:type="gramStart"/>
        <w:r w:rsidRPr="00465F26">
          <w:rPr>
            <w:rStyle w:val="Hyperlink"/>
            <w:rFonts w:ascii="Arial" w:hAnsi="Arial" w:cs="Arial"/>
            <w:i/>
            <w:color w:val="auto"/>
            <w:sz w:val="22"/>
            <w:szCs w:val="22"/>
            <w:u w:val="none"/>
          </w:rPr>
          <w:t>Proposed</w:t>
        </w:r>
        <w:proofErr w:type="gramEnd"/>
        <w:r w:rsidRPr="00465F26">
          <w:rPr>
            <w:rStyle w:val="Hyperlink"/>
            <w:rFonts w:ascii="Arial" w:hAnsi="Arial" w:cs="Arial"/>
            <w:i/>
            <w:color w:val="auto"/>
            <w:sz w:val="22"/>
            <w:szCs w:val="22"/>
            <w:u w:val="none"/>
          </w:rPr>
          <w:t xml:space="preserve"> updates to the spectrum licence framework</w:t>
        </w:r>
      </w:hyperlink>
      <w:r w:rsidRPr="00465F26">
        <w:rPr>
          <w:rFonts w:ascii="Arial" w:hAnsi="Arial" w:cs="Arial"/>
          <w:i/>
          <w:sz w:val="22"/>
          <w:szCs w:val="22"/>
        </w:rPr>
        <w:t xml:space="preserve">. </w:t>
      </w:r>
      <w:r w:rsidRPr="00465F26">
        <w:rPr>
          <w:rFonts w:ascii="Arial" w:hAnsi="Arial" w:cs="Arial"/>
          <w:sz w:val="22"/>
          <w:szCs w:val="22"/>
        </w:rPr>
        <w:t xml:space="preserve">This </w:t>
      </w:r>
      <w:r w:rsidR="0088646A" w:rsidRPr="0088646A">
        <w:rPr>
          <w:rFonts w:ascii="Arial" w:hAnsi="Arial" w:cs="Arial"/>
          <w:sz w:val="22"/>
          <w:szCs w:val="22"/>
        </w:rPr>
        <w:t>paper</w:t>
      </w:r>
      <w:r w:rsidRPr="00465F26">
        <w:rPr>
          <w:rFonts w:ascii="Arial" w:hAnsi="Arial" w:cs="Arial"/>
          <w:i/>
          <w:sz w:val="22"/>
          <w:szCs w:val="22"/>
        </w:rPr>
        <w:t xml:space="preserve"> </w:t>
      </w:r>
      <w:r w:rsidRPr="00465F26">
        <w:rPr>
          <w:rFonts w:ascii="Arial" w:hAnsi="Arial" w:cs="Arial"/>
          <w:sz w:val="22"/>
          <w:szCs w:val="22"/>
        </w:rPr>
        <w:t>was the culmination of a comprehensive series of reviews of various components of the spectrum licensing technical and regulatory frameworks. The reviews were conducted in anticipation of forthcoming major spectrum allocations and processes to re-allocate or re-issue expiring spectrum licences.</w:t>
      </w:r>
    </w:p>
    <w:p w:rsidR="00D841E1" w:rsidRDefault="00D841E1" w:rsidP="00D9556E">
      <w:pPr>
        <w:rPr>
          <w:rFonts w:ascii="Arial" w:hAnsi="Arial" w:cs="Arial"/>
          <w:sz w:val="22"/>
          <w:szCs w:val="22"/>
        </w:rPr>
      </w:pPr>
    </w:p>
    <w:p w:rsidR="00D841E1" w:rsidRDefault="0039588A" w:rsidP="00D9556E">
      <w:pPr>
        <w:rPr>
          <w:rFonts w:ascii="Arial" w:hAnsi="Arial" w:cs="Arial"/>
          <w:sz w:val="22"/>
          <w:szCs w:val="22"/>
        </w:rPr>
      </w:pPr>
      <w:r w:rsidRPr="00465F26">
        <w:rPr>
          <w:rFonts w:ascii="Arial" w:hAnsi="Arial" w:cs="Arial"/>
          <w:sz w:val="22"/>
          <w:szCs w:val="22"/>
        </w:rPr>
        <w:lastRenderedPageBreak/>
        <w:t xml:space="preserve">Among a number of regulatory and administrative changes, the consultation paper proposed changes to the </w:t>
      </w:r>
      <w:r w:rsidR="00A3737D">
        <w:rPr>
          <w:rFonts w:ascii="Arial" w:hAnsi="Arial" w:cs="Arial"/>
          <w:sz w:val="22"/>
          <w:szCs w:val="22"/>
        </w:rPr>
        <w:t>process for registration of radiocommunications transmitters under the Act. Part of the proposed changes included ch</w:t>
      </w:r>
      <w:r w:rsidR="001C369E">
        <w:rPr>
          <w:rFonts w:ascii="Arial" w:hAnsi="Arial" w:cs="Arial"/>
          <w:sz w:val="22"/>
          <w:szCs w:val="22"/>
        </w:rPr>
        <w:t>anges to the conditions that apply to the issuing of certificates under subsection 145</w:t>
      </w:r>
      <w:r w:rsidR="007C504D">
        <w:rPr>
          <w:rFonts w:ascii="Arial" w:hAnsi="Arial" w:cs="Arial"/>
          <w:sz w:val="22"/>
          <w:szCs w:val="22"/>
        </w:rPr>
        <w:t xml:space="preserve"> </w:t>
      </w:r>
      <w:r w:rsidR="001C369E">
        <w:rPr>
          <w:rFonts w:ascii="Arial" w:hAnsi="Arial" w:cs="Arial"/>
          <w:sz w:val="22"/>
          <w:szCs w:val="22"/>
        </w:rPr>
        <w:t xml:space="preserve">(3) of the Act. </w:t>
      </w:r>
      <w:r w:rsidR="00A3737D">
        <w:rPr>
          <w:rFonts w:ascii="Arial" w:hAnsi="Arial" w:cs="Arial"/>
          <w:sz w:val="22"/>
          <w:szCs w:val="22"/>
        </w:rPr>
        <w:t xml:space="preserve"> The paper attached a draft </w:t>
      </w:r>
      <w:r w:rsidR="00A3737D">
        <w:rPr>
          <w:rFonts w:ascii="Arial" w:hAnsi="Arial" w:cs="Arial"/>
          <w:i/>
          <w:sz w:val="22"/>
          <w:szCs w:val="22"/>
        </w:rPr>
        <w:t>Radiocommunications (s</w:t>
      </w:r>
      <w:r w:rsidR="002D26A9">
        <w:rPr>
          <w:rFonts w:ascii="Arial" w:hAnsi="Arial" w:cs="Arial"/>
          <w:i/>
          <w:sz w:val="22"/>
          <w:szCs w:val="22"/>
        </w:rPr>
        <w:t xml:space="preserve">ubsection </w:t>
      </w:r>
      <w:r w:rsidR="00A3737D">
        <w:rPr>
          <w:rFonts w:ascii="Arial" w:hAnsi="Arial" w:cs="Arial"/>
          <w:i/>
          <w:sz w:val="22"/>
          <w:szCs w:val="22"/>
        </w:rPr>
        <w:t>145</w:t>
      </w:r>
      <w:r w:rsidR="002D26A9">
        <w:rPr>
          <w:rFonts w:ascii="Arial" w:hAnsi="Arial" w:cs="Arial"/>
          <w:i/>
          <w:sz w:val="22"/>
          <w:szCs w:val="22"/>
        </w:rPr>
        <w:t xml:space="preserve"> </w:t>
      </w:r>
      <w:r w:rsidR="00A3737D">
        <w:rPr>
          <w:rFonts w:ascii="Arial" w:hAnsi="Arial" w:cs="Arial"/>
          <w:i/>
          <w:sz w:val="22"/>
          <w:szCs w:val="22"/>
        </w:rPr>
        <w:t xml:space="preserve">(3) Certificates) Determination 2012 </w:t>
      </w:r>
      <w:r w:rsidR="00A3737D">
        <w:rPr>
          <w:rFonts w:ascii="Arial" w:hAnsi="Arial" w:cs="Arial"/>
          <w:sz w:val="22"/>
          <w:szCs w:val="22"/>
        </w:rPr>
        <w:t xml:space="preserve">for public comment. </w:t>
      </w:r>
    </w:p>
    <w:p w:rsidR="00D841E1" w:rsidRDefault="00D841E1" w:rsidP="00D9556E">
      <w:pPr>
        <w:rPr>
          <w:rFonts w:ascii="Arial" w:hAnsi="Arial" w:cs="Arial"/>
          <w:sz w:val="22"/>
          <w:szCs w:val="22"/>
        </w:rPr>
      </w:pPr>
    </w:p>
    <w:p w:rsidR="00D841E1" w:rsidRDefault="001C369E" w:rsidP="00D9556E">
      <w:pPr>
        <w:rPr>
          <w:rFonts w:ascii="Arial" w:hAnsi="Arial" w:cs="Arial"/>
          <w:sz w:val="22"/>
          <w:szCs w:val="22"/>
          <w:lang w:val="en-AU"/>
        </w:rPr>
      </w:pPr>
      <w:r>
        <w:rPr>
          <w:rFonts w:ascii="Arial" w:hAnsi="Arial" w:cs="Arial"/>
          <w:sz w:val="22"/>
          <w:szCs w:val="22"/>
          <w:lang w:val="en-AU"/>
        </w:rPr>
        <w:t xml:space="preserve">There were </w:t>
      </w:r>
      <w:r w:rsidR="00B3119A">
        <w:rPr>
          <w:rFonts w:ascii="Arial" w:hAnsi="Arial" w:cs="Arial"/>
          <w:sz w:val="22"/>
          <w:szCs w:val="22"/>
          <w:lang w:val="en-AU"/>
        </w:rPr>
        <w:t>three submissions</w:t>
      </w:r>
      <w:r>
        <w:rPr>
          <w:rFonts w:ascii="Arial" w:hAnsi="Arial" w:cs="Arial"/>
          <w:sz w:val="22"/>
          <w:szCs w:val="22"/>
          <w:lang w:val="en-AU"/>
        </w:rPr>
        <w:t xml:space="preserve"> received</w:t>
      </w:r>
      <w:r w:rsidR="00E1572B">
        <w:rPr>
          <w:rFonts w:ascii="Arial" w:hAnsi="Arial" w:cs="Arial"/>
          <w:sz w:val="22"/>
          <w:szCs w:val="22"/>
          <w:lang w:val="en-AU"/>
        </w:rPr>
        <w:t xml:space="preserve"> in response to the broader consultation paper. While there was some comment made on the proposed device registration process, </w:t>
      </w:r>
      <w:r>
        <w:rPr>
          <w:rFonts w:ascii="Arial" w:hAnsi="Arial" w:cs="Arial"/>
          <w:sz w:val="22"/>
          <w:szCs w:val="22"/>
          <w:lang w:val="en-AU"/>
        </w:rPr>
        <w:t xml:space="preserve">the submissions </w:t>
      </w:r>
      <w:r w:rsidR="00E1572B">
        <w:rPr>
          <w:rFonts w:ascii="Arial" w:hAnsi="Arial" w:cs="Arial"/>
          <w:sz w:val="22"/>
          <w:szCs w:val="22"/>
          <w:lang w:val="en-AU"/>
        </w:rPr>
        <w:t>did not comment upon or object to</w:t>
      </w:r>
      <w:r>
        <w:rPr>
          <w:rFonts w:ascii="Arial" w:hAnsi="Arial" w:cs="Arial"/>
          <w:sz w:val="22"/>
          <w:szCs w:val="22"/>
          <w:lang w:val="en-AU"/>
        </w:rPr>
        <w:t xml:space="preserve"> the changes proposed</w:t>
      </w:r>
      <w:r w:rsidR="00F04B08">
        <w:rPr>
          <w:rFonts w:ascii="Arial" w:hAnsi="Arial" w:cs="Arial"/>
          <w:sz w:val="22"/>
          <w:szCs w:val="22"/>
          <w:lang w:val="en-AU"/>
        </w:rPr>
        <w:t xml:space="preserve"> in this </w:t>
      </w:r>
      <w:r w:rsidR="00B63225">
        <w:rPr>
          <w:rFonts w:ascii="Arial" w:hAnsi="Arial" w:cs="Arial"/>
          <w:sz w:val="22"/>
          <w:szCs w:val="22"/>
          <w:lang w:val="en-AU"/>
        </w:rPr>
        <w:t>D</w:t>
      </w:r>
      <w:r w:rsidR="00F04B08">
        <w:rPr>
          <w:rFonts w:ascii="Arial" w:hAnsi="Arial" w:cs="Arial"/>
          <w:sz w:val="22"/>
          <w:szCs w:val="22"/>
          <w:lang w:val="en-AU"/>
        </w:rPr>
        <w:t>etermination</w:t>
      </w:r>
      <w:r>
        <w:rPr>
          <w:rFonts w:ascii="Arial" w:hAnsi="Arial" w:cs="Arial"/>
          <w:sz w:val="22"/>
          <w:szCs w:val="22"/>
          <w:lang w:val="en-AU"/>
        </w:rPr>
        <w:t xml:space="preserve">. </w:t>
      </w:r>
    </w:p>
    <w:p w:rsidR="00D841E1" w:rsidRDefault="00D841E1" w:rsidP="00D9556E">
      <w:pPr>
        <w:rPr>
          <w:rFonts w:ascii="Arial" w:hAnsi="Arial" w:cs="Arial"/>
          <w:sz w:val="22"/>
          <w:szCs w:val="22"/>
          <w:lang w:val="en-AU"/>
        </w:rPr>
      </w:pPr>
    </w:p>
    <w:p w:rsidR="00D841E1" w:rsidRDefault="0039588A" w:rsidP="00D9556E">
      <w:pPr>
        <w:rPr>
          <w:rFonts w:ascii="Arial" w:hAnsi="Arial" w:cs="Arial"/>
          <w:sz w:val="22"/>
          <w:szCs w:val="22"/>
          <w:lang w:val="en-AU"/>
        </w:rPr>
      </w:pPr>
      <w:r w:rsidRPr="00465F26">
        <w:rPr>
          <w:rFonts w:ascii="Arial" w:hAnsi="Arial" w:cs="Arial"/>
          <w:sz w:val="22"/>
          <w:szCs w:val="22"/>
          <w:lang w:val="en-AU"/>
        </w:rPr>
        <w:t>All written submissions</w:t>
      </w:r>
      <w:r w:rsidR="00A74E52" w:rsidRPr="00465F26">
        <w:rPr>
          <w:rFonts w:ascii="Arial" w:hAnsi="Arial" w:cs="Arial"/>
          <w:sz w:val="22"/>
          <w:szCs w:val="22"/>
          <w:lang w:val="en-AU"/>
        </w:rPr>
        <w:t xml:space="preserve"> on the consultation paper</w:t>
      </w:r>
      <w:r w:rsidRPr="00465F26">
        <w:rPr>
          <w:rFonts w:ascii="Arial" w:hAnsi="Arial" w:cs="Arial"/>
          <w:sz w:val="22"/>
          <w:szCs w:val="22"/>
          <w:lang w:val="en-AU"/>
        </w:rPr>
        <w:t xml:space="preserve"> are available on the ACMA’s website at www.acma.gov.au. </w:t>
      </w:r>
    </w:p>
    <w:p w:rsidR="00D841E1" w:rsidRDefault="00D841E1" w:rsidP="00D9556E">
      <w:pPr>
        <w:rPr>
          <w:rFonts w:ascii="Arial" w:hAnsi="Arial" w:cs="Arial"/>
          <w:sz w:val="22"/>
          <w:szCs w:val="22"/>
          <w:lang w:val="en-AU"/>
        </w:rPr>
      </w:pPr>
    </w:p>
    <w:p w:rsidR="00D841E1" w:rsidRDefault="00D841E1" w:rsidP="00D9556E">
      <w:pPr>
        <w:rPr>
          <w:rFonts w:ascii="Arial" w:hAnsi="Arial" w:cs="Arial"/>
          <w:sz w:val="22"/>
          <w:szCs w:val="22"/>
          <w:lang w:val="en-AU"/>
        </w:rPr>
      </w:pPr>
    </w:p>
    <w:p w:rsidR="00D841E1" w:rsidRDefault="0039588A" w:rsidP="00D9556E">
      <w:pPr>
        <w:rPr>
          <w:rFonts w:ascii="Arial" w:hAnsi="Arial" w:cs="Arial"/>
          <w:b/>
          <w:sz w:val="22"/>
          <w:szCs w:val="22"/>
          <w:lang w:val="en-AU"/>
        </w:rPr>
      </w:pPr>
      <w:r w:rsidRPr="00465F26">
        <w:rPr>
          <w:rFonts w:ascii="Arial" w:hAnsi="Arial" w:cs="Arial"/>
          <w:b/>
          <w:sz w:val="22"/>
          <w:szCs w:val="22"/>
          <w:lang w:val="en-AU"/>
        </w:rPr>
        <w:t>Statement of compatibility with human rights</w:t>
      </w:r>
    </w:p>
    <w:p w:rsidR="00D841E1" w:rsidRDefault="00D841E1" w:rsidP="00D9556E">
      <w:pPr>
        <w:rPr>
          <w:rFonts w:ascii="Arial" w:hAnsi="Arial" w:cs="Arial"/>
          <w:b/>
          <w:sz w:val="22"/>
          <w:szCs w:val="22"/>
          <w:lang w:val="en-AU"/>
        </w:rPr>
      </w:pPr>
    </w:p>
    <w:p w:rsidR="00D841E1" w:rsidRDefault="0039588A" w:rsidP="00D9556E">
      <w:pPr>
        <w:rPr>
          <w:rFonts w:ascii="Arial" w:hAnsi="Arial" w:cs="Arial"/>
          <w:sz w:val="22"/>
          <w:szCs w:val="22"/>
          <w:lang w:val="en-AU"/>
        </w:rPr>
      </w:pPr>
      <w:r w:rsidRPr="00465F26">
        <w:rPr>
          <w:rFonts w:ascii="Arial" w:hAnsi="Arial" w:cs="Arial"/>
          <w:sz w:val="22"/>
          <w:szCs w:val="22"/>
          <w:lang w:val="en-AU"/>
        </w:rPr>
        <w:t>Subsection 9</w:t>
      </w:r>
      <w:r w:rsidR="007C504D">
        <w:rPr>
          <w:rFonts w:ascii="Arial" w:hAnsi="Arial" w:cs="Arial"/>
          <w:sz w:val="22"/>
          <w:szCs w:val="22"/>
          <w:lang w:val="en-AU"/>
        </w:rPr>
        <w:t xml:space="preserve"> </w:t>
      </w:r>
      <w:r w:rsidRPr="00465F26">
        <w:rPr>
          <w:rFonts w:ascii="Arial" w:hAnsi="Arial" w:cs="Arial"/>
          <w:sz w:val="22"/>
          <w:szCs w:val="22"/>
          <w:lang w:val="en-AU"/>
        </w:rPr>
        <w:t xml:space="preserve">(1) of the </w:t>
      </w:r>
      <w:r w:rsidRPr="00465F26">
        <w:rPr>
          <w:rFonts w:ascii="Arial" w:hAnsi="Arial" w:cs="Arial"/>
          <w:i/>
          <w:sz w:val="22"/>
          <w:szCs w:val="22"/>
          <w:lang w:val="en-AU"/>
        </w:rPr>
        <w:t>Human Rights (Parliamentary Scrutiny) Act 2011</w:t>
      </w:r>
      <w:r w:rsidRPr="00465F26">
        <w:rPr>
          <w:rFonts w:ascii="Arial" w:hAnsi="Arial" w:cs="Arial"/>
          <w:sz w:val="22"/>
          <w:szCs w:val="22"/>
          <w:lang w:val="en-AU"/>
        </w:rPr>
        <w:t xml:space="preserve"> requires the rule maker in relation to a legislative instrument to which section 42 (disallowance) of the </w:t>
      </w:r>
      <w:r w:rsidRPr="00465F26">
        <w:rPr>
          <w:rFonts w:ascii="Arial" w:hAnsi="Arial" w:cs="Arial"/>
          <w:i/>
          <w:sz w:val="22"/>
          <w:szCs w:val="22"/>
          <w:lang w:val="en-AU"/>
        </w:rPr>
        <w:t>Legislative Instruments Act 2003</w:t>
      </w:r>
      <w:r w:rsidRPr="00465F26">
        <w:rPr>
          <w:rFonts w:ascii="Arial" w:hAnsi="Arial" w:cs="Arial"/>
          <w:sz w:val="22"/>
          <w:szCs w:val="22"/>
          <w:lang w:val="en-AU"/>
        </w:rPr>
        <w:t xml:space="preserve"> applies, to cause a statement of compatibility to be prepared in respect of that legislative instrument. This statement is in </w:t>
      </w:r>
      <w:r w:rsidR="0050447A">
        <w:rPr>
          <w:rFonts w:ascii="Arial" w:hAnsi="Arial" w:cs="Arial"/>
          <w:b/>
          <w:sz w:val="22"/>
          <w:szCs w:val="22"/>
          <w:lang w:val="en-AU"/>
        </w:rPr>
        <w:t>Attachment B</w:t>
      </w:r>
      <w:r w:rsidR="0050447A">
        <w:rPr>
          <w:rFonts w:ascii="Arial" w:hAnsi="Arial" w:cs="Arial"/>
          <w:sz w:val="22"/>
          <w:szCs w:val="22"/>
          <w:lang w:val="en-AU"/>
        </w:rPr>
        <w:t>.</w:t>
      </w:r>
    </w:p>
    <w:p w:rsidR="00D841E1" w:rsidRDefault="00D841E1" w:rsidP="00D9556E">
      <w:pPr>
        <w:rPr>
          <w:rFonts w:ascii="Arial" w:hAnsi="Arial" w:cs="Arial"/>
          <w:sz w:val="22"/>
          <w:szCs w:val="22"/>
          <w:lang w:val="en-AU"/>
        </w:rPr>
      </w:pPr>
    </w:p>
    <w:p w:rsidR="00D841E1" w:rsidRDefault="0039588A" w:rsidP="00D9556E">
      <w:pPr>
        <w:rPr>
          <w:rFonts w:ascii="Arial" w:hAnsi="Arial" w:cs="Arial"/>
          <w:b/>
          <w:sz w:val="22"/>
          <w:szCs w:val="22"/>
          <w:lang w:val="en-AU"/>
        </w:rPr>
      </w:pPr>
      <w:r w:rsidRPr="00465F26">
        <w:rPr>
          <w:rFonts w:ascii="Arial" w:hAnsi="Arial" w:cs="Arial"/>
          <w:b/>
          <w:sz w:val="22"/>
          <w:szCs w:val="22"/>
          <w:lang w:val="en-AU"/>
        </w:rPr>
        <w:t xml:space="preserve">Regulatory Impact </w:t>
      </w:r>
    </w:p>
    <w:p w:rsidR="00D841E1" w:rsidRDefault="00D841E1" w:rsidP="00D9556E">
      <w:pPr>
        <w:rPr>
          <w:rFonts w:ascii="Arial" w:hAnsi="Arial" w:cs="Arial"/>
          <w:sz w:val="22"/>
          <w:szCs w:val="22"/>
          <w:lang w:val="en-AU"/>
        </w:rPr>
      </w:pPr>
    </w:p>
    <w:p w:rsidR="00D841E1" w:rsidRDefault="0039588A" w:rsidP="00D9556E">
      <w:pPr>
        <w:rPr>
          <w:rFonts w:ascii="Arial" w:hAnsi="Arial" w:cs="Arial"/>
          <w:sz w:val="22"/>
          <w:szCs w:val="22"/>
          <w:lang w:val="en-AU"/>
        </w:rPr>
      </w:pPr>
      <w:r w:rsidRPr="00465F26">
        <w:rPr>
          <w:rFonts w:ascii="Arial" w:hAnsi="Arial" w:cs="Arial"/>
          <w:sz w:val="22"/>
          <w:szCs w:val="22"/>
          <w:lang w:val="en-AU"/>
        </w:rPr>
        <w:t xml:space="preserve">Prior to releasing the draft Determination, the ACMA consulted with the Office of Best Practice Regulation (the </w:t>
      </w:r>
      <w:r w:rsidRPr="00465F26">
        <w:rPr>
          <w:rFonts w:ascii="Arial" w:hAnsi="Arial" w:cs="Arial"/>
          <w:b/>
          <w:sz w:val="22"/>
          <w:szCs w:val="22"/>
          <w:lang w:val="en-AU"/>
        </w:rPr>
        <w:t>OBPR</w:t>
      </w:r>
      <w:r w:rsidRPr="00465F26">
        <w:rPr>
          <w:rFonts w:ascii="Arial" w:hAnsi="Arial" w:cs="Arial"/>
          <w:sz w:val="22"/>
          <w:szCs w:val="22"/>
          <w:lang w:val="en-AU"/>
        </w:rPr>
        <w:t>) on the requirement for a Regulation Impact Statement (</w:t>
      </w:r>
      <w:r w:rsidRPr="00465F26">
        <w:rPr>
          <w:rFonts w:ascii="Arial" w:hAnsi="Arial" w:cs="Arial"/>
          <w:b/>
          <w:sz w:val="22"/>
          <w:szCs w:val="22"/>
          <w:lang w:val="en-AU"/>
        </w:rPr>
        <w:t>RIS</w:t>
      </w:r>
      <w:r w:rsidRPr="00465F26">
        <w:rPr>
          <w:rFonts w:ascii="Arial" w:hAnsi="Arial" w:cs="Arial"/>
          <w:sz w:val="22"/>
          <w:szCs w:val="22"/>
          <w:lang w:val="en-AU"/>
        </w:rPr>
        <w:t>) for this legislative instrument. The OBPR advised that this Determination did not warrant the preparation of a RIS</w:t>
      </w:r>
      <w:r w:rsidR="00B63225">
        <w:rPr>
          <w:rFonts w:ascii="Arial" w:hAnsi="Arial" w:cs="Arial"/>
          <w:sz w:val="22"/>
          <w:szCs w:val="22"/>
          <w:lang w:val="en-AU"/>
        </w:rPr>
        <w:t xml:space="preserve"> </w:t>
      </w:r>
      <w:r w:rsidR="00E1572B">
        <w:rPr>
          <w:rFonts w:ascii="Arial" w:hAnsi="Arial" w:cs="Arial"/>
          <w:sz w:val="22"/>
          <w:szCs w:val="22"/>
          <w:lang w:val="en-AU"/>
        </w:rPr>
        <w:t xml:space="preserve">[OBPR </w:t>
      </w:r>
      <w:r w:rsidR="003A1707">
        <w:rPr>
          <w:rFonts w:ascii="Arial" w:hAnsi="Arial" w:cs="Arial"/>
          <w:sz w:val="22"/>
          <w:szCs w:val="22"/>
          <w:lang w:val="en-AU"/>
        </w:rPr>
        <w:t>ID</w:t>
      </w:r>
      <w:r w:rsidR="00E1572B">
        <w:rPr>
          <w:rFonts w:ascii="Arial" w:hAnsi="Arial" w:cs="Arial"/>
          <w:sz w:val="22"/>
          <w:szCs w:val="22"/>
          <w:lang w:val="en-AU"/>
        </w:rPr>
        <w:t xml:space="preserve"> </w:t>
      </w:r>
      <w:r w:rsidR="003A1707">
        <w:rPr>
          <w:rFonts w:ascii="Arial" w:hAnsi="Arial" w:cs="Arial"/>
          <w:sz w:val="22"/>
          <w:szCs w:val="22"/>
          <w:lang w:val="en-AU"/>
        </w:rPr>
        <w:t>14067</w:t>
      </w:r>
      <w:r w:rsidRPr="00465F26">
        <w:rPr>
          <w:rFonts w:ascii="Arial" w:hAnsi="Arial" w:cs="Arial"/>
          <w:sz w:val="22"/>
          <w:szCs w:val="22"/>
          <w:lang w:val="en-AU"/>
        </w:rPr>
        <w:t>]</w:t>
      </w:r>
      <w:r w:rsidR="00B63225">
        <w:rPr>
          <w:rFonts w:ascii="Arial" w:hAnsi="Arial" w:cs="Arial"/>
          <w:sz w:val="22"/>
          <w:szCs w:val="22"/>
          <w:lang w:val="en-AU"/>
        </w:rPr>
        <w:t>.</w:t>
      </w:r>
    </w:p>
    <w:p w:rsidR="007C504D" w:rsidRDefault="007C504D" w:rsidP="00D9556E">
      <w:pPr>
        <w:pStyle w:val="ListParagraph"/>
        <w:ind w:left="0"/>
        <w:rPr>
          <w:rFonts w:ascii="Arial" w:hAnsi="Arial" w:cs="Arial"/>
          <w:sz w:val="22"/>
          <w:szCs w:val="22"/>
          <w:lang w:val="en-AU"/>
        </w:rPr>
      </w:pPr>
    </w:p>
    <w:p w:rsidR="007C504D" w:rsidRDefault="007C504D" w:rsidP="00D9556E">
      <w:pPr>
        <w:rPr>
          <w:rFonts w:ascii="Arial" w:hAnsi="Arial" w:cs="Arial"/>
          <w:b/>
          <w:sz w:val="22"/>
          <w:szCs w:val="22"/>
          <w:lang w:val="en-AU"/>
        </w:rPr>
      </w:pPr>
      <w:r w:rsidRPr="00F97A7F">
        <w:rPr>
          <w:rFonts w:ascii="Arial" w:hAnsi="Arial" w:cs="Arial"/>
          <w:b/>
          <w:sz w:val="22"/>
          <w:szCs w:val="22"/>
          <w:lang w:val="en-AU"/>
        </w:rPr>
        <w:t xml:space="preserve">Documents </w:t>
      </w:r>
      <w:r w:rsidR="00B63225">
        <w:rPr>
          <w:rFonts w:ascii="Arial" w:hAnsi="Arial" w:cs="Arial"/>
          <w:b/>
          <w:sz w:val="22"/>
          <w:szCs w:val="22"/>
          <w:lang w:val="en-AU"/>
        </w:rPr>
        <w:t>i</w:t>
      </w:r>
      <w:r w:rsidRPr="00F97A7F">
        <w:rPr>
          <w:rFonts w:ascii="Arial" w:hAnsi="Arial" w:cs="Arial"/>
          <w:b/>
          <w:sz w:val="22"/>
          <w:szCs w:val="22"/>
          <w:lang w:val="en-AU"/>
        </w:rPr>
        <w:t xml:space="preserve">ncorporated by </w:t>
      </w:r>
      <w:r w:rsidR="00B63225">
        <w:rPr>
          <w:rFonts w:ascii="Arial" w:hAnsi="Arial" w:cs="Arial"/>
          <w:b/>
          <w:sz w:val="22"/>
          <w:szCs w:val="22"/>
          <w:lang w:val="en-AU"/>
        </w:rPr>
        <w:t>r</w:t>
      </w:r>
      <w:r w:rsidRPr="00F97A7F">
        <w:rPr>
          <w:rFonts w:ascii="Arial" w:hAnsi="Arial" w:cs="Arial"/>
          <w:b/>
          <w:sz w:val="22"/>
          <w:szCs w:val="22"/>
          <w:lang w:val="en-AU"/>
        </w:rPr>
        <w:t>eference</w:t>
      </w:r>
    </w:p>
    <w:p w:rsidR="007C504D" w:rsidRDefault="007C504D" w:rsidP="00D9556E">
      <w:pPr>
        <w:pStyle w:val="ListParagraph"/>
        <w:ind w:left="0"/>
        <w:rPr>
          <w:rFonts w:ascii="Arial" w:hAnsi="Arial" w:cs="Arial"/>
          <w:sz w:val="22"/>
          <w:szCs w:val="22"/>
          <w:lang w:val="en-AU"/>
        </w:rPr>
      </w:pPr>
      <w:r>
        <w:rPr>
          <w:rFonts w:ascii="Arial" w:hAnsi="Arial" w:cs="Arial"/>
          <w:sz w:val="22"/>
          <w:szCs w:val="22"/>
          <w:lang w:val="en-AU"/>
        </w:rPr>
        <w:t>None</w:t>
      </w:r>
    </w:p>
    <w:p w:rsidR="00D841E1" w:rsidRDefault="00D841E1" w:rsidP="00D9556E">
      <w:pPr>
        <w:pStyle w:val="ListParagraph"/>
        <w:ind w:left="0"/>
        <w:rPr>
          <w:rFonts w:ascii="Arial" w:hAnsi="Arial" w:cs="Arial"/>
          <w:sz w:val="22"/>
          <w:szCs w:val="22"/>
          <w:lang w:val="en-AU"/>
        </w:rPr>
      </w:pPr>
    </w:p>
    <w:p w:rsidR="00D841E1" w:rsidRDefault="00D841E1" w:rsidP="00D9556E">
      <w:pPr>
        <w:pStyle w:val="ListParagraph"/>
        <w:rPr>
          <w:rFonts w:ascii="Arial" w:hAnsi="Arial" w:cs="Arial"/>
          <w:sz w:val="22"/>
          <w:szCs w:val="22"/>
          <w:lang w:val="en-AU"/>
        </w:rPr>
      </w:pPr>
    </w:p>
    <w:p w:rsidR="00D841E1" w:rsidRDefault="0039588A" w:rsidP="00D9556E">
      <w:pPr>
        <w:rPr>
          <w:rFonts w:ascii="Arial" w:hAnsi="Arial" w:cs="Arial"/>
          <w:b/>
          <w:sz w:val="22"/>
          <w:szCs w:val="22"/>
          <w:lang w:val="en-AU"/>
        </w:rPr>
      </w:pPr>
      <w:r w:rsidRPr="00465F26">
        <w:rPr>
          <w:rFonts w:ascii="Arial" w:hAnsi="Arial" w:cs="Arial"/>
          <w:b/>
          <w:sz w:val="22"/>
          <w:szCs w:val="22"/>
          <w:lang w:val="en-AU"/>
        </w:rPr>
        <w:t xml:space="preserve">Detailed Description of the </w:t>
      </w:r>
      <w:r w:rsidR="007C504D">
        <w:rPr>
          <w:rFonts w:ascii="Arial" w:hAnsi="Arial" w:cs="Arial"/>
          <w:b/>
          <w:sz w:val="22"/>
          <w:szCs w:val="22"/>
          <w:lang w:val="en-AU"/>
        </w:rPr>
        <w:t>Determination</w:t>
      </w:r>
    </w:p>
    <w:p w:rsidR="00D841E1" w:rsidRDefault="0039588A" w:rsidP="00D9556E">
      <w:pPr>
        <w:rPr>
          <w:rFonts w:ascii="Arial" w:hAnsi="Arial" w:cs="Arial"/>
          <w:sz w:val="22"/>
          <w:szCs w:val="22"/>
          <w:lang w:val="en-AU"/>
        </w:rPr>
      </w:pPr>
      <w:r w:rsidRPr="00465F26">
        <w:rPr>
          <w:rFonts w:ascii="Arial" w:hAnsi="Arial" w:cs="Arial"/>
          <w:sz w:val="22"/>
          <w:szCs w:val="22"/>
          <w:lang w:val="en-AU"/>
        </w:rPr>
        <w:t xml:space="preserve">Details of the instrument are set out in </w:t>
      </w:r>
      <w:r w:rsidRPr="00465F26">
        <w:rPr>
          <w:rFonts w:ascii="Arial" w:hAnsi="Arial" w:cs="Arial"/>
          <w:b/>
          <w:sz w:val="22"/>
          <w:szCs w:val="22"/>
          <w:lang w:val="en-AU"/>
        </w:rPr>
        <w:t>Attachment A</w:t>
      </w:r>
      <w:r w:rsidRPr="00465F26">
        <w:rPr>
          <w:rFonts w:ascii="Arial" w:hAnsi="Arial" w:cs="Arial"/>
          <w:sz w:val="22"/>
          <w:szCs w:val="22"/>
          <w:lang w:val="en-AU"/>
        </w:rPr>
        <w:t>.</w:t>
      </w:r>
    </w:p>
    <w:p w:rsidR="0039588A" w:rsidRPr="00465F26" w:rsidRDefault="0039588A" w:rsidP="0039588A">
      <w:pPr>
        <w:spacing w:line="360" w:lineRule="auto"/>
        <w:ind w:left="6804"/>
        <w:rPr>
          <w:rFonts w:ascii="Arial" w:hAnsi="Arial" w:cs="Arial"/>
          <w:sz w:val="22"/>
          <w:szCs w:val="22"/>
          <w:lang w:val="en-AU"/>
        </w:rPr>
      </w:pPr>
    </w:p>
    <w:p w:rsidR="0039588A" w:rsidRPr="00465F26" w:rsidRDefault="0039588A" w:rsidP="0039588A">
      <w:pPr>
        <w:spacing w:line="360" w:lineRule="auto"/>
        <w:ind w:left="6804"/>
        <w:rPr>
          <w:rFonts w:ascii="Arial" w:hAnsi="Arial" w:cs="Arial"/>
          <w:b/>
          <w:sz w:val="22"/>
          <w:szCs w:val="22"/>
          <w:lang w:val="en-AU"/>
        </w:rPr>
      </w:pPr>
      <w:r w:rsidRPr="00465F26">
        <w:rPr>
          <w:rFonts w:ascii="Arial" w:hAnsi="Arial" w:cs="Arial"/>
          <w:sz w:val="22"/>
          <w:szCs w:val="22"/>
          <w:lang w:val="en-AU"/>
        </w:rPr>
        <w:br w:type="page"/>
      </w:r>
      <w:r w:rsidRPr="00465F26">
        <w:rPr>
          <w:rFonts w:ascii="Arial" w:hAnsi="Arial" w:cs="Arial"/>
          <w:sz w:val="22"/>
          <w:szCs w:val="22"/>
          <w:lang w:val="en-AU"/>
        </w:rPr>
        <w:br/>
      </w:r>
      <w:r w:rsidRPr="00465F26">
        <w:rPr>
          <w:rFonts w:ascii="Arial" w:hAnsi="Arial" w:cs="Arial"/>
          <w:b/>
          <w:sz w:val="22"/>
          <w:szCs w:val="22"/>
          <w:lang w:val="en-AU"/>
        </w:rPr>
        <w:t>ATTACHMENT A</w:t>
      </w:r>
    </w:p>
    <w:p w:rsidR="0039588A" w:rsidRPr="00465F26" w:rsidRDefault="0039588A" w:rsidP="0039588A">
      <w:pPr>
        <w:spacing w:line="360" w:lineRule="auto"/>
        <w:rPr>
          <w:rFonts w:ascii="Arial" w:hAnsi="Arial" w:cs="Arial"/>
          <w:b/>
          <w:sz w:val="22"/>
          <w:szCs w:val="22"/>
          <w:lang w:val="en-AU"/>
        </w:rPr>
      </w:pPr>
    </w:p>
    <w:p w:rsidR="0039588A" w:rsidRPr="00465F26" w:rsidRDefault="0039588A" w:rsidP="0039588A">
      <w:pPr>
        <w:spacing w:line="360" w:lineRule="auto"/>
        <w:rPr>
          <w:rFonts w:ascii="Arial" w:hAnsi="Arial" w:cs="Arial"/>
          <w:b/>
          <w:sz w:val="22"/>
          <w:szCs w:val="22"/>
          <w:lang w:val="en-AU"/>
        </w:rPr>
      </w:pPr>
    </w:p>
    <w:p w:rsidR="0039588A" w:rsidRPr="00465F26" w:rsidRDefault="0039588A" w:rsidP="0039588A">
      <w:pPr>
        <w:spacing w:line="360" w:lineRule="auto"/>
        <w:jc w:val="center"/>
        <w:rPr>
          <w:rFonts w:ascii="Arial" w:hAnsi="Arial" w:cs="Arial"/>
          <w:i/>
          <w:sz w:val="22"/>
          <w:szCs w:val="22"/>
          <w:lang w:val="en-AU"/>
        </w:rPr>
      </w:pPr>
      <w:r w:rsidRPr="00465F26">
        <w:rPr>
          <w:rFonts w:ascii="Arial" w:hAnsi="Arial" w:cs="Arial"/>
          <w:b/>
          <w:sz w:val="22"/>
          <w:szCs w:val="22"/>
          <w:lang w:val="en-AU"/>
        </w:rPr>
        <w:t>DETAILS OF THE</w:t>
      </w:r>
      <w:r w:rsidR="00A74E52" w:rsidRPr="00465F26">
        <w:rPr>
          <w:rFonts w:ascii="Arial" w:hAnsi="Arial" w:cs="Arial"/>
          <w:b/>
          <w:sz w:val="22"/>
          <w:szCs w:val="22"/>
          <w:lang w:val="en-AU"/>
        </w:rPr>
        <w:t xml:space="preserve"> RADIOCOMMUNICATIONS</w:t>
      </w:r>
      <w:r w:rsidR="00E42DC1" w:rsidRPr="00465F26">
        <w:rPr>
          <w:rFonts w:ascii="Arial" w:hAnsi="Arial" w:cs="Arial"/>
          <w:b/>
          <w:sz w:val="22"/>
          <w:szCs w:val="22"/>
          <w:lang w:val="en-AU"/>
        </w:rPr>
        <w:t xml:space="preserve"> </w:t>
      </w:r>
      <w:r w:rsidR="00EC19FB" w:rsidRPr="00465F26">
        <w:rPr>
          <w:rFonts w:ascii="Arial" w:hAnsi="Arial" w:cs="Arial"/>
          <w:b/>
          <w:sz w:val="22"/>
          <w:szCs w:val="22"/>
          <w:lang w:val="en-AU"/>
        </w:rPr>
        <w:t>(</w:t>
      </w:r>
      <w:r w:rsidR="002D26A9">
        <w:rPr>
          <w:rFonts w:ascii="Arial" w:hAnsi="Arial" w:cs="Arial"/>
          <w:b/>
          <w:sz w:val="22"/>
          <w:szCs w:val="22"/>
          <w:lang w:val="en-AU"/>
        </w:rPr>
        <w:t>SUB</w:t>
      </w:r>
      <w:r w:rsidR="00E42DC1" w:rsidRPr="00465F26">
        <w:rPr>
          <w:rFonts w:ascii="Arial" w:hAnsi="Arial" w:cs="Arial"/>
          <w:b/>
          <w:sz w:val="22"/>
          <w:szCs w:val="22"/>
          <w:lang w:val="en-AU"/>
        </w:rPr>
        <w:t>SECTION 145</w:t>
      </w:r>
      <w:r w:rsidR="002D26A9">
        <w:rPr>
          <w:rFonts w:ascii="Arial" w:hAnsi="Arial" w:cs="Arial"/>
          <w:b/>
          <w:sz w:val="22"/>
          <w:szCs w:val="22"/>
          <w:lang w:val="en-AU"/>
        </w:rPr>
        <w:t xml:space="preserve"> </w:t>
      </w:r>
      <w:r w:rsidR="00E42DC1" w:rsidRPr="00465F26">
        <w:rPr>
          <w:rFonts w:ascii="Arial" w:hAnsi="Arial" w:cs="Arial"/>
          <w:b/>
          <w:sz w:val="22"/>
          <w:szCs w:val="22"/>
          <w:lang w:val="en-AU"/>
        </w:rPr>
        <w:t xml:space="preserve">(3) CERTIFICATES) </w:t>
      </w:r>
      <w:r w:rsidRPr="00465F26">
        <w:rPr>
          <w:rFonts w:ascii="Arial" w:hAnsi="Arial" w:cs="Arial"/>
          <w:b/>
          <w:sz w:val="22"/>
          <w:szCs w:val="22"/>
          <w:lang w:val="en-AU"/>
        </w:rPr>
        <w:t xml:space="preserve">DETERMINATION 2012 </w:t>
      </w:r>
    </w:p>
    <w:p w:rsidR="00D841E1" w:rsidRDefault="00D841E1">
      <w:pPr>
        <w:rPr>
          <w:rFonts w:ascii="Arial" w:hAnsi="Arial" w:cs="Arial"/>
          <w:b/>
          <w:sz w:val="22"/>
          <w:szCs w:val="22"/>
          <w:lang w:val="en-AU"/>
        </w:rPr>
      </w:pPr>
    </w:p>
    <w:p w:rsidR="00D841E1" w:rsidRDefault="00D841E1">
      <w:pPr>
        <w:rPr>
          <w:rFonts w:ascii="Arial" w:hAnsi="Arial" w:cs="Arial"/>
          <w:b/>
          <w:sz w:val="22"/>
          <w:szCs w:val="22"/>
          <w:lang w:val="en-AU"/>
        </w:rPr>
      </w:pPr>
    </w:p>
    <w:p w:rsidR="0088646A" w:rsidRDefault="0039588A" w:rsidP="0088646A">
      <w:pPr>
        <w:spacing w:after="120"/>
        <w:rPr>
          <w:rFonts w:ascii="Arial" w:hAnsi="Arial" w:cs="Arial"/>
          <w:b/>
          <w:sz w:val="22"/>
          <w:szCs w:val="22"/>
          <w:lang w:val="en-AU"/>
        </w:rPr>
      </w:pPr>
      <w:r w:rsidRPr="00465F26">
        <w:rPr>
          <w:rFonts w:ascii="Arial" w:hAnsi="Arial" w:cs="Arial"/>
          <w:b/>
          <w:sz w:val="22"/>
          <w:szCs w:val="22"/>
          <w:lang w:val="en-AU"/>
        </w:rPr>
        <w:t xml:space="preserve">Section 1 – </w:t>
      </w:r>
      <w:r w:rsidR="001C369E">
        <w:rPr>
          <w:rFonts w:ascii="Arial" w:hAnsi="Arial" w:cs="Arial"/>
          <w:b/>
          <w:sz w:val="22"/>
          <w:szCs w:val="22"/>
          <w:lang w:val="en-AU"/>
        </w:rPr>
        <w:t>Title</w:t>
      </w:r>
    </w:p>
    <w:p w:rsidR="00D841E1" w:rsidRDefault="0039588A">
      <w:pPr>
        <w:rPr>
          <w:rFonts w:ascii="Arial" w:hAnsi="Arial" w:cs="Arial"/>
          <w:i/>
          <w:sz w:val="22"/>
          <w:szCs w:val="22"/>
          <w:lang w:val="en-AU"/>
        </w:rPr>
      </w:pPr>
      <w:r w:rsidRPr="00465F26">
        <w:rPr>
          <w:rFonts w:ascii="Arial" w:hAnsi="Arial" w:cs="Arial"/>
          <w:sz w:val="22"/>
          <w:szCs w:val="22"/>
          <w:lang w:val="en-AU"/>
        </w:rPr>
        <w:t xml:space="preserve">This section </w:t>
      </w:r>
      <w:r w:rsidR="001C369E">
        <w:rPr>
          <w:rFonts w:ascii="Arial" w:hAnsi="Arial" w:cs="Arial"/>
          <w:sz w:val="22"/>
          <w:szCs w:val="22"/>
          <w:lang w:val="en-AU"/>
        </w:rPr>
        <w:t xml:space="preserve">provides that the title of the </w:t>
      </w:r>
      <w:r w:rsidRPr="00465F26">
        <w:rPr>
          <w:rFonts w:ascii="Arial" w:hAnsi="Arial" w:cs="Arial"/>
          <w:sz w:val="22"/>
          <w:szCs w:val="22"/>
          <w:lang w:val="en-AU"/>
        </w:rPr>
        <w:t>Determination</w:t>
      </w:r>
      <w:r w:rsidR="001C369E">
        <w:rPr>
          <w:rFonts w:ascii="Arial" w:hAnsi="Arial" w:cs="Arial"/>
          <w:sz w:val="22"/>
          <w:szCs w:val="22"/>
          <w:lang w:val="en-AU"/>
        </w:rPr>
        <w:t xml:space="preserve"> is </w:t>
      </w:r>
      <w:r w:rsidRPr="00465F26">
        <w:rPr>
          <w:rFonts w:ascii="Arial" w:hAnsi="Arial" w:cs="Arial"/>
          <w:sz w:val="22"/>
          <w:szCs w:val="22"/>
          <w:lang w:val="en-AU"/>
        </w:rPr>
        <w:t xml:space="preserve">the </w:t>
      </w:r>
      <w:r w:rsidR="00D93560" w:rsidRPr="00465F26">
        <w:rPr>
          <w:rFonts w:ascii="Arial" w:hAnsi="Arial" w:cs="Arial"/>
          <w:i/>
          <w:sz w:val="22"/>
          <w:szCs w:val="22"/>
          <w:lang w:val="en-AU"/>
        </w:rPr>
        <w:t>Radiocommunications (</w:t>
      </w:r>
      <w:r w:rsidR="002D26A9">
        <w:rPr>
          <w:rFonts w:ascii="Arial" w:hAnsi="Arial" w:cs="Arial"/>
          <w:i/>
          <w:sz w:val="22"/>
          <w:szCs w:val="22"/>
          <w:lang w:val="en-AU"/>
        </w:rPr>
        <w:t>sub</w:t>
      </w:r>
      <w:r w:rsidR="00D93560" w:rsidRPr="00465F26">
        <w:rPr>
          <w:rFonts w:ascii="Arial" w:hAnsi="Arial" w:cs="Arial"/>
          <w:i/>
          <w:sz w:val="22"/>
          <w:szCs w:val="22"/>
          <w:lang w:val="en-AU"/>
        </w:rPr>
        <w:t>section 145</w:t>
      </w:r>
      <w:r w:rsidR="002D26A9">
        <w:rPr>
          <w:rFonts w:ascii="Arial" w:hAnsi="Arial" w:cs="Arial"/>
          <w:i/>
          <w:sz w:val="22"/>
          <w:szCs w:val="22"/>
          <w:lang w:val="en-AU"/>
        </w:rPr>
        <w:t xml:space="preserve"> </w:t>
      </w:r>
      <w:r w:rsidR="00D93560" w:rsidRPr="00465F26">
        <w:rPr>
          <w:rFonts w:ascii="Arial" w:hAnsi="Arial" w:cs="Arial"/>
          <w:i/>
          <w:sz w:val="22"/>
          <w:szCs w:val="22"/>
          <w:lang w:val="en-AU"/>
        </w:rPr>
        <w:t xml:space="preserve">(3) Certificates) Determination 2012. </w:t>
      </w:r>
    </w:p>
    <w:p w:rsidR="00D841E1" w:rsidRDefault="00D841E1">
      <w:pPr>
        <w:rPr>
          <w:rFonts w:ascii="Arial" w:hAnsi="Arial" w:cs="Arial"/>
          <w:sz w:val="22"/>
          <w:szCs w:val="22"/>
          <w:lang w:val="en-AU"/>
        </w:rPr>
      </w:pPr>
    </w:p>
    <w:p w:rsidR="0088646A" w:rsidRDefault="0039588A" w:rsidP="0088646A">
      <w:pPr>
        <w:spacing w:after="120"/>
        <w:rPr>
          <w:rFonts w:ascii="Arial" w:hAnsi="Arial" w:cs="Arial"/>
          <w:b/>
          <w:sz w:val="22"/>
          <w:szCs w:val="22"/>
          <w:lang w:val="en-AU"/>
        </w:rPr>
      </w:pPr>
      <w:r w:rsidRPr="00465F26">
        <w:rPr>
          <w:rFonts w:ascii="Arial" w:hAnsi="Arial" w:cs="Arial"/>
          <w:b/>
          <w:sz w:val="22"/>
          <w:szCs w:val="22"/>
          <w:lang w:val="en-AU"/>
        </w:rPr>
        <w:t xml:space="preserve">Section 2 - Commencement </w:t>
      </w:r>
    </w:p>
    <w:p w:rsidR="00D841E1" w:rsidRDefault="0039588A">
      <w:pPr>
        <w:rPr>
          <w:rFonts w:ascii="Arial" w:hAnsi="Arial" w:cs="Arial"/>
          <w:sz w:val="22"/>
          <w:szCs w:val="22"/>
          <w:lang w:val="en-AU"/>
        </w:rPr>
      </w:pPr>
      <w:r w:rsidRPr="00465F26">
        <w:rPr>
          <w:rFonts w:ascii="Arial" w:hAnsi="Arial" w:cs="Arial"/>
          <w:sz w:val="22"/>
          <w:szCs w:val="22"/>
          <w:lang w:val="en-AU"/>
        </w:rPr>
        <w:t xml:space="preserve">This section states that the Determination will commence on the day after it is registered on the Federal Register of Legislative Instruments.  </w:t>
      </w:r>
    </w:p>
    <w:p w:rsidR="00D841E1" w:rsidRDefault="00D841E1">
      <w:pPr>
        <w:rPr>
          <w:rFonts w:ascii="Arial" w:hAnsi="Arial" w:cs="Arial"/>
          <w:b/>
          <w:sz w:val="22"/>
          <w:szCs w:val="22"/>
          <w:lang w:val="en-AU"/>
        </w:rPr>
      </w:pPr>
    </w:p>
    <w:p w:rsidR="0088646A" w:rsidRDefault="0039588A" w:rsidP="0088646A">
      <w:pPr>
        <w:spacing w:after="120"/>
        <w:rPr>
          <w:rFonts w:ascii="Arial" w:hAnsi="Arial" w:cs="Arial"/>
          <w:b/>
          <w:i/>
          <w:sz w:val="22"/>
          <w:szCs w:val="22"/>
          <w:lang w:val="en-AU"/>
        </w:rPr>
      </w:pPr>
      <w:r w:rsidRPr="00465F26">
        <w:rPr>
          <w:rFonts w:ascii="Arial" w:hAnsi="Arial" w:cs="Arial"/>
          <w:b/>
          <w:sz w:val="22"/>
          <w:szCs w:val="22"/>
          <w:lang w:val="en-AU"/>
        </w:rPr>
        <w:t>Section 3 – Revocation</w:t>
      </w:r>
      <w:r w:rsidR="001C369E">
        <w:rPr>
          <w:rFonts w:ascii="Arial" w:hAnsi="Arial" w:cs="Arial"/>
          <w:b/>
          <w:sz w:val="22"/>
          <w:szCs w:val="22"/>
          <w:lang w:val="en-AU"/>
        </w:rPr>
        <w:t xml:space="preserve"> of the </w:t>
      </w:r>
      <w:r w:rsidR="001C369E">
        <w:rPr>
          <w:rFonts w:ascii="Arial" w:hAnsi="Arial" w:cs="Arial"/>
          <w:b/>
          <w:i/>
          <w:sz w:val="22"/>
          <w:szCs w:val="22"/>
          <w:lang w:val="en-AU"/>
        </w:rPr>
        <w:t>Radiocommunications (section 145</w:t>
      </w:r>
      <w:r w:rsidR="007C504D">
        <w:rPr>
          <w:rFonts w:ascii="Arial" w:hAnsi="Arial" w:cs="Arial"/>
          <w:b/>
          <w:i/>
          <w:sz w:val="22"/>
          <w:szCs w:val="22"/>
          <w:lang w:val="en-AU"/>
        </w:rPr>
        <w:t xml:space="preserve"> </w:t>
      </w:r>
      <w:r w:rsidR="001C369E">
        <w:rPr>
          <w:rFonts w:ascii="Arial" w:hAnsi="Arial" w:cs="Arial"/>
          <w:b/>
          <w:i/>
          <w:sz w:val="22"/>
          <w:szCs w:val="22"/>
          <w:lang w:val="en-AU"/>
        </w:rPr>
        <w:t>(3) Certificates) Determination 2000</w:t>
      </w:r>
    </w:p>
    <w:p w:rsidR="00D841E1" w:rsidRDefault="0039588A">
      <w:pPr>
        <w:rPr>
          <w:rFonts w:ascii="Arial" w:hAnsi="Arial" w:cs="Arial"/>
          <w:sz w:val="22"/>
          <w:szCs w:val="22"/>
          <w:lang w:val="en-AU"/>
        </w:rPr>
      </w:pPr>
      <w:r w:rsidRPr="00465F26">
        <w:rPr>
          <w:rFonts w:ascii="Arial" w:hAnsi="Arial" w:cs="Arial"/>
          <w:sz w:val="22"/>
          <w:szCs w:val="22"/>
          <w:lang w:val="en-AU"/>
        </w:rPr>
        <w:t xml:space="preserve">This section revokes the </w:t>
      </w:r>
      <w:r w:rsidR="00D93560" w:rsidRPr="00465F26">
        <w:rPr>
          <w:rFonts w:ascii="Arial" w:hAnsi="Arial" w:cs="Arial"/>
          <w:i/>
          <w:sz w:val="22"/>
          <w:szCs w:val="22"/>
          <w:lang w:val="en-AU"/>
        </w:rPr>
        <w:t>Radiocommunications (section 145</w:t>
      </w:r>
      <w:r w:rsidR="007C504D">
        <w:rPr>
          <w:rFonts w:ascii="Arial" w:hAnsi="Arial" w:cs="Arial"/>
          <w:i/>
          <w:sz w:val="22"/>
          <w:szCs w:val="22"/>
          <w:lang w:val="en-AU"/>
        </w:rPr>
        <w:t xml:space="preserve"> </w:t>
      </w:r>
      <w:r w:rsidR="00D93560" w:rsidRPr="00465F26">
        <w:rPr>
          <w:rFonts w:ascii="Arial" w:hAnsi="Arial" w:cs="Arial"/>
          <w:i/>
          <w:sz w:val="22"/>
          <w:szCs w:val="22"/>
          <w:lang w:val="en-AU"/>
        </w:rPr>
        <w:t>(3) Certificates) Determination 2000</w:t>
      </w:r>
      <w:r w:rsidRPr="00465F26">
        <w:rPr>
          <w:rFonts w:ascii="Arial" w:hAnsi="Arial" w:cs="Arial"/>
          <w:sz w:val="22"/>
          <w:szCs w:val="22"/>
          <w:lang w:val="en-AU"/>
        </w:rPr>
        <w:t xml:space="preserve">.  </w:t>
      </w:r>
      <w:r w:rsidR="001C369E">
        <w:rPr>
          <w:rFonts w:ascii="Arial" w:hAnsi="Arial" w:cs="Arial"/>
          <w:sz w:val="22"/>
          <w:szCs w:val="22"/>
          <w:lang w:val="en-AU"/>
        </w:rPr>
        <w:t>The r</w:t>
      </w:r>
      <w:r w:rsidRPr="00465F26">
        <w:rPr>
          <w:rFonts w:ascii="Arial" w:hAnsi="Arial" w:cs="Arial"/>
          <w:sz w:val="22"/>
          <w:szCs w:val="22"/>
          <w:lang w:val="en-AU"/>
        </w:rPr>
        <w:t xml:space="preserve">evocation will have effect on </w:t>
      </w:r>
      <w:r w:rsidR="001C369E">
        <w:rPr>
          <w:rFonts w:ascii="Arial" w:hAnsi="Arial" w:cs="Arial"/>
          <w:sz w:val="22"/>
          <w:szCs w:val="22"/>
          <w:lang w:val="en-AU"/>
        </w:rPr>
        <w:t>the day the Determination commences (see section 2)</w:t>
      </w:r>
      <w:r w:rsidR="001C369E" w:rsidRPr="00465F26">
        <w:rPr>
          <w:rFonts w:ascii="Arial" w:hAnsi="Arial" w:cs="Arial"/>
          <w:sz w:val="22"/>
          <w:szCs w:val="22"/>
          <w:lang w:val="en-AU"/>
        </w:rPr>
        <w:t>.</w:t>
      </w:r>
    </w:p>
    <w:p w:rsidR="00D841E1" w:rsidRDefault="00D841E1">
      <w:pPr>
        <w:rPr>
          <w:rFonts w:ascii="Arial" w:hAnsi="Arial" w:cs="Arial"/>
          <w:sz w:val="22"/>
          <w:szCs w:val="22"/>
          <w:lang w:val="en-AU"/>
        </w:rPr>
      </w:pPr>
    </w:p>
    <w:p w:rsidR="0088646A" w:rsidRDefault="00D93560" w:rsidP="0088646A">
      <w:pPr>
        <w:keepNext/>
        <w:keepLines/>
        <w:spacing w:after="120"/>
        <w:rPr>
          <w:rFonts w:ascii="Arial" w:hAnsi="Arial" w:cs="Arial"/>
          <w:b/>
          <w:i/>
          <w:sz w:val="22"/>
          <w:szCs w:val="22"/>
          <w:lang w:val="en-AU"/>
        </w:rPr>
      </w:pPr>
      <w:r w:rsidRPr="00465F26">
        <w:rPr>
          <w:rFonts w:ascii="Arial" w:hAnsi="Arial" w:cs="Arial"/>
          <w:b/>
          <w:sz w:val="22"/>
          <w:szCs w:val="22"/>
          <w:lang w:val="en-AU"/>
        </w:rPr>
        <w:t xml:space="preserve">Section 4 – Purpose </w:t>
      </w:r>
    </w:p>
    <w:p w:rsidR="00D841E1" w:rsidRDefault="00D93560">
      <w:pPr>
        <w:rPr>
          <w:rFonts w:ascii="Arial" w:hAnsi="Arial" w:cs="Arial"/>
          <w:sz w:val="22"/>
          <w:szCs w:val="22"/>
          <w:lang w:val="en-AU"/>
        </w:rPr>
      </w:pPr>
      <w:r w:rsidRPr="00465F26">
        <w:rPr>
          <w:rFonts w:ascii="Arial" w:hAnsi="Arial" w:cs="Arial"/>
          <w:sz w:val="22"/>
          <w:szCs w:val="22"/>
          <w:lang w:val="en-AU"/>
        </w:rPr>
        <w:t xml:space="preserve">This section states that the purpose of </w:t>
      </w:r>
      <w:r w:rsidR="001C369E">
        <w:rPr>
          <w:rFonts w:ascii="Arial" w:hAnsi="Arial" w:cs="Arial"/>
          <w:sz w:val="22"/>
          <w:szCs w:val="22"/>
          <w:lang w:val="en-AU"/>
        </w:rPr>
        <w:t>the Determination</w:t>
      </w:r>
      <w:r w:rsidRPr="00465F26">
        <w:rPr>
          <w:rFonts w:ascii="Arial" w:hAnsi="Arial" w:cs="Arial"/>
          <w:sz w:val="22"/>
          <w:szCs w:val="22"/>
          <w:lang w:val="en-AU"/>
        </w:rPr>
        <w:t xml:space="preserve"> is to set out the conditions that apply to the issuing of a certificate under </w:t>
      </w:r>
      <w:r w:rsidR="00B63225">
        <w:rPr>
          <w:rFonts w:ascii="Arial" w:hAnsi="Arial" w:cs="Arial"/>
          <w:sz w:val="22"/>
          <w:szCs w:val="22"/>
          <w:lang w:val="en-AU"/>
        </w:rPr>
        <w:t>sub</w:t>
      </w:r>
      <w:r w:rsidRPr="00465F26">
        <w:rPr>
          <w:rFonts w:ascii="Arial" w:hAnsi="Arial" w:cs="Arial"/>
          <w:sz w:val="22"/>
          <w:szCs w:val="22"/>
          <w:lang w:val="en-AU"/>
        </w:rPr>
        <w:t>section 145</w:t>
      </w:r>
      <w:r w:rsidR="007C504D">
        <w:rPr>
          <w:rFonts w:ascii="Arial" w:hAnsi="Arial" w:cs="Arial"/>
          <w:sz w:val="22"/>
          <w:szCs w:val="22"/>
          <w:lang w:val="en-AU"/>
        </w:rPr>
        <w:t xml:space="preserve"> </w:t>
      </w:r>
      <w:r w:rsidRPr="00465F26">
        <w:rPr>
          <w:rFonts w:ascii="Arial" w:hAnsi="Arial" w:cs="Arial"/>
          <w:sz w:val="22"/>
          <w:szCs w:val="22"/>
          <w:lang w:val="en-AU"/>
        </w:rPr>
        <w:t xml:space="preserve">(3) of the Act. </w:t>
      </w:r>
    </w:p>
    <w:p w:rsidR="00D841E1" w:rsidRDefault="00D841E1">
      <w:pPr>
        <w:keepNext/>
        <w:keepLines/>
        <w:rPr>
          <w:rFonts w:ascii="Arial" w:hAnsi="Arial" w:cs="Arial"/>
          <w:sz w:val="22"/>
          <w:szCs w:val="22"/>
          <w:lang w:val="en-AU"/>
        </w:rPr>
      </w:pPr>
    </w:p>
    <w:p w:rsidR="0088646A" w:rsidRDefault="00D93560" w:rsidP="0088646A">
      <w:pPr>
        <w:keepNext/>
        <w:keepLines/>
        <w:spacing w:after="120"/>
        <w:rPr>
          <w:rFonts w:ascii="Arial" w:hAnsi="Arial" w:cs="Arial"/>
          <w:b/>
          <w:i/>
          <w:sz w:val="22"/>
          <w:szCs w:val="22"/>
          <w:lang w:val="en-AU"/>
        </w:rPr>
      </w:pPr>
      <w:r w:rsidRPr="00465F26">
        <w:rPr>
          <w:rFonts w:ascii="Arial" w:hAnsi="Arial" w:cs="Arial"/>
          <w:b/>
          <w:sz w:val="22"/>
          <w:szCs w:val="22"/>
          <w:lang w:val="en-AU"/>
        </w:rPr>
        <w:t>Section 5 – Interpretation</w:t>
      </w:r>
    </w:p>
    <w:p w:rsidR="00D841E1" w:rsidRDefault="00D93560">
      <w:pPr>
        <w:rPr>
          <w:rFonts w:ascii="Arial" w:hAnsi="Arial" w:cs="Arial"/>
          <w:sz w:val="22"/>
          <w:szCs w:val="22"/>
          <w:lang w:val="en-AU"/>
        </w:rPr>
      </w:pPr>
      <w:r w:rsidRPr="00465F26">
        <w:rPr>
          <w:rFonts w:ascii="Arial" w:hAnsi="Arial" w:cs="Arial"/>
          <w:sz w:val="22"/>
          <w:szCs w:val="22"/>
          <w:lang w:val="en-AU"/>
        </w:rPr>
        <w:t>This section provides definitions for the terms used in the Determination</w:t>
      </w:r>
      <w:r w:rsidR="001C369E">
        <w:rPr>
          <w:rFonts w:ascii="Arial" w:hAnsi="Arial" w:cs="Arial"/>
          <w:sz w:val="22"/>
          <w:szCs w:val="22"/>
          <w:lang w:val="en-AU"/>
        </w:rPr>
        <w:t xml:space="preserve">. In particular, the section defines terms which are not defined in the </w:t>
      </w:r>
      <w:r w:rsidR="00CB73A7" w:rsidRPr="00CB73A7">
        <w:rPr>
          <w:rFonts w:ascii="Arial" w:hAnsi="Arial" w:cs="Arial"/>
          <w:i/>
          <w:sz w:val="22"/>
          <w:szCs w:val="22"/>
          <w:lang w:val="en-AU"/>
        </w:rPr>
        <w:t>Radiocommunications (section 145</w:t>
      </w:r>
      <w:r w:rsidR="002D26A9">
        <w:rPr>
          <w:rFonts w:ascii="Arial" w:hAnsi="Arial" w:cs="Arial"/>
          <w:i/>
          <w:sz w:val="22"/>
          <w:szCs w:val="22"/>
          <w:lang w:val="en-AU"/>
        </w:rPr>
        <w:t xml:space="preserve"> </w:t>
      </w:r>
      <w:r w:rsidR="00CB73A7" w:rsidRPr="00CB73A7">
        <w:rPr>
          <w:rFonts w:ascii="Arial" w:hAnsi="Arial" w:cs="Arial"/>
          <w:i/>
          <w:sz w:val="22"/>
          <w:szCs w:val="22"/>
          <w:lang w:val="en-AU"/>
        </w:rPr>
        <w:t>(3) Certificates) Determination 2000</w:t>
      </w:r>
      <w:r w:rsidR="002E4942">
        <w:rPr>
          <w:rFonts w:ascii="Arial" w:hAnsi="Arial" w:cs="Arial"/>
          <w:sz w:val="22"/>
          <w:szCs w:val="22"/>
          <w:lang w:val="en-AU"/>
        </w:rPr>
        <w:t xml:space="preserve"> including:</w:t>
      </w:r>
    </w:p>
    <w:p w:rsidR="00D841E1" w:rsidRDefault="001C369E">
      <w:pPr>
        <w:keepNext/>
        <w:keepLines/>
        <w:numPr>
          <w:ilvl w:val="0"/>
          <w:numId w:val="22"/>
        </w:numPr>
        <w:rPr>
          <w:rFonts w:ascii="Arial" w:hAnsi="Arial" w:cs="Arial"/>
          <w:sz w:val="22"/>
          <w:szCs w:val="22"/>
          <w:lang w:val="en-AU"/>
        </w:rPr>
      </w:pPr>
      <w:r w:rsidRPr="00465F26">
        <w:rPr>
          <w:rFonts w:ascii="Arial" w:hAnsi="Arial" w:cs="Arial"/>
          <w:sz w:val="22"/>
          <w:szCs w:val="22"/>
          <w:lang w:val="en-AU"/>
        </w:rPr>
        <w:t xml:space="preserve">guard </w:t>
      </w:r>
      <w:r>
        <w:rPr>
          <w:rFonts w:ascii="Arial" w:hAnsi="Arial" w:cs="Arial"/>
          <w:sz w:val="22"/>
          <w:szCs w:val="22"/>
          <w:lang w:val="en-AU"/>
        </w:rPr>
        <w:t>area</w:t>
      </w:r>
    </w:p>
    <w:p w:rsidR="00D841E1" w:rsidRDefault="001C369E">
      <w:pPr>
        <w:keepNext/>
        <w:keepLines/>
        <w:numPr>
          <w:ilvl w:val="0"/>
          <w:numId w:val="22"/>
        </w:numPr>
        <w:rPr>
          <w:rFonts w:ascii="Arial" w:hAnsi="Arial" w:cs="Arial"/>
          <w:sz w:val="22"/>
          <w:szCs w:val="22"/>
          <w:lang w:val="en-AU"/>
        </w:rPr>
      </w:pPr>
      <w:r>
        <w:rPr>
          <w:rFonts w:ascii="Arial" w:hAnsi="Arial" w:cs="Arial"/>
          <w:sz w:val="22"/>
          <w:szCs w:val="22"/>
          <w:lang w:val="en-AU"/>
        </w:rPr>
        <w:t>guard band</w:t>
      </w:r>
    </w:p>
    <w:p w:rsidR="00D841E1" w:rsidRDefault="001C369E">
      <w:pPr>
        <w:keepNext/>
        <w:keepLines/>
        <w:numPr>
          <w:ilvl w:val="0"/>
          <w:numId w:val="22"/>
        </w:numPr>
        <w:rPr>
          <w:rFonts w:ascii="Arial" w:hAnsi="Arial" w:cs="Arial"/>
          <w:sz w:val="22"/>
          <w:szCs w:val="22"/>
          <w:lang w:val="en-AU"/>
        </w:rPr>
      </w:pPr>
      <w:r>
        <w:rPr>
          <w:rFonts w:ascii="Arial" w:hAnsi="Arial" w:cs="Arial"/>
          <w:sz w:val="22"/>
          <w:szCs w:val="22"/>
          <w:lang w:val="en-AU"/>
        </w:rPr>
        <w:t xml:space="preserve">guard </w:t>
      </w:r>
      <w:r w:rsidRPr="00465F26">
        <w:rPr>
          <w:rFonts w:ascii="Arial" w:hAnsi="Arial" w:cs="Arial"/>
          <w:sz w:val="22"/>
          <w:szCs w:val="22"/>
          <w:lang w:val="en-AU"/>
        </w:rPr>
        <w:t>space</w:t>
      </w:r>
    </w:p>
    <w:p w:rsidR="00D841E1" w:rsidRDefault="002E4942">
      <w:pPr>
        <w:keepNext/>
        <w:keepLines/>
        <w:numPr>
          <w:ilvl w:val="0"/>
          <w:numId w:val="22"/>
        </w:numPr>
        <w:rPr>
          <w:rFonts w:ascii="Arial" w:hAnsi="Arial" w:cs="Arial"/>
          <w:sz w:val="22"/>
          <w:szCs w:val="22"/>
          <w:lang w:val="en-AU"/>
        </w:rPr>
      </w:pPr>
      <w:r>
        <w:rPr>
          <w:rFonts w:ascii="Arial" w:hAnsi="Arial" w:cs="Arial"/>
          <w:sz w:val="22"/>
          <w:szCs w:val="22"/>
          <w:lang w:val="en-AU"/>
        </w:rPr>
        <w:t>spectrum space</w:t>
      </w:r>
    </w:p>
    <w:p w:rsidR="0088646A" w:rsidRDefault="0088646A" w:rsidP="0088646A">
      <w:pPr>
        <w:keepNext/>
        <w:keepLines/>
        <w:ind w:left="720"/>
        <w:rPr>
          <w:rFonts w:ascii="Arial" w:hAnsi="Arial" w:cs="Arial"/>
          <w:sz w:val="22"/>
          <w:szCs w:val="22"/>
          <w:lang w:val="en-AU"/>
        </w:rPr>
      </w:pPr>
    </w:p>
    <w:p w:rsidR="00D841E1" w:rsidRDefault="002E4942">
      <w:pPr>
        <w:keepNext/>
        <w:keepLines/>
        <w:rPr>
          <w:rFonts w:ascii="Arial" w:hAnsi="Arial" w:cs="Arial"/>
          <w:sz w:val="22"/>
          <w:szCs w:val="22"/>
          <w:lang w:val="en-AU"/>
        </w:rPr>
      </w:pPr>
      <w:r>
        <w:rPr>
          <w:rFonts w:ascii="Arial" w:hAnsi="Arial" w:cs="Arial"/>
          <w:sz w:val="22"/>
          <w:szCs w:val="22"/>
          <w:lang w:val="en-AU"/>
        </w:rPr>
        <w:t xml:space="preserve">The terms are defined by reference to the frequency band and the geographic area (the spectrum space) of a spectrum licence. </w:t>
      </w:r>
    </w:p>
    <w:p w:rsidR="002D26A9" w:rsidRDefault="002D26A9">
      <w:pPr>
        <w:keepNext/>
        <w:keepLines/>
        <w:rPr>
          <w:rFonts w:ascii="Arial" w:hAnsi="Arial" w:cs="Arial"/>
          <w:sz w:val="22"/>
          <w:szCs w:val="22"/>
          <w:lang w:val="en-AU"/>
        </w:rPr>
      </w:pPr>
    </w:p>
    <w:p w:rsidR="00D841E1" w:rsidRDefault="002E4942">
      <w:pPr>
        <w:keepNext/>
        <w:keepLines/>
        <w:rPr>
          <w:rFonts w:ascii="Arial" w:hAnsi="Arial" w:cs="Arial"/>
          <w:sz w:val="22"/>
          <w:szCs w:val="22"/>
          <w:lang w:val="en-AU"/>
        </w:rPr>
      </w:pPr>
      <w:r>
        <w:rPr>
          <w:rFonts w:ascii="Arial" w:hAnsi="Arial" w:cs="Arial"/>
          <w:sz w:val="22"/>
          <w:szCs w:val="22"/>
          <w:lang w:val="en-AU"/>
        </w:rPr>
        <w:t xml:space="preserve">Section 5 includes a note which provides that the meanings of the terms listed in the note have the same meaning as in the Act. </w:t>
      </w:r>
    </w:p>
    <w:p w:rsidR="00D841E1" w:rsidRDefault="00D841E1">
      <w:pPr>
        <w:keepNext/>
        <w:keepLines/>
        <w:ind w:left="570" w:hanging="570"/>
        <w:rPr>
          <w:rFonts w:ascii="Arial" w:hAnsi="Arial" w:cs="Arial"/>
          <w:b/>
          <w:sz w:val="22"/>
          <w:szCs w:val="22"/>
          <w:lang w:val="en-AU"/>
        </w:rPr>
      </w:pPr>
    </w:p>
    <w:p w:rsidR="0088646A" w:rsidRDefault="00D93560" w:rsidP="0088646A">
      <w:pPr>
        <w:keepNext/>
        <w:keepLines/>
        <w:spacing w:after="120"/>
        <w:ind w:left="570" w:hanging="570"/>
        <w:rPr>
          <w:rFonts w:ascii="Arial" w:hAnsi="Arial" w:cs="Arial"/>
          <w:b/>
          <w:sz w:val="22"/>
          <w:szCs w:val="22"/>
          <w:lang w:val="en-AU"/>
        </w:rPr>
      </w:pPr>
      <w:r w:rsidRPr="00465F26">
        <w:rPr>
          <w:rFonts w:ascii="Arial" w:hAnsi="Arial" w:cs="Arial"/>
          <w:b/>
          <w:sz w:val="22"/>
          <w:szCs w:val="22"/>
          <w:lang w:val="en-AU"/>
        </w:rPr>
        <w:t>Section 6 – Conditions</w:t>
      </w:r>
    </w:p>
    <w:p w:rsidR="00D841E1" w:rsidRDefault="00D93560">
      <w:pPr>
        <w:rPr>
          <w:rFonts w:ascii="Arial" w:hAnsi="Arial" w:cs="Arial"/>
          <w:color w:val="000000"/>
          <w:sz w:val="22"/>
          <w:szCs w:val="22"/>
        </w:rPr>
      </w:pPr>
      <w:r w:rsidRPr="00465F26">
        <w:rPr>
          <w:rFonts w:ascii="Arial" w:hAnsi="Arial" w:cs="Arial"/>
          <w:color w:val="000000"/>
          <w:sz w:val="22"/>
          <w:szCs w:val="22"/>
        </w:rPr>
        <w:t>This section sets out the conditions for the issue of a certificate un</w:t>
      </w:r>
      <w:r w:rsidR="00EC19FB" w:rsidRPr="00465F26">
        <w:rPr>
          <w:rFonts w:ascii="Arial" w:hAnsi="Arial" w:cs="Arial"/>
          <w:color w:val="000000"/>
          <w:sz w:val="22"/>
          <w:szCs w:val="22"/>
        </w:rPr>
        <w:t>der subsection 145</w:t>
      </w:r>
      <w:r w:rsidR="002D26A9">
        <w:rPr>
          <w:rFonts w:ascii="Arial" w:hAnsi="Arial" w:cs="Arial"/>
          <w:color w:val="000000"/>
          <w:sz w:val="22"/>
          <w:szCs w:val="22"/>
        </w:rPr>
        <w:t xml:space="preserve"> </w:t>
      </w:r>
      <w:r w:rsidR="00EC19FB" w:rsidRPr="00465F26">
        <w:rPr>
          <w:rFonts w:ascii="Arial" w:hAnsi="Arial" w:cs="Arial"/>
          <w:color w:val="000000"/>
          <w:sz w:val="22"/>
          <w:szCs w:val="22"/>
        </w:rPr>
        <w:t>(3) of the Act, for</w:t>
      </w:r>
      <w:r w:rsidR="002E4942">
        <w:rPr>
          <w:rFonts w:ascii="Arial" w:hAnsi="Arial" w:cs="Arial"/>
          <w:color w:val="000000"/>
          <w:sz w:val="22"/>
          <w:szCs w:val="22"/>
        </w:rPr>
        <w:t xml:space="preserve"> a radiocommunications transmitter operating under a spectrum licence issued for a frequency band. The section provides that before issuing a certificate, an accredited person must be satisfied that one of the conditions specified in paragraphs (a)-(c) ha</w:t>
      </w:r>
      <w:r w:rsidR="00B63225">
        <w:rPr>
          <w:rFonts w:ascii="Arial" w:hAnsi="Arial" w:cs="Arial"/>
          <w:color w:val="000000"/>
          <w:sz w:val="22"/>
          <w:szCs w:val="22"/>
        </w:rPr>
        <w:t>s</w:t>
      </w:r>
      <w:r w:rsidR="002E4942">
        <w:rPr>
          <w:rFonts w:ascii="Arial" w:hAnsi="Arial" w:cs="Arial"/>
          <w:color w:val="000000"/>
          <w:sz w:val="22"/>
          <w:szCs w:val="22"/>
        </w:rPr>
        <w:t xml:space="preserve"> been met in relation to the particular radiocommunications transmitter. </w:t>
      </w:r>
    </w:p>
    <w:p w:rsidR="00D841E1" w:rsidRDefault="00D841E1">
      <w:pPr>
        <w:rPr>
          <w:rFonts w:ascii="Arial" w:hAnsi="Arial" w:cs="Arial"/>
          <w:color w:val="000000"/>
          <w:sz w:val="22"/>
          <w:szCs w:val="22"/>
        </w:rPr>
      </w:pPr>
    </w:p>
    <w:p w:rsidR="00D841E1" w:rsidRDefault="00CF1494">
      <w:pPr>
        <w:rPr>
          <w:rFonts w:ascii="Arial" w:hAnsi="Arial" w:cs="Arial"/>
          <w:color w:val="000000"/>
          <w:sz w:val="22"/>
          <w:szCs w:val="22"/>
        </w:rPr>
      </w:pPr>
      <w:r>
        <w:rPr>
          <w:rFonts w:ascii="Arial" w:hAnsi="Arial" w:cs="Arial"/>
          <w:color w:val="000000"/>
          <w:sz w:val="22"/>
          <w:szCs w:val="22"/>
        </w:rPr>
        <w:t>The three conditions prescribed in paragraphs 6</w:t>
      </w:r>
      <w:r w:rsidR="002D26A9">
        <w:rPr>
          <w:rFonts w:ascii="Arial" w:hAnsi="Arial" w:cs="Arial"/>
          <w:color w:val="000000"/>
          <w:sz w:val="22"/>
          <w:szCs w:val="22"/>
        </w:rPr>
        <w:t xml:space="preserve"> </w:t>
      </w:r>
      <w:r>
        <w:rPr>
          <w:rFonts w:ascii="Arial" w:hAnsi="Arial" w:cs="Arial"/>
          <w:color w:val="000000"/>
          <w:sz w:val="22"/>
          <w:szCs w:val="22"/>
        </w:rPr>
        <w:t xml:space="preserve">(a)-(c) provide that </w:t>
      </w:r>
      <w:r w:rsidR="002E4942">
        <w:rPr>
          <w:rFonts w:ascii="Arial" w:hAnsi="Arial" w:cs="Arial"/>
          <w:color w:val="000000"/>
          <w:sz w:val="22"/>
          <w:szCs w:val="22"/>
        </w:rPr>
        <w:t>the accredited person must be satisfied that:</w:t>
      </w:r>
    </w:p>
    <w:p w:rsidR="00D841E1" w:rsidRDefault="002E4942">
      <w:pPr>
        <w:pStyle w:val="P10"/>
        <w:spacing w:line="240" w:lineRule="auto"/>
        <w:rPr>
          <w:rFonts w:ascii="Arial" w:hAnsi="Arial" w:cs="Arial"/>
          <w:sz w:val="22"/>
          <w:szCs w:val="22"/>
        </w:rPr>
      </w:pPr>
      <w:r>
        <w:tab/>
      </w:r>
      <w:r w:rsidR="00CB73A7" w:rsidRPr="00CB73A7">
        <w:rPr>
          <w:rFonts w:ascii="Arial" w:hAnsi="Arial" w:cs="Arial"/>
          <w:sz w:val="22"/>
          <w:szCs w:val="22"/>
        </w:rPr>
        <w:t>(a)</w:t>
      </w:r>
      <w:r w:rsidR="00CB73A7" w:rsidRPr="00CB73A7">
        <w:rPr>
          <w:rFonts w:ascii="Arial" w:hAnsi="Arial" w:cs="Arial"/>
          <w:sz w:val="22"/>
          <w:szCs w:val="22"/>
        </w:rPr>
        <w:tab/>
        <w:t>the operation of the radiocommunications transmitter will not cause an unacceptable level of interference as set out in the section 145 determination for the frequency band; or</w:t>
      </w:r>
    </w:p>
    <w:p w:rsidR="00D841E1" w:rsidRDefault="00CB73A7">
      <w:pPr>
        <w:pStyle w:val="P10"/>
        <w:spacing w:line="240" w:lineRule="auto"/>
        <w:rPr>
          <w:rFonts w:ascii="Arial" w:hAnsi="Arial" w:cs="Arial"/>
          <w:sz w:val="22"/>
          <w:szCs w:val="22"/>
        </w:rPr>
      </w:pPr>
      <w:r w:rsidRPr="00CB73A7">
        <w:rPr>
          <w:rFonts w:ascii="Arial" w:hAnsi="Arial" w:cs="Arial"/>
          <w:sz w:val="22"/>
          <w:szCs w:val="22"/>
        </w:rPr>
        <w:tab/>
        <w:t>(b)</w:t>
      </w:r>
      <w:r w:rsidRPr="00CB73A7">
        <w:rPr>
          <w:rFonts w:ascii="Arial" w:hAnsi="Arial" w:cs="Arial"/>
          <w:sz w:val="22"/>
          <w:szCs w:val="22"/>
        </w:rPr>
        <w:tab/>
      </w:r>
      <w:proofErr w:type="gramStart"/>
      <w:r w:rsidRPr="00CB73A7">
        <w:rPr>
          <w:rFonts w:ascii="Arial" w:hAnsi="Arial" w:cs="Arial"/>
          <w:sz w:val="22"/>
          <w:szCs w:val="22"/>
        </w:rPr>
        <w:t>the</w:t>
      </w:r>
      <w:proofErr w:type="gramEnd"/>
      <w:r w:rsidRPr="00CB73A7">
        <w:rPr>
          <w:rFonts w:ascii="Arial" w:hAnsi="Arial" w:cs="Arial"/>
          <w:sz w:val="22"/>
          <w:szCs w:val="22"/>
        </w:rPr>
        <w:t xml:space="preserve"> use of guard space is sufficient to mitigate potential interference from the radiocommunications transmitter; or</w:t>
      </w:r>
    </w:p>
    <w:p w:rsidR="00D841E1" w:rsidRDefault="00CB73A7">
      <w:pPr>
        <w:pStyle w:val="P10"/>
        <w:spacing w:line="240" w:lineRule="auto"/>
        <w:rPr>
          <w:rFonts w:ascii="Arial" w:hAnsi="Arial" w:cs="Arial"/>
          <w:sz w:val="22"/>
          <w:szCs w:val="22"/>
        </w:rPr>
      </w:pPr>
      <w:r w:rsidRPr="00CB73A7">
        <w:rPr>
          <w:rFonts w:ascii="Arial" w:hAnsi="Arial" w:cs="Arial"/>
          <w:sz w:val="22"/>
          <w:szCs w:val="22"/>
        </w:rPr>
        <w:tab/>
        <w:t>(c)</w:t>
      </w:r>
      <w:r w:rsidRPr="00CB73A7">
        <w:rPr>
          <w:rFonts w:ascii="Arial" w:hAnsi="Arial" w:cs="Arial"/>
          <w:sz w:val="22"/>
          <w:szCs w:val="22"/>
        </w:rPr>
        <w:tab/>
      </w:r>
      <w:proofErr w:type="gramStart"/>
      <w:r w:rsidRPr="00CB73A7">
        <w:rPr>
          <w:rFonts w:ascii="Arial" w:hAnsi="Arial" w:cs="Arial"/>
          <w:sz w:val="22"/>
          <w:szCs w:val="22"/>
        </w:rPr>
        <w:t>consent</w:t>
      </w:r>
      <w:proofErr w:type="gramEnd"/>
      <w:r w:rsidRPr="00CB73A7">
        <w:rPr>
          <w:rFonts w:ascii="Arial" w:hAnsi="Arial" w:cs="Arial"/>
          <w:sz w:val="22"/>
          <w:szCs w:val="22"/>
        </w:rPr>
        <w:t xml:space="preserve"> in writing to interference from the radiocommunications transmitter has been given by all licensees who, in the opinion of the accredited person, may be affected by the interference. </w:t>
      </w:r>
    </w:p>
    <w:p w:rsidR="00D841E1" w:rsidRDefault="00D841E1">
      <w:pPr>
        <w:rPr>
          <w:rFonts w:ascii="Arial" w:hAnsi="Arial" w:cs="Arial"/>
          <w:color w:val="000000"/>
          <w:sz w:val="22"/>
          <w:szCs w:val="22"/>
        </w:rPr>
      </w:pPr>
    </w:p>
    <w:p w:rsidR="00D841E1" w:rsidRDefault="00502443">
      <w:pPr>
        <w:rPr>
          <w:rFonts w:ascii="Arial" w:hAnsi="Arial" w:cs="Arial"/>
          <w:color w:val="000000"/>
          <w:sz w:val="22"/>
          <w:szCs w:val="22"/>
        </w:rPr>
      </w:pPr>
      <w:r>
        <w:rPr>
          <w:rFonts w:ascii="Arial" w:hAnsi="Arial" w:cs="Arial"/>
          <w:color w:val="000000"/>
          <w:sz w:val="22"/>
          <w:szCs w:val="22"/>
        </w:rPr>
        <w:t>Under subsection 145</w:t>
      </w:r>
      <w:r w:rsidR="002D26A9">
        <w:rPr>
          <w:rFonts w:ascii="Arial" w:hAnsi="Arial" w:cs="Arial"/>
          <w:color w:val="000000"/>
          <w:sz w:val="22"/>
          <w:szCs w:val="22"/>
        </w:rPr>
        <w:t xml:space="preserve"> </w:t>
      </w:r>
      <w:r>
        <w:rPr>
          <w:rFonts w:ascii="Arial" w:hAnsi="Arial" w:cs="Arial"/>
          <w:color w:val="000000"/>
          <w:sz w:val="22"/>
          <w:szCs w:val="22"/>
        </w:rPr>
        <w:t xml:space="preserve">(4) of the Act, the ACMA determines what the unacceptable levels of interference for radiocommunications transmitters operating under spectrum licences in particular frequency bands </w:t>
      </w:r>
      <w:r w:rsidR="00B63225">
        <w:rPr>
          <w:rFonts w:ascii="Arial" w:hAnsi="Arial" w:cs="Arial"/>
          <w:color w:val="000000"/>
          <w:sz w:val="22"/>
          <w:szCs w:val="22"/>
        </w:rPr>
        <w:t>are</w:t>
      </w:r>
      <w:r>
        <w:rPr>
          <w:rFonts w:ascii="Arial" w:hAnsi="Arial" w:cs="Arial"/>
          <w:color w:val="000000"/>
          <w:sz w:val="22"/>
          <w:szCs w:val="22"/>
        </w:rPr>
        <w:t>. Paragraph 6</w:t>
      </w:r>
      <w:r w:rsidR="002D26A9">
        <w:rPr>
          <w:rFonts w:ascii="Arial" w:hAnsi="Arial" w:cs="Arial"/>
          <w:color w:val="000000"/>
          <w:sz w:val="22"/>
          <w:szCs w:val="22"/>
        </w:rPr>
        <w:t xml:space="preserve"> </w:t>
      </w:r>
      <w:r>
        <w:rPr>
          <w:rFonts w:ascii="Arial" w:hAnsi="Arial" w:cs="Arial"/>
          <w:color w:val="000000"/>
          <w:sz w:val="22"/>
          <w:szCs w:val="22"/>
        </w:rPr>
        <w:t>(a) provides that an accredited person may issue a certificate under subsection 145</w:t>
      </w:r>
      <w:r w:rsidR="002D26A9">
        <w:rPr>
          <w:rFonts w:ascii="Arial" w:hAnsi="Arial" w:cs="Arial"/>
          <w:color w:val="000000"/>
          <w:sz w:val="22"/>
          <w:szCs w:val="22"/>
        </w:rPr>
        <w:t xml:space="preserve"> </w:t>
      </w:r>
      <w:r>
        <w:rPr>
          <w:rFonts w:ascii="Arial" w:hAnsi="Arial" w:cs="Arial"/>
          <w:color w:val="000000"/>
          <w:sz w:val="22"/>
          <w:szCs w:val="22"/>
        </w:rPr>
        <w:t xml:space="preserve">(3) in relation to a transmitter if they are satisfied that the transmitter will not cause an </w:t>
      </w:r>
      <w:r w:rsidR="00CF1494">
        <w:rPr>
          <w:rFonts w:ascii="Arial" w:hAnsi="Arial" w:cs="Arial"/>
          <w:color w:val="000000"/>
          <w:sz w:val="22"/>
          <w:szCs w:val="22"/>
        </w:rPr>
        <w:t>unacceptable</w:t>
      </w:r>
      <w:r>
        <w:rPr>
          <w:rFonts w:ascii="Arial" w:hAnsi="Arial" w:cs="Arial"/>
          <w:color w:val="000000"/>
          <w:sz w:val="22"/>
          <w:szCs w:val="22"/>
        </w:rPr>
        <w:t xml:space="preserve"> level of </w:t>
      </w:r>
      <w:r w:rsidR="00CF1494">
        <w:rPr>
          <w:rFonts w:ascii="Arial" w:hAnsi="Arial" w:cs="Arial"/>
          <w:color w:val="000000"/>
          <w:sz w:val="22"/>
          <w:szCs w:val="22"/>
        </w:rPr>
        <w:t>interference</w:t>
      </w:r>
      <w:r>
        <w:rPr>
          <w:rFonts w:ascii="Arial" w:hAnsi="Arial" w:cs="Arial"/>
          <w:color w:val="000000"/>
          <w:sz w:val="22"/>
          <w:szCs w:val="22"/>
        </w:rPr>
        <w:t xml:space="preserve"> as set out in the </w:t>
      </w:r>
      <w:r w:rsidR="00CF1494">
        <w:rPr>
          <w:rFonts w:ascii="Arial" w:hAnsi="Arial" w:cs="Arial"/>
          <w:color w:val="000000"/>
          <w:sz w:val="22"/>
          <w:szCs w:val="22"/>
        </w:rPr>
        <w:t xml:space="preserve">relevant </w:t>
      </w:r>
      <w:r>
        <w:rPr>
          <w:rFonts w:ascii="Arial" w:hAnsi="Arial" w:cs="Arial"/>
          <w:color w:val="000000"/>
          <w:sz w:val="22"/>
          <w:szCs w:val="22"/>
        </w:rPr>
        <w:t>subsection 145</w:t>
      </w:r>
      <w:r w:rsidR="002D26A9">
        <w:rPr>
          <w:rFonts w:ascii="Arial" w:hAnsi="Arial" w:cs="Arial"/>
          <w:color w:val="000000"/>
          <w:sz w:val="22"/>
          <w:szCs w:val="22"/>
        </w:rPr>
        <w:t xml:space="preserve"> </w:t>
      </w:r>
      <w:r>
        <w:rPr>
          <w:rFonts w:ascii="Arial" w:hAnsi="Arial" w:cs="Arial"/>
          <w:color w:val="000000"/>
          <w:sz w:val="22"/>
          <w:szCs w:val="22"/>
        </w:rPr>
        <w:t>(4)</w:t>
      </w:r>
      <w:r w:rsidR="00CF1494">
        <w:rPr>
          <w:rFonts w:ascii="Arial" w:hAnsi="Arial" w:cs="Arial"/>
          <w:color w:val="000000"/>
          <w:sz w:val="22"/>
          <w:szCs w:val="22"/>
        </w:rPr>
        <w:t xml:space="preserve"> determination. </w:t>
      </w:r>
    </w:p>
    <w:p w:rsidR="00D841E1" w:rsidRDefault="00D841E1">
      <w:pPr>
        <w:rPr>
          <w:rFonts w:ascii="Arial" w:hAnsi="Arial" w:cs="Arial"/>
          <w:color w:val="000000"/>
          <w:sz w:val="22"/>
          <w:szCs w:val="22"/>
        </w:rPr>
      </w:pPr>
    </w:p>
    <w:p w:rsidR="00D841E1" w:rsidRDefault="00CF1494">
      <w:pPr>
        <w:rPr>
          <w:rFonts w:ascii="Arial" w:hAnsi="Arial" w:cs="Arial"/>
          <w:sz w:val="22"/>
          <w:szCs w:val="22"/>
        </w:rPr>
      </w:pPr>
      <w:r>
        <w:rPr>
          <w:rFonts w:ascii="Arial" w:hAnsi="Arial" w:cs="Arial"/>
          <w:color w:val="000000"/>
          <w:sz w:val="22"/>
          <w:szCs w:val="22"/>
        </w:rPr>
        <w:t>P</w:t>
      </w:r>
      <w:r w:rsidR="002E4942">
        <w:rPr>
          <w:rFonts w:ascii="Arial" w:hAnsi="Arial" w:cs="Arial"/>
          <w:color w:val="000000"/>
          <w:sz w:val="22"/>
          <w:szCs w:val="22"/>
        </w:rPr>
        <w:t xml:space="preserve">aragraph </w:t>
      </w:r>
      <w:r>
        <w:rPr>
          <w:rFonts w:ascii="Arial" w:hAnsi="Arial" w:cs="Arial"/>
          <w:color w:val="000000"/>
          <w:sz w:val="22"/>
          <w:szCs w:val="22"/>
        </w:rPr>
        <w:t>6</w:t>
      </w:r>
      <w:r w:rsidR="002D26A9">
        <w:rPr>
          <w:rFonts w:ascii="Arial" w:hAnsi="Arial" w:cs="Arial"/>
          <w:color w:val="000000"/>
          <w:sz w:val="22"/>
          <w:szCs w:val="22"/>
        </w:rPr>
        <w:t xml:space="preserve"> </w:t>
      </w:r>
      <w:r w:rsidR="002E4942">
        <w:rPr>
          <w:rFonts w:ascii="Arial" w:hAnsi="Arial" w:cs="Arial"/>
          <w:color w:val="000000"/>
          <w:sz w:val="22"/>
          <w:szCs w:val="22"/>
        </w:rPr>
        <w:t xml:space="preserve">(b) </w:t>
      </w:r>
      <w:r>
        <w:rPr>
          <w:rFonts w:ascii="Arial" w:hAnsi="Arial" w:cs="Arial"/>
          <w:color w:val="000000"/>
          <w:sz w:val="22"/>
          <w:szCs w:val="22"/>
        </w:rPr>
        <w:t>allows the use of</w:t>
      </w:r>
      <w:r w:rsidR="002E4942">
        <w:rPr>
          <w:rFonts w:ascii="Arial" w:hAnsi="Arial" w:cs="Arial"/>
          <w:color w:val="000000"/>
          <w:sz w:val="22"/>
          <w:szCs w:val="22"/>
        </w:rPr>
        <w:t xml:space="preserve"> </w:t>
      </w:r>
      <w:r w:rsidR="00B63225">
        <w:rPr>
          <w:rFonts w:ascii="Arial" w:hAnsi="Arial" w:cs="Arial"/>
          <w:color w:val="000000"/>
          <w:sz w:val="22"/>
          <w:szCs w:val="22"/>
        </w:rPr>
        <w:t>‘g</w:t>
      </w:r>
      <w:r>
        <w:rPr>
          <w:rFonts w:ascii="Arial" w:hAnsi="Arial" w:cs="Arial"/>
          <w:color w:val="000000"/>
          <w:sz w:val="22"/>
          <w:szCs w:val="22"/>
        </w:rPr>
        <w:t xml:space="preserve">uard space’ </w:t>
      </w:r>
      <w:r w:rsidR="006A4DBA">
        <w:rPr>
          <w:rFonts w:ascii="Arial" w:hAnsi="Arial" w:cs="Arial"/>
          <w:color w:val="000000"/>
          <w:sz w:val="22"/>
          <w:szCs w:val="22"/>
        </w:rPr>
        <w:t xml:space="preserve">to mitigate potential interference. Guard space is defined in section 5 as isolation achieved by means of the guard area or guard band for a spectrum licence or a combination of the guard area and guard band, to ensure that a radiocommunications transmitter </w:t>
      </w:r>
      <w:r w:rsidR="00CB73A7" w:rsidRPr="00CB73A7">
        <w:rPr>
          <w:rFonts w:ascii="Arial" w:hAnsi="Arial" w:cs="Arial"/>
          <w:sz w:val="22"/>
          <w:szCs w:val="22"/>
        </w:rPr>
        <w:t>operated under a spectrum licence does not radiate significant levels of emission outside the spectrum space of that licence.</w:t>
      </w:r>
      <w:r w:rsidR="006A4DBA">
        <w:rPr>
          <w:rFonts w:ascii="Arial" w:hAnsi="Arial" w:cs="Arial"/>
          <w:sz w:val="22"/>
          <w:szCs w:val="22"/>
        </w:rPr>
        <w:t xml:space="preserve"> An accredited person must be satisfied that the use of guard space for the radiocommunications transmitter is sufficient to mitigate potential interference before issuing a certificate. </w:t>
      </w:r>
    </w:p>
    <w:p w:rsidR="00D841E1" w:rsidRDefault="00D841E1">
      <w:pPr>
        <w:rPr>
          <w:rFonts w:ascii="Arial" w:hAnsi="Arial" w:cs="Arial"/>
          <w:sz w:val="22"/>
          <w:szCs w:val="22"/>
        </w:rPr>
      </w:pPr>
    </w:p>
    <w:p w:rsidR="00D841E1" w:rsidRDefault="006A4DBA">
      <w:pPr>
        <w:rPr>
          <w:rFonts w:ascii="Arial" w:hAnsi="Arial" w:cs="Arial"/>
          <w:color w:val="000000"/>
          <w:sz w:val="22"/>
          <w:szCs w:val="22"/>
        </w:rPr>
      </w:pPr>
      <w:r>
        <w:rPr>
          <w:rFonts w:ascii="Arial" w:hAnsi="Arial" w:cs="Arial"/>
          <w:sz w:val="22"/>
          <w:szCs w:val="22"/>
        </w:rPr>
        <w:t>In certain circumstances,</w:t>
      </w:r>
      <w:r w:rsidR="001C6DF6">
        <w:rPr>
          <w:rFonts w:ascii="Arial" w:hAnsi="Arial" w:cs="Arial"/>
          <w:sz w:val="22"/>
          <w:szCs w:val="22"/>
        </w:rPr>
        <w:t xml:space="preserve"> potential</w:t>
      </w:r>
      <w:r>
        <w:rPr>
          <w:rFonts w:ascii="Arial" w:hAnsi="Arial" w:cs="Arial"/>
          <w:sz w:val="22"/>
          <w:szCs w:val="22"/>
        </w:rPr>
        <w:t xml:space="preserve"> interference caused by a radiocommunications transmitter may be </w:t>
      </w:r>
      <w:r w:rsidR="001C6DF6">
        <w:rPr>
          <w:rFonts w:ascii="Arial" w:hAnsi="Arial" w:cs="Arial"/>
          <w:sz w:val="22"/>
          <w:szCs w:val="22"/>
        </w:rPr>
        <w:t>managed by obtaining the written consent of other</w:t>
      </w:r>
      <w:r>
        <w:rPr>
          <w:rFonts w:ascii="Arial" w:hAnsi="Arial" w:cs="Arial"/>
          <w:sz w:val="22"/>
          <w:szCs w:val="22"/>
        </w:rPr>
        <w:t xml:space="preserve"> licensees who may be affected by the interference</w:t>
      </w:r>
      <w:r w:rsidR="009B1E01">
        <w:rPr>
          <w:rFonts w:ascii="Arial" w:hAnsi="Arial" w:cs="Arial"/>
          <w:sz w:val="22"/>
          <w:szCs w:val="22"/>
        </w:rPr>
        <w:t>.</w:t>
      </w:r>
      <w:r>
        <w:rPr>
          <w:rFonts w:ascii="Arial" w:hAnsi="Arial" w:cs="Arial"/>
          <w:sz w:val="22"/>
          <w:szCs w:val="22"/>
        </w:rPr>
        <w:t xml:space="preserve">  This is another mechanism for allowing greater flexibility in interference management. An accredited person must be satisfied that written consent has been obtained from all licensees who, in the opinion of the accredited person</w:t>
      </w:r>
      <w:r w:rsidR="002D26A9">
        <w:rPr>
          <w:rFonts w:ascii="Arial" w:hAnsi="Arial" w:cs="Arial"/>
          <w:sz w:val="22"/>
          <w:szCs w:val="22"/>
        </w:rPr>
        <w:t>,</w:t>
      </w:r>
      <w:r>
        <w:rPr>
          <w:rFonts w:ascii="Arial" w:hAnsi="Arial" w:cs="Arial"/>
          <w:sz w:val="22"/>
          <w:szCs w:val="22"/>
        </w:rPr>
        <w:t xml:space="preserve"> may be affected by the interference. </w:t>
      </w:r>
    </w:p>
    <w:p w:rsidR="00D841E1" w:rsidRDefault="00D841E1">
      <w:pPr>
        <w:rPr>
          <w:b/>
          <w:i/>
        </w:rPr>
      </w:pPr>
    </w:p>
    <w:p w:rsidR="00D841E1" w:rsidRDefault="00D841E1">
      <w:pPr>
        <w:rPr>
          <w:rFonts w:ascii="Arial" w:hAnsi="Arial" w:cs="Arial"/>
          <w:b/>
          <w:color w:val="000000"/>
          <w:sz w:val="22"/>
          <w:szCs w:val="22"/>
        </w:rPr>
      </w:pPr>
    </w:p>
    <w:p w:rsidR="0088646A" w:rsidRDefault="0039588A" w:rsidP="0088646A">
      <w:pPr>
        <w:spacing w:line="360" w:lineRule="auto"/>
        <w:ind w:left="6237" w:firstLine="567"/>
        <w:rPr>
          <w:rFonts w:ascii="Arial" w:hAnsi="Arial" w:cs="Arial"/>
          <w:b/>
          <w:sz w:val="22"/>
          <w:szCs w:val="22"/>
          <w:lang w:val="en-AU"/>
        </w:rPr>
      </w:pPr>
      <w:r w:rsidRPr="00465F26">
        <w:rPr>
          <w:rFonts w:ascii="Arial" w:hAnsi="Arial" w:cs="Arial"/>
          <w:b/>
          <w:color w:val="000000"/>
          <w:sz w:val="22"/>
          <w:szCs w:val="22"/>
        </w:rPr>
        <w:br w:type="page"/>
      </w:r>
      <w:r w:rsidRPr="00465F26">
        <w:rPr>
          <w:rFonts w:ascii="Arial" w:hAnsi="Arial" w:cs="Arial"/>
          <w:b/>
          <w:sz w:val="22"/>
          <w:szCs w:val="22"/>
          <w:lang w:val="en-AU"/>
        </w:rPr>
        <w:t>ATTACHMENT B</w:t>
      </w:r>
    </w:p>
    <w:p w:rsidR="0039588A" w:rsidRPr="00465F26" w:rsidRDefault="0039588A" w:rsidP="0039588A">
      <w:pPr>
        <w:jc w:val="center"/>
        <w:rPr>
          <w:rFonts w:ascii="Arial" w:hAnsi="Arial" w:cs="Arial"/>
          <w:sz w:val="22"/>
          <w:szCs w:val="22"/>
          <w:lang w:val="en-AU"/>
        </w:rPr>
      </w:pPr>
    </w:p>
    <w:p w:rsidR="0039588A" w:rsidRPr="00465F26" w:rsidRDefault="0039588A" w:rsidP="0039588A">
      <w:pPr>
        <w:spacing w:line="360" w:lineRule="auto"/>
        <w:jc w:val="center"/>
        <w:rPr>
          <w:rFonts w:ascii="Arial" w:hAnsi="Arial" w:cs="Arial"/>
          <w:sz w:val="22"/>
          <w:szCs w:val="22"/>
          <w:lang w:val="en-AU"/>
        </w:rPr>
      </w:pPr>
    </w:p>
    <w:p w:rsidR="0039588A" w:rsidRPr="00465F26" w:rsidRDefault="0039588A" w:rsidP="0039588A">
      <w:pPr>
        <w:spacing w:line="360" w:lineRule="auto"/>
        <w:jc w:val="center"/>
        <w:rPr>
          <w:rFonts w:ascii="Arial" w:hAnsi="Arial" w:cs="Arial"/>
          <w:b/>
          <w:sz w:val="22"/>
          <w:szCs w:val="22"/>
          <w:lang w:val="en-AU"/>
        </w:rPr>
      </w:pPr>
      <w:r w:rsidRPr="00465F26">
        <w:rPr>
          <w:rFonts w:ascii="Arial" w:hAnsi="Arial" w:cs="Arial"/>
          <w:b/>
          <w:sz w:val="22"/>
          <w:szCs w:val="22"/>
          <w:lang w:val="en-AU"/>
        </w:rPr>
        <w:t>Statement of Compatibility with Human Rights</w:t>
      </w:r>
    </w:p>
    <w:p w:rsidR="0039588A" w:rsidRPr="00465F26" w:rsidRDefault="0039588A" w:rsidP="0039588A">
      <w:pPr>
        <w:spacing w:line="360" w:lineRule="auto"/>
        <w:jc w:val="center"/>
        <w:rPr>
          <w:rFonts w:ascii="Arial" w:hAnsi="Arial" w:cs="Arial"/>
          <w:sz w:val="22"/>
          <w:szCs w:val="22"/>
          <w:lang w:val="en-AU"/>
        </w:rPr>
      </w:pPr>
      <w:r w:rsidRPr="00465F26">
        <w:rPr>
          <w:rFonts w:ascii="Arial" w:hAnsi="Arial" w:cs="Arial"/>
          <w:sz w:val="22"/>
          <w:szCs w:val="22"/>
          <w:lang w:val="en-AU"/>
        </w:rPr>
        <w:t xml:space="preserve">Prepared in accordance with Part 3 of the </w:t>
      </w:r>
      <w:r w:rsidR="00CB73A7" w:rsidRPr="00CB73A7">
        <w:rPr>
          <w:rFonts w:ascii="Arial" w:hAnsi="Arial" w:cs="Arial"/>
          <w:i/>
          <w:sz w:val="22"/>
          <w:szCs w:val="22"/>
          <w:lang w:val="en-AU"/>
        </w:rPr>
        <w:t>Human Rights (Parliamentary Scrutiny) Act 2011</w:t>
      </w:r>
    </w:p>
    <w:p w:rsidR="0039588A" w:rsidRPr="00465F26" w:rsidRDefault="0039588A" w:rsidP="0039588A">
      <w:pPr>
        <w:rPr>
          <w:rFonts w:ascii="Arial" w:hAnsi="Arial" w:cs="Arial"/>
          <w:i/>
          <w:sz w:val="22"/>
          <w:szCs w:val="22"/>
        </w:rPr>
      </w:pPr>
    </w:p>
    <w:p w:rsidR="0039588A" w:rsidRPr="00465F26" w:rsidRDefault="0039588A" w:rsidP="0039588A">
      <w:pPr>
        <w:jc w:val="center"/>
        <w:rPr>
          <w:rFonts w:ascii="Arial" w:hAnsi="Arial" w:cs="Arial"/>
          <w:b/>
          <w:sz w:val="22"/>
          <w:szCs w:val="22"/>
        </w:rPr>
      </w:pPr>
    </w:p>
    <w:p w:rsidR="0039588A" w:rsidRPr="00465F26" w:rsidRDefault="00CB73A7" w:rsidP="0039588A">
      <w:pPr>
        <w:spacing w:line="360" w:lineRule="auto"/>
        <w:jc w:val="center"/>
        <w:rPr>
          <w:rFonts w:ascii="Arial" w:hAnsi="Arial" w:cs="Arial"/>
          <w:b/>
          <w:i/>
          <w:sz w:val="22"/>
          <w:szCs w:val="22"/>
          <w:lang w:val="en-AU"/>
        </w:rPr>
      </w:pPr>
      <w:r w:rsidRPr="00CB73A7">
        <w:rPr>
          <w:rFonts w:ascii="Arial" w:hAnsi="Arial" w:cs="Arial"/>
          <w:i/>
          <w:sz w:val="22"/>
          <w:szCs w:val="22"/>
          <w:lang w:val="en-AU"/>
        </w:rPr>
        <w:t>Radiocommunications</w:t>
      </w:r>
      <w:r w:rsidR="00EC19FB" w:rsidRPr="00502443">
        <w:rPr>
          <w:rFonts w:ascii="Arial" w:hAnsi="Arial" w:cs="Arial"/>
          <w:i/>
          <w:sz w:val="22"/>
          <w:szCs w:val="22"/>
          <w:lang w:val="en-AU"/>
        </w:rPr>
        <w:t xml:space="preserve"> </w:t>
      </w:r>
      <w:r w:rsidR="00EC19FB" w:rsidRPr="00465F26">
        <w:rPr>
          <w:rFonts w:ascii="Arial" w:hAnsi="Arial" w:cs="Arial"/>
          <w:i/>
          <w:sz w:val="22"/>
          <w:szCs w:val="22"/>
          <w:lang w:val="en-AU"/>
        </w:rPr>
        <w:t>(</w:t>
      </w:r>
      <w:r w:rsidR="002D26A9">
        <w:rPr>
          <w:rFonts w:ascii="Arial" w:hAnsi="Arial" w:cs="Arial"/>
          <w:i/>
          <w:sz w:val="22"/>
          <w:szCs w:val="22"/>
          <w:lang w:val="en-AU"/>
        </w:rPr>
        <w:t>sub</w:t>
      </w:r>
      <w:r w:rsidR="00EC19FB" w:rsidRPr="00465F26">
        <w:rPr>
          <w:rFonts w:ascii="Arial" w:hAnsi="Arial" w:cs="Arial"/>
          <w:i/>
          <w:sz w:val="22"/>
          <w:szCs w:val="22"/>
          <w:lang w:val="en-AU"/>
        </w:rPr>
        <w:t>section 145</w:t>
      </w:r>
      <w:r w:rsidR="002D26A9">
        <w:rPr>
          <w:rFonts w:ascii="Arial" w:hAnsi="Arial" w:cs="Arial"/>
          <w:i/>
          <w:sz w:val="22"/>
          <w:szCs w:val="22"/>
          <w:lang w:val="en-AU"/>
        </w:rPr>
        <w:t xml:space="preserve"> </w:t>
      </w:r>
      <w:r w:rsidR="00EC19FB" w:rsidRPr="00465F26">
        <w:rPr>
          <w:rFonts w:ascii="Arial" w:hAnsi="Arial" w:cs="Arial"/>
          <w:i/>
          <w:sz w:val="22"/>
          <w:szCs w:val="22"/>
          <w:lang w:val="en-AU"/>
        </w:rPr>
        <w:t>(3) Certificates) Determination 2012</w:t>
      </w:r>
    </w:p>
    <w:p w:rsidR="0039588A" w:rsidRPr="00465F26" w:rsidRDefault="0039588A" w:rsidP="0039588A">
      <w:pPr>
        <w:jc w:val="center"/>
        <w:rPr>
          <w:rFonts w:ascii="Arial" w:hAnsi="Arial" w:cs="Arial"/>
          <w:b/>
          <w:sz w:val="22"/>
          <w:szCs w:val="22"/>
        </w:rPr>
      </w:pPr>
    </w:p>
    <w:p w:rsidR="0039588A" w:rsidRPr="00465F26" w:rsidRDefault="0039588A" w:rsidP="0039588A">
      <w:pPr>
        <w:jc w:val="center"/>
        <w:rPr>
          <w:rFonts w:ascii="Arial" w:hAnsi="Arial" w:cs="Arial"/>
          <w:b/>
          <w:sz w:val="22"/>
          <w:szCs w:val="22"/>
        </w:rPr>
      </w:pPr>
    </w:p>
    <w:p w:rsidR="00D841E1" w:rsidRDefault="0039588A">
      <w:pPr>
        <w:jc w:val="both"/>
        <w:rPr>
          <w:rFonts w:ascii="Arial" w:hAnsi="Arial" w:cs="Arial"/>
          <w:sz w:val="22"/>
          <w:szCs w:val="22"/>
        </w:rPr>
      </w:pPr>
      <w:r w:rsidRPr="00465F26">
        <w:rPr>
          <w:rFonts w:ascii="Arial" w:hAnsi="Arial" w:cs="Arial"/>
          <w:sz w:val="22"/>
          <w:szCs w:val="22"/>
        </w:rPr>
        <w:t xml:space="preserve">This legislative instrument is compatible with the human rights and freedoms recognised or declared in the international instruments listed in section 3 of the </w:t>
      </w:r>
      <w:r w:rsidRPr="00465F26">
        <w:rPr>
          <w:rFonts w:ascii="Arial" w:hAnsi="Arial" w:cs="Arial"/>
          <w:i/>
          <w:sz w:val="22"/>
          <w:szCs w:val="22"/>
        </w:rPr>
        <w:t>Human Rights (Parliamentary Scrutiny) Act 2011</w:t>
      </w:r>
      <w:r w:rsidRPr="00465F26">
        <w:rPr>
          <w:rFonts w:ascii="Arial" w:hAnsi="Arial" w:cs="Arial"/>
          <w:sz w:val="22"/>
          <w:szCs w:val="22"/>
        </w:rPr>
        <w:t>.</w:t>
      </w:r>
    </w:p>
    <w:p w:rsidR="00D841E1" w:rsidRDefault="00D841E1">
      <w:pPr>
        <w:jc w:val="both"/>
        <w:rPr>
          <w:rFonts w:ascii="Arial" w:hAnsi="Arial" w:cs="Arial"/>
          <w:sz w:val="22"/>
          <w:szCs w:val="22"/>
        </w:rPr>
      </w:pPr>
    </w:p>
    <w:p w:rsidR="00D841E1" w:rsidRDefault="0039588A">
      <w:pPr>
        <w:jc w:val="both"/>
        <w:rPr>
          <w:rFonts w:ascii="Arial" w:hAnsi="Arial" w:cs="Arial"/>
          <w:b/>
          <w:sz w:val="22"/>
          <w:szCs w:val="22"/>
        </w:rPr>
      </w:pPr>
      <w:r w:rsidRPr="00465F26">
        <w:rPr>
          <w:rFonts w:ascii="Arial" w:hAnsi="Arial" w:cs="Arial"/>
          <w:b/>
          <w:sz w:val="22"/>
          <w:szCs w:val="22"/>
        </w:rPr>
        <w:t>Overview of the Legislative Instrument</w:t>
      </w:r>
    </w:p>
    <w:p w:rsidR="00D841E1" w:rsidRDefault="00D841E1">
      <w:pPr>
        <w:jc w:val="both"/>
        <w:rPr>
          <w:rFonts w:ascii="Arial" w:hAnsi="Arial" w:cs="Arial"/>
          <w:b/>
          <w:sz w:val="22"/>
          <w:szCs w:val="22"/>
        </w:rPr>
      </w:pPr>
    </w:p>
    <w:p w:rsidR="00D841E1" w:rsidRDefault="00A74E52">
      <w:pPr>
        <w:jc w:val="both"/>
        <w:rPr>
          <w:rFonts w:ascii="Arial" w:hAnsi="Arial" w:cs="Arial"/>
          <w:sz w:val="22"/>
          <w:szCs w:val="22"/>
          <w:lang w:val="en-AU"/>
        </w:rPr>
      </w:pPr>
      <w:r w:rsidRPr="00465F26">
        <w:rPr>
          <w:rFonts w:ascii="Arial" w:hAnsi="Arial" w:cs="Arial"/>
          <w:sz w:val="22"/>
          <w:szCs w:val="22"/>
          <w:lang w:val="en-AU"/>
        </w:rPr>
        <w:t>S</w:t>
      </w:r>
      <w:r w:rsidR="00EC19FB" w:rsidRPr="00465F26">
        <w:rPr>
          <w:rFonts w:ascii="Arial" w:hAnsi="Arial" w:cs="Arial"/>
          <w:sz w:val="22"/>
          <w:szCs w:val="22"/>
          <w:lang w:val="en-AU"/>
        </w:rPr>
        <w:t>ection 266A of the</w:t>
      </w:r>
      <w:r w:rsidR="00EC19FB" w:rsidRPr="00465F26">
        <w:rPr>
          <w:rFonts w:ascii="Arial" w:hAnsi="Arial" w:cs="Arial"/>
          <w:i/>
          <w:sz w:val="22"/>
          <w:szCs w:val="22"/>
          <w:lang w:val="en-AU"/>
        </w:rPr>
        <w:t xml:space="preserve"> </w:t>
      </w:r>
      <w:r w:rsidR="001C6DF6">
        <w:rPr>
          <w:rFonts w:ascii="Arial" w:hAnsi="Arial" w:cs="Arial"/>
          <w:i/>
          <w:sz w:val="22"/>
          <w:szCs w:val="22"/>
          <w:lang w:val="en-AU"/>
        </w:rPr>
        <w:t xml:space="preserve">Radiocommunications Act 1992 </w:t>
      </w:r>
      <w:r w:rsidR="001C6DF6">
        <w:rPr>
          <w:rFonts w:ascii="Arial" w:hAnsi="Arial" w:cs="Arial"/>
          <w:sz w:val="22"/>
          <w:szCs w:val="22"/>
          <w:lang w:val="en-AU"/>
        </w:rPr>
        <w:t>(</w:t>
      </w:r>
      <w:r w:rsidR="00CB73A7" w:rsidRPr="00CB73A7">
        <w:rPr>
          <w:rFonts w:ascii="Arial" w:hAnsi="Arial" w:cs="Arial"/>
          <w:b/>
          <w:sz w:val="22"/>
          <w:szCs w:val="22"/>
          <w:lang w:val="en-AU"/>
        </w:rPr>
        <w:t>the Act</w:t>
      </w:r>
      <w:r w:rsidR="001C6DF6">
        <w:rPr>
          <w:rFonts w:ascii="Arial" w:hAnsi="Arial" w:cs="Arial"/>
          <w:sz w:val="22"/>
          <w:szCs w:val="22"/>
          <w:lang w:val="en-AU"/>
        </w:rPr>
        <w:t>)</w:t>
      </w:r>
      <w:r w:rsidRPr="00465F26">
        <w:rPr>
          <w:rFonts w:ascii="Arial" w:hAnsi="Arial" w:cs="Arial"/>
          <w:sz w:val="22"/>
          <w:szCs w:val="22"/>
          <w:lang w:val="en-AU"/>
        </w:rPr>
        <w:t xml:space="preserve"> provides that </w:t>
      </w:r>
      <w:r w:rsidR="00EC19FB" w:rsidRPr="00465F26">
        <w:rPr>
          <w:rFonts w:ascii="Arial" w:hAnsi="Arial" w:cs="Arial"/>
          <w:sz w:val="22"/>
          <w:szCs w:val="22"/>
          <w:lang w:val="en-AU"/>
        </w:rPr>
        <w:t xml:space="preserve">the ACMA may determine, in writing, the conditions that are to apply to the issuing of a certificate under </w:t>
      </w:r>
      <w:r w:rsidR="001C6DF6" w:rsidRPr="00465F26">
        <w:rPr>
          <w:rFonts w:ascii="Arial" w:hAnsi="Arial" w:cs="Arial"/>
          <w:sz w:val="22"/>
          <w:szCs w:val="22"/>
          <w:lang w:val="en-AU"/>
        </w:rPr>
        <w:t>th</w:t>
      </w:r>
      <w:r w:rsidR="001C6DF6">
        <w:rPr>
          <w:rFonts w:ascii="Arial" w:hAnsi="Arial" w:cs="Arial"/>
          <w:sz w:val="22"/>
          <w:szCs w:val="22"/>
          <w:lang w:val="en-AU"/>
        </w:rPr>
        <w:t>e</w:t>
      </w:r>
      <w:r w:rsidR="001C6DF6" w:rsidRPr="00465F26">
        <w:rPr>
          <w:rFonts w:ascii="Arial" w:hAnsi="Arial" w:cs="Arial"/>
          <w:sz w:val="22"/>
          <w:szCs w:val="22"/>
          <w:lang w:val="en-AU"/>
        </w:rPr>
        <w:t xml:space="preserve"> </w:t>
      </w:r>
      <w:r w:rsidR="00EC19FB" w:rsidRPr="00465F26">
        <w:rPr>
          <w:rFonts w:ascii="Arial" w:hAnsi="Arial" w:cs="Arial"/>
          <w:sz w:val="22"/>
          <w:szCs w:val="22"/>
          <w:lang w:val="en-AU"/>
        </w:rPr>
        <w:t xml:space="preserve">Act.  </w:t>
      </w:r>
    </w:p>
    <w:p w:rsidR="00D841E1" w:rsidRDefault="00D841E1">
      <w:pPr>
        <w:jc w:val="both"/>
        <w:rPr>
          <w:rFonts w:ascii="Arial" w:hAnsi="Arial" w:cs="Arial"/>
          <w:sz w:val="22"/>
          <w:szCs w:val="22"/>
          <w:lang w:val="en-AU"/>
        </w:rPr>
      </w:pPr>
    </w:p>
    <w:p w:rsidR="00D841E1" w:rsidRDefault="00A74E52">
      <w:pPr>
        <w:jc w:val="both"/>
        <w:rPr>
          <w:rFonts w:ascii="Arial" w:hAnsi="Arial" w:cs="Arial"/>
          <w:sz w:val="22"/>
          <w:szCs w:val="22"/>
          <w:lang w:val="en-AU"/>
        </w:rPr>
      </w:pPr>
      <w:r w:rsidRPr="00465F26">
        <w:rPr>
          <w:rFonts w:ascii="Arial" w:hAnsi="Arial" w:cs="Arial"/>
          <w:sz w:val="22"/>
          <w:szCs w:val="22"/>
          <w:lang w:val="en-AU"/>
        </w:rPr>
        <w:t>S</w:t>
      </w:r>
      <w:r w:rsidR="0039588A" w:rsidRPr="00465F26">
        <w:rPr>
          <w:rFonts w:ascii="Arial" w:hAnsi="Arial" w:cs="Arial"/>
          <w:sz w:val="22"/>
          <w:szCs w:val="22"/>
          <w:lang w:val="en-AU"/>
        </w:rPr>
        <w:t>ubsection 145</w:t>
      </w:r>
      <w:r w:rsidR="00B63225">
        <w:rPr>
          <w:rFonts w:ascii="Arial" w:hAnsi="Arial" w:cs="Arial"/>
          <w:sz w:val="22"/>
          <w:szCs w:val="22"/>
          <w:lang w:val="en-AU"/>
        </w:rPr>
        <w:t xml:space="preserve"> </w:t>
      </w:r>
      <w:r w:rsidR="0039588A" w:rsidRPr="00465F26">
        <w:rPr>
          <w:rFonts w:ascii="Arial" w:hAnsi="Arial" w:cs="Arial"/>
          <w:sz w:val="22"/>
          <w:szCs w:val="22"/>
          <w:lang w:val="en-AU"/>
        </w:rPr>
        <w:t>(</w:t>
      </w:r>
      <w:r w:rsidR="00265D0D" w:rsidRPr="00465F26">
        <w:rPr>
          <w:rFonts w:ascii="Arial" w:hAnsi="Arial" w:cs="Arial"/>
          <w:sz w:val="22"/>
          <w:szCs w:val="22"/>
          <w:lang w:val="en-AU"/>
        </w:rPr>
        <w:t>3</w:t>
      </w:r>
      <w:r w:rsidRPr="00465F26">
        <w:rPr>
          <w:rFonts w:ascii="Arial" w:hAnsi="Arial" w:cs="Arial"/>
          <w:sz w:val="22"/>
          <w:szCs w:val="22"/>
          <w:lang w:val="en-AU"/>
        </w:rPr>
        <w:t xml:space="preserve">) of the Act provides that </w:t>
      </w:r>
      <w:r w:rsidR="0039588A" w:rsidRPr="00465F26">
        <w:rPr>
          <w:rFonts w:ascii="Arial" w:hAnsi="Arial" w:cs="Arial"/>
          <w:sz w:val="22"/>
          <w:szCs w:val="22"/>
          <w:lang w:val="en-AU"/>
        </w:rPr>
        <w:t xml:space="preserve">the ACMA may </w:t>
      </w:r>
      <w:r w:rsidR="00EC19FB" w:rsidRPr="00465F26">
        <w:rPr>
          <w:rFonts w:ascii="Arial" w:hAnsi="Arial" w:cs="Arial"/>
          <w:sz w:val="22"/>
          <w:szCs w:val="22"/>
          <w:lang w:val="en-AU"/>
        </w:rPr>
        <w:t xml:space="preserve">require that before details of a radiocommunications transmitter </w:t>
      </w:r>
      <w:r w:rsidR="001C6DF6">
        <w:rPr>
          <w:rFonts w:ascii="Arial" w:hAnsi="Arial" w:cs="Arial"/>
          <w:sz w:val="22"/>
          <w:szCs w:val="22"/>
          <w:lang w:val="en-AU"/>
        </w:rPr>
        <w:t xml:space="preserve">operating under a spectrum licence </w:t>
      </w:r>
      <w:r w:rsidR="00EC19FB" w:rsidRPr="00465F26">
        <w:rPr>
          <w:rFonts w:ascii="Arial" w:hAnsi="Arial" w:cs="Arial"/>
          <w:sz w:val="22"/>
          <w:szCs w:val="22"/>
          <w:lang w:val="en-AU"/>
        </w:rPr>
        <w:t xml:space="preserve">are included in </w:t>
      </w:r>
      <w:r w:rsidR="001C6DF6">
        <w:rPr>
          <w:rFonts w:ascii="Arial" w:hAnsi="Arial" w:cs="Arial"/>
          <w:sz w:val="22"/>
          <w:szCs w:val="22"/>
          <w:lang w:val="en-AU"/>
        </w:rPr>
        <w:t xml:space="preserve">the </w:t>
      </w:r>
      <w:r w:rsidR="00E50341">
        <w:rPr>
          <w:rFonts w:ascii="Arial" w:hAnsi="Arial" w:cs="Arial"/>
          <w:sz w:val="22"/>
          <w:szCs w:val="22"/>
          <w:lang w:val="en-AU"/>
        </w:rPr>
        <w:t>R</w:t>
      </w:r>
      <w:r w:rsidR="00EC19FB" w:rsidRPr="00465F26">
        <w:rPr>
          <w:rFonts w:ascii="Arial" w:hAnsi="Arial" w:cs="Arial"/>
          <w:sz w:val="22"/>
          <w:szCs w:val="22"/>
          <w:lang w:val="en-AU"/>
        </w:rPr>
        <w:t>egister</w:t>
      </w:r>
      <w:r w:rsidR="001C6DF6">
        <w:rPr>
          <w:rFonts w:ascii="Arial" w:hAnsi="Arial" w:cs="Arial"/>
          <w:sz w:val="22"/>
          <w:szCs w:val="22"/>
          <w:lang w:val="en-AU"/>
        </w:rPr>
        <w:t xml:space="preserve"> </w:t>
      </w:r>
      <w:r w:rsidR="00E50341">
        <w:rPr>
          <w:rFonts w:ascii="Arial" w:hAnsi="Arial" w:cs="Arial"/>
          <w:sz w:val="22"/>
          <w:szCs w:val="22"/>
          <w:lang w:val="en-AU"/>
        </w:rPr>
        <w:t>established</w:t>
      </w:r>
      <w:r w:rsidR="001C6DF6">
        <w:rPr>
          <w:rFonts w:ascii="Arial" w:hAnsi="Arial" w:cs="Arial"/>
          <w:sz w:val="22"/>
          <w:szCs w:val="22"/>
          <w:lang w:val="en-AU"/>
        </w:rPr>
        <w:t xml:space="preserve"> under section 143 of the Act</w:t>
      </w:r>
      <w:r w:rsidRPr="00465F26">
        <w:rPr>
          <w:rFonts w:ascii="Arial" w:hAnsi="Arial" w:cs="Arial"/>
          <w:sz w:val="22"/>
          <w:szCs w:val="22"/>
          <w:lang w:val="en-AU"/>
        </w:rPr>
        <w:t>,</w:t>
      </w:r>
      <w:r w:rsidR="00EC19FB" w:rsidRPr="00465F26">
        <w:rPr>
          <w:rFonts w:ascii="Arial" w:hAnsi="Arial" w:cs="Arial"/>
          <w:sz w:val="22"/>
          <w:szCs w:val="22"/>
          <w:lang w:val="en-AU"/>
        </w:rPr>
        <w:t xml:space="preserve"> a certificate</w:t>
      </w:r>
      <w:r w:rsidRPr="00465F26">
        <w:rPr>
          <w:rFonts w:ascii="Arial" w:hAnsi="Arial" w:cs="Arial"/>
          <w:sz w:val="22"/>
          <w:szCs w:val="22"/>
          <w:lang w:val="en-AU"/>
        </w:rPr>
        <w:t xml:space="preserve"> is provided,</w:t>
      </w:r>
      <w:r w:rsidR="00EC19FB" w:rsidRPr="00465F26">
        <w:rPr>
          <w:rFonts w:ascii="Arial" w:hAnsi="Arial" w:cs="Arial"/>
          <w:sz w:val="22"/>
          <w:szCs w:val="22"/>
          <w:lang w:val="en-AU"/>
        </w:rPr>
        <w:t xml:space="preserve"> stating that the operation of the device under the licence satisfies any condition that is required for</w:t>
      </w:r>
      <w:r w:rsidRPr="00465F26">
        <w:rPr>
          <w:rFonts w:ascii="Arial" w:hAnsi="Arial" w:cs="Arial"/>
          <w:sz w:val="22"/>
          <w:szCs w:val="22"/>
          <w:lang w:val="en-AU"/>
        </w:rPr>
        <w:t xml:space="preserve"> the issue of such </w:t>
      </w:r>
      <w:r w:rsidR="001C6DF6">
        <w:rPr>
          <w:rFonts w:ascii="Arial" w:hAnsi="Arial" w:cs="Arial"/>
          <w:sz w:val="22"/>
          <w:szCs w:val="22"/>
          <w:lang w:val="en-AU"/>
        </w:rPr>
        <w:t xml:space="preserve">a </w:t>
      </w:r>
      <w:r w:rsidRPr="00465F26">
        <w:rPr>
          <w:rFonts w:ascii="Arial" w:hAnsi="Arial" w:cs="Arial"/>
          <w:sz w:val="22"/>
          <w:szCs w:val="22"/>
          <w:lang w:val="en-AU"/>
        </w:rPr>
        <w:t xml:space="preserve">certificate </w:t>
      </w:r>
      <w:r w:rsidR="00EC19FB" w:rsidRPr="00465F26">
        <w:rPr>
          <w:rFonts w:ascii="Arial" w:hAnsi="Arial" w:cs="Arial"/>
          <w:sz w:val="22"/>
          <w:szCs w:val="22"/>
          <w:lang w:val="en-AU"/>
        </w:rPr>
        <w:t>under a determination made under section 266A</w:t>
      </w:r>
      <w:r w:rsidR="002D26A9">
        <w:rPr>
          <w:rFonts w:ascii="Arial" w:hAnsi="Arial" w:cs="Arial"/>
          <w:sz w:val="22"/>
          <w:szCs w:val="22"/>
          <w:lang w:val="en-AU"/>
        </w:rPr>
        <w:t xml:space="preserve"> of the Act</w:t>
      </w:r>
      <w:r w:rsidR="00EC19FB" w:rsidRPr="00465F26">
        <w:rPr>
          <w:rFonts w:ascii="Arial" w:hAnsi="Arial" w:cs="Arial"/>
          <w:sz w:val="22"/>
          <w:szCs w:val="22"/>
          <w:lang w:val="en-AU"/>
        </w:rPr>
        <w:t>.</w:t>
      </w:r>
      <w:r w:rsidR="001C6DF6">
        <w:rPr>
          <w:rFonts w:ascii="Arial" w:hAnsi="Arial" w:cs="Arial"/>
          <w:sz w:val="22"/>
          <w:szCs w:val="22"/>
          <w:lang w:val="en-AU"/>
        </w:rPr>
        <w:t xml:space="preserve"> The </w:t>
      </w:r>
      <w:r w:rsidR="001C6DF6">
        <w:rPr>
          <w:rFonts w:ascii="Arial" w:hAnsi="Arial" w:cs="Arial"/>
          <w:i/>
          <w:sz w:val="22"/>
          <w:szCs w:val="22"/>
          <w:lang w:val="en-AU"/>
        </w:rPr>
        <w:t>Radiocommunications (</w:t>
      </w:r>
      <w:r w:rsidR="002D26A9">
        <w:rPr>
          <w:rFonts w:ascii="Arial" w:hAnsi="Arial" w:cs="Arial"/>
          <w:i/>
          <w:sz w:val="22"/>
          <w:szCs w:val="22"/>
          <w:lang w:val="en-AU"/>
        </w:rPr>
        <w:t>sub</w:t>
      </w:r>
      <w:r w:rsidR="001C6DF6">
        <w:rPr>
          <w:rFonts w:ascii="Arial" w:hAnsi="Arial" w:cs="Arial"/>
          <w:i/>
          <w:sz w:val="22"/>
          <w:szCs w:val="22"/>
          <w:lang w:val="en-AU"/>
        </w:rPr>
        <w:t>s</w:t>
      </w:r>
      <w:r w:rsidR="00176F16">
        <w:rPr>
          <w:rFonts w:ascii="Arial" w:hAnsi="Arial" w:cs="Arial"/>
          <w:i/>
          <w:sz w:val="22"/>
          <w:szCs w:val="22"/>
          <w:lang w:val="en-AU"/>
        </w:rPr>
        <w:t xml:space="preserve">ection </w:t>
      </w:r>
      <w:r w:rsidR="001C6DF6">
        <w:rPr>
          <w:rFonts w:ascii="Arial" w:hAnsi="Arial" w:cs="Arial"/>
          <w:i/>
          <w:sz w:val="22"/>
          <w:szCs w:val="22"/>
          <w:lang w:val="en-AU"/>
        </w:rPr>
        <w:t>145</w:t>
      </w:r>
      <w:r w:rsidR="002D26A9">
        <w:rPr>
          <w:rFonts w:ascii="Arial" w:hAnsi="Arial" w:cs="Arial"/>
          <w:i/>
          <w:sz w:val="22"/>
          <w:szCs w:val="22"/>
          <w:lang w:val="en-AU"/>
        </w:rPr>
        <w:t xml:space="preserve"> </w:t>
      </w:r>
      <w:r w:rsidR="001C6DF6">
        <w:rPr>
          <w:rFonts w:ascii="Arial" w:hAnsi="Arial" w:cs="Arial"/>
          <w:i/>
          <w:sz w:val="22"/>
          <w:szCs w:val="22"/>
          <w:lang w:val="en-AU"/>
        </w:rPr>
        <w:t xml:space="preserve">(3) Certificates) Determination 2012 </w:t>
      </w:r>
      <w:r w:rsidR="001C6DF6">
        <w:rPr>
          <w:rFonts w:ascii="Arial" w:hAnsi="Arial" w:cs="Arial"/>
          <w:sz w:val="22"/>
          <w:szCs w:val="22"/>
          <w:lang w:val="en-AU"/>
        </w:rPr>
        <w:t>(</w:t>
      </w:r>
      <w:r w:rsidR="00CB73A7" w:rsidRPr="00CB73A7">
        <w:rPr>
          <w:rFonts w:ascii="Arial" w:hAnsi="Arial" w:cs="Arial"/>
          <w:b/>
          <w:sz w:val="22"/>
          <w:szCs w:val="22"/>
          <w:lang w:val="en-AU"/>
        </w:rPr>
        <w:t>the Determination</w:t>
      </w:r>
      <w:r w:rsidR="001C6DF6">
        <w:rPr>
          <w:rFonts w:ascii="Arial" w:hAnsi="Arial" w:cs="Arial"/>
          <w:sz w:val="22"/>
          <w:szCs w:val="22"/>
          <w:lang w:val="en-AU"/>
        </w:rPr>
        <w:t>) is made under section 266A of the Act and prescribes the conditions that apply to the issuing of certificates under subsection 145</w:t>
      </w:r>
      <w:r w:rsidR="002D26A9">
        <w:rPr>
          <w:rFonts w:ascii="Arial" w:hAnsi="Arial" w:cs="Arial"/>
          <w:sz w:val="22"/>
          <w:szCs w:val="22"/>
          <w:lang w:val="en-AU"/>
        </w:rPr>
        <w:t xml:space="preserve"> </w:t>
      </w:r>
      <w:r w:rsidR="001C6DF6">
        <w:rPr>
          <w:rFonts w:ascii="Arial" w:hAnsi="Arial" w:cs="Arial"/>
          <w:sz w:val="22"/>
          <w:szCs w:val="22"/>
          <w:lang w:val="en-AU"/>
        </w:rPr>
        <w:t xml:space="preserve">(3) of the Act. </w:t>
      </w:r>
    </w:p>
    <w:p w:rsidR="00D841E1" w:rsidRDefault="00D841E1">
      <w:pPr>
        <w:jc w:val="both"/>
        <w:rPr>
          <w:rFonts w:ascii="Arial" w:hAnsi="Arial" w:cs="Arial"/>
          <w:sz w:val="22"/>
          <w:szCs w:val="22"/>
          <w:lang w:val="en-AU"/>
        </w:rPr>
      </w:pPr>
    </w:p>
    <w:p w:rsidR="00D841E1" w:rsidRDefault="0039588A">
      <w:pPr>
        <w:jc w:val="both"/>
        <w:rPr>
          <w:rFonts w:ascii="Arial" w:hAnsi="Arial" w:cs="Arial"/>
          <w:sz w:val="22"/>
          <w:szCs w:val="22"/>
        </w:rPr>
      </w:pPr>
      <w:r w:rsidRPr="00465F26">
        <w:rPr>
          <w:rFonts w:ascii="Arial" w:hAnsi="Arial" w:cs="Arial"/>
          <w:sz w:val="22"/>
          <w:szCs w:val="22"/>
        </w:rPr>
        <w:t>Subsection 9</w:t>
      </w:r>
      <w:r w:rsidR="002D26A9">
        <w:rPr>
          <w:rFonts w:ascii="Arial" w:hAnsi="Arial" w:cs="Arial"/>
          <w:sz w:val="22"/>
          <w:szCs w:val="22"/>
        </w:rPr>
        <w:t xml:space="preserve"> </w:t>
      </w:r>
      <w:r w:rsidRPr="00465F26">
        <w:rPr>
          <w:rFonts w:ascii="Arial" w:hAnsi="Arial" w:cs="Arial"/>
          <w:sz w:val="22"/>
          <w:szCs w:val="22"/>
        </w:rPr>
        <w:t xml:space="preserve">(1) of the </w:t>
      </w:r>
      <w:r w:rsidRPr="00465F26">
        <w:rPr>
          <w:rFonts w:ascii="Arial" w:hAnsi="Arial" w:cs="Arial"/>
          <w:i/>
          <w:sz w:val="22"/>
          <w:szCs w:val="22"/>
        </w:rPr>
        <w:t>Human Rights (Parliamentary Scrutiny) Act 2011</w:t>
      </w:r>
      <w:r w:rsidRPr="00465F26">
        <w:rPr>
          <w:rFonts w:ascii="Arial" w:hAnsi="Arial" w:cs="Arial"/>
          <w:sz w:val="22"/>
          <w:szCs w:val="22"/>
        </w:rPr>
        <w:t xml:space="preserve"> requires the rule</w:t>
      </w:r>
      <w:r w:rsidR="00A74E52" w:rsidRPr="00465F26">
        <w:rPr>
          <w:rFonts w:ascii="Arial" w:eastAsia="MS Mincho" w:hAnsi="MS Mincho" w:cs="Arial"/>
          <w:sz w:val="22"/>
          <w:szCs w:val="22"/>
        </w:rPr>
        <w:t>-</w:t>
      </w:r>
      <w:r w:rsidRPr="00465F26">
        <w:rPr>
          <w:rFonts w:ascii="Arial" w:hAnsi="Arial" w:cs="Arial"/>
          <w:sz w:val="22"/>
          <w:szCs w:val="22"/>
        </w:rPr>
        <w:t xml:space="preserve">maker in relation to a legislative instrument to which section 42 (disallowance) of the </w:t>
      </w:r>
      <w:r w:rsidRPr="00465F26">
        <w:rPr>
          <w:rFonts w:ascii="Arial" w:hAnsi="Arial" w:cs="Arial"/>
          <w:i/>
          <w:sz w:val="22"/>
          <w:szCs w:val="22"/>
        </w:rPr>
        <w:t>Legislative Instruments Act 2003</w:t>
      </w:r>
      <w:r w:rsidRPr="00465F26">
        <w:rPr>
          <w:rFonts w:ascii="Arial" w:hAnsi="Arial" w:cs="Arial"/>
          <w:sz w:val="22"/>
          <w:szCs w:val="22"/>
        </w:rPr>
        <w:t xml:space="preserve"> applies to cause a statement of compatibility to be prepared in respect of that legislative instrument.</w:t>
      </w:r>
    </w:p>
    <w:p w:rsidR="00D841E1" w:rsidRDefault="00D841E1">
      <w:pPr>
        <w:jc w:val="both"/>
        <w:rPr>
          <w:rFonts w:ascii="Arial" w:hAnsi="Arial" w:cs="Arial"/>
          <w:sz w:val="22"/>
          <w:szCs w:val="22"/>
        </w:rPr>
      </w:pPr>
    </w:p>
    <w:p w:rsidR="00D841E1" w:rsidRDefault="0039588A">
      <w:pPr>
        <w:jc w:val="both"/>
        <w:rPr>
          <w:rFonts w:ascii="Arial" w:hAnsi="Arial" w:cs="Arial"/>
          <w:sz w:val="22"/>
          <w:szCs w:val="22"/>
        </w:rPr>
      </w:pPr>
      <w:r w:rsidRPr="00465F26">
        <w:rPr>
          <w:rFonts w:ascii="Arial" w:hAnsi="Arial" w:cs="Arial"/>
          <w:sz w:val="22"/>
          <w:szCs w:val="22"/>
        </w:rPr>
        <w:t xml:space="preserve">The Determination is a legislative instrument that is subject to disallowance under section 42 of the </w:t>
      </w:r>
      <w:r w:rsidRPr="00465F26">
        <w:rPr>
          <w:rFonts w:ascii="Arial" w:hAnsi="Arial" w:cs="Arial"/>
          <w:i/>
          <w:sz w:val="22"/>
          <w:szCs w:val="22"/>
        </w:rPr>
        <w:t>Legislative Instruments Act 2003</w:t>
      </w:r>
      <w:r w:rsidRPr="00465F26">
        <w:rPr>
          <w:rFonts w:ascii="Arial" w:hAnsi="Arial" w:cs="Arial"/>
          <w:sz w:val="22"/>
          <w:szCs w:val="22"/>
        </w:rPr>
        <w:t>.</w:t>
      </w:r>
    </w:p>
    <w:p w:rsidR="00D841E1" w:rsidRDefault="00D841E1">
      <w:pPr>
        <w:jc w:val="both"/>
        <w:rPr>
          <w:rFonts w:ascii="Arial" w:hAnsi="Arial" w:cs="Arial"/>
          <w:sz w:val="22"/>
          <w:szCs w:val="22"/>
        </w:rPr>
      </w:pPr>
    </w:p>
    <w:p w:rsidR="00D841E1" w:rsidRDefault="0039588A">
      <w:pPr>
        <w:jc w:val="both"/>
        <w:rPr>
          <w:rFonts w:ascii="Arial" w:hAnsi="Arial" w:cs="Arial"/>
          <w:b/>
          <w:sz w:val="22"/>
          <w:szCs w:val="22"/>
        </w:rPr>
      </w:pPr>
      <w:r w:rsidRPr="00465F26">
        <w:rPr>
          <w:rFonts w:ascii="Arial" w:hAnsi="Arial" w:cs="Arial"/>
          <w:b/>
          <w:sz w:val="22"/>
          <w:szCs w:val="22"/>
        </w:rPr>
        <w:t>Human Rights Implications</w:t>
      </w:r>
    </w:p>
    <w:p w:rsidR="00D841E1" w:rsidRDefault="00D841E1">
      <w:pPr>
        <w:jc w:val="both"/>
        <w:rPr>
          <w:rFonts w:ascii="Arial" w:hAnsi="Arial" w:cs="Arial"/>
          <w:b/>
          <w:sz w:val="22"/>
          <w:szCs w:val="22"/>
        </w:rPr>
      </w:pPr>
    </w:p>
    <w:p w:rsidR="00D841E1" w:rsidRDefault="0039588A">
      <w:pPr>
        <w:jc w:val="both"/>
        <w:rPr>
          <w:rFonts w:ascii="Arial" w:hAnsi="Arial" w:cs="Arial"/>
          <w:sz w:val="22"/>
          <w:szCs w:val="22"/>
        </w:rPr>
      </w:pPr>
      <w:r w:rsidRPr="00465F26">
        <w:rPr>
          <w:rFonts w:ascii="Arial" w:hAnsi="Arial" w:cs="Arial"/>
          <w:sz w:val="22"/>
          <w:szCs w:val="22"/>
        </w:rPr>
        <w:t>The Determination does not engage any of the applicable rights or freedoms.</w:t>
      </w:r>
    </w:p>
    <w:p w:rsidR="00D841E1" w:rsidRDefault="00D841E1">
      <w:pPr>
        <w:jc w:val="both"/>
        <w:rPr>
          <w:rFonts w:ascii="Arial" w:hAnsi="Arial" w:cs="Arial"/>
          <w:sz w:val="22"/>
          <w:szCs w:val="22"/>
        </w:rPr>
      </w:pPr>
    </w:p>
    <w:p w:rsidR="00D841E1" w:rsidRDefault="0039588A">
      <w:pPr>
        <w:jc w:val="both"/>
        <w:rPr>
          <w:rFonts w:ascii="Arial" w:hAnsi="Arial" w:cs="Arial"/>
          <w:b/>
          <w:sz w:val="22"/>
          <w:szCs w:val="22"/>
        </w:rPr>
      </w:pPr>
      <w:r w:rsidRPr="00465F26">
        <w:rPr>
          <w:rFonts w:ascii="Arial" w:hAnsi="Arial" w:cs="Arial"/>
          <w:b/>
          <w:sz w:val="22"/>
          <w:szCs w:val="22"/>
        </w:rPr>
        <w:t>Conclusion</w:t>
      </w:r>
    </w:p>
    <w:p w:rsidR="00B63225" w:rsidRDefault="00B63225">
      <w:pPr>
        <w:jc w:val="both"/>
        <w:rPr>
          <w:rFonts w:ascii="Arial" w:hAnsi="Arial" w:cs="Arial"/>
          <w:sz w:val="22"/>
          <w:szCs w:val="22"/>
        </w:rPr>
      </w:pPr>
    </w:p>
    <w:p w:rsidR="00D841E1" w:rsidRDefault="0039588A">
      <w:pPr>
        <w:jc w:val="both"/>
        <w:rPr>
          <w:rFonts w:ascii="Arial" w:hAnsi="Arial" w:cs="Arial"/>
          <w:b/>
          <w:sz w:val="22"/>
          <w:szCs w:val="22"/>
        </w:rPr>
      </w:pPr>
      <w:r w:rsidRPr="00465F26">
        <w:rPr>
          <w:rFonts w:ascii="Arial" w:hAnsi="Arial" w:cs="Arial"/>
          <w:sz w:val="22"/>
          <w:szCs w:val="22"/>
        </w:rPr>
        <w:t>The Determination is compatible with human rights as it does not raise any human rights issues.</w:t>
      </w:r>
    </w:p>
    <w:p w:rsidR="00D841E1" w:rsidRDefault="00D841E1">
      <w:pPr>
        <w:jc w:val="both"/>
        <w:rPr>
          <w:rFonts w:ascii="Arial" w:hAnsi="Arial" w:cs="Arial"/>
          <w:sz w:val="22"/>
          <w:szCs w:val="22"/>
        </w:rPr>
      </w:pPr>
    </w:p>
    <w:p w:rsidR="00D841E1" w:rsidRDefault="00D841E1">
      <w:pPr>
        <w:jc w:val="both"/>
        <w:rPr>
          <w:rFonts w:ascii="Arial" w:hAnsi="Arial" w:cs="Arial"/>
          <w:sz w:val="22"/>
          <w:szCs w:val="22"/>
          <w:lang w:val="en-AU"/>
        </w:rPr>
      </w:pPr>
    </w:p>
    <w:p w:rsidR="00DC6183" w:rsidRPr="00465F26" w:rsidRDefault="00DC6183" w:rsidP="00776FB8">
      <w:pPr>
        <w:spacing w:line="360" w:lineRule="auto"/>
        <w:rPr>
          <w:rFonts w:ascii="Arial" w:hAnsi="Arial" w:cs="Arial"/>
          <w:sz w:val="22"/>
          <w:szCs w:val="22"/>
          <w:lang w:val="en-AU"/>
        </w:rPr>
      </w:pPr>
    </w:p>
    <w:sectPr w:rsidR="00DC6183" w:rsidRPr="00465F26" w:rsidSect="000907DE">
      <w:headerReference w:type="even" r:id="rId13"/>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ADC" w:rsidRDefault="00472ADC">
      <w:r>
        <w:separator/>
      </w:r>
    </w:p>
  </w:endnote>
  <w:endnote w:type="continuationSeparator" w:id="0">
    <w:p w:rsidR="00472ADC" w:rsidRDefault="00472A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DC" w:rsidRDefault="00472ADC" w:rsidP="0036213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DC" w:rsidRDefault="00472ADC" w:rsidP="00B32F2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ADC" w:rsidRDefault="00472ADC">
      <w:r>
        <w:separator/>
      </w:r>
    </w:p>
  </w:footnote>
  <w:footnote w:type="continuationSeparator" w:id="0">
    <w:p w:rsidR="00472ADC" w:rsidRDefault="00472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DC" w:rsidRDefault="00A44349" w:rsidP="00A844EF">
    <w:pPr>
      <w:pStyle w:val="Header"/>
      <w:framePr w:wrap="around" w:vAnchor="text" w:hAnchor="margin" w:xAlign="center" w:y="1"/>
      <w:rPr>
        <w:rStyle w:val="PageNumber"/>
      </w:rPr>
    </w:pPr>
    <w:r>
      <w:rPr>
        <w:rStyle w:val="PageNumber"/>
      </w:rPr>
      <w:fldChar w:fldCharType="begin"/>
    </w:r>
    <w:r w:rsidR="00472ADC">
      <w:rPr>
        <w:rStyle w:val="PageNumber"/>
      </w:rPr>
      <w:instrText xml:space="preserve">PAGE  </w:instrText>
    </w:r>
    <w:r>
      <w:rPr>
        <w:rStyle w:val="PageNumber"/>
      </w:rPr>
      <w:fldChar w:fldCharType="end"/>
    </w:r>
  </w:p>
  <w:p w:rsidR="00472ADC" w:rsidRDefault="00472A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DC" w:rsidRDefault="00A44349" w:rsidP="00A13E1F">
    <w:pPr>
      <w:pStyle w:val="Header"/>
      <w:framePr w:wrap="around" w:vAnchor="text" w:hAnchor="margin" w:xAlign="center" w:y="1"/>
      <w:jc w:val="center"/>
      <w:rPr>
        <w:rStyle w:val="PageNumber"/>
      </w:rPr>
    </w:pPr>
    <w:r>
      <w:rPr>
        <w:rStyle w:val="PageNumber"/>
      </w:rPr>
      <w:fldChar w:fldCharType="begin"/>
    </w:r>
    <w:r w:rsidR="00472ADC">
      <w:rPr>
        <w:rStyle w:val="PageNumber"/>
      </w:rPr>
      <w:instrText xml:space="preserve">PAGE  </w:instrText>
    </w:r>
    <w:r>
      <w:rPr>
        <w:rStyle w:val="PageNumber"/>
      </w:rPr>
      <w:fldChar w:fldCharType="separate"/>
    </w:r>
    <w:r w:rsidR="00C53801">
      <w:rPr>
        <w:rStyle w:val="PageNumber"/>
        <w:noProof/>
      </w:rPr>
      <w:t>2</w:t>
    </w:r>
    <w:r>
      <w:rPr>
        <w:rStyle w:val="PageNumber"/>
      </w:rPr>
      <w:fldChar w:fldCharType="end"/>
    </w:r>
  </w:p>
  <w:p w:rsidR="00472ADC" w:rsidRDefault="00472ADC" w:rsidP="00362134">
    <w:pPr>
      <w:pStyle w:val="Header"/>
      <w:jc w:val="center"/>
      <w:rPr>
        <w:b/>
        <w:sz w:val="32"/>
        <w:szCs w:val="32"/>
        <w:lang w:val="en-AU"/>
      </w:rPr>
    </w:pPr>
  </w:p>
  <w:p w:rsidR="00472ADC" w:rsidRDefault="00472ADC" w:rsidP="00E72F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B85848"/>
    <w:lvl w:ilvl="0">
      <w:numFmt w:val="bullet"/>
      <w:lvlText w:val="*"/>
      <w:lvlJc w:val="left"/>
    </w:lvl>
  </w:abstractNum>
  <w:abstractNum w:abstractNumId="1">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6E34AE"/>
    <w:multiLevelType w:val="hybridMultilevel"/>
    <w:tmpl w:val="7B805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AD59F6"/>
    <w:multiLevelType w:val="hybridMultilevel"/>
    <w:tmpl w:val="E9E47C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673E1E"/>
    <w:multiLevelType w:val="hybridMultilevel"/>
    <w:tmpl w:val="FD96F448"/>
    <w:lvl w:ilvl="0" w:tplc="85E6281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6">
    <w:nsid w:val="59705977"/>
    <w:multiLevelType w:val="hybridMultilevel"/>
    <w:tmpl w:val="ECFAEFF2"/>
    <w:lvl w:ilvl="0" w:tplc="44D64128">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C82104"/>
    <w:multiLevelType w:val="hybridMultilevel"/>
    <w:tmpl w:val="29CE0F9E"/>
    <w:lvl w:ilvl="0" w:tplc="4254E7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7"/>
  </w:num>
  <w:num w:numId="4">
    <w:abstractNumId w:val="1"/>
  </w:num>
  <w:num w:numId="5">
    <w:abstractNumId w:val="14"/>
  </w:num>
  <w:num w:numId="6">
    <w:abstractNumId w:val="0"/>
    <w:lvlOverride w:ilvl="0">
      <w:lvl w:ilvl="0">
        <w:numFmt w:val="bullet"/>
        <w:lvlText w:val="•"/>
        <w:legacy w:legacy="1" w:legacySpace="0" w:legacyIndent="0"/>
        <w:lvlJc w:val="left"/>
        <w:rPr>
          <w:rFonts w:ascii="Helv" w:hAnsi="Helv" w:hint="default"/>
        </w:rPr>
      </w:lvl>
    </w:lvlOverride>
  </w:num>
  <w:num w:numId="7">
    <w:abstractNumId w:val="18"/>
  </w:num>
  <w:num w:numId="8">
    <w:abstractNumId w:val="8"/>
  </w:num>
  <w:num w:numId="9">
    <w:abstractNumId w:val="9"/>
  </w:num>
  <w:num w:numId="10">
    <w:abstractNumId w:val="4"/>
  </w:num>
  <w:num w:numId="11">
    <w:abstractNumId w:val="7"/>
  </w:num>
  <w:num w:numId="12">
    <w:abstractNumId w:val="22"/>
  </w:num>
  <w:num w:numId="13">
    <w:abstractNumId w:val="12"/>
  </w:num>
  <w:num w:numId="14">
    <w:abstractNumId w:val="2"/>
  </w:num>
  <w:num w:numId="15">
    <w:abstractNumId w:val="5"/>
  </w:num>
  <w:num w:numId="16">
    <w:abstractNumId w:val="19"/>
  </w:num>
  <w:num w:numId="17">
    <w:abstractNumId w:val="3"/>
  </w:num>
  <w:num w:numId="18">
    <w:abstractNumId w:val="6"/>
  </w:num>
  <w:num w:numId="19">
    <w:abstractNumId w:val="11"/>
  </w:num>
  <w:num w:numId="20">
    <w:abstractNumId w:val="16"/>
  </w:num>
  <w:num w:numId="21">
    <w:abstractNumId w:val="21"/>
  </w:num>
  <w:num w:numId="22">
    <w:abstractNumId w:val="1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trackRevisions/>
  <w:doNotTrackMoves/>
  <w:defaultTabStop w:val="567"/>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1022"/>
    <w:rsid w:val="00001FCD"/>
    <w:rsid w:val="0000300B"/>
    <w:rsid w:val="0000334E"/>
    <w:rsid w:val="00005643"/>
    <w:rsid w:val="00005C39"/>
    <w:rsid w:val="00007C8D"/>
    <w:rsid w:val="00016BA2"/>
    <w:rsid w:val="00023C08"/>
    <w:rsid w:val="00025D13"/>
    <w:rsid w:val="0003025D"/>
    <w:rsid w:val="00032B32"/>
    <w:rsid w:val="00036086"/>
    <w:rsid w:val="00040B05"/>
    <w:rsid w:val="0004274A"/>
    <w:rsid w:val="00051A91"/>
    <w:rsid w:val="00052DB6"/>
    <w:rsid w:val="0005491A"/>
    <w:rsid w:val="000609D9"/>
    <w:rsid w:val="00065340"/>
    <w:rsid w:val="00070A52"/>
    <w:rsid w:val="00072306"/>
    <w:rsid w:val="00072549"/>
    <w:rsid w:val="000727E2"/>
    <w:rsid w:val="00073B86"/>
    <w:rsid w:val="00083579"/>
    <w:rsid w:val="00084D8E"/>
    <w:rsid w:val="000907DE"/>
    <w:rsid w:val="000954CB"/>
    <w:rsid w:val="00096FB8"/>
    <w:rsid w:val="000A0E4B"/>
    <w:rsid w:val="000A2AE5"/>
    <w:rsid w:val="000A3641"/>
    <w:rsid w:val="000A4D28"/>
    <w:rsid w:val="000A5293"/>
    <w:rsid w:val="000A6A9B"/>
    <w:rsid w:val="000A7A3F"/>
    <w:rsid w:val="000B0CC6"/>
    <w:rsid w:val="000B1051"/>
    <w:rsid w:val="000B193B"/>
    <w:rsid w:val="000B2131"/>
    <w:rsid w:val="000B3A34"/>
    <w:rsid w:val="000B3F4F"/>
    <w:rsid w:val="000C14FE"/>
    <w:rsid w:val="000C2BDB"/>
    <w:rsid w:val="000C3067"/>
    <w:rsid w:val="000C7244"/>
    <w:rsid w:val="000D02FC"/>
    <w:rsid w:val="000D1326"/>
    <w:rsid w:val="000D432B"/>
    <w:rsid w:val="000D4FF8"/>
    <w:rsid w:val="000D68D5"/>
    <w:rsid w:val="000D797B"/>
    <w:rsid w:val="000E312C"/>
    <w:rsid w:val="000E3954"/>
    <w:rsid w:val="000E44D2"/>
    <w:rsid w:val="000E7688"/>
    <w:rsid w:val="000E7BC7"/>
    <w:rsid w:val="000F145B"/>
    <w:rsid w:val="000F1F80"/>
    <w:rsid w:val="000F66BE"/>
    <w:rsid w:val="000F6A00"/>
    <w:rsid w:val="000F702B"/>
    <w:rsid w:val="000F7B2C"/>
    <w:rsid w:val="000F7DDD"/>
    <w:rsid w:val="001002A8"/>
    <w:rsid w:val="001019FD"/>
    <w:rsid w:val="001037A5"/>
    <w:rsid w:val="001040ED"/>
    <w:rsid w:val="00105943"/>
    <w:rsid w:val="00107C9C"/>
    <w:rsid w:val="00110856"/>
    <w:rsid w:val="00110931"/>
    <w:rsid w:val="00111D3B"/>
    <w:rsid w:val="001127B6"/>
    <w:rsid w:val="001130BC"/>
    <w:rsid w:val="00113FC2"/>
    <w:rsid w:val="0011424C"/>
    <w:rsid w:val="00122FA0"/>
    <w:rsid w:val="0012342D"/>
    <w:rsid w:val="001240A3"/>
    <w:rsid w:val="001244AE"/>
    <w:rsid w:val="00124A67"/>
    <w:rsid w:val="00125A68"/>
    <w:rsid w:val="001264EA"/>
    <w:rsid w:val="00134A4B"/>
    <w:rsid w:val="001358C8"/>
    <w:rsid w:val="00137EBF"/>
    <w:rsid w:val="00147015"/>
    <w:rsid w:val="001522E5"/>
    <w:rsid w:val="00153F0C"/>
    <w:rsid w:val="0015739E"/>
    <w:rsid w:val="00157501"/>
    <w:rsid w:val="001611E0"/>
    <w:rsid w:val="00161DE7"/>
    <w:rsid w:val="001631C5"/>
    <w:rsid w:val="00165E54"/>
    <w:rsid w:val="00170D27"/>
    <w:rsid w:val="00171504"/>
    <w:rsid w:val="001716D9"/>
    <w:rsid w:val="00175F46"/>
    <w:rsid w:val="001767FA"/>
    <w:rsid w:val="00176E4D"/>
    <w:rsid w:val="00176F16"/>
    <w:rsid w:val="00177AFD"/>
    <w:rsid w:val="001802C0"/>
    <w:rsid w:val="0018129A"/>
    <w:rsid w:val="00181E1C"/>
    <w:rsid w:val="001847A6"/>
    <w:rsid w:val="00185301"/>
    <w:rsid w:val="001901D9"/>
    <w:rsid w:val="00191769"/>
    <w:rsid w:val="00191B3C"/>
    <w:rsid w:val="00193000"/>
    <w:rsid w:val="001939F0"/>
    <w:rsid w:val="00193CCB"/>
    <w:rsid w:val="00193EB6"/>
    <w:rsid w:val="001A0B8E"/>
    <w:rsid w:val="001A0C51"/>
    <w:rsid w:val="001A2609"/>
    <w:rsid w:val="001A412C"/>
    <w:rsid w:val="001A5D71"/>
    <w:rsid w:val="001A6F36"/>
    <w:rsid w:val="001A730C"/>
    <w:rsid w:val="001B30AB"/>
    <w:rsid w:val="001B466C"/>
    <w:rsid w:val="001B58E7"/>
    <w:rsid w:val="001B5A54"/>
    <w:rsid w:val="001B700D"/>
    <w:rsid w:val="001B79DD"/>
    <w:rsid w:val="001C2D26"/>
    <w:rsid w:val="001C369E"/>
    <w:rsid w:val="001C6DF6"/>
    <w:rsid w:val="001C7822"/>
    <w:rsid w:val="001D0811"/>
    <w:rsid w:val="001D3D7B"/>
    <w:rsid w:val="001D6C0A"/>
    <w:rsid w:val="001E11A4"/>
    <w:rsid w:val="001E4C38"/>
    <w:rsid w:val="001E504A"/>
    <w:rsid w:val="001F0D48"/>
    <w:rsid w:val="001F18D0"/>
    <w:rsid w:val="001F1B3D"/>
    <w:rsid w:val="001F1D68"/>
    <w:rsid w:val="001F375E"/>
    <w:rsid w:val="001F645C"/>
    <w:rsid w:val="001F6F5B"/>
    <w:rsid w:val="002036F3"/>
    <w:rsid w:val="00203DB1"/>
    <w:rsid w:val="002041C8"/>
    <w:rsid w:val="002104D9"/>
    <w:rsid w:val="002108C7"/>
    <w:rsid w:val="00212BDC"/>
    <w:rsid w:val="002137F6"/>
    <w:rsid w:val="00214F91"/>
    <w:rsid w:val="00215918"/>
    <w:rsid w:val="00217300"/>
    <w:rsid w:val="00221DD3"/>
    <w:rsid w:val="00223418"/>
    <w:rsid w:val="00224650"/>
    <w:rsid w:val="00224F56"/>
    <w:rsid w:val="00225E40"/>
    <w:rsid w:val="0023203E"/>
    <w:rsid w:val="00232983"/>
    <w:rsid w:val="00236BB5"/>
    <w:rsid w:val="00237298"/>
    <w:rsid w:val="002378FB"/>
    <w:rsid w:val="002406D2"/>
    <w:rsid w:val="002419E7"/>
    <w:rsid w:val="00242450"/>
    <w:rsid w:val="00242911"/>
    <w:rsid w:val="00242A7B"/>
    <w:rsid w:val="00245D33"/>
    <w:rsid w:val="00246998"/>
    <w:rsid w:val="002520E1"/>
    <w:rsid w:val="002546FC"/>
    <w:rsid w:val="00257897"/>
    <w:rsid w:val="00260D08"/>
    <w:rsid w:val="00262777"/>
    <w:rsid w:val="002631B5"/>
    <w:rsid w:val="00265D0D"/>
    <w:rsid w:val="0026726C"/>
    <w:rsid w:val="00272394"/>
    <w:rsid w:val="00272903"/>
    <w:rsid w:val="00275CCC"/>
    <w:rsid w:val="00276EAE"/>
    <w:rsid w:val="00277A54"/>
    <w:rsid w:val="00277B95"/>
    <w:rsid w:val="002806E5"/>
    <w:rsid w:val="00280F33"/>
    <w:rsid w:val="002815AE"/>
    <w:rsid w:val="00281E6D"/>
    <w:rsid w:val="002840DE"/>
    <w:rsid w:val="0029141C"/>
    <w:rsid w:val="00293E33"/>
    <w:rsid w:val="00293EA0"/>
    <w:rsid w:val="0029459F"/>
    <w:rsid w:val="00294E1F"/>
    <w:rsid w:val="00296E82"/>
    <w:rsid w:val="002A23F8"/>
    <w:rsid w:val="002A4EDD"/>
    <w:rsid w:val="002A6D08"/>
    <w:rsid w:val="002B2544"/>
    <w:rsid w:val="002B33EF"/>
    <w:rsid w:val="002B3894"/>
    <w:rsid w:val="002B4583"/>
    <w:rsid w:val="002B543C"/>
    <w:rsid w:val="002B5972"/>
    <w:rsid w:val="002B79CE"/>
    <w:rsid w:val="002B7A07"/>
    <w:rsid w:val="002C0058"/>
    <w:rsid w:val="002C0956"/>
    <w:rsid w:val="002C1EB2"/>
    <w:rsid w:val="002C5DFB"/>
    <w:rsid w:val="002C675A"/>
    <w:rsid w:val="002D0747"/>
    <w:rsid w:val="002D26A9"/>
    <w:rsid w:val="002D3196"/>
    <w:rsid w:val="002D6B3F"/>
    <w:rsid w:val="002E1156"/>
    <w:rsid w:val="002E1DCA"/>
    <w:rsid w:val="002E1E61"/>
    <w:rsid w:val="002E37B6"/>
    <w:rsid w:val="002E4942"/>
    <w:rsid w:val="002E4BAD"/>
    <w:rsid w:val="002E77CA"/>
    <w:rsid w:val="002F0B29"/>
    <w:rsid w:val="002F3E36"/>
    <w:rsid w:val="002F482C"/>
    <w:rsid w:val="002F4D69"/>
    <w:rsid w:val="002F7391"/>
    <w:rsid w:val="00301425"/>
    <w:rsid w:val="003017BE"/>
    <w:rsid w:val="0030187D"/>
    <w:rsid w:val="00303130"/>
    <w:rsid w:val="00303DAD"/>
    <w:rsid w:val="003057AE"/>
    <w:rsid w:val="00305928"/>
    <w:rsid w:val="00311E45"/>
    <w:rsid w:val="0031334B"/>
    <w:rsid w:val="00322075"/>
    <w:rsid w:val="00326BE5"/>
    <w:rsid w:val="003274A8"/>
    <w:rsid w:val="00327D8A"/>
    <w:rsid w:val="0033118F"/>
    <w:rsid w:val="0033639D"/>
    <w:rsid w:val="00337EE5"/>
    <w:rsid w:val="00340EA6"/>
    <w:rsid w:val="00340F08"/>
    <w:rsid w:val="00342B33"/>
    <w:rsid w:val="00343425"/>
    <w:rsid w:val="00343921"/>
    <w:rsid w:val="00344282"/>
    <w:rsid w:val="00344CF4"/>
    <w:rsid w:val="0034610D"/>
    <w:rsid w:val="0034741A"/>
    <w:rsid w:val="00351C52"/>
    <w:rsid w:val="003541E8"/>
    <w:rsid w:val="00354A22"/>
    <w:rsid w:val="0035509A"/>
    <w:rsid w:val="00357E8B"/>
    <w:rsid w:val="00362134"/>
    <w:rsid w:val="003634DD"/>
    <w:rsid w:val="00363579"/>
    <w:rsid w:val="00363C72"/>
    <w:rsid w:val="00367786"/>
    <w:rsid w:val="00370DB5"/>
    <w:rsid w:val="0037141B"/>
    <w:rsid w:val="0037224D"/>
    <w:rsid w:val="00374AF5"/>
    <w:rsid w:val="00376093"/>
    <w:rsid w:val="00382D1E"/>
    <w:rsid w:val="0038369F"/>
    <w:rsid w:val="00383D7C"/>
    <w:rsid w:val="003879DF"/>
    <w:rsid w:val="00390D0A"/>
    <w:rsid w:val="003955FC"/>
    <w:rsid w:val="0039588A"/>
    <w:rsid w:val="00397C1B"/>
    <w:rsid w:val="003A0F7D"/>
    <w:rsid w:val="003A1707"/>
    <w:rsid w:val="003A346C"/>
    <w:rsid w:val="003A547B"/>
    <w:rsid w:val="003B0803"/>
    <w:rsid w:val="003B0A1E"/>
    <w:rsid w:val="003B0E76"/>
    <w:rsid w:val="003B125F"/>
    <w:rsid w:val="003B1A98"/>
    <w:rsid w:val="003B324C"/>
    <w:rsid w:val="003B3402"/>
    <w:rsid w:val="003B3D41"/>
    <w:rsid w:val="003B61D0"/>
    <w:rsid w:val="003C0792"/>
    <w:rsid w:val="003C23DE"/>
    <w:rsid w:val="003C24D0"/>
    <w:rsid w:val="003D1955"/>
    <w:rsid w:val="003D4EA5"/>
    <w:rsid w:val="003D5948"/>
    <w:rsid w:val="003D629D"/>
    <w:rsid w:val="003D77BA"/>
    <w:rsid w:val="003D7D4A"/>
    <w:rsid w:val="003E0537"/>
    <w:rsid w:val="003E1E77"/>
    <w:rsid w:val="003E225E"/>
    <w:rsid w:val="003E22FC"/>
    <w:rsid w:val="003F14F0"/>
    <w:rsid w:val="003F2116"/>
    <w:rsid w:val="003F2600"/>
    <w:rsid w:val="003F2693"/>
    <w:rsid w:val="003F61DA"/>
    <w:rsid w:val="003F68EA"/>
    <w:rsid w:val="003F6C2D"/>
    <w:rsid w:val="0040129F"/>
    <w:rsid w:val="00402C1C"/>
    <w:rsid w:val="00402CED"/>
    <w:rsid w:val="00403F51"/>
    <w:rsid w:val="00404E95"/>
    <w:rsid w:val="00406A3E"/>
    <w:rsid w:val="00411188"/>
    <w:rsid w:val="004229D8"/>
    <w:rsid w:val="004261DB"/>
    <w:rsid w:val="004273B8"/>
    <w:rsid w:val="00427D2E"/>
    <w:rsid w:val="0043191F"/>
    <w:rsid w:val="00437CBA"/>
    <w:rsid w:val="004437B3"/>
    <w:rsid w:val="004471CE"/>
    <w:rsid w:val="00450357"/>
    <w:rsid w:val="00452BEB"/>
    <w:rsid w:val="00453122"/>
    <w:rsid w:val="00453A54"/>
    <w:rsid w:val="00454284"/>
    <w:rsid w:val="0045517A"/>
    <w:rsid w:val="00456404"/>
    <w:rsid w:val="0045700F"/>
    <w:rsid w:val="00464707"/>
    <w:rsid w:val="0046505B"/>
    <w:rsid w:val="00465F26"/>
    <w:rsid w:val="00466743"/>
    <w:rsid w:val="00467644"/>
    <w:rsid w:val="00472ADC"/>
    <w:rsid w:val="00476F8B"/>
    <w:rsid w:val="0048134B"/>
    <w:rsid w:val="00481707"/>
    <w:rsid w:val="004829D0"/>
    <w:rsid w:val="0048765D"/>
    <w:rsid w:val="00491998"/>
    <w:rsid w:val="00493C8E"/>
    <w:rsid w:val="004A054B"/>
    <w:rsid w:val="004A0D98"/>
    <w:rsid w:val="004A19A3"/>
    <w:rsid w:val="004A59D9"/>
    <w:rsid w:val="004A69DF"/>
    <w:rsid w:val="004A7771"/>
    <w:rsid w:val="004A789E"/>
    <w:rsid w:val="004B0659"/>
    <w:rsid w:val="004B2D77"/>
    <w:rsid w:val="004C24D3"/>
    <w:rsid w:val="004C2506"/>
    <w:rsid w:val="004C3CE8"/>
    <w:rsid w:val="004C3FD6"/>
    <w:rsid w:val="004C4758"/>
    <w:rsid w:val="004C61EA"/>
    <w:rsid w:val="004D52E9"/>
    <w:rsid w:val="004E0192"/>
    <w:rsid w:val="004E025A"/>
    <w:rsid w:val="004E35A3"/>
    <w:rsid w:val="004E6C7A"/>
    <w:rsid w:val="004E6E14"/>
    <w:rsid w:val="004E7CA3"/>
    <w:rsid w:val="004F2FDE"/>
    <w:rsid w:val="004F3FEF"/>
    <w:rsid w:val="004F4155"/>
    <w:rsid w:val="004F5BAE"/>
    <w:rsid w:val="004F641F"/>
    <w:rsid w:val="004F6459"/>
    <w:rsid w:val="004F6A6B"/>
    <w:rsid w:val="004F72F7"/>
    <w:rsid w:val="00502443"/>
    <w:rsid w:val="00503BDE"/>
    <w:rsid w:val="00503F64"/>
    <w:rsid w:val="0050447A"/>
    <w:rsid w:val="00505C16"/>
    <w:rsid w:val="00507010"/>
    <w:rsid w:val="00511097"/>
    <w:rsid w:val="00511181"/>
    <w:rsid w:val="00513CDE"/>
    <w:rsid w:val="0052206D"/>
    <w:rsid w:val="0052263F"/>
    <w:rsid w:val="00522C7C"/>
    <w:rsid w:val="00522DC5"/>
    <w:rsid w:val="0052325C"/>
    <w:rsid w:val="00524A35"/>
    <w:rsid w:val="00524A47"/>
    <w:rsid w:val="00525AF3"/>
    <w:rsid w:val="00531B55"/>
    <w:rsid w:val="0053278B"/>
    <w:rsid w:val="0054110B"/>
    <w:rsid w:val="00542251"/>
    <w:rsid w:val="0054415C"/>
    <w:rsid w:val="0054416C"/>
    <w:rsid w:val="00544701"/>
    <w:rsid w:val="00551EE5"/>
    <w:rsid w:val="00557A8F"/>
    <w:rsid w:val="005614D6"/>
    <w:rsid w:val="00562BBE"/>
    <w:rsid w:val="00562DAE"/>
    <w:rsid w:val="00570FC1"/>
    <w:rsid w:val="00573732"/>
    <w:rsid w:val="0057385A"/>
    <w:rsid w:val="00574E59"/>
    <w:rsid w:val="00576D51"/>
    <w:rsid w:val="00580AC1"/>
    <w:rsid w:val="00581992"/>
    <w:rsid w:val="005842A4"/>
    <w:rsid w:val="005855E7"/>
    <w:rsid w:val="005861E6"/>
    <w:rsid w:val="005908D2"/>
    <w:rsid w:val="00591C99"/>
    <w:rsid w:val="00592092"/>
    <w:rsid w:val="00593148"/>
    <w:rsid w:val="00593959"/>
    <w:rsid w:val="005939A7"/>
    <w:rsid w:val="00593AB5"/>
    <w:rsid w:val="005958C1"/>
    <w:rsid w:val="00595E64"/>
    <w:rsid w:val="0059736E"/>
    <w:rsid w:val="00597470"/>
    <w:rsid w:val="005A1292"/>
    <w:rsid w:val="005A1FF2"/>
    <w:rsid w:val="005A599B"/>
    <w:rsid w:val="005A64F7"/>
    <w:rsid w:val="005C3AB7"/>
    <w:rsid w:val="005C51F7"/>
    <w:rsid w:val="005D1812"/>
    <w:rsid w:val="005D206A"/>
    <w:rsid w:val="005D48CA"/>
    <w:rsid w:val="005D5A16"/>
    <w:rsid w:val="005E0661"/>
    <w:rsid w:val="005E09F7"/>
    <w:rsid w:val="005E306B"/>
    <w:rsid w:val="005E4329"/>
    <w:rsid w:val="005F0138"/>
    <w:rsid w:val="005F23D4"/>
    <w:rsid w:val="005F3083"/>
    <w:rsid w:val="005F4643"/>
    <w:rsid w:val="005F5D29"/>
    <w:rsid w:val="005F68AC"/>
    <w:rsid w:val="005F7F10"/>
    <w:rsid w:val="006009AE"/>
    <w:rsid w:val="00601D0E"/>
    <w:rsid w:val="006046F8"/>
    <w:rsid w:val="00604ECF"/>
    <w:rsid w:val="00605131"/>
    <w:rsid w:val="00605EEE"/>
    <w:rsid w:val="006065D3"/>
    <w:rsid w:val="00606889"/>
    <w:rsid w:val="00607B24"/>
    <w:rsid w:val="006103E3"/>
    <w:rsid w:val="0061493C"/>
    <w:rsid w:val="00615237"/>
    <w:rsid w:val="00617543"/>
    <w:rsid w:val="00621713"/>
    <w:rsid w:val="00625E5B"/>
    <w:rsid w:val="00626085"/>
    <w:rsid w:val="00626DE6"/>
    <w:rsid w:val="00627040"/>
    <w:rsid w:val="006300DE"/>
    <w:rsid w:val="0063048A"/>
    <w:rsid w:val="00631A55"/>
    <w:rsid w:val="00635547"/>
    <w:rsid w:val="0063614D"/>
    <w:rsid w:val="00640477"/>
    <w:rsid w:val="006445AD"/>
    <w:rsid w:val="0064732F"/>
    <w:rsid w:val="00647418"/>
    <w:rsid w:val="0065257F"/>
    <w:rsid w:val="006534C6"/>
    <w:rsid w:val="00653865"/>
    <w:rsid w:val="006623F2"/>
    <w:rsid w:val="00662DD9"/>
    <w:rsid w:val="006636A6"/>
    <w:rsid w:val="00664DC3"/>
    <w:rsid w:val="00665C05"/>
    <w:rsid w:val="0066629F"/>
    <w:rsid w:val="00667ADE"/>
    <w:rsid w:val="006712D6"/>
    <w:rsid w:val="00675410"/>
    <w:rsid w:val="00681ADC"/>
    <w:rsid w:val="006846A9"/>
    <w:rsid w:val="00687704"/>
    <w:rsid w:val="006A1904"/>
    <w:rsid w:val="006A32AA"/>
    <w:rsid w:val="006A44C1"/>
    <w:rsid w:val="006A4999"/>
    <w:rsid w:val="006A4DBA"/>
    <w:rsid w:val="006A5F06"/>
    <w:rsid w:val="006A727F"/>
    <w:rsid w:val="006B28C4"/>
    <w:rsid w:val="006B2F38"/>
    <w:rsid w:val="006C60D1"/>
    <w:rsid w:val="006C6BE1"/>
    <w:rsid w:val="006C7D95"/>
    <w:rsid w:val="006D0B5D"/>
    <w:rsid w:val="006D5E01"/>
    <w:rsid w:val="006D749A"/>
    <w:rsid w:val="006E00EA"/>
    <w:rsid w:val="006E0975"/>
    <w:rsid w:val="006E0AC6"/>
    <w:rsid w:val="006E1935"/>
    <w:rsid w:val="006E39EC"/>
    <w:rsid w:val="006E7459"/>
    <w:rsid w:val="006F011A"/>
    <w:rsid w:val="006F2A0A"/>
    <w:rsid w:val="006F4C8C"/>
    <w:rsid w:val="006F4D67"/>
    <w:rsid w:val="006F778E"/>
    <w:rsid w:val="006F7A60"/>
    <w:rsid w:val="00700626"/>
    <w:rsid w:val="007022CD"/>
    <w:rsid w:val="007045F7"/>
    <w:rsid w:val="007055F7"/>
    <w:rsid w:val="00707DCF"/>
    <w:rsid w:val="00707FEF"/>
    <w:rsid w:val="00713A6E"/>
    <w:rsid w:val="00713B41"/>
    <w:rsid w:val="00717714"/>
    <w:rsid w:val="00725AA7"/>
    <w:rsid w:val="007273F0"/>
    <w:rsid w:val="00732357"/>
    <w:rsid w:val="00735B89"/>
    <w:rsid w:val="007424D8"/>
    <w:rsid w:val="00742EA5"/>
    <w:rsid w:val="00742F88"/>
    <w:rsid w:val="00744FCB"/>
    <w:rsid w:val="00745491"/>
    <w:rsid w:val="00745527"/>
    <w:rsid w:val="007460C3"/>
    <w:rsid w:val="00746205"/>
    <w:rsid w:val="007506D8"/>
    <w:rsid w:val="00750DB6"/>
    <w:rsid w:val="00755E64"/>
    <w:rsid w:val="00756BEE"/>
    <w:rsid w:val="00757531"/>
    <w:rsid w:val="00760F83"/>
    <w:rsid w:val="00761C8D"/>
    <w:rsid w:val="00764418"/>
    <w:rsid w:val="00765927"/>
    <w:rsid w:val="007745AD"/>
    <w:rsid w:val="00774617"/>
    <w:rsid w:val="00776FB8"/>
    <w:rsid w:val="00780E42"/>
    <w:rsid w:val="00781469"/>
    <w:rsid w:val="00781C8C"/>
    <w:rsid w:val="00784997"/>
    <w:rsid w:val="0078631E"/>
    <w:rsid w:val="0079221C"/>
    <w:rsid w:val="00796B12"/>
    <w:rsid w:val="007A0937"/>
    <w:rsid w:val="007A5674"/>
    <w:rsid w:val="007A6995"/>
    <w:rsid w:val="007A72F5"/>
    <w:rsid w:val="007B4CDE"/>
    <w:rsid w:val="007C03C6"/>
    <w:rsid w:val="007C08A7"/>
    <w:rsid w:val="007C213F"/>
    <w:rsid w:val="007C3D44"/>
    <w:rsid w:val="007C4108"/>
    <w:rsid w:val="007C504D"/>
    <w:rsid w:val="007C7864"/>
    <w:rsid w:val="007C79D1"/>
    <w:rsid w:val="007D0224"/>
    <w:rsid w:val="007E2540"/>
    <w:rsid w:val="007E3301"/>
    <w:rsid w:val="007E42E6"/>
    <w:rsid w:val="007F0969"/>
    <w:rsid w:val="007F504F"/>
    <w:rsid w:val="007F5EC2"/>
    <w:rsid w:val="007F6C6C"/>
    <w:rsid w:val="00800903"/>
    <w:rsid w:val="0080190D"/>
    <w:rsid w:val="00803443"/>
    <w:rsid w:val="00810038"/>
    <w:rsid w:val="00811EA3"/>
    <w:rsid w:val="0081505B"/>
    <w:rsid w:val="008160F0"/>
    <w:rsid w:val="008207A6"/>
    <w:rsid w:val="00821D09"/>
    <w:rsid w:val="00822433"/>
    <w:rsid w:val="008243BB"/>
    <w:rsid w:val="0082440D"/>
    <w:rsid w:val="00825324"/>
    <w:rsid w:val="0083265C"/>
    <w:rsid w:val="00833ACD"/>
    <w:rsid w:val="00834D8C"/>
    <w:rsid w:val="00840056"/>
    <w:rsid w:val="008424C7"/>
    <w:rsid w:val="0084448C"/>
    <w:rsid w:val="00846186"/>
    <w:rsid w:val="008503C1"/>
    <w:rsid w:val="00852E1F"/>
    <w:rsid w:val="00854A74"/>
    <w:rsid w:val="00855664"/>
    <w:rsid w:val="008565A7"/>
    <w:rsid w:val="008579AF"/>
    <w:rsid w:val="00860498"/>
    <w:rsid w:val="0086194A"/>
    <w:rsid w:val="00861FE4"/>
    <w:rsid w:val="0086440B"/>
    <w:rsid w:val="0086502F"/>
    <w:rsid w:val="008664BE"/>
    <w:rsid w:val="0087052C"/>
    <w:rsid w:val="008735CD"/>
    <w:rsid w:val="00875C69"/>
    <w:rsid w:val="00875E54"/>
    <w:rsid w:val="00875F47"/>
    <w:rsid w:val="00876233"/>
    <w:rsid w:val="0088646A"/>
    <w:rsid w:val="00887248"/>
    <w:rsid w:val="00887CC1"/>
    <w:rsid w:val="00890895"/>
    <w:rsid w:val="00891DB4"/>
    <w:rsid w:val="00892E16"/>
    <w:rsid w:val="00893253"/>
    <w:rsid w:val="00894262"/>
    <w:rsid w:val="008965FB"/>
    <w:rsid w:val="00897680"/>
    <w:rsid w:val="008A0FB0"/>
    <w:rsid w:val="008A16B3"/>
    <w:rsid w:val="008A1D78"/>
    <w:rsid w:val="008A40F0"/>
    <w:rsid w:val="008A7A77"/>
    <w:rsid w:val="008B006E"/>
    <w:rsid w:val="008B20C9"/>
    <w:rsid w:val="008B608B"/>
    <w:rsid w:val="008C67AF"/>
    <w:rsid w:val="008D1340"/>
    <w:rsid w:val="008D20E8"/>
    <w:rsid w:val="008D70C8"/>
    <w:rsid w:val="008D7AC0"/>
    <w:rsid w:val="008E3968"/>
    <w:rsid w:val="008E49A5"/>
    <w:rsid w:val="008E658A"/>
    <w:rsid w:val="008F0A2F"/>
    <w:rsid w:val="008F0AA0"/>
    <w:rsid w:val="008F1A30"/>
    <w:rsid w:val="008F265A"/>
    <w:rsid w:val="008F268F"/>
    <w:rsid w:val="008F3515"/>
    <w:rsid w:val="008F3CE5"/>
    <w:rsid w:val="009003FF"/>
    <w:rsid w:val="009007A8"/>
    <w:rsid w:val="0090366E"/>
    <w:rsid w:val="00904EB8"/>
    <w:rsid w:val="009156BD"/>
    <w:rsid w:val="009175FE"/>
    <w:rsid w:val="009252EE"/>
    <w:rsid w:val="00926FB5"/>
    <w:rsid w:val="0092727E"/>
    <w:rsid w:val="009279BC"/>
    <w:rsid w:val="009319D8"/>
    <w:rsid w:val="009333A1"/>
    <w:rsid w:val="00933FDC"/>
    <w:rsid w:val="009345AD"/>
    <w:rsid w:val="009365B2"/>
    <w:rsid w:val="00944A58"/>
    <w:rsid w:val="00946709"/>
    <w:rsid w:val="00946CB6"/>
    <w:rsid w:val="00947063"/>
    <w:rsid w:val="00947EF9"/>
    <w:rsid w:val="00952071"/>
    <w:rsid w:val="009551D2"/>
    <w:rsid w:val="00956080"/>
    <w:rsid w:val="00957BDA"/>
    <w:rsid w:val="00962D6A"/>
    <w:rsid w:val="009660FA"/>
    <w:rsid w:val="00966614"/>
    <w:rsid w:val="00967803"/>
    <w:rsid w:val="00970DA6"/>
    <w:rsid w:val="009726DE"/>
    <w:rsid w:val="00975726"/>
    <w:rsid w:val="00980615"/>
    <w:rsid w:val="00982211"/>
    <w:rsid w:val="009824A5"/>
    <w:rsid w:val="0098262A"/>
    <w:rsid w:val="00983973"/>
    <w:rsid w:val="009861A4"/>
    <w:rsid w:val="00986FA1"/>
    <w:rsid w:val="00990EDA"/>
    <w:rsid w:val="0099442B"/>
    <w:rsid w:val="0099465D"/>
    <w:rsid w:val="0099662E"/>
    <w:rsid w:val="00997E2E"/>
    <w:rsid w:val="009A0C9C"/>
    <w:rsid w:val="009A3374"/>
    <w:rsid w:val="009A3E5C"/>
    <w:rsid w:val="009A7686"/>
    <w:rsid w:val="009A7F77"/>
    <w:rsid w:val="009B1E01"/>
    <w:rsid w:val="009B47B3"/>
    <w:rsid w:val="009C0ABD"/>
    <w:rsid w:val="009C0B38"/>
    <w:rsid w:val="009C3B95"/>
    <w:rsid w:val="009C6A28"/>
    <w:rsid w:val="009C6FF8"/>
    <w:rsid w:val="009D092A"/>
    <w:rsid w:val="009D27B5"/>
    <w:rsid w:val="009D31C6"/>
    <w:rsid w:val="009D3892"/>
    <w:rsid w:val="009D5A87"/>
    <w:rsid w:val="009D67B7"/>
    <w:rsid w:val="009E0547"/>
    <w:rsid w:val="009E0739"/>
    <w:rsid w:val="009E1DD5"/>
    <w:rsid w:val="009E2171"/>
    <w:rsid w:val="009E5237"/>
    <w:rsid w:val="009E6A92"/>
    <w:rsid w:val="009E7C58"/>
    <w:rsid w:val="009F016C"/>
    <w:rsid w:val="009F28F0"/>
    <w:rsid w:val="009F33FC"/>
    <w:rsid w:val="009F3690"/>
    <w:rsid w:val="009F4413"/>
    <w:rsid w:val="009F4A83"/>
    <w:rsid w:val="00A00FC6"/>
    <w:rsid w:val="00A03B39"/>
    <w:rsid w:val="00A067FA"/>
    <w:rsid w:val="00A11461"/>
    <w:rsid w:val="00A13E1F"/>
    <w:rsid w:val="00A14B5D"/>
    <w:rsid w:val="00A2098B"/>
    <w:rsid w:val="00A25216"/>
    <w:rsid w:val="00A25DCA"/>
    <w:rsid w:val="00A36EA1"/>
    <w:rsid w:val="00A3737D"/>
    <w:rsid w:val="00A37D63"/>
    <w:rsid w:val="00A4198D"/>
    <w:rsid w:val="00A44349"/>
    <w:rsid w:val="00A444FB"/>
    <w:rsid w:val="00A4495C"/>
    <w:rsid w:val="00A45F0C"/>
    <w:rsid w:val="00A50ABE"/>
    <w:rsid w:val="00A5181E"/>
    <w:rsid w:val="00A52CC1"/>
    <w:rsid w:val="00A552BE"/>
    <w:rsid w:val="00A577B8"/>
    <w:rsid w:val="00A60A15"/>
    <w:rsid w:val="00A620CC"/>
    <w:rsid w:val="00A658A9"/>
    <w:rsid w:val="00A66403"/>
    <w:rsid w:val="00A67531"/>
    <w:rsid w:val="00A7100B"/>
    <w:rsid w:val="00A7120D"/>
    <w:rsid w:val="00A71AE7"/>
    <w:rsid w:val="00A749D9"/>
    <w:rsid w:val="00A74E52"/>
    <w:rsid w:val="00A806FE"/>
    <w:rsid w:val="00A81ABD"/>
    <w:rsid w:val="00A844EF"/>
    <w:rsid w:val="00A868CB"/>
    <w:rsid w:val="00A87974"/>
    <w:rsid w:val="00A91E45"/>
    <w:rsid w:val="00A94AEF"/>
    <w:rsid w:val="00A9565C"/>
    <w:rsid w:val="00AA09DF"/>
    <w:rsid w:val="00AA141F"/>
    <w:rsid w:val="00AA2FE2"/>
    <w:rsid w:val="00AA4283"/>
    <w:rsid w:val="00AA4E6A"/>
    <w:rsid w:val="00AA575B"/>
    <w:rsid w:val="00AA7BC0"/>
    <w:rsid w:val="00AA7FC8"/>
    <w:rsid w:val="00AB6870"/>
    <w:rsid w:val="00AB793D"/>
    <w:rsid w:val="00AC5241"/>
    <w:rsid w:val="00AC58A1"/>
    <w:rsid w:val="00AC6B3A"/>
    <w:rsid w:val="00AD17F1"/>
    <w:rsid w:val="00AD38E2"/>
    <w:rsid w:val="00AD55D6"/>
    <w:rsid w:val="00AD62F6"/>
    <w:rsid w:val="00AD7CEB"/>
    <w:rsid w:val="00AE09E2"/>
    <w:rsid w:val="00AE1898"/>
    <w:rsid w:val="00AE3CB2"/>
    <w:rsid w:val="00AE6F79"/>
    <w:rsid w:val="00AF0EF3"/>
    <w:rsid w:val="00AF38F4"/>
    <w:rsid w:val="00AF616A"/>
    <w:rsid w:val="00B014D6"/>
    <w:rsid w:val="00B017CE"/>
    <w:rsid w:val="00B028E2"/>
    <w:rsid w:val="00B109EF"/>
    <w:rsid w:val="00B1234C"/>
    <w:rsid w:val="00B127E3"/>
    <w:rsid w:val="00B13B74"/>
    <w:rsid w:val="00B1472D"/>
    <w:rsid w:val="00B15208"/>
    <w:rsid w:val="00B162D8"/>
    <w:rsid w:val="00B17A81"/>
    <w:rsid w:val="00B17E76"/>
    <w:rsid w:val="00B2214B"/>
    <w:rsid w:val="00B22411"/>
    <w:rsid w:val="00B30AB5"/>
    <w:rsid w:val="00B3119A"/>
    <w:rsid w:val="00B3186B"/>
    <w:rsid w:val="00B32862"/>
    <w:rsid w:val="00B32F28"/>
    <w:rsid w:val="00B3381D"/>
    <w:rsid w:val="00B341C6"/>
    <w:rsid w:val="00B35434"/>
    <w:rsid w:val="00B35C7A"/>
    <w:rsid w:val="00B36053"/>
    <w:rsid w:val="00B36865"/>
    <w:rsid w:val="00B37065"/>
    <w:rsid w:val="00B41958"/>
    <w:rsid w:val="00B42036"/>
    <w:rsid w:val="00B435D9"/>
    <w:rsid w:val="00B473D3"/>
    <w:rsid w:val="00B51A0F"/>
    <w:rsid w:val="00B52B94"/>
    <w:rsid w:val="00B52C7C"/>
    <w:rsid w:val="00B53CB9"/>
    <w:rsid w:val="00B5439B"/>
    <w:rsid w:val="00B6044D"/>
    <w:rsid w:val="00B61244"/>
    <w:rsid w:val="00B62EE0"/>
    <w:rsid w:val="00B63225"/>
    <w:rsid w:val="00B63516"/>
    <w:rsid w:val="00B64C3C"/>
    <w:rsid w:val="00B6650E"/>
    <w:rsid w:val="00B66D17"/>
    <w:rsid w:val="00B722BF"/>
    <w:rsid w:val="00B7383F"/>
    <w:rsid w:val="00B75132"/>
    <w:rsid w:val="00B756EB"/>
    <w:rsid w:val="00B76D62"/>
    <w:rsid w:val="00B84901"/>
    <w:rsid w:val="00B91A15"/>
    <w:rsid w:val="00B92274"/>
    <w:rsid w:val="00B946C1"/>
    <w:rsid w:val="00B97AC5"/>
    <w:rsid w:val="00BA4990"/>
    <w:rsid w:val="00BA5F93"/>
    <w:rsid w:val="00BB19EC"/>
    <w:rsid w:val="00BC51E6"/>
    <w:rsid w:val="00BC557B"/>
    <w:rsid w:val="00BC5704"/>
    <w:rsid w:val="00BC5BB1"/>
    <w:rsid w:val="00BC6486"/>
    <w:rsid w:val="00BD0B5D"/>
    <w:rsid w:val="00BD1172"/>
    <w:rsid w:val="00BD11CB"/>
    <w:rsid w:val="00BD24F6"/>
    <w:rsid w:val="00BD2F8F"/>
    <w:rsid w:val="00BD327C"/>
    <w:rsid w:val="00BD6BFF"/>
    <w:rsid w:val="00BE09E5"/>
    <w:rsid w:val="00BE1682"/>
    <w:rsid w:val="00BE22C8"/>
    <w:rsid w:val="00BE4635"/>
    <w:rsid w:val="00BE6B53"/>
    <w:rsid w:val="00BF1852"/>
    <w:rsid w:val="00BF4E96"/>
    <w:rsid w:val="00BF5C76"/>
    <w:rsid w:val="00BF5DF2"/>
    <w:rsid w:val="00BF7EB1"/>
    <w:rsid w:val="00C014C8"/>
    <w:rsid w:val="00C02081"/>
    <w:rsid w:val="00C03098"/>
    <w:rsid w:val="00C03E0E"/>
    <w:rsid w:val="00C04739"/>
    <w:rsid w:val="00C04BFF"/>
    <w:rsid w:val="00C06AFA"/>
    <w:rsid w:val="00C13808"/>
    <w:rsid w:val="00C17032"/>
    <w:rsid w:val="00C1716C"/>
    <w:rsid w:val="00C171D8"/>
    <w:rsid w:val="00C20C78"/>
    <w:rsid w:val="00C212C0"/>
    <w:rsid w:val="00C27FE8"/>
    <w:rsid w:val="00C309F5"/>
    <w:rsid w:val="00C33E7E"/>
    <w:rsid w:val="00C355E4"/>
    <w:rsid w:val="00C40793"/>
    <w:rsid w:val="00C419A2"/>
    <w:rsid w:val="00C51656"/>
    <w:rsid w:val="00C52C99"/>
    <w:rsid w:val="00C53801"/>
    <w:rsid w:val="00C55818"/>
    <w:rsid w:val="00C57060"/>
    <w:rsid w:val="00C57FF2"/>
    <w:rsid w:val="00C60269"/>
    <w:rsid w:val="00C63213"/>
    <w:rsid w:val="00C63969"/>
    <w:rsid w:val="00C65394"/>
    <w:rsid w:val="00C65AB2"/>
    <w:rsid w:val="00C718DD"/>
    <w:rsid w:val="00C72A6C"/>
    <w:rsid w:val="00C72FA7"/>
    <w:rsid w:val="00C74101"/>
    <w:rsid w:val="00C76BC1"/>
    <w:rsid w:val="00C80BB4"/>
    <w:rsid w:val="00C911FE"/>
    <w:rsid w:val="00C92443"/>
    <w:rsid w:val="00C9554B"/>
    <w:rsid w:val="00CA326E"/>
    <w:rsid w:val="00CA4725"/>
    <w:rsid w:val="00CA552C"/>
    <w:rsid w:val="00CB14CD"/>
    <w:rsid w:val="00CB1EA4"/>
    <w:rsid w:val="00CB3163"/>
    <w:rsid w:val="00CB433D"/>
    <w:rsid w:val="00CB4CA0"/>
    <w:rsid w:val="00CB4D46"/>
    <w:rsid w:val="00CB5D88"/>
    <w:rsid w:val="00CB73A7"/>
    <w:rsid w:val="00CB79F9"/>
    <w:rsid w:val="00CC00E8"/>
    <w:rsid w:val="00CC0D17"/>
    <w:rsid w:val="00CC283F"/>
    <w:rsid w:val="00CC47D9"/>
    <w:rsid w:val="00CC7339"/>
    <w:rsid w:val="00CD2207"/>
    <w:rsid w:val="00CD2C75"/>
    <w:rsid w:val="00CD4446"/>
    <w:rsid w:val="00CE0E62"/>
    <w:rsid w:val="00CE3604"/>
    <w:rsid w:val="00CE3C7C"/>
    <w:rsid w:val="00CE4095"/>
    <w:rsid w:val="00CE6D23"/>
    <w:rsid w:val="00CE6F37"/>
    <w:rsid w:val="00CE7C33"/>
    <w:rsid w:val="00CF1494"/>
    <w:rsid w:val="00CF26D1"/>
    <w:rsid w:val="00CF4B43"/>
    <w:rsid w:val="00CF660B"/>
    <w:rsid w:val="00D01FCD"/>
    <w:rsid w:val="00D025DE"/>
    <w:rsid w:val="00D02F76"/>
    <w:rsid w:val="00D067E0"/>
    <w:rsid w:val="00D07ECD"/>
    <w:rsid w:val="00D12417"/>
    <w:rsid w:val="00D12A02"/>
    <w:rsid w:val="00D12B1B"/>
    <w:rsid w:val="00D13F71"/>
    <w:rsid w:val="00D16197"/>
    <w:rsid w:val="00D17517"/>
    <w:rsid w:val="00D20F1F"/>
    <w:rsid w:val="00D2106C"/>
    <w:rsid w:val="00D24557"/>
    <w:rsid w:val="00D314FA"/>
    <w:rsid w:val="00D33A91"/>
    <w:rsid w:val="00D35180"/>
    <w:rsid w:val="00D35DFF"/>
    <w:rsid w:val="00D36A0F"/>
    <w:rsid w:val="00D3729D"/>
    <w:rsid w:val="00D40F8C"/>
    <w:rsid w:val="00D43617"/>
    <w:rsid w:val="00D44663"/>
    <w:rsid w:val="00D474BB"/>
    <w:rsid w:val="00D532BE"/>
    <w:rsid w:val="00D570D8"/>
    <w:rsid w:val="00D61D65"/>
    <w:rsid w:val="00D66EA5"/>
    <w:rsid w:val="00D76247"/>
    <w:rsid w:val="00D7641B"/>
    <w:rsid w:val="00D806F1"/>
    <w:rsid w:val="00D8089E"/>
    <w:rsid w:val="00D80A44"/>
    <w:rsid w:val="00D80AAB"/>
    <w:rsid w:val="00D82EAF"/>
    <w:rsid w:val="00D84186"/>
    <w:rsid w:val="00D841E1"/>
    <w:rsid w:val="00D850C2"/>
    <w:rsid w:val="00D92603"/>
    <w:rsid w:val="00D93560"/>
    <w:rsid w:val="00D95309"/>
    <w:rsid w:val="00D9556E"/>
    <w:rsid w:val="00DA005B"/>
    <w:rsid w:val="00DA0381"/>
    <w:rsid w:val="00DA1022"/>
    <w:rsid w:val="00DA11FA"/>
    <w:rsid w:val="00DA2715"/>
    <w:rsid w:val="00DA2886"/>
    <w:rsid w:val="00DB0F56"/>
    <w:rsid w:val="00DB1BD2"/>
    <w:rsid w:val="00DB3913"/>
    <w:rsid w:val="00DB4593"/>
    <w:rsid w:val="00DB4BEF"/>
    <w:rsid w:val="00DB4D62"/>
    <w:rsid w:val="00DB4DB2"/>
    <w:rsid w:val="00DB5C77"/>
    <w:rsid w:val="00DB7543"/>
    <w:rsid w:val="00DC14B1"/>
    <w:rsid w:val="00DC219D"/>
    <w:rsid w:val="00DC6183"/>
    <w:rsid w:val="00DD0BE4"/>
    <w:rsid w:val="00DD24C5"/>
    <w:rsid w:val="00DD41C4"/>
    <w:rsid w:val="00DD4FD4"/>
    <w:rsid w:val="00DD6ACF"/>
    <w:rsid w:val="00DD7248"/>
    <w:rsid w:val="00DD7C0B"/>
    <w:rsid w:val="00DE0285"/>
    <w:rsid w:val="00DE15F8"/>
    <w:rsid w:val="00DE1E6E"/>
    <w:rsid w:val="00DE2CAB"/>
    <w:rsid w:val="00DE4570"/>
    <w:rsid w:val="00DE58D0"/>
    <w:rsid w:val="00DE5B5A"/>
    <w:rsid w:val="00DE5D6C"/>
    <w:rsid w:val="00DE72C3"/>
    <w:rsid w:val="00DE7BA3"/>
    <w:rsid w:val="00DF1BDF"/>
    <w:rsid w:val="00DF2BA6"/>
    <w:rsid w:val="00E00BB4"/>
    <w:rsid w:val="00E0268C"/>
    <w:rsid w:val="00E04C55"/>
    <w:rsid w:val="00E04E2B"/>
    <w:rsid w:val="00E0791A"/>
    <w:rsid w:val="00E10A07"/>
    <w:rsid w:val="00E1200C"/>
    <w:rsid w:val="00E12F94"/>
    <w:rsid w:val="00E1572B"/>
    <w:rsid w:val="00E15786"/>
    <w:rsid w:val="00E15ABE"/>
    <w:rsid w:val="00E21332"/>
    <w:rsid w:val="00E21770"/>
    <w:rsid w:val="00E22C97"/>
    <w:rsid w:val="00E230C0"/>
    <w:rsid w:val="00E26C5F"/>
    <w:rsid w:val="00E3280A"/>
    <w:rsid w:val="00E3413E"/>
    <w:rsid w:val="00E4020A"/>
    <w:rsid w:val="00E40E95"/>
    <w:rsid w:val="00E42DC1"/>
    <w:rsid w:val="00E4362F"/>
    <w:rsid w:val="00E47E91"/>
    <w:rsid w:val="00E50341"/>
    <w:rsid w:val="00E52AFE"/>
    <w:rsid w:val="00E54BAA"/>
    <w:rsid w:val="00E54E24"/>
    <w:rsid w:val="00E5658A"/>
    <w:rsid w:val="00E565FF"/>
    <w:rsid w:val="00E576F5"/>
    <w:rsid w:val="00E60415"/>
    <w:rsid w:val="00E60527"/>
    <w:rsid w:val="00E6103C"/>
    <w:rsid w:val="00E662FB"/>
    <w:rsid w:val="00E70E4E"/>
    <w:rsid w:val="00E72F2E"/>
    <w:rsid w:val="00E81264"/>
    <w:rsid w:val="00E82C4E"/>
    <w:rsid w:val="00E83561"/>
    <w:rsid w:val="00E850E6"/>
    <w:rsid w:val="00E866AA"/>
    <w:rsid w:val="00E87A30"/>
    <w:rsid w:val="00E90100"/>
    <w:rsid w:val="00E905DC"/>
    <w:rsid w:val="00E9091D"/>
    <w:rsid w:val="00E9703B"/>
    <w:rsid w:val="00EA0D64"/>
    <w:rsid w:val="00EA0E31"/>
    <w:rsid w:val="00EA1919"/>
    <w:rsid w:val="00EA4397"/>
    <w:rsid w:val="00EB48A9"/>
    <w:rsid w:val="00EB5FEC"/>
    <w:rsid w:val="00EB6BA7"/>
    <w:rsid w:val="00EB7AEA"/>
    <w:rsid w:val="00EC19FB"/>
    <w:rsid w:val="00EC373A"/>
    <w:rsid w:val="00EC40C8"/>
    <w:rsid w:val="00EC4C90"/>
    <w:rsid w:val="00EC4D12"/>
    <w:rsid w:val="00ED3754"/>
    <w:rsid w:val="00ED481B"/>
    <w:rsid w:val="00ED567C"/>
    <w:rsid w:val="00ED6B7D"/>
    <w:rsid w:val="00ED77DC"/>
    <w:rsid w:val="00EE24FA"/>
    <w:rsid w:val="00EE3E5F"/>
    <w:rsid w:val="00EE4AAA"/>
    <w:rsid w:val="00EE7CF9"/>
    <w:rsid w:val="00EF03BC"/>
    <w:rsid w:val="00EF0A1D"/>
    <w:rsid w:val="00EF1399"/>
    <w:rsid w:val="00EF250F"/>
    <w:rsid w:val="00EF32C1"/>
    <w:rsid w:val="00F03AFB"/>
    <w:rsid w:val="00F04A9B"/>
    <w:rsid w:val="00F04B08"/>
    <w:rsid w:val="00F05F4C"/>
    <w:rsid w:val="00F06C13"/>
    <w:rsid w:val="00F10653"/>
    <w:rsid w:val="00F10801"/>
    <w:rsid w:val="00F14961"/>
    <w:rsid w:val="00F22D72"/>
    <w:rsid w:val="00F2449E"/>
    <w:rsid w:val="00F24DF5"/>
    <w:rsid w:val="00F2642E"/>
    <w:rsid w:val="00F27F77"/>
    <w:rsid w:val="00F31BBD"/>
    <w:rsid w:val="00F328F7"/>
    <w:rsid w:val="00F3380E"/>
    <w:rsid w:val="00F35950"/>
    <w:rsid w:val="00F368EF"/>
    <w:rsid w:val="00F37D14"/>
    <w:rsid w:val="00F40B4E"/>
    <w:rsid w:val="00F440DE"/>
    <w:rsid w:val="00F47C44"/>
    <w:rsid w:val="00F47E98"/>
    <w:rsid w:val="00F50A85"/>
    <w:rsid w:val="00F55166"/>
    <w:rsid w:val="00F55365"/>
    <w:rsid w:val="00F57F95"/>
    <w:rsid w:val="00F64025"/>
    <w:rsid w:val="00F64C76"/>
    <w:rsid w:val="00F71AFC"/>
    <w:rsid w:val="00F736CD"/>
    <w:rsid w:val="00F73BD3"/>
    <w:rsid w:val="00F74E29"/>
    <w:rsid w:val="00F76034"/>
    <w:rsid w:val="00F8227B"/>
    <w:rsid w:val="00F83F5F"/>
    <w:rsid w:val="00F84074"/>
    <w:rsid w:val="00F847D4"/>
    <w:rsid w:val="00F86637"/>
    <w:rsid w:val="00F91121"/>
    <w:rsid w:val="00F9120B"/>
    <w:rsid w:val="00F91255"/>
    <w:rsid w:val="00F92C4E"/>
    <w:rsid w:val="00F936D9"/>
    <w:rsid w:val="00FA088B"/>
    <w:rsid w:val="00FA095E"/>
    <w:rsid w:val="00FA1EB3"/>
    <w:rsid w:val="00FA2CAC"/>
    <w:rsid w:val="00FA30AD"/>
    <w:rsid w:val="00FA5F1D"/>
    <w:rsid w:val="00FB3DD1"/>
    <w:rsid w:val="00FB50DC"/>
    <w:rsid w:val="00FB661B"/>
    <w:rsid w:val="00FB6EED"/>
    <w:rsid w:val="00FC1E04"/>
    <w:rsid w:val="00FC32CF"/>
    <w:rsid w:val="00FC344E"/>
    <w:rsid w:val="00FC72C2"/>
    <w:rsid w:val="00FE0745"/>
    <w:rsid w:val="00FE11E2"/>
    <w:rsid w:val="00FE28FA"/>
    <w:rsid w:val="00FE2F4F"/>
    <w:rsid w:val="00FE4A1B"/>
    <w:rsid w:val="00FE6196"/>
    <w:rsid w:val="00FE756C"/>
    <w:rsid w:val="00FE7D07"/>
    <w:rsid w:val="00FF012B"/>
    <w:rsid w:val="00FF4A5E"/>
    <w:rsid w:val="00FF5FB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8D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character" w:customStyle="1" w:styleId="CommentTextChar">
    <w:name w:val="Comment Text Char"/>
    <w:basedOn w:val="DefaultParagraphFont"/>
    <w:link w:val="CommentText"/>
    <w:rsid w:val="001A6F36"/>
    <w:rPr>
      <w:lang w:val="en-US" w:eastAsia="en-US"/>
    </w:rPr>
  </w:style>
  <w:style w:type="paragraph" w:styleId="Revision">
    <w:name w:val="Revision"/>
    <w:hidden/>
    <w:uiPriority w:val="99"/>
    <w:semiHidden/>
    <w:rsid w:val="00894262"/>
    <w:rPr>
      <w:sz w:val="24"/>
      <w:szCs w:val="24"/>
      <w:lang w:val="en-US" w:eastAsia="en-US"/>
    </w:rPr>
  </w:style>
  <w:style w:type="paragraph" w:customStyle="1" w:styleId="p1">
    <w:name w:val="p1"/>
    <w:basedOn w:val="Normal"/>
    <w:rsid w:val="00781C8C"/>
    <w:pPr>
      <w:spacing w:before="100" w:beforeAutospacing="1" w:after="100" w:afterAutospacing="1"/>
    </w:pPr>
    <w:rPr>
      <w:lang w:val="en-AU" w:eastAsia="en-AU"/>
    </w:rPr>
  </w:style>
  <w:style w:type="paragraph" w:customStyle="1" w:styleId="P10">
    <w:name w:val="P1"/>
    <w:aliases w:val="(a)"/>
    <w:basedOn w:val="Normal"/>
    <w:rsid w:val="002E4942"/>
    <w:pPr>
      <w:tabs>
        <w:tab w:val="right" w:pos="1191"/>
      </w:tabs>
      <w:spacing w:before="60" w:line="260" w:lineRule="exact"/>
      <w:ind w:left="1418" w:hanging="1418"/>
      <w:jc w:val="both"/>
    </w:pPr>
    <w:rPr>
      <w:lang w:val="en-AU"/>
    </w:rPr>
  </w:style>
</w:styles>
</file>

<file path=word/webSettings.xml><?xml version="1.0" encoding="utf-8"?>
<w:webSettings xmlns:r="http://schemas.openxmlformats.org/officeDocument/2006/relationships" xmlns:w="http://schemas.openxmlformats.org/wordprocessingml/2006/main">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8299645">
      <w:bodyDiv w:val="1"/>
      <w:marLeft w:val="0"/>
      <w:marRight w:val="0"/>
      <w:marTop w:val="0"/>
      <w:marBottom w:val="0"/>
      <w:divBdr>
        <w:top w:val="none" w:sz="0" w:space="0" w:color="auto"/>
        <w:left w:val="none" w:sz="0" w:space="0" w:color="auto"/>
        <w:bottom w:val="none" w:sz="0" w:space="0" w:color="auto"/>
        <w:right w:val="none" w:sz="0" w:space="0" w:color="auto"/>
      </w:divBdr>
      <w:divsChild>
        <w:div w:id="2006592360">
          <w:marLeft w:val="0"/>
          <w:marRight w:val="0"/>
          <w:marTop w:val="0"/>
          <w:marBottom w:val="0"/>
          <w:divBdr>
            <w:top w:val="none" w:sz="0" w:space="0" w:color="auto"/>
            <w:left w:val="none" w:sz="0" w:space="0" w:color="auto"/>
            <w:bottom w:val="none" w:sz="0" w:space="0" w:color="auto"/>
            <w:right w:val="none" w:sz="0" w:space="0" w:color="auto"/>
          </w:divBdr>
          <w:divsChild>
            <w:div w:id="1188829666">
              <w:marLeft w:val="0"/>
              <w:marRight w:val="0"/>
              <w:marTop w:val="0"/>
              <w:marBottom w:val="0"/>
              <w:divBdr>
                <w:top w:val="none" w:sz="0" w:space="0" w:color="auto"/>
                <w:left w:val="none" w:sz="0" w:space="0" w:color="auto"/>
                <w:bottom w:val="none" w:sz="0" w:space="0" w:color="auto"/>
                <w:right w:val="none" w:sz="0" w:space="0" w:color="auto"/>
              </w:divBdr>
              <w:divsChild>
                <w:div w:id="532572346">
                  <w:marLeft w:val="0"/>
                  <w:marRight w:val="0"/>
                  <w:marTop w:val="0"/>
                  <w:marBottom w:val="0"/>
                  <w:divBdr>
                    <w:top w:val="none" w:sz="0" w:space="0" w:color="auto"/>
                    <w:left w:val="none" w:sz="0" w:space="0" w:color="auto"/>
                    <w:bottom w:val="none" w:sz="0" w:space="0" w:color="auto"/>
                    <w:right w:val="none" w:sz="0" w:space="0" w:color="auto"/>
                  </w:divBdr>
                  <w:divsChild>
                    <w:div w:id="676076376">
                      <w:marLeft w:val="0"/>
                      <w:marRight w:val="0"/>
                      <w:marTop w:val="0"/>
                      <w:marBottom w:val="0"/>
                      <w:divBdr>
                        <w:top w:val="none" w:sz="0" w:space="0" w:color="auto"/>
                        <w:left w:val="none" w:sz="0" w:space="0" w:color="auto"/>
                        <w:bottom w:val="none" w:sz="0" w:space="0" w:color="auto"/>
                        <w:right w:val="none" w:sz="0" w:space="0" w:color="auto"/>
                      </w:divBdr>
                      <w:divsChild>
                        <w:div w:id="1310209869">
                          <w:marLeft w:val="0"/>
                          <w:marRight w:val="0"/>
                          <w:marTop w:val="0"/>
                          <w:marBottom w:val="0"/>
                          <w:divBdr>
                            <w:top w:val="single" w:sz="6" w:space="0" w:color="828282"/>
                            <w:left w:val="single" w:sz="6" w:space="0" w:color="828282"/>
                            <w:bottom w:val="single" w:sz="6" w:space="0" w:color="828282"/>
                            <w:right w:val="single" w:sz="6" w:space="0" w:color="828282"/>
                          </w:divBdr>
                          <w:divsChild>
                            <w:div w:id="394817719">
                              <w:marLeft w:val="0"/>
                              <w:marRight w:val="0"/>
                              <w:marTop w:val="0"/>
                              <w:marBottom w:val="0"/>
                              <w:divBdr>
                                <w:top w:val="none" w:sz="0" w:space="0" w:color="auto"/>
                                <w:left w:val="none" w:sz="0" w:space="0" w:color="auto"/>
                                <w:bottom w:val="none" w:sz="0" w:space="0" w:color="auto"/>
                                <w:right w:val="none" w:sz="0" w:space="0" w:color="auto"/>
                              </w:divBdr>
                              <w:divsChild>
                                <w:div w:id="1009721944">
                                  <w:marLeft w:val="0"/>
                                  <w:marRight w:val="0"/>
                                  <w:marTop w:val="0"/>
                                  <w:marBottom w:val="0"/>
                                  <w:divBdr>
                                    <w:top w:val="none" w:sz="0" w:space="0" w:color="auto"/>
                                    <w:left w:val="none" w:sz="0" w:space="0" w:color="auto"/>
                                    <w:bottom w:val="none" w:sz="0" w:space="0" w:color="auto"/>
                                    <w:right w:val="none" w:sz="0" w:space="0" w:color="auto"/>
                                  </w:divBdr>
                                  <w:divsChild>
                                    <w:div w:id="19782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021168">
      <w:bodyDiv w:val="1"/>
      <w:marLeft w:val="0"/>
      <w:marRight w:val="0"/>
      <w:marTop w:val="0"/>
      <w:marBottom w:val="0"/>
      <w:divBdr>
        <w:top w:val="none" w:sz="0" w:space="0" w:color="auto"/>
        <w:left w:val="none" w:sz="0" w:space="0" w:color="auto"/>
        <w:bottom w:val="none" w:sz="0" w:space="0" w:color="auto"/>
        <w:right w:val="none" w:sz="0" w:space="0" w:color="auto"/>
      </w:divBdr>
      <w:divsChild>
        <w:div w:id="1585651814">
          <w:marLeft w:val="0"/>
          <w:marRight w:val="0"/>
          <w:marTop w:val="0"/>
          <w:marBottom w:val="0"/>
          <w:divBdr>
            <w:top w:val="none" w:sz="0" w:space="0" w:color="auto"/>
            <w:left w:val="none" w:sz="0" w:space="0" w:color="auto"/>
            <w:bottom w:val="none" w:sz="0" w:space="0" w:color="auto"/>
            <w:right w:val="none" w:sz="0" w:space="0" w:color="auto"/>
          </w:divBdr>
          <w:divsChild>
            <w:div w:id="1882983007">
              <w:marLeft w:val="0"/>
              <w:marRight w:val="0"/>
              <w:marTop w:val="0"/>
              <w:marBottom w:val="0"/>
              <w:divBdr>
                <w:top w:val="none" w:sz="0" w:space="0" w:color="auto"/>
                <w:left w:val="none" w:sz="0" w:space="0" w:color="auto"/>
                <w:bottom w:val="none" w:sz="0" w:space="0" w:color="auto"/>
                <w:right w:val="none" w:sz="0" w:space="0" w:color="auto"/>
              </w:divBdr>
              <w:divsChild>
                <w:div w:id="1180657971">
                  <w:marLeft w:val="0"/>
                  <w:marRight w:val="0"/>
                  <w:marTop w:val="0"/>
                  <w:marBottom w:val="0"/>
                  <w:divBdr>
                    <w:top w:val="none" w:sz="0" w:space="0" w:color="auto"/>
                    <w:left w:val="none" w:sz="0" w:space="0" w:color="auto"/>
                    <w:bottom w:val="none" w:sz="0" w:space="0" w:color="auto"/>
                    <w:right w:val="none" w:sz="0" w:space="0" w:color="auto"/>
                  </w:divBdr>
                  <w:divsChild>
                    <w:div w:id="705520425">
                      <w:marLeft w:val="0"/>
                      <w:marRight w:val="0"/>
                      <w:marTop w:val="0"/>
                      <w:marBottom w:val="0"/>
                      <w:divBdr>
                        <w:top w:val="none" w:sz="0" w:space="0" w:color="auto"/>
                        <w:left w:val="none" w:sz="0" w:space="0" w:color="auto"/>
                        <w:bottom w:val="none" w:sz="0" w:space="0" w:color="auto"/>
                        <w:right w:val="none" w:sz="0" w:space="0" w:color="auto"/>
                      </w:divBdr>
                      <w:divsChild>
                        <w:div w:id="2136681840">
                          <w:marLeft w:val="0"/>
                          <w:marRight w:val="0"/>
                          <w:marTop w:val="0"/>
                          <w:marBottom w:val="0"/>
                          <w:divBdr>
                            <w:top w:val="single" w:sz="6" w:space="0" w:color="828282"/>
                            <w:left w:val="single" w:sz="6" w:space="0" w:color="828282"/>
                            <w:bottom w:val="single" w:sz="6" w:space="0" w:color="828282"/>
                            <w:right w:val="single" w:sz="6" w:space="0" w:color="828282"/>
                          </w:divBdr>
                          <w:divsChild>
                            <w:div w:id="519785420">
                              <w:marLeft w:val="0"/>
                              <w:marRight w:val="0"/>
                              <w:marTop w:val="0"/>
                              <w:marBottom w:val="0"/>
                              <w:divBdr>
                                <w:top w:val="none" w:sz="0" w:space="0" w:color="auto"/>
                                <w:left w:val="none" w:sz="0" w:space="0" w:color="auto"/>
                                <w:bottom w:val="none" w:sz="0" w:space="0" w:color="auto"/>
                                <w:right w:val="none" w:sz="0" w:space="0" w:color="auto"/>
                              </w:divBdr>
                              <w:divsChild>
                                <w:div w:id="1589970835">
                                  <w:marLeft w:val="0"/>
                                  <w:marRight w:val="0"/>
                                  <w:marTop w:val="0"/>
                                  <w:marBottom w:val="0"/>
                                  <w:divBdr>
                                    <w:top w:val="none" w:sz="0" w:space="0" w:color="auto"/>
                                    <w:left w:val="none" w:sz="0" w:space="0" w:color="auto"/>
                                    <w:bottom w:val="none" w:sz="0" w:space="0" w:color="auto"/>
                                    <w:right w:val="none" w:sz="0" w:space="0" w:color="auto"/>
                                  </w:divBdr>
                                  <w:divsChild>
                                    <w:div w:id="270816765">
                                      <w:marLeft w:val="0"/>
                                      <w:marRight w:val="0"/>
                                      <w:marTop w:val="0"/>
                                      <w:marBottom w:val="0"/>
                                      <w:divBdr>
                                        <w:top w:val="none" w:sz="0" w:space="0" w:color="auto"/>
                                        <w:left w:val="none" w:sz="0" w:space="0" w:color="auto"/>
                                        <w:bottom w:val="none" w:sz="0" w:space="0" w:color="auto"/>
                                        <w:right w:val="none" w:sz="0" w:space="0" w:color="auto"/>
                                      </w:divBdr>
                                      <w:divsChild>
                                        <w:div w:id="500970343">
                                          <w:marLeft w:val="0"/>
                                          <w:marRight w:val="0"/>
                                          <w:marTop w:val="0"/>
                                          <w:marBottom w:val="0"/>
                                          <w:divBdr>
                                            <w:top w:val="none" w:sz="0" w:space="0" w:color="auto"/>
                                            <w:left w:val="none" w:sz="0" w:space="0" w:color="auto"/>
                                            <w:bottom w:val="none" w:sz="0" w:space="0" w:color="auto"/>
                                            <w:right w:val="none" w:sz="0" w:space="0" w:color="auto"/>
                                          </w:divBdr>
                                          <w:divsChild>
                                            <w:div w:id="1880387245">
                                              <w:marLeft w:val="0"/>
                                              <w:marRight w:val="0"/>
                                              <w:marTop w:val="0"/>
                                              <w:marBottom w:val="0"/>
                                              <w:divBdr>
                                                <w:top w:val="none" w:sz="0" w:space="0" w:color="auto"/>
                                                <w:left w:val="none" w:sz="0" w:space="0" w:color="auto"/>
                                                <w:bottom w:val="none" w:sz="0" w:space="0" w:color="auto"/>
                                                <w:right w:val="none" w:sz="0" w:space="0" w:color="auto"/>
                                              </w:divBdr>
                                              <w:divsChild>
                                                <w:div w:id="12372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WEB/STANDARD/pc=PC_4103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3B87CF1831231499AB06102660F5006" ma:contentTypeVersion="0" ma:contentTypeDescription="Create a new document." ma:contentTypeScope="" ma:versionID="7c9fac8a034485a9a283bf1d2873c2a3">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6db8f3c6-01a1-4322-b043-a3b2a190f7a8">KNAH4PPFC442-1229-394</_dlc_DocId>
    <_dlc_DocIdUrl xmlns="6db8f3c6-01a1-4322-b043-a3b2a190f7a8">
      <Url>http://collaboration/organisation/CID/IRB/SORS/_layouts/DocIdRedir.aspx?ID=KNAH4PPFC442-1229-394</Url>
      <Description>KNAH4PPFC442-1229-394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9608D-5358-4F2C-9F43-95E6094076B5}">
  <ds:schemaRefs>
    <ds:schemaRef ds:uri="http://schemas.microsoft.com/sharepoint/events"/>
  </ds:schemaRefs>
</ds:datastoreItem>
</file>

<file path=customXml/itemProps2.xml><?xml version="1.0" encoding="utf-8"?>
<ds:datastoreItem xmlns:ds="http://schemas.openxmlformats.org/officeDocument/2006/customXml" ds:itemID="{4BBCB347-A8F3-4CAF-8F8B-6ABDB4F49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DB36F-711C-4F49-82DA-29BD3B5100E5}">
  <ds:schemaRefs>
    <ds:schemaRef ds:uri="http://schemas.microsoft.com/sharepoint/v3/contenttype/forms"/>
  </ds:schemaRefs>
</ds:datastoreItem>
</file>

<file path=customXml/itemProps4.xml><?xml version="1.0" encoding="utf-8"?>
<ds:datastoreItem xmlns:ds="http://schemas.openxmlformats.org/officeDocument/2006/customXml" ds:itemID="{9DDD8598-2D72-4182-9CFF-124C536AF65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db8f3c6-01a1-4322-b043-a3b2a190f7a8"/>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32ABF804-2F33-43D1-A29B-E10A4A8E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13838</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2010-06-25T01:30:00Z</cp:lastPrinted>
  <dcterms:created xsi:type="dcterms:W3CDTF">2012-08-09T03:13:00Z</dcterms:created>
  <dcterms:modified xsi:type="dcterms:W3CDTF">2012-08-15T23:41:00Z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57b8effa-7401-486c-ac66-7773dbc09912</vt:lpwstr>
  </property>
  <property fmtid="{D5CDD505-2E9C-101B-9397-08002B2CF9AE}" pid="4" name="ContentTypeId">
    <vt:lpwstr>0x010100F3B87CF1831231499AB06102660F5006</vt:lpwstr>
  </property>
</Properties>
</file>