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27B" w:rsidRPr="00F97A7F" w:rsidRDefault="00BF227B" w:rsidP="00BF227B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n-AU"/>
        </w:rPr>
      </w:pPr>
      <w:r w:rsidRPr="00F97A7F">
        <w:rPr>
          <w:rFonts w:ascii="Arial" w:hAnsi="Arial" w:cs="Arial"/>
          <w:b/>
          <w:sz w:val="22"/>
          <w:szCs w:val="22"/>
          <w:lang w:val="en-AU"/>
        </w:rPr>
        <w:t>EXPLANATORY STATEMENT</w:t>
      </w:r>
    </w:p>
    <w:p w:rsidR="00BF227B" w:rsidRPr="00F97A7F" w:rsidRDefault="00BF227B" w:rsidP="00BF227B">
      <w:pPr>
        <w:spacing w:line="360" w:lineRule="auto"/>
        <w:jc w:val="center"/>
        <w:rPr>
          <w:rFonts w:ascii="Arial" w:hAnsi="Arial" w:cs="Arial"/>
          <w:i/>
          <w:sz w:val="22"/>
          <w:szCs w:val="22"/>
          <w:lang w:val="en-AU"/>
        </w:rPr>
      </w:pPr>
    </w:p>
    <w:p w:rsidR="00BF227B" w:rsidRPr="00F97A7F" w:rsidRDefault="00BF227B" w:rsidP="00BF227B">
      <w:pPr>
        <w:spacing w:line="360" w:lineRule="auto"/>
        <w:jc w:val="center"/>
        <w:rPr>
          <w:rFonts w:ascii="Arial" w:hAnsi="Arial" w:cs="Arial"/>
          <w:i/>
          <w:sz w:val="22"/>
          <w:szCs w:val="22"/>
          <w:lang w:val="en-AU"/>
        </w:rPr>
      </w:pPr>
    </w:p>
    <w:p w:rsidR="00BF227B" w:rsidRPr="00F97A7F" w:rsidRDefault="00BF227B" w:rsidP="00BF227B">
      <w:pPr>
        <w:spacing w:line="360" w:lineRule="auto"/>
        <w:jc w:val="center"/>
        <w:rPr>
          <w:rFonts w:ascii="Arial" w:hAnsi="Arial" w:cs="Arial"/>
          <w:sz w:val="22"/>
          <w:szCs w:val="22"/>
          <w:lang w:val="en-AU"/>
        </w:rPr>
      </w:pPr>
      <w:r w:rsidRPr="00F97A7F">
        <w:rPr>
          <w:rFonts w:ascii="Arial" w:hAnsi="Arial" w:cs="Arial"/>
          <w:sz w:val="22"/>
          <w:szCs w:val="22"/>
          <w:lang w:val="en-AU"/>
        </w:rPr>
        <w:t>Issued by the Australian Communications and Media Authority</w:t>
      </w:r>
    </w:p>
    <w:p w:rsidR="00BF227B" w:rsidRPr="00F97A7F" w:rsidRDefault="00BF227B" w:rsidP="00BF227B">
      <w:pPr>
        <w:spacing w:line="360" w:lineRule="auto"/>
        <w:jc w:val="center"/>
        <w:rPr>
          <w:rFonts w:ascii="Arial" w:hAnsi="Arial" w:cs="Arial"/>
          <w:i/>
          <w:sz w:val="22"/>
          <w:szCs w:val="22"/>
          <w:lang w:val="en-AU"/>
        </w:rPr>
      </w:pPr>
    </w:p>
    <w:p w:rsidR="00BF227B" w:rsidRPr="00F97A7F" w:rsidRDefault="00BF227B" w:rsidP="00BF227B">
      <w:pPr>
        <w:spacing w:line="360" w:lineRule="auto"/>
        <w:jc w:val="center"/>
        <w:rPr>
          <w:rFonts w:ascii="Arial" w:hAnsi="Arial" w:cs="Arial"/>
          <w:i/>
          <w:sz w:val="22"/>
          <w:szCs w:val="22"/>
          <w:lang w:val="en-AU"/>
        </w:rPr>
      </w:pPr>
      <w:r w:rsidRPr="00F97A7F">
        <w:rPr>
          <w:rFonts w:ascii="Arial" w:hAnsi="Arial" w:cs="Arial"/>
          <w:i/>
          <w:sz w:val="22"/>
          <w:szCs w:val="22"/>
          <w:lang w:val="en-AU"/>
        </w:rPr>
        <w:t xml:space="preserve">Radiocommunications Advisory Guidelines (Registration of Devices under Spectrum Licences without an Interference Impact Certificate) </w:t>
      </w:r>
      <w:r w:rsidR="00F17D85">
        <w:rPr>
          <w:rFonts w:ascii="Arial" w:hAnsi="Arial" w:cs="Arial"/>
          <w:i/>
          <w:sz w:val="22"/>
          <w:szCs w:val="22"/>
          <w:lang w:val="en-AU"/>
        </w:rPr>
        <w:t>Revocation Instrument</w:t>
      </w:r>
      <w:r w:rsidRPr="00F97A7F">
        <w:rPr>
          <w:rFonts w:ascii="Arial" w:hAnsi="Arial" w:cs="Arial"/>
          <w:i/>
          <w:sz w:val="22"/>
          <w:szCs w:val="22"/>
          <w:lang w:val="en-AU"/>
        </w:rPr>
        <w:t xml:space="preserve"> 2012</w:t>
      </w:r>
    </w:p>
    <w:p w:rsidR="00BF227B" w:rsidRPr="00F97A7F" w:rsidRDefault="00BF227B" w:rsidP="00BF227B">
      <w:pPr>
        <w:spacing w:line="360" w:lineRule="auto"/>
        <w:jc w:val="center"/>
        <w:rPr>
          <w:rFonts w:ascii="Arial" w:hAnsi="Arial" w:cs="Arial"/>
          <w:sz w:val="22"/>
          <w:szCs w:val="22"/>
          <w:lang w:val="en-AU"/>
        </w:rPr>
      </w:pPr>
    </w:p>
    <w:p w:rsidR="00BF227B" w:rsidRPr="00F97A7F" w:rsidRDefault="00BF227B" w:rsidP="00BF227B">
      <w:pPr>
        <w:spacing w:line="360" w:lineRule="auto"/>
        <w:jc w:val="center"/>
        <w:rPr>
          <w:rFonts w:ascii="Arial" w:hAnsi="Arial" w:cs="Arial"/>
          <w:i/>
          <w:sz w:val="22"/>
          <w:szCs w:val="22"/>
          <w:lang w:val="en-AU"/>
        </w:rPr>
      </w:pPr>
      <w:r w:rsidRPr="00F97A7F">
        <w:rPr>
          <w:rFonts w:ascii="Arial" w:hAnsi="Arial" w:cs="Arial"/>
          <w:i/>
          <w:sz w:val="22"/>
          <w:szCs w:val="22"/>
          <w:lang w:val="en-AU"/>
        </w:rPr>
        <w:t>Radiocommunications Act 1992</w:t>
      </w:r>
    </w:p>
    <w:p w:rsidR="00BF227B" w:rsidRPr="00F97A7F" w:rsidRDefault="00BF227B" w:rsidP="00BF227B">
      <w:pPr>
        <w:spacing w:line="360" w:lineRule="auto"/>
        <w:jc w:val="center"/>
        <w:rPr>
          <w:rFonts w:ascii="Arial" w:hAnsi="Arial" w:cs="Arial"/>
          <w:sz w:val="22"/>
          <w:szCs w:val="22"/>
          <w:lang w:val="en-AU"/>
        </w:rPr>
      </w:pPr>
    </w:p>
    <w:p w:rsidR="004E3A5B" w:rsidRDefault="00BF227B">
      <w:pPr>
        <w:rPr>
          <w:rFonts w:ascii="Arial" w:hAnsi="Arial" w:cs="Arial"/>
          <w:b/>
          <w:sz w:val="22"/>
          <w:szCs w:val="22"/>
          <w:lang w:val="en-AU"/>
        </w:rPr>
      </w:pPr>
      <w:r w:rsidRPr="00F97A7F">
        <w:rPr>
          <w:rFonts w:ascii="Arial" w:hAnsi="Arial" w:cs="Arial"/>
          <w:b/>
          <w:sz w:val="22"/>
          <w:szCs w:val="22"/>
          <w:lang w:val="en-AU"/>
        </w:rPr>
        <w:t>Purpose</w:t>
      </w:r>
    </w:p>
    <w:p w:rsidR="004E3A5B" w:rsidRDefault="004E3A5B">
      <w:pPr>
        <w:rPr>
          <w:rFonts w:ascii="Arial" w:hAnsi="Arial" w:cs="Arial"/>
          <w:sz w:val="22"/>
          <w:szCs w:val="22"/>
          <w:lang w:val="en-AU"/>
        </w:rPr>
      </w:pPr>
    </w:p>
    <w:p w:rsidR="004E3A5B" w:rsidRDefault="00BF227B">
      <w:pPr>
        <w:rPr>
          <w:rFonts w:ascii="Arial" w:hAnsi="Arial" w:cs="Arial"/>
          <w:sz w:val="22"/>
          <w:szCs w:val="22"/>
          <w:lang w:val="en-AU"/>
        </w:rPr>
      </w:pPr>
      <w:r w:rsidRPr="00F97A7F">
        <w:rPr>
          <w:rFonts w:ascii="Arial" w:hAnsi="Arial" w:cs="Arial"/>
          <w:sz w:val="22"/>
          <w:szCs w:val="22"/>
          <w:lang w:val="en-AU"/>
        </w:rPr>
        <w:t xml:space="preserve">The purpose of the </w:t>
      </w:r>
      <w:r w:rsidRPr="00F97A7F">
        <w:rPr>
          <w:rFonts w:ascii="Arial" w:hAnsi="Arial" w:cs="Arial"/>
          <w:i/>
          <w:sz w:val="22"/>
          <w:szCs w:val="22"/>
          <w:lang w:val="en-AU"/>
        </w:rPr>
        <w:t xml:space="preserve">Radiocommunications Advisory Guidelines (Registration of Devices under Spectrum Licences without an Interference Impact Certificate) </w:t>
      </w:r>
      <w:r w:rsidR="00811802">
        <w:rPr>
          <w:rFonts w:ascii="Arial" w:hAnsi="Arial" w:cs="Arial"/>
          <w:i/>
          <w:sz w:val="22"/>
          <w:szCs w:val="22"/>
          <w:lang w:val="en-AU"/>
        </w:rPr>
        <w:t>Revocation Instrument</w:t>
      </w:r>
      <w:r w:rsidR="00811802" w:rsidRPr="00F97A7F">
        <w:rPr>
          <w:rFonts w:ascii="Arial" w:hAnsi="Arial" w:cs="Arial"/>
          <w:i/>
          <w:sz w:val="22"/>
          <w:szCs w:val="22"/>
          <w:lang w:val="en-AU"/>
        </w:rPr>
        <w:t xml:space="preserve"> </w:t>
      </w:r>
      <w:r w:rsidRPr="00F97A7F">
        <w:rPr>
          <w:rFonts w:ascii="Arial" w:hAnsi="Arial" w:cs="Arial"/>
          <w:i/>
          <w:sz w:val="22"/>
          <w:szCs w:val="22"/>
          <w:lang w:val="en-AU"/>
        </w:rPr>
        <w:t>2012</w:t>
      </w:r>
      <w:r w:rsidRPr="00F97A7F" w:rsidDel="003D77BA">
        <w:rPr>
          <w:rFonts w:ascii="Arial" w:hAnsi="Arial" w:cs="Arial"/>
          <w:i/>
          <w:sz w:val="22"/>
          <w:szCs w:val="22"/>
          <w:lang w:val="en-AU"/>
        </w:rPr>
        <w:t xml:space="preserve"> </w:t>
      </w:r>
      <w:r w:rsidRPr="00F97A7F">
        <w:rPr>
          <w:rFonts w:ascii="Arial" w:hAnsi="Arial" w:cs="Arial"/>
          <w:sz w:val="22"/>
          <w:szCs w:val="22"/>
          <w:lang w:val="en-AU"/>
        </w:rPr>
        <w:t xml:space="preserve">(the </w:t>
      </w:r>
      <w:r w:rsidR="00811802">
        <w:rPr>
          <w:rFonts w:ascii="Arial" w:hAnsi="Arial" w:cs="Arial"/>
          <w:b/>
          <w:sz w:val="22"/>
          <w:szCs w:val="22"/>
          <w:lang w:val="en-AU"/>
        </w:rPr>
        <w:t>Instrument</w:t>
      </w:r>
      <w:r w:rsidRPr="00F97A7F">
        <w:rPr>
          <w:rFonts w:ascii="Arial" w:hAnsi="Arial" w:cs="Arial"/>
          <w:sz w:val="22"/>
          <w:szCs w:val="22"/>
          <w:lang w:val="en-AU"/>
        </w:rPr>
        <w:t xml:space="preserve">) is to </w:t>
      </w:r>
      <w:r w:rsidR="00811802" w:rsidRPr="00F97A7F">
        <w:rPr>
          <w:rFonts w:ascii="Arial" w:hAnsi="Arial" w:cs="Arial"/>
          <w:sz w:val="22"/>
          <w:szCs w:val="22"/>
          <w:lang w:val="en-AU"/>
        </w:rPr>
        <w:t>re</w:t>
      </w:r>
      <w:r w:rsidR="00811802">
        <w:rPr>
          <w:rFonts w:ascii="Arial" w:hAnsi="Arial" w:cs="Arial"/>
          <w:sz w:val="22"/>
          <w:szCs w:val="22"/>
          <w:lang w:val="en-AU"/>
        </w:rPr>
        <w:t>voke</w:t>
      </w:r>
      <w:r w:rsidR="00811802" w:rsidRPr="00F97A7F">
        <w:rPr>
          <w:rFonts w:ascii="Arial" w:hAnsi="Arial" w:cs="Arial"/>
          <w:sz w:val="22"/>
          <w:szCs w:val="22"/>
          <w:lang w:val="en-AU"/>
        </w:rPr>
        <w:t xml:space="preserve"> </w:t>
      </w:r>
      <w:r w:rsidRPr="00F97A7F">
        <w:rPr>
          <w:rFonts w:ascii="Arial" w:hAnsi="Arial" w:cs="Arial"/>
          <w:sz w:val="22"/>
          <w:szCs w:val="22"/>
          <w:lang w:val="en-AU"/>
        </w:rPr>
        <w:t xml:space="preserve">the </w:t>
      </w:r>
      <w:r w:rsidRPr="00F97A7F">
        <w:rPr>
          <w:rFonts w:ascii="Arial" w:hAnsi="Arial" w:cs="Arial"/>
          <w:i/>
          <w:sz w:val="22"/>
          <w:szCs w:val="22"/>
          <w:lang w:val="en-AU"/>
        </w:rPr>
        <w:t>Radiocommunications Advisory Guidelines (Registration of Devices under Spectrum Licences without an Interference Impact Certificate)</w:t>
      </w:r>
      <w:r w:rsidR="00151456">
        <w:rPr>
          <w:rFonts w:ascii="Arial" w:hAnsi="Arial" w:cs="Arial"/>
          <w:i/>
          <w:sz w:val="22"/>
          <w:szCs w:val="22"/>
          <w:lang w:val="en-AU"/>
        </w:rPr>
        <w:t xml:space="preserve"> </w:t>
      </w:r>
      <w:r w:rsidRPr="00F97A7F">
        <w:rPr>
          <w:rFonts w:ascii="Arial" w:hAnsi="Arial" w:cs="Arial"/>
          <w:i/>
          <w:sz w:val="22"/>
          <w:szCs w:val="22"/>
          <w:lang w:val="en-AU"/>
        </w:rPr>
        <w:t>1998</w:t>
      </w:r>
      <w:r w:rsidR="00151456">
        <w:rPr>
          <w:rFonts w:ascii="Arial" w:hAnsi="Arial" w:cs="Arial"/>
          <w:sz w:val="22"/>
          <w:szCs w:val="22"/>
          <w:lang w:val="en-AU"/>
        </w:rPr>
        <w:t xml:space="preserve"> </w:t>
      </w:r>
      <w:r w:rsidR="00B241DB" w:rsidRPr="00F97A7F">
        <w:rPr>
          <w:rFonts w:ascii="Arial" w:hAnsi="Arial" w:cs="Arial"/>
          <w:sz w:val="22"/>
          <w:szCs w:val="22"/>
          <w:lang w:val="en-AU"/>
        </w:rPr>
        <w:t xml:space="preserve">(the </w:t>
      </w:r>
      <w:r w:rsidR="00B241DB" w:rsidRPr="00F97A7F">
        <w:rPr>
          <w:rFonts w:ascii="Arial" w:hAnsi="Arial" w:cs="Arial"/>
          <w:b/>
          <w:sz w:val="22"/>
          <w:szCs w:val="22"/>
          <w:lang w:val="en-AU"/>
        </w:rPr>
        <w:t>Guidelines</w:t>
      </w:r>
      <w:r w:rsidR="00B241DB" w:rsidRPr="00F97A7F">
        <w:rPr>
          <w:rFonts w:ascii="Arial" w:hAnsi="Arial" w:cs="Arial"/>
          <w:sz w:val="22"/>
          <w:szCs w:val="22"/>
          <w:lang w:val="en-AU"/>
        </w:rPr>
        <w:t>)</w:t>
      </w:r>
      <w:r w:rsidR="00151456">
        <w:rPr>
          <w:rFonts w:ascii="Arial" w:hAnsi="Arial" w:cs="Arial"/>
          <w:sz w:val="22"/>
          <w:szCs w:val="22"/>
          <w:lang w:val="en-AU"/>
        </w:rPr>
        <w:t>.</w:t>
      </w:r>
      <w:r w:rsidR="00B241DB" w:rsidRPr="00F97A7F">
        <w:rPr>
          <w:rFonts w:ascii="Arial" w:hAnsi="Arial" w:cs="Arial"/>
          <w:sz w:val="22"/>
          <w:szCs w:val="22"/>
          <w:lang w:val="en-AU"/>
        </w:rPr>
        <w:t xml:space="preserve">  </w:t>
      </w:r>
    </w:p>
    <w:p w:rsidR="004E3A5B" w:rsidRDefault="004E3A5B">
      <w:pPr>
        <w:rPr>
          <w:rFonts w:ascii="Arial" w:hAnsi="Arial" w:cs="Arial"/>
          <w:sz w:val="22"/>
          <w:szCs w:val="22"/>
          <w:lang w:val="en-AU"/>
        </w:rPr>
      </w:pPr>
    </w:p>
    <w:p w:rsidR="004E3A5B" w:rsidRDefault="00BF227B">
      <w:pPr>
        <w:rPr>
          <w:rFonts w:ascii="Arial" w:hAnsi="Arial" w:cs="Arial"/>
          <w:b/>
          <w:sz w:val="22"/>
          <w:szCs w:val="22"/>
          <w:lang w:val="en-AU"/>
        </w:rPr>
      </w:pPr>
      <w:r w:rsidRPr="00F97A7F">
        <w:rPr>
          <w:rFonts w:ascii="Arial" w:hAnsi="Arial" w:cs="Arial"/>
          <w:b/>
          <w:sz w:val="22"/>
          <w:szCs w:val="22"/>
          <w:lang w:val="en-AU"/>
        </w:rPr>
        <w:t>Legislative Provisions</w:t>
      </w:r>
    </w:p>
    <w:p w:rsidR="004E3A5B" w:rsidRDefault="004E3A5B">
      <w:pPr>
        <w:rPr>
          <w:rFonts w:ascii="Arial" w:hAnsi="Arial" w:cs="Arial"/>
          <w:sz w:val="22"/>
          <w:szCs w:val="22"/>
          <w:lang w:val="en-AU"/>
        </w:rPr>
      </w:pPr>
    </w:p>
    <w:p w:rsidR="004E3A5B" w:rsidRDefault="00BF227B">
      <w:pPr>
        <w:rPr>
          <w:rFonts w:ascii="Arial" w:hAnsi="Arial" w:cs="Arial"/>
          <w:sz w:val="22"/>
          <w:szCs w:val="22"/>
          <w:lang w:val="en-AU"/>
        </w:rPr>
      </w:pPr>
      <w:r w:rsidRPr="00F97A7F">
        <w:rPr>
          <w:rFonts w:ascii="Arial" w:hAnsi="Arial" w:cs="Arial"/>
          <w:sz w:val="22"/>
          <w:szCs w:val="22"/>
          <w:lang w:val="en-AU"/>
        </w:rPr>
        <w:t xml:space="preserve">The </w:t>
      </w:r>
      <w:r w:rsidR="00811802">
        <w:rPr>
          <w:rFonts w:ascii="Arial" w:hAnsi="Arial" w:cs="Arial"/>
          <w:sz w:val="22"/>
          <w:szCs w:val="22"/>
          <w:lang w:val="en-AU"/>
        </w:rPr>
        <w:t>Instrument</w:t>
      </w:r>
      <w:r w:rsidR="00811802" w:rsidRPr="00F97A7F">
        <w:rPr>
          <w:rFonts w:ascii="Arial" w:hAnsi="Arial" w:cs="Arial"/>
          <w:sz w:val="22"/>
          <w:szCs w:val="22"/>
          <w:lang w:val="en-AU"/>
        </w:rPr>
        <w:t xml:space="preserve"> </w:t>
      </w:r>
      <w:r w:rsidRPr="00F97A7F">
        <w:rPr>
          <w:rFonts w:ascii="Arial" w:hAnsi="Arial" w:cs="Arial"/>
          <w:sz w:val="22"/>
          <w:szCs w:val="22"/>
          <w:lang w:val="en-AU"/>
        </w:rPr>
        <w:t xml:space="preserve">is made under section 262 of </w:t>
      </w:r>
      <w:r w:rsidRPr="00F97A7F">
        <w:rPr>
          <w:rFonts w:ascii="Arial" w:hAnsi="Arial" w:cs="Arial"/>
          <w:i/>
          <w:sz w:val="22"/>
          <w:szCs w:val="22"/>
          <w:lang w:val="en-AU"/>
        </w:rPr>
        <w:t>the Radiocommunications Act 1992</w:t>
      </w:r>
      <w:r w:rsidRPr="00F97A7F">
        <w:rPr>
          <w:rFonts w:ascii="Arial" w:hAnsi="Arial" w:cs="Arial"/>
          <w:sz w:val="22"/>
          <w:szCs w:val="22"/>
          <w:lang w:val="en-AU"/>
        </w:rPr>
        <w:t xml:space="preserve"> (the </w:t>
      </w:r>
      <w:r w:rsidRPr="00F97A7F">
        <w:rPr>
          <w:rFonts w:ascii="Arial" w:hAnsi="Arial" w:cs="Arial"/>
          <w:b/>
          <w:sz w:val="22"/>
          <w:szCs w:val="22"/>
          <w:lang w:val="en-AU"/>
        </w:rPr>
        <w:t>Act</w:t>
      </w:r>
      <w:r w:rsidRPr="00F97A7F">
        <w:rPr>
          <w:rFonts w:ascii="Arial" w:hAnsi="Arial" w:cs="Arial"/>
          <w:sz w:val="22"/>
          <w:szCs w:val="22"/>
          <w:lang w:val="en-AU"/>
        </w:rPr>
        <w:t>) which provides that the Australian Communications and Media Authority (</w:t>
      </w:r>
      <w:r w:rsidR="00811802">
        <w:rPr>
          <w:rFonts w:ascii="Arial" w:hAnsi="Arial" w:cs="Arial"/>
          <w:sz w:val="22"/>
          <w:szCs w:val="22"/>
          <w:lang w:val="en-AU"/>
        </w:rPr>
        <w:t xml:space="preserve">the </w:t>
      </w:r>
      <w:r w:rsidRPr="00F97A7F">
        <w:rPr>
          <w:rFonts w:ascii="Arial" w:hAnsi="Arial" w:cs="Arial"/>
          <w:b/>
          <w:sz w:val="22"/>
          <w:szCs w:val="22"/>
          <w:lang w:val="en-AU"/>
        </w:rPr>
        <w:t>ACMA</w:t>
      </w:r>
      <w:r w:rsidRPr="00F97A7F">
        <w:rPr>
          <w:rFonts w:ascii="Arial" w:hAnsi="Arial" w:cs="Arial"/>
          <w:sz w:val="22"/>
          <w:szCs w:val="22"/>
          <w:lang w:val="en-AU"/>
        </w:rPr>
        <w:t>) may make written advisory guidelines about any aspect of radiocommunication or radio emissions.</w:t>
      </w:r>
    </w:p>
    <w:p w:rsidR="004E3A5B" w:rsidRDefault="004E3A5B">
      <w:pPr>
        <w:rPr>
          <w:rFonts w:ascii="Arial" w:hAnsi="Arial" w:cs="Arial"/>
          <w:sz w:val="22"/>
          <w:szCs w:val="22"/>
          <w:lang w:val="en-AU"/>
        </w:rPr>
      </w:pPr>
    </w:p>
    <w:p w:rsidR="004E3A5B" w:rsidRDefault="00BF227B">
      <w:pPr>
        <w:rPr>
          <w:rFonts w:ascii="Arial" w:hAnsi="Arial" w:cs="Arial"/>
          <w:sz w:val="22"/>
          <w:szCs w:val="22"/>
          <w:lang w:val="en-AU"/>
        </w:rPr>
      </w:pPr>
      <w:r w:rsidRPr="00F97A7F">
        <w:rPr>
          <w:rFonts w:ascii="Arial" w:hAnsi="Arial" w:cs="Arial"/>
          <w:sz w:val="22"/>
          <w:szCs w:val="22"/>
          <w:lang w:val="en-AU"/>
        </w:rPr>
        <w:t xml:space="preserve">Subsection 33(3) of the </w:t>
      </w:r>
      <w:r w:rsidRPr="00F97A7F">
        <w:rPr>
          <w:rFonts w:ascii="Arial" w:hAnsi="Arial" w:cs="Arial"/>
          <w:i/>
          <w:sz w:val="22"/>
          <w:szCs w:val="22"/>
          <w:lang w:val="en-AU"/>
        </w:rPr>
        <w:t>Acts Interpretation Act 1901</w:t>
      </w:r>
      <w:r w:rsidRPr="00F97A7F">
        <w:rPr>
          <w:rFonts w:ascii="Arial" w:hAnsi="Arial" w:cs="Arial"/>
          <w:sz w:val="22"/>
          <w:szCs w:val="22"/>
          <w:lang w:val="en-AU"/>
        </w:rPr>
        <w:t xml:space="preserve"> provides that where an Act confers a power to make an instrument, that power shall, unless the contrary intention appears, be construed as including a power exercisable in a like manner and subject to like conditions, to revoke that instrument.</w:t>
      </w:r>
    </w:p>
    <w:p w:rsidR="004E3A5B" w:rsidRDefault="004E3A5B">
      <w:pPr>
        <w:rPr>
          <w:rFonts w:ascii="Arial" w:hAnsi="Arial" w:cs="Arial"/>
          <w:sz w:val="22"/>
          <w:szCs w:val="22"/>
          <w:lang w:val="en-AU"/>
        </w:rPr>
      </w:pPr>
    </w:p>
    <w:p w:rsidR="004E3A5B" w:rsidRDefault="00BF227B">
      <w:pPr>
        <w:rPr>
          <w:rFonts w:ascii="Arial" w:hAnsi="Arial" w:cs="Arial"/>
          <w:sz w:val="22"/>
          <w:szCs w:val="22"/>
          <w:lang w:val="en-AU"/>
        </w:rPr>
      </w:pPr>
      <w:r w:rsidRPr="00F97A7F">
        <w:rPr>
          <w:rFonts w:ascii="Arial" w:hAnsi="Arial" w:cs="Arial"/>
          <w:sz w:val="22"/>
          <w:szCs w:val="22"/>
          <w:lang w:val="en-AU"/>
        </w:rPr>
        <w:t xml:space="preserve">The </w:t>
      </w:r>
      <w:r w:rsidR="00811802">
        <w:rPr>
          <w:rFonts w:ascii="Arial" w:hAnsi="Arial" w:cs="Arial"/>
          <w:sz w:val="22"/>
          <w:szCs w:val="22"/>
          <w:lang w:val="en-AU"/>
        </w:rPr>
        <w:t xml:space="preserve">Instrument </w:t>
      </w:r>
      <w:r w:rsidRPr="00F97A7F">
        <w:rPr>
          <w:rFonts w:ascii="Arial" w:hAnsi="Arial" w:cs="Arial"/>
          <w:sz w:val="22"/>
          <w:szCs w:val="22"/>
          <w:lang w:val="en-AU"/>
        </w:rPr>
        <w:t xml:space="preserve">is a legislative instrument for the purposes of the </w:t>
      </w:r>
      <w:r w:rsidR="00161D51" w:rsidRPr="00161D51">
        <w:rPr>
          <w:rFonts w:ascii="Arial" w:hAnsi="Arial" w:cs="Arial"/>
          <w:i/>
          <w:sz w:val="22"/>
          <w:szCs w:val="22"/>
          <w:lang w:val="en-AU"/>
        </w:rPr>
        <w:t>Legislative Instruments Act 2003</w:t>
      </w:r>
      <w:r w:rsidR="00811802">
        <w:rPr>
          <w:rFonts w:ascii="Arial" w:hAnsi="Arial" w:cs="Arial"/>
          <w:sz w:val="22"/>
          <w:szCs w:val="22"/>
          <w:lang w:val="en-AU"/>
        </w:rPr>
        <w:t>.</w:t>
      </w:r>
      <w:r w:rsidRPr="00F97A7F">
        <w:rPr>
          <w:rFonts w:ascii="Arial" w:hAnsi="Arial" w:cs="Arial"/>
          <w:sz w:val="22"/>
          <w:szCs w:val="22"/>
          <w:lang w:val="en-AU"/>
        </w:rPr>
        <w:t xml:space="preserve"> </w:t>
      </w:r>
    </w:p>
    <w:p w:rsidR="004E3A5B" w:rsidRDefault="004E3A5B">
      <w:pPr>
        <w:rPr>
          <w:rFonts w:ascii="Arial" w:hAnsi="Arial" w:cs="Arial"/>
          <w:b/>
          <w:sz w:val="22"/>
          <w:szCs w:val="22"/>
          <w:lang w:val="en-AU"/>
        </w:rPr>
      </w:pPr>
    </w:p>
    <w:p w:rsidR="004E3A5B" w:rsidRDefault="00BF227B">
      <w:pPr>
        <w:rPr>
          <w:rFonts w:ascii="Arial" w:hAnsi="Arial" w:cs="Arial"/>
          <w:b/>
          <w:sz w:val="22"/>
          <w:szCs w:val="22"/>
          <w:lang w:val="en-AU"/>
        </w:rPr>
      </w:pPr>
      <w:r w:rsidRPr="00F97A7F">
        <w:rPr>
          <w:rFonts w:ascii="Arial" w:hAnsi="Arial" w:cs="Arial"/>
          <w:b/>
          <w:sz w:val="22"/>
          <w:szCs w:val="22"/>
          <w:lang w:val="en-AU"/>
        </w:rPr>
        <w:t>Operation</w:t>
      </w:r>
    </w:p>
    <w:p w:rsidR="004E3A5B" w:rsidRDefault="004E3A5B">
      <w:pPr>
        <w:rPr>
          <w:rFonts w:ascii="Arial" w:hAnsi="Arial" w:cs="Arial"/>
          <w:sz w:val="22"/>
          <w:szCs w:val="22"/>
          <w:lang w:val="en-AU"/>
        </w:rPr>
      </w:pPr>
    </w:p>
    <w:p w:rsidR="004E3A5B" w:rsidRDefault="00BF227B">
      <w:pPr>
        <w:rPr>
          <w:rFonts w:ascii="Arial" w:hAnsi="Arial" w:cs="Arial"/>
          <w:i/>
          <w:sz w:val="22"/>
          <w:szCs w:val="22"/>
          <w:lang w:val="en-AU"/>
        </w:rPr>
      </w:pPr>
      <w:r w:rsidRPr="00F97A7F">
        <w:rPr>
          <w:rFonts w:ascii="Arial" w:hAnsi="Arial" w:cs="Arial"/>
          <w:sz w:val="22"/>
          <w:szCs w:val="22"/>
          <w:lang w:val="en-AU"/>
        </w:rPr>
        <w:t xml:space="preserve">The </w:t>
      </w:r>
      <w:r w:rsidR="00811802">
        <w:rPr>
          <w:rFonts w:ascii="Arial" w:hAnsi="Arial" w:cs="Arial"/>
          <w:sz w:val="22"/>
          <w:szCs w:val="22"/>
          <w:lang w:val="en-AU"/>
        </w:rPr>
        <w:t xml:space="preserve">Instrument </w:t>
      </w:r>
      <w:r w:rsidRPr="00F97A7F">
        <w:rPr>
          <w:rFonts w:ascii="Arial" w:hAnsi="Arial" w:cs="Arial"/>
          <w:sz w:val="22"/>
          <w:szCs w:val="22"/>
          <w:lang w:val="en-AU"/>
        </w:rPr>
        <w:t xml:space="preserve">revokes the </w:t>
      </w:r>
      <w:r w:rsidR="00811802">
        <w:rPr>
          <w:rFonts w:ascii="Arial" w:hAnsi="Arial" w:cs="Arial"/>
          <w:sz w:val="22"/>
          <w:szCs w:val="22"/>
          <w:lang w:val="en-AU"/>
        </w:rPr>
        <w:t>Guidelines which were made by the ACMA under section 262 of the Act</w:t>
      </w:r>
      <w:r w:rsidRPr="00F97A7F">
        <w:rPr>
          <w:rFonts w:ascii="Arial" w:hAnsi="Arial" w:cs="Arial"/>
          <w:i/>
          <w:sz w:val="22"/>
          <w:szCs w:val="22"/>
          <w:lang w:val="en-AU"/>
        </w:rPr>
        <w:t>.</w:t>
      </w:r>
    </w:p>
    <w:p w:rsidR="004E3A5B" w:rsidRDefault="004E3A5B">
      <w:pPr>
        <w:rPr>
          <w:rFonts w:ascii="Arial" w:hAnsi="Arial" w:cs="Arial"/>
          <w:sz w:val="22"/>
          <w:szCs w:val="22"/>
        </w:rPr>
      </w:pPr>
    </w:p>
    <w:p w:rsidR="004E3A5B" w:rsidRDefault="00694A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Guidelines provide guidance on the use of guard space and agreements for the registration of radiocommunications transmitters under the Act.  </w:t>
      </w:r>
      <w:r w:rsidR="008C54C0">
        <w:rPr>
          <w:rFonts w:ascii="Arial" w:hAnsi="Arial" w:cs="Arial"/>
          <w:sz w:val="22"/>
          <w:szCs w:val="22"/>
        </w:rPr>
        <w:t xml:space="preserve">Under the </w:t>
      </w:r>
      <w:proofErr w:type="spellStart"/>
      <w:r w:rsidRPr="00F97A7F">
        <w:rPr>
          <w:rFonts w:ascii="Arial" w:hAnsi="Arial" w:cs="Arial"/>
          <w:i/>
          <w:sz w:val="22"/>
          <w:szCs w:val="22"/>
        </w:rPr>
        <w:t>Radiocommunications</w:t>
      </w:r>
      <w:proofErr w:type="spellEnd"/>
      <w:r w:rsidRPr="00F97A7F">
        <w:rPr>
          <w:rFonts w:ascii="Arial" w:hAnsi="Arial" w:cs="Arial"/>
          <w:i/>
          <w:sz w:val="22"/>
          <w:szCs w:val="22"/>
        </w:rPr>
        <w:t xml:space="preserve"> (section 145(3) Certificates) Determination 2000</w:t>
      </w:r>
      <w:r w:rsidR="000A65EF">
        <w:rPr>
          <w:rFonts w:ascii="Arial" w:hAnsi="Arial" w:cs="Arial"/>
          <w:i/>
          <w:sz w:val="22"/>
          <w:szCs w:val="22"/>
        </w:rPr>
        <w:t>,</w:t>
      </w:r>
      <w:r w:rsidRPr="00F97A7F">
        <w:rPr>
          <w:rFonts w:ascii="Arial" w:hAnsi="Arial" w:cs="Arial"/>
          <w:sz w:val="22"/>
          <w:szCs w:val="22"/>
        </w:rPr>
        <w:t xml:space="preserve"> </w:t>
      </w:r>
      <w:r w:rsidR="008C54C0">
        <w:rPr>
          <w:rFonts w:ascii="Arial" w:hAnsi="Arial" w:cs="Arial"/>
          <w:sz w:val="22"/>
          <w:szCs w:val="22"/>
        </w:rPr>
        <w:t>one of the conditions</w:t>
      </w:r>
      <w:r>
        <w:rPr>
          <w:rFonts w:ascii="Arial" w:hAnsi="Arial" w:cs="Arial"/>
          <w:sz w:val="22"/>
          <w:szCs w:val="22"/>
        </w:rPr>
        <w:t xml:space="preserve"> </w:t>
      </w:r>
      <w:r w:rsidR="008C54C0">
        <w:rPr>
          <w:rFonts w:ascii="Arial" w:hAnsi="Arial" w:cs="Arial"/>
          <w:sz w:val="22"/>
          <w:szCs w:val="22"/>
        </w:rPr>
        <w:t>applicable to the issue of certificates under subsection</w:t>
      </w:r>
      <w:r w:rsidR="00151456">
        <w:rPr>
          <w:rFonts w:ascii="Arial" w:hAnsi="Arial" w:cs="Arial"/>
          <w:sz w:val="22"/>
          <w:szCs w:val="22"/>
        </w:rPr>
        <w:t xml:space="preserve"> </w:t>
      </w:r>
      <w:r w:rsidR="008C54C0">
        <w:rPr>
          <w:rFonts w:ascii="Arial" w:hAnsi="Arial" w:cs="Arial"/>
          <w:sz w:val="22"/>
          <w:szCs w:val="22"/>
        </w:rPr>
        <w:t xml:space="preserve">145(3) of the Act was that an accredited person was satisfied that sufficient internal guard space was allocated to mitigate potential interference in accordance with the Guidelines. </w:t>
      </w:r>
      <w:r w:rsidR="00570ECD">
        <w:rPr>
          <w:rFonts w:ascii="Arial" w:hAnsi="Arial" w:cs="Arial"/>
          <w:sz w:val="22"/>
          <w:szCs w:val="22"/>
        </w:rPr>
        <w:t xml:space="preserve"> </w:t>
      </w:r>
      <w:r w:rsidR="008C54C0">
        <w:rPr>
          <w:rFonts w:ascii="Arial" w:hAnsi="Arial" w:cs="Arial"/>
          <w:sz w:val="22"/>
          <w:szCs w:val="22"/>
        </w:rPr>
        <w:t xml:space="preserve">As part of the ACMA’s review of the spectrum licence regulatory framework, the </w:t>
      </w:r>
      <w:proofErr w:type="spellStart"/>
      <w:r w:rsidR="008C54C0" w:rsidRPr="00F97A7F">
        <w:rPr>
          <w:rFonts w:ascii="Arial" w:hAnsi="Arial" w:cs="Arial"/>
          <w:i/>
          <w:sz w:val="22"/>
          <w:szCs w:val="22"/>
        </w:rPr>
        <w:t>Radiocommunications</w:t>
      </w:r>
      <w:proofErr w:type="spellEnd"/>
      <w:r w:rsidR="008C54C0" w:rsidRPr="00F97A7F">
        <w:rPr>
          <w:rFonts w:ascii="Arial" w:hAnsi="Arial" w:cs="Arial"/>
          <w:i/>
          <w:sz w:val="22"/>
          <w:szCs w:val="22"/>
        </w:rPr>
        <w:t xml:space="preserve"> (section 145(3) Certificates) Determination 2000</w:t>
      </w:r>
      <w:r w:rsidR="008C54C0" w:rsidRPr="00F97A7F">
        <w:rPr>
          <w:rFonts w:ascii="Arial" w:hAnsi="Arial" w:cs="Arial"/>
          <w:sz w:val="22"/>
          <w:szCs w:val="22"/>
        </w:rPr>
        <w:t xml:space="preserve"> </w:t>
      </w:r>
      <w:r w:rsidR="008C54C0">
        <w:rPr>
          <w:rFonts w:ascii="Arial" w:hAnsi="Arial" w:cs="Arial"/>
          <w:sz w:val="22"/>
          <w:szCs w:val="22"/>
        </w:rPr>
        <w:t>will be revoked and replaced with a new determination under section 266A setting out an updated set of conditions for the issue of certificates</w:t>
      </w:r>
      <w:r w:rsidR="00151456">
        <w:rPr>
          <w:rFonts w:ascii="Arial" w:hAnsi="Arial" w:cs="Arial"/>
          <w:sz w:val="22"/>
          <w:szCs w:val="22"/>
        </w:rPr>
        <w:t xml:space="preserve"> under subsection 145(3)</w:t>
      </w:r>
      <w:r w:rsidR="008C54C0">
        <w:rPr>
          <w:rFonts w:ascii="Arial" w:hAnsi="Arial" w:cs="Arial"/>
          <w:sz w:val="22"/>
          <w:szCs w:val="22"/>
        </w:rPr>
        <w:t xml:space="preserve">. </w:t>
      </w:r>
      <w:r w:rsidR="00570ECD">
        <w:rPr>
          <w:rFonts w:ascii="Arial" w:hAnsi="Arial" w:cs="Arial"/>
          <w:sz w:val="22"/>
          <w:szCs w:val="22"/>
        </w:rPr>
        <w:t xml:space="preserve">The new determination will no longer contain a condition that allows for certificates to be issued if compliance with the Guidelines is demonstrated.  </w:t>
      </w:r>
    </w:p>
    <w:p w:rsidR="006C0B23" w:rsidRDefault="00DE24F8">
      <w:pPr>
        <w:rPr>
          <w:rFonts w:ascii="Arial" w:hAnsi="Arial" w:cs="Arial"/>
          <w:sz w:val="22"/>
          <w:szCs w:val="22"/>
        </w:rPr>
      </w:pPr>
      <w:r w:rsidRPr="00F97A7F">
        <w:rPr>
          <w:rFonts w:ascii="Arial" w:hAnsi="Arial" w:cs="Arial"/>
          <w:sz w:val="22"/>
          <w:szCs w:val="22"/>
        </w:rPr>
        <w:lastRenderedPageBreak/>
        <w:t>As a result of these amend</w:t>
      </w:r>
      <w:r w:rsidR="005E0015" w:rsidRPr="00F97A7F">
        <w:rPr>
          <w:rFonts w:ascii="Arial" w:hAnsi="Arial" w:cs="Arial"/>
          <w:sz w:val="22"/>
          <w:szCs w:val="22"/>
        </w:rPr>
        <w:t>ments, the ACMA seeks to revoke</w:t>
      </w:r>
      <w:r w:rsidRPr="00F97A7F">
        <w:rPr>
          <w:rFonts w:ascii="Arial" w:hAnsi="Arial" w:cs="Arial"/>
          <w:sz w:val="22"/>
          <w:szCs w:val="22"/>
        </w:rPr>
        <w:t xml:space="preserve"> the Guideline</w:t>
      </w:r>
      <w:r w:rsidR="00151456">
        <w:rPr>
          <w:rFonts w:ascii="Arial" w:hAnsi="Arial" w:cs="Arial"/>
          <w:sz w:val="22"/>
          <w:szCs w:val="22"/>
        </w:rPr>
        <w:t>s</w:t>
      </w:r>
      <w:r w:rsidR="006C0B23">
        <w:rPr>
          <w:rFonts w:ascii="Arial" w:hAnsi="Arial" w:cs="Arial"/>
          <w:sz w:val="22"/>
          <w:szCs w:val="22"/>
        </w:rPr>
        <w:t xml:space="preserve">. </w:t>
      </w:r>
    </w:p>
    <w:p w:rsidR="006C0B23" w:rsidRDefault="006C0B23">
      <w:pPr>
        <w:rPr>
          <w:rFonts w:ascii="Arial" w:hAnsi="Arial" w:cs="Arial"/>
          <w:sz w:val="22"/>
          <w:szCs w:val="22"/>
        </w:rPr>
      </w:pPr>
    </w:p>
    <w:p w:rsidR="004E3A5B" w:rsidRDefault="00682C7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ACMA has published</w:t>
      </w:r>
      <w:r w:rsidR="00DE24F8" w:rsidRPr="00F97A7F">
        <w:rPr>
          <w:rFonts w:ascii="Arial" w:hAnsi="Arial" w:cs="Arial"/>
          <w:sz w:val="22"/>
          <w:szCs w:val="22"/>
        </w:rPr>
        <w:t xml:space="preserve"> an information paper, </w:t>
      </w:r>
      <w:r w:rsidR="00DE24F8" w:rsidRPr="00F97A7F">
        <w:rPr>
          <w:rFonts w:ascii="Arial" w:hAnsi="Arial" w:cs="Arial"/>
          <w:i/>
          <w:sz w:val="22"/>
          <w:szCs w:val="22"/>
        </w:rPr>
        <w:t xml:space="preserve">Registration of radiocommunications devices under spectrum </w:t>
      </w:r>
      <w:proofErr w:type="spellStart"/>
      <w:r w:rsidR="00DE24F8" w:rsidRPr="00F97A7F">
        <w:rPr>
          <w:rFonts w:ascii="Arial" w:hAnsi="Arial" w:cs="Arial"/>
          <w:i/>
          <w:sz w:val="22"/>
          <w:szCs w:val="22"/>
        </w:rPr>
        <w:t>licences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which</w:t>
      </w:r>
      <w:r w:rsidR="00DE24F8" w:rsidRPr="00F97A7F">
        <w:rPr>
          <w:rFonts w:ascii="Arial" w:hAnsi="Arial" w:cs="Arial"/>
          <w:sz w:val="22"/>
          <w:szCs w:val="22"/>
        </w:rPr>
        <w:t xml:space="preserve"> provide</w:t>
      </w:r>
      <w:r w:rsidR="00BB5F4F" w:rsidRPr="00F97A7F">
        <w:rPr>
          <w:rFonts w:ascii="Arial" w:hAnsi="Arial" w:cs="Arial"/>
          <w:sz w:val="22"/>
          <w:szCs w:val="22"/>
        </w:rPr>
        <w:t>s</w:t>
      </w:r>
      <w:r w:rsidR="00DE24F8" w:rsidRPr="00F97A7F">
        <w:rPr>
          <w:rFonts w:ascii="Arial" w:hAnsi="Arial" w:cs="Arial"/>
          <w:sz w:val="22"/>
          <w:szCs w:val="22"/>
        </w:rPr>
        <w:t xml:space="preserve"> license</w:t>
      </w:r>
      <w:r w:rsidR="00BB5F4F" w:rsidRPr="00F97A7F">
        <w:rPr>
          <w:rFonts w:ascii="Arial" w:hAnsi="Arial" w:cs="Arial"/>
          <w:sz w:val="22"/>
          <w:szCs w:val="22"/>
        </w:rPr>
        <w:t>e</w:t>
      </w:r>
      <w:r w:rsidR="00DE24F8" w:rsidRPr="00F97A7F">
        <w:rPr>
          <w:rFonts w:ascii="Arial" w:hAnsi="Arial" w:cs="Arial"/>
          <w:sz w:val="22"/>
          <w:szCs w:val="22"/>
        </w:rPr>
        <w:t>s with additional information on the use of guard space and agreements for the registration of radiocommunications transmitters. It replicate</w:t>
      </w:r>
      <w:r w:rsidR="00BB5F4F" w:rsidRPr="00F97A7F">
        <w:rPr>
          <w:rFonts w:ascii="Arial" w:hAnsi="Arial" w:cs="Arial"/>
          <w:sz w:val="22"/>
          <w:szCs w:val="22"/>
        </w:rPr>
        <w:t>s</w:t>
      </w:r>
      <w:r w:rsidR="00DE24F8" w:rsidRPr="00F97A7F">
        <w:rPr>
          <w:rFonts w:ascii="Arial" w:hAnsi="Arial" w:cs="Arial"/>
          <w:sz w:val="22"/>
          <w:szCs w:val="22"/>
        </w:rPr>
        <w:t xml:space="preserve"> much of the information in the </w:t>
      </w:r>
      <w:r w:rsidR="00694A23">
        <w:rPr>
          <w:rFonts w:ascii="Arial" w:hAnsi="Arial" w:cs="Arial"/>
          <w:sz w:val="22"/>
          <w:szCs w:val="22"/>
        </w:rPr>
        <w:t>Guidelines</w:t>
      </w:r>
      <w:r w:rsidR="00DE24F8" w:rsidRPr="00F97A7F">
        <w:rPr>
          <w:rFonts w:ascii="Arial" w:hAnsi="Arial" w:cs="Arial"/>
          <w:sz w:val="22"/>
          <w:szCs w:val="22"/>
        </w:rPr>
        <w:t xml:space="preserve">, but has been expanded to also provide details of all mechanisms for device registration.  It </w:t>
      </w:r>
      <w:r w:rsidR="00BB5F4F" w:rsidRPr="00F97A7F">
        <w:rPr>
          <w:rFonts w:ascii="Arial" w:hAnsi="Arial" w:cs="Arial"/>
          <w:sz w:val="22"/>
          <w:szCs w:val="22"/>
        </w:rPr>
        <w:t>also details</w:t>
      </w:r>
      <w:r w:rsidR="00DE24F8" w:rsidRPr="00F97A7F">
        <w:rPr>
          <w:rFonts w:ascii="Arial" w:hAnsi="Arial" w:cs="Arial"/>
          <w:sz w:val="22"/>
          <w:szCs w:val="22"/>
        </w:rPr>
        <w:t xml:space="preserve"> the methodology </w:t>
      </w:r>
      <w:r w:rsidR="00BB5F4F" w:rsidRPr="00F97A7F">
        <w:rPr>
          <w:rFonts w:ascii="Arial" w:hAnsi="Arial" w:cs="Arial"/>
          <w:sz w:val="22"/>
          <w:szCs w:val="22"/>
        </w:rPr>
        <w:t xml:space="preserve">for registering </w:t>
      </w:r>
      <w:r w:rsidR="00DE24F8" w:rsidRPr="00F97A7F">
        <w:rPr>
          <w:rFonts w:ascii="Arial" w:hAnsi="Arial" w:cs="Arial"/>
          <w:sz w:val="22"/>
          <w:szCs w:val="22"/>
        </w:rPr>
        <w:t>a device under a spectrum licence.</w:t>
      </w:r>
      <w:r w:rsidR="00570ECD">
        <w:rPr>
          <w:rFonts w:ascii="Arial" w:hAnsi="Arial" w:cs="Arial"/>
          <w:sz w:val="22"/>
          <w:szCs w:val="22"/>
        </w:rPr>
        <w:t xml:space="preserve"> The information paper is available on the ACMA website</w:t>
      </w:r>
      <w:r w:rsidR="00151456">
        <w:rPr>
          <w:rFonts w:ascii="Arial" w:hAnsi="Arial" w:cs="Arial"/>
          <w:sz w:val="22"/>
          <w:szCs w:val="22"/>
        </w:rPr>
        <w:t xml:space="preserve"> – www.acma.gov.au</w:t>
      </w:r>
      <w:r w:rsidR="00570ECD">
        <w:rPr>
          <w:rFonts w:ascii="Arial" w:hAnsi="Arial" w:cs="Arial"/>
          <w:sz w:val="22"/>
          <w:szCs w:val="22"/>
        </w:rPr>
        <w:t xml:space="preserve">. </w:t>
      </w:r>
    </w:p>
    <w:p w:rsidR="004E3A5B" w:rsidRDefault="00BF227B">
      <w:pPr>
        <w:rPr>
          <w:rFonts w:ascii="Arial" w:hAnsi="Arial" w:cs="Arial"/>
          <w:sz w:val="22"/>
          <w:szCs w:val="22"/>
          <w:lang w:val="en-AU"/>
        </w:rPr>
      </w:pPr>
      <w:r w:rsidRPr="00F97A7F">
        <w:rPr>
          <w:rFonts w:ascii="Arial" w:hAnsi="Arial" w:cs="Arial"/>
          <w:sz w:val="22"/>
          <w:szCs w:val="22"/>
          <w:lang w:val="en-AU"/>
        </w:rPr>
        <w:t xml:space="preserve">  </w:t>
      </w:r>
    </w:p>
    <w:p w:rsidR="004E3A5B" w:rsidRDefault="00BF227B">
      <w:pPr>
        <w:rPr>
          <w:rFonts w:ascii="Arial" w:hAnsi="Arial" w:cs="Arial"/>
          <w:b/>
          <w:sz w:val="22"/>
          <w:szCs w:val="22"/>
          <w:lang w:val="en-AU"/>
        </w:rPr>
      </w:pPr>
      <w:r w:rsidRPr="00F97A7F">
        <w:rPr>
          <w:rFonts w:ascii="Arial" w:hAnsi="Arial" w:cs="Arial"/>
          <w:b/>
          <w:sz w:val="22"/>
          <w:szCs w:val="22"/>
          <w:lang w:val="en-AU"/>
        </w:rPr>
        <w:t>Consultation</w:t>
      </w:r>
    </w:p>
    <w:p w:rsidR="004E3A5B" w:rsidRDefault="004E3A5B">
      <w:pPr>
        <w:rPr>
          <w:rFonts w:ascii="Arial" w:hAnsi="Arial" w:cs="Arial"/>
          <w:b/>
          <w:sz w:val="22"/>
          <w:szCs w:val="22"/>
          <w:lang w:val="en-AU"/>
        </w:rPr>
      </w:pPr>
    </w:p>
    <w:p w:rsidR="004E3A5B" w:rsidRDefault="00BF227B">
      <w:pPr>
        <w:rPr>
          <w:rFonts w:ascii="Arial" w:hAnsi="Arial" w:cs="Arial"/>
          <w:sz w:val="22"/>
          <w:szCs w:val="22"/>
          <w:lang w:val="en-AU"/>
        </w:rPr>
      </w:pPr>
      <w:r w:rsidRPr="00F97A7F">
        <w:rPr>
          <w:rFonts w:ascii="Arial" w:hAnsi="Arial" w:cs="Arial"/>
          <w:sz w:val="22"/>
          <w:szCs w:val="22"/>
          <w:lang w:val="en-AU"/>
        </w:rPr>
        <w:t xml:space="preserve">The ACMA has undertaken significant consultation with stakeholders about its plans to update the spectrum licence framework.  </w:t>
      </w:r>
    </w:p>
    <w:p w:rsidR="004E3A5B" w:rsidRDefault="004E3A5B">
      <w:pPr>
        <w:rPr>
          <w:rFonts w:ascii="Arial" w:hAnsi="Arial" w:cs="Arial"/>
          <w:sz w:val="22"/>
          <w:szCs w:val="22"/>
          <w:lang w:val="en-AU"/>
        </w:rPr>
      </w:pPr>
    </w:p>
    <w:p w:rsidR="004E3A5B" w:rsidRDefault="00BF227B">
      <w:pPr>
        <w:rPr>
          <w:rFonts w:ascii="Arial" w:hAnsi="Arial" w:cs="Arial"/>
          <w:sz w:val="22"/>
          <w:szCs w:val="22"/>
        </w:rPr>
      </w:pPr>
      <w:r w:rsidRPr="00F97A7F">
        <w:rPr>
          <w:rFonts w:ascii="Arial" w:hAnsi="Arial" w:cs="Arial"/>
          <w:sz w:val="22"/>
          <w:szCs w:val="22"/>
        </w:rPr>
        <w:t xml:space="preserve">In March 2012, the ACMA released a consultation paper, </w:t>
      </w:r>
      <w:hyperlink r:id="rId11" w:history="1">
        <w:proofErr w:type="gramStart"/>
        <w:r w:rsidRPr="00F97A7F">
          <w:rPr>
            <w:rStyle w:val="Hyperlink"/>
            <w:rFonts w:ascii="Arial" w:hAnsi="Arial" w:cs="Arial"/>
            <w:i/>
            <w:color w:val="auto"/>
            <w:sz w:val="22"/>
            <w:szCs w:val="22"/>
            <w:u w:val="none"/>
          </w:rPr>
          <w:t>Proposed</w:t>
        </w:r>
        <w:proofErr w:type="gramEnd"/>
        <w:r w:rsidRPr="00F97A7F">
          <w:rPr>
            <w:rStyle w:val="Hyperlink"/>
            <w:rFonts w:ascii="Arial" w:hAnsi="Arial" w:cs="Arial"/>
            <w:i/>
            <w:color w:val="auto"/>
            <w:sz w:val="22"/>
            <w:szCs w:val="22"/>
            <w:u w:val="none"/>
          </w:rPr>
          <w:t xml:space="preserve"> updates to the spectrum licence framework</w:t>
        </w:r>
      </w:hyperlink>
      <w:r w:rsidRPr="00F97A7F">
        <w:rPr>
          <w:rFonts w:ascii="Arial" w:hAnsi="Arial" w:cs="Arial"/>
          <w:i/>
          <w:sz w:val="22"/>
          <w:szCs w:val="22"/>
        </w:rPr>
        <w:t xml:space="preserve">. </w:t>
      </w:r>
      <w:r w:rsidRPr="00F97A7F">
        <w:rPr>
          <w:rFonts w:ascii="Arial" w:hAnsi="Arial" w:cs="Arial"/>
          <w:sz w:val="22"/>
          <w:szCs w:val="22"/>
        </w:rPr>
        <w:t xml:space="preserve">Among a number of regulatory and administrative changes, the consultation paper proposed changes to the device registration requirements </w:t>
      </w:r>
      <w:r w:rsidR="00811802">
        <w:rPr>
          <w:rFonts w:ascii="Arial" w:hAnsi="Arial" w:cs="Arial"/>
          <w:sz w:val="22"/>
          <w:szCs w:val="22"/>
        </w:rPr>
        <w:t>for radiocommunications transmitters operating under a spectrum licence</w:t>
      </w:r>
      <w:r w:rsidRPr="00F97A7F">
        <w:rPr>
          <w:rFonts w:ascii="Arial" w:hAnsi="Arial" w:cs="Arial"/>
          <w:sz w:val="22"/>
          <w:szCs w:val="22"/>
        </w:rPr>
        <w:t>.</w:t>
      </w:r>
      <w:r w:rsidR="00811802">
        <w:rPr>
          <w:rFonts w:ascii="Arial" w:hAnsi="Arial" w:cs="Arial"/>
          <w:sz w:val="22"/>
          <w:szCs w:val="22"/>
        </w:rPr>
        <w:t xml:space="preserve"> A part of the proposed changes was the revocation of th</w:t>
      </w:r>
      <w:r w:rsidR="00694A23">
        <w:rPr>
          <w:rFonts w:ascii="Arial" w:hAnsi="Arial" w:cs="Arial"/>
          <w:sz w:val="22"/>
          <w:szCs w:val="22"/>
        </w:rPr>
        <w:t>e Guidelines</w:t>
      </w:r>
      <w:r w:rsidR="00570ECD">
        <w:rPr>
          <w:rFonts w:ascii="Arial" w:hAnsi="Arial" w:cs="Arial"/>
          <w:sz w:val="22"/>
          <w:szCs w:val="22"/>
        </w:rPr>
        <w:t xml:space="preserve"> and the making of an information paper to replace the Guidelines. </w:t>
      </w:r>
    </w:p>
    <w:p w:rsidR="004E3A5B" w:rsidRDefault="004E3A5B">
      <w:pPr>
        <w:rPr>
          <w:rFonts w:ascii="Arial" w:hAnsi="Arial" w:cs="Arial"/>
          <w:sz w:val="22"/>
          <w:szCs w:val="22"/>
          <w:lang w:val="en-AU"/>
        </w:rPr>
      </w:pPr>
    </w:p>
    <w:p w:rsidR="00570ECD" w:rsidRDefault="00570ECD" w:rsidP="00570ECD">
      <w:pPr>
        <w:jc w:val="both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 xml:space="preserve">There were </w:t>
      </w:r>
      <w:r w:rsidR="00501EBE">
        <w:rPr>
          <w:rFonts w:ascii="Arial" w:hAnsi="Arial" w:cs="Arial"/>
          <w:sz w:val="22"/>
          <w:szCs w:val="22"/>
          <w:lang w:val="en-AU"/>
        </w:rPr>
        <w:t xml:space="preserve">three </w:t>
      </w:r>
      <w:r w:rsidR="00153398">
        <w:rPr>
          <w:rFonts w:ascii="Arial" w:hAnsi="Arial" w:cs="Arial"/>
          <w:sz w:val="22"/>
          <w:szCs w:val="22"/>
          <w:lang w:val="en-AU"/>
        </w:rPr>
        <w:t xml:space="preserve">submissions </w:t>
      </w:r>
      <w:r>
        <w:rPr>
          <w:rFonts w:ascii="Arial" w:hAnsi="Arial" w:cs="Arial"/>
          <w:sz w:val="22"/>
          <w:szCs w:val="22"/>
          <w:lang w:val="en-AU"/>
        </w:rPr>
        <w:t xml:space="preserve">received </w:t>
      </w:r>
      <w:r w:rsidR="00153398">
        <w:rPr>
          <w:rFonts w:ascii="Arial" w:hAnsi="Arial" w:cs="Arial"/>
          <w:sz w:val="22"/>
          <w:szCs w:val="22"/>
          <w:lang w:val="en-AU"/>
        </w:rPr>
        <w:t xml:space="preserve">in response to the consultation paper. </w:t>
      </w:r>
      <w:r>
        <w:rPr>
          <w:rFonts w:ascii="Arial" w:hAnsi="Arial" w:cs="Arial"/>
          <w:sz w:val="22"/>
          <w:szCs w:val="22"/>
          <w:lang w:val="en-AU"/>
        </w:rPr>
        <w:t xml:space="preserve">None of the submissions </w:t>
      </w:r>
      <w:r w:rsidR="00390CB0">
        <w:rPr>
          <w:rFonts w:ascii="Arial" w:hAnsi="Arial" w:cs="Arial"/>
          <w:sz w:val="22"/>
          <w:szCs w:val="22"/>
          <w:lang w:val="en-AU"/>
        </w:rPr>
        <w:t xml:space="preserve">made comment on </w:t>
      </w:r>
      <w:r w:rsidR="00153398">
        <w:rPr>
          <w:rFonts w:ascii="Arial" w:hAnsi="Arial" w:cs="Arial"/>
          <w:sz w:val="22"/>
          <w:szCs w:val="22"/>
          <w:lang w:val="en-AU"/>
        </w:rPr>
        <w:t>the proposed re</w:t>
      </w:r>
      <w:r w:rsidR="00390CB0">
        <w:rPr>
          <w:rFonts w:ascii="Arial" w:hAnsi="Arial" w:cs="Arial"/>
          <w:sz w:val="22"/>
          <w:szCs w:val="22"/>
          <w:lang w:val="en-AU"/>
        </w:rPr>
        <w:t>voc</w:t>
      </w:r>
      <w:r w:rsidR="00153398">
        <w:rPr>
          <w:rFonts w:ascii="Arial" w:hAnsi="Arial" w:cs="Arial"/>
          <w:sz w:val="22"/>
          <w:szCs w:val="22"/>
          <w:lang w:val="en-AU"/>
        </w:rPr>
        <w:t xml:space="preserve">ation of the Guidelines or </w:t>
      </w:r>
      <w:r>
        <w:rPr>
          <w:rFonts w:ascii="Arial" w:hAnsi="Arial" w:cs="Arial"/>
          <w:sz w:val="22"/>
          <w:szCs w:val="22"/>
          <w:lang w:val="en-AU"/>
        </w:rPr>
        <w:t xml:space="preserve">objected to the </w:t>
      </w:r>
      <w:r w:rsidR="00682C7B">
        <w:rPr>
          <w:rFonts w:ascii="Arial" w:hAnsi="Arial" w:cs="Arial"/>
          <w:sz w:val="22"/>
          <w:szCs w:val="22"/>
          <w:lang w:val="en-AU"/>
        </w:rPr>
        <w:t>revocation of the Guidelines</w:t>
      </w:r>
      <w:r>
        <w:rPr>
          <w:rFonts w:ascii="Arial" w:hAnsi="Arial" w:cs="Arial"/>
          <w:sz w:val="22"/>
          <w:szCs w:val="22"/>
          <w:lang w:val="en-AU"/>
        </w:rPr>
        <w:t xml:space="preserve">. </w:t>
      </w:r>
      <w:r w:rsidRPr="00570ECD">
        <w:rPr>
          <w:rFonts w:ascii="Arial" w:hAnsi="Arial" w:cs="Arial"/>
          <w:sz w:val="22"/>
          <w:szCs w:val="22"/>
          <w:lang w:val="en-AU"/>
        </w:rPr>
        <w:t xml:space="preserve"> </w:t>
      </w:r>
    </w:p>
    <w:p w:rsidR="004E3A5B" w:rsidRDefault="004E3A5B">
      <w:pPr>
        <w:rPr>
          <w:rFonts w:ascii="Arial" w:hAnsi="Arial" w:cs="Arial"/>
          <w:sz w:val="22"/>
          <w:szCs w:val="22"/>
          <w:lang w:val="en-AU"/>
        </w:rPr>
      </w:pPr>
    </w:p>
    <w:p w:rsidR="004E3A5B" w:rsidRDefault="00BF227B">
      <w:pPr>
        <w:rPr>
          <w:rFonts w:ascii="Arial" w:hAnsi="Arial" w:cs="Arial"/>
          <w:sz w:val="22"/>
          <w:szCs w:val="22"/>
          <w:lang w:val="en-AU"/>
        </w:rPr>
      </w:pPr>
      <w:r w:rsidRPr="00F97A7F">
        <w:rPr>
          <w:rFonts w:ascii="Arial" w:hAnsi="Arial" w:cs="Arial"/>
          <w:sz w:val="22"/>
          <w:szCs w:val="22"/>
          <w:lang w:val="en-AU"/>
        </w:rPr>
        <w:t xml:space="preserve">All written submissions from this consultation are available on the ACMA’s website at www.acma.gov.au. </w:t>
      </w:r>
    </w:p>
    <w:p w:rsidR="004E3A5B" w:rsidRDefault="004E3A5B">
      <w:pPr>
        <w:rPr>
          <w:rFonts w:ascii="Arial" w:hAnsi="Arial" w:cs="Arial"/>
          <w:sz w:val="22"/>
          <w:szCs w:val="22"/>
          <w:lang w:val="en-AU"/>
        </w:rPr>
      </w:pPr>
    </w:p>
    <w:p w:rsidR="004E3A5B" w:rsidRDefault="00BF227B">
      <w:pPr>
        <w:rPr>
          <w:rFonts w:ascii="Arial" w:hAnsi="Arial" w:cs="Arial"/>
          <w:b/>
          <w:sz w:val="22"/>
          <w:szCs w:val="22"/>
          <w:lang w:val="en-AU"/>
        </w:rPr>
      </w:pPr>
      <w:r w:rsidRPr="00F97A7F">
        <w:rPr>
          <w:rFonts w:ascii="Arial" w:hAnsi="Arial" w:cs="Arial"/>
          <w:b/>
          <w:sz w:val="22"/>
          <w:szCs w:val="22"/>
          <w:lang w:val="en-AU"/>
        </w:rPr>
        <w:t>Statement of compatibility with human rights</w:t>
      </w:r>
    </w:p>
    <w:p w:rsidR="004E3A5B" w:rsidRDefault="004E3A5B">
      <w:pPr>
        <w:rPr>
          <w:rFonts w:ascii="Arial" w:hAnsi="Arial" w:cs="Arial"/>
          <w:b/>
          <w:sz w:val="22"/>
          <w:szCs w:val="22"/>
          <w:lang w:val="en-AU"/>
        </w:rPr>
      </w:pPr>
    </w:p>
    <w:p w:rsidR="004E3A5B" w:rsidRDefault="00BF227B">
      <w:pPr>
        <w:rPr>
          <w:rFonts w:ascii="Arial" w:hAnsi="Arial" w:cs="Arial"/>
          <w:sz w:val="22"/>
          <w:szCs w:val="22"/>
          <w:lang w:val="en-AU"/>
        </w:rPr>
      </w:pPr>
      <w:r w:rsidRPr="00F97A7F">
        <w:rPr>
          <w:rFonts w:ascii="Arial" w:hAnsi="Arial" w:cs="Arial"/>
          <w:sz w:val="22"/>
          <w:szCs w:val="22"/>
          <w:lang w:val="en-AU"/>
        </w:rPr>
        <w:t xml:space="preserve">Subsection 9(1) of the </w:t>
      </w:r>
      <w:r w:rsidRPr="00F97A7F">
        <w:rPr>
          <w:rFonts w:ascii="Arial" w:hAnsi="Arial" w:cs="Arial"/>
          <w:i/>
          <w:sz w:val="22"/>
          <w:szCs w:val="22"/>
          <w:lang w:val="en-AU"/>
        </w:rPr>
        <w:t>Human Rights (Parliamentary Scrutiny) Act 2011</w:t>
      </w:r>
      <w:r w:rsidRPr="00F97A7F">
        <w:rPr>
          <w:rFonts w:ascii="Arial" w:hAnsi="Arial" w:cs="Arial"/>
          <w:sz w:val="22"/>
          <w:szCs w:val="22"/>
          <w:lang w:val="en-AU"/>
        </w:rPr>
        <w:t xml:space="preserve"> requires the rule maker in relation to a legislative instrument to which section 42 (disallowance) of the </w:t>
      </w:r>
      <w:r w:rsidRPr="00F97A7F">
        <w:rPr>
          <w:rFonts w:ascii="Arial" w:hAnsi="Arial" w:cs="Arial"/>
          <w:i/>
          <w:sz w:val="22"/>
          <w:szCs w:val="22"/>
          <w:lang w:val="en-AU"/>
        </w:rPr>
        <w:t>Legislative Instruments Act 2003</w:t>
      </w:r>
      <w:r w:rsidRPr="00F97A7F">
        <w:rPr>
          <w:rFonts w:ascii="Arial" w:hAnsi="Arial" w:cs="Arial"/>
          <w:sz w:val="22"/>
          <w:szCs w:val="22"/>
          <w:lang w:val="en-AU"/>
        </w:rPr>
        <w:t xml:space="preserve"> applies to cause a statement of compatibility to be prepared in respect of that legislative instrument. This statement is in </w:t>
      </w:r>
      <w:r w:rsidRPr="00F97A7F">
        <w:rPr>
          <w:rFonts w:ascii="Arial" w:hAnsi="Arial" w:cs="Arial"/>
          <w:b/>
          <w:sz w:val="22"/>
          <w:szCs w:val="22"/>
          <w:lang w:val="en-AU"/>
        </w:rPr>
        <w:t>Attachment B</w:t>
      </w:r>
      <w:r w:rsidRPr="00F97A7F">
        <w:rPr>
          <w:rFonts w:ascii="Arial" w:hAnsi="Arial" w:cs="Arial"/>
          <w:sz w:val="22"/>
          <w:szCs w:val="22"/>
          <w:lang w:val="en-AU"/>
        </w:rPr>
        <w:t>.</w:t>
      </w:r>
    </w:p>
    <w:p w:rsidR="004E3A5B" w:rsidRDefault="004E3A5B">
      <w:pPr>
        <w:rPr>
          <w:rFonts w:ascii="Arial" w:hAnsi="Arial" w:cs="Arial"/>
          <w:sz w:val="22"/>
          <w:szCs w:val="22"/>
          <w:lang w:val="en-AU"/>
        </w:rPr>
      </w:pPr>
    </w:p>
    <w:p w:rsidR="004E3A5B" w:rsidRDefault="00BF227B">
      <w:pPr>
        <w:rPr>
          <w:rFonts w:ascii="Arial" w:hAnsi="Arial" w:cs="Arial"/>
          <w:b/>
          <w:sz w:val="22"/>
          <w:szCs w:val="22"/>
          <w:lang w:val="en-AU"/>
        </w:rPr>
      </w:pPr>
      <w:r w:rsidRPr="00F97A7F">
        <w:rPr>
          <w:rFonts w:ascii="Arial" w:hAnsi="Arial" w:cs="Arial"/>
          <w:b/>
          <w:sz w:val="22"/>
          <w:szCs w:val="22"/>
          <w:lang w:val="en-AU"/>
        </w:rPr>
        <w:t xml:space="preserve">Regulatory Impact </w:t>
      </w:r>
    </w:p>
    <w:p w:rsidR="004E3A5B" w:rsidRDefault="004E3A5B">
      <w:pPr>
        <w:rPr>
          <w:rFonts w:ascii="Arial" w:hAnsi="Arial" w:cs="Arial"/>
          <w:sz w:val="22"/>
          <w:szCs w:val="22"/>
          <w:lang w:val="en-AU"/>
        </w:rPr>
      </w:pPr>
    </w:p>
    <w:p w:rsidR="004E3A5B" w:rsidRDefault="00967A48">
      <w:pPr>
        <w:rPr>
          <w:rFonts w:ascii="Arial" w:hAnsi="Arial" w:cs="Arial"/>
          <w:sz w:val="22"/>
          <w:szCs w:val="22"/>
          <w:lang w:val="en-AU"/>
        </w:rPr>
      </w:pPr>
      <w:r w:rsidRPr="00F97A7F">
        <w:rPr>
          <w:rFonts w:ascii="Arial" w:hAnsi="Arial" w:cs="Arial"/>
          <w:sz w:val="22"/>
          <w:szCs w:val="22"/>
          <w:lang w:val="en-AU"/>
        </w:rPr>
        <w:t>The</w:t>
      </w:r>
      <w:r w:rsidR="00BF227B" w:rsidRPr="00F97A7F">
        <w:rPr>
          <w:rFonts w:ascii="Arial" w:hAnsi="Arial" w:cs="Arial"/>
          <w:sz w:val="22"/>
          <w:szCs w:val="22"/>
          <w:lang w:val="en-AU"/>
        </w:rPr>
        <w:t xml:space="preserve"> ACMA </w:t>
      </w:r>
      <w:r w:rsidRPr="00F97A7F">
        <w:rPr>
          <w:rFonts w:ascii="Arial" w:hAnsi="Arial" w:cs="Arial"/>
          <w:sz w:val="22"/>
          <w:szCs w:val="22"/>
          <w:lang w:val="en-AU"/>
        </w:rPr>
        <w:t xml:space="preserve">has </w:t>
      </w:r>
      <w:r w:rsidR="00BF227B" w:rsidRPr="00F97A7F">
        <w:rPr>
          <w:rFonts w:ascii="Arial" w:hAnsi="Arial" w:cs="Arial"/>
          <w:sz w:val="22"/>
          <w:szCs w:val="22"/>
          <w:lang w:val="en-AU"/>
        </w:rPr>
        <w:t xml:space="preserve">consulted with the Office of Best Practice Regulation (the </w:t>
      </w:r>
      <w:r w:rsidR="00BF227B" w:rsidRPr="00F97A7F">
        <w:rPr>
          <w:rFonts w:ascii="Arial" w:hAnsi="Arial" w:cs="Arial"/>
          <w:b/>
          <w:sz w:val="22"/>
          <w:szCs w:val="22"/>
          <w:lang w:val="en-AU"/>
        </w:rPr>
        <w:t>OBPR</w:t>
      </w:r>
      <w:r w:rsidR="00BF227B" w:rsidRPr="00F97A7F">
        <w:rPr>
          <w:rFonts w:ascii="Arial" w:hAnsi="Arial" w:cs="Arial"/>
          <w:sz w:val="22"/>
          <w:szCs w:val="22"/>
          <w:lang w:val="en-AU"/>
        </w:rPr>
        <w:t>) on the requirement for a Regulation Impact Statement (</w:t>
      </w:r>
      <w:r w:rsidR="00BF227B" w:rsidRPr="00F97A7F">
        <w:rPr>
          <w:rFonts w:ascii="Arial" w:hAnsi="Arial" w:cs="Arial"/>
          <w:b/>
          <w:sz w:val="22"/>
          <w:szCs w:val="22"/>
          <w:lang w:val="en-AU"/>
        </w:rPr>
        <w:t>RIS</w:t>
      </w:r>
      <w:r w:rsidR="00BF227B" w:rsidRPr="00F97A7F">
        <w:rPr>
          <w:rFonts w:ascii="Arial" w:hAnsi="Arial" w:cs="Arial"/>
          <w:sz w:val="22"/>
          <w:szCs w:val="22"/>
          <w:lang w:val="en-AU"/>
        </w:rPr>
        <w:t>) for this legislative instrument. The OBPR advised that these Advisory Guidelines did not warrant the preparation of a RIS</w:t>
      </w:r>
      <w:r w:rsidR="0040154E">
        <w:rPr>
          <w:rFonts w:ascii="Arial" w:hAnsi="Arial" w:cs="Arial"/>
          <w:sz w:val="22"/>
          <w:szCs w:val="22"/>
          <w:lang w:val="en-AU"/>
        </w:rPr>
        <w:t xml:space="preserve"> (</w:t>
      </w:r>
      <w:r w:rsidR="000A65EF">
        <w:rPr>
          <w:rFonts w:ascii="Arial" w:hAnsi="Arial" w:cs="Arial"/>
          <w:sz w:val="22"/>
          <w:szCs w:val="22"/>
          <w:lang w:val="en-AU"/>
        </w:rPr>
        <w:t xml:space="preserve">OBPR </w:t>
      </w:r>
      <w:r w:rsidR="0040154E">
        <w:rPr>
          <w:rFonts w:ascii="Arial" w:hAnsi="Arial" w:cs="Arial"/>
          <w:sz w:val="22"/>
          <w:szCs w:val="22"/>
          <w:lang w:val="en-AU"/>
        </w:rPr>
        <w:t>ID 14062)</w:t>
      </w:r>
      <w:r w:rsidR="006C0B23">
        <w:rPr>
          <w:rFonts w:ascii="Arial" w:hAnsi="Arial" w:cs="Arial"/>
          <w:sz w:val="22"/>
          <w:szCs w:val="22"/>
          <w:lang w:val="en-AU"/>
        </w:rPr>
        <w:t>.</w:t>
      </w:r>
    </w:p>
    <w:p w:rsidR="004E3A5B" w:rsidRDefault="004E3A5B">
      <w:pPr>
        <w:rPr>
          <w:rFonts w:ascii="Arial" w:hAnsi="Arial" w:cs="Arial"/>
          <w:sz w:val="22"/>
          <w:szCs w:val="22"/>
          <w:lang w:val="en-AU"/>
        </w:rPr>
      </w:pPr>
    </w:p>
    <w:p w:rsidR="004E3A5B" w:rsidRDefault="00BF227B">
      <w:pPr>
        <w:rPr>
          <w:rFonts w:ascii="Arial" w:hAnsi="Arial" w:cs="Arial"/>
          <w:b/>
          <w:sz w:val="22"/>
          <w:szCs w:val="22"/>
          <w:lang w:val="en-AU"/>
        </w:rPr>
      </w:pPr>
      <w:r w:rsidRPr="00F97A7F">
        <w:rPr>
          <w:rFonts w:ascii="Arial" w:hAnsi="Arial" w:cs="Arial"/>
          <w:b/>
          <w:sz w:val="22"/>
          <w:szCs w:val="22"/>
          <w:lang w:val="en-AU"/>
        </w:rPr>
        <w:t xml:space="preserve">Documents </w:t>
      </w:r>
      <w:r w:rsidR="00151456">
        <w:rPr>
          <w:rFonts w:ascii="Arial" w:hAnsi="Arial" w:cs="Arial"/>
          <w:b/>
          <w:sz w:val="22"/>
          <w:szCs w:val="22"/>
          <w:lang w:val="en-AU"/>
        </w:rPr>
        <w:t>i</w:t>
      </w:r>
      <w:r w:rsidRPr="00F97A7F">
        <w:rPr>
          <w:rFonts w:ascii="Arial" w:hAnsi="Arial" w:cs="Arial"/>
          <w:b/>
          <w:sz w:val="22"/>
          <w:szCs w:val="22"/>
          <w:lang w:val="en-AU"/>
        </w:rPr>
        <w:t xml:space="preserve">ncorporated by </w:t>
      </w:r>
      <w:r w:rsidR="00151456">
        <w:rPr>
          <w:rFonts w:ascii="Arial" w:hAnsi="Arial" w:cs="Arial"/>
          <w:b/>
          <w:sz w:val="22"/>
          <w:szCs w:val="22"/>
          <w:lang w:val="en-AU"/>
        </w:rPr>
        <w:t>r</w:t>
      </w:r>
      <w:r w:rsidRPr="00F97A7F">
        <w:rPr>
          <w:rFonts w:ascii="Arial" w:hAnsi="Arial" w:cs="Arial"/>
          <w:b/>
          <w:sz w:val="22"/>
          <w:szCs w:val="22"/>
          <w:lang w:val="en-AU"/>
        </w:rPr>
        <w:t>eference</w:t>
      </w:r>
    </w:p>
    <w:p w:rsidR="00BF227B" w:rsidRDefault="0012137D" w:rsidP="00811802">
      <w:pPr>
        <w:pStyle w:val="ListParagraph"/>
        <w:ind w:left="0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None</w:t>
      </w:r>
    </w:p>
    <w:p w:rsidR="0012137D" w:rsidRPr="00F97A7F" w:rsidRDefault="0012137D" w:rsidP="00BF227B">
      <w:pPr>
        <w:pStyle w:val="ListParagraph"/>
        <w:rPr>
          <w:rFonts w:ascii="Arial" w:hAnsi="Arial" w:cs="Arial"/>
          <w:sz w:val="22"/>
          <w:szCs w:val="22"/>
          <w:lang w:val="en-AU"/>
        </w:rPr>
      </w:pPr>
    </w:p>
    <w:p w:rsidR="00BF227B" w:rsidRPr="00F97A7F" w:rsidRDefault="00BF227B" w:rsidP="00BF227B">
      <w:pPr>
        <w:spacing w:line="360" w:lineRule="auto"/>
        <w:rPr>
          <w:rFonts w:ascii="Arial" w:hAnsi="Arial" w:cs="Arial"/>
          <w:b/>
          <w:sz w:val="22"/>
          <w:szCs w:val="22"/>
          <w:lang w:val="en-AU"/>
        </w:rPr>
      </w:pPr>
      <w:r w:rsidRPr="00F97A7F">
        <w:rPr>
          <w:rFonts w:ascii="Arial" w:hAnsi="Arial" w:cs="Arial"/>
          <w:b/>
          <w:sz w:val="22"/>
          <w:szCs w:val="22"/>
          <w:lang w:val="en-AU"/>
        </w:rPr>
        <w:t>Detailed Description of the Instrument</w:t>
      </w:r>
    </w:p>
    <w:p w:rsidR="00BF227B" w:rsidRPr="00F97A7F" w:rsidRDefault="00BF227B" w:rsidP="00BF227B">
      <w:pPr>
        <w:spacing w:line="360" w:lineRule="auto"/>
        <w:rPr>
          <w:rFonts w:ascii="Arial" w:hAnsi="Arial" w:cs="Arial"/>
          <w:sz w:val="22"/>
          <w:szCs w:val="22"/>
          <w:lang w:val="en-AU"/>
        </w:rPr>
      </w:pPr>
    </w:p>
    <w:p w:rsidR="00BF227B" w:rsidRPr="00F97A7F" w:rsidRDefault="00BF227B" w:rsidP="00BF227B">
      <w:pPr>
        <w:spacing w:line="360" w:lineRule="auto"/>
        <w:rPr>
          <w:rFonts w:ascii="Arial" w:hAnsi="Arial" w:cs="Arial"/>
          <w:sz w:val="22"/>
          <w:szCs w:val="22"/>
          <w:lang w:val="en-AU"/>
        </w:rPr>
      </w:pPr>
      <w:r w:rsidRPr="00F97A7F">
        <w:rPr>
          <w:rFonts w:ascii="Arial" w:hAnsi="Arial" w:cs="Arial"/>
          <w:sz w:val="22"/>
          <w:szCs w:val="22"/>
          <w:lang w:val="en-AU"/>
        </w:rPr>
        <w:t xml:space="preserve">Details of the </w:t>
      </w:r>
      <w:r w:rsidR="00151456">
        <w:rPr>
          <w:rFonts w:ascii="Arial" w:hAnsi="Arial" w:cs="Arial"/>
          <w:sz w:val="22"/>
          <w:szCs w:val="22"/>
          <w:lang w:val="en-AU"/>
        </w:rPr>
        <w:t>I</w:t>
      </w:r>
      <w:r w:rsidRPr="00F97A7F">
        <w:rPr>
          <w:rFonts w:ascii="Arial" w:hAnsi="Arial" w:cs="Arial"/>
          <w:sz w:val="22"/>
          <w:szCs w:val="22"/>
          <w:lang w:val="en-AU"/>
        </w:rPr>
        <w:t xml:space="preserve">nstrument are set out in </w:t>
      </w:r>
      <w:r w:rsidRPr="00F97A7F">
        <w:rPr>
          <w:rFonts w:ascii="Arial" w:hAnsi="Arial" w:cs="Arial"/>
          <w:b/>
          <w:sz w:val="22"/>
          <w:szCs w:val="22"/>
          <w:lang w:val="en-AU"/>
        </w:rPr>
        <w:t>Attachment A</w:t>
      </w:r>
      <w:r w:rsidRPr="00F97A7F">
        <w:rPr>
          <w:rFonts w:ascii="Arial" w:hAnsi="Arial" w:cs="Arial"/>
          <w:sz w:val="22"/>
          <w:szCs w:val="22"/>
          <w:lang w:val="en-AU"/>
        </w:rPr>
        <w:t>.</w:t>
      </w:r>
    </w:p>
    <w:p w:rsidR="00BF227B" w:rsidRPr="00F97A7F" w:rsidRDefault="00BF227B" w:rsidP="00BF227B">
      <w:pPr>
        <w:spacing w:line="360" w:lineRule="auto"/>
        <w:ind w:left="6804"/>
        <w:rPr>
          <w:rFonts w:ascii="Arial" w:hAnsi="Arial" w:cs="Arial"/>
          <w:sz w:val="22"/>
          <w:szCs w:val="22"/>
          <w:lang w:val="en-AU"/>
        </w:rPr>
      </w:pPr>
    </w:p>
    <w:p w:rsidR="00701F74" w:rsidRDefault="00701F74" w:rsidP="00BF227B">
      <w:pPr>
        <w:spacing w:line="360" w:lineRule="auto"/>
        <w:ind w:left="6804"/>
        <w:rPr>
          <w:rFonts w:ascii="Arial" w:hAnsi="Arial" w:cs="Arial"/>
          <w:sz w:val="22"/>
          <w:szCs w:val="22"/>
          <w:lang w:val="en-AU"/>
        </w:rPr>
      </w:pPr>
    </w:p>
    <w:p w:rsidR="00701F74" w:rsidRDefault="00701F74" w:rsidP="00BF227B">
      <w:pPr>
        <w:spacing w:line="360" w:lineRule="auto"/>
        <w:ind w:left="6804"/>
        <w:rPr>
          <w:rFonts w:ascii="Arial" w:hAnsi="Arial" w:cs="Arial"/>
          <w:sz w:val="22"/>
          <w:szCs w:val="22"/>
          <w:lang w:val="en-AU"/>
        </w:rPr>
      </w:pPr>
    </w:p>
    <w:p w:rsidR="00701F74" w:rsidRDefault="00701F74" w:rsidP="00BF227B">
      <w:pPr>
        <w:spacing w:line="360" w:lineRule="auto"/>
        <w:ind w:left="6804"/>
        <w:rPr>
          <w:rFonts w:ascii="Arial" w:hAnsi="Arial" w:cs="Arial"/>
          <w:sz w:val="22"/>
          <w:szCs w:val="22"/>
          <w:lang w:val="en-AU"/>
        </w:rPr>
      </w:pPr>
    </w:p>
    <w:p w:rsidR="00701F74" w:rsidRDefault="00701F74" w:rsidP="00BF227B">
      <w:pPr>
        <w:spacing w:line="360" w:lineRule="auto"/>
        <w:ind w:left="6804"/>
        <w:rPr>
          <w:rFonts w:ascii="Arial" w:hAnsi="Arial" w:cs="Arial"/>
          <w:sz w:val="22"/>
          <w:szCs w:val="22"/>
          <w:lang w:val="en-AU"/>
        </w:rPr>
      </w:pPr>
    </w:p>
    <w:p w:rsidR="00BF227B" w:rsidRPr="00F97A7F" w:rsidRDefault="00BF227B" w:rsidP="00BF227B">
      <w:pPr>
        <w:spacing w:line="360" w:lineRule="auto"/>
        <w:ind w:left="6804"/>
        <w:rPr>
          <w:rFonts w:ascii="Arial" w:hAnsi="Arial" w:cs="Arial"/>
          <w:b/>
          <w:sz w:val="22"/>
          <w:szCs w:val="22"/>
          <w:lang w:val="en-AU"/>
        </w:rPr>
      </w:pPr>
      <w:r w:rsidRPr="00F97A7F">
        <w:rPr>
          <w:rFonts w:ascii="Arial" w:hAnsi="Arial" w:cs="Arial"/>
          <w:sz w:val="22"/>
          <w:szCs w:val="22"/>
          <w:lang w:val="en-AU"/>
        </w:rPr>
        <w:br/>
      </w:r>
      <w:r w:rsidRPr="00F97A7F">
        <w:rPr>
          <w:rFonts w:ascii="Arial" w:hAnsi="Arial" w:cs="Arial"/>
          <w:b/>
          <w:sz w:val="22"/>
          <w:szCs w:val="22"/>
          <w:lang w:val="en-AU"/>
        </w:rPr>
        <w:t>ATTACHMENT A</w:t>
      </w:r>
    </w:p>
    <w:p w:rsidR="00BF227B" w:rsidRPr="00F97A7F" w:rsidRDefault="00BF227B" w:rsidP="00BF227B">
      <w:pPr>
        <w:spacing w:line="360" w:lineRule="auto"/>
        <w:rPr>
          <w:rFonts w:ascii="Arial" w:hAnsi="Arial" w:cs="Arial"/>
          <w:b/>
          <w:sz w:val="22"/>
          <w:szCs w:val="22"/>
          <w:lang w:val="en-AU"/>
        </w:rPr>
      </w:pPr>
    </w:p>
    <w:p w:rsidR="00BF227B" w:rsidRPr="00F97A7F" w:rsidRDefault="00BF227B" w:rsidP="00BF227B">
      <w:pPr>
        <w:spacing w:line="360" w:lineRule="auto"/>
        <w:rPr>
          <w:rFonts w:ascii="Arial" w:hAnsi="Arial" w:cs="Arial"/>
          <w:b/>
          <w:sz w:val="22"/>
          <w:szCs w:val="22"/>
          <w:lang w:val="en-AU"/>
        </w:rPr>
      </w:pPr>
    </w:p>
    <w:p w:rsidR="00BF227B" w:rsidRPr="00F97A7F" w:rsidRDefault="00BF227B" w:rsidP="00BF227B">
      <w:pPr>
        <w:spacing w:line="360" w:lineRule="auto"/>
        <w:jc w:val="center"/>
        <w:rPr>
          <w:rFonts w:ascii="Arial" w:hAnsi="Arial" w:cs="Arial"/>
          <w:i/>
          <w:sz w:val="22"/>
          <w:szCs w:val="22"/>
          <w:lang w:val="en-AU"/>
        </w:rPr>
      </w:pPr>
      <w:r w:rsidRPr="00F97A7F">
        <w:rPr>
          <w:rFonts w:ascii="Arial" w:hAnsi="Arial" w:cs="Arial"/>
          <w:b/>
          <w:sz w:val="22"/>
          <w:szCs w:val="22"/>
          <w:lang w:val="en-AU"/>
        </w:rPr>
        <w:t xml:space="preserve">DETAILS OF THE RADIOCOMMUNICATIONS ADVISORY GUIDELINES (REGISTRATION OF DEVICES UNDER SPECTRUM LICENCES WITHOUT AN INTERFERENCE IMPACT CERTIFICATE) </w:t>
      </w:r>
      <w:r w:rsidR="00151456">
        <w:rPr>
          <w:rFonts w:ascii="Arial" w:hAnsi="Arial" w:cs="Arial"/>
          <w:b/>
          <w:sz w:val="22"/>
          <w:szCs w:val="22"/>
          <w:lang w:val="en-AU"/>
        </w:rPr>
        <w:t>REVOCATION INSTRUMENT</w:t>
      </w:r>
      <w:r w:rsidRPr="00F97A7F">
        <w:rPr>
          <w:rFonts w:ascii="Arial" w:hAnsi="Arial" w:cs="Arial"/>
          <w:b/>
          <w:sz w:val="22"/>
          <w:szCs w:val="22"/>
          <w:lang w:val="en-AU"/>
        </w:rPr>
        <w:t xml:space="preserve"> 2012 </w:t>
      </w:r>
    </w:p>
    <w:p w:rsidR="00BF227B" w:rsidRPr="00F97A7F" w:rsidRDefault="00BF227B" w:rsidP="00BF227B">
      <w:pPr>
        <w:spacing w:line="360" w:lineRule="auto"/>
        <w:rPr>
          <w:rFonts w:ascii="Arial" w:hAnsi="Arial" w:cs="Arial"/>
          <w:b/>
          <w:sz w:val="22"/>
          <w:szCs w:val="22"/>
          <w:lang w:val="en-AU"/>
        </w:rPr>
      </w:pPr>
    </w:p>
    <w:p w:rsidR="004E3A5B" w:rsidRDefault="00BF227B">
      <w:pPr>
        <w:rPr>
          <w:rFonts w:ascii="Arial" w:hAnsi="Arial" w:cs="Arial"/>
          <w:b/>
          <w:sz w:val="22"/>
          <w:szCs w:val="22"/>
          <w:lang w:val="en-AU"/>
        </w:rPr>
      </w:pPr>
      <w:r w:rsidRPr="00F97A7F">
        <w:rPr>
          <w:rFonts w:ascii="Arial" w:hAnsi="Arial" w:cs="Arial"/>
          <w:b/>
          <w:sz w:val="22"/>
          <w:szCs w:val="22"/>
          <w:lang w:val="en-AU"/>
        </w:rPr>
        <w:t xml:space="preserve">Section 1 – Name of </w:t>
      </w:r>
      <w:r w:rsidR="00570ECD">
        <w:rPr>
          <w:rFonts w:ascii="Arial" w:hAnsi="Arial" w:cs="Arial"/>
          <w:b/>
          <w:sz w:val="22"/>
          <w:szCs w:val="22"/>
          <w:lang w:val="en-AU"/>
        </w:rPr>
        <w:t>Instrument</w:t>
      </w:r>
    </w:p>
    <w:p w:rsidR="004E3A5B" w:rsidRDefault="004E3A5B">
      <w:pPr>
        <w:rPr>
          <w:rFonts w:ascii="Arial" w:hAnsi="Arial" w:cs="Arial"/>
          <w:b/>
          <w:sz w:val="22"/>
          <w:szCs w:val="22"/>
          <w:lang w:val="en-AU"/>
        </w:rPr>
      </w:pPr>
    </w:p>
    <w:p w:rsidR="004E3A5B" w:rsidRDefault="00BF227B">
      <w:pPr>
        <w:rPr>
          <w:rFonts w:ascii="Arial" w:hAnsi="Arial" w:cs="Arial"/>
          <w:i/>
          <w:sz w:val="22"/>
          <w:szCs w:val="22"/>
          <w:lang w:val="en-AU"/>
        </w:rPr>
      </w:pPr>
      <w:r w:rsidRPr="00F97A7F">
        <w:rPr>
          <w:rFonts w:ascii="Arial" w:hAnsi="Arial" w:cs="Arial"/>
          <w:sz w:val="22"/>
          <w:szCs w:val="22"/>
          <w:lang w:val="en-AU"/>
        </w:rPr>
        <w:t xml:space="preserve">This section </w:t>
      </w:r>
      <w:r w:rsidR="00570ECD">
        <w:rPr>
          <w:rFonts w:ascii="Arial" w:hAnsi="Arial" w:cs="Arial"/>
          <w:sz w:val="22"/>
          <w:szCs w:val="22"/>
          <w:lang w:val="en-AU"/>
        </w:rPr>
        <w:t xml:space="preserve">provides that the name of the </w:t>
      </w:r>
      <w:r w:rsidR="00151456">
        <w:rPr>
          <w:rFonts w:ascii="Arial" w:hAnsi="Arial" w:cs="Arial"/>
          <w:sz w:val="22"/>
          <w:szCs w:val="22"/>
          <w:lang w:val="en-AU"/>
        </w:rPr>
        <w:t>I</w:t>
      </w:r>
      <w:r w:rsidR="00570ECD">
        <w:rPr>
          <w:rFonts w:ascii="Arial" w:hAnsi="Arial" w:cs="Arial"/>
          <w:sz w:val="22"/>
          <w:szCs w:val="22"/>
          <w:lang w:val="en-AU"/>
        </w:rPr>
        <w:t xml:space="preserve">nstrument is </w:t>
      </w:r>
      <w:r w:rsidRPr="00F97A7F">
        <w:rPr>
          <w:rFonts w:ascii="Arial" w:hAnsi="Arial" w:cs="Arial"/>
          <w:sz w:val="22"/>
          <w:szCs w:val="22"/>
          <w:lang w:val="en-AU"/>
        </w:rPr>
        <w:t xml:space="preserve">the </w:t>
      </w:r>
      <w:proofErr w:type="spellStart"/>
      <w:r w:rsidRPr="00F97A7F">
        <w:rPr>
          <w:rFonts w:ascii="Arial" w:hAnsi="Arial" w:cs="Arial"/>
          <w:i/>
          <w:sz w:val="22"/>
          <w:szCs w:val="22"/>
          <w:lang w:val="en-AU"/>
        </w:rPr>
        <w:t>Radiocommunications</w:t>
      </w:r>
      <w:proofErr w:type="spellEnd"/>
      <w:r w:rsidRPr="00F97A7F">
        <w:rPr>
          <w:rFonts w:ascii="Arial" w:hAnsi="Arial" w:cs="Arial"/>
          <w:i/>
          <w:sz w:val="22"/>
          <w:szCs w:val="22"/>
          <w:lang w:val="en-AU"/>
        </w:rPr>
        <w:t xml:space="preserve"> Advisory Guidelines (Registration of Devices under Spectrum Licences without an Interference Impact Certificate) </w:t>
      </w:r>
      <w:r w:rsidR="00570ECD">
        <w:rPr>
          <w:rFonts w:ascii="Arial" w:hAnsi="Arial" w:cs="Arial"/>
          <w:i/>
          <w:sz w:val="22"/>
          <w:szCs w:val="22"/>
          <w:lang w:val="en-AU"/>
        </w:rPr>
        <w:t>Revocation Instrument</w:t>
      </w:r>
      <w:r w:rsidRPr="00F97A7F">
        <w:rPr>
          <w:rFonts w:ascii="Arial" w:hAnsi="Arial" w:cs="Arial"/>
          <w:i/>
          <w:sz w:val="22"/>
          <w:szCs w:val="22"/>
          <w:lang w:val="en-AU"/>
        </w:rPr>
        <w:t xml:space="preserve"> 2012. </w:t>
      </w:r>
    </w:p>
    <w:p w:rsidR="004E3A5B" w:rsidRDefault="004E3A5B">
      <w:pPr>
        <w:rPr>
          <w:rFonts w:ascii="Arial" w:hAnsi="Arial" w:cs="Arial"/>
          <w:sz w:val="22"/>
          <w:szCs w:val="22"/>
          <w:lang w:val="en-AU"/>
        </w:rPr>
      </w:pPr>
    </w:p>
    <w:p w:rsidR="004E3A5B" w:rsidRDefault="00BF227B">
      <w:pPr>
        <w:rPr>
          <w:rFonts w:ascii="Arial" w:hAnsi="Arial" w:cs="Arial"/>
          <w:b/>
          <w:sz w:val="22"/>
          <w:szCs w:val="22"/>
          <w:lang w:val="en-AU"/>
        </w:rPr>
      </w:pPr>
      <w:r w:rsidRPr="00F97A7F">
        <w:rPr>
          <w:rFonts w:ascii="Arial" w:hAnsi="Arial" w:cs="Arial"/>
          <w:b/>
          <w:sz w:val="22"/>
          <w:szCs w:val="22"/>
          <w:lang w:val="en-AU"/>
        </w:rPr>
        <w:t xml:space="preserve">Section 2 - Commencement </w:t>
      </w:r>
    </w:p>
    <w:p w:rsidR="004E3A5B" w:rsidRDefault="004E3A5B">
      <w:pPr>
        <w:rPr>
          <w:rFonts w:ascii="Arial" w:hAnsi="Arial" w:cs="Arial"/>
          <w:b/>
          <w:sz w:val="22"/>
          <w:szCs w:val="22"/>
          <w:lang w:val="en-AU"/>
        </w:rPr>
      </w:pPr>
    </w:p>
    <w:p w:rsidR="004E3A5B" w:rsidRDefault="00BF227B">
      <w:pPr>
        <w:rPr>
          <w:rFonts w:ascii="Arial" w:hAnsi="Arial" w:cs="Arial"/>
          <w:sz w:val="22"/>
          <w:szCs w:val="22"/>
          <w:lang w:val="en-AU"/>
        </w:rPr>
      </w:pPr>
      <w:r w:rsidRPr="00F97A7F">
        <w:rPr>
          <w:rFonts w:ascii="Arial" w:hAnsi="Arial" w:cs="Arial"/>
          <w:sz w:val="22"/>
          <w:szCs w:val="22"/>
          <w:lang w:val="en-AU"/>
        </w:rPr>
        <w:t xml:space="preserve">This section states that the </w:t>
      </w:r>
      <w:r w:rsidR="00570ECD">
        <w:rPr>
          <w:rFonts w:ascii="Arial" w:hAnsi="Arial" w:cs="Arial"/>
          <w:sz w:val="22"/>
          <w:szCs w:val="22"/>
          <w:lang w:val="en-AU"/>
        </w:rPr>
        <w:t xml:space="preserve">Instrument </w:t>
      </w:r>
      <w:r w:rsidRPr="00F97A7F">
        <w:rPr>
          <w:rFonts w:ascii="Arial" w:hAnsi="Arial" w:cs="Arial"/>
          <w:sz w:val="22"/>
          <w:szCs w:val="22"/>
          <w:lang w:val="en-AU"/>
        </w:rPr>
        <w:t xml:space="preserve">will commence on </w:t>
      </w:r>
      <w:r w:rsidR="0040154E">
        <w:rPr>
          <w:rFonts w:ascii="Arial" w:hAnsi="Arial" w:cs="Arial"/>
          <w:sz w:val="22"/>
          <w:szCs w:val="22"/>
          <w:lang w:val="en-AU"/>
        </w:rPr>
        <w:t>the day after it is registered on the Federal Register of Legislative Instruments</w:t>
      </w:r>
      <w:r w:rsidRPr="00F97A7F">
        <w:rPr>
          <w:rFonts w:ascii="Arial" w:hAnsi="Arial" w:cs="Arial"/>
          <w:sz w:val="22"/>
          <w:szCs w:val="22"/>
          <w:lang w:val="en-AU"/>
        </w:rPr>
        <w:t xml:space="preserve">.  </w:t>
      </w:r>
    </w:p>
    <w:p w:rsidR="004E3A5B" w:rsidRDefault="004E3A5B">
      <w:pPr>
        <w:rPr>
          <w:rFonts w:ascii="Arial" w:hAnsi="Arial" w:cs="Arial"/>
          <w:b/>
          <w:sz w:val="22"/>
          <w:szCs w:val="22"/>
          <w:lang w:val="en-AU"/>
        </w:rPr>
      </w:pPr>
    </w:p>
    <w:p w:rsidR="00000000" w:rsidRDefault="002235B5">
      <w:pPr>
        <w:pStyle w:val="HR"/>
        <w:ind w:left="1276" w:hanging="1276"/>
        <w:rPr>
          <w:sz w:val="22"/>
          <w:szCs w:val="22"/>
        </w:rPr>
      </w:pPr>
      <w:r w:rsidRPr="002235B5">
        <w:rPr>
          <w:rFonts w:cs="Arial"/>
          <w:sz w:val="22"/>
          <w:szCs w:val="22"/>
        </w:rPr>
        <w:t>Section 3 –</w:t>
      </w:r>
      <w:r w:rsidR="00BF227B" w:rsidRPr="00961138">
        <w:rPr>
          <w:rFonts w:cs="Arial"/>
          <w:b w:val="0"/>
          <w:sz w:val="22"/>
          <w:szCs w:val="22"/>
        </w:rPr>
        <w:t xml:space="preserve"> </w:t>
      </w:r>
      <w:r w:rsidRPr="002235B5">
        <w:rPr>
          <w:rFonts w:cs="Arial"/>
          <w:sz w:val="22"/>
          <w:szCs w:val="22"/>
        </w:rPr>
        <w:t xml:space="preserve">Revocation </w:t>
      </w:r>
      <w:r w:rsidRPr="002235B5">
        <w:rPr>
          <w:sz w:val="22"/>
          <w:szCs w:val="22"/>
        </w:rPr>
        <w:t xml:space="preserve">of </w:t>
      </w:r>
      <w:r w:rsidRPr="002235B5">
        <w:rPr>
          <w:i/>
          <w:sz w:val="22"/>
          <w:szCs w:val="22"/>
        </w:rPr>
        <w:t>Radiocommunications Advisory Guidelines (Registration of Devices under Spectrum Licences without an Interference Impact Certificate) 1998</w:t>
      </w:r>
    </w:p>
    <w:p w:rsidR="004E3A5B" w:rsidRDefault="004E3A5B">
      <w:pPr>
        <w:rPr>
          <w:rFonts w:ascii="Arial" w:hAnsi="Arial" w:cs="Arial"/>
          <w:b/>
          <w:sz w:val="22"/>
          <w:szCs w:val="22"/>
          <w:lang w:val="en-AU"/>
        </w:rPr>
      </w:pPr>
    </w:p>
    <w:p w:rsidR="004E3A5B" w:rsidRDefault="00BF227B">
      <w:pPr>
        <w:rPr>
          <w:rFonts w:ascii="Arial" w:hAnsi="Arial" w:cs="Arial"/>
          <w:sz w:val="22"/>
          <w:szCs w:val="22"/>
          <w:lang w:val="en-AU"/>
        </w:rPr>
      </w:pPr>
      <w:r w:rsidRPr="00F97A7F">
        <w:rPr>
          <w:rFonts w:ascii="Arial" w:hAnsi="Arial" w:cs="Arial"/>
          <w:sz w:val="22"/>
          <w:szCs w:val="22"/>
          <w:lang w:val="en-AU"/>
        </w:rPr>
        <w:t xml:space="preserve">This section revokes the </w:t>
      </w:r>
      <w:r w:rsidRPr="00F97A7F">
        <w:rPr>
          <w:rFonts w:ascii="Arial" w:hAnsi="Arial" w:cs="Arial"/>
          <w:i/>
          <w:sz w:val="22"/>
          <w:szCs w:val="22"/>
          <w:lang w:val="en-AU"/>
        </w:rPr>
        <w:t>Radiocommunications Advisory Guidelines (Registration of Devices under Spectrum Licences without an Interference Impact Certificate) 1998</w:t>
      </w:r>
      <w:r w:rsidRPr="00F97A7F">
        <w:rPr>
          <w:rFonts w:ascii="Arial" w:hAnsi="Arial" w:cs="Arial"/>
          <w:sz w:val="22"/>
          <w:szCs w:val="22"/>
          <w:lang w:val="en-AU"/>
        </w:rPr>
        <w:t xml:space="preserve">.  </w:t>
      </w:r>
    </w:p>
    <w:p w:rsidR="00BF227B" w:rsidRPr="00F97A7F" w:rsidRDefault="00BF227B" w:rsidP="00BF227B">
      <w:pPr>
        <w:spacing w:line="360" w:lineRule="auto"/>
        <w:ind w:left="570" w:hanging="570"/>
        <w:rPr>
          <w:rFonts w:ascii="Arial" w:hAnsi="Arial" w:cs="Arial"/>
          <w:sz w:val="22"/>
          <w:szCs w:val="22"/>
          <w:lang w:val="en-AU"/>
        </w:rPr>
      </w:pPr>
    </w:p>
    <w:p w:rsidR="00BF227B" w:rsidRPr="00F97A7F" w:rsidRDefault="00BF227B" w:rsidP="00BF227B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4E3A5B" w:rsidRDefault="00BF227B">
      <w:pPr>
        <w:spacing w:line="360" w:lineRule="auto"/>
        <w:ind w:left="6237" w:firstLine="567"/>
        <w:rPr>
          <w:rFonts w:ascii="Arial" w:hAnsi="Arial" w:cs="Arial"/>
          <w:b/>
          <w:sz w:val="22"/>
          <w:szCs w:val="22"/>
          <w:lang w:val="en-AU"/>
        </w:rPr>
      </w:pPr>
      <w:r w:rsidRPr="00F97A7F">
        <w:rPr>
          <w:rFonts w:ascii="Arial" w:hAnsi="Arial" w:cs="Arial"/>
          <w:b/>
          <w:color w:val="000000"/>
          <w:sz w:val="22"/>
          <w:szCs w:val="22"/>
        </w:rPr>
        <w:br w:type="page"/>
      </w:r>
      <w:r w:rsidRPr="00F97A7F">
        <w:rPr>
          <w:rFonts w:ascii="Arial" w:hAnsi="Arial" w:cs="Arial"/>
          <w:b/>
          <w:sz w:val="22"/>
          <w:szCs w:val="22"/>
          <w:lang w:val="en-AU"/>
        </w:rPr>
        <w:t>ATTACHMENT B</w:t>
      </w:r>
    </w:p>
    <w:p w:rsidR="00BF227B" w:rsidRPr="00F97A7F" w:rsidRDefault="00BF227B" w:rsidP="00BF227B">
      <w:pPr>
        <w:jc w:val="center"/>
        <w:rPr>
          <w:rFonts w:ascii="Arial" w:hAnsi="Arial" w:cs="Arial"/>
          <w:sz w:val="22"/>
          <w:szCs w:val="22"/>
          <w:lang w:val="en-AU"/>
        </w:rPr>
      </w:pPr>
    </w:p>
    <w:p w:rsidR="00BF227B" w:rsidRPr="00F97A7F" w:rsidRDefault="00BF227B" w:rsidP="00BF227B">
      <w:pPr>
        <w:spacing w:line="360" w:lineRule="auto"/>
        <w:jc w:val="center"/>
        <w:rPr>
          <w:rFonts w:ascii="Arial" w:hAnsi="Arial" w:cs="Arial"/>
          <w:sz w:val="22"/>
          <w:szCs w:val="22"/>
          <w:lang w:val="en-AU"/>
        </w:rPr>
      </w:pPr>
    </w:p>
    <w:p w:rsidR="00BF227B" w:rsidRPr="00F97A7F" w:rsidRDefault="00BF227B" w:rsidP="00BF227B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n-AU"/>
        </w:rPr>
      </w:pPr>
      <w:r w:rsidRPr="00F97A7F">
        <w:rPr>
          <w:rFonts w:ascii="Arial" w:hAnsi="Arial" w:cs="Arial"/>
          <w:b/>
          <w:sz w:val="22"/>
          <w:szCs w:val="22"/>
          <w:lang w:val="en-AU"/>
        </w:rPr>
        <w:t>Statement of Compatibility with Human Rights</w:t>
      </w:r>
    </w:p>
    <w:p w:rsidR="00BF227B" w:rsidRPr="00F97A7F" w:rsidRDefault="00BF227B" w:rsidP="00BF227B">
      <w:pPr>
        <w:spacing w:line="360" w:lineRule="auto"/>
        <w:jc w:val="center"/>
        <w:rPr>
          <w:rFonts w:ascii="Arial" w:hAnsi="Arial" w:cs="Arial"/>
          <w:sz w:val="22"/>
          <w:szCs w:val="22"/>
          <w:lang w:val="en-AU"/>
        </w:rPr>
      </w:pPr>
      <w:r w:rsidRPr="00F97A7F">
        <w:rPr>
          <w:rFonts w:ascii="Arial" w:hAnsi="Arial" w:cs="Arial"/>
          <w:sz w:val="22"/>
          <w:szCs w:val="22"/>
          <w:lang w:val="en-AU"/>
        </w:rPr>
        <w:t>Prepared in accordance with Part 3 of the Human Rights (Parliamentary Scrutiny) Act 2011</w:t>
      </w:r>
    </w:p>
    <w:p w:rsidR="00BF227B" w:rsidRPr="00F97A7F" w:rsidRDefault="00BF227B" w:rsidP="00BF227B">
      <w:pPr>
        <w:rPr>
          <w:rFonts w:ascii="Arial" w:hAnsi="Arial" w:cs="Arial"/>
          <w:i/>
          <w:sz w:val="22"/>
          <w:szCs w:val="22"/>
        </w:rPr>
      </w:pPr>
    </w:p>
    <w:p w:rsidR="00BF227B" w:rsidRPr="00F97A7F" w:rsidRDefault="00BF227B" w:rsidP="00BF227B">
      <w:pPr>
        <w:jc w:val="center"/>
        <w:rPr>
          <w:rFonts w:ascii="Arial" w:hAnsi="Arial" w:cs="Arial"/>
          <w:b/>
          <w:sz w:val="22"/>
          <w:szCs w:val="22"/>
        </w:rPr>
      </w:pPr>
    </w:p>
    <w:p w:rsidR="00BF227B" w:rsidRPr="00F97A7F" w:rsidRDefault="00BF227B" w:rsidP="00BF227B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lang w:val="en-AU"/>
        </w:rPr>
      </w:pPr>
      <w:r w:rsidRPr="00F97A7F">
        <w:rPr>
          <w:rFonts w:ascii="Arial" w:hAnsi="Arial" w:cs="Arial"/>
          <w:b/>
          <w:i/>
          <w:sz w:val="22"/>
          <w:szCs w:val="22"/>
          <w:lang w:val="en-AU"/>
        </w:rPr>
        <w:t xml:space="preserve">Radiocommunications Advisory Guidelines (Registration of Devices under Spectrum Licences without an Interference Impact Certificate) </w:t>
      </w:r>
      <w:r w:rsidR="00961138">
        <w:rPr>
          <w:rFonts w:ascii="Arial" w:hAnsi="Arial" w:cs="Arial"/>
          <w:b/>
          <w:i/>
          <w:sz w:val="22"/>
          <w:szCs w:val="22"/>
          <w:lang w:val="en-AU"/>
        </w:rPr>
        <w:t>Revocation Instrument</w:t>
      </w:r>
      <w:r w:rsidRPr="00F97A7F">
        <w:rPr>
          <w:rFonts w:ascii="Arial" w:hAnsi="Arial" w:cs="Arial"/>
          <w:b/>
          <w:i/>
          <w:sz w:val="22"/>
          <w:szCs w:val="22"/>
          <w:lang w:val="en-AU"/>
        </w:rPr>
        <w:t xml:space="preserve"> 2012</w:t>
      </w:r>
    </w:p>
    <w:p w:rsidR="00BF227B" w:rsidRPr="00F97A7F" w:rsidRDefault="00BF227B" w:rsidP="00BF227B">
      <w:pPr>
        <w:jc w:val="center"/>
        <w:rPr>
          <w:rFonts w:ascii="Arial" w:hAnsi="Arial" w:cs="Arial"/>
          <w:b/>
          <w:sz w:val="22"/>
          <w:szCs w:val="22"/>
        </w:rPr>
      </w:pPr>
    </w:p>
    <w:p w:rsidR="00BF227B" w:rsidRPr="00F97A7F" w:rsidRDefault="00BF227B" w:rsidP="00BF227B">
      <w:pPr>
        <w:jc w:val="center"/>
        <w:rPr>
          <w:rFonts w:ascii="Arial" w:hAnsi="Arial" w:cs="Arial"/>
          <w:b/>
          <w:sz w:val="22"/>
          <w:szCs w:val="22"/>
        </w:rPr>
      </w:pPr>
    </w:p>
    <w:p w:rsidR="004E3A5B" w:rsidRDefault="00BF227B" w:rsidP="00770BEB">
      <w:pPr>
        <w:rPr>
          <w:rFonts w:ascii="Arial" w:hAnsi="Arial" w:cs="Arial"/>
          <w:sz w:val="22"/>
          <w:szCs w:val="22"/>
        </w:rPr>
      </w:pPr>
      <w:r w:rsidRPr="00F97A7F">
        <w:rPr>
          <w:rFonts w:ascii="Arial" w:hAnsi="Arial" w:cs="Arial"/>
          <w:sz w:val="22"/>
          <w:szCs w:val="22"/>
        </w:rPr>
        <w:t xml:space="preserve">This legislative instrument is compatible with the human rights and freedoms recognised or declared in the international instruments listed in section 3 of the </w:t>
      </w:r>
      <w:r w:rsidRPr="00F97A7F">
        <w:rPr>
          <w:rFonts w:ascii="Arial" w:hAnsi="Arial" w:cs="Arial"/>
          <w:i/>
          <w:sz w:val="22"/>
          <w:szCs w:val="22"/>
        </w:rPr>
        <w:t>Human Rights (Parliamentary Scrutiny) Act 2011</w:t>
      </w:r>
      <w:r w:rsidRPr="00F97A7F">
        <w:rPr>
          <w:rFonts w:ascii="Arial" w:hAnsi="Arial" w:cs="Arial"/>
          <w:sz w:val="22"/>
          <w:szCs w:val="22"/>
        </w:rPr>
        <w:t>.</w:t>
      </w:r>
    </w:p>
    <w:p w:rsidR="004E3A5B" w:rsidRDefault="004E3A5B" w:rsidP="00770BEB">
      <w:pPr>
        <w:rPr>
          <w:rFonts w:ascii="Arial" w:hAnsi="Arial" w:cs="Arial"/>
          <w:sz w:val="22"/>
          <w:szCs w:val="22"/>
        </w:rPr>
      </w:pPr>
    </w:p>
    <w:p w:rsidR="004E3A5B" w:rsidRDefault="00BF227B" w:rsidP="00770BEB">
      <w:pPr>
        <w:rPr>
          <w:rFonts w:ascii="Arial" w:hAnsi="Arial" w:cs="Arial"/>
          <w:b/>
          <w:sz w:val="22"/>
          <w:szCs w:val="22"/>
        </w:rPr>
      </w:pPr>
      <w:r w:rsidRPr="00F97A7F">
        <w:rPr>
          <w:rFonts w:ascii="Arial" w:hAnsi="Arial" w:cs="Arial"/>
          <w:b/>
          <w:sz w:val="22"/>
          <w:szCs w:val="22"/>
        </w:rPr>
        <w:t>Overview of the Legislative Instrument</w:t>
      </w:r>
    </w:p>
    <w:p w:rsidR="004E3A5B" w:rsidRDefault="004E3A5B" w:rsidP="00770BEB">
      <w:pPr>
        <w:rPr>
          <w:rFonts w:ascii="Arial" w:hAnsi="Arial" w:cs="Arial"/>
          <w:sz w:val="22"/>
          <w:szCs w:val="22"/>
          <w:lang w:val="en-AU"/>
        </w:rPr>
      </w:pPr>
    </w:p>
    <w:p w:rsidR="004E3A5B" w:rsidRDefault="00BB5F4F" w:rsidP="00770BEB">
      <w:pPr>
        <w:rPr>
          <w:rFonts w:ascii="Arial" w:hAnsi="Arial" w:cs="Arial"/>
          <w:sz w:val="22"/>
          <w:szCs w:val="22"/>
          <w:lang w:val="en-AU"/>
        </w:rPr>
      </w:pPr>
      <w:r w:rsidRPr="00F97A7F">
        <w:rPr>
          <w:rFonts w:ascii="Arial" w:hAnsi="Arial" w:cs="Arial"/>
          <w:sz w:val="22"/>
          <w:szCs w:val="22"/>
          <w:lang w:val="en-AU"/>
        </w:rPr>
        <w:t xml:space="preserve">Section 262 of the </w:t>
      </w:r>
      <w:r w:rsidR="00961138">
        <w:rPr>
          <w:rFonts w:ascii="Arial" w:hAnsi="Arial" w:cs="Arial"/>
          <w:i/>
          <w:sz w:val="22"/>
          <w:szCs w:val="22"/>
          <w:lang w:val="en-AU"/>
        </w:rPr>
        <w:t xml:space="preserve">Radiocommunications Act 1992 </w:t>
      </w:r>
      <w:r w:rsidR="00961138">
        <w:rPr>
          <w:rFonts w:ascii="Arial" w:hAnsi="Arial" w:cs="Arial"/>
          <w:sz w:val="22"/>
          <w:szCs w:val="22"/>
          <w:lang w:val="en-AU"/>
        </w:rPr>
        <w:t xml:space="preserve">(the </w:t>
      </w:r>
      <w:r w:rsidRPr="00F97A7F">
        <w:rPr>
          <w:rFonts w:ascii="Arial" w:hAnsi="Arial" w:cs="Arial"/>
          <w:sz w:val="22"/>
          <w:szCs w:val="22"/>
          <w:lang w:val="en-AU"/>
        </w:rPr>
        <w:t>Act</w:t>
      </w:r>
      <w:r w:rsidR="00961138">
        <w:rPr>
          <w:rFonts w:ascii="Arial" w:hAnsi="Arial" w:cs="Arial"/>
          <w:sz w:val="22"/>
          <w:szCs w:val="22"/>
          <w:lang w:val="en-AU"/>
        </w:rPr>
        <w:t>)</w:t>
      </w:r>
      <w:r w:rsidRPr="00F97A7F">
        <w:rPr>
          <w:rFonts w:ascii="Arial" w:hAnsi="Arial" w:cs="Arial"/>
          <w:sz w:val="22"/>
          <w:szCs w:val="22"/>
          <w:lang w:val="en-AU"/>
        </w:rPr>
        <w:t xml:space="preserve"> provides that the ACMA may make written advisory guidelines about any aspect of radiocommunication or radio emissions.</w:t>
      </w:r>
      <w:r w:rsidR="00961138">
        <w:rPr>
          <w:rFonts w:ascii="Arial" w:hAnsi="Arial" w:cs="Arial"/>
          <w:sz w:val="22"/>
          <w:szCs w:val="22"/>
          <w:lang w:val="en-AU"/>
        </w:rPr>
        <w:t xml:space="preserve"> Under subsection 33(3) of the </w:t>
      </w:r>
      <w:r w:rsidR="00961138">
        <w:rPr>
          <w:rFonts w:ascii="Arial" w:hAnsi="Arial" w:cs="Arial"/>
          <w:i/>
          <w:sz w:val="22"/>
          <w:szCs w:val="22"/>
          <w:lang w:val="en-AU"/>
        </w:rPr>
        <w:t>Acts Interpretation Act 1901</w:t>
      </w:r>
      <w:r w:rsidR="00153398">
        <w:rPr>
          <w:rFonts w:ascii="Arial" w:hAnsi="Arial" w:cs="Arial"/>
          <w:i/>
          <w:sz w:val="22"/>
          <w:szCs w:val="22"/>
          <w:lang w:val="en-AU"/>
        </w:rPr>
        <w:t>,</w:t>
      </w:r>
      <w:r w:rsidR="00961138">
        <w:rPr>
          <w:rFonts w:ascii="Arial" w:hAnsi="Arial" w:cs="Arial"/>
          <w:i/>
          <w:sz w:val="22"/>
          <w:szCs w:val="22"/>
          <w:lang w:val="en-AU"/>
        </w:rPr>
        <w:t xml:space="preserve"> </w:t>
      </w:r>
      <w:r w:rsidR="00961138">
        <w:rPr>
          <w:rFonts w:ascii="Arial" w:hAnsi="Arial" w:cs="Arial"/>
          <w:sz w:val="22"/>
          <w:szCs w:val="22"/>
          <w:lang w:val="en-AU"/>
        </w:rPr>
        <w:t>the power to make an instrument includes the power,</w:t>
      </w:r>
      <w:r w:rsidR="00961138" w:rsidRPr="00F97A7F">
        <w:rPr>
          <w:rFonts w:ascii="Arial" w:hAnsi="Arial" w:cs="Arial"/>
          <w:sz w:val="22"/>
          <w:szCs w:val="22"/>
          <w:lang w:val="en-AU"/>
        </w:rPr>
        <w:t xml:space="preserve"> exercisable in a like manner and subject to like conditions, to revoke that instrument.</w:t>
      </w:r>
    </w:p>
    <w:p w:rsidR="004E3A5B" w:rsidRDefault="004E3A5B" w:rsidP="00770BEB">
      <w:pPr>
        <w:rPr>
          <w:rFonts w:ascii="Arial" w:hAnsi="Arial" w:cs="Arial"/>
          <w:sz w:val="22"/>
          <w:szCs w:val="22"/>
          <w:lang w:val="en-AU"/>
        </w:rPr>
      </w:pPr>
    </w:p>
    <w:p w:rsidR="004E3A5B" w:rsidRDefault="00BB5F4F" w:rsidP="00770BEB">
      <w:pPr>
        <w:rPr>
          <w:rFonts w:ascii="Arial" w:hAnsi="Arial" w:cs="Arial"/>
          <w:sz w:val="22"/>
          <w:szCs w:val="22"/>
          <w:lang w:val="en-AU"/>
        </w:rPr>
      </w:pPr>
      <w:r w:rsidRPr="00F97A7F">
        <w:rPr>
          <w:rFonts w:ascii="Arial" w:hAnsi="Arial" w:cs="Arial"/>
          <w:sz w:val="22"/>
          <w:szCs w:val="22"/>
          <w:lang w:val="en-AU"/>
        </w:rPr>
        <w:t xml:space="preserve">The </w:t>
      </w:r>
      <w:r w:rsidRPr="00F97A7F">
        <w:rPr>
          <w:rFonts w:ascii="Arial" w:hAnsi="Arial" w:cs="Arial"/>
          <w:i/>
          <w:sz w:val="22"/>
          <w:szCs w:val="22"/>
          <w:lang w:val="en-AU"/>
        </w:rPr>
        <w:t xml:space="preserve">Radiocommunications Advisory Guidelines (Registration of Devices under Spectrum Licences without an Interference Impact Certificate) </w:t>
      </w:r>
      <w:r w:rsidR="00961138">
        <w:rPr>
          <w:rFonts w:ascii="Arial" w:hAnsi="Arial" w:cs="Arial"/>
          <w:i/>
          <w:sz w:val="22"/>
          <w:szCs w:val="22"/>
          <w:lang w:val="en-AU"/>
        </w:rPr>
        <w:t>Revocation Instrument</w:t>
      </w:r>
      <w:r w:rsidRPr="00F97A7F">
        <w:rPr>
          <w:rFonts w:ascii="Arial" w:hAnsi="Arial" w:cs="Arial"/>
          <w:i/>
          <w:sz w:val="22"/>
          <w:szCs w:val="22"/>
          <w:lang w:val="en-AU"/>
        </w:rPr>
        <w:t xml:space="preserve"> 2012</w:t>
      </w:r>
      <w:r w:rsidRPr="00F97A7F" w:rsidDel="003D77BA">
        <w:rPr>
          <w:rFonts w:ascii="Arial" w:hAnsi="Arial" w:cs="Arial"/>
          <w:i/>
          <w:sz w:val="22"/>
          <w:szCs w:val="22"/>
          <w:lang w:val="en-AU"/>
        </w:rPr>
        <w:t xml:space="preserve"> </w:t>
      </w:r>
      <w:r w:rsidRPr="00F97A7F">
        <w:rPr>
          <w:rFonts w:ascii="Arial" w:hAnsi="Arial" w:cs="Arial"/>
          <w:sz w:val="22"/>
          <w:szCs w:val="22"/>
          <w:lang w:val="en-AU"/>
        </w:rPr>
        <w:t xml:space="preserve">(the </w:t>
      </w:r>
      <w:r w:rsidR="00961138">
        <w:rPr>
          <w:rFonts w:ascii="Arial" w:hAnsi="Arial" w:cs="Arial"/>
          <w:b/>
          <w:sz w:val="22"/>
          <w:szCs w:val="22"/>
          <w:lang w:val="en-AU"/>
        </w:rPr>
        <w:t>Instrument</w:t>
      </w:r>
      <w:r w:rsidRPr="00F97A7F">
        <w:rPr>
          <w:rFonts w:ascii="Arial" w:hAnsi="Arial" w:cs="Arial"/>
          <w:sz w:val="22"/>
          <w:szCs w:val="22"/>
          <w:lang w:val="en-AU"/>
        </w:rPr>
        <w:t xml:space="preserve">) </w:t>
      </w:r>
      <w:r w:rsidR="00961138" w:rsidRPr="00F97A7F">
        <w:rPr>
          <w:rFonts w:ascii="Arial" w:hAnsi="Arial" w:cs="Arial"/>
          <w:sz w:val="22"/>
          <w:szCs w:val="22"/>
          <w:lang w:val="en-AU"/>
        </w:rPr>
        <w:t>re</w:t>
      </w:r>
      <w:r w:rsidR="00961138">
        <w:rPr>
          <w:rFonts w:ascii="Arial" w:hAnsi="Arial" w:cs="Arial"/>
          <w:sz w:val="22"/>
          <w:szCs w:val="22"/>
          <w:lang w:val="en-AU"/>
        </w:rPr>
        <w:t>vokes</w:t>
      </w:r>
      <w:r w:rsidR="00961138" w:rsidRPr="00F97A7F">
        <w:rPr>
          <w:rFonts w:ascii="Arial" w:hAnsi="Arial" w:cs="Arial"/>
          <w:sz w:val="22"/>
          <w:szCs w:val="22"/>
          <w:lang w:val="en-AU"/>
        </w:rPr>
        <w:t xml:space="preserve"> </w:t>
      </w:r>
      <w:r w:rsidRPr="00F97A7F">
        <w:rPr>
          <w:rFonts w:ascii="Arial" w:hAnsi="Arial" w:cs="Arial"/>
          <w:sz w:val="22"/>
          <w:szCs w:val="22"/>
          <w:lang w:val="en-AU"/>
        </w:rPr>
        <w:t xml:space="preserve">the </w:t>
      </w:r>
      <w:r w:rsidRPr="00F97A7F">
        <w:rPr>
          <w:rFonts w:ascii="Arial" w:hAnsi="Arial" w:cs="Arial"/>
          <w:i/>
          <w:sz w:val="22"/>
          <w:szCs w:val="22"/>
          <w:lang w:val="en-AU"/>
        </w:rPr>
        <w:t>Radiocommunications Advisory Guidelines (Registration of Devices under Spectrum Licences without an Interference Impact Certificate</w:t>
      </w:r>
      <w:proofErr w:type="gramStart"/>
      <w:r w:rsidRPr="00F97A7F">
        <w:rPr>
          <w:rFonts w:ascii="Arial" w:hAnsi="Arial" w:cs="Arial"/>
          <w:i/>
          <w:sz w:val="22"/>
          <w:szCs w:val="22"/>
          <w:lang w:val="en-AU"/>
        </w:rPr>
        <w:t>)1998</w:t>
      </w:r>
      <w:proofErr w:type="gramEnd"/>
      <w:r w:rsidRPr="00F97A7F">
        <w:rPr>
          <w:rFonts w:ascii="Arial" w:hAnsi="Arial" w:cs="Arial"/>
          <w:sz w:val="22"/>
          <w:szCs w:val="22"/>
          <w:lang w:val="en-AU"/>
        </w:rPr>
        <w:t xml:space="preserve">. (the </w:t>
      </w:r>
      <w:r w:rsidRPr="00F97A7F">
        <w:rPr>
          <w:rFonts w:ascii="Arial" w:hAnsi="Arial" w:cs="Arial"/>
          <w:b/>
          <w:sz w:val="22"/>
          <w:szCs w:val="22"/>
          <w:lang w:val="en-AU"/>
        </w:rPr>
        <w:t>Guidelines</w:t>
      </w:r>
      <w:r w:rsidRPr="00F97A7F">
        <w:rPr>
          <w:rFonts w:ascii="Arial" w:hAnsi="Arial" w:cs="Arial"/>
          <w:sz w:val="22"/>
          <w:szCs w:val="22"/>
          <w:lang w:val="en-AU"/>
        </w:rPr>
        <w:t xml:space="preserve">). As </w:t>
      </w:r>
      <w:r w:rsidR="00961138">
        <w:rPr>
          <w:rFonts w:ascii="Arial" w:hAnsi="Arial" w:cs="Arial"/>
          <w:sz w:val="22"/>
          <w:szCs w:val="22"/>
          <w:lang w:val="en-AU"/>
        </w:rPr>
        <w:t xml:space="preserve">a result of </w:t>
      </w:r>
      <w:r w:rsidRPr="00F97A7F">
        <w:rPr>
          <w:rFonts w:ascii="Arial" w:hAnsi="Arial" w:cs="Arial"/>
          <w:sz w:val="22"/>
          <w:szCs w:val="22"/>
          <w:lang w:val="en-AU"/>
        </w:rPr>
        <w:t>significant changes to the device registration process</w:t>
      </w:r>
      <w:r w:rsidR="00961138">
        <w:rPr>
          <w:rFonts w:ascii="Arial" w:hAnsi="Arial" w:cs="Arial"/>
          <w:sz w:val="22"/>
          <w:szCs w:val="22"/>
          <w:lang w:val="en-AU"/>
        </w:rPr>
        <w:t xml:space="preserve"> for radiocommunications transmitters under the Act</w:t>
      </w:r>
      <w:r w:rsidRPr="00F97A7F">
        <w:rPr>
          <w:rFonts w:ascii="Arial" w:hAnsi="Arial" w:cs="Arial"/>
          <w:sz w:val="22"/>
          <w:szCs w:val="22"/>
          <w:lang w:val="en-AU"/>
        </w:rPr>
        <w:t xml:space="preserve">, the </w:t>
      </w:r>
      <w:r w:rsidR="006C0B23">
        <w:rPr>
          <w:rFonts w:ascii="Arial" w:hAnsi="Arial" w:cs="Arial"/>
          <w:sz w:val="22"/>
          <w:szCs w:val="22"/>
          <w:lang w:val="en-AU"/>
        </w:rPr>
        <w:t>G</w:t>
      </w:r>
      <w:r w:rsidRPr="00F97A7F">
        <w:rPr>
          <w:rFonts w:ascii="Arial" w:hAnsi="Arial" w:cs="Arial"/>
          <w:sz w:val="22"/>
          <w:szCs w:val="22"/>
          <w:lang w:val="en-AU"/>
        </w:rPr>
        <w:t xml:space="preserve">uidelines are no longer </w:t>
      </w:r>
      <w:r w:rsidR="00961138">
        <w:rPr>
          <w:rFonts w:ascii="Arial" w:hAnsi="Arial" w:cs="Arial"/>
          <w:sz w:val="22"/>
          <w:szCs w:val="22"/>
          <w:lang w:val="en-AU"/>
        </w:rPr>
        <w:t xml:space="preserve">considered </w:t>
      </w:r>
      <w:r w:rsidRPr="00F97A7F">
        <w:rPr>
          <w:rFonts w:ascii="Arial" w:hAnsi="Arial" w:cs="Arial"/>
          <w:sz w:val="22"/>
          <w:szCs w:val="22"/>
          <w:lang w:val="en-AU"/>
        </w:rPr>
        <w:t xml:space="preserve">necessary. </w:t>
      </w:r>
    </w:p>
    <w:p w:rsidR="004E3A5B" w:rsidRDefault="004E3A5B" w:rsidP="00770BEB">
      <w:pPr>
        <w:rPr>
          <w:rFonts w:ascii="Arial" w:hAnsi="Arial" w:cs="Arial"/>
          <w:sz w:val="22"/>
          <w:szCs w:val="22"/>
          <w:lang w:val="en-AU"/>
        </w:rPr>
      </w:pPr>
    </w:p>
    <w:p w:rsidR="004E3A5B" w:rsidRDefault="00BF227B" w:rsidP="00770BEB">
      <w:pPr>
        <w:rPr>
          <w:rFonts w:ascii="Arial" w:hAnsi="Arial" w:cs="Arial"/>
          <w:sz w:val="22"/>
          <w:szCs w:val="22"/>
        </w:rPr>
      </w:pPr>
      <w:r w:rsidRPr="00F97A7F">
        <w:rPr>
          <w:rFonts w:ascii="Arial" w:hAnsi="Arial" w:cs="Arial"/>
          <w:sz w:val="22"/>
          <w:szCs w:val="22"/>
        </w:rPr>
        <w:t xml:space="preserve">Subsection 9(1) of the </w:t>
      </w:r>
      <w:r w:rsidRPr="00F97A7F">
        <w:rPr>
          <w:rFonts w:ascii="Arial" w:hAnsi="Arial" w:cs="Arial"/>
          <w:i/>
          <w:sz w:val="22"/>
          <w:szCs w:val="22"/>
        </w:rPr>
        <w:t>Human Rights (Parliamentary Scrutiny) Act 2011</w:t>
      </w:r>
      <w:r w:rsidRPr="00F97A7F">
        <w:rPr>
          <w:rFonts w:ascii="Arial" w:hAnsi="Arial" w:cs="Arial"/>
          <w:sz w:val="22"/>
          <w:szCs w:val="22"/>
        </w:rPr>
        <w:t xml:space="preserve"> requires the rule</w:t>
      </w:r>
      <w:r w:rsidRPr="00F97A7F">
        <w:rPr>
          <w:rFonts w:ascii="Arial" w:eastAsia="MS Mincho" w:hAnsi="MS Mincho" w:cs="Arial"/>
          <w:sz w:val="22"/>
          <w:szCs w:val="22"/>
        </w:rPr>
        <w:t>‑</w:t>
      </w:r>
      <w:r w:rsidRPr="00F97A7F">
        <w:rPr>
          <w:rFonts w:ascii="Arial" w:hAnsi="Arial" w:cs="Arial"/>
          <w:sz w:val="22"/>
          <w:szCs w:val="22"/>
        </w:rPr>
        <w:t xml:space="preserve">maker in relation to a legislative instrument to which section 42 (disallowance) of the </w:t>
      </w:r>
      <w:r w:rsidRPr="00F97A7F">
        <w:rPr>
          <w:rFonts w:ascii="Arial" w:hAnsi="Arial" w:cs="Arial"/>
          <w:i/>
          <w:sz w:val="22"/>
          <w:szCs w:val="22"/>
        </w:rPr>
        <w:t>Legislative Instruments Act 2003</w:t>
      </w:r>
      <w:r w:rsidRPr="00F97A7F">
        <w:rPr>
          <w:rFonts w:ascii="Arial" w:hAnsi="Arial" w:cs="Arial"/>
          <w:sz w:val="22"/>
          <w:szCs w:val="22"/>
        </w:rPr>
        <w:t xml:space="preserve"> applies to cause a statement of compatibility to be prepared in respect of that legislative instrument.</w:t>
      </w:r>
    </w:p>
    <w:p w:rsidR="004E3A5B" w:rsidRDefault="004E3A5B" w:rsidP="00770BEB">
      <w:pPr>
        <w:rPr>
          <w:rFonts w:ascii="Arial" w:hAnsi="Arial" w:cs="Arial"/>
          <w:sz w:val="22"/>
          <w:szCs w:val="22"/>
        </w:rPr>
      </w:pPr>
    </w:p>
    <w:p w:rsidR="004E3A5B" w:rsidRDefault="00BF227B" w:rsidP="00770BEB">
      <w:pPr>
        <w:rPr>
          <w:rFonts w:ascii="Arial" w:hAnsi="Arial" w:cs="Arial"/>
          <w:sz w:val="22"/>
          <w:szCs w:val="22"/>
        </w:rPr>
      </w:pPr>
      <w:r w:rsidRPr="00F97A7F">
        <w:rPr>
          <w:rFonts w:ascii="Arial" w:hAnsi="Arial" w:cs="Arial"/>
          <w:sz w:val="22"/>
          <w:szCs w:val="22"/>
        </w:rPr>
        <w:t xml:space="preserve">The </w:t>
      </w:r>
      <w:r w:rsidR="00961138">
        <w:rPr>
          <w:rFonts w:ascii="Arial" w:hAnsi="Arial" w:cs="Arial"/>
          <w:sz w:val="22"/>
          <w:szCs w:val="22"/>
        </w:rPr>
        <w:t xml:space="preserve">Instrument </w:t>
      </w:r>
      <w:r w:rsidRPr="00F97A7F">
        <w:rPr>
          <w:rFonts w:ascii="Arial" w:hAnsi="Arial" w:cs="Arial"/>
          <w:sz w:val="22"/>
          <w:szCs w:val="22"/>
        </w:rPr>
        <w:t xml:space="preserve">is a legislative instrument that is subject to disallowance under section 42 of the </w:t>
      </w:r>
      <w:r w:rsidRPr="00F97A7F">
        <w:rPr>
          <w:rFonts w:ascii="Arial" w:hAnsi="Arial" w:cs="Arial"/>
          <w:i/>
          <w:sz w:val="22"/>
          <w:szCs w:val="22"/>
        </w:rPr>
        <w:t>Legislative Instruments Act 2003</w:t>
      </w:r>
      <w:r w:rsidRPr="00F97A7F">
        <w:rPr>
          <w:rFonts w:ascii="Arial" w:hAnsi="Arial" w:cs="Arial"/>
          <w:sz w:val="22"/>
          <w:szCs w:val="22"/>
        </w:rPr>
        <w:t>.</w:t>
      </w:r>
    </w:p>
    <w:p w:rsidR="004E3A5B" w:rsidRDefault="004E3A5B" w:rsidP="00770BEB">
      <w:pPr>
        <w:rPr>
          <w:rFonts w:ascii="Arial" w:hAnsi="Arial" w:cs="Arial"/>
          <w:sz w:val="22"/>
          <w:szCs w:val="22"/>
        </w:rPr>
      </w:pPr>
    </w:p>
    <w:p w:rsidR="004E3A5B" w:rsidRDefault="00BF227B" w:rsidP="00770BEB">
      <w:pPr>
        <w:rPr>
          <w:rFonts w:ascii="Arial" w:hAnsi="Arial" w:cs="Arial"/>
          <w:b/>
          <w:sz w:val="22"/>
          <w:szCs w:val="22"/>
        </w:rPr>
      </w:pPr>
      <w:r w:rsidRPr="00F97A7F">
        <w:rPr>
          <w:rFonts w:ascii="Arial" w:hAnsi="Arial" w:cs="Arial"/>
          <w:b/>
          <w:sz w:val="22"/>
          <w:szCs w:val="22"/>
        </w:rPr>
        <w:t>Human Rights Implications</w:t>
      </w:r>
    </w:p>
    <w:p w:rsidR="006C0B23" w:rsidRDefault="006C0B23" w:rsidP="00770BEB">
      <w:pPr>
        <w:rPr>
          <w:rFonts w:ascii="Arial" w:hAnsi="Arial" w:cs="Arial"/>
          <w:sz w:val="22"/>
          <w:szCs w:val="22"/>
        </w:rPr>
      </w:pPr>
    </w:p>
    <w:p w:rsidR="004E3A5B" w:rsidRDefault="00BF227B" w:rsidP="00770BEB">
      <w:pPr>
        <w:rPr>
          <w:rFonts w:ascii="Arial" w:hAnsi="Arial" w:cs="Arial"/>
          <w:sz w:val="22"/>
          <w:szCs w:val="22"/>
        </w:rPr>
      </w:pPr>
      <w:r w:rsidRPr="00F97A7F">
        <w:rPr>
          <w:rFonts w:ascii="Arial" w:hAnsi="Arial" w:cs="Arial"/>
          <w:sz w:val="22"/>
          <w:szCs w:val="22"/>
        </w:rPr>
        <w:t xml:space="preserve">The </w:t>
      </w:r>
      <w:r w:rsidR="00961138">
        <w:rPr>
          <w:rFonts w:ascii="Arial" w:hAnsi="Arial" w:cs="Arial"/>
          <w:sz w:val="22"/>
          <w:szCs w:val="22"/>
        </w:rPr>
        <w:t xml:space="preserve">Instrument </w:t>
      </w:r>
      <w:r w:rsidRPr="00F97A7F">
        <w:rPr>
          <w:rFonts w:ascii="Arial" w:hAnsi="Arial" w:cs="Arial"/>
          <w:sz w:val="22"/>
          <w:szCs w:val="22"/>
        </w:rPr>
        <w:t>does not engage any of the applicable rights or freedoms.</w:t>
      </w:r>
    </w:p>
    <w:p w:rsidR="004E3A5B" w:rsidRDefault="004E3A5B" w:rsidP="00770BEB">
      <w:pPr>
        <w:rPr>
          <w:rFonts w:ascii="Arial" w:hAnsi="Arial" w:cs="Arial"/>
          <w:sz w:val="22"/>
          <w:szCs w:val="22"/>
        </w:rPr>
      </w:pPr>
    </w:p>
    <w:p w:rsidR="004E3A5B" w:rsidRDefault="00BF227B" w:rsidP="00770BEB">
      <w:pPr>
        <w:rPr>
          <w:rFonts w:ascii="Arial" w:hAnsi="Arial" w:cs="Arial"/>
          <w:b/>
          <w:sz w:val="22"/>
          <w:szCs w:val="22"/>
        </w:rPr>
      </w:pPr>
      <w:r w:rsidRPr="00F97A7F">
        <w:rPr>
          <w:rFonts w:ascii="Arial" w:hAnsi="Arial" w:cs="Arial"/>
          <w:b/>
          <w:sz w:val="22"/>
          <w:szCs w:val="22"/>
        </w:rPr>
        <w:t>Conclusion</w:t>
      </w:r>
    </w:p>
    <w:p w:rsidR="006C0B23" w:rsidRDefault="006C0B23" w:rsidP="00770BEB">
      <w:pPr>
        <w:rPr>
          <w:rFonts w:ascii="Arial" w:hAnsi="Arial" w:cs="Arial"/>
          <w:sz w:val="22"/>
          <w:szCs w:val="22"/>
        </w:rPr>
      </w:pPr>
    </w:p>
    <w:p w:rsidR="004E3A5B" w:rsidRDefault="00BF227B" w:rsidP="00770BEB">
      <w:pPr>
        <w:rPr>
          <w:rFonts w:ascii="Arial" w:hAnsi="Arial" w:cs="Arial"/>
          <w:b/>
          <w:sz w:val="22"/>
          <w:szCs w:val="22"/>
        </w:rPr>
      </w:pPr>
      <w:r w:rsidRPr="00F97A7F">
        <w:rPr>
          <w:rFonts w:ascii="Arial" w:hAnsi="Arial" w:cs="Arial"/>
          <w:sz w:val="22"/>
          <w:szCs w:val="22"/>
        </w:rPr>
        <w:t xml:space="preserve">The </w:t>
      </w:r>
      <w:r w:rsidR="00961138">
        <w:rPr>
          <w:rFonts w:ascii="Arial" w:hAnsi="Arial" w:cs="Arial"/>
          <w:sz w:val="22"/>
          <w:szCs w:val="22"/>
        </w:rPr>
        <w:t>Instrument</w:t>
      </w:r>
      <w:r w:rsidR="00961138" w:rsidRPr="00F97A7F">
        <w:rPr>
          <w:rFonts w:ascii="Arial" w:hAnsi="Arial" w:cs="Arial"/>
          <w:sz w:val="22"/>
          <w:szCs w:val="22"/>
        </w:rPr>
        <w:t xml:space="preserve"> </w:t>
      </w:r>
      <w:r w:rsidRPr="00F97A7F">
        <w:rPr>
          <w:rFonts w:ascii="Arial" w:hAnsi="Arial" w:cs="Arial"/>
          <w:sz w:val="22"/>
          <w:szCs w:val="22"/>
        </w:rPr>
        <w:t>is compatible with human rights as it does not raise any human rights issues.</w:t>
      </w:r>
    </w:p>
    <w:p w:rsidR="004E3A5B" w:rsidRDefault="004E3A5B" w:rsidP="00770BEB">
      <w:pPr>
        <w:rPr>
          <w:rFonts w:ascii="Arial" w:hAnsi="Arial" w:cs="Arial"/>
          <w:sz w:val="22"/>
          <w:szCs w:val="22"/>
        </w:rPr>
      </w:pPr>
    </w:p>
    <w:p w:rsidR="004E3A5B" w:rsidRDefault="004E3A5B" w:rsidP="00770BEB">
      <w:pPr>
        <w:rPr>
          <w:rFonts w:ascii="Arial" w:hAnsi="Arial" w:cs="Arial"/>
          <w:sz w:val="22"/>
          <w:szCs w:val="22"/>
          <w:lang w:val="en-AU"/>
        </w:rPr>
      </w:pPr>
    </w:p>
    <w:sectPr w:rsidR="004E3A5B" w:rsidSect="000907DE">
      <w:headerReference w:type="even" r:id="rId12"/>
      <w:headerReference w:type="default" r:id="rId13"/>
      <w:footerReference w:type="defaul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B23" w:rsidRDefault="006C0B23">
      <w:r>
        <w:separator/>
      </w:r>
    </w:p>
  </w:endnote>
  <w:endnote w:type="continuationSeparator" w:id="0">
    <w:p w:rsidR="006C0B23" w:rsidRDefault="006C0B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B23" w:rsidRDefault="006C0B23" w:rsidP="00362134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B23" w:rsidRDefault="006C0B23" w:rsidP="00B32F28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B23" w:rsidRDefault="006C0B23">
      <w:r>
        <w:separator/>
      </w:r>
    </w:p>
  </w:footnote>
  <w:footnote w:type="continuationSeparator" w:id="0">
    <w:p w:rsidR="006C0B23" w:rsidRDefault="006C0B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B23" w:rsidRDefault="00161D51" w:rsidP="00A844E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0B2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C0B23" w:rsidRDefault="006C0B2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B23" w:rsidRDefault="00161D51" w:rsidP="00A13E1F">
    <w:pPr>
      <w:pStyle w:val="Header"/>
      <w:framePr w:wrap="around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 w:rsidR="006C0B2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1EA4">
      <w:rPr>
        <w:rStyle w:val="PageNumber"/>
        <w:noProof/>
      </w:rPr>
      <w:t>4</w:t>
    </w:r>
    <w:r>
      <w:rPr>
        <w:rStyle w:val="PageNumber"/>
      </w:rPr>
      <w:fldChar w:fldCharType="end"/>
    </w:r>
  </w:p>
  <w:p w:rsidR="006C0B23" w:rsidRDefault="006C0B23" w:rsidP="00362134">
    <w:pPr>
      <w:pStyle w:val="Header"/>
      <w:jc w:val="center"/>
      <w:rPr>
        <w:b/>
        <w:sz w:val="32"/>
        <w:szCs w:val="32"/>
        <w:lang w:val="en-AU"/>
      </w:rPr>
    </w:pPr>
  </w:p>
  <w:p w:rsidR="006C0B23" w:rsidRDefault="006C0B23" w:rsidP="00E72F2E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5B85848"/>
    <w:lvl w:ilvl="0">
      <w:numFmt w:val="bullet"/>
      <w:lvlText w:val="*"/>
      <w:lvlJc w:val="left"/>
    </w:lvl>
  </w:abstractNum>
  <w:abstractNum w:abstractNumId="1">
    <w:nsid w:val="090D6789"/>
    <w:multiLevelType w:val="hybridMultilevel"/>
    <w:tmpl w:val="8B5A9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E65676"/>
    <w:multiLevelType w:val="hybridMultilevel"/>
    <w:tmpl w:val="60BA2F60"/>
    <w:lvl w:ilvl="0" w:tplc="44D64128">
      <w:start w:val="1"/>
      <w:numFmt w:val="bullet"/>
      <w:lvlText w:val="˃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E43E5"/>
    <w:multiLevelType w:val="hybridMultilevel"/>
    <w:tmpl w:val="1B8C26CA"/>
    <w:lvl w:ilvl="0" w:tplc="36E0A874">
      <w:start w:val="2"/>
      <w:numFmt w:val="bullet"/>
      <w:lvlText w:val="•"/>
      <w:lvlJc w:val="left"/>
      <w:pPr>
        <w:ind w:left="930" w:hanging="57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333B0"/>
    <w:multiLevelType w:val="hybridMultilevel"/>
    <w:tmpl w:val="CF92B71C"/>
    <w:lvl w:ilvl="0" w:tplc="F57650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40709"/>
    <w:multiLevelType w:val="hybridMultilevel"/>
    <w:tmpl w:val="CF92B71C"/>
    <w:lvl w:ilvl="0" w:tplc="F57650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76651"/>
    <w:multiLevelType w:val="hybridMultilevel"/>
    <w:tmpl w:val="0D2CB68C"/>
    <w:lvl w:ilvl="0" w:tplc="44D64128">
      <w:start w:val="1"/>
      <w:numFmt w:val="bullet"/>
      <w:lvlText w:val="˃"/>
      <w:lvlJc w:val="left"/>
      <w:pPr>
        <w:ind w:left="720" w:hanging="360"/>
      </w:pPr>
      <w:rPr>
        <w:rFonts w:ascii="Arial" w:hAnsi="Aria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3B1455"/>
    <w:multiLevelType w:val="hybridMultilevel"/>
    <w:tmpl w:val="CF92B71C"/>
    <w:lvl w:ilvl="0" w:tplc="F57650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04A19"/>
    <w:multiLevelType w:val="hybridMultilevel"/>
    <w:tmpl w:val="CF92B71C"/>
    <w:lvl w:ilvl="0" w:tplc="F57650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2A1F7F"/>
    <w:multiLevelType w:val="hybridMultilevel"/>
    <w:tmpl w:val="CF92B71C"/>
    <w:lvl w:ilvl="0" w:tplc="F57650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FA0A30"/>
    <w:multiLevelType w:val="hybridMultilevel"/>
    <w:tmpl w:val="13249442"/>
    <w:lvl w:ilvl="0" w:tplc="CCD47F66">
      <w:numFmt w:val="bullet"/>
      <w:lvlText w:val="•"/>
      <w:lvlJc w:val="left"/>
      <w:pPr>
        <w:ind w:left="930" w:hanging="57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DB7A66"/>
    <w:multiLevelType w:val="hybridMultilevel"/>
    <w:tmpl w:val="BDD29C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B373C8"/>
    <w:multiLevelType w:val="hybridMultilevel"/>
    <w:tmpl w:val="464C5D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F602317"/>
    <w:multiLevelType w:val="hybridMultilevel"/>
    <w:tmpl w:val="91CA88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4DD4708"/>
    <w:multiLevelType w:val="hybridMultilevel"/>
    <w:tmpl w:val="7818CD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582E89"/>
    <w:multiLevelType w:val="hybridMultilevel"/>
    <w:tmpl w:val="D4A09600"/>
    <w:lvl w:ilvl="0" w:tplc="44D64128">
      <w:start w:val="1"/>
      <w:numFmt w:val="bullet"/>
      <w:lvlText w:val="˃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6E60B8"/>
    <w:multiLevelType w:val="hybridMultilevel"/>
    <w:tmpl w:val="92E863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201B9F"/>
    <w:multiLevelType w:val="hybridMultilevel"/>
    <w:tmpl w:val="B396FFF2"/>
    <w:lvl w:ilvl="0" w:tplc="44D64128">
      <w:start w:val="1"/>
      <w:numFmt w:val="bullet"/>
      <w:lvlText w:val="˃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3"/>
  </w:num>
  <w:num w:numId="4">
    <w:abstractNumId w:val="1"/>
  </w:num>
  <w:num w:numId="5">
    <w:abstractNumId w:val="12"/>
  </w:num>
  <w:num w:numId="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7">
    <w:abstractNumId w:val="14"/>
  </w:num>
  <w:num w:numId="8">
    <w:abstractNumId w:val="8"/>
  </w:num>
  <w:num w:numId="9">
    <w:abstractNumId w:val="9"/>
  </w:num>
  <w:num w:numId="10">
    <w:abstractNumId w:val="4"/>
  </w:num>
  <w:num w:numId="11">
    <w:abstractNumId w:val="7"/>
  </w:num>
  <w:num w:numId="12">
    <w:abstractNumId w:val="17"/>
  </w:num>
  <w:num w:numId="13">
    <w:abstractNumId w:val="10"/>
  </w:num>
  <w:num w:numId="14">
    <w:abstractNumId w:val="2"/>
  </w:num>
  <w:num w:numId="15">
    <w:abstractNumId w:val="5"/>
  </w:num>
  <w:num w:numId="16">
    <w:abstractNumId w:val="15"/>
  </w:num>
  <w:num w:numId="17">
    <w:abstractNumId w:val="3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3F01"/>
  <w:trackRevisions/>
  <w:doNotTrackMoves/>
  <w:defaultTabStop w:val="567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1022"/>
    <w:rsid w:val="00001FCD"/>
    <w:rsid w:val="0000300B"/>
    <w:rsid w:val="0000334E"/>
    <w:rsid w:val="00005643"/>
    <w:rsid w:val="00007C8D"/>
    <w:rsid w:val="00016BA2"/>
    <w:rsid w:val="00023C08"/>
    <w:rsid w:val="00025671"/>
    <w:rsid w:val="00025D13"/>
    <w:rsid w:val="0003025D"/>
    <w:rsid w:val="00032B32"/>
    <w:rsid w:val="00036086"/>
    <w:rsid w:val="00040B05"/>
    <w:rsid w:val="0004274A"/>
    <w:rsid w:val="00051A91"/>
    <w:rsid w:val="00052DB6"/>
    <w:rsid w:val="00054736"/>
    <w:rsid w:val="0005491A"/>
    <w:rsid w:val="00055A3E"/>
    <w:rsid w:val="000609D9"/>
    <w:rsid w:val="00065340"/>
    <w:rsid w:val="00070A52"/>
    <w:rsid w:val="00072306"/>
    <w:rsid w:val="00072549"/>
    <w:rsid w:val="000727E2"/>
    <w:rsid w:val="00073B86"/>
    <w:rsid w:val="00083579"/>
    <w:rsid w:val="00084D8E"/>
    <w:rsid w:val="000907DE"/>
    <w:rsid w:val="00096FB8"/>
    <w:rsid w:val="000A0E4B"/>
    <w:rsid w:val="000A2AE5"/>
    <w:rsid w:val="000A3641"/>
    <w:rsid w:val="000A413E"/>
    <w:rsid w:val="000A4D28"/>
    <w:rsid w:val="000A5293"/>
    <w:rsid w:val="000A65EF"/>
    <w:rsid w:val="000A6A9B"/>
    <w:rsid w:val="000A7A3F"/>
    <w:rsid w:val="000B1051"/>
    <w:rsid w:val="000B193B"/>
    <w:rsid w:val="000B2131"/>
    <w:rsid w:val="000B305F"/>
    <w:rsid w:val="000B3A34"/>
    <w:rsid w:val="000B3F4F"/>
    <w:rsid w:val="000C14FE"/>
    <w:rsid w:val="000C2BDB"/>
    <w:rsid w:val="000C3067"/>
    <w:rsid w:val="000C7244"/>
    <w:rsid w:val="000D02FC"/>
    <w:rsid w:val="000D1326"/>
    <w:rsid w:val="000D432B"/>
    <w:rsid w:val="000D4FF8"/>
    <w:rsid w:val="000D68D5"/>
    <w:rsid w:val="000D797B"/>
    <w:rsid w:val="000E312C"/>
    <w:rsid w:val="000E3954"/>
    <w:rsid w:val="000E44D2"/>
    <w:rsid w:val="000E7688"/>
    <w:rsid w:val="000E777B"/>
    <w:rsid w:val="000E7BC7"/>
    <w:rsid w:val="000F145B"/>
    <w:rsid w:val="000F1F80"/>
    <w:rsid w:val="000F66BE"/>
    <w:rsid w:val="000F6A00"/>
    <w:rsid w:val="000F7B2C"/>
    <w:rsid w:val="000F7DDD"/>
    <w:rsid w:val="001002A8"/>
    <w:rsid w:val="001019FD"/>
    <w:rsid w:val="001037A5"/>
    <w:rsid w:val="001040ED"/>
    <w:rsid w:val="00105943"/>
    <w:rsid w:val="00107C9C"/>
    <w:rsid w:val="00110856"/>
    <w:rsid w:val="00110931"/>
    <w:rsid w:val="00111D3B"/>
    <w:rsid w:val="001127B6"/>
    <w:rsid w:val="001130BC"/>
    <w:rsid w:val="00113FC2"/>
    <w:rsid w:val="0011424C"/>
    <w:rsid w:val="0012137D"/>
    <w:rsid w:val="00122FA0"/>
    <w:rsid w:val="0012342D"/>
    <w:rsid w:val="001240A3"/>
    <w:rsid w:val="001244AE"/>
    <w:rsid w:val="00124A67"/>
    <w:rsid w:val="00125A68"/>
    <w:rsid w:val="001264EA"/>
    <w:rsid w:val="00134A4B"/>
    <w:rsid w:val="001358C8"/>
    <w:rsid w:val="00137EBF"/>
    <w:rsid w:val="00147015"/>
    <w:rsid w:val="00151456"/>
    <w:rsid w:val="001522E5"/>
    <w:rsid w:val="00153398"/>
    <w:rsid w:val="00153F0C"/>
    <w:rsid w:val="00157501"/>
    <w:rsid w:val="001611E0"/>
    <w:rsid w:val="00161D51"/>
    <w:rsid w:val="00161DE7"/>
    <w:rsid w:val="001631C5"/>
    <w:rsid w:val="00165E54"/>
    <w:rsid w:val="00170D27"/>
    <w:rsid w:val="00171504"/>
    <w:rsid w:val="001716D9"/>
    <w:rsid w:val="001759D1"/>
    <w:rsid w:val="00175F46"/>
    <w:rsid w:val="001767FA"/>
    <w:rsid w:val="00176E4D"/>
    <w:rsid w:val="00177AFD"/>
    <w:rsid w:val="001802C0"/>
    <w:rsid w:val="0018129A"/>
    <w:rsid w:val="00181E1C"/>
    <w:rsid w:val="001847A6"/>
    <w:rsid w:val="00185301"/>
    <w:rsid w:val="001901D9"/>
    <w:rsid w:val="00191769"/>
    <w:rsid w:val="00191B3C"/>
    <w:rsid w:val="00193000"/>
    <w:rsid w:val="001939F0"/>
    <w:rsid w:val="00193CCB"/>
    <w:rsid w:val="00193EB6"/>
    <w:rsid w:val="001A0B8E"/>
    <w:rsid w:val="001A0C51"/>
    <w:rsid w:val="001A2609"/>
    <w:rsid w:val="001A5D71"/>
    <w:rsid w:val="001A6F36"/>
    <w:rsid w:val="001A730C"/>
    <w:rsid w:val="001B30AB"/>
    <w:rsid w:val="001B466C"/>
    <w:rsid w:val="001B58E7"/>
    <w:rsid w:val="001B5A54"/>
    <w:rsid w:val="001B700D"/>
    <w:rsid w:val="001B79DD"/>
    <w:rsid w:val="001C2D26"/>
    <w:rsid w:val="001C7822"/>
    <w:rsid w:val="001D0811"/>
    <w:rsid w:val="001D3D7B"/>
    <w:rsid w:val="001E11A4"/>
    <w:rsid w:val="001E4C38"/>
    <w:rsid w:val="001E504A"/>
    <w:rsid w:val="001F0D48"/>
    <w:rsid w:val="001F18D0"/>
    <w:rsid w:val="001F1B3D"/>
    <w:rsid w:val="001F375E"/>
    <w:rsid w:val="001F645C"/>
    <w:rsid w:val="001F6F5B"/>
    <w:rsid w:val="002036F3"/>
    <w:rsid w:val="00203DB1"/>
    <w:rsid w:val="002041C8"/>
    <w:rsid w:val="002104D9"/>
    <w:rsid w:val="002108C7"/>
    <w:rsid w:val="00212BDC"/>
    <w:rsid w:val="002137F6"/>
    <w:rsid w:val="00214F91"/>
    <w:rsid w:val="00217300"/>
    <w:rsid w:val="00221DD3"/>
    <w:rsid w:val="00223418"/>
    <w:rsid w:val="002235B5"/>
    <w:rsid w:val="00224650"/>
    <w:rsid w:val="00224F56"/>
    <w:rsid w:val="00225E40"/>
    <w:rsid w:val="00232983"/>
    <w:rsid w:val="00236BB5"/>
    <w:rsid w:val="00237298"/>
    <w:rsid w:val="002378FB"/>
    <w:rsid w:val="002406D2"/>
    <w:rsid w:val="002419E7"/>
    <w:rsid w:val="00242450"/>
    <w:rsid w:val="00242911"/>
    <w:rsid w:val="00242A7B"/>
    <w:rsid w:val="00245D33"/>
    <w:rsid w:val="00246998"/>
    <w:rsid w:val="002520E1"/>
    <w:rsid w:val="002546FC"/>
    <w:rsid w:val="00257897"/>
    <w:rsid w:val="00260D08"/>
    <w:rsid w:val="00262777"/>
    <w:rsid w:val="002631B5"/>
    <w:rsid w:val="00263FF0"/>
    <w:rsid w:val="0026726C"/>
    <w:rsid w:val="00272394"/>
    <w:rsid w:val="00272903"/>
    <w:rsid w:val="00275CCC"/>
    <w:rsid w:val="00276EAE"/>
    <w:rsid w:val="00277A54"/>
    <w:rsid w:val="00277B95"/>
    <w:rsid w:val="002806E5"/>
    <w:rsid w:val="00280F33"/>
    <w:rsid w:val="002815AE"/>
    <w:rsid w:val="00281E6D"/>
    <w:rsid w:val="002840DE"/>
    <w:rsid w:val="0029141C"/>
    <w:rsid w:val="00293E33"/>
    <w:rsid w:val="00293EA0"/>
    <w:rsid w:val="0029459F"/>
    <w:rsid w:val="00294E1F"/>
    <w:rsid w:val="00296E82"/>
    <w:rsid w:val="002A23F8"/>
    <w:rsid w:val="002A4EDD"/>
    <w:rsid w:val="002A6D08"/>
    <w:rsid w:val="002B2544"/>
    <w:rsid w:val="002B33EF"/>
    <w:rsid w:val="002B3894"/>
    <w:rsid w:val="002B4583"/>
    <w:rsid w:val="002B5972"/>
    <w:rsid w:val="002B79CE"/>
    <w:rsid w:val="002B7A07"/>
    <w:rsid w:val="002C0058"/>
    <w:rsid w:val="002C0956"/>
    <w:rsid w:val="002C1EB2"/>
    <w:rsid w:val="002C50C4"/>
    <w:rsid w:val="002C5DFB"/>
    <w:rsid w:val="002D0747"/>
    <w:rsid w:val="002D3196"/>
    <w:rsid w:val="002D6B3F"/>
    <w:rsid w:val="002E1DCA"/>
    <w:rsid w:val="002E1E61"/>
    <w:rsid w:val="002E37B6"/>
    <w:rsid w:val="002E4BAD"/>
    <w:rsid w:val="002E77CA"/>
    <w:rsid w:val="002F0B29"/>
    <w:rsid w:val="002F482C"/>
    <w:rsid w:val="002F4D69"/>
    <w:rsid w:val="002F7391"/>
    <w:rsid w:val="00301425"/>
    <w:rsid w:val="003017BE"/>
    <w:rsid w:val="0030187D"/>
    <w:rsid w:val="00303130"/>
    <w:rsid w:val="00303DAD"/>
    <w:rsid w:val="003057AE"/>
    <w:rsid w:val="00305928"/>
    <w:rsid w:val="00311E45"/>
    <w:rsid w:val="0031334B"/>
    <w:rsid w:val="00322075"/>
    <w:rsid w:val="00326BE5"/>
    <w:rsid w:val="003274A8"/>
    <w:rsid w:val="00327D8A"/>
    <w:rsid w:val="0033118F"/>
    <w:rsid w:val="0033639D"/>
    <w:rsid w:val="00337EE5"/>
    <w:rsid w:val="00340EA6"/>
    <w:rsid w:val="00340F08"/>
    <w:rsid w:val="00342B33"/>
    <w:rsid w:val="00343425"/>
    <w:rsid w:val="00343921"/>
    <w:rsid w:val="00344282"/>
    <w:rsid w:val="0034610D"/>
    <w:rsid w:val="0034741A"/>
    <w:rsid w:val="00351C52"/>
    <w:rsid w:val="003541E8"/>
    <w:rsid w:val="00354A22"/>
    <w:rsid w:val="00357E8B"/>
    <w:rsid w:val="00362134"/>
    <w:rsid w:val="003634DD"/>
    <w:rsid w:val="00363579"/>
    <w:rsid w:val="00363C72"/>
    <w:rsid w:val="00367786"/>
    <w:rsid w:val="00370DB5"/>
    <w:rsid w:val="0037141B"/>
    <w:rsid w:val="0037224D"/>
    <w:rsid w:val="00374AF5"/>
    <w:rsid w:val="00376093"/>
    <w:rsid w:val="00382D1E"/>
    <w:rsid w:val="0038369F"/>
    <w:rsid w:val="00383D7C"/>
    <w:rsid w:val="003879DF"/>
    <w:rsid w:val="00390CB0"/>
    <w:rsid w:val="00390D0A"/>
    <w:rsid w:val="003955FC"/>
    <w:rsid w:val="00397C1B"/>
    <w:rsid w:val="003A0F7D"/>
    <w:rsid w:val="003A346C"/>
    <w:rsid w:val="003A3E63"/>
    <w:rsid w:val="003A547B"/>
    <w:rsid w:val="003B0803"/>
    <w:rsid w:val="003B0A1E"/>
    <w:rsid w:val="003B0E76"/>
    <w:rsid w:val="003B125F"/>
    <w:rsid w:val="003B19F2"/>
    <w:rsid w:val="003B1A98"/>
    <w:rsid w:val="003B20C4"/>
    <w:rsid w:val="003B324C"/>
    <w:rsid w:val="003B3402"/>
    <w:rsid w:val="003B3D41"/>
    <w:rsid w:val="003B61D0"/>
    <w:rsid w:val="003C0792"/>
    <w:rsid w:val="003C23DE"/>
    <w:rsid w:val="003C24D0"/>
    <w:rsid w:val="003D1955"/>
    <w:rsid w:val="003D4EA5"/>
    <w:rsid w:val="003D5948"/>
    <w:rsid w:val="003D629D"/>
    <w:rsid w:val="003D77BA"/>
    <w:rsid w:val="003D7D4A"/>
    <w:rsid w:val="003E0537"/>
    <w:rsid w:val="003E1E77"/>
    <w:rsid w:val="003E225E"/>
    <w:rsid w:val="003E22FC"/>
    <w:rsid w:val="003F2116"/>
    <w:rsid w:val="003F2693"/>
    <w:rsid w:val="003F68EA"/>
    <w:rsid w:val="003F6C2D"/>
    <w:rsid w:val="0040129F"/>
    <w:rsid w:val="0040154E"/>
    <w:rsid w:val="00402C1C"/>
    <w:rsid w:val="00402CED"/>
    <w:rsid w:val="00403F51"/>
    <w:rsid w:val="00404E95"/>
    <w:rsid w:val="00406A3E"/>
    <w:rsid w:val="00407615"/>
    <w:rsid w:val="00411188"/>
    <w:rsid w:val="00423791"/>
    <w:rsid w:val="004261DB"/>
    <w:rsid w:val="004273B8"/>
    <w:rsid w:val="00427D2E"/>
    <w:rsid w:val="0043191F"/>
    <w:rsid w:val="0043463D"/>
    <w:rsid w:val="00437CBA"/>
    <w:rsid w:val="004437B3"/>
    <w:rsid w:val="004471CE"/>
    <w:rsid w:val="00450357"/>
    <w:rsid w:val="004527C9"/>
    <w:rsid w:val="00452BEB"/>
    <w:rsid w:val="00453A54"/>
    <w:rsid w:val="00454284"/>
    <w:rsid w:val="0045517A"/>
    <w:rsid w:val="00456404"/>
    <w:rsid w:val="0045700F"/>
    <w:rsid w:val="00464707"/>
    <w:rsid w:val="0046505B"/>
    <w:rsid w:val="00466743"/>
    <w:rsid w:val="00467644"/>
    <w:rsid w:val="00471A89"/>
    <w:rsid w:val="00476F8B"/>
    <w:rsid w:val="0048134B"/>
    <w:rsid w:val="00481707"/>
    <w:rsid w:val="004829D0"/>
    <w:rsid w:val="00483CB0"/>
    <w:rsid w:val="0048765D"/>
    <w:rsid w:val="00491998"/>
    <w:rsid w:val="00493C8E"/>
    <w:rsid w:val="004A054B"/>
    <w:rsid w:val="004A0D98"/>
    <w:rsid w:val="004A19A3"/>
    <w:rsid w:val="004A59D9"/>
    <w:rsid w:val="004A69DF"/>
    <w:rsid w:val="004A75E8"/>
    <w:rsid w:val="004A789E"/>
    <w:rsid w:val="004B0659"/>
    <w:rsid w:val="004B2D77"/>
    <w:rsid w:val="004C18BF"/>
    <w:rsid w:val="004C24D3"/>
    <w:rsid w:val="004C2506"/>
    <w:rsid w:val="004C3CE8"/>
    <w:rsid w:val="004C3FD6"/>
    <w:rsid w:val="004C61EA"/>
    <w:rsid w:val="004D52E9"/>
    <w:rsid w:val="004E0192"/>
    <w:rsid w:val="004E025A"/>
    <w:rsid w:val="004E35A3"/>
    <w:rsid w:val="004E3A5B"/>
    <w:rsid w:val="004E6C7A"/>
    <w:rsid w:val="004E6E14"/>
    <w:rsid w:val="004F2FDE"/>
    <w:rsid w:val="004F3FEF"/>
    <w:rsid w:val="004F4155"/>
    <w:rsid w:val="004F5BAE"/>
    <w:rsid w:val="004F641F"/>
    <w:rsid w:val="004F6459"/>
    <w:rsid w:val="004F6A6B"/>
    <w:rsid w:val="004F72F7"/>
    <w:rsid w:val="00501EBE"/>
    <w:rsid w:val="00503BDE"/>
    <w:rsid w:val="00503F64"/>
    <w:rsid w:val="00505C16"/>
    <w:rsid w:val="00507010"/>
    <w:rsid w:val="00511097"/>
    <w:rsid w:val="00511181"/>
    <w:rsid w:val="00513CDE"/>
    <w:rsid w:val="0052206D"/>
    <w:rsid w:val="0052263F"/>
    <w:rsid w:val="00522C7C"/>
    <w:rsid w:val="00522DC5"/>
    <w:rsid w:val="0052325C"/>
    <w:rsid w:val="00524A35"/>
    <w:rsid w:val="00524A47"/>
    <w:rsid w:val="00525AF3"/>
    <w:rsid w:val="00531B55"/>
    <w:rsid w:val="0053278B"/>
    <w:rsid w:val="0053279F"/>
    <w:rsid w:val="00540C48"/>
    <w:rsid w:val="0054110B"/>
    <w:rsid w:val="0054415C"/>
    <w:rsid w:val="0054416C"/>
    <w:rsid w:val="00544701"/>
    <w:rsid w:val="00551EE5"/>
    <w:rsid w:val="00557A8F"/>
    <w:rsid w:val="005614D6"/>
    <w:rsid w:val="00562BBE"/>
    <w:rsid w:val="00562DAE"/>
    <w:rsid w:val="00570ECD"/>
    <w:rsid w:val="00570FC1"/>
    <w:rsid w:val="00573732"/>
    <w:rsid w:val="0057385A"/>
    <w:rsid w:val="00574E59"/>
    <w:rsid w:val="00576D51"/>
    <w:rsid w:val="00580AC1"/>
    <w:rsid w:val="00581992"/>
    <w:rsid w:val="005842A4"/>
    <w:rsid w:val="005855E7"/>
    <w:rsid w:val="005861E6"/>
    <w:rsid w:val="005908D2"/>
    <w:rsid w:val="00591C99"/>
    <w:rsid w:val="00592092"/>
    <w:rsid w:val="00593148"/>
    <w:rsid w:val="00593959"/>
    <w:rsid w:val="005939A7"/>
    <w:rsid w:val="00593AB5"/>
    <w:rsid w:val="005958C1"/>
    <w:rsid w:val="00595E64"/>
    <w:rsid w:val="00597470"/>
    <w:rsid w:val="005A1292"/>
    <w:rsid w:val="005A1FF2"/>
    <w:rsid w:val="005A599B"/>
    <w:rsid w:val="005A64F7"/>
    <w:rsid w:val="005C3AB7"/>
    <w:rsid w:val="005C51F7"/>
    <w:rsid w:val="005D1812"/>
    <w:rsid w:val="005D206A"/>
    <w:rsid w:val="005D48CA"/>
    <w:rsid w:val="005D5A16"/>
    <w:rsid w:val="005E0015"/>
    <w:rsid w:val="005E0661"/>
    <w:rsid w:val="005E09F7"/>
    <w:rsid w:val="005E306B"/>
    <w:rsid w:val="005E4329"/>
    <w:rsid w:val="005F0138"/>
    <w:rsid w:val="005F23D4"/>
    <w:rsid w:val="005F3083"/>
    <w:rsid w:val="005F4643"/>
    <w:rsid w:val="005F5D29"/>
    <w:rsid w:val="005F68AC"/>
    <w:rsid w:val="005F7F10"/>
    <w:rsid w:val="006009AE"/>
    <w:rsid w:val="00601D0E"/>
    <w:rsid w:val="006046F8"/>
    <w:rsid w:val="00604ECF"/>
    <w:rsid w:val="00605EEE"/>
    <w:rsid w:val="006065D3"/>
    <w:rsid w:val="00606889"/>
    <w:rsid w:val="00607B24"/>
    <w:rsid w:val="006103E3"/>
    <w:rsid w:val="0061493C"/>
    <w:rsid w:val="00615237"/>
    <w:rsid w:val="00617543"/>
    <w:rsid w:val="00621713"/>
    <w:rsid w:val="00625E5B"/>
    <w:rsid w:val="00626085"/>
    <w:rsid w:val="00626DE6"/>
    <w:rsid w:val="00627040"/>
    <w:rsid w:val="006300DE"/>
    <w:rsid w:val="0063048A"/>
    <w:rsid w:val="00631A55"/>
    <w:rsid w:val="00635547"/>
    <w:rsid w:val="0063614D"/>
    <w:rsid w:val="00640477"/>
    <w:rsid w:val="006445AD"/>
    <w:rsid w:val="0064732F"/>
    <w:rsid w:val="00647418"/>
    <w:rsid w:val="0065257F"/>
    <w:rsid w:val="006534C6"/>
    <w:rsid w:val="006623F2"/>
    <w:rsid w:val="00662DD9"/>
    <w:rsid w:val="006636A6"/>
    <w:rsid w:val="00664DC3"/>
    <w:rsid w:val="00665C05"/>
    <w:rsid w:val="0066629F"/>
    <w:rsid w:val="00667ADE"/>
    <w:rsid w:val="00675410"/>
    <w:rsid w:val="00681ADC"/>
    <w:rsid w:val="00682C7B"/>
    <w:rsid w:val="006846A9"/>
    <w:rsid w:val="00687704"/>
    <w:rsid w:val="00694A23"/>
    <w:rsid w:val="006A1904"/>
    <w:rsid w:val="006A32AA"/>
    <w:rsid w:val="006A44C1"/>
    <w:rsid w:val="006A4999"/>
    <w:rsid w:val="006A5F06"/>
    <w:rsid w:val="006A727F"/>
    <w:rsid w:val="006B28C4"/>
    <w:rsid w:val="006B2F38"/>
    <w:rsid w:val="006C0B23"/>
    <w:rsid w:val="006C60D1"/>
    <w:rsid w:val="006C7D95"/>
    <w:rsid w:val="006D0B5D"/>
    <w:rsid w:val="006D5E01"/>
    <w:rsid w:val="006D749A"/>
    <w:rsid w:val="006E00EA"/>
    <w:rsid w:val="006E0975"/>
    <w:rsid w:val="006E0AC6"/>
    <w:rsid w:val="006E1935"/>
    <w:rsid w:val="006E39EC"/>
    <w:rsid w:val="006E7459"/>
    <w:rsid w:val="006F011A"/>
    <w:rsid w:val="006F4C8C"/>
    <w:rsid w:val="006F4D67"/>
    <w:rsid w:val="006F778E"/>
    <w:rsid w:val="006F7A60"/>
    <w:rsid w:val="00700626"/>
    <w:rsid w:val="00701F74"/>
    <w:rsid w:val="007022CD"/>
    <w:rsid w:val="007045F7"/>
    <w:rsid w:val="007055F7"/>
    <w:rsid w:val="00707DCF"/>
    <w:rsid w:val="00707FEF"/>
    <w:rsid w:val="00710340"/>
    <w:rsid w:val="00713A6E"/>
    <w:rsid w:val="00717714"/>
    <w:rsid w:val="00725AA7"/>
    <w:rsid w:val="007273F0"/>
    <w:rsid w:val="00732357"/>
    <w:rsid w:val="00735B89"/>
    <w:rsid w:val="007424D8"/>
    <w:rsid w:val="00742EA5"/>
    <w:rsid w:val="00742F88"/>
    <w:rsid w:val="00744FCB"/>
    <w:rsid w:val="00745491"/>
    <w:rsid w:val="00745527"/>
    <w:rsid w:val="007460C3"/>
    <w:rsid w:val="00746205"/>
    <w:rsid w:val="007506D8"/>
    <w:rsid w:val="00750DB6"/>
    <w:rsid w:val="00755E64"/>
    <w:rsid w:val="00756BEE"/>
    <w:rsid w:val="00757531"/>
    <w:rsid w:val="00760F83"/>
    <w:rsid w:val="007619E9"/>
    <w:rsid w:val="00761C8D"/>
    <w:rsid w:val="00764418"/>
    <w:rsid w:val="00765927"/>
    <w:rsid w:val="00770BEB"/>
    <w:rsid w:val="007745AD"/>
    <w:rsid w:val="00774617"/>
    <w:rsid w:val="00776FB8"/>
    <w:rsid w:val="00780E42"/>
    <w:rsid w:val="00784997"/>
    <w:rsid w:val="007903AF"/>
    <w:rsid w:val="0079221C"/>
    <w:rsid w:val="00796B12"/>
    <w:rsid w:val="007A0937"/>
    <w:rsid w:val="007A5674"/>
    <w:rsid w:val="007A6995"/>
    <w:rsid w:val="007A72F5"/>
    <w:rsid w:val="007B043B"/>
    <w:rsid w:val="007B4CDE"/>
    <w:rsid w:val="007C03C6"/>
    <w:rsid w:val="007C08A7"/>
    <w:rsid w:val="007C213F"/>
    <w:rsid w:val="007C4108"/>
    <w:rsid w:val="007C7864"/>
    <w:rsid w:val="007C79D1"/>
    <w:rsid w:val="007D0224"/>
    <w:rsid w:val="007E2540"/>
    <w:rsid w:val="007E42E6"/>
    <w:rsid w:val="007E6ECA"/>
    <w:rsid w:val="007E6FB9"/>
    <w:rsid w:val="007F0969"/>
    <w:rsid w:val="007F504F"/>
    <w:rsid w:val="007F5CD4"/>
    <w:rsid w:val="007F6C6C"/>
    <w:rsid w:val="00800903"/>
    <w:rsid w:val="008018F7"/>
    <w:rsid w:val="0080190D"/>
    <w:rsid w:val="00803443"/>
    <w:rsid w:val="00810038"/>
    <w:rsid w:val="00811802"/>
    <w:rsid w:val="00811EA3"/>
    <w:rsid w:val="0081505B"/>
    <w:rsid w:val="008160F0"/>
    <w:rsid w:val="008207A6"/>
    <w:rsid w:val="00821D09"/>
    <w:rsid w:val="008243BB"/>
    <w:rsid w:val="0082440D"/>
    <w:rsid w:val="00825324"/>
    <w:rsid w:val="00833ACD"/>
    <w:rsid w:val="00834D8C"/>
    <w:rsid w:val="0083755B"/>
    <w:rsid w:val="00840056"/>
    <w:rsid w:val="008424C7"/>
    <w:rsid w:val="0084448C"/>
    <w:rsid w:val="00846186"/>
    <w:rsid w:val="008503C1"/>
    <w:rsid w:val="00852E1F"/>
    <w:rsid w:val="00854A74"/>
    <w:rsid w:val="00855664"/>
    <w:rsid w:val="008565A7"/>
    <w:rsid w:val="008579AF"/>
    <w:rsid w:val="00860498"/>
    <w:rsid w:val="00860E19"/>
    <w:rsid w:val="0086194A"/>
    <w:rsid w:val="00861FE4"/>
    <w:rsid w:val="0086440B"/>
    <w:rsid w:val="0086502F"/>
    <w:rsid w:val="008664BE"/>
    <w:rsid w:val="0087052C"/>
    <w:rsid w:val="008735CD"/>
    <w:rsid w:val="00875C69"/>
    <w:rsid w:val="00875E54"/>
    <w:rsid w:val="00875F47"/>
    <w:rsid w:val="00876233"/>
    <w:rsid w:val="00887248"/>
    <w:rsid w:val="00887CC1"/>
    <w:rsid w:val="00890895"/>
    <w:rsid w:val="00892E16"/>
    <w:rsid w:val="00893253"/>
    <w:rsid w:val="00894262"/>
    <w:rsid w:val="008965FB"/>
    <w:rsid w:val="00897680"/>
    <w:rsid w:val="008A0FB0"/>
    <w:rsid w:val="008A16B3"/>
    <w:rsid w:val="008A1D78"/>
    <w:rsid w:val="008A40F0"/>
    <w:rsid w:val="008A7A77"/>
    <w:rsid w:val="008B006E"/>
    <w:rsid w:val="008B20C9"/>
    <w:rsid w:val="008B608B"/>
    <w:rsid w:val="008C54C0"/>
    <w:rsid w:val="008D1340"/>
    <w:rsid w:val="008D20E8"/>
    <w:rsid w:val="008D70C8"/>
    <w:rsid w:val="008D7AC0"/>
    <w:rsid w:val="008E3968"/>
    <w:rsid w:val="008E49A5"/>
    <w:rsid w:val="008E658A"/>
    <w:rsid w:val="008F0A2F"/>
    <w:rsid w:val="008F0AA0"/>
    <w:rsid w:val="008F1A30"/>
    <w:rsid w:val="008F265A"/>
    <w:rsid w:val="008F268F"/>
    <w:rsid w:val="008F3515"/>
    <w:rsid w:val="008F3CE5"/>
    <w:rsid w:val="009003FF"/>
    <w:rsid w:val="009007A8"/>
    <w:rsid w:val="0090366E"/>
    <w:rsid w:val="00904EB8"/>
    <w:rsid w:val="009156BD"/>
    <w:rsid w:val="009175FE"/>
    <w:rsid w:val="009252EE"/>
    <w:rsid w:val="00926FB5"/>
    <w:rsid w:val="0092727E"/>
    <w:rsid w:val="009279BC"/>
    <w:rsid w:val="009319D8"/>
    <w:rsid w:val="009333A1"/>
    <w:rsid w:val="00933FDC"/>
    <w:rsid w:val="009345AD"/>
    <w:rsid w:val="009365B2"/>
    <w:rsid w:val="00937829"/>
    <w:rsid w:val="00944A58"/>
    <w:rsid w:val="00946709"/>
    <w:rsid w:val="00946CB6"/>
    <w:rsid w:val="00947063"/>
    <w:rsid w:val="00947EF9"/>
    <w:rsid w:val="00950DC2"/>
    <w:rsid w:val="00952071"/>
    <w:rsid w:val="009551D2"/>
    <w:rsid w:val="00956080"/>
    <w:rsid w:val="00957BDA"/>
    <w:rsid w:val="00961138"/>
    <w:rsid w:val="00962D6A"/>
    <w:rsid w:val="009660FA"/>
    <w:rsid w:val="00966614"/>
    <w:rsid w:val="00967803"/>
    <w:rsid w:val="00967A48"/>
    <w:rsid w:val="00970DA6"/>
    <w:rsid w:val="009726DE"/>
    <w:rsid w:val="00975726"/>
    <w:rsid w:val="00980615"/>
    <w:rsid w:val="00982211"/>
    <w:rsid w:val="009824A5"/>
    <w:rsid w:val="0098262A"/>
    <w:rsid w:val="00983973"/>
    <w:rsid w:val="009861A4"/>
    <w:rsid w:val="00986FA1"/>
    <w:rsid w:val="00990EDA"/>
    <w:rsid w:val="0099442B"/>
    <w:rsid w:val="0099465D"/>
    <w:rsid w:val="0099662E"/>
    <w:rsid w:val="00997E2E"/>
    <w:rsid w:val="009A0C9C"/>
    <w:rsid w:val="009A3374"/>
    <w:rsid w:val="009A3E5C"/>
    <w:rsid w:val="009A7686"/>
    <w:rsid w:val="009A7F77"/>
    <w:rsid w:val="009B47B3"/>
    <w:rsid w:val="009C0ABD"/>
    <w:rsid w:val="009C0B38"/>
    <w:rsid w:val="009C3B95"/>
    <w:rsid w:val="009C6A28"/>
    <w:rsid w:val="009C6FF8"/>
    <w:rsid w:val="009D092A"/>
    <w:rsid w:val="009D31C6"/>
    <w:rsid w:val="009D3892"/>
    <w:rsid w:val="009D67B7"/>
    <w:rsid w:val="009E0739"/>
    <w:rsid w:val="009E1DD5"/>
    <w:rsid w:val="009E2171"/>
    <w:rsid w:val="009E5237"/>
    <w:rsid w:val="009E6A92"/>
    <w:rsid w:val="009E7C58"/>
    <w:rsid w:val="009F016C"/>
    <w:rsid w:val="009F28F0"/>
    <w:rsid w:val="009F33FC"/>
    <w:rsid w:val="009F3690"/>
    <w:rsid w:val="009F4413"/>
    <w:rsid w:val="00A00FC6"/>
    <w:rsid w:val="00A03B39"/>
    <w:rsid w:val="00A067FA"/>
    <w:rsid w:val="00A11461"/>
    <w:rsid w:val="00A13E1F"/>
    <w:rsid w:val="00A14B5D"/>
    <w:rsid w:val="00A2098B"/>
    <w:rsid w:val="00A25216"/>
    <w:rsid w:val="00A25DCA"/>
    <w:rsid w:val="00A329F3"/>
    <w:rsid w:val="00A36EA1"/>
    <w:rsid w:val="00A37D63"/>
    <w:rsid w:val="00A4198D"/>
    <w:rsid w:val="00A444FB"/>
    <w:rsid w:val="00A4495C"/>
    <w:rsid w:val="00A45F0C"/>
    <w:rsid w:val="00A50ABE"/>
    <w:rsid w:val="00A5181E"/>
    <w:rsid w:val="00A52CC1"/>
    <w:rsid w:val="00A552BE"/>
    <w:rsid w:val="00A577B8"/>
    <w:rsid w:val="00A620CC"/>
    <w:rsid w:val="00A658A9"/>
    <w:rsid w:val="00A66403"/>
    <w:rsid w:val="00A67531"/>
    <w:rsid w:val="00A7100B"/>
    <w:rsid w:val="00A7120D"/>
    <w:rsid w:val="00A71AE7"/>
    <w:rsid w:val="00A749D9"/>
    <w:rsid w:val="00A806FE"/>
    <w:rsid w:val="00A81ABD"/>
    <w:rsid w:val="00A844EF"/>
    <w:rsid w:val="00A868CB"/>
    <w:rsid w:val="00A87974"/>
    <w:rsid w:val="00A91E45"/>
    <w:rsid w:val="00A94AEF"/>
    <w:rsid w:val="00A9565C"/>
    <w:rsid w:val="00AA09DF"/>
    <w:rsid w:val="00AA141F"/>
    <w:rsid w:val="00AA2FE2"/>
    <w:rsid w:val="00AA4283"/>
    <w:rsid w:val="00AA4E6A"/>
    <w:rsid w:val="00AA575B"/>
    <w:rsid w:val="00AA7BC0"/>
    <w:rsid w:val="00AB6870"/>
    <w:rsid w:val="00AC085C"/>
    <w:rsid w:val="00AC5241"/>
    <w:rsid w:val="00AC58A1"/>
    <w:rsid w:val="00AC6B3A"/>
    <w:rsid w:val="00AD17F1"/>
    <w:rsid w:val="00AD38E2"/>
    <w:rsid w:val="00AD62F6"/>
    <w:rsid w:val="00AD7CEB"/>
    <w:rsid w:val="00AE09E2"/>
    <w:rsid w:val="00AE1898"/>
    <w:rsid w:val="00AE3CB2"/>
    <w:rsid w:val="00AE6F79"/>
    <w:rsid w:val="00AF0EF3"/>
    <w:rsid w:val="00AF38F4"/>
    <w:rsid w:val="00AF616A"/>
    <w:rsid w:val="00B014D6"/>
    <w:rsid w:val="00B017CE"/>
    <w:rsid w:val="00B028E2"/>
    <w:rsid w:val="00B109EF"/>
    <w:rsid w:val="00B1234C"/>
    <w:rsid w:val="00B127E3"/>
    <w:rsid w:val="00B13B74"/>
    <w:rsid w:val="00B1472D"/>
    <w:rsid w:val="00B15208"/>
    <w:rsid w:val="00B162D8"/>
    <w:rsid w:val="00B17A81"/>
    <w:rsid w:val="00B17E76"/>
    <w:rsid w:val="00B22411"/>
    <w:rsid w:val="00B241DB"/>
    <w:rsid w:val="00B30AB5"/>
    <w:rsid w:val="00B3186B"/>
    <w:rsid w:val="00B32862"/>
    <w:rsid w:val="00B32F28"/>
    <w:rsid w:val="00B3381D"/>
    <w:rsid w:val="00B341C6"/>
    <w:rsid w:val="00B35434"/>
    <w:rsid w:val="00B35C7A"/>
    <w:rsid w:val="00B36053"/>
    <w:rsid w:val="00B36865"/>
    <w:rsid w:val="00B37065"/>
    <w:rsid w:val="00B42036"/>
    <w:rsid w:val="00B435D9"/>
    <w:rsid w:val="00B473D3"/>
    <w:rsid w:val="00B51A0F"/>
    <w:rsid w:val="00B52B94"/>
    <w:rsid w:val="00B52C7C"/>
    <w:rsid w:val="00B53CB9"/>
    <w:rsid w:val="00B6044D"/>
    <w:rsid w:val="00B61244"/>
    <w:rsid w:val="00B62EE0"/>
    <w:rsid w:val="00B63516"/>
    <w:rsid w:val="00B64C3C"/>
    <w:rsid w:val="00B6650E"/>
    <w:rsid w:val="00B66D17"/>
    <w:rsid w:val="00B722BF"/>
    <w:rsid w:val="00B7383F"/>
    <w:rsid w:val="00B75132"/>
    <w:rsid w:val="00B756EB"/>
    <w:rsid w:val="00B76D62"/>
    <w:rsid w:val="00B84901"/>
    <w:rsid w:val="00B91A15"/>
    <w:rsid w:val="00B92274"/>
    <w:rsid w:val="00B946C1"/>
    <w:rsid w:val="00B97247"/>
    <w:rsid w:val="00B97AC5"/>
    <w:rsid w:val="00BA4990"/>
    <w:rsid w:val="00BA5F93"/>
    <w:rsid w:val="00BB19EC"/>
    <w:rsid w:val="00BB4D5F"/>
    <w:rsid w:val="00BB5F4F"/>
    <w:rsid w:val="00BC51E6"/>
    <w:rsid w:val="00BC557B"/>
    <w:rsid w:val="00BC5704"/>
    <w:rsid w:val="00BC5BB1"/>
    <w:rsid w:val="00BC6486"/>
    <w:rsid w:val="00BD1172"/>
    <w:rsid w:val="00BD11CB"/>
    <w:rsid w:val="00BD24F6"/>
    <w:rsid w:val="00BD2F8F"/>
    <w:rsid w:val="00BD327C"/>
    <w:rsid w:val="00BE09E5"/>
    <w:rsid w:val="00BE1682"/>
    <w:rsid w:val="00BE22C8"/>
    <w:rsid w:val="00BE4635"/>
    <w:rsid w:val="00BE6B53"/>
    <w:rsid w:val="00BF1852"/>
    <w:rsid w:val="00BF227B"/>
    <w:rsid w:val="00BF5DF2"/>
    <w:rsid w:val="00BF7EB1"/>
    <w:rsid w:val="00C015AC"/>
    <w:rsid w:val="00C02081"/>
    <w:rsid w:val="00C03098"/>
    <w:rsid w:val="00C03E0E"/>
    <w:rsid w:val="00C04739"/>
    <w:rsid w:val="00C04BFF"/>
    <w:rsid w:val="00C06AFA"/>
    <w:rsid w:val="00C13808"/>
    <w:rsid w:val="00C17032"/>
    <w:rsid w:val="00C1716C"/>
    <w:rsid w:val="00C171D8"/>
    <w:rsid w:val="00C20C78"/>
    <w:rsid w:val="00C212C0"/>
    <w:rsid w:val="00C27FE8"/>
    <w:rsid w:val="00C309F5"/>
    <w:rsid w:val="00C33E7E"/>
    <w:rsid w:val="00C355E4"/>
    <w:rsid w:val="00C40793"/>
    <w:rsid w:val="00C419A2"/>
    <w:rsid w:val="00C51656"/>
    <w:rsid w:val="00C52C99"/>
    <w:rsid w:val="00C55818"/>
    <w:rsid w:val="00C57060"/>
    <w:rsid w:val="00C5774B"/>
    <w:rsid w:val="00C57FF2"/>
    <w:rsid w:val="00C60269"/>
    <w:rsid w:val="00C63213"/>
    <w:rsid w:val="00C63969"/>
    <w:rsid w:val="00C65AB2"/>
    <w:rsid w:val="00C718DD"/>
    <w:rsid w:val="00C72A6C"/>
    <w:rsid w:val="00C72FA7"/>
    <w:rsid w:val="00C74101"/>
    <w:rsid w:val="00C76BC1"/>
    <w:rsid w:val="00C80BB4"/>
    <w:rsid w:val="00C81161"/>
    <w:rsid w:val="00C911FE"/>
    <w:rsid w:val="00C91988"/>
    <w:rsid w:val="00C92443"/>
    <w:rsid w:val="00CA326E"/>
    <w:rsid w:val="00CA4725"/>
    <w:rsid w:val="00CA552C"/>
    <w:rsid w:val="00CB14CD"/>
    <w:rsid w:val="00CB1EA4"/>
    <w:rsid w:val="00CB3163"/>
    <w:rsid w:val="00CB433D"/>
    <w:rsid w:val="00CB4CA0"/>
    <w:rsid w:val="00CB5D88"/>
    <w:rsid w:val="00CB79F9"/>
    <w:rsid w:val="00CC00E8"/>
    <w:rsid w:val="00CC0D17"/>
    <w:rsid w:val="00CC283F"/>
    <w:rsid w:val="00CC47D9"/>
    <w:rsid w:val="00CC7339"/>
    <w:rsid w:val="00CD2207"/>
    <w:rsid w:val="00CD4446"/>
    <w:rsid w:val="00CE0E62"/>
    <w:rsid w:val="00CE3604"/>
    <w:rsid w:val="00CE3C7C"/>
    <w:rsid w:val="00CE4095"/>
    <w:rsid w:val="00CE6D23"/>
    <w:rsid w:val="00CE6F37"/>
    <w:rsid w:val="00CE7C33"/>
    <w:rsid w:val="00CF26D1"/>
    <w:rsid w:val="00CF660B"/>
    <w:rsid w:val="00D01FCD"/>
    <w:rsid w:val="00D025DE"/>
    <w:rsid w:val="00D02F76"/>
    <w:rsid w:val="00D067E0"/>
    <w:rsid w:val="00D07ECD"/>
    <w:rsid w:val="00D12417"/>
    <w:rsid w:val="00D12A02"/>
    <w:rsid w:val="00D12B1B"/>
    <w:rsid w:val="00D13F71"/>
    <w:rsid w:val="00D16197"/>
    <w:rsid w:val="00D17517"/>
    <w:rsid w:val="00D20F1F"/>
    <w:rsid w:val="00D2106C"/>
    <w:rsid w:val="00D24557"/>
    <w:rsid w:val="00D314FA"/>
    <w:rsid w:val="00D33A91"/>
    <w:rsid w:val="00D35180"/>
    <w:rsid w:val="00D35DFF"/>
    <w:rsid w:val="00D36A0F"/>
    <w:rsid w:val="00D3729D"/>
    <w:rsid w:val="00D40F8C"/>
    <w:rsid w:val="00D43617"/>
    <w:rsid w:val="00D44663"/>
    <w:rsid w:val="00D474BB"/>
    <w:rsid w:val="00D532BE"/>
    <w:rsid w:val="00D55AEF"/>
    <w:rsid w:val="00D570D8"/>
    <w:rsid w:val="00D61D65"/>
    <w:rsid w:val="00D66EA5"/>
    <w:rsid w:val="00D76247"/>
    <w:rsid w:val="00D80477"/>
    <w:rsid w:val="00D806F1"/>
    <w:rsid w:val="00D8089E"/>
    <w:rsid w:val="00D80A44"/>
    <w:rsid w:val="00D80AAB"/>
    <w:rsid w:val="00D82EAF"/>
    <w:rsid w:val="00D84186"/>
    <w:rsid w:val="00D850C2"/>
    <w:rsid w:val="00D95309"/>
    <w:rsid w:val="00DA005B"/>
    <w:rsid w:val="00DA0381"/>
    <w:rsid w:val="00DA1022"/>
    <w:rsid w:val="00DA11FA"/>
    <w:rsid w:val="00DA2715"/>
    <w:rsid w:val="00DA2886"/>
    <w:rsid w:val="00DB0F56"/>
    <w:rsid w:val="00DB1BD2"/>
    <w:rsid w:val="00DB3913"/>
    <w:rsid w:val="00DB4593"/>
    <w:rsid w:val="00DB4BEF"/>
    <w:rsid w:val="00DB4D62"/>
    <w:rsid w:val="00DB4DB2"/>
    <w:rsid w:val="00DB5C77"/>
    <w:rsid w:val="00DB7543"/>
    <w:rsid w:val="00DC14B1"/>
    <w:rsid w:val="00DC219D"/>
    <w:rsid w:val="00DC6183"/>
    <w:rsid w:val="00DD0BE4"/>
    <w:rsid w:val="00DD24C5"/>
    <w:rsid w:val="00DD41C4"/>
    <w:rsid w:val="00DD4E8F"/>
    <w:rsid w:val="00DD4FD4"/>
    <w:rsid w:val="00DD6ACF"/>
    <w:rsid w:val="00DD7248"/>
    <w:rsid w:val="00DE0285"/>
    <w:rsid w:val="00DE15F8"/>
    <w:rsid w:val="00DE1E6E"/>
    <w:rsid w:val="00DE24F8"/>
    <w:rsid w:val="00DE2CAB"/>
    <w:rsid w:val="00DE4570"/>
    <w:rsid w:val="00DE58D0"/>
    <w:rsid w:val="00DE5B5A"/>
    <w:rsid w:val="00DE5D6C"/>
    <w:rsid w:val="00DE72C3"/>
    <w:rsid w:val="00DE7BA3"/>
    <w:rsid w:val="00DF1BDF"/>
    <w:rsid w:val="00DF2BA6"/>
    <w:rsid w:val="00E00BB4"/>
    <w:rsid w:val="00E0268C"/>
    <w:rsid w:val="00E04C55"/>
    <w:rsid w:val="00E04E2B"/>
    <w:rsid w:val="00E0791A"/>
    <w:rsid w:val="00E10162"/>
    <w:rsid w:val="00E10A07"/>
    <w:rsid w:val="00E1200C"/>
    <w:rsid w:val="00E12F94"/>
    <w:rsid w:val="00E15786"/>
    <w:rsid w:val="00E21332"/>
    <w:rsid w:val="00E21770"/>
    <w:rsid w:val="00E22C97"/>
    <w:rsid w:val="00E3280A"/>
    <w:rsid w:val="00E3413E"/>
    <w:rsid w:val="00E36D39"/>
    <w:rsid w:val="00E4020A"/>
    <w:rsid w:val="00E40E95"/>
    <w:rsid w:val="00E4362F"/>
    <w:rsid w:val="00E47E91"/>
    <w:rsid w:val="00E52AFE"/>
    <w:rsid w:val="00E54BAA"/>
    <w:rsid w:val="00E54E24"/>
    <w:rsid w:val="00E5658A"/>
    <w:rsid w:val="00E576F5"/>
    <w:rsid w:val="00E60415"/>
    <w:rsid w:val="00E60527"/>
    <w:rsid w:val="00E6103C"/>
    <w:rsid w:val="00E662FB"/>
    <w:rsid w:val="00E70E4E"/>
    <w:rsid w:val="00E72F2E"/>
    <w:rsid w:val="00E81264"/>
    <w:rsid w:val="00E82C4E"/>
    <w:rsid w:val="00E83561"/>
    <w:rsid w:val="00E866AA"/>
    <w:rsid w:val="00E87A30"/>
    <w:rsid w:val="00E90100"/>
    <w:rsid w:val="00E905DC"/>
    <w:rsid w:val="00E9703B"/>
    <w:rsid w:val="00EA0D64"/>
    <w:rsid w:val="00EA0E31"/>
    <w:rsid w:val="00EA1919"/>
    <w:rsid w:val="00EA4397"/>
    <w:rsid w:val="00EB48A9"/>
    <w:rsid w:val="00EB5FEC"/>
    <w:rsid w:val="00EB6BA7"/>
    <w:rsid w:val="00EC373A"/>
    <w:rsid w:val="00EC40C8"/>
    <w:rsid w:val="00EC4C90"/>
    <w:rsid w:val="00EC4D12"/>
    <w:rsid w:val="00ED567C"/>
    <w:rsid w:val="00ED6B7D"/>
    <w:rsid w:val="00ED77DC"/>
    <w:rsid w:val="00EE1EA4"/>
    <w:rsid w:val="00EE24FA"/>
    <w:rsid w:val="00EE3E5F"/>
    <w:rsid w:val="00EE4AAA"/>
    <w:rsid w:val="00EE7CF9"/>
    <w:rsid w:val="00EF03BC"/>
    <w:rsid w:val="00EF099B"/>
    <w:rsid w:val="00EF0A1D"/>
    <w:rsid w:val="00EF1399"/>
    <w:rsid w:val="00EF250F"/>
    <w:rsid w:val="00EF2CBD"/>
    <w:rsid w:val="00EF32C1"/>
    <w:rsid w:val="00F03AFB"/>
    <w:rsid w:val="00F04A9B"/>
    <w:rsid w:val="00F05F4C"/>
    <w:rsid w:val="00F06C13"/>
    <w:rsid w:val="00F10653"/>
    <w:rsid w:val="00F10801"/>
    <w:rsid w:val="00F14961"/>
    <w:rsid w:val="00F17CE7"/>
    <w:rsid w:val="00F17D85"/>
    <w:rsid w:val="00F2449E"/>
    <w:rsid w:val="00F24DF5"/>
    <w:rsid w:val="00F2642E"/>
    <w:rsid w:val="00F27F77"/>
    <w:rsid w:val="00F31BBD"/>
    <w:rsid w:val="00F328F7"/>
    <w:rsid w:val="00F3380E"/>
    <w:rsid w:val="00F35950"/>
    <w:rsid w:val="00F368EF"/>
    <w:rsid w:val="00F37D14"/>
    <w:rsid w:val="00F40B4E"/>
    <w:rsid w:val="00F440DE"/>
    <w:rsid w:val="00F47C44"/>
    <w:rsid w:val="00F47E98"/>
    <w:rsid w:val="00F50A85"/>
    <w:rsid w:val="00F55166"/>
    <w:rsid w:val="00F55365"/>
    <w:rsid w:val="00F57F95"/>
    <w:rsid w:val="00F64025"/>
    <w:rsid w:val="00F64C76"/>
    <w:rsid w:val="00F71AFC"/>
    <w:rsid w:val="00F736CD"/>
    <w:rsid w:val="00F73BD3"/>
    <w:rsid w:val="00F74E29"/>
    <w:rsid w:val="00F76034"/>
    <w:rsid w:val="00F83F5F"/>
    <w:rsid w:val="00F84074"/>
    <w:rsid w:val="00F847D4"/>
    <w:rsid w:val="00F86637"/>
    <w:rsid w:val="00F91121"/>
    <w:rsid w:val="00F9120B"/>
    <w:rsid w:val="00F91255"/>
    <w:rsid w:val="00F92C4E"/>
    <w:rsid w:val="00F936D9"/>
    <w:rsid w:val="00F97A7F"/>
    <w:rsid w:val="00FA088B"/>
    <w:rsid w:val="00FA095E"/>
    <w:rsid w:val="00FA1EB3"/>
    <w:rsid w:val="00FA2CAC"/>
    <w:rsid w:val="00FA30AD"/>
    <w:rsid w:val="00FA5F1D"/>
    <w:rsid w:val="00FB3DD1"/>
    <w:rsid w:val="00FB412F"/>
    <w:rsid w:val="00FB50DC"/>
    <w:rsid w:val="00FB661B"/>
    <w:rsid w:val="00FB6EED"/>
    <w:rsid w:val="00FC1E04"/>
    <w:rsid w:val="00FC32CF"/>
    <w:rsid w:val="00FC344E"/>
    <w:rsid w:val="00FC72C2"/>
    <w:rsid w:val="00FE0745"/>
    <w:rsid w:val="00FE11E2"/>
    <w:rsid w:val="00FE28FA"/>
    <w:rsid w:val="00FE2F4F"/>
    <w:rsid w:val="00FE3F50"/>
    <w:rsid w:val="00FE4A1B"/>
    <w:rsid w:val="00FE6196"/>
    <w:rsid w:val="00FE756C"/>
    <w:rsid w:val="00FE7D07"/>
    <w:rsid w:val="00FF012B"/>
    <w:rsid w:val="00FF4A5E"/>
    <w:rsid w:val="00FF5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8D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6213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6213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907DE"/>
  </w:style>
  <w:style w:type="paragraph" w:styleId="FootnoteText">
    <w:name w:val="footnote text"/>
    <w:basedOn w:val="Normal"/>
    <w:semiHidden/>
    <w:rsid w:val="00D33A91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D33A91"/>
    <w:rPr>
      <w:vertAlign w:val="superscript"/>
    </w:rPr>
  </w:style>
  <w:style w:type="paragraph" w:styleId="BalloonText">
    <w:name w:val="Balloon Text"/>
    <w:basedOn w:val="Normal"/>
    <w:semiHidden/>
    <w:rsid w:val="00107C9C"/>
    <w:rPr>
      <w:rFonts w:ascii="Tahoma" w:hAnsi="Tahoma" w:cs="Tahoma"/>
      <w:sz w:val="16"/>
      <w:szCs w:val="16"/>
    </w:rPr>
  </w:style>
  <w:style w:type="paragraph" w:customStyle="1" w:styleId="Pa3">
    <w:name w:val="Pa3"/>
    <w:basedOn w:val="Normal"/>
    <w:next w:val="Normal"/>
    <w:rsid w:val="00153F0C"/>
    <w:pPr>
      <w:autoSpaceDE w:val="0"/>
      <w:autoSpaceDN w:val="0"/>
      <w:adjustRightInd w:val="0"/>
      <w:spacing w:line="221" w:lineRule="atLeast"/>
    </w:pPr>
    <w:rPr>
      <w:rFonts w:ascii="Myriad Pro Light" w:hAnsi="Myriad Pro Light"/>
    </w:rPr>
  </w:style>
  <w:style w:type="character" w:styleId="CommentReference">
    <w:name w:val="annotation reference"/>
    <w:basedOn w:val="DefaultParagraphFont"/>
    <w:semiHidden/>
    <w:rsid w:val="00E72F2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72F2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72F2E"/>
    <w:rPr>
      <w:b/>
      <w:bCs/>
    </w:rPr>
  </w:style>
  <w:style w:type="character" w:customStyle="1" w:styleId="FooterChar">
    <w:name w:val="Footer Char"/>
    <w:basedOn w:val="DefaultParagraphFont"/>
    <w:link w:val="Footer"/>
    <w:rsid w:val="003C0792"/>
    <w:rPr>
      <w:sz w:val="24"/>
      <w:szCs w:val="24"/>
      <w:lang w:val="en-US" w:eastAsia="en-US" w:bidi="ar-SA"/>
    </w:rPr>
  </w:style>
  <w:style w:type="paragraph" w:customStyle="1" w:styleId="ACMAHeading3">
    <w:name w:val="ACMA Heading 3"/>
    <w:next w:val="Normal"/>
    <w:rsid w:val="001B79DD"/>
    <w:pPr>
      <w:keepNext/>
      <w:suppressAutoHyphens/>
      <w:spacing w:before="240"/>
      <w:outlineLvl w:val="3"/>
    </w:pPr>
    <w:rPr>
      <w:rFonts w:ascii="Arial" w:hAnsi="Arial"/>
      <w:b/>
      <w:sz w:val="24"/>
      <w:lang w:val="en-US" w:eastAsia="en-US"/>
    </w:rPr>
  </w:style>
  <w:style w:type="paragraph" w:customStyle="1" w:styleId="RGPara">
    <w:name w:val="RGPara"/>
    <w:aliases w:val="Readers Guide Para"/>
    <w:basedOn w:val="Normal"/>
    <w:rsid w:val="001B79DD"/>
    <w:pPr>
      <w:spacing w:before="120" w:line="260" w:lineRule="exact"/>
      <w:jc w:val="both"/>
    </w:pPr>
    <w:rPr>
      <w:lang w:val="en-AU" w:eastAsia="en-AU"/>
    </w:rPr>
  </w:style>
  <w:style w:type="paragraph" w:customStyle="1" w:styleId="R1">
    <w:name w:val="R1"/>
    <w:aliases w:val="1. or 1.(1)"/>
    <w:basedOn w:val="Normal"/>
    <w:next w:val="Normal"/>
    <w:rsid w:val="001B79DD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lang w:val="en-AU" w:eastAsia="en-AU"/>
    </w:rPr>
  </w:style>
  <w:style w:type="paragraph" w:styleId="ListParagraph">
    <w:name w:val="List Paragraph"/>
    <w:basedOn w:val="Normal"/>
    <w:uiPriority w:val="34"/>
    <w:qFormat/>
    <w:rsid w:val="00DF1BDF"/>
    <w:pPr>
      <w:ind w:left="720"/>
    </w:pPr>
  </w:style>
  <w:style w:type="character" w:styleId="Hyperlink">
    <w:name w:val="Hyperlink"/>
    <w:basedOn w:val="DefaultParagraphFont"/>
    <w:uiPriority w:val="99"/>
    <w:unhideWhenUsed/>
    <w:rsid w:val="002E1E61"/>
    <w:rPr>
      <w:color w:val="0000FF"/>
      <w:u w:val="single"/>
    </w:rPr>
  </w:style>
  <w:style w:type="paragraph" w:customStyle="1" w:styleId="ACMABodyText">
    <w:name w:val="ACMA Body Text"/>
    <w:link w:val="ACMABodyTextChar1"/>
    <w:rsid w:val="00DA005B"/>
    <w:pPr>
      <w:suppressAutoHyphens/>
      <w:spacing w:before="80" w:after="120" w:line="280" w:lineRule="atLeast"/>
    </w:pPr>
    <w:rPr>
      <w:snapToGrid w:val="0"/>
      <w:sz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C5241"/>
    <w:rPr>
      <w:color w:val="800080"/>
      <w:u w:val="single"/>
    </w:rPr>
  </w:style>
  <w:style w:type="character" w:customStyle="1" w:styleId="ACMABodyTextChar1">
    <w:name w:val="ACMA Body Text Char1"/>
    <w:basedOn w:val="DefaultParagraphFont"/>
    <w:link w:val="ACMABodyText"/>
    <w:rsid w:val="00AA141F"/>
    <w:rPr>
      <w:snapToGrid w:val="0"/>
      <w:sz w:val="24"/>
      <w:lang w:val="en-AU" w:eastAsia="en-US" w:bidi="ar-SA"/>
    </w:rPr>
  </w:style>
  <w:style w:type="character" w:customStyle="1" w:styleId="CommentTextChar">
    <w:name w:val="Comment Text Char"/>
    <w:basedOn w:val="DefaultParagraphFont"/>
    <w:link w:val="CommentText"/>
    <w:semiHidden/>
    <w:rsid w:val="001A6F36"/>
    <w:rPr>
      <w:lang w:val="en-US" w:eastAsia="en-US"/>
    </w:rPr>
  </w:style>
  <w:style w:type="paragraph" w:styleId="Revision">
    <w:name w:val="Revision"/>
    <w:hidden/>
    <w:uiPriority w:val="99"/>
    <w:semiHidden/>
    <w:rsid w:val="00894262"/>
    <w:rPr>
      <w:sz w:val="24"/>
      <w:szCs w:val="24"/>
      <w:lang w:val="en-US" w:eastAsia="en-US"/>
    </w:rPr>
  </w:style>
  <w:style w:type="paragraph" w:customStyle="1" w:styleId="HR">
    <w:name w:val="HR"/>
    <w:aliases w:val="Regulation Heading"/>
    <w:basedOn w:val="Normal"/>
    <w:next w:val="R1"/>
    <w:rsid w:val="00961138"/>
    <w:pPr>
      <w:keepNext/>
      <w:spacing w:before="360"/>
      <w:ind w:left="964" w:hanging="964"/>
    </w:pPr>
    <w:rPr>
      <w:rFonts w:ascii="Arial" w:hAnsi="Arial"/>
      <w:b/>
      <w:lang w:val="en-AU"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0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9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42121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2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107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64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20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939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9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8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9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6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37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202967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88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15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201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408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34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cma.gov.au/WEB/STANDARD/pc=PC_410314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B87CF1831231499AB06102660F5006" ma:contentTypeVersion="0" ma:contentTypeDescription="Create a new document." ma:contentTypeScope="" ma:versionID="7c9fac8a034485a9a283bf1d2873c2a3">
  <xsd:schema xmlns:xsd="http://www.w3.org/2001/XMLSchema" xmlns:xs="http://www.w3.org/2001/XMLSchema" xmlns:p="http://schemas.microsoft.com/office/2006/metadata/properties" xmlns:ns2="6db8f3c6-01a1-4322-b043-a3b2a190f7a8" targetNamespace="http://schemas.microsoft.com/office/2006/metadata/properties" ma:root="true" ma:fieldsID="08fd8ed56bc4c63e248c838960af90a7" ns2:_="">
    <xsd:import namespace="6db8f3c6-01a1-4322-b043-a3b2a190f7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8f3c6-01a1-4322-b043-a3b2a190f7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>
    <_dlc_DocId xmlns="6db8f3c6-01a1-4322-b043-a3b2a190f7a8">KNAH4PPFC442-1229-396</_dlc_DocId>
    <_dlc_DocIdUrl xmlns="6db8f3c6-01a1-4322-b043-a3b2a190f7a8">
      <Url>http://collaboration/organisation/CID/IRB/SORS/_layouts/DocIdRedir.aspx?ID=KNAH4PPFC442-1229-396</Url>
      <Description>KNAH4PPFC442-1229-396</Description>
    </_dlc_DocIdUrl>
  </documentManagement>
</p:properties>
</file>

<file path=customXml/itemProps1.xml><?xml version="1.0" encoding="utf-8"?>
<ds:datastoreItem xmlns:ds="http://schemas.openxmlformats.org/officeDocument/2006/customXml" ds:itemID="{677DB36F-711C-4F49-82DA-29BD3B5100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BCB347-A8F3-4CAF-8F8B-6ABDB4F49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8f3c6-01a1-4322-b043-a3b2a190f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19608D-5358-4F2C-9F43-95E6094076B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DDD8598-2D72-4182-9CFF-124C536AF65B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6db8f3c6-01a1-4322-b043-a3b2a190f7a8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1091</Words>
  <Characters>6853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</vt:lpstr>
    </vt:vector>
  </TitlesOfParts>
  <LinksUpToDate>false</LinksUpToDate>
  <CharactersWithSpaces>7929</CharactersWithSpaces>
  <SharedDoc>false</SharedDoc>
  <HLinks>
    <vt:vector size="66" baseType="variant">
      <vt:variant>
        <vt:i4>1769548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http://www.3gpp.org/ftp/Specs/html-info/45005.htm</vt:lpwstr>
      </vt:variant>
      <vt:variant>
        <vt:lpwstr/>
      </vt:variant>
      <vt:variant>
        <vt:i4>3997730</vt:i4>
      </vt:variant>
      <vt:variant>
        <vt:i4>27</vt:i4>
      </vt:variant>
      <vt:variant>
        <vt:i4>0</vt:i4>
      </vt:variant>
      <vt:variant>
        <vt:i4>5</vt:i4>
      </vt:variant>
      <vt:variant>
        <vt:lpwstr>http://www.acma.gov.au/</vt:lpwstr>
      </vt:variant>
      <vt:variant>
        <vt:lpwstr/>
      </vt:variant>
      <vt:variant>
        <vt:i4>6160468</vt:i4>
      </vt:variant>
      <vt:variant>
        <vt:i4>24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  <vt:variant>
        <vt:i4>6160468</vt:i4>
      </vt:variant>
      <vt:variant>
        <vt:i4>21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  <vt:variant>
        <vt:i4>2752612</vt:i4>
      </vt:variant>
      <vt:variant>
        <vt:i4>18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4194420</vt:i4>
      </vt:variant>
      <vt:variant>
        <vt:i4>15</vt:i4>
      </vt:variant>
      <vt:variant>
        <vt:i4>0</vt:i4>
      </vt:variant>
      <vt:variant>
        <vt:i4>5</vt:i4>
      </vt:variant>
      <vt:variant>
        <vt:lpwstr>http://www.acma.gov.au/WEB/STANDARD/pc=PC_2708</vt:lpwstr>
      </vt:variant>
      <vt:variant>
        <vt:lpwstr/>
      </vt:variant>
      <vt:variant>
        <vt:i4>4194420</vt:i4>
      </vt:variant>
      <vt:variant>
        <vt:i4>12</vt:i4>
      </vt:variant>
      <vt:variant>
        <vt:i4>0</vt:i4>
      </vt:variant>
      <vt:variant>
        <vt:i4>5</vt:i4>
      </vt:variant>
      <vt:variant>
        <vt:lpwstr>http://www.acma.gov.au/WEB/STANDARD/pc=PC_2708</vt:lpwstr>
      </vt:variant>
      <vt:variant>
        <vt:lpwstr/>
      </vt:variant>
      <vt:variant>
        <vt:i4>7864390</vt:i4>
      </vt:variant>
      <vt:variant>
        <vt:i4>9</vt:i4>
      </vt:variant>
      <vt:variant>
        <vt:i4>0</vt:i4>
      </vt:variant>
      <vt:variant>
        <vt:i4>5</vt:i4>
      </vt:variant>
      <vt:variant>
        <vt:lpwstr>http://www.acma.gov.au/WEB/STANDARD/pc=PC_410046</vt:lpwstr>
      </vt:variant>
      <vt:variant>
        <vt:lpwstr/>
      </vt:variant>
      <vt:variant>
        <vt:i4>262235</vt:i4>
      </vt:variant>
      <vt:variant>
        <vt:i4>6</vt:i4>
      </vt:variant>
      <vt:variant>
        <vt:i4>0</vt:i4>
      </vt:variant>
      <vt:variant>
        <vt:i4>5</vt:i4>
      </vt:variant>
      <vt:variant>
        <vt:lpwstr>http://www.comlaw.gov.au/Details/F2005B00477</vt:lpwstr>
      </vt:variant>
      <vt:variant>
        <vt:lpwstr/>
      </vt:variant>
      <vt:variant>
        <vt:i4>327771</vt:i4>
      </vt:variant>
      <vt:variant>
        <vt:i4>3</vt:i4>
      </vt:variant>
      <vt:variant>
        <vt:i4>0</vt:i4>
      </vt:variant>
      <vt:variant>
        <vt:i4>5</vt:i4>
      </vt:variant>
      <vt:variant>
        <vt:lpwstr>http://www.comlaw.gov.au/Details/F2005B00476</vt:lpwstr>
      </vt:variant>
      <vt:variant>
        <vt:lpwstr/>
      </vt:variant>
      <vt:variant>
        <vt:i4>393309</vt:i4>
      </vt:variant>
      <vt:variant>
        <vt:i4>0</vt:i4>
      </vt:variant>
      <vt:variant>
        <vt:i4>0</vt:i4>
      </vt:variant>
      <vt:variant>
        <vt:i4>5</vt:i4>
      </vt:variant>
      <vt:variant>
        <vt:lpwstr>http://www.comlaw.gov.au/Details/F2005C00809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</dc:title>
  <dc:creator/>
  <cp:lastModifiedBy/>
  <cp:revision>1</cp:revision>
  <cp:lastPrinted>2010-06-25T01:30:00Z</cp:lastPrinted>
  <dcterms:created xsi:type="dcterms:W3CDTF">2012-08-09T03:24:00Z</dcterms:created>
  <dcterms:modified xsi:type="dcterms:W3CDTF">2012-08-15T23:53:00Z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>NTSave</vt:lpwstr>
  </property>
  <property fmtid="{D5CDD505-2E9C-101B-9397-08002B2CF9AE}" pid="3" name="_dlc_DocIdItemGuid">
    <vt:lpwstr>f274508b-c829-4793-ae83-c3a339566362</vt:lpwstr>
  </property>
  <property fmtid="{D5CDD505-2E9C-101B-9397-08002B2CF9AE}" pid="4" name="ContentTypeId">
    <vt:lpwstr>0x010100F3B87CF1831231499AB06102660F5006</vt:lpwstr>
  </property>
</Properties>
</file>