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48E" w:rsidRPr="00CE2D43" w:rsidRDefault="00CE2D43" w:rsidP="00F02635">
      <w:pPr>
        <w:spacing w:after="0"/>
        <w:jc w:val="center"/>
        <w:rPr>
          <w:sz w:val="24"/>
          <w:szCs w:val="24"/>
        </w:rPr>
      </w:pPr>
      <w:r w:rsidRPr="00CE2D43">
        <w:rPr>
          <w:noProof/>
          <w:sz w:val="24"/>
          <w:szCs w:val="24"/>
        </w:rPr>
        <w:drawing>
          <wp:inline distT="0" distB="0" distL="0" distR="0" wp14:anchorId="2F97361B" wp14:editId="57036C6B">
            <wp:extent cx="4032000" cy="990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a-logo-horizontal-black.png"/>
                    <pic:cNvPicPr/>
                  </pic:nvPicPr>
                  <pic:blipFill>
                    <a:blip r:embed="rId6">
                      <a:extLst>
                        <a:ext uri="{28A0092B-C50C-407E-A947-70E740481C1C}">
                          <a14:useLocalDpi xmlns:a14="http://schemas.microsoft.com/office/drawing/2010/main" val="0"/>
                        </a:ext>
                      </a:extLst>
                    </a:blip>
                    <a:stretch>
                      <a:fillRect/>
                    </a:stretch>
                  </pic:blipFill>
                  <pic:spPr>
                    <a:xfrm>
                      <a:off x="0" y="0"/>
                      <a:ext cx="4032000" cy="990331"/>
                    </a:xfrm>
                    <a:prstGeom prst="rect">
                      <a:avLst/>
                    </a:prstGeom>
                  </pic:spPr>
                </pic:pic>
              </a:graphicData>
            </a:graphic>
          </wp:inline>
        </w:drawing>
      </w:r>
    </w:p>
    <w:p w:rsidR="00CE2D43" w:rsidRPr="00CE2D43" w:rsidRDefault="00CE2D43" w:rsidP="00CE2D43">
      <w:pPr>
        <w:pStyle w:val="Heading2"/>
        <w:jc w:val="center"/>
        <w:rPr>
          <w:i/>
          <w:sz w:val="24"/>
          <w:szCs w:val="24"/>
        </w:rPr>
      </w:pPr>
      <w:r w:rsidRPr="00CE2D43">
        <w:rPr>
          <w:i/>
          <w:sz w:val="24"/>
          <w:szCs w:val="24"/>
        </w:rPr>
        <w:t>Payment Systems (Regulation) Act 1998</w:t>
      </w:r>
    </w:p>
    <w:p w:rsidR="00CE2D43" w:rsidRPr="00CE2D43" w:rsidRDefault="00CE2D43" w:rsidP="00CE2D43">
      <w:pPr>
        <w:pStyle w:val="Heading2"/>
        <w:jc w:val="center"/>
        <w:rPr>
          <w:sz w:val="24"/>
          <w:szCs w:val="24"/>
        </w:rPr>
      </w:pPr>
      <w:r w:rsidRPr="00CE2D43">
        <w:rPr>
          <w:sz w:val="24"/>
          <w:szCs w:val="24"/>
        </w:rPr>
        <w:t xml:space="preserve">Variation to the </w:t>
      </w:r>
      <w:r w:rsidRPr="00CE2D43">
        <w:rPr>
          <w:i/>
          <w:sz w:val="24"/>
          <w:szCs w:val="24"/>
        </w:rPr>
        <w:t>Access Regime for the ATM System</w:t>
      </w:r>
      <w:r w:rsidRPr="00CE2D43">
        <w:rPr>
          <w:sz w:val="24"/>
          <w:szCs w:val="24"/>
        </w:rPr>
        <w:t>: Explanatory Statement</w:t>
      </w:r>
    </w:p>
    <w:p w:rsidR="00CE2D43" w:rsidRPr="00CE2D43" w:rsidRDefault="00CE2D43" w:rsidP="00CE2D43">
      <w:pPr>
        <w:pStyle w:val="Heading3"/>
        <w:rPr>
          <w:sz w:val="24"/>
          <w:szCs w:val="24"/>
        </w:rPr>
      </w:pPr>
      <w:r w:rsidRPr="00CE2D43">
        <w:rPr>
          <w:sz w:val="24"/>
          <w:szCs w:val="24"/>
        </w:rPr>
        <w:t>Background</w:t>
      </w:r>
    </w:p>
    <w:p w:rsidR="00175FC4" w:rsidRDefault="00AA1550" w:rsidP="00CE2D43">
      <w:pPr>
        <w:rPr>
          <w:sz w:val="24"/>
          <w:szCs w:val="24"/>
        </w:rPr>
      </w:pPr>
      <w:r>
        <w:rPr>
          <w:sz w:val="24"/>
          <w:szCs w:val="24"/>
        </w:rPr>
        <w:t>I</w:t>
      </w:r>
      <w:bookmarkStart w:id="0" w:name="_GoBack"/>
      <w:bookmarkEnd w:id="0"/>
      <w:r w:rsidR="00A533F5">
        <w:rPr>
          <w:sz w:val="24"/>
          <w:szCs w:val="24"/>
        </w:rPr>
        <w:t xml:space="preserve">n 2009, the </w:t>
      </w:r>
      <w:r w:rsidR="00F77060">
        <w:rPr>
          <w:sz w:val="24"/>
          <w:szCs w:val="24"/>
        </w:rPr>
        <w:t xml:space="preserve">Reserve </w:t>
      </w:r>
      <w:r w:rsidR="00A533F5">
        <w:rPr>
          <w:sz w:val="24"/>
          <w:szCs w:val="24"/>
        </w:rPr>
        <w:t xml:space="preserve">Bank put in place the </w:t>
      </w:r>
      <w:r w:rsidR="00A533F5" w:rsidRPr="00A533F5">
        <w:rPr>
          <w:i/>
          <w:sz w:val="24"/>
          <w:szCs w:val="24"/>
        </w:rPr>
        <w:t>Access Regime for the ATM System</w:t>
      </w:r>
      <w:r w:rsidR="00A533F5">
        <w:rPr>
          <w:sz w:val="24"/>
          <w:szCs w:val="24"/>
        </w:rPr>
        <w:t xml:space="preserve"> </w:t>
      </w:r>
      <w:r w:rsidR="00F77060">
        <w:rPr>
          <w:sz w:val="24"/>
          <w:szCs w:val="24"/>
        </w:rPr>
        <w:t xml:space="preserve">(the Access Regime) </w:t>
      </w:r>
      <w:r w:rsidR="00A533F5">
        <w:rPr>
          <w:sz w:val="24"/>
          <w:szCs w:val="24"/>
        </w:rPr>
        <w:t>as part of a broader set of industry-led reforms to improve efficiency and competition in the ATM system.</w:t>
      </w:r>
      <w:r w:rsidR="00F77060">
        <w:rPr>
          <w:sz w:val="24"/>
          <w:szCs w:val="24"/>
        </w:rPr>
        <w:t xml:space="preserve"> Among other elements, the Access Regime prohibits the payment of interchange fees between participants in the ATM system except in two sets of circumstances</w:t>
      </w:r>
      <w:r w:rsidR="00B32492">
        <w:rPr>
          <w:sz w:val="24"/>
          <w:szCs w:val="24"/>
        </w:rPr>
        <w:t xml:space="preserve"> – </w:t>
      </w:r>
      <w:r w:rsidR="00175FC4">
        <w:rPr>
          <w:sz w:val="24"/>
          <w:szCs w:val="24"/>
        </w:rPr>
        <w:t>where a common multilateral interchange fee is paid between members of an ATM sub-network, and where a fee is paid in respect of a ‘one-way arrangement’</w:t>
      </w:r>
      <w:r w:rsidR="003B0FDC">
        <w:rPr>
          <w:sz w:val="24"/>
          <w:szCs w:val="24"/>
        </w:rPr>
        <w:t xml:space="preserve"> (paragraph</w:t>
      </w:r>
      <w:r w:rsidR="00CF542C">
        <w:rPr>
          <w:sz w:val="24"/>
          <w:szCs w:val="24"/>
        </w:rPr>
        <w:t> </w:t>
      </w:r>
      <w:r w:rsidR="003B0FDC">
        <w:rPr>
          <w:sz w:val="24"/>
          <w:szCs w:val="24"/>
        </w:rPr>
        <w:t>11)</w:t>
      </w:r>
      <w:r w:rsidR="00175FC4">
        <w:rPr>
          <w:sz w:val="24"/>
          <w:szCs w:val="24"/>
        </w:rPr>
        <w:t>.</w:t>
      </w:r>
    </w:p>
    <w:p w:rsidR="00175FC4" w:rsidRDefault="00175FC4" w:rsidP="00CE2D43">
      <w:pPr>
        <w:rPr>
          <w:sz w:val="24"/>
          <w:szCs w:val="24"/>
        </w:rPr>
      </w:pPr>
      <w:r>
        <w:rPr>
          <w:sz w:val="24"/>
          <w:szCs w:val="24"/>
        </w:rPr>
        <w:t xml:space="preserve">The Bank considered these exceptions to benefit competition by allowing smaller financial institutions to provide their cardholders with direct charge-free access to a larger network of ATMs than they would be able to provide themselves. At the same time, the Bank sought to avoid the possibility that these exceptions would lead to the redevelopment of a network of bilateral interchange fees. The Access Regime therefore </w:t>
      </w:r>
      <w:r w:rsidR="003368F3">
        <w:rPr>
          <w:sz w:val="24"/>
          <w:szCs w:val="24"/>
        </w:rPr>
        <w:t>prevents</w:t>
      </w:r>
      <w:r>
        <w:rPr>
          <w:sz w:val="24"/>
          <w:szCs w:val="24"/>
        </w:rPr>
        <w:t xml:space="preserve"> an issuer from putting in place more than a single one-way arrangement, and from being both a payer and receiver of interchange fees under one-way arrangements</w:t>
      </w:r>
      <w:r w:rsidR="006C0C97">
        <w:rPr>
          <w:sz w:val="24"/>
          <w:szCs w:val="24"/>
        </w:rPr>
        <w:t xml:space="preserve"> (see paragraph 12)</w:t>
      </w:r>
      <w:r>
        <w:rPr>
          <w:sz w:val="24"/>
          <w:szCs w:val="24"/>
        </w:rPr>
        <w:t>.</w:t>
      </w:r>
    </w:p>
    <w:p w:rsidR="004D14E2" w:rsidRDefault="00175FC4" w:rsidP="00672C52">
      <w:pPr>
        <w:autoSpaceDE w:val="0"/>
        <w:autoSpaceDN w:val="0"/>
        <w:adjustRightInd w:val="0"/>
        <w:spacing w:after="0"/>
        <w:rPr>
          <w:sz w:val="24"/>
          <w:szCs w:val="24"/>
        </w:rPr>
      </w:pPr>
      <w:r>
        <w:rPr>
          <w:sz w:val="24"/>
          <w:szCs w:val="24"/>
        </w:rPr>
        <w:t xml:space="preserve">At the same time, the Bank recognised that it would be desirable to have some additional flexibility over the prohibition on interchange fees. The </w:t>
      </w:r>
      <w:r w:rsidR="004D14E2">
        <w:rPr>
          <w:sz w:val="24"/>
          <w:szCs w:val="24"/>
        </w:rPr>
        <w:t>Access R</w:t>
      </w:r>
      <w:r>
        <w:rPr>
          <w:sz w:val="24"/>
          <w:szCs w:val="24"/>
        </w:rPr>
        <w:t xml:space="preserve">egime therefore included a provision that allows the Bank to grant an exemption to the prohibition </w:t>
      </w:r>
      <w:r w:rsidR="00672C52">
        <w:rPr>
          <w:sz w:val="24"/>
          <w:szCs w:val="24"/>
        </w:rPr>
        <w:t>o</w:t>
      </w:r>
      <w:r w:rsidR="00E71C85">
        <w:rPr>
          <w:sz w:val="24"/>
          <w:szCs w:val="24"/>
        </w:rPr>
        <w:t>n</w:t>
      </w:r>
      <w:r w:rsidR="00672C52">
        <w:rPr>
          <w:sz w:val="24"/>
          <w:szCs w:val="24"/>
        </w:rPr>
        <w:t xml:space="preserve"> the payment of interchange fees under paragraph 11 </w:t>
      </w:r>
      <w:r w:rsidR="00672C52" w:rsidRPr="00672C52">
        <w:rPr>
          <w:sz w:val="24"/>
          <w:szCs w:val="24"/>
        </w:rPr>
        <w:t>where it is satisfied that the exemption</w:t>
      </w:r>
      <w:r w:rsidR="00672C52">
        <w:rPr>
          <w:sz w:val="24"/>
          <w:szCs w:val="24"/>
        </w:rPr>
        <w:t xml:space="preserve"> </w:t>
      </w:r>
      <w:r w:rsidR="00672C52" w:rsidRPr="00672C52">
        <w:rPr>
          <w:sz w:val="24"/>
          <w:szCs w:val="24"/>
        </w:rPr>
        <w:t xml:space="preserve">is appropriate, having regard to the public interest, the interest of current and </w:t>
      </w:r>
      <w:r w:rsidR="00672C52">
        <w:rPr>
          <w:sz w:val="24"/>
          <w:szCs w:val="24"/>
        </w:rPr>
        <w:t xml:space="preserve">potential </w:t>
      </w:r>
      <w:r w:rsidR="00672C52" w:rsidRPr="00672C52">
        <w:rPr>
          <w:sz w:val="24"/>
          <w:szCs w:val="24"/>
        </w:rPr>
        <w:t>future participants</w:t>
      </w:r>
      <w:r w:rsidR="00E66A10">
        <w:rPr>
          <w:sz w:val="24"/>
          <w:szCs w:val="24"/>
        </w:rPr>
        <w:t>,</w:t>
      </w:r>
      <w:r w:rsidR="00672C52" w:rsidRPr="00672C52">
        <w:rPr>
          <w:sz w:val="24"/>
          <w:szCs w:val="24"/>
        </w:rPr>
        <w:t xml:space="preserve"> and any other </w:t>
      </w:r>
      <w:r w:rsidR="00672C52">
        <w:rPr>
          <w:sz w:val="24"/>
          <w:szCs w:val="24"/>
        </w:rPr>
        <w:t xml:space="preserve">matters the Reserve Bank considers relevant. </w:t>
      </w:r>
      <w:r w:rsidR="004D14E2">
        <w:rPr>
          <w:sz w:val="24"/>
          <w:szCs w:val="24"/>
        </w:rPr>
        <w:t>T</w:t>
      </w:r>
      <w:r>
        <w:rPr>
          <w:sz w:val="24"/>
          <w:szCs w:val="24"/>
        </w:rPr>
        <w:t xml:space="preserve">hat exemption power, however, did not extend to the </w:t>
      </w:r>
      <w:r w:rsidR="006C0C97">
        <w:rPr>
          <w:sz w:val="24"/>
          <w:szCs w:val="24"/>
        </w:rPr>
        <w:t>prohibition on</w:t>
      </w:r>
      <w:r>
        <w:rPr>
          <w:sz w:val="24"/>
          <w:szCs w:val="24"/>
        </w:rPr>
        <w:t xml:space="preserve"> a participant being both a payer and receiver of interchange </w:t>
      </w:r>
      <w:r w:rsidR="004D14E2">
        <w:rPr>
          <w:sz w:val="24"/>
          <w:szCs w:val="24"/>
        </w:rPr>
        <w:t>fees under one-way arrangements</w:t>
      </w:r>
      <w:r w:rsidR="00672C52">
        <w:rPr>
          <w:sz w:val="24"/>
          <w:szCs w:val="24"/>
        </w:rPr>
        <w:t xml:space="preserve"> under paragraph 12</w:t>
      </w:r>
      <w:r w:rsidR="004D14E2">
        <w:rPr>
          <w:sz w:val="24"/>
          <w:szCs w:val="24"/>
        </w:rPr>
        <w:t>.</w:t>
      </w:r>
    </w:p>
    <w:p w:rsidR="00672C52" w:rsidRDefault="00672C52" w:rsidP="00672C52">
      <w:pPr>
        <w:autoSpaceDE w:val="0"/>
        <w:autoSpaceDN w:val="0"/>
        <w:adjustRightInd w:val="0"/>
        <w:spacing w:after="0"/>
        <w:jc w:val="left"/>
        <w:rPr>
          <w:sz w:val="24"/>
          <w:szCs w:val="24"/>
        </w:rPr>
      </w:pPr>
    </w:p>
    <w:p w:rsidR="004D14E2" w:rsidRDefault="004D14E2" w:rsidP="00CE2D43">
      <w:pPr>
        <w:rPr>
          <w:sz w:val="24"/>
          <w:szCs w:val="24"/>
        </w:rPr>
      </w:pPr>
      <w:r>
        <w:rPr>
          <w:sz w:val="24"/>
          <w:szCs w:val="24"/>
        </w:rPr>
        <w:t xml:space="preserve">Following consultation, the Bank </w:t>
      </w:r>
      <w:r w:rsidR="00CC0250">
        <w:rPr>
          <w:sz w:val="24"/>
          <w:szCs w:val="24"/>
        </w:rPr>
        <w:t>has formed</w:t>
      </w:r>
      <w:r>
        <w:rPr>
          <w:sz w:val="24"/>
          <w:szCs w:val="24"/>
        </w:rPr>
        <w:t xml:space="preserve"> the view that the </w:t>
      </w:r>
      <w:r w:rsidR="00B32492">
        <w:rPr>
          <w:sz w:val="24"/>
          <w:szCs w:val="24"/>
        </w:rPr>
        <w:t xml:space="preserve">original </w:t>
      </w:r>
      <w:r>
        <w:rPr>
          <w:sz w:val="24"/>
          <w:szCs w:val="24"/>
        </w:rPr>
        <w:t xml:space="preserve">exemption power </w:t>
      </w:r>
      <w:r w:rsidR="00B32492">
        <w:rPr>
          <w:sz w:val="24"/>
          <w:szCs w:val="24"/>
        </w:rPr>
        <w:t>was</w:t>
      </w:r>
      <w:r>
        <w:rPr>
          <w:sz w:val="24"/>
          <w:szCs w:val="24"/>
        </w:rPr>
        <w:t xml:space="preserve"> too narrow.</w:t>
      </w:r>
      <w:r w:rsidR="008F5386">
        <w:rPr>
          <w:sz w:val="24"/>
          <w:szCs w:val="24"/>
        </w:rPr>
        <w:t xml:space="preserve"> In particular, it </w:t>
      </w:r>
      <w:r w:rsidR="00CC0250">
        <w:rPr>
          <w:sz w:val="24"/>
          <w:szCs w:val="24"/>
        </w:rPr>
        <w:t xml:space="preserve">has become </w:t>
      </w:r>
      <w:r w:rsidR="008F5386">
        <w:rPr>
          <w:sz w:val="24"/>
          <w:szCs w:val="24"/>
        </w:rPr>
        <w:t xml:space="preserve">aware of possible circumstances where an ATM market participant may be both a payer and receiver of interchange fees under one-way arrangements and where such an arrangement is consistent with the </w:t>
      </w:r>
      <w:r w:rsidR="00B973F5">
        <w:rPr>
          <w:sz w:val="24"/>
          <w:szCs w:val="24"/>
        </w:rPr>
        <w:t>objective</w:t>
      </w:r>
      <w:r w:rsidR="008F5386">
        <w:rPr>
          <w:sz w:val="24"/>
          <w:szCs w:val="24"/>
        </w:rPr>
        <w:t xml:space="preserve"> of the Access Regime.</w:t>
      </w:r>
      <w:r>
        <w:rPr>
          <w:sz w:val="24"/>
          <w:szCs w:val="24"/>
        </w:rPr>
        <w:t xml:space="preserve"> </w:t>
      </w:r>
      <w:r w:rsidR="008F5386">
        <w:rPr>
          <w:sz w:val="24"/>
          <w:szCs w:val="24"/>
        </w:rPr>
        <w:t xml:space="preserve">The current </w:t>
      </w:r>
      <w:r>
        <w:rPr>
          <w:sz w:val="24"/>
          <w:szCs w:val="24"/>
        </w:rPr>
        <w:t>variation therefore extends the Bank’s exemption power in order for it to permit a participant to be both a payer and receiver of interchange fees under one-way arrangements</w:t>
      </w:r>
      <w:r w:rsidR="008F5386">
        <w:rPr>
          <w:sz w:val="24"/>
          <w:szCs w:val="24"/>
        </w:rPr>
        <w:t>.</w:t>
      </w:r>
    </w:p>
    <w:p w:rsidR="00CE2D43" w:rsidRPr="00CE2D43" w:rsidRDefault="00CE2D43" w:rsidP="00CE2D43">
      <w:pPr>
        <w:pStyle w:val="Heading3"/>
        <w:rPr>
          <w:sz w:val="24"/>
          <w:szCs w:val="24"/>
        </w:rPr>
      </w:pPr>
      <w:r w:rsidRPr="00CE2D43">
        <w:rPr>
          <w:sz w:val="24"/>
          <w:szCs w:val="24"/>
        </w:rPr>
        <w:t>Purpose and Effect</w:t>
      </w:r>
    </w:p>
    <w:p w:rsidR="00672C52" w:rsidRDefault="00672C52" w:rsidP="00672C52">
      <w:pPr>
        <w:rPr>
          <w:sz w:val="24"/>
          <w:szCs w:val="24"/>
        </w:rPr>
      </w:pPr>
      <w:r w:rsidRPr="008F2368">
        <w:rPr>
          <w:sz w:val="24"/>
          <w:szCs w:val="24"/>
        </w:rPr>
        <w:t xml:space="preserve">The purpose of the variation to the Access Regime </w:t>
      </w:r>
      <w:r>
        <w:rPr>
          <w:sz w:val="24"/>
          <w:szCs w:val="24"/>
        </w:rPr>
        <w:t>is to improve efficiency and competition in the ATM system by providing the Reserve Bank with more flexibility to facilitate ATM arrangements that it considers appropriate. The Access Regime continues to set out the factors that the Bank will have regard to in deciding whether an exemption is appropriate</w:t>
      </w:r>
      <w:r w:rsidR="008D42E3">
        <w:rPr>
          <w:sz w:val="24"/>
          <w:szCs w:val="24"/>
        </w:rPr>
        <w:t xml:space="preserve"> –</w:t>
      </w:r>
      <w:r>
        <w:rPr>
          <w:sz w:val="24"/>
          <w:szCs w:val="24"/>
        </w:rPr>
        <w:t xml:space="preserve"> the public interest, the interest of current and potential future participants in the system, and any other matters that the Reserve Bank considers relevant.</w:t>
      </w:r>
    </w:p>
    <w:p w:rsidR="00672C52" w:rsidRPr="00CE2D43" w:rsidRDefault="00672C52" w:rsidP="00672C52">
      <w:pPr>
        <w:rPr>
          <w:sz w:val="24"/>
          <w:szCs w:val="24"/>
        </w:rPr>
      </w:pPr>
      <w:r>
        <w:rPr>
          <w:sz w:val="24"/>
          <w:szCs w:val="24"/>
        </w:rPr>
        <w:lastRenderedPageBreak/>
        <w:t xml:space="preserve">The variation has the effect of extending the Reserve Bank’s exemption powers under the Access Regime, thereby enabling it to facilitate </w:t>
      </w:r>
      <w:r w:rsidR="00632FEC">
        <w:rPr>
          <w:sz w:val="24"/>
          <w:szCs w:val="24"/>
        </w:rPr>
        <w:t xml:space="preserve">ATM </w:t>
      </w:r>
      <w:r>
        <w:rPr>
          <w:sz w:val="24"/>
          <w:szCs w:val="24"/>
        </w:rPr>
        <w:t xml:space="preserve">arrangements </w:t>
      </w:r>
      <w:r w:rsidR="00632FEC">
        <w:rPr>
          <w:sz w:val="24"/>
          <w:szCs w:val="24"/>
        </w:rPr>
        <w:t xml:space="preserve">involving </w:t>
      </w:r>
      <w:r>
        <w:rPr>
          <w:sz w:val="24"/>
          <w:szCs w:val="24"/>
        </w:rPr>
        <w:t xml:space="preserve">a participant </w:t>
      </w:r>
      <w:r w:rsidR="00632FEC">
        <w:rPr>
          <w:sz w:val="24"/>
          <w:szCs w:val="24"/>
        </w:rPr>
        <w:t xml:space="preserve">that </w:t>
      </w:r>
      <w:r>
        <w:rPr>
          <w:sz w:val="24"/>
          <w:szCs w:val="24"/>
        </w:rPr>
        <w:t xml:space="preserve">both </w:t>
      </w:r>
      <w:r w:rsidR="00632FEC">
        <w:rPr>
          <w:sz w:val="24"/>
          <w:szCs w:val="24"/>
        </w:rPr>
        <w:t>pays</w:t>
      </w:r>
      <w:r>
        <w:rPr>
          <w:sz w:val="24"/>
          <w:szCs w:val="24"/>
        </w:rPr>
        <w:t xml:space="preserve"> and receive</w:t>
      </w:r>
      <w:r w:rsidR="00632FEC">
        <w:rPr>
          <w:sz w:val="24"/>
          <w:szCs w:val="24"/>
        </w:rPr>
        <w:t xml:space="preserve">s </w:t>
      </w:r>
      <w:r>
        <w:rPr>
          <w:sz w:val="24"/>
          <w:szCs w:val="24"/>
        </w:rPr>
        <w:t xml:space="preserve">interchange fees in one-way arrangements. This makes the process of dealing with </w:t>
      </w:r>
      <w:r w:rsidR="00031948">
        <w:rPr>
          <w:sz w:val="24"/>
          <w:szCs w:val="24"/>
        </w:rPr>
        <w:t xml:space="preserve">otherwise prohibited ATM arrangements </w:t>
      </w:r>
      <w:r>
        <w:rPr>
          <w:sz w:val="24"/>
          <w:szCs w:val="24"/>
        </w:rPr>
        <w:t>that are consistent with the objective of the Access Regime more streamlined, compared with the alternative means of facilitating such arrangements by varying the Access Regime on a case-by-case basis.</w:t>
      </w:r>
    </w:p>
    <w:p w:rsidR="00CE2D43" w:rsidRPr="00CE2D43" w:rsidRDefault="00CE2D43" w:rsidP="00CE2D43">
      <w:pPr>
        <w:pStyle w:val="Heading3"/>
        <w:rPr>
          <w:sz w:val="24"/>
          <w:szCs w:val="24"/>
        </w:rPr>
      </w:pPr>
      <w:r w:rsidRPr="00CE2D43">
        <w:rPr>
          <w:sz w:val="24"/>
          <w:szCs w:val="24"/>
        </w:rPr>
        <w:t>Consultation</w:t>
      </w:r>
    </w:p>
    <w:p w:rsidR="00A533F5" w:rsidRDefault="00CE2D43" w:rsidP="00A864C0">
      <w:pPr>
        <w:rPr>
          <w:sz w:val="24"/>
          <w:szCs w:val="24"/>
        </w:rPr>
      </w:pPr>
      <w:r>
        <w:rPr>
          <w:sz w:val="24"/>
          <w:szCs w:val="24"/>
        </w:rPr>
        <w:t>A draft variation to the Access Regime was released for consultation on 29 May 2012; the Bank requested submission</w:t>
      </w:r>
      <w:r w:rsidR="00A533F5">
        <w:rPr>
          <w:sz w:val="24"/>
          <w:szCs w:val="24"/>
        </w:rPr>
        <w:t>s</w:t>
      </w:r>
      <w:r>
        <w:rPr>
          <w:sz w:val="24"/>
          <w:szCs w:val="24"/>
        </w:rPr>
        <w:t xml:space="preserve"> from interested parties by 13 July 2012</w:t>
      </w:r>
      <w:r w:rsidR="00A533F5">
        <w:rPr>
          <w:sz w:val="24"/>
          <w:szCs w:val="24"/>
        </w:rPr>
        <w:t>.</w:t>
      </w:r>
    </w:p>
    <w:p w:rsidR="00CE2D43" w:rsidRPr="00CE2D43" w:rsidRDefault="00CE2D43" w:rsidP="00A864C0">
      <w:pPr>
        <w:rPr>
          <w:sz w:val="24"/>
          <w:szCs w:val="24"/>
        </w:rPr>
      </w:pPr>
      <w:r>
        <w:rPr>
          <w:sz w:val="24"/>
          <w:szCs w:val="24"/>
        </w:rPr>
        <w:t xml:space="preserve">The rationale for the variation is discussed in more detail in </w:t>
      </w:r>
      <w:r w:rsidRPr="00A864C0">
        <w:rPr>
          <w:i/>
          <w:sz w:val="24"/>
          <w:szCs w:val="24"/>
        </w:rPr>
        <w:t>A Variation to the Access Regime for the ATM System: Conclusions</w:t>
      </w:r>
      <w:r>
        <w:rPr>
          <w:sz w:val="24"/>
          <w:szCs w:val="24"/>
        </w:rPr>
        <w:t xml:space="preserve">, which summarises the various </w:t>
      </w:r>
      <w:r w:rsidR="00A864C0" w:rsidRPr="00A864C0">
        <w:rPr>
          <w:sz w:val="24"/>
          <w:szCs w:val="24"/>
        </w:rPr>
        <w:t>arguments made during the consultation process and the Bank's reasoning in coming</w:t>
      </w:r>
      <w:r w:rsidR="00A864C0">
        <w:rPr>
          <w:sz w:val="24"/>
          <w:szCs w:val="24"/>
        </w:rPr>
        <w:t xml:space="preserve"> </w:t>
      </w:r>
      <w:r w:rsidR="00A864C0" w:rsidRPr="00A864C0">
        <w:rPr>
          <w:sz w:val="24"/>
          <w:szCs w:val="24"/>
        </w:rPr>
        <w:t xml:space="preserve">to its </w:t>
      </w:r>
      <w:r w:rsidR="00A864C0">
        <w:rPr>
          <w:sz w:val="24"/>
          <w:szCs w:val="24"/>
        </w:rPr>
        <w:t>decision.</w:t>
      </w:r>
    </w:p>
    <w:p w:rsidR="00CE2D43" w:rsidRPr="00CE2D43" w:rsidRDefault="00CE2D43" w:rsidP="00CE2D43">
      <w:pPr>
        <w:pStyle w:val="Heading3"/>
        <w:rPr>
          <w:sz w:val="24"/>
          <w:szCs w:val="24"/>
        </w:rPr>
      </w:pPr>
      <w:r w:rsidRPr="00CE2D43">
        <w:rPr>
          <w:sz w:val="24"/>
          <w:szCs w:val="24"/>
        </w:rPr>
        <w:t>Documents</w:t>
      </w:r>
    </w:p>
    <w:p w:rsidR="00A864C0" w:rsidRPr="006719D1" w:rsidRDefault="00A864C0" w:rsidP="00A864C0">
      <w:pPr>
        <w:pStyle w:val="ListParagraph"/>
        <w:numPr>
          <w:ilvl w:val="0"/>
          <w:numId w:val="1"/>
        </w:numPr>
        <w:spacing w:after="0"/>
        <w:ind w:left="425" w:hanging="357"/>
        <w:contextualSpacing w:val="0"/>
        <w:rPr>
          <w:sz w:val="24"/>
          <w:szCs w:val="24"/>
        </w:rPr>
      </w:pPr>
      <w:r w:rsidRPr="006719D1">
        <w:rPr>
          <w:sz w:val="24"/>
          <w:szCs w:val="24"/>
        </w:rPr>
        <w:t xml:space="preserve">Reserve Bank of Australia (RBA) (2012), </w:t>
      </w:r>
      <w:proofErr w:type="gramStart"/>
      <w:r w:rsidRPr="006719D1">
        <w:rPr>
          <w:i/>
          <w:sz w:val="24"/>
          <w:szCs w:val="24"/>
        </w:rPr>
        <w:t>A</w:t>
      </w:r>
      <w:proofErr w:type="gramEnd"/>
      <w:r w:rsidRPr="006719D1">
        <w:rPr>
          <w:i/>
          <w:sz w:val="24"/>
          <w:szCs w:val="24"/>
        </w:rPr>
        <w:t xml:space="preserve"> Variation to the Access Regime for the ATM System: Consultation Document</w:t>
      </w:r>
      <w:r w:rsidRPr="006719D1">
        <w:rPr>
          <w:sz w:val="24"/>
          <w:szCs w:val="24"/>
        </w:rPr>
        <w:t>, May.</w:t>
      </w:r>
    </w:p>
    <w:p w:rsidR="00CE2D43" w:rsidRPr="006719D1" w:rsidRDefault="00A864C0" w:rsidP="00A864C0">
      <w:pPr>
        <w:pStyle w:val="ListParagraph"/>
        <w:ind w:left="425"/>
        <w:contextualSpacing w:val="0"/>
        <w:rPr>
          <w:sz w:val="24"/>
          <w:szCs w:val="24"/>
        </w:rPr>
      </w:pPr>
      <w:r w:rsidRPr="006719D1">
        <w:rPr>
          <w:sz w:val="24"/>
          <w:szCs w:val="24"/>
        </w:rPr>
        <w:t>Available at &lt;http://www.rba.gov.au/publications/consultations/201205-acc-reg-atm-sys-cons-doc/index.html&gt;.</w:t>
      </w:r>
    </w:p>
    <w:p w:rsidR="00A864C0" w:rsidRPr="006719D1" w:rsidRDefault="00A864C0" w:rsidP="00A864C0">
      <w:pPr>
        <w:pStyle w:val="ListParagraph"/>
        <w:numPr>
          <w:ilvl w:val="0"/>
          <w:numId w:val="1"/>
        </w:numPr>
        <w:spacing w:after="0"/>
        <w:ind w:left="425" w:hanging="357"/>
        <w:contextualSpacing w:val="0"/>
        <w:rPr>
          <w:i/>
          <w:sz w:val="24"/>
          <w:szCs w:val="24"/>
        </w:rPr>
      </w:pPr>
      <w:r w:rsidRPr="006719D1">
        <w:rPr>
          <w:sz w:val="24"/>
          <w:szCs w:val="24"/>
        </w:rPr>
        <w:t xml:space="preserve">RBA (2012), </w:t>
      </w:r>
      <w:proofErr w:type="gramStart"/>
      <w:r w:rsidRPr="006719D1">
        <w:rPr>
          <w:i/>
          <w:sz w:val="24"/>
          <w:szCs w:val="24"/>
        </w:rPr>
        <w:t>A</w:t>
      </w:r>
      <w:proofErr w:type="gramEnd"/>
      <w:r w:rsidRPr="006719D1">
        <w:rPr>
          <w:i/>
          <w:sz w:val="24"/>
          <w:szCs w:val="24"/>
        </w:rPr>
        <w:t xml:space="preserve"> Variation to the Access Regime for the ATM System: Conclusions</w:t>
      </w:r>
      <w:r w:rsidRPr="006719D1">
        <w:rPr>
          <w:sz w:val="24"/>
          <w:szCs w:val="24"/>
        </w:rPr>
        <w:t>, August.</w:t>
      </w:r>
    </w:p>
    <w:p w:rsidR="00A864C0" w:rsidRPr="006719D1" w:rsidRDefault="00A864C0" w:rsidP="00A864C0">
      <w:pPr>
        <w:pStyle w:val="ListParagraph"/>
        <w:ind w:left="425"/>
        <w:contextualSpacing w:val="0"/>
        <w:rPr>
          <w:sz w:val="24"/>
          <w:szCs w:val="24"/>
        </w:rPr>
      </w:pPr>
      <w:r w:rsidRPr="006719D1">
        <w:rPr>
          <w:sz w:val="24"/>
          <w:szCs w:val="24"/>
        </w:rPr>
        <w:t>Available at &lt;</w:t>
      </w:r>
      <w:r w:rsidR="005B1B33" w:rsidRPr="005B1B33">
        <w:rPr>
          <w:sz w:val="24"/>
          <w:szCs w:val="24"/>
        </w:rPr>
        <w:t>http://www.rba.gov.au/payments-system/reforms/atm/var-access-regime/</w:t>
      </w:r>
      <w:r w:rsidR="005B1B33">
        <w:rPr>
          <w:sz w:val="24"/>
          <w:szCs w:val="24"/>
        </w:rPr>
        <w:br/>
      </w:r>
      <w:r w:rsidR="005B1B33" w:rsidRPr="005B1B33">
        <w:rPr>
          <w:sz w:val="24"/>
          <w:szCs w:val="24"/>
        </w:rPr>
        <w:t>index.html</w:t>
      </w:r>
      <w:r w:rsidRPr="006719D1">
        <w:rPr>
          <w:sz w:val="24"/>
          <w:szCs w:val="24"/>
        </w:rPr>
        <w:t>&gt;.</w:t>
      </w:r>
    </w:p>
    <w:p w:rsidR="00A864C0" w:rsidRPr="006719D1" w:rsidRDefault="00A864C0" w:rsidP="00E71C85">
      <w:pPr>
        <w:spacing w:after="0"/>
        <w:rPr>
          <w:sz w:val="24"/>
          <w:szCs w:val="24"/>
        </w:rPr>
      </w:pPr>
    </w:p>
    <w:p w:rsidR="00A864C0" w:rsidRPr="006719D1" w:rsidRDefault="00A864C0" w:rsidP="00A864C0">
      <w:pPr>
        <w:pStyle w:val="ListParagraph"/>
        <w:spacing w:after="0"/>
        <w:ind w:left="425"/>
        <w:contextualSpacing w:val="0"/>
        <w:rPr>
          <w:sz w:val="24"/>
          <w:szCs w:val="24"/>
        </w:rPr>
      </w:pPr>
    </w:p>
    <w:p w:rsidR="00234676" w:rsidRPr="00077720" w:rsidRDefault="00CE2D43" w:rsidP="00CE2D43">
      <w:pPr>
        <w:spacing w:after="0"/>
        <w:rPr>
          <w:sz w:val="24"/>
          <w:szCs w:val="24"/>
        </w:rPr>
      </w:pPr>
      <w:r w:rsidRPr="00077720">
        <w:rPr>
          <w:sz w:val="24"/>
          <w:szCs w:val="24"/>
        </w:rPr>
        <w:t>Reserve Bank of Australia</w:t>
      </w:r>
    </w:p>
    <w:p w:rsidR="00CE2D43" w:rsidRPr="00077720" w:rsidRDefault="00CE2D43">
      <w:pPr>
        <w:rPr>
          <w:sz w:val="24"/>
          <w:szCs w:val="24"/>
        </w:rPr>
      </w:pPr>
      <w:r w:rsidRPr="00077720">
        <w:rPr>
          <w:sz w:val="24"/>
          <w:szCs w:val="24"/>
        </w:rPr>
        <w:t>SYDNEY</w:t>
      </w:r>
    </w:p>
    <w:p w:rsidR="00CE2D43" w:rsidRPr="00CE2D43" w:rsidRDefault="00077720">
      <w:pPr>
        <w:rPr>
          <w:sz w:val="24"/>
          <w:szCs w:val="24"/>
        </w:rPr>
      </w:pPr>
      <w:r w:rsidRPr="00077720">
        <w:rPr>
          <w:sz w:val="24"/>
          <w:szCs w:val="24"/>
        </w:rPr>
        <w:t>29</w:t>
      </w:r>
      <w:r w:rsidR="00CE2D43" w:rsidRPr="00077720">
        <w:rPr>
          <w:sz w:val="24"/>
          <w:szCs w:val="24"/>
        </w:rPr>
        <w:t xml:space="preserve"> August 2012</w:t>
      </w:r>
    </w:p>
    <w:p w:rsidR="00CE2D43" w:rsidRPr="00CE2D43" w:rsidRDefault="00CE2D43">
      <w:pPr>
        <w:rPr>
          <w:sz w:val="24"/>
          <w:szCs w:val="24"/>
        </w:rPr>
      </w:pPr>
    </w:p>
    <w:p w:rsidR="00CE2D43" w:rsidRPr="00CE2D43" w:rsidRDefault="00CE2D43">
      <w:pPr>
        <w:rPr>
          <w:sz w:val="24"/>
          <w:szCs w:val="24"/>
        </w:rPr>
      </w:pPr>
    </w:p>
    <w:sectPr w:rsidR="00CE2D43" w:rsidRPr="00CE2D43" w:rsidSect="00CE2D43">
      <w:pgSz w:w="11907" w:h="16840"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42786"/>
    <w:multiLevelType w:val="hybridMultilevel"/>
    <w:tmpl w:val="D0C21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E2D43"/>
    <w:rsid w:val="00031948"/>
    <w:rsid w:val="00077720"/>
    <w:rsid w:val="00175FC4"/>
    <w:rsid w:val="00234676"/>
    <w:rsid w:val="00262184"/>
    <w:rsid w:val="002F6239"/>
    <w:rsid w:val="003368F3"/>
    <w:rsid w:val="00354943"/>
    <w:rsid w:val="0036489E"/>
    <w:rsid w:val="003B0FDC"/>
    <w:rsid w:val="004043C3"/>
    <w:rsid w:val="0041048E"/>
    <w:rsid w:val="004D14E2"/>
    <w:rsid w:val="004E07A5"/>
    <w:rsid w:val="004F454D"/>
    <w:rsid w:val="005B1B33"/>
    <w:rsid w:val="005E68AB"/>
    <w:rsid w:val="00632FEC"/>
    <w:rsid w:val="006719D1"/>
    <w:rsid w:val="00672C52"/>
    <w:rsid w:val="00675EC9"/>
    <w:rsid w:val="0069376B"/>
    <w:rsid w:val="006C0C97"/>
    <w:rsid w:val="007045E4"/>
    <w:rsid w:val="00714C65"/>
    <w:rsid w:val="007424AB"/>
    <w:rsid w:val="007C4F40"/>
    <w:rsid w:val="007E594E"/>
    <w:rsid w:val="008D42E3"/>
    <w:rsid w:val="008E0C73"/>
    <w:rsid w:val="008F5386"/>
    <w:rsid w:val="0096788B"/>
    <w:rsid w:val="00A533F5"/>
    <w:rsid w:val="00A63CAA"/>
    <w:rsid w:val="00A864C0"/>
    <w:rsid w:val="00AA1550"/>
    <w:rsid w:val="00B32492"/>
    <w:rsid w:val="00B973F5"/>
    <w:rsid w:val="00C16BAF"/>
    <w:rsid w:val="00C6284F"/>
    <w:rsid w:val="00C96012"/>
    <w:rsid w:val="00CC0250"/>
    <w:rsid w:val="00CE2D43"/>
    <w:rsid w:val="00CF542C"/>
    <w:rsid w:val="00DC5B04"/>
    <w:rsid w:val="00DE408F"/>
    <w:rsid w:val="00E11FA0"/>
    <w:rsid w:val="00E30895"/>
    <w:rsid w:val="00E66A10"/>
    <w:rsid w:val="00E71C85"/>
    <w:rsid w:val="00E94823"/>
    <w:rsid w:val="00EB6D84"/>
    <w:rsid w:val="00F02635"/>
    <w:rsid w:val="00F32797"/>
    <w:rsid w:val="00F50C6C"/>
    <w:rsid w:val="00F77060"/>
    <w:rsid w:val="00FD51FA"/>
    <w:rsid w:val="00FE6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D84"/>
    <w:pPr>
      <w:spacing w:after="240"/>
      <w:jc w:val="both"/>
    </w:pPr>
    <w:rPr>
      <w:sz w:val="26"/>
    </w:rPr>
  </w:style>
  <w:style w:type="paragraph" w:styleId="Heading1">
    <w:name w:val="heading 1"/>
    <w:basedOn w:val="BaseHeading"/>
    <w:next w:val="Normal"/>
    <w:qFormat/>
    <w:rsid w:val="00234676"/>
    <w:pPr>
      <w:outlineLvl w:val="0"/>
    </w:pPr>
    <w:rPr>
      <w:caps/>
    </w:rPr>
  </w:style>
  <w:style w:type="paragraph" w:styleId="Heading2">
    <w:name w:val="heading 2"/>
    <w:basedOn w:val="BaseHeading"/>
    <w:next w:val="Normal"/>
    <w:qFormat/>
    <w:rsid w:val="00234676"/>
    <w:pPr>
      <w:outlineLvl w:val="1"/>
    </w:pPr>
  </w:style>
  <w:style w:type="paragraph" w:styleId="Heading3">
    <w:name w:val="heading 3"/>
    <w:basedOn w:val="BaseHeading"/>
    <w:next w:val="Normal"/>
    <w:qFormat/>
    <w:rsid w:val="00234676"/>
    <w:pPr>
      <w:outlineLvl w:val="2"/>
    </w:pPr>
  </w:style>
  <w:style w:type="paragraph" w:styleId="Heading4">
    <w:name w:val="heading 4"/>
    <w:basedOn w:val="BaseHeading"/>
    <w:next w:val="Normal"/>
    <w:qFormat/>
    <w:rsid w:val="0023467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angIndent">
    <w:name w:val="BaseHangIndent"/>
    <w:basedOn w:val="Normal"/>
    <w:rsid w:val="00234676"/>
  </w:style>
  <w:style w:type="paragraph" w:customStyle="1" w:styleId="BaseHeading">
    <w:name w:val="BaseHeading"/>
    <w:basedOn w:val="Normal"/>
    <w:rsid w:val="00234676"/>
    <w:pPr>
      <w:keepNext/>
    </w:pPr>
    <w:rPr>
      <w:b/>
    </w:rPr>
  </w:style>
  <w:style w:type="paragraph" w:customStyle="1" w:styleId="BaseIndent">
    <w:name w:val="BaseIndent"/>
    <w:basedOn w:val="Normal"/>
    <w:rsid w:val="00234676"/>
  </w:style>
  <w:style w:type="paragraph" w:customStyle="1" w:styleId="BaseTable">
    <w:name w:val="BaseTable"/>
    <w:basedOn w:val="Normal"/>
    <w:rsid w:val="00234676"/>
  </w:style>
  <w:style w:type="paragraph" w:customStyle="1" w:styleId="Draft">
    <w:name w:val="Draft"/>
    <w:basedOn w:val="Normal"/>
    <w:rsid w:val="00234676"/>
    <w:rPr>
      <w:b/>
    </w:rPr>
  </w:style>
  <w:style w:type="paragraph" w:customStyle="1" w:styleId="FileName">
    <w:name w:val="FileName"/>
    <w:basedOn w:val="Normal"/>
    <w:rsid w:val="00234676"/>
    <w:pPr>
      <w:framePr w:hSpace="181" w:wrap="around" w:hAnchor="text" w:yAlign="bottom"/>
    </w:pPr>
    <w:rPr>
      <w:sz w:val="18"/>
    </w:rPr>
  </w:style>
  <w:style w:type="paragraph" w:styleId="Footer">
    <w:name w:val="footer"/>
    <w:basedOn w:val="Normal"/>
    <w:semiHidden/>
    <w:rsid w:val="00234676"/>
    <w:pPr>
      <w:tabs>
        <w:tab w:val="right" w:pos="9072"/>
      </w:tabs>
      <w:spacing w:before="240"/>
    </w:pPr>
  </w:style>
  <w:style w:type="paragraph" w:customStyle="1" w:styleId="HangIndent0">
    <w:name w:val="HangIndent_0"/>
    <w:basedOn w:val="BaseHangIndent"/>
    <w:rsid w:val="00234676"/>
    <w:pPr>
      <w:ind w:left="567" w:hanging="567"/>
    </w:pPr>
  </w:style>
  <w:style w:type="paragraph" w:customStyle="1" w:styleId="HangIndent1">
    <w:name w:val="HangIndent_1"/>
    <w:basedOn w:val="BaseHangIndent"/>
    <w:rsid w:val="00234676"/>
    <w:pPr>
      <w:ind w:left="1134" w:hanging="567"/>
    </w:pPr>
  </w:style>
  <w:style w:type="paragraph" w:customStyle="1" w:styleId="HangIndent2">
    <w:name w:val="HangIndent_2"/>
    <w:basedOn w:val="BaseHangIndent"/>
    <w:rsid w:val="00234676"/>
    <w:pPr>
      <w:ind w:left="1701" w:hanging="567"/>
    </w:pPr>
  </w:style>
  <w:style w:type="paragraph" w:customStyle="1" w:styleId="HangIndent3">
    <w:name w:val="HangIndent_3"/>
    <w:basedOn w:val="BaseHangIndent"/>
    <w:rsid w:val="00234676"/>
    <w:pPr>
      <w:ind w:left="2268" w:hanging="567"/>
    </w:pPr>
  </w:style>
  <w:style w:type="paragraph" w:customStyle="1" w:styleId="HangIndent325">
    <w:name w:val="HangIndent_3.25"/>
    <w:basedOn w:val="BaseHangIndent"/>
    <w:rsid w:val="00234676"/>
    <w:pPr>
      <w:ind w:left="2410" w:hanging="567"/>
    </w:pPr>
  </w:style>
  <w:style w:type="paragraph" w:styleId="Header">
    <w:name w:val="header"/>
    <w:basedOn w:val="Normal"/>
    <w:semiHidden/>
    <w:rsid w:val="00234676"/>
    <w:pPr>
      <w:tabs>
        <w:tab w:val="right" w:pos="9072"/>
      </w:tabs>
    </w:pPr>
  </w:style>
  <w:style w:type="paragraph" w:customStyle="1" w:styleId="Heading">
    <w:name w:val="Heading"/>
    <w:basedOn w:val="BaseHeading"/>
    <w:next w:val="Normal"/>
    <w:rsid w:val="00234676"/>
  </w:style>
  <w:style w:type="paragraph" w:customStyle="1" w:styleId="Indent0">
    <w:name w:val="Indent_0"/>
    <w:basedOn w:val="BaseIndent"/>
    <w:rsid w:val="00234676"/>
  </w:style>
  <w:style w:type="paragraph" w:customStyle="1" w:styleId="Indent1">
    <w:name w:val="Indent_1"/>
    <w:basedOn w:val="BaseIndent"/>
    <w:rsid w:val="00234676"/>
    <w:pPr>
      <w:ind w:left="567"/>
    </w:pPr>
  </w:style>
  <w:style w:type="paragraph" w:customStyle="1" w:styleId="Indent2">
    <w:name w:val="Indent_2"/>
    <w:basedOn w:val="BaseIndent"/>
    <w:rsid w:val="00234676"/>
    <w:pPr>
      <w:ind w:left="1134"/>
    </w:pPr>
  </w:style>
  <w:style w:type="paragraph" w:customStyle="1" w:styleId="Indent3">
    <w:name w:val="Indent_3"/>
    <w:basedOn w:val="BaseIndent"/>
    <w:rsid w:val="00234676"/>
    <w:pPr>
      <w:ind w:left="1701"/>
    </w:pPr>
  </w:style>
  <w:style w:type="paragraph" w:customStyle="1" w:styleId="Indent325">
    <w:name w:val="Indent_3.25"/>
    <w:basedOn w:val="BaseIndent"/>
    <w:rsid w:val="00234676"/>
    <w:pPr>
      <w:ind w:left="1843"/>
    </w:pPr>
  </w:style>
  <w:style w:type="paragraph" w:styleId="MacroText">
    <w:name w:val="macro"/>
    <w:semiHidden/>
    <w:rsid w:val="00234676"/>
    <w:pPr>
      <w:tabs>
        <w:tab w:val="left" w:pos="567"/>
        <w:tab w:val="left" w:pos="1134"/>
        <w:tab w:val="left" w:pos="1701"/>
        <w:tab w:val="left" w:pos="2268"/>
        <w:tab w:val="left" w:pos="2835"/>
        <w:tab w:val="left" w:pos="3402"/>
        <w:tab w:val="left" w:pos="3969"/>
        <w:tab w:val="left" w:pos="4536"/>
      </w:tabs>
    </w:pPr>
    <w:rPr>
      <w:sz w:val="22"/>
    </w:rPr>
  </w:style>
  <w:style w:type="paragraph" w:customStyle="1" w:styleId="Messages">
    <w:name w:val="Messages"/>
    <w:basedOn w:val="Normal"/>
    <w:rsid w:val="00234676"/>
    <w:rPr>
      <w:vanish/>
      <w:color w:val="FF0000"/>
      <w:sz w:val="48"/>
    </w:rPr>
  </w:style>
  <w:style w:type="paragraph" w:customStyle="1" w:styleId="Signatory">
    <w:name w:val="Signatory"/>
    <w:basedOn w:val="Normal"/>
    <w:next w:val="Indent0"/>
    <w:rsid w:val="00234676"/>
    <w:pPr>
      <w:spacing w:before="1200"/>
    </w:pPr>
  </w:style>
  <w:style w:type="paragraph" w:customStyle="1" w:styleId="Table">
    <w:name w:val="Table"/>
    <w:basedOn w:val="BaseTable"/>
    <w:rsid w:val="00234676"/>
    <w:pPr>
      <w:spacing w:before="60" w:after="60"/>
    </w:pPr>
  </w:style>
  <w:style w:type="paragraph" w:styleId="TOC1">
    <w:name w:val="toc 1"/>
    <w:basedOn w:val="Normal"/>
    <w:next w:val="Normal"/>
    <w:autoRedefine/>
    <w:semiHidden/>
    <w:rsid w:val="00234676"/>
    <w:pPr>
      <w:tabs>
        <w:tab w:val="right" w:pos="9071"/>
      </w:tabs>
      <w:spacing w:before="360" w:after="0"/>
      <w:ind w:left="567" w:hanging="567"/>
    </w:pPr>
    <w:rPr>
      <w:b/>
      <w:caps/>
    </w:rPr>
  </w:style>
  <w:style w:type="paragraph" w:styleId="TOC2">
    <w:name w:val="toc 2"/>
    <w:basedOn w:val="Normal"/>
    <w:next w:val="Normal"/>
    <w:autoRedefine/>
    <w:semiHidden/>
    <w:rsid w:val="00234676"/>
    <w:pPr>
      <w:tabs>
        <w:tab w:val="right" w:leader="dot" w:pos="9071"/>
      </w:tabs>
      <w:spacing w:after="0"/>
      <w:ind w:left="851" w:hanging="851"/>
    </w:pPr>
  </w:style>
  <w:style w:type="paragraph" w:styleId="TOC3">
    <w:name w:val="toc 3"/>
    <w:basedOn w:val="Normal"/>
    <w:next w:val="Normal"/>
    <w:autoRedefine/>
    <w:semiHidden/>
    <w:rsid w:val="00234676"/>
    <w:pPr>
      <w:tabs>
        <w:tab w:val="right" w:leader="dot" w:pos="9071"/>
      </w:tabs>
      <w:spacing w:after="0"/>
      <w:ind w:left="851" w:hanging="851"/>
    </w:pPr>
    <w:rPr>
      <w:sz w:val="20"/>
    </w:rPr>
  </w:style>
  <w:style w:type="paragraph" w:styleId="TOC4">
    <w:name w:val="toc 4"/>
    <w:basedOn w:val="Normal"/>
    <w:next w:val="Normal"/>
    <w:autoRedefine/>
    <w:semiHidden/>
    <w:rsid w:val="00234676"/>
    <w:pPr>
      <w:tabs>
        <w:tab w:val="right" w:leader="dot" w:pos="9071"/>
      </w:tabs>
      <w:spacing w:after="0"/>
      <w:ind w:left="520"/>
    </w:pPr>
    <w:rPr>
      <w:sz w:val="18"/>
    </w:rPr>
  </w:style>
  <w:style w:type="paragraph" w:styleId="BalloonText">
    <w:name w:val="Balloon Text"/>
    <w:basedOn w:val="Normal"/>
    <w:link w:val="BalloonTextChar"/>
    <w:uiPriority w:val="99"/>
    <w:semiHidden/>
    <w:unhideWhenUsed/>
    <w:rsid w:val="00CE2D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D43"/>
    <w:rPr>
      <w:rFonts w:ascii="Tahoma" w:hAnsi="Tahoma" w:cs="Tahoma"/>
      <w:sz w:val="16"/>
      <w:szCs w:val="16"/>
    </w:rPr>
  </w:style>
  <w:style w:type="paragraph" w:styleId="ListParagraph">
    <w:name w:val="List Paragraph"/>
    <w:basedOn w:val="Normal"/>
    <w:uiPriority w:val="34"/>
    <w:qFormat/>
    <w:rsid w:val="00A864C0"/>
    <w:pPr>
      <w:ind w:left="720"/>
      <w:contextualSpacing/>
    </w:pPr>
  </w:style>
  <w:style w:type="character" w:styleId="Hyperlink">
    <w:name w:val="Hyperlink"/>
    <w:basedOn w:val="DefaultParagraphFont"/>
    <w:uiPriority w:val="99"/>
    <w:unhideWhenUsed/>
    <w:rsid w:val="00A864C0"/>
    <w:rPr>
      <w:color w:val="0000FF"/>
      <w:u w:val="single"/>
    </w:rPr>
  </w:style>
  <w:style w:type="character" w:styleId="CommentReference">
    <w:name w:val="annotation reference"/>
    <w:basedOn w:val="DefaultParagraphFont"/>
    <w:uiPriority w:val="99"/>
    <w:semiHidden/>
    <w:unhideWhenUsed/>
    <w:rsid w:val="00672C52"/>
    <w:rPr>
      <w:sz w:val="16"/>
      <w:szCs w:val="16"/>
    </w:rPr>
  </w:style>
  <w:style w:type="paragraph" w:styleId="CommentText">
    <w:name w:val="annotation text"/>
    <w:basedOn w:val="Normal"/>
    <w:link w:val="CommentTextChar"/>
    <w:uiPriority w:val="99"/>
    <w:semiHidden/>
    <w:unhideWhenUsed/>
    <w:rsid w:val="00672C52"/>
    <w:rPr>
      <w:sz w:val="20"/>
    </w:rPr>
  </w:style>
  <w:style w:type="character" w:customStyle="1" w:styleId="CommentTextChar">
    <w:name w:val="Comment Text Char"/>
    <w:basedOn w:val="DefaultParagraphFont"/>
    <w:link w:val="CommentText"/>
    <w:uiPriority w:val="99"/>
    <w:semiHidden/>
    <w:rsid w:val="00672C52"/>
  </w:style>
  <w:style w:type="paragraph" w:styleId="CommentSubject">
    <w:name w:val="annotation subject"/>
    <w:basedOn w:val="CommentText"/>
    <w:next w:val="CommentText"/>
    <w:link w:val="CommentSubjectChar"/>
    <w:uiPriority w:val="99"/>
    <w:semiHidden/>
    <w:unhideWhenUsed/>
    <w:rsid w:val="00672C52"/>
    <w:rPr>
      <w:b/>
      <w:bCs/>
    </w:rPr>
  </w:style>
  <w:style w:type="character" w:customStyle="1" w:styleId="CommentSubjectChar">
    <w:name w:val="Comment Subject Char"/>
    <w:basedOn w:val="CommentTextChar"/>
    <w:link w:val="CommentSubject"/>
    <w:uiPriority w:val="99"/>
    <w:semiHidden/>
    <w:rsid w:val="00672C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4C917718.dotm</Template>
  <TotalTime>0</TotalTime>
  <Pages>2</Pages>
  <Words>676</Words>
  <Characters>3796</Characters>
  <Application>Microsoft Office Word</Application>
  <DocSecurity>4</DocSecurity>
  <Lines>68</Lines>
  <Paragraphs>21</Paragraphs>
  <ScaleCrop>false</ScaleCrop>
  <HeadingPairs>
    <vt:vector size="2" baseType="variant">
      <vt:variant>
        <vt:lpstr>Title</vt:lpstr>
      </vt:variant>
      <vt:variant>
        <vt:i4>1</vt:i4>
      </vt:variant>
    </vt:vector>
  </HeadingPairs>
  <TitlesOfParts>
    <vt:vector size="1" baseType="lpstr">
      <vt:lpstr/>
    </vt:vector>
  </TitlesOfParts>
  <Company>RBA</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Chan</dc:creator>
  <cp:keywords/>
  <dc:description/>
  <cp:lastModifiedBy>Iris Chan</cp:lastModifiedBy>
  <cp:revision>2</cp:revision>
  <dcterms:created xsi:type="dcterms:W3CDTF">2012-08-28T04:40:00Z</dcterms:created>
  <dcterms:modified xsi:type="dcterms:W3CDTF">2012-08-28T04:40:00Z</dcterms:modified>
</cp:coreProperties>
</file>