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610" w:rsidRPr="00655A62" w:rsidRDefault="003B2610" w:rsidP="003B2610">
      <w:pPr>
        <w:spacing w:line="360" w:lineRule="auto"/>
        <w:jc w:val="center"/>
        <w:rPr>
          <w:rFonts w:ascii="Times New Roman" w:hAnsi="Times New Roman"/>
          <w:b/>
          <w:u w:val="single"/>
        </w:rPr>
      </w:pPr>
      <w:r w:rsidRPr="00655A62">
        <w:rPr>
          <w:rFonts w:ascii="Times New Roman" w:hAnsi="Times New Roman"/>
          <w:b/>
          <w:u w:val="single"/>
        </w:rPr>
        <w:t xml:space="preserve">EXPLANATORY STATEMENT </w:t>
      </w:r>
    </w:p>
    <w:p w:rsidR="003B2610" w:rsidRPr="005B267B" w:rsidRDefault="003B2610" w:rsidP="003B2610">
      <w:pPr>
        <w:spacing w:line="360" w:lineRule="auto"/>
        <w:jc w:val="center"/>
        <w:rPr>
          <w:rFonts w:ascii="Times New Roman" w:hAnsi="Times New Roman"/>
          <w:b/>
          <w:sz w:val="24"/>
          <w:szCs w:val="24"/>
          <w:u w:val="single"/>
        </w:rPr>
      </w:pPr>
      <w:r w:rsidRPr="005B267B">
        <w:rPr>
          <w:rFonts w:ascii="Times New Roman" w:hAnsi="Times New Roman"/>
          <w:b/>
          <w:sz w:val="24"/>
          <w:szCs w:val="24"/>
          <w:u w:val="single"/>
        </w:rPr>
        <w:t xml:space="preserve">Select Legislative Instrument 2012 No. </w:t>
      </w:r>
      <w:r w:rsidR="00096A2C">
        <w:rPr>
          <w:rFonts w:ascii="Times New Roman" w:hAnsi="Times New Roman"/>
          <w:b/>
          <w:sz w:val="24"/>
          <w:szCs w:val="24"/>
          <w:u w:val="single"/>
        </w:rPr>
        <w:t>211</w:t>
      </w:r>
    </w:p>
    <w:p w:rsidR="003B2610" w:rsidRPr="005B267B" w:rsidRDefault="003B2610" w:rsidP="003B2610">
      <w:pPr>
        <w:spacing w:line="360" w:lineRule="auto"/>
        <w:jc w:val="center"/>
        <w:rPr>
          <w:rFonts w:ascii="Times New Roman" w:hAnsi="Times New Roman"/>
          <w:sz w:val="24"/>
          <w:szCs w:val="24"/>
          <w:u w:val="single"/>
        </w:rPr>
      </w:pPr>
      <w:r w:rsidRPr="005B267B">
        <w:rPr>
          <w:rFonts w:ascii="Times New Roman" w:hAnsi="Times New Roman"/>
          <w:sz w:val="24"/>
          <w:szCs w:val="24"/>
          <w:u w:val="single"/>
        </w:rPr>
        <w:t>Issued by Authority of the Attorney-General</w:t>
      </w:r>
    </w:p>
    <w:p w:rsidR="003B2610" w:rsidRPr="005B267B" w:rsidRDefault="003B2610" w:rsidP="003B2610">
      <w:pPr>
        <w:spacing w:line="360" w:lineRule="auto"/>
        <w:jc w:val="center"/>
        <w:rPr>
          <w:rFonts w:ascii="Times New Roman" w:hAnsi="Times New Roman"/>
          <w:i/>
          <w:sz w:val="24"/>
          <w:szCs w:val="24"/>
        </w:rPr>
      </w:pPr>
      <w:r w:rsidRPr="005B267B">
        <w:rPr>
          <w:rFonts w:ascii="Times New Roman" w:hAnsi="Times New Roman"/>
          <w:i/>
          <w:sz w:val="24"/>
          <w:szCs w:val="24"/>
        </w:rPr>
        <w:t>Family Law Act 1975</w:t>
      </w:r>
    </w:p>
    <w:p w:rsidR="003B2610" w:rsidRPr="005B267B" w:rsidRDefault="003B2610" w:rsidP="003B2610">
      <w:pPr>
        <w:spacing w:line="360" w:lineRule="auto"/>
        <w:jc w:val="center"/>
        <w:rPr>
          <w:b/>
          <w:sz w:val="24"/>
          <w:szCs w:val="24"/>
        </w:rPr>
      </w:pPr>
      <w:r w:rsidRPr="005B267B">
        <w:rPr>
          <w:rFonts w:ascii="Times New Roman" w:hAnsi="Times New Roman"/>
          <w:i/>
          <w:sz w:val="24"/>
          <w:szCs w:val="24"/>
        </w:rPr>
        <w:t xml:space="preserve">Family Law </w:t>
      </w:r>
      <w:r w:rsidR="00096A2C">
        <w:rPr>
          <w:rFonts w:ascii="Times New Roman" w:hAnsi="Times New Roman"/>
          <w:i/>
          <w:sz w:val="24"/>
          <w:szCs w:val="24"/>
        </w:rPr>
        <w:t>Amendment Regulation 2012 (No. 3</w:t>
      </w:r>
      <w:r w:rsidRPr="005B267B">
        <w:rPr>
          <w:rFonts w:ascii="Times New Roman" w:hAnsi="Times New Roman"/>
          <w:i/>
          <w:sz w:val="24"/>
          <w:szCs w:val="24"/>
        </w:rPr>
        <w:t>)</w:t>
      </w:r>
    </w:p>
    <w:p w:rsidR="003B2610" w:rsidRDefault="003B2610" w:rsidP="002D1F8D">
      <w:pPr>
        <w:pStyle w:val="Subject"/>
        <w:keepNext w:val="0"/>
        <w:spacing w:before="0" w:after="240"/>
        <w:rPr>
          <w:b w:val="0"/>
          <w:szCs w:val="24"/>
        </w:rPr>
      </w:pPr>
      <w:r w:rsidRPr="005B267B">
        <w:rPr>
          <w:b w:val="0"/>
          <w:szCs w:val="24"/>
        </w:rPr>
        <w:t xml:space="preserve">Subsection 125(1) of the </w:t>
      </w:r>
      <w:r w:rsidRPr="005B267B">
        <w:rPr>
          <w:b w:val="0"/>
          <w:i/>
          <w:szCs w:val="24"/>
        </w:rPr>
        <w:t>Family Law Act 1975</w:t>
      </w:r>
      <w:r w:rsidRPr="005B267B">
        <w:rPr>
          <w:b w:val="0"/>
          <w:szCs w:val="24"/>
        </w:rPr>
        <w:t xml:space="preserve"> (Family Law Act) provides, in part, that the Governor</w:t>
      </w:r>
      <w:r w:rsidR="00BB0406" w:rsidRPr="005B267B">
        <w:rPr>
          <w:b w:val="0"/>
          <w:szCs w:val="24"/>
        </w:rPr>
        <w:noBreakHyphen/>
      </w:r>
      <w:r w:rsidRPr="005B267B">
        <w:rPr>
          <w:b w:val="0"/>
          <w:szCs w:val="24"/>
        </w:rPr>
        <w:t>General may make regulations, not inconsistent with the Family Law Act, prescribing all matters required or permitted by the Family Law Act to be prescribed, or necessary or convenient to be prescribed for carrying out or giving effect to th</w:t>
      </w:r>
      <w:r w:rsidR="00E45749">
        <w:rPr>
          <w:b w:val="0"/>
          <w:szCs w:val="24"/>
        </w:rPr>
        <w:t>e Family Law </w:t>
      </w:r>
      <w:r w:rsidRPr="005B267B">
        <w:rPr>
          <w:b w:val="0"/>
          <w:szCs w:val="24"/>
        </w:rPr>
        <w:t xml:space="preserve">Act. </w:t>
      </w:r>
    </w:p>
    <w:p w:rsidR="00590F5E" w:rsidRPr="00215734" w:rsidRDefault="00590F5E" w:rsidP="00215734">
      <w:pPr>
        <w:rPr>
          <w:rFonts w:ascii="Times New Roman" w:hAnsi="Times New Roman"/>
          <w:sz w:val="24"/>
          <w:szCs w:val="24"/>
          <w:u w:val="single"/>
          <w:lang w:eastAsia="en-AU"/>
        </w:rPr>
      </w:pPr>
      <w:r w:rsidRPr="00215734">
        <w:rPr>
          <w:rFonts w:ascii="Times New Roman" w:hAnsi="Times New Roman"/>
          <w:sz w:val="24"/>
          <w:szCs w:val="24"/>
          <w:u w:val="single"/>
          <w:lang w:eastAsia="en-AU"/>
        </w:rPr>
        <w:t>Amendments relating to proceeds of crime orders</w:t>
      </w:r>
    </w:p>
    <w:p w:rsidR="003B2610" w:rsidRPr="005B267B" w:rsidRDefault="003B2610" w:rsidP="002D1F8D">
      <w:pPr>
        <w:pStyle w:val="Subject"/>
        <w:keepNext w:val="0"/>
        <w:spacing w:before="0" w:after="240"/>
        <w:rPr>
          <w:b w:val="0"/>
          <w:szCs w:val="24"/>
        </w:rPr>
      </w:pPr>
      <w:r w:rsidRPr="005B267B">
        <w:rPr>
          <w:b w:val="0"/>
          <w:szCs w:val="24"/>
        </w:rPr>
        <w:t xml:space="preserve">Parts VIII, VIIIA and VIIIAB of the Family Law Act provide for the distribution of property of parties to a marriage or de facto relationship following separation.  These parts of the Family Law Act also contain provisions for the court to make orders regarding the maintenance of one of the parties to the marriage or de facto relationship. </w:t>
      </w:r>
    </w:p>
    <w:p w:rsidR="003B2610" w:rsidRPr="005B267B" w:rsidRDefault="003B2610" w:rsidP="002D1F8D">
      <w:pPr>
        <w:pStyle w:val="Subject"/>
        <w:keepNext w:val="0"/>
        <w:spacing w:before="0" w:after="240"/>
        <w:rPr>
          <w:b w:val="0"/>
          <w:szCs w:val="24"/>
        </w:rPr>
      </w:pPr>
      <w:r w:rsidRPr="005B267B">
        <w:rPr>
          <w:b w:val="0"/>
          <w:szCs w:val="24"/>
        </w:rPr>
        <w:t xml:space="preserve">Under subsections 79B(1), 90M(1) and 90VA(1) of the Family Law Act, parties who apply to the court for orders about the settlement of property or maintenance under Parts VIII, VIIIA or VIIIAB of the Family Law Act are required to notify the court in their application when they are aware that the property of the married or de facto parties or either of them is the subject of a proceeds of crime order or forfeiture application.  Subsections 79B(3), 90M(3) and 90VA(3) provide that if a person is already a party to family law proceedings involving the settlement of property or maintenance they are required to notify the Registry Manager if they are notified by a proceeds of crime authority that a proceeds of crime order or forfeiture application covers the property of the parties to the marriage or de facto relationship or either of them.  </w:t>
      </w:r>
    </w:p>
    <w:p w:rsidR="003B2610" w:rsidRPr="005B267B" w:rsidRDefault="003B2610" w:rsidP="002D1F8D">
      <w:pPr>
        <w:pStyle w:val="Subject"/>
        <w:keepNext w:val="0"/>
        <w:spacing w:before="0" w:after="240"/>
        <w:rPr>
          <w:b w:val="0"/>
          <w:szCs w:val="24"/>
        </w:rPr>
      </w:pPr>
      <w:r w:rsidRPr="005B267B">
        <w:rPr>
          <w:b w:val="0"/>
          <w:szCs w:val="24"/>
        </w:rPr>
        <w:t>It is an offence for a person not to disclose the proceeds of crime order or forfeiture application to the court or Registry Manager where the existence of the order is known by or notified to a person who applies for or is a party to proceedings involving property settlement or maintenance under Part VIII, VIIIA or VIIIAB.  When a court in which property settlement or maintenance proceedings under these parts are pending is notified about the existence of a proceeds of crime order or forfeiture application, the Family Law Act requires</w:t>
      </w:r>
      <w:r w:rsidR="00E45749">
        <w:rPr>
          <w:b w:val="0"/>
          <w:szCs w:val="24"/>
        </w:rPr>
        <w:t>,</w:t>
      </w:r>
      <w:r w:rsidRPr="005B267B">
        <w:rPr>
          <w:b w:val="0"/>
          <w:szCs w:val="24"/>
        </w:rPr>
        <w:t xml:space="preserve"> under subsections 79C(1), 90N(1) and 90VB(1), the court to stay those proceedings until the proceeds of crime order or forfeiture application ceases to be in effect or is resolved.  </w:t>
      </w:r>
    </w:p>
    <w:p w:rsidR="003B2610" w:rsidRPr="005B267B" w:rsidRDefault="003B2610" w:rsidP="002D1F8D">
      <w:pPr>
        <w:pStyle w:val="Subject"/>
        <w:keepNext w:val="0"/>
        <w:spacing w:before="0" w:after="240"/>
        <w:rPr>
          <w:szCs w:val="24"/>
        </w:rPr>
      </w:pPr>
      <w:r w:rsidRPr="005B267B">
        <w:rPr>
          <w:b w:val="0"/>
          <w:szCs w:val="24"/>
        </w:rPr>
        <w:t xml:space="preserve">The Family Law Act also provides, under sections 79C, 79D, 79E, 90N, 90P, 90Q, 90VB, 90VC and 90VD, that a proceeds of crime authority may intervene, make submissions, apply for a stay or a lift of stay, or consent to a lift of a stay of family law proceedings if the court has been notified that a proceeds of crime order or forfeiture application applies to property that is the subject of family law proceedings.  The court can also invite the proceeds of crime authority to make submissions in the proceedings.  The court must notify the proceeds of crime authority when proceedings are stayed because of the notification of a proceeds of crime order or forfeiture application.  The proceeds of crime authority must also notify the </w:t>
      </w:r>
      <w:r w:rsidRPr="005B267B">
        <w:rPr>
          <w:b w:val="0"/>
          <w:szCs w:val="24"/>
        </w:rPr>
        <w:lastRenderedPageBreak/>
        <w:t>Registry Manager of the court when a relevant proceeds of crime order ceases to be in force or when a forfeiture application is finally determined.</w:t>
      </w:r>
    </w:p>
    <w:p w:rsidR="003B2610" w:rsidRPr="005B267B" w:rsidRDefault="003B2610" w:rsidP="005C3C22">
      <w:pPr>
        <w:pStyle w:val="subsection"/>
        <w:keepNext/>
        <w:keepLines/>
      </w:pPr>
      <w:r w:rsidRPr="005B267B">
        <w:t xml:space="preserve">The </w:t>
      </w:r>
      <w:r w:rsidRPr="005B267B">
        <w:rPr>
          <w:i/>
        </w:rPr>
        <w:t>Crimes Legislation Amendment Act (No. 2) 2011</w:t>
      </w:r>
      <w:r w:rsidRPr="005B267B">
        <w:t xml:space="preserve"> (Amendment Act) amended the Family Law</w:t>
      </w:r>
      <w:r w:rsidR="002D1F8D" w:rsidRPr="005B267B">
        <w:t> </w:t>
      </w:r>
      <w:r w:rsidRPr="005B267B">
        <w:t>Act, to expand the types of proceeds of crime orders and forfeiture applications parties must disclose to the court to include proceeds of crime orders and forfeiture applications made under State and Territory proceeds of crime law that are prescribed by regulation.  The Amendment Act also expands the class of proceeds of crime authority to include persons or bodies that are prescribed by regulation as</w:t>
      </w:r>
      <w:r w:rsidR="004D6376" w:rsidRPr="005B267B">
        <w:t xml:space="preserve"> a</w:t>
      </w:r>
      <w:r w:rsidRPr="005B267B">
        <w:t xml:space="preserve"> proceeds of crime authority, in relation to a provision of the Family Law Act, for the purposes of a class of proceeds of crime order or forfeiture application under a State or Territory proceeds of crime law.   </w:t>
      </w:r>
    </w:p>
    <w:p w:rsidR="003B2610" w:rsidRPr="005B267B" w:rsidRDefault="003B2610" w:rsidP="003B2610">
      <w:pPr>
        <w:spacing w:line="240" w:lineRule="auto"/>
        <w:rPr>
          <w:rFonts w:ascii="Times New Roman" w:hAnsi="Times New Roman"/>
          <w:sz w:val="24"/>
          <w:szCs w:val="24"/>
        </w:rPr>
      </w:pPr>
      <w:r w:rsidRPr="005B267B">
        <w:rPr>
          <w:rFonts w:ascii="Times New Roman" w:hAnsi="Times New Roman"/>
          <w:sz w:val="24"/>
          <w:szCs w:val="24"/>
        </w:rPr>
        <w:t xml:space="preserve">The </w:t>
      </w:r>
      <w:r w:rsidR="004431C3" w:rsidRPr="005B267B">
        <w:rPr>
          <w:rFonts w:ascii="Times New Roman" w:hAnsi="Times New Roman"/>
          <w:sz w:val="24"/>
          <w:szCs w:val="24"/>
        </w:rPr>
        <w:t>R</w:t>
      </w:r>
      <w:r w:rsidRPr="005B267B">
        <w:rPr>
          <w:rFonts w:ascii="Times New Roman" w:hAnsi="Times New Roman"/>
          <w:sz w:val="24"/>
          <w:szCs w:val="24"/>
        </w:rPr>
        <w:t>egulation amend</w:t>
      </w:r>
      <w:r w:rsidR="004431C3" w:rsidRPr="005B267B">
        <w:rPr>
          <w:rFonts w:ascii="Times New Roman" w:hAnsi="Times New Roman"/>
          <w:sz w:val="24"/>
          <w:szCs w:val="24"/>
        </w:rPr>
        <w:t>s</w:t>
      </w:r>
      <w:r w:rsidRPr="005B267B">
        <w:rPr>
          <w:rFonts w:ascii="Times New Roman" w:hAnsi="Times New Roman"/>
          <w:sz w:val="24"/>
          <w:szCs w:val="24"/>
        </w:rPr>
        <w:t xml:space="preserve"> the </w:t>
      </w:r>
      <w:r w:rsidRPr="005B267B">
        <w:rPr>
          <w:rFonts w:ascii="Times New Roman" w:hAnsi="Times New Roman"/>
          <w:i/>
          <w:sz w:val="24"/>
          <w:szCs w:val="24"/>
        </w:rPr>
        <w:t>Family Law Regulations 1984</w:t>
      </w:r>
      <w:r w:rsidRPr="005B267B">
        <w:rPr>
          <w:rFonts w:ascii="Times New Roman" w:hAnsi="Times New Roman"/>
          <w:sz w:val="24"/>
          <w:szCs w:val="24"/>
        </w:rPr>
        <w:t xml:space="preserve"> </w:t>
      </w:r>
      <w:r w:rsidR="00265353" w:rsidRPr="005B267B">
        <w:rPr>
          <w:rFonts w:ascii="Times New Roman" w:hAnsi="Times New Roman"/>
          <w:sz w:val="24"/>
          <w:szCs w:val="24"/>
        </w:rPr>
        <w:t>(</w:t>
      </w:r>
      <w:r w:rsidR="004431C3" w:rsidRPr="005B267B">
        <w:rPr>
          <w:rFonts w:ascii="Times New Roman" w:hAnsi="Times New Roman"/>
          <w:sz w:val="24"/>
          <w:szCs w:val="24"/>
        </w:rPr>
        <w:t>Principal </w:t>
      </w:r>
      <w:r w:rsidR="00265353" w:rsidRPr="005B267B">
        <w:rPr>
          <w:rFonts w:ascii="Times New Roman" w:hAnsi="Times New Roman"/>
          <w:sz w:val="24"/>
          <w:szCs w:val="24"/>
        </w:rPr>
        <w:t xml:space="preserve">Regulations) </w:t>
      </w:r>
      <w:r w:rsidRPr="005B267B">
        <w:rPr>
          <w:rFonts w:ascii="Times New Roman" w:hAnsi="Times New Roman"/>
          <w:sz w:val="24"/>
          <w:szCs w:val="24"/>
        </w:rPr>
        <w:t xml:space="preserve">to prescribe the State and Territory proceeds of crime orders, forfeiture applications and proceeds of crime authorities for the purposes of the Family Law Act.  </w:t>
      </w:r>
    </w:p>
    <w:p w:rsidR="003B2610" w:rsidRDefault="003B2610" w:rsidP="003B2610">
      <w:pPr>
        <w:spacing w:line="240" w:lineRule="auto"/>
        <w:rPr>
          <w:rFonts w:ascii="Times New Roman" w:hAnsi="Times New Roman"/>
          <w:sz w:val="24"/>
          <w:szCs w:val="24"/>
        </w:rPr>
      </w:pPr>
      <w:r w:rsidRPr="005B267B">
        <w:rPr>
          <w:rFonts w:ascii="Times New Roman" w:hAnsi="Times New Roman"/>
          <w:sz w:val="24"/>
          <w:szCs w:val="24"/>
        </w:rPr>
        <w:t>State</w:t>
      </w:r>
      <w:r w:rsidR="00CC03BE">
        <w:rPr>
          <w:rFonts w:ascii="Times New Roman" w:hAnsi="Times New Roman"/>
          <w:sz w:val="24"/>
          <w:szCs w:val="24"/>
        </w:rPr>
        <w:t>s</w:t>
      </w:r>
      <w:r w:rsidRPr="005B267B">
        <w:rPr>
          <w:rFonts w:ascii="Times New Roman" w:hAnsi="Times New Roman"/>
          <w:sz w:val="24"/>
          <w:szCs w:val="24"/>
        </w:rPr>
        <w:t xml:space="preserve"> and Territories were c</w:t>
      </w:r>
      <w:r w:rsidR="008F3EB1" w:rsidRPr="005B267B">
        <w:rPr>
          <w:rFonts w:ascii="Times New Roman" w:hAnsi="Times New Roman"/>
          <w:sz w:val="24"/>
          <w:szCs w:val="24"/>
        </w:rPr>
        <w:t>onsulted on the draft R</w:t>
      </w:r>
      <w:r w:rsidRPr="005B267B">
        <w:rPr>
          <w:rFonts w:ascii="Times New Roman" w:hAnsi="Times New Roman"/>
          <w:sz w:val="24"/>
          <w:szCs w:val="24"/>
        </w:rPr>
        <w:t>egulation.</w:t>
      </w:r>
    </w:p>
    <w:p w:rsidR="00590F5E" w:rsidRPr="00215734" w:rsidRDefault="00590F5E" w:rsidP="003B2610">
      <w:pPr>
        <w:spacing w:line="240" w:lineRule="auto"/>
        <w:rPr>
          <w:rFonts w:ascii="Times New Roman" w:hAnsi="Times New Roman"/>
          <w:sz w:val="24"/>
          <w:szCs w:val="24"/>
          <w:u w:val="single"/>
        </w:rPr>
      </w:pPr>
      <w:r w:rsidRPr="00215734">
        <w:rPr>
          <w:rFonts w:ascii="Times New Roman" w:hAnsi="Times New Roman"/>
          <w:sz w:val="24"/>
          <w:szCs w:val="24"/>
          <w:u w:val="single"/>
        </w:rPr>
        <w:t xml:space="preserve">Amendments relating to the </w:t>
      </w:r>
      <w:r w:rsidRPr="00215734">
        <w:rPr>
          <w:rFonts w:ascii="Times New Roman" w:hAnsi="Times New Roman"/>
          <w:i/>
          <w:sz w:val="24"/>
          <w:szCs w:val="24"/>
          <w:u w:val="single"/>
        </w:rPr>
        <w:t>Access to Justice (Federal Jurisdiction) Amendment Act 2012</w:t>
      </w:r>
    </w:p>
    <w:p w:rsidR="003B2610" w:rsidRPr="005B267B" w:rsidRDefault="003B2610" w:rsidP="003B2610">
      <w:pPr>
        <w:spacing w:line="240" w:lineRule="auto"/>
        <w:rPr>
          <w:rFonts w:ascii="Times New Roman" w:hAnsi="Times New Roman"/>
          <w:sz w:val="24"/>
          <w:szCs w:val="24"/>
        </w:rPr>
      </w:pPr>
      <w:r w:rsidRPr="005B267B">
        <w:rPr>
          <w:rFonts w:ascii="Times New Roman" w:hAnsi="Times New Roman"/>
          <w:sz w:val="24"/>
          <w:szCs w:val="24"/>
        </w:rPr>
        <w:t xml:space="preserve">The </w:t>
      </w:r>
      <w:r w:rsidR="004E24E9" w:rsidRPr="005B267B">
        <w:rPr>
          <w:rFonts w:ascii="Times New Roman" w:hAnsi="Times New Roman"/>
          <w:sz w:val="24"/>
          <w:szCs w:val="24"/>
        </w:rPr>
        <w:t>R</w:t>
      </w:r>
      <w:r w:rsidRPr="005B267B">
        <w:rPr>
          <w:rFonts w:ascii="Times New Roman" w:hAnsi="Times New Roman"/>
          <w:sz w:val="24"/>
          <w:szCs w:val="24"/>
        </w:rPr>
        <w:t>egulation amend</w:t>
      </w:r>
      <w:r w:rsidR="004E24E9" w:rsidRPr="005B267B">
        <w:rPr>
          <w:rFonts w:ascii="Times New Roman" w:hAnsi="Times New Roman"/>
          <w:sz w:val="24"/>
          <w:szCs w:val="24"/>
        </w:rPr>
        <w:t>s</w:t>
      </w:r>
      <w:r w:rsidRPr="005B267B">
        <w:rPr>
          <w:rFonts w:ascii="Times New Roman" w:hAnsi="Times New Roman"/>
          <w:sz w:val="24"/>
          <w:szCs w:val="24"/>
        </w:rPr>
        <w:t xml:space="preserve"> the </w:t>
      </w:r>
      <w:r w:rsidR="00456132" w:rsidRPr="005B267B">
        <w:rPr>
          <w:rFonts w:ascii="Times New Roman" w:hAnsi="Times New Roman"/>
          <w:sz w:val="24"/>
          <w:szCs w:val="24"/>
        </w:rPr>
        <w:t xml:space="preserve">Principal </w:t>
      </w:r>
      <w:r w:rsidR="00265353" w:rsidRPr="005B267B">
        <w:rPr>
          <w:rFonts w:ascii="Times New Roman" w:hAnsi="Times New Roman"/>
          <w:sz w:val="24"/>
          <w:szCs w:val="24"/>
        </w:rPr>
        <w:t xml:space="preserve">Regulations </w:t>
      </w:r>
      <w:r w:rsidRPr="005B267B">
        <w:rPr>
          <w:rFonts w:ascii="Times New Roman" w:hAnsi="Times New Roman"/>
          <w:sz w:val="24"/>
          <w:szCs w:val="24"/>
        </w:rPr>
        <w:t xml:space="preserve">to ensure that new provisions in Schedules 2 and 3 to the </w:t>
      </w:r>
      <w:r w:rsidRPr="005B267B">
        <w:rPr>
          <w:rFonts w:ascii="Times New Roman" w:hAnsi="Times New Roman"/>
          <w:i/>
          <w:sz w:val="24"/>
          <w:szCs w:val="24"/>
        </w:rPr>
        <w:t>Access to Justice (Federal Jurisdiction) Amendment Act 2012</w:t>
      </w:r>
      <w:r w:rsidRPr="005B267B">
        <w:rPr>
          <w:rFonts w:ascii="Times New Roman" w:hAnsi="Times New Roman"/>
          <w:sz w:val="24"/>
          <w:szCs w:val="24"/>
        </w:rPr>
        <w:t xml:space="preserve"> (Access to Justice Act) operate consistently across all four federal courts, and to remove a regulation which is rendered obsolete by Schedule 4</w:t>
      </w:r>
      <w:r w:rsidR="00A939CE" w:rsidRPr="005B267B">
        <w:rPr>
          <w:rFonts w:ascii="Times New Roman" w:hAnsi="Times New Roman"/>
          <w:sz w:val="24"/>
          <w:szCs w:val="24"/>
        </w:rPr>
        <w:t xml:space="preserve"> of the Access to Justice Act</w:t>
      </w:r>
      <w:r w:rsidRPr="005B267B">
        <w:rPr>
          <w:rFonts w:ascii="Times New Roman" w:hAnsi="Times New Roman"/>
          <w:sz w:val="24"/>
          <w:szCs w:val="24"/>
        </w:rPr>
        <w:t>.</w:t>
      </w:r>
    </w:p>
    <w:p w:rsidR="003B2610" w:rsidRPr="005B267B" w:rsidRDefault="003B2610" w:rsidP="003B2610">
      <w:pPr>
        <w:spacing w:line="240" w:lineRule="auto"/>
        <w:rPr>
          <w:rFonts w:ascii="Times New Roman" w:hAnsi="Times New Roman"/>
          <w:sz w:val="24"/>
          <w:szCs w:val="24"/>
        </w:rPr>
      </w:pPr>
      <w:r w:rsidRPr="005B267B">
        <w:rPr>
          <w:rFonts w:ascii="Times New Roman" w:hAnsi="Times New Roman"/>
          <w:sz w:val="24"/>
          <w:szCs w:val="24"/>
        </w:rPr>
        <w:t>The Access to Justice Act contains provisions which:</w:t>
      </w:r>
    </w:p>
    <w:p w:rsidR="003B2610" w:rsidRPr="005B267B" w:rsidRDefault="003B2610" w:rsidP="003B2610">
      <w:pPr>
        <w:numPr>
          <w:ilvl w:val="0"/>
          <w:numId w:val="1"/>
        </w:numPr>
        <w:spacing w:after="0" w:line="240" w:lineRule="auto"/>
        <w:rPr>
          <w:rFonts w:ascii="Times New Roman" w:hAnsi="Times New Roman"/>
          <w:sz w:val="24"/>
          <w:szCs w:val="24"/>
        </w:rPr>
      </w:pPr>
      <w:r w:rsidRPr="005B267B">
        <w:rPr>
          <w:rFonts w:ascii="Times New Roman" w:hAnsi="Times New Roman"/>
          <w:sz w:val="24"/>
          <w:szCs w:val="24"/>
        </w:rPr>
        <w:t>implement in all four federal courts the model Bill of the Standing Committee of Attorneys</w:t>
      </w:r>
      <w:r w:rsidR="00F430FE">
        <w:rPr>
          <w:rFonts w:ascii="Times New Roman" w:hAnsi="Times New Roman"/>
          <w:sz w:val="24"/>
          <w:szCs w:val="24"/>
        </w:rPr>
        <w:noBreakHyphen/>
      </w:r>
      <w:r w:rsidRPr="005B267B">
        <w:rPr>
          <w:rFonts w:ascii="Times New Roman" w:hAnsi="Times New Roman"/>
          <w:sz w:val="24"/>
          <w:szCs w:val="24"/>
        </w:rPr>
        <w:t>General (SCAG) concerning suppression orders and non-publication orders (Schedule 2)</w:t>
      </w:r>
    </w:p>
    <w:p w:rsidR="003B2610" w:rsidRPr="005B267B" w:rsidRDefault="003B2610" w:rsidP="003B2610">
      <w:pPr>
        <w:numPr>
          <w:ilvl w:val="0"/>
          <w:numId w:val="1"/>
        </w:numPr>
        <w:spacing w:after="0" w:line="240" w:lineRule="auto"/>
        <w:rPr>
          <w:rFonts w:ascii="Times New Roman" w:hAnsi="Times New Roman"/>
          <w:sz w:val="24"/>
          <w:szCs w:val="24"/>
        </w:rPr>
      </w:pPr>
      <w:r w:rsidRPr="005B267B">
        <w:rPr>
          <w:rFonts w:ascii="Times New Roman" w:hAnsi="Times New Roman"/>
          <w:sz w:val="24"/>
          <w:szCs w:val="24"/>
        </w:rPr>
        <w:t>implement in all four federal courts the SCAG model Bill concerning vexatious proceedings (Schedule 3), and</w:t>
      </w:r>
    </w:p>
    <w:p w:rsidR="003B2610" w:rsidRPr="005B267B" w:rsidRDefault="003B2610" w:rsidP="003B2610">
      <w:pPr>
        <w:numPr>
          <w:ilvl w:val="0"/>
          <w:numId w:val="1"/>
        </w:numPr>
        <w:spacing w:after="0" w:line="240" w:lineRule="auto"/>
        <w:rPr>
          <w:rFonts w:ascii="Times New Roman" w:hAnsi="Times New Roman"/>
          <w:sz w:val="24"/>
          <w:szCs w:val="24"/>
        </w:rPr>
      </w:pPr>
      <w:r w:rsidRPr="005B267B">
        <w:rPr>
          <w:rFonts w:ascii="Times New Roman" w:hAnsi="Times New Roman"/>
          <w:sz w:val="24"/>
          <w:szCs w:val="24"/>
        </w:rPr>
        <w:t>align the jurisdictional limit for matters heard by the Family Law Magistrates in Western</w:t>
      </w:r>
      <w:r w:rsidR="00A939CE" w:rsidRPr="005B267B">
        <w:rPr>
          <w:rFonts w:ascii="Times New Roman" w:hAnsi="Times New Roman"/>
          <w:sz w:val="24"/>
          <w:szCs w:val="24"/>
        </w:rPr>
        <w:t> </w:t>
      </w:r>
      <w:r w:rsidRPr="005B267B">
        <w:rPr>
          <w:rFonts w:ascii="Times New Roman" w:hAnsi="Times New Roman"/>
          <w:sz w:val="24"/>
          <w:szCs w:val="24"/>
        </w:rPr>
        <w:t>Australia with the Federal Magistrates Court (Schedule 4).</w:t>
      </w:r>
    </w:p>
    <w:p w:rsidR="003B2610" w:rsidRPr="005B267B" w:rsidRDefault="003B2610" w:rsidP="003B2610">
      <w:pPr>
        <w:spacing w:after="0" w:line="240" w:lineRule="auto"/>
        <w:rPr>
          <w:rFonts w:ascii="Times New Roman" w:hAnsi="Times New Roman"/>
          <w:sz w:val="24"/>
          <w:szCs w:val="24"/>
        </w:rPr>
      </w:pPr>
    </w:p>
    <w:p w:rsidR="003B2610" w:rsidRPr="005B267B" w:rsidRDefault="003B2610" w:rsidP="003B2610">
      <w:pPr>
        <w:spacing w:after="0" w:line="240" w:lineRule="auto"/>
        <w:rPr>
          <w:rFonts w:ascii="Times New Roman" w:hAnsi="Times New Roman"/>
          <w:sz w:val="24"/>
          <w:szCs w:val="24"/>
        </w:rPr>
      </w:pPr>
      <w:r w:rsidRPr="005B267B">
        <w:rPr>
          <w:rFonts w:ascii="Times New Roman" w:hAnsi="Times New Roman"/>
          <w:sz w:val="24"/>
          <w:szCs w:val="24"/>
        </w:rPr>
        <w:t xml:space="preserve">The Family Court was consulted on the draft </w:t>
      </w:r>
      <w:r w:rsidR="00A939CE" w:rsidRPr="005B267B">
        <w:rPr>
          <w:rFonts w:ascii="Times New Roman" w:hAnsi="Times New Roman"/>
          <w:sz w:val="24"/>
          <w:szCs w:val="24"/>
        </w:rPr>
        <w:t>R</w:t>
      </w:r>
      <w:r w:rsidRPr="005B267B">
        <w:rPr>
          <w:rFonts w:ascii="Times New Roman" w:hAnsi="Times New Roman"/>
          <w:sz w:val="24"/>
          <w:szCs w:val="24"/>
        </w:rPr>
        <w:t>egulation.  The Family Law Act provisions on suppression and non-publication and vexatious proceedings orders, to which several of the proposed regulations relate, underwent significant consultation</w:t>
      </w:r>
      <w:r w:rsidR="00CC03BE">
        <w:rPr>
          <w:rFonts w:ascii="Times New Roman" w:hAnsi="Times New Roman"/>
          <w:sz w:val="24"/>
          <w:szCs w:val="24"/>
        </w:rPr>
        <w:t xml:space="preserve"> both in relation to the Access </w:t>
      </w:r>
      <w:r w:rsidRPr="005B267B">
        <w:rPr>
          <w:rFonts w:ascii="Times New Roman" w:hAnsi="Times New Roman"/>
          <w:sz w:val="24"/>
          <w:szCs w:val="24"/>
        </w:rPr>
        <w:t>to</w:t>
      </w:r>
      <w:r w:rsidR="00CC03BE">
        <w:rPr>
          <w:rFonts w:ascii="Times New Roman" w:hAnsi="Times New Roman"/>
          <w:sz w:val="24"/>
          <w:szCs w:val="24"/>
        </w:rPr>
        <w:t> </w:t>
      </w:r>
      <w:r w:rsidRPr="005B267B">
        <w:rPr>
          <w:rFonts w:ascii="Times New Roman" w:hAnsi="Times New Roman"/>
          <w:sz w:val="24"/>
          <w:szCs w:val="24"/>
        </w:rPr>
        <w:t>Justice</w:t>
      </w:r>
      <w:r w:rsidR="00CC03BE">
        <w:rPr>
          <w:rFonts w:ascii="Times New Roman" w:hAnsi="Times New Roman"/>
          <w:sz w:val="24"/>
          <w:szCs w:val="24"/>
        </w:rPr>
        <w:t> </w:t>
      </w:r>
      <w:r w:rsidRPr="005B267B">
        <w:rPr>
          <w:rFonts w:ascii="Times New Roman" w:hAnsi="Times New Roman"/>
          <w:sz w:val="24"/>
          <w:szCs w:val="24"/>
        </w:rPr>
        <w:t xml:space="preserve">Act that introduced these provisions for the federal courts and through the SCAG model provision process.  Submissions on these provisions were received from courts and tribunals, bar associations, media representative bodies and law enforcement and other government agencies. </w:t>
      </w:r>
    </w:p>
    <w:p w:rsidR="003B2610" w:rsidRPr="005B267B" w:rsidRDefault="003B2610" w:rsidP="003B2610">
      <w:pPr>
        <w:spacing w:after="0" w:line="240" w:lineRule="auto"/>
        <w:rPr>
          <w:rFonts w:ascii="Times New Roman" w:hAnsi="Times New Roman"/>
          <w:sz w:val="24"/>
          <w:szCs w:val="24"/>
        </w:rPr>
      </w:pPr>
    </w:p>
    <w:p w:rsidR="00590F5E" w:rsidRPr="00215734" w:rsidRDefault="00590F5E" w:rsidP="003B2610">
      <w:pPr>
        <w:spacing w:line="240" w:lineRule="auto"/>
        <w:rPr>
          <w:rFonts w:ascii="Times New Roman" w:hAnsi="Times New Roman"/>
          <w:sz w:val="24"/>
          <w:szCs w:val="24"/>
          <w:u w:val="single"/>
        </w:rPr>
      </w:pPr>
      <w:r w:rsidRPr="00215734">
        <w:rPr>
          <w:rFonts w:ascii="Times New Roman" w:hAnsi="Times New Roman"/>
          <w:sz w:val="24"/>
          <w:szCs w:val="24"/>
          <w:u w:val="single"/>
        </w:rPr>
        <w:t>Amendments relating to changes to Queensland domestic violence laws</w:t>
      </w:r>
    </w:p>
    <w:p w:rsidR="003B2610" w:rsidRDefault="00DD5CC5" w:rsidP="003B2610">
      <w:pPr>
        <w:spacing w:line="240" w:lineRule="auto"/>
        <w:rPr>
          <w:rFonts w:ascii="Times New Roman" w:hAnsi="Times New Roman"/>
          <w:sz w:val="24"/>
          <w:szCs w:val="24"/>
        </w:rPr>
      </w:pPr>
      <w:r>
        <w:rPr>
          <w:rFonts w:ascii="Times New Roman" w:hAnsi="Times New Roman"/>
          <w:sz w:val="24"/>
          <w:szCs w:val="24"/>
        </w:rPr>
        <w:t>T</w:t>
      </w:r>
      <w:r w:rsidR="00A939CE" w:rsidRPr="005B267B">
        <w:rPr>
          <w:rFonts w:ascii="Times New Roman" w:hAnsi="Times New Roman"/>
          <w:sz w:val="24"/>
          <w:szCs w:val="24"/>
        </w:rPr>
        <w:t>he R</w:t>
      </w:r>
      <w:r w:rsidR="003B2610" w:rsidRPr="005B267B">
        <w:rPr>
          <w:rFonts w:ascii="Times New Roman" w:hAnsi="Times New Roman"/>
          <w:sz w:val="24"/>
          <w:szCs w:val="24"/>
        </w:rPr>
        <w:t>egulation amend</w:t>
      </w:r>
      <w:r w:rsidR="00A939CE" w:rsidRPr="005B267B">
        <w:rPr>
          <w:rFonts w:ascii="Times New Roman" w:hAnsi="Times New Roman"/>
          <w:sz w:val="24"/>
          <w:szCs w:val="24"/>
        </w:rPr>
        <w:t>s</w:t>
      </w:r>
      <w:r w:rsidR="003B2610" w:rsidRPr="005B267B">
        <w:rPr>
          <w:rFonts w:ascii="Times New Roman" w:hAnsi="Times New Roman"/>
          <w:sz w:val="24"/>
          <w:szCs w:val="24"/>
        </w:rPr>
        <w:t xml:space="preserve"> </w:t>
      </w:r>
      <w:r w:rsidR="00265353" w:rsidRPr="005B267B">
        <w:rPr>
          <w:rFonts w:ascii="Times New Roman" w:hAnsi="Times New Roman"/>
          <w:sz w:val="24"/>
          <w:szCs w:val="24"/>
        </w:rPr>
        <w:t xml:space="preserve">the </w:t>
      </w:r>
      <w:r w:rsidR="00A939CE" w:rsidRPr="005B267B">
        <w:rPr>
          <w:rFonts w:ascii="Times New Roman" w:hAnsi="Times New Roman"/>
          <w:sz w:val="24"/>
          <w:szCs w:val="24"/>
        </w:rPr>
        <w:t xml:space="preserve">Principal </w:t>
      </w:r>
      <w:r w:rsidR="00265353" w:rsidRPr="005B267B">
        <w:rPr>
          <w:rFonts w:ascii="Times New Roman" w:hAnsi="Times New Roman"/>
          <w:sz w:val="24"/>
          <w:szCs w:val="24"/>
        </w:rPr>
        <w:t>Regula</w:t>
      </w:r>
      <w:r w:rsidR="00CC03BE">
        <w:rPr>
          <w:rFonts w:ascii="Times New Roman" w:hAnsi="Times New Roman"/>
          <w:sz w:val="24"/>
          <w:szCs w:val="24"/>
        </w:rPr>
        <w:t>tions to ensure that the Family </w:t>
      </w:r>
      <w:r w:rsidR="003B2610" w:rsidRPr="005B267B">
        <w:rPr>
          <w:rFonts w:ascii="Times New Roman" w:hAnsi="Times New Roman"/>
          <w:sz w:val="24"/>
          <w:szCs w:val="24"/>
        </w:rPr>
        <w:t>Law</w:t>
      </w:r>
      <w:r w:rsidR="00CC03BE">
        <w:rPr>
          <w:rFonts w:ascii="Times New Roman" w:hAnsi="Times New Roman"/>
          <w:sz w:val="24"/>
          <w:szCs w:val="24"/>
        </w:rPr>
        <w:t> </w:t>
      </w:r>
      <w:r w:rsidR="003B2610" w:rsidRPr="005B267B">
        <w:rPr>
          <w:rFonts w:ascii="Times New Roman" w:hAnsi="Times New Roman"/>
          <w:sz w:val="24"/>
          <w:szCs w:val="24"/>
        </w:rPr>
        <w:t xml:space="preserve">Act applies to Queensland domestic violence orders following the commencement of the </w:t>
      </w:r>
      <w:r w:rsidR="003B2610" w:rsidRPr="005B267B">
        <w:rPr>
          <w:rFonts w:ascii="Times New Roman" w:hAnsi="Times New Roman"/>
          <w:i/>
          <w:sz w:val="24"/>
          <w:szCs w:val="24"/>
        </w:rPr>
        <w:t xml:space="preserve">Domestic and Family Violence Protection Act 2012 </w:t>
      </w:r>
      <w:r w:rsidR="003B2610" w:rsidRPr="005B267B">
        <w:rPr>
          <w:rFonts w:ascii="Times New Roman" w:hAnsi="Times New Roman"/>
          <w:sz w:val="24"/>
          <w:szCs w:val="24"/>
        </w:rPr>
        <w:t xml:space="preserve">(Qld) which replaces the repealed </w:t>
      </w:r>
      <w:r w:rsidR="003B2610" w:rsidRPr="005B267B">
        <w:rPr>
          <w:rFonts w:ascii="Times New Roman" w:hAnsi="Times New Roman"/>
          <w:i/>
          <w:sz w:val="24"/>
          <w:szCs w:val="24"/>
        </w:rPr>
        <w:t xml:space="preserve">Domestic and Family Violence Protection Act 1989 </w:t>
      </w:r>
      <w:r w:rsidR="003B2610" w:rsidRPr="005B267B">
        <w:rPr>
          <w:rFonts w:ascii="Times New Roman" w:hAnsi="Times New Roman"/>
          <w:sz w:val="24"/>
          <w:szCs w:val="24"/>
        </w:rPr>
        <w:t>(Qld).  The</w:t>
      </w:r>
      <w:r w:rsidR="003B2610" w:rsidRPr="005B267B">
        <w:rPr>
          <w:rFonts w:ascii="Times New Roman" w:hAnsi="Times New Roman"/>
          <w:i/>
          <w:sz w:val="24"/>
          <w:szCs w:val="24"/>
        </w:rPr>
        <w:t xml:space="preserve"> Domestic and Family Violence Protection Act 2012 </w:t>
      </w:r>
      <w:r w:rsidR="003B2610" w:rsidRPr="005B267B">
        <w:rPr>
          <w:rFonts w:ascii="Times New Roman" w:hAnsi="Times New Roman"/>
          <w:sz w:val="24"/>
          <w:szCs w:val="24"/>
        </w:rPr>
        <w:t>(Qld) now</w:t>
      </w:r>
      <w:r w:rsidR="003B2610" w:rsidRPr="005B267B">
        <w:rPr>
          <w:rFonts w:ascii="Times New Roman" w:hAnsi="Times New Roman"/>
          <w:i/>
          <w:sz w:val="24"/>
          <w:szCs w:val="24"/>
        </w:rPr>
        <w:t xml:space="preserve"> </w:t>
      </w:r>
      <w:r w:rsidR="003B2610" w:rsidRPr="005B267B">
        <w:rPr>
          <w:rFonts w:ascii="Times New Roman" w:hAnsi="Times New Roman"/>
          <w:sz w:val="24"/>
          <w:szCs w:val="24"/>
        </w:rPr>
        <w:t>provides laws for domestic violence orders. The Regulation amends the list of legislation prescribed for Queensland for the purposes of section 114AB of the Family Law Act, and amends the list of legislation prescribed for Queensland for the purposes of the definition of ‘famil</w:t>
      </w:r>
      <w:r w:rsidR="00CC03BE">
        <w:rPr>
          <w:rFonts w:ascii="Times New Roman" w:hAnsi="Times New Roman"/>
          <w:sz w:val="24"/>
          <w:szCs w:val="24"/>
        </w:rPr>
        <w:t>y violence order’ in the Family Law </w:t>
      </w:r>
      <w:r w:rsidR="003B2610" w:rsidRPr="005B267B">
        <w:rPr>
          <w:rFonts w:ascii="Times New Roman" w:hAnsi="Times New Roman"/>
          <w:sz w:val="24"/>
          <w:szCs w:val="24"/>
        </w:rPr>
        <w:t xml:space="preserve">Act. </w:t>
      </w:r>
    </w:p>
    <w:p w:rsidR="00590F5E" w:rsidRPr="00215734" w:rsidRDefault="00590F5E" w:rsidP="003B2610">
      <w:pPr>
        <w:spacing w:line="240" w:lineRule="auto"/>
        <w:rPr>
          <w:rFonts w:ascii="Times New Roman" w:hAnsi="Times New Roman"/>
          <w:sz w:val="24"/>
          <w:szCs w:val="24"/>
          <w:u w:val="single"/>
        </w:rPr>
      </w:pPr>
      <w:r w:rsidRPr="00215734">
        <w:rPr>
          <w:rFonts w:ascii="Times New Roman" w:hAnsi="Times New Roman"/>
          <w:sz w:val="24"/>
          <w:szCs w:val="24"/>
          <w:u w:val="single"/>
        </w:rPr>
        <w:lastRenderedPageBreak/>
        <w:t>Amendments relating to changes to Queensland laws for the registration of relationships</w:t>
      </w:r>
    </w:p>
    <w:p w:rsidR="001C72F5" w:rsidRPr="00445F5E" w:rsidRDefault="006E0873" w:rsidP="001C72F5">
      <w:pPr>
        <w:spacing w:line="240" w:lineRule="auto"/>
        <w:rPr>
          <w:rFonts w:ascii="Times New Roman" w:hAnsi="Times New Roman"/>
          <w:sz w:val="24"/>
          <w:szCs w:val="24"/>
        </w:rPr>
      </w:pPr>
      <w:r>
        <w:rPr>
          <w:rFonts w:ascii="Times New Roman" w:hAnsi="Times New Roman"/>
          <w:iCs/>
          <w:sz w:val="24"/>
          <w:szCs w:val="24"/>
        </w:rPr>
        <w:t>Early in 2012, t</w:t>
      </w:r>
      <w:r w:rsidR="001C72F5" w:rsidRPr="00445F5E">
        <w:rPr>
          <w:rFonts w:ascii="Times New Roman" w:hAnsi="Times New Roman"/>
          <w:iCs/>
          <w:sz w:val="24"/>
          <w:szCs w:val="24"/>
        </w:rPr>
        <w:t xml:space="preserve">he </w:t>
      </w:r>
      <w:r w:rsidR="001C72F5">
        <w:rPr>
          <w:rFonts w:ascii="Times New Roman" w:hAnsi="Times New Roman"/>
          <w:i/>
          <w:iCs/>
          <w:sz w:val="24"/>
          <w:szCs w:val="24"/>
        </w:rPr>
        <w:t xml:space="preserve">Family Law Amendment Regulation (No. 1) 2012 </w:t>
      </w:r>
      <w:r w:rsidR="00446D03">
        <w:rPr>
          <w:rFonts w:ascii="Times New Roman" w:hAnsi="Times New Roman"/>
          <w:iCs/>
          <w:sz w:val="24"/>
          <w:szCs w:val="24"/>
        </w:rPr>
        <w:t xml:space="preserve">amended the Principal Regulations to </w:t>
      </w:r>
      <w:r w:rsidR="00446D03" w:rsidRPr="00445F5E">
        <w:rPr>
          <w:rFonts w:ascii="Times New Roman" w:hAnsi="Times New Roman"/>
          <w:iCs/>
          <w:sz w:val="24"/>
          <w:szCs w:val="24"/>
        </w:rPr>
        <w:t>prescribe</w:t>
      </w:r>
      <w:r w:rsidR="00446D03">
        <w:rPr>
          <w:rFonts w:ascii="Times New Roman" w:hAnsi="Times New Roman"/>
          <w:iCs/>
          <w:sz w:val="24"/>
          <w:szCs w:val="24"/>
        </w:rPr>
        <w:t xml:space="preserve"> </w:t>
      </w:r>
      <w:r w:rsidR="00446D03" w:rsidRPr="00445F5E">
        <w:rPr>
          <w:rFonts w:ascii="Times New Roman" w:hAnsi="Times New Roman"/>
          <w:sz w:val="24"/>
          <w:szCs w:val="24"/>
        </w:rPr>
        <w:t xml:space="preserve">the </w:t>
      </w:r>
      <w:r w:rsidR="00446D03">
        <w:rPr>
          <w:rFonts w:ascii="Times New Roman" w:hAnsi="Times New Roman"/>
          <w:sz w:val="24"/>
          <w:szCs w:val="24"/>
        </w:rPr>
        <w:t>law that provides the framework for the Queensland relationship registration scheme, and also prescribes the type of relationships as a couple which may be entered into under the Queensland scheme.  The regulation prescribe</w:t>
      </w:r>
      <w:r>
        <w:rPr>
          <w:rFonts w:ascii="Times New Roman" w:hAnsi="Times New Roman"/>
          <w:sz w:val="24"/>
          <w:szCs w:val="24"/>
        </w:rPr>
        <w:t>d</w:t>
      </w:r>
      <w:r w:rsidR="00446D03">
        <w:rPr>
          <w:rFonts w:ascii="Times New Roman" w:hAnsi="Times New Roman"/>
          <w:sz w:val="24"/>
          <w:szCs w:val="24"/>
        </w:rPr>
        <w:t xml:space="preserve"> the </w:t>
      </w:r>
      <w:r w:rsidR="00446D03" w:rsidRPr="00445F5E">
        <w:rPr>
          <w:rFonts w:ascii="Times New Roman" w:hAnsi="Times New Roman"/>
          <w:i/>
          <w:sz w:val="24"/>
          <w:szCs w:val="24"/>
        </w:rPr>
        <w:t>Civil</w:t>
      </w:r>
      <w:r w:rsidR="00446D03">
        <w:rPr>
          <w:rFonts w:ascii="Times New Roman" w:hAnsi="Times New Roman"/>
          <w:i/>
          <w:sz w:val="24"/>
          <w:szCs w:val="24"/>
        </w:rPr>
        <w:t> </w:t>
      </w:r>
      <w:r w:rsidR="00446D03" w:rsidRPr="00445F5E">
        <w:rPr>
          <w:rFonts w:ascii="Times New Roman" w:hAnsi="Times New Roman"/>
          <w:i/>
          <w:sz w:val="24"/>
          <w:szCs w:val="24"/>
        </w:rPr>
        <w:t>Partnerships</w:t>
      </w:r>
      <w:r w:rsidR="00446D03">
        <w:rPr>
          <w:rFonts w:ascii="Times New Roman" w:hAnsi="Times New Roman"/>
          <w:i/>
          <w:sz w:val="24"/>
          <w:szCs w:val="24"/>
        </w:rPr>
        <w:t> Act </w:t>
      </w:r>
      <w:r w:rsidR="00446D03" w:rsidRPr="00445F5E">
        <w:rPr>
          <w:rFonts w:ascii="Times New Roman" w:hAnsi="Times New Roman"/>
          <w:i/>
          <w:sz w:val="24"/>
          <w:szCs w:val="24"/>
        </w:rPr>
        <w:t>2011</w:t>
      </w:r>
      <w:r w:rsidR="00446D03" w:rsidRPr="00445F5E">
        <w:rPr>
          <w:rFonts w:ascii="Times New Roman" w:hAnsi="Times New Roman"/>
          <w:sz w:val="24"/>
          <w:szCs w:val="24"/>
        </w:rPr>
        <w:t xml:space="preserve"> (Q</w:t>
      </w:r>
      <w:r w:rsidR="00446D03">
        <w:rPr>
          <w:rFonts w:ascii="Times New Roman" w:hAnsi="Times New Roman"/>
          <w:sz w:val="24"/>
          <w:szCs w:val="24"/>
        </w:rPr>
        <w:t>ld</w:t>
      </w:r>
      <w:r w:rsidR="00446D03" w:rsidRPr="00445F5E">
        <w:rPr>
          <w:rFonts w:ascii="Times New Roman" w:hAnsi="Times New Roman"/>
          <w:sz w:val="24"/>
          <w:szCs w:val="24"/>
        </w:rPr>
        <w:t>), and</w:t>
      </w:r>
      <w:r w:rsidR="00446D03">
        <w:rPr>
          <w:rFonts w:ascii="Times New Roman" w:hAnsi="Times New Roman"/>
          <w:sz w:val="24"/>
          <w:szCs w:val="24"/>
        </w:rPr>
        <w:t xml:space="preserve"> prescribe</w:t>
      </w:r>
      <w:r>
        <w:rPr>
          <w:rFonts w:ascii="Times New Roman" w:hAnsi="Times New Roman"/>
          <w:sz w:val="24"/>
          <w:szCs w:val="24"/>
        </w:rPr>
        <w:t>d</w:t>
      </w:r>
      <w:r w:rsidR="00446D03">
        <w:rPr>
          <w:rFonts w:ascii="Times New Roman" w:hAnsi="Times New Roman"/>
          <w:sz w:val="24"/>
          <w:szCs w:val="24"/>
        </w:rPr>
        <w:t xml:space="preserve"> </w:t>
      </w:r>
      <w:r w:rsidR="00446D03" w:rsidRPr="00445F5E">
        <w:rPr>
          <w:rFonts w:ascii="Times New Roman" w:hAnsi="Times New Roman"/>
          <w:sz w:val="24"/>
          <w:szCs w:val="24"/>
        </w:rPr>
        <w:t>rel</w:t>
      </w:r>
      <w:r w:rsidR="00446D03">
        <w:rPr>
          <w:rFonts w:ascii="Times New Roman" w:hAnsi="Times New Roman"/>
          <w:sz w:val="24"/>
          <w:szCs w:val="24"/>
        </w:rPr>
        <w:t>ationships as a couple between two </w:t>
      </w:r>
      <w:r w:rsidR="00446D03" w:rsidRPr="00445F5E">
        <w:rPr>
          <w:rFonts w:ascii="Times New Roman" w:hAnsi="Times New Roman"/>
          <w:sz w:val="24"/>
          <w:szCs w:val="24"/>
        </w:rPr>
        <w:t xml:space="preserve">adults who meet the eligibility criteria mentioned in section 5 of the </w:t>
      </w:r>
      <w:r w:rsidR="00446D03" w:rsidRPr="00445F5E">
        <w:rPr>
          <w:rFonts w:ascii="Times New Roman" w:hAnsi="Times New Roman"/>
          <w:i/>
          <w:sz w:val="24"/>
          <w:szCs w:val="24"/>
        </w:rPr>
        <w:t>Civil</w:t>
      </w:r>
      <w:r w:rsidR="00446D03">
        <w:rPr>
          <w:rFonts w:ascii="Times New Roman" w:hAnsi="Times New Roman"/>
          <w:i/>
          <w:sz w:val="24"/>
          <w:szCs w:val="24"/>
        </w:rPr>
        <w:t> </w:t>
      </w:r>
      <w:r w:rsidR="00446D03" w:rsidRPr="00445F5E">
        <w:rPr>
          <w:rFonts w:ascii="Times New Roman" w:hAnsi="Times New Roman"/>
          <w:i/>
          <w:sz w:val="24"/>
          <w:szCs w:val="24"/>
        </w:rPr>
        <w:t>Partnerships</w:t>
      </w:r>
      <w:r w:rsidR="00446D03">
        <w:rPr>
          <w:rFonts w:ascii="Times New Roman" w:hAnsi="Times New Roman"/>
          <w:i/>
          <w:sz w:val="24"/>
          <w:szCs w:val="24"/>
        </w:rPr>
        <w:t> </w:t>
      </w:r>
      <w:r w:rsidR="00446D03" w:rsidRPr="00445F5E">
        <w:rPr>
          <w:rFonts w:ascii="Times New Roman" w:hAnsi="Times New Roman"/>
          <w:i/>
          <w:sz w:val="24"/>
          <w:szCs w:val="24"/>
        </w:rPr>
        <w:t>Act</w:t>
      </w:r>
      <w:r w:rsidR="00446D03">
        <w:rPr>
          <w:rFonts w:ascii="Times New Roman" w:hAnsi="Times New Roman"/>
          <w:i/>
          <w:sz w:val="24"/>
          <w:szCs w:val="24"/>
        </w:rPr>
        <w:t> </w:t>
      </w:r>
      <w:r w:rsidR="00446D03" w:rsidRPr="00445F5E">
        <w:rPr>
          <w:rFonts w:ascii="Times New Roman" w:hAnsi="Times New Roman"/>
          <w:i/>
          <w:sz w:val="24"/>
          <w:szCs w:val="24"/>
        </w:rPr>
        <w:t>2011</w:t>
      </w:r>
      <w:r w:rsidR="00446D03" w:rsidRPr="00445F5E">
        <w:rPr>
          <w:rFonts w:ascii="Times New Roman" w:hAnsi="Times New Roman"/>
          <w:sz w:val="24"/>
          <w:szCs w:val="24"/>
        </w:rPr>
        <w:t xml:space="preserve"> (Q</w:t>
      </w:r>
      <w:r w:rsidR="00446D03">
        <w:rPr>
          <w:rFonts w:ascii="Times New Roman" w:hAnsi="Times New Roman"/>
          <w:sz w:val="24"/>
          <w:szCs w:val="24"/>
        </w:rPr>
        <w:t>ld</w:t>
      </w:r>
      <w:r w:rsidR="00446D03" w:rsidRPr="00445F5E">
        <w:rPr>
          <w:rFonts w:ascii="Times New Roman" w:hAnsi="Times New Roman"/>
          <w:sz w:val="24"/>
          <w:szCs w:val="24"/>
        </w:rPr>
        <w:t xml:space="preserve">) for entry into a civil partnership </w:t>
      </w:r>
      <w:r w:rsidR="00830B6C" w:rsidRPr="00445F5E">
        <w:rPr>
          <w:rFonts w:ascii="Times New Roman" w:hAnsi="Times New Roman"/>
          <w:sz w:val="24"/>
          <w:szCs w:val="24"/>
        </w:rPr>
        <w:t>for the purposes</w:t>
      </w:r>
      <w:r w:rsidR="001C72F5">
        <w:rPr>
          <w:rFonts w:ascii="Times New Roman" w:hAnsi="Times New Roman"/>
          <w:sz w:val="24"/>
          <w:szCs w:val="24"/>
        </w:rPr>
        <w:t> 4AA and 90SB of the Family Law Act</w:t>
      </w:r>
      <w:r w:rsidR="001C72F5" w:rsidRPr="00445F5E">
        <w:rPr>
          <w:rFonts w:ascii="Times New Roman" w:hAnsi="Times New Roman"/>
          <w:sz w:val="24"/>
          <w:szCs w:val="24"/>
        </w:rPr>
        <w:t>.</w:t>
      </w:r>
    </w:p>
    <w:p w:rsidR="001C72F5" w:rsidRDefault="006E0873" w:rsidP="001C72F5">
      <w:pPr>
        <w:spacing w:line="240" w:lineRule="auto"/>
        <w:rPr>
          <w:rFonts w:ascii="Times New Roman" w:hAnsi="Times New Roman"/>
          <w:sz w:val="24"/>
          <w:szCs w:val="24"/>
        </w:rPr>
      </w:pPr>
      <w:r>
        <w:rPr>
          <w:rFonts w:ascii="Times New Roman" w:hAnsi="Times New Roman"/>
          <w:sz w:val="24"/>
          <w:szCs w:val="24"/>
        </w:rPr>
        <w:t xml:space="preserve">On 27 June 2012, </w:t>
      </w:r>
      <w:r w:rsidR="001C72F5">
        <w:rPr>
          <w:rFonts w:ascii="Times New Roman" w:hAnsi="Times New Roman"/>
          <w:sz w:val="24"/>
          <w:szCs w:val="24"/>
        </w:rPr>
        <w:t xml:space="preserve">the </w:t>
      </w:r>
      <w:r w:rsidR="001C72F5" w:rsidRPr="00181283">
        <w:rPr>
          <w:rFonts w:ascii="Times New Roman" w:hAnsi="Times New Roman"/>
          <w:i/>
          <w:sz w:val="24"/>
          <w:szCs w:val="24"/>
        </w:rPr>
        <w:t>Civil Partnerships and Other Legislation Amendment Act 2012</w:t>
      </w:r>
      <w:r w:rsidR="001C72F5" w:rsidRPr="00181283">
        <w:rPr>
          <w:rFonts w:ascii="Times New Roman" w:hAnsi="Times New Roman"/>
          <w:sz w:val="24"/>
          <w:szCs w:val="24"/>
        </w:rPr>
        <w:t xml:space="preserve"> </w:t>
      </w:r>
      <w:r w:rsidR="001C72F5">
        <w:rPr>
          <w:rFonts w:ascii="Times New Roman" w:hAnsi="Times New Roman"/>
          <w:sz w:val="24"/>
          <w:szCs w:val="24"/>
        </w:rPr>
        <w:t>(Qld) commenced</w:t>
      </w:r>
      <w:r>
        <w:rPr>
          <w:rFonts w:ascii="Times New Roman" w:hAnsi="Times New Roman"/>
          <w:sz w:val="24"/>
          <w:szCs w:val="24"/>
        </w:rPr>
        <w:t>.</w:t>
      </w:r>
      <w:r w:rsidR="00DD5CC5">
        <w:rPr>
          <w:rFonts w:ascii="Times New Roman" w:hAnsi="Times New Roman"/>
          <w:sz w:val="24"/>
          <w:szCs w:val="24"/>
        </w:rPr>
        <w:t xml:space="preserve">  </w:t>
      </w:r>
      <w:r>
        <w:rPr>
          <w:rFonts w:ascii="Times New Roman" w:hAnsi="Times New Roman"/>
          <w:sz w:val="24"/>
          <w:szCs w:val="24"/>
        </w:rPr>
        <w:t xml:space="preserve">It </w:t>
      </w:r>
      <w:r w:rsidR="001C72F5">
        <w:rPr>
          <w:rFonts w:ascii="Times New Roman" w:hAnsi="Times New Roman"/>
          <w:sz w:val="24"/>
          <w:szCs w:val="24"/>
        </w:rPr>
        <w:t xml:space="preserve">amended the </w:t>
      </w:r>
      <w:r w:rsidR="001C72F5">
        <w:rPr>
          <w:rFonts w:ascii="Times New Roman" w:hAnsi="Times New Roman"/>
          <w:i/>
          <w:sz w:val="24"/>
          <w:szCs w:val="24"/>
        </w:rPr>
        <w:t xml:space="preserve">Civil Partnerships Act 2011 </w:t>
      </w:r>
      <w:r w:rsidR="001C72F5">
        <w:rPr>
          <w:rFonts w:ascii="Times New Roman" w:hAnsi="Times New Roman"/>
          <w:sz w:val="24"/>
          <w:szCs w:val="24"/>
        </w:rPr>
        <w:t xml:space="preserve">(Qld) by changing </w:t>
      </w:r>
      <w:r w:rsidR="001C72F5" w:rsidRPr="00181283">
        <w:rPr>
          <w:rFonts w:ascii="Times New Roman" w:hAnsi="Times New Roman"/>
          <w:sz w:val="24"/>
          <w:szCs w:val="24"/>
        </w:rPr>
        <w:t>the short title</w:t>
      </w:r>
      <w:r w:rsidR="001C72F5">
        <w:rPr>
          <w:rFonts w:ascii="Times New Roman" w:hAnsi="Times New Roman"/>
          <w:sz w:val="24"/>
          <w:szCs w:val="24"/>
        </w:rPr>
        <w:t xml:space="preserve"> from the</w:t>
      </w:r>
      <w:r w:rsidR="001C72F5" w:rsidRPr="00181283">
        <w:rPr>
          <w:rFonts w:ascii="Times New Roman" w:hAnsi="Times New Roman"/>
          <w:sz w:val="24"/>
          <w:szCs w:val="24"/>
        </w:rPr>
        <w:t xml:space="preserve"> ‘</w:t>
      </w:r>
      <w:r w:rsidR="001C72F5" w:rsidRPr="00181283">
        <w:rPr>
          <w:rFonts w:ascii="Times New Roman" w:hAnsi="Times New Roman"/>
          <w:i/>
          <w:sz w:val="24"/>
          <w:szCs w:val="24"/>
        </w:rPr>
        <w:t xml:space="preserve">Civil Partnerships Act 2011’ </w:t>
      </w:r>
      <w:r w:rsidR="001C72F5" w:rsidRPr="00181283">
        <w:rPr>
          <w:rFonts w:ascii="Times New Roman" w:hAnsi="Times New Roman"/>
          <w:sz w:val="24"/>
          <w:szCs w:val="24"/>
        </w:rPr>
        <w:t>to the ‘</w:t>
      </w:r>
      <w:r w:rsidR="001C72F5" w:rsidRPr="00181283">
        <w:rPr>
          <w:rFonts w:ascii="Times New Roman" w:hAnsi="Times New Roman"/>
          <w:i/>
          <w:sz w:val="24"/>
          <w:szCs w:val="24"/>
        </w:rPr>
        <w:t>Relationships Act 2011’</w:t>
      </w:r>
      <w:r w:rsidR="001C72F5" w:rsidRPr="00181283">
        <w:rPr>
          <w:rFonts w:ascii="Times New Roman" w:hAnsi="Times New Roman"/>
          <w:sz w:val="24"/>
          <w:szCs w:val="24"/>
        </w:rPr>
        <w:t xml:space="preserve"> and the reference to type</w:t>
      </w:r>
      <w:r w:rsidR="001C72F5">
        <w:rPr>
          <w:rFonts w:ascii="Times New Roman" w:hAnsi="Times New Roman"/>
          <w:sz w:val="24"/>
          <w:szCs w:val="24"/>
        </w:rPr>
        <w:t>s</w:t>
      </w:r>
      <w:r w:rsidR="001C72F5" w:rsidRPr="00181283">
        <w:rPr>
          <w:rFonts w:ascii="Times New Roman" w:hAnsi="Times New Roman"/>
          <w:sz w:val="24"/>
          <w:szCs w:val="24"/>
        </w:rPr>
        <w:t xml:space="preserve"> of relationship</w:t>
      </w:r>
      <w:r w:rsidR="001C72F5">
        <w:rPr>
          <w:rFonts w:ascii="Times New Roman" w:hAnsi="Times New Roman"/>
          <w:sz w:val="24"/>
          <w:szCs w:val="24"/>
        </w:rPr>
        <w:t>s</w:t>
      </w:r>
      <w:r w:rsidR="001C72F5" w:rsidRPr="00181283">
        <w:rPr>
          <w:rFonts w:ascii="Times New Roman" w:hAnsi="Times New Roman"/>
          <w:sz w:val="24"/>
          <w:szCs w:val="24"/>
        </w:rPr>
        <w:t xml:space="preserve"> that can be entered </w:t>
      </w:r>
      <w:r w:rsidR="001C72F5">
        <w:rPr>
          <w:rFonts w:ascii="Times New Roman" w:hAnsi="Times New Roman"/>
          <w:sz w:val="24"/>
          <w:szCs w:val="24"/>
        </w:rPr>
        <w:t>in</w:t>
      </w:r>
      <w:r w:rsidR="00446D03">
        <w:rPr>
          <w:rFonts w:ascii="Times New Roman" w:hAnsi="Times New Roman"/>
          <w:sz w:val="24"/>
          <w:szCs w:val="24"/>
        </w:rPr>
        <w:t>to</w:t>
      </w:r>
      <w:r w:rsidR="001C72F5">
        <w:rPr>
          <w:rFonts w:ascii="Times New Roman" w:hAnsi="Times New Roman"/>
          <w:sz w:val="24"/>
          <w:szCs w:val="24"/>
        </w:rPr>
        <w:t xml:space="preserve"> </w:t>
      </w:r>
      <w:r w:rsidR="001C72F5" w:rsidRPr="00181283">
        <w:rPr>
          <w:rFonts w:ascii="Times New Roman" w:hAnsi="Times New Roman"/>
          <w:sz w:val="24"/>
          <w:szCs w:val="24"/>
        </w:rPr>
        <w:t>from ‘ci</w:t>
      </w:r>
      <w:r w:rsidR="001C72F5">
        <w:rPr>
          <w:rFonts w:ascii="Times New Roman" w:hAnsi="Times New Roman"/>
          <w:sz w:val="24"/>
          <w:szCs w:val="24"/>
        </w:rPr>
        <w:t>vil partnership’ to ‘registered </w:t>
      </w:r>
      <w:r w:rsidR="001C72F5" w:rsidRPr="00181283">
        <w:rPr>
          <w:rFonts w:ascii="Times New Roman" w:hAnsi="Times New Roman"/>
          <w:sz w:val="24"/>
          <w:szCs w:val="24"/>
        </w:rPr>
        <w:t>relationship’</w:t>
      </w:r>
      <w:r w:rsidR="001C72F5">
        <w:rPr>
          <w:rFonts w:ascii="Times New Roman" w:hAnsi="Times New Roman"/>
          <w:sz w:val="24"/>
          <w:szCs w:val="24"/>
        </w:rPr>
        <w:t>.</w:t>
      </w:r>
    </w:p>
    <w:p w:rsidR="001C72F5" w:rsidRDefault="00DD5CC5" w:rsidP="000451E2">
      <w:pPr>
        <w:spacing w:line="240" w:lineRule="auto"/>
        <w:rPr>
          <w:rFonts w:ascii="Times New Roman" w:hAnsi="Times New Roman"/>
          <w:sz w:val="24"/>
          <w:szCs w:val="24"/>
        </w:rPr>
      </w:pPr>
      <w:r>
        <w:rPr>
          <w:rFonts w:ascii="Times New Roman" w:hAnsi="Times New Roman"/>
          <w:sz w:val="24"/>
          <w:szCs w:val="24"/>
        </w:rPr>
        <w:t>F</w:t>
      </w:r>
      <w:r w:rsidRPr="005B267B">
        <w:rPr>
          <w:rFonts w:ascii="Times New Roman" w:hAnsi="Times New Roman"/>
          <w:sz w:val="24"/>
          <w:szCs w:val="24"/>
        </w:rPr>
        <w:t xml:space="preserve">ollowing the commencement of the </w:t>
      </w:r>
      <w:r w:rsidRPr="005B267B">
        <w:rPr>
          <w:rFonts w:ascii="Times New Roman" w:hAnsi="Times New Roman"/>
          <w:i/>
          <w:sz w:val="24"/>
          <w:szCs w:val="24"/>
        </w:rPr>
        <w:t>Civil Partnerships and Other Legislation Amendment Act 2012</w:t>
      </w:r>
      <w:r w:rsidRPr="005B267B">
        <w:rPr>
          <w:rFonts w:ascii="Times New Roman" w:hAnsi="Times New Roman"/>
          <w:sz w:val="24"/>
          <w:szCs w:val="24"/>
        </w:rPr>
        <w:t xml:space="preserve"> (Qld)</w:t>
      </w:r>
      <w:r>
        <w:rPr>
          <w:rFonts w:ascii="Times New Roman" w:hAnsi="Times New Roman"/>
          <w:sz w:val="24"/>
          <w:szCs w:val="24"/>
        </w:rPr>
        <w:t>, t</w:t>
      </w:r>
      <w:r w:rsidRPr="005B267B">
        <w:rPr>
          <w:rFonts w:ascii="Times New Roman" w:hAnsi="Times New Roman"/>
          <w:sz w:val="24"/>
          <w:szCs w:val="24"/>
        </w:rPr>
        <w:t xml:space="preserve">he </w:t>
      </w:r>
      <w:r w:rsidR="001C72F5" w:rsidRPr="00877730">
        <w:rPr>
          <w:rFonts w:ascii="Times New Roman" w:hAnsi="Times New Roman"/>
          <w:sz w:val="24"/>
          <w:szCs w:val="24"/>
        </w:rPr>
        <w:t xml:space="preserve">Regulation </w:t>
      </w:r>
      <w:r w:rsidR="001C72F5">
        <w:rPr>
          <w:rFonts w:ascii="Times New Roman" w:hAnsi="Times New Roman"/>
          <w:sz w:val="24"/>
          <w:szCs w:val="24"/>
        </w:rPr>
        <w:t>update</w:t>
      </w:r>
      <w:r w:rsidR="006E0873">
        <w:rPr>
          <w:rFonts w:ascii="Times New Roman" w:hAnsi="Times New Roman"/>
          <w:sz w:val="24"/>
          <w:szCs w:val="24"/>
        </w:rPr>
        <w:t>s</w:t>
      </w:r>
      <w:r w:rsidR="001C72F5">
        <w:rPr>
          <w:rFonts w:ascii="Times New Roman" w:hAnsi="Times New Roman"/>
          <w:sz w:val="24"/>
          <w:szCs w:val="24"/>
        </w:rPr>
        <w:t xml:space="preserve"> the Principal Regulations so that references to the Queensland relationship registration scheme, and relationships as a couple which may be registered under that scheme, are consistent with the current law in that State.</w:t>
      </w:r>
    </w:p>
    <w:p w:rsidR="001C72F5" w:rsidRPr="00445F5E" w:rsidRDefault="001C72F5" w:rsidP="001C72F5">
      <w:pPr>
        <w:spacing w:line="240" w:lineRule="auto"/>
        <w:rPr>
          <w:rFonts w:ascii="Times New Roman" w:hAnsi="Times New Roman"/>
          <w:sz w:val="24"/>
          <w:szCs w:val="24"/>
        </w:rPr>
      </w:pPr>
      <w:r>
        <w:rPr>
          <w:rFonts w:ascii="Times New Roman" w:hAnsi="Times New Roman"/>
          <w:sz w:val="24"/>
          <w:szCs w:val="24"/>
        </w:rPr>
        <w:t xml:space="preserve">In particular, the </w:t>
      </w:r>
      <w:r w:rsidRPr="00445F5E">
        <w:rPr>
          <w:rFonts w:ascii="Times New Roman" w:hAnsi="Times New Roman"/>
          <w:sz w:val="24"/>
          <w:szCs w:val="24"/>
        </w:rPr>
        <w:t xml:space="preserve">Regulation </w:t>
      </w:r>
      <w:r>
        <w:rPr>
          <w:rFonts w:ascii="Times New Roman" w:hAnsi="Times New Roman"/>
          <w:sz w:val="24"/>
          <w:szCs w:val="24"/>
        </w:rPr>
        <w:t>update</w:t>
      </w:r>
      <w:r w:rsidR="006E0873">
        <w:rPr>
          <w:rFonts w:ascii="Times New Roman" w:hAnsi="Times New Roman"/>
          <w:sz w:val="24"/>
          <w:szCs w:val="24"/>
        </w:rPr>
        <w:t>s</w:t>
      </w:r>
      <w:r w:rsidRPr="00445F5E">
        <w:rPr>
          <w:rFonts w:ascii="Times New Roman" w:hAnsi="Times New Roman"/>
          <w:sz w:val="24"/>
          <w:szCs w:val="24"/>
        </w:rPr>
        <w:t xml:space="preserve"> </w:t>
      </w:r>
      <w:r>
        <w:rPr>
          <w:rFonts w:ascii="Times New Roman" w:hAnsi="Times New Roman"/>
          <w:sz w:val="24"/>
          <w:szCs w:val="24"/>
        </w:rPr>
        <w:t xml:space="preserve">item 2A of the table in regulation 12BC and item 2A of the table in regulation 15AB of </w:t>
      </w:r>
      <w:r w:rsidRPr="00445F5E">
        <w:rPr>
          <w:rFonts w:ascii="Times New Roman" w:hAnsi="Times New Roman"/>
          <w:sz w:val="24"/>
          <w:szCs w:val="24"/>
        </w:rPr>
        <w:t>the Principal</w:t>
      </w:r>
      <w:r>
        <w:rPr>
          <w:rFonts w:ascii="Times New Roman" w:hAnsi="Times New Roman"/>
          <w:sz w:val="24"/>
          <w:szCs w:val="24"/>
        </w:rPr>
        <w:t> </w:t>
      </w:r>
      <w:r w:rsidRPr="00445F5E">
        <w:rPr>
          <w:rFonts w:ascii="Times New Roman" w:hAnsi="Times New Roman"/>
          <w:sz w:val="24"/>
          <w:szCs w:val="24"/>
        </w:rPr>
        <w:t xml:space="preserve">Regulations by replacing </w:t>
      </w:r>
      <w:r>
        <w:rPr>
          <w:rFonts w:ascii="Times New Roman" w:hAnsi="Times New Roman"/>
          <w:sz w:val="24"/>
          <w:szCs w:val="24"/>
        </w:rPr>
        <w:t>the</w:t>
      </w:r>
      <w:r w:rsidRPr="00445F5E">
        <w:rPr>
          <w:rFonts w:ascii="Times New Roman" w:hAnsi="Times New Roman"/>
          <w:sz w:val="24"/>
          <w:szCs w:val="24"/>
        </w:rPr>
        <w:t xml:space="preserve"> reference to</w:t>
      </w:r>
      <w:r>
        <w:rPr>
          <w:rFonts w:ascii="Times New Roman" w:hAnsi="Times New Roman"/>
          <w:sz w:val="24"/>
          <w:szCs w:val="24"/>
        </w:rPr>
        <w:t xml:space="preserve"> the</w:t>
      </w:r>
      <w:r w:rsidRPr="00445F5E">
        <w:rPr>
          <w:rFonts w:ascii="Times New Roman" w:hAnsi="Times New Roman"/>
          <w:sz w:val="24"/>
          <w:szCs w:val="24"/>
        </w:rPr>
        <w:t xml:space="preserve"> ‘</w:t>
      </w:r>
      <w:r w:rsidRPr="00445F5E">
        <w:rPr>
          <w:rFonts w:ascii="Times New Roman" w:hAnsi="Times New Roman"/>
          <w:i/>
          <w:sz w:val="24"/>
          <w:szCs w:val="24"/>
        </w:rPr>
        <w:t>Civil Partnerships Act 2011’</w:t>
      </w:r>
      <w:r w:rsidRPr="00445F5E">
        <w:rPr>
          <w:rFonts w:ascii="Times New Roman" w:hAnsi="Times New Roman"/>
          <w:sz w:val="24"/>
          <w:szCs w:val="24"/>
        </w:rPr>
        <w:t xml:space="preserve"> </w:t>
      </w:r>
      <w:r>
        <w:rPr>
          <w:rFonts w:ascii="Times New Roman" w:hAnsi="Times New Roman"/>
          <w:sz w:val="24"/>
          <w:szCs w:val="24"/>
        </w:rPr>
        <w:t>with</w:t>
      </w:r>
      <w:r w:rsidRPr="00445F5E">
        <w:rPr>
          <w:rFonts w:ascii="Times New Roman" w:hAnsi="Times New Roman"/>
          <w:sz w:val="24"/>
          <w:szCs w:val="24"/>
        </w:rPr>
        <w:t xml:space="preserve"> </w:t>
      </w:r>
      <w:r>
        <w:rPr>
          <w:rFonts w:ascii="Times New Roman" w:hAnsi="Times New Roman"/>
          <w:sz w:val="24"/>
          <w:szCs w:val="24"/>
        </w:rPr>
        <w:t>‘</w:t>
      </w:r>
      <w:r w:rsidRPr="00445F5E">
        <w:rPr>
          <w:rFonts w:ascii="Times New Roman" w:hAnsi="Times New Roman"/>
          <w:i/>
          <w:sz w:val="24"/>
          <w:szCs w:val="24"/>
        </w:rPr>
        <w:t>Relationships</w:t>
      </w:r>
      <w:r>
        <w:rPr>
          <w:rFonts w:ascii="Times New Roman" w:hAnsi="Times New Roman"/>
          <w:i/>
          <w:sz w:val="24"/>
          <w:szCs w:val="24"/>
        </w:rPr>
        <w:t> </w:t>
      </w:r>
      <w:r w:rsidRPr="00445F5E">
        <w:rPr>
          <w:rFonts w:ascii="Times New Roman" w:hAnsi="Times New Roman"/>
          <w:i/>
          <w:sz w:val="24"/>
          <w:szCs w:val="24"/>
        </w:rPr>
        <w:t>Act</w:t>
      </w:r>
      <w:r>
        <w:rPr>
          <w:rFonts w:ascii="Times New Roman" w:hAnsi="Times New Roman"/>
          <w:i/>
          <w:sz w:val="24"/>
          <w:szCs w:val="24"/>
        </w:rPr>
        <w:t> </w:t>
      </w:r>
      <w:r w:rsidRPr="00445F5E">
        <w:rPr>
          <w:rFonts w:ascii="Times New Roman" w:hAnsi="Times New Roman"/>
          <w:i/>
          <w:sz w:val="24"/>
          <w:szCs w:val="24"/>
        </w:rPr>
        <w:t>2011’</w:t>
      </w:r>
      <w:r w:rsidRPr="00445F5E">
        <w:rPr>
          <w:rFonts w:ascii="Times New Roman" w:hAnsi="Times New Roman"/>
          <w:sz w:val="24"/>
          <w:szCs w:val="24"/>
        </w:rPr>
        <w:t xml:space="preserve"> and</w:t>
      </w:r>
      <w:r>
        <w:rPr>
          <w:rFonts w:ascii="Times New Roman" w:hAnsi="Times New Roman"/>
          <w:sz w:val="24"/>
          <w:szCs w:val="24"/>
        </w:rPr>
        <w:t xml:space="preserve"> changing the reference to </w:t>
      </w:r>
      <w:r w:rsidRPr="00445F5E">
        <w:rPr>
          <w:rFonts w:ascii="Times New Roman" w:hAnsi="Times New Roman"/>
          <w:sz w:val="24"/>
          <w:szCs w:val="24"/>
        </w:rPr>
        <w:t xml:space="preserve">‘civil partnership’ </w:t>
      </w:r>
      <w:r>
        <w:rPr>
          <w:rFonts w:ascii="Times New Roman" w:hAnsi="Times New Roman"/>
          <w:sz w:val="24"/>
          <w:szCs w:val="24"/>
        </w:rPr>
        <w:t>with</w:t>
      </w:r>
      <w:r w:rsidRPr="00445F5E">
        <w:rPr>
          <w:rFonts w:ascii="Times New Roman" w:hAnsi="Times New Roman"/>
          <w:sz w:val="24"/>
          <w:szCs w:val="24"/>
        </w:rPr>
        <w:t xml:space="preserve"> ‘registered</w:t>
      </w:r>
      <w:r>
        <w:rPr>
          <w:rFonts w:ascii="Times New Roman" w:hAnsi="Times New Roman"/>
          <w:sz w:val="24"/>
          <w:szCs w:val="24"/>
        </w:rPr>
        <w:t> </w:t>
      </w:r>
      <w:r w:rsidRPr="00445F5E">
        <w:rPr>
          <w:rFonts w:ascii="Times New Roman" w:hAnsi="Times New Roman"/>
          <w:sz w:val="24"/>
          <w:szCs w:val="24"/>
        </w:rPr>
        <w:t xml:space="preserve">relationship’. </w:t>
      </w:r>
    </w:p>
    <w:p w:rsidR="003B2610" w:rsidRPr="005B267B" w:rsidRDefault="003B2610" w:rsidP="003B2610">
      <w:pPr>
        <w:spacing w:line="240" w:lineRule="auto"/>
        <w:rPr>
          <w:rFonts w:ascii="Times New Roman" w:hAnsi="Times New Roman"/>
          <w:sz w:val="24"/>
          <w:szCs w:val="24"/>
        </w:rPr>
      </w:pPr>
      <w:r w:rsidRPr="005B267B">
        <w:rPr>
          <w:rFonts w:ascii="Times New Roman" w:hAnsi="Times New Roman"/>
          <w:sz w:val="24"/>
          <w:szCs w:val="24"/>
        </w:rPr>
        <w:t xml:space="preserve">The Queensland Government </w:t>
      </w:r>
      <w:r w:rsidR="00CC03BE">
        <w:rPr>
          <w:rFonts w:ascii="Times New Roman" w:hAnsi="Times New Roman"/>
          <w:sz w:val="24"/>
          <w:szCs w:val="24"/>
        </w:rPr>
        <w:t>was</w:t>
      </w:r>
      <w:r w:rsidR="008F3EB1" w:rsidRPr="005B267B">
        <w:rPr>
          <w:rFonts w:ascii="Times New Roman" w:hAnsi="Times New Roman"/>
          <w:sz w:val="24"/>
          <w:szCs w:val="24"/>
        </w:rPr>
        <w:t xml:space="preserve"> consulted on the draft R</w:t>
      </w:r>
      <w:r w:rsidRPr="005B267B">
        <w:rPr>
          <w:rFonts w:ascii="Times New Roman" w:hAnsi="Times New Roman"/>
          <w:sz w:val="24"/>
          <w:szCs w:val="24"/>
        </w:rPr>
        <w:t xml:space="preserve">egulation.  </w:t>
      </w:r>
    </w:p>
    <w:p w:rsidR="00605991" w:rsidRPr="00215734" w:rsidRDefault="00605991" w:rsidP="003B2610">
      <w:pPr>
        <w:spacing w:line="240" w:lineRule="auto"/>
        <w:rPr>
          <w:rFonts w:ascii="Times New Roman" w:hAnsi="Times New Roman"/>
          <w:sz w:val="24"/>
          <w:szCs w:val="24"/>
          <w:u w:val="single"/>
        </w:rPr>
      </w:pPr>
      <w:r w:rsidRPr="00215734">
        <w:rPr>
          <w:rFonts w:ascii="Times New Roman" w:hAnsi="Times New Roman"/>
          <w:sz w:val="24"/>
          <w:szCs w:val="24"/>
          <w:u w:val="single"/>
        </w:rPr>
        <w:t xml:space="preserve">Amendments relating to the jurisdiction of the Family Court in Western Australia, the Territory of Christmas Island and the Territory of the Cocos (Keeling) Islands.  </w:t>
      </w:r>
    </w:p>
    <w:p w:rsidR="003B2610" w:rsidRPr="005B267B" w:rsidRDefault="00605991" w:rsidP="003B2610">
      <w:pPr>
        <w:spacing w:line="240" w:lineRule="auto"/>
        <w:rPr>
          <w:rFonts w:ascii="Times New Roman" w:hAnsi="Times New Roman"/>
          <w:sz w:val="24"/>
          <w:szCs w:val="24"/>
        </w:rPr>
      </w:pPr>
      <w:r>
        <w:rPr>
          <w:rFonts w:ascii="Times New Roman" w:hAnsi="Times New Roman"/>
          <w:sz w:val="24"/>
          <w:szCs w:val="24"/>
        </w:rPr>
        <w:t>S</w:t>
      </w:r>
      <w:r w:rsidR="003B2610" w:rsidRPr="005B267B">
        <w:rPr>
          <w:rFonts w:ascii="Times New Roman" w:hAnsi="Times New Roman"/>
          <w:sz w:val="24"/>
          <w:szCs w:val="24"/>
        </w:rPr>
        <w:t xml:space="preserve">ubsection 40(1) of the Family Law Act provides that </w:t>
      </w:r>
      <w:r w:rsidR="00265353" w:rsidRPr="005B267B">
        <w:rPr>
          <w:rFonts w:ascii="Times New Roman" w:hAnsi="Times New Roman"/>
          <w:sz w:val="24"/>
          <w:szCs w:val="24"/>
        </w:rPr>
        <w:t xml:space="preserve">the </w:t>
      </w:r>
      <w:r w:rsidR="00F76C74" w:rsidRPr="005B267B">
        <w:rPr>
          <w:rFonts w:ascii="Times New Roman" w:hAnsi="Times New Roman"/>
          <w:sz w:val="24"/>
          <w:szCs w:val="24"/>
        </w:rPr>
        <w:t xml:space="preserve">Principal </w:t>
      </w:r>
      <w:r w:rsidR="00265353" w:rsidRPr="005B267B">
        <w:rPr>
          <w:rFonts w:ascii="Times New Roman" w:hAnsi="Times New Roman"/>
          <w:sz w:val="24"/>
          <w:szCs w:val="24"/>
        </w:rPr>
        <w:t xml:space="preserve">Regulations </w:t>
      </w:r>
      <w:r w:rsidR="003B2610" w:rsidRPr="005B267B">
        <w:rPr>
          <w:rFonts w:ascii="Times New Roman" w:hAnsi="Times New Roman"/>
          <w:sz w:val="24"/>
          <w:szCs w:val="24"/>
        </w:rPr>
        <w:t xml:space="preserve">may provide that the jurisdiction of the Family Court under the Family Law Act in relation to all proceedings, or a specified class of proceedings, must not be exercised in a specified State </w:t>
      </w:r>
      <w:r w:rsidR="00F76C74" w:rsidRPr="005B267B">
        <w:rPr>
          <w:rFonts w:ascii="Times New Roman" w:hAnsi="Times New Roman"/>
          <w:sz w:val="24"/>
          <w:szCs w:val="24"/>
        </w:rPr>
        <w:t xml:space="preserve">or </w:t>
      </w:r>
      <w:r w:rsidR="003B2610" w:rsidRPr="005B267B">
        <w:rPr>
          <w:rFonts w:ascii="Times New Roman" w:hAnsi="Times New Roman"/>
          <w:sz w:val="24"/>
          <w:szCs w:val="24"/>
        </w:rPr>
        <w:t xml:space="preserve">Territory, or in 2 or more specified States and Territories. </w:t>
      </w:r>
    </w:p>
    <w:p w:rsidR="003B2610" w:rsidRPr="005B267B" w:rsidRDefault="003B2610" w:rsidP="003B2610">
      <w:pPr>
        <w:spacing w:line="240" w:lineRule="auto"/>
        <w:rPr>
          <w:rFonts w:ascii="Times New Roman" w:hAnsi="Times New Roman"/>
          <w:sz w:val="24"/>
          <w:szCs w:val="24"/>
        </w:rPr>
      </w:pPr>
      <w:r w:rsidRPr="005B267B">
        <w:rPr>
          <w:rFonts w:ascii="Times New Roman" w:hAnsi="Times New Roman"/>
          <w:sz w:val="24"/>
          <w:szCs w:val="24"/>
        </w:rPr>
        <w:t xml:space="preserve">Paragraph 39BB(2)(g) of </w:t>
      </w:r>
      <w:r w:rsidR="00265353" w:rsidRPr="005B267B">
        <w:rPr>
          <w:rFonts w:ascii="Times New Roman" w:hAnsi="Times New Roman"/>
          <w:sz w:val="24"/>
          <w:szCs w:val="24"/>
        </w:rPr>
        <w:t xml:space="preserve">the </w:t>
      </w:r>
      <w:r w:rsidR="00F76C74" w:rsidRPr="005B267B">
        <w:rPr>
          <w:rFonts w:ascii="Times New Roman" w:hAnsi="Times New Roman"/>
          <w:sz w:val="24"/>
          <w:szCs w:val="24"/>
        </w:rPr>
        <w:t xml:space="preserve">Principal </w:t>
      </w:r>
      <w:r w:rsidR="00265353" w:rsidRPr="005B267B">
        <w:rPr>
          <w:rFonts w:ascii="Times New Roman" w:hAnsi="Times New Roman"/>
          <w:sz w:val="24"/>
          <w:szCs w:val="24"/>
        </w:rPr>
        <w:t xml:space="preserve">Regulations </w:t>
      </w:r>
      <w:r w:rsidRPr="005B267B">
        <w:rPr>
          <w:rFonts w:ascii="Times New Roman" w:hAnsi="Times New Roman"/>
          <w:sz w:val="24"/>
          <w:szCs w:val="24"/>
        </w:rPr>
        <w:t xml:space="preserve">restricts the Family Court of Australia from exercising its jurisdiction in Western Australia, the Territory of Christmas Island and the Territory of the Cocos (Keeling) Islands to hear appeals against a decision of a judge of the Family Court of Western Australia to refuse to disqualify themselves from hearing a matter.  The </w:t>
      </w:r>
      <w:r w:rsidR="00CC03BE">
        <w:rPr>
          <w:rFonts w:ascii="Times New Roman" w:hAnsi="Times New Roman"/>
          <w:sz w:val="24"/>
          <w:szCs w:val="24"/>
        </w:rPr>
        <w:t>R</w:t>
      </w:r>
      <w:r w:rsidRPr="005B267B">
        <w:rPr>
          <w:rFonts w:ascii="Times New Roman" w:hAnsi="Times New Roman"/>
          <w:sz w:val="24"/>
          <w:szCs w:val="24"/>
        </w:rPr>
        <w:t>egulation fix</w:t>
      </w:r>
      <w:r w:rsidR="00CC03BE">
        <w:rPr>
          <w:rFonts w:ascii="Times New Roman" w:hAnsi="Times New Roman"/>
          <w:sz w:val="24"/>
          <w:szCs w:val="24"/>
        </w:rPr>
        <w:t>es</w:t>
      </w:r>
      <w:r w:rsidRPr="005B267B">
        <w:rPr>
          <w:rFonts w:ascii="Times New Roman" w:hAnsi="Times New Roman"/>
          <w:sz w:val="24"/>
          <w:szCs w:val="24"/>
        </w:rPr>
        <w:t xml:space="preserve"> this anomaly </w:t>
      </w:r>
      <w:r w:rsidR="006E2445">
        <w:rPr>
          <w:rFonts w:ascii="Times New Roman" w:hAnsi="Times New Roman"/>
          <w:sz w:val="24"/>
          <w:szCs w:val="24"/>
        </w:rPr>
        <w:t>to</w:t>
      </w:r>
      <w:r w:rsidRPr="005B267B">
        <w:rPr>
          <w:rFonts w:ascii="Times New Roman" w:hAnsi="Times New Roman"/>
          <w:sz w:val="24"/>
          <w:szCs w:val="24"/>
        </w:rPr>
        <w:t xml:space="preserve"> allow the Family Court of Australia to exercise its jurisdiction in Western Australia, the Territory of Christmas Island and the Territory of the Cocos (Keeling) Islands to hear the above mentioned appeals. </w:t>
      </w:r>
    </w:p>
    <w:p w:rsidR="003B2610" w:rsidRDefault="003B2610" w:rsidP="003B2610">
      <w:pPr>
        <w:spacing w:line="240" w:lineRule="auto"/>
        <w:rPr>
          <w:rFonts w:ascii="Times New Roman" w:hAnsi="Times New Roman"/>
          <w:sz w:val="24"/>
          <w:szCs w:val="24"/>
        </w:rPr>
      </w:pPr>
      <w:r w:rsidRPr="005B267B">
        <w:rPr>
          <w:rFonts w:ascii="Times New Roman" w:hAnsi="Times New Roman"/>
          <w:sz w:val="24"/>
          <w:szCs w:val="24"/>
        </w:rPr>
        <w:t>The Western Australian Government</w:t>
      </w:r>
      <w:r w:rsidR="00C95451" w:rsidRPr="005B267B">
        <w:rPr>
          <w:rFonts w:ascii="Times New Roman" w:hAnsi="Times New Roman"/>
          <w:sz w:val="24"/>
          <w:szCs w:val="24"/>
        </w:rPr>
        <w:t>,</w:t>
      </w:r>
      <w:r w:rsidRPr="005B267B">
        <w:rPr>
          <w:rFonts w:ascii="Times New Roman" w:hAnsi="Times New Roman"/>
          <w:sz w:val="24"/>
          <w:szCs w:val="24"/>
        </w:rPr>
        <w:t xml:space="preserve"> the Department of Regional Australia, Local Government, Arts and Sport, and the Family Court of Australia </w:t>
      </w:r>
      <w:r w:rsidR="00265353" w:rsidRPr="005B267B">
        <w:rPr>
          <w:rFonts w:ascii="Times New Roman" w:hAnsi="Times New Roman"/>
          <w:sz w:val="24"/>
          <w:szCs w:val="24"/>
        </w:rPr>
        <w:t>were</w:t>
      </w:r>
      <w:r w:rsidR="008F3EB1" w:rsidRPr="005B267B">
        <w:rPr>
          <w:rFonts w:ascii="Times New Roman" w:hAnsi="Times New Roman"/>
          <w:sz w:val="24"/>
          <w:szCs w:val="24"/>
        </w:rPr>
        <w:t xml:space="preserve"> consulted on the draft R</w:t>
      </w:r>
      <w:r w:rsidRPr="005B267B">
        <w:rPr>
          <w:rFonts w:ascii="Times New Roman" w:hAnsi="Times New Roman"/>
          <w:sz w:val="24"/>
          <w:szCs w:val="24"/>
        </w:rPr>
        <w:t xml:space="preserve">egulation.  </w:t>
      </w:r>
    </w:p>
    <w:p w:rsidR="00B07F15" w:rsidRPr="005B267B" w:rsidRDefault="00B07F15" w:rsidP="003B2610">
      <w:pPr>
        <w:spacing w:line="240" w:lineRule="auto"/>
        <w:rPr>
          <w:rFonts w:ascii="Times New Roman" w:hAnsi="Times New Roman"/>
          <w:sz w:val="24"/>
          <w:szCs w:val="24"/>
        </w:rPr>
      </w:pPr>
      <w:r>
        <w:rPr>
          <w:rFonts w:ascii="Times New Roman" w:hAnsi="Times New Roman"/>
          <w:sz w:val="24"/>
          <w:szCs w:val="24"/>
        </w:rPr>
        <w:t xml:space="preserve">The Family Court of Australia was consulted on the full Regulation. </w:t>
      </w:r>
    </w:p>
    <w:p w:rsidR="000420EB" w:rsidRPr="005B267B" w:rsidRDefault="00404343" w:rsidP="003B2610">
      <w:pPr>
        <w:spacing w:line="240" w:lineRule="auto"/>
        <w:rPr>
          <w:rFonts w:ascii="Times New Roman" w:hAnsi="Times New Roman"/>
          <w:sz w:val="24"/>
          <w:szCs w:val="24"/>
        </w:rPr>
      </w:pPr>
      <w:r w:rsidRPr="005B267B">
        <w:rPr>
          <w:rFonts w:ascii="Times New Roman" w:hAnsi="Times New Roman"/>
          <w:sz w:val="24"/>
          <w:szCs w:val="24"/>
        </w:rPr>
        <w:t>The Family Law Act specifies no conditions that need to be satisfied before the power to make the Regulation may be exercised.</w:t>
      </w:r>
    </w:p>
    <w:p w:rsidR="003B2610" w:rsidRPr="005B267B" w:rsidRDefault="003B2610" w:rsidP="003B2610">
      <w:pPr>
        <w:spacing w:line="240" w:lineRule="auto"/>
        <w:rPr>
          <w:rFonts w:ascii="Times New Roman" w:hAnsi="Times New Roman"/>
          <w:sz w:val="24"/>
          <w:szCs w:val="24"/>
        </w:rPr>
      </w:pPr>
      <w:r w:rsidRPr="005B267B">
        <w:rPr>
          <w:rFonts w:ascii="Times New Roman" w:hAnsi="Times New Roman"/>
          <w:sz w:val="24"/>
          <w:szCs w:val="24"/>
        </w:rPr>
        <w:lastRenderedPageBreak/>
        <w:t xml:space="preserve">The Regulation is a legislative instrument for the purposes of the </w:t>
      </w:r>
      <w:r w:rsidR="006E2445">
        <w:rPr>
          <w:rFonts w:ascii="Times New Roman" w:hAnsi="Times New Roman"/>
          <w:i/>
          <w:sz w:val="24"/>
          <w:szCs w:val="24"/>
        </w:rPr>
        <w:t>Legislative </w:t>
      </w:r>
      <w:r w:rsidRPr="005B267B">
        <w:rPr>
          <w:rFonts w:ascii="Times New Roman" w:hAnsi="Times New Roman"/>
          <w:i/>
          <w:sz w:val="24"/>
          <w:szCs w:val="24"/>
        </w:rPr>
        <w:t>Instruments</w:t>
      </w:r>
      <w:r w:rsidR="006E2445">
        <w:rPr>
          <w:rFonts w:ascii="Times New Roman" w:hAnsi="Times New Roman"/>
          <w:i/>
          <w:sz w:val="24"/>
          <w:szCs w:val="24"/>
        </w:rPr>
        <w:t> </w:t>
      </w:r>
      <w:r w:rsidRPr="005B267B">
        <w:rPr>
          <w:rFonts w:ascii="Times New Roman" w:hAnsi="Times New Roman"/>
          <w:i/>
          <w:sz w:val="24"/>
          <w:szCs w:val="24"/>
        </w:rPr>
        <w:t>Act</w:t>
      </w:r>
      <w:r w:rsidR="006E2445">
        <w:rPr>
          <w:rFonts w:ascii="Times New Roman" w:hAnsi="Times New Roman"/>
          <w:i/>
          <w:sz w:val="24"/>
          <w:szCs w:val="24"/>
        </w:rPr>
        <w:t> </w:t>
      </w:r>
      <w:r w:rsidRPr="005B267B">
        <w:rPr>
          <w:rFonts w:ascii="Times New Roman" w:hAnsi="Times New Roman"/>
          <w:i/>
          <w:sz w:val="24"/>
          <w:szCs w:val="24"/>
        </w:rPr>
        <w:t>2003</w:t>
      </w:r>
      <w:r w:rsidRPr="005B267B">
        <w:rPr>
          <w:rFonts w:ascii="Times New Roman" w:hAnsi="Times New Roman"/>
          <w:sz w:val="24"/>
          <w:szCs w:val="24"/>
        </w:rPr>
        <w:t xml:space="preserve">. </w:t>
      </w:r>
    </w:p>
    <w:p w:rsidR="003B2610" w:rsidRPr="005B267B" w:rsidRDefault="003B2610" w:rsidP="003B2610">
      <w:pPr>
        <w:spacing w:line="240" w:lineRule="auto"/>
        <w:rPr>
          <w:rFonts w:ascii="Times New Roman" w:hAnsi="Times New Roman"/>
          <w:sz w:val="24"/>
          <w:szCs w:val="24"/>
        </w:rPr>
      </w:pPr>
      <w:r w:rsidRPr="005B267B">
        <w:rPr>
          <w:rFonts w:ascii="Times New Roman" w:hAnsi="Times New Roman"/>
          <w:sz w:val="24"/>
          <w:szCs w:val="24"/>
        </w:rPr>
        <w:t xml:space="preserve">Details of the Regulation are as follows: </w:t>
      </w:r>
    </w:p>
    <w:p w:rsidR="00ED1CA2" w:rsidRPr="005C3C22" w:rsidRDefault="00ED1CA2" w:rsidP="005C3C22">
      <w:pPr>
        <w:pStyle w:val="Heading2numbered"/>
        <w:rPr>
          <w:szCs w:val="24"/>
        </w:rPr>
      </w:pPr>
      <w:r w:rsidRPr="005C3C22">
        <w:rPr>
          <w:szCs w:val="24"/>
        </w:rPr>
        <w:t xml:space="preserve">Section 1 – Name of Regulation </w:t>
      </w:r>
    </w:p>
    <w:p w:rsidR="00ED1CA2" w:rsidRPr="005C3C22" w:rsidRDefault="00ED1CA2" w:rsidP="005C3C22">
      <w:pPr>
        <w:spacing w:before="240" w:line="240" w:lineRule="auto"/>
        <w:rPr>
          <w:rFonts w:ascii="Times New Roman" w:hAnsi="Times New Roman"/>
          <w:sz w:val="24"/>
          <w:szCs w:val="24"/>
        </w:rPr>
      </w:pPr>
      <w:r w:rsidRPr="005C3C22">
        <w:rPr>
          <w:rFonts w:ascii="Times New Roman" w:hAnsi="Times New Roman"/>
          <w:sz w:val="24"/>
          <w:szCs w:val="24"/>
        </w:rPr>
        <w:t xml:space="preserve">This Regulation provides that the title of the Regulation is the </w:t>
      </w:r>
      <w:r w:rsidRPr="005C3C22">
        <w:rPr>
          <w:rFonts w:ascii="Times New Roman" w:hAnsi="Times New Roman"/>
          <w:i/>
          <w:sz w:val="24"/>
          <w:szCs w:val="24"/>
        </w:rPr>
        <w:t>Family</w:t>
      </w:r>
      <w:r w:rsidR="005F1804">
        <w:rPr>
          <w:rFonts w:ascii="Times New Roman" w:hAnsi="Times New Roman"/>
          <w:i/>
          <w:sz w:val="24"/>
          <w:szCs w:val="24"/>
        </w:rPr>
        <w:t> </w:t>
      </w:r>
      <w:r w:rsidRPr="005C3C22">
        <w:rPr>
          <w:rFonts w:ascii="Times New Roman" w:hAnsi="Times New Roman"/>
          <w:i/>
          <w:sz w:val="24"/>
          <w:szCs w:val="24"/>
        </w:rPr>
        <w:t>Law</w:t>
      </w:r>
      <w:r w:rsidR="005F1804">
        <w:rPr>
          <w:rFonts w:ascii="Times New Roman" w:hAnsi="Times New Roman"/>
          <w:i/>
          <w:sz w:val="24"/>
          <w:szCs w:val="24"/>
        </w:rPr>
        <w:t> </w:t>
      </w:r>
      <w:r w:rsidRPr="005C3C22">
        <w:rPr>
          <w:rFonts w:ascii="Times New Roman" w:hAnsi="Times New Roman"/>
          <w:i/>
          <w:sz w:val="24"/>
          <w:szCs w:val="24"/>
        </w:rPr>
        <w:t>Amendment</w:t>
      </w:r>
      <w:r w:rsidR="005F1804">
        <w:rPr>
          <w:rFonts w:ascii="Times New Roman" w:hAnsi="Times New Roman"/>
          <w:i/>
          <w:sz w:val="24"/>
          <w:szCs w:val="24"/>
        </w:rPr>
        <w:t> </w:t>
      </w:r>
      <w:r w:rsidRPr="005C3C22">
        <w:rPr>
          <w:rFonts w:ascii="Times New Roman" w:hAnsi="Times New Roman"/>
          <w:i/>
          <w:sz w:val="24"/>
          <w:szCs w:val="24"/>
        </w:rPr>
        <w:t>Regulation</w:t>
      </w:r>
      <w:r w:rsidR="005F1804">
        <w:rPr>
          <w:rFonts w:ascii="Times New Roman" w:hAnsi="Times New Roman"/>
          <w:i/>
          <w:sz w:val="24"/>
          <w:szCs w:val="24"/>
        </w:rPr>
        <w:t> </w:t>
      </w:r>
      <w:r w:rsidRPr="005C3C22">
        <w:rPr>
          <w:rFonts w:ascii="Times New Roman" w:hAnsi="Times New Roman"/>
          <w:i/>
          <w:sz w:val="24"/>
          <w:szCs w:val="24"/>
        </w:rPr>
        <w:t>2012</w:t>
      </w:r>
      <w:r w:rsidR="005F1804">
        <w:rPr>
          <w:rFonts w:ascii="Times New Roman" w:hAnsi="Times New Roman"/>
          <w:i/>
          <w:sz w:val="24"/>
          <w:szCs w:val="24"/>
        </w:rPr>
        <w:t> </w:t>
      </w:r>
      <w:r w:rsidR="00096A2C">
        <w:rPr>
          <w:rFonts w:ascii="Times New Roman" w:hAnsi="Times New Roman"/>
          <w:i/>
          <w:sz w:val="24"/>
          <w:szCs w:val="24"/>
        </w:rPr>
        <w:t>(No. 3</w:t>
      </w:r>
      <w:r w:rsidRPr="005C3C22">
        <w:rPr>
          <w:rFonts w:ascii="Times New Roman" w:hAnsi="Times New Roman"/>
          <w:i/>
          <w:sz w:val="24"/>
          <w:szCs w:val="24"/>
        </w:rPr>
        <w:t>)</w:t>
      </w:r>
      <w:r w:rsidRPr="005C3C22">
        <w:rPr>
          <w:rFonts w:ascii="Times New Roman" w:hAnsi="Times New Roman"/>
          <w:sz w:val="24"/>
          <w:szCs w:val="24"/>
        </w:rPr>
        <w:t>.</w:t>
      </w:r>
    </w:p>
    <w:p w:rsidR="00ED1CA2" w:rsidRPr="005C3C22" w:rsidRDefault="00ED1CA2" w:rsidP="005C3C22">
      <w:pPr>
        <w:pStyle w:val="Heading2numbered"/>
      </w:pPr>
      <w:r w:rsidRPr="005C3C22">
        <w:t xml:space="preserve">Section 2 – Commencement </w:t>
      </w:r>
    </w:p>
    <w:p w:rsidR="000451E2" w:rsidRDefault="000451E2" w:rsidP="000451E2">
      <w:pPr>
        <w:spacing w:before="240" w:line="240" w:lineRule="auto"/>
        <w:rPr>
          <w:rFonts w:ascii="Times New Roman" w:hAnsi="Times New Roman"/>
          <w:sz w:val="24"/>
          <w:szCs w:val="24"/>
        </w:rPr>
      </w:pPr>
      <w:r>
        <w:rPr>
          <w:rFonts w:ascii="Times New Roman" w:hAnsi="Times New Roman"/>
          <w:sz w:val="24"/>
          <w:szCs w:val="24"/>
        </w:rPr>
        <w:t>Section 2 provides for the commencement of the Regulation.</w:t>
      </w:r>
    </w:p>
    <w:p w:rsidR="000451E2" w:rsidRDefault="000451E2" w:rsidP="000451E2">
      <w:pPr>
        <w:pStyle w:val="subsection"/>
        <w:numPr>
          <w:ilvl w:val="0"/>
          <w:numId w:val="5"/>
        </w:numPr>
        <w:spacing w:before="0" w:beforeAutospacing="0" w:after="60" w:afterAutospacing="0"/>
        <w:ind w:left="567" w:hanging="357"/>
      </w:pPr>
      <w:r>
        <w:t xml:space="preserve">Sections 1 to 3 and Schedule 1 to the Regulation (regarding Queensland relationship recognition scheme; the proceeds of crime amendments and the jurisdiction of the Family Court of Western Australia) would commence on the day after registration of the Regulation. </w:t>
      </w:r>
    </w:p>
    <w:p w:rsidR="000451E2" w:rsidRDefault="000451E2" w:rsidP="000451E2">
      <w:pPr>
        <w:pStyle w:val="subsection"/>
        <w:numPr>
          <w:ilvl w:val="0"/>
          <w:numId w:val="5"/>
        </w:numPr>
        <w:spacing w:before="0" w:beforeAutospacing="0" w:after="60" w:afterAutospacing="0"/>
        <w:ind w:left="567" w:hanging="357"/>
      </w:pPr>
      <w:r>
        <w:t xml:space="preserve">Schedule 2 (regarding Queensland family violence orders) would commence on 17 September 2012, the same day as the </w:t>
      </w:r>
      <w:r>
        <w:rPr>
          <w:i/>
        </w:rPr>
        <w:t>Domestic and Family Violence Protection Act 2012</w:t>
      </w:r>
      <w:r>
        <w:t xml:space="preserve"> (Qld).</w:t>
      </w:r>
    </w:p>
    <w:p w:rsidR="000451E2" w:rsidRDefault="000451E2" w:rsidP="000451E2">
      <w:pPr>
        <w:pStyle w:val="subsection"/>
        <w:numPr>
          <w:ilvl w:val="0"/>
          <w:numId w:val="5"/>
        </w:numPr>
        <w:spacing w:before="0" w:beforeAutospacing="0" w:after="60" w:afterAutospacing="0"/>
        <w:ind w:left="567" w:hanging="357"/>
      </w:pPr>
      <w:r>
        <w:t xml:space="preserve">Schedule 3 (regarding Schedule 2 to the Access to Justice Act) would commence at the same time as Schedule 2 to the </w:t>
      </w:r>
      <w:r w:rsidRPr="00C356F9">
        <w:rPr>
          <w:i/>
        </w:rPr>
        <w:t>Access to Justice (Federal Jurisdiction) Amendment Act 2012</w:t>
      </w:r>
      <w:r>
        <w:t xml:space="preserve"> (the Access to Justice Act) or the day after registration of the Regulation, whichever occurs later.  The inclusion of the alternative commencement date is necessary as Schedule 2 to </w:t>
      </w:r>
      <w:r w:rsidRPr="00C356F9">
        <w:rPr>
          <w:rFonts w:eastAsia="Calibri"/>
        </w:rPr>
        <w:t>the</w:t>
      </w:r>
      <w:r w:rsidRPr="00C356F9">
        <w:rPr>
          <w:i/>
        </w:rPr>
        <w:t xml:space="preserve"> </w:t>
      </w:r>
      <w:r w:rsidRPr="00791B36">
        <w:t>Access to Justice Act</w:t>
      </w:r>
      <w:r w:rsidRPr="00C356F9">
        <w:rPr>
          <w:i/>
        </w:rPr>
        <w:t xml:space="preserve"> </w:t>
      </w:r>
      <w:r>
        <w:t xml:space="preserve">is to commence on receiving Royal Assent.  The inclusion of the alternative commencement date will ensure that Schedule 3 to the Regulation will not commence and operate retrospectively if Schedule 2 to </w:t>
      </w:r>
      <w:r w:rsidRPr="00C356F9">
        <w:rPr>
          <w:rFonts w:eastAsia="Calibri"/>
        </w:rPr>
        <w:t xml:space="preserve">the </w:t>
      </w:r>
      <w:r w:rsidRPr="00791B36">
        <w:t>Access to Justice Act</w:t>
      </w:r>
      <w:r w:rsidRPr="00C356F9">
        <w:rPr>
          <w:i/>
        </w:rPr>
        <w:t xml:space="preserve"> </w:t>
      </w:r>
      <w:r w:rsidRPr="00C356F9">
        <w:rPr>
          <w:rFonts w:eastAsia="Calibri"/>
        </w:rPr>
        <w:t xml:space="preserve">commences before the Regulation is made. </w:t>
      </w:r>
    </w:p>
    <w:p w:rsidR="000451E2" w:rsidRDefault="000451E2" w:rsidP="000451E2">
      <w:pPr>
        <w:pStyle w:val="subsection"/>
        <w:numPr>
          <w:ilvl w:val="0"/>
          <w:numId w:val="5"/>
        </w:numPr>
        <w:spacing w:before="0" w:beforeAutospacing="0" w:after="60" w:afterAutospacing="0"/>
        <w:ind w:left="567" w:hanging="357"/>
      </w:pPr>
      <w:r>
        <w:t xml:space="preserve">Schedule 4 (regarding Schedule 3 to the Access to Justice Act) would commence at the same time as Schedule 3 to the Access to Justice Act.  An alternative commencement date is unnecessary in this case as Schedule 3 to the </w:t>
      </w:r>
      <w:r w:rsidRPr="00791B36">
        <w:t>Access to Justice Act</w:t>
      </w:r>
      <w:r>
        <w:t xml:space="preserve"> is to commence by Proclamation rather than on Royal Assent.  </w:t>
      </w:r>
    </w:p>
    <w:p w:rsidR="00ED1CA2" w:rsidRPr="005C3C22" w:rsidRDefault="00ED1CA2" w:rsidP="005C3C22">
      <w:pPr>
        <w:pStyle w:val="Heading2numbered"/>
      </w:pPr>
      <w:r w:rsidRPr="005C3C22">
        <w:t xml:space="preserve">Section 3 – Amendment of Family Law Regulations 1984 </w:t>
      </w:r>
    </w:p>
    <w:p w:rsidR="00ED1CA2" w:rsidRPr="005C3C22" w:rsidRDefault="00ED1CA2" w:rsidP="005C3C22">
      <w:pPr>
        <w:spacing w:before="240" w:line="240" w:lineRule="auto"/>
        <w:rPr>
          <w:rFonts w:ascii="Times New Roman" w:hAnsi="Times New Roman"/>
          <w:sz w:val="24"/>
          <w:szCs w:val="24"/>
        </w:rPr>
      </w:pPr>
      <w:r w:rsidRPr="005C3C22">
        <w:rPr>
          <w:rFonts w:ascii="Times New Roman" w:hAnsi="Times New Roman"/>
          <w:sz w:val="24"/>
          <w:szCs w:val="24"/>
        </w:rPr>
        <w:t xml:space="preserve">This section provides that the </w:t>
      </w:r>
      <w:r w:rsidRPr="005C3C22">
        <w:rPr>
          <w:rFonts w:ascii="Times New Roman" w:hAnsi="Times New Roman"/>
          <w:i/>
          <w:sz w:val="24"/>
          <w:szCs w:val="24"/>
        </w:rPr>
        <w:t xml:space="preserve">Family Law Regulations 1984 </w:t>
      </w:r>
      <w:r w:rsidRPr="005C3C22">
        <w:rPr>
          <w:rFonts w:ascii="Times New Roman" w:hAnsi="Times New Roman"/>
          <w:sz w:val="24"/>
          <w:szCs w:val="24"/>
        </w:rPr>
        <w:t xml:space="preserve">(Principal Regulations) are amended as set out in Schedules 1 to 4. </w:t>
      </w:r>
    </w:p>
    <w:p w:rsidR="00ED1CA2" w:rsidRPr="005C3C22" w:rsidRDefault="00ED1CA2" w:rsidP="005C3C22">
      <w:pPr>
        <w:pStyle w:val="Heading2numbered"/>
      </w:pPr>
      <w:r w:rsidRPr="005C3C22">
        <w:t xml:space="preserve">Schedule 1 – Amendment commencing on day after registration </w:t>
      </w:r>
    </w:p>
    <w:p w:rsidR="00ED1CA2" w:rsidRDefault="00ED1CA2" w:rsidP="005C3C22">
      <w:pPr>
        <w:keepNext/>
        <w:keepLines/>
        <w:spacing w:before="240" w:after="0" w:line="240" w:lineRule="auto"/>
        <w:ind w:right="91"/>
        <w:rPr>
          <w:rFonts w:ascii="Times New Roman" w:eastAsia="Times New Roman" w:hAnsi="Times New Roman"/>
          <w:b/>
          <w:sz w:val="24"/>
          <w:szCs w:val="20"/>
          <w:lang w:eastAsia="en-AU"/>
        </w:rPr>
      </w:pPr>
      <w:r w:rsidRPr="005C3C22">
        <w:rPr>
          <w:rFonts w:ascii="Times New Roman" w:eastAsia="Times New Roman" w:hAnsi="Times New Roman"/>
          <w:b/>
          <w:sz w:val="24"/>
          <w:szCs w:val="20"/>
          <w:lang w:eastAsia="en-AU"/>
        </w:rPr>
        <w:t>Item [1] – Regulation 12BC, table, item 2A</w:t>
      </w:r>
    </w:p>
    <w:p w:rsidR="002C2310" w:rsidRPr="005C3C22" w:rsidRDefault="002C2310" w:rsidP="002C2310">
      <w:pPr>
        <w:keepNext/>
        <w:keepLines/>
        <w:spacing w:after="0" w:line="240" w:lineRule="auto"/>
        <w:ind w:right="91"/>
        <w:rPr>
          <w:rFonts w:ascii="Times New Roman" w:eastAsia="Times New Roman" w:hAnsi="Times New Roman"/>
          <w:b/>
          <w:sz w:val="24"/>
          <w:szCs w:val="20"/>
          <w:lang w:eastAsia="en-AU"/>
        </w:rPr>
      </w:pPr>
    </w:p>
    <w:p w:rsidR="00ED1CA2" w:rsidRPr="005C3C22" w:rsidRDefault="00C14388" w:rsidP="002C2310">
      <w:pPr>
        <w:spacing w:line="240" w:lineRule="auto"/>
        <w:rPr>
          <w:rFonts w:ascii="Times New Roman" w:hAnsi="Times New Roman"/>
          <w:sz w:val="24"/>
          <w:szCs w:val="24"/>
        </w:rPr>
      </w:pPr>
      <w:r w:rsidRPr="00863D5D">
        <w:rPr>
          <w:rFonts w:ascii="Times New Roman" w:hAnsi="Times New Roman"/>
          <w:sz w:val="24"/>
          <w:szCs w:val="24"/>
        </w:rPr>
        <w:t>Item 1</w:t>
      </w:r>
      <w:r w:rsidR="008014D3">
        <w:rPr>
          <w:rFonts w:ascii="Times New Roman" w:hAnsi="Times New Roman"/>
          <w:sz w:val="24"/>
          <w:szCs w:val="24"/>
        </w:rPr>
        <w:t xml:space="preserve"> of Schedule 1 </w:t>
      </w:r>
      <w:r>
        <w:rPr>
          <w:rFonts w:ascii="Times New Roman" w:hAnsi="Times New Roman"/>
          <w:sz w:val="24"/>
          <w:szCs w:val="24"/>
        </w:rPr>
        <w:t xml:space="preserve">substitutes item 2A of the table in regulation 12BC that prescribes </w:t>
      </w:r>
      <w:r w:rsidRPr="00655280">
        <w:rPr>
          <w:rFonts w:ascii="Times New Roman" w:hAnsi="Times New Roman"/>
          <w:sz w:val="24"/>
          <w:szCs w:val="24"/>
        </w:rPr>
        <w:t xml:space="preserve">the </w:t>
      </w:r>
      <w:r w:rsidRPr="00655280">
        <w:rPr>
          <w:rFonts w:ascii="Times New Roman" w:hAnsi="Times New Roman"/>
          <w:i/>
          <w:sz w:val="24"/>
          <w:szCs w:val="24"/>
        </w:rPr>
        <w:t>Relationships</w:t>
      </w:r>
      <w:r>
        <w:rPr>
          <w:rFonts w:ascii="Times New Roman" w:hAnsi="Times New Roman"/>
          <w:i/>
          <w:sz w:val="24"/>
          <w:szCs w:val="24"/>
        </w:rPr>
        <w:t> </w:t>
      </w:r>
      <w:r w:rsidRPr="00655280">
        <w:rPr>
          <w:rFonts w:ascii="Times New Roman" w:hAnsi="Times New Roman"/>
          <w:i/>
          <w:sz w:val="24"/>
          <w:szCs w:val="24"/>
        </w:rPr>
        <w:t>Act</w:t>
      </w:r>
      <w:r>
        <w:rPr>
          <w:rFonts w:ascii="Times New Roman" w:hAnsi="Times New Roman"/>
          <w:i/>
          <w:sz w:val="24"/>
          <w:szCs w:val="24"/>
        </w:rPr>
        <w:t> </w:t>
      </w:r>
      <w:r w:rsidRPr="00655280">
        <w:rPr>
          <w:rFonts w:ascii="Times New Roman" w:hAnsi="Times New Roman"/>
          <w:i/>
          <w:sz w:val="24"/>
          <w:szCs w:val="24"/>
        </w:rPr>
        <w:t>2011</w:t>
      </w:r>
      <w:r w:rsidRPr="00655280">
        <w:rPr>
          <w:rFonts w:ascii="Times New Roman" w:hAnsi="Times New Roman"/>
          <w:sz w:val="24"/>
          <w:szCs w:val="24"/>
        </w:rPr>
        <w:t xml:space="preserve"> (</w:t>
      </w:r>
      <w:r>
        <w:rPr>
          <w:rFonts w:ascii="Times New Roman" w:hAnsi="Times New Roman"/>
          <w:sz w:val="24"/>
          <w:szCs w:val="24"/>
        </w:rPr>
        <w:t>Qld</w:t>
      </w:r>
      <w:r w:rsidRPr="00655280">
        <w:rPr>
          <w:rFonts w:ascii="Times New Roman" w:hAnsi="Times New Roman"/>
          <w:sz w:val="24"/>
          <w:szCs w:val="24"/>
        </w:rPr>
        <w:t xml:space="preserve">), and relationships as a couple between 2 adults who meet the eligibility criteria mentioned in section 5 of the </w:t>
      </w:r>
      <w:r w:rsidRPr="00655280">
        <w:rPr>
          <w:rFonts w:ascii="Times New Roman" w:hAnsi="Times New Roman"/>
          <w:i/>
          <w:sz w:val="24"/>
          <w:szCs w:val="24"/>
        </w:rPr>
        <w:t>Relationships Act 2011</w:t>
      </w:r>
      <w:r w:rsidRPr="00655280">
        <w:rPr>
          <w:rFonts w:ascii="Times New Roman" w:hAnsi="Times New Roman"/>
          <w:sz w:val="24"/>
          <w:szCs w:val="24"/>
        </w:rPr>
        <w:t xml:space="preserve"> (Q</w:t>
      </w:r>
      <w:r>
        <w:rPr>
          <w:rFonts w:ascii="Times New Roman" w:hAnsi="Times New Roman"/>
          <w:sz w:val="24"/>
          <w:szCs w:val="24"/>
        </w:rPr>
        <w:t>ld</w:t>
      </w:r>
      <w:r w:rsidRPr="00655280">
        <w:rPr>
          <w:rFonts w:ascii="Times New Roman" w:hAnsi="Times New Roman"/>
          <w:sz w:val="24"/>
          <w:szCs w:val="24"/>
        </w:rPr>
        <w:t xml:space="preserve">) for entry into a </w:t>
      </w:r>
      <w:r w:rsidR="009C2B73">
        <w:rPr>
          <w:rFonts w:ascii="Times New Roman" w:hAnsi="Times New Roman"/>
          <w:sz w:val="24"/>
          <w:szCs w:val="24"/>
        </w:rPr>
        <w:t xml:space="preserve">de facto relationship </w:t>
      </w:r>
      <w:r w:rsidRPr="00655280">
        <w:rPr>
          <w:rFonts w:ascii="Times New Roman" w:hAnsi="Times New Roman"/>
          <w:sz w:val="24"/>
          <w:szCs w:val="24"/>
        </w:rPr>
        <w:t xml:space="preserve">for the purposes of section </w:t>
      </w:r>
      <w:r w:rsidR="009C2B73">
        <w:rPr>
          <w:rFonts w:ascii="Times New Roman" w:hAnsi="Times New Roman"/>
          <w:sz w:val="24"/>
          <w:szCs w:val="24"/>
        </w:rPr>
        <w:t>4AA(2)(g)</w:t>
      </w:r>
      <w:r w:rsidRPr="00655280">
        <w:rPr>
          <w:rFonts w:ascii="Times New Roman" w:hAnsi="Times New Roman"/>
          <w:sz w:val="24"/>
          <w:szCs w:val="24"/>
        </w:rPr>
        <w:t xml:space="preserve"> of the </w:t>
      </w:r>
      <w:r w:rsidR="009C2B73">
        <w:rPr>
          <w:rFonts w:ascii="Times New Roman" w:hAnsi="Times New Roman"/>
          <w:sz w:val="24"/>
          <w:szCs w:val="24"/>
        </w:rPr>
        <w:t xml:space="preserve">Family Law </w:t>
      </w:r>
      <w:r w:rsidRPr="00655280">
        <w:rPr>
          <w:rFonts w:ascii="Times New Roman" w:hAnsi="Times New Roman"/>
          <w:sz w:val="24"/>
          <w:szCs w:val="24"/>
        </w:rPr>
        <w:t>Act.</w:t>
      </w:r>
    </w:p>
    <w:p w:rsidR="000377E2" w:rsidRDefault="000377E2" w:rsidP="005C3C22">
      <w:pPr>
        <w:spacing w:before="240" w:after="0" w:line="240" w:lineRule="auto"/>
        <w:ind w:right="91"/>
        <w:rPr>
          <w:rFonts w:ascii="Times New Roman" w:eastAsia="Times New Roman" w:hAnsi="Times New Roman"/>
          <w:b/>
          <w:sz w:val="24"/>
          <w:szCs w:val="20"/>
          <w:lang w:eastAsia="en-AU"/>
        </w:rPr>
      </w:pPr>
    </w:p>
    <w:p w:rsidR="00ED1CA2" w:rsidRPr="005C3C22" w:rsidRDefault="00ED1CA2" w:rsidP="005C3C22">
      <w:pPr>
        <w:spacing w:before="240" w:after="0" w:line="240" w:lineRule="auto"/>
        <w:ind w:right="91"/>
        <w:rPr>
          <w:rFonts w:ascii="Times New Roman" w:eastAsia="Times New Roman" w:hAnsi="Times New Roman"/>
          <w:b/>
          <w:sz w:val="24"/>
          <w:szCs w:val="20"/>
          <w:lang w:eastAsia="en-AU"/>
        </w:rPr>
      </w:pPr>
      <w:r w:rsidRPr="005C3C22">
        <w:rPr>
          <w:rFonts w:ascii="Times New Roman" w:eastAsia="Times New Roman" w:hAnsi="Times New Roman"/>
          <w:b/>
          <w:sz w:val="24"/>
          <w:szCs w:val="20"/>
          <w:lang w:eastAsia="en-AU"/>
        </w:rPr>
        <w:lastRenderedPageBreak/>
        <w:t>Item [2] – Regulation 15AB, item 2A</w:t>
      </w:r>
    </w:p>
    <w:p w:rsidR="00ED1CA2" w:rsidRPr="005C3C22" w:rsidRDefault="00ED1CA2" w:rsidP="005C3C22">
      <w:pPr>
        <w:spacing w:before="240" w:line="240" w:lineRule="auto"/>
        <w:rPr>
          <w:rFonts w:ascii="Times New Roman" w:hAnsi="Times New Roman"/>
          <w:sz w:val="24"/>
          <w:szCs w:val="24"/>
        </w:rPr>
      </w:pPr>
      <w:r w:rsidRPr="005C3C22">
        <w:rPr>
          <w:rFonts w:ascii="Times New Roman" w:hAnsi="Times New Roman"/>
          <w:sz w:val="24"/>
          <w:szCs w:val="24"/>
        </w:rPr>
        <w:t xml:space="preserve">Item 2 </w:t>
      </w:r>
      <w:r w:rsidR="008014D3">
        <w:rPr>
          <w:rFonts w:ascii="Times New Roman" w:hAnsi="Times New Roman"/>
          <w:sz w:val="24"/>
          <w:szCs w:val="24"/>
        </w:rPr>
        <w:t xml:space="preserve">of Schedule 1 </w:t>
      </w:r>
      <w:r w:rsidRPr="005C3C22">
        <w:rPr>
          <w:rFonts w:ascii="Times New Roman" w:hAnsi="Times New Roman"/>
          <w:sz w:val="24"/>
          <w:szCs w:val="24"/>
        </w:rPr>
        <w:t>omits</w:t>
      </w:r>
      <w:r w:rsidR="00C14388">
        <w:rPr>
          <w:rFonts w:ascii="Times New Roman" w:hAnsi="Times New Roman"/>
          <w:sz w:val="24"/>
          <w:szCs w:val="24"/>
        </w:rPr>
        <w:t xml:space="preserve"> the </w:t>
      </w:r>
      <w:r w:rsidR="009C2B73">
        <w:rPr>
          <w:rFonts w:ascii="Times New Roman" w:hAnsi="Times New Roman"/>
          <w:sz w:val="24"/>
          <w:szCs w:val="24"/>
        </w:rPr>
        <w:t>words</w:t>
      </w:r>
      <w:r w:rsidRPr="005C3C22">
        <w:rPr>
          <w:rFonts w:ascii="Times New Roman" w:hAnsi="Times New Roman"/>
          <w:sz w:val="24"/>
          <w:szCs w:val="24"/>
        </w:rPr>
        <w:t xml:space="preserve"> </w:t>
      </w:r>
      <w:r w:rsidR="00C14388">
        <w:rPr>
          <w:rFonts w:ascii="Times New Roman" w:hAnsi="Times New Roman"/>
          <w:sz w:val="24"/>
          <w:szCs w:val="24"/>
        </w:rPr>
        <w:t>‘</w:t>
      </w:r>
      <w:r w:rsidRPr="005C3C22">
        <w:rPr>
          <w:rFonts w:ascii="Times New Roman" w:hAnsi="Times New Roman"/>
          <w:i/>
          <w:sz w:val="24"/>
          <w:szCs w:val="24"/>
        </w:rPr>
        <w:t>Civil Partnerships</w:t>
      </w:r>
      <w:r w:rsidR="00C14388">
        <w:rPr>
          <w:rFonts w:ascii="Times New Roman" w:hAnsi="Times New Roman"/>
          <w:i/>
          <w:sz w:val="24"/>
          <w:szCs w:val="24"/>
        </w:rPr>
        <w:t>’</w:t>
      </w:r>
      <w:r w:rsidRPr="005C3C22">
        <w:rPr>
          <w:rFonts w:ascii="Times New Roman" w:hAnsi="Times New Roman"/>
          <w:i/>
          <w:sz w:val="24"/>
          <w:szCs w:val="24"/>
        </w:rPr>
        <w:t xml:space="preserve"> </w:t>
      </w:r>
      <w:r w:rsidRPr="005C3C22">
        <w:rPr>
          <w:rFonts w:ascii="Times New Roman" w:hAnsi="Times New Roman"/>
          <w:sz w:val="24"/>
          <w:szCs w:val="24"/>
        </w:rPr>
        <w:t xml:space="preserve">and inserts </w:t>
      </w:r>
      <w:r w:rsidR="00C14388">
        <w:rPr>
          <w:rFonts w:ascii="Times New Roman" w:hAnsi="Times New Roman"/>
          <w:sz w:val="24"/>
          <w:szCs w:val="24"/>
        </w:rPr>
        <w:t>‘</w:t>
      </w:r>
      <w:r w:rsidRPr="005C3C22">
        <w:rPr>
          <w:rFonts w:ascii="Times New Roman" w:hAnsi="Times New Roman"/>
          <w:i/>
          <w:sz w:val="24"/>
          <w:szCs w:val="24"/>
        </w:rPr>
        <w:t>Relationships</w:t>
      </w:r>
      <w:r w:rsidR="00C14388">
        <w:rPr>
          <w:rFonts w:ascii="Times New Roman" w:hAnsi="Times New Roman"/>
          <w:i/>
          <w:sz w:val="24"/>
          <w:szCs w:val="24"/>
        </w:rPr>
        <w:t>’</w:t>
      </w:r>
      <w:r w:rsidRPr="005C3C22">
        <w:rPr>
          <w:rFonts w:ascii="Times New Roman" w:hAnsi="Times New Roman"/>
          <w:sz w:val="24"/>
          <w:szCs w:val="24"/>
        </w:rPr>
        <w:t xml:space="preserve"> </w:t>
      </w:r>
      <w:r w:rsidR="009C2B73">
        <w:rPr>
          <w:rFonts w:ascii="Times New Roman" w:hAnsi="Times New Roman"/>
          <w:sz w:val="24"/>
          <w:szCs w:val="24"/>
        </w:rPr>
        <w:t xml:space="preserve">to amend the name of the </w:t>
      </w:r>
      <w:r w:rsidR="001743FA">
        <w:rPr>
          <w:rFonts w:ascii="Times New Roman" w:hAnsi="Times New Roman"/>
          <w:sz w:val="24"/>
          <w:szCs w:val="24"/>
        </w:rPr>
        <w:t xml:space="preserve">Queensland </w:t>
      </w:r>
      <w:r w:rsidR="009C2B73">
        <w:rPr>
          <w:rFonts w:ascii="Times New Roman" w:hAnsi="Times New Roman"/>
          <w:sz w:val="24"/>
          <w:szCs w:val="24"/>
        </w:rPr>
        <w:t xml:space="preserve">legislation prescribed for </w:t>
      </w:r>
      <w:r w:rsidR="006E2445">
        <w:rPr>
          <w:rFonts w:ascii="Times New Roman" w:hAnsi="Times New Roman"/>
          <w:sz w:val="24"/>
          <w:szCs w:val="24"/>
        </w:rPr>
        <w:t>the purposes of paragraph </w:t>
      </w:r>
      <w:r w:rsidR="001743FA">
        <w:rPr>
          <w:rFonts w:ascii="Times New Roman" w:hAnsi="Times New Roman"/>
          <w:sz w:val="24"/>
          <w:szCs w:val="24"/>
        </w:rPr>
        <w:t>90SB(d) of the Family Law Act.  T</w:t>
      </w:r>
      <w:r w:rsidRPr="005C3C22">
        <w:rPr>
          <w:rFonts w:ascii="Times New Roman" w:hAnsi="Times New Roman"/>
          <w:sz w:val="24"/>
          <w:szCs w:val="24"/>
        </w:rPr>
        <w:t>he </w:t>
      </w:r>
      <w:r w:rsidR="00C14388" w:rsidRPr="005B267B">
        <w:rPr>
          <w:rFonts w:ascii="Times New Roman" w:hAnsi="Times New Roman"/>
          <w:i/>
          <w:sz w:val="24"/>
          <w:szCs w:val="24"/>
        </w:rPr>
        <w:t>Civil Partnerships and Other Legislation Amendment Act 2012</w:t>
      </w:r>
      <w:r w:rsidR="00C14388" w:rsidRPr="005B267B">
        <w:rPr>
          <w:rFonts w:ascii="Times New Roman" w:hAnsi="Times New Roman"/>
          <w:sz w:val="24"/>
          <w:szCs w:val="24"/>
        </w:rPr>
        <w:t xml:space="preserve"> (Qld)</w:t>
      </w:r>
      <w:r w:rsidRPr="005C3C22">
        <w:rPr>
          <w:rFonts w:ascii="Times New Roman" w:hAnsi="Times New Roman"/>
          <w:sz w:val="24"/>
          <w:szCs w:val="24"/>
        </w:rPr>
        <w:t xml:space="preserve"> changed the short title of the </w:t>
      </w:r>
      <w:r w:rsidRPr="005C3C22">
        <w:rPr>
          <w:rFonts w:ascii="Times New Roman" w:hAnsi="Times New Roman"/>
          <w:i/>
          <w:sz w:val="24"/>
          <w:szCs w:val="24"/>
        </w:rPr>
        <w:t xml:space="preserve">Civil Partnerships Act 2011 </w:t>
      </w:r>
      <w:r w:rsidRPr="005C3C22">
        <w:rPr>
          <w:rFonts w:ascii="Times New Roman" w:hAnsi="Times New Roman"/>
          <w:sz w:val="24"/>
          <w:szCs w:val="24"/>
        </w:rPr>
        <w:t>(Qld)</w:t>
      </w:r>
      <w:r w:rsidRPr="005C3C22">
        <w:rPr>
          <w:rFonts w:ascii="Times New Roman" w:hAnsi="Times New Roman"/>
          <w:i/>
          <w:sz w:val="24"/>
          <w:szCs w:val="24"/>
        </w:rPr>
        <w:t xml:space="preserve"> </w:t>
      </w:r>
      <w:r w:rsidRPr="005C3C22">
        <w:rPr>
          <w:rFonts w:ascii="Times New Roman" w:hAnsi="Times New Roman"/>
          <w:sz w:val="24"/>
          <w:szCs w:val="24"/>
        </w:rPr>
        <w:t xml:space="preserve">to the </w:t>
      </w:r>
      <w:r w:rsidRPr="005C3C22">
        <w:rPr>
          <w:rFonts w:ascii="Times New Roman" w:hAnsi="Times New Roman"/>
          <w:i/>
          <w:sz w:val="24"/>
          <w:szCs w:val="24"/>
        </w:rPr>
        <w:t>Relationships Act 2011</w:t>
      </w:r>
      <w:r w:rsidRPr="005C3C22">
        <w:rPr>
          <w:rFonts w:ascii="Times New Roman" w:hAnsi="Times New Roman"/>
          <w:sz w:val="24"/>
          <w:szCs w:val="24"/>
        </w:rPr>
        <w:t xml:space="preserve"> (Qld). </w:t>
      </w:r>
    </w:p>
    <w:p w:rsidR="00ED1CA2" w:rsidRPr="005C3C22" w:rsidRDefault="00ED1CA2" w:rsidP="005C3C22">
      <w:pPr>
        <w:spacing w:before="240" w:after="0" w:line="240" w:lineRule="auto"/>
        <w:ind w:right="91"/>
        <w:rPr>
          <w:rFonts w:ascii="Times New Roman" w:eastAsia="Times New Roman" w:hAnsi="Times New Roman"/>
          <w:b/>
          <w:sz w:val="24"/>
          <w:szCs w:val="20"/>
          <w:lang w:eastAsia="en-AU"/>
        </w:rPr>
      </w:pPr>
      <w:r w:rsidRPr="005C3C22">
        <w:rPr>
          <w:rFonts w:ascii="Times New Roman" w:eastAsia="Times New Roman" w:hAnsi="Times New Roman"/>
          <w:b/>
          <w:sz w:val="24"/>
          <w:szCs w:val="20"/>
          <w:lang w:eastAsia="en-AU"/>
        </w:rPr>
        <w:t>Item [3]: After regulation 17</w:t>
      </w:r>
    </w:p>
    <w:p w:rsidR="001400DB" w:rsidRDefault="001400DB" w:rsidP="005C3C22">
      <w:pPr>
        <w:spacing w:before="240" w:line="240" w:lineRule="auto"/>
        <w:ind w:right="91"/>
        <w:rPr>
          <w:rFonts w:ascii="Times New Roman" w:hAnsi="Times New Roman"/>
          <w:sz w:val="24"/>
          <w:szCs w:val="24"/>
        </w:rPr>
      </w:pPr>
      <w:r>
        <w:rPr>
          <w:rFonts w:ascii="Times New Roman" w:hAnsi="Times New Roman"/>
          <w:sz w:val="24"/>
          <w:szCs w:val="24"/>
        </w:rPr>
        <w:t xml:space="preserve">Item 3 </w:t>
      </w:r>
      <w:r w:rsidR="008014D3">
        <w:rPr>
          <w:rFonts w:ascii="Times New Roman" w:hAnsi="Times New Roman"/>
          <w:sz w:val="24"/>
          <w:szCs w:val="24"/>
        </w:rPr>
        <w:t xml:space="preserve">of Schedule 1 </w:t>
      </w:r>
      <w:r>
        <w:rPr>
          <w:rFonts w:ascii="Times New Roman" w:hAnsi="Times New Roman"/>
          <w:sz w:val="24"/>
          <w:szCs w:val="24"/>
        </w:rPr>
        <w:t>inserts new regulations 17A, 17B, 17C and 17D.</w:t>
      </w:r>
    </w:p>
    <w:p w:rsidR="00ED1CA2" w:rsidRPr="005C3C22" w:rsidRDefault="001400DB" w:rsidP="005C3C22">
      <w:pPr>
        <w:spacing w:before="240" w:line="240" w:lineRule="auto"/>
        <w:ind w:right="91"/>
        <w:rPr>
          <w:rFonts w:ascii="Times New Roman" w:hAnsi="Times New Roman"/>
          <w:sz w:val="24"/>
          <w:szCs w:val="24"/>
        </w:rPr>
      </w:pPr>
      <w:r>
        <w:rPr>
          <w:rFonts w:ascii="Times New Roman" w:hAnsi="Times New Roman"/>
          <w:sz w:val="24"/>
          <w:szCs w:val="24"/>
        </w:rPr>
        <w:t>R</w:t>
      </w:r>
      <w:r w:rsidR="00ED1CA2" w:rsidRPr="005C3C22">
        <w:rPr>
          <w:rFonts w:ascii="Times New Roman" w:hAnsi="Times New Roman"/>
          <w:sz w:val="24"/>
          <w:szCs w:val="24"/>
        </w:rPr>
        <w:t xml:space="preserve">egulation 17A declares that the definition of </w:t>
      </w:r>
      <w:r w:rsidR="006E2445">
        <w:rPr>
          <w:rFonts w:ascii="Times New Roman" w:hAnsi="Times New Roman"/>
          <w:sz w:val="24"/>
          <w:szCs w:val="24"/>
        </w:rPr>
        <w:t>‘</w:t>
      </w:r>
      <w:r w:rsidR="00ED1CA2" w:rsidRPr="005C3C22">
        <w:rPr>
          <w:rFonts w:ascii="Times New Roman" w:hAnsi="Times New Roman"/>
          <w:sz w:val="24"/>
          <w:szCs w:val="24"/>
        </w:rPr>
        <w:t>forfeiture orde</w:t>
      </w:r>
      <w:r w:rsidR="006E2445">
        <w:rPr>
          <w:rFonts w:ascii="Times New Roman" w:hAnsi="Times New Roman"/>
          <w:sz w:val="24"/>
          <w:szCs w:val="24"/>
        </w:rPr>
        <w:t>r’ for the purposes of paragraph </w:t>
      </w:r>
      <w:r w:rsidR="00ED1CA2" w:rsidRPr="005C3C22">
        <w:rPr>
          <w:rFonts w:ascii="Times New Roman" w:hAnsi="Times New Roman"/>
          <w:sz w:val="24"/>
          <w:szCs w:val="24"/>
        </w:rPr>
        <w:t xml:space="preserve">(b) of subsection 4(1) of the Family Law Act are the kind of orders declared by regulation 5 of the </w:t>
      </w:r>
      <w:r w:rsidR="00ED1CA2" w:rsidRPr="005C3C22">
        <w:rPr>
          <w:rFonts w:ascii="Times New Roman" w:hAnsi="Times New Roman"/>
          <w:i/>
          <w:sz w:val="24"/>
          <w:szCs w:val="24"/>
        </w:rPr>
        <w:t>Proceeds of Crime Regulations 2002</w:t>
      </w:r>
      <w:r w:rsidR="00ED1CA2" w:rsidRPr="005C3C22">
        <w:rPr>
          <w:rFonts w:ascii="Times New Roman" w:hAnsi="Times New Roman"/>
          <w:sz w:val="24"/>
          <w:szCs w:val="24"/>
        </w:rPr>
        <w:t xml:space="preserve"> </w:t>
      </w:r>
      <w:r w:rsidR="00516AC1">
        <w:rPr>
          <w:rFonts w:ascii="Times New Roman" w:hAnsi="Times New Roman"/>
          <w:sz w:val="24"/>
          <w:szCs w:val="24"/>
        </w:rPr>
        <w:t xml:space="preserve">(POC Regulations) </w:t>
      </w:r>
      <w:r w:rsidR="00ED1CA2" w:rsidRPr="005C3C22">
        <w:rPr>
          <w:rFonts w:ascii="Times New Roman" w:hAnsi="Times New Roman"/>
          <w:sz w:val="24"/>
          <w:szCs w:val="24"/>
        </w:rPr>
        <w:t>as interstate forfeiture orders.</w:t>
      </w:r>
    </w:p>
    <w:p w:rsidR="00ED1CA2" w:rsidRPr="005C3C22" w:rsidRDefault="001400DB" w:rsidP="005C3C22">
      <w:pPr>
        <w:spacing w:line="240" w:lineRule="auto"/>
        <w:ind w:right="91"/>
        <w:rPr>
          <w:rFonts w:ascii="Times New Roman" w:hAnsi="Times New Roman"/>
          <w:sz w:val="24"/>
          <w:szCs w:val="24"/>
        </w:rPr>
      </w:pPr>
      <w:r>
        <w:rPr>
          <w:rFonts w:ascii="Times New Roman" w:hAnsi="Times New Roman"/>
          <w:sz w:val="24"/>
          <w:szCs w:val="24"/>
        </w:rPr>
        <w:t>R</w:t>
      </w:r>
      <w:r w:rsidR="00ED1CA2" w:rsidRPr="005C3C22">
        <w:rPr>
          <w:rFonts w:ascii="Times New Roman" w:hAnsi="Times New Roman"/>
          <w:sz w:val="24"/>
          <w:szCs w:val="24"/>
        </w:rPr>
        <w:t xml:space="preserve">egulation 17B declares that the definition of </w:t>
      </w:r>
      <w:r w:rsidR="006E2445">
        <w:rPr>
          <w:rFonts w:ascii="Times New Roman" w:hAnsi="Times New Roman"/>
          <w:sz w:val="24"/>
          <w:szCs w:val="24"/>
        </w:rPr>
        <w:t>‘</w:t>
      </w:r>
      <w:r w:rsidR="00ED1CA2" w:rsidRPr="005C3C22">
        <w:rPr>
          <w:rFonts w:ascii="Times New Roman" w:hAnsi="Times New Roman"/>
          <w:sz w:val="24"/>
          <w:szCs w:val="24"/>
        </w:rPr>
        <w:t>restraining order</w:t>
      </w:r>
      <w:r w:rsidR="006E2445">
        <w:rPr>
          <w:rFonts w:ascii="Times New Roman" w:hAnsi="Times New Roman"/>
          <w:sz w:val="24"/>
          <w:szCs w:val="24"/>
        </w:rPr>
        <w:t>’ for the purposes of paragraph </w:t>
      </w:r>
      <w:r w:rsidR="00ED1CA2" w:rsidRPr="005C3C22">
        <w:rPr>
          <w:rFonts w:ascii="Times New Roman" w:hAnsi="Times New Roman"/>
          <w:sz w:val="24"/>
          <w:szCs w:val="24"/>
        </w:rPr>
        <w:t>(b) of subsection 4(1) of the Family Law Act are the kind of or</w:t>
      </w:r>
      <w:r w:rsidR="006E2445">
        <w:rPr>
          <w:rFonts w:ascii="Times New Roman" w:hAnsi="Times New Roman"/>
          <w:sz w:val="24"/>
          <w:szCs w:val="24"/>
        </w:rPr>
        <w:t>ders declared by regulation </w:t>
      </w:r>
      <w:r w:rsidR="00ED1CA2" w:rsidRPr="005C3C22">
        <w:rPr>
          <w:rFonts w:ascii="Times New Roman" w:hAnsi="Times New Roman"/>
          <w:sz w:val="24"/>
          <w:szCs w:val="24"/>
        </w:rPr>
        <w:t xml:space="preserve">7 of the </w:t>
      </w:r>
      <w:r w:rsidR="00516AC1" w:rsidRPr="00516AC1">
        <w:rPr>
          <w:rFonts w:ascii="Times New Roman" w:hAnsi="Times New Roman"/>
          <w:sz w:val="24"/>
          <w:szCs w:val="24"/>
        </w:rPr>
        <w:t>POC Regulations</w:t>
      </w:r>
      <w:r w:rsidR="00ED1CA2" w:rsidRPr="005C3C22">
        <w:rPr>
          <w:rFonts w:ascii="Times New Roman" w:hAnsi="Times New Roman"/>
          <w:sz w:val="24"/>
          <w:szCs w:val="24"/>
        </w:rPr>
        <w:t xml:space="preserve"> as an interstate restraining order.</w:t>
      </w:r>
    </w:p>
    <w:p w:rsidR="00ED1CA2" w:rsidRPr="005C3C22" w:rsidRDefault="001400DB" w:rsidP="00CD238F">
      <w:pPr>
        <w:spacing w:line="240" w:lineRule="auto"/>
        <w:ind w:right="91"/>
        <w:rPr>
          <w:rFonts w:ascii="Times New Roman" w:hAnsi="Times New Roman"/>
          <w:sz w:val="24"/>
          <w:szCs w:val="24"/>
        </w:rPr>
      </w:pPr>
      <w:r>
        <w:rPr>
          <w:rFonts w:ascii="Times New Roman" w:hAnsi="Times New Roman"/>
          <w:sz w:val="24"/>
          <w:szCs w:val="24"/>
        </w:rPr>
        <w:t xml:space="preserve">Regulation </w:t>
      </w:r>
      <w:r w:rsidR="00ED1CA2" w:rsidRPr="005C3C22">
        <w:rPr>
          <w:rFonts w:ascii="Times New Roman" w:hAnsi="Times New Roman"/>
          <w:sz w:val="24"/>
          <w:szCs w:val="24"/>
        </w:rPr>
        <w:t xml:space="preserve">17C defines a </w:t>
      </w:r>
      <w:r w:rsidR="006E2445">
        <w:rPr>
          <w:rFonts w:ascii="Times New Roman" w:hAnsi="Times New Roman"/>
          <w:sz w:val="24"/>
          <w:szCs w:val="24"/>
        </w:rPr>
        <w:t>‘</w:t>
      </w:r>
      <w:r w:rsidR="00ED1CA2" w:rsidRPr="005C3C22">
        <w:rPr>
          <w:rFonts w:ascii="Times New Roman" w:hAnsi="Times New Roman"/>
          <w:sz w:val="24"/>
          <w:szCs w:val="24"/>
        </w:rPr>
        <w:t>State or Territory proceeds of crime law</w:t>
      </w:r>
      <w:r w:rsidR="006E2445">
        <w:rPr>
          <w:rFonts w:ascii="Times New Roman" w:hAnsi="Times New Roman"/>
          <w:sz w:val="24"/>
          <w:szCs w:val="24"/>
        </w:rPr>
        <w:t>’</w:t>
      </w:r>
      <w:r w:rsidR="00ED1CA2" w:rsidRPr="005C3C22">
        <w:rPr>
          <w:rFonts w:ascii="Times New Roman" w:hAnsi="Times New Roman"/>
          <w:sz w:val="24"/>
          <w:szCs w:val="24"/>
        </w:rPr>
        <w:t xml:space="preserve"> for the purposes of subsection 4(1) of the Family Law Act as a law declared by regulation 4 of the </w:t>
      </w:r>
      <w:r w:rsidR="00516AC1" w:rsidRPr="00516AC1">
        <w:rPr>
          <w:rFonts w:ascii="Times New Roman" w:hAnsi="Times New Roman"/>
          <w:sz w:val="24"/>
          <w:szCs w:val="24"/>
        </w:rPr>
        <w:t>P</w:t>
      </w:r>
      <w:r w:rsidR="006E2445">
        <w:rPr>
          <w:rFonts w:ascii="Times New Roman" w:hAnsi="Times New Roman"/>
          <w:sz w:val="24"/>
          <w:szCs w:val="24"/>
        </w:rPr>
        <w:t>OC </w:t>
      </w:r>
      <w:r w:rsidR="00516AC1" w:rsidRPr="00516AC1">
        <w:rPr>
          <w:rFonts w:ascii="Times New Roman" w:hAnsi="Times New Roman"/>
          <w:sz w:val="24"/>
          <w:szCs w:val="24"/>
        </w:rPr>
        <w:t>Regulations</w:t>
      </w:r>
      <w:r w:rsidR="00ED1CA2" w:rsidRPr="005C3C22">
        <w:rPr>
          <w:rFonts w:ascii="Times New Roman" w:hAnsi="Times New Roman"/>
          <w:i/>
          <w:sz w:val="24"/>
          <w:szCs w:val="24"/>
        </w:rPr>
        <w:t xml:space="preserve"> </w:t>
      </w:r>
      <w:r w:rsidR="00ED1CA2" w:rsidRPr="005C3C22">
        <w:rPr>
          <w:rFonts w:ascii="Times New Roman" w:hAnsi="Times New Roman"/>
          <w:sz w:val="24"/>
          <w:szCs w:val="24"/>
        </w:rPr>
        <w:t xml:space="preserve">to be a law that corresponds to the </w:t>
      </w:r>
      <w:r w:rsidR="00ED1CA2" w:rsidRPr="005C3C22">
        <w:rPr>
          <w:rFonts w:ascii="Times New Roman" w:hAnsi="Times New Roman"/>
          <w:i/>
          <w:sz w:val="24"/>
          <w:szCs w:val="24"/>
        </w:rPr>
        <w:t xml:space="preserve">Proceeds of Crime Act 2002.  </w:t>
      </w:r>
    </w:p>
    <w:p w:rsidR="00ED1CA2" w:rsidRPr="005C3C22" w:rsidRDefault="00E914B4" w:rsidP="00CD238F">
      <w:pPr>
        <w:keepNext/>
        <w:keepLines/>
        <w:spacing w:line="240" w:lineRule="auto"/>
        <w:ind w:right="91"/>
        <w:rPr>
          <w:rFonts w:ascii="Times New Roman" w:hAnsi="Times New Roman"/>
          <w:sz w:val="24"/>
          <w:szCs w:val="24"/>
        </w:rPr>
      </w:pPr>
      <w:r>
        <w:rPr>
          <w:rFonts w:ascii="Times New Roman" w:hAnsi="Times New Roman"/>
          <w:sz w:val="24"/>
          <w:szCs w:val="24"/>
        </w:rPr>
        <w:t>R</w:t>
      </w:r>
      <w:r w:rsidR="00ED1CA2" w:rsidRPr="005C3C22">
        <w:rPr>
          <w:rFonts w:ascii="Times New Roman" w:hAnsi="Times New Roman"/>
          <w:sz w:val="24"/>
          <w:szCs w:val="24"/>
        </w:rPr>
        <w:t xml:space="preserve">egulation 17D defines a </w:t>
      </w:r>
      <w:r w:rsidR="006E2445">
        <w:rPr>
          <w:rFonts w:ascii="Times New Roman" w:hAnsi="Times New Roman"/>
          <w:sz w:val="24"/>
          <w:szCs w:val="24"/>
        </w:rPr>
        <w:t>‘</w:t>
      </w:r>
      <w:r w:rsidR="00ED1CA2" w:rsidRPr="005C3C22">
        <w:rPr>
          <w:rFonts w:ascii="Times New Roman" w:hAnsi="Times New Roman"/>
          <w:sz w:val="24"/>
          <w:szCs w:val="24"/>
        </w:rPr>
        <w:t>proceeds of crime authority</w:t>
      </w:r>
      <w:r w:rsidR="006E2445">
        <w:rPr>
          <w:rFonts w:ascii="Times New Roman" w:hAnsi="Times New Roman"/>
          <w:sz w:val="24"/>
          <w:szCs w:val="24"/>
        </w:rPr>
        <w:t>’ for the purposes of subsection </w:t>
      </w:r>
      <w:r w:rsidR="00ED1CA2" w:rsidRPr="005C3C22">
        <w:rPr>
          <w:rFonts w:ascii="Times New Roman" w:hAnsi="Times New Roman"/>
          <w:sz w:val="24"/>
          <w:szCs w:val="24"/>
        </w:rPr>
        <w:t>4C(4) of the Family Law Act as each person or body mentioned in tables 17E.1, 17E.2 and 17E.3 as being a prescribed proceeds of crime authority in relation to sections 79C, 79D, 79E, 90N, 90P, 90Q, 90VB, 90VC and 90VD of the Family Law Act for the purposes of the class of proceeds of crime orders or class of forfeiture applications identified in each table.</w:t>
      </w:r>
    </w:p>
    <w:p w:rsidR="00ED1CA2" w:rsidRPr="005C3C22" w:rsidRDefault="00ED1CA2" w:rsidP="005C3C22">
      <w:pPr>
        <w:spacing w:line="240" w:lineRule="auto"/>
        <w:ind w:right="91"/>
        <w:rPr>
          <w:rFonts w:ascii="Times New Roman" w:hAnsi="Times New Roman"/>
          <w:sz w:val="24"/>
          <w:szCs w:val="24"/>
        </w:rPr>
      </w:pPr>
      <w:r w:rsidRPr="005C3C22">
        <w:rPr>
          <w:rFonts w:ascii="Times New Roman" w:hAnsi="Times New Roman"/>
          <w:sz w:val="24"/>
          <w:szCs w:val="24"/>
        </w:rPr>
        <w:t>Table 17E.1 prescribes the persons or bodies listed in each item of the table as proceeds of crime authorities in relation to sections 79C, 79D, 79E, 90N, 90P, 90Q, 90VB, 90VC and 90VD of the Family Law Act for forfeiture orders.</w:t>
      </w:r>
    </w:p>
    <w:p w:rsidR="00ED1CA2" w:rsidRPr="005C3C22" w:rsidRDefault="00ED1CA2" w:rsidP="005C3C22">
      <w:pPr>
        <w:spacing w:line="240" w:lineRule="auto"/>
        <w:ind w:right="91"/>
        <w:rPr>
          <w:rFonts w:ascii="Times New Roman" w:hAnsi="Times New Roman"/>
          <w:sz w:val="24"/>
          <w:szCs w:val="24"/>
        </w:rPr>
      </w:pPr>
      <w:r w:rsidRPr="005C3C22">
        <w:rPr>
          <w:rFonts w:ascii="Times New Roman" w:hAnsi="Times New Roman"/>
          <w:sz w:val="24"/>
          <w:szCs w:val="24"/>
        </w:rPr>
        <w:t>Table 17E.2 prescribes the persons or bodies listed in each item of the table as proceeds of crime authorities in relation to sections 79C, 79D, 79E, 90N, 90P, 90Q, 90VB, 90VC and 90VD of the Family Law Act for restraining orders.</w:t>
      </w:r>
    </w:p>
    <w:p w:rsidR="00ED1CA2" w:rsidRPr="005C3C22" w:rsidRDefault="00ED1CA2" w:rsidP="005C3C22">
      <w:pPr>
        <w:spacing w:line="240" w:lineRule="auto"/>
        <w:ind w:right="91"/>
        <w:rPr>
          <w:sz w:val="24"/>
          <w:szCs w:val="24"/>
        </w:rPr>
      </w:pPr>
      <w:r w:rsidRPr="005C3C22">
        <w:rPr>
          <w:rFonts w:ascii="Times New Roman" w:hAnsi="Times New Roman"/>
          <w:sz w:val="24"/>
          <w:szCs w:val="24"/>
        </w:rPr>
        <w:t>Table 17E.3 prescribes the persons or bodies listed in each item of the table as proceeds of crime authorities in relation to sections 79C, 79D, 79E, 90N, 90P, 90Q, 90VB, 90VC and 90VD of the Family Law Act for forfeiture applications.</w:t>
      </w:r>
    </w:p>
    <w:p w:rsidR="00ED1CA2" w:rsidRPr="005C3C22" w:rsidRDefault="00ED1CA2" w:rsidP="005C3C22">
      <w:pPr>
        <w:spacing w:before="240" w:after="0" w:line="240" w:lineRule="auto"/>
        <w:ind w:right="91"/>
        <w:rPr>
          <w:rFonts w:ascii="Times New Roman" w:eastAsia="Times New Roman" w:hAnsi="Times New Roman"/>
          <w:b/>
          <w:sz w:val="24"/>
          <w:szCs w:val="20"/>
          <w:lang w:eastAsia="en-AU"/>
        </w:rPr>
      </w:pPr>
      <w:r w:rsidRPr="005C3C22">
        <w:rPr>
          <w:rFonts w:ascii="Times New Roman" w:eastAsia="Times New Roman" w:hAnsi="Times New Roman"/>
          <w:b/>
          <w:sz w:val="24"/>
          <w:szCs w:val="20"/>
          <w:lang w:eastAsia="en-AU"/>
        </w:rPr>
        <w:t xml:space="preserve">Item [4] – </w:t>
      </w:r>
      <w:proofErr w:type="spellStart"/>
      <w:r w:rsidRPr="005C3C22">
        <w:rPr>
          <w:rFonts w:ascii="Times New Roman" w:eastAsia="Times New Roman" w:hAnsi="Times New Roman"/>
          <w:b/>
          <w:sz w:val="24"/>
          <w:szCs w:val="20"/>
          <w:lang w:eastAsia="en-AU"/>
        </w:rPr>
        <w:t>Subregulation</w:t>
      </w:r>
      <w:proofErr w:type="spellEnd"/>
      <w:r w:rsidRPr="005C3C22">
        <w:rPr>
          <w:rFonts w:ascii="Times New Roman" w:eastAsia="Times New Roman" w:hAnsi="Times New Roman"/>
          <w:b/>
          <w:sz w:val="24"/>
          <w:szCs w:val="20"/>
          <w:lang w:eastAsia="en-AU"/>
        </w:rPr>
        <w:t xml:space="preserve"> 39BB</w:t>
      </w:r>
      <w:r w:rsidR="000927BC">
        <w:rPr>
          <w:rFonts w:ascii="Times New Roman" w:eastAsia="Times New Roman" w:hAnsi="Times New Roman"/>
          <w:b/>
          <w:sz w:val="24"/>
          <w:szCs w:val="20"/>
          <w:lang w:eastAsia="en-AU"/>
        </w:rPr>
        <w:t xml:space="preserve"> </w:t>
      </w:r>
      <w:r w:rsidRPr="005C3C22">
        <w:rPr>
          <w:rFonts w:ascii="Times New Roman" w:eastAsia="Times New Roman" w:hAnsi="Times New Roman"/>
          <w:b/>
          <w:sz w:val="24"/>
          <w:szCs w:val="20"/>
          <w:lang w:eastAsia="en-AU"/>
        </w:rPr>
        <w:t xml:space="preserve">(2) </w:t>
      </w:r>
    </w:p>
    <w:p w:rsidR="00ED1CA2" w:rsidRPr="005C3C22" w:rsidRDefault="00ED1CA2" w:rsidP="005C3C22">
      <w:pPr>
        <w:spacing w:before="240" w:line="240" w:lineRule="auto"/>
        <w:rPr>
          <w:rFonts w:ascii="Times New Roman" w:hAnsi="Times New Roman"/>
          <w:sz w:val="24"/>
          <w:szCs w:val="24"/>
        </w:rPr>
      </w:pPr>
      <w:r w:rsidRPr="005C3C22">
        <w:rPr>
          <w:rFonts w:ascii="Times New Roman" w:hAnsi="Times New Roman"/>
          <w:sz w:val="24"/>
          <w:szCs w:val="24"/>
        </w:rPr>
        <w:t xml:space="preserve">Item </w:t>
      </w:r>
      <w:r w:rsidR="00011E9C" w:rsidRPr="005C3C22">
        <w:rPr>
          <w:rFonts w:ascii="Times New Roman" w:hAnsi="Times New Roman"/>
          <w:sz w:val="24"/>
          <w:szCs w:val="24"/>
        </w:rPr>
        <w:t>4</w:t>
      </w:r>
      <w:r w:rsidRPr="005C3C22">
        <w:rPr>
          <w:rFonts w:ascii="Times New Roman" w:hAnsi="Times New Roman"/>
          <w:sz w:val="24"/>
          <w:szCs w:val="24"/>
        </w:rPr>
        <w:t xml:space="preserve"> </w:t>
      </w:r>
      <w:r w:rsidR="008014D3">
        <w:rPr>
          <w:rFonts w:ascii="Times New Roman" w:hAnsi="Times New Roman"/>
          <w:sz w:val="24"/>
          <w:szCs w:val="24"/>
        </w:rPr>
        <w:t xml:space="preserve">of Schedule 1 </w:t>
      </w:r>
      <w:r w:rsidRPr="005C3C22">
        <w:rPr>
          <w:rFonts w:ascii="Times New Roman" w:hAnsi="Times New Roman"/>
          <w:sz w:val="24"/>
          <w:szCs w:val="24"/>
        </w:rPr>
        <w:t xml:space="preserve">omits the reference to ‘(Cocos) Keeling’ and inserts ‘Cocos (Keeling)’ in </w:t>
      </w:r>
      <w:proofErr w:type="spellStart"/>
      <w:r w:rsidRPr="005C3C22">
        <w:rPr>
          <w:rFonts w:ascii="Times New Roman" w:hAnsi="Times New Roman"/>
          <w:sz w:val="24"/>
          <w:szCs w:val="24"/>
        </w:rPr>
        <w:t>subregulation</w:t>
      </w:r>
      <w:proofErr w:type="spellEnd"/>
      <w:r w:rsidRPr="005C3C22">
        <w:rPr>
          <w:rFonts w:ascii="Times New Roman" w:hAnsi="Times New Roman"/>
          <w:sz w:val="24"/>
          <w:szCs w:val="24"/>
        </w:rPr>
        <w:t> 39BB(2).  This fix</w:t>
      </w:r>
      <w:r w:rsidR="009D22D0">
        <w:rPr>
          <w:rFonts w:ascii="Times New Roman" w:hAnsi="Times New Roman"/>
          <w:sz w:val="24"/>
          <w:szCs w:val="24"/>
        </w:rPr>
        <w:t>es</w:t>
      </w:r>
      <w:r w:rsidRPr="005C3C22">
        <w:rPr>
          <w:rFonts w:ascii="Times New Roman" w:hAnsi="Times New Roman"/>
          <w:sz w:val="24"/>
          <w:szCs w:val="24"/>
        </w:rPr>
        <w:t xml:space="preserve"> a drafting error </w:t>
      </w:r>
      <w:r w:rsidR="009D22D0">
        <w:rPr>
          <w:rFonts w:ascii="Times New Roman" w:hAnsi="Times New Roman"/>
          <w:sz w:val="24"/>
          <w:szCs w:val="24"/>
        </w:rPr>
        <w:t xml:space="preserve">to </w:t>
      </w:r>
      <w:r w:rsidRPr="005C3C22">
        <w:rPr>
          <w:rFonts w:ascii="Times New Roman" w:hAnsi="Times New Roman"/>
          <w:sz w:val="24"/>
          <w:szCs w:val="24"/>
        </w:rPr>
        <w:t>refer correctly to the Territory of the Cocos (Keeling) Islands.</w:t>
      </w:r>
    </w:p>
    <w:p w:rsidR="00ED1CA2" w:rsidRPr="005C3C22" w:rsidRDefault="00ED1CA2" w:rsidP="005C3C22">
      <w:pPr>
        <w:spacing w:before="240" w:after="0" w:line="240" w:lineRule="auto"/>
        <w:ind w:right="91"/>
        <w:rPr>
          <w:rFonts w:ascii="Times New Roman" w:eastAsia="Times New Roman" w:hAnsi="Times New Roman"/>
          <w:b/>
          <w:sz w:val="24"/>
          <w:szCs w:val="20"/>
          <w:lang w:eastAsia="en-AU"/>
        </w:rPr>
      </w:pPr>
      <w:r w:rsidRPr="005C3C22">
        <w:rPr>
          <w:rFonts w:ascii="Times New Roman" w:eastAsia="Times New Roman" w:hAnsi="Times New Roman"/>
          <w:b/>
          <w:sz w:val="24"/>
          <w:szCs w:val="20"/>
          <w:lang w:eastAsia="en-AU"/>
        </w:rPr>
        <w:t>Item [5] – Paragraph 39BB</w:t>
      </w:r>
      <w:r w:rsidR="000927BC">
        <w:rPr>
          <w:rFonts w:ascii="Times New Roman" w:eastAsia="Times New Roman" w:hAnsi="Times New Roman"/>
          <w:b/>
          <w:sz w:val="24"/>
          <w:szCs w:val="20"/>
          <w:lang w:eastAsia="en-AU"/>
        </w:rPr>
        <w:t xml:space="preserve"> </w:t>
      </w:r>
      <w:r w:rsidRPr="005C3C22">
        <w:rPr>
          <w:rFonts w:ascii="Times New Roman" w:eastAsia="Times New Roman" w:hAnsi="Times New Roman"/>
          <w:b/>
          <w:sz w:val="24"/>
          <w:szCs w:val="20"/>
          <w:lang w:eastAsia="en-AU"/>
        </w:rPr>
        <w:t>(2)</w:t>
      </w:r>
      <w:r w:rsidR="000927BC">
        <w:rPr>
          <w:rFonts w:ascii="Times New Roman" w:eastAsia="Times New Roman" w:hAnsi="Times New Roman"/>
          <w:b/>
          <w:sz w:val="24"/>
          <w:szCs w:val="20"/>
          <w:lang w:eastAsia="en-AU"/>
        </w:rPr>
        <w:t xml:space="preserve"> </w:t>
      </w:r>
      <w:r w:rsidRPr="005C3C22">
        <w:rPr>
          <w:rFonts w:ascii="Times New Roman" w:eastAsia="Times New Roman" w:hAnsi="Times New Roman"/>
          <w:b/>
          <w:sz w:val="24"/>
          <w:szCs w:val="20"/>
          <w:lang w:eastAsia="en-AU"/>
        </w:rPr>
        <w:t xml:space="preserve">(g) </w:t>
      </w:r>
    </w:p>
    <w:p w:rsidR="00ED1CA2" w:rsidRPr="005C3C22" w:rsidRDefault="00ED1CA2" w:rsidP="005C3C22">
      <w:pPr>
        <w:spacing w:before="240" w:line="240" w:lineRule="auto"/>
        <w:rPr>
          <w:rFonts w:ascii="Times New Roman" w:hAnsi="Times New Roman"/>
          <w:sz w:val="24"/>
          <w:szCs w:val="24"/>
        </w:rPr>
      </w:pPr>
      <w:r w:rsidRPr="005C3C22">
        <w:rPr>
          <w:rFonts w:ascii="Times New Roman" w:hAnsi="Times New Roman"/>
          <w:sz w:val="24"/>
          <w:szCs w:val="24"/>
        </w:rPr>
        <w:t xml:space="preserve">Item </w:t>
      </w:r>
      <w:r w:rsidR="00011E9C" w:rsidRPr="005C3C22">
        <w:rPr>
          <w:rFonts w:ascii="Times New Roman" w:hAnsi="Times New Roman"/>
          <w:sz w:val="24"/>
          <w:szCs w:val="24"/>
        </w:rPr>
        <w:t>5</w:t>
      </w:r>
      <w:r w:rsidR="008014D3">
        <w:rPr>
          <w:rFonts w:ascii="Times New Roman" w:hAnsi="Times New Roman"/>
          <w:sz w:val="24"/>
          <w:szCs w:val="24"/>
        </w:rPr>
        <w:t xml:space="preserve"> of Schedule 1</w:t>
      </w:r>
      <w:r w:rsidRPr="005C3C22">
        <w:rPr>
          <w:rFonts w:ascii="Times New Roman" w:hAnsi="Times New Roman"/>
          <w:sz w:val="24"/>
          <w:szCs w:val="24"/>
        </w:rPr>
        <w:t xml:space="preserve"> omits paragraph 39BB(2)(g) of the Pr</w:t>
      </w:r>
      <w:r w:rsidR="006E2445">
        <w:rPr>
          <w:rFonts w:ascii="Times New Roman" w:hAnsi="Times New Roman"/>
          <w:sz w:val="24"/>
          <w:szCs w:val="24"/>
        </w:rPr>
        <w:t>incipal Regulations.  Paragraph </w:t>
      </w:r>
      <w:r w:rsidRPr="005C3C22">
        <w:rPr>
          <w:rFonts w:ascii="Times New Roman" w:hAnsi="Times New Roman"/>
          <w:sz w:val="24"/>
          <w:szCs w:val="24"/>
        </w:rPr>
        <w:t>39BB(2)(g) restricted the  Family Court of Australia from exercising its jurisdiction to hear appeals against a decision of a judge</w:t>
      </w:r>
      <w:r w:rsidR="006E2445">
        <w:rPr>
          <w:rFonts w:ascii="Times New Roman" w:hAnsi="Times New Roman"/>
          <w:sz w:val="24"/>
          <w:szCs w:val="24"/>
        </w:rPr>
        <w:t xml:space="preserve"> of the Family Court of </w:t>
      </w:r>
      <w:r w:rsidR="006E2445">
        <w:rPr>
          <w:rFonts w:ascii="Times New Roman" w:hAnsi="Times New Roman"/>
          <w:sz w:val="24"/>
          <w:szCs w:val="24"/>
        </w:rPr>
        <w:lastRenderedPageBreak/>
        <w:t>Western </w:t>
      </w:r>
      <w:r w:rsidRPr="005C3C22">
        <w:rPr>
          <w:rFonts w:ascii="Times New Roman" w:hAnsi="Times New Roman"/>
          <w:sz w:val="24"/>
          <w:szCs w:val="24"/>
        </w:rPr>
        <w:t>Australia to refuse to disqualify themselves f</w:t>
      </w:r>
      <w:r w:rsidR="006E2445">
        <w:rPr>
          <w:rFonts w:ascii="Times New Roman" w:hAnsi="Times New Roman"/>
          <w:sz w:val="24"/>
          <w:szCs w:val="24"/>
        </w:rPr>
        <w:t>rom hearing a matter in Western </w:t>
      </w:r>
      <w:r w:rsidRPr="005C3C22">
        <w:rPr>
          <w:rFonts w:ascii="Times New Roman" w:hAnsi="Times New Roman"/>
          <w:sz w:val="24"/>
          <w:szCs w:val="24"/>
        </w:rPr>
        <w:t>Austra</w:t>
      </w:r>
      <w:r w:rsidR="006E2445">
        <w:rPr>
          <w:rFonts w:ascii="Times New Roman" w:hAnsi="Times New Roman"/>
          <w:sz w:val="24"/>
          <w:szCs w:val="24"/>
        </w:rPr>
        <w:t>lia, the Territory of Christmas </w:t>
      </w:r>
      <w:r w:rsidRPr="005C3C22">
        <w:rPr>
          <w:rFonts w:ascii="Times New Roman" w:hAnsi="Times New Roman"/>
          <w:sz w:val="24"/>
          <w:szCs w:val="24"/>
        </w:rPr>
        <w:t xml:space="preserve">Island and the Territory of the Cocos (Keeling) Islands. The omission of paragraph 39BB(2)(g) removes this restriction. </w:t>
      </w:r>
    </w:p>
    <w:p w:rsidR="00ED1CA2" w:rsidRPr="005C3C22" w:rsidRDefault="00ED1CA2" w:rsidP="005C3C22">
      <w:pPr>
        <w:spacing w:before="240" w:after="0" w:line="240" w:lineRule="auto"/>
        <w:ind w:right="91"/>
        <w:rPr>
          <w:rFonts w:ascii="Times New Roman" w:eastAsia="Times New Roman" w:hAnsi="Times New Roman"/>
          <w:b/>
          <w:sz w:val="24"/>
          <w:szCs w:val="20"/>
          <w:lang w:eastAsia="en-AU"/>
        </w:rPr>
      </w:pPr>
      <w:r w:rsidRPr="005C3C22">
        <w:rPr>
          <w:rFonts w:ascii="Times New Roman" w:eastAsia="Times New Roman" w:hAnsi="Times New Roman"/>
          <w:b/>
          <w:sz w:val="24"/>
          <w:szCs w:val="20"/>
          <w:lang w:eastAsia="en-AU"/>
        </w:rPr>
        <w:t>Item [6] – Paragraphs 39BB</w:t>
      </w:r>
      <w:r w:rsidR="000927BC">
        <w:rPr>
          <w:rFonts w:ascii="Times New Roman" w:eastAsia="Times New Roman" w:hAnsi="Times New Roman"/>
          <w:b/>
          <w:sz w:val="24"/>
          <w:szCs w:val="20"/>
          <w:lang w:eastAsia="en-AU"/>
        </w:rPr>
        <w:t xml:space="preserve"> </w:t>
      </w:r>
      <w:r w:rsidRPr="005C3C22">
        <w:rPr>
          <w:rFonts w:ascii="Times New Roman" w:eastAsia="Times New Roman" w:hAnsi="Times New Roman"/>
          <w:b/>
          <w:sz w:val="24"/>
          <w:szCs w:val="20"/>
          <w:lang w:eastAsia="en-AU"/>
        </w:rPr>
        <w:t>(2)</w:t>
      </w:r>
      <w:r w:rsidR="000927BC">
        <w:rPr>
          <w:rFonts w:ascii="Times New Roman" w:eastAsia="Times New Roman" w:hAnsi="Times New Roman"/>
          <w:b/>
          <w:sz w:val="24"/>
          <w:szCs w:val="20"/>
          <w:lang w:eastAsia="en-AU"/>
        </w:rPr>
        <w:t xml:space="preserve"> </w:t>
      </w:r>
      <w:r w:rsidRPr="005C3C22">
        <w:rPr>
          <w:rFonts w:ascii="Times New Roman" w:eastAsia="Times New Roman" w:hAnsi="Times New Roman"/>
          <w:b/>
          <w:sz w:val="24"/>
          <w:szCs w:val="20"/>
          <w:lang w:eastAsia="en-AU"/>
        </w:rPr>
        <w:t>(h) and (i)</w:t>
      </w:r>
    </w:p>
    <w:p w:rsidR="00ED1CA2" w:rsidRPr="005C3C22" w:rsidRDefault="00ED1CA2" w:rsidP="005C3C22">
      <w:pPr>
        <w:spacing w:before="240" w:line="240" w:lineRule="auto"/>
        <w:rPr>
          <w:rFonts w:ascii="Times New Roman" w:hAnsi="Times New Roman"/>
          <w:sz w:val="24"/>
          <w:szCs w:val="24"/>
        </w:rPr>
      </w:pPr>
      <w:r w:rsidRPr="005C3C22">
        <w:rPr>
          <w:rFonts w:ascii="Times New Roman" w:hAnsi="Times New Roman"/>
          <w:sz w:val="24"/>
          <w:szCs w:val="24"/>
        </w:rPr>
        <w:t xml:space="preserve">Item </w:t>
      </w:r>
      <w:r w:rsidR="00011E9C" w:rsidRPr="005C3C22">
        <w:rPr>
          <w:rFonts w:ascii="Times New Roman" w:hAnsi="Times New Roman"/>
          <w:sz w:val="24"/>
          <w:szCs w:val="24"/>
        </w:rPr>
        <w:t>6</w:t>
      </w:r>
      <w:r w:rsidRPr="005C3C22">
        <w:rPr>
          <w:rFonts w:ascii="Times New Roman" w:hAnsi="Times New Roman"/>
          <w:sz w:val="24"/>
          <w:szCs w:val="24"/>
        </w:rPr>
        <w:t xml:space="preserve"> </w:t>
      </w:r>
      <w:r w:rsidR="008014D3">
        <w:rPr>
          <w:rFonts w:ascii="Times New Roman" w:hAnsi="Times New Roman"/>
          <w:sz w:val="24"/>
          <w:szCs w:val="24"/>
        </w:rPr>
        <w:t xml:space="preserve">of Schedule 1 </w:t>
      </w:r>
      <w:r w:rsidRPr="005C3C22">
        <w:rPr>
          <w:rFonts w:ascii="Times New Roman" w:hAnsi="Times New Roman"/>
          <w:sz w:val="24"/>
          <w:szCs w:val="24"/>
        </w:rPr>
        <w:t>renumbers paragraphs(h) and (</w:t>
      </w:r>
      <w:proofErr w:type="spellStart"/>
      <w:r w:rsidRPr="005C3C22">
        <w:rPr>
          <w:rFonts w:ascii="Times New Roman" w:hAnsi="Times New Roman"/>
          <w:sz w:val="24"/>
          <w:szCs w:val="24"/>
        </w:rPr>
        <w:t>i</w:t>
      </w:r>
      <w:proofErr w:type="spellEnd"/>
      <w:r w:rsidRPr="005C3C22">
        <w:rPr>
          <w:rFonts w:ascii="Times New Roman" w:hAnsi="Times New Roman"/>
          <w:sz w:val="24"/>
          <w:szCs w:val="24"/>
        </w:rPr>
        <w:t>)</w:t>
      </w:r>
      <w:r w:rsidR="006E2445">
        <w:rPr>
          <w:rFonts w:ascii="Times New Roman" w:hAnsi="Times New Roman"/>
          <w:sz w:val="24"/>
          <w:szCs w:val="24"/>
        </w:rPr>
        <w:t xml:space="preserve"> of </w:t>
      </w:r>
      <w:proofErr w:type="spellStart"/>
      <w:r w:rsidR="006E2445">
        <w:rPr>
          <w:rFonts w:ascii="Times New Roman" w:hAnsi="Times New Roman"/>
          <w:sz w:val="24"/>
          <w:szCs w:val="24"/>
        </w:rPr>
        <w:t>subregulation</w:t>
      </w:r>
      <w:proofErr w:type="spellEnd"/>
      <w:r w:rsidR="006E2445">
        <w:rPr>
          <w:rFonts w:ascii="Times New Roman" w:hAnsi="Times New Roman"/>
          <w:sz w:val="24"/>
          <w:szCs w:val="24"/>
        </w:rPr>
        <w:t xml:space="preserve"> 39BB(2)</w:t>
      </w:r>
      <w:r w:rsidRPr="005C3C22">
        <w:rPr>
          <w:rFonts w:ascii="Times New Roman" w:hAnsi="Times New Roman"/>
          <w:sz w:val="24"/>
          <w:szCs w:val="24"/>
        </w:rPr>
        <w:t xml:space="preserve"> as paragraphs 39BB(2)(g) and (h) as a consequence of the omission of paragraph 39BB(2)(g) by item 4.</w:t>
      </w:r>
    </w:p>
    <w:p w:rsidR="00ED1CA2" w:rsidRPr="005C3C22" w:rsidRDefault="00ED1CA2" w:rsidP="005C3C22">
      <w:pPr>
        <w:spacing w:before="240" w:after="0" w:line="240" w:lineRule="auto"/>
        <w:ind w:right="91"/>
        <w:rPr>
          <w:rFonts w:ascii="Times New Roman" w:eastAsia="Times New Roman" w:hAnsi="Times New Roman"/>
          <w:b/>
          <w:sz w:val="24"/>
          <w:szCs w:val="20"/>
          <w:lang w:eastAsia="en-AU"/>
        </w:rPr>
      </w:pPr>
      <w:r w:rsidRPr="005C3C22">
        <w:rPr>
          <w:rFonts w:ascii="Times New Roman" w:eastAsia="Times New Roman" w:hAnsi="Times New Roman"/>
          <w:b/>
          <w:sz w:val="24"/>
          <w:szCs w:val="20"/>
          <w:lang w:eastAsia="en-AU"/>
        </w:rPr>
        <w:t xml:space="preserve">Item [7] – </w:t>
      </w:r>
      <w:proofErr w:type="spellStart"/>
      <w:r w:rsidRPr="005C3C22">
        <w:rPr>
          <w:rFonts w:ascii="Times New Roman" w:eastAsia="Times New Roman" w:hAnsi="Times New Roman"/>
          <w:b/>
          <w:sz w:val="24"/>
          <w:szCs w:val="20"/>
          <w:lang w:eastAsia="en-AU"/>
        </w:rPr>
        <w:t>Subregulation</w:t>
      </w:r>
      <w:proofErr w:type="spellEnd"/>
      <w:r w:rsidRPr="005C3C22">
        <w:rPr>
          <w:rFonts w:ascii="Times New Roman" w:eastAsia="Times New Roman" w:hAnsi="Times New Roman"/>
          <w:b/>
          <w:sz w:val="24"/>
          <w:szCs w:val="20"/>
          <w:lang w:eastAsia="en-AU"/>
        </w:rPr>
        <w:t xml:space="preserve"> 39BB</w:t>
      </w:r>
      <w:r w:rsidR="000927BC">
        <w:rPr>
          <w:rFonts w:ascii="Times New Roman" w:eastAsia="Times New Roman" w:hAnsi="Times New Roman"/>
          <w:b/>
          <w:sz w:val="24"/>
          <w:szCs w:val="20"/>
          <w:lang w:eastAsia="en-AU"/>
        </w:rPr>
        <w:t xml:space="preserve"> </w:t>
      </w:r>
      <w:r w:rsidRPr="005C3C22">
        <w:rPr>
          <w:rFonts w:ascii="Times New Roman" w:eastAsia="Times New Roman" w:hAnsi="Times New Roman"/>
          <w:b/>
          <w:sz w:val="24"/>
          <w:szCs w:val="20"/>
          <w:lang w:eastAsia="en-AU"/>
        </w:rPr>
        <w:t>(3)</w:t>
      </w:r>
    </w:p>
    <w:p w:rsidR="006E2445" w:rsidRDefault="00ED1CA2" w:rsidP="005C3C22">
      <w:pPr>
        <w:spacing w:before="240" w:line="240" w:lineRule="auto"/>
        <w:rPr>
          <w:rFonts w:ascii="Times New Roman" w:hAnsi="Times New Roman"/>
          <w:sz w:val="24"/>
          <w:szCs w:val="24"/>
        </w:rPr>
      </w:pPr>
      <w:r w:rsidRPr="005C3C22">
        <w:rPr>
          <w:rFonts w:ascii="Times New Roman" w:hAnsi="Times New Roman"/>
          <w:sz w:val="24"/>
          <w:szCs w:val="24"/>
        </w:rPr>
        <w:t xml:space="preserve">Item </w:t>
      </w:r>
      <w:r w:rsidR="00011E9C" w:rsidRPr="005C3C22">
        <w:rPr>
          <w:rFonts w:ascii="Times New Roman" w:hAnsi="Times New Roman"/>
          <w:sz w:val="24"/>
          <w:szCs w:val="24"/>
        </w:rPr>
        <w:t>7</w:t>
      </w:r>
      <w:r w:rsidRPr="005C3C22">
        <w:rPr>
          <w:rFonts w:ascii="Times New Roman" w:hAnsi="Times New Roman"/>
          <w:sz w:val="24"/>
          <w:szCs w:val="24"/>
        </w:rPr>
        <w:t xml:space="preserve"> </w:t>
      </w:r>
      <w:r w:rsidR="008014D3">
        <w:rPr>
          <w:rFonts w:ascii="Times New Roman" w:hAnsi="Times New Roman"/>
          <w:sz w:val="24"/>
          <w:szCs w:val="24"/>
        </w:rPr>
        <w:t xml:space="preserve">of Schedule 1 </w:t>
      </w:r>
      <w:r w:rsidRPr="005C3C22">
        <w:rPr>
          <w:rFonts w:ascii="Times New Roman" w:hAnsi="Times New Roman"/>
          <w:sz w:val="24"/>
          <w:szCs w:val="24"/>
        </w:rPr>
        <w:t xml:space="preserve">substitutes </w:t>
      </w:r>
      <w:proofErr w:type="spellStart"/>
      <w:r w:rsidRPr="005C3C22">
        <w:rPr>
          <w:rFonts w:ascii="Times New Roman" w:hAnsi="Times New Roman"/>
          <w:sz w:val="24"/>
          <w:szCs w:val="24"/>
        </w:rPr>
        <w:t>subregulation</w:t>
      </w:r>
      <w:proofErr w:type="spellEnd"/>
      <w:r w:rsidRPr="005C3C22">
        <w:rPr>
          <w:rFonts w:ascii="Times New Roman" w:hAnsi="Times New Roman"/>
          <w:sz w:val="24"/>
          <w:szCs w:val="24"/>
        </w:rPr>
        <w:t xml:space="preserve"> 39BB(3) as a consequence of the omission of paragraph</w:t>
      </w:r>
      <w:r w:rsidR="002F1582">
        <w:rPr>
          <w:rFonts w:ascii="Times New Roman" w:hAnsi="Times New Roman"/>
          <w:sz w:val="24"/>
          <w:szCs w:val="24"/>
        </w:rPr>
        <w:t> </w:t>
      </w:r>
      <w:r w:rsidRPr="005C3C22">
        <w:rPr>
          <w:rFonts w:ascii="Times New Roman" w:hAnsi="Times New Roman"/>
          <w:sz w:val="24"/>
          <w:szCs w:val="24"/>
        </w:rPr>
        <w:t xml:space="preserve">39BB(2)(g) by item 4.  </w:t>
      </w:r>
    </w:p>
    <w:p w:rsidR="00ED1CA2" w:rsidRPr="005C3C22" w:rsidRDefault="00ED1CA2" w:rsidP="005C3C22">
      <w:pPr>
        <w:spacing w:before="240" w:line="240" w:lineRule="auto"/>
        <w:rPr>
          <w:rFonts w:ascii="Times New Roman" w:hAnsi="Times New Roman"/>
          <w:sz w:val="24"/>
          <w:szCs w:val="24"/>
        </w:rPr>
      </w:pPr>
      <w:r w:rsidRPr="005C3C22">
        <w:rPr>
          <w:rFonts w:ascii="Times New Roman" w:hAnsi="Times New Roman"/>
          <w:sz w:val="24"/>
          <w:szCs w:val="24"/>
        </w:rPr>
        <w:t xml:space="preserve">New </w:t>
      </w:r>
      <w:proofErr w:type="spellStart"/>
      <w:r w:rsidRPr="005C3C22">
        <w:rPr>
          <w:rFonts w:ascii="Times New Roman" w:hAnsi="Times New Roman"/>
          <w:sz w:val="24"/>
          <w:szCs w:val="24"/>
        </w:rPr>
        <w:t>subregulation</w:t>
      </w:r>
      <w:proofErr w:type="spellEnd"/>
      <w:r w:rsidRPr="005C3C22">
        <w:rPr>
          <w:rFonts w:ascii="Times New Roman" w:hAnsi="Times New Roman"/>
          <w:sz w:val="24"/>
          <w:szCs w:val="24"/>
        </w:rPr>
        <w:t xml:space="preserve"> 39BB(3) provides that paragraph</w:t>
      </w:r>
      <w:r w:rsidR="002F1582">
        <w:rPr>
          <w:rFonts w:ascii="Times New Roman" w:hAnsi="Times New Roman"/>
          <w:sz w:val="24"/>
          <w:szCs w:val="24"/>
        </w:rPr>
        <w:t> </w:t>
      </w:r>
      <w:r w:rsidRPr="005C3C22">
        <w:rPr>
          <w:rFonts w:ascii="Times New Roman" w:hAnsi="Times New Roman"/>
          <w:sz w:val="24"/>
          <w:szCs w:val="24"/>
        </w:rPr>
        <w:t>39BB(2)(g) of the Principal Regulations applies only so far as proceedings under paragraph 93A(1)(</w:t>
      </w:r>
      <w:proofErr w:type="spellStart"/>
      <w:r w:rsidRPr="005C3C22">
        <w:rPr>
          <w:rFonts w:ascii="Times New Roman" w:hAnsi="Times New Roman"/>
          <w:sz w:val="24"/>
          <w:szCs w:val="24"/>
        </w:rPr>
        <w:t>aa</w:t>
      </w:r>
      <w:proofErr w:type="spellEnd"/>
      <w:r w:rsidRPr="005C3C22">
        <w:rPr>
          <w:rFonts w:ascii="Times New Roman" w:hAnsi="Times New Roman"/>
          <w:sz w:val="24"/>
          <w:szCs w:val="24"/>
        </w:rPr>
        <w:t xml:space="preserve">) of the Family Law Act relate to appeals under subsection 94AAA(1) of the Family Law Act. </w:t>
      </w:r>
    </w:p>
    <w:p w:rsidR="00ED1CA2" w:rsidRPr="005C3C22" w:rsidRDefault="00ED1CA2" w:rsidP="000B1AA9">
      <w:pPr>
        <w:pStyle w:val="Heading2numbered"/>
      </w:pPr>
      <w:r w:rsidRPr="005C3C22">
        <w:t xml:space="preserve">Schedule </w:t>
      </w:r>
      <w:r w:rsidR="002F1582">
        <w:t>2</w:t>
      </w:r>
      <w:r w:rsidRPr="005C3C22">
        <w:t xml:space="preserve"> – Amendments commencing on 17 September 2012</w:t>
      </w:r>
    </w:p>
    <w:p w:rsidR="00ED1CA2" w:rsidRPr="005C3C22" w:rsidRDefault="00ED1CA2" w:rsidP="003C304B">
      <w:pPr>
        <w:keepNext/>
        <w:keepLines/>
        <w:spacing w:before="240" w:after="0" w:line="240" w:lineRule="auto"/>
        <w:ind w:right="91"/>
        <w:rPr>
          <w:rFonts w:ascii="Times New Roman" w:eastAsia="Times New Roman" w:hAnsi="Times New Roman"/>
          <w:b/>
          <w:sz w:val="24"/>
          <w:szCs w:val="20"/>
          <w:lang w:eastAsia="en-AU"/>
        </w:rPr>
      </w:pPr>
      <w:r w:rsidRPr="005C3C22">
        <w:rPr>
          <w:rFonts w:ascii="Times New Roman" w:eastAsia="Times New Roman" w:hAnsi="Times New Roman"/>
          <w:b/>
          <w:sz w:val="24"/>
          <w:szCs w:val="20"/>
          <w:lang w:eastAsia="en-AU"/>
        </w:rPr>
        <w:t>Item [1] – Paragraph 19</w:t>
      </w:r>
      <w:r w:rsidR="000927BC">
        <w:rPr>
          <w:rFonts w:ascii="Times New Roman" w:eastAsia="Times New Roman" w:hAnsi="Times New Roman"/>
          <w:b/>
          <w:sz w:val="24"/>
          <w:szCs w:val="20"/>
          <w:lang w:eastAsia="en-AU"/>
        </w:rPr>
        <w:t xml:space="preserve"> </w:t>
      </w:r>
      <w:r w:rsidRPr="005C3C22">
        <w:rPr>
          <w:rFonts w:ascii="Times New Roman" w:eastAsia="Times New Roman" w:hAnsi="Times New Roman"/>
          <w:b/>
          <w:sz w:val="24"/>
          <w:szCs w:val="20"/>
          <w:lang w:eastAsia="en-AU"/>
        </w:rPr>
        <w:t>(c)</w:t>
      </w:r>
    </w:p>
    <w:p w:rsidR="00ED1CA2" w:rsidRPr="005C3C22" w:rsidRDefault="00ED1CA2" w:rsidP="003C304B">
      <w:pPr>
        <w:keepNext/>
        <w:keepLines/>
        <w:spacing w:before="240" w:line="240" w:lineRule="auto"/>
        <w:rPr>
          <w:rFonts w:ascii="Times New Roman" w:hAnsi="Times New Roman"/>
          <w:sz w:val="24"/>
          <w:szCs w:val="24"/>
        </w:rPr>
      </w:pPr>
      <w:r w:rsidRPr="005C3C22">
        <w:rPr>
          <w:rFonts w:ascii="Times New Roman" w:hAnsi="Times New Roman"/>
          <w:sz w:val="24"/>
          <w:szCs w:val="24"/>
        </w:rPr>
        <w:t xml:space="preserve">Item 1 </w:t>
      </w:r>
      <w:r w:rsidR="008014D3">
        <w:rPr>
          <w:rFonts w:ascii="Times New Roman" w:hAnsi="Times New Roman"/>
          <w:sz w:val="24"/>
          <w:szCs w:val="24"/>
        </w:rPr>
        <w:t xml:space="preserve">of Schedule 2 </w:t>
      </w:r>
      <w:r w:rsidRPr="005C3C22">
        <w:rPr>
          <w:rFonts w:ascii="Times New Roman" w:hAnsi="Times New Roman"/>
          <w:sz w:val="24"/>
          <w:szCs w:val="24"/>
        </w:rPr>
        <w:t xml:space="preserve">omits ‘1989’ and inserts ‘2012’ to refer to the </w:t>
      </w:r>
      <w:r w:rsidRPr="005C3C22">
        <w:rPr>
          <w:rFonts w:ascii="Times New Roman" w:hAnsi="Times New Roman"/>
          <w:i/>
          <w:sz w:val="24"/>
          <w:szCs w:val="24"/>
        </w:rPr>
        <w:t xml:space="preserve">Domestic and Family Violence Protection Act 2012 </w:t>
      </w:r>
      <w:r w:rsidRPr="005C3C22">
        <w:rPr>
          <w:rFonts w:ascii="Times New Roman" w:hAnsi="Times New Roman"/>
          <w:sz w:val="24"/>
          <w:szCs w:val="24"/>
        </w:rPr>
        <w:t xml:space="preserve">(Qld).  The </w:t>
      </w:r>
      <w:r w:rsidRPr="005C3C22">
        <w:rPr>
          <w:rFonts w:ascii="Times New Roman" w:hAnsi="Times New Roman"/>
          <w:i/>
          <w:sz w:val="24"/>
          <w:szCs w:val="24"/>
        </w:rPr>
        <w:t xml:space="preserve">Domestic and Family Violence Protection Act 2012 </w:t>
      </w:r>
      <w:r w:rsidRPr="005C3C22">
        <w:rPr>
          <w:rFonts w:ascii="Times New Roman" w:hAnsi="Times New Roman"/>
          <w:sz w:val="24"/>
          <w:szCs w:val="24"/>
        </w:rPr>
        <w:t xml:space="preserve">(Qld) replaced the repealed </w:t>
      </w:r>
      <w:r w:rsidRPr="005C3C22">
        <w:rPr>
          <w:rFonts w:ascii="Times New Roman" w:hAnsi="Times New Roman"/>
          <w:i/>
          <w:sz w:val="24"/>
          <w:szCs w:val="24"/>
        </w:rPr>
        <w:t>Domestic and Family Violence</w:t>
      </w:r>
      <w:r w:rsidR="00AD4C4D">
        <w:rPr>
          <w:rFonts w:ascii="Times New Roman" w:hAnsi="Times New Roman"/>
          <w:i/>
          <w:sz w:val="24"/>
          <w:szCs w:val="24"/>
        </w:rPr>
        <w:t xml:space="preserve"> Protection</w:t>
      </w:r>
      <w:r w:rsidRPr="005C3C22">
        <w:rPr>
          <w:rFonts w:ascii="Times New Roman" w:hAnsi="Times New Roman"/>
          <w:i/>
          <w:sz w:val="24"/>
          <w:szCs w:val="24"/>
        </w:rPr>
        <w:t xml:space="preserve"> Act 1989 </w:t>
      </w:r>
      <w:r w:rsidRPr="005C3C22">
        <w:rPr>
          <w:rFonts w:ascii="Times New Roman" w:hAnsi="Times New Roman"/>
          <w:sz w:val="24"/>
          <w:szCs w:val="24"/>
        </w:rPr>
        <w:t xml:space="preserve">(Qld). </w:t>
      </w:r>
      <w:r w:rsidR="008014D3">
        <w:rPr>
          <w:rFonts w:ascii="Times New Roman" w:hAnsi="Times New Roman"/>
          <w:sz w:val="24"/>
          <w:szCs w:val="24"/>
        </w:rPr>
        <w:t xml:space="preserve"> </w:t>
      </w:r>
      <w:r w:rsidRPr="005C3C22">
        <w:rPr>
          <w:rFonts w:ascii="Times New Roman" w:hAnsi="Times New Roman"/>
          <w:sz w:val="24"/>
          <w:szCs w:val="24"/>
        </w:rPr>
        <w:t xml:space="preserve">As such, the </w:t>
      </w:r>
      <w:r w:rsidRPr="005C3C22">
        <w:rPr>
          <w:rFonts w:ascii="Times New Roman" w:hAnsi="Times New Roman"/>
          <w:i/>
          <w:sz w:val="24"/>
          <w:szCs w:val="24"/>
        </w:rPr>
        <w:t>Domestic</w:t>
      </w:r>
      <w:r w:rsidR="008014D3">
        <w:rPr>
          <w:rFonts w:ascii="Times New Roman" w:hAnsi="Times New Roman"/>
          <w:i/>
          <w:sz w:val="24"/>
          <w:szCs w:val="24"/>
        </w:rPr>
        <w:t> </w:t>
      </w:r>
      <w:r w:rsidRPr="005C3C22">
        <w:rPr>
          <w:rFonts w:ascii="Times New Roman" w:hAnsi="Times New Roman"/>
          <w:i/>
          <w:sz w:val="24"/>
          <w:szCs w:val="24"/>
        </w:rPr>
        <w:t>and</w:t>
      </w:r>
      <w:r w:rsidR="008014D3">
        <w:rPr>
          <w:rFonts w:ascii="Times New Roman" w:hAnsi="Times New Roman"/>
          <w:i/>
          <w:sz w:val="24"/>
          <w:szCs w:val="24"/>
        </w:rPr>
        <w:t> </w:t>
      </w:r>
      <w:r w:rsidRPr="005C3C22">
        <w:rPr>
          <w:rFonts w:ascii="Times New Roman" w:hAnsi="Times New Roman"/>
          <w:i/>
          <w:sz w:val="24"/>
          <w:szCs w:val="24"/>
        </w:rPr>
        <w:t xml:space="preserve">Family Violence Protection Act 2012 </w:t>
      </w:r>
      <w:r w:rsidRPr="005C3C22">
        <w:rPr>
          <w:rFonts w:ascii="Times New Roman" w:hAnsi="Times New Roman"/>
          <w:sz w:val="24"/>
          <w:szCs w:val="24"/>
        </w:rPr>
        <w:t xml:space="preserve">(Qld) now provides laws for domestic violence orders. </w:t>
      </w:r>
    </w:p>
    <w:p w:rsidR="00ED1CA2" w:rsidRPr="005C3C22" w:rsidRDefault="00ED1CA2" w:rsidP="005C3C22">
      <w:pPr>
        <w:spacing w:before="240" w:after="0" w:line="240" w:lineRule="auto"/>
        <w:ind w:right="91"/>
        <w:rPr>
          <w:rFonts w:ascii="Times New Roman" w:eastAsia="Times New Roman" w:hAnsi="Times New Roman"/>
          <w:b/>
          <w:sz w:val="24"/>
          <w:szCs w:val="20"/>
          <w:lang w:eastAsia="en-AU"/>
        </w:rPr>
      </w:pPr>
      <w:r w:rsidRPr="005C3C22">
        <w:rPr>
          <w:rFonts w:ascii="Times New Roman" w:eastAsia="Times New Roman" w:hAnsi="Times New Roman"/>
          <w:b/>
          <w:sz w:val="24"/>
          <w:szCs w:val="20"/>
          <w:lang w:eastAsia="en-AU"/>
        </w:rPr>
        <w:t>Item [2] – Schedule 8, item 4</w:t>
      </w:r>
    </w:p>
    <w:p w:rsidR="00ED1CA2" w:rsidRPr="005C3C22" w:rsidRDefault="00ED1CA2" w:rsidP="005C3C22">
      <w:pPr>
        <w:spacing w:before="240" w:line="240" w:lineRule="auto"/>
        <w:rPr>
          <w:rFonts w:ascii="Times New Roman" w:hAnsi="Times New Roman"/>
          <w:sz w:val="24"/>
          <w:szCs w:val="24"/>
        </w:rPr>
      </w:pPr>
      <w:r w:rsidRPr="005C3C22">
        <w:rPr>
          <w:rFonts w:ascii="Times New Roman" w:hAnsi="Times New Roman"/>
          <w:sz w:val="24"/>
          <w:szCs w:val="24"/>
        </w:rPr>
        <w:t xml:space="preserve">Item 2 </w:t>
      </w:r>
      <w:r w:rsidR="008014D3">
        <w:rPr>
          <w:rFonts w:ascii="Times New Roman" w:hAnsi="Times New Roman"/>
          <w:sz w:val="24"/>
          <w:szCs w:val="24"/>
        </w:rPr>
        <w:t xml:space="preserve">of Schedule 2 </w:t>
      </w:r>
      <w:r w:rsidRPr="005C3C22">
        <w:rPr>
          <w:rFonts w:ascii="Times New Roman" w:hAnsi="Times New Roman"/>
          <w:sz w:val="24"/>
          <w:szCs w:val="24"/>
        </w:rPr>
        <w:t xml:space="preserve">omits ‘1989’ and inserts ‘2012’ to refer to the </w:t>
      </w:r>
      <w:r w:rsidRPr="005C3C22">
        <w:rPr>
          <w:rFonts w:ascii="Times New Roman" w:hAnsi="Times New Roman"/>
          <w:i/>
          <w:sz w:val="24"/>
          <w:szCs w:val="24"/>
        </w:rPr>
        <w:t xml:space="preserve">Domestic and Family Violence Protection Act 2012 </w:t>
      </w:r>
      <w:r w:rsidRPr="005C3C22">
        <w:rPr>
          <w:rFonts w:ascii="Times New Roman" w:hAnsi="Times New Roman"/>
          <w:sz w:val="24"/>
          <w:szCs w:val="24"/>
        </w:rPr>
        <w:t xml:space="preserve">(Qld).  The </w:t>
      </w:r>
      <w:r w:rsidRPr="005C3C22">
        <w:rPr>
          <w:rFonts w:ascii="Times New Roman" w:hAnsi="Times New Roman"/>
          <w:i/>
          <w:sz w:val="24"/>
          <w:szCs w:val="24"/>
        </w:rPr>
        <w:t xml:space="preserve">Domestic and Family Violence Protection Act 2012 </w:t>
      </w:r>
      <w:r w:rsidRPr="005C3C22">
        <w:rPr>
          <w:rFonts w:ascii="Times New Roman" w:hAnsi="Times New Roman"/>
          <w:sz w:val="24"/>
          <w:szCs w:val="24"/>
        </w:rPr>
        <w:t xml:space="preserve">(Qld) replaced the repealed </w:t>
      </w:r>
      <w:r w:rsidRPr="005C3C22">
        <w:rPr>
          <w:rFonts w:ascii="Times New Roman" w:hAnsi="Times New Roman"/>
          <w:i/>
          <w:sz w:val="24"/>
          <w:szCs w:val="24"/>
        </w:rPr>
        <w:t xml:space="preserve">Domestic and Family Violence </w:t>
      </w:r>
      <w:r w:rsidR="00AD4C4D">
        <w:rPr>
          <w:rFonts w:ascii="Times New Roman" w:hAnsi="Times New Roman"/>
          <w:i/>
          <w:sz w:val="24"/>
          <w:szCs w:val="24"/>
        </w:rPr>
        <w:t xml:space="preserve">Protection </w:t>
      </w:r>
      <w:r w:rsidRPr="005C3C22">
        <w:rPr>
          <w:rFonts w:ascii="Times New Roman" w:hAnsi="Times New Roman"/>
          <w:i/>
          <w:sz w:val="24"/>
          <w:szCs w:val="24"/>
        </w:rPr>
        <w:t xml:space="preserve">Act 1989 </w:t>
      </w:r>
      <w:r w:rsidRPr="005C3C22">
        <w:rPr>
          <w:rFonts w:ascii="Times New Roman" w:hAnsi="Times New Roman"/>
          <w:sz w:val="24"/>
          <w:szCs w:val="24"/>
        </w:rPr>
        <w:t>(Qld).</w:t>
      </w:r>
      <w:r w:rsidR="006929FA">
        <w:rPr>
          <w:rFonts w:ascii="Times New Roman" w:hAnsi="Times New Roman"/>
          <w:sz w:val="24"/>
          <w:szCs w:val="24"/>
        </w:rPr>
        <w:t xml:space="preserve"> </w:t>
      </w:r>
      <w:r w:rsidRPr="005C3C22">
        <w:rPr>
          <w:rFonts w:ascii="Times New Roman" w:hAnsi="Times New Roman"/>
          <w:sz w:val="24"/>
          <w:szCs w:val="24"/>
        </w:rPr>
        <w:t xml:space="preserve"> As such, the </w:t>
      </w:r>
      <w:r w:rsidRPr="005C3C22">
        <w:rPr>
          <w:rFonts w:ascii="Times New Roman" w:hAnsi="Times New Roman"/>
          <w:i/>
          <w:sz w:val="24"/>
          <w:szCs w:val="24"/>
        </w:rPr>
        <w:t>Domestic</w:t>
      </w:r>
      <w:r w:rsidR="006929FA">
        <w:rPr>
          <w:rFonts w:ascii="Times New Roman" w:hAnsi="Times New Roman"/>
          <w:i/>
          <w:sz w:val="24"/>
          <w:szCs w:val="24"/>
        </w:rPr>
        <w:t> </w:t>
      </w:r>
      <w:r w:rsidRPr="005C3C22">
        <w:rPr>
          <w:rFonts w:ascii="Times New Roman" w:hAnsi="Times New Roman"/>
          <w:i/>
          <w:sz w:val="24"/>
          <w:szCs w:val="24"/>
        </w:rPr>
        <w:t xml:space="preserve">and Family Violence Protection Act 2012 </w:t>
      </w:r>
      <w:r w:rsidRPr="005C3C22">
        <w:rPr>
          <w:rFonts w:ascii="Times New Roman" w:hAnsi="Times New Roman"/>
          <w:sz w:val="24"/>
          <w:szCs w:val="24"/>
        </w:rPr>
        <w:t>(Qld) now provides laws for domestic violence orders.</w:t>
      </w:r>
    </w:p>
    <w:p w:rsidR="00ED1CA2" w:rsidRPr="005C3C22" w:rsidRDefault="00ED1CA2" w:rsidP="005C3C22">
      <w:pPr>
        <w:pStyle w:val="Heading2numbered"/>
      </w:pPr>
      <w:r w:rsidRPr="005C3C22">
        <w:t xml:space="preserve">Schedule </w:t>
      </w:r>
      <w:r w:rsidR="002F1582">
        <w:t>3</w:t>
      </w:r>
      <w:r w:rsidRPr="005C3C22">
        <w:t xml:space="preserve"> – Amendments commencing on commencement of Schedule 2 to Access</w:t>
      </w:r>
      <w:r w:rsidR="00F53B14">
        <w:t> </w:t>
      </w:r>
      <w:r w:rsidRPr="005C3C22">
        <w:t>to</w:t>
      </w:r>
      <w:r w:rsidR="00F53B14">
        <w:t> </w:t>
      </w:r>
      <w:r w:rsidRPr="005C3C22">
        <w:t>Justice Act</w:t>
      </w:r>
    </w:p>
    <w:p w:rsidR="00ED1CA2" w:rsidRPr="005C3C22" w:rsidRDefault="00ED1CA2" w:rsidP="005C3C22">
      <w:pPr>
        <w:spacing w:before="240" w:after="0" w:line="240" w:lineRule="auto"/>
        <w:ind w:right="91"/>
        <w:rPr>
          <w:rFonts w:ascii="Times New Roman" w:eastAsia="Times New Roman" w:hAnsi="Times New Roman"/>
          <w:b/>
          <w:sz w:val="24"/>
          <w:szCs w:val="20"/>
          <w:lang w:eastAsia="en-AU"/>
        </w:rPr>
      </w:pPr>
      <w:r w:rsidRPr="005C3C22">
        <w:rPr>
          <w:rFonts w:ascii="Times New Roman" w:eastAsia="Times New Roman" w:hAnsi="Times New Roman"/>
          <w:b/>
          <w:sz w:val="24"/>
          <w:szCs w:val="20"/>
          <w:lang w:eastAsia="en-AU"/>
        </w:rPr>
        <w:t>Item [1]: Regulation 12AC</w:t>
      </w:r>
    </w:p>
    <w:p w:rsidR="00206430" w:rsidRDefault="009D4107" w:rsidP="005C3C22">
      <w:pPr>
        <w:spacing w:before="240" w:line="240" w:lineRule="auto"/>
        <w:rPr>
          <w:rFonts w:ascii="Times New Roman" w:hAnsi="Times New Roman"/>
          <w:sz w:val="24"/>
          <w:szCs w:val="24"/>
        </w:rPr>
      </w:pPr>
      <w:r>
        <w:rPr>
          <w:rFonts w:ascii="Times New Roman" w:hAnsi="Times New Roman"/>
          <w:sz w:val="24"/>
          <w:szCs w:val="24"/>
        </w:rPr>
        <w:t>Regulation 12AC</w:t>
      </w:r>
      <w:r w:rsidRPr="005C3C22">
        <w:rPr>
          <w:rFonts w:ascii="Times New Roman" w:hAnsi="Times New Roman"/>
          <w:sz w:val="24"/>
          <w:szCs w:val="24"/>
        </w:rPr>
        <w:t xml:space="preserve"> prescribe</w:t>
      </w:r>
      <w:r>
        <w:rPr>
          <w:rFonts w:ascii="Times New Roman" w:hAnsi="Times New Roman"/>
          <w:sz w:val="24"/>
          <w:szCs w:val="24"/>
        </w:rPr>
        <w:t>s</w:t>
      </w:r>
      <w:r w:rsidRPr="005C3C22">
        <w:rPr>
          <w:rFonts w:ascii="Times New Roman" w:hAnsi="Times New Roman"/>
          <w:sz w:val="24"/>
          <w:szCs w:val="24"/>
        </w:rPr>
        <w:t xml:space="preserve"> the ‘ceiling amount’ for paragraph</w:t>
      </w:r>
      <w:r>
        <w:rPr>
          <w:rFonts w:ascii="Times New Roman" w:hAnsi="Times New Roman"/>
          <w:sz w:val="24"/>
          <w:szCs w:val="24"/>
        </w:rPr>
        <w:t> </w:t>
      </w:r>
      <w:r w:rsidRPr="005C3C22">
        <w:rPr>
          <w:rFonts w:ascii="Times New Roman" w:hAnsi="Times New Roman"/>
          <w:sz w:val="24"/>
          <w:szCs w:val="24"/>
        </w:rPr>
        <w:t>46(1AA)</w:t>
      </w:r>
      <w:r w:rsidR="00A07E75">
        <w:rPr>
          <w:rFonts w:ascii="Times New Roman" w:hAnsi="Times New Roman"/>
          <w:sz w:val="24"/>
          <w:szCs w:val="24"/>
        </w:rPr>
        <w:t>(a) of the Family Law </w:t>
      </w:r>
      <w:r w:rsidRPr="005C3C22">
        <w:rPr>
          <w:rFonts w:ascii="Times New Roman" w:hAnsi="Times New Roman"/>
          <w:sz w:val="24"/>
          <w:szCs w:val="24"/>
        </w:rPr>
        <w:t>Act</w:t>
      </w:r>
      <w:r w:rsidR="00206430">
        <w:rPr>
          <w:rFonts w:ascii="Times New Roman" w:hAnsi="Times New Roman"/>
          <w:sz w:val="24"/>
          <w:szCs w:val="24"/>
        </w:rPr>
        <w:t>.  Subsection 46(1AA)</w:t>
      </w:r>
      <w:r>
        <w:rPr>
          <w:rFonts w:ascii="Times New Roman" w:hAnsi="Times New Roman"/>
          <w:sz w:val="24"/>
          <w:szCs w:val="24"/>
        </w:rPr>
        <w:t xml:space="preserve"> </w:t>
      </w:r>
      <w:r w:rsidR="000B1AA9">
        <w:rPr>
          <w:rFonts w:ascii="Times New Roman" w:hAnsi="Times New Roman"/>
          <w:sz w:val="24"/>
          <w:szCs w:val="24"/>
        </w:rPr>
        <w:t xml:space="preserve">provides for a ‘ceiling amount’ as a </w:t>
      </w:r>
      <w:r>
        <w:rPr>
          <w:rFonts w:ascii="Times New Roman" w:hAnsi="Times New Roman"/>
          <w:sz w:val="24"/>
          <w:szCs w:val="24"/>
        </w:rPr>
        <w:t xml:space="preserve">limit </w:t>
      </w:r>
      <w:r w:rsidR="000B1AA9">
        <w:rPr>
          <w:rFonts w:ascii="Times New Roman" w:hAnsi="Times New Roman"/>
          <w:sz w:val="24"/>
          <w:szCs w:val="24"/>
        </w:rPr>
        <w:t>on</w:t>
      </w:r>
      <w:r>
        <w:rPr>
          <w:rFonts w:ascii="Times New Roman" w:hAnsi="Times New Roman"/>
          <w:sz w:val="24"/>
          <w:szCs w:val="24"/>
        </w:rPr>
        <w:t xml:space="preserve"> </w:t>
      </w:r>
      <w:r w:rsidRPr="005C3C22">
        <w:rPr>
          <w:rFonts w:ascii="Times New Roman" w:hAnsi="Times New Roman"/>
          <w:sz w:val="24"/>
          <w:szCs w:val="24"/>
        </w:rPr>
        <w:t>jurisdiction in property cases of the Magistrates Court of Western</w:t>
      </w:r>
      <w:r>
        <w:rPr>
          <w:rFonts w:ascii="Times New Roman" w:hAnsi="Times New Roman"/>
          <w:sz w:val="24"/>
          <w:szCs w:val="24"/>
        </w:rPr>
        <w:t> </w:t>
      </w:r>
      <w:r w:rsidRPr="005C3C22">
        <w:rPr>
          <w:rFonts w:ascii="Times New Roman" w:hAnsi="Times New Roman"/>
          <w:sz w:val="24"/>
          <w:szCs w:val="24"/>
        </w:rPr>
        <w:t>Australia constituted by a Family Law Magistrate of Western Australia.</w:t>
      </w:r>
    </w:p>
    <w:p w:rsidR="009D4107" w:rsidRDefault="00011E9C" w:rsidP="005C3C22">
      <w:pPr>
        <w:spacing w:before="240" w:line="240" w:lineRule="auto"/>
        <w:rPr>
          <w:rFonts w:ascii="Times New Roman" w:hAnsi="Times New Roman"/>
          <w:sz w:val="24"/>
          <w:szCs w:val="24"/>
        </w:rPr>
      </w:pPr>
      <w:r w:rsidRPr="005C3C22">
        <w:rPr>
          <w:rFonts w:ascii="Times New Roman" w:hAnsi="Times New Roman"/>
          <w:sz w:val="24"/>
          <w:szCs w:val="24"/>
        </w:rPr>
        <w:t>Item 1</w:t>
      </w:r>
      <w:r w:rsidR="00ED1CA2" w:rsidRPr="005C3C22">
        <w:rPr>
          <w:rFonts w:ascii="Times New Roman" w:hAnsi="Times New Roman"/>
          <w:sz w:val="24"/>
          <w:szCs w:val="24"/>
        </w:rPr>
        <w:t xml:space="preserve"> </w:t>
      </w:r>
      <w:r w:rsidR="00F73749">
        <w:rPr>
          <w:rFonts w:ascii="Times New Roman" w:hAnsi="Times New Roman"/>
          <w:sz w:val="24"/>
          <w:szCs w:val="24"/>
        </w:rPr>
        <w:t xml:space="preserve">of Schedule 3 </w:t>
      </w:r>
      <w:r w:rsidR="00ED1CA2" w:rsidRPr="005C3C22">
        <w:rPr>
          <w:rFonts w:ascii="Times New Roman" w:hAnsi="Times New Roman"/>
          <w:sz w:val="24"/>
          <w:szCs w:val="24"/>
        </w:rPr>
        <w:t>omits regulation 12AC</w:t>
      </w:r>
      <w:r w:rsidR="009D4107">
        <w:rPr>
          <w:rFonts w:ascii="Times New Roman" w:hAnsi="Times New Roman"/>
          <w:sz w:val="24"/>
          <w:szCs w:val="24"/>
        </w:rPr>
        <w:t xml:space="preserve"> as a consequence of the repeal of subsection 46(1AA) of the Family Law Act</w:t>
      </w:r>
      <w:r w:rsidR="000B1AA9">
        <w:rPr>
          <w:rFonts w:ascii="Times New Roman" w:hAnsi="Times New Roman"/>
          <w:sz w:val="24"/>
          <w:szCs w:val="24"/>
        </w:rPr>
        <w:t>,</w:t>
      </w:r>
      <w:r w:rsidR="009D4107">
        <w:rPr>
          <w:rFonts w:ascii="Times New Roman" w:hAnsi="Times New Roman"/>
          <w:sz w:val="24"/>
          <w:szCs w:val="24"/>
        </w:rPr>
        <w:t xml:space="preserve"> by item 2 of Schedule 4 to the Access to Justice Act, which </w:t>
      </w:r>
      <w:r w:rsidR="009D4107" w:rsidRPr="005C3C22">
        <w:rPr>
          <w:rFonts w:ascii="Times New Roman" w:hAnsi="Times New Roman"/>
          <w:sz w:val="24"/>
          <w:szCs w:val="24"/>
        </w:rPr>
        <w:t>removes the ‘ceiling amount’ limi</w:t>
      </w:r>
      <w:r w:rsidR="00206430">
        <w:rPr>
          <w:rFonts w:ascii="Times New Roman" w:hAnsi="Times New Roman"/>
          <w:sz w:val="24"/>
          <w:szCs w:val="24"/>
        </w:rPr>
        <w:t>t on the jurisdiction of Family </w:t>
      </w:r>
      <w:r w:rsidR="009D4107" w:rsidRPr="005C3C22">
        <w:rPr>
          <w:rFonts w:ascii="Times New Roman" w:hAnsi="Times New Roman"/>
          <w:sz w:val="24"/>
          <w:szCs w:val="24"/>
        </w:rPr>
        <w:t>Law Magistrates of Western</w:t>
      </w:r>
      <w:r w:rsidR="009D4107">
        <w:rPr>
          <w:rFonts w:ascii="Times New Roman" w:hAnsi="Times New Roman"/>
          <w:sz w:val="24"/>
          <w:szCs w:val="24"/>
        </w:rPr>
        <w:t> </w:t>
      </w:r>
      <w:r w:rsidR="009D4107" w:rsidRPr="005C3C22">
        <w:rPr>
          <w:rFonts w:ascii="Times New Roman" w:hAnsi="Times New Roman"/>
          <w:sz w:val="24"/>
          <w:szCs w:val="24"/>
        </w:rPr>
        <w:t>Australia</w:t>
      </w:r>
      <w:r w:rsidR="009D4107">
        <w:rPr>
          <w:rFonts w:ascii="Times New Roman" w:hAnsi="Times New Roman"/>
          <w:sz w:val="24"/>
          <w:szCs w:val="24"/>
        </w:rPr>
        <w:t>.</w:t>
      </w:r>
    </w:p>
    <w:p w:rsidR="00ED1CA2" w:rsidRPr="005C3C22" w:rsidRDefault="00ED1CA2" w:rsidP="005C3C22">
      <w:pPr>
        <w:spacing w:before="240" w:after="0" w:line="240" w:lineRule="auto"/>
        <w:ind w:right="91"/>
        <w:rPr>
          <w:rFonts w:ascii="Times New Roman" w:eastAsia="Times New Roman" w:hAnsi="Times New Roman"/>
          <w:b/>
          <w:sz w:val="24"/>
          <w:szCs w:val="20"/>
          <w:lang w:eastAsia="en-AU"/>
        </w:rPr>
      </w:pPr>
      <w:r w:rsidRPr="005C3C22">
        <w:rPr>
          <w:rFonts w:ascii="Times New Roman" w:eastAsia="Times New Roman" w:hAnsi="Times New Roman"/>
          <w:b/>
          <w:sz w:val="24"/>
          <w:szCs w:val="20"/>
          <w:lang w:eastAsia="en-AU"/>
        </w:rPr>
        <w:lastRenderedPageBreak/>
        <w:t xml:space="preserve">Item [2]: </w:t>
      </w:r>
      <w:proofErr w:type="spellStart"/>
      <w:r w:rsidRPr="005C3C22">
        <w:rPr>
          <w:rFonts w:ascii="Times New Roman" w:eastAsia="Times New Roman" w:hAnsi="Times New Roman"/>
          <w:b/>
          <w:sz w:val="24"/>
          <w:szCs w:val="20"/>
          <w:lang w:eastAsia="en-AU"/>
        </w:rPr>
        <w:t>Subregulation</w:t>
      </w:r>
      <w:proofErr w:type="spellEnd"/>
      <w:r w:rsidRPr="005C3C22">
        <w:rPr>
          <w:rFonts w:ascii="Times New Roman" w:eastAsia="Times New Roman" w:hAnsi="Times New Roman"/>
          <w:b/>
          <w:sz w:val="24"/>
          <w:szCs w:val="20"/>
          <w:lang w:eastAsia="en-AU"/>
        </w:rPr>
        <w:t xml:space="preserve"> 15A</w:t>
      </w:r>
    </w:p>
    <w:p w:rsidR="00ED1CA2" w:rsidRPr="005C3C22" w:rsidRDefault="00011E9C" w:rsidP="005C3C22">
      <w:pPr>
        <w:spacing w:before="240" w:line="240" w:lineRule="auto"/>
        <w:rPr>
          <w:rFonts w:ascii="Times New Roman" w:hAnsi="Times New Roman"/>
          <w:sz w:val="24"/>
          <w:szCs w:val="24"/>
        </w:rPr>
      </w:pPr>
      <w:r w:rsidRPr="005C3C22">
        <w:rPr>
          <w:rFonts w:ascii="Times New Roman" w:hAnsi="Times New Roman"/>
          <w:sz w:val="24"/>
          <w:szCs w:val="24"/>
        </w:rPr>
        <w:t>Item 2</w:t>
      </w:r>
      <w:r w:rsidR="00ED1CA2" w:rsidRPr="005C3C22">
        <w:rPr>
          <w:rFonts w:ascii="Times New Roman" w:hAnsi="Times New Roman"/>
          <w:sz w:val="24"/>
          <w:szCs w:val="24"/>
        </w:rPr>
        <w:t xml:space="preserve"> </w:t>
      </w:r>
      <w:r w:rsidR="006E2445">
        <w:rPr>
          <w:rFonts w:ascii="Times New Roman" w:hAnsi="Times New Roman"/>
          <w:sz w:val="24"/>
          <w:szCs w:val="24"/>
        </w:rPr>
        <w:t xml:space="preserve">of Schedule 3 </w:t>
      </w:r>
      <w:r w:rsidR="00ED1CA2" w:rsidRPr="005C3C22">
        <w:rPr>
          <w:rFonts w:ascii="Times New Roman" w:hAnsi="Times New Roman"/>
          <w:sz w:val="24"/>
          <w:szCs w:val="24"/>
        </w:rPr>
        <w:t xml:space="preserve">amends </w:t>
      </w:r>
      <w:proofErr w:type="spellStart"/>
      <w:r w:rsidR="00ED1CA2" w:rsidRPr="005C3C22">
        <w:rPr>
          <w:rFonts w:ascii="Times New Roman" w:hAnsi="Times New Roman"/>
          <w:sz w:val="24"/>
          <w:szCs w:val="24"/>
        </w:rPr>
        <w:t>subregulation</w:t>
      </w:r>
      <w:proofErr w:type="spellEnd"/>
      <w:r w:rsidR="00ED1CA2" w:rsidRPr="005C3C22">
        <w:rPr>
          <w:rFonts w:ascii="Times New Roman" w:hAnsi="Times New Roman"/>
          <w:sz w:val="24"/>
          <w:szCs w:val="24"/>
        </w:rPr>
        <w:t xml:space="preserve"> 15A to prescribe an order under section 102PE of the Family</w:t>
      </w:r>
      <w:r w:rsidR="00946F4C">
        <w:rPr>
          <w:rFonts w:ascii="Times New Roman" w:hAnsi="Times New Roman"/>
          <w:sz w:val="24"/>
          <w:szCs w:val="24"/>
        </w:rPr>
        <w:t> </w:t>
      </w:r>
      <w:r w:rsidR="00ED1CA2" w:rsidRPr="005C3C22">
        <w:rPr>
          <w:rFonts w:ascii="Times New Roman" w:hAnsi="Times New Roman"/>
          <w:sz w:val="24"/>
          <w:szCs w:val="24"/>
        </w:rPr>
        <w:t>Law</w:t>
      </w:r>
      <w:r w:rsidR="00946F4C">
        <w:rPr>
          <w:rFonts w:ascii="Times New Roman" w:hAnsi="Times New Roman"/>
          <w:sz w:val="24"/>
          <w:szCs w:val="24"/>
        </w:rPr>
        <w:t> </w:t>
      </w:r>
      <w:r w:rsidR="00ED1CA2" w:rsidRPr="005C3C22">
        <w:rPr>
          <w:rFonts w:ascii="Times New Roman" w:hAnsi="Times New Roman"/>
          <w:sz w:val="24"/>
          <w:szCs w:val="24"/>
        </w:rPr>
        <w:t xml:space="preserve">Act as an order for which leave to appeal is required under subsection 94AA(1) of </w:t>
      </w:r>
      <w:r w:rsidR="00946F4C">
        <w:rPr>
          <w:rFonts w:ascii="Times New Roman" w:hAnsi="Times New Roman"/>
          <w:sz w:val="24"/>
          <w:szCs w:val="24"/>
        </w:rPr>
        <w:t>the Family Law </w:t>
      </w:r>
      <w:r w:rsidR="00ED1CA2" w:rsidRPr="005C3C22">
        <w:rPr>
          <w:rFonts w:ascii="Times New Roman" w:hAnsi="Times New Roman"/>
          <w:sz w:val="24"/>
          <w:szCs w:val="24"/>
        </w:rPr>
        <w:t xml:space="preserve">Act.  </w:t>
      </w:r>
    </w:p>
    <w:p w:rsidR="00ED1CA2" w:rsidRPr="005C3C22" w:rsidRDefault="00ED1CA2" w:rsidP="005C3C22">
      <w:pPr>
        <w:spacing w:line="240" w:lineRule="auto"/>
        <w:rPr>
          <w:rFonts w:ascii="Times New Roman" w:hAnsi="Times New Roman"/>
          <w:sz w:val="24"/>
          <w:szCs w:val="24"/>
        </w:rPr>
      </w:pPr>
      <w:r w:rsidRPr="005C3C22">
        <w:rPr>
          <w:rFonts w:ascii="Times New Roman" w:hAnsi="Times New Roman"/>
          <w:sz w:val="24"/>
          <w:szCs w:val="24"/>
        </w:rPr>
        <w:t>Section 102PE gives relevant courts power under the Family Law Act to</w:t>
      </w:r>
      <w:r w:rsidR="00011E9C" w:rsidRPr="005C3C22">
        <w:rPr>
          <w:rFonts w:ascii="Times New Roman" w:hAnsi="Times New Roman"/>
          <w:sz w:val="24"/>
          <w:szCs w:val="24"/>
        </w:rPr>
        <w:t xml:space="preserve"> make a suppression or non</w:t>
      </w:r>
      <w:r w:rsidR="00011E9C" w:rsidRPr="005C3C22">
        <w:rPr>
          <w:rFonts w:ascii="Times New Roman" w:hAnsi="Times New Roman"/>
          <w:sz w:val="24"/>
          <w:szCs w:val="24"/>
        </w:rPr>
        <w:noBreakHyphen/>
      </w:r>
      <w:r w:rsidRPr="005C3C22">
        <w:rPr>
          <w:rFonts w:ascii="Times New Roman" w:hAnsi="Times New Roman"/>
          <w:sz w:val="24"/>
          <w:szCs w:val="24"/>
        </w:rPr>
        <w:t xml:space="preserve">publication order.  An identical provision was inserted into the </w:t>
      </w:r>
      <w:r w:rsidR="006E2445">
        <w:rPr>
          <w:rFonts w:ascii="Times New Roman" w:hAnsi="Times New Roman"/>
          <w:i/>
          <w:sz w:val="24"/>
          <w:szCs w:val="24"/>
        </w:rPr>
        <w:t>Federal Court </w:t>
      </w:r>
      <w:r w:rsidRPr="005C3C22">
        <w:rPr>
          <w:rFonts w:ascii="Times New Roman" w:hAnsi="Times New Roman"/>
          <w:i/>
          <w:sz w:val="24"/>
          <w:szCs w:val="24"/>
        </w:rPr>
        <w:t>of</w:t>
      </w:r>
      <w:r w:rsidR="006E2445">
        <w:rPr>
          <w:rFonts w:ascii="Times New Roman" w:hAnsi="Times New Roman"/>
          <w:i/>
          <w:sz w:val="24"/>
          <w:szCs w:val="24"/>
        </w:rPr>
        <w:t> Australia </w:t>
      </w:r>
      <w:r w:rsidRPr="005C3C22">
        <w:rPr>
          <w:rFonts w:ascii="Times New Roman" w:hAnsi="Times New Roman"/>
          <w:i/>
          <w:sz w:val="24"/>
          <w:szCs w:val="24"/>
        </w:rPr>
        <w:t>Act 1976, Federal Magistrates Act 1999</w:t>
      </w:r>
      <w:r w:rsidRPr="005C3C22">
        <w:rPr>
          <w:rFonts w:ascii="Times New Roman" w:hAnsi="Times New Roman"/>
          <w:sz w:val="24"/>
          <w:szCs w:val="24"/>
        </w:rPr>
        <w:t xml:space="preserve"> and </w:t>
      </w:r>
      <w:r w:rsidRPr="005C3C22">
        <w:rPr>
          <w:rFonts w:ascii="Times New Roman" w:hAnsi="Times New Roman"/>
          <w:i/>
          <w:sz w:val="24"/>
          <w:szCs w:val="24"/>
        </w:rPr>
        <w:t>Judiciary Act 1903</w:t>
      </w:r>
      <w:r w:rsidRPr="005C3C22">
        <w:rPr>
          <w:rFonts w:ascii="Times New Roman" w:hAnsi="Times New Roman"/>
          <w:sz w:val="24"/>
          <w:szCs w:val="24"/>
        </w:rPr>
        <w:t xml:space="preserve"> by Sche</w:t>
      </w:r>
      <w:r w:rsidR="00011E9C" w:rsidRPr="005C3C22">
        <w:rPr>
          <w:rFonts w:ascii="Times New Roman" w:hAnsi="Times New Roman"/>
          <w:sz w:val="24"/>
          <w:szCs w:val="24"/>
        </w:rPr>
        <w:t>dule 2 of the Access to Justice </w:t>
      </w:r>
      <w:r w:rsidRPr="005C3C22">
        <w:rPr>
          <w:rFonts w:ascii="Times New Roman" w:hAnsi="Times New Roman"/>
          <w:sz w:val="24"/>
          <w:szCs w:val="24"/>
        </w:rPr>
        <w:t xml:space="preserve">Act.  In relation to the </w:t>
      </w:r>
      <w:r w:rsidR="006E2445">
        <w:rPr>
          <w:rFonts w:ascii="Times New Roman" w:hAnsi="Times New Roman"/>
          <w:i/>
          <w:sz w:val="24"/>
          <w:szCs w:val="24"/>
        </w:rPr>
        <w:t>Federal Court of Australia </w:t>
      </w:r>
      <w:r w:rsidRPr="005C3C22">
        <w:rPr>
          <w:rFonts w:ascii="Times New Roman" w:hAnsi="Times New Roman"/>
          <w:i/>
          <w:sz w:val="24"/>
          <w:szCs w:val="24"/>
        </w:rPr>
        <w:t>Act</w:t>
      </w:r>
      <w:r w:rsidR="006E2445">
        <w:rPr>
          <w:rFonts w:ascii="Times New Roman" w:hAnsi="Times New Roman"/>
          <w:i/>
          <w:sz w:val="24"/>
          <w:szCs w:val="24"/>
        </w:rPr>
        <w:t> </w:t>
      </w:r>
      <w:r w:rsidRPr="005C3C22">
        <w:rPr>
          <w:rFonts w:ascii="Times New Roman" w:hAnsi="Times New Roman"/>
          <w:i/>
          <w:sz w:val="24"/>
          <w:szCs w:val="24"/>
        </w:rPr>
        <w:t>1976</w:t>
      </w:r>
      <w:r w:rsidRPr="005C3C22">
        <w:rPr>
          <w:rFonts w:ascii="Times New Roman" w:hAnsi="Times New Roman"/>
          <w:sz w:val="24"/>
          <w:szCs w:val="24"/>
        </w:rPr>
        <w:t xml:space="preserve"> and </w:t>
      </w:r>
      <w:r w:rsidRPr="005C3C22">
        <w:rPr>
          <w:rFonts w:ascii="Times New Roman" w:hAnsi="Times New Roman"/>
          <w:i/>
          <w:sz w:val="24"/>
          <w:szCs w:val="24"/>
        </w:rPr>
        <w:t>Federal</w:t>
      </w:r>
      <w:r w:rsidR="002F0B0B">
        <w:rPr>
          <w:rFonts w:ascii="Times New Roman" w:hAnsi="Times New Roman"/>
          <w:i/>
          <w:sz w:val="24"/>
          <w:szCs w:val="24"/>
        </w:rPr>
        <w:t> </w:t>
      </w:r>
      <w:r w:rsidRPr="005C3C22">
        <w:rPr>
          <w:rFonts w:ascii="Times New Roman" w:hAnsi="Times New Roman"/>
          <w:i/>
          <w:sz w:val="24"/>
          <w:szCs w:val="24"/>
        </w:rPr>
        <w:t>Magistrates</w:t>
      </w:r>
      <w:r w:rsidR="002F0B0B">
        <w:rPr>
          <w:rFonts w:ascii="Times New Roman" w:hAnsi="Times New Roman"/>
          <w:i/>
          <w:sz w:val="24"/>
          <w:szCs w:val="24"/>
        </w:rPr>
        <w:t> </w:t>
      </w:r>
      <w:r w:rsidRPr="005C3C22">
        <w:rPr>
          <w:rFonts w:ascii="Times New Roman" w:hAnsi="Times New Roman"/>
          <w:i/>
          <w:sz w:val="24"/>
          <w:szCs w:val="24"/>
        </w:rPr>
        <w:t>Act</w:t>
      </w:r>
      <w:r w:rsidR="002F0B0B">
        <w:rPr>
          <w:rFonts w:ascii="Times New Roman" w:hAnsi="Times New Roman"/>
          <w:sz w:val="24"/>
          <w:szCs w:val="24"/>
        </w:rPr>
        <w:t> </w:t>
      </w:r>
      <w:r w:rsidRPr="005C3C22">
        <w:rPr>
          <w:rFonts w:ascii="Times New Roman" w:hAnsi="Times New Roman"/>
          <w:i/>
          <w:sz w:val="24"/>
          <w:szCs w:val="24"/>
        </w:rPr>
        <w:t>1999</w:t>
      </w:r>
      <w:r w:rsidRPr="005C3C22">
        <w:rPr>
          <w:rFonts w:ascii="Times New Roman" w:hAnsi="Times New Roman"/>
          <w:sz w:val="24"/>
          <w:szCs w:val="24"/>
        </w:rPr>
        <w:t>, the Access to Just</w:t>
      </w:r>
      <w:r w:rsidR="006E2445">
        <w:rPr>
          <w:rFonts w:ascii="Times New Roman" w:hAnsi="Times New Roman"/>
          <w:sz w:val="24"/>
          <w:szCs w:val="24"/>
        </w:rPr>
        <w:t>ice Act also amended subsection </w:t>
      </w:r>
      <w:r w:rsidRPr="005C3C22">
        <w:rPr>
          <w:rFonts w:ascii="Times New Roman" w:hAnsi="Times New Roman"/>
          <w:sz w:val="24"/>
          <w:szCs w:val="24"/>
        </w:rPr>
        <w:t xml:space="preserve">24(1D) of the </w:t>
      </w:r>
      <w:r w:rsidRPr="005C3C22">
        <w:rPr>
          <w:rFonts w:ascii="Times New Roman" w:hAnsi="Times New Roman"/>
          <w:i/>
          <w:sz w:val="24"/>
          <w:szCs w:val="24"/>
        </w:rPr>
        <w:t>Federal Court of Australia Act 1976</w:t>
      </w:r>
      <w:r w:rsidRPr="005C3C22">
        <w:rPr>
          <w:rFonts w:ascii="Times New Roman" w:hAnsi="Times New Roman"/>
          <w:sz w:val="24"/>
          <w:szCs w:val="24"/>
        </w:rPr>
        <w:t xml:space="preserve"> to clarify that the relevant orders made under either Act are interlocutory in nature and therefore require leave to appeal.  </w:t>
      </w:r>
    </w:p>
    <w:p w:rsidR="00ED1CA2" w:rsidRPr="005C3C22" w:rsidRDefault="00ED1CA2" w:rsidP="005C3C22">
      <w:pPr>
        <w:spacing w:line="240" w:lineRule="auto"/>
        <w:rPr>
          <w:rFonts w:ascii="Times New Roman" w:hAnsi="Times New Roman"/>
          <w:sz w:val="24"/>
          <w:szCs w:val="24"/>
        </w:rPr>
      </w:pPr>
      <w:r w:rsidRPr="005C3C22">
        <w:rPr>
          <w:rFonts w:ascii="Times New Roman" w:hAnsi="Times New Roman"/>
          <w:sz w:val="24"/>
          <w:szCs w:val="24"/>
        </w:rPr>
        <w:t xml:space="preserve">It was proposed to make a similar clarification in relation to the Family Law Act to maintain consistency.  However, this was left to be implemented through regulatory amendments, in view of the existing mechanism for prescribing orders requiring leave to appeal in subsection 94AA of the Family Law Act.  </w:t>
      </w:r>
    </w:p>
    <w:p w:rsidR="00ED1CA2" w:rsidRPr="005C3C22" w:rsidRDefault="00ED1CA2" w:rsidP="005063A7">
      <w:pPr>
        <w:pStyle w:val="Heading2numbered"/>
      </w:pPr>
      <w:r w:rsidRPr="005C3C22">
        <w:t>Schedule 4 – Amendment commencing on commencement of Schedule 3 to Access</w:t>
      </w:r>
      <w:r w:rsidR="00126ABA">
        <w:t> </w:t>
      </w:r>
      <w:r w:rsidRPr="005C3C22">
        <w:t>to</w:t>
      </w:r>
      <w:r w:rsidR="00126ABA">
        <w:t> </w:t>
      </w:r>
      <w:r w:rsidRPr="005C3C22">
        <w:t>Justice Act</w:t>
      </w:r>
    </w:p>
    <w:p w:rsidR="00ED1CA2" w:rsidRPr="005C3C22" w:rsidRDefault="00ED1CA2" w:rsidP="005063A7">
      <w:pPr>
        <w:keepNext/>
        <w:keepLines/>
        <w:spacing w:before="240" w:after="0" w:line="240" w:lineRule="auto"/>
        <w:ind w:right="91"/>
        <w:rPr>
          <w:rFonts w:ascii="Times New Roman" w:eastAsia="Times New Roman" w:hAnsi="Times New Roman"/>
          <w:b/>
          <w:sz w:val="24"/>
          <w:szCs w:val="20"/>
          <w:lang w:eastAsia="en-AU"/>
        </w:rPr>
      </w:pPr>
      <w:r w:rsidRPr="005C3C22">
        <w:rPr>
          <w:rFonts w:ascii="Times New Roman" w:eastAsia="Times New Roman" w:hAnsi="Times New Roman"/>
          <w:b/>
          <w:sz w:val="24"/>
          <w:szCs w:val="20"/>
          <w:lang w:eastAsia="en-AU"/>
        </w:rPr>
        <w:t>Item [1]: Paragraph 15A (1) (b)</w:t>
      </w:r>
    </w:p>
    <w:p w:rsidR="00ED1CA2" w:rsidRPr="005C3C22" w:rsidRDefault="00011E9C" w:rsidP="005063A7">
      <w:pPr>
        <w:keepNext/>
        <w:keepLines/>
        <w:spacing w:before="240" w:line="240" w:lineRule="auto"/>
        <w:rPr>
          <w:rFonts w:ascii="Times New Roman" w:hAnsi="Times New Roman"/>
          <w:sz w:val="24"/>
          <w:szCs w:val="24"/>
        </w:rPr>
      </w:pPr>
      <w:r w:rsidRPr="005C3C22">
        <w:rPr>
          <w:rFonts w:ascii="Times New Roman" w:hAnsi="Times New Roman"/>
          <w:bCs/>
          <w:sz w:val="24"/>
          <w:szCs w:val="24"/>
        </w:rPr>
        <w:t>Item 1</w:t>
      </w:r>
      <w:r w:rsidR="00ED1CA2" w:rsidRPr="005C3C22">
        <w:rPr>
          <w:rFonts w:ascii="Times New Roman" w:hAnsi="Times New Roman"/>
          <w:bCs/>
          <w:sz w:val="24"/>
          <w:szCs w:val="24"/>
        </w:rPr>
        <w:t xml:space="preserve"> </w:t>
      </w:r>
      <w:r w:rsidR="006E2445">
        <w:rPr>
          <w:rFonts w:ascii="Times New Roman" w:hAnsi="Times New Roman"/>
          <w:bCs/>
          <w:sz w:val="24"/>
          <w:szCs w:val="24"/>
        </w:rPr>
        <w:t xml:space="preserve">of Schedule 4 </w:t>
      </w:r>
      <w:r w:rsidR="00ED1CA2" w:rsidRPr="005C3C22">
        <w:rPr>
          <w:rFonts w:ascii="Times New Roman" w:hAnsi="Times New Roman"/>
          <w:bCs/>
          <w:sz w:val="24"/>
          <w:szCs w:val="24"/>
        </w:rPr>
        <w:t xml:space="preserve">amends paragraph 15A(1)(b) to </w:t>
      </w:r>
      <w:r w:rsidR="00EF7220">
        <w:rPr>
          <w:rFonts w:ascii="Times New Roman" w:hAnsi="Times New Roman"/>
          <w:bCs/>
          <w:sz w:val="24"/>
          <w:szCs w:val="24"/>
        </w:rPr>
        <w:t xml:space="preserve">additionally </w:t>
      </w:r>
      <w:r w:rsidR="00ED1CA2" w:rsidRPr="005C3C22">
        <w:rPr>
          <w:rFonts w:ascii="Times New Roman" w:hAnsi="Times New Roman"/>
          <w:bCs/>
          <w:sz w:val="24"/>
          <w:szCs w:val="24"/>
        </w:rPr>
        <w:t xml:space="preserve">prescribe an order under section 102QF or 102QG </w:t>
      </w:r>
      <w:r w:rsidR="00ED1CA2" w:rsidRPr="005C3C22">
        <w:rPr>
          <w:rFonts w:ascii="Times New Roman" w:hAnsi="Times New Roman"/>
          <w:sz w:val="24"/>
          <w:szCs w:val="24"/>
        </w:rPr>
        <w:t xml:space="preserve">of the Family Law Act as an order for which leave to appeal is required under subsection 94AA(1) of that Act.  </w:t>
      </w:r>
    </w:p>
    <w:p w:rsidR="007A185E" w:rsidRPr="00A56125" w:rsidRDefault="00ED1CA2" w:rsidP="008606BD">
      <w:pPr>
        <w:spacing w:line="240" w:lineRule="auto"/>
        <w:rPr>
          <w:rFonts w:ascii="Times New Roman" w:hAnsi="Times New Roman"/>
          <w:sz w:val="24"/>
          <w:szCs w:val="24"/>
        </w:rPr>
      </w:pPr>
      <w:r w:rsidRPr="005C3C22">
        <w:rPr>
          <w:rFonts w:ascii="Times New Roman" w:hAnsi="Times New Roman"/>
          <w:sz w:val="24"/>
          <w:szCs w:val="24"/>
        </w:rPr>
        <w:t xml:space="preserve">Section 102QF gives relevant courts power under the Family Law Act to make an order dismissing an application by a person subject to a vexatious proceedings order for leave to institute proceedings that are subject to the order.  Section 102QG gives relevant courts power to make an order granting such an application.  Identical provisions were inserted into the </w:t>
      </w:r>
      <w:r w:rsidRPr="005C3C22">
        <w:rPr>
          <w:rFonts w:ascii="Times New Roman" w:hAnsi="Times New Roman"/>
          <w:i/>
          <w:sz w:val="24"/>
          <w:szCs w:val="24"/>
        </w:rPr>
        <w:t>Federal Court of Australia Act 1976, Federal Magistrates Act 1999</w:t>
      </w:r>
      <w:r w:rsidRPr="005C3C22">
        <w:rPr>
          <w:rFonts w:ascii="Times New Roman" w:hAnsi="Times New Roman"/>
          <w:sz w:val="24"/>
          <w:szCs w:val="24"/>
        </w:rPr>
        <w:t xml:space="preserve"> and </w:t>
      </w:r>
      <w:r w:rsidRPr="005C3C22">
        <w:rPr>
          <w:rFonts w:ascii="Times New Roman" w:hAnsi="Times New Roman"/>
          <w:i/>
          <w:sz w:val="24"/>
          <w:szCs w:val="24"/>
        </w:rPr>
        <w:t>Judiciary</w:t>
      </w:r>
      <w:r w:rsidR="00E05067">
        <w:rPr>
          <w:rFonts w:ascii="Times New Roman" w:hAnsi="Times New Roman"/>
          <w:i/>
          <w:sz w:val="24"/>
          <w:szCs w:val="24"/>
        </w:rPr>
        <w:t> </w:t>
      </w:r>
      <w:r w:rsidRPr="005C3C22">
        <w:rPr>
          <w:rFonts w:ascii="Times New Roman" w:hAnsi="Times New Roman"/>
          <w:i/>
          <w:sz w:val="24"/>
          <w:szCs w:val="24"/>
        </w:rPr>
        <w:t>Act</w:t>
      </w:r>
      <w:r w:rsidR="00E05067">
        <w:rPr>
          <w:rFonts w:ascii="Times New Roman" w:hAnsi="Times New Roman"/>
          <w:i/>
          <w:sz w:val="24"/>
          <w:szCs w:val="24"/>
        </w:rPr>
        <w:t> </w:t>
      </w:r>
      <w:r w:rsidRPr="005C3C22">
        <w:rPr>
          <w:rFonts w:ascii="Times New Roman" w:hAnsi="Times New Roman"/>
          <w:i/>
          <w:sz w:val="24"/>
          <w:szCs w:val="24"/>
        </w:rPr>
        <w:t>1903</w:t>
      </w:r>
      <w:r w:rsidRPr="005C3C22">
        <w:rPr>
          <w:rFonts w:ascii="Times New Roman" w:hAnsi="Times New Roman"/>
          <w:sz w:val="24"/>
          <w:szCs w:val="24"/>
        </w:rPr>
        <w:t xml:space="preserve"> by Schedule 3 of the Access to Justice Act.  In relation to the </w:t>
      </w:r>
      <w:r w:rsidRPr="005C3C22">
        <w:rPr>
          <w:rFonts w:ascii="Times New Roman" w:hAnsi="Times New Roman"/>
          <w:i/>
          <w:sz w:val="24"/>
          <w:szCs w:val="24"/>
        </w:rPr>
        <w:t>Federal</w:t>
      </w:r>
      <w:r w:rsidR="00E05067">
        <w:rPr>
          <w:rFonts w:ascii="Times New Roman" w:hAnsi="Times New Roman"/>
          <w:i/>
          <w:sz w:val="24"/>
          <w:szCs w:val="24"/>
        </w:rPr>
        <w:t> </w:t>
      </w:r>
      <w:r w:rsidRPr="005C3C22">
        <w:rPr>
          <w:rFonts w:ascii="Times New Roman" w:hAnsi="Times New Roman"/>
          <w:i/>
          <w:sz w:val="24"/>
          <w:szCs w:val="24"/>
        </w:rPr>
        <w:t>Court of Australia Act 1976</w:t>
      </w:r>
      <w:r w:rsidRPr="005C3C22">
        <w:rPr>
          <w:rFonts w:ascii="Times New Roman" w:hAnsi="Times New Roman"/>
          <w:sz w:val="24"/>
          <w:szCs w:val="24"/>
        </w:rPr>
        <w:t xml:space="preserve"> and </w:t>
      </w:r>
      <w:r w:rsidRPr="005C3C22">
        <w:rPr>
          <w:rFonts w:ascii="Times New Roman" w:hAnsi="Times New Roman"/>
          <w:i/>
          <w:sz w:val="24"/>
          <w:szCs w:val="24"/>
        </w:rPr>
        <w:t>Federal Magistrates Act</w:t>
      </w:r>
      <w:r w:rsidRPr="005C3C22">
        <w:rPr>
          <w:rFonts w:ascii="Times New Roman" w:hAnsi="Times New Roman"/>
          <w:sz w:val="24"/>
          <w:szCs w:val="24"/>
        </w:rPr>
        <w:t xml:space="preserve"> </w:t>
      </w:r>
      <w:r w:rsidRPr="005C3C22">
        <w:rPr>
          <w:rFonts w:ascii="Times New Roman" w:hAnsi="Times New Roman"/>
          <w:i/>
          <w:sz w:val="24"/>
          <w:szCs w:val="24"/>
        </w:rPr>
        <w:t>1999</w:t>
      </w:r>
      <w:r w:rsidRPr="005C3C22">
        <w:rPr>
          <w:rFonts w:ascii="Times New Roman" w:hAnsi="Times New Roman"/>
          <w:sz w:val="24"/>
          <w:szCs w:val="24"/>
        </w:rPr>
        <w:t>, the Access</w:t>
      </w:r>
      <w:r w:rsidR="00E05067">
        <w:rPr>
          <w:rFonts w:ascii="Times New Roman" w:hAnsi="Times New Roman"/>
          <w:sz w:val="24"/>
          <w:szCs w:val="24"/>
        </w:rPr>
        <w:t> </w:t>
      </w:r>
      <w:r w:rsidRPr="005C3C22">
        <w:rPr>
          <w:rFonts w:ascii="Times New Roman" w:hAnsi="Times New Roman"/>
          <w:sz w:val="24"/>
          <w:szCs w:val="24"/>
        </w:rPr>
        <w:t>to</w:t>
      </w:r>
      <w:r w:rsidR="00E05067">
        <w:rPr>
          <w:rFonts w:ascii="Times New Roman" w:hAnsi="Times New Roman"/>
          <w:sz w:val="24"/>
          <w:szCs w:val="24"/>
        </w:rPr>
        <w:t> </w:t>
      </w:r>
      <w:r w:rsidRPr="005C3C22">
        <w:rPr>
          <w:rFonts w:ascii="Times New Roman" w:hAnsi="Times New Roman"/>
          <w:sz w:val="24"/>
          <w:szCs w:val="24"/>
        </w:rPr>
        <w:t>Justice</w:t>
      </w:r>
      <w:r w:rsidR="00E05067">
        <w:rPr>
          <w:rFonts w:ascii="Times New Roman" w:hAnsi="Times New Roman"/>
          <w:sz w:val="24"/>
          <w:szCs w:val="24"/>
        </w:rPr>
        <w:t> </w:t>
      </w:r>
      <w:r w:rsidRPr="005C3C22">
        <w:rPr>
          <w:rFonts w:ascii="Times New Roman" w:hAnsi="Times New Roman"/>
          <w:sz w:val="24"/>
          <w:szCs w:val="24"/>
        </w:rPr>
        <w:t xml:space="preserve">Act also amended subsection 24(1D) of the </w:t>
      </w:r>
      <w:r w:rsidR="006E2445">
        <w:rPr>
          <w:rFonts w:ascii="Times New Roman" w:hAnsi="Times New Roman"/>
          <w:i/>
          <w:sz w:val="24"/>
          <w:szCs w:val="24"/>
        </w:rPr>
        <w:t>Federal </w:t>
      </w:r>
      <w:r w:rsidRPr="005C3C22">
        <w:rPr>
          <w:rFonts w:ascii="Times New Roman" w:hAnsi="Times New Roman"/>
          <w:i/>
          <w:sz w:val="24"/>
          <w:szCs w:val="24"/>
        </w:rPr>
        <w:t>Court</w:t>
      </w:r>
      <w:r w:rsidR="006E2445">
        <w:rPr>
          <w:rFonts w:ascii="Times New Roman" w:hAnsi="Times New Roman"/>
          <w:i/>
          <w:sz w:val="24"/>
          <w:szCs w:val="24"/>
        </w:rPr>
        <w:t> </w:t>
      </w:r>
      <w:r w:rsidRPr="005C3C22">
        <w:rPr>
          <w:rFonts w:ascii="Times New Roman" w:hAnsi="Times New Roman"/>
          <w:i/>
          <w:sz w:val="24"/>
          <w:szCs w:val="24"/>
        </w:rPr>
        <w:t>of</w:t>
      </w:r>
      <w:r w:rsidR="006E2445">
        <w:rPr>
          <w:rFonts w:ascii="Times New Roman" w:hAnsi="Times New Roman"/>
          <w:i/>
          <w:sz w:val="24"/>
          <w:szCs w:val="24"/>
        </w:rPr>
        <w:t> </w:t>
      </w:r>
      <w:r w:rsidRPr="005C3C22">
        <w:rPr>
          <w:rFonts w:ascii="Times New Roman" w:hAnsi="Times New Roman"/>
          <w:i/>
          <w:sz w:val="24"/>
          <w:szCs w:val="24"/>
        </w:rPr>
        <w:t>Australia</w:t>
      </w:r>
      <w:r w:rsidR="006E2445">
        <w:rPr>
          <w:rFonts w:ascii="Times New Roman" w:hAnsi="Times New Roman"/>
          <w:i/>
          <w:sz w:val="24"/>
          <w:szCs w:val="24"/>
        </w:rPr>
        <w:t> </w:t>
      </w:r>
      <w:r w:rsidRPr="005C3C22">
        <w:rPr>
          <w:rFonts w:ascii="Times New Roman" w:hAnsi="Times New Roman"/>
          <w:i/>
          <w:sz w:val="24"/>
          <w:szCs w:val="24"/>
        </w:rPr>
        <w:t>Act</w:t>
      </w:r>
      <w:r w:rsidR="006E2445">
        <w:rPr>
          <w:rFonts w:ascii="Times New Roman" w:hAnsi="Times New Roman"/>
          <w:i/>
          <w:sz w:val="24"/>
          <w:szCs w:val="24"/>
        </w:rPr>
        <w:t> </w:t>
      </w:r>
      <w:r w:rsidRPr="005C3C22">
        <w:rPr>
          <w:rFonts w:ascii="Times New Roman" w:hAnsi="Times New Roman"/>
          <w:i/>
          <w:sz w:val="24"/>
          <w:szCs w:val="24"/>
        </w:rPr>
        <w:t>1976</w:t>
      </w:r>
      <w:r w:rsidRPr="005C3C22">
        <w:rPr>
          <w:rFonts w:ascii="Times New Roman" w:hAnsi="Times New Roman"/>
          <w:sz w:val="24"/>
          <w:szCs w:val="24"/>
        </w:rPr>
        <w:t xml:space="preserve"> to clarify that the relevant orders made under either Act are interlocutory in nature and therefore require leave to appeal.  </w:t>
      </w:r>
    </w:p>
    <w:p w:rsidR="00FB6747" w:rsidRDefault="00ED1CA2" w:rsidP="005C3C22">
      <w:pPr>
        <w:spacing w:line="240" w:lineRule="auto"/>
        <w:rPr>
          <w:rFonts w:ascii="Times New Roman" w:hAnsi="Times New Roman"/>
          <w:sz w:val="24"/>
          <w:szCs w:val="24"/>
        </w:rPr>
      </w:pPr>
      <w:r w:rsidRPr="005C3C22">
        <w:rPr>
          <w:rFonts w:ascii="Times New Roman" w:hAnsi="Times New Roman"/>
          <w:sz w:val="24"/>
          <w:szCs w:val="24"/>
        </w:rPr>
        <w:t>It was proposed to make a similar clarification in relation to the Family Law Act to maintain consistency.  However, this was left to be implemented through regulatory amendments, in view of the existing mechanism for prescribing orders requiring leave to appeal in subsection 94AA of the Family Law Act</w:t>
      </w:r>
    </w:p>
    <w:p w:rsidR="008606BD" w:rsidRPr="00170DAE" w:rsidRDefault="008606BD" w:rsidP="00170DAE">
      <w:pPr>
        <w:spacing w:before="240" w:line="240" w:lineRule="auto"/>
        <w:jc w:val="center"/>
        <w:rPr>
          <w:rFonts w:ascii="Times New Roman" w:hAnsi="Times New Roman"/>
          <w:sz w:val="24"/>
          <w:szCs w:val="24"/>
        </w:rPr>
      </w:pPr>
      <w:r>
        <w:rPr>
          <w:rFonts w:ascii="Times New Roman" w:hAnsi="Times New Roman"/>
          <w:sz w:val="24"/>
          <w:szCs w:val="24"/>
        </w:rPr>
        <w:br w:type="page"/>
      </w:r>
      <w:r w:rsidRPr="00170DAE">
        <w:rPr>
          <w:rFonts w:ascii="Times New Roman" w:hAnsi="Times New Roman"/>
          <w:b/>
          <w:sz w:val="24"/>
          <w:szCs w:val="24"/>
          <w:u w:val="single"/>
        </w:rPr>
        <w:lastRenderedPageBreak/>
        <w:t>STATEMENT OF COMPATIBILITY WITH HUMAN RIGHTS</w:t>
      </w:r>
    </w:p>
    <w:p w:rsidR="008606BD" w:rsidRPr="00170DAE" w:rsidRDefault="008606BD" w:rsidP="00170DAE">
      <w:pPr>
        <w:spacing w:before="240" w:after="120" w:line="240" w:lineRule="auto"/>
        <w:jc w:val="center"/>
        <w:rPr>
          <w:rFonts w:ascii="Times New Roman" w:hAnsi="Times New Roman"/>
          <w:i/>
          <w:sz w:val="24"/>
          <w:szCs w:val="24"/>
        </w:rPr>
      </w:pPr>
      <w:r w:rsidRPr="00170DAE">
        <w:rPr>
          <w:rFonts w:ascii="Times New Roman" w:hAnsi="Times New Roman"/>
          <w:i/>
          <w:sz w:val="24"/>
          <w:szCs w:val="24"/>
        </w:rPr>
        <w:t>Prepared in accordance with Part 3 of the Human Rights (Parliamentary Scrutiny) Act 2011</w:t>
      </w:r>
    </w:p>
    <w:p w:rsidR="008606BD" w:rsidRPr="00170DAE" w:rsidRDefault="00053477" w:rsidP="00170DAE">
      <w:pPr>
        <w:spacing w:before="240" w:after="120" w:line="240" w:lineRule="auto"/>
        <w:jc w:val="center"/>
        <w:rPr>
          <w:rFonts w:ascii="Times New Roman" w:hAnsi="Times New Roman"/>
          <w:b/>
          <w:i/>
          <w:sz w:val="24"/>
          <w:szCs w:val="24"/>
        </w:rPr>
      </w:pPr>
      <w:r>
        <w:rPr>
          <w:rFonts w:ascii="Times New Roman" w:hAnsi="Times New Roman"/>
          <w:b/>
          <w:i/>
          <w:sz w:val="24"/>
          <w:szCs w:val="24"/>
        </w:rPr>
        <w:t>Family Law</w:t>
      </w:r>
      <w:r w:rsidR="008606BD" w:rsidRPr="00170DAE">
        <w:rPr>
          <w:rFonts w:ascii="Times New Roman" w:hAnsi="Times New Roman"/>
          <w:b/>
          <w:i/>
          <w:sz w:val="24"/>
          <w:szCs w:val="24"/>
        </w:rPr>
        <w:t xml:space="preserve"> </w:t>
      </w:r>
      <w:r w:rsidR="00096A2C">
        <w:rPr>
          <w:rFonts w:ascii="Times New Roman" w:hAnsi="Times New Roman"/>
          <w:b/>
          <w:i/>
          <w:sz w:val="24"/>
          <w:szCs w:val="24"/>
        </w:rPr>
        <w:t>Amendment Regulation 2012 (No. 3</w:t>
      </w:r>
      <w:r w:rsidR="008606BD" w:rsidRPr="00170DAE">
        <w:rPr>
          <w:rFonts w:ascii="Times New Roman" w:hAnsi="Times New Roman"/>
          <w:b/>
          <w:i/>
          <w:sz w:val="24"/>
          <w:szCs w:val="24"/>
        </w:rPr>
        <w:t>)</w:t>
      </w:r>
    </w:p>
    <w:p w:rsidR="008606BD" w:rsidRPr="00170DAE" w:rsidRDefault="008606BD" w:rsidP="00170DAE">
      <w:pPr>
        <w:spacing w:before="240" w:after="120" w:line="240" w:lineRule="auto"/>
        <w:jc w:val="center"/>
        <w:rPr>
          <w:rFonts w:ascii="Times New Roman" w:hAnsi="Times New Roman"/>
          <w:sz w:val="24"/>
          <w:szCs w:val="24"/>
        </w:rPr>
      </w:pPr>
      <w:r w:rsidRPr="00170DA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170DAE">
        <w:rPr>
          <w:rFonts w:ascii="Times New Roman" w:hAnsi="Times New Roman"/>
          <w:i/>
          <w:sz w:val="24"/>
          <w:szCs w:val="24"/>
        </w:rPr>
        <w:t>Human Rights (Parliamentary Scrutiny) Act 2011</w:t>
      </w:r>
      <w:r w:rsidRPr="00170DAE">
        <w:rPr>
          <w:rFonts w:ascii="Times New Roman" w:hAnsi="Times New Roman"/>
          <w:sz w:val="24"/>
          <w:szCs w:val="24"/>
        </w:rPr>
        <w:t>.</w:t>
      </w:r>
    </w:p>
    <w:p w:rsidR="008606BD" w:rsidRPr="00170DAE" w:rsidRDefault="008606BD" w:rsidP="00170DAE">
      <w:pPr>
        <w:spacing w:after="240" w:line="240" w:lineRule="auto"/>
        <w:rPr>
          <w:rFonts w:ascii="Times New Roman" w:hAnsi="Times New Roman"/>
          <w:b/>
          <w:sz w:val="24"/>
          <w:szCs w:val="24"/>
        </w:rPr>
      </w:pPr>
      <w:r w:rsidRPr="00170DAE">
        <w:rPr>
          <w:rFonts w:ascii="Times New Roman" w:hAnsi="Times New Roman"/>
          <w:b/>
          <w:sz w:val="24"/>
          <w:szCs w:val="24"/>
        </w:rPr>
        <w:t>Overview of the Legislative Instrument</w:t>
      </w:r>
    </w:p>
    <w:p w:rsidR="00794AFB" w:rsidRDefault="00794AFB" w:rsidP="00794AFB">
      <w:pPr>
        <w:pStyle w:val="Subject"/>
        <w:rPr>
          <w:b w:val="0"/>
          <w:szCs w:val="24"/>
        </w:rPr>
      </w:pPr>
      <w:r>
        <w:rPr>
          <w:b w:val="0"/>
          <w:szCs w:val="24"/>
        </w:rPr>
        <w:t>The Regulation amend</w:t>
      </w:r>
      <w:r w:rsidR="0071544A">
        <w:rPr>
          <w:b w:val="0"/>
          <w:szCs w:val="24"/>
        </w:rPr>
        <w:t>s</w:t>
      </w:r>
      <w:r>
        <w:rPr>
          <w:b w:val="0"/>
          <w:szCs w:val="24"/>
        </w:rPr>
        <w:t xml:space="preserve"> the </w:t>
      </w:r>
      <w:r>
        <w:rPr>
          <w:b w:val="0"/>
          <w:i/>
          <w:szCs w:val="24"/>
        </w:rPr>
        <w:t>Family Law Regulations 1984</w:t>
      </w:r>
      <w:r>
        <w:rPr>
          <w:b w:val="0"/>
          <w:szCs w:val="24"/>
        </w:rPr>
        <w:t xml:space="preserve"> (Principal Regulations) to:</w:t>
      </w:r>
    </w:p>
    <w:p w:rsidR="00794AFB" w:rsidRDefault="00794AFB" w:rsidP="00794AFB">
      <w:pPr>
        <w:numPr>
          <w:ilvl w:val="0"/>
          <w:numId w:val="3"/>
        </w:numPr>
        <w:spacing w:before="240" w:after="0" w:line="240" w:lineRule="auto"/>
        <w:ind w:left="714" w:hanging="357"/>
        <w:rPr>
          <w:rFonts w:ascii="Times New Roman" w:hAnsi="Times New Roman"/>
          <w:sz w:val="24"/>
          <w:szCs w:val="24"/>
        </w:rPr>
      </w:pPr>
      <w:r>
        <w:rPr>
          <w:rFonts w:ascii="Times New Roman" w:hAnsi="Times New Roman"/>
          <w:sz w:val="24"/>
          <w:szCs w:val="24"/>
        </w:rPr>
        <w:t>finalise the new arrangements to enable courts to take account of State and Territory proceeds of crime orders when determining property settlement and spousal maintenance</w:t>
      </w:r>
    </w:p>
    <w:p w:rsidR="00794AFB" w:rsidRDefault="00794AFB" w:rsidP="00794AFB">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update references to the legislation prescribed in regulations 12BC and 15AB to </w:t>
      </w:r>
      <w:r w:rsidR="00F82E0A">
        <w:rPr>
          <w:rFonts w:ascii="Times New Roman" w:hAnsi="Times New Roman"/>
          <w:sz w:val="24"/>
          <w:szCs w:val="24"/>
        </w:rPr>
        <w:t xml:space="preserve">continue to </w:t>
      </w:r>
      <w:r>
        <w:rPr>
          <w:rFonts w:ascii="Times New Roman" w:hAnsi="Times New Roman"/>
          <w:sz w:val="24"/>
          <w:szCs w:val="24"/>
        </w:rPr>
        <w:t xml:space="preserve">recognise the Queensland relationship recognition scheme for the purposes of the Family Law Act, following the enactment of the </w:t>
      </w:r>
      <w:r w:rsidR="00F82E0A">
        <w:rPr>
          <w:rFonts w:ascii="Times New Roman" w:hAnsi="Times New Roman"/>
          <w:i/>
          <w:sz w:val="24"/>
          <w:szCs w:val="24"/>
        </w:rPr>
        <w:t>Civil </w:t>
      </w:r>
      <w:r>
        <w:rPr>
          <w:rFonts w:ascii="Times New Roman" w:hAnsi="Times New Roman"/>
          <w:i/>
          <w:sz w:val="24"/>
          <w:szCs w:val="24"/>
        </w:rPr>
        <w:t>Pa</w:t>
      </w:r>
      <w:r w:rsidR="00F82E0A">
        <w:rPr>
          <w:rFonts w:ascii="Times New Roman" w:hAnsi="Times New Roman"/>
          <w:i/>
          <w:sz w:val="24"/>
          <w:szCs w:val="24"/>
        </w:rPr>
        <w:t>rtnerships </w:t>
      </w:r>
      <w:r>
        <w:rPr>
          <w:rFonts w:ascii="Times New Roman" w:hAnsi="Times New Roman"/>
          <w:i/>
          <w:sz w:val="24"/>
          <w:szCs w:val="24"/>
        </w:rPr>
        <w:t>and Other Legislation Amendment Act 2012</w:t>
      </w:r>
      <w:r>
        <w:rPr>
          <w:rFonts w:ascii="Times New Roman" w:hAnsi="Times New Roman"/>
          <w:sz w:val="24"/>
          <w:szCs w:val="24"/>
        </w:rPr>
        <w:t xml:space="preserve"> (Qld)</w:t>
      </w:r>
    </w:p>
    <w:p w:rsidR="00794AFB" w:rsidRDefault="00794AFB" w:rsidP="00794AFB">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amend the legislation prescribed for Queensland in regulation 19 and Schedule 8 </w:t>
      </w:r>
      <w:r w:rsidR="00F55000">
        <w:rPr>
          <w:rFonts w:ascii="Times New Roman" w:hAnsi="Times New Roman"/>
          <w:sz w:val="24"/>
          <w:szCs w:val="24"/>
        </w:rPr>
        <w:t xml:space="preserve">of the Principal Regulations </w:t>
      </w:r>
      <w:r>
        <w:rPr>
          <w:rFonts w:ascii="Times New Roman" w:hAnsi="Times New Roman"/>
          <w:sz w:val="24"/>
          <w:szCs w:val="24"/>
        </w:rPr>
        <w:t xml:space="preserve">following the commencement of the </w:t>
      </w:r>
      <w:r w:rsidR="00F82E0A">
        <w:rPr>
          <w:rFonts w:ascii="Times New Roman" w:hAnsi="Times New Roman"/>
          <w:i/>
          <w:sz w:val="24"/>
          <w:szCs w:val="24"/>
        </w:rPr>
        <w:t>Domestic and </w:t>
      </w:r>
      <w:r>
        <w:rPr>
          <w:rFonts w:ascii="Times New Roman" w:hAnsi="Times New Roman"/>
          <w:i/>
          <w:sz w:val="24"/>
          <w:szCs w:val="24"/>
        </w:rPr>
        <w:t>Family</w:t>
      </w:r>
      <w:r w:rsidR="00F82E0A">
        <w:rPr>
          <w:rFonts w:ascii="Times New Roman" w:hAnsi="Times New Roman"/>
          <w:i/>
          <w:sz w:val="24"/>
          <w:szCs w:val="24"/>
        </w:rPr>
        <w:t> </w:t>
      </w:r>
      <w:r>
        <w:rPr>
          <w:rFonts w:ascii="Times New Roman" w:hAnsi="Times New Roman"/>
          <w:i/>
          <w:sz w:val="24"/>
          <w:szCs w:val="24"/>
        </w:rPr>
        <w:t>Violence</w:t>
      </w:r>
      <w:r w:rsidR="00F82E0A">
        <w:rPr>
          <w:rFonts w:ascii="Times New Roman" w:hAnsi="Times New Roman"/>
          <w:i/>
          <w:sz w:val="24"/>
          <w:szCs w:val="24"/>
        </w:rPr>
        <w:t> </w:t>
      </w:r>
      <w:r>
        <w:rPr>
          <w:rFonts w:ascii="Times New Roman" w:hAnsi="Times New Roman"/>
          <w:i/>
          <w:sz w:val="24"/>
          <w:szCs w:val="24"/>
        </w:rPr>
        <w:t>Protection</w:t>
      </w:r>
      <w:r w:rsidR="00F82E0A">
        <w:rPr>
          <w:rFonts w:ascii="Times New Roman" w:hAnsi="Times New Roman"/>
          <w:i/>
          <w:sz w:val="24"/>
          <w:szCs w:val="24"/>
        </w:rPr>
        <w:t> </w:t>
      </w:r>
      <w:r>
        <w:rPr>
          <w:rFonts w:ascii="Times New Roman" w:hAnsi="Times New Roman"/>
          <w:i/>
          <w:sz w:val="24"/>
          <w:szCs w:val="24"/>
        </w:rPr>
        <w:t>Act 2012</w:t>
      </w:r>
      <w:r>
        <w:rPr>
          <w:rFonts w:ascii="Times New Roman" w:hAnsi="Times New Roman"/>
          <w:sz w:val="24"/>
          <w:szCs w:val="24"/>
        </w:rPr>
        <w:t xml:space="preserve"> (Qld)</w:t>
      </w:r>
      <w:r w:rsidR="00F55000">
        <w:rPr>
          <w:rFonts w:ascii="Times New Roman" w:hAnsi="Times New Roman"/>
          <w:sz w:val="24"/>
          <w:szCs w:val="24"/>
        </w:rPr>
        <w:t>.  This will</w:t>
      </w:r>
      <w:r>
        <w:rPr>
          <w:rFonts w:ascii="Times New Roman" w:hAnsi="Times New Roman"/>
          <w:sz w:val="24"/>
          <w:szCs w:val="24"/>
        </w:rPr>
        <w:t xml:space="preserve"> ensure that the Family Law Act applies to Queensland family violence orders. </w:t>
      </w:r>
    </w:p>
    <w:p w:rsidR="00794AFB" w:rsidRDefault="00794AFB" w:rsidP="00794AFB">
      <w:pPr>
        <w:numPr>
          <w:ilvl w:val="0"/>
          <w:numId w:val="3"/>
        </w:numPr>
        <w:spacing w:after="0" w:line="240" w:lineRule="auto"/>
        <w:rPr>
          <w:rFonts w:ascii="Times New Roman" w:hAnsi="Times New Roman"/>
          <w:sz w:val="24"/>
          <w:szCs w:val="24"/>
        </w:rPr>
      </w:pPr>
      <w:r>
        <w:rPr>
          <w:rFonts w:ascii="Times New Roman" w:hAnsi="Times New Roman"/>
          <w:sz w:val="24"/>
          <w:szCs w:val="24"/>
        </w:rPr>
        <w:t>allow the Family Court of Australia to exercise its jurisdiction in Western Australia, the Territory of Christmas Island and the Territory of the Cocos (Keeling) Islands to hear appeals against a decision of a judge of the Family Court of Western Australia to refuse to disqualify themselves from hearing a matter</w:t>
      </w:r>
    </w:p>
    <w:p w:rsidR="00794AFB" w:rsidRDefault="00794AFB" w:rsidP="00EC340D">
      <w:pPr>
        <w:numPr>
          <w:ilvl w:val="0"/>
          <w:numId w:val="3"/>
        </w:numPr>
        <w:spacing w:line="240" w:lineRule="auto"/>
        <w:rPr>
          <w:rFonts w:ascii="Times New Roman" w:hAnsi="Times New Roman"/>
          <w:sz w:val="24"/>
          <w:szCs w:val="24"/>
        </w:rPr>
      </w:pPr>
      <w:r>
        <w:rPr>
          <w:rFonts w:ascii="Times New Roman" w:hAnsi="Times New Roman"/>
          <w:sz w:val="24"/>
          <w:szCs w:val="24"/>
        </w:rPr>
        <w:t xml:space="preserve">support aspects of the </w:t>
      </w:r>
      <w:r w:rsidR="00D76FCB" w:rsidRPr="005B267B">
        <w:rPr>
          <w:rFonts w:ascii="Times New Roman" w:hAnsi="Times New Roman"/>
          <w:i/>
          <w:sz w:val="24"/>
          <w:szCs w:val="24"/>
        </w:rPr>
        <w:t>Access to Justice (Federal Jurisdiction) Amendment Act 2012</w:t>
      </w:r>
      <w:r w:rsidR="00D76FCB" w:rsidRPr="005B267B">
        <w:rPr>
          <w:rFonts w:ascii="Times New Roman" w:hAnsi="Times New Roman"/>
          <w:sz w:val="24"/>
          <w:szCs w:val="24"/>
        </w:rPr>
        <w:t xml:space="preserve"> </w:t>
      </w:r>
      <w:r w:rsidR="00D76FCB">
        <w:rPr>
          <w:rFonts w:ascii="Times New Roman" w:hAnsi="Times New Roman"/>
          <w:sz w:val="24"/>
          <w:szCs w:val="24"/>
        </w:rPr>
        <w:t xml:space="preserve">(the Access to Justice Act) </w:t>
      </w:r>
      <w:r w:rsidR="00C77B35">
        <w:rPr>
          <w:rFonts w:ascii="Times New Roman" w:hAnsi="Times New Roman"/>
          <w:sz w:val="24"/>
          <w:szCs w:val="24"/>
        </w:rPr>
        <w:t>by</w:t>
      </w:r>
      <w:r w:rsidR="00C932DB" w:rsidRPr="00C932DB">
        <w:rPr>
          <w:rFonts w:ascii="Times New Roman" w:hAnsi="Times New Roman"/>
          <w:sz w:val="24"/>
          <w:szCs w:val="24"/>
        </w:rPr>
        <w:t xml:space="preserve"> </w:t>
      </w:r>
      <w:r w:rsidR="00C932DB">
        <w:rPr>
          <w:rFonts w:ascii="Times New Roman" w:hAnsi="Times New Roman"/>
          <w:sz w:val="24"/>
          <w:szCs w:val="24"/>
        </w:rPr>
        <w:t>removing regulation 12AC</w:t>
      </w:r>
      <w:r w:rsidR="00C77B35">
        <w:rPr>
          <w:rFonts w:ascii="Times New Roman" w:hAnsi="Times New Roman"/>
          <w:sz w:val="24"/>
          <w:szCs w:val="24"/>
        </w:rPr>
        <w:t xml:space="preserve">, </w:t>
      </w:r>
      <w:r w:rsidR="00225278">
        <w:rPr>
          <w:rFonts w:ascii="Times New Roman" w:hAnsi="Times New Roman"/>
          <w:sz w:val="24"/>
          <w:szCs w:val="24"/>
        </w:rPr>
        <w:t>which is rendered obsolete by the</w:t>
      </w:r>
      <w:r w:rsidR="00C77B35">
        <w:rPr>
          <w:rFonts w:ascii="Times New Roman" w:hAnsi="Times New Roman"/>
          <w:sz w:val="24"/>
          <w:szCs w:val="24"/>
        </w:rPr>
        <w:t xml:space="preserve"> </w:t>
      </w:r>
      <w:r w:rsidR="00C932DB">
        <w:rPr>
          <w:rFonts w:ascii="Times New Roman" w:hAnsi="Times New Roman"/>
          <w:sz w:val="24"/>
          <w:szCs w:val="24"/>
        </w:rPr>
        <w:t xml:space="preserve">Access to Justice </w:t>
      </w:r>
      <w:r w:rsidR="00225278">
        <w:rPr>
          <w:rFonts w:ascii="Times New Roman" w:hAnsi="Times New Roman"/>
          <w:sz w:val="24"/>
          <w:szCs w:val="24"/>
        </w:rPr>
        <w:t>Act</w:t>
      </w:r>
      <w:r w:rsidR="00C77B35">
        <w:rPr>
          <w:rFonts w:ascii="Times New Roman" w:hAnsi="Times New Roman"/>
          <w:sz w:val="24"/>
          <w:szCs w:val="24"/>
        </w:rPr>
        <w:t>,</w:t>
      </w:r>
      <w:r w:rsidR="00225278">
        <w:rPr>
          <w:rFonts w:ascii="Times New Roman" w:hAnsi="Times New Roman"/>
          <w:sz w:val="24"/>
          <w:szCs w:val="24"/>
        </w:rPr>
        <w:t xml:space="preserve"> and clarifying</w:t>
      </w:r>
      <w:r w:rsidR="00756DD4">
        <w:rPr>
          <w:rFonts w:ascii="Times New Roman" w:hAnsi="Times New Roman"/>
          <w:sz w:val="24"/>
          <w:szCs w:val="24"/>
        </w:rPr>
        <w:t>,</w:t>
      </w:r>
      <w:r w:rsidR="00225278">
        <w:rPr>
          <w:rFonts w:ascii="Times New Roman" w:hAnsi="Times New Roman"/>
          <w:sz w:val="24"/>
          <w:szCs w:val="24"/>
        </w:rPr>
        <w:t xml:space="preserve"> </w:t>
      </w:r>
      <w:r w:rsidR="00C932DB">
        <w:rPr>
          <w:rFonts w:ascii="Times New Roman" w:hAnsi="Times New Roman"/>
          <w:sz w:val="24"/>
          <w:szCs w:val="24"/>
        </w:rPr>
        <w:t>in regulation 15A</w:t>
      </w:r>
      <w:r w:rsidR="00756DD4">
        <w:rPr>
          <w:rFonts w:ascii="Times New Roman" w:hAnsi="Times New Roman"/>
          <w:sz w:val="24"/>
          <w:szCs w:val="24"/>
        </w:rPr>
        <w:t xml:space="preserve">, </w:t>
      </w:r>
      <w:r w:rsidR="00225278">
        <w:rPr>
          <w:rFonts w:ascii="Times New Roman" w:hAnsi="Times New Roman"/>
          <w:sz w:val="24"/>
          <w:szCs w:val="24"/>
        </w:rPr>
        <w:t>that suppression and non-publication orders</w:t>
      </w:r>
      <w:r w:rsidR="0009617A">
        <w:rPr>
          <w:rFonts w:ascii="Times New Roman" w:hAnsi="Times New Roman"/>
          <w:sz w:val="24"/>
          <w:szCs w:val="24"/>
        </w:rPr>
        <w:t>,</w:t>
      </w:r>
      <w:r w:rsidR="00225278">
        <w:rPr>
          <w:rFonts w:ascii="Times New Roman" w:hAnsi="Times New Roman"/>
          <w:sz w:val="24"/>
          <w:szCs w:val="24"/>
        </w:rPr>
        <w:t xml:space="preserve"> and orders granting or dismissing an application by a person subject to a vexatious proceedings order for leave to institute proceeding that are subject that the order, require leave to appeal</w:t>
      </w:r>
      <w:r w:rsidR="00756DD4">
        <w:rPr>
          <w:rFonts w:ascii="Times New Roman" w:hAnsi="Times New Roman"/>
          <w:sz w:val="24"/>
          <w:szCs w:val="24"/>
        </w:rPr>
        <w:t xml:space="preserve">. </w:t>
      </w:r>
    </w:p>
    <w:p w:rsidR="008606BD" w:rsidRPr="00170DAE" w:rsidRDefault="008606BD" w:rsidP="00170DAE">
      <w:pPr>
        <w:spacing w:before="120" w:line="240" w:lineRule="auto"/>
        <w:rPr>
          <w:rFonts w:ascii="Times New Roman" w:hAnsi="Times New Roman"/>
          <w:b/>
          <w:sz w:val="24"/>
          <w:szCs w:val="24"/>
        </w:rPr>
      </w:pPr>
      <w:r w:rsidRPr="00170DAE">
        <w:rPr>
          <w:rFonts w:ascii="Times New Roman" w:hAnsi="Times New Roman"/>
          <w:b/>
          <w:sz w:val="24"/>
          <w:szCs w:val="24"/>
        </w:rPr>
        <w:t>Human Rights Implications</w:t>
      </w:r>
    </w:p>
    <w:p w:rsidR="002C2310" w:rsidRPr="00170DAE" w:rsidRDefault="00170DAE" w:rsidP="00170DAE">
      <w:pPr>
        <w:spacing w:line="240" w:lineRule="auto"/>
        <w:rPr>
          <w:rFonts w:ascii="Times New Roman" w:hAnsi="Times New Roman"/>
          <w:i/>
          <w:sz w:val="24"/>
          <w:szCs w:val="24"/>
        </w:rPr>
      </w:pPr>
      <w:r w:rsidRPr="00170DAE">
        <w:rPr>
          <w:rFonts w:ascii="Times New Roman" w:hAnsi="Times New Roman"/>
          <w:i/>
          <w:sz w:val="24"/>
          <w:szCs w:val="24"/>
        </w:rPr>
        <w:t xml:space="preserve">Amendments to regulation 12BC and regulation 15AB of the Principal Regulations </w:t>
      </w:r>
    </w:p>
    <w:p w:rsidR="00DC23D8" w:rsidRPr="00170DAE" w:rsidRDefault="00DC23D8" w:rsidP="00DC23D8">
      <w:pPr>
        <w:spacing w:line="240" w:lineRule="auto"/>
        <w:rPr>
          <w:rFonts w:ascii="Times New Roman" w:hAnsi="Times New Roman"/>
          <w:sz w:val="24"/>
          <w:szCs w:val="24"/>
        </w:rPr>
      </w:pPr>
      <w:r w:rsidRPr="00170DAE">
        <w:rPr>
          <w:rFonts w:ascii="Times New Roman" w:hAnsi="Times New Roman"/>
          <w:sz w:val="24"/>
          <w:szCs w:val="24"/>
        </w:rPr>
        <w:t>The Regulation regarding the amendments to regulation 12BC and regulation 15AB</w:t>
      </w:r>
      <w:r w:rsidRPr="00DC23D8">
        <w:rPr>
          <w:rFonts w:ascii="Times New Roman" w:hAnsi="Times New Roman"/>
          <w:sz w:val="24"/>
          <w:szCs w:val="24"/>
        </w:rPr>
        <w:t xml:space="preserve"> </w:t>
      </w:r>
      <w:r w:rsidRPr="00170DAE">
        <w:rPr>
          <w:rFonts w:ascii="Times New Roman" w:hAnsi="Times New Roman"/>
          <w:sz w:val="24"/>
          <w:szCs w:val="24"/>
        </w:rPr>
        <w:t>of the Principal Regulations</w:t>
      </w:r>
      <w:r>
        <w:rPr>
          <w:rFonts w:ascii="Times New Roman" w:hAnsi="Times New Roman"/>
          <w:sz w:val="24"/>
          <w:szCs w:val="24"/>
        </w:rPr>
        <w:t xml:space="preserve"> </w:t>
      </w:r>
      <w:r w:rsidRPr="00170DAE">
        <w:rPr>
          <w:rFonts w:ascii="Times New Roman" w:hAnsi="Times New Roman"/>
          <w:sz w:val="24"/>
          <w:szCs w:val="24"/>
        </w:rPr>
        <w:t>engages</w:t>
      </w:r>
      <w:r w:rsidRPr="00DC23D8">
        <w:rPr>
          <w:rFonts w:ascii="Times New Roman" w:hAnsi="Times New Roman"/>
          <w:sz w:val="24"/>
          <w:szCs w:val="24"/>
        </w:rPr>
        <w:t xml:space="preserve"> </w:t>
      </w:r>
      <w:r w:rsidRPr="00170DAE">
        <w:rPr>
          <w:rFonts w:ascii="Times New Roman" w:hAnsi="Times New Roman"/>
          <w:sz w:val="24"/>
          <w:szCs w:val="24"/>
        </w:rPr>
        <w:t>article</w:t>
      </w:r>
      <w:r>
        <w:rPr>
          <w:rFonts w:ascii="Times New Roman" w:hAnsi="Times New Roman"/>
          <w:sz w:val="24"/>
          <w:szCs w:val="24"/>
        </w:rPr>
        <w:t>s 23 and</w:t>
      </w:r>
      <w:r w:rsidRPr="00170DAE">
        <w:rPr>
          <w:rFonts w:ascii="Times New Roman" w:hAnsi="Times New Roman"/>
          <w:sz w:val="24"/>
          <w:szCs w:val="24"/>
        </w:rPr>
        <w:t xml:space="preserve"> 26 of the </w:t>
      </w:r>
      <w:r w:rsidRPr="0055717A">
        <w:rPr>
          <w:rFonts w:ascii="Times New Roman" w:hAnsi="Times New Roman"/>
          <w:i/>
          <w:sz w:val="24"/>
          <w:szCs w:val="24"/>
        </w:rPr>
        <w:t>International Covenant on Civil and Political Rights</w:t>
      </w:r>
      <w:r>
        <w:rPr>
          <w:rFonts w:ascii="Times New Roman" w:hAnsi="Times New Roman"/>
          <w:i/>
          <w:sz w:val="24"/>
          <w:szCs w:val="24"/>
        </w:rPr>
        <w:t xml:space="preserve"> </w:t>
      </w:r>
      <w:r w:rsidRPr="0055717A">
        <w:rPr>
          <w:rFonts w:ascii="Times New Roman" w:hAnsi="Times New Roman"/>
          <w:sz w:val="24"/>
          <w:szCs w:val="24"/>
        </w:rPr>
        <w:t>(ICCPR)</w:t>
      </w:r>
      <w:r>
        <w:rPr>
          <w:rFonts w:ascii="Times New Roman" w:hAnsi="Times New Roman"/>
          <w:sz w:val="24"/>
          <w:szCs w:val="24"/>
        </w:rPr>
        <w:t>.  A</w:t>
      </w:r>
      <w:r w:rsidRPr="0055717A">
        <w:rPr>
          <w:rFonts w:ascii="Times New Roman" w:hAnsi="Times New Roman"/>
          <w:sz w:val="24"/>
          <w:szCs w:val="24"/>
        </w:rPr>
        <w:t xml:space="preserve">rticle 23 guarantees </w:t>
      </w:r>
      <w:r w:rsidR="007D1F11">
        <w:rPr>
          <w:rFonts w:ascii="Times New Roman" w:hAnsi="Times New Roman"/>
          <w:sz w:val="24"/>
          <w:szCs w:val="24"/>
        </w:rPr>
        <w:t>the right to respect for family and</w:t>
      </w:r>
      <w:r>
        <w:rPr>
          <w:rFonts w:ascii="Times New Roman" w:hAnsi="Times New Roman"/>
          <w:sz w:val="24"/>
          <w:szCs w:val="24"/>
        </w:rPr>
        <w:t xml:space="preserve"> </w:t>
      </w:r>
      <w:r w:rsidR="00D131B5">
        <w:rPr>
          <w:rFonts w:ascii="Times New Roman" w:hAnsi="Times New Roman"/>
          <w:sz w:val="24"/>
          <w:szCs w:val="24"/>
        </w:rPr>
        <w:t>a</w:t>
      </w:r>
      <w:r w:rsidRPr="00170DAE">
        <w:rPr>
          <w:rFonts w:ascii="Times New Roman" w:hAnsi="Times New Roman"/>
          <w:sz w:val="24"/>
          <w:szCs w:val="24"/>
        </w:rPr>
        <w:t>rticle 26 guarantees the right to equal protection of the law without discrimination.</w:t>
      </w:r>
      <w:r w:rsidR="007D1F11">
        <w:rPr>
          <w:rFonts w:ascii="Times New Roman" w:hAnsi="Times New Roman"/>
          <w:sz w:val="24"/>
          <w:szCs w:val="24"/>
        </w:rPr>
        <w:t xml:space="preserve">  The amendments ensure that</w:t>
      </w:r>
      <w:r w:rsidR="007D1F11" w:rsidRPr="00170DAE">
        <w:rPr>
          <w:rFonts w:ascii="Times New Roman" w:hAnsi="Times New Roman"/>
          <w:sz w:val="24"/>
          <w:szCs w:val="24"/>
        </w:rPr>
        <w:t xml:space="preserve"> relationships registered under a prescribed scheme of relationship recognition</w:t>
      </w:r>
      <w:r w:rsidR="007D1F11">
        <w:rPr>
          <w:rFonts w:ascii="Times New Roman" w:hAnsi="Times New Roman"/>
          <w:sz w:val="24"/>
          <w:szCs w:val="24"/>
        </w:rPr>
        <w:t xml:space="preserve"> are recognised for the purposes of the Family Law Act.</w:t>
      </w:r>
    </w:p>
    <w:p w:rsidR="0055717A" w:rsidRPr="0055717A" w:rsidRDefault="0055717A" w:rsidP="00170DAE">
      <w:pPr>
        <w:spacing w:line="240" w:lineRule="auto"/>
        <w:rPr>
          <w:rFonts w:ascii="Times New Roman" w:hAnsi="Times New Roman"/>
          <w:sz w:val="24"/>
          <w:szCs w:val="24"/>
        </w:rPr>
      </w:pPr>
      <w:r w:rsidRPr="0055717A">
        <w:rPr>
          <w:rFonts w:ascii="Times New Roman" w:hAnsi="Times New Roman"/>
          <w:sz w:val="24"/>
          <w:szCs w:val="24"/>
        </w:rPr>
        <w:t>The United Nations Human Rights Committee</w:t>
      </w:r>
      <w:r w:rsidR="00013FB7">
        <w:rPr>
          <w:rFonts w:ascii="Times New Roman" w:hAnsi="Times New Roman"/>
          <w:sz w:val="24"/>
          <w:szCs w:val="24"/>
        </w:rPr>
        <w:t xml:space="preserve"> (HRC)</w:t>
      </w:r>
      <w:r w:rsidRPr="0055717A">
        <w:rPr>
          <w:rFonts w:ascii="Times New Roman" w:hAnsi="Times New Roman"/>
          <w:sz w:val="24"/>
          <w:szCs w:val="24"/>
        </w:rPr>
        <w:t xml:space="preserve"> has made it clear that the definition of family is not confined by the concept of marriage.  If countries recognise other arrangements that may constitute a family, those arrangements must be protected under article 23 of the ICCPR.</w:t>
      </w:r>
    </w:p>
    <w:p w:rsidR="0055717A" w:rsidRPr="0055717A" w:rsidRDefault="0055717A" w:rsidP="00EC340D">
      <w:pPr>
        <w:spacing w:line="240" w:lineRule="auto"/>
        <w:rPr>
          <w:rFonts w:ascii="Times New Roman" w:hAnsi="Times New Roman"/>
          <w:sz w:val="24"/>
          <w:szCs w:val="24"/>
        </w:rPr>
      </w:pPr>
      <w:r w:rsidRPr="0055717A">
        <w:rPr>
          <w:rFonts w:ascii="Times New Roman" w:hAnsi="Times New Roman"/>
          <w:sz w:val="24"/>
          <w:szCs w:val="24"/>
        </w:rPr>
        <w:lastRenderedPageBreak/>
        <w:t>De facto couples registered under a relationship recognition scheme are recognised as conclusive evidence that two people are in a ‘de facto relationship’ for the purposes of the Family Law Act.</w:t>
      </w:r>
    </w:p>
    <w:p w:rsidR="00170DAE" w:rsidRDefault="0055717A" w:rsidP="00170DAE">
      <w:pPr>
        <w:spacing w:line="240" w:lineRule="auto"/>
        <w:rPr>
          <w:rFonts w:ascii="Times New Roman" w:hAnsi="Times New Roman"/>
          <w:sz w:val="24"/>
          <w:szCs w:val="24"/>
        </w:rPr>
      </w:pPr>
      <w:r w:rsidRPr="0055717A">
        <w:rPr>
          <w:rFonts w:ascii="Times New Roman" w:hAnsi="Times New Roman"/>
          <w:sz w:val="24"/>
          <w:szCs w:val="24"/>
        </w:rPr>
        <w:t>By ensuring that same</w:t>
      </w:r>
      <w:r w:rsidRPr="0055717A">
        <w:rPr>
          <w:rFonts w:ascii="Times New Roman" w:hAnsi="Times New Roman"/>
          <w:sz w:val="24"/>
          <w:szCs w:val="24"/>
        </w:rPr>
        <w:noBreakHyphen/>
        <w:t>sex couples are recognised and have the same entitlements as opposite-sex de facto couples for the purposes of the Family Law Act, the Regulation protects the right to respect for family and the right to non-discrimination.</w:t>
      </w:r>
    </w:p>
    <w:p w:rsidR="00225278" w:rsidRDefault="00225278" w:rsidP="00170DAE">
      <w:pPr>
        <w:spacing w:line="240" w:lineRule="auto"/>
        <w:rPr>
          <w:rFonts w:ascii="Times New Roman" w:hAnsi="Times New Roman"/>
          <w:i/>
          <w:sz w:val="24"/>
          <w:szCs w:val="24"/>
        </w:rPr>
      </w:pPr>
      <w:r>
        <w:rPr>
          <w:rFonts w:ascii="Times New Roman" w:hAnsi="Times New Roman"/>
          <w:i/>
          <w:sz w:val="24"/>
          <w:szCs w:val="24"/>
        </w:rPr>
        <w:t>Amendments to regulation 39BB of the Principal Regulations</w:t>
      </w:r>
    </w:p>
    <w:p w:rsidR="00225278" w:rsidRDefault="00763672" w:rsidP="00170DAE">
      <w:pPr>
        <w:spacing w:line="240" w:lineRule="auto"/>
        <w:rPr>
          <w:rFonts w:ascii="Times New Roman" w:hAnsi="Times New Roman"/>
          <w:sz w:val="24"/>
          <w:szCs w:val="24"/>
        </w:rPr>
      </w:pPr>
      <w:r>
        <w:rPr>
          <w:rFonts w:ascii="Times New Roman" w:hAnsi="Times New Roman"/>
          <w:sz w:val="24"/>
          <w:szCs w:val="24"/>
        </w:rPr>
        <w:t xml:space="preserve">The amendments to regulation </w:t>
      </w:r>
      <w:r w:rsidR="00013FB7">
        <w:rPr>
          <w:rFonts w:ascii="Times New Roman" w:hAnsi="Times New Roman"/>
          <w:sz w:val="24"/>
          <w:szCs w:val="24"/>
        </w:rPr>
        <w:t>39</w:t>
      </w:r>
      <w:r>
        <w:rPr>
          <w:rFonts w:ascii="Times New Roman" w:hAnsi="Times New Roman"/>
          <w:sz w:val="24"/>
          <w:szCs w:val="24"/>
        </w:rPr>
        <w:t xml:space="preserve">BB engage </w:t>
      </w:r>
      <w:r w:rsidR="00225278">
        <w:rPr>
          <w:rFonts w:ascii="Times New Roman" w:hAnsi="Times New Roman"/>
          <w:sz w:val="24"/>
          <w:szCs w:val="24"/>
        </w:rPr>
        <w:t>Article 14 of the ICCPR. Article 14 states that ‘everyone shall be entitled to a fair and public hearing by a competent, independent and impartial tribunal established by law.’</w:t>
      </w:r>
    </w:p>
    <w:p w:rsidR="00225278" w:rsidRDefault="00225278" w:rsidP="00170DAE">
      <w:pPr>
        <w:spacing w:line="240" w:lineRule="auto"/>
        <w:rPr>
          <w:rFonts w:ascii="Times New Roman" w:hAnsi="Times New Roman"/>
          <w:sz w:val="24"/>
          <w:szCs w:val="24"/>
        </w:rPr>
      </w:pPr>
      <w:r>
        <w:rPr>
          <w:rFonts w:ascii="Times New Roman" w:hAnsi="Times New Roman"/>
          <w:sz w:val="24"/>
          <w:szCs w:val="24"/>
        </w:rPr>
        <w:t xml:space="preserve">The HRC has provided insight into the meaning of an ‘impartial tribunal’, stating that </w:t>
      </w:r>
      <w:r w:rsidR="00763672">
        <w:rPr>
          <w:rFonts w:ascii="Times New Roman" w:hAnsi="Times New Roman"/>
          <w:sz w:val="24"/>
          <w:szCs w:val="24"/>
        </w:rPr>
        <w:t xml:space="preserve">the requirement has two </w:t>
      </w:r>
      <w:r w:rsidR="00763672" w:rsidRPr="00763672">
        <w:rPr>
          <w:rFonts w:ascii="Times New Roman" w:hAnsi="Times New Roman"/>
          <w:sz w:val="24"/>
          <w:szCs w:val="24"/>
        </w:rPr>
        <w:t>aspects.</w:t>
      </w:r>
      <w:r w:rsidR="00013FB7">
        <w:rPr>
          <w:rFonts w:ascii="Times New Roman" w:hAnsi="Times New Roman"/>
          <w:sz w:val="24"/>
          <w:szCs w:val="24"/>
        </w:rPr>
        <w:t xml:space="preserve"> </w:t>
      </w:r>
      <w:r w:rsidR="00763672" w:rsidRPr="00763672">
        <w:rPr>
          <w:rFonts w:ascii="Times New Roman" w:hAnsi="Times New Roman"/>
          <w:sz w:val="24"/>
          <w:szCs w:val="24"/>
        </w:rPr>
        <w:t xml:space="preserve"> ‘</w:t>
      </w:r>
      <w:r w:rsidR="00763672" w:rsidRPr="00013FB7">
        <w:rPr>
          <w:rFonts w:ascii="Times New Roman" w:hAnsi="Times New Roman"/>
          <w:sz w:val="24"/>
          <w:szCs w:val="24"/>
        </w:rPr>
        <w:t>First, judges must not allow their judgement to be influenced by personal bias or prejudice, nor harbour preconceptions about the particular case before them, nor act in ways that improperly promote the interests of one of the parties to the detriment of the other.  Second, the tribunal must also appear to a reasonable observer to be impartial.  For instance, a trial substantially affected by the participation of a judge who, under domestic statutes, should have been disqualified cannot normally be considered to be impartial.’</w:t>
      </w:r>
    </w:p>
    <w:p w:rsidR="00763672" w:rsidRPr="00225278" w:rsidRDefault="00763672" w:rsidP="00170DAE">
      <w:pPr>
        <w:spacing w:line="240" w:lineRule="auto"/>
        <w:rPr>
          <w:rFonts w:ascii="Times New Roman" w:hAnsi="Times New Roman"/>
          <w:sz w:val="24"/>
          <w:szCs w:val="24"/>
          <w:u w:val="single"/>
        </w:rPr>
      </w:pPr>
      <w:r w:rsidRPr="00756DD4">
        <w:rPr>
          <w:rFonts w:ascii="Times New Roman" w:hAnsi="Times New Roman"/>
          <w:sz w:val="24"/>
          <w:szCs w:val="24"/>
        </w:rPr>
        <w:t>The amendment to regulation 39BB will allow the Family Court of Australia</w:t>
      </w:r>
      <w:r>
        <w:rPr>
          <w:rFonts w:ascii="Times New Roman" w:hAnsi="Times New Roman"/>
          <w:sz w:val="24"/>
          <w:szCs w:val="24"/>
          <w:u w:val="single"/>
        </w:rPr>
        <w:t xml:space="preserve"> </w:t>
      </w:r>
      <w:r>
        <w:rPr>
          <w:rFonts w:ascii="Times New Roman" w:hAnsi="Times New Roman"/>
          <w:sz w:val="24"/>
          <w:szCs w:val="24"/>
        </w:rPr>
        <w:t xml:space="preserve">to exercise its jurisdiction in Western Australia, the Territory of Christmas Island and the Territory of the Cocos (Keeling) Islands to hear appeals against a decision of a judge of the Family Court of Western Australia to refuse to disqualify themselves from hearing a matter.  By allowing for appeals to the </w:t>
      </w:r>
      <w:r w:rsidR="00013FB7">
        <w:rPr>
          <w:rFonts w:ascii="Times New Roman" w:hAnsi="Times New Roman"/>
          <w:sz w:val="24"/>
          <w:szCs w:val="24"/>
        </w:rPr>
        <w:t>Family</w:t>
      </w:r>
      <w:r>
        <w:rPr>
          <w:rFonts w:ascii="Times New Roman" w:hAnsi="Times New Roman"/>
          <w:sz w:val="24"/>
          <w:szCs w:val="24"/>
        </w:rPr>
        <w:t xml:space="preserve"> Court of Australia from the Family Court of Western Australia in cases where actual or perceived judicial impartiality may have occurred, the amendment will promote the right to a fair and public hearing by a competent, independent and impartial tribunal. </w:t>
      </w:r>
    </w:p>
    <w:p w:rsidR="008D4CD9" w:rsidRPr="005540F7" w:rsidRDefault="008D4CD9" w:rsidP="008D4CD9">
      <w:pPr>
        <w:spacing w:line="240" w:lineRule="auto"/>
        <w:rPr>
          <w:rFonts w:ascii="Times New Roman" w:hAnsi="Times New Roman"/>
          <w:i/>
          <w:sz w:val="24"/>
          <w:szCs w:val="24"/>
        </w:rPr>
      </w:pPr>
      <w:r>
        <w:rPr>
          <w:rFonts w:ascii="Times New Roman" w:hAnsi="Times New Roman"/>
          <w:i/>
          <w:sz w:val="24"/>
          <w:szCs w:val="24"/>
        </w:rPr>
        <w:t xml:space="preserve">Proceeds of crime amendments </w:t>
      </w:r>
    </w:p>
    <w:p w:rsidR="008D4CD9" w:rsidRDefault="008D4CD9" w:rsidP="008D4CD9">
      <w:pPr>
        <w:spacing w:line="240" w:lineRule="auto"/>
        <w:rPr>
          <w:rFonts w:ascii="Times New Roman" w:hAnsi="Times New Roman"/>
          <w:sz w:val="24"/>
          <w:szCs w:val="24"/>
        </w:rPr>
      </w:pPr>
      <w:r w:rsidRPr="005540F7">
        <w:rPr>
          <w:rFonts w:ascii="Times New Roman" w:hAnsi="Times New Roman"/>
          <w:sz w:val="24"/>
          <w:szCs w:val="24"/>
        </w:rPr>
        <w:t xml:space="preserve">The </w:t>
      </w:r>
      <w:r>
        <w:rPr>
          <w:rFonts w:ascii="Times New Roman" w:hAnsi="Times New Roman"/>
          <w:sz w:val="24"/>
          <w:szCs w:val="24"/>
        </w:rPr>
        <w:t>aspects of the R</w:t>
      </w:r>
      <w:r w:rsidRPr="005540F7">
        <w:rPr>
          <w:rFonts w:ascii="Times New Roman" w:hAnsi="Times New Roman"/>
          <w:sz w:val="24"/>
          <w:szCs w:val="24"/>
        </w:rPr>
        <w:t>egulation</w:t>
      </w:r>
      <w:r>
        <w:rPr>
          <w:rFonts w:ascii="Times New Roman" w:hAnsi="Times New Roman"/>
          <w:sz w:val="24"/>
          <w:szCs w:val="24"/>
        </w:rPr>
        <w:t xml:space="preserve"> relating to the proceeds of crime do</w:t>
      </w:r>
      <w:r w:rsidRPr="005540F7">
        <w:rPr>
          <w:rFonts w:ascii="Times New Roman" w:hAnsi="Times New Roman"/>
          <w:sz w:val="24"/>
          <w:szCs w:val="24"/>
        </w:rPr>
        <w:t xml:space="preserve"> not engage any of the applicable rights and freedoms as it does not make any substantive changes to the law.  The amendments made to the Family Law Act in 2011 expanded the scope of the definitions of ‘proceeds of crime order’, ‘forfeiture application’ and ‘proceeds of crime authority’ under the Act to include State and Territory regimes prescribed by the regulations.  This regulation simply prescribes the relevant State and Territory regimes for the purposes of the Act</w:t>
      </w:r>
      <w:r>
        <w:rPr>
          <w:rFonts w:ascii="Times New Roman" w:hAnsi="Times New Roman"/>
          <w:sz w:val="24"/>
          <w:szCs w:val="24"/>
        </w:rPr>
        <w:t>.</w:t>
      </w:r>
    </w:p>
    <w:p w:rsidR="005540F7" w:rsidRDefault="005540F7" w:rsidP="005540F7">
      <w:pPr>
        <w:spacing w:line="240" w:lineRule="auto"/>
        <w:rPr>
          <w:rFonts w:ascii="Times New Roman" w:hAnsi="Times New Roman"/>
          <w:i/>
          <w:sz w:val="24"/>
          <w:szCs w:val="24"/>
        </w:rPr>
      </w:pPr>
      <w:r>
        <w:rPr>
          <w:rFonts w:ascii="Times New Roman" w:hAnsi="Times New Roman"/>
          <w:i/>
          <w:sz w:val="24"/>
          <w:szCs w:val="24"/>
        </w:rPr>
        <w:t>Other amendments</w:t>
      </w:r>
    </w:p>
    <w:p w:rsidR="009A47E8" w:rsidRDefault="00F55000" w:rsidP="009A47E8">
      <w:pPr>
        <w:spacing w:line="240" w:lineRule="auto"/>
        <w:rPr>
          <w:rFonts w:ascii="Times New Roman" w:hAnsi="Times New Roman"/>
          <w:sz w:val="24"/>
          <w:szCs w:val="24"/>
        </w:rPr>
      </w:pPr>
      <w:r w:rsidRPr="00185271">
        <w:rPr>
          <w:rFonts w:ascii="Times New Roman" w:hAnsi="Times New Roman"/>
          <w:sz w:val="24"/>
          <w:szCs w:val="24"/>
        </w:rPr>
        <w:t xml:space="preserve">The amendments to prescribe the </w:t>
      </w:r>
      <w:r w:rsidRPr="00185271">
        <w:rPr>
          <w:rFonts w:ascii="Times New Roman" w:hAnsi="Times New Roman"/>
          <w:i/>
          <w:sz w:val="24"/>
          <w:szCs w:val="24"/>
        </w:rPr>
        <w:t>Domestic and Family Violence Protection Act 2012</w:t>
      </w:r>
      <w:r w:rsidRPr="00185271">
        <w:rPr>
          <w:rFonts w:ascii="Times New Roman" w:hAnsi="Times New Roman"/>
          <w:sz w:val="24"/>
          <w:szCs w:val="24"/>
        </w:rPr>
        <w:t xml:space="preserve"> (Qld)</w:t>
      </w:r>
      <w:r w:rsidR="008E3138" w:rsidRPr="00185271">
        <w:rPr>
          <w:rFonts w:ascii="Times New Roman" w:hAnsi="Times New Roman"/>
          <w:sz w:val="24"/>
          <w:szCs w:val="24"/>
        </w:rPr>
        <w:t xml:space="preserve"> </w:t>
      </w:r>
      <w:r w:rsidR="00D76FCB">
        <w:rPr>
          <w:rFonts w:ascii="Times New Roman" w:hAnsi="Times New Roman"/>
          <w:sz w:val="24"/>
          <w:szCs w:val="24"/>
        </w:rPr>
        <w:t xml:space="preserve">and the amendments supporting the Access to Justice Act </w:t>
      </w:r>
      <w:r w:rsidRPr="00185271">
        <w:rPr>
          <w:rFonts w:ascii="Times New Roman" w:hAnsi="Times New Roman"/>
          <w:sz w:val="24"/>
          <w:szCs w:val="24"/>
        </w:rPr>
        <w:t xml:space="preserve">do not affect any human rights as </w:t>
      </w:r>
      <w:r w:rsidR="008E3138" w:rsidRPr="00185271">
        <w:rPr>
          <w:rFonts w:ascii="Times New Roman" w:hAnsi="Times New Roman"/>
          <w:sz w:val="24"/>
          <w:szCs w:val="24"/>
        </w:rPr>
        <w:t>they</w:t>
      </w:r>
      <w:r w:rsidRPr="00185271">
        <w:rPr>
          <w:rFonts w:ascii="Times New Roman" w:hAnsi="Times New Roman"/>
          <w:sz w:val="24"/>
          <w:szCs w:val="24"/>
        </w:rPr>
        <w:t xml:space="preserve"> a</w:t>
      </w:r>
      <w:r w:rsidR="008E3138" w:rsidRPr="00185271">
        <w:rPr>
          <w:rFonts w:ascii="Times New Roman" w:hAnsi="Times New Roman"/>
          <w:sz w:val="24"/>
          <w:szCs w:val="24"/>
        </w:rPr>
        <w:t>re</w:t>
      </w:r>
      <w:r w:rsidRPr="00185271">
        <w:rPr>
          <w:rFonts w:ascii="Times New Roman" w:hAnsi="Times New Roman"/>
          <w:sz w:val="24"/>
          <w:szCs w:val="24"/>
        </w:rPr>
        <w:t xml:space="preserve"> technical change</w:t>
      </w:r>
      <w:r w:rsidR="008E3138" w:rsidRPr="00185271">
        <w:rPr>
          <w:rFonts w:ascii="Times New Roman" w:hAnsi="Times New Roman"/>
          <w:sz w:val="24"/>
          <w:szCs w:val="24"/>
        </w:rPr>
        <w:t>s</w:t>
      </w:r>
      <w:r w:rsidRPr="00185271">
        <w:rPr>
          <w:rFonts w:ascii="Times New Roman" w:hAnsi="Times New Roman"/>
          <w:sz w:val="24"/>
          <w:szCs w:val="24"/>
        </w:rPr>
        <w:t xml:space="preserve"> to reflect the current law.</w:t>
      </w:r>
    </w:p>
    <w:p w:rsidR="009A47E8" w:rsidRDefault="008606BD" w:rsidP="009A47E8">
      <w:pPr>
        <w:spacing w:line="240" w:lineRule="auto"/>
        <w:rPr>
          <w:rFonts w:ascii="Times New Roman" w:hAnsi="Times New Roman"/>
          <w:b/>
          <w:sz w:val="24"/>
          <w:szCs w:val="24"/>
        </w:rPr>
      </w:pPr>
      <w:r w:rsidRPr="00170DAE">
        <w:rPr>
          <w:rFonts w:ascii="Times New Roman" w:hAnsi="Times New Roman"/>
          <w:b/>
          <w:sz w:val="24"/>
          <w:szCs w:val="24"/>
        </w:rPr>
        <w:t>Conclusion</w:t>
      </w:r>
    </w:p>
    <w:p w:rsidR="008606BD" w:rsidRPr="00170DAE" w:rsidRDefault="00170DAE" w:rsidP="009A47E8">
      <w:pPr>
        <w:spacing w:line="240" w:lineRule="auto"/>
        <w:rPr>
          <w:rFonts w:ascii="Times New Roman" w:hAnsi="Times New Roman"/>
          <w:sz w:val="24"/>
          <w:szCs w:val="24"/>
        </w:rPr>
      </w:pPr>
      <w:r w:rsidRPr="00170DAE">
        <w:rPr>
          <w:rFonts w:ascii="Times New Roman" w:hAnsi="Times New Roman"/>
          <w:sz w:val="24"/>
          <w:szCs w:val="24"/>
        </w:rPr>
        <w:t>The Regulation is compatible with human rights because the aspects of the Regulation that engage human rights advance the protection of human rights.</w:t>
      </w:r>
      <w:r>
        <w:rPr>
          <w:rFonts w:ascii="Times New Roman" w:hAnsi="Times New Roman"/>
          <w:sz w:val="24"/>
          <w:szCs w:val="24"/>
        </w:rPr>
        <w:t xml:space="preserve"> </w:t>
      </w:r>
      <w:r w:rsidR="00D55A0A">
        <w:rPr>
          <w:rFonts w:ascii="Times New Roman" w:hAnsi="Times New Roman"/>
          <w:sz w:val="24"/>
          <w:szCs w:val="24"/>
        </w:rPr>
        <w:t xml:space="preserve"> </w:t>
      </w:r>
    </w:p>
    <w:p w:rsidR="008606BD" w:rsidRPr="00170DAE" w:rsidRDefault="008606BD" w:rsidP="00170DAE">
      <w:pPr>
        <w:spacing w:after="240" w:line="240" w:lineRule="auto"/>
        <w:jc w:val="center"/>
        <w:rPr>
          <w:rFonts w:ascii="Times New Roman" w:hAnsi="Times New Roman"/>
          <w:b/>
          <w:bCs/>
          <w:sz w:val="24"/>
          <w:szCs w:val="24"/>
        </w:rPr>
      </w:pPr>
      <w:r w:rsidRPr="00170DAE">
        <w:rPr>
          <w:rFonts w:ascii="Times New Roman" w:hAnsi="Times New Roman"/>
          <w:b/>
          <w:bCs/>
          <w:sz w:val="24"/>
          <w:szCs w:val="24"/>
        </w:rPr>
        <w:t>The Hon Nicola Roxon MP</w:t>
      </w:r>
    </w:p>
    <w:p w:rsidR="008606BD" w:rsidRPr="00170DAE" w:rsidRDefault="008606BD" w:rsidP="00170DAE">
      <w:pPr>
        <w:spacing w:before="240" w:line="240" w:lineRule="auto"/>
        <w:jc w:val="center"/>
        <w:rPr>
          <w:rFonts w:ascii="Times New Roman" w:hAnsi="Times New Roman"/>
          <w:sz w:val="24"/>
          <w:szCs w:val="24"/>
        </w:rPr>
      </w:pPr>
      <w:r w:rsidRPr="00170DAE">
        <w:rPr>
          <w:rFonts w:ascii="Times New Roman" w:hAnsi="Times New Roman"/>
          <w:b/>
          <w:bCs/>
          <w:sz w:val="24"/>
          <w:szCs w:val="24"/>
        </w:rPr>
        <w:t>Attorney-General</w:t>
      </w:r>
    </w:p>
    <w:sectPr w:rsidR="008606BD" w:rsidRPr="00170DAE" w:rsidSect="005B267B">
      <w:footerReference w:type="default" r:id="rId7"/>
      <w:pgSz w:w="11906" w:h="16838"/>
      <w:pgMar w:top="1134"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6E9" w:rsidRDefault="008B16E9" w:rsidP="00B25B80">
      <w:pPr>
        <w:spacing w:after="0" w:line="240" w:lineRule="auto"/>
      </w:pPr>
      <w:r>
        <w:separator/>
      </w:r>
    </w:p>
  </w:endnote>
  <w:endnote w:type="continuationSeparator" w:id="0">
    <w:p w:rsidR="008B16E9" w:rsidRDefault="008B16E9" w:rsidP="00B2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80" w:rsidRPr="00B25B80" w:rsidRDefault="00B25B80" w:rsidP="00B25B80">
    <w:pPr>
      <w:pStyle w:val="Footer"/>
      <w:spacing w:after="0"/>
      <w:jc w:val="right"/>
      <w:rPr>
        <w:rFonts w:ascii="Times New Roman" w:hAnsi="Times New Roman"/>
      </w:rPr>
    </w:pPr>
    <w:r w:rsidRPr="00B25B80">
      <w:rPr>
        <w:rFonts w:ascii="Times New Roman" w:hAnsi="Times New Roman"/>
        <w:i/>
      </w:rPr>
      <w:t xml:space="preserve">Family Law </w:t>
    </w:r>
    <w:r w:rsidR="00096A2C">
      <w:rPr>
        <w:rFonts w:ascii="Times New Roman" w:hAnsi="Times New Roman"/>
        <w:i/>
      </w:rPr>
      <w:t>Amendment Regulation 2012 (No. 3</w:t>
    </w:r>
    <w:r w:rsidRPr="00B25B80">
      <w:rPr>
        <w:rFonts w:ascii="Times New Roman" w:hAnsi="Times New Roman"/>
        <w:i/>
      </w:rPr>
      <w:t>)</w:t>
    </w:r>
    <w:r w:rsidRPr="00B25B80">
      <w:rPr>
        <w:rFonts w:ascii="Times New Roman" w:hAnsi="Times New Roman"/>
      </w:rPr>
      <w:t xml:space="preserve">: </w:t>
    </w:r>
  </w:p>
  <w:p w:rsidR="00096A2C" w:rsidRPr="00B25B80" w:rsidRDefault="00B25B80" w:rsidP="00B25B80">
    <w:pPr>
      <w:pStyle w:val="Footer"/>
      <w:spacing w:after="0"/>
      <w:jc w:val="right"/>
      <w:rPr>
        <w:rFonts w:ascii="Times New Roman" w:hAnsi="Times New Roman"/>
      </w:rPr>
    </w:pPr>
    <w:r w:rsidRPr="00B25B80">
      <w:rPr>
        <w:rFonts w:ascii="Times New Roman" w:hAnsi="Times New Roman"/>
      </w:rPr>
      <w:t xml:space="preserve">Explanatory Statement and Statement of Compatibility with Human Rights — </w:t>
    </w:r>
    <w:r w:rsidR="008D6659" w:rsidRPr="00B25B80">
      <w:rPr>
        <w:rFonts w:ascii="Times New Roman" w:hAnsi="Times New Roman"/>
      </w:rPr>
      <w:fldChar w:fldCharType="begin"/>
    </w:r>
    <w:r w:rsidRPr="00B25B80">
      <w:rPr>
        <w:rFonts w:ascii="Times New Roman" w:hAnsi="Times New Roman"/>
      </w:rPr>
      <w:instrText xml:space="preserve"> PAGE </w:instrText>
    </w:r>
    <w:r w:rsidR="008D6659" w:rsidRPr="00B25B80">
      <w:rPr>
        <w:rFonts w:ascii="Times New Roman" w:hAnsi="Times New Roman"/>
      </w:rPr>
      <w:fldChar w:fldCharType="separate"/>
    </w:r>
    <w:r w:rsidR="00053477">
      <w:rPr>
        <w:rFonts w:ascii="Times New Roman" w:hAnsi="Times New Roman"/>
        <w:noProof/>
      </w:rPr>
      <w:t>7</w:t>
    </w:r>
    <w:r w:rsidR="008D6659" w:rsidRPr="00B25B80">
      <w:rPr>
        <w:rFonts w:ascii="Times New Roman" w:hAnsi="Times New Roman"/>
      </w:rPr>
      <w:fldChar w:fldCharType="end"/>
    </w:r>
    <w:r w:rsidRPr="00B25B80">
      <w:rPr>
        <w:rFonts w:ascii="Times New Roman" w:hAnsi="Times New Roman"/>
      </w:rPr>
      <w:t xml:space="preserve"> of </w:t>
    </w:r>
    <w:r w:rsidR="008D6659" w:rsidRPr="00B25B80">
      <w:rPr>
        <w:rFonts w:ascii="Times New Roman" w:hAnsi="Times New Roman"/>
      </w:rPr>
      <w:fldChar w:fldCharType="begin"/>
    </w:r>
    <w:r w:rsidRPr="00B25B80">
      <w:rPr>
        <w:rFonts w:ascii="Times New Roman" w:hAnsi="Times New Roman"/>
      </w:rPr>
      <w:instrText xml:space="preserve"> NUMPAGES </w:instrText>
    </w:r>
    <w:r w:rsidR="008D6659" w:rsidRPr="00B25B80">
      <w:rPr>
        <w:rFonts w:ascii="Times New Roman" w:hAnsi="Times New Roman"/>
      </w:rPr>
      <w:fldChar w:fldCharType="separate"/>
    </w:r>
    <w:r w:rsidR="00053477">
      <w:rPr>
        <w:rFonts w:ascii="Times New Roman" w:hAnsi="Times New Roman"/>
        <w:noProof/>
      </w:rPr>
      <w:t>9</w:t>
    </w:r>
    <w:r w:rsidR="008D6659" w:rsidRPr="00B25B80">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6E9" w:rsidRDefault="008B16E9" w:rsidP="00B25B80">
      <w:pPr>
        <w:spacing w:after="0" w:line="240" w:lineRule="auto"/>
      </w:pPr>
      <w:r>
        <w:separator/>
      </w:r>
    </w:p>
  </w:footnote>
  <w:footnote w:type="continuationSeparator" w:id="0">
    <w:p w:rsidR="008B16E9" w:rsidRDefault="008B16E9" w:rsidP="00B25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1070"/>
    <w:multiLevelType w:val="hybridMultilevel"/>
    <w:tmpl w:val="AEEAD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F422F0"/>
    <w:multiLevelType w:val="hybridMultilevel"/>
    <w:tmpl w:val="2826C08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nsid w:val="2B7D270C"/>
    <w:multiLevelType w:val="hybridMultilevel"/>
    <w:tmpl w:val="8F30B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2E0478"/>
    <w:multiLevelType w:val="singleLevel"/>
    <w:tmpl w:val="C3D8C84A"/>
    <w:lvl w:ilvl="0">
      <w:start w:val="2"/>
      <w:numFmt w:val="decimal"/>
      <w:pStyle w:val="Paragraphnumbered"/>
      <w:lvlText w:val="%1."/>
      <w:legacy w:legacy="1" w:legacySpace="0" w:legacyIndent="567"/>
      <w:lvlJc w:val="left"/>
      <w:pPr>
        <w:ind w:left="567" w:hanging="567"/>
      </w:pPr>
      <w:rPr>
        <w:b w:val="0"/>
        <w:color w:val="auto"/>
      </w:rPr>
    </w:lvl>
  </w:abstractNum>
  <w:num w:numId="1">
    <w:abstractNumId w:val="0"/>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6B70"/>
    <w:rsid w:val="00011E9C"/>
    <w:rsid w:val="00013FB7"/>
    <w:rsid w:val="00017069"/>
    <w:rsid w:val="000377E2"/>
    <w:rsid w:val="000420EB"/>
    <w:rsid w:val="000451E2"/>
    <w:rsid w:val="00053477"/>
    <w:rsid w:val="000757C9"/>
    <w:rsid w:val="000927BC"/>
    <w:rsid w:val="0009617A"/>
    <w:rsid w:val="00096A2C"/>
    <w:rsid w:val="000A0406"/>
    <w:rsid w:val="000B1AA9"/>
    <w:rsid w:val="000C7EE7"/>
    <w:rsid w:val="00126ABA"/>
    <w:rsid w:val="001400DB"/>
    <w:rsid w:val="00144282"/>
    <w:rsid w:val="0015779F"/>
    <w:rsid w:val="00160977"/>
    <w:rsid w:val="00170DAE"/>
    <w:rsid w:val="001743FA"/>
    <w:rsid w:val="001848E1"/>
    <w:rsid w:val="00185271"/>
    <w:rsid w:val="001C72F5"/>
    <w:rsid w:val="001E6646"/>
    <w:rsid w:val="00206430"/>
    <w:rsid w:val="00215734"/>
    <w:rsid w:val="00225278"/>
    <w:rsid w:val="00265353"/>
    <w:rsid w:val="002B7CC0"/>
    <w:rsid w:val="002C2310"/>
    <w:rsid w:val="002D1F8D"/>
    <w:rsid w:val="002D71E3"/>
    <w:rsid w:val="002F0B0B"/>
    <w:rsid w:val="002F1582"/>
    <w:rsid w:val="00301191"/>
    <w:rsid w:val="00310D2D"/>
    <w:rsid w:val="00335884"/>
    <w:rsid w:val="00370EC2"/>
    <w:rsid w:val="00374864"/>
    <w:rsid w:val="003B2610"/>
    <w:rsid w:val="003C304B"/>
    <w:rsid w:val="00404343"/>
    <w:rsid w:val="00406C33"/>
    <w:rsid w:val="0042302F"/>
    <w:rsid w:val="004431C3"/>
    <w:rsid w:val="00446D03"/>
    <w:rsid w:val="00456132"/>
    <w:rsid w:val="0047397C"/>
    <w:rsid w:val="00484C84"/>
    <w:rsid w:val="004D6376"/>
    <w:rsid w:val="004E24E9"/>
    <w:rsid w:val="004E6060"/>
    <w:rsid w:val="005063A7"/>
    <w:rsid w:val="0051551A"/>
    <w:rsid w:val="00516AC1"/>
    <w:rsid w:val="00522071"/>
    <w:rsid w:val="0053278E"/>
    <w:rsid w:val="00536D85"/>
    <w:rsid w:val="005425C3"/>
    <w:rsid w:val="00552733"/>
    <w:rsid w:val="005540F7"/>
    <w:rsid w:val="00554916"/>
    <w:rsid w:val="00556B70"/>
    <w:rsid w:val="0055717A"/>
    <w:rsid w:val="00567425"/>
    <w:rsid w:val="005803B5"/>
    <w:rsid w:val="00590F5E"/>
    <w:rsid w:val="005B267B"/>
    <w:rsid w:val="005C3C22"/>
    <w:rsid w:val="005F1804"/>
    <w:rsid w:val="00605991"/>
    <w:rsid w:val="0061351D"/>
    <w:rsid w:val="00692245"/>
    <w:rsid w:val="006929FA"/>
    <w:rsid w:val="006B7DE9"/>
    <w:rsid w:val="006C353E"/>
    <w:rsid w:val="006E0873"/>
    <w:rsid w:val="006E2445"/>
    <w:rsid w:val="00704923"/>
    <w:rsid w:val="0071544A"/>
    <w:rsid w:val="00720E6A"/>
    <w:rsid w:val="007249CB"/>
    <w:rsid w:val="00727170"/>
    <w:rsid w:val="00733F4D"/>
    <w:rsid w:val="00737639"/>
    <w:rsid w:val="00756DD4"/>
    <w:rsid w:val="0076049A"/>
    <w:rsid w:val="00763672"/>
    <w:rsid w:val="00770264"/>
    <w:rsid w:val="00771D86"/>
    <w:rsid w:val="00794AFB"/>
    <w:rsid w:val="007A185E"/>
    <w:rsid w:val="007A216A"/>
    <w:rsid w:val="007A361E"/>
    <w:rsid w:val="007A5F6E"/>
    <w:rsid w:val="007D1F11"/>
    <w:rsid w:val="007F38FB"/>
    <w:rsid w:val="008014D3"/>
    <w:rsid w:val="00813046"/>
    <w:rsid w:val="00830B6C"/>
    <w:rsid w:val="00832CA6"/>
    <w:rsid w:val="008606BD"/>
    <w:rsid w:val="008A5A42"/>
    <w:rsid w:val="008B16E9"/>
    <w:rsid w:val="008C0644"/>
    <w:rsid w:val="008D4CD9"/>
    <w:rsid w:val="008D6659"/>
    <w:rsid w:val="008E3138"/>
    <w:rsid w:val="008F3EB1"/>
    <w:rsid w:val="00946F4C"/>
    <w:rsid w:val="00993D72"/>
    <w:rsid w:val="009A47E8"/>
    <w:rsid w:val="009A55FA"/>
    <w:rsid w:val="009B2888"/>
    <w:rsid w:val="009C2B73"/>
    <w:rsid w:val="009D22D0"/>
    <w:rsid w:val="009D4107"/>
    <w:rsid w:val="00A07E75"/>
    <w:rsid w:val="00A315FF"/>
    <w:rsid w:val="00A572E7"/>
    <w:rsid w:val="00A63E4F"/>
    <w:rsid w:val="00A773C3"/>
    <w:rsid w:val="00A90E5A"/>
    <w:rsid w:val="00A939CE"/>
    <w:rsid w:val="00AA556C"/>
    <w:rsid w:val="00AB477F"/>
    <w:rsid w:val="00AD4C4D"/>
    <w:rsid w:val="00B07F15"/>
    <w:rsid w:val="00B24AB4"/>
    <w:rsid w:val="00B25B80"/>
    <w:rsid w:val="00B50C36"/>
    <w:rsid w:val="00B8075E"/>
    <w:rsid w:val="00BA27D8"/>
    <w:rsid w:val="00BB0406"/>
    <w:rsid w:val="00BB4721"/>
    <w:rsid w:val="00C14388"/>
    <w:rsid w:val="00C30233"/>
    <w:rsid w:val="00C77B35"/>
    <w:rsid w:val="00C932DB"/>
    <w:rsid w:val="00C93B4B"/>
    <w:rsid w:val="00C95451"/>
    <w:rsid w:val="00CC03BE"/>
    <w:rsid w:val="00CD238F"/>
    <w:rsid w:val="00CF6F82"/>
    <w:rsid w:val="00D131B5"/>
    <w:rsid w:val="00D229C7"/>
    <w:rsid w:val="00D42027"/>
    <w:rsid w:val="00D539EB"/>
    <w:rsid w:val="00D55A0A"/>
    <w:rsid w:val="00D615B4"/>
    <w:rsid w:val="00D75E2F"/>
    <w:rsid w:val="00D76FCB"/>
    <w:rsid w:val="00DC23D8"/>
    <w:rsid w:val="00DD5CC5"/>
    <w:rsid w:val="00DF5CE5"/>
    <w:rsid w:val="00E05067"/>
    <w:rsid w:val="00E1049C"/>
    <w:rsid w:val="00E236DA"/>
    <w:rsid w:val="00E45749"/>
    <w:rsid w:val="00E863DD"/>
    <w:rsid w:val="00E914B4"/>
    <w:rsid w:val="00E94206"/>
    <w:rsid w:val="00E96F45"/>
    <w:rsid w:val="00EB4D22"/>
    <w:rsid w:val="00EC340D"/>
    <w:rsid w:val="00ED1CA2"/>
    <w:rsid w:val="00EF7220"/>
    <w:rsid w:val="00F430FE"/>
    <w:rsid w:val="00F53B14"/>
    <w:rsid w:val="00F55000"/>
    <w:rsid w:val="00F73749"/>
    <w:rsid w:val="00F76C74"/>
    <w:rsid w:val="00F82198"/>
    <w:rsid w:val="00F82E0A"/>
    <w:rsid w:val="00F8584F"/>
    <w:rsid w:val="00F85DD9"/>
    <w:rsid w:val="00F9301B"/>
    <w:rsid w:val="00F936AE"/>
    <w:rsid w:val="00FB6714"/>
    <w:rsid w:val="00FB6747"/>
    <w:rsid w:val="00FE78A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59"/>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5B267B"/>
    <w:pPr>
      <w:keepNext/>
      <w:spacing w:before="240" w:after="60"/>
      <w:outlineLvl w:val="1"/>
    </w:pPr>
    <w:rPr>
      <w:rFonts w:ascii="Cambria" w:eastAsia="Times New Roman" w:hAnsi="Cambria"/>
      <w:b/>
      <w:bCs/>
      <w:i/>
      <w:iCs/>
      <w:sz w:val="28"/>
      <w:szCs w:val="28"/>
    </w:rPr>
  </w:style>
  <w:style w:type="paragraph" w:styleId="Heading6">
    <w:name w:val="heading 6"/>
    <w:basedOn w:val="Normal"/>
    <w:next w:val="Normal"/>
    <w:link w:val="Heading6Char"/>
    <w:semiHidden/>
    <w:unhideWhenUsed/>
    <w:qFormat/>
    <w:rsid w:val="00556B70"/>
    <w:pPr>
      <w:keepNext/>
      <w:spacing w:before="240" w:after="0" w:line="240" w:lineRule="auto"/>
      <w:ind w:right="91"/>
      <w:outlineLvl w:val="5"/>
    </w:pPr>
    <w:rPr>
      <w:rFonts w:ascii="Times New Roman" w:eastAsia="Times New Roman" w:hAnsi="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556B70"/>
    <w:rPr>
      <w:rFonts w:ascii="Times New Roman" w:eastAsia="Times New Roman" w:hAnsi="Times New Roman"/>
      <w:sz w:val="24"/>
      <w:u w:val="single"/>
    </w:rPr>
  </w:style>
  <w:style w:type="paragraph" w:customStyle="1" w:styleId="Subject">
    <w:name w:val="Subject"/>
    <w:basedOn w:val="Normal"/>
    <w:next w:val="Normal"/>
    <w:rsid w:val="003B2610"/>
    <w:pPr>
      <w:keepNext/>
      <w:spacing w:before="240" w:after="0" w:line="240" w:lineRule="auto"/>
    </w:pPr>
    <w:rPr>
      <w:rFonts w:ascii="Times New Roman" w:eastAsia="Times New Roman" w:hAnsi="Times New Roman"/>
      <w:b/>
      <w:sz w:val="24"/>
      <w:szCs w:val="20"/>
      <w:lang w:eastAsia="en-AU"/>
    </w:rPr>
  </w:style>
  <w:style w:type="paragraph" w:customStyle="1" w:styleId="subsection">
    <w:name w:val="subsection"/>
    <w:basedOn w:val="Normal"/>
    <w:rsid w:val="003B2610"/>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2D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1F8D"/>
    <w:rPr>
      <w:rFonts w:ascii="Tahoma" w:hAnsi="Tahoma" w:cs="Tahoma"/>
      <w:sz w:val="16"/>
      <w:szCs w:val="16"/>
      <w:lang w:eastAsia="en-US"/>
    </w:rPr>
  </w:style>
  <w:style w:type="paragraph" w:styleId="Header">
    <w:name w:val="header"/>
    <w:basedOn w:val="Normal"/>
    <w:link w:val="HeaderChar"/>
    <w:uiPriority w:val="99"/>
    <w:unhideWhenUsed/>
    <w:rsid w:val="00B25B80"/>
    <w:pPr>
      <w:tabs>
        <w:tab w:val="center" w:pos="4513"/>
        <w:tab w:val="right" w:pos="9026"/>
      </w:tabs>
    </w:pPr>
  </w:style>
  <w:style w:type="character" w:customStyle="1" w:styleId="HeaderChar">
    <w:name w:val="Header Char"/>
    <w:link w:val="Header"/>
    <w:uiPriority w:val="99"/>
    <w:rsid w:val="00B25B80"/>
    <w:rPr>
      <w:sz w:val="22"/>
      <w:szCs w:val="22"/>
      <w:lang w:eastAsia="en-US"/>
    </w:rPr>
  </w:style>
  <w:style w:type="paragraph" w:styleId="Footer">
    <w:name w:val="footer"/>
    <w:basedOn w:val="Normal"/>
    <w:link w:val="FooterChar"/>
    <w:unhideWhenUsed/>
    <w:rsid w:val="00B25B80"/>
    <w:pPr>
      <w:tabs>
        <w:tab w:val="center" w:pos="4513"/>
        <w:tab w:val="right" w:pos="9026"/>
      </w:tabs>
    </w:pPr>
  </w:style>
  <w:style w:type="character" w:customStyle="1" w:styleId="FooterChar">
    <w:name w:val="Footer Char"/>
    <w:link w:val="Footer"/>
    <w:rsid w:val="00B25B80"/>
    <w:rPr>
      <w:sz w:val="22"/>
      <w:szCs w:val="22"/>
      <w:lang w:eastAsia="en-US"/>
    </w:rPr>
  </w:style>
  <w:style w:type="paragraph" w:customStyle="1" w:styleId="Heading2numbered">
    <w:name w:val="Heading 2 (numbered)"/>
    <w:basedOn w:val="Heading2"/>
    <w:next w:val="Normal"/>
    <w:rsid w:val="005B267B"/>
    <w:pPr>
      <w:keepLines/>
      <w:tabs>
        <w:tab w:val="left" w:pos="851"/>
      </w:tabs>
      <w:spacing w:before="480" w:after="0" w:line="240" w:lineRule="auto"/>
    </w:pPr>
    <w:rPr>
      <w:rFonts w:ascii="Times New Roman" w:hAnsi="Times New Roman"/>
      <w:bCs w:val="0"/>
      <w:iCs w:val="0"/>
      <w:sz w:val="24"/>
      <w:szCs w:val="20"/>
      <w:lang w:eastAsia="en-AU"/>
    </w:rPr>
  </w:style>
  <w:style w:type="character" w:customStyle="1" w:styleId="Heading2Char">
    <w:name w:val="Heading 2 Char"/>
    <w:link w:val="Heading2"/>
    <w:uiPriority w:val="9"/>
    <w:semiHidden/>
    <w:rsid w:val="005B267B"/>
    <w:rPr>
      <w:rFonts w:ascii="Cambria" w:eastAsia="Times New Roman" w:hAnsi="Cambria" w:cs="Times New Roman"/>
      <w:b/>
      <w:bCs/>
      <w:i/>
      <w:iCs/>
      <w:sz w:val="28"/>
      <w:szCs w:val="28"/>
      <w:lang w:eastAsia="en-US"/>
    </w:rPr>
  </w:style>
  <w:style w:type="paragraph" w:customStyle="1" w:styleId="Paragraph">
    <w:name w:val="Paragraph"/>
    <w:basedOn w:val="Normal"/>
    <w:link w:val="ParagraphChar"/>
    <w:rsid w:val="008C0644"/>
    <w:pPr>
      <w:numPr>
        <w:ilvl w:val="12"/>
      </w:numPr>
      <w:spacing w:before="240" w:after="0" w:line="240" w:lineRule="auto"/>
    </w:pPr>
    <w:rPr>
      <w:rFonts w:ascii="Times New Roman" w:eastAsia="Times New Roman" w:hAnsi="Times New Roman"/>
      <w:sz w:val="24"/>
      <w:szCs w:val="20"/>
      <w:lang w:eastAsia="en-AU"/>
    </w:rPr>
  </w:style>
  <w:style w:type="character" w:customStyle="1" w:styleId="ParagraphChar">
    <w:name w:val="Paragraph Char"/>
    <w:link w:val="Paragraph"/>
    <w:rsid w:val="008C0644"/>
    <w:rPr>
      <w:rFonts w:ascii="Times New Roman" w:eastAsia="Times New Roman" w:hAnsi="Times New Roman"/>
      <w:sz w:val="24"/>
    </w:rPr>
  </w:style>
  <w:style w:type="character" w:styleId="CommentReference">
    <w:name w:val="annotation reference"/>
    <w:uiPriority w:val="99"/>
    <w:semiHidden/>
    <w:unhideWhenUsed/>
    <w:rsid w:val="00737639"/>
    <w:rPr>
      <w:sz w:val="16"/>
      <w:szCs w:val="16"/>
    </w:rPr>
  </w:style>
  <w:style w:type="paragraph" w:styleId="CommentText">
    <w:name w:val="annotation text"/>
    <w:basedOn w:val="Normal"/>
    <w:link w:val="CommentTextChar"/>
    <w:uiPriority w:val="99"/>
    <w:semiHidden/>
    <w:unhideWhenUsed/>
    <w:rsid w:val="00737639"/>
    <w:rPr>
      <w:sz w:val="20"/>
      <w:szCs w:val="20"/>
    </w:rPr>
  </w:style>
  <w:style w:type="character" w:customStyle="1" w:styleId="CommentTextChar">
    <w:name w:val="Comment Text Char"/>
    <w:link w:val="CommentText"/>
    <w:uiPriority w:val="99"/>
    <w:semiHidden/>
    <w:rsid w:val="00737639"/>
    <w:rPr>
      <w:lang w:eastAsia="en-US"/>
    </w:rPr>
  </w:style>
  <w:style w:type="paragraph" w:styleId="CommentSubject">
    <w:name w:val="annotation subject"/>
    <w:basedOn w:val="CommentText"/>
    <w:next w:val="CommentText"/>
    <w:link w:val="CommentSubjectChar"/>
    <w:uiPriority w:val="99"/>
    <w:semiHidden/>
    <w:unhideWhenUsed/>
    <w:rsid w:val="00737639"/>
    <w:rPr>
      <w:b/>
      <w:bCs/>
    </w:rPr>
  </w:style>
  <w:style w:type="character" w:customStyle="1" w:styleId="CommentSubjectChar">
    <w:name w:val="Comment Subject Char"/>
    <w:link w:val="CommentSubject"/>
    <w:uiPriority w:val="99"/>
    <w:semiHidden/>
    <w:rsid w:val="00737639"/>
    <w:rPr>
      <w:b/>
      <w:bCs/>
      <w:lang w:eastAsia="en-US"/>
    </w:rPr>
  </w:style>
  <w:style w:type="paragraph" w:customStyle="1" w:styleId="Paragraphnumbered">
    <w:name w:val="Paragraph (numbered)"/>
    <w:basedOn w:val="Normal"/>
    <w:uiPriority w:val="99"/>
    <w:rsid w:val="002C2310"/>
    <w:pPr>
      <w:numPr>
        <w:numId w:val="2"/>
      </w:numPr>
      <w:spacing w:before="240" w:after="0" w:line="360" w:lineRule="auto"/>
    </w:pPr>
    <w:rPr>
      <w:rFonts w:ascii="Times New Roman" w:eastAsia="Times New Roman" w:hAnsi="Times New Roman"/>
      <w:sz w:val="24"/>
      <w:szCs w:val="20"/>
      <w:lang w:eastAsia="en-AU"/>
    </w:rPr>
  </w:style>
  <w:style w:type="paragraph" w:styleId="ListParagraph">
    <w:name w:val="List Paragraph"/>
    <w:basedOn w:val="Normal"/>
    <w:uiPriority w:val="34"/>
    <w:qFormat/>
    <w:rsid w:val="000451E2"/>
    <w:pPr>
      <w:ind w:left="720"/>
    </w:pPr>
  </w:style>
</w:styles>
</file>

<file path=word/webSettings.xml><?xml version="1.0" encoding="utf-8"?>
<w:webSettings xmlns:r="http://schemas.openxmlformats.org/officeDocument/2006/relationships" xmlns:w="http://schemas.openxmlformats.org/wordprocessingml/2006/main">
  <w:divs>
    <w:div w:id="195847960">
      <w:bodyDiv w:val="1"/>
      <w:marLeft w:val="0"/>
      <w:marRight w:val="0"/>
      <w:marTop w:val="0"/>
      <w:marBottom w:val="0"/>
      <w:divBdr>
        <w:top w:val="none" w:sz="0" w:space="0" w:color="auto"/>
        <w:left w:val="none" w:sz="0" w:space="0" w:color="auto"/>
        <w:bottom w:val="none" w:sz="0" w:space="0" w:color="auto"/>
        <w:right w:val="none" w:sz="0" w:space="0" w:color="auto"/>
      </w:divBdr>
    </w:div>
    <w:div w:id="274682350">
      <w:bodyDiv w:val="1"/>
      <w:marLeft w:val="0"/>
      <w:marRight w:val="0"/>
      <w:marTop w:val="0"/>
      <w:marBottom w:val="0"/>
      <w:divBdr>
        <w:top w:val="none" w:sz="0" w:space="0" w:color="auto"/>
        <w:left w:val="none" w:sz="0" w:space="0" w:color="auto"/>
        <w:bottom w:val="none" w:sz="0" w:space="0" w:color="auto"/>
        <w:right w:val="none" w:sz="0" w:space="0" w:color="auto"/>
      </w:divBdr>
    </w:div>
    <w:div w:id="349260565">
      <w:bodyDiv w:val="1"/>
      <w:marLeft w:val="0"/>
      <w:marRight w:val="0"/>
      <w:marTop w:val="0"/>
      <w:marBottom w:val="0"/>
      <w:divBdr>
        <w:top w:val="none" w:sz="0" w:space="0" w:color="auto"/>
        <w:left w:val="none" w:sz="0" w:space="0" w:color="auto"/>
        <w:bottom w:val="none" w:sz="0" w:space="0" w:color="auto"/>
        <w:right w:val="none" w:sz="0" w:space="0" w:color="auto"/>
      </w:divBdr>
    </w:div>
    <w:div w:id="148296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3939</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dc:creator>
  <cp:keywords/>
  <dc:description/>
  <cp:lastModifiedBy>hilhma</cp:lastModifiedBy>
  <cp:revision>3</cp:revision>
  <cp:lastPrinted>2012-08-09T00:16:00Z</cp:lastPrinted>
  <dcterms:created xsi:type="dcterms:W3CDTF">2012-08-27T05:28:00Z</dcterms:created>
  <dcterms:modified xsi:type="dcterms:W3CDTF">2012-08-31T04:35:00Z</dcterms:modified>
</cp:coreProperties>
</file>