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2F62" w:rsidRPr="002F4BB5" w:rsidRDefault="00432F62" w:rsidP="00432F62">
      <w:pPr>
        <w:pStyle w:val="Title"/>
        <w:rPr>
          <w:szCs w:val="24"/>
        </w:rPr>
      </w:pPr>
      <w:r w:rsidRPr="002F4BB5">
        <w:rPr>
          <w:szCs w:val="24"/>
        </w:rPr>
        <w:t xml:space="preserve">EXPLANATORY </w:t>
      </w:r>
      <w:r w:rsidR="00CE4754">
        <w:rPr>
          <w:szCs w:val="24"/>
        </w:rPr>
        <w:t>STATEMENT</w:t>
      </w:r>
    </w:p>
    <w:p w:rsidR="00432F62" w:rsidRPr="002F4BB5" w:rsidRDefault="00432F62" w:rsidP="00432F62">
      <w:pPr>
        <w:pStyle w:val="Title"/>
        <w:rPr>
          <w:b w:val="0"/>
          <w:szCs w:val="24"/>
        </w:rPr>
      </w:pPr>
    </w:p>
    <w:p w:rsidR="00432F62" w:rsidRPr="00802001" w:rsidRDefault="00CE4754" w:rsidP="00124710">
      <w:pPr>
        <w:pStyle w:val="Subtitle"/>
        <w:jc w:val="center"/>
        <w:rPr>
          <w:b/>
          <w:szCs w:val="24"/>
        </w:rPr>
      </w:pPr>
      <w:r w:rsidRPr="00802001">
        <w:rPr>
          <w:b/>
          <w:szCs w:val="24"/>
        </w:rPr>
        <w:t>Select Legislative Instrument 2012 No.</w:t>
      </w:r>
      <w:r w:rsidR="00802001">
        <w:rPr>
          <w:b/>
          <w:szCs w:val="24"/>
        </w:rPr>
        <w:t xml:space="preserve"> 212</w:t>
      </w:r>
    </w:p>
    <w:p w:rsidR="00432F62" w:rsidRDefault="00432F62" w:rsidP="00432F62">
      <w:pPr>
        <w:pStyle w:val="Subtitle"/>
        <w:rPr>
          <w:szCs w:val="24"/>
          <w:u w:val="none"/>
        </w:rPr>
      </w:pPr>
    </w:p>
    <w:p w:rsidR="00432F62" w:rsidRPr="00BE2563" w:rsidRDefault="00432F62" w:rsidP="00C679C4">
      <w:pPr>
        <w:pStyle w:val="Subtitle"/>
        <w:jc w:val="center"/>
        <w:rPr>
          <w:i/>
          <w:szCs w:val="24"/>
          <w:u w:val="none"/>
        </w:rPr>
      </w:pPr>
      <w:r w:rsidRPr="00BE2563">
        <w:rPr>
          <w:i/>
          <w:szCs w:val="24"/>
          <w:u w:val="none"/>
        </w:rPr>
        <w:t>Health Insurance Act 1973</w:t>
      </w:r>
    </w:p>
    <w:p w:rsidR="00432F62" w:rsidRDefault="00432F62" w:rsidP="00C679C4">
      <w:pPr>
        <w:pStyle w:val="Subtitle"/>
        <w:ind w:left="1701"/>
        <w:jc w:val="center"/>
        <w:rPr>
          <w:i/>
          <w:szCs w:val="24"/>
          <w:u w:val="none"/>
        </w:rPr>
      </w:pPr>
    </w:p>
    <w:p w:rsidR="00432F62" w:rsidRDefault="00432F62" w:rsidP="00C679C4">
      <w:pPr>
        <w:pStyle w:val="Subtitle"/>
        <w:jc w:val="center"/>
        <w:rPr>
          <w:i/>
          <w:szCs w:val="24"/>
          <w:u w:val="none"/>
        </w:rPr>
      </w:pPr>
      <w:r w:rsidRPr="00BE2563">
        <w:rPr>
          <w:i/>
          <w:szCs w:val="24"/>
          <w:u w:val="none"/>
        </w:rPr>
        <w:t xml:space="preserve">Health Insurance </w:t>
      </w:r>
      <w:r>
        <w:rPr>
          <w:i/>
          <w:szCs w:val="24"/>
          <w:u w:val="none"/>
        </w:rPr>
        <w:t xml:space="preserve">(Professional Services Review) </w:t>
      </w:r>
      <w:r w:rsidRPr="00BE2563">
        <w:rPr>
          <w:i/>
          <w:szCs w:val="24"/>
          <w:u w:val="none"/>
        </w:rPr>
        <w:t>A</w:t>
      </w:r>
      <w:r w:rsidR="00802001">
        <w:rPr>
          <w:i/>
          <w:szCs w:val="24"/>
          <w:u w:val="none"/>
        </w:rPr>
        <w:t>mendment Regulation 2012 (No. 1</w:t>
      </w:r>
      <w:r w:rsidRPr="00BE2563">
        <w:rPr>
          <w:i/>
          <w:szCs w:val="24"/>
          <w:u w:val="none"/>
        </w:rPr>
        <w:t>)</w:t>
      </w:r>
    </w:p>
    <w:p w:rsidR="0018385F" w:rsidRPr="002F4BB5" w:rsidRDefault="0018385F" w:rsidP="00F646DB">
      <w:pPr>
        <w:pStyle w:val="Subtitle"/>
        <w:ind w:left="1701"/>
        <w:rPr>
          <w:i/>
          <w:szCs w:val="24"/>
          <w:u w:val="none"/>
        </w:rPr>
      </w:pPr>
    </w:p>
    <w:p w:rsidR="00EA635B" w:rsidRDefault="00F22692" w:rsidP="00EA635B">
      <w:pPr>
        <w:ind w:right="-264"/>
        <w:rPr>
          <w:szCs w:val="24"/>
        </w:rPr>
      </w:pPr>
      <w:r w:rsidRPr="002F4BB5">
        <w:rPr>
          <w:szCs w:val="24"/>
        </w:rPr>
        <w:t xml:space="preserve">Subsection 133(1) of the </w:t>
      </w:r>
      <w:r w:rsidRPr="002F4BB5">
        <w:rPr>
          <w:i/>
          <w:szCs w:val="24"/>
        </w:rPr>
        <w:t xml:space="preserve">Health Insurance Act 1973 </w:t>
      </w:r>
      <w:r w:rsidRPr="002F4BB5">
        <w:rPr>
          <w:szCs w:val="24"/>
        </w:rPr>
        <w:t xml:space="preserve">(the Act) provides that the </w:t>
      </w:r>
    </w:p>
    <w:p w:rsidR="00F22692" w:rsidRPr="002F4BB5" w:rsidRDefault="00F22692" w:rsidP="00EA635B">
      <w:pPr>
        <w:ind w:right="-264"/>
        <w:rPr>
          <w:szCs w:val="24"/>
        </w:rPr>
      </w:pPr>
      <w:r w:rsidRPr="002F4BB5">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F22692" w:rsidRDefault="00F22692" w:rsidP="00F22692">
      <w:pPr>
        <w:ind w:right="-264"/>
        <w:rPr>
          <w:szCs w:val="24"/>
        </w:rPr>
      </w:pPr>
    </w:p>
    <w:p w:rsidR="0034671F" w:rsidRDefault="00432F62" w:rsidP="008223AC">
      <w:r>
        <w:rPr>
          <w:szCs w:val="24"/>
        </w:rPr>
        <w:t xml:space="preserve">Part VAA of the Act establishes the </w:t>
      </w:r>
      <w:r w:rsidR="003B3ECC">
        <w:rPr>
          <w:szCs w:val="24"/>
        </w:rPr>
        <w:t xml:space="preserve">Professional Services Review (the PSR) </w:t>
      </w:r>
      <w:r w:rsidR="00ED37B9">
        <w:rPr>
          <w:szCs w:val="24"/>
        </w:rPr>
        <w:t>S</w:t>
      </w:r>
      <w:r>
        <w:rPr>
          <w:szCs w:val="24"/>
        </w:rPr>
        <w:t>cheme</w:t>
      </w:r>
      <w:r w:rsidR="00741ED6">
        <w:rPr>
          <w:szCs w:val="24"/>
        </w:rPr>
        <w:t xml:space="preserve">.  </w:t>
      </w:r>
      <w:r w:rsidRPr="00FB2BE9">
        <w:rPr>
          <w:szCs w:val="24"/>
        </w:rPr>
        <w:t xml:space="preserve">The PSR </w:t>
      </w:r>
      <w:r w:rsidR="00BD1B47">
        <w:rPr>
          <w:szCs w:val="24"/>
        </w:rPr>
        <w:t>S</w:t>
      </w:r>
      <w:r w:rsidR="00BD1B47">
        <w:t>cheme is intended to provide an effective peer review mechanism to deal quickly and fairly with concerns about possible inappropriate practice.  The objective of the scheme is to protect the integrity of the Medicare and Pharmaceutical Benefits Scheme (PBS) from inappropriate practice in relation to Medicare Benefits Schedule (M</w:t>
      </w:r>
      <w:r w:rsidR="0034671F">
        <w:t xml:space="preserve">BS) billing and PBS prescribing and </w:t>
      </w:r>
      <w:r w:rsidRPr="00FB2BE9">
        <w:rPr>
          <w:szCs w:val="24"/>
        </w:rPr>
        <w:t xml:space="preserve">to protect the integrity of </w:t>
      </w:r>
      <w:r>
        <w:rPr>
          <w:szCs w:val="24"/>
        </w:rPr>
        <w:t xml:space="preserve">the </w:t>
      </w:r>
      <w:r w:rsidR="000C48AD">
        <w:rPr>
          <w:szCs w:val="24"/>
        </w:rPr>
        <w:t xml:space="preserve">MBS and PBS. </w:t>
      </w:r>
      <w:r w:rsidR="0034671F">
        <w:t xml:space="preserve"> Under the Act, ‘inappropriate practice’ is conduct in connection with rendering services that the practitioner’s peers </w:t>
      </w:r>
      <w:r w:rsidR="00CE4754">
        <w:t>would</w:t>
      </w:r>
      <w:r w:rsidR="0034671F">
        <w:t xml:space="preserve"> conclude was </w:t>
      </w:r>
      <w:r w:rsidR="004B6292">
        <w:t>unacceptable</w:t>
      </w:r>
      <w:r w:rsidR="0034671F">
        <w:t xml:space="preserve"> to the general body of their profession, such as over-servicing patients or over-prescribing drugs listed on the PBS.</w:t>
      </w:r>
    </w:p>
    <w:p w:rsidR="0034671F" w:rsidRDefault="0034671F" w:rsidP="0034671F"/>
    <w:p w:rsidR="00BD1B47" w:rsidRDefault="00ED37B9" w:rsidP="008223AC">
      <w:r w:rsidRPr="00FB2BE9">
        <w:rPr>
          <w:szCs w:val="24"/>
        </w:rPr>
        <w:t xml:space="preserve">It is not within the </w:t>
      </w:r>
      <w:r w:rsidR="00BD1B47">
        <w:rPr>
          <w:szCs w:val="24"/>
        </w:rPr>
        <w:t xml:space="preserve">scope of the </w:t>
      </w:r>
      <w:r w:rsidRPr="00FB2BE9">
        <w:rPr>
          <w:szCs w:val="24"/>
        </w:rPr>
        <w:t>PSR</w:t>
      </w:r>
      <w:r w:rsidR="00741ED6">
        <w:rPr>
          <w:szCs w:val="24"/>
        </w:rPr>
        <w:t xml:space="preserve"> Scheme </w:t>
      </w:r>
      <w:r w:rsidRPr="00FB2BE9">
        <w:rPr>
          <w:szCs w:val="24"/>
        </w:rPr>
        <w:t>to investigate a practitioner’s compliance with his or her standards of profe</w:t>
      </w:r>
      <w:r w:rsidR="00BD1B47">
        <w:rPr>
          <w:szCs w:val="24"/>
        </w:rPr>
        <w:t>ssional conduct or performance</w:t>
      </w:r>
      <w:r w:rsidRPr="00FB2BE9">
        <w:rPr>
          <w:szCs w:val="24"/>
        </w:rPr>
        <w:t xml:space="preserve">.  </w:t>
      </w:r>
      <w:r w:rsidR="00BD1B47">
        <w:t xml:space="preserve">The HIA (Section 106XB) gives the Director of PSR committee the power to inform the ‘appropriate bodies’ if the Director, or a PSR Committee undertaking a review, forms the opinion that a practitioner has failed to comply with his or her professional standards.  The ‘appropriate bodies’ are identified in the Schedule </w:t>
      </w:r>
      <w:r w:rsidR="00F70623">
        <w:t>to</w:t>
      </w:r>
      <w:r w:rsidR="00BD1B47">
        <w:t xml:space="preserve"> the </w:t>
      </w:r>
      <w:r w:rsidR="00F70623">
        <w:rPr>
          <w:i/>
        </w:rPr>
        <w:t xml:space="preserve">Health Insurance (Profession Services Review) Regulations 1999 </w:t>
      </w:r>
      <w:r w:rsidR="00F70623">
        <w:rPr>
          <w:szCs w:val="24"/>
        </w:rPr>
        <w:t>(the Principal Regulations)</w:t>
      </w:r>
      <w:r w:rsidR="00BD1B47">
        <w:t>.</w:t>
      </w:r>
    </w:p>
    <w:p w:rsidR="00ED37B9" w:rsidRPr="00FB2BE9" w:rsidRDefault="00ED37B9" w:rsidP="00E824E6">
      <w:pPr>
        <w:rPr>
          <w:szCs w:val="24"/>
        </w:rPr>
      </w:pPr>
      <w:r w:rsidRPr="00FB2BE9">
        <w:rPr>
          <w:szCs w:val="24"/>
        </w:rPr>
        <w:t xml:space="preserve"> </w:t>
      </w:r>
    </w:p>
    <w:p w:rsidR="000377BA" w:rsidRDefault="000377BA" w:rsidP="008223AC">
      <w:pPr>
        <w:rPr>
          <w:szCs w:val="24"/>
        </w:rPr>
      </w:pPr>
      <w:r>
        <w:rPr>
          <w:szCs w:val="24"/>
        </w:rPr>
        <w:t>The Schedu</w:t>
      </w:r>
      <w:r w:rsidR="00F70623">
        <w:rPr>
          <w:szCs w:val="24"/>
        </w:rPr>
        <w:t>le to the Principal Regulations</w:t>
      </w:r>
      <w:r w:rsidR="00ED37B9" w:rsidRPr="00FB2BE9">
        <w:rPr>
          <w:szCs w:val="24"/>
        </w:rPr>
        <w:t xml:space="preserve"> </w:t>
      </w:r>
      <w:r w:rsidR="00EA635B">
        <w:rPr>
          <w:szCs w:val="24"/>
        </w:rPr>
        <w:t xml:space="preserve">currently </w:t>
      </w:r>
      <w:r w:rsidR="00920159">
        <w:rPr>
          <w:szCs w:val="24"/>
        </w:rPr>
        <w:t>list</w:t>
      </w:r>
      <w:r>
        <w:rPr>
          <w:szCs w:val="24"/>
        </w:rPr>
        <w:t xml:space="preserve">s </w:t>
      </w:r>
      <w:r w:rsidR="00EA635B">
        <w:rPr>
          <w:szCs w:val="24"/>
        </w:rPr>
        <w:t>various state and territory registration boards</w:t>
      </w:r>
      <w:r>
        <w:rPr>
          <w:szCs w:val="24"/>
        </w:rPr>
        <w:t xml:space="preserve"> and bodies</w:t>
      </w:r>
      <w:r w:rsidR="00EA635B">
        <w:rPr>
          <w:szCs w:val="24"/>
        </w:rPr>
        <w:t xml:space="preserve"> as</w:t>
      </w:r>
      <w:r w:rsidR="00920159">
        <w:rPr>
          <w:szCs w:val="24"/>
        </w:rPr>
        <w:t xml:space="preserve"> the</w:t>
      </w:r>
      <w:r w:rsidR="00D43505">
        <w:rPr>
          <w:szCs w:val="24"/>
        </w:rPr>
        <w:t xml:space="preserve"> regulatory </w:t>
      </w:r>
      <w:r>
        <w:rPr>
          <w:szCs w:val="24"/>
        </w:rPr>
        <w:t>authorities</w:t>
      </w:r>
      <w:r w:rsidR="00D43505">
        <w:rPr>
          <w:szCs w:val="24"/>
        </w:rPr>
        <w:t xml:space="preserve"> </w:t>
      </w:r>
      <w:r w:rsidR="007470B2">
        <w:rPr>
          <w:szCs w:val="24"/>
        </w:rPr>
        <w:t xml:space="preserve">that </w:t>
      </w:r>
      <w:r w:rsidR="00920159">
        <w:rPr>
          <w:szCs w:val="24"/>
        </w:rPr>
        <w:t xml:space="preserve">are notified in the case of </w:t>
      </w:r>
      <w:r w:rsidR="00D33CCA">
        <w:rPr>
          <w:szCs w:val="24"/>
        </w:rPr>
        <w:t xml:space="preserve">practitioners </w:t>
      </w:r>
      <w:r w:rsidR="00920159">
        <w:rPr>
          <w:szCs w:val="24"/>
        </w:rPr>
        <w:t>failing to comply with their relative professional standards</w:t>
      </w:r>
      <w:r w:rsidR="00D33CCA">
        <w:rPr>
          <w:szCs w:val="24"/>
        </w:rPr>
        <w:t>.</w:t>
      </w:r>
      <w:r w:rsidR="00D43505">
        <w:rPr>
          <w:szCs w:val="24"/>
        </w:rPr>
        <w:t xml:space="preserve"> </w:t>
      </w:r>
      <w:r w:rsidR="00920159">
        <w:rPr>
          <w:szCs w:val="24"/>
        </w:rPr>
        <w:t xml:space="preserve">  </w:t>
      </w:r>
      <w:r>
        <w:rPr>
          <w:szCs w:val="24"/>
        </w:rPr>
        <w:t xml:space="preserve">The introduction of the National Registration and Accreditation Scheme (NRAS), implemented under the </w:t>
      </w:r>
      <w:r w:rsidRPr="00D077C0">
        <w:rPr>
          <w:i/>
        </w:rPr>
        <w:t>Health Practitioner Regulation National Law Act 2009</w:t>
      </w:r>
      <w:r w:rsidR="00E235CC">
        <w:rPr>
          <w:i/>
        </w:rPr>
        <w:t xml:space="preserve"> </w:t>
      </w:r>
      <w:r w:rsidR="008223AC">
        <w:rPr>
          <w:i/>
        </w:rPr>
        <w:t xml:space="preserve">(Qld), </w:t>
      </w:r>
      <w:r>
        <w:t xml:space="preserve">has made the </w:t>
      </w:r>
      <w:r w:rsidR="00920159">
        <w:t>current Schedule lists</w:t>
      </w:r>
      <w:r>
        <w:t xml:space="preserve"> of</w:t>
      </w:r>
      <w:r w:rsidR="00920159">
        <w:t xml:space="preserve"> boards and bodies</w:t>
      </w:r>
      <w:r>
        <w:t xml:space="preserve"> defunct</w:t>
      </w:r>
      <w:r w:rsidR="0011398D">
        <w:t xml:space="preserve">.  All </w:t>
      </w:r>
      <w:r w:rsidR="008223AC">
        <w:t>states and territories have enacted consistent legislation</w:t>
      </w:r>
      <w:r w:rsidR="00920159">
        <w:t xml:space="preserve">.  The Schedule requires updating so that registration boards or other boards listed in the Schedule are aligned with the responsible bodies established under </w:t>
      </w:r>
      <w:r w:rsidR="00E235CC">
        <w:t>NRAS</w:t>
      </w:r>
      <w:r>
        <w:t>.</w:t>
      </w:r>
    </w:p>
    <w:p w:rsidR="00EA635B" w:rsidRDefault="00EA635B" w:rsidP="00726169">
      <w:pPr>
        <w:spacing w:after="120"/>
        <w:rPr>
          <w:szCs w:val="24"/>
        </w:rPr>
      </w:pPr>
    </w:p>
    <w:p w:rsidR="00DA4EDB" w:rsidRDefault="000C48AD" w:rsidP="00726169">
      <w:pPr>
        <w:spacing w:after="120"/>
        <w:rPr>
          <w:szCs w:val="24"/>
        </w:rPr>
      </w:pPr>
      <w:r>
        <w:rPr>
          <w:szCs w:val="24"/>
        </w:rPr>
        <w:t xml:space="preserve">The purpose of the </w:t>
      </w:r>
      <w:r w:rsidR="000D43E6">
        <w:rPr>
          <w:szCs w:val="24"/>
        </w:rPr>
        <w:t>r</w:t>
      </w:r>
      <w:r w:rsidR="00985CF9">
        <w:rPr>
          <w:szCs w:val="24"/>
        </w:rPr>
        <w:t>egulation</w:t>
      </w:r>
      <w:r>
        <w:rPr>
          <w:szCs w:val="24"/>
        </w:rPr>
        <w:t xml:space="preserve"> is to</w:t>
      </w:r>
      <w:r w:rsidR="000574AA">
        <w:rPr>
          <w:szCs w:val="24"/>
        </w:rPr>
        <w:t xml:space="preserve">: </w:t>
      </w:r>
    </w:p>
    <w:p w:rsidR="00DA4EDB" w:rsidRDefault="00F22692" w:rsidP="00985CF9">
      <w:pPr>
        <w:numPr>
          <w:ilvl w:val="0"/>
          <w:numId w:val="28"/>
        </w:numPr>
        <w:spacing w:after="120"/>
        <w:rPr>
          <w:szCs w:val="24"/>
        </w:rPr>
      </w:pPr>
      <w:r w:rsidRPr="00FB2BE9">
        <w:rPr>
          <w:szCs w:val="24"/>
          <w:lang w:eastAsia="en-US"/>
        </w:rPr>
        <w:t xml:space="preserve">update </w:t>
      </w:r>
      <w:r w:rsidR="00EA635B">
        <w:rPr>
          <w:szCs w:val="24"/>
          <w:lang w:eastAsia="en-US"/>
        </w:rPr>
        <w:t>the bodies prescribed</w:t>
      </w:r>
      <w:r>
        <w:rPr>
          <w:szCs w:val="24"/>
          <w:lang w:eastAsia="en-US"/>
        </w:rPr>
        <w:t xml:space="preserve"> </w:t>
      </w:r>
      <w:r w:rsidR="000574AA">
        <w:rPr>
          <w:szCs w:val="24"/>
          <w:lang w:eastAsia="en-US"/>
        </w:rPr>
        <w:t xml:space="preserve">in the Schedule to the Principal Regulations </w:t>
      </w:r>
      <w:r>
        <w:rPr>
          <w:szCs w:val="24"/>
          <w:lang w:eastAsia="en-US"/>
        </w:rPr>
        <w:t xml:space="preserve">to </w:t>
      </w:r>
      <w:r w:rsidR="00EA635B">
        <w:rPr>
          <w:szCs w:val="24"/>
          <w:lang w:eastAsia="en-US"/>
        </w:rPr>
        <w:t xml:space="preserve">refer to the </w:t>
      </w:r>
      <w:r w:rsidR="00B56954">
        <w:rPr>
          <w:szCs w:val="24"/>
          <w:lang w:eastAsia="en-US"/>
        </w:rPr>
        <w:t xml:space="preserve">new </w:t>
      </w:r>
      <w:r w:rsidR="00EA635B">
        <w:rPr>
          <w:szCs w:val="24"/>
          <w:lang w:eastAsia="en-US"/>
        </w:rPr>
        <w:t xml:space="preserve">national </w:t>
      </w:r>
      <w:r>
        <w:rPr>
          <w:szCs w:val="24"/>
          <w:lang w:eastAsia="en-US"/>
        </w:rPr>
        <w:t xml:space="preserve">registration boards for </w:t>
      </w:r>
      <w:r w:rsidRPr="00FB2BE9">
        <w:rPr>
          <w:szCs w:val="24"/>
          <w:lang w:eastAsia="en-US"/>
        </w:rPr>
        <w:t>health professions</w:t>
      </w:r>
      <w:r w:rsidR="00EA635B">
        <w:rPr>
          <w:szCs w:val="24"/>
          <w:lang w:eastAsia="en-US"/>
        </w:rPr>
        <w:t xml:space="preserve"> subject to the PSR Scheme;</w:t>
      </w:r>
      <w:r w:rsidR="00726169">
        <w:rPr>
          <w:szCs w:val="24"/>
        </w:rPr>
        <w:t xml:space="preserve"> </w:t>
      </w:r>
    </w:p>
    <w:p w:rsidR="00DA4EDB" w:rsidRDefault="00DA4EDB" w:rsidP="00985CF9">
      <w:pPr>
        <w:numPr>
          <w:ilvl w:val="0"/>
          <w:numId w:val="28"/>
        </w:numPr>
        <w:spacing w:after="120"/>
        <w:rPr>
          <w:szCs w:val="24"/>
        </w:rPr>
      </w:pPr>
      <w:r>
        <w:rPr>
          <w:szCs w:val="24"/>
          <w:lang w:eastAsia="en-US"/>
        </w:rPr>
        <w:t>add</w:t>
      </w:r>
      <w:r>
        <w:rPr>
          <w:szCs w:val="24"/>
        </w:rPr>
        <w:t xml:space="preserve"> </w:t>
      </w:r>
      <w:r w:rsidR="00EA635B">
        <w:rPr>
          <w:szCs w:val="24"/>
        </w:rPr>
        <w:t xml:space="preserve">reference to the </w:t>
      </w:r>
      <w:r>
        <w:rPr>
          <w:szCs w:val="24"/>
        </w:rPr>
        <w:t xml:space="preserve">Nursing and Midwifery Board of Australia in the Schedule to the Principal Regulations.  This is a result of nurse practitioners and midwives </w:t>
      </w:r>
      <w:r w:rsidR="00EA635B">
        <w:rPr>
          <w:szCs w:val="24"/>
        </w:rPr>
        <w:t>be</w:t>
      </w:r>
      <w:r w:rsidR="000377BA">
        <w:rPr>
          <w:szCs w:val="24"/>
        </w:rPr>
        <w:t>ing</w:t>
      </w:r>
      <w:r w:rsidR="00EA635B">
        <w:rPr>
          <w:szCs w:val="24"/>
        </w:rPr>
        <w:t xml:space="preserve"> </w:t>
      </w:r>
      <w:r>
        <w:rPr>
          <w:szCs w:val="24"/>
        </w:rPr>
        <w:t xml:space="preserve">able to provide </w:t>
      </w:r>
      <w:proofErr w:type="spellStart"/>
      <w:r>
        <w:rPr>
          <w:szCs w:val="24"/>
        </w:rPr>
        <w:t>medicare</w:t>
      </w:r>
      <w:proofErr w:type="spellEnd"/>
      <w:r>
        <w:rPr>
          <w:szCs w:val="24"/>
        </w:rPr>
        <w:t xml:space="preserve">-eligible services </w:t>
      </w:r>
      <w:r w:rsidR="00EA635B">
        <w:rPr>
          <w:szCs w:val="24"/>
        </w:rPr>
        <w:t>and prescrib</w:t>
      </w:r>
      <w:r w:rsidR="003D5B85">
        <w:rPr>
          <w:szCs w:val="24"/>
        </w:rPr>
        <w:t>e</w:t>
      </w:r>
      <w:r w:rsidR="00EA635B">
        <w:rPr>
          <w:szCs w:val="24"/>
        </w:rPr>
        <w:t xml:space="preserve"> </w:t>
      </w:r>
      <w:r w:rsidR="00B56954">
        <w:rPr>
          <w:szCs w:val="24"/>
        </w:rPr>
        <w:t>pharmaceutical</w:t>
      </w:r>
      <w:r w:rsidR="00EA635B">
        <w:rPr>
          <w:szCs w:val="24"/>
        </w:rPr>
        <w:t xml:space="preserve"> benefits, and be</w:t>
      </w:r>
      <w:r w:rsidR="003804DE">
        <w:rPr>
          <w:szCs w:val="24"/>
        </w:rPr>
        <w:t>ing</w:t>
      </w:r>
      <w:r w:rsidR="00EA635B">
        <w:rPr>
          <w:szCs w:val="24"/>
        </w:rPr>
        <w:t xml:space="preserve"> subject to the PSR Scheme </w:t>
      </w:r>
      <w:r>
        <w:rPr>
          <w:szCs w:val="24"/>
        </w:rPr>
        <w:t xml:space="preserve">from November 2010; and </w:t>
      </w:r>
    </w:p>
    <w:p w:rsidR="00FD5A27" w:rsidRPr="00FB2BE9" w:rsidRDefault="00A62B0E" w:rsidP="00985CF9">
      <w:pPr>
        <w:numPr>
          <w:ilvl w:val="0"/>
          <w:numId w:val="28"/>
        </w:numPr>
        <w:spacing w:after="120"/>
        <w:rPr>
          <w:szCs w:val="24"/>
        </w:rPr>
      </w:pPr>
      <w:r>
        <w:rPr>
          <w:szCs w:val="24"/>
        </w:rPr>
        <w:lastRenderedPageBreak/>
        <w:t>make minor technical amendments to the Principal Regulations.</w:t>
      </w:r>
      <w:r w:rsidR="00726169">
        <w:rPr>
          <w:szCs w:val="24"/>
        </w:rPr>
        <w:t xml:space="preserve"> </w:t>
      </w:r>
    </w:p>
    <w:p w:rsidR="00F22692" w:rsidRDefault="00F22692" w:rsidP="00F22692">
      <w:pPr>
        <w:rPr>
          <w:szCs w:val="24"/>
        </w:rPr>
      </w:pPr>
    </w:p>
    <w:p w:rsidR="00F22692" w:rsidRPr="000E2564" w:rsidRDefault="00C10C36" w:rsidP="00F22692">
      <w:pPr>
        <w:ind w:right="-264"/>
        <w:rPr>
          <w:szCs w:val="24"/>
          <w:u w:val="single"/>
        </w:rPr>
      </w:pPr>
      <w:r>
        <w:rPr>
          <w:szCs w:val="24"/>
        </w:rPr>
        <w:t xml:space="preserve">Details of the </w:t>
      </w:r>
      <w:r w:rsidR="000E2564">
        <w:rPr>
          <w:szCs w:val="24"/>
        </w:rPr>
        <w:t xml:space="preserve">amendments </w:t>
      </w:r>
      <w:r>
        <w:rPr>
          <w:szCs w:val="24"/>
        </w:rPr>
        <w:t>are set out in</w:t>
      </w:r>
      <w:r w:rsidR="00985CF9">
        <w:rPr>
          <w:szCs w:val="24"/>
        </w:rPr>
        <w:t xml:space="preserve"> the </w:t>
      </w:r>
      <w:r w:rsidR="00985CF9">
        <w:rPr>
          <w:szCs w:val="24"/>
          <w:u w:val="single"/>
        </w:rPr>
        <w:t>Attachment.</w:t>
      </w:r>
    </w:p>
    <w:p w:rsidR="00C10C36" w:rsidRDefault="00C10C36" w:rsidP="00F22692">
      <w:pPr>
        <w:ind w:right="-264"/>
        <w:rPr>
          <w:szCs w:val="24"/>
        </w:rPr>
      </w:pPr>
    </w:p>
    <w:p w:rsidR="00CE4754" w:rsidRPr="00CE4754" w:rsidRDefault="00CE4754" w:rsidP="00CE4754">
      <w:pPr>
        <w:autoSpaceDE w:val="0"/>
        <w:autoSpaceDN w:val="0"/>
        <w:adjustRightInd w:val="0"/>
        <w:rPr>
          <w:color w:val="000000"/>
          <w:szCs w:val="24"/>
        </w:rPr>
      </w:pPr>
      <w:r w:rsidRPr="00CE4754">
        <w:rPr>
          <w:color w:val="000000"/>
          <w:szCs w:val="24"/>
        </w:rPr>
        <w:t>In th</w:t>
      </w:r>
      <w:r>
        <w:rPr>
          <w:color w:val="000000"/>
          <w:szCs w:val="24"/>
        </w:rPr>
        <w:t>e preparation of the regulation</w:t>
      </w:r>
      <w:r w:rsidRPr="00CE4754">
        <w:rPr>
          <w:color w:val="000000"/>
          <w:szCs w:val="24"/>
        </w:rPr>
        <w:t xml:space="preserve"> amendments to the Professional Services Review</w:t>
      </w:r>
      <w:r>
        <w:rPr>
          <w:color w:val="000000"/>
          <w:szCs w:val="24"/>
        </w:rPr>
        <w:t>,</w:t>
      </w:r>
      <w:r w:rsidRPr="00CE4754">
        <w:rPr>
          <w:color w:val="000000"/>
          <w:szCs w:val="24"/>
        </w:rPr>
        <w:t xml:space="preserve"> the Department has consulted internally extensively.  This occurred during the period of September 2011 to May 2012.  Externally the Department consulted the Office of Best Practice Regulation in 2010, the Department of Human Services and the Australian Health and Practitioner Registration Authority beginning in October 2011.</w:t>
      </w:r>
    </w:p>
    <w:p w:rsidR="00CE4754" w:rsidRDefault="00CE4754" w:rsidP="00F22692">
      <w:pPr>
        <w:ind w:right="-264"/>
        <w:rPr>
          <w:szCs w:val="24"/>
        </w:rPr>
      </w:pPr>
    </w:p>
    <w:p w:rsidR="00C10C36" w:rsidRDefault="00C10C36" w:rsidP="00F22692">
      <w:pPr>
        <w:ind w:right="-264"/>
        <w:rPr>
          <w:szCs w:val="24"/>
        </w:rPr>
      </w:pPr>
      <w:r>
        <w:rPr>
          <w:szCs w:val="24"/>
        </w:rPr>
        <w:t xml:space="preserve">The Act does not specify any conditions that need to be met before the power </w:t>
      </w:r>
      <w:r w:rsidR="00985CF9">
        <w:rPr>
          <w:szCs w:val="24"/>
        </w:rPr>
        <w:t>to make the regulation</w:t>
      </w:r>
      <w:r>
        <w:rPr>
          <w:szCs w:val="24"/>
        </w:rPr>
        <w:t xml:space="preserve"> may be exercised.</w:t>
      </w:r>
    </w:p>
    <w:p w:rsidR="00C10C36" w:rsidRDefault="00C10C36" w:rsidP="00F22692">
      <w:pPr>
        <w:ind w:right="-264"/>
        <w:rPr>
          <w:szCs w:val="24"/>
        </w:rPr>
      </w:pPr>
    </w:p>
    <w:p w:rsidR="00F22692" w:rsidRPr="00C10C36" w:rsidRDefault="00C10C36" w:rsidP="00F22692">
      <w:pPr>
        <w:ind w:right="-264"/>
        <w:rPr>
          <w:szCs w:val="24"/>
        </w:rPr>
      </w:pPr>
      <w:r w:rsidRPr="00C10C36">
        <w:rPr>
          <w:szCs w:val="24"/>
        </w:rPr>
        <w:t xml:space="preserve">The </w:t>
      </w:r>
      <w:r w:rsidR="00985CF9">
        <w:rPr>
          <w:szCs w:val="24"/>
        </w:rPr>
        <w:t>r</w:t>
      </w:r>
      <w:r w:rsidR="00F22692" w:rsidRPr="00C10C36">
        <w:rPr>
          <w:szCs w:val="24"/>
        </w:rPr>
        <w:t xml:space="preserve">egulation </w:t>
      </w:r>
      <w:r w:rsidR="00CE4754">
        <w:rPr>
          <w:szCs w:val="24"/>
        </w:rPr>
        <w:t>is</w:t>
      </w:r>
      <w:r w:rsidR="00F22692" w:rsidRPr="00C10C36">
        <w:rPr>
          <w:szCs w:val="24"/>
        </w:rPr>
        <w:t xml:space="preserve"> a legislative instrument for the purposes of the </w:t>
      </w:r>
      <w:r w:rsidR="00F22692" w:rsidRPr="00C10C36">
        <w:rPr>
          <w:i/>
          <w:szCs w:val="24"/>
        </w:rPr>
        <w:t>Legislative Instruments Act 2003</w:t>
      </w:r>
      <w:r w:rsidR="00F22692" w:rsidRPr="00C10C36">
        <w:rPr>
          <w:szCs w:val="24"/>
        </w:rPr>
        <w:t>.</w:t>
      </w:r>
    </w:p>
    <w:p w:rsidR="00F22692" w:rsidRPr="00C10C36" w:rsidRDefault="00F22692" w:rsidP="00F22692">
      <w:pPr>
        <w:ind w:right="-264"/>
        <w:rPr>
          <w:szCs w:val="24"/>
        </w:rPr>
      </w:pPr>
    </w:p>
    <w:p w:rsidR="00F22692" w:rsidRPr="00C10C36" w:rsidRDefault="00F22692" w:rsidP="00F22692">
      <w:pPr>
        <w:ind w:right="-378"/>
        <w:rPr>
          <w:szCs w:val="24"/>
        </w:rPr>
      </w:pPr>
      <w:r w:rsidRPr="00C10C36">
        <w:rPr>
          <w:szCs w:val="24"/>
        </w:rPr>
        <w:t>The regulation  commence</w:t>
      </w:r>
      <w:r w:rsidR="00CE4754">
        <w:rPr>
          <w:szCs w:val="24"/>
        </w:rPr>
        <w:t>s</w:t>
      </w:r>
      <w:r w:rsidRPr="00C10C36">
        <w:rPr>
          <w:szCs w:val="24"/>
        </w:rPr>
        <w:t xml:space="preserve"> on the day after </w:t>
      </w:r>
      <w:r w:rsidR="00985CF9">
        <w:rPr>
          <w:szCs w:val="24"/>
        </w:rPr>
        <w:t>registration</w:t>
      </w:r>
      <w:r w:rsidR="00C10C36" w:rsidRPr="00C10C36">
        <w:rPr>
          <w:szCs w:val="24"/>
        </w:rPr>
        <w:t xml:space="preserve"> on the Federal Register of Legislative Instruments</w:t>
      </w:r>
      <w:r w:rsidRPr="00C10C36">
        <w:rPr>
          <w:szCs w:val="24"/>
        </w:rPr>
        <w:t>.</w:t>
      </w:r>
    </w:p>
    <w:p w:rsidR="00F22692" w:rsidRPr="00C10C36" w:rsidRDefault="00F22692" w:rsidP="00F22692">
      <w:pPr>
        <w:rPr>
          <w:szCs w:val="24"/>
        </w:rPr>
      </w:pPr>
    </w:p>
    <w:p w:rsidR="00F22692" w:rsidRPr="00C10C36" w:rsidRDefault="00F22692" w:rsidP="00F22692">
      <w:pPr>
        <w:pStyle w:val="Subtitle"/>
        <w:ind w:right="-264"/>
        <w:rPr>
          <w:szCs w:val="24"/>
          <w:u w:val="none"/>
        </w:rPr>
      </w:pPr>
      <w:r w:rsidRPr="00C10C36">
        <w:rPr>
          <w:szCs w:val="24"/>
          <w:u w:val="none"/>
        </w:rPr>
        <w:tab/>
      </w:r>
      <w:r w:rsidRPr="00C10C36">
        <w:rPr>
          <w:szCs w:val="24"/>
          <w:u w:val="none"/>
        </w:rPr>
        <w:tab/>
      </w:r>
      <w:r w:rsidRPr="00C10C36">
        <w:rPr>
          <w:szCs w:val="24"/>
          <w:u w:val="none"/>
        </w:rPr>
        <w:tab/>
      </w:r>
      <w:r w:rsidRPr="00C10C36">
        <w:rPr>
          <w:szCs w:val="24"/>
          <w:u w:val="none"/>
        </w:rPr>
        <w:tab/>
      </w:r>
      <w:r w:rsidRPr="00C10C36">
        <w:rPr>
          <w:szCs w:val="24"/>
          <w:u w:val="none"/>
        </w:rPr>
        <w:tab/>
      </w:r>
    </w:p>
    <w:p w:rsidR="003B1183" w:rsidRPr="00C10C36" w:rsidRDefault="00F22692" w:rsidP="00F22692">
      <w:pPr>
        <w:pStyle w:val="Subtitle"/>
        <w:ind w:right="-264"/>
        <w:rPr>
          <w:i/>
          <w:u w:val="none"/>
        </w:rPr>
      </w:pPr>
      <w:r w:rsidRPr="00C10C36">
        <w:rPr>
          <w:u w:val="none"/>
        </w:rPr>
        <w:tab/>
      </w:r>
      <w:r w:rsidRPr="00C10C36">
        <w:rPr>
          <w:u w:val="none"/>
        </w:rPr>
        <w:tab/>
      </w:r>
      <w:r w:rsidRPr="00C10C36">
        <w:rPr>
          <w:u w:val="none"/>
        </w:rPr>
        <w:tab/>
      </w:r>
      <w:r w:rsidRPr="00C10C36">
        <w:rPr>
          <w:u w:val="none"/>
        </w:rPr>
        <w:tab/>
      </w:r>
      <w:r w:rsidRPr="00C10C36">
        <w:rPr>
          <w:u w:val="none"/>
        </w:rPr>
        <w:tab/>
        <w:t xml:space="preserve">                   </w:t>
      </w:r>
      <w:r w:rsidRPr="00C10C36">
        <w:t>Authority:</w:t>
      </w:r>
      <w:r w:rsidRPr="00C10C36">
        <w:rPr>
          <w:u w:val="none"/>
        </w:rPr>
        <w:t xml:space="preserve">  Subsection</w:t>
      </w:r>
      <w:r w:rsidR="00C10C36" w:rsidRPr="00C10C36">
        <w:rPr>
          <w:u w:val="none"/>
        </w:rPr>
        <w:t xml:space="preserve"> </w:t>
      </w:r>
      <w:r w:rsidRPr="00C10C36">
        <w:rPr>
          <w:u w:val="none"/>
        </w:rPr>
        <w:t>133(1) of the</w:t>
      </w:r>
      <w:r w:rsidRPr="00C10C36">
        <w:rPr>
          <w:u w:val="none"/>
        </w:rPr>
        <w:tab/>
      </w:r>
      <w:r w:rsidRPr="00C10C36">
        <w:rPr>
          <w:u w:val="none"/>
        </w:rPr>
        <w:tab/>
      </w:r>
      <w:r w:rsidRPr="00C10C36">
        <w:rPr>
          <w:u w:val="none"/>
        </w:rPr>
        <w:tab/>
      </w:r>
      <w:r w:rsidRPr="00C10C36">
        <w:rPr>
          <w:u w:val="none"/>
        </w:rPr>
        <w:tab/>
      </w:r>
      <w:r w:rsidRPr="00C10C36">
        <w:rPr>
          <w:u w:val="none"/>
        </w:rPr>
        <w:tab/>
      </w:r>
      <w:r w:rsidRPr="00C10C36">
        <w:rPr>
          <w:u w:val="none"/>
        </w:rPr>
        <w:tab/>
      </w:r>
      <w:r w:rsidRPr="00C10C36">
        <w:rPr>
          <w:u w:val="none"/>
        </w:rPr>
        <w:tab/>
        <w:t xml:space="preserve">                          </w:t>
      </w:r>
      <w:r w:rsidRPr="00C10C36">
        <w:rPr>
          <w:i/>
          <w:u w:val="none"/>
        </w:rPr>
        <w:t>Health Insurance Act 1973</w:t>
      </w:r>
    </w:p>
    <w:p w:rsidR="00D33CCA" w:rsidRPr="003804DE" w:rsidRDefault="003B1183" w:rsidP="004049FC">
      <w:pPr>
        <w:jc w:val="right"/>
        <w:rPr>
          <w:b/>
          <w:i/>
        </w:rPr>
      </w:pPr>
      <w:r w:rsidRPr="00C10C36">
        <w:rPr>
          <w:i/>
        </w:rPr>
        <w:br w:type="page"/>
      </w:r>
      <w:r w:rsidR="00D33CCA" w:rsidRPr="003804DE">
        <w:rPr>
          <w:b/>
          <w:u w:val="single"/>
        </w:rPr>
        <w:lastRenderedPageBreak/>
        <w:t>ATTACHMENT</w:t>
      </w:r>
      <w:r w:rsidR="00D33CCA" w:rsidRPr="003804DE">
        <w:rPr>
          <w:b/>
        </w:rPr>
        <w:t xml:space="preserve"> </w:t>
      </w:r>
    </w:p>
    <w:p w:rsidR="00DD2AD2" w:rsidRDefault="00DD2AD2" w:rsidP="003B1183">
      <w:pPr>
        <w:rPr>
          <w:szCs w:val="24"/>
        </w:rPr>
      </w:pPr>
    </w:p>
    <w:p w:rsidR="003B1183" w:rsidRPr="00B86261" w:rsidRDefault="00D33CCA" w:rsidP="003B1183">
      <w:pPr>
        <w:rPr>
          <w:b/>
          <w:szCs w:val="24"/>
        </w:rPr>
      </w:pPr>
      <w:r w:rsidRPr="00B86261">
        <w:rPr>
          <w:b/>
          <w:szCs w:val="24"/>
        </w:rPr>
        <w:t xml:space="preserve">Details of the </w:t>
      </w:r>
      <w:r w:rsidRPr="00B86261">
        <w:rPr>
          <w:b/>
          <w:i/>
          <w:szCs w:val="24"/>
        </w:rPr>
        <w:t>Health Insurance (Professional Servic</w:t>
      </w:r>
      <w:r w:rsidR="00DD2AD2" w:rsidRPr="00B86261">
        <w:rPr>
          <w:b/>
          <w:i/>
          <w:szCs w:val="24"/>
        </w:rPr>
        <w:t>es Review) Amendment Regulation</w:t>
      </w:r>
      <w:r w:rsidR="00802001">
        <w:rPr>
          <w:b/>
          <w:i/>
          <w:szCs w:val="24"/>
        </w:rPr>
        <w:t xml:space="preserve"> 2012 (No. 1</w:t>
      </w:r>
      <w:r w:rsidRPr="00B86261">
        <w:rPr>
          <w:b/>
          <w:i/>
          <w:szCs w:val="24"/>
        </w:rPr>
        <w:t>)</w:t>
      </w:r>
    </w:p>
    <w:p w:rsidR="003B1183" w:rsidRPr="00FB2BE9" w:rsidRDefault="003B1183" w:rsidP="003B1183">
      <w:pPr>
        <w:jc w:val="center"/>
        <w:rPr>
          <w:szCs w:val="24"/>
        </w:rPr>
      </w:pPr>
    </w:p>
    <w:p w:rsidR="003B1183" w:rsidRPr="00B86261" w:rsidRDefault="00545E27" w:rsidP="003B1183">
      <w:pPr>
        <w:rPr>
          <w:szCs w:val="24"/>
          <w:u w:val="single"/>
        </w:rPr>
      </w:pPr>
      <w:r w:rsidRPr="00B86261">
        <w:rPr>
          <w:szCs w:val="24"/>
          <w:u w:val="single"/>
        </w:rPr>
        <w:t xml:space="preserve">Section </w:t>
      </w:r>
      <w:r w:rsidR="003B1183" w:rsidRPr="00B86261">
        <w:rPr>
          <w:szCs w:val="24"/>
          <w:u w:val="single"/>
        </w:rPr>
        <w:t xml:space="preserve">1 – Name of </w:t>
      </w:r>
      <w:r w:rsidR="00D33CCA" w:rsidRPr="00B86261">
        <w:rPr>
          <w:szCs w:val="24"/>
          <w:u w:val="single"/>
        </w:rPr>
        <w:t>R</w:t>
      </w:r>
      <w:r w:rsidR="003B1183" w:rsidRPr="00B86261">
        <w:rPr>
          <w:szCs w:val="24"/>
          <w:u w:val="single"/>
        </w:rPr>
        <w:t>egulation</w:t>
      </w:r>
    </w:p>
    <w:p w:rsidR="00D33CCA" w:rsidRDefault="00D33CCA" w:rsidP="003B1183">
      <w:pPr>
        <w:rPr>
          <w:szCs w:val="24"/>
        </w:rPr>
      </w:pPr>
    </w:p>
    <w:p w:rsidR="003B1183" w:rsidRPr="00FB2BE9" w:rsidRDefault="00545E27" w:rsidP="003B1183">
      <w:pPr>
        <w:rPr>
          <w:szCs w:val="24"/>
        </w:rPr>
      </w:pPr>
      <w:r>
        <w:rPr>
          <w:szCs w:val="24"/>
        </w:rPr>
        <w:t>This section provide</w:t>
      </w:r>
      <w:r w:rsidR="00CE4754">
        <w:rPr>
          <w:szCs w:val="24"/>
        </w:rPr>
        <w:t>s</w:t>
      </w:r>
      <w:r>
        <w:rPr>
          <w:szCs w:val="24"/>
        </w:rPr>
        <w:t xml:space="preserve"> for the regulation to be referred to as the </w:t>
      </w:r>
      <w:r w:rsidR="003B1183" w:rsidRPr="00FB2BE9">
        <w:rPr>
          <w:i/>
          <w:szCs w:val="24"/>
        </w:rPr>
        <w:t xml:space="preserve">Health Insurance (Professional Services Review) </w:t>
      </w:r>
      <w:r w:rsidR="003B1183">
        <w:rPr>
          <w:i/>
          <w:szCs w:val="24"/>
        </w:rPr>
        <w:t xml:space="preserve">Amendment </w:t>
      </w:r>
      <w:r w:rsidR="00DD2AD2">
        <w:rPr>
          <w:i/>
          <w:szCs w:val="24"/>
        </w:rPr>
        <w:t>Regulation</w:t>
      </w:r>
      <w:r w:rsidR="003B1183" w:rsidRPr="00FB2BE9">
        <w:rPr>
          <w:i/>
          <w:szCs w:val="24"/>
        </w:rPr>
        <w:t xml:space="preserve"> </w:t>
      </w:r>
      <w:r w:rsidR="003B1183">
        <w:rPr>
          <w:i/>
          <w:szCs w:val="24"/>
        </w:rPr>
        <w:t>2012 (No.</w:t>
      </w:r>
      <w:r w:rsidR="00802001">
        <w:rPr>
          <w:i/>
          <w:szCs w:val="24"/>
        </w:rPr>
        <w:t xml:space="preserve"> 1</w:t>
      </w:r>
      <w:r w:rsidR="003B1183">
        <w:rPr>
          <w:i/>
          <w:szCs w:val="24"/>
        </w:rPr>
        <w:t>)</w:t>
      </w:r>
      <w:r w:rsidR="003B1183" w:rsidRPr="00FB2BE9">
        <w:rPr>
          <w:szCs w:val="24"/>
        </w:rPr>
        <w:t>.</w:t>
      </w:r>
    </w:p>
    <w:p w:rsidR="003B1183" w:rsidRPr="00FB2BE9" w:rsidRDefault="003B1183" w:rsidP="003B1183">
      <w:pPr>
        <w:rPr>
          <w:szCs w:val="24"/>
        </w:rPr>
      </w:pPr>
    </w:p>
    <w:p w:rsidR="003B1183" w:rsidRPr="00B86261" w:rsidRDefault="00545E27" w:rsidP="003B1183">
      <w:pPr>
        <w:rPr>
          <w:szCs w:val="24"/>
          <w:u w:val="single"/>
        </w:rPr>
      </w:pPr>
      <w:r w:rsidRPr="00B86261">
        <w:rPr>
          <w:szCs w:val="24"/>
          <w:u w:val="single"/>
        </w:rPr>
        <w:t>Section 2</w:t>
      </w:r>
      <w:r w:rsidR="003B1183" w:rsidRPr="00B86261">
        <w:rPr>
          <w:szCs w:val="24"/>
          <w:u w:val="single"/>
        </w:rPr>
        <w:t xml:space="preserve"> – Commencement</w:t>
      </w:r>
    </w:p>
    <w:p w:rsidR="007470B2" w:rsidRDefault="007470B2" w:rsidP="003B1183">
      <w:pPr>
        <w:rPr>
          <w:szCs w:val="24"/>
        </w:rPr>
      </w:pPr>
    </w:p>
    <w:p w:rsidR="003B1183" w:rsidRPr="00FB2BE9" w:rsidRDefault="00545E27" w:rsidP="003B1183">
      <w:pPr>
        <w:rPr>
          <w:bCs/>
          <w:i/>
          <w:iCs/>
          <w:szCs w:val="24"/>
        </w:rPr>
      </w:pPr>
      <w:r>
        <w:rPr>
          <w:szCs w:val="24"/>
        </w:rPr>
        <w:t>This section provide</w:t>
      </w:r>
      <w:r w:rsidR="00CE4754">
        <w:rPr>
          <w:szCs w:val="24"/>
        </w:rPr>
        <w:t>s</w:t>
      </w:r>
      <w:r>
        <w:rPr>
          <w:szCs w:val="24"/>
        </w:rPr>
        <w:t xml:space="preserve"> for the regulation to</w:t>
      </w:r>
      <w:r w:rsidR="007470B2">
        <w:rPr>
          <w:szCs w:val="24"/>
        </w:rPr>
        <w:t xml:space="preserve"> </w:t>
      </w:r>
      <w:r w:rsidR="003B1183">
        <w:rPr>
          <w:szCs w:val="24"/>
          <w:lang w:val="en-US" w:eastAsia="en-US"/>
        </w:rPr>
        <w:t xml:space="preserve">commence on the day </w:t>
      </w:r>
      <w:r w:rsidR="003B1183" w:rsidRPr="00AD7742">
        <w:rPr>
          <w:szCs w:val="24"/>
          <w:lang w:val="en-US" w:eastAsia="en-US"/>
        </w:rPr>
        <w:t>after it is registered.</w:t>
      </w:r>
    </w:p>
    <w:p w:rsidR="003B1183" w:rsidRPr="00FB2BE9" w:rsidRDefault="003B1183" w:rsidP="003B1183">
      <w:pPr>
        <w:rPr>
          <w:szCs w:val="24"/>
        </w:rPr>
      </w:pPr>
    </w:p>
    <w:p w:rsidR="003B1183" w:rsidRPr="00B86261" w:rsidRDefault="00545E27" w:rsidP="003B1183">
      <w:pPr>
        <w:rPr>
          <w:i/>
          <w:szCs w:val="24"/>
          <w:u w:val="single"/>
        </w:rPr>
      </w:pPr>
      <w:r w:rsidRPr="00B86261">
        <w:rPr>
          <w:szCs w:val="24"/>
          <w:u w:val="single"/>
        </w:rPr>
        <w:t xml:space="preserve">Section </w:t>
      </w:r>
      <w:r w:rsidR="003B1183" w:rsidRPr="00B86261">
        <w:rPr>
          <w:szCs w:val="24"/>
          <w:u w:val="single"/>
        </w:rPr>
        <w:t xml:space="preserve">3 – Amendment of the </w:t>
      </w:r>
      <w:r w:rsidR="003B1183" w:rsidRPr="00B86261">
        <w:rPr>
          <w:i/>
          <w:szCs w:val="24"/>
          <w:u w:val="single"/>
        </w:rPr>
        <w:t>Health Insurance (Professional Services Review) Regulations 1999</w:t>
      </w:r>
    </w:p>
    <w:p w:rsidR="003F7B3B" w:rsidRDefault="003F7B3B" w:rsidP="003B1183">
      <w:pPr>
        <w:rPr>
          <w:szCs w:val="24"/>
        </w:rPr>
      </w:pPr>
    </w:p>
    <w:p w:rsidR="003B1183" w:rsidRDefault="00545E27" w:rsidP="003B1183">
      <w:pPr>
        <w:rPr>
          <w:szCs w:val="24"/>
        </w:rPr>
      </w:pPr>
      <w:r>
        <w:rPr>
          <w:szCs w:val="24"/>
        </w:rPr>
        <w:t>This section provide</w:t>
      </w:r>
      <w:r w:rsidR="00CE4754">
        <w:rPr>
          <w:szCs w:val="24"/>
        </w:rPr>
        <w:t>s</w:t>
      </w:r>
      <w:r>
        <w:rPr>
          <w:szCs w:val="24"/>
        </w:rPr>
        <w:t xml:space="preserve"> </w:t>
      </w:r>
      <w:r w:rsidR="00EF2986">
        <w:rPr>
          <w:szCs w:val="24"/>
        </w:rPr>
        <w:t xml:space="preserve">that Schedule 1 amends the </w:t>
      </w:r>
      <w:r w:rsidR="003B1183" w:rsidRPr="00EF2986">
        <w:rPr>
          <w:i/>
          <w:szCs w:val="24"/>
        </w:rPr>
        <w:t>Health Insurance (Professional Services Review) Regulations 1999</w:t>
      </w:r>
      <w:r w:rsidR="00EF2986">
        <w:rPr>
          <w:szCs w:val="24"/>
        </w:rPr>
        <w:t xml:space="preserve"> </w:t>
      </w:r>
      <w:r w:rsidR="003F7B3B">
        <w:rPr>
          <w:szCs w:val="24"/>
        </w:rPr>
        <w:t>(</w:t>
      </w:r>
      <w:r w:rsidR="00E235CC">
        <w:rPr>
          <w:szCs w:val="24"/>
        </w:rPr>
        <w:t>t</w:t>
      </w:r>
      <w:r w:rsidR="003804DE">
        <w:rPr>
          <w:szCs w:val="24"/>
        </w:rPr>
        <w:t xml:space="preserve">he </w:t>
      </w:r>
      <w:r w:rsidR="003F7B3B">
        <w:rPr>
          <w:szCs w:val="24"/>
        </w:rPr>
        <w:t>Principal Regulations)</w:t>
      </w:r>
      <w:r w:rsidR="003B1183">
        <w:rPr>
          <w:szCs w:val="24"/>
        </w:rPr>
        <w:t>.</w:t>
      </w:r>
    </w:p>
    <w:p w:rsidR="003B1183" w:rsidRDefault="003B1183" w:rsidP="003B1183">
      <w:pPr>
        <w:rPr>
          <w:szCs w:val="24"/>
        </w:rPr>
      </w:pPr>
    </w:p>
    <w:p w:rsidR="003B1183" w:rsidRPr="00DD2AD2" w:rsidRDefault="00DD2AD2" w:rsidP="003B1183">
      <w:pPr>
        <w:rPr>
          <w:szCs w:val="24"/>
          <w:u w:val="single"/>
        </w:rPr>
      </w:pPr>
      <w:r>
        <w:rPr>
          <w:szCs w:val="24"/>
          <w:u w:val="single"/>
        </w:rPr>
        <w:t>Schedule 1     Amendments</w:t>
      </w:r>
    </w:p>
    <w:p w:rsidR="003B1183" w:rsidRDefault="003B1183" w:rsidP="003B1183">
      <w:pPr>
        <w:rPr>
          <w:szCs w:val="24"/>
        </w:rPr>
      </w:pPr>
    </w:p>
    <w:p w:rsidR="003B1183" w:rsidRPr="000B206F" w:rsidRDefault="003B1183" w:rsidP="003B1183">
      <w:pPr>
        <w:rPr>
          <w:b/>
          <w:szCs w:val="24"/>
        </w:rPr>
      </w:pPr>
      <w:r>
        <w:rPr>
          <w:b/>
          <w:szCs w:val="24"/>
        </w:rPr>
        <w:t>Item [</w:t>
      </w:r>
      <w:r w:rsidRPr="000B206F">
        <w:rPr>
          <w:b/>
          <w:szCs w:val="24"/>
        </w:rPr>
        <w:t>1</w:t>
      </w:r>
      <w:r>
        <w:rPr>
          <w:b/>
          <w:szCs w:val="24"/>
        </w:rPr>
        <w:t>]</w:t>
      </w:r>
      <w:r w:rsidR="00DD2AD2">
        <w:rPr>
          <w:b/>
          <w:szCs w:val="24"/>
        </w:rPr>
        <w:t xml:space="preserve"> – R</w:t>
      </w:r>
      <w:r w:rsidRPr="000B206F">
        <w:rPr>
          <w:b/>
          <w:szCs w:val="24"/>
        </w:rPr>
        <w:t>egulation 3, notes 1 and 2</w:t>
      </w:r>
    </w:p>
    <w:p w:rsidR="00905B5D" w:rsidRDefault="00905B5D" w:rsidP="003B1183">
      <w:pPr>
        <w:rPr>
          <w:szCs w:val="24"/>
        </w:rPr>
      </w:pPr>
    </w:p>
    <w:p w:rsidR="003B1183" w:rsidRDefault="00545E27" w:rsidP="003B1183">
      <w:pPr>
        <w:rPr>
          <w:szCs w:val="24"/>
        </w:rPr>
      </w:pPr>
      <w:r>
        <w:rPr>
          <w:szCs w:val="24"/>
        </w:rPr>
        <w:t xml:space="preserve">This item  </w:t>
      </w:r>
      <w:r w:rsidR="00905B5D">
        <w:rPr>
          <w:szCs w:val="24"/>
        </w:rPr>
        <w:t>delete</w:t>
      </w:r>
      <w:r w:rsidR="00CE4754">
        <w:rPr>
          <w:szCs w:val="24"/>
        </w:rPr>
        <w:t>s</w:t>
      </w:r>
      <w:r w:rsidR="00905B5D">
        <w:rPr>
          <w:szCs w:val="24"/>
        </w:rPr>
        <w:t xml:space="preserve"> </w:t>
      </w:r>
      <w:r w:rsidR="00302DC0">
        <w:rPr>
          <w:szCs w:val="24"/>
        </w:rPr>
        <w:t>n</w:t>
      </w:r>
      <w:r w:rsidR="003B1183">
        <w:rPr>
          <w:szCs w:val="24"/>
        </w:rPr>
        <w:t xml:space="preserve">otes 1 and 2 </w:t>
      </w:r>
      <w:r w:rsidR="00302DC0">
        <w:rPr>
          <w:szCs w:val="24"/>
        </w:rPr>
        <w:t>to</w:t>
      </w:r>
      <w:r w:rsidR="0022283D">
        <w:rPr>
          <w:szCs w:val="24"/>
        </w:rPr>
        <w:t xml:space="preserve"> </w:t>
      </w:r>
      <w:r w:rsidR="00905B5D">
        <w:rPr>
          <w:szCs w:val="24"/>
        </w:rPr>
        <w:t xml:space="preserve">regulation </w:t>
      </w:r>
      <w:r w:rsidR="005431A7">
        <w:rPr>
          <w:szCs w:val="24"/>
        </w:rPr>
        <w:t>3</w:t>
      </w:r>
      <w:r w:rsidR="00905B5D">
        <w:rPr>
          <w:szCs w:val="24"/>
        </w:rPr>
        <w:t xml:space="preserve"> </w:t>
      </w:r>
      <w:r w:rsidR="008827FB">
        <w:rPr>
          <w:szCs w:val="24"/>
        </w:rPr>
        <w:t xml:space="preserve">of the Principal Regulations </w:t>
      </w:r>
      <w:r w:rsidR="003B1183">
        <w:rPr>
          <w:szCs w:val="24"/>
        </w:rPr>
        <w:t xml:space="preserve">and </w:t>
      </w:r>
      <w:r w:rsidR="00C013EC">
        <w:rPr>
          <w:szCs w:val="24"/>
        </w:rPr>
        <w:t>insert</w:t>
      </w:r>
      <w:r w:rsidR="00905B5D">
        <w:rPr>
          <w:szCs w:val="24"/>
        </w:rPr>
        <w:t xml:space="preserve"> </w:t>
      </w:r>
      <w:r w:rsidR="003B1183">
        <w:rPr>
          <w:szCs w:val="24"/>
        </w:rPr>
        <w:t xml:space="preserve">a </w:t>
      </w:r>
      <w:r w:rsidR="00302DC0">
        <w:rPr>
          <w:szCs w:val="24"/>
        </w:rPr>
        <w:t xml:space="preserve">new </w:t>
      </w:r>
      <w:r w:rsidR="003B1183">
        <w:rPr>
          <w:szCs w:val="24"/>
        </w:rPr>
        <w:t xml:space="preserve">note that provides </w:t>
      </w:r>
      <w:r w:rsidR="0073470C">
        <w:rPr>
          <w:szCs w:val="24"/>
        </w:rPr>
        <w:t xml:space="preserve">a range of </w:t>
      </w:r>
      <w:r w:rsidR="003B1183">
        <w:rPr>
          <w:szCs w:val="24"/>
        </w:rPr>
        <w:t xml:space="preserve">words and expressions used in the regulations </w:t>
      </w:r>
      <w:r w:rsidR="0022283D">
        <w:rPr>
          <w:szCs w:val="24"/>
        </w:rPr>
        <w:t xml:space="preserve">to </w:t>
      </w:r>
      <w:r w:rsidR="003B1183">
        <w:rPr>
          <w:szCs w:val="24"/>
        </w:rPr>
        <w:t xml:space="preserve">have the same meaning </w:t>
      </w:r>
      <w:r w:rsidR="0073470C">
        <w:rPr>
          <w:szCs w:val="24"/>
        </w:rPr>
        <w:t>as th</w:t>
      </w:r>
      <w:r w:rsidR="00302DC0">
        <w:rPr>
          <w:szCs w:val="24"/>
        </w:rPr>
        <w:t>at</w:t>
      </w:r>
      <w:r w:rsidR="0073470C">
        <w:rPr>
          <w:szCs w:val="24"/>
        </w:rPr>
        <w:t xml:space="preserve"> given </w:t>
      </w:r>
      <w:r w:rsidR="003B1183">
        <w:rPr>
          <w:szCs w:val="24"/>
        </w:rPr>
        <w:t xml:space="preserve">in the </w:t>
      </w:r>
      <w:r w:rsidR="00EF2986" w:rsidRPr="00EF2986">
        <w:rPr>
          <w:i/>
          <w:szCs w:val="24"/>
        </w:rPr>
        <w:t>Health Insurance Act 1973</w:t>
      </w:r>
      <w:r w:rsidR="003F7B3B">
        <w:rPr>
          <w:i/>
          <w:szCs w:val="24"/>
        </w:rPr>
        <w:t xml:space="preserve"> </w:t>
      </w:r>
      <w:r w:rsidR="003F7B3B">
        <w:rPr>
          <w:szCs w:val="24"/>
        </w:rPr>
        <w:t>(the Act)</w:t>
      </w:r>
      <w:r w:rsidR="003B1183">
        <w:rPr>
          <w:szCs w:val="24"/>
        </w:rPr>
        <w:t>.</w:t>
      </w:r>
    </w:p>
    <w:p w:rsidR="003B1183" w:rsidRDefault="003B1183" w:rsidP="003B1183">
      <w:pPr>
        <w:rPr>
          <w:szCs w:val="24"/>
        </w:rPr>
      </w:pPr>
    </w:p>
    <w:p w:rsidR="003B1183" w:rsidRPr="000B206F" w:rsidRDefault="003B1183" w:rsidP="003B1183">
      <w:pPr>
        <w:rPr>
          <w:b/>
          <w:szCs w:val="24"/>
        </w:rPr>
      </w:pPr>
      <w:r w:rsidRPr="000B206F">
        <w:rPr>
          <w:b/>
          <w:szCs w:val="24"/>
        </w:rPr>
        <w:t xml:space="preserve">Item </w:t>
      </w:r>
      <w:r>
        <w:rPr>
          <w:b/>
          <w:szCs w:val="24"/>
        </w:rPr>
        <w:t>[</w:t>
      </w:r>
      <w:r w:rsidRPr="000B206F">
        <w:rPr>
          <w:b/>
          <w:szCs w:val="24"/>
        </w:rPr>
        <w:t>2</w:t>
      </w:r>
      <w:r>
        <w:rPr>
          <w:b/>
          <w:szCs w:val="24"/>
        </w:rPr>
        <w:t>]</w:t>
      </w:r>
      <w:r w:rsidR="00DD2AD2">
        <w:rPr>
          <w:b/>
          <w:szCs w:val="24"/>
        </w:rPr>
        <w:t xml:space="preserve"> – </w:t>
      </w:r>
      <w:r w:rsidRPr="000B206F">
        <w:rPr>
          <w:b/>
          <w:szCs w:val="24"/>
        </w:rPr>
        <w:t>Regulation 4, note</w:t>
      </w:r>
    </w:p>
    <w:p w:rsidR="003B1183" w:rsidRDefault="003B1183" w:rsidP="003B1183">
      <w:pPr>
        <w:rPr>
          <w:szCs w:val="24"/>
        </w:rPr>
      </w:pPr>
    </w:p>
    <w:p w:rsidR="003B1183" w:rsidRDefault="00545E27" w:rsidP="003B1183">
      <w:pPr>
        <w:rPr>
          <w:szCs w:val="24"/>
        </w:rPr>
      </w:pPr>
      <w:r>
        <w:rPr>
          <w:szCs w:val="24"/>
        </w:rPr>
        <w:t xml:space="preserve">This item  </w:t>
      </w:r>
      <w:r w:rsidR="005431A7">
        <w:rPr>
          <w:szCs w:val="24"/>
        </w:rPr>
        <w:t>delete</w:t>
      </w:r>
      <w:r w:rsidR="00CE4754">
        <w:rPr>
          <w:szCs w:val="24"/>
        </w:rPr>
        <w:t>s</w:t>
      </w:r>
      <w:r w:rsidR="003B1183">
        <w:rPr>
          <w:szCs w:val="24"/>
        </w:rPr>
        <w:t xml:space="preserve"> reference to </w:t>
      </w:r>
      <w:r w:rsidR="00905B5D">
        <w:rPr>
          <w:szCs w:val="24"/>
        </w:rPr>
        <w:t>the term ‘</w:t>
      </w:r>
      <w:r w:rsidR="003B1183">
        <w:rPr>
          <w:szCs w:val="24"/>
        </w:rPr>
        <w:t>subs</w:t>
      </w:r>
      <w:r w:rsidR="00905B5D">
        <w:rPr>
          <w:szCs w:val="24"/>
        </w:rPr>
        <w:t>’</w:t>
      </w:r>
      <w:r w:rsidR="003B1183">
        <w:rPr>
          <w:szCs w:val="24"/>
        </w:rPr>
        <w:t xml:space="preserve"> </w:t>
      </w:r>
      <w:r w:rsidR="00B704BC">
        <w:rPr>
          <w:szCs w:val="24"/>
        </w:rPr>
        <w:t xml:space="preserve">in the note of </w:t>
      </w:r>
      <w:r w:rsidR="008827FB">
        <w:rPr>
          <w:szCs w:val="24"/>
        </w:rPr>
        <w:t>r</w:t>
      </w:r>
      <w:r w:rsidR="00B704BC">
        <w:rPr>
          <w:szCs w:val="24"/>
        </w:rPr>
        <w:t xml:space="preserve">egulation 4 of the Principal Regulations </w:t>
      </w:r>
      <w:r w:rsidR="003B1183">
        <w:rPr>
          <w:szCs w:val="24"/>
        </w:rPr>
        <w:t>and replace</w:t>
      </w:r>
      <w:r w:rsidR="00302DC0">
        <w:rPr>
          <w:szCs w:val="24"/>
        </w:rPr>
        <w:t xml:space="preserve"> it </w:t>
      </w:r>
      <w:r w:rsidR="003B1183">
        <w:rPr>
          <w:szCs w:val="24"/>
        </w:rPr>
        <w:t xml:space="preserve">with </w:t>
      </w:r>
      <w:r w:rsidR="00905B5D">
        <w:rPr>
          <w:szCs w:val="24"/>
        </w:rPr>
        <w:t>‘</w:t>
      </w:r>
      <w:r w:rsidR="003B1183">
        <w:rPr>
          <w:szCs w:val="24"/>
        </w:rPr>
        <w:t>subsection</w:t>
      </w:r>
      <w:r w:rsidR="00905B5D">
        <w:rPr>
          <w:szCs w:val="24"/>
        </w:rPr>
        <w:t>’</w:t>
      </w:r>
      <w:r w:rsidR="003B1183">
        <w:rPr>
          <w:szCs w:val="24"/>
        </w:rPr>
        <w:t>.</w:t>
      </w:r>
    </w:p>
    <w:p w:rsidR="003B1183" w:rsidRDefault="003B1183" w:rsidP="003B1183">
      <w:pPr>
        <w:rPr>
          <w:szCs w:val="24"/>
        </w:rPr>
      </w:pPr>
    </w:p>
    <w:p w:rsidR="003B1183" w:rsidRDefault="003B1183" w:rsidP="003B1183">
      <w:pPr>
        <w:rPr>
          <w:b/>
          <w:szCs w:val="24"/>
        </w:rPr>
      </w:pPr>
      <w:r w:rsidRPr="000B206F">
        <w:rPr>
          <w:b/>
          <w:szCs w:val="24"/>
        </w:rPr>
        <w:t xml:space="preserve">Item </w:t>
      </w:r>
      <w:r>
        <w:rPr>
          <w:b/>
          <w:szCs w:val="24"/>
        </w:rPr>
        <w:t>[</w:t>
      </w:r>
      <w:r w:rsidRPr="000B206F">
        <w:rPr>
          <w:b/>
          <w:szCs w:val="24"/>
        </w:rPr>
        <w:t>3</w:t>
      </w:r>
      <w:r>
        <w:rPr>
          <w:b/>
          <w:szCs w:val="24"/>
        </w:rPr>
        <w:t>]</w:t>
      </w:r>
      <w:r w:rsidR="00DD2AD2">
        <w:rPr>
          <w:b/>
          <w:szCs w:val="24"/>
        </w:rPr>
        <w:t xml:space="preserve"> – </w:t>
      </w:r>
      <w:r w:rsidRPr="000B206F">
        <w:rPr>
          <w:b/>
          <w:szCs w:val="24"/>
        </w:rPr>
        <w:t>Regulation 7</w:t>
      </w:r>
    </w:p>
    <w:p w:rsidR="008223AC" w:rsidRPr="000B206F" w:rsidRDefault="008223AC" w:rsidP="003B1183">
      <w:pPr>
        <w:rPr>
          <w:b/>
          <w:szCs w:val="24"/>
        </w:rPr>
      </w:pPr>
    </w:p>
    <w:p w:rsidR="003B1183" w:rsidRDefault="00EF2986" w:rsidP="003B1183">
      <w:pPr>
        <w:rPr>
          <w:szCs w:val="24"/>
        </w:rPr>
      </w:pPr>
      <w:r>
        <w:rPr>
          <w:szCs w:val="24"/>
        </w:rPr>
        <w:t xml:space="preserve">Item </w:t>
      </w:r>
      <w:r w:rsidR="00DD2AD2">
        <w:rPr>
          <w:szCs w:val="24"/>
        </w:rPr>
        <w:t>[</w:t>
      </w:r>
      <w:r>
        <w:rPr>
          <w:szCs w:val="24"/>
        </w:rPr>
        <w:t>3</w:t>
      </w:r>
      <w:r w:rsidR="00DD2AD2">
        <w:rPr>
          <w:szCs w:val="24"/>
        </w:rPr>
        <w:t>]</w:t>
      </w:r>
      <w:r w:rsidR="003B1183">
        <w:rPr>
          <w:szCs w:val="24"/>
        </w:rPr>
        <w:t xml:space="preserve"> </w:t>
      </w:r>
      <w:r w:rsidR="00DB694E">
        <w:rPr>
          <w:szCs w:val="24"/>
        </w:rPr>
        <w:t xml:space="preserve"> </w:t>
      </w:r>
      <w:r w:rsidR="003B1183">
        <w:rPr>
          <w:szCs w:val="24"/>
        </w:rPr>
        <w:t>correct</w:t>
      </w:r>
      <w:r w:rsidR="00CE4754">
        <w:rPr>
          <w:szCs w:val="24"/>
        </w:rPr>
        <w:t>s</w:t>
      </w:r>
      <w:r w:rsidR="003B1183">
        <w:rPr>
          <w:szCs w:val="24"/>
        </w:rPr>
        <w:t xml:space="preserve"> a typographical error </w:t>
      </w:r>
      <w:r w:rsidR="00B704BC">
        <w:rPr>
          <w:szCs w:val="24"/>
        </w:rPr>
        <w:t xml:space="preserve">in the definition of ‘professional attendance’ </w:t>
      </w:r>
      <w:r w:rsidR="00DB694E">
        <w:rPr>
          <w:szCs w:val="24"/>
        </w:rPr>
        <w:t xml:space="preserve">by </w:t>
      </w:r>
      <w:r w:rsidR="003B1183">
        <w:rPr>
          <w:szCs w:val="24"/>
        </w:rPr>
        <w:t>replac</w:t>
      </w:r>
      <w:r w:rsidR="00DB694E">
        <w:rPr>
          <w:szCs w:val="24"/>
        </w:rPr>
        <w:t>ing</w:t>
      </w:r>
      <w:r w:rsidR="003B1183">
        <w:rPr>
          <w:szCs w:val="24"/>
        </w:rPr>
        <w:t xml:space="preserve"> reference to Part 3 </w:t>
      </w:r>
      <w:r w:rsidR="00B704BC">
        <w:rPr>
          <w:szCs w:val="24"/>
        </w:rPr>
        <w:t xml:space="preserve">of the general medical services table </w:t>
      </w:r>
      <w:r w:rsidR="003B1183">
        <w:rPr>
          <w:szCs w:val="24"/>
        </w:rPr>
        <w:t>with reference to Part 2 of the general medical services table</w:t>
      </w:r>
      <w:r w:rsidR="00B704BC">
        <w:rPr>
          <w:szCs w:val="24"/>
        </w:rPr>
        <w:t xml:space="preserve"> in order to ensure that </w:t>
      </w:r>
      <w:r w:rsidR="003B1183">
        <w:rPr>
          <w:szCs w:val="24"/>
        </w:rPr>
        <w:t xml:space="preserve">the </w:t>
      </w:r>
      <w:r>
        <w:rPr>
          <w:szCs w:val="24"/>
        </w:rPr>
        <w:t>Principal R</w:t>
      </w:r>
      <w:r w:rsidR="003B1183">
        <w:rPr>
          <w:szCs w:val="24"/>
        </w:rPr>
        <w:t xml:space="preserve">egulations </w:t>
      </w:r>
      <w:r w:rsidR="0073470C">
        <w:rPr>
          <w:szCs w:val="24"/>
        </w:rPr>
        <w:t xml:space="preserve">make </w:t>
      </w:r>
      <w:r w:rsidR="003B1183">
        <w:rPr>
          <w:szCs w:val="24"/>
        </w:rPr>
        <w:t>refer</w:t>
      </w:r>
      <w:r w:rsidR="0073470C">
        <w:rPr>
          <w:szCs w:val="24"/>
        </w:rPr>
        <w:t>ence</w:t>
      </w:r>
      <w:r w:rsidR="003B1183">
        <w:rPr>
          <w:szCs w:val="24"/>
        </w:rPr>
        <w:t xml:space="preserve"> to the correct part of the general medical services table.</w:t>
      </w:r>
    </w:p>
    <w:p w:rsidR="003B1183" w:rsidRDefault="003B1183" w:rsidP="003B1183">
      <w:pPr>
        <w:rPr>
          <w:szCs w:val="24"/>
        </w:rPr>
      </w:pPr>
    </w:p>
    <w:p w:rsidR="003D5B85" w:rsidRDefault="003B1183" w:rsidP="00302DC0">
      <w:pPr>
        <w:rPr>
          <w:b/>
          <w:szCs w:val="24"/>
        </w:rPr>
      </w:pPr>
      <w:r w:rsidRPr="000B206F">
        <w:rPr>
          <w:b/>
          <w:szCs w:val="24"/>
        </w:rPr>
        <w:t>Item</w:t>
      </w:r>
      <w:r w:rsidR="00DD2AD2">
        <w:rPr>
          <w:b/>
          <w:szCs w:val="24"/>
        </w:rPr>
        <w:t>s</w:t>
      </w:r>
      <w:r w:rsidRPr="000B206F">
        <w:rPr>
          <w:b/>
          <w:szCs w:val="24"/>
        </w:rPr>
        <w:t xml:space="preserve"> </w:t>
      </w:r>
      <w:r>
        <w:rPr>
          <w:b/>
          <w:szCs w:val="24"/>
        </w:rPr>
        <w:t>[</w:t>
      </w:r>
      <w:r w:rsidRPr="000B206F">
        <w:rPr>
          <w:b/>
          <w:szCs w:val="24"/>
        </w:rPr>
        <w:t>4</w:t>
      </w:r>
      <w:r>
        <w:rPr>
          <w:b/>
          <w:szCs w:val="24"/>
        </w:rPr>
        <w:t>]</w:t>
      </w:r>
      <w:r w:rsidR="00DD2AD2">
        <w:rPr>
          <w:b/>
          <w:szCs w:val="24"/>
        </w:rPr>
        <w:t xml:space="preserve"> and [5] – </w:t>
      </w:r>
      <w:r w:rsidRPr="000B206F">
        <w:rPr>
          <w:b/>
          <w:szCs w:val="24"/>
        </w:rPr>
        <w:t>Regulation</w:t>
      </w:r>
      <w:r w:rsidR="00DD2AD2">
        <w:rPr>
          <w:b/>
          <w:szCs w:val="24"/>
        </w:rPr>
        <w:t>s</w:t>
      </w:r>
      <w:r w:rsidRPr="000B206F">
        <w:rPr>
          <w:b/>
          <w:szCs w:val="24"/>
        </w:rPr>
        <w:t xml:space="preserve"> 7</w:t>
      </w:r>
      <w:r w:rsidR="00DD2AD2">
        <w:rPr>
          <w:b/>
          <w:szCs w:val="24"/>
        </w:rPr>
        <w:t xml:space="preserve"> and 11</w:t>
      </w:r>
      <w:r w:rsidRPr="000B206F">
        <w:rPr>
          <w:b/>
          <w:szCs w:val="24"/>
        </w:rPr>
        <w:t>, note</w:t>
      </w:r>
      <w:r w:rsidR="00302DC0">
        <w:rPr>
          <w:b/>
          <w:szCs w:val="24"/>
        </w:rPr>
        <w:t xml:space="preserve"> </w:t>
      </w:r>
    </w:p>
    <w:p w:rsidR="003B1183" w:rsidRPr="000B206F" w:rsidRDefault="003B1183" w:rsidP="003B1183">
      <w:pPr>
        <w:rPr>
          <w:b/>
          <w:szCs w:val="24"/>
        </w:rPr>
      </w:pPr>
    </w:p>
    <w:p w:rsidR="003B1183" w:rsidRDefault="00302DC0" w:rsidP="003B1183">
      <w:pPr>
        <w:rPr>
          <w:szCs w:val="24"/>
        </w:rPr>
      </w:pPr>
      <w:r>
        <w:rPr>
          <w:szCs w:val="24"/>
        </w:rPr>
        <w:t xml:space="preserve">These items delete notes to regulations 7 and 11, respectively, of the Principal Regulations.  These are </w:t>
      </w:r>
      <w:r w:rsidR="003B1183">
        <w:rPr>
          <w:szCs w:val="24"/>
        </w:rPr>
        <w:t xml:space="preserve">technical consequential amendment, resulting </w:t>
      </w:r>
      <w:r w:rsidR="00DB694E">
        <w:rPr>
          <w:szCs w:val="24"/>
        </w:rPr>
        <w:t xml:space="preserve">from </w:t>
      </w:r>
      <w:r w:rsidR="005431A7">
        <w:rPr>
          <w:szCs w:val="24"/>
        </w:rPr>
        <w:t xml:space="preserve">amendments to the </w:t>
      </w:r>
      <w:r w:rsidR="003B1183">
        <w:rPr>
          <w:szCs w:val="24"/>
        </w:rPr>
        <w:t>note in regulation 3</w:t>
      </w:r>
      <w:r w:rsidR="00C013EC">
        <w:rPr>
          <w:szCs w:val="24"/>
        </w:rPr>
        <w:t xml:space="preserve"> </w:t>
      </w:r>
      <w:r w:rsidR="003B1183">
        <w:rPr>
          <w:szCs w:val="24"/>
        </w:rPr>
        <w:t xml:space="preserve">(item </w:t>
      </w:r>
      <w:r w:rsidR="00DD2AD2">
        <w:rPr>
          <w:szCs w:val="24"/>
        </w:rPr>
        <w:t>[</w:t>
      </w:r>
      <w:r w:rsidR="003B1183">
        <w:rPr>
          <w:szCs w:val="24"/>
        </w:rPr>
        <w:t>1</w:t>
      </w:r>
      <w:r w:rsidR="00DD2AD2">
        <w:rPr>
          <w:szCs w:val="24"/>
        </w:rPr>
        <w:t>]</w:t>
      </w:r>
      <w:r w:rsidR="003B1183">
        <w:rPr>
          <w:szCs w:val="24"/>
        </w:rPr>
        <w:t xml:space="preserve"> refers).</w:t>
      </w:r>
    </w:p>
    <w:p w:rsidR="003B1183" w:rsidRDefault="003B1183" w:rsidP="003B1183">
      <w:pPr>
        <w:rPr>
          <w:szCs w:val="24"/>
        </w:rPr>
      </w:pPr>
    </w:p>
    <w:p w:rsidR="003B1183" w:rsidRPr="000F6AC6" w:rsidRDefault="003B1183" w:rsidP="003B1183">
      <w:pPr>
        <w:rPr>
          <w:b/>
          <w:szCs w:val="24"/>
        </w:rPr>
      </w:pPr>
      <w:r w:rsidRPr="00643EA9">
        <w:rPr>
          <w:b/>
          <w:szCs w:val="24"/>
        </w:rPr>
        <w:t>Item [6]</w:t>
      </w:r>
      <w:r w:rsidR="00DD2AD2">
        <w:rPr>
          <w:b/>
          <w:szCs w:val="24"/>
        </w:rPr>
        <w:t xml:space="preserve"> – </w:t>
      </w:r>
      <w:proofErr w:type="spellStart"/>
      <w:r w:rsidR="00BF7EA7">
        <w:rPr>
          <w:b/>
          <w:szCs w:val="24"/>
        </w:rPr>
        <w:t>Subregulation</w:t>
      </w:r>
      <w:proofErr w:type="spellEnd"/>
      <w:r w:rsidR="00BF7EA7">
        <w:rPr>
          <w:b/>
          <w:szCs w:val="24"/>
        </w:rPr>
        <w:t xml:space="preserve"> 12</w:t>
      </w:r>
      <w:r w:rsidRPr="00643EA9">
        <w:rPr>
          <w:b/>
          <w:szCs w:val="24"/>
        </w:rPr>
        <w:t>(1)</w:t>
      </w:r>
    </w:p>
    <w:p w:rsidR="00302DC0" w:rsidRDefault="00302DC0" w:rsidP="003B1183">
      <w:pPr>
        <w:rPr>
          <w:szCs w:val="24"/>
        </w:rPr>
      </w:pPr>
    </w:p>
    <w:p w:rsidR="00302DC0" w:rsidRDefault="00302DC0" w:rsidP="003B1183">
      <w:pPr>
        <w:rPr>
          <w:szCs w:val="24"/>
        </w:rPr>
      </w:pPr>
      <w:proofErr w:type="spellStart"/>
      <w:r>
        <w:rPr>
          <w:szCs w:val="24"/>
        </w:rPr>
        <w:t>Subregulation</w:t>
      </w:r>
      <w:proofErr w:type="spellEnd"/>
      <w:r>
        <w:rPr>
          <w:szCs w:val="24"/>
        </w:rPr>
        <w:t xml:space="preserve"> 12(1) currently </w:t>
      </w:r>
      <w:r w:rsidR="003804DE">
        <w:rPr>
          <w:szCs w:val="24"/>
        </w:rPr>
        <w:t>states that</w:t>
      </w:r>
      <w:r>
        <w:rPr>
          <w:szCs w:val="24"/>
        </w:rPr>
        <w:t xml:space="preserve"> </w:t>
      </w:r>
      <w:r w:rsidR="00D15F68">
        <w:rPr>
          <w:szCs w:val="24"/>
        </w:rPr>
        <w:t>through</w:t>
      </w:r>
      <w:r>
        <w:rPr>
          <w:szCs w:val="24"/>
        </w:rPr>
        <w:t xml:space="preserve"> subsection 106XB(1) of the Act</w:t>
      </w:r>
      <w:r w:rsidR="00D15F68">
        <w:rPr>
          <w:szCs w:val="24"/>
        </w:rPr>
        <w:t>,</w:t>
      </w:r>
      <w:r>
        <w:rPr>
          <w:szCs w:val="24"/>
        </w:rPr>
        <w:t xml:space="preserve"> the appropriate body to which the Director of </w:t>
      </w:r>
      <w:r w:rsidR="00644C64">
        <w:rPr>
          <w:szCs w:val="24"/>
        </w:rPr>
        <w:t>Professional Services Review (</w:t>
      </w:r>
      <w:r>
        <w:rPr>
          <w:szCs w:val="24"/>
        </w:rPr>
        <w:t>PSR</w:t>
      </w:r>
      <w:r w:rsidR="00644C64">
        <w:rPr>
          <w:szCs w:val="24"/>
        </w:rPr>
        <w:t>)</w:t>
      </w:r>
      <w:r>
        <w:rPr>
          <w:szCs w:val="24"/>
        </w:rPr>
        <w:t xml:space="preserve"> may direct a </w:t>
      </w:r>
      <w:r>
        <w:rPr>
          <w:szCs w:val="24"/>
        </w:rPr>
        <w:lastRenderedPageBreak/>
        <w:t xml:space="preserve">notification about a general practitioner is a </w:t>
      </w:r>
      <w:r w:rsidR="00D15F68">
        <w:rPr>
          <w:szCs w:val="24"/>
        </w:rPr>
        <w:t xml:space="preserve">State or Territory </w:t>
      </w:r>
      <w:r>
        <w:rPr>
          <w:szCs w:val="24"/>
        </w:rPr>
        <w:t>body s</w:t>
      </w:r>
      <w:r w:rsidR="00427D78">
        <w:rPr>
          <w:szCs w:val="24"/>
        </w:rPr>
        <w:t>pecified in the Schedule</w:t>
      </w:r>
      <w:r w:rsidR="00D15F68">
        <w:rPr>
          <w:szCs w:val="24"/>
        </w:rPr>
        <w:t xml:space="preserve">. </w:t>
      </w:r>
      <w:r>
        <w:rPr>
          <w:szCs w:val="24"/>
        </w:rPr>
        <w:t xml:space="preserve"> As a result of </w:t>
      </w:r>
      <w:r w:rsidR="00DD2AD2">
        <w:rPr>
          <w:szCs w:val="24"/>
        </w:rPr>
        <w:t>the</w:t>
      </w:r>
      <w:r w:rsidR="00D15F68">
        <w:rPr>
          <w:szCs w:val="24"/>
        </w:rPr>
        <w:t xml:space="preserve"> new</w:t>
      </w:r>
      <w:r w:rsidR="00DD2AD2">
        <w:rPr>
          <w:szCs w:val="24"/>
        </w:rPr>
        <w:t xml:space="preserve"> National Registration and Accreditation Scheme (</w:t>
      </w:r>
      <w:r>
        <w:rPr>
          <w:szCs w:val="24"/>
        </w:rPr>
        <w:t>NRAS</w:t>
      </w:r>
      <w:r w:rsidR="00DD2AD2">
        <w:rPr>
          <w:szCs w:val="24"/>
        </w:rPr>
        <w:t>)</w:t>
      </w:r>
      <w:r>
        <w:rPr>
          <w:szCs w:val="24"/>
        </w:rPr>
        <w:t>, the Medical Board of Austr</w:t>
      </w:r>
      <w:r w:rsidR="00B56954">
        <w:rPr>
          <w:szCs w:val="24"/>
        </w:rPr>
        <w:t>a</w:t>
      </w:r>
      <w:r>
        <w:rPr>
          <w:szCs w:val="24"/>
        </w:rPr>
        <w:t xml:space="preserve">lia </w:t>
      </w:r>
      <w:r w:rsidR="00D15F68">
        <w:rPr>
          <w:szCs w:val="24"/>
        </w:rPr>
        <w:t xml:space="preserve">now </w:t>
      </w:r>
      <w:r>
        <w:rPr>
          <w:szCs w:val="24"/>
        </w:rPr>
        <w:t>regulates medical practitioners for all States and Territories.</w:t>
      </w:r>
    </w:p>
    <w:p w:rsidR="00302DC0" w:rsidRDefault="00302DC0" w:rsidP="003B1183">
      <w:pPr>
        <w:rPr>
          <w:szCs w:val="24"/>
        </w:rPr>
      </w:pPr>
    </w:p>
    <w:p w:rsidR="006B7849" w:rsidRDefault="0048403E" w:rsidP="003B1183">
      <w:pPr>
        <w:rPr>
          <w:szCs w:val="24"/>
        </w:rPr>
      </w:pPr>
      <w:r>
        <w:rPr>
          <w:szCs w:val="24"/>
        </w:rPr>
        <w:t>Item</w:t>
      </w:r>
      <w:r w:rsidR="003804DE">
        <w:rPr>
          <w:szCs w:val="24"/>
        </w:rPr>
        <w:t xml:space="preserve"> </w:t>
      </w:r>
      <w:r w:rsidR="00DD2AD2">
        <w:rPr>
          <w:szCs w:val="24"/>
        </w:rPr>
        <w:t>[</w:t>
      </w:r>
      <w:r>
        <w:rPr>
          <w:szCs w:val="24"/>
        </w:rPr>
        <w:t>6</w:t>
      </w:r>
      <w:r w:rsidR="00DD2AD2">
        <w:rPr>
          <w:szCs w:val="24"/>
        </w:rPr>
        <w:t>]</w:t>
      </w:r>
      <w:r>
        <w:rPr>
          <w:szCs w:val="24"/>
        </w:rPr>
        <w:t xml:space="preserve"> </w:t>
      </w:r>
      <w:r w:rsidR="00295DC1">
        <w:rPr>
          <w:szCs w:val="24"/>
        </w:rPr>
        <w:t>delete</w:t>
      </w:r>
      <w:r w:rsidR="00CE4754">
        <w:rPr>
          <w:szCs w:val="24"/>
        </w:rPr>
        <w:t>s</w:t>
      </w:r>
      <w:r w:rsidR="00295DC1">
        <w:rPr>
          <w:szCs w:val="24"/>
        </w:rPr>
        <w:t xml:space="preserve"> </w:t>
      </w:r>
      <w:r w:rsidR="003B1183">
        <w:rPr>
          <w:szCs w:val="24"/>
        </w:rPr>
        <w:t xml:space="preserve">reference to </w:t>
      </w:r>
      <w:r w:rsidR="00302DC0">
        <w:rPr>
          <w:szCs w:val="24"/>
        </w:rPr>
        <w:t xml:space="preserve">an </w:t>
      </w:r>
      <w:r w:rsidR="00FB4C76">
        <w:rPr>
          <w:szCs w:val="24"/>
        </w:rPr>
        <w:t>appropriate bod</w:t>
      </w:r>
      <w:r w:rsidR="00302DC0">
        <w:rPr>
          <w:szCs w:val="24"/>
        </w:rPr>
        <w:t>y</w:t>
      </w:r>
      <w:r w:rsidR="006B7849">
        <w:rPr>
          <w:szCs w:val="24"/>
        </w:rPr>
        <w:t xml:space="preserve"> for a g</w:t>
      </w:r>
      <w:r w:rsidR="00E40684">
        <w:rPr>
          <w:szCs w:val="24"/>
        </w:rPr>
        <w:t>eneral practitioner</w:t>
      </w:r>
      <w:r w:rsidR="006B7849">
        <w:rPr>
          <w:szCs w:val="24"/>
        </w:rPr>
        <w:t xml:space="preserve"> being the body for ‘the State or Territory in which the general practitioner practises his or her practice’ and replace</w:t>
      </w:r>
      <w:r w:rsidR="00C679C4">
        <w:rPr>
          <w:szCs w:val="24"/>
        </w:rPr>
        <w:t>s</w:t>
      </w:r>
      <w:r w:rsidR="006B7849">
        <w:rPr>
          <w:szCs w:val="24"/>
        </w:rPr>
        <w:t xml:space="preserve"> it with a gen</w:t>
      </w:r>
      <w:r w:rsidR="003D5B85">
        <w:rPr>
          <w:szCs w:val="24"/>
        </w:rPr>
        <w:t>eral</w:t>
      </w:r>
      <w:r w:rsidR="006B7849">
        <w:rPr>
          <w:szCs w:val="24"/>
        </w:rPr>
        <w:t xml:space="preserve"> reference</w:t>
      </w:r>
      <w:r w:rsidR="003D5B85">
        <w:rPr>
          <w:szCs w:val="24"/>
        </w:rPr>
        <w:t xml:space="preserve"> to a body ‘that, for a general practitioner’ regulates practice</w:t>
      </w:r>
      <w:r w:rsidR="006B7849">
        <w:rPr>
          <w:szCs w:val="24"/>
        </w:rPr>
        <w:t>.</w:t>
      </w:r>
    </w:p>
    <w:p w:rsidR="003B1183" w:rsidRDefault="003B1183" w:rsidP="003B1183">
      <w:pPr>
        <w:rPr>
          <w:szCs w:val="24"/>
        </w:rPr>
      </w:pPr>
    </w:p>
    <w:p w:rsidR="003B1183" w:rsidRPr="000F6AC6" w:rsidRDefault="003B1183" w:rsidP="003B1183">
      <w:pPr>
        <w:rPr>
          <w:b/>
          <w:szCs w:val="24"/>
        </w:rPr>
      </w:pPr>
      <w:r w:rsidRPr="000F6AC6">
        <w:rPr>
          <w:b/>
          <w:szCs w:val="24"/>
        </w:rPr>
        <w:t>Item [7]</w:t>
      </w:r>
      <w:r w:rsidR="00DD2AD2">
        <w:rPr>
          <w:b/>
          <w:szCs w:val="24"/>
        </w:rPr>
        <w:t xml:space="preserve"> </w:t>
      </w:r>
      <w:r w:rsidR="00BF7EA7">
        <w:rPr>
          <w:b/>
          <w:szCs w:val="24"/>
        </w:rPr>
        <w:t xml:space="preserve">– </w:t>
      </w:r>
      <w:r w:rsidRPr="000F6AC6">
        <w:rPr>
          <w:b/>
          <w:szCs w:val="24"/>
        </w:rPr>
        <w:t>Paragraph 12(1)(a)</w:t>
      </w:r>
    </w:p>
    <w:p w:rsidR="00BF7EA7" w:rsidRDefault="00BF7EA7" w:rsidP="003B1183">
      <w:pPr>
        <w:rPr>
          <w:szCs w:val="24"/>
        </w:rPr>
      </w:pPr>
    </w:p>
    <w:p w:rsidR="003B1183" w:rsidRDefault="0048403E" w:rsidP="003B1183">
      <w:pPr>
        <w:rPr>
          <w:szCs w:val="24"/>
        </w:rPr>
      </w:pPr>
      <w:r>
        <w:rPr>
          <w:szCs w:val="24"/>
        </w:rPr>
        <w:t>Item</w:t>
      </w:r>
      <w:r w:rsidR="00BF7EA7">
        <w:rPr>
          <w:szCs w:val="24"/>
        </w:rPr>
        <w:t xml:space="preserve"> [</w:t>
      </w:r>
      <w:r>
        <w:rPr>
          <w:szCs w:val="24"/>
        </w:rPr>
        <w:t>7</w:t>
      </w:r>
      <w:r w:rsidR="00BF7EA7">
        <w:rPr>
          <w:szCs w:val="24"/>
        </w:rPr>
        <w:t>]</w:t>
      </w:r>
      <w:r>
        <w:rPr>
          <w:szCs w:val="24"/>
        </w:rPr>
        <w:t xml:space="preserve"> delete</w:t>
      </w:r>
      <w:r w:rsidR="00CE4754">
        <w:rPr>
          <w:szCs w:val="24"/>
        </w:rPr>
        <w:t>s</w:t>
      </w:r>
      <w:r>
        <w:rPr>
          <w:szCs w:val="24"/>
        </w:rPr>
        <w:t xml:space="preserve"> </w:t>
      </w:r>
      <w:r w:rsidR="003B1183">
        <w:rPr>
          <w:szCs w:val="24"/>
        </w:rPr>
        <w:t xml:space="preserve">reference to </w:t>
      </w:r>
      <w:r w:rsidR="00643EA9">
        <w:rPr>
          <w:szCs w:val="24"/>
        </w:rPr>
        <w:t>the term ‘</w:t>
      </w:r>
      <w:r w:rsidR="003B1183">
        <w:rPr>
          <w:szCs w:val="24"/>
        </w:rPr>
        <w:t>licensing</w:t>
      </w:r>
      <w:r w:rsidR="00643EA9">
        <w:rPr>
          <w:szCs w:val="24"/>
        </w:rPr>
        <w:t>’</w:t>
      </w:r>
      <w:r w:rsidR="003B1183">
        <w:rPr>
          <w:szCs w:val="24"/>
        </w:rPr>
        <w:t xml:space="preserve"> </w:t>
      </w:r>
      <w:r w:rsidR="00643EA9">
        <w:rPr>
          <w:szCs w:val="24"/>
        </w:rPr>
        <w:t>in</w:t>
      </w:r>
      <w:r w:rsidR="003B1183">
        <w:rPr>
          <w:szCs w:val="24"/>
        </w:rPr>
        <w:t xml:space="preserve"> paragraph 12(1)(a)</w:t>
      </w:r>
      <w:r w:rsidR="00C013EC" w:rsidRPr="00C013EC">
        <w:rPr>
          <w:szCs w:val="24"/>
        </w:rPr>
        <w:t xml:space="preserve"> </w:t>
      </w:r>
      <w:r w:rsidR="00C013EC">
        <w:rPr>
          <w:szCs w:val="24"/>
        </w:rPr>
        <w:t>of the Principal Regulations</w:t>
      </w:r>
      <w:r w:rsidR="00A44D84">
        <w:rPr>
          <w:szCs w:val="24"/>
        </w:rPr>
        <w:t>.  This is</w:t>
      </w:r>
      <w:r w:rsidR="00C47BEF">
        <w:rPr>
          <w:szCs w:val="24"/>
        </w:rPr>
        <w:t xml:space="preserve"> </w:t>
      </w:r>
      <w:r w:rsidR="00E40684">
        <w:rPr>
          <w:szCs w:val="24"/>
        </w:rPr>
        <w:t>because under NRAS, all regulated health professionals are registered</w:t>
      </w:r>
      <w:r w:rsidR="00B56954">
        <w:rPr>
          <w:szCs w:val="24"/>
        </w:rPr>
        <w:t xml:space="preserve"> to practice</w:t>
      </w:r>
      <w:r w:rsidR="00E40684">
        <w:rPr>
          <w:szCs w:val="24"/>
        </w:rPr>
        <w:t xml:space="preserve"> </w:t>
      </w:r>
      <w:r w:rsidR="00643EA9">
        <w:rPr>
          <w:szCs w:val="24"/>
        </w:rPr>
        <w:t xml:space="preserve">instead of </w:t>
      </w:r>
      <w:r w:rsidR="00E40684">
        <w:rPr>
          <w:szCs w:val="24"/>
        </w:rPr>
        <w:t>licensed</w:t>
      </w:r>
      <w:r w:rsidR="00A44D84">
        <w:rPr>
          <w:szCs w:val="24"/>
        </w:rPr>
        <w:t xml:space="preserve"> to practice</w:t>
      </w:r>
      <w:r w:rsidR="00E40684">
        <w:rPr>
          <w:szCs w:val="24"/>
        </w:rPr>
        <w:t>.</w:t>
      </w:r>
      <w:r w:rsidR="00E235CC">
        <w:rPr>
          <w:szCs w:val="24"/>
        </w:rPr>
        <w:t xml:space="preserve">  Licens</w:t>
      </w:r>
      <w:r w:rsidR="00656CD3">
        <w:rPr>
          <w:szCs w:val="24"/>
        </w:rPr>
        <w:t>ing is no longer relevant.</w:t>
      </w:r>
    </w:p>
    <w:p w:rsidR="003B1183" w:rsidRDefault="003B1183" w:rsidP="003B1183">
      <w:pPr>
        <w:rPr>
          <w:szCs w:val="24"/>
        </w:rPr>
      </w:pPr>
    </w:p>
    <w:p w:rsidR="003B1183" w:rsidRDefault="003B1183" w:rsidP="003B1183">
      <w:pPr>
        <w:rPr>
          <w:szCs w:val="24"/>
        </w:rPr>
      </w:pPr>
      <w:r w:rsidRPr="008827FB">
        <w:rPr>
          <w:b/>
          <w:szCs w:val="24"/>
        </w:rPr>
        <w:t>Item [8]</w:t>
      </w:r>
      <w:r w:rsidR="00BF7EA7">
        <w:rPr>
          <w:b/>
          <w:szCs w:val="24"/>
        </w:rPr>
        <w:t xml:space="preserve"> – </w:t>
      </w:r>
      <w:proofErr w:type="spellStart"/>
      <w:r w:rsidRPr="008827FB">
        <w:rPr>
          <w:b/>
          <w:szCs w:val="24"/>
        </w:rPr>
        <w:t>Subregulation</w:t>
      </w:r>
      <w:proofErr w:type="spellEnd"/>
      <w:r w:rsidRPr="008827FB">
        <w:rPr>
          <w:b/>
          <w:szCs w:val="24"/>
        </w:rPr>
        <w:t xml:space="preserve"> 12(2)</w:t>
      </w:r>
    </w:p>
    <w:p w:rsidR="00B70A4C" w:rsidRDefault="00B70A4C" w:rsidP="003B1183">
      <w:pPr>
        <w:rPr>
          <w:szCs w:val="24"/>
        </w:rPr>
      </w:pPr>
    </w:p>
    <w:p w:rsidR="003B1183" w:rsidRDefault="002D44DF" w:rsidP="003B1183">
      <w:pPr>
        <w:rPr>
          <w:szCs w:val="24"/>
        </w:rPr>
      </w:pPr>
      <w:r>
        <w:rPr>
          <w:szCs w:val="24"/>
        </w:rPr>
        <w:t xml:space="preserve">Item </w:t>
      </w:r>
      <w:r w:rsidR="00BF7EA7">
        <w:rPr>
          <w:szCs w:val="24"/>
        </w:rPr>
        <w:t>[</w:t>
      </w:r>
      <w:r>
        <w:rPr>
          <w:szCs w:val="24"/>
        </w:rPr>
        <w:t>8</w:t>
      </w:r>
      <w:r w:rsidR="00BF7EA7">
        <w:rPr>
          <w:szCs w:val="24"/>
        </w:rPr>
        <w:t>]</w:t>
      </w:r>
      <w:r w:rsidR="003B1183">
        <w:rPr>
          <w:szCs w:val="24"/>
        </w:rPr>
        <w:t xml:space="preserve"> </w:t>
      </w:r>
      <w:r w:rsidR="00643EA9">
        <w:rPr>
          <w:szCs w:val="24"/>
        </w:rPr>
        <w:t>delete</w:t>
      </w:r>
      <w:r w:rsidR="00CE4754">
        <w:rPr>
          <w:szCs w:val="24"/>
        </w:rPr>
        <w:t>s</w:t>
      </w:r>
      <w:r w:rsidR="00643EA9">
        <w:rPr>
          <w:szCs w:val="24"/>
        </w:rPr>
        <w:t xml:space="preserve"> </w:t>
      </w:r>
      <w:r w:rsidR="003B1183">
        <w:rPr>
          <w:szCs w:val="24"/>
        </w:rPr>
        <w:t xml:space="preserve">reference </w:t>
      </w:r>
      <w:r w:rsidR="006B7849">
        <w:rPr>
          <w:szCs w:val="24"/>
        </w:rPr>
        <w:t xml:space="preserve">in </w:t>
      </w:r>
      <w:proofErr w:type="spellStart"/>
      <w:r w:rsidR="006B7849">
        <w:rPr>
          <w:szCs w:val="24"/>
        </w:rPr>
        <w:t>subregulation</w:t>
      </w:r>
      <w:proofErr w:type="spellEnd"/>
      <w:r w:rsidR="006B7849">
        <w:rPr>
          <w:szCs w:val="24"/>
        </w:rPr>
        <w:t xml:space="preserve"> 12(2) of the Principal Regulations </w:t>
      </w:r>
      <w:r w:rsidR="003B1183">
        <w:rPr>
          <w:szCs w:val="24"/>
        </w:rPr>
        <w:t>to</w:t>
      </w:r>
      <w:r w:rsidR="006B7849">
        <w:rPr>
          <w:szCs w:val="24"/>
        </w:rPr>
        <w:t xml:space="preserve"> an</w:t>
      </w:r>
      <w:r w:rsidR="003B1183">
        <w:rPr>
          <w:szCs w:val="24"/>
        </w:rPr>
        <w:t xml:space="preserve"> </w:t>
      </w:r>
      <w:r>
        <w:rPr>
          <w:szCs w:val="24"/>
        </w:rPr>
        <w:t>appropriate bod</w:t>
      </w:r>
      <w:r w:rsidR="006B7849">
        <w:rPr>
          <w:szCs w:val="24"/>
        </w:rPr>
        <w:t xml:space="preserve">y for a practitioner </w:t>
      </w:r>
      <w:r w:rsidR="00B56954">
        <w:rPr>
          <w:szCs w:val="24"/>
        </w:rPr>
        <w:t>(</w:t>
      </w:r>
      <w:r w:rsidR="006B7849">
        <w:rPr>
          <w:szCs w:val="24"/>
        </w:rPr>
        <w:t>other than a general practitioner</w:t>
      </w:r>
      <w:r w:rsidR="00B56954">
        <w:rPr>
          <w:szCs w:val="24"/>
        </w:rPr>
        <w:t>)</w:t>
      </w:r>
      <w:r w:rsidR="006B7849">
        <w:rPr>
          <w:szCs w:val="24"/>
        </w:rPr>
        <w:t xml:space="preserve"> being the body specified in Schedule 2 to the Principal Regulations responsible for regulating that type of practitioner, </w:t>
      </w:r>
      <w:r>
        <w:rPr>
          <w:szCs w:val="24"/>
        </w:rPr>
        <w:t xml:space="preserve">in </w:t>
      </w:r>
      <w:r w:rsidR="003B1183">
        <w:rPr>
          <w:szCs w:val="24"/>
        </w:rPr>
        <w:t xml:space="preserve">the State or Territory </w:t>
      </w:r>
      <w:r>
        <w:rPr>
          <w:szCs w:val="24"/>
        </w:rPr>
        <w:t xml:space="preserve">in which </w:t>
      </w:r>
      <w:r w:rsidR="006B7849">
        <w:rPr>
          <w:szCs w:val="24"/>
        </w:rPr>
        <w:t>the</w:t>
      </w:r>
      <w:r w:rsidR="003B1183">
        <w:rPr>
          <w:szCs w:val="24"/>
        </w:rPr>
        <w:t xml:space="preserve"> practitioner </w:t>
      </w:r>
      <w:r w:rsidR="00643EA9">
        <w:rPr>
          <w:szCs w:val="24"/>
        </w:rPr>
        <w:t xml:space="preserve">(other than a general practitioner) </w:t>
      </w:r>
      <w:r w:rsidR="003B1183">
        <w:rPr>
          <w:szCs w:val="24"/>
        </w:rPr>
        <w:t>practises</w:t>
      </w:r>
      <w:r>
        <w:rPr>
          <w:szCs w:val="24"/>
        </w:rPr>
        <w:t xml:space="preserve"> </w:t>
      </w:r>
      <w:r w:rsidR="00643EA9">
        <w:rPr>
          <w:szCs w:val="24"/>
        </w:rPr>
        <w:t>his or her practice or special</w:t>
      </w:r>
      <w:r>
        <w:rPr>
          <w:szCs w:val="24"/>
        </w:rPr>
        <w:t>ty</w:t>
      </w:r>
      <w:r w:rsidR="006B7849">
        <w:rPr>
          <w:szCs w:val="24"/>
        </w:rPr>
        <w:t xml:space="preserve">.  This </w:t>
      </w:r>
      <w:r w:rsidR="00CE4754">
        <w:rPr>
          <w:szCs w:val="24"/>
        </w:rPr>
        <w:t>is</w:t>
      </w:r>
      <w:r w:rsidR="006B7849">
        <w:rPr>
          <w:szCs w:val="24"/>
        </w:rPr>
        <w:t xml:space="preserve"> replaced by a </w:t>
      </w:r>
      <w:r w:rsidR="003D5B85">
        <w:rPr>
          <w:szCs w:val="24"/>
        </w:rPr>
        <w:t>general</w:t>
      </w:r>
      <w:r w:rsidR="006B7849">
        <w:rPr>
          <w:szCs w:val="24"/>
        </w:rPr>
        <w:t xml:space="preserve"> </w:t>
      </w:r>
      <w:r w:rsidR="008827FB">
        <w:rPr>
          <w:szCs w:val="24"/>
        </w:rPr>
        <w:t xml:space="preserve">reference to the appropriate bodies </w:t>
      </w:r>
      <w:r w:rsidR="006B7849">
        <w:rPr>
          <w:szCs w:val="24"/>
        </w:rPr>
        <w:t>‘</w:t>
      </w:r>
      <w:r w:rsidR="008827FB">
        <w:rPr>
          <w:szCs w:val="24"/>
        </w:rPr>
        <w:t>for a practitioner other than a general practitioner</w:t>
      </w:r>
      <w:r w:rsidR="006B7849">
        <w:rPr>
          <w:szCs w:val="24"/>
        </w:rPr>
        <w:t>’</w:t>
      </w:r>
      <w:r w:rsidR="003B1183">
        <w:rPr>
          <w:szCs w:val="24"/>
        </w:rPr>
        <w:t>.  This is a consequential amendment following the implementation of</w:t>
      </w:r>
      <w:r w:rsidR="003804DE">
        <w:rPr>
          <w:szCs w:val="24"/>
        </w:rPr>
        <w:t xml:space="preserve"> the</w:t>
      </w:r>
      <w:r w:rsidR="003B1183">
        <w:rPr>
          <w:szCs w:val="24"/>
        </w:rPr>
        <w:t xml:space="preserve"> </w:t>
      </w:r>
      <w:r w:rsidR="008827FB">
        <w:rPr>
          <w:szCs w:val="24"/>
        </w:rPr>
        <w:t xml:space="preserve">NRAS, which </w:t>
      </w:r>
      <w:r w:rsidR="003B1183">
        <w:rPr>
          <w:szCs w:val="24"/>
        </w:rPr>
        <w:t xml:space="preserve">establishes </w:t>
      </w:r>
      <w:r w:rsidR="006B7849">
        <w:rPr>
          <w:szCs w:val="24"/>
        </w:rPr>
        <w:t xml:space="preserve">single </w:t>
      </w:r>
      <w:r w:rsidR="003B1183">
        <w:rPr>
          <w:szCs w:val="24"/>
        </w:rPr>
        <w:t xml:space="preserve">national boards </w:t>
      </w:r>
      <w:r w:rsidR="006B7849">
        <w:rPr>
          <w:szCs w:val="24"/>
        </w:rPr>
        <w:t>for each regulated profession</w:t>
      </w:r>
      <w:r w:rsidR="003B1183">
        <w:rPr>
          <w:szCs w:val="24"/>
        </w:rPr>
        <w:t xml:space="preserve">. </w:t>
      </w:r>
    </w:p>
    <w:p w:rsidR="003B1183" w:rsidRDefault="003B1183" w:rsidP="003B1183">
      <w:pPr>
        <w:rPr>
          <w:szCs w:val="24"/>
        </w:rPr>
      </w:pPr>
    </w:p>
    <w:p w:rsidR="003B1183" w:rsidRPr="002012C2" w:rsidRDefault="003B1183" w:rsidP="003B1183">
      <w:pPr>
        <w:rPr>
          <w:b/>
          <w:szCs w:val="24"/>
        </w:rPr>
      </w:pPr>
      <w:r w:rsidRPr="002012C2">
        <w:rPr>
          <w:b/>
          <w:szCs w:val="24"/>
        </w:rPr>
        <w:t>Item [9]</w:t>
      </w:r>
      <w:r w:rsidR="00B70A4C">
        <w:rPr>
          <w:b/>
          <w:szCs w:val="24"/>
        </w:rPr>
        <w:t xml:space="preserve"> – </w:t>
      </w:r>
      <w:r w:rsidRPr="002012C2">
        <w:rPr>
          <w:b/>
          <w:szCs w:val="24"/>
        </w:rPr>
        <w:t>Paragraph 12(2)(a)</w:t>
      </w:r>
    </w:p>
    <w:p w:rsidR="00B70A4C" w:rsidRDefault="00B70A4C" w:rsidP="00E40684">
      <w:pPr>
        <w:rPr>
          <w:szCs w:val="24"/>
        </w:rPr>
      </w:pPr>
    </w:p>
    <w:p w:rsidR="00E40684" w:rsidRDefault="0048403E" w:rsidP="00E40684">
      <w:pPr>
        <w:rPr>
          <w:szCs w:val="24"/>
        </w:rPr>
      </w:pPr>
      <w:r>
        <w:rPr>
          <w:szCs w:val="24"/>
        </w:rPr>
        <w:t xml:space="preserve">Item </w:t>
      </w:r>
      <w:r w:rsidR="00B70A4C">
        <w:rPr>
          <w:szCs w:val="24"/>
        </w:rPr>
        <w:t>[</w:t>
      </w:r>
      <w:r>
        <w:rPr>
          <w:szCs w:val="24"/>
        </w:rPr>
        <w:t>9</w:t>
      </w:r>
      <w:r w:rsidR="00B70A4C">
        <w:rPr>
          <w:szCs w:val="24"/>
        </w:rPr>
        <w:t>]</w:t>
      </w:r>
      <w:r>
        <w:rPr>
          <w:szCs w:val="24"/>
        </w:rPr>
        <w:t xml:space="preserve"> delete</w:t>
      </w:r>
      <w:r w:rsidR="00CE4754">
        <w:rPr>
          <w:szCs w:val="24"/>
        </w:rPr>
        <w:t>s</w:t>
      </w:r>
      <w:r>
        <w:rPr>
          <w:szCs w:val="24"/>
        </w:rPr>
        <w:t xml:space="preserve"> </w:t>
      </w:r>
      <w:r w:rsidR="003B1183">
        <w:rPr>
          <w:szCs w:val="24"/>
        </w:rPr>
        <w:t>reference to</w:t>
      </w:r>
      <w:r w:rsidR="00643EA9">
        <w:rPr>
          <w:szCs w:val="24"/>
        </w:rPr>
        <w:t xml:space="preserve"> the term ‘</w:t>
      </w:r>
      <w:r w:rsidR="003B1183">
        <w:rPr>
          <w:szCs w:val="24"/>
        </w:rPr>
        <w:t>licensing</w:t>
      </w:r>
      <w:r w:rsidR="00643EA9">
        <w:rPr>
          <w:szCs w:val="24"/>
        </w:rPr>
        <w:t>’</w:t>
      </w:r>
      <w:r w:rsidR="003B1183">
        <w:rPr>
          <w:szCs w:val="24"/>
        </w:rPr>
        <w:t xml:space="preserve"> </w:t>
      </w:r>
      <w:r w:rsidR="00643EA9">
        <w:rPr>
          <w:szCs w:val="24"/>
        </w:rPr>
        <w:t>in</w:t>
      </w:r>
      <w:r w:rsidR="003B1183">
        <w:rPr>
          <w:szCs w:val="24"/>
        </w:rPr>
        <w:t xml:space="preserve"> paragraph 12(2)(a) </w:t>
      </w:r>
      <w:r w:rsidR="00E40684">
        <w:rPr>
          <w:szCs w:val="24"/>
        </w:rPr>
        <w:t>of the Principal Regulations</w:t>
      </w:r>
      <w:r w:rsidR="00A44D84">
        <w:rPr>
          <w:szCs w:val="24"/>
        </w:rPr>
        <w:t>.  This is</w:t>
      </w:r>
      <w:r w:rsidR="00E40684">
        <w:rPr>
          <w:szCs w:val="24"/>
        </w:rPr>
        <w:t xml:space="preserve"> because under NRAS, all regulated health professionals are registered</w:t>
      </w:r>
      <w:r w:rsidR="006B7849">
        <w:rPr>
          <w:szCs w:val="24"/>
        </w:rPr>
        <w:t xml:space="preserve"> to practice </w:t>
      </w:r>
      <w:r w:rsidR="00643EA9">
        <w:rPr>
          <w:szCs w:val="24"/>
        </w:rPr>
        <w:t xml:space="preserve">instead of </w:t>
      </w:r>
      <w:r w:rsidR="00E40684">
        <w:rPr>
          <w:szCs w:val="24"/>
        </w:rPr>
        <w:t>licensed</w:t>
      </w:r>
      <w:r w:rsidR="00A44D84">
        <w:rPr>
          <w:szCs w:val="24"/>
        </w:rPr>
        <w:t xml:space="preserve"> to practice</w:t>
      </w:r>
      <w:r w:rsidR="00E40684">
        <w:rPr>
          <w:szCs w:val="24"/>
        </w:rPr>
        <w:t>.</w:t>
      </w:r>
    </w:p>
    <w:p w:rsidR="003B1183" w:rsidRDefault="003B1183" w:rsidP="003B1183">
      <w:pPr>
        <w:rPr>
          <w:szCs w:val="24"/>
        </w:rPr>
      </w:pPr>
    </w:p>
    <w:p w:rsidR="003B1183" w:rsidRDefault="003B1183" w:rsidP="003B1183">
      <w:pPr>
        <w:rPr>
          <w:b/>
          <w:szCs w:val="24"/>
        </w:rPr>
      </w:pPr>
      <w:r w:rsidRPr="002012C2">
        <w:rPr>
          <w:b/>
          <w:szCs w:val="24"/>
        </w:rPr>
        <w:t>Item [10]</w:t>
      </w:r>
      <w:r w:rsidR="00B70A4C">
        <w:rPr>
          <w:b/>
          <w:szCs w:val="24"/>
        </w:rPr>
        <w:t xml:space="preserve"> – </w:t>
      </w:r>
      <w:r w:rsidRPr="002012C2">
        <w:rPr>
          <w:b/>
          <w:szCs w:val="24"/>
        </w:rPr>
        <w:t>Schedule 1, item 1</w:t>
      </w:r>
    </w:p>
    <w:p w:rsidR="006B7849" w:rsidRDefault="006B7849" w:rsidP="003B1183">
      <w:pPr>
        <w:rPr>
          <w:szCs w:val="24"/>
        </w:rPr>
      </w:pPr>
    </w:p>
    <w:p w:rsidR="00844DFA" w:rsidRDefault="00844DFA" w:rsidP="003B1183">
      <w:pPr>
        <w:rPr>
          <w:szCs w:val="24"/>
        </w:rPr>
      </w:pPr>
      <w:r>
        <w:rPr>
          <w:szCs w:val="24"/>
        </w:rPr>
        <w:t>Schedule 1, item 1</w:t>
      </w:r>
      <w:r w:rsidR="004D5262">
        <w:rPr>
          <w:szCs w:val="24"/>
        </w:rPr>
        <w:t xml:space="preserve"> </w:t>
      </w:r>
      <w:r>
        <w:rPr>
          <w:szCs w:val="24"/>
        </w:rPr>
        <w:t xml:space="preserve">currently sets out now defunct state and territory medical registration boards as appropriate bodies which the Director of PSR may notify in respect of a general practitioner suspected of failing </w:t>
      </w:r>
      <w:r w:rsidR="004D5262">
        <w:rPr>
          <w:szCs w:val="24"/>
        </w:rPr>
        <w:t>to comply with his or her professional standards, in accordance with subregulation 12(1) of the Principal Regulations.</w:t>
      </w:r>
    </w:p>
    <w:p w:rsidR="006B7849" w:rsidRDefault="006B7849" w:rsidP="003B1183">
      <w:pPr>
        <w:rPr>
          <w:szCs w:val="24"/>
        </w:rPr>
      </w:pPr>
    </w:p>
    <w:p w:rsidR="003B1183" w:rsidRDefault="0048403E" w:rsidP="003B1183">
      <w:pPr>
        <w:rPr>
          <w:szCs w:val="24"/>
        </w:rPr>
      </w:pPr>
      <w:r>
        <w:rPr>
          <w:szCs w:val="24"/>
        </w:rPr>
        <w:t xml:space="preserve">Item </w:t>
      </w:r>
      <w:r w:rsidR="00B70A4C">
        <w:rPr>
          <w:szCs w:val="24"/>
        </w:rPr>
        <w:t>[</w:t>
      </w:r>
      <w:r>
        <w:rPr>
          <w:szCs w:val="24"/>
        </w:rPr>
        <w:t>10</w:t>
      </w:r>
      <w:r w:rsidR="00B70A4C">
        <w:rPr>
          <w:szCs w:val="24"/>
        </w:rPr>
        <w:t>]</w:t>
      </w:r>
      <w:r>
        <w:rPr>
          <w:szCs w:val="24"/>
        </w:rPr>
        <w:t xml:space="preserve"> </w:t>
      </w:r>
      <w:r w:rsidR="004D5262">
        <w:rPr>
          <w:szCs w:val="24"/>
        </w:rPr>
        <w:t>delete</w:t>
      </w:r>
      <w:r w:rsidR="00CE4754">
        <w:rPr>
          <w:szCs w:val="24"/>
        </w:rPr>
        <w:t>s</w:t>
      </w:r>
      <w:r w:rsidR="004D5262">
        <w:rPr>
          <w:szCs w:val="24"/>
        </w:rPr>
        <w:t xml:space="preserve"> these </w:t>
      </w:r>
      <w:r w:rsidR="003B1183">
        <w:rPr>
          <w:szCs w:val="24"/>
        </w:rPr>
        <w:t>reference</w:t>
      </w:r>
      <w:r w:rsidR="004D5262">
        <w:rPr>
          <w:szCs w:val="24"/>
        </w:rPr>
        <w:t xml:space="preserve">s and replace them with reference to the Medical Board of Australia.  </w:t>
      </w:r>
      <w:r w:rsidR="003B1183">
        <w:rPr>
          <w:szCs w:val="24"/>
        </w:rPr>
        <w:t>This amendment</w:t>
      </w:r>
      <w:r w:rsidR="00B70A4C">
        <w:rPr>
          <w:szCs w:val="24"/>
        </w:rPr>
        <w:t xml:space="preserve"> </w:t>
      </w:r>
      <w:r w:rsidR="003B1183">
        <w:rPr>
          <w:szCs w:val="24"/>
        </w:rPr>
        <w:t xml:space="preserve">reflects the implementation of the new national registration </w:t>
      </w:r>
      <w:r w:rsidR="00B70A4C">
        <w:rPr>
          <w:szCs w:val="24"/>
        </w:rPr>
        <w:t>p</w:t>
      </w:r>
      <w:r w:rsidR="003B1183">
        <w:rPr>
          <w:szCs w:val="24"/>
        </w:rPr>
        <w:t xml:space="preserve">rocess and ensures that the appropriate regulatory body for a referral of a general practitioner, for the purposes of </w:t>
      </w:r>
      <w:r w:rsidR="00315989">
        <w:rPr>
          <w:szCs w:val="24"/>
        </w:rPr>
        <w:t xml:space="preserve">paragraph </w:t>
      </w:r>
      <w:r w:rsidR="003B1183">
        <w:rPr>
          <w:szCs w:val="24"/>
        </w:rPr>
        <w:t>106XB</w:t>
      </w:r>
      <w:r w:rsidR="00A44D84">
        <w:rPr>
          <w:szCs w:val="24"/>
        </w:rPr>
        <w:t xml:space="preserve">(3)(a) </w:t>
      </w:r>
      <w:r w:rsidR="003B1183">
        <w:rPr>
          <w:szCs w:val="24"/>
        </w:rPr>
        <w:t xml:space="preserve">of the </w:t>
      </w:r>
      <w:r w:rsidR="00A44D84">
        <w:rPr>
          <w:szCs w:val="24"/>
        </w:rPr>
        <w:t>Act</w:t>
      </w:r>
      <w:r w:rsidR="003B1183">
        <w:rPr>
          <w:szCs w:val="24"/>
        </w:rPr>
        <w:t xml:space="preserve">,  </w:t>
      </w:r>
      <w:r w:rsidR="00CE4754">
        <w:rPr>
          <w:szCs w:val="24"/>
        </w:rPr>
        <w:t xml:space="preserve">is </w:t>
      </w:r>
      <w:r w:rsidR="003B1183">
        <w:rPr>
          <w:szCs w:val="24"/>
        </w:rPr>
        <w:t xml:space="preserve">the Medical Board of Australia. </w:t>
      </w:r>
    </w:p>
    <w:p w:rsidR="003B1183" w:rsidRDefault="003B1183" w:rsidP="003B1183">
      <w:pPr>
        <w:rPr>
          <w:szCs w:val="24"/>
        </w:rPr>
      </w:pPr>
    </w:p>
    <w:p w:rsidR="003B1183" w:rsidRDefault="00B70A4C" w:rsidP="003B1183">
      <w:pPr>
        <w:rPr>
          <w:szCs w:val="24"/>
        </w:rPr>
      </w:pPr>
      <w:r>
        <w:rPr>
          <w:b/>
          <w:szCs w:val="24"/>
        </w:rPr>
        <w:br w:type="page"/>
      </w:r>
      <w:r w:rsidR="003B1183" w:rsidRPr="00C40B47">
        <w:rPr>
          <w:b/>
          <w:szCs w:val="24"/>
        </w:rPr>
        <w:lastRenderedPageBreak/>
        <w:t>Item [11]</w:t>
      </w:r>
      <w:r>
        <w:rPr>
          <w:b/>
          <w:szCs w:val="24"/>
        </w:rPr>
        <w:t xml:space="preserve"> – </w:t>
      </w:r>
      <w:r w:rsidR="003B1183" w:rsidRPr="00C40B47">
        <w:rPr>
          <w:b/>
          <w:szCs w:val="24"/>
        </w:rPr>
        <w:t>Schedule 2</w:t>
      </w:r>
      <w:r w:rsidR="003B1183">
        <w:rPr>
          <w:szCs w:val="24"/>
        </w:rPr>
        <w:t xml:space="preserve"> </w:t>
      </w:r>
    </w:p>
    <w:p w:rsidR="00B70A4C" w:rsidRDefault="00B70A4C" w:rsidP="001C5C19">
      <w:pPr>
        <w:rPr>
          <w:szCs w:val="24"/>
        </w:rPr>
      </w:pPr>
    </w:p>
    <w:p w:rsidR="00C40B47" w:rsidRDefault="000D09CB" w:rsidP="001C5C19">
      <w:pPr>
        <w:rPr>
          <w:szCs w:val="24"/>
        </w:rPr>
      </w:pPr>
      <w:r>
        <w:rPr>
          <w:szCs w:val="24"/>
        </w:rPr>
        <w:t xml:space="preserve">Item </w:t>
      </w:r>
      <w:r w:rsidR="00B86261">
        <w:rPr>
          <w:szCs w:val="24"/>
        </w:rPr>
        <w:t>[</w:t>
      </w:r>
      <w:r>
        <w:rPr>
          <w:szCs w:val="24"/>
        </w:rPr>
        <w:t>11</w:t>
      </w:r>
      <w:r w:rsidR="00B86261">
        <w:rPr>
          <w:szCs w:val="24"/>
        </w:rPr>
        <w:t>]</w:t>
      </w:r>
      <w:r>
        <w:rPr>
          <w:szCs w:val="24"/>
        </w:rPr>
        <w:t xml:space="preserve"> </w:t>
      </w:r>
      <w:r w:rsidR="003B1183">
        <w:rPr>
          <w:szCs w:val="24"/>
        </w:rPr>
        <w:t>amend</w:t>
      </w:r>
      <w:r w:rsidR="00CE4754">
        <w:rPr>
          <w:szCs w:val="24"/>
        </w:rPr>
        <w:t>s</w:t>
      </w:r>
      <w:r w:rsidR="003B1183">
        <w:rPr>
          <w:szCs w:val="24"/>
        </w:rPr>
        <w:t xml:space="preserve"> Schedule 2 </w:t>
      </w:r>
      <w:r w:rsidR="00E235CC">
        <w:rPr>
          <w:szCs w:val="24"/>
        </w:rPr>
        <w:t>to</w:t>
      </w:r>
      <w:r w:rsidR="003B1183">
        <w:rPr>
          <w:szCs w:val="24"/>
        </w:rPr>
        <w:t xml:space="preserve"> the </w:t>
      </w:r>
      <w:r>
        <w:rPr>
          <w:szCs w:val="24"/>
        </w:rPr>
        <w:t xml:space="preserve">Principal </w:t>
      </w:r>
      <w:r w:rsidR="003B1183">
        <w:rPr>
          <w:szCs w:val="24"/>
        </w:rPr>
        <w:t xml:space="preserve">Regulations </w:t>
      </w:r>
      <w:r w:rsidR="00B415AF">
        <w:rPr>
          <w:szCs w:val="24"/>
        </w:rPr>
        <w:t xml:space="preserve">by: </w:t>
      </w:r>
    </w:p>
    <w:p w:rsidR="00B70A4C" w:rsidRDefault="00B70A4C" w:rsidP="001C5C19">
      <w:pPr>
        <w:rPr>
          <w:szCs w:val="24"/>
        </w:rPr>
      </w:pPr>
    </w:p>
    <w:p w:rsidR="00C40B47" w:rsidRDefault="00B415AF" w:rsidP="00BF6DB8">
      <w:pPr>
        <w:spacing w:after="120"/>
        <w:ind w:left="851" w:hanging="425"/>
        <w:rPr>
          <w:szCs w:val="24"/>
        </w:rPr>
      </w:pPr>
      <w:r>
        <w:rPr>
          <w:szCs w:val="24"/>
        </w:rPr>
        <w:t>(</w:t>
      </w:r>
      <w:proofErr w:type="spellStart"/>
      <w:r>
        <w:rPr>
          <w:szCs w:val="24"/>
        </w:rPr>
        <w:t>i</w:t>
      </w:r>
      <w:proofErr w:type="spellEnd"/>
      <w:r>
        <w:rPr>
          <w:szCs w:val="24"/>
        </w:rPr>
        <w:t xml:space="preserve">) </w:t>
      </w:r>
      <w:r w:rsidR="00BF6DB8">
        <w:rPr>
          <w:szCs w:val="24"/>
        </w:rPr>
        <w:t xml:space="preserve">  </w:t>
      </w:r>
      <w:r w:rsidR="003B1183">
        <w:rPr>
          <w:szCs w:val="24"/>
        </w:rPr>
        <w:t>remov</w:t>
      </w:r>
      <w:r>
        <w:rPr>
          <w:szCs w:val="24"/>
        </w:rPr>
        <w:t>ing</w:t>
      </w:r>
      <w:r w:rsidR="003B1183">
        <w:rPr>
          <w:szCs w:val="24"/>
        </w:rPr>
        <w:t xml:space="preserve"> reference to </w:t>
      </w:r>
      <w:r w:rsidR="004D5262">
        <w:rPr>
          <w:szCs w:val="24"/>
        </w:rPr>
        <w:t>s</w:t>
      </w:r>
      <w:r w:rsidR="003B1183">
        <w:rPr>
          <w:szCs w:val="24"/>
        </w:rPr>
        <w:t xml:space="preserve">tate or </w:t>
      </w:r>
      <w:r w:rsidR="004D5262">
        <w:rPr>
          <w:szCs w:val="24"/>
        </w:rPr>
        <w:t>t</w:t>
      </w:r>
      <w:r w:rsidR="003B1183">
        <w:rPr>
          <w:szCs w:val="24"/>
        </w:rPr>
        <w:t xml:space="preserve">erritory </w:t>
      </w:r>
      <w:r w:rsidR="004D5262">
        <w:rPr>
          <w:szCs w:val="24"/>
        </w:rPr>
        <w:t>health p</w:t>
      </w:r>
      <w:r w:rsidR="00BF6DB8">
        <w:rPr>
          <w:szCs w:val="24"/>
        </w:rPr>
        <w:t xml:space="preserve">rofessional registration bodies </w:t>
      </w:r>
      <w:r w:rsidR="004D5262">
        <w:rPr>
          <w:szCs w:val="24"/>
        </w:rPr>
        <w:t xml:space="preserve">specified for the purpose of subregulation 12(2) of the Principal Regulations to whom </w:t>
      </w:r>
      <w:r w:rsidR="003B1183">
        <w:rPr>
          <w:szCs w:val="24"/>
        </w:rPr>
        <w:t xml:space="preserve">referrals </w:t>
      </w:r>
      <w:r w:rsidR="00EA3A24">
        <w:rPr>
          <w:szCs w:val="24"/>
        </w:rPr>
        <w:t>of</w:t>
      </w:r>
      <w:r w:rsidR="003B1183">
        <w:rPr>
          <w:szCs w:val="24"/>
        </w:rPr>
        <w:t xml:space="preserve"> practitioners (other than a general practitioner) </w:t>
      </w:r>
      <w:r w:rsidR="004D5262">
        <w:rPr>
          <w:szCs w:val="24"/>
        </w:rPr>
        <w:t>may be made by the Director of PSR</w:t>
      </w:r>
      <w:r w:rsidR="003B1183">
        <w:rPr>
          <w:szCs w:val="24"/>
        </w:rPr>
        <w:t>. This is a consequential amendment that follows from the implementation of the NRAS and the subsequent creation of national registration boards</w:t>
      </w:r>
      <w:r w:rsidR="00A65DFD">
        <w:rPr>
          <w:szCs w:val="24"/>
        </w:rPr>
        <w:t xml:space="preserve">; </w:t>
      </w:r>
      <w:r w:rsidR="0023284B">
        <w:rPr>
          <w:szCs w:val="24"/>
        </w:rPr>
        <w:t>and</w:t>
      </w:r>
    </w:p>
    <w:p w:rsidR="001C5C19" w:rsidRDefault="00A65DFD" w:rsidP="00B86261">
      <w:pPr>
        <w:spacing w:after="120"/>
        <w:ind w:left="851" w:hanging="425"/>
        <w:rPr>
          <w:szCs w:val="24"/>
        </w:rPr>
      </w:pPr>
      <w:r>
        <w:rPr>
          <w:szCs w:val="24"/>
        </w:rPr>
        <w:t xml:space="preserve">(ii) </w:t>
      </w:r>
      <w:r w:rsidR="00B86261">
        <w:rPr>
          <w:szCs w:val="24"/>
        </w:rPr>
        <w:t xml:space="preserve"> </w:t>
      </w:r>
      <w:r w:rsidR="00315989">
        <w:rPr>
          <w:szCs w:val="24"/>
        </w:rPr>
        <w:t>adding</w:t>
      </w:r>
      <w:r w:rsidR="001C5C19">
        <w:rPr>
          <w:szCs w:val="24"/>
        </w:rPr>
        <w:t xml:space="preserve"> </w:t>
      </w:r>
      <w:r w:rsidR="004D5262">
        <w:rPr>
          <w:szCs w:val="24"/>
        </w:rPr>
        <w:t xml:space="preserve">reference to </w:t>
      </w:r>
      <w:r>
        <w:rPr>
          <w:szCs w:val="24"/>
        </w:rPr>
        <w:t>the Nursing and Midwifery Board of Australia as a result of nurse practitioners and midwives being able to provide medicare-eligible services</w:t>
      </w:r>
      <w:r w:rsidR="004D5262">
        <w:rPr>
          <w:szCs w:val="24"/>
        </w:rPr>
        <w:t xml:space="preserve"> and prescribe pharmaceutical benefits</w:t>
      </w:r>
      <w:r>
        <w:rPr>
          <w:szCs w:val="24"/>
        </w:rPr>
        <w:t xml:space="preserve"> </w:t>
      </w:r>
      <w:r w:rsidR="00861C68">
        <w:rPr>
          <w:szCs w:val="24"/>
        </w:rPr>
        <w:t xml:space="preserve">from </w:t>
      </w:r>
      <w:r>
        <w:rPr>
          <w:szCs w:val="24"/>
        </w:rPr>
        <w:t>November 2010</w:t>
      </w:r>
      <w:r w:rsidR="00764C39">
        <w:rPr>
          <w:szCs w:val="24"/>
        </w:rPr>
        <w:t xml:space="preserve"> and </w:t>
      </w:r>
      <w:r w:rsidR="004D5262">
        <w:rPr>
          <w:szCs w:val="24"/>
        </w:rPr>
        <w:t xml:space="preserve">becoming </w:t>
      </w:r>
      <w:r w:rsidR="00764C39">
        <w:rPr>
          <w:szCs w:val="24"/>
        </w:rPr>
        <w:t xml:space="preserve">subject to referral by the Director of PSR to </w:t>
      </w:r>
      <w:r w:rsidR="004D5262">
        <w:rPr>
          <w:szCs w:val="24"/>
        </w:rPr>
        <w:t xml:space="preserve">an appropriate </w:t>
      </w:r>
      <w:r w:rsidR="00764C39">
        <w:rPr>
          <w:szCs w:val="24"/>
        </w:rPr>
        <w:t>regulatory body for suspected non-compliance with professional standards.</w:t>
      </w:r>
      <w:r>
        <w:rPr>
          <w:szCs w:val="24"/>
        </w:rPr>
        <w:t xml:space="preserve">   </w:t>
      </w:r>
    </w:p>
    <w:p w:rsidR="00C40B47" w:rsidRDefault="00C40B47" w:rsidP="003B1183">
      <w:pPr>
        <w:rPr>
          <w:szCs w:val="24"/>
        </w:rPr>
      </w:pPr>
    </w:p>
    <w:p w:rsidR="00F646DB" w:rsidRPr="00B86261" w:rsidRDefault="00315989" w:rsidP="00B86261">
      <w:pPr>
        <w:pStyle w:val="Subtitle"/>
        <w:tabs>
          <w:tab w:val="left" w:pos="171"/>
          <w:tab w:val="left" w:pos="855"/>
        </w:tabs>
        <w:ind w:right="-264"/>
        <w:rPr>
          <w:szCs w:val="24"/>
          <w:u w:val="none"/>
        </w:rPr>
      </w:pPr>
      <w:r w:rsidRPr="003B3ECC">
        <w:rPr>
          <w:szCs w:val="24"/>
          <w:u w:val="none"/>
        </w:rPr>
        <w:t>The</w:t>
      </w:r>
      <w:r w:rsidR="00C40B47" w:rsidRPr="003B3ECC">
        <w:rPr>
          <w:szCs w:val="24"/>
          <w:u w:val="none"/>
        </w:rPr>
        <w:t>se</w:t>
      </w:r>
      <w:r w:rsidRPr="003B3ECC">
        <w:rPr>
          <w:szCs w:val="24"/>
          <w:u w:val="none"/>
        </w:rPr>
        <w:t xml:space="preserve"> am</w:t>
      </w:r>
      <w:r w:rsidR="00A65DFD" w:rsidRPr="003B3ECC">
        <w:rPr>
          <w:szCs w:val="24"/>
          <w:u w:val="none"/>
        </w:rPr>
        <w:t xml:space="preserve">endments to Schedule 2 </w:t>
      </w:r>
      <w:r w:rsidR="003B1183" w:rsidRPr="003B3ECC">
        <w:rPr>
          <w:szCs w:val="24"/>
          <w:u w:val="none"/>
        </w:rPr>
        <w:t xml:space="preserve">ensure that the </w:t>
      </w:r>
      <w:r w:rsidR="00C40B47" w:rsidRPr="003B3ECC">
        <w:rPr>
          <w:szCs w:val="24"/>
          <w:u w:val="none"/>
        </w:rPr>
        <w:t xml:space="preserve">appropriate regulatory </w:t>
      </w:r>
      <w:r w:rsidR="000D09CB" w:rsidRPr="003B3ECC">
        <w:rPr>
          <w:szCs w:val="24"/>
          <w:u w:val="none"/>
        </w:rPr>
        <w:t xml:space="preserve">bodies </w:t>
      </w:r>
      <w:r w:rsidR="003B1183" w:rsidRPr="003B3ECC">
        <w:rPr>
          <w:szCs w:val="24"/>
          <w:u w:val="none"/>
        </w:rPr>
        <w:t>are able to</w:t>
      </w:r>
      <w:r w:rsidR="00B86261">
        <w:rPr>
          <w:szCs w:val="24"/>
          <w:u w:val="none"/>
        </w:rPr>
        <w:t xml:space="preserve"> </w:t>
      </w:r>
      <w:r w:rsidR="003B1183" w:rsidRPr="003B3ECC">
        <w:rPr>
          <w:szCs w:val="24"/>
          <w:u w:val="none"/>
        </w:rPr>
        <w:t xml:space="preserve">receive referrals </w:t>
      </w:r>
      <w:r w:rsidR="001C5C19" w:rsidRPr="003B3ECC">
        <w:rPr>
          <w:szCs w:val="24"/>
          <w:u w:val="none"/>
        </w:rPr>
        <w:t xml:space="preserve">in accordance with paragraph </w:t>
      </w:r>
      <w:r w:rsidR="003B1183" w:rsidRPr="003B3ECC">
        <w:rPr>
          <w:szCs w:val="24"/>
          <w:u w:val="none"/>
        </w:rPr>
        <w:t>106XB</w:t>
      </w:r>
      <w:r w:rsidR="000D09CB" w:rsidRPr="003B3ECC">
        <w:rPr>
          <w:szCs w:val="24"/>
          <w:u w:val="none"/>
        </w:rPr>
        <w:t>(3)(b)</w:t>
      </w:r>
      <w:r w:rsidR="003B1183" w:rsidRPr="003B3ECC">
        <w:rPr>
          <w:szCs w:val="24"/>
          <w:u w:val="none"/>
        </w:rPr>
        <w:t xml:space="preserve"> of the </w:t>
      </w:r>
      <w:r w:rsidR="000D09CB" w:rsidRPr="003B3ECC">
        <w:rPr>
          <w:szCs w:val="24"/>
          <w:u w:val="none"/>
        </w:rPr>
        <w:t>Act</w:t>
      </w:r>
      <w:r w:rsidR="003B1183" w:rsidRPr="003B3ECC">
        <w:rPr>
          <w:szCs w:val="24"/>
          <w:u w:val="none"/>
        </w:rPr>
        <w:t xml:space="preserve">. </w:t>
      </w:r>
    </w:p>
    <w:p w:rsidR="00124710" w:rsidRPr="00E4135E" w:rsidRDefault="00CE4754" w:rsidP="00124710">
      <w:pPr>
        <w:spacing w:before="360" w:after="120"/>
        <w:jc w:val="center"/>
        <w:rPr>
          <w:b/>
          <w:sz w:val="28"/>
          <w:szCs w:val="28"/>
        </w:rPr>
      </w:pPr>
      <w:r>
        <w:rPr>
          <w:i/>
        </w:rPr>
        <w:br w:type="page"/>
      </w:r>
      <w:r w:rsidR="00124710" w:rsidRPr="00E4135E">
        <w:rPr>
          <w:b/>
          <w:sz w:val="28"/>
          <w:szCs w:val="28"/>
        </w:rPr>
        <w:lastRenderedPageBreak/>
        <w:t>Statement of Compatibility with Human Rights</w:t>
      </w:r>
    </w:p>
    <w:p w:rsidR="00124710" w:rsidRPr="00E4135E" w:rsidRDefault="00124710" w:rsidP="00124710">
      <w:pPr>
        <w:spacing w:before="120" w:after="120"/>
        <w:jc w:val="center"/>
      </w:pPr>
      <w:r w:rsidRPr="00E4135E">
        <w:rPr>
          <w:i/>
        </w:rPr>
        <w:t xml:space="preserve">Prepared in accordance with Part </w:t>
      </w:r>
      <w:r>
        <w:rPr>
          <w:i/>
        </w:rPr>
        <w:t>3</w:t>
      </w:r>
      <w:r w:rsidRPr="00E4135E">
        <w:rPr>
          <w:i/>
        </w:rPr>
        <w:t xml:space="preserve"> of the Human Rights (Parliamentary Scrutiny) Act 2011</w:t>
      </w:r>
    </w:p>
    <w:p w:rsidR="00124710" w:rsidRPr="00E4135E" w:rsidRDefault="00124710" w:rsidP="00124710">
      <w:pPr>
        <w:spacing w:before="120" w:after="120"/>
        <w:jc w:val="center"/>
      </w:pPr>
    </w:p>
    <w:p w:rsidR="00124710" w:rsidRPr="00E4135E" w:rsidRDefault="00124710" w:rsidP="00124710">
      <w:pPr>
        <w:spacing w:before="120" w:after="120"/>
        <w:jc w:val="center"/>
        <w:rPr>
          <w:b/>
        </w:rPr>
      </w:pPr>
      <w:r>
        <w:rPr>
          <w:b/>
        </w:rPr>
        <w:t>Health Insurance (Professional Servic</w:t>
      </w:r>
      <w:r w:rsidR="00802001">
        <w:rPr>
          <w:b/>
        </w:rPr>
        <w:t>es Review) Amendment Regulation 2012 (No. 1</w:t>
      </w:r>
      <w:r>
        <w:rPr>
          <w:b/>
        </w:rPr>
        <w:t>)</w:t>
      </w:r>
    </w:p>
    <w:p w:rsidR="00124710" w:rsidRPr="00E4135E" w:rsidRDefault="00124710" w:rsidP="00124710">
      <w:pPr>
        <w:spacing w:before="120" w:after="120"/>
        <w:jc w:val="center"/>
      </w:pPr>
    </w:p>
    <w:p w:rsidR="00124710" w:rsidRPr="00E4135E" w:rsidRDefault="00124710" w:rsidP="00124710">
      <w:pPr>
        <w:spacing w:before="120" w:after="120"/>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124710" w:rsidRPr="00E4135E" w:rsidRDefault="00124710" w:rsidP="00124710">
      <w:pPr>
        <w:spacing w:before="120" w:after="120"/>
        <w:jc w:val="center"/>
      </w:pPr>
    </w:p>
    <w:p w:rsidR="00124710" w:rsidRPr="00E4135E" w:rsidRDefault="00124710" w:rsidP="00124710">
      <w:pPr>
        <w:spacing w:before="120" w:after="120"/>
        <w:jc w:val="both"/>
        <w:rPr>
          <w:b/>
        </w:rPr>
      </w:pPr>
      <w:r w:rsidRPr="00E4135E">
        <w:rPr>
          <w:b/>
        </w:rPr>
        <w:t>Overview of the Legislative Instrument</w:t>
      </w:r>
    </w:p>
    <w:p w:rsidR="00124710" w:rsidRDefault="00124710" w:rsidP="00124710">
      <w:r w:rsidRPr="00FB2BE9">
        <w:t xml:space="preserve">The </w:t>
      </w:r>
      <w:r w:rsidRPr="003A350E">
        <w:rPr>
          <w:i/>
        </w:rPr>
        <w:t>Health Insurance (Professional Services Review) Regulations 1999</w:t>
      </w:r>
      <w:r>
        <w:t xml:space="preserve"> (the Principal Regulations)</w:t>
      </w:r>
      <w:r w:rsidRPr="00FB2BE9">
        <w:t xml:space="preserve"> </w:t>
      </w:r>
      <w:r>
        <w:t>currently prescribes</w:t>
      </w:r>
      <w:r w:rsidRPr="00FB2BE9">
        <w:t xml:space="preserve"> </w:t>
      </w:r>
      <w:r>
        <w:t xml:space="preserve">various state and territory registration boards as </w:t>
      </w:r>
      <w:r w:rsidRPr="00FB2BE9">
        <w:t>appropriate</w:t>
      </w:r>
      <w:r>
        <w:t xml:space="preserve"> regulatory </w:t>
      </w:r>
      <w:r w:rsidRPr="00FB2BE9">
        <w:t>bodies</w:t>
      </w:r>
      <w:r>
        <w:t xml:space="preserve"> that must be notified in relation to practitioners who have failed to comply with their professional standards. However these bodies no longer exist as a result of the National Registration and Accreditation Scheme, implemented by a ‘National Law’ in each State or Territory.  Under the National Law, the various state or territory registration boards for each regulated health profession have been replaced by a single national board for the profession.</w:t>
      </w:r>
    </w:p>
    <w:p w:rsidR="00124710" w:rsidRDefault="00124710" w:rsidP="00124710">
      <w:pPr>
        <w:spacing w:after="120"/>
      </w:pPr>
    </w:p>
    <w:p w:rsidR="00124710" w:rsidRDefault="00124710" w:rsidP="00124710">
      <w:pPr>
        <w:spacing w:after="120"/>
      </w:pPr>
      <w:r>
        <w:t xml:space="preserve">The </w:t>
      </w:r>
      <w:r w:rsidRPr="003A350E">
        <w:rPr>
          <w:i/>
        </w:rPr>
        <w:t xml:space="preserve">Health Insurance (Professional Services Review) </w:t>
      </w:r>
      <w:r>
        <w:rPr>
          <w:i/>
        </w:rPr>
        <w:t xml:space="preserve">Amendment </w:t>
      </w:r>
      <w:r w:rsidR="00802001">
        <w:rPr>
          <w:i/>
        </w:rPr>
        <w:t>Regulation</w:t>
      </w:r>
      <w:r w:rsidRPr="003A350E">
        <w:rPr>
          <w:i/>
        </w:rPr>
        <w:t xml:space="preserve"> </w:t>
      </w:r>
      <w:r>
        <w:rPr>
          <w:i/>
        </w:rPr>
        <w:t xml:space="preserve">2012 (No. </w:t>
      </w:r>
      <w:r w:rsidR="00802001">
        <w:rPr>
          <w:i/>
        </w:rPr>
        <w:t>1</w:t>
      </w:r>
      <w:r>
        <w:rPr>
          <w:i/>
        </w:rPr>
        <w:t>)</w:t>
      </w:r>
      <w:r>
        <w:t>:</w:t>
      </w:r>
      <w:r>
        <w:rPr>
          <w:i/>
        </w:rPr>
        <w:t xml:space="preserve"> </w:t>
      </w:r>
    </w:p>
    <w:p w:rsidR="00124710" w:rsidRDefault="00124710" w:rsidP="00124710">
      <w:pPr>
        <w:spacing w:after="120"/>
      </w:pPr>
      <w:r>
        <w:t>(</w:t>
      </w:r>
      <w:proofErr w:type="spellStart"/>
      <w:r>
        <w:t>i</w:t>
      </w:r>
      <w:proofErr w:type="spellEnd"/>
      <w:r>
        <w:t xml:space="preserve">)   </w:t>
      </w:r>
      <w:r w:rsidRPr="00FB2BE9">
        <w:t>update</w:t>
      </w:r>
      <w:r>
        <w:t>s</w:t>
      </w:r>
      <w:r w:rsidRPr="00FB2BE9">
        <w:t xml:space="preserve"> </w:t>
      </w:r>
      <w:r>
        <w:t xml:space="preserve">the bodies prescribed in the Schedule to the Principal Regulations to refer to the  </w:t>
      </w:r>
      <w:r>
        <w:br/>
        <w:t xml:space="preserve">       national registration boards for </w:t>
      </w:r>
      <w:r w:rsidRPr="00FB2BE9">
        <w:t>health professions</w:t>
      </w:r>
      <w:r>
        <w:t xml:space="preserve"> subject to the Professional Services </w:t>
      </w:r>
      <w:r>
        <w:br/>
        <w:t xml:space="preserve">       Review (PSR) Scheme; </w:t>
      </w:r>
    </w:p>
    <w:p w:rsidR="00124710" w:rsidRDefault="00124710" w:rsidP="00124710">
      <w:pPr>
        <w:spacing w:after="120"/>
      </w:pPr>
      <w:r>
        <w:t xml:space="preserve">(ii)  adds reference to the Nursing and Midwifery Board of Australia in the Schedule to the  </w:t>
      </w:r>
      <w:r>
        <w:br/>
        <w:t xml:space="preserve">       Principal Regulations.  This is a result of nurse practitioners and midwives becoming  </w:t>
      </w:r>
      <w:r>
        <w:br/>
        <w:t xml:space="preserve">       able to provide </w:t>
      </w:r>
      <w:proofErr w:type="spellStart"/>
      <w:r>
        <w:t>medicare</w:t>
      </w:r>
      <w:proofErr w:type="spellEnd"/>
      <w:r>
        <w:t xml:space="preserve">-eligible services and prescribing pharmaceutical benefits, and </w:t>
      </w:r>
      <w:r>
        <w:br/>
        <w:t xml:space="preserve">       becoming subject to the PSR Scheme, from November 2010; and </w:t>
      </w:r>
    </w:p>
    <w:p w:rsidR="00124710" w:rsidRPr="00FB2BE9" w:rsidRDefault="00124710" w:rsidP="00124710">
      <w:pPr>
        <w:spacing w:after="120"/>
      </w:pPr>
      <w:r>
        <w:t xml:space="preserve">(iii) makes minor technical amendments to the Principal Regulations. </w:t>
      </w:r>
    </w:p>
    <w:p w:rsidR="00124710" w:rsidRPr="00E4135E" w:rsidRDefault="00124710" w:rsidP="00124710">
      <w:pPr>
        <w:spacing w:before="120" w:after="120"/>
      </w:pPr>
    </w:p>
    <w:p w:rsidR="00124710" w:rsidRPr="00E4135E" w:rsidRDefault="00124710" w:rsidP="00124710">
      <w:pPr>
        <w:spacing w:before="120" w:after="120"/>
        <w:rPr>
          <w:b/>
        </w:rPr>
      </w:pPr>
      <w:r w:rsidRPr="00E4135E">
        <w:rPr>
          <w:b/>
        </w:rPr>
        <w:t>Human rights implications</w:t>
      </w:r>
    </w:p>
    <w:p w:rsidR="00124710" w:rsidRPr="00E4135E" w:rsidRDefault="00124710" w:rsidP="00124710">
      <w:pPr>
        <w:spacing w:before="120" w:after="120"/>
      </w:pPr>
      <w:r w:rsidRPr="00E4135E">
        <w:t>This Legislative Instrument does not engage any of the applicable rights or freedoms.</w:t>
      </w:r>
    </w:p>
    <w:p w:rsidR="00124710" w:rsidRPr="00E4135E" w:rsidRDefault="00124710" w:rsidP="00124710">
      <w:pPr>
        <w:spacing w:before="120" w:after="120"/>
        <w:rPr>
          <w:b/>
        </w:rPr>
      </w:pPr>
      <w:r w:rsidRPr="00E4135E">
        <w:rPr>
          <w:b/>
        </w:rPr>
        <w:t>Conclusion</w:t>
      </w:r>
    </w:p>
    <w:p w:rsidR="00124710" w:rsidRPr="00E4135E" w:rsidRDefault="00124710" w:rsidP="00124710">
      <w:pPr>
        <w:spacing w:before="120" w:after="120"/>
      </w:pPr>
      <w:r w:rsidRPr="00E4135E">
        <w:t>This Legislative Instrument is compatible with human rights as it does not raise any human rights issues.</w:t>
      </w:r>
    </w:p>
    <w:p w:rsidR="00124710" w:rsidRPr="00E4135E" w:rsidRDefault="00124710" w:rsidP="00124710">
      <w:pPr>
        <w:spacing w:before="120" w:after="120"/>
        <w:jc w:val="center"/>
      </w:pPr>
    </w:p>
    <w:p w:rsidR="00124710" w:rsidRDefault="00124710" w:rsidP="00124710">
      <w:pPr>
        <w:spacing w:before="120" w:after="120"/>
        <w:jc w:val="center"/>
        <w:rPr>
          <w:b/>
        </w:rPr>
      </w:pPr>
      <w:r>
        <w:rPr>
          <w:b/>
        </w:rPr>
        <w:t>Tanya Plibersek</w:t>
      </w:r>
    </w:p>
    <w:p w:rsidR="00124710" w:rsidRPr="00E4135E" w:rsidRDefault="00124710" w:rsidP="00124710">
      <w:pPr>
        <w:spacing w:before="120" w:after="120"/>
        <w:jc w:val="center"/>
      </w:pPr>
      <w:r>
        <w:rPr>
          <w:b/>
        </w:rPr>
        <w:t>Minister for Health</w:t>
      </w:r>
    </w:p>
    <w:p w:rsidR="003B3ECC" w:rsidRPr="003B3ECC" w:rsidRDefault="003B3ECC">
      <w:pPr>
        <w:pStyle w:val="Subtitle"/>
        <w:tabs>
          <w:tab w:val="left" w:pos="0"/>
          <w:tab w:val="left" w:pos="114"/>
        </w:tabs>
        <w:ind w:right="-264"/>
        <w:rPr>
          <w:i/>
          <w:u w:val="none"/>
        </w:rPr>
      </w:pPr>
    </w:p>
    <w:sectPr w:rsidR="003B3ECC" w:rsidRPr="003B3ECC" w:rsidSect="00DD2AD2">
      <w:headerReference w:type="even" r:id="rId7"/>
      <w:headerReference w:type="default" r:id="rId8"/>
      <w:type w:val="continuous"/>
      <w:pgSz w:w="11907" w:h="16840" w:code="9"/>
      <w:pgMar w:top="1440" w:right="1440" w:bottom="1440" w:left="1440" w:header="539" w:footer="720" w:gutter="0"/>
      <w:paperSrc w:first="257" w:other="7"/>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2EB" w:rsidRDefault="00C722EB">
      <w:r>
        <w:separator/>
      </w:r>
    </w:p>
  </w:endnote>
  <w:endnote w:type="continuationSeparator" w:id="0">
    <w:p w:rsidR="00C722EB" w:rsidRDefault="00C72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2EB" w:rsidRDefault="00C722EB">
      <w:r>
        <w:separator/>
      </w:r>
    </w:p>
  </w:footnote>
  <w:footnote w:type="continuationSeparator" w:id="0">
    <w:p w:rsidR="00C722EB" w:rsidRDefault="00C72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54" w:rsidRDefault="00CE4754" w:rsidP="00FB7C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E4754" w:rsidRDefault="00CE47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54" w:rsidRDefault="00CE4754" w:rsidP="00EF78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2001">
      <w:rPr>
        <w:rStyle w:val="PageNumber"/>
        <w:noProof/>
      </w:rPr>
      <w:t>2</w:t>
    </w:r>
    <w:r>
      <w:rPr>
        <w:rStyle w:val="PageNumber"/>
      </w:rPr>
      <w:fldChar w:fldCharType="end"/>
    </w:r>
  </w:p>
  <w:p w:rsidR="00CE4754" w:rsidRDefault="00CE47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9C6"/>
    <w:multiLevelType w:val="hybridMultilevel"/>
    <w:tmpl w:val="864EF44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1A308B2"/>
    <w:multiLevelType w:val="hybridMultilevel"/>
    <w:tmpl w:val="4202D742"/>
    <w:lvl w:ilvl="0" w:tplc="37BEE57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8084ADF"/>
    <w:multiLevelType w:val="hybridMultilevel"/>
    <w:tmpl w:val="C1101E48"/>
    <w:lvl w:ilvl="0" w:tplc="11BE1812">
      <w:start w:val="1"/>
      <w:numFmt w:val="upperLetter"/>
      <w:lvlText w:val="(%1)"/>
      <w:lvlJc w:val="left"/>
      <w:pPr>
        <w:tabs>
          <w:tab w:val="num" w:pos="1692"/>
        </w:tabs>
        <w:ind w:left="1692" w:hanging="112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0D146F22"/>
    <w:multiLevelType w:val="hybridMultilevel"/>
    <w:tmpl w:val="254299B8"/>
    <w:lvl w:ilvl="0" w:tplc="3ECEB1D6">
      <w:start w:val="2"/>
      <w:numFmt w:val="decimal"/>
      <w:lvlText w:val="%1."/>
      <w:lvlJc w:val="left"/>
      <w:pPr>
        <w:tabs>
          <w:tab w:val="num" w:pos="567"/>
        </w:tabs>
        <w:ind w:left="0" w:firstLine="0"/>
      </w:pPr>
      <w:rPr>
        <w:rFonts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4512B61"/>
    <w:multiLevelType w:val="hybridMultilevel"/>
    <w:tmpl w:val="E00CB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480C61"/>
    <w:multiLevelType w:val="hybridMultilevel"/>
    <w:tmpl w:val="740A3962"/>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C702B2B"/>
    <w:multiLevelType w:val="hybridMultilevel"/>
    <w:tmpl w:val="2B0846E2"/>
    <w:lvl w:ilvl="0" w:tplc="F1781190">
      <w:start w:val="1"/>
      <w:numFmt w:val="upp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1DAF7EE7"/>
    <w:multiLevelType w:val="hybridMultilevel"/>
    <w:tmpl w:val="588E9BDA"/>
    <w:lvl w:ilvl="0" w:tplc="74927D2A">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20BA3547"/>
    <w:multiLevelType w:val="hybridMultilevel"/>
    <w:tmpl w:val="4F5E24FC"/>
    <w:lvl w:ilvl="0" w:tplc="49468B24">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6FE1FCE"/>
    <w:multiLevelType w:val="hybridMultilevel"/>
    <w:tmpl w:val="D6C25AE8"/>
    <w:lvl w:ilvl="0" w:tplc="35D6D0CC">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28A03350"/>
    <w:multiLevelType w:val="hybridMultilevel"/>
    <w:tmpl w:val="C1F66DD2"/>
    <w:lvl w:ilvl="0" w:tplc="0FBAC9E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E216768"/>
    <w:multiLevelType w:val="hybridMultilevel"/>
    <w:tmpl w:val="1B829F2C"/>
    <w:lvl w:ilvl="0" w:tplc="AF1441B4">
      <w:start w:val="1"/>
      <w:numFmt w:val="bullet"/>
      <w:lvlText w:val="-"/>
      <w:lvlJc w:val="left"/>
      <w:pPr>
        <w:tabs>
          <w:tab w:val="num" w:pos="930"/>
        </w:tabs>
        <w:ind w:left="930" w:hanging="57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09161E9"/>
    <w:multiLevelType w:val="hybridMultilevel"/>
    <w:tmpl w:val="CADE3292"/>
    <w:lvl w:ilvl="0" w:tplc="F7287B6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3029AD"/>
    <w:multiLevelType w:val="hybridMultilevel"/>
    <w:tmpl w:val="30405D2C"/>
    <w:lvl w:ilvl="0" w:tplc="9BD01D6E">
      <w:start w:val="1"/>
      <w:numFmt w:val="lowerLetter"/>
      <w:lvlText w:val="(%1)"/>
      <w:lvlJc w:val="left"/>
      <w:pPr>
        <w:tabs>
          <w:tab w:val="num" w:pos="720"/>
        </w:tabs>
        <w:ind w:left="720" w:hanging="360"/>
      </w:pPr>
      <w:rPr>
        <w:rFonts w:hint="default"/>
      </w:rPr>
    </w:lvl>
    <w:lvl w:ilvl="1" w:tplc="47FE6ED8">
      <w:start w:val="1"/>
      <w:numFmt w:val="bullet"/>
      <w:lvlText w:val="-"/>
      <w:lvlJc w:val="left"/>
      <w:pPr>
        <w:tabs>
          <w:tab w:val="num" w:pos="1440"/>
        </w:tabs>
        <w:ind w:left="1440" w:hanging="360"/>
      </w:pPr>
      <w:rPr>
        <w:rFonts w:ascii="Times New Roman" w:eastAsia="Times New Roman" w:hAnsi="Times New Roman"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5077DA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nsid w:val="3BD10107"/>
    <w:multiLevelType w:val="hybridMultilevel"/>
    <w:tmpl w:val="C12E7DB6"/>
    <w:lvl w:ilvl="0" w:tplc="1FC05BA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40472327"/>
    <w:multiLevelType w:val="hybridMultilevel"/>
    <w:tmpl w:val="7180B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421EAD"/>
    <w:multiLevelType w:val="hybridMultilevel"/>
    <w:tmpl w:val="C1FC8E30"/>
    <w:lvl w:ilvl="0" w:tplc="47FE6ED8">
      <w:start w:val="1"/>
      <w:numFmt w:val="bullet"/>
      <w:lvlText w:val="-"/>
      <w:lvlJc w:val="left"/>
      <w:pPr>
        <w:tabs>
          <w:tab w:val="num" w:pos="720"/>
        </w:tabs>
        <w:ind w:left="720" w:hanging="360"/>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7330E74"/>
    <w:multiLevelType w:val="hybridMultilevel"/>
    <w:tmpl w:val="6354EBD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Arial"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Arial"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Arial"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nsid w:val="5B2033A7"/>
    <w:multiLevelType w:val="hybridMultilevel"/>
    <w:tmpl w:val="A56EFFA0"/>
    <w:lvl w:ilvl="0" w:tplc="47FE6ED8">
      <w:start w:val="1"/>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CFF6D9B"/>
    <w:multiLevelType w:val="hybridMultilevel"/>
    <w:tmpl w:val="29D65A6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DF67369"/>
    <w:multiLevelType w:val="multilevel"/>
    <w:tmpl w:val="A56EFFA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CA3246"/>
    <w:multiLevelType w:val="hybridMultilevel"/>
    <w:tmpl w:val="01D4651C"/>
    <w:lvl w:ilvl="0" w:tplc="7EDE9CAC">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nsid w:val="6178037D"/>
    <w:multiLevelType w:val="hybridMultilevel"/>
    <w:tmpl w:val="E638A492"/>
    <w:lvl w:ilvl="0" w:tplc="F7287B6A">
      <w:start w:val="1"/>
      <w:numFmt w:val="bullet"/>
      <w:lvlText w:val=""/>
      <w:lvlJc w:val="left"/>
      <w:pPr>
        <w:tabs>
          <w:tab w:val="num" w:pos="786"/>
        </w:tabs>
        <w:ind w:left="786" w:hanging="360"/>
      </w:pPr>
      <w:rPr>
        <w:rFonts w:ascii="Symbol" w:hAnsi="Symbol" w:hint="default"/>
        <w:sz w:val="16"/>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nsid w:val="61F00A2E"/>
    <w:multiLevelType w:val="multilevel"/>
    <w:tmpl w:val="29D65A6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5F10D55"/>
    <w:multiLevelType w:val="singleLevel"/>
    <w:tmpl w:val="1816892C"/>
    <w:lvl w:ilvl="0">
      <w:start w:val="1"/>
      <w:numFmt w:val="bullet"/>
      <w:lvlText w:val=""/>
      <w:lvlJc w:val="left"/>
      <w:pPr>
        <w:tabs>
          <w:tab w:val="num" w:pos="360"/>
        </w:tabs>
        <w:ind w:left="360" w:hanging="360"/>
      </w:pPr>
      <w:rPr>
        <w:rFonts w:ascii="Symbol" w:hAnsi="Symbol" w:hint="default"/>
        <w:b w:val="0"/>
        <w:i w:val="0"/>
        <w:sz w:val="24"/>
      </w:rPr>
    </w:lvl>
  </w:abstractNum>
  <w:abstractNum w:abstractNumId="26">
    <w:nsid w:val="67D64108"/>
    <w:multiLevelType w:val="hybridMultilevel"/>
    <w:tmpl w:val="057E019A"/>
    <w:lvl w:ilvl="0" w:tplc="EBF4AE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F941F8"/>
    <w:multiLevelType w:val="hybridMultilevel"/>
    <w:tmpl w:val="72EE8FF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76305840"/>
    <w:multiLevelType w:val="hybridMultilevel"/>
    <w:tmpl w:val="922E9D0E"/>
    <w:lvl w:ilvl="0" w:tplc="47FE6ED8">
      <w:start w:val="1"/>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27"/>
  </w:num>
  <w:num w:numId="4">
    <w:abstractNumId w:val="15"/>
  </w:num>
  <w:num w:numId="5">
    <w:abstractNumId w:val="14"/>
  </w:num>
  <w:num w:numId="6">
    <w:abstractNumId w:val="3"/>
  </w:num>
  <w:num w:numId="7">
    <w:abstractNumId w:val="25"/>
  </w:num>
  <w:num w:numId="8">
    <w:abstractNumId w:val="11"/>
  </w:num>
  <w:num w:numId="9">
    <w:abstractNumId w:val="10"/>
  </w:num>
  <w:num w:numId="10">
    <w:abstractNumId w:val="8"/>
  </w:num>
  <w:num w:numId="11">
    <w:abstractNumId w:val="13"/>
  </w:num>
  <w:num w:numId="12">
    <w:abstractNumId w:val="17"/>
  </w:num>
  <w:num w:numId="13">
    <w:abstractNumId w:val="22"/>
  </w:num>
  <w:num w:numId="14">
    <w:abstractNumId w:val="28"/>
  </w:num>
  <w:num w:numId="15">
    <w:abstractNumId w:val="1"/>
  </w:num>
  <w:num w:numId="16">
    <w:abstractNumId w:val="7"/>
  </w:num>
  <w:num w:numId="17">
    <w:abstractNumId w:val="19"/>
  </w:num>
  <w:num w:numId="18">
    <w:abstractNumId w:val="21"/>
  </w:num>
  <w:num w:numId="19">
    <w:abstractNumId w:val="20"/>
  </w:num>
  <w:num w:numId="20">
    <w:abstractNumId w:val="24"/>
  </w:num>
  <w:num w:numId="21">
    <w:abstractNumId w:val="16"/>
  </w:num>
  <w:num w:numId="22">
    <w:abstractNumId w:val="2"/>
  </w:num>
  <w:num w:numId="23">
    <w:abstractNumId w:val="6"/>
  </w:num>
  <w:num w:numId="24">
    <w:abstractNumId w:val="26"/>
  </w:num>
  <w:num w:numId="25">
    <w:abstractNumId w:val="5"/>
  </w:num>
  <w:num w:numId="26">
    <w:abstractNumId w:val="4"/>
  </w:num>
  <w:num w:numId="27">
    <w:abstractNumId w:val="12"/>
  </w:num>
  <w:num w:numId="28">
    <w:abstractNumId w:val="23"/>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oNotTrackMoves/>
  <w:defaultTabStop w:val="720"/>
  <w:drawingGridHorizontalSpacing w:val="57"/>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7A9F"/>
    <w:rsid w:val="0001297B"/>
    <w:rsid w:val="00024341"/>
    <w:rsid w:val="00025E35"/>
    <w:rsid w:val="000377BA"/>
    <w:rsid w:val="000438DB"/>
    <w:rsid w:val="000574AA"/>
    <w:rsid w:val="00073F89"/>
    <w:rsid w:val="00095AA5"/>
    <w:rsid w:val="000A1109"/>
    <w:rsid w:val="000C48AD"/>
    <w:rsid w:val="000D09CB"/>
    <w:rsid w:val="000D43E6"/>
    <w:rsid w:val="000E2564"/>
    <w:rsid w:val="000F5B7E"/>
    <w:rsid w:val="000F6FBC"/>
    <w:rsid w:val="00113888"/>
    <w:rsid w:val="0011398D"/>
    <w:rsid w:val="00122619"/>
    <w:rsid w:val="00124710"/>
    <w:rsid w:val="00132627"/>
    <w:rsid w:val="00163B6C"/>
    <w:rsid w:val="0018385F"/>
    <w:rsid w:val="001927EF"/>
    <w:rsid w:val="001C5C19"/>
    <w:rsid w:val="001D3B3C"/>
    <w:rsid w:val="001E05F4"/>
    <w:rsid w:val="001F3740"/>
    <w:rsid w:val="00214010"/>
    <w:rsid w:val="0022283D"/>
    <w:rsid w:val="0023284B"/>
    <w:rsid w:val="00253736"/>
    <w:rsid w:val="002567B7"/>
    <w:rsid w:val="00295DC1"/>
    <w:rsid w:val="002C0693"/>
    <w:rsid w:val="002C61E2"/>
    <w:rsid w:val="002D44DF"/>
    <w:rsid w:val="002F4BB5"/>
    <w:rsid w:val="003020E4"/>
    <w:rsid w:val="00302DC0"/>
    <w:rsid w:val="00307370"/>
    <w:rsid w:val="00315989"/>
    <w:rsid w:val="00337415"/>
    <w:rsid w:val="0034655F"/>
    <w:rsid w:val="0034671F"/>
    <w:rsid w:val="003804DE"/>
    <w:rsid w:val="00385833"/>
    <w:rsid w:val="003A350E"/>
    <w:rsid w:val="003B1183"/>
    <w:rsid w:val="003B3ECC"/>
    <w:rsid w:val="003D5B85"/>
    <w:rsid w:val="003F7B3B"/>
    <w:rsid w:val="004003DD"/>
    <w:rsid w:val="004049FC"/>
    <w:rsid w:val="00427D78"/>
    <w:rsid w:val="00432F62"/>
    <w:rsid w:val="0048403E"/>
    <w:rsid w:val="00492A4D"/>
    <w:rsid w:val="0049457F"/>
    <w:rsid w:val="004A3D93"/>
    <w:rsid w:val="004B6292"/>
    <w:rsid w:val="004D5262"/>
    <w:rsid w:val="004F1BC2"/>
    <w:rsid w:val="00512AFD"/>
    <w:rsid w:val="0052154E"/>
    <w:rsid w:val="00521CDB"/>
    <w:rsid w:val="005431A7"/>
    <w:rsid w:val="00545E27"/>
    <w:rsid w:val="00565D4A"/>
    <w:rsid w:val="005E498E"/>
    <w:rsid w:val="005E74FC"/>
    <w:rsid w:val="006349A5"/>
    <w:rsid w:val="00641EAD"/>
    <w:rsid w:val="00643EA9"/>
    <w:rsid w:val="00644656"/>
    <w:rsid w:val="00644C64"/>
    <w:rsid w:val="0064627A"/>
    <w:rsid w:val="00656CD3"/>
    <w:rsid w:val="00664745"/>
    <w:rsid w:val="0069698C"/>
    <w:rsid w:val="00696A11"/>
    <w:rsid w:val="00697208"/>
    <w:rsid w:val="006A6E9C"/>
    <w:rsid w:val="006B7849"/>
    <w:rsid w:val="006D7D54"/>
    <w:rsid w:val="006E60E2"/>
    <w:rsid w:val="0070089E"/>
    <w:rsid w:val="0070734E"/>
    <w:rsid w:val="00726169"/>
    <w:rsid w:val="00731B5C"/>
    <w:rsid w:val="0073470C"/>
    <w:rsid w:val="00741ED6"/>
    <w:rsid w:val="007459F6"/>
    <w:rsid w:val="007470B2"/>
    <w:rsid w:val="007535F6"/>
    <w:rsid w:val="00763AB1"/>
    <w:rsid w:val="00764C39"/>
    <w:rsid w:val="00770900"/>
    <w:rsid w:val="00786D1F"/>
    <w:rsid w:val="00796F11"/>
    <w:rsid w:val="007D332F"/>
    <w:rsid w:val="007D35C6"/>
    <w:rsid w:val="007F60BF"/>
    <w:rsid w:val="00802001"/>
    <w:rsid w:val="008223AC"/>
    <w:rsid w:val="00825699"/>
    <w:rsid w:val="00831067"/>
    <w:rsid w:val="00840312"/>
    <w:rsid w:val="00844DFA"/>
    <w:rsid w:val="00861C68"/>
    <w:rsid w:val="008827FB"/>
    <w:rsid w:val="00886CAE"/>
    <w:rsid w:val="008C036F"/>
    <w:rsid w:val="008E3886"/>
    <w:rsid w:val="00905B5D"/>
    <w:rsid w:val="00920159"/>
    <w:rsid w:val="0093156A"/>
    <w:rsid w:val="0094610D"/>
    <w:rsid w:val="00985CF9"/>
    <w:rsid w:val="00986F8E"/>
    <w:rsid w:val="009936D7"/>
    <w:rsid w:val="009D570F"/>
    <w:rsid w:val="009D7D00"/>
    <w:rsid w:val="00A2220C"/>
    <w:rsid w:val="00A35A03"/>
    <w:rsid w:val="00A44D84"/>
    <w:rsid w:val="00A60256"/>
    <w:rsid w:val="00A62B0E"/>
    <w:rsid w:val="00A6399C"/>
    <w:rsid w:val="00A65DFD"/>
    <w:rsid w:val="00A66F93"/>
    <w:rsid w:val="00A73612"/>
    <w:rsid w:val="00A755A0"/>
    <w:rsid w:val="00AB078B"/>
    <w:rsid w:val="00AD4EED"/>
    <w:rsid w:val="00AE53FE"/>
    <w:rsid w:val="00B15518"/>
    <w:rsid w:val="00B24180"/>
    <w:rsid w:val="00B27ABC"/>
    <w:rsid w:val="00B415AF"/>
    <w:rsid w:val="00B53816"/>
    <w:rsid w:val="00B56954"/>
    <w:rsid w:val="00B704BC"/>
    <w:rsid w:val="00B70A4C"/>
    <w:rsid w:val="00B74DE6"/>
    <w:rsid w:val="00B82EF9"/>
    <w:rsid w:val="00B86261"/>
    <w:rsid w:val="00B93C27"/>
    <w:rsid w:val="00BB3E01"/>
    <w:rsid w:val="00BC0924"/>
    <w:rsid w:val="00BD1B47"/>
    <w:rsid w:val="00BE2563"/>
    <w:rsid w:val="00BF6DB8"/>
    <w:rsid w:val="00BF7EA7"/>
    <w:rsid w:val="00C0016F"/>
    <w:rsid w:val="00C013EC"/>
    <w:rsid w:val="00C01A6F"/>
    <w:rsid w:val="00C10C36"/>
    <w:rsid w:val="00C22358"/>
    <w:rsid w:val="00C40B47"/>
    <w:rsid w:val="00C4164D"/>
    <w:rsid w:val="00C47BEF"/>
    <w:rsid w:val="00C648D8"/>
    <w:rsid w:val="00C679C4"/>
    <w:rsid w:val="00C704B3"/>
    <w:rsid w:val="00C722EB"/>
    <w:rsid w:val="00C8373F"/>
    <w:rsid w:val="00CB011A"/>
    <w:rsid w:val="00CC0051"/>
    <w:rsid w:val="00CC58C0"/>
    <w:rsid w:val="00CE4754"/>
    <w:rsid w:val="00D03313"/>
    <w:rsid w:val="00D15F68"/>
    <w:rsid w:val="00D239A6"/>
    <w:rsid w:val="00D266E9"/>
    <w:rsid w:val="00D30D3A"/>
    <w:rsid w:val="00D335AB"/>
    <w:rsid w:val="00D33CCA"/>
    <w:rsid w:val="00D401AB"/>
    <w:rsid w:val="00D43505"/>
    <w:rsid w:val="00D61353"/>
    <w:rsid w:val="00D803F3"/>
    <w:rsid w:val="00DA1775"/>
    <w:rsid w:val="00DA4EDB"/>
    <w:rsid w:val="00DB694E"/>
    <w:rsid w:val="00DD2AD2"/>
    <w:rsid w:val="00DE22D0"/>
    <w:rsid w:val="00E17741"/>
    <w:rsid w:val="00E213B5"/>
    <w:rsid w:val="00E235CC"/>
    <w:rsid w:val="00E30C3C"/>
    <w:rsid w:val="00E32A51"/>
    <w:rsid w:val="00E33210"/>
    <w:rsid w:val="00E40684"/>
    <w:rsid w:val="00E521B9"/>
    <w:rsid w:val="00E824E6"/>
    <w:rsid w:val="00E91E37"/>
    <w:rsid w:val="00EA3A24"/>
    <w:rsid w:val="00EA635B"/>
    <w:rsid w:val="00ED37B9"/>
    <w:rsid w:val="00EE17DE"/>
    <w:rsid w:val="00EF0D7B"/>
    <w:rsid w:val="00EF1690"/>
    <w:rsid w:val="00EF2986"/>
    <w:rsid w:val="00EF787C"/>
    <w:rsid w:val="00F22692"/>
    <w:rsid w:val="00F45232"/>
    <w:rsid w:val="00F614F9"/>
    <w:rsid w:val="00F646DB"/>
    <w:rsid w:val="00F70623"/>
    <w:rsid w:val="00F821D7"/>
    <w:rsid w:val="00FB4C76"/>
    <w:rsid w:val="00FB7CCD"/>
    <w:rsid w:val="00FC0CA7"/>
    <w:rsid w:val="00FD002F"/>
    <w:rsid w:val="00FD046F"/>
    <w:rsid w:val="00FD5A27"/>
    <w:rsid w:val="00FD5A6F"/>
    <w:rsid w:val="00FF1D4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A9F"/>
    <w:rPr>
      <w:sz w:val="24"/>
    </w:rPr>
  </w:style>
  <w:style w:type="paragraph" w:styleId="Heading2">
    <w:name w:val="heading 2"/>
    <w:basedOn w:val="Normal"/>
    <w:next w:val="Normal"/>
    <w:qFormat/>
    <w:rsid w:val="00957A9F"/>
    <w:pPr>
      <w:keepNext/>
      <w:jc w:val="right"/>
      <w:outlineLvl w:val="1"/>
    </w:pPr>
    <w:rPr>
      <w:b/>
    </w:rPr>
  </w:style>
  <w:style w:type="paragraph" w:styleId="Heading3">
    <w:name w:val="heading 3"/>
    <w:basedOn w:val="Normal"/>
    <w:next w:val="Normal"/>
    <w:qFormat/>
    <w:rsid w:val="00957A9F"/>
    <w:pPr>
      <w:keepNext/>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57A9F"/>
    <w:pPr>
      <w:jc w:val="center"/>
    </w:pPr>
    <w:rPr>
      <w:b/>
      <w:u w:val="single"/>
      <w:lang w:eastAsia="en-US"/>
    </w:rPr>
  </w:style>
  <w:style w:type="paragraph" w:styleId="Subtitle">
    <w:name w:val="Subtitle"/>
    <w:basedOn w:val="Normal"/>
    <w:qFormat/>
    <w:rsid w:val="00957A9F"/>
    <w:rPr>
      <w:u w:val="single"/>
      <w:lang w:eastAsia="en-US"/>
    </w:rPr>
  </w:style>
  <w:style w:type="paragraph" w:styleId="Header">
    <w:name w:val="header"/>
    <w:aliases w:val="Subheading (body)"/>
    <w:basedOn w:val="Normal"/>
    <w:rsid w:val="00957A9F"/>
    <w:pPr>
      <w:widowControl w:val="0"/>
      <w:tabs>
        <w:tab w:val="center" w:pos="4153"/>
        <w:tab w:val="right" w:pos="8306"/>
      </w:tabs>
    </w:pPr>
    <w:rPr>
      <w:snapToGrid w:val="0"/>
      <w:lang w:val="en-US" w:eastAsia="en-US"/>
    </w:rPr>
  </w:style>
  <w:style w:type="paragraph" w:styleId="Footer">
    <w:name w:val="footer"/>
    <w:basedOn w:val="Normal"/>
    <w:rsid w:val="00957A9F"/>
    <w:pPr>
      <w:tabs>
        <w:tab w:val="center" w:pos="4153"/>
        <w:tab w:val="right" w:pos="8306"/>
      </w:tabs>
    </w:pPr>
    <w:rPr>
      <w:lang w:eastAsia="en-US"/>
    </w:rPr>
  </w:style>
  <w:style w:type="character" w:styleId="PageNumber">
    <w:name w:val="page number"/>
    <w:basedOn w:val="DefaultParagraphFont"/>
    <w:rsid w:val="00957A9F"/>
  </w:style>
  <w:style w:type="paragraph" w:styleId="BalloonText">
    <w:name w:val="Balloon Text"/>
    <w:basedOn w:val="Normal"/>
    <w:semiHidden/>
    <w:rsid w:val="004E7542"/>
    <w:rPr>
      <w:rFonts w:ascii="Tahoma" w:hAnsi="Tahoma" w:cs="Tahoma"/>
      <w:sz w:val="16"/>
      <w:szCs w:val="16"/>
    </w:rPr>
  </w:style>
  <w:style w:type="character" w:styleId="CommentReference">
    <w:name w:val="annotation reference"/>
    <w:uiPriority w:val="99"/>
    <w:semiHidden/>
    <w:rsid w:val="0058367D"/>
    <w:rPr>
      <w:sz w:val="16"/>
      <w:szCs w:val="16"/>
    </w:rPr>
  </w:style>
  <w:style w:type="paragraph" w:styleId="CommentText">
    <w:name w:val="annotation text"/>
    <w:basedOn w:val="Normal"/>
    <w:link w:val="CommentTextChar"/>
    <w:uiPriority w:val="99"/>
    <w:semiHidden/>
    <w:rsid w:val="0058367D"/>
    <w:rPr>
      <w:sz w:val="20"/>
    </w:rPr>
  </w:style>
  <w:style w:type="paragraph" w:styleId="CommentSubject">
    <w:name w:val="annotation subject"/>
    <w:basedOn w:val="CommentText"/>
    <w:next w:val="CommentText"/>
    <w:semiHidden/>
    <w:rsid w:val="0058367D"/>
    <w:rPr>
      <w:b/>
      <w:bCs/>
    </w:rPr>
  </w:style>
  <w:style w:type="paragraph" w:customStyle="1" w:styleId="CharCharChar">
    <w:name w:val="Char Char Char"/>
    <w:basedOn w:val="Normal"/>
    <w:rsid w:val="006A5D06"/>
    <w:pPr>
      <w:spacing w:after="160" w:line="240" w:lineRule="exact"/>
    </w:pPr>
    <w:rPr>
      <w:rFonts w:ascii="Verdana" w:hAnsi="Verdana" w:cs="Verdana"/>
      <w:sz w:val="20"/>
      <w:lang w:val="en-US" w:eastAsia="en-US"/>
    </w:rPr>
  </w:style>
  <w:style w:type="paragraph" w:customStyle="1" w:styleId="Char2Char">
    <w:name w:val="Char2 Char"/>
    <w:basedOn w:val="Normal"/>
    <w:rsid w:val="006C5B6C"/>
    <w:pPr>
      <w:spacing w:after="160" w:line="240" w:lineRule="exact"/>
    </w:pPr>
    <w:rPr>
      <w:rFonts w:ascii="Verdana" w:hAnsi="Verdana" w:cs="Verdana"/>
      <w:sz w:val="21"/>
      <w:szCs w:val="21"/>
      <w:lang w:val="en-US" w:eastAsia="en-US"/>
    </w:rPr>
  </w:style>
  <w:style w:type="character" w:customStyle="1" w:styleId="CommentTextChar">
    <w:name w:val="Comment Text Char"/>
    <w:basedOn w:val="DefaultParagraphFont"/>
    <w:link w:val="CommentText"/>
    <w:uiPriority w:val="99"/>
    <w:semiHidden/>
    <w:locked/>
    <w:rsid w:val="00770900"/>
  </w:style>
  <w:style w:type="paragraph" w:customStyle="1" w:styleId="CharCharCharCharCharCharCharCharCharCharCharCharChar">
    <w:name w:val="Char Char Char Char Char Char Char Char Char Char Char Char Char"/>
    <w:basedOn w:val="Normal"/>
    <w:rsid w:val="00F22692"/>
    <w:pPr>
      <w:spacing w:after="160" w:line="240" w:lineRule="exact"/>
    </w:pPr>
    <w:rPr>
      <w:rFonts w:ascii="Verdana" w:hAnsi="Verdana" w:cs="Verdana"/>
      <w:sz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9843</Characters>
  <Application>Microsoft Office Word</Application>
  <DocSecurity>0</DocSecurity>
  <Lines>223</Lines>
  <Paragraphs>69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cressa</dc:creator>
  <cp:keywords/>
  <cp:lastModifiedBy>hilhma</cp:lastModifiedBy>
  <cp:revision>2</cp:revision>
  <cp:lastPrinted>2012-07-13T01:48:00Z</cp:lastPrinted>
  <dcterms:created xsi:type="dcterms:W3CDTF">2012-08-27T06:51:00Z</dcterms:created>
  <dcterms:modified xsi:type="dcterms:W3CDTF">2012-08-27T06:51:00Z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