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C2" w:rsidRPr="00F619C2" w:rsidRDefault="00F619C2" w:rsidP="00F619C2">
      <w:pPr>
        <w:keepNext/>
        <w:spacing w:before="240" w:after="60"/>
        <w:jc w:val="center"/>
        <w:outlineLvl w:val="0"/>
        <w:rPr>
          <w:rFonts w:ascii="Arial Bold" w:hAnsi="Arial Bold"/>
          <w:b/>
          <w:kern w:val="28"/>
          <w:sz w:val="28"/>
          <w:u w:val="single"/>
        </w:rPr>
      </w:pPr>
      <w:r w:rsidRPr="00F619C2">
        <w:rPr>
          <w:rFonts w:ascii="Arial Bold" w:hAnsi="Arial Bold"/>
          <w:b/>
          <w:kern w:val="28"/>
          <w:sz w:val="28"/>
          <w:u w:val="single"/>
        </w:rPr>
        <w:t>EXPLANATORY STATEMENT</w:t>
      </w:r>
    </w:p>
    <w:p w:rsidR="00F619C2" w:rsidRPr="00F619C2" w:rsidRDefault="00F619C2" w:rsidP="00F619C2">
      <w:pPr>
        <w:spacing w:before="120" w:after="120"/>
        <w:jc w:val="center"/>
        <w:rPr>
          <w:b/>
          <w:u w:val="single"/>
        </w:rPr>
      </w:pPr>
      <w:r w:rsidRPr="00F619C2">
        <w:rPr>
          <w:b/>
          <w:u w:val="single"/>
        </w:rPr>
        <w:t xml:space="preserve">Select Legislative Instrument 2012 No. </w:t>
      </w:r>
      <w:r w:rsidR="00605E48">
        <w:rPr>
          <w:b/>
          <w:u w:val="single"/>
        </w:rPr>
        <w:t>215</w:t>
      </w:r>
    </w:p>
    <w:p w:rsidR="00F619C2" w:rsidRPr="00605E48" w:rsidRDefault="00F619C2" w:rsidP="00F619C2">
      <w:pPr>
        <w:keepNext/>
        <w:spacing w:before="240" w:after="60"/>
        <w:outlineLvl w:val="1"/>
        <w:rPr>
          <w:b/>
          <w:szCs w:val="24"/>
          <w:u w:val="single"/>
        </w:rPr>
      </w:pPr>
      <w:r w:rsidRPr="00605E48">
        <w:rPr>
          <w:b/>
          <w:szCs w:val="24"/>
          <w:u w:val="single"/>
        </w:rPr>
        <w:t>Issued by authority of the Assistant Treasurer</w:t>
      </w:r>
    </w:p>
    <w:p w:rsidR="00C619BB" w:rsidRPr="00C619BB" w:rsidRDefault="00C619BB" w:rsidP="00C619BB"/>
    <w:p w:rsidR="00C619BB" w:rsidRDefault="00C619BB" w:rsidP="00C619BB">
      <w:pPr>
        <w:jc w:val="center"/>
        <w:rPr>
          <w:i/>
        </w:rPr>
      </w:pPr>
      <w:r>
        <w:rPr>
          <w:i/>
        </w:rPr>
        <w:t>A New Tax System (Goods and Services Tax) Act 1999</w:t>
      </w:r>
    </w:p>
    <w:p w:rsidR="00F619C2" w:rsidRPr="00503E44" w:rsidRDefault="00F619C2" w:rsidP="00C619BB">
      <w:pPr>
        <w:jc w:val="center"/>
        <w:rPr>
          <w:i/>
        </w:rPr>
      </w:pPr>
    </w:p>
    <w:p w:rsidR="00C619BB" w:rsidRDefault="00C619BB" w:rsidP="00C619BB">
      <w:pPr>
        <w:tabs>
          <w:tab w:val="left" w:pos="1701"/>
          <w:tab w:val="right" w:pos="9072"/>
        </w:tabs>
        <w:ind w:right="91"/>
        <w:jc w:val="center"/>
        <w:rPr>
          <w:i/>
        </w:rPr>
      </w:pPr>
      <w:r w:rsidRPr="00262871">
        <w:rPr>
          <w:i/>
        </w:rPr>
        <w:t xml:space="preserve">A New Tax System (Goods and Services Tax) </w:t>
      </w:r>
      <w:r w:rsidR="00605E48">
        <w:rPr>
          <w:i/>
        </w:rPr>
        <w:t>Amendment Regulation 2012 (No. 4</w:t>
      </w:r>
      <w:r w:rsidRPr="00262871">
        <w:rPr>
          <w:i/>
        </w:rPr>
        <w:t>)</w:t>
      </w:r>
    </w:p>
    <w:p w:rsidR="005C315B" w:rsidRPr="00370E92" w:rsidRDefault="005C315B" w:rsidP="00AA0ACF">
      <w:pPr>
        <w:tabs>
          <w:tab w:val="left" w:pos="1701"/>
          <w:tab w:val="right" w:pos="9072"/>
        </w:tabs>
        <w:ind w:right="91"/>
        <w:rPr>
          <w:sz w:val="20"/>
        </w:rPr>
      </w:pPr>
    </w:p>
    <w:p w:rsidR="005C315B" w:rsidRPr="00370E92" w:rsidRDefault="005C315B">
      <w:pPr>
        <w:tabs>
          <w:tab w:val="right" w:pos="9072"/>
        </w:tabs>
        <w:ind w:right="91"/>
        <w:rPr>
          <w:sz w:val="20"/>
        </w:rPr>
      </w:pPr>
    </w:p>
    <w:p w:rsidR="00AA0ACF" w:rsidRDefault="00AA0ACF" w:rsidP="00AA0ACF">
      <w:pPr>
        <w:tabs>
          <w:tab w:val="left" w:pos="1701"/>
          <w:tab w:val="right" w:pos="9072"/>
        </w:tabs>
        <w:spacing w:line="240" w:lineRule="exact"/>
        <w:ind w:right="91"/>
      </w:pPr>
      <w:r w:rsidRPr="00984D9F">
        <w:t>Section 1</w:t>
      </w:r>
      <w:r>
        <w:t>7</w:t>
      </w:r>
      <w:r w:rsidRPr="00984D9F">
        <w:t xml:space="preserve">7-15 of the </w:t>
      </w:r>
      <w:r w:rsidRPr="00984D9F">
        <w:rPr>
          <w:i/>
        </w:rPr>
        <w:t>A New Tax System (Goods and Services Tax) Act 1999</w:t>
      </w:r>
      <w:r w:rsidRPr="00984D9F">
        <w:t xml:space="preserve"> (the Act) provides that the Governor-General may make regulations prescribing matters required or permitted by the Act to be prescribed, or necessary or convenient to be prescribed for carrying out or giving effect to the Act.</w:t>
      </w:r>
    </w:p>
    <w:p w:rsidR="005C315B" w:rsidRPr="00370E92" w:rsidRDefault="005C315B">
      <w:pPr>
        <w:tabs>
          <w:tab w:val="right" w:pos="9072"/>
        </w:tabs>
        <w:ind w:right="91"/>
        <w:rPr>
          <w:sz w:val="20"/>
        </w:rPr>
      </w:pPr>
    </w:p>
    <w:p w:rsidR="005C315B" w:rsidRDefault="00AA0ACF">
      <w:pPr>
        <w:tabs>
          <w:tab w:val="left" w:pos="1701"/>
          <w:tab w:val="right" w:pos="9072"/>
        </w:tabs>
        <w:spacing w:line="240" w:lineRule="exact"/>
        <w:ind w:right="91"/>
      </w:pPr>
      <w:r>
        <w:t xml:space="preserve">The purpose of the Regulation is to amend the </w:t>
      </w:r>
      <w:r w:rsidRPr="007E3EDA">
        <w:rPr>
          <w:i/>
        </w:rPr>
        <w:t>A New Tax System (Goods and Services Tax) Regulations 1999</w:t>
      </w:r>
      <w:r>
        <w:t xml:space="preserve"> (the Principal Regulations) to</w:t>
      </w:r>
      <w:r w:rsidR="00607977">
        <w:t xml:space="preserve"> restore access to a reduced input tax credit (RITC) for credit unions who rebrand as </w:t>
      </w:r>
      <w:r w:rsidR="009306D3">
        <w:t>a bank</w:t>
      </w:r>
      <w:r w:rsidR="00E26409">
        <w:t xml:space="preserve"> but do not otherwise change their </w:t>
      </w:r>
      <w:r w:rsidR="00241127">
        <w:t xml:space="preserve">ownership </w:t>
      </w:r>
      <w:r w:rsidR="00E26409">
        <w:t>structure</w:t>
      </w:r>
      <w:r w:rsidR="009306D3">
        <w:t>.</w:t>
      </w:r>
    </w:p>
    <w:p w:rsidR="005C315B" w:rsidRPr="00370E92" w:rsidRDefault="005C315B">
      <w:pPr>
        <w:tabs>
          <w:tab w:val="right" w:pos="9072"/>
        </w:tabs>
        <w:ind w:right="91"/>
        <w:rPr>
          <w:sz w:val="20"/>
        </w:rPr>
      </w:pPr>
    </w:p>
    <w:p w:rsidR="00BA722B" w:rsidRDefault="009306D3">
      <w:pPr>
        <w:tabs>
          <w:tab w:val="left" w:pos="1701"/>
          <w:tab w:val="right" w:pos="9072"/>
        </w:tabs>
        <w:spacing w:line="240" w:lineRule="exact"/>
        <w:ind w:right="91"/>
      </w:pPr>
      <w:r>
        <w:t>The</w:t>
      </w:r>
      <w:r w:rsidR="00607977">
        <w:t xml:space="preserve"> Regulation </w:t>
      </w:r>
      <w:r w:rsidR="00011115">
        <w:t>support</w:t>
      </w:r>
      <w:r w:rsidR="00C619BB">
        <w:t>s</w:t>
      </w:r>
      <w:r w:rsidR="00607977">
        <w:t xml:space="preserve"> the </w:t>
      </w:r>
      <w:r w:rsidR="00232F6A">
        <w:t xml:space="preserve">policy intent behind the </w:t>
      </w:r>
      <w:r w:rsidR="00607977">
        <w:t xml:space="preserve">Government’s </w:t>
      </w:r>
      <w:r w:rsidR="00607977">
        <w:rPr>
          <w:i/>
        </w:rPr>
        <w:t xml:space="preserve">Competitive and Sustainable Banking System </w:t>
      </w:r>
      <w:r w:rsidR="00232F6A">
        <w:t>reforms</w:t>
      </w:r>
      <w:r w:rsidR="00011115">
        <w:t>, which included a commitment to help build a new pillar in the banking system from the combined competitive power of mutual credit unions and building societies.</w:t>
      </w:r>
    </w:p>
    <w:p w:rsidR="00381C7B" w:rsidRDefault="00381C7B">
      <w:pPr>
        <w:tabs>
          <w:tab w:val="left" w:pos="1701"/>
          <w:tab w:val="right" w:pos="9072"/>
        </w:tabs>
        <w:spacing w:line="240" w:lineRule="exact"/>
        <w:ind w:right="91"/>
      </w:pPr>
    </w:p>
    <w:p w:rsidR="005C315B" w:rsidRDefault="00AB2894" w:rsidP="00381C7B">
      <w:pPr>
        <w:tabs>
          <w:tab w:val="left" w:pos="1701"/>
          <w:tab w:val="right" w:pos="9072"/>
        </w:tabs>
        <w:spacing w:line="240" w:lineRule="exact"/>
        <w:ind w:right="91"/>
      </w:pPr>
      <w:r>
        <w:t>As part of these reforms</w:t>
      </w:r>
      <w:r w:rsidR="00232F6A">
        <w:t>, the</w:t>
      </w:r>
      <w:r w:rsidR="00607977">
        <w:t xml:space="preserve"> Government </w:t>
      </w:r>
      <w:r>
        <w:t xml:space="preserve">is </w:t>
      </w:r>
      <w:r w:rsidR="00571594">
        <w:t>supporting</w:t>
      </w:r>
      <w:r w:rsidR="00607977">
        <w:t xml:space="preserve"> credit unions </w:t>
      </w:r>
      <w:r w:rsidR="00011115">
        <w:t xml:space="preserve">to </w:t>
      </w:r>
      <w:r w:rsidR="00607977">
        <w:t>rebrand as ‘banks’</w:t>
      </w:r>
      <w:r w:rsidR="007E1CF0">
        <w:t xml:space="preserve"> to enhance</w:t>
      </w:r>
      <w:r w:rsidR="0044428A">
        <w:t xml:space="preserve"> competition in the banking sector</w:t>
      </w:r>
      <w:r w:rsidR="00232F6A">
        <w:t>.</w:t>
      </w:r>
      <w:r w:rsidR="00FB0C3E">
        <w:t xml:space="preserve"> </w:t>
      </w:r>
      <w:r w:rsidR="00232F6A">
        <w:t xml:space="preserve"> </w:t>
      </w:r>
      <w:r w:rsidR="00381C7B">
        <w:t>However, a</w:t>
      </w:r>
      <w:r w:rsidR="00B82C1B">
        <w:t xml:space="preserve"> consequence</w:t>
      </w:r>
      <w:r w:rsidR="008267AE">
        <w:t xml:space="preserve"> of rebranding as a bank </w:t>
      </w:r>
      <w:r w:rsidR="00381C7B">
        <w:t>is</w:t>
      </w:r>
      <w:r w:rsidR="008267AE">
        <w:t xml:space="preserve"> that the institution will no longer be </w:t>
      </w:r>
      <w:r w:rsidR="00381C7B">
        <w:t xml:space="preserve">regulated as a credit union </w:t>
      </w:r>
      <w:r w:rsidR="008267AE">
        <w:t>by the Australian Prudential Regulation Authority (APRA).</w:t>
      </w:r>
      <w:r w:rsidR="0044428A">
        <w:t xml:space="preserve"> </w:t>
      </w:r>
      <w:r w:rsidR="008267AE">
        <w:t xml:space="preserve"> </w:t>
      </w:r>
      <w:r w:rsidR="00381C7B">
        <w:t>This means that</w:t>
      </w:r>
      <w:r w:rsidR="008267AE">
        <w:t xml:space="preserve"> it </w:t>
      </w:r>
      <w:r w:rsidR="00450033">
        <w:t>will</w:t>
      </w:r>
      <w:r w:rsidR="008267AE">
        <w:t xml:space="preserve"> no longer be a credit union for the purposes of </w:t>
      </w:r>
      <w:r w:rsidR="001E5882">
        <w:t>the Principal Regulations</w:t>
      </w:r>
      <w:r w:rsidR="008267AE">
        <w:t xml:space="preserve"> and therefore lose access to the RITC provided by item 16</w:t>
      </w:r>
      <w:r w:rsidR="00AB5A57">
        <w:t xml:space="preserve"> in the table in subregulation 70-5.02(2)</w:t>
      </w:r>
      <w:r w:rsidR="008267AE">
        <w:t xml:space="preserve">. </w:t>
      </w:r>
    </w:p>
    <w:p w:rsidR="008267AE" w:rsidRDefault="008267AE">
      <w:pPr>
        <w:tabs>
          <w:tab w:val="left" w:pos="1701"/>
          <w:tab w:val="right" w:pos="9072"/>
        </w:tabs>
        <w:spacing w:line="240" w:lineRule="exact"/>
        <w:ind w:right="91"/>
      </w:pPr>
    </w:p>
    <w:p w:rsidR="005103FE" w:rsidRDefault="008267AE">
      <w:pPr>
        <w:tabs>
          <w:tab w:val="left" w:pos="1701"/>
          <w:tab w:val="right" w:pos="9072"/>
        </w:tabs>
        <w:spacing w:line="240" w:lineRule="exact"/>
        <w:ind w:right="91"/>
      </w:pPr>
      <w:r>
        <w:t>In addition to this, where a credit union with an ownership share in an aggregator</w:t>
      </w:r>
      <w:r w:rsidR="00B656C9">
        <w:t xml:space="preserve"> (an entity owned by two or more credit unions</w:t>
      </w:r>
      <w:r w:rsidR="001E5882">
        <w:t xml:space="preserve"> supplying services to credit unions</w:t>
      </w:r>
      <w:r w:rsidR="00B656C9">
        <w:t>)</w:t>
      </w:r>
      <w:r>
        <w:t xml:space="preserve"> rebrands as a ‘bank’, then all supplies made by the aggregator to another credit union will also no longer be eligible for the RITC provided by item 16.</w:t>
      </w:r>
      <w:r w:rsidR="0044428A">
        <w:t xml:space="preserve"> </w:t>
      </w:r>
      <w:r>
        <w:t xml:space="preserve"> This is because the aggregator is no longer wholly owned by credit unions</w:t>
      </w:r>
      <w:r w:rsidR="001E5882">
        <w:t xml:space="preserve"> given one has rebranded as a bank</w:t>
      </w:r>
      <w:r>
        <w:t>.</w:t>
      </w:r>
    </w:p>
    <w:p w:rsidR="002D7072" w:rsidRDefault="002D7072" w:rsidP="00381C7B">
      <w:pPr>
        <w:tabs>
          <w:tab w:val="left" w:pos="1701"/>
          <w:tab w:val="right" w:pos="9072"/>
        </w:tabs>
        <w:spacing w:line="240" w:lineRule="exact"/>
        <w:ind w:right="91"/>
      </w:pPr>
    </w:p>
    <w:p w:rsidR="005103FE" w:rsidRDefault="001E5EBD" w:rsidP="008E4A06">
      <w:pPr>
        <w:tabs>
          <w:tab w:val="left" w:pos="1701"/>
          <w:tab w:val="right" w:pos="9072"/>
        </w:tabs>
        <w:spacing w:line="240" w:lineRule="exact"/>
        <w:ind w:right="91"/>
      </w:pPr>
      <w:r>
        <w:t>Consistent with the Government’s policy</w:t>
      </w:r>
      <w:r w:rsidR="00381C7B">
        <w:t xml:space="preserve">, it is appropriate </w:t>
      </w:r>
      <w:r>
        <w:t>that access to the concession</w:t>
      </w:r>
      <w:r w:rsidR="00381C7B">
        <w:t xml:space="preserve"> be re</w:t>
      </w:r>
      <w:r w:rsidR="00EB10BA">
        <w:t>stor</w:t>
      </w:r>
      <w:r w:rsidR="00381C7B">
        <w:t>ed for credit unions</w:t>
      </w:r>
      <w:r w:rsidR="00381C7B" w:rsidRPr="007E1CF0">
        <w:t xml:space="preserve"> </w:t>
      </w:r>
      <w:r w:rsidR="00381C7B">
        <w:t>specified in the Regulation</w:t>
      </w:r>
      <w:r w:rsidR="00BA722B">
        <w:t xml:space="preserve"> to ensure the </w:t>
      </w:r>
      <w:r w:rsidR="00971177">
        <w:t>rebranding</w:t>
      </w:r>
      <w:r w:rsidR="00BA722B">
        <w:t xml:space="preserve"> from ‘credit union’ to ‘bank’ does not carry disincentives in relation to GST concessions</w:t>
      </w:r>
      <w:r w:rsidR="00B656C9">
        <w:t>.</w:t>
      </w:r>
    </w:p>
    <w:p w:rsidR="005C315B" w:rsidRPr="00370E92" w:rsidRDefault="005C315B">
      <w:pPr>
        <w:tabs>
          <w:tab w:val="right" w:pos="9072"/>
        </w:tabs>
        <w:ind w:right="91"/>
        <w:rPr>
          <w:sz w:val="20"/>
        </w:rPr>
      </w:pPr>
    </w:p>
    <w:p w:rsidR="00855237" w:rsidRDefault="00855237" w:rsidP="00855237">
      <w:pPr>
        <w:tabs>
          <w:tab w:val="left" w:pos="1701"/>
          <w:tab w:val="right" w:pos="9072"/>
        </w:tabs>
        <w:spacing w:line="240" w:lineRule="exact"/>
        <w:ind w:right="91"/>
      </w:pPr>
      <w:r w:rsidRPr="0064068C">
        <w:t>The amendment to the Principal Regulations broadens</w:t>
      </w:r>
      <w:r w:rsidR="008208BC">
        <w:t xml:space="preserve"> the definition of ‘credit union’</w:t>
      </w:r>
      <w:r w:rsidRPr="0064068C">
        <w:t xml:space="preserve"> to those that were listed </w:t>
      </w:r>
      <w:r w:rsidR="008208BC" w:rsidRPr="0064068C">
        <w:t xml:space="preserve">by APRA </w:t>
      </w:r>
      <w:r w:rsidRPr="0064068C">
        <w:t>as credit unions at 1 July 2011</w:t>
      </w:r>
      <w:r w:rsidR="008208BC">
        <w:t>,</w:t>
      </w:r>
      <w:r w:rsidRPr="0064068C">
        <w:t xml:space="preserve"> and have subsequently rebranded</w:t>
      </w:r>
      <w:r>
        <w:t xml:space="preserve"> (or will in the future)</w:t>
      </w:r>
      <w:r w:rsidRPr="0064068C">
        <w:t xml:space="preserve"> as a bank </w:t>
      </w:r>
      <w:r>
        <w:t>while retaining</w:t>
      </w:r>
      <w:r w:rsidRPr="0064068C">
        <w:t xml:space="preserve"> their mutuality.  </w:t>
      </w:r>
    </w:p>
    <w:p w:rsidR="002D7072" w:rsidRDefault="002D7072" w:rsidP="002D7072">
      <w:pPr>
        <w:tabs>
          <w:tab w:val="left" w:pos="1701"/>
          <w:tab w:val="right" w:pos="9072"/>
        </w:tabs>
        <w:spacing w:line="240" w:lineRule="exact"/>
        <w:ind w:right="91"/>
      </w:pPr>
    </w:p>
    <w:p w:rsidR="002D7072" w:rsidRDefault="00507FC1" w:rsidP="002D7072">
      <w:pPr>
        <w:tabs>
          <w:tab w:val="left" w:pos="1701"/>
          <w:tab w:val="right" w:pos="9072"/>
        </w:tabs>
        <w:spacing w:line="240" w:lineRule="exact"/>
        <w:ind w:right="91"/>
      </w:pPr>
      <w:r>
        <w:t xml:space="preserve">Paragraphs (a) and (c) of the definition reflect the current definition of credit union </w:t>
      </w:r>
      <w:r w:rsidR="00A914B0">
        <w:t>but</w:t>
      </w:r>
      <w:r>
        <w:t xml:space="preserve"> also include an update to the name of the Cairns Penny Bank Limited to reflect its current name, the </w:t>
      </w:r>
      <w:r w:rsidRPr="00645F27">
        <w:t>Cairns Penny Savings &amp; Loans Limited</w:t>
      </w:r>
      <w:r>
        <w:t>.  Paragraph (b) extends the definition to also include Australian authorised deposit-taking institutions (ADIs) listed as Australian-owned banks that satisfy a three element test:</w:t>
      </w:r>
    </w:p>
    <w:p w:rsidR="00855237" w:rsidRDefault="00855237" w:rsidP="002D7072">
      <w:pPr>
        <w:tabs>
          <w:tab w:val="left" w:pos="1701"/>
          <w:tab w:val="right" w:pos="9072"/>
        </w:tabs>
        <w:spacing w:line="240" w:lineRule="exact"/>
        <w:ind w:right="91"/>
      </w:pPr>
    </w:p>
    <w:p w:rsidR="002D7072" w:rsidRPr="00201153" w:rsidRDefault="0025211A" w:rsidP="008C6A6C">
      <w:pPr>
        <w:pStyle w:val="Bullet"/>
        <w:rPr>
          <w:rStyle w:val="Emphasis"/>
          <w:i w:val="0"/>
          <w:szCs w:val="24"/>
        </w:rPr>
      </w:pPr>
      <w:r>
        <w:lastRenderedPageBreak/>
        <w:t>t</w:t>
      </w:r>
      <w:r w:rsidR="002D7072">
        <w:t xml:space="preserve">he </w:t>
      </w:r>
      <w:r w:rsidR="002D7072" w:rsidRPr="00201153">
        <w:rPr>
          <w:rStyle w:val="Emphasis"/>
          <w:i w:val="0"/>
          <w:szCs w:val="24"/>
        </w:rPr>
        <w:t xml:space="preserve">Australian ADI </w:t>
      </w:r>
      <w:r w:rsidR="00F25066">
        <w:rPr>
          <w:rStyle w:val="Emphasis"/>
          <w:i w:val="0"/>
          <w:szCs w:val="24"/>
        </w:rPr>
        <w:t xml:space="preserve">must </w:t>
      </w:r>
      <w:r w:rsidR="00971962">
        <w:rPr>
          <w:rStyle w:val="Emphasis"/>
          <w:i w:val="0"/>
          <w:szCs w:val="24"/>
        </w:rPr>
        <w:t xml:space="preserve">have </w:t>
      </w:r>
      <w:r w:rsidR="00F25066">
        <w:rPr>
          <w:rStyle w:val="Emphasis"/>
          <w:i w:val="0"/>
          <w:szCs w:val="24"/>
        </w:rPr>
        <w:t>be</w:t>
      </w:r>
      <w:r w:rsidR="00971962">
        <w:rPr>
          <w:rStyle w:val="Emphasis"/>
          <w:i w:val="0"/>
          <w:szCs w:val="24"/>
        </w:rPr>
        <w:t>en</w:t>
      </w:r>
      <w:r w:rsidR="00F25066">
        <w:rPr>
          <w:rStyle w:val="Emphasis"/>
          <w:i w:val="0"/>
          <w:szCs w:val="24"/>
        </w:rPr>
        <w:t xml:space="preserve"> </w:t>
      </w:r>
      <w:r w:rsidR="002D7072" w:rsidRPr="00201153">
        <w:rPr>
          <w:rStyle w:val="Emphasis"/>
          <w:i w:val="0"/>
          <w:szCs w:val="24"/>
        </w:rPr>
        <w:t>listed on the APRA website as a</w:t>
      </w:r>
      <w:r w:rsidR="00971962">
        <w:rPr>
          <w:rStyle w:val="Emphasis"/>
          <w:i w:val="0"/>
          <w:szCs w:val="24"/>
        </w:rPr>
        <w:t xml:space="preserve"> credit union </w:t>
      </w:r>
      <w:r w:rsidR="002D7072" w:rsidRPr="00201153">
        <w:rPr>
          <w:rStyle w:val="Emphasis"/>
          <w:i w:val="0"/>
          <w:szCs w:val="24"/>
        </w:rPr>
        <w:t>on or before 1 July 2011</w:t>
      </w:r>
      <w:r w:rsidR="00241127">
        <w:rPr>
          <w:rStyle w:val="Emphasis"/>
          <w:i w:val="0"/>
          <w:szCs w:val="24"/>
        </w:rPr>
        <w:t>;</w:t>
      </w:r>
    </w:p>
    <w:p w:rsidR="00AA10FE" w:rsidRPr="00AA10FE" w:rsidRDefault="00AA10FE" w:rsidP="002D7072">
      <w:pPr>
        <w:tabs>
          <w:tab w:val="left" w:pos="1701"/>
          <w:tab w:val="right" w:pos="9072"/>
        </w:tabs>
        <w:spacing w:line="240" w:lineRule="exact"/>
        <w:ind w:right="91"/>
        <w:rPr>
          <w:sz w:val="20"/>
        </w:rPr>
      </w:pPr>
    </w:p>
    <w:p w:rsidR="00232EE1" w:rsidRDefault="00AA10FE" w:rsidP="008C6A6C">
      <w:pPr>
        <w:pStyle w:val="Bullet"/>
      </w:pPr>
      <w:r>
        <w:t>the bank (which was previously a credit union) must retain</w:t>
      </w:r>
      <w:r w:rsidR="00D6279A">
        <w:t xml:space="preserve"> its</w:t>
      </w:r>
      <w:r>
        <w:t xml:space="preserve"> mutual</w:t>
      </w:r>
      <w:r w:rsidR="00D6279A">
        <w:t xml:space="preserve"> structure</w:t>
      </w:r>
      <w:r w:rsidR="00232EE1">
        <w:t>.</w:t>
      </w:r>
      <w:r w:rsidR="00B338E0">
        <w:t xml:space="preserve"> </w:t>
      </w:r>
      <w:r w:rsidR="00D6279A">
        <w:t xml:space="preserve"> </w:t>
      </w:r>
      <w:r w:rsidR="00B338E0">
        <w:t>The Australian Securities and Investment</w:t>
      </w:r>
      <w:r w:rsidR="0087465B">
        <w:t>s</w:t>
      </w:r>
      <w:r w:rsidR="00B338E0">
        <w:t xml:space="preserve"> Commission’s Regulatory Guide </w:t>
      </w:r>
      <w:r w:rsidR="00BB339C">
        <w:t>147 provides assistance in determining a company’s mutuality</w:t>
      </w:r>
      <w:r w:rsidR="00241127">
        <w:t>; and</w:t>
      </w:r>
    </w:p>
    <w:p w:rsidR="00232EE1" w:rsidRDefault="00232EE1" w:rsidP="002D7072">
      <w:pPr>
        <w:tabs>
          <w:tab w:val="left" w:pos="1701"/>
          <w:tab w:val="right" w:pos="9072"/>
        </w:tabs>
        <w:spacing w:line="240" w:lineRule="exact"/>
        <w:ind w:right="91"/>
      </w:pPr>
    </w:p>
    <w:p w:rsidR="008E4A06" w:rsidRDefault="00232EE1" w:rsidP="008C6A6C">
      <w:pPr>
        <w:pStyle w:val="Bullet"/>
        <w:rPr>
          <w:rStyle w:val="Emphasis"/>
          <w:i w:val="0"/>
          <w:szCs w:val="24"/>
        </w:rPr>
      </w:pPr>
      <w:r>
        <w:t>the bank</w:t>
      </w:r>
      <w:r w:rsidR="00AA10FE">
        <w:t xml:space="preserve"> must have been </w:t>
      </w:r>
      <w:r w:rsidR="00AA10FE" w:rsidRPr="00201153">
        <w:rPr>
          <w:rStyle w:val="Emphasis"/>
          <w:i w:val="0"/>
          <w:szCs w:val="24"/>
        </w:rPr>
        <w:t>listed as a credit union on the APRA website</w:t>
      </w:r>
      <w:r w:rsidR="001E5882">
        <w:rPr>
          <w:rStyle w:val="Emphasis"/>
          <w:i w:val="0"/>
          <w:szCs w:val="24"/>
        </w:rPr>
        <w:t xml:space="preserve"> at all times in the period between 1 July 2011 and the time it was listed on the APRA website as an Australian-owned bank.</w:t>
      </w:r>
      <w:r w:rsidR="00AA10FE" w:rsidRPr="00201153">
        <w:rPr>
          <w:rStyle w:val="Emphasis"/>
          <w:i w:val="0"/>
          <w:szCs w:val="24"/>
        </w:rPr>
        <w:t xml:space="preserve"> </w:t>
      </w:r>
    </w:p>
    <w:p w:rsidR="008E4A06" w:rsidRDefault="008E4A06" w:rsidP="002D7072">
      <w:pPr>
        <w:tabs>
          <w:tab w:val="left" w:pos="1701"/>
          <w:tab w:val="right" w:pos="9072"/>
        </w:tabs>
        <w:spacing w:line="240" w:lineRule="exact"/>
        <w:ind w:right="91"/>
        <w:rPr>
          <w:rStyle w:val="Emphasis"/>
          <w:i w:val="0"/>
          <w:szCs w:val="24"/>
        </w:rPr>
      </w:pPr>
    </w:p>
    <w:p w:rsidR="005C315B" w:rsidRDefault="006568A0">
      <w:pPr>
        <w:tabs>
          <w:tab w:val="right" w:pos="9072"/>
        </w:tabs>
        <w:ind w:right="91"/>
      </w:pPr>
      <w:r>
        <w:t>The Regulation ensure</w:t>
      </w:r>
      <w:r w:rsidR="00C619BB">
        <w:t>s</w:t>
      </w:r>
      <w:r>
        <w:t xml:space="preserve"> that the RITC concession is retained for any institution listed on the APRA website at 1 July 2011 as a ‘credit union’</w:t>
      </w:r>
      <w:r w:rsidR="00DF2FA4">
        <w:t xml:space="preserve"> which subsequently rebrands as a ‘bank’</w:t>
      </w:r>
      <w:r>
        <w:t>.</w:t>
      </w:r>
    </w:p>
    <w:p w:rsidR="00E01F8A" w:rsidRDefault="00E01F8A">
      <w:pPr>
        <w:tabs>
          <w:tab w:val="right" w:pos="9072"/>
        </w:tabs>
        <w:ind w:right="91"/>
      </w:pPr>
    </w:p>
    <w:p w:rsidR="00F96910" w:rsidRDefault="00F96910">
      <w:pPr>
        <w:tabs>
          <w:tab w:val="right" w:pos="9072"/>
        </w:tabs>
        <w:ind w:right="91"/>
      </w:pPr>
      <w:r>
        <w:t>Examples of how the new definition would operate, and a list of credit unions that were listed on the APRA website at 1 </w:t>
      </w:r>
      <w:r w:rsidRPr="0070734A">
        <w:t>July 2011</w:t>
      </w:r>
      <w:r>
        <w:t xml:space="preserve">, are set out in the </w:t>
      </w:r>
      <w:r w:rsidRPr="008C6A6C">
        <w:rPr>
          <w:u w:val="single"/>
        </w:rPr>
        <w:t>Attachment.</w:t>
      </w:r>
    </w:p>
    <w:p w:rsidR="006568A0" w:rsidRPr="00370E92" w:rsidRDefault="006568A0">
      <w:pPr>
        <w:tabs>
          <w:tab w:val="right" w:pos="9072"/>
        </w:tabs>
        <w:ind w:right="91"/>
        <w:rPr>
          <w:sz w:val="20"/>
        </w:rPr>
      </w:pPr>
    </w:p>
    <w:p w:rsidR="00582A03" w:rsidRDefault="00582A03" w:rsidP="00582A03">
      <w:pPr>
        <w:tabs>
          <w:tab w:val="left" w:pos="1701"/>
          <w:tab w:val="right" w:pos="9072"/>
        </w:tabs>
        <w:spacing w:line="240" w:lineRule="exact"/>
        <w:ind w:right="91"/>
      </w:pPr>
      <w:r w:rsidRPr="00582A03">
        <w:t>The Act specifies no conditions that need to be met before the power to make the Regulation may be exercised.</w:t>
      </w:r>
    </w:p>
    <w:p w:rsidR="00A85A7F" w:rsidRDefault="00A85A7F" w:rsidP="00582A03">
      <w:pPr>
        <w:tabs>
          <w:tab w:val="left" w:pos="1701"/>
          <w:tab w:val="right" w:pos="9072"/>
        </w:tabs>
        <w:spacing w:line="240" w:lineRule="exact"/>
        <w:ind w:right="91"/>
      </w:pPr>
    </w:p>
    <w:p w:rsidR="00A85A7F" w:rsidRPr="00A85A7F" w:rsidRDefault="00A85A7F" w:rsidP="00A85A7F">
      <w:pPr>
        <w:tabs>
          <w:tab w:val="left" w:pos="1701"/>
          <w:tab w:val="right" w:pos="9072"/>
        </w:tabs>
        <w:spacing w:line="240" w:lineRule="exact"/>
        <w:ind w:right="91"/>
      </w:pPr>
      <w:r w:rsidRPr="00A85A7F">
        <w:t>A preliminary assessment of the compliance costs of the amending Regulation found the expected compliance costs for taxpayers to be low.  Accordingly, a Regulation Impact Statement was not required and has not been prepared.</w:t>
      </w:r>
    </w:p>
    <w:p w:rsidR="00A85A7F" w:rsidRPr="00A85A7F" w:rsidRDefault="00A85A7F" w:rsidP="00A85A7F">
      <w:pPr>
        <w:tabs>
          <w:tab w:val="left" w:pos="1701"/>
          <w:tab w:val="right" w:pos="9072"/>
        </w:tabs>
        <w:spacing w:line="240" w:lineRule="exact"/>
        <w:ind w:right="91"/>
      </w:pPr>
    </w:p>
    <w:p w:rsidR="00A85A7F" w:rsidRPr="00582A03" w:rsidRDefault="00A85A7F" w:rsidP="00582A03">
      <w:pPr>
        <w:tabs>
          <w:tab w:val="left" w:pos="1701"/>
          <w:tab w:val="right" w:pos="9072"/>
        </w:tabs>
        <w:spacing w:line="240" w:lineRule="exact"/>
        <w:ind w:right="91"/>
      </w:pPr>
      <w:r w:rsidRPr="00A85A7F">
        <w:t xml:space="preserve">Consultation on </w:t>
      </w:r>
      <w:r>
        <w:t xml:space="preserve">an </w:t>
      </w:r>
      <w:r w:rsidRPr="00A85A7F">
        <w:t xml:space="preserve">exposure draft regulation was conducted publicly via the Treasury website between 13 and </w:t>
      </w:r>
      <w:r>
        <w:t>27 June</w:t>
      </w:r>
      <w:r w:rsidRPr="00A85A7F">
        <w:t xml:space="preserve"> 2012.  In addition, targeted consultation </w:t>
      </w:r>
      <w:r>
        <w:t>was</w:t>
      </w:r>
      <w:r w:rsidRPr="00A85A7F">
        <w:t xml:space="preserve"> undertaken with </w:t>
      </w:r>
      <w:r>
        <w:t>Abacus in developing the Regulation</w:t>
      </w:r>
      <w:r w:rsidRPr="00A85A7F">
        <w:t>.</w:t>
      </w:r>
      <w:r w:rsidR="0050053C">
        <w:t xml:space="preserve">  Treasury also received a confidential submission in relation to the Regulation and confidential discussions were held with those interested parties.</w:t>
      </w:r>
      <w:r w:rsidRPr="00A85A7F">
        <w:t xml:space="preserve">  A consultation summary is available on the Treasury website.</w:t>
      </w:r>
    </w:p>
    <w:p w:rsidR="00582A03" w:rsidRPr="00582A03" w:rsidRDefault="00582A03" w:rsidP="00582A03">
      <w:pPr>
        <w:tabs>
          <w:tab w:val="left" w:pos="1701"/>
          <w:tab w:val="right" w:pos="9072"/>
        </w:tabs>
        <w:spacing w:line="240" w:lineRule="exact"/>
        <w:ind w:right="91"/>
      </w:pPr>
    </w:p>
    <w:p w:rsidR="00582A03" w:rsidRPr="00582A03" w:rsidRDefault="00582A03" w:rsidP="00582A03">
      <w:pPr>
        <w:tabs>
          <w:tab w:val="left" w:pos="1701"/>
          <w:tab w:val="right" w:pos="9072"/>
        </w:tabs>
        <w:spacing w:line="240" w:lineRule="exact"/>
        <w:ind w:right="91"/>
      </w:pPr>
      <w:r w:rsidRPr="00582A03">
        <w:t xml:space="preserve">The Regulation </w:t>
      </w:r>
      <w:r w:rsidR="001F2545">
        <w:t>is</w:t>
      </w:r>
      <w:r w:rsidRPr="00582A03">
        <w:t xml:space="preserve"> a legislative instrument for the purposes of the </w:t>
      </w:r>
      <w:r w:rsidRPr="00582A03">
        <w:rPr>
          <w:i/>
        </w:rPr>
        <w:t>Legislative Instruments Act 2003</w:t>
      </w:r>
      <w:r w:rsidRPr="00582A03">
        <w:t>.</w:t>
      </w:r>
    </w:p>
    <w:p w:rsidR="00582A03" w:rsidRPr="00582A03" w:rsidRDefault="00582A03" w:rsidP="00582A03">
      <w:pPr>
        <w:tabs>
          <w:tab w:val="left" w:pos="1701"/>
          <w:tab w:val="right" w:pos="9072"/>
        </w:tabs>
        <w:spacing w:line="240" w:lineRule="exact"/>
        <w:ind w:right="91"/>
      </w:pPr>
    </w:p>
    <w:p w:rsidR="00582A03" w:rsidRPr="00582A03" w:rsidRDefault="00582A03" w:rsidP="00582A03">
      <w:pPr>
        <w:tabs>
          <w:tab w:val="left" w:pos="1701"/>
          <w:tab w:val="right" w:pos="9072"/>
        </w:tabs>
        <w:spacing w:line="240" w:lineRule="exact"/>
        <w:ind w:right="91"/>
      </w:pPr>
      <w:r w:rsidRPr="00582A03">
        <w:t xml:space="preserve">The Regulation </w:t>
      </w:r>
      <w:r w:rsidR="00A85A7F">
        <w:t>is</w:t>
      </w:r>
      <w:r w:rsidR="00A347F5">
        <w:t xml:space="preserve"> taken to have commenced </w:t>
      </w:r>
      <w:r w:rsidR="00241127">
        <w:t xml:space="preserve">on </w:t>
      </w:r>
      <w:r w:rsidR="0087465B">
        <w:t>1 July 2011</w:t>
      </w:r>
      <w:r w:rsidR="00773874">
        <w:t>.</w:t>
      </w:r>
      <w:r w:rsidR="003844E5">
        <w:t xml:space="preserve"> </w:t>
      </w:r>
      <w:r w:rsidR="005F6B50">
        <w:t xml:space="preserve">The retrospective application does not cause detriment to any person or contravene subsection 12(2) of the </w:t>
      </w:r>
      <w:r w:rsidR="005F6B50">
        <w:rPr>
          <w:i/>
        </w:rPr>
        <w:t xml:space="preserve">Legislative Instruments Act 2003 </w:t>
      </w:r>
      <w:r w:rsidR="005F6B50">
        <w:t>(LIA)</w:t>
      </w:r>
      <w:r w:rsidR="005F6B50">
        <w:rPr>
          <w:i/>
          <w:iCs/>
        </w:rPr>
        <w:t>.</w:t>
      </w:r>
    </w:p>
    <w:p w:rsidR="005C315B" w:rsidRPr="00370E92" w:rsidRDefault="005C315B">
      <w:pPr>
        <w:tabs>
          <w:tab w:val="right" w:pos="9072"/>
        </w:tabs>
        <w:ind w:right="91"/>
        <w:rPr>
          <w:sz w:val="20"/>
        </w:rPr>
      </w:pPr>
    </w:p>
    <w:p w:rsidR="005C315B" w:rsidRDefault="00A32B49">
      <w:pPr>
        <w:tabs>
          <w:tab w:val="right" w:pos="8222"/>
        </w:tabs>
        <w:ind w:right="91"/>
      </w:pPr>
      <w:r>
        <w:tab/>
      </w:r>
    </w:p>
    <w:p w:rsidR="005C315B" w:rsidRPr="00370E92" w:rsidRDefault="005C315B">
      <w:pPr>
        <w:tabs>
          <w:tab w:val="right" w:pos="9072"/>
        </w:tabs>
        <w:ind w:right="91"/>
        <w:rPr>
          <w:sz w:val="20"/>
        </w:rPr>
      </w:pPr>
    </w:p>
    <w:p w:rsidR="007A3BBA" w:rsidRPr="0081137D" w:rsidRDefault="00A32B49" w:rsidP="005A7683">
      <w:pPr>
        <w:jc w:val="right"/>
        <w:rPr>
          <w:b/>
          <w:szCs w:val="24"/>
          <w:u w:val="single"/>
        </w:rPr>
      </w:pPr>
      <w:r>
        <w:rPr>
          <w:sz w:val="16"/>
        </w:rPr>
        <w:br w:type="page"/>
      </w:r>
      <w:r w:rsidR="007A3BBA" w:rsidRPr="0081137D">
        <w:rPr>
          <w:b/>
          <w:szCs w:val="24"/>
          <w:u w:val="single"/>
        </w:rPr>
        <w:lastRenderedPageBreak/>
        <w:t>ATTACHMENT</w:t>
      </w:r>
    </w:p>
    <w:p w:rsidR="007A3BBA" w:rsidRDefault="007A3BBA" w:rsidP="007A3BBA"/>
    <w:p w:rsidR="007A3BBA" w:rsidRPr="007D7D82" w:rsidRDefault="007A3BBA" w:rsidP="007A3BBA">
      <w:pPr>
        <w:rPr>
          <w:b/>
          <w:i/>
          <w:u w:val="single"/>
        </w:rPr>
      </w:pPr>
      <w:r w:rsidRPr="007D7D82">
        <w:rPr>
          <w:b/>
          <w:u w:val="single"/>
        </w:rPr>
        <w:t xml:space="preserve">Details of the </w:t>
      </w:r>
      <w:r w:rsidRPr="007A06A0">
        <w:rPr>
          <w:b/>
          <w:i/>
          <w:u w:val="single"/>
        </w:rPr>
        <w:t xml:space="preserve">A New Tax System (Goods and Services Tax) </w:t>
      </w:r>
      <w:r>
        <w:rPr>
          <w:b/>
          <w:i/>
          <w:u w:val="single"/>
        </w:rPr>
        <w:t xml:space="preserve">Amendment Regulation 2012 </w:t>
      </w:r>
      <w:r w:rsidR="00605E48">
        <w:rPr>
          <w:b/>
          <w:i/>
          <w:u w:val="single"/>
        </w:rPr>
        <w:t>(No. 4</w:t>
      </w:r>
      <w:r w:rsidRPr="007A06A0">
        <w:rPr>
          <w:b/>
          <w:i/>
          <w:u w:val="single"/>
        </w:rPr>
        <w:t>)</w:t>
      </w:r>
    </w:p>
    <w:p w:rsidR="007A3BBA" w:rsidRDefault="007A3BBA" w:rsidP="007A3BBA"/>
    <w:p w:rsidR="007A3BBA" w:rsidRPr="007D7D82" w:rsidRDefault="00241127" w:rsidP="007A3BBA">
      <w:pPr>
        <w:rPr>
          <w:u w:val="single"/>
        </w:rPr>
      </w:pPr>
      <w:r>
        <w:rPr>
          <w:u w:val="single"/>
        </w:rPr>
        <w:t xml:space="preserve">Section </w:t>
      </w:r>
      <w:r w:rsidR="000D5EE4">
        <w:rPr>
          <w:u w:val="single"/>
        </w:rPr>
        <w:t>1 – Name of Regulation</w:t>
      </w:r>
    </w:p>
    <w:p w:rsidR="007A3BBA" w:rsidRDefault="007A3BBA" w:rsidP="007A3BBA"/>
    <w:p w:rsidR="007A3BBA" w:rsidRPr="00CC632F" w:rsidRDefault="007A3BBA" w:rsidP="007A3BBA">
      <w:r>
        <w:t xml:space="preserve">This </w:t>
      </w:r>
      <w:r w:rsidR="00A06312">
        <w:t xml:space="preserve">section </w:t>
      </w:r>
      <w:r>
        <w:t>provide</w:t>
      </w:r>
      <w:r w:rsidR="00E90B71">
        <w:t>s</w:t>
      </w:r>
      <w:r>
        <w:t xml:space="preserve"> that the name of the Regulation is the </w:t>
      </w:r>
      <w:r w:rsidRPr="007A06A0">
        <w:rPr>
          <w:i/>
        </w:rPr>
        <w:t xml:space="preserve">A New Tax System (Goods and Services Tax) </w:t>
      </w:r>
      <w:r>
        <w:rPr>
          <w:i/>
        </w:rPr>
        <w:t xml:space="preserve">Amendment Regulation 2012 </w:t>
      </w:r>
      <w:r w:rsidR="00605E48">
        <w:rPr>
          <w:i/>
        </w:rPr>
        <w:t>(No. 4</w:t>
      </w:r>
      <w:r w:rsidRPr="007A06A0">
        <w:rPr>
          <w:i/>
        </w:rPr>
        <w:t>)</w:t>
      </w:r>
      <w:r>
        <w:t>.</w:t>
      </w:r>
    </w:p>
    <w:p w:rsidR="007A3BBA" w:rsidRDefault="007A3BBA" w:rsidP="007A3BBA"/>
    <w:p w:rsidR="007A3BBA" w:rsidRPr="007D7D82" w:rsidRDefault="00241127" w:rsidP="007A3BBA">
      <w:pPr>
        <w:rPr>
          <w:u w:val="single"/>
        </w:rPr>
      </w:pPr>
      <w:r>
        <w:rPr>
          <w:u w:val="single"/>
        </w:rPr>
        <w:t xml:space="preserve">Section </w:t>
      </w:r>
      <w:r w:rsidR="007A3BBA">
        <w:rPr>
          <w:u w:val="single"/>
        </w:rPr>
        <w:t>2</w:t>
      </w:r>
      <w:r w:rsidR="007A3BBA" w:rsidRPr="007D7D82">
        <w:rPr>
          <w:u w:val="single"/>
        </w:rPr>
        <w:t xml:space="preserve"> – </w:t>
      </w:r>
      <w:r w:rsidR="007A3BBA">
        <w:rPr>
          <w:u w:val="single"/>
        </w:rPr>
        <w:t>Commencement</w:t>
      </w:r>
    </w:p>
    <w:p w:rsidR="007A3BBA" w:rsidRDefault="007A3BBA" w:rsidP="007A3BBA"/>
    <w:p w:rsidR="007A3BBA" w:rsidRDefault="007A3BBA" w:rsidP="007A3BBA">
      <w:r w:rsidRPr="00474F18">
        <w:t xml:space="preserve">This </w:t>
      </w:r>
      <w:r w:rsidR="00A06312">
        <w:t xml:space="preserve">section </w:t>
      </w:r>
      <w:r>
        <w:t>provide</w:t>
      </w:r>
      <w:r w:rsidR="00E90B71">
        <w:t>s</w:t>
      </w:r>
      <w:r>
        <w:t xml:space="preserve"> that the Regulation </w:t>
      </w:r>
      <w:r w:rsidR="00241127">
        <w:t xml:space="preserve">is taken to have </w:t>
      </w:r>
      <w:r>
        <w:t>commence</w:t>
      </w:r>
      <w:r w:rsidR="00100FB3">
        <w:t>d</w:t>
      </w:r>
      <w:r>
        <w:t xml:space="preserve"> on 1 July 201</w:t>
      </w:r>
      <w:r w:rsidR="00100FB3">
        <w:t>1</w:t>
      </w:r>
      <w:r>
        <w:t>.</w:t>
      </w:r>
    </w:p>
    <w:p w:rsidR="007A3BBA" w:rsidRDefault="007A3BBA" w:rsidP="007A3BBA"/>
    <w:p w:rsidR="007A3BBA" w:rsidRPr="00474F18" w:rsidRDefault="00241127" w:rsidP="007A3BBA">
      <w:pPr>
        <w:rPr>
          <w:u w:val="single"/>
        </w:rPr>
      </w:pPr>
      <w:r>
        <w:rPr>
          <w:u w:val="single"/>
        </w:rPr>
        <w:t xml:space="preserve">Section </w:t>
      </w:r>
      <w:r w:rsidR="007A3BBA" w:rsidRPr="00474F18">
        <w:rPr>
          <w:u w:val="single"/>
        </w:rPr>
        <w:t xml:space="preserve">3 – Amendment of </w:t>
      </w:r>
      <w:r w:rsidR="007A3BBA" w:rsidRPr="007A06A0">
        <w:rPr>
          <w:i/>
          <w:u w:val="single"/>
        </w:rPr>
        <w:t>A New Tax System (Goods and Services Tax) Regulations 1999</w:t>
      </w:r>
    </w:p>
    <w:p w:rsidR="007A3BBA" w:rsidRDefault="007A3BBA" w:rsidP="007A3BBA"/>
    <w:p w:rsidR="007A3BBA" w:rsidRPr="00CC632F" w:rsidRDefault="007A3BBA" w:rsidP="007A3BBA">
      <w:r w:rsidRPr="00F35A39">
        <w:t xml:space="preserve">This </w:t>
      </w:r>
      <w:r w:rsidR="007C6D3E">
        <w:t>section</w:t>
      </w:r>
      <w:r w:rsidR="009619FE" w:rsidRPr="00F35A39">
        <w:t xml:space="preserve"> </w:t>
      </w:r>
      <w:r w:rsidR="000D5EE4">
        <w:t>provide</w:t>
      </w:r>
      <w:r w:rsidR="00E90B71">
        <w:t>s</w:t>
      </w:r>
      <w:r w:rsidR="000D5EE4">
        <w:t xml:space="preserve"> that the Regulation</w:t>
      </w:r>
      <w:r>
        <w:t xml:space="preserve"> amend</w:t>
      </w:r>
      <w:r w:rsidR="00E90B71">
        <w:t>s</w:t>
      </w:r>
      <w:r>
        <w:t xml:space="preserve"> the </w:t>
      </w:r>
      <w:r w:rsidRPr="007A06A0">
        <w:rPr>
          <w:i/>
        </w:rPr>
        <w:t>A New Tax System (Goods and Services Tax) Regulations 1999</w:t>
      </w:r>
      <w:r>
        <w:t xml:space="preserve"> (the Principal Regulations).</w:t>
      </w:r>
    </w:p>
    <w:p w:rsidR="007A3BBA" w:rsidRDefault="007A3BBA" w:rsidP="007A3BBA"/>
    <w:p w:rsidR="007A3BBA" w:rsidRPr="008C6A6C" w:rsidRDefault="00241127" w:rsidP="007A3BBA">
      <w:pPr>
        <w:rPr>
          <w:b/>
          <w:u w:val="single"/>
        </w:rPr>
      </w:pPr>
      <w:r w:rsidRPr="008C6A6C">
        <w:rPr>
          <w:b/>
          <w:u w:val="single"/>
        </w:rPr>
        <w:t xml:space="preserve">Schedule </w:t>
      </w:r>
      <w:r w:rsidR="007A3BBA" w:rsidRPr="008C6A6C">
        <w:rPr>
          <w:b/>
          <w:u w:val="single"/>
        </w:rPr>
        <w:t xml:space="preserve">1 – </w:t>
      </w:r>
      <w:r w:rsidRPr="008C6A6C">
        <w:rPr>
          <w:b/>
          <w:u w:val="single"/>
        </w:rPr>
        <w:t>Amendments</w:t>
      </w:r>
    </w:p>
    <w:p w:rsidR="007A3BBA" w:rsidRDefault="007A3BBA" w:rsidP="007A3BBA"/>
    <w:p w:rsidR="0050053C" w:rsidRDefault="0050053C" w:rsidP="0050053C">
      <w:r>
        <w:t>Item [1] insert</w:t>
      </w:r>
      <w:r w:rsidR="009B0880">
        <w:t>s</w:t>
      </w:r>
      <w:r>
        <w:t xml:space="preserve"> a new definition into the Dictionary to define ‘APRA’ as the </w:t>
      </w:r>
      <w:r w:rsidRPr="00001A0D">
        <w:t>Australian Prudential Regulation Authority</w:t>
      </w:r>
      <w:r>
        <w:t>.</w:t>
      </w:r>
    </w:p>
    <w:p w:rsidR="0050053C" w:rsidRDefault="0050053C" w:rsidP="0050053C"/>
    <w:p w:rsidR="0050053C" w:rsidRDefault="0050053C" w:rsidP="0050053C">
      <w:r>
        <w:t>Item [2] broaden</w:t>
      </w:r>
      <w:r w:rsidR="009B0880">
        <w:t>s</w:t>
      </w:r>
      <w:r>
        <w:t xml:space="preserve"> the existing definition of ‘credit union’ to also include Australian</w:t>
      </w:r>
      <w:r>
        <w:noBreakHyphen/>
        <w:t>owned banks which were listed on the APRA website as credit unions on or before 1 July 2011 and have retained their ownership structure, including mutuality.</w:t>
      </w:r>
    </w:p>
    <w:p w:rsidR="0050053C" w:rsidRDefault="0050053C" w:rsidP="0050053C"/>
    <w:p w:rsidR="0050053C" w:rsidRDefault="0050053C" w:rsidP="0050053C">
      <w:r>
        <w:t>Item [2] also update</w:t>
      </w:r>
      <w:r w:rsidR="009B0880">
        <w:t>s</w:t>
      </w:r>
      <w:r>
        <w:t xml:space="preserve"> the name of the Cairns Penny Bank Limited to its current name, the </w:t>
      </w:r>
      <w:r w:rsidRPr="00645F27">
        <w:t>Cairns Penny Savings &amp; Loans Limited</w:t>
      </w:r>
      <w:r>
        <w:t>.</w:t>
      </w:r>
    </w:p>
    <w:p w:rsidR="0050053C" w:rsidRDefault="0050053C" w:rsidP="0050053C"/>
    <w:p w:rsidR="0050053C" w:rsidRDefault="0050053C" w:rsidP="0050053C">
      <w:r>
        <w:t xml:space="preserve">The effect of the </w:t>
      </w:r>
      <w:r w:rsidR="009B0880">
        <w:t>amendment</w:t>
      </w:r>
      <w:r>
        <w:t xml:space="preserve"> </w:t>
      </w:r>
      <w:r w:rsidR="009B0880">
        <w:t xml:space="preserve">is </w:t>
      </w:r>
      <w:r>
        <w:t xml:space="preserve">that the reduced input </w:t>
      </w:r>
      <w:r w:rsidR="009B0880">
        <w:t>tax credit available under item </w:t>
      </w:r>
      <w:r>
        <w:t>16 in the table in subregulation 70</w:t>
      </w:r>
      <w:r>
        <w:noBreakHyphen/>
        <w:t xml:space="preserve">5.02(2) </w:t>
      </w:r>
      <w:r w:rsidR="00B52859">
        <w:t>is now</w:t>
      </w:r>
      <w:r>
        <w:t xml:space="preserve"> available to a broader range of </w:t>
      </w:r>
      <w:r w:rsidR="00413270">
        <w:t>institutions</w:t>
      </w:r>
      <w:r>
        <w:t xml:space="preserve"> covered by the definition.</w:t>
      </w:r>
    </w:p>
    <w:p w:rsidR="0050053C" w:rsidRDefault="0050053C" w:rsidP="0050053C"/>
    <w:p w:rsidR="00295A58" w:rsidRPr="0050053C" w:rsidRDefault="0050053C" w:rsidP="007A3BBA">
      <w:r>
        <w:t>Examples illustrating how item 16 applies following the amendments are set out below.</w:t>
      </w:r>
      <w:r w:rsidR="00295A58" w:rsidRPr="00295A58">
        <w:rPr>
          <w:b/>
        </w:rPr>
        <w:br/>
      </w:r>
    </w:p>
    <w:p w:rsidR="00300A3F" w:rsidRPr="0087465B" w:rsidRDefault="00300A3F" w:rsidP="00300A3F">
      <w:pPr>
        <w:ind w:left="720"/>
        <w:rPr>
          <w:i/>
          <w:szCs w:val="24"/>
        </w:rPr>
      </w:pPr>
      <w:r w:rsidRPr="0087465B">
        <w:rPr>
          <w:i/>
          <w:szCs w:val="24"/>
        </w:rPr>
        <w:t xml:space="preserve">Example </w:t>
      </w:r>
      <w:r w:rsidR="00291E34" w:rsidRPr="0087465B">
        <w:rPr>
          <w:i/>
          <w:szCs w:val="24"/>
        </w:rPr>
        <w:fldChar w:fldCharType="begin"/>
      </w:r>
      <w:r w:rsidRPr="0087465B">
        <w:rPr>
          <w:i/>
          <w:szCs w:val="24"/>
        </w:rPr>
        <w:instrText xml:space="preserve"> AUTONUM  \s : </w:instrText>
      </w:r>
      <w:r w:rsidR="00291E34" w:rsidRPr="0087465B">
        <w:rPr>
          <w:i/>
          <w:szCs w:val="24"/>
        </w:rPr>
        <w:fldChar w:fldCharType="end"/>
      </w:r>
      <w:r w:rsidR="00965AB4" w:rsidRPr="0087465B">
        <w:rPr>
          <w:i/>
          <w:szCs w:val="24"/>
        </w:rPr>
        <w:t xml:space="preserve"> existing credit union rebranding as a bank after 1 July 2011</w:t>
      </w:r>
    </w:p>
    <w:p w:rsidR="00300A3F" w:rsidRPr="00300A3F" w:rsidRDefault="00300A3F" w:rsidP="00300A3F">
      <w:pPr>
        <w:ind w:left="720"/>
        <w:rPr>
          <w:sz w:val="22"/>
          <w:szCs w:val="22"/>
        </w:rPr>
      </w:pPr>
    </w:p>
    <w:p w:rsidR="00300A3F" w:rsidRDefault="00300A3F" w:rsidP="00300A3F">
      <w:pPr>
        <w:ind w:left="720"/>
        <w:rPr>
          <w:sz w:val="22"/>
          <w:szCs w:val="22"/>
        </w:rPr>
      </w:pPr>
      <w:r w:rsidRPr="00300A3F">
        <w:rPr>
          <w:sz w:val="22"/>
          <w:szCs w:val="22"/>
        </w:rPr>
        <w:t xml:space="preserve">Alligator Aggregator is </w:t>
      </w:r>
      <w:r w:rsidR="00CC1FFE">
        <w:rPr>
          <w:sz w:val="22"/>
          <w:szCs w:val="22"/>
        </w:rPr>
        <w:t xml:space="preserve">wholly </w:t>
      </w:r>
      <w:r w:rsidRPr="00300A3F">
        <w:rPr>
          <w:sz w:val="22"/>
          <w:szCs w:val="22"/>
        </w:rPr>
        <w:t>owned by Bandicoots Credit Union</w:t>
      </w:r>
      <w:r>
        <w:rPr>
          <w:sz w:val="22"/>
          <w:szCs w:val="22"/>
        </w:rPr>
        <w:t>, Caterpillar Credit Union and Chameleon Credit Union.  Alligator makes taxable supplies of a number of services</w:t>
      </w:r>
      <w:r w:rsidR="008310EB">
        <w:rPr>
          <w:sz w:val="22"/>
          <w:szCs w:val="22"/>
        </w:rPr>
        <w:t>,</w:t>
      </w:r>
      <w:r>
        <w:rPr>
          <w:sz w:val="22"/>
          <w:szCs w:val="22"/>
        </w:rPr>
        <w:t xml:space="preserve"> </w:t>
      </w:r>
      <w:r w:rsidR="008310EB">
        <w:rPr>
          <w:sz w:val="22"/>
          <w:szCs w:val="22"/>
        </w:rPr>
        <w:t xml:space="preserve">including data processing and IT services </w:t>
      </w:r>
      <w:r>
        <w:rPr>
          <w:sz w:val="22"/>
          <w:szCs w:val="22"/>
        </w:rPr>
        <w:t>to credit unions</w:t>
      </w:r>
      <w:r w:rsidR="00232F6A">
        <w:rPr>
          <w:sz w:val="22"/>
          <w:szCs w:val="22"/>
        </w:rPr>
        <w:t>.</w:t>
      </w:r>
    </w:p>
    <w:p w:rsidR="00300A3F" w:rsidRDefault="00300A3F" w:rsidP="00300A3F">
      <w:pPr>
        <w:ind w:left="720"/>
        <w:rPr>
          <w:sz w:val="22"/>
          <w:szCs w:val="22"/>
        </w:rPr>
      </w:pPr>
    </w:p>
    <w:p w:rsidR="00300A3F" w:rsidRDefault="00300A3F" w:rsidP="00300A3F">
      <w:pPr>
        <w:ind w:left="720"/>
        <w:rPr>
          <w:sz w:val="22"/>
          <w:szCs w:val="22"/>
        </w:rPr>
      </w:pPr>
      <w:r>
        <w:rPr>
          <w:sz w:val="22"/>
          <w:szCs w:val="22"/>
        </w:rPr>
        <w:t xml:space="preserve">Under the existing Regulations, the acquisition of these services by Bandicoots, Caterpillar and Chameleon </w:t>
      </w:r>
      <w:r w:rsidR="008834BE">
        <w:rPr>
          <w:sz w:val="22"/>
          <w:szCs w:val="22"/>
        </w:rPr>
        <w:t>are reduced credit acquisitions</w:t>
      </w:r>
      <w:r w:rsidR="00C71986">
        <w:rPr>
          <w:sz w:val="22"/>
          <w:szCs w:val="22"/>
        </w:rPr>
        <w:t xml:space="preserve"> </w:t>
      </w:r>
      <w:r>
        <w:rPr>
          <w:sz w:val="22"/>
          <w:szCs w:val="22"/>
        </w:rPr>
        <w:t xml:space="preserve">under item 16 of the table in subregulation 70-5.02(2) </w:t>
      </w:r>
      <w:r w:rsidR="008310EB">
        <w:rPr>
          <w:sz w:val="22"/>
          <w:szCs w:val="22"/>
        </w:rPr>
        <w:t>which</w:t>
      </w:r>
      <w:r>
        <w:rPr>
          <w:sz w:val="22"/>
          <w:szCs w:val="22"/>
        </w:rPr>
        <w:t xml:space="preserve"> give</w:t>
      </w:r>
      <w:r w:rsidR="00241127">
        <w:rPr>
          <w:sz w:val="22"/>
          <w:szCs w:val="22"/>
        </w:rPr>
        <w:t>s</w:t>
      </w:r>
      <w:r>
        <w:rPr>
          <w:sz w:val="22"/>
          <w:szCs w:val="22"/>
        </w:rPr>
        <w:t xml:space="preserve"> rise to an entitlement to a reduced input tax credit</w:t>
      </w:r>
      <w:r w:rsidR="00FB0C3E">
        <w:rPr>
          <w:sz w:val="22"/>
          <w:szCs w:val="22"/>
        </w:rPr>
        <w:t xml:space="preserve"> (RITC)</w:t>
      </w:r>
      <w:r>
        <w:rPr>
          <w:sz w:val="22"/>
          <w:szCs w:val="22"/>
        </w:rPr>
        <w:t>.</w:t>
      </w:r>
    </w:p>
    <w:p w:rsidR="00651227" w:rsidRDefault="00651227" w:rsidP="00300A3F">
      <w:pPr>
        <w:ind w:left="720"/>
        <w:rPr>
          <w:sz w:val="22"/>
          <w:szCs w:val="22"/>
        </w:rPr>
      </w:pPr>
    </w:p>
    <w:p w:rsidR="00651227" w:rsidRDefault="008310EB" w:rsidP="00300A3F">
      <w:pPr>
        <w:ind w:left="720"/>
        <w:rPr>
          <w:sz w:val="22"/>
          <w:szCs w:val="22"/>
        </w:rPr>
      </w:pPr>
      <w:r>
        <w:rPr>
          <w:sz w:val="22"/>
          <w:szCs w:val="22"/>
        </w:rPr>
        <w:lastRenderedPageBreak/>
        <w:t xml:space="preserve">On </w:t>
      </w:r>
      <w:r w:rsidR="00EB10BA">
        <w:rPr>
          <w:sz w:val="22"/>
          <w:szCs w:val="22"/>
        </w:rPr>
        <w:t>1 October 2011</w:t>
      </w:r>
      <w:r>
        <w:rPr>
          <w:sz w:val="22"/>
          <w:szCs w:val="22"/>
        </w:rPr>
        <w:t>, APRA approves Bandicoots Credit Union’s application to rebrand as Bandicoots Bank.  Bandicoots does not change its ownership structure, and its members remain the only shareholders.</w:t>
      </w:r>
    </w:p>
    <w:p w:rsidR="008310EB" w:rsidRDefault="008310EB" w:rsidP="00300A3F">
      <w:pPr>
        <w:ind w:left="720"/>
        <w:rPr>
          <w:sz w:val="22"/>
          <w:szCs w:val="22"/>
        </w:rPr>
      </w:pPr>
    </w:p>
    <w:p w:rsidR="008310EB" w:rsidRDefault="008310EB" w:rsidP="00300A3F">
      <w:pPr>
        <w:ind w:left="720"/>
        <w:rPr>
          <w:sz w:val="22"/>
          <w:szCs w:val="22"/>
        </w:rPr>
      </w:pPr>
      <w:r>
        <w:rPr>
          <w:sz w:val="22"/>
          <w:szCs w:val="22"/>
        </w:rPr>
        <w:t>Following APRA’s approval, Bandicoots is removed from the list of credit unions regulated by APRA, and is added to the list of Australian owned banks regulated by APRA.</w:t>
      </w:r>
    </w:p>
    <w:p w:rsidR="008310EB" w:rsidRDefault="008310EB" w:rsidP="00300A3F">
      <w:pPr>
        <w:ind w:left="720"/>
        <w:rPr>
          <w:sz w:val="22"/>
          <w:szCs w:val="22"/>
        </w:rPr>
      </w:pPr>
    </w:p>
    <w:p w:rsidR="008310EB" w:rsidRDefault="008310EB" w:rsidP="00300A3F">
      <w:pPr>
        <w:ind w:left="720"/>
        <w:rPr>
          <w:sz w:val="22"/>
          <w:szCs w:val="22"/>
        </w:rPr>
      </w:pPr>
      <w:r>
        <w:rPr>
          <w:sz w:val="22"/>
          <w:szCs w:val="22"/>
        </w:rPr>
        <w:t xml:space="preserve">As a result, from </w:t>
      </w:r>
      <w:r w:rsidR="00EB10BA">
        <w:rPr>
          <w:sz w:val="22"/>
          <w:szCs w:val="22"/>
        </w:rPr>
        <w:t>1 October</w:t>
      </w:r>
      <w:r>
        <w:rPr>
          <w:sz w:val="22"/>
          <w:szCs w:val="22"/>
        </w:rPr>
        <w:t xml:space="preserve"> 2011, Bandicoots is no longer a credit union for the purposes of item 16 and cannot claim any RITCs for acquisitions under that item.  Any acquisitions made from Alligator Aggregator by Caterpillar and Chameleon will also no longer be </w:t>
      </w:r>
      <w:r w:rsidR="00C71986">
        <w:rPr>
          <w:sz w:val="22"/>
          <w:szCs w:val="22"/>
        </w:rPr>
        <w:t xml:space="preserve">a </w:t>
      </w:r>
      <w:r w:rsidR="00ED4B5E">
        <w:rPr>
          <w:sz w:val="22"/>
          <w:szCs w:val="22"/>
        </w:rPr>
        <w:t xml:space="preserve">reduced credit acquisition </w:t>
      </w:r>
      <w:r>
        <w:rPr>
          <w:sz w:val="22"/>
          <w:szCs w:val="22"/>
        </w:rPr>
        <w:t>under item 16 because Alligator is no longer wholly owned by credit unions.</w:t>
      </w:r>
    </w:p>
    <w:p w:rsidR="008310EB" w:rsidRDefault="008310EB" w:rsidP="00300A3F">
      <w:pPr>
        <w:ind w:left="720"/>
        <w:rPr>
          <w:sz w:val="22"/>
          <w:szCs w:val="22"/>
        </w:rPr>
      </w:pPr>
    </w:p>
    <w:p w:rsidR="008310EB" w:rsidRDefault="008310EB" w:rsidP="00300A3F">
      <w:pPr>
        <w:ind w:left="720"/>
        <w:rPr>
          <w:sz w:val="22"/>
          <w:szCs w:val="22"/>
        </w:rPr>
      </w:pPr>
      <w:r>
        <w:rPr>
          <w:sz w:val="22"/>
          <w:szCs w:val="22"/>
        </w:rPr>
        <w:t xml:space="preserve">To the extent that the acquisitions are covered by another </w:t>
      </w:r>
      <w:r w:rsidR="00ED4B5E">
        <w:rPr>
          <w:sz w:val="22"/>
          <w:szCs w:val="22"/>
        </w:rPr>
        <w:t xml:space="preserve">reduced credit acquisition </w:t>
      </w:r>
      <w:r>
        <w:rPr>
          <w:sz w:val="22"/>
          <w:szCs w:val="22"/>
        </w:rPr>
        <w:t xml:space="preserve">item, RITCs may still be claimed. </w:t>
      </w:r>
    </w:p>
    <w:p w:rsidR="008310EB" w:rsidRDefault="008310EB" w:rsidP="00300A3F">
      <w:pPr>
        <w:ind w:left="720"/>
        <w:rPr>
          <w:sz w:val="22"/>
          <w:szCs w:val="22"/>
        </w:rPr>
      </w:pPr>
    </w:p>
    <w:p w:rsidR="008310EB" w:rsidRDefault="008310EB" w:rsidP="00300A3F">
      <w:pPr>
        <w:ind w:left="720"/>
        <w:rPr>
          <w:sz w:val="22"/>
          <w:szCs w:val="22"/>
        </w:rPr>
      </w:pPr>
      <w:r>
        <w:rPr>
          <w:sz w:val="22"/>
          <w:szCs w:val="22"/>
        </w:rPr>
        <w:t>Bandicoots does not claim any RITCs for acquisitions made from Alligator on its GST return for the quarterly tax peri</w:t>
      </w:r>
      <w:r w:rsidR="00EB10BA">
        <w:rPr>
          <w:sz w:val="22"/>
          <w:szCs w:val="22"/>
        </w:rPr>
        <w:t>od ending 31 Decem</w:t>
      </w:r>
      <w:r w:rsidR="00FF2F47">
        <w:rPr>
          <w:sz w:val="22"/>
          <w:szCs w:val="22"/>
        </w:rPr>
        <w:t>ber 2011, or any tax periods after that.</w:t>
      </w:r>
    </w:p>
    <w:p w:rsidR="00FF2F47" w:rsidRDefault="00FF2F47" w:rsidP="001130B9">
      <w:pPr>
        <w:ind w:left="720"/>
        <w:rPr>
          <w:sz w:val="22"/>
          <w:szCs w:val="22"/>
        </w:rPr>
      </w:pPr>
    </w:p>
    <w:p w:rsidR="00FF2F47" w:rsidRDefault="000E0C8F" w:rsidP="001130B9">
      <w:pPr>
        <w:ind w:left="720"/>
        <w:rPr>
          <w:sz w:val="22"/>
          <w:szCs w:val="22"/>
        </w:rPr>
      </w:pPr>
      <w:r>
        <w:rPr>
          <w:sz w:val="22"/>
          <w:szCs w:val="22"/>
        </w:rPr>
        <w:t>Following these amendments</w:t>
      </w:r>
      <w:r w:rsidR="00FF2F47">
        <w:rPr>
          <w:sz w:val="22"/>
          <w:szCs w:val="22"/>
        </w:rPr>
        <w:t xml:space="preserve">, Bandicoots </w:t>
      </w:r>
      <w:r>
        <w:rPr>
          <w:sz w:val="22"/>
          <w:szCs w:val="22"/>
        </w:rPr>
        <w:t>now meets</w:t>
      </w:r>
      <w:r w:rsidR="00FF2F47">
        <w:rPr>
          <w:sz w:val="22"/>
          <w:szCs w:val="22"/>
        </w:rPr>
        <w:t xml:space="preserve"> the definition of </w:t>
      </w:r>
      <w:r>
        <w:rPr>
          <w:sz w:val="22"/>
          <w:szCs w:val="22"/>
        </w:rPr>
        <w:t xml:space="preserve">a </w:t>
      </w:r>
      <w:r w:rsidR="00FF2F47">
        <w:rPr>
          <w:sz w:val="22"/>
          <w:szCs w:val="22"/>
        </w:rPr>
        <w:t xml:space="preserve">credit union for the purposes of item 16.  This means that Bandicoots </w:t>
      </w:r>
      <w:r>
        <w:rPr>
          <w:sz w:val="22"/>
          <w:szCs w:val="22"/>
        </w:rPr>
        <w:t>may</w:t>
      </w:r>
      <w:r w:rsidR="00FF2F47">
        <w:rPr>
          <w:sz w:val="22"/>
          <w:szCs w:val="22"/>
        </w:rPr>
        <w:t xml:space="preserve"> either amend its GST returns or assessments (as applicable) for the relevant past tax periods to take into account the RITCs, or defer the RITCs to the GST return for the next tax period (provided that this is within the time limits for claiming credits under Division 93 of the Act and section 105-55 in Schedule 1 to the </w:t>
      </w:r>
      <w:r w:rsidR="00FF2F47" w:rsidRPr="005E1DBE">
        <w:rPr>
          <w:i/>
          <w:sz w:val="22"/>
          <w:szCs w:val="22"/>
        </w:rPr>
        <w:t xml:space="preserve">Taxation Administration Act </w:t>
      </w:r>
      <w:r w:rsidR="00FF2F47" w:rsidRPr="00C71986">
        <w:rPr>
          <w:i/>
          <w:sz w:val="22"/>
          <w:szCs w:val="22"/>
        </w:rPr>
        <w:t>1953</w:t>
      </w:r>
      <w:r w:rsidR="005E1DBE">
        <w:rPr>
          <w:sz w:val="22"/>
          <w:szCs w:val="22"/>
        </w:rPr>
        <w:t xml:space="preserve"> (TAA 1953)</w:t>
      </w:r>
      <w:r w:rsidR="00FF2F47">
        <w:rPr>
          <w:sz w:val="22"/>
          <w:szCs w:val="22"/>
        </w:rPr>
        <w:t>, and the period of review in Division 155 in Schedule 1 to the TAA 1953)</w:t>
      </w:r>
      <w:r w:rsidR="00232F6A">
        <w:rPr>
          <w:sz w:val="22"/>
          <w:szCs w:val="22"/>
        </w:rPr>
        <w:t>.</w:t>
      </w:r>
    </w:p>
    <w:p w:rsidR="008310EB" w:rsidRDefault="008310EB" w:rsidP="001130B9">
      <w:pPr>
        <w:ind w:left="720"/>
        <w:rPr>
          <w:sz w:val="22"/>
          <w:szCs w:val="22"/>
        </w:rPr>
      </w:pPr>
    </w:p>
    <w:p w:rsidR="008310EB" w:rsidRPr="00300A3F" w:rsidRDefault="008A3E1F" w:rsidP="001130B9">
      <w:pPr>
        <w:ind w:left="720"/>
        <w:rPr>
          <w:sz w:val="22"/>
          <w:szCs w:val="22"/>
        </w:rPr>
      </w:pPr>
      <w:r>
        <w:rPr>
          <w:sz w:val="22"/>
          <w:szCs w:val="22"/>
        </w:rPr>
        <w:t xml:space="preserve">The amendments </w:t>
      </w:r>
      <w:r w:rsidR="009A797F">
        <w:rPr>
          <w:sz w:val="22"/>
          <w:szCs w:val="22"/>
        </w:rPr>
        <w:t>also restore Alligator’s position as an entity that is wholly owned by credit unions, and Caterpillar and Chamel</w:t>
      </w:r>
      <w:r w:rsidR="005103FE">
        <w:rPr>
          <w:sz w:val="22"/>
          <w:szCs w:val="22"/>
        </w:rPr>
        <w:t>e</w:t>
      </w:r>
      <w:r w:rsidR="009A797F">
        <w:rPr>
          <w:sz w:val="22"/>
          <w:szCs w:val="22"/>
        </w:rPr>
        <w:t xml:space="preserve">on </w:t>
      </w:r>
      <w:r w:rsidR="00C14EA5">
        <w:rPr>
          <w:sz w:val="22"/>
          <w:szCs w:val="22"/>
        </w:rPr>
        <w:t>may</w:t>
      </w:r>
      <w:r w:rsidR="009A797F">
        <w:rPr>
          <w:sz w:val="22"/>
          <w:szCs w:val="22"/>
        </w:rPr>
        <w:t xml:space="preserve"> also amend their GST returns or assessments for prio</w:t>
      </w:r>
      <w:r w:rsidR="00B76C57">
        <w:rPr>
          <w:sz w:val="22"/>
          <w:szCs w:val="22"/>
        </w:rPr>
        <w:t>r</w:t>
      </w:r>
      <w:r w:rsidR="009A797F">
        <w:rPr>
          <w:sz w:val="22"/>
          <w:szCs w:val="22"/>
        </w:rPr>
        <w:t xml:space="preserve"> tax periods, or defer these credits to the current tax periods (within the time limits</w:t>
      </w:r>
      <w:r w:rsidR="00042236">
        <w:rPr>
          <w:sz w:val="22"/>
          <w:szCs w:val="22"/>
        </w:rPr>
        <w:t xml:space="preserve"> </w:t>
      </w:r>
      <w:r w:rsidR="00A5616B">
        <w:rPr>
          <w:sz w:val="22"/>
          <w:szCs w:val="22"/>
        </w:rPr>
        <w:t>specified in</w:t>
      </w:r>
      <w:r w:rsidR="00042236">
        <w:rPr>
          <w:sz w:val="22"/>
          <w:szCs w:val="22"/>
        </w:rPr>
        <w:t xml:space="preserve"> the GST l</w:t>
      </w:r>
      <w:r w:rsidR="009A797F">
        <w:rPr>
          <w:sz w:val="22"/>
          <w:szCs w:val="22"/>
        </w:rPr>
        <w:t>aw).</w:t>
      </w:r>
    </w:p>
    <w:p w:rsidR="00300A3F" w:rsidRDefault="00300A3F"/>
    <w:p w:rsidR="00300A3F" w:rsidRDefault="00300A3F"/>
    <w:p w:rsidR="002C0B5A" w:rsidRPr="002C0B5A" w:rsidRDefault="000D5EE4" w:rsidP="002C0B5A">
      <w:pPr>
        <w:rPr>
          <w:i/>
        </w:rPr>
      </w:pPr>
      <w:r>
        <w:tab/>
      </w:r>
      <w:r w:rsidR="002C0B5A" w:rsidRPr="002C0B5A">
        <w:rPr>
          <w:i/>
        </w:rPr>
        <w:t xml:space="preserve">Example </w:t>
      </w:r>
      <w:r w:rsidR="00291E34" w:rsidRPr="002C0B5A">
        <w:rPr>
          <w:i/>
        </w:rPr>
        <w:fldChar w:fldCharType="begin"/>
      </w:r>
      <w:r w:rsidR="002C0B5A" w:rsidRPr="002C0B5A">
        <w:rPr>
          <w:i/>
        </w:rPr>
        <w:instrText xml:space="preserve"> AUTONUM  \s : </w:instrText>
      </w:r>
      <w:r w:rsidR="00291E34" w:rsidRPr="002C0B5A">
        <w:rPr>
          <w:i/>
        </w:rPr>
        <w:fldChar w:fldCharType="end"/>
      </w:r>
      <w:r w:rsidR="00965AB4">
        <w:rPr>
          <w:i/>
        </w:rPr>
        <w:t xml:space="preserve"> credit union created after 1 July 2011 rebranding as a bank</w:t>
      </w:r>
    </w:p>
    <w:p w:rsidR="00ED5C44" w:rsidRDefault="00ED5C44" w:rsidP="00ED5C44"/>
    <w:p w:rsidR="00747149" w:rsidRDefault="000D5EE4" w:rsidP="001130B9">
      <w:pPr>
        <w:ind w:left="720"/>
        <w:rPr>
          <w:sz w:val="22"/>
          <w:szCs w:val="22"/>
        </w:rPr>
      </w:pPr>
      <w:r w:rsidRPr="00AB2C81">
        <w:rPr>
          <w:sz w:val="22"/>
          <w:szCs w:val="22"/>
        </w:rPr>
        <w:t>D</w:t>
      </w:r>
      <w:r w:rsidR="001130B9">
        <w:rPr>
          <w:sz w:val="22"/>
          <w:szCs w:val="22"/>
        </w:rPr>
        <w:t>MC</w:t>
      </w:r>
      <w:r w:rsidRPr="00AB2C81">
        <w:rPr>
          <w:sz w:val="22"/>
          <w:szCs w:val="22"/>
        </w:rPr>
        <w:t xml:space="preserve"> </w:t>
      </w:r>
      <w:r w:rsidR="00747149">
        <w:rPr>
          <w:sz w:val="22"/>
          <w:szCs w:val="22"/>
        </w:rPr>
        <w:t>aggregator</w:t>
      </w:r>
      <w:r w:rsidR="000B1AEC">
        <w:rPr>
          <w:sz w:val="22"/>
          <w:szCs w:val="22"/>
        </w:rPr>
        <w:t xml:space="preserve"> is wholly owned by</w:t>
      </w:r>
      <w:r w:rsidR="00A02602">
        <w:rPr>
          <w:sz w:val="22"/>
          <w:szCs w:val="22"/>
        </w:rPr>
        <w:t xml:space="preserve"> GRP credit union and CGC credit union</w:t>
      </w:r>
      <w:r w:rsidR="000B1AEC">
        <w:rPr>
          <w:sz w:val="22"/>
          <w:szCs w:val="22"/>
        </w:rPr>
        <w:t>, all of which</w:t>
      </w:r>
      <w:r w:rsidR="00AB2C81" w:rsidRPr="00AB2C81">
        <w:rPr>
          <w:sz w:val="22"/>
          <w:szCs w:val="22"/>
        </w:rPr>
        <w:t xml:space="preserve"> formed on 1 </w:t>
      </w:r>
      <w:r w:rsidR="00DF2FA4">
        <w:rPr>
          <w:sz w:val="22"/>
          <w:szCs w:val="22"/>
        </w:rPr>
        <w:t>February 2012</w:t>
      </w:r>
      <w:r w:rsidR="00AB2C81" w:rsidRPr="00AB2C81">
        <w:rPr>
          <w:sz w:val="22"/>
          <w:szCs w:val="22"/>
        </w:rPr>
        <w:t xml:space="preserve">. </w:t>
      </w:r>
      <w:r w:rsidR="0063507E">
        <w:rPr>
          <w:sz w:val="22"/>
          <w:szCs w:val="22"/>
        </w:rPr>
        <w:t xml:space="preserve"> </w:t>
      </w:r>
      <w:r w:rsidR="000B1AEC">
        <w:rPr>
          <w:sz w:val="22"/>
          <w:szCs w:val="22"/>
        </w:rPr>
        <w:t xml:space="preserve">On the same day, </w:t>
      </w:r>
      <w:r w:rsidR="00AB2C81" w:rsidRPr="00AB2C81">
        <w:rPr>
          <w:sz w:val="22"/>
          <w:szCs w:val="22"/>
        </w:rPr>
        <w:t xml:space="preserve">APRA lists </w:t>
      </w:r>
      <w:r w:rsidR="00D046AB">
        <w:rPr>
          <w:sz w:val="22"/>
          <w:szCs w:val="22"/>
        </w:rPr>
        <w:t>GRP and CGC on its website as</w:t>
      </w:r>
      <w:r w:rsidR="00AB2C81" w:rsidRPr="00AB2C81">
        <w:rPr>
          <w:sz w:val="22"/>
          <w:szCs w:val="22"/>
        </w:rPr>
        <w:t xml:space="preserve"> credit union</w:t>
      </w:r>
      <w:r w:rsidR="00D046AB">
        <w:rPr>
          <w:sz w:val="22"/>
          <w:szCs w:val="22"/>
        </w:rPr>
        <w:t>s</w:t>
      </w:r>
      <w:r w:rsidR="00AB2C81" w:rsidRPr="00AB2C81">
        <w:rPr>
          <w:sz w:val="22"/>
          <w:szCs w:val="22"/>
        </w:rPr>
        <w:t xml:space="preserve">. </w:t>
      </w:r>
      <w:r w:rsidR="00895AC4">
        <w:rPr>
          <w:sz w:val="22"/>
          <w:szCs w:val="22"/>
        </w:rPr>
        <w:t xml:space="preserve"> </w:t>
      </w:r>
      <w:r w:rsidR="00DF2FA4">
        <w:rPr>
          <w:sz w:val="22"/>
          <w:szCs w:val="22"/>
        </w:rPr>
        <w:t>On</w:t>
      </w:r>
      <w:r w:rsidR="00AB2C81" w:rsidRPr="00AB2C81">
        <w:rPr>
          <w:sz w:val="22"/>
          <w:szCs w:val="22"/>
        </w:rPr>
        <w:t xml:space="preserve"> </w:t>
      </w:r>
      <w:r w:rsidR="001E7804">
        <w:rPr>
          <w:sz w:val="22"/>
          <w:szCs w:val="22"/>
        </w:rPr>
        <w:t>15</w:t>
      </w:r>
      <w:r w:rsidR="0004144A">
        <w:rPr>
          <w:sz w:val="22"/>
          <w:szCs w:val="22"/>
        </w:rPr>
        <w:t xml:space="preserve"> </w:t>
      </w:r>
      <w:r w:rsidR="00B805B9">
        <w:rPr>
          <w:sz w:val="22"/>
          <w:szCs w:val="22"/>
        </w:rPr>
        <w:t>August</w:t>
      </w:r>
      <w:r w:rsidR="0004144A">
        <w:rPr>
          <w:sz w:val="22"/>
          <w:szCs w:val="22"/>
        </w:rPr>
        <w:t xml:space="preserve"> 2</w:t>
      </w:r>
      <w:r w:rsidR="00CC1FFE">
        <w:rPr>
          <w:sz w:val="22"/>
          <w:szCs w:val="22"/>
        </w:rPr>
        <w:t>012</w:t>
      </w:r>
      <w:r w:rsidR="00AB2C81" w:rsidRPr="00AB2C81">
        <w:rPr>
          <w:sz w:val="22"/>
          <w:szCs w:val="22"/>
        </w:rPr>
        <w:t xml:space="preserve">, </w:t>
      </w:r>
      <w:r w:rsidR="00D046AB">
        <w:rPr>
          <w:sz w:val="22"/>
          <w:szCs w:val="22"/>
        </w:rPr>
        <w:t>GRP</w:t>
      </w:r>
      <w:r w:rsidR="00AB2C81" w:rsidRPr="00AB2C81">
        <w:rPr>
          <w:sz w:val="22"/>
          <w:szCs w:val="22"/>
        </w:rPr>
        <w:t xml:space="preserve"> elects to </w:t>
      </w:r>
      <w:r w:rsidR="00B656C9">
        <w:rPr>
          <w:sz w:val="22"/>
          <w:szCs w:val="22"/>
        </w:rPr>
        <w:t>rebrand</w:t>
      </w:r>
      <w:r w:rsidR="00AB2C81" w:rsidRPr="00AB2C81">
        <w:rPr>
          <w:sz w:val="22"/>
          <w:szCs w:val="22"/>
        </w:rPr>
        <w:t xml:space="preserve"> </w:t>
      </w:r>
      <w:r w:rsidR="00D046AB">
        <w:rPr>
          <w:sz w:val="22"/>
          <w:szCs w:val="22"/>
        </w:rPr>
        <w:t>from ‘credit union’ to</w:t>
      </w:r>
      <w:r w:rsidR="00AB2C81" w:rsidRPr="00AB2C81">
        <w:rPr>
          <w:sz w:val="22"/>
          <w:szCs w:val="22"/>
        </w:rPr>
        <w:t xml:space="preserve"> ‘bank’ for </w:t>
      </w:r>
      <w:r w:rsidR="001130B9">
        <w:rPr>
          <w:sz w:val="22"/>
          <w:szCs w:val="22"/>
        </w:rPr>
        <w:t>commercial and</w:t>
      </w:r>
      <w:r w:rsidR="00AB2C81" w:rsidRPr="00AB2C81">
        <w:rPr>
          <w:sz w:val="22"/>
          <w:szCs w:val="22"/>
        </w:rPr>
        <w:t xml:space="preserve"> competition</w:t>
      </w:r>
      <w:r w:rsidR="001130B9">
        <w:rPr>
          <w:sz w:val="22"/>
          <w:szCs w:val="22"/>
        </w:rPr>
        <w:t xml:space="preserve"> reasons</w:t>
      </w:r>
      <w:r w:rsidR="00AB2C81" w:rsidRPr="00AB2C81">
        <w:rPr>
          <w:sz w:val="22"/>
          <w:szCs w:val="22"/>
        </w:rPr>
        <w:t xml:space="preserve"> </w:t>
      </w:r>
      <w:r w:rsidR="0063507E">
        <w:rPr>
          <w:sz w:val="22"/>
          <w:szCs w:val="22"/>
        </w:rPr>
        <w:t>whilst retaining</w:t>
      </w:r>
      <w:r w:rsidR="00AB2C81" w:rsidRPr="00AB2C81">
        <w:rPr>
          <w:sz w:val="22"/>
          <w:szCs w:val="22"/>
        </w:rPr>
        <w:t xml:space="preserve"> its </w:t>
      </w:r>
      <w:r w:rsidR="00DF2FA4">
        <w:rPr>
          <w:sz w:val="22"/>
          <w:szCs w:val="22"/>
        </w:rPr>
        <w:t>mutuality</w:t>
      </w:r>
      <w:r w:rsidR="00AB2C81" w:rsidRPr="00AB2C81">
        <w:rPr>
          <w:sz w:val="22"/>
          <w:szCs w:val="22"/>
        </w:rPr>
        <w:t>.</w:t>
      </w:r>
      <w:r w:rsidR="00A3138C">
        <w:rPr>
          <w:sz w:val="22"/>
          <w:szCs w:val="22"/>
        </w:rPr>
        <w:t xml:space="preserve"> </w:t>
      </w:r>
      <w:r w:rsidR="00C0086E">
        <w:rPr>
          <w:sz w:val="22"/>
          <w:szCs w:val="22"/>
        </w:rPr>
        <w:t xml:space="preserve"> </w:t>
      </w:r>
      <w:r w:rsidR="00B656C9">
        <w:rPr>
          <w:sz w:val="22"/>
          <w:szCs w:val="22"/>
        </w:rPr>
        <w:t xml:space="preserve">CGC retains its name </w:t>
      </w:r>
      <w:r w:rsidR="00935A7B">
        <w:rPr>
          <w:sz w:val="22"/>
          <w:szCs w:val="22"/>
        </w:rPr>
        <w:t>and listing on APRA’s website as a credit union.</w:t>
      </w:r>
    </w:p>
    <w:p w:rsidR="00747149" w:rsidRDefault="00747149" w:rsidP="001130B9">
      <w:pPr>
        <w:ind w:left="720"/>
        <w:rPr>
          <w:sz w:val="22"/>
          <w:szCs w:val="22"/>
        </w:rPr>
      </w:pPr>
    </w:p>
    <w:p w:rsidR="00DF2FA4" w:rsidRDefault="00DF2FA4" w:rsidP="00DF2FA4">
      <w:pPr>
        <w:ind w:left="720"/>
        <w:rPr>
          <w:sz w:val="22"/>
          <w:szCs w:val="22"/>
        </w:rPr>
      </w:pPr>
      <w:r w:rsidRPr="000B1AEC">
        <w:rPr>
          <w:sz w:val="22"/>
          <w:szCs w:val="22"/>
        </w:rPr>
        <w:t xml:space="preserve">During </w:t>
      </w:r>
      <w:r>
        <w:rPr>
          <w:sz w:val="22"/>
          <w:szCs w:val="22"/>
        </w:rPr>
        <w:t>their</w:t>
      </w:r>
      <w:r w:rsidRPr="000B1AEC">
        <w:rPr>
          <w:sz w:val="22"/>
          <w:szCs w:val="22"/>
        </w:rPr>
        <w:t xml:space="preserve"> first </w:t>
      </w:r>
      <w:r>
        <w:rPr>
          <w:sz w:val="22"/>
          <w:szCs w:val="22"/>
        </w:rPr>
        <w:t>six months</w:t>
      </w:r>
      <w:r w:rsidRPr="000B1AEC">
        <w:rPr>
          <w:sz w:val="22"/>
          <w:szCs w:val="22"/>
        </w:rPr>
        <w:t xml:space="preserve">, GRP and CGC </w:t>
      </w:r>
      <w:r w:rsidR="00C0086E">
        <w:rPr>
          <w:sz w:val="22"/>
          <w:szCs w:val="22"/>
        </w:rPr>
        <w:t>acquire</w:t>
      </w:r>
      <w:r w:rsidRPr="000B1AEC">
        <w:rPr>
          <w:sz w:val="22"/>
          <w:szCs w:val="22"/>
        </w:rPr>
        <w:t xml:space="preserve"> supplies of </w:t>
      </w:r>
      <w:r>
        <w:rPr>
          <w:sz w:val="22"/>
          <w:szCs w:val="22"/>
        </w:rPr>
        <w:t>IT</w:t>
      </w:r>
      <w:r w:rsidRPr="000B1AEC">
        <w:rPr>
          <w:sz w:val="22"/>
          <w:szCs w:val="22"/>
        </w:rPr>
        <w:t xml:space="preserve"> services from DMC</w:t>
      </w:r>
      <w:r>
        <w:rPr>
          <w:sz w:val="22"/>
          <w:szCs w:val="22"/>
        </w:rPr>
        <w:t>.</w:t>
      </w:r>
      <w:r w:rsidR="00895AC4">
        <w:rPr>
          <w:sz w:val="22"/>
          <w:szCs w:val="22"/>
        </w:rPr>
        <w:t xml:space="preserve"> </w:t>
      </w:r>
      <w:r w:rsidRPr="000B1AEC">
        <w:rPr>
          <w:sz w:val="22"/>
          <w:szCs w:val="22"/>
        </w:rPr>
        <w:t xml:space="preserve"> </w:t>
      </w:r>
      <w:r>
        <w:rPr>
          <w:sz w:val="22"/>
          <w:szCs w:val="22"/>
        </w:rPr>
        <w:t xml:space="preserve">Under the existing Regulations, the acquisition of these services by GRP and CGC </w:t>
      </w:r>
      <w:r w:rsidR="00ED4B5E">
        <w:rPr>
          <w:sz w:val="22"/>
          <w:szCs w:val="22"/>
        </w:rPr>
        <w:t>are reduced credit acquisitions</w:t>
      </w:r>
      <w:r w:rsidR="00C71986">
        <w:rPr>
          <w:sz w:val="22"/>
          <w:szCs w:val="22"/>
        </w:rPr>
        <w:t xml:space="preserve"> </w:t>
      </w:r>
      <w:r>
        <w:rPr>
          <w:sz w:val="22"/>
          <w:szCs w:val="22"/>
        </w:rPr>
        <w:t>under item 16 o</w:t>
      </w:r>
      <w:r w:rsidR="00ED4B5E">
        <w:rPr>
          <w:sz w:val="22"/>
          <w:szCs w:val="22"/>
        </w:rPr>
        <w:t>f the table in subregulation 70</w:t>
      </w:r>
      <w:r w:rsidR="00ED4B5E">
        <w:rPr>
          <w:sz w:val="22"/>
          <w:szCs w:val="22"/>
        </w:rPr>
        <w:noBreakHyphen/>
      </w:r>
      <w:r>
        <w:rPr>
          <w:sz w:val="22"/>
          <w:szCs w:val="22"/>
        </w:rPr>
        <w:t>5.02(2) which give rise to an entitlemen</w:t>
      </w:r>
      <w:r w:rsidR="00895AC4">
        <w:rPr>
          <w:sz w:val="22"/>
          <w:szCs w:val="22"/>
        </w:rPr>
        <w:t>t to a RITC</w:t>
      </w:r>
      <w:r>
        <w:rPr>
          <w:sz w:val="22"/>
          <w:szCs w:val="22"/>
        </w:rPr>
        <w:t>.</w:t>
      </w:r>
    </w:p>
    <w:p w:rsidR="00747149" w:rsidRDefault="00747149" w:rsidP="00DF2FA4">
      <w:pPr>
        <w:rPr>
          <w:sz w:val="22"/>
          <w:szCs w:val="22"/>
        </w:rPr>
      </w:pPr>
    </w:p>
    <w:p w:rsidR="008B662B" w:rsidRDefault="000E1504" w:rsidP="008B662B">
      <w:pPr>
        <w:ind w:left="720"/>
        <w:rPr>
          <w:sz w:val="22"/>
          <w:szCs w:val="22"/>
        </w:rPr>
      </w:pPr>
      <w:r>
        <w:rPr>
          <w:sz w:val="22"/>
          <w:szCs w:val="22"/>
        </w:rPr>
        <w:t xml:space="preserve">GRP and CGC </w:t>
      </w:r>
      <w:r w:rsidR="00240939">
        <w:rPr>
          <w:sz w:val="22"/>
          <w:szCs w:val="22"/>
        </w:rPr>
        <w:t>are</w:t>
      </w:r>
      <w:r w:rsidR="00A3138C">
        <w:rPr>
          <w:sz w:val="22"/>
          <w:szCs w:val="22"/>
        </w:rPr>
        <w:t xml:space="preserve"> </w:t>
      </w:r>
      <w:r>
        <w:rPr>
          <w:sz w:val="22"/>
          <w:szCs w:val="22"/>
        </w:rPr>
        <w:t xml:space="preserve">both </w:t>
      </w:r>
      <w:r w:rsidR="00A3138C">
        <w:rPr>
          <w:sz w:val="22"/>
          <w:szCs w:val="22"/>
        </w:rPr>
        <w:t xml:space="preserve">entitled to the RITC </w:t>
      </w:r>
      <w:r>
        <w:rPr>
          <w:sz w:val="22"/>
          <w:szCs w:val="22"/>
        </w:rPr>
        <w:t xml:space="preserve">concession for the services DMC provide </w:t>
      </w:r>
      <w:r w:rsidR="00C701F0">
        <w:rPr>
          <w:sz w:val="22"/>
          <w:szCs w:val="22"/>
        </w:rPr>
        <w:t>up until</w:t>
      </w:r>
      <w:r w:rsidR="00A3138C">
        <w:rPr>
          <w:sz w:val="22"/>
          <w:szCs w:val="22"/>
        </w:rPr>
        <w:t xml:space="preserve"> </w:t>
      </w:r>
      <w:r w:rsidR="001E7804">
        <w:rPr>
          <w:sz w:val="22"/>
          <w:szCs w:val="22"/>
        </w:rPr>
        <w:t>15</w:t>
      </w:r>
      <w:r>
        <w:rPr>
          <w:sz w:val="22"/>
          <w:szCs w:val="22"/>
        </w:rPr>
        <w:t xml:space="preserve"> </w:t>
      </w:r>
      <w:r w:rsidR="00B805B9">
        <w:rPr>
          <w:sz w:val="22"/>
          <w:szCs w:val="22"/>
        </w:rPr>
        <w:t>August</w:t>
      </w:r>
      <w:r w:rsidR="00EA3DD1">
        <w:rPr>
          <w:sz w:val="22"/>
          <w:szCs w:val="22"/>
        </w:rPr>
        <w:t xml:space="preserve"> 2012</w:t>
      </w:r>
      <w:r>
        <w:rPr>
          <w:sz w:val="22"/>
          <w:szCs w:val="22"/>
        </w:rPr>
        <w:t xml:space="preserve">. </w:t>
      </w:r>
      <w:r w:rsidR="00895AC4">
        <w:rPr>
          <w:sz w:val="22"/>
          <w:szCs w:val="22"/>
        </w:rPr>
        <w:t xml:space="preserve"> </w:t>
      </w:r>
      <w:r>
        <w:rPr>
          <w:sz w:val="22"/>
          <w:szCs w:val="22"/>
        </w:rPr>
        <w:t xml:space="preserve">However, </w:t>
      </w:r>
      <w:r w:rsidR="00C701F0">
        <w:rPr>
          <w:sz w:val="22"/>
          <w:szCs w:val="22"/>
        </w:rPr>
        <w:t xml:space="preserve">upon </w:t>
      </w:r>
      <w:r w:rsidR="00A3138C">
        <w:rPr>
          <w:sz w:val="22"/>
          <w:szCs w:val="22"/>
        </w:rPr>
        <w:t>rebranding</w:t>
      </w:r>
      <w:r>
        <w:rPr>
          <w:sz w:val="22"/>
          <w:szCs w:val="22"/>
        </w:rPr>
        <w:t xml:space="preserve">, GRP </w:t>
      </w:r>
      <w:r w:rsidR="00240939">
        <w:rPr>
          <w:sz w:val="22"/>
          <w:szCs w:val="22"/>
        </w:rPr>
        <w:t>is no longer</w:t>
      </w:r>
      <w:r>
        <w:rPr>
          <w:sz w:val="22"/>
          <w:szCs w:val="22"/>
        </w:rPr>
        <w:t xml:space="preserve"> eligible for the concession.</w:t>
      </w:r>
      <w:r w:rsidR="00895AC4">
        <w:rPr>
          <w:sz w:val="22"/>
          <w:szCs w:val="22"/>
        </w:rPr>
        <w:t xml:space="preserve"> </w:t>
      </w:r>
      <w:r w:rsidR="00A3138C">
        <w:rPr>
          <w:sz w:val="22"/>
          <w:szCs w:val="22"/>
        </w:rPr>
        <w:t xml:space="preserve"> </w:t>
      </w:r>
      <w:r>
        <w:rPr>
          <w:sz w:val="22"/>
          <w:szCs w:val="22"/>
        </w:rPr>
        <w:t>This</w:t>
      </w:r>
      <w:r w:rsidR="00B656C9">
        <w:rPr>
          <w:sz w:val="22"/>
          <w:szCs w:val="22"/>
        </w:rPr>
        <w:t xml:space="preserve"> is because after </w:t>
      </w:r>
      <w:r w:rsidR="001E7804">
        <w:rPr>
          <w:sz w:val="22"/>
          <w:szCs w:val="22"/>
        </w:rPr>
        <w:t>15</w:t>
      </w:r>
      <w:r w:rsidR="00B656C9">
        <w:rPr>
          <w:sz w:val="22"/>
          <w:szCs w:val="22"/>
        </w:rPr>
        <w:t xml:space="preserve"> </w:t>
      </w:r>
      <w:r w:rsidR="00B805B9">
        <w:rPr>
          <w:sz w:val="22"/>
          <w:szCs w:val="22"/>
        </w:rPr>
        <w:t>August</w:t>
      </w:r>
      <w:r w:rsidR="00CC1FFE">
        <w:rPr>
          <w:sz w:val="22"/>
          <w:szCs w:val="22"/>
        </w:rPr>
        <w:t xml:space="preserve"> 2012</w:t>
      </w:r>
      <w:r w:rsidR="00C701F0">
        <w:rPr>
          <w:sz w:val="22"/>
          <w:szCs w:val="22"/>
        </w:rPr>
        <w:t>,</w:t>
      </w:r>
      <w:r w:rsidR="00A3138C">
        <w:rPr>
          <w:sz w:val="22"/>
          <w:szCs w:val="22"/>
        </w:rPr>
        <w:t xml:space="preserve"> </w:t>
      </w:r>
      <w:r>
        <w:rPr>
          <w:sz w:val="22"/>
          <w:szCs w:val="22"/>
        </w:rPr>
        <w:t xml:space="preserve">GRP </w:t>
      </w:r>
      <w:r w:rsidR="00240939">
        <w:rPr>
          <w:sz w:val="22"/>
          <w:szCs w:val="22"/>
        </w:rPr>
        <w:t>does</w:t>
      </w:r>
      <w:r w:rsidR="00A3138C">
        <w:rPr>
          <w:sz w:val="22"/>
          <w:szCs w:val="22"/>
        </w:rPr>
        <w:t xml:space="preserve"> not</w:t>
      </w:r>
      <w:r>
        <w:rPr>
          <w:sz w:val="22"/>
          <w:szCs w:val="22"/>
        </w:rPr>
        <w:t xml:space="preserve"> </w:t>
      </w:r>
      <w:r w:rsidR="00EA3DD1">
        <w:rPr>
          <w:sz w:val="22"/>
          <w:szCs w:val="22"/>
        </w:rPr>
        <w:t>satisfy</w:t>
      </w:r>
      <w:r w:rsidR="00D16DF2">
        <w:rPr>
          <w:sz w:val="22"/>
          <w:szCs w:val="22"/>
        </w:rPr>
        <w:t xml:space="preserve"> the extended definition </w:t>
      </w:r>
      <w:r w:rsidR="00EA3DD1">
        <w:rPr>
          <w:sz w:val="22"/>
          <w:szCs w:val="22"/>
        </w:rPr>
        <w:t xml:space="preserve">of credit union to be able to claim </w:t>
      </w:r>
      <w:r w:rsidR="00240939">
        <w:rPr>
          <w:sz w:val="22"/>
          <w:szCs w:val="22"/>
        </w:rPr>
        <w:t>a</w:t>
      </w:r>
      <w:r w:rsidR="00EA3DD1">
        <w:rPr>
          <w:sz w:val="22"/>
          <w:szCs w:val="22"/>
        </w:rPr>
        <w:t xml:space="preserve"> RITC</w:t>
      </w:r>
      <w:r w:rsidR="008B662B">
        <w:rPr>
          <w:sz w:val="22"/>
          <w:szCs w:val="22"/>
        </w:rPr>
        <w:t xml:space="preserve"> </w:t>
      </w:r>
      <w:r w:rsidR="00240939">
        <w:rPr>
          <w:sz w:val="22"/>
          <w:szCs w:val="22"/>
        </w:rPr>
        <w:t>under</w:t>
      </w:r>
      <w:r w:rsidR="008B662B">
        <w:rPr>
          <w:sz w:val="22"/>
          <w:szCs w:val="22"/>
        </w:rPr>
        <w:t xml:space="preserve"> item </w:t>
      </w:r>
      <w:r w:rsidR="00C71986">
        <w:rPr>
          <w:sz w:val="22"/>
          <w:szCs w:val="22"/>
        </w:rPr>
        <w:t>16 as</w:t>
      </w:r>
      <w:r w:rsidR="00EA3DD1">
        <w:rPr>
          <w:sz w:val="22"/>
          <w:szCs w:val="22"/>
        </w:rPr>
        <w:t xml:space="preserve"> GRP is no longer a credit union (paragraph (a)), was not listed as a credit union on APRA’s website at 1 July 2011</w:t>
      </w:r>
      <w:r w:rsidR="00D16DF2">
        <w:rPr>
          <w:sz w:val="22"/>
          <w:szCs w:val="22"/>
        </w:rPr>
        <w:t xml:space="preserve"> </w:t>
      </w:r>
      <w:r w:rsidR="00EA3DD1">
        <w:rPr>
          <w:sz w:val="22"/>
          <w:szCs w:val="22"/>
        </w:rPr>
        <w:t>(paragraph (b)(</w:t>
      </w:r>
      <w:proofErr w:type="spellStart"/>
      <w:r w:rsidR="00EA3DD1">
        <w:rPr>
          <w:sz w:val="22"/>
          <w:szCs w:val="22"/>
        </w:rPr>
        <w:t>i</w:t>
      </w:r>
      <w:proofErr w:type="spellEnd"/>
      <w:r w:rsidR="00EA3DD1">
        <w:rPr>
          <w:sz w:val="22"/>
          <w:szCs w:val="22"/>
        </w:rPr>
        <w:t xml:space="preserve">)), and is not the credit union specified at paragraph (c). </w:t>
      </w:r>
    </w:p>
    <w:p w:rsidR="00EA3DD1" w:rsidRDefault="00EA3DD1" w:rsidP="000E1504">
      <w:pPr>
        <w:ind w:left="720"/>
        <w:rPr>
          <w:sz w:val="22"/>
          <w:szCs w:val="22"/>
        </w:rPr>
      </w:pPr>
    </w:p>
    <w:p w:rsidR="00EA3DD1" w:rsidRDefault="00EA3DD1" w:rsidP="00EA3DD1">
      <w:pPr>
        <w:ind w:left="720"/>
        <w:rPr>
          <w:sz w:val="22"/>
          <w:szCs w:val="22"/>
        </w:rPr>
      </w:pPr>
      <w:r>
        <w:rPr>
          <w:sz w:val="22"/>
          <w:szCs w:val="22"/>
        </w:rPr>
        <w:lastRenderedPageBreak/>
        <w:t xml:space="preserve">Any acquisitions made from DMC will also no longer be </w:t>
      </w:r>
      <w:r w:rsidR="003C1923">
        <w:rPr>
          <w:sz w:val="22"/>
          <w:szCs w:val="22"/>
        </w:rPr>
        <w:t>reduced credit acquisition</w:t>
      </w:r>
      <w:r w:rsidR="00436E81">
        <w:rPr>
          <w:sz w:val="22"/>
          <w:szCs w:val="22"/>
        </w:rPr>
        <w:t>s</w:t>
      </w:r>
      <w:r w:rsidR="003C1923">
        <w:rPr>
          <w:sz w:val="22"/>
          <w:szCs w:val="22"/>
        </w:rPr>
        <w:t xml:space="preserve"> </w:t>
      </w:r>
      <w:r>
        <w:rPr>
          <w:sz w:val="22"/>
          <w:szCs w:val="22"/>
        </w:rPr>
        <w:t>under item 16 because DMC is no longer wholly owned by credit unions.</w:t>
      </w:r>
    </w:p>
    <w:p w:rsidR="00EA3DD1" w:rsidRDefault="00EA3DD1" w:rsidP="00EA3DD1">
      <w:pPr>
        <w:ind w:left="720"/>
        <w:rPr>
          <w:sz w:val="22"/>
          <w:szCs w:val="22"/>
        </w:rPr>
      </w:pPr>
    </w:p>
    <w:p w:rsidR="00EA3DD1" w:rsidRDefault="00EA3DD1" w:rsidP="00EA3DD1">
      <w:pPr>
        <w:ind w:left="720"/>
        <w:rPr>
          <w:sz w:val="22"/>
          <w:szCs w:val="22"/>
        </w:rPr>
      </w:pPr>
      <w:r>
        <w:rPr>
          <w:sz w:val="22"/>
          <w:szCs w:val="22"/>
        </w:rPr>
        <w:t>To the extent that acquisitions</w:t>
      </w:r>
      <w:r w:rsidR="00CE00B3">
        <w:rPr>
          <w:sz w:val="22"/>
          <w:szCs w:val="22"/>
        </w:rPr>
        <w:t xml:space="preserve"> from DMC</w:t>
      </w:r>
      <w:r>
        <w:rPr>
          <w:sz w:val="22"/>
          <w:szCs w:val="22"/>
        </w:rPr>
        <w:t xml:space="preserve"> are covered by another </w:t>
      </w:r>
      <w:r w:rsidR="00212B35">
        <w:rPr>
          <w:sz w:val="22"/>
          <w:szCs w:val="22"/>
        </w:rPr>
        <w:t>reduced credit acquisition</w:t>
      </w:r>
      <w:r w:rsidR="00E24BDC">
        <w:rPr>
          <w:sz w:val="22"/>
          <w:szCs w:val="22"/>
        </w:rPr>
        <w:t xml:space="preserve"> item</w:t>
      </w:r>
      <w:r>
        <w:rPr>
          <w:sz w:val="22"/>
          <w:szCs w:val="22"/>
        </w:rPr>
        <w:t>, RITCs may still be claimed</w:t>
      </w:r>
      <w:r w:rsidR="00043F8B">
        <w:rPr>
          <w:sz w:val="22"/>
          <w:szCs w:val="22"/>
        </w:rPr>
        <w:t xml:space="preserve"> for those acquisitions</w:t>
      </w:r>
      <w:r>
        <w:rPr>
          <w:sz w:val="22"/>
          <w:szCs w:val="22"/>
        </w:rPr>
        <w:t xml:space="preserve">. </w:t>
      </w:r>
    </w:p>
    <w:p w:rsidR="00C701F0" w:rsidRDefault="00C701F0" w:rsidP="000E1504">
      <w:pPr>
        <w:ind w:left="720"/>
        <w:rPr>
          <w:sz w:val="22"/>
          <w:szCs w:val="22"/>
        </w:rPr>
      </w:pPr>
    </w:p>
    <w:p w:rsidR="00A80987" w:rsidRDefault="00A80987" w:rsidP="00295A58"/>
    <w:p w:rsidR="00295A58" w:rsidRDefault="00295A58" w:rsidP="00295A58">
      <w:r w:rsidRPr="00295A58">
        <w:rPr>
          <w:b/>
        </w:rPr>
        <w:t>Credit unions listed on the APRA website as at 1 July 2011</w:t>
      </w:r>
    </w:p>
    <w:p w:rsidR="00DD7ACE" w:rsidRDefault="00DD7ACE" w:rsidP="00295A58"/>
    <w:p w:rsidR="0051377F" w:rsidRPr="0000355E" w:rsidRDefault="0051377F" w:rsidP="0000355E">
      <w:pPr>
        <w:tabs>
          <w:tab w:val="left" w:pos="5670"/>
        </w:tabs>
        <w:ind w:left="720"/>
        <w:rPr>
          <w:sz w:val="22"/>
          <w:szCs w:val="22"/>
          <w:lang w:val="en-US"/>
        </w:rPr>
      </w:pPr>
      <w:r w:rsidRPr="0000355E">
        <w:rPr>
          <w:sz w:val="22"/>
          <w:szCs w:val="22"/>
          <w:lang w:val="en-US"/>
        </w:rPr>
        <w:t>Alliance One Credit Union Ltd</w:t>
      </w:r>
    </w:p>
    <w:p w:rsidR="0051377F" w:rsidRPr="0000355E" w:rsidRDefault="0051377F" w:rsidP="0000355E">
      <w:pPr>
        <w:tabs>
          <w:tab w:val="left" w:pos="5670"/>
        </w:tabs>
        <w:ind w:left="720"/>
        <w:rPr>
          <w:sz w:val="22"/>
          <w:szCs w:val="22"/>
          <w:lang w:val="en-US"/>
        </w:rPr>
      </w:pPr>
      <w:r w:rsidRPr="0000355E">
        <w:rPr>
          <w:sz w:val="22"/>
          <w:szCs w:val="22"/>
          <w:lang w:val="en-US"/>
        </w:rPr>
        <w:t>Allied Members Credit Union Ltd</w:t>
      </w:r>
    </w:p>
    <w:p w:rsidR="0051377F" w:rsidRPr="0000355E" w:rsidRDefault="0051377F" w:rsidP="0000355E">
      <w:pPr>
        <w:tabs>
          <w:tab w:val="left" w:pos="5670"/>
        </w:tabs>
        <w:ind w:left="720"/>
        <w:rPr>
          <w:sz w:val="22"/>
          <w:szCs w:val="22"/>
          <w:lang w:val="en-US"/>
        </w:rPr>
      </w:pPr>
      <w:r w:rsidRPr="0000355E">
        <w:rPr>
          <w:sz w:val="22"/>
          <w:szCs w:val="22"/>
          <w:lang w:val="en-US"/>
        </w:rPr>
        <w:t>Australian Central Credit Union Ltd</w:t>
      </w:r>
    </w:p>
    <w:p w:rsidR="0051377F" w:rsidRPr="0000355E" w:rsidRDefault="0051377F" w:rsidP="0000355E">
      <w:pPr>
        <w:tabs>
          <w:tab w:val="left" w:pos="5670"/>
        </w:tabs>
        <w:ind w:left="720"/>
        <w:rPr>
          <w:sz w:val="22"/>
          <w:szCs w:val="22"/>
          <w:lang w:val="en-US"/>
        </w:rPr>
      </w:pPr>
      <w:r w:rsidRPr="0000355E">
        <w:rPr>
          <w:sz w:val="22"/>
          <w:szCs w:val="22"/>
          <w:lang w:val="en-US"/>
        </w:rPr>
        <w:t xml:space="preserve">Australian </w:t>
      </w:r>
      <w:proofErr w:type="spellStart"/>
      <w:r w:rsidRPr="0000355E">
        <w:rPr>
          <w:sz w:val="22"/>
          <w:szCs w:val="22"/>
          <w:lang w:val="en-US"/>
        </w:rPr>
        <w:t>Defence</w:t>
      </w:r>
      <w:proofErr w:type="spellEnd"/>
      <w:r w:rsidRPr="0000355E">
        <w:rPr>
          <w:sz w:val="22"/>
          <w:szCs w:val="22"/>
          <w:lang w:val="en-US"/>
        </w:rPr>
        <w:t xml:space="preserv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AWA Credit Union Limited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Bananacoast</w:t>
      </w:r>
      <w:proofErr w:type="spellEnd"/>
      <w:r w:rsidRPr="0000355E">
        <w:rPr>
          <w:sz w:val="22"/>
          <w:szCs w:val="22"/>
          <w:lang w:val="en-US"/>
        </w:rPr>
        <w:t xml:space="preserve"> Community Credit Union Ltd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Bankstown</w:t>
      </w:r>
      <w:proofErr w:type="spellEnd"/>
      <w:r w:rsidRPr="0000355E">
        <w:rPr>
          <w:sz w:val="22"/>
          <w:szCs w:val="22"/>
          <w:lang w:val="en-US"/>
        </w:rPr>
        <w:t xml:space="preserve"> City Credit Union Ltd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Berrima</w:t>
      </w:r>
      <w:proofErr w:type="spellEnd"/>
      <w:r w:rsidRPr="0000355E">
        <w:rPr>
          <w:sz w:val="22"/>
          <w:szCs w:val="22"/>
          <w:lang w:val="en-US"/>
        </w:rPr>
        <w:t xml:space="preserve"> District Credit Union Ltd</w:t>
      </w:r>
    </w:p>
    <w:p w:rsidR="0051377F" w:rsidRPr="0000355E" w:rsidRDefault="0051377F" w:rsidP="0000355E">
      <w:pPr>
        <w:tabs>
          <w:tab w:val="left" w:pos="5670"/>
        </w:tabs>
        <w:ind w:left="720"/>
        <w:rPr>
          <w:sz w:val="22"/>
          <w:szCs w:val="22"/>
          <w:lang w:val="en-US"/>
        </w:rPr>
      </w:pPr>
      <w:r w:rsidRPr="0000355E">
        <w:rPr>
          <w:sz w:val="22"/>
          <w:szCs w:val="22"/>
          <w:lang w:val="en-US"/>
        </w:rPr>
        <w:t>Big Sky Credit Union Ltd</w:t>
      </w:r>
    </w:p>
    <w:p w:rsidR="0051377F" w:rsidRPr="0000355E" w:rsidRDefault="0051377F" w:rsidP="0000355E">
      <w:pPr>
        <w:tabs>
          <w:tab w:val="left" w:pos="5670"/>
        </w:tabs>
        <w:ind w:left="720"/>
        <w:rPr>
          <w:sz w:val="22"/>
          <w:szCs w:val="22"/>
          <w:lang w:val="en-US"/>
        </w:rPr>
      </w:pPr>
      <w:r w:rsidRPr="0000355E">
        <w:rPr>
          <w:sz w:val="22"/>
          <w:szCs w:val="22"/>
          <w:lang w:val="en-US"/>
        </w:rPr>
        <w:t>CAPE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Central Murray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Central West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Circle Credit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Coastline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Collie Miners Credit Union Ltd</w:t>
      </w:r>
    </w:p>
    <w:p w:rsidR="0051377F" w:rsidRPr="0000355E" w:rsidRDefault="0051377F" w:rsidP="0000355E">
      <w:pPr>
        <w:tabs>
          <w:tab w:val="left" w:pos="5670"/>
        </w:tabs>
        <w:ind w:left="720"/>
        <w:rPr>
          <w:sz w:val="22"/>
          <w:szCs w:val="22"/>
          <w:lang w:val="en-US"/>
        </w:rPr>
      </w:pPr>
      <w:r w:rsidRPr="0000355E">
        <w:rPr>
          <w:sz w:val="22"/>
          <w:szCs w:val="22"/>
          <w:lang w:val="en-US"/>
        </w:rPr>
        <w:t>Community Alliance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Community CPS Australia Limited</w:t>
      </w:r>
    </w:p>
    <w:p w:rsidR="0051377F" w:rsidRPr="0000355E" w:rsidRDefault="0051377F" w:rsidP="0000355E">
      <w:pPr>
        <w:tabs>
          <w:tab w:val="left" w:pos="5670"/>
        </w:tabs>
        <w:ind w:left="720"/>
        <w:rPr>
          <w:sz w:val="22"/>
          <w:szCs w:val="22"/>
          <w:lang w:val="en-US"/>
        </w:rPr>
      </w:pPr>
      <w:r w:rsidRPr="0000355E">
        <w:rPr>
          <w:sz w:val="22"/>
          <w:szCs w:val="22"/>
          <w:lang w:val="en-US"/>
        </w:rPr>
        <w:t>Community First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Country First Credit Union Ltd</w:t>
      </w:r>
    </w:p>
    <w:p w:rsidR="0051377F" w:rsidRPr="0000355E" w:rsidRDefault="0051377F" w:rsidP="0000355E">
      <w:pPr>
        <w:tabs>
          <w:tab w:val="left" w:pos="5670"/>
        </w:tabs>
        <w:ind w:left="720"/>
        <w:rPr>
          <w:sz w:val="22"/>
          <w:szCs w:val="22"/>
          <w:lang w:val="en-US"/>
        </w:rPr>
      </w:pPr>
      <w:r w:rsidRPr="0000355E">
        <w:rPr>
          <w:sz w:val="22"/>
          <w:szCs w:val="22"/>
          <w:lang w:val="en-US"/>
        </w:rPr>
        <w:t>Credit Union Australia Ltd</w:t>
      </w:r>
    </w:p>
    <w:p w:rsidR="0051377F" w:rsidRPr="0000355E" w:rsidRDefault="0051377F" w:rsidP="0000355E">
      <w:pPr>
        <w:tabs>
          <w:tab w:val="left" w:pos="5670"/>
        </w:tabs>
        <w:ind w:left="720"/>
        <w:rPr>
          <w:sz w:val="22"/>
          <w:szCs w:val="22"/>
          <w:lang w:val="en-US"/>
        </w:rPr>
      </w:pPr>
      <w:r w:rsidRPr="0000355E">
        <w:rPr>
          <w:sz w:val="22"/>
          <w:szCs w:val="22"/>
          <w:lang w:val="en-US"/>
        </w:rPr>
        <w:t>Credit Union SA Ltd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Defence</w:t>
      </w:r>
      <w:proofErr w:type="spellEnd"/>
      <w:r w:rsidRPr="0000355E">
        <w:rPr>
          <w:sz w:val="22"/>
          <w:szCs w:val="22"/>
          <w:lang w:val="en-US"/>
        </w:rPr>
        <w:t xml:space="preserve"> Force Credit Union Limited</w:t>
      </w:r>
      <w:r w:rsidRPr="0000355E">
        <w:rPr>
          <w:sz w:val="22"/>
          <w:szCs w:val="22"/>
          <w:lang w:val="en-US"/>
        </w:rPr>
        <w:tab/>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Dnister</w:t>
      </w:r>
      <w:proofErr w:type="spellEnd"/>
      <w:r w:rsidRPr="0000355E">
        <w:rPr>
          <w:sz w:val="22"/>
          <w:szCs w:val="22"/>
          <w:lang w:val="en-US"/>
        </w:rPr>
        <w:t xml:space="preserve"> Ukrainian Credit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ECU Australia Ltd</w:t>
      </w:r>
    </w:p>
    <w:p w:rsidR="0051377F" w:rsidRPr="0000355E" w:rsidRDefault="0051377F" w:rsidP="0000355E">
      <w:pPr>
        <w:tabs>
          <w:tab w:val="left" w:pos="5670"/>
        </w:tabs>
        <w:ind w:left="720"/>
        <w:rPr>
          <w:sz w:val="22"/>
          <w:szCs w:val="22"/>
          <w:lang w:val="en-US"/>
        </w:rPr>
      </w:pPr>
      <w:r w:rsidRPr="0000355E">
        <w:rPr>
          <w:sz w:val="22"/>
          <w:szCs w:val="22"/>
          <w:lang w:val="en-US"/>
        </w:rPr>
        <w:t>EECU Limited</w:t>
      </w:r>
    </w:p>
    <w:p w:rsidR="0051377F" w:rsidRPr="0000355E" w:rsidRDefault="0051377F" w:rsidP="0000355E">
      <w:pPr>
        <w:tabs>
          <w:tab w:val="left" w:pos="5670"/>
        </w:tabs>
        <w:ind w:left="720"/>
        <w:rPr>
          <w:sz w:val="22"/>
          <w:szCs w:val="22"/>
          <w:lang w:val="en-US"/>
        </w:rPr>
      </w:pPr>
      <w:r w:rsidRPr="0000355E">
        <w:rPr>
          <w:sz w:val="22"/>
          <w:szCs w:val="22"/>
          <w:lang w:val="en-US"/>
        </w:rPr>
        <w:t>Encompass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Family First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Fire Brigades Employees'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Fire Service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Firefighters &amp; Affiliates Credit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First Choice Credit Union Ltd</w:t>
      </w:r>
    </w:p>
    <w:p w:rsidR="0051377F" w:rsidRPr="0000355E" w:rsidRDefault="0051377F" w:rsidP="0000355E">
      <w:pPr>
        <w:tabs>
          <w:tab w:val="left" w:pos="5670"/>
        </w:tabs>
        <w:ind w:left="720"/>
        <w:rPr>
          <w:sz w:val="22"/>
          <w:szCs w:val="22"/>
          <w:lang w:val="en-US"/>
        </w:rPr>
      </w:pPr>
      <w:r w:rsidRPr="0000355E">
        <w:rPr>
          <w:sz w:val="22"/>
          <w:szCs w:val="22"/>
          <w:lang w:val="en-US"/>
        </w:rPr>
        <w:t>First Option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Fitzroy &amp; Carlton Community Credit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Ford Co-operative Credit Society Limited</w:t>
      </w:r>
    </w:p>
    <w:p w:rsidR="0051377F" w:rsidRPr="0000355E" w:rsidRDefault="0051377F" w:rsidP="0000355E">
      <w:pPr>
        <w:tabs>
          <w:tab w:val="left" w:pos="5670"/>
        </w:tabs>
        <w:ind w:left="720"/>
        <w:rPr>
          <w:sz w:val="22"/>
          <w:szCs w:val="22"/>
          <w:lang w:val="en-US"/>
        </w:rPr>
      </w:pPr>
      <w:r w:rsidRPr="0000355E">
        <w:rPr>
          <w:sz w:val="22"/>
          <w:szCs w:val="22"/>
          <w:lang w:val="en-US"/>
        </w:rPr>
        <w:t>Gateway Credit Union Ltd</w:t>
      </w:r>
    </w:p>
    <w:p w:rsidR="0051377F" w:rsidRPr="0000355E" w:rsidRDefault="0051377F" w:rsidP="0000355E">
      <w:pPr>
        <w:tabs>
          <w:tab w:val="left" w:pos="5670"/>
        </w:tabs>
        <w:ind w:left="720"/>
        <w:rPr>
          <w:sz w:val="22"/>
          <w:szCs w:val="22"/>
          <w:lang w:val="en-US"/>
        </w:rPr>
      </w:pPr>
      <w:r w:rsidRPr="0000355E">
        <w:rPr>
          <w:sz w:val="22"/>
          <w:szCs w:val="22"/>
          <w:lang w:val="en-US"/>
        </w:rPr>
        <w:t>Geelong &amp; District Credi</w:t>
      </w:r>
      <w:r w:rsidR="0000355E">
        <w:rPr>
          <w:sz w:val="22"/>
          <w:szCs w:val="22"/>
          <w:lang w:val="en-US"/>
        </w:rPr>
        <w:t>t Co-operative Society Limited</w:t>
      </w:r>
      <w:r w:rsidR="0000355E">
        <w:rPr>
          <w:sz w:val="22"/>
          <w:szCs w:val="22"/>
          <w:lang w:val="en-US"/>
        </w:rPr>
        <w:tab/>
      </w:r>
    </w:p>
    <w:p w:rsidR="0051377F" w:rsidRPr="0000355E" w:rsidRDefault="0051377F" w:rsidP="0000355E">
      <w:pPr>
        <w:tabs>
          <w:tab w:val="left" w:pos="5670"/>
        </w:tabs>
        <w:ind w:left="720"/>
        <w:rPr>
          <w:sz w:val="22"/>
          <w:szCs w:val="22"/>
          <w:lang w:val="en-US"/>
        </w:rPr>
      </w:pPr>
      <w:r w:rsidRPr="0000355E">
        <w:rPr>
          <w:sz w:val="22"/>
          <w:szCs w:val="22"/>
          <w:lang w:val="en-US"/>
        </w:rPr>
        <w:t>Goldfields Credit Union Ltd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Goulburn</w:t>
      </w:r>
      <w:proofErr w:type="spellEnd"/>
      <w:r w:rsidRPr="0000355E">
        <w:rPr>
          <w:sz w:val="22"/>
          <w:szCs w:val="22"/>
          <w:lang w:val="en-US"/>
        </w:rPr>
        <w:t xml:space="preserve"> Murray Credit Union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Heritage Isle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Holiday Coast Credit Union Ltd</w:t>
      </w:r>
    </w:p>
    <w:p w:rsidR="0051377F" w:rsidRPr="0000355E" w:rsidRDefault="0051377F" w:rsidP="0000355E">
      <w:pPr>
        <w:tabs>
          <w:tab w:val="left" w:pos="5670"/>
        </w:tabs>
        <w:ind w:left="720"/>
        <w:rPr>
          <w:sz w:val="22"/>
          <w:szCs w:val="22"/>
          <w:lang w:val="en-US"/>
        </w:rPr>
      </w:pPr>
      <w:r w:rsidRPr="0000355E">
        <w:rPr>
          <w:sz w:val="22"/>
          <w:szCs w:val="22"/>
          <w:lang w:val="en-US"/>
        </w:rPr>
        <w:t>Horizon Credit Union Ltd</w:t>
      </w:r>
    </w:p>
    <w:p w:rsidR="0051377F" w:rsidRPr="0000355E" w:rsidRDefault="0051377F" w:rsidP="0000355E">
      <w:pPr>
        <w:tabs>
          <w:tab w:val="left" w:pos="5670"/>
        </w:tabs>
        <w:ind w:left="720"/>
        <w:rPr>
          <w:sz w:val="22"/>
          <w:szCs w:val="22"/>
          <w:lang w:val="en-US"/>
        </w:rPr>
      </w:pPr>
      <w:r w:rsidRPr="0000355E">
        <w:rPr>
          <w:sz w:val="22"/>
          <w:szCs w:val="22"/>
          <w:lang w:val="en-US"/>
        </w:rPr>
        <w:t>Hunter United Employees'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Industries Mutual Credit Union Limited</w:t>
      </w:r>
      <w:r w:rsidRPr="0000355E">
        <w:rPr>
          <w:sz w:val="22"/>
          <w:szCs w:val="22"/>
          <w:lang w:val="en-US"/>
        </w:rPr>
        <w:tab/>
      </w:r>
      <w:r w:rsidRPr="0000355E">
        <w:rPr>
          <w:sz w:val="22"/>
          <w:szCs w:val="22"/>
          <w:lang w:val="en-US"/>
        </w:rPr>
        <w:tab/>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Intech</w:t>
      </w:r>
      <w:proofErr w:type="spellEnd"/>
      <w:r w:rsidRPr="0000355E">
        <w:rPr>
          <w:sz w:val="22"/>
          <w:szCs w:val="22"/>
          <w:lang w:val="en-US"/>
        </w:rPr>
        <w:t xml:space="preserv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La Trobe University Cre</w:t>
      </w:r>
      <w:r w:rsidR="0000355E">
        <w:rPr>
          <w:sz w:val="22"/>
          <w:szCs w:val="22"/>
          <w:lang w:val="en-US"/>
        </w:rPr>
        <w:t>dit Union Co-Operative Limited</w:t>
      </w:r>
      <w:r w:rsidR="0000355E">
        <w:rPr>
          <w:sz w:val="22"/>
          <w:szCs w:val="22"/>
          <w:lang w:val="en-US"/>
        </w:rPr>
        <w:tab/>
      </w:r>
    </w:p>
    <w:p w:rsidR="0051377F" w:rsidRPr="0000355E" w:rsidRDefault="0051377F" w:rsidP="0000355E">
      <w:pPr>
        <w:tabs>
          <w:tab w:val="left" w:pos="5670"/>
        </w:tabs>
        <w:ind w:left="720"/>
        <w:rPr>
          <w:sz w:val="22"/>
          <w:szCs w:val="22"/>
          <w:lang w:val="en-US"/>
        </w:rPr>
      </w:pPr>
      <w:r w:rsidRPr="0000355E">
        <w:rPr>
          <w:sz w:val="22"/>
          <w:szCs w:val="22"/>
          <w:lang w:val="en-US"/>
        </w:rPr>
        <w:t>Laboratories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Latvian Australian Credit Co-operative Society Limited</w:t>
      </w:r>
    </w:p>
    <w:p w:rsidR="0051377F" w:rsidRPr="0000355E" w:rsidRDefault="0051377F" w:rsidP="0000355E">
      <w:pPr>
        <w:tabs>
          <w:tab w:val="left" w:pos="5670"/>
        </w:tabs>
        <w:ind w:left="720"/>
        <w:rPr>
          <w:sz w:val="22"/>
          <w:szCs w:val="22"/>
          <w:lang w:val="en-US"/>
        </w:rPr>
      </w:pPr>
      <w:r w:rsidRPr="0000355E">
        <w:rPr>
          <w:sz w:val="22"/>
          <w:szCs w:val="22"/>
          <w:lang w:val="en-US"/>
        </w:rPr>
        <w:t>Lithuanian Co-operative Credit Society "</w:t>
      </w:r>
      <w:proofErr w:type="spellStart"/>
      <w:r w:rsidRPr="0000355E">
        <w:rPr>
          <w:sz w:val="22"/>
          <w:szCs w:val="22"/>
          <w:lang w:val="en-US"/>
        </w:rPr>
        <w:t>Talka</w:t>
      </w:r>
      <w:proofErr w:type="spellEnd"/>
      <w:r w:rsidRPr="0000355E">
        <w:rPr>
          <w:sz w:val="22"/>
          <w:szCs w:val="22"/>
          <w:lang w:val="en-US"/>
        </w:rPr>
        <w:t>" Limited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lastRenderedPageBreak/>
        <w:t>Lysaght</w:t>
      </w:r>
      <w:proofErr w:type="spellEnd"/>
      <w:r w:rsidRPr="0000355E">
        <w:rPr>
          <w:sz w:val="22"/>
          <w:szCs w:val="22"/>
          <w:lang w:val="en-US"/>
        </w:rPr>
        <w:t xml:space="preserve"> Credit Union Ltd</w:t>
      </w:r>
    </w:p>
    <w:p w:rsidR="0051377F" w:rsidRPr="0000355E" w:rsidRDefault="0051377F" w:rsidP="0000355E">
      <w:pPr>
        <w:tabs>
          <w:tab w:val="left" w:pos="5670"/>
        </w:tabs>
        <w:ind w:left="720"/>
        <w:rPr>
          <w:sz w:val="22"/>
          <w:szCs w:val="22"/>
          <w:lang w:val="en-US"/>
        </w:rPr>
      </w:pPr>
      <w:r w:rsidRPr="0000355E">
        <w:rPr>
          <w:sz w:val="22"/>
          <w:szCs w:val="22"/>
          <w:lang w:val="en-US"/>
        </w:rPr>
        <w:t>MacArthur Credit Union Ltd</w:t>
      </w:r>
    </w:p>
    <w:p w:rsidR="0051377F" w:rsidRPr="0000355E" w:rsidRDefault="0051377F" w:rsidP="0000355E">
      <w:pPr>
        <w:tabs>
          <w:tab w:val="left" w:pos="5670"/>
        </w:tabs>
        <w:ind w:left="720"/>
        <w:rPr>
          <w:sz w:val="22"/>
          <w:szCs w:val="22"/>
          <w:lang w:val="en-US"/>
        </w:rPr>
      </w:pPr>
      <w:r w:rsidRPr="0000355E">
        <w:rPr>
          <w:sz w:val="22"/>
          <w:szCs w:val="22"/>
          <w:lang w:val="en-US"/>
        </w:rPr>
        <w:t>Macquarie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 xml:space="preserve">Manly </w:t>
      </w:r>
      <w:proofErr w:type="spellStart"/>
      <w:r w:rsidRPr="0000355E">
        <w:rPr>
          <w:sz w:val="22"/>
          <w:szCs w:val="22"/>
          <w:lang w:val="en-US"/>
        </w:rPr>
        <w:t>Warringah</w:t>
      </w:r>
      <w:proofErr w:type="spellEnd"/>
      <w:r w:rsidRPr="0000355E">
        <w:rPr>
          <w:sz w:val="22"/>
          <w:szCs w:val="22"/>
          <w:lang w:val="en-US"/>
        </w:rPr>
        <w:t xml:space="preserv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Maritime, Mining &amp; Power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MCU Ltd</w:t>
      </w:r>
    </w:p>
    <w:p w:rsidR="0000355E" w:rsidRDefault="0051377F" w:rsidP="0000355E">
      <w:pPr>
        <w:tabs>
          <w:tab w:val="left" w:pos="5670"/>
        </w:tabs>
        <w:ind w:left="720"/>
        <w:rPr>
          <w:sz w:val="22"/>
          <w:szCs w:val="22"/>
          <w:lang w:val="en-US"/>
        </w:rPr>
      </w:pPr>
      <w:r w:rsidRPr="0000355E">
        <w:rPr>
          <w:sz w:val="22"/>
          <w:szCs w:val="22"/>
          <w:lang w:val="en-US"/>
        </w:rPr>
        <w:t>MECU Limited</w:t>
      </w:r>
      <w:r w:rsidRPr="0000355E">
        <w:rPr>
          <w:sz w:val="22"/>
          <w:szCs w:val="22"/>
          <w:lang w:val="en-US"/>
        </w:rPr>
        <w:tab/>
      </w:r>
    </w:p>
    <w:p w:rsidR="0000355E" w:rsidRDefault="0051377F" w:rsidP="0000355E">
      <w:pPr>
        <w:tabs>
          <w:tab w:val="left" w:pos="5670"/>
        </w:tabs>
        <w:ind w:left="720"/>
        <w:rPr>
          <w:sz w:val="22"/>
          <w:szCs w:val="22"/>
          <w:lang w:val="en-US"/>
        </w:rPr>
      </w:pPr>
      <w:r w:rsidRPr="0000355E">
        <w:rPr>
          <w:sz w:val="22"/>
          <w:szCs w:val="22"/>
          <w:lang w:val="en-US"/>
        </w:rPr>
        <w:t>Melbourne University Credit Union Limited</w:t>
      </w:r>
      <w:r w:rsidRPr="0000355E">
        <w:rPr>
          <w:sz w:val="22"/>
          <w:szCs w:val="22"/>
          <w:lang w:val="en-US"/>
        </w:rPr>
        <w:tab/>
      </w:r>
    </w:p>
    <w:p w:rsidR="0000355E" w:rsidRDefault="0051377F" w:rsidP="0000355E">
      <w:pPr>
        <w:tabs>
          <w:tab w:val="left" w:pos="5670"/>
        </w:tabs>
        <w:ind w:left="720"/>
        <w:rPr>
          <w:sz w:val="22"/>
          <w:szCs w:val="22"/>
          <w:lang w:val="en-US"/>
        </w:rPr>
      </w:pPr>
      <w:proofErr w:type="spellStart"/>
      <w:r w:rsidRPr="0000355E">
        <w:rPr>
          <w:sz w:val="22"/>
          <w:szCs w:val="22"/>
          <w:lang w:val="en-US"/>
        </w:rPr>
        <w:t>MemberFirst</w:t>
      </w:r>
      <w:proofErr w:type="spellEnd"/>
      <w:r w:rsidRPr="0000355E">
        <w:rPr>
          <w:sz w:val="22"/>
          <w:szCs w:val="22"/>
          <w:lang w:val="en-US"/>
        </w:rPr>
        <w:t xml:space="preserve"> Credit Union Limited </w:t>
      </w:r>
      <w:r w:rsidRPr="0000355E">
        <w:rPr>
          <w:sz w:val="22"/>
          <w:szCs w:val="22"/>
          <w:lang w:val="en-US"/>
        </w:rPr>
        <w:tab/>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MyState</w:t>
      </w:r>
      <w:proofErr w:type="spellEnd"/>
      <w:r w:rsidRPr="0000355E">
        <w:rPr>
          <w:sz w:val="22"/>
          <w:szCs w:val="22"/>
          <w:lang w:val="en-US"/>
        </w:rPr>
        <w:t xml:space="preserve"> Financial Limited</w:t>
      </w:r>
    </w:p>
    <w:p w:rsidR="0051377F" w:rsidRPr="0000355E" w:rsidRDefault="0051377F" w:rsidP="0000355E">
      <w:pPr>
        <w:tabs>
          <w:tab w:val="left" w:pos="5670"/>
        </w:tabs>
        <w:ind w:left="720"/>
        <w:rPr>
          <w:sz w:val="22"/>
          <w:szCs w:val="22"/>
          <w:lang w:val="en-US"/>
        </w:rPr>
      </w:pPr>
      <w:r w:rsidRPr="0000355E">
        <w:rPr>
          <w:sz w:val="22"/>
          <w:szCs w:val="22"/>
          <w:lang w:val="en-US"/>
        </w:rPr>
        <w:t>New England Credit Union Ltd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Newcom</w:t>
      </w:r>
      <w:proofErr w:type="spellEnd"/>
      <w:r w:rsidRPr="0000355E">
        <w:rPr>
          <w:sz w:val="22"/>
          <w:szCs w:val="22"/>
          <w:lang w:val="en-US"/>
        </w:rPr>
        <w:t xml:space="preserve"> Colliery Employees Credit Union Ltd</w:t>
      </w:r>
    </w:p>
    <w:p w:rsidR="0051377F" w:rsidRPr="0000355E" w:rsidRDefault="0051377F" w:rsidP="0000355E">
      <w:pPr>
        <w:tabs>
          <w:tab w:val="left" w:pos="5670"/>
        </w:tabs>
        <w:ind w:left="720"/>
        <w:rPr>
          <w:sz w:val="22"/>
          <w:szCs w:val="22"/>
          <w:lang w:val="en-US"/>
        </w:rPr>
      </w:pPr>
      <w:r w:rsidRPr="0000355E">
        <w:rPr>
          <w:sz w:val="22"/>
          <w:szCs w:val="22"/>
          <w:lang w:val="en-US"/>
        </w:rPr>
        <w:t>Northern Inland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Nova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Old Gold Credit Union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Orange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Police &amp; Nurses Credit Society Limited</w:t>
      </w:r>
    </w:p>
    <w:p w:rsidR="0051377F" w:rsidRPr="0000355E" w:rsidRDefault="0051377F" w:rsidP="0000355E">
      <w:pPr>
        <w:tabs>
          <w:tab w:val="left" w:pos="5670"/>
        </w:tabs>
        <w:ind w:left="720"/>
        <w:rPr>
          <w:sz w:val="22"/>
          <w:szCs w:val="22"/>
          <w:lang w:val="en-US"/>
        </w:rPr>
      </w:pPr>
      <w:r w:rsidRPr="0000355E">
        <w:rPr>
          <w:sz w:val="22"/>
          <w:szCs w:val="22"/>
          <w:lang w:val="en-US"/>
        </w:rPr>
        <w:t>Police Association Credit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Police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Pulse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Qantas Staff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Quay Credit Union Ltd</w:t>
      </w:r>
    </w:p>
    <w:p w:rsidR="0051377F" w:rsidRPr="0000355E" w:rsidRDefault="0051377F" w:rsidP="0000355E">
      <w:pPr>
        <w:tabs>
          <w:tab w:val="left" w:pos="5670"/>
        </w:tabs>
        <w:ind w:left="720"/>
        <w:rPr>
          <w:sz w:val="22"/>
          <w:szCs w:val="22"/>
          <w:lang w:val="en-US"/>
        </w:rPr>
      </w:pPr>
      <w:r w:rsidRPr="0000355E">
        <w:rPr>
          <w:sz w:val="22"/>
          <w:szCs w:val="22"/>
          <w:lang w:val="en-US"/>
        </w:rPr>
        <w:t>Queensland Country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Queensland Police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Queensland Professional Credit Union Ltd</w:t>
      </w:r>
    </w:p>
    <w:p w:rsidR="0000355E" w:rsidRDefault="0051377F" w:rsidP="0000355E">
      <w:pPr>
        <w:tabs>
          <w:tab w:val="left" w:pos="5670"/>
        </w:tabs>
        <w:ind w:left="720"/>
        <w:rPr>
          <w:sz w:val="22"/>
          <w:szCs w:val="22"/>
          <w:lang w:val="en-US"/>
        </w:rPr>
      </w:pPr>
      <w:r w:rsidRPr="0000355E">
        <w:rPr>
          <w:sz w:val="22"/>
          <w:szCs w:val="22"/>
          <w:lang w:val="en-US"/>
        </w:rPr>
        <w:t>Queensland</w:t>
      </w:r>
      <w:r w:rsidR="0000355E">
        <w:rPr>
          <w:sz w:val="22"/>
          <w:szCs w:val="22"/>
          <w:lang w:val="en-US"/>
        </w:rPr>
        <w:t xml:space="preserve"> Teachers’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Queenslanders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Railways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Resources Credit Union Limited</w:t>
      </w:r>
      <w:r w:rsidRPr="0000355E">
        <w:rPr>
          <w:sz w:val="22"/>
          <w:szCs w:val="22"/>
          <w:lang w:val="en-US"/>
        </w:rPr>
        <w:tab/>
      </w:r>
    </w:p>
    <w:p w:rsidR="0051377F" w:rsidRPr="0000355E" w:rsidRDefault="0051377F" w:rsidP="0000355E">
      <w:pPr>
        <w:tabs>
          <w:tab w:val="left" w:pos="5670"/>
        </w:tabs>
        <w:ind w:left="720"/>
        <w:rPr>
          <w:sz w:val="22"/>
          <w:szCs w:val="22"/>
          <w:lang w:val="en-US"/>
        </w:rPr>
      </w:pPr>
      <w:r w:rsidRPr="0000355E">
        <w:rPr>
          <w:sz w:val="22"/>
          <w:szCs w:val="22"/>
          <w:lang w:val="en-US"/>
        </w:rPr>
        <w:t>R.T.A. Staff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Select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Service One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SGE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Shell Employees'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South West Slopes Credit Union Ltd</w:t>
      </w:r>
    </w:p>
    <w:p w:rsidR="0051377F" w:rsidRPr="0000355E" w:rsidRDefault="0051377F" w:rsidP="0000355E">
      <w:pPr>
        <w:tabs>
          <w:tab w:val="left" w:pos="5670"/>
        </w:tabs>
        <w:ind w:left="720"/>
        <w:rPr>
          <w:sz w:val="22"/>
          <w:szCs w:val="22"/>
          <w:lang w:val="en-US"/>
        </w:rPr>
      </w:pPr>
      <w:r w:rsidRPr="0000355E">
        <w:rPr>
          <w:sz w:val="22"/>
          <w:szCs w:val="22"/>
          <w:lang w:val="en-US"/>
        </w:rPr>
        <w:t>Southern Cross Credit Union Ltd</w:t>
      </w:r>
    </w:p>
    <w:p w:rsidR="0051377F" w:rsidRPr="0000355E" w:rsidRDefault="0051377F" w:rsidP="0000355E">
      <w:pPr>
        <w:tabs>
          <w:tab w:val="left" w:pos="5670"/>
        </w:tabs>
        <w:ind w:left="720"/>
        <w:rPr>
          <w:sz w:val="22"/>
          <w:szCs w:val="22"/>
          <w:lang w:val="en-US"/>
        </w:rPr>
      </w:pPr>
      <w:r w:rsidRPr="0000355E">
        <w:rPr>
          <w:sz w:val="22"/>
          <w:szCs w:val="22"/>
          <w:lang w:val="en-US"/>
        </w:rPr>
        <w:t>South-West Credit Union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Summerland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Sutherland Credit Union Ltd</w:t>
      </w:r>
    </w:p>
    <w:p w:rsidR="0051377F" w:rsidRPr="0000355E" w:rsidRDefault="0051377F" w:rsidP="0000355E">
      <w:pPr>
        <w:tabs>
          <w:tab w:val="left" w:pos="5670"/>
        </w:tabs>
        <w:ind w:left="720"/>
        <w:rPr>
          <w:sz w:val="22"/>
          <w:szCs w:val="22"/>
          <w:lang w:val="en-US"/>
        </w:rPr>
      </w:pPr>
      <w:r w:rsidRPr="0000355E">
        <w:rPr>
          <w:sz w:val="22"/>
          <w:szCs w:val="22"/>
          <w:lang w:val="en-US"/>
        </w:rPr>
        <w:t>Swan Hill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Sydney Credit Union Ltd</w:t>
      </w:r>
    </w:p>
    <w:p w:rsidR="0051377F" w:rsidRPr="0000355E" w:rsidRDefault="0051377F" w:rsidP="0000355E">
      <w:pPr>
        <w:tabs>
          <w:tab w:val="left" w:pos="5670"/>
        </w:tabs>
        <w:ind w:left="720"/>
        <w:rPr>
          <w:sz w:val="22"/>
          <w:szCs w:val="22"/>
          <w:lang w:val="en-US"/>
        </w:rPr>
      </w:pPr>
      <w:r w:rsidRPr="0000355E">
        <w:rPr>
          <w:sz w:val="22"/>
          <w:szCs w:val="22"/>
          <w:lang w:val="en-US"/>
        </w:rPr>
        <w:t>Tartan Credit Union Ltd</w:t>
      </w:r>
    </w:p>
    <w:p w:rsidR="0051377F" w:rsidRPr="0000355E" w:rsidRDefault="0051377F" w:rsidP="0000355E">
      <w:pPr>
        <w:tabs>
          <w:tab w:val="left" w:pos="5670"/>
        </w:tabs>
        <w:ind w:left="720"/>
        <w:rPr>
          <w:sz w:val="22"/>
          <w:szCs w:val="22"/>
          <w:lang w:val="en-US"/>
        </w:rPr>
      </w:pPr>
      <w:r w:rsidRPr="0000355E">
        <w:rPr>
          <w:sz w:val="22"/>
          <w:szCs w:val="22"/>
          <w:lang w:val="en-US"/>
        </w:rPr>
        <w:t>Teachers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The Broken Hill Community Credit Union Ltd</w:t>
      </w:r>
    </w:p>
    <w:p w:rsidR="0051377F" w:rsidRPr="0000355E" w:rsidRDefault="0051377F" w:rsidP="0000355E">
      <w:pPr>
        <w:tabs>
          <w:tab w:val="left" w:pos="5670"/>
        </w:tabs>
        <w:ind w:left="720"/>
        <w:rPr>
          <w:sz w:val="22"/>
          <w:szCs w:val="22"/>
          <w:lang w:val="en-US"/>
        </w:rPr>
      </w:pPr>
      <w:r w:rsidRPr="0000355E">
        <w:rPr>
          <w:sz w:val="22"/>
          <w:szCs w:val="22"/>
          <w:lang w:val="en-US"/>
        </w:rPr>
        <w:t xml:space="preserve">The </w:t>
      </w:r>
      <w:proofErr w:type="spellStart"/>
      <w:r w:rsidRPr="0000355E">
        <w:rPr>
          <w:sz w:val="22"/>
          <w:szCs w:val="22"/>
          <w:lang w:val="en-US"/>
        </w:rPr>
        <w:t>Capricornian</w:t>
      </w:r>
      <w:proofErr w:type="spellEnd"/>
      <w:r w:rsidRPr="0000355E">
        <w:rPr>
          <w:sz w:val="22"/>
          <w:szCs w:val="22"/>
          <w:lang w:val="en-US"/>
        </w:rPr>
        <w:t xml:space="preserve"> Ltd</w:t>
      </w:r>
    </w:p>
    <w:p w:rsidR="0051377F" w:rsidRPr="0000355E" w:rsidRDefault="0051377F" w:rsidP="0000355E">
      <w:pPr>
        <w:tabs>
          <w:tab w:val="left" w:pos="5670"/>
        </w:tabs>
        <w:ind w:left="720"/>
        <w:rPr>
          <w:sz w:val="22"/>
          <w:szCs w:val="22"/>
          <w:lang w:val="en-US"/>
        </w:rPr>
      </w:pPr>
      <w:r w:rsidRPr="0000355E">
        <w:rPr>
          <w:sz w:val="22"/>
          <w:szCs w:val="22"/>
          <w:lang w:val="en-US"/>
        </w:rPr>
        <w:t>The Gympie Credit Union Ltd</w:t>
      </w:r>
    </w:p>
    <w:p w:rsidR="0051377F" w:rsidRPr="0000355E" w:rsidRDefault="0051377F" w:rsidP="0000355E">
      <w:pPr>
        <w:tabs>
          <w:tab w:val="left" w:pos="5670"/>
        </w:tabs>
        <w:ind w:left="720"/>
        <w:rPr>
          <w:sz w:val="22"/>
          <w:szCs w:val="22"/>
          <w:lang w:val="en-US"/>
        </w:rPr>
      </w:pPr>
      <w:r w:rsidRPr="0000355E">
        <w:rPr>
          <w:sz w:val="22"/>
          <w:szCs w:val="22"/>
          <w:lang w:val="en-US"/>
        </w:rPr>
        <w:t>The Police Department Employees' Credit Union Limited</w:t>
      </w:r>
    </w:p>
    <w:p w:rsidR="0051377F" w:rsidRPr="0000355E" w:rsidRDefault="0051377F" w:rsidP="0000355E">
      <w:pPr>
        <w:tabs>
          <w:tab w:val="left" w:pos="5670"/>
        </w:tabs>
        <w:ind w:left="720"/>
        <w:rPr>
          <w:sz w:val="22"/>
          <w:szCs w:val="22"/>
          <w:lang w:val="en-US"/>
        </w:rPr>
      </w:pPr>
      <w:r w:rsidRPr="0000355E">
        <w:rPr>
          <w:sz w:val="22"/>
          <w:szCs w:val="22"/>
          <w:lang w:val="en-US"/>
        </w:rPr>
        <w:t>The University Credit Society Limited</w:t>
      </w:r>
    </w:p>
    <w:p w:rsidR="0051377F" w:rsidRPr="0000355E" w:rsidRDefault="0051377F" w:rsidP="0000355E">
      <w:pPr>
        <w:tabs>
          <w:tab w:val="left" w:pos="5670"/>
        </w:tabs>
        <w:ind w:left="720"/>
        <w:rPr>
          <w:sz w:val="22"/>
          <w:szCs w:val="22"/>
          <w:lang w:val="en-US"/>
        </w:rPr>
      </w:pPr>
      <w:r w:rsidRPr="0000355E">
        <w:rPr>
          <w:sz w:val="22"/>
          <w:szCs w:val="22"/>
          <w:lang w:val="en-US"/>
        </w:rPr>
        <w:t>Traditional Credit Union Limited</w:t>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TransComm</w:t>
      </w:r>
      <w:proofErr w:type="spellEnd"/>
      <w:r w:rsidRPr="0000355E">
        <w:rPr>
          <w:sz w:val="22"/>
          <w:szCs w:val="22"/>
          <w:lang w:val="en-US"/>
        </w:rPr>
        <w:t xml:space="preserve"> Credit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Victoria Teachers Credit Union Limited</w:t>
      </w:r>
      <w:r w:rsidRPr="0000355E">
        <w:rPr>
          <w:sz w:val="22"/>
          <w:szCs w:val="22"/>
          <w:lang w:val="en-US"/>
        </w:rPr>
        <w:tab/>
      </w:r>
    </w:p>
    <w:p w:rsidR="0051377F" w:rsidRPr="0000355E" w:rsidRDefault="0051377F" w:rsidP="0000355E">
      <w:pPr>
        <w:tabs>
          <w:tab w:val="left" w:pos="5670"/>
        </w:tabs>
        <w:ind w:left="720"/>
        <w:rPr>
          <w:sz w:val="22"/>
          <w:szCs w:val="22"/>
          <w:lang w:val="en-US"/>
        </w:rPr>
      </w:pPr>
      <w:proofErr w:type="spellStart"/>
      <w:r w:rsidRPr="0000355E">
        <w:rPr>
          <w:sz w:val="22"/>
          <w:szCs w:val="22"/>
          <w:lang w:val="en-US"/>
        </w:rPr>
        <w:t>Wagga</w:t>
      </w:r>
      <w:proofErr w:type="spellEnd"/>
      <w:r w:rsidRPr="0000355E">
        <w:rPr>
          <w:sz w:val="22"/>
          <w:szCs w:val="22"/>
          <w:lang w:val="en-US"/>
        </w:rPr>
        <w:t xml:space="preserve"> Mutual Credit Union Ltd </w:t>
      </w:r>
      <w:r w:rsidRPr="0000355E">
        <w:rPr>
          <w:sz w:val="22"/>
          <w:szCs w:val="22"/>
          <w:lang w:val="en-US"/>
        </w:rPr>
        <w:tab/>
      </w:r>
    </w:p>
    <w:p w:rsidR="0051377F" w:rsidRPr="0000355E" w:rsidRDefault="0051377F" w:rsidP="0000355E">
      <w:pPr>
        <w:tabs>
          <w:tab w:val="left" w:pos="5670"/>
        </w:tabs>
        <w:ind w:left="720"/>
        <w:rPr>
          <w:sz w:val="22"/>
          <w:szCs w:val="22"/>
          <w:lang w:val="en-US"/>
        </w:rPr>
      </w:pPr>
      <w:r w:rsidRPr="0000355E">
        <w:rPr>
          <w:sz w:val="22"/>
          <w:szCs w:val="22"/>
          <w:lang w:val="en-US"/>
        </w:rPr>
        <w:t>Warwick Credit Union Ltd</w:t>
      </w:r>
    </w:p>
    <w:p w:rsidR="0051377F" w:rsidRPr="0000355E" w:rsidRDefault="0051377F" w:rsidP="0000355E">
      <w:pPr>
        <w:tabs>
          <w:tab w:val="left" w:pos="5670"/>
        </w:tabs>
        <w:ind w:left="720"/>
        <w:rPr>
          <w:sz w:val="22"/>
          <w:szCs w:val="22"/>
          <w:lang w:val="en-US"/>
        </w:rPr>
      </w:pPr>
      <w:r w:rsidRPr="0000355E">
        <w:rPr>
          <w:sz w:val="22"/>
          <w:szCs w:val="22"/>
          <w:lang w:val="en-US"/>
        </w:rPr>
        <w:t>WAW Credit Union Co-Operative Limited</w:t>
      </w:r>
    </w:p>
    <w:p w:rsidR="0051377F" w:rsidRPr="0000355E" w:rsidRDefault="0051377F" w:rsidP="0000355E">
      <w:pPr>
        <w:tabs>
          <w:tab w:val="left" w:pos="5670"/>
        </w:tabs>
        <w:ind w:left="720"/>
        <w:rPr>
          <w:sz w:val="22"/>
          <w:szCs w:val="22"/>
          <w:lang w:val="en-US"/>
        </w:rPr>
      </w:pPr>
      <w:r w:rsidRPr="0000355E">
        <w:rPr>
          <w:sz w:val="22"/>
          <w:szCs w:val="22"/>
          <w:lang w:val="en-US"/>
        </w:rPr>
        <w:t>Woolworths Employees' Credit Union Limited</w:t>
      </w:r>
    </w:p>
    <w:p w:rsidR="00E90B71" w:rsidRDefault="0051377F" w:rsidP="00A80987">
      <w:pPr>
        <w:tabs>
          <w:tab w:val="left" w:pos="5670"/>
        </w:tabs>
        <w:ind w:left="720"/>
        <w:rPr>
          <w:b/>
          <w:sz w:val="28"/>
          <w:szCs w:val="28"/>
          <w:lang w:val="en-US"/>
        </w:rPr>
      </w:pPr>
      <w:proofErr w:type="spellStart"/>
      <w:r w:rsidRPr="0000355E">
        <w:rPr>
          <w:sz w:val="22"/>
          <w:szCs w:val="22"/>
          <w:lang w:val="en-US"/>
        </w:rPr>
        <w:t>Wyong</w:t>
      </w:r>
      <w:proofErr w:type="spellEnd"/>
      <w:r w:rsidRPr="0000355E">
        <w:rPr>
          <w:sz w:val="22"/>
          <w:szCs w:val="22"/>
          <w:lang w:val="en-US"/>
        </w:rPr>
        <w:t xml:space="preserve"> Council Credit Union Ltd</w:t>
      </w:r>
      <w:r w:rsidR="00E90B71">
        <w:rPr>
          <w:b/>
          <w:sz w:val="28"/>
          <w:szCs w:val="28"/>
          <w:lang w:val="en-US"/>
        </w:rPr>
        <w:br w:type="page"/>
      </w:r>
    </w:p>
    <w:p w:rsidR="00843FF7" w:rsidRPr="00843FF7" w:rsidRDefault="00843FF7" w:rsidP="00843FF7">
      <w:pPr>
        <w:jc w:val="center"/>
        <w:rPr>
          <w:b/>
          <w:sz w:val="28"/>
          <w:szCs w:val="28"/>
          <w:lang w:val="en-US"/>
        </w:rPr>
      </w:pPr>
      <w:r w:rsidRPr="00843FF7">
        <w:rPr>
          <w:b/>
          <w:sz w:val="28"/>
          <w:szCs w:val="28"/>
          <w:lang w:val="en-US"/>
        </w:rPr>
        <w:lastRenderedPageBreak/>
        <w:t>Statement of Compatibility with Human Rights</w:t>
      </w:r>
    </w:p>
    <w:p w:rsidR="00843FF7" w:rsidRPr="00843FF7" w:rsidRDefault="00843FF7" w:rsidP="00843FF7">
      <w:pPr>
        <w:spacing w:before="120" w:after="120"/>
        <w:jc w:val="center"/>
        <w:rPr>
          <w:lang w:val="en-US"/>
        </w:rPr>
      </w:pPr>
      <w:r w:rsidRPr="00843FF7">
        <w:rPr>
          <w:i/>
          <w:lang w:val="en-US"/>
        </w:rPr>
        <w:t>Prepared in accordance with Part 3 of the Human Rights (Parliamentary Scrutiny) Act 2011</w:t>
      </w:r>
    </w:p>
    <w:p w:rsidR="00843FF7" w:rsidRPr="00843FF7" w:rsidRDefault="00843FF7" w:rsidP="00843FF7">
      <w:pPr>
        <w:spacing w:before="120" w:after="120"/>
        <w:jc w:val="center"/>
        <w:rPr>
          <w:b/>
          <w:lang w:val="en-US"/>
        </w:rPr>
      </w:pPr>
      <w:r w:rsidRPr="00843FF7">
        <w:rPr>
          <w:b/>
          <w:i/>
          <w:lang w:val="en-US"/>
        </w:rPr>
        <w:t xml:space="preserve">A New Tax System (Goods and Services Tax) Amendment Regulation 2012 (No. </w:t>
      </w:r>
      <w:r w:rsidR="00605E48">
        <w:rPr>
          <w:b/>
          <w:i/>
          <w:lang w:val="en-US"/>
        </w:rPr>
        <w:t>4</w:t>
      </w:r>
      <w:r w:rsidRPr="00843FF7">
        <w:rPr>
          <w:b/>
          <w:i/>
          <w:lang w:val="en-US"/>
        </w:rPr>
        <w:t>)</w:t>
      </w:r>
    </w:p>
    <w:p w:rsidR="00C619BB" w:rsidRPr="00E90B71" w:rsidRDefault="00C619BB" w:rsidP="00C619BB">
      <w:pPr>
        <w:pStyle w:val="Heading3"/>
        <w:rPr>
          <w:b w:val="0"/>
        </w:rPr>
      </w:pPr>
      <w:r w:rsidRPr="00E90B71">
        <w:rPr>
          <w:b w:val="0"/>
        </w:rPr>
        <w:t xml:space="preserve">This </w:t>
      </w:r>
      <w:r w:rsidR="00315FF1" w:rsidRPr="008F4226">
        <w:rPr>
          <w:b w:val="0"/>
          <w:lang w:val="en-US"/>
        </w:rPr>
        <w:t>Legislative Instrument</w:t>
      </w:r>
      <w:r w:rsidR="00315FF1" w:rsidRPr="00454B09">
        <w:rPr>
          <w:lang w:val="en-US"/>
        </w:rPr>
        <w:t xml:space="preserve"> </w:t>
      </w:r>
      <w:r w:rsidRPr="00E90B71">
        <w:rPr>
          <w:b w:val="0"/>
        </w:rPr>
        <w:t xml:space="preserve">is compatible with the human rights and freedoms recognised or declared in the international instruments listed in section 3 of the </w:t>
      </w:r>
      <w:r w:rsidRPr="00E90B71">
        <w:rPr>
          <w:b w:val="0"/>
          <w:i/>
        </w:rPr>
        <w:t>Human Rights (Parliamentary Scrutiny) Act 2011</w:t>
      </w:r>
      <w:r w:rsidRPr="00E90B71">
        <w:rPr>
          <w:b w:val="0"/>
        </w:rPr>
        <w:t>.</w:t>
      </w:r>
    </w:p>
    <w:p w:rsidR="00C619BB" w:rsidRPr="00BB19FD" w:rsidRDefault="00C619BB" w:rsidP="00E90B71">
      <w:pPr>
        <w:pStyle w:val="base-text-paragraph"/>
        <w:ind w:left="0"/>
      </w:pPr>
    </w:p>
    <w:p w:rsidR="00C619BB" w:rsidRPr="00BB19FD" w:rsidRDefault="00C619BB" w:rsidP="00C619BB">
      <w:pPr>
        <w:pStyle w:val="NoSpacing"/>
        <w:rPr>
          <w:b/>
        </w:rPr>
      </w:pPr>
      <w:r w:rsidRPr="00BB19FD">
        <w:rPr>
          <w:b/>
        </w:rPr>
        <w:t>Overview</w:t>
      </w:r>
    </w:p>
    <w:p w:rsidR="00114EFC" w:rsidRDefault="00E90B71" w:rsidP="00114EFC">
      <w:pPr>
        <w:tabs>
          <w:tab w:val="left" w:pos="1701"/>
          <w:tab w:val="right" w:pos="9072"/>
        </w:tabs>
        <w:spacing w:line="240" w:lineRule="exact"/>
        <w:ind w:right="91"/>
      </w:pPr>
      <w:r w:rsidRPr="00E90B71">
        <w:rPr>
          <w:rFonts w:cs="Helvetica"/>
          <w:lang w:val="en-US"/>
        </w:rPr>
        <w:t xml:space="preserve">The purpose of the Legislative Instrument is to </w:t>
      </w:r>
      <w:r w:rsidRPr="00E90B71">
        <w:rPr>
          <w:rFonts w:cs="Helvetica"/>
        </w:rPr>
        <w:t>amend the</w:t>
      </w:r>
      <w:r w:rsidRPr="00E90B71">
        <w:rPr>
          <w:rFonts w:cs="Helvetica"/>
          <w:i/>
        </w:rPr>
        <w:t xml:space="preserve"> A New Tax System (Goods and Services Tax) Regulations 1999</w:t>
      </w:r>
      <w:r>
        <w:rPr>
          <w:rFonts w:cs="Helvetica"/>
          <w:i/>
        </w:rPr>
        <w:t xml:space="preserve"> </w:t>
      </w:r>
      <w:r w:rsidRPr="00E90B71">
        <w:rPr>
          <w:rFonts w:cs="Helvetica"/>
        </w:rPr>
        <w:t>(the Principal Regulations)</w:t>
      </w:r>
      <w:r w:rsidRPr="00E90B71">
        <w:rPr>
          <w:rFonts w:cs="Helvetica"/>
          <w:i/>
        </w:rPr>
        <w:t xml:space="preserve"> </w:t>
      </w:r>
      <w:r w:rsidR="00114EFC">
        <w:t>to restore access to a reduced input tax credit for specified credit unions who rebrand as a bank but do not otherwise change their corporate structure.</w:t>
      </w:r>
    </w:p>
    <w:p w:rsidR="00C619BB" w:rsidRPr="005C2AF0" w:rsidRDefault="00C619BB" w:rsidP="00114EFC">
      <w:pPr>
        <w:pStyle w:val="NoSpacing"/>
        <w:keepNext/>
        <w:rPr>
          <w:rFonts w:cs="Helvetica"/>
        </w:rPr>
      </w:pPr>
    </w:p>
    <w:p w:rsidR="00C619BB" w:rsidRPr="00BB19FD" w:rsidRDefault="00C619BB" w:rsidP="00C619BB">
      <w:pPr>
        <w:pStyle w:val="NoSpacing"/>
        <w:rPr>
          <w:b/>
        </w:rPr>
      </w:pPr>
      <w:r w:rsidRPr="00BB19FD">
        <w:rPr>
          <w:b/>
        </w:rPr>
        <w:t>Human rights implications</w:t>
      </w:r>
    </w:p>
    <w:p w:rsidR="00C619BB" w:rsidRDefault="00C619BB" w:rsidP="00C619BB">
      <w:pPr>
        <w:pStyle w:val="NoSpacing"/>
      </w:pPr>
      <w:r>
        <w:rPr>
          <w:szCs w:val="24"/>
        </w:rPr>
        <w:t>The Regulation does not engage any of the applicable rights or freedoms.</w:t>
      </w:r>
    </w:p>
    <w:p w:rsidR="00C619BB" w:rsidRDefault="00C619BB" w:rsidP="00C619BB">
      <w:pPr>
        <w:pStyle w:val="NoSpacing"/>
        <w:rPr>
          <w:b/>
        </w:rPr>
      </w:pPr>
    </w:p>
    <w:p w:rsidR="00C619BB" w:rsidRPr="00F711A4" w:rsidRDefault="00C619BB" w:rsidP="00C619BB">
      <w:pPr>
        <w:pStyle w:val="NoSpacing"/>
        <w:rPr>
          <w:b/>
        </w:rPr>
      </w:pPr>
      <w:r w:rsidRPr="00F711A4">
        <w:rPr>
          <w:b/>
        </w:rPr>
        <w:t>Conclusion</w:t>
      </w:r>
    </w:p>
    <w:p w:rsidR="00C619BB" w:rsidRDefault="00C619BB" w:rsidP="00C619BB">
      <w:pPr>
        <w:pStyle w:val="NoSpacing"/>
      </w:pPr>
      <w:r>
        <w:t xml:space="preserve">This Regulation is compatible with human rights as it does not raise any human rights issues. </w:t>
      </w:r>
    </w:p>
    <w:p w:rsidR="00C619BB" w:rsidRDefault="00C619BB" w:rsidP="00C619BB"/>
    <w:p w:rsidR="00C619BB" w:rsidRDefault="00C619BB" w:rsidP="00C619BB"/>
    <w:p w:rsidR="00C619BB" w:rsidRDefault="00C619BB" w:rsidP="00C619BB"/>
    <w:p w:rsidR="00C619BB" w:rsidRPr="00C619BB" w:rsidRDefault="00C619BB" w:rsidP="00C619BB">
      <w:pPr>
        <w:tabs>
          <w:tab w:val="left" w:pos="2715"/>
        </w:tabs>
      </w:pPr>
    </w:p>
    <w:sectPr w:rsidR="00C619BB" w:rsidRPr="00C619BB" w:rsidSect="00291E34">
      <w:headerReference w:type="even" r:id="rId8"/>
      <w:headerReference w:type="default" r:id="rId9"/>
      <w:footerReference w:type="even" r:id="rId10"/>
      <w:footerReference w:type="default" r:id="rId11"/>
      <w:headerReference w:type="first" r:id="rId12"/>
      <w:footerReference w:type="first" r:id="rId13"/>
      <w:pgSz w:w="11906" w:h="16838" w:code="9"/>
      <w:pgMar w:top="1134" w:right="1797" w:bottom="1134" w:left="179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0E" w:rsidRDefault="00363C0E" w:rsidP="006274DA">
      <w:r>
        <w:separator/>
      </w:r>
    </w:p>
  </w:endnote>
  <w:endnote w:type="continuationSeparator" w:id="0">
    <w:p w:rsidR="00363C0E" w:rsidRDefault="00363C0E" w:rsidP="00627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B0" w:rsidRDefault="00A914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B0" w:rsidRDefault="00A914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B0" w:rsidRDefault="00A91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0E" w:rsidRDefault="00363C0E" w:rsidP="006274DA">
      <w:r>
        <w:separator/>
      </w:r>
    </w:p>
  </w:footnote>
  <w:footnote w:type="continuationSeparator" w:id="0">
    <w:p w:rsidR="00363C0E" w:rsidRDefault="00363C0E" w:rsidP="00627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B0" w:rsidRDefault="00A91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B0" w:rsidRDefault="00A914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B0" w:rsidRDefault="00A914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B73"/>
    <w:multiLevelType w:val="multilevel"/>
    <w:tmpl w:val="90A23DE6"/>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3724BC5"/>
    <w:multiLevelType w:val="multilevel"/>
    <w:tmpl w:val="9002236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808"/>
  <w:defaultTabStop w:val="720"/>
  <w:noPunctuationKerning/>
  <w:characterSpacingControl w:val="doNotCompress"/>
  <w:hdrShapeDefaults>
    <o:shapedefaults v:ext="edit" spidmax="4097"/>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
  <w:rsids>
    <w:rsidRoot w:val="00AA0ACF"/>
    <w:rsid w:val="0000355E"/>
    <w:rsid w:val="00011115"/>
    <w:rsid w:val="00040E4A"/>
    <w:rsid w:val="0004144A"/>
    <w:rsid w:val="00042236"/>
    <w:rsid w:val="00043F8B"/>
    <w:rsid w:val="0006283C"/>
    <w:rsid w:val="00070137"/>
    <w:rsid w:val="000B1AEC"/>
    <w:rsid w:val="000C1455"/>
    <w:rsid w:val="000D5EE4"/>
    <w:rsid w:val="000E0C8F"/>
    <w:rsid w:val="000E1504"/>
    <w:rsid w:val="00100FB3"/>
    <w:rsid w:val="001130B9"/>
    <w:rsid w:val="00114EFC"/>
    <w:rsid w:val="00135BF8"/>
    <w:rsid w:val="00153035"/>
    <w:rsid w:val="0015402B"/>
    <w:rsid w:val="00170311"/>
    <w:rsid w:val="00190CDC"/>
    <w:rsid w:val="001B31F6"/>
    <w:rsid w:val="001D0B44"/>
    <w:rsid w:val="001D1019"/>
    <w:rsid w:val="001E016E"/>
    <w:rsid w:val="001E5882"/>
    <w:rsid w:val="001E5EBD"/>
    <w:rsid w:val="001E7804"/>
    <w:rsid w:val="001F2545"/>
    <w:rsid w:val="00201153"/>
    <w:rsid w:val="00212B35"/>
    <w:rsid w:val="00213F22"/>
    <w:rsid w:val="00232EE1"/>
    <w:rsid w:val="00232F6A"/>
    <w:rsid w:val="00240939"/>
    <w:rsid w:val="00241127"/>
    <w:rsid w:val="0025211A"/>
    <w:rsid w:val="00291E34"/>
    <w:rsid w:val="00295A58"/>
    <w:rsid w:val="002C0B5A"/>
    <w:rsid w:val="002C7ADE"/>
    <w:rsid w:val="002D7072"/>
    <w:rsid w:val="002F691A"/>
    <w:rsid w:val="00300A3F"/>
    <w:rsid w:val="00312DBD"/>
    <w:rsid w:val="00315FF1"/>
    <w:rsid w:val="0034089A"/>
    <w:rsid w:val="00361D23"/>
    <w:rsid w:val="00363C0E"/>
    <w:rsid w:val="003724F8"/>
    <w:rsid w:val="00381C7B"/>
    <w:rsid w:val="003844E5"/>
    <w:rsid w:val="00384DDF"/>
    <w:rsid w:val="00391951"/>
    <w:rsid w:val="003A42CF"/>
    <w:rsid w:val="003B3AB5"/>
    <w:rsid w:val="003C1923"/>
    <w:rsid w:val="003D37CB"/>
    <w:rsid w:val="003D68C1"/>
    <w:rsid w:val="003F38B6"/>
    <w:rsid w:val="0040353E"/>
    <w:rsid w:val="00413270"/>
    <w:rsid w:val="00431473"/>
    <w:rsid w:val="00436E81"/>
    <w:rsid w:val="00443C24"/>
    <w:rsid w:val="0044428A"/>
    <w:rsid w:val="00446E86"/>
    <w:rsid w:val="00450033"/>
    <w:rsid w:val="004804AE"/>
    <w:rsid w:val="00482B7E"/>
    <w:rsid w:val="004D768C"/>
    <w:rsid w:val="004E334A"/>
    <w:rsid w:val="0050053C"/>
    <w:rsid w:val="00503EB2"/>
    <w:rsid w:val="00507FC1"/>
    <w:rsid w:val="005103FE"/>
    <w:rsid w:val="0051377F"/>
    <w:rsid w:val="00571594"/>
    <w:rsid w:val="00582A03"/>
    <w:rsid w:val="00597349"/>
    <w:rsid w:val="005A1602"/>
    <w:rsid w:val="005A7683"/>
    <w:rsid w:val="005B66BF"/>
    <w:rsid w:val="005C315B"/>
    <w:rsid w:val="005D4362"/>
    <w:rsid w:val="005E1DBE"/>
    <w:rsid w:val="005F6B50"/>
    <w:rsid w:val="00605E48"/>
    <w:rsid w:val="00607977"/>
    <w:rsid w:val="006274DA"/>
    <w:rsid w:val="006342EC"/>
    <w:rsid w:val="0063507E"/>
    <w:rsid w:val="0063640F"/>
    <w:rsid w:val="00651227"/>
    <w:rsid w:val="006568A0"/>
    <w:rsid w:val="00671CBF"/>
    <w:rsid w:val="006762EB"/>
    <w:rsid w:val="0068271C"/>
    <w:rsid w:val="00711912"/>
    <w:rsid w:val="00747149"/>
    <w:rsid w:val="00771645"/>
    <w:rsid w:val="00773874"/>
    <w:rsid w:val="00782B23"/>
    <w:rsid w:val="007A3BBA"/>
    <w:rsid w:val="007C6D3E"/>
    <w:rsid w:val="007E1CF0"/>
    <w:rsid w:val="007F175F"/>
    <w:rsid w:val="008208BC"/>
    <w:rsid w:val="00820CC0"/>
    <w:rsid w:val="008267AE"/>
    <w:rsid w:val="00826970"/>
    <w:rsid w:val="008310EB"/>
    <w:rsid w:val="0083728E"/>
    <w:rsid w:val="00843FF7"/>
    <w:rsid w:val="00855237"/>
    <w:rsid w:val="00855661"/>
    <w:rsid w:val="008702CE"/>
    <w:rsid w:val="0087465B"/>
    <w:rsid w:val="008834BE"/>
    <w:rsid w:val="00895AC4"/>
    <w:rsid w:val="008A1801"/>
    <w:rsid w:val="008A3E1F"/>
    <w:rsid w:val="008B662B"/>
    <w:rsid w:val="008C59F7"/>
    <w:rsid w:val="008C6A6C"/>
    <w:rsid w:val="008E4A06"/>
    <w:rsid w:val="008F4226"/>
    <w:rsid w:val="008F5570"/>
    <w:rsid w:val="00903828"/>
    <w:rsid w:val="009306D3"/>
    <w:rsid w:val="00935A7B"/>
    <w:rsid w:val="0093710F"/>
    <w:rsid w:val="0096072F"/>
    <w:rsid w:val="009619FE"/>
    <w:rsid w:val="00965AB4"/>
    <w:rsid w:val="00971177"/>
    <w:rsid w:val="00971762"/>
    <w:rsid w:val="00971962"/>
    <w:rsid w:val="0098391C"/>
    <w:rsid w:val="009A24E0"/>
    <w:rsid w:val="009A797F"/>
    <w:rsid w:val="009B0880"/>
    <w:rsid w:val="009D11F9"/>
    <w:rsid w:val="009F36E9"/>
    <w:rsid w:val="009F6C84"/>
    <w:rsid w:val="00A02602"/>
    <w:rsid w:val="00A06312"/>
    <w:rsid w:val="00A107DB"/>
    <w:rsid w:val="00A120CC"/>
    <w:rsid w:val="00A20BBB"/>
    <w:rsid w:val="00A21032"/>
    <w:rsid w:val="00A3138C"/>
    <w:rsid w:val="00A32B49"/>
    <w:rsid w:val="00A347F5"/>
    <w:rsid w:val="00A5616B"/>
    <w:rsid w:val="00A568AD"/>
    <w:rsid w:val="00A609BA"/>
    <w:rsid w:val="00A62831"/>
    <w:rsid w:val="00A71803"/>
    <w:rsid w:val="00A80694"/>
    <w:rsid w:val="00A80987"/>
    <w:rsid w:val="00A85A7F"/>
    <w:rsid w:val="00A914B0"/>
    <w:rsid w:val="00A9150A"/>
    <w:rsid w:val="00AA0ACF"/>
    <w:rsid w:val="00AA10FE"/>
    <w:rsid w:val="00AB2894"/>
    <w:rsid w:val="00AB2C81"/>
    <w:rsid w:val="00AB5A57"/>
    <w:rsid w:val="00AC05F2"/>
    <w:rsid w:val="00AC4D38"/>
    <w:rsid w:val="00B15F86"/>
    <w:rsid w:val="00B338E0"/>
    <w:rsid w:val="00B45ECD"/>
    <w:rsid w:val="00B52859"/>
    <w:rsid w:val="00B632AD"/>
    <w:rsid w:val="00B656C9"/>
    <w:rsid w:val="00B661D7"/>
    <w:rsid w:val="00B76C57"/>
    <w:rsid w:val="00B805B9"/>
    <w:rsid w:val="00B82C1B"/>
    <w:rsid w:val="00B97491"/>
    <w:rsid w:val="00BA722B"/>
    <w:rsid w:val="00BB1009"/>
    <w:rsid w:val="00BB264F"/>
    <w:rsid w:val="00BB339C"/>
    <w:rsid w:val="00BC34A9"/>
    <w:rsid w:val="00BD2C71"/>
    <w:rsid w:val="00BF29D0"/>
    <w:rsid w:val="00C0086E"/>
    <w:rsid w:val="00C0404D"/>
    <w:rsid w:val="00C14EA5"/>
    <w:rsid w:val="00C1622E"/>
    <w:rsid w:val="00C45B6B"/>
    <w:rsid w:val="00C475F7"/>
    <w:rsid w:val="00C619BB"/>
    <w:rsid w:val="00C701F0"/>
    <w:rsid w:val="00C71986"/>
    <w:rsid w:val="00C84EBA"/>
    <w:rsid w:val="00CC1FFE"/>
    <w:rsid w:val="00CD06FA"/>
    <w:rsid w:val="00CD3922"/>
    <w:rsid w:val="00CD3A22"/>
    <w:rsid w:val="00CD64FA"/>
    <w:rsid w:val="00CE00B3"/>
    <w:rsid w:val="00CF2FAD"/>
    <w:rsid w:val="00D046AB"/>
    <w:rsid w:val="00D054F5"/>
    <w:rsid w:val="00D16DF2"/>
    <w:rsid w:val="00D36851"/>
    <w:rsid w:val="00D563BD"/>
    <w:rsid w:val="00D6279A"/>
    <w:rsid w:val="00DC7D0B"/>
    <w:rsid w:val="00DD7ACE"/>
    <w:rsid w:val="00DE0051"/>
    <w:rsid w:val="00DF2FA4"/>
    <w:rsid w:val="00E00F1F"/>
    <w:rsid w:val="00E01F8A"/>
    <w:rsid w:val="00E24BDC"/>
    <w:rsid w:val="00E26409"/>
    <w:rsid w:val="00E36299"/>
    <w:rsid w:val="00E90B71"/>
    <w:rsid w:val="00EA3DD1"/>
    <w:rsid w:val="00EB10BA"/>
    <w:rsid w:val="00ED4B5E"/>
    <w:rsid w:val="00ED5C44"/>
    <w:rsid w:val="00EE613C"/>
    <w:rsid w:val="00F25066"/>
    <w:rsid w:val="00F31B92"/>
    <w:rsid w:val="00F456CD"/>
    <w:rsid w:val="00F619C2"/>
    <w:rsid w:val="00F6284F"/>
    <w:rsid w:val="00F7114F"/>
    <w:rsid w:val="00F96910"/>
    <w:rsid w:val="00FB0C3E"/>
    <w:rsid w:val="00FC678B"/>
    <w:rsid w:val="00FF2F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rsid w:val="00291E34"/>
    <w:pPr>
      <w:keepNext/>
      <w:spacing w:before="240" w:after="360"/>
      <w:outlineLvl w:val="0"/>
    </w:pPr>
    <w:rPr>
      <w:b/>
      <w:caps/>
      <w:sz w:val="28"/>
    </w:rPr>
  </w:style>
  <w:style w:type="paragraph" w:styleId="Heading2">
    <w:name w:val="heading 2"/>
    <w:basedOn w:val="Normal"/>
    <w:next w:val="Normal"/>
    <w:qFormat/>
    <w:rsid w:val="00291E34"/>
    <w:pPr>
      <w:keepNext/>
      <w:spacing w:before="120"/>
      <w:outlineLvl w:val="1"/>
    </w:pPr>
    <w:rPr>
      <w:b/>
      <w:caps/>
    </w:rPr>
  </w:style>
  <w:style w:type="paragraph" w:styleId="Heading3">
    <w:name w:val="heading 3"/>
    <w:basedOn w:val="Normal"/>
    <w:next w:val="Normal"/>
    <w:qFormat/>
    <w:rsid w:val="00291E34"/>
    <w:pPr>
      <w:keepNext/>
      <w:spacing w:before="60"/>
      <w:outlineLvl w:val="2"/>
    </w:pPr>
    <w:rPr>
      <w:b/>
    </w:rPr>
  </w:style>
  <w:style w:type="paragraph" w:styleId="Heading4">
    <w:name w:val="heading 4"/>
    <w:basedOn w:val="Normal"/>
    <w:next w:val="Normal"/>
    <w:qFormat/>
    <w:rsid w:val="00291E34"/>
    <w:pPr>
      <w:keepNext/>
      <w:outlineLvl w:val="3"/>
    </w:pPr>
    <w:rPr>
      <w:i/>
      <w:sz w:val="20"/>
    </w:rPr>
  </w:style>
  <w:style w:type="paragraph" w:styleId="Heading6">
    <w:name w:val="heading 6"/>
    <w:basedOn w:val="Normal"/>
    <w:next w:val="Normal"/>
    <w:qFormat/>
    <w:rsid w:val="00291E3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291E34"/>
  </w:style>
  <w:style w:type="paragraph" w:customStyle="1" w:styleId="ChartMainHeading">
    <w:name w:val="Chart Main Heading"/>
    <w:basedOn w:val="SingleParagraph"/>
    <w:next w:val="Normal"/>
    <w:rsid w:val="00291E34"/>
    <w:pPr>
      <w:jc w:val="center"/>
    </w:pPr>
    <w:rPr>
      <w:b/>
      <w:caps/>
    </w:rPr>
  </w:style>
  <w:style w:type="paragraph" w:customStyle="1" w:styleId="ChartSecondHeading">
    <w:name w:val="Chart Second Heading"/>
    <w:basedOn w:val="SingleParagraph"/>
    <w:next w:val="Normal"/>
    <w:rsid w:val="00291E34"/>
    <w:pPr>
      <w:jc w:val="center"/>
    </w:pPr>
    <w:rPr>
      <w:b/>
    </w:rPr>
  </w:style>
  <w:style w:type="paragraph" w:customStyle="1" w:styleId="TableMainHeading">
    <w:name w:val="Table Main Heading"/>
    <w:basedOn w:val="Heading2"/>
    <w:next w:val="Normal"/>
    <w:rsid w:val="00291E34"/>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607977"/>
    <w:rPr>
      <w:rFonts w:ascii="Tahoma" w:hAnsi="Tahoma" w:cs="Tahoma"/>
      <w:sz w:val="16"/>
      <w:szCs w:val="16"/>
    </w:rPr>
  </w:style>
  <w:style w:type="character" w:customStyle="1" w:styleId="BalloonTextChar">
    <w:name w:val="Balloon Text Char"/>
    <w:basedOn w:val="DefaultParagraphFont"/>
    <w:link w:val="BalloonText"/>
    <w:uiPriority w:val="99"/>
    <w:semiHidden/>
    <w:rsid w:val="00607977"/>
    <w:rPr>
      <w:rFonts w:ascii="Tahoma" w:hAnsi="Tahoma" w:cs="Tahoma"/>
      <w:sz w:val="16"/>
      <w:szCs w:val="16"/>
    </w:rPr>
  </w:style>
  <w:style w:type="paragraph" w:styleId="ListParagraph">
    <w:name w:val="List Paragraph"/>
    <w:basedOn w:val="Normal"/>
    <w:uiPriority w:val="34"/>
    <w:qFormat/>
    <w:rsid w:val="00070137"/>
    <w:pPr>
      <w:spacing w:after="240"/>
      <w:ind w:left="720"/>
      <w:contextualSpacing/>
    </w:pPr>
  </w:style>
  <w:style w:type="character" w:styleId="CommentReference">
    <w:name w:val="annotation reference"/>
    <w:basedOn w:val="DefaultParagraphFont"/>
    <w:uiPriority w:val="99"/>
    <w:semiHidden/>
    <w:unhideWhenUsed/>
    <w:rsid w:val="00070137"/>
    <w:rPr>
      <w:sz w:val="16"/>
      <w:szCs w:val="16"/>
    </w:rPr>
  </w:style>
  <w:style w:type="paragraph" w:styleId="CommentText">
    <w:name w:val="annotation text"/>
    <w:basedOn w:val="Normal"/>
    <w:link w:val="CommentTextChar"/>
    <w:uiPriority w:val="99"/>
    <w:semiHidden/>
    <w:unhideWhenUsed/>
    <w:rsid w:val="00070137"/>
    <w:rPr>
      <w:sz w:val="20"/>
    </w:rPr>
  </w:style>
  <w:style w:type="character" w:customStyle="1" w:styleId="CommentTextChar">
    <w:name w:val="Comment Text Char"/>
    <w:basedOn w:val="DefaultParagraphFont"/>
    <w:link w:val="CommentText"/>
    <w:uiPriority w:val="99"/>
    <w:semiHidden/>
    <w:rsid w:val="00070137"/>
  </w:style>
  <w:style w:type="paragraph" w:styleId="CommentSubject">
    <w:name w:val="annotation subject"/>
    <w:basedOn w:val="CommentText"/>
    <w:next w:val="CommentText"/>
    <w:link w:val="CommentSubjectChar"/>
    <w:uiPriority w:val="99"/>
    <w:semiHidden/>
    <w:unhideWhenUsed/>
    <w:rsid w:val="00070137"/>
    <w:rPr>
      <w:b/>
      <w:bCs/>
    </w:rPr>
  </w:style>
  <w:style w:type="character" w:customStyle="1" w:styleId="CommentSubjectChar">
    <w:name w:val="Comment Subject Char"/>
    <w:basedOn w:val="CommentTextChar"/>
    <w:link w:val="CommentSubject"/>
    <w:uiPriority w:val="99"/>
    <w:semiHidden/>
    <w:rsid w:val="00070137"/>
    <w:rPr>
      <w:b/>
      <w:bCs/>
    </w:rPr>
  </w:style>
  <w:style w:type="paragraph" w:styleId="Revision">
    <w:name w:val="Revision"/>
    <w:hidden/>
    <w:uiPriority w:val="99"/>
    <w:semiHidden/>
    <w:rsid w:val="00B82C1B"/>
    <w:rPr>
      <w:sz w:val="24"/>
    </w:rPr>
  </w:style>
  <w:style w:type="character" w:styleId="Emphasis">
    <w:name w:val="Emphasis"/>
    <w:basedOn w:val="DefaultParagraphFont"/>
    <w:uiPriority w:val="20"/>
    <w:qFormat/>
    <w:rsid w:val="002D7072"/>
    <w:rPr>
      <w:i/>
      <w:iCs/>
    </w:rPr>
  </w:style>
  <w:style w:type="paragraph" w:styleId="Header">
    <w:name w:val="header"/>
    <w:basedOn w:val="Normal"/>
    <w:link w:val="HeaderChar"/>
    <w:uiPriority w:val="99"/>
    <w:unhideWhenUsed/>
    <w:rsid w:val="006274DA"/>
    <w:pPr>
      <w:tabs>
        <w:tab w:val="center" w:pos="4513"/>
        <w:tab w:val="right" w:pos="9026"/>
      </w:tabs>
    </w:pPr>
  </w:style>
  <w:style w:type="character" w:customStyle="1" w:styleId="HeaderChar">
    <w:name w:val="Header Char"/>
    <w:basedOn w:val="DefaultParagraphFont"/>
    <w:link w:val="Header"/>
    <w:uiPriority w:val="99"/>
    <w:rsid w:val="006274DA"/>
    <w:rPr>
      <w:sz w:val="24"/>
    </w:rPr>
  </w:style>
  <w:style w:type="paragraph" w:styleId="Footer">
    <w:name w:val="footer"/>
    <w:basedOn w:val="Normal"/>
    <w:link w:val="FooterChar"/>
    <w:uiPriority w:val="99"/>
    <w:unhideWhenUsed/>
    <w:rsid w:val="006274DA"/>
    <w:pPr>
      <w:tabs>
        <w:tab w:val="center" w:pos="4513"/>
        <w:tab w:val="right" w:pos="9026"/>
      </w:tabs>
    </w:pPr>
  </w:style>
  <w:style w:type="character" w:customStyle="1" w:styleId="FooterChar">
    <w:name w:val="Footer Char"/>
    <w:basedOn w:val="DefaultParagraphFont"/>
    <w:link w:val="Footer"/>
    <w:uiPriority w:val="99"/>
    <w:rsid w:val="006274DA"/>
    <w:rPr>
      <w:sz w:val="24"/>
    </w:rPr>
  </w:style>
  <w:style w:type="paragraph" w:customStyle="1" w:styleId="base-text-paragraph">
    <w:name w:val="base-text-paragraph"/>
    <w:link w:val="base-text-paragraphChar"/>
    <w:rsid w:val="00C619BB"/>
    <w:pPr>
      <w:tabs>
        <w:tab w:val="left" w:pos="1987"/>
      </w:tabs>
      <w:spacing w:before="120" w:after="120"/>
      <w:ind w:left="1140"/>
    </w:pPr>
    <w:rPr>
      <w:sz w:val="24"/>
    </w:rPr>
  </w:style>
  <w:style w:type="character" w:customStyle="1" w:styleId="base-text-paragraphChar">
    <w:name w:val="base-text-paragraph Char"/>
    <w:link w:val="base-text-paragraph"/>
    <w:locked/>
    <w:rsid w:val="00C619BB"/>
    <w:rPr>
      <w:sz w:val="24"/>
    </w:rPr>
  </w:style>
  <w:style w:type="paragraph" w:styleId="NoSpacing">
    <w:name w:val="No Spacing"/>
    <w:uiPriority w:val="1"/>
    <w:qFormat/>
    <w:rsid w:val="00C619BB"/>
    <w:rPr>
      <w:sz w:val="24"/>
    </w:rPr>
  </w:style>
  <w:style w:type="paragraph" w:customStyle="1" w:styleId="Bullet">
    <w:name w:val="Bullet"/>
    <w:basedOn w:val="Normal"/>
    <w:link w:val="BulletChar"/>
    <w:rsid w:val="00241127"/>
    <w:pPr>
      <w:numPr>
        <w:numId w:val="2"/>
      </w:numPr>
      <w:tabs>
        <w:tab w:val="left" w:pos="1701"/>
        <w:tab w:val="right" w:pos="9072"/>
      </w:tabs>
      <w:spacing w:line="240" w:lineRule="exact"/>
      <w:ind w:right="91"/>
    </w:pPr>
  </w:style>
  <w:style w:type="character" w:customStyle="1" w:styleId="BulletChar">
    <w:name w:val="Bullet Char"/>
    <w:basedOn w:val="DefaultParagraphFont"/>
    <w:link w:val="Bullet"/>
    <w:rsid w:val="00241127"/>
    <w:rPr>
      <w:sz w:val="24"/>
    </w:rPr>
  </w:style>
  <w:style w:type="paragraph" w:customStyle="1" w:styleId="Dash">
    <w:name w:val="Dash"/>
    <w:basedOn w:val="Normal"/>
    <w:link w:val="DashChar"/>
    <w:rsid w:val="00241127"/>
    <w:pPr>
      <w:numPr>
        <w:ilvl w:val="1"/>
        <w:numId w:val="2"/>
      </w:numPr>
      <w:tabs>
        <w:tab w:val="left" w:pos="1701"/>
        <w:tab w:val="right" w:pos="9072"/>
      </w:tabs>
      <w:spacing w:line="240" w:lineRule="exact"/>
      <w:ind w:right="91"/>
    </w:pPr>
  </w:style>
  <w:style w:type="character" w:customStyle="1" w:styleId="DashChar">
    <w:name w:val="Dash Char"/>
    <w:basedOn w:val="DefaultParagraphFont"/>
    <w:link w:val="Dash"/>
    <w:rsid w:val="00241127"/>
    <w:rPr>
      <w:sz w:val="24"/>
    </w:rPr>
  </w:style>
  <w:style w:type="paragraph" w:customStyle="1" w:styleId="DoubleDot">
    <w:name w:val="Double Dot"/>
    <w:basedOn w:val="Normal"/>
    <w:link w:val="DoubleDotChar"/>
    <w:rsid w:val="00241127"/>
    <w:pPr>
      <w:numPr>
        <w:ilvl w:val="2"/>
        <w:numId w:val="2"/>
      </w:numPr>
      <w:tabs>
        <w:tab w:val="right" w:pos="9072"/>
      </w:tabs>
      <w:spacing w:line="240" w:lineRule="exact"/>
      <w:ind w:right="91"/>
    </w:pPr>
  </w:style>
  <w:style w:type="character" w:customStyle="1" w:styleId="DoubleDotChar">
    <w:name w:val="Double Dot Char"/>
    <w:basedOn w:val="DefaultParagraphFont"/>
    <w:link w:val="DoubleDot"/>
    <w:rsid w:val="0024112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607977"/>
    <w:rPr>
      <w:rFonts w:ascii="Tahoma" w:hAnsi="Tahoma" w:cs="Tahoma"/>
      <w:sz w:val="16"/>
      <w:szCs w:val="16"/>
    </w:rPr>
  </w:style>
  <w:style w:type="character" w:customStyle="1" w:styleId="BalloonTextChar">
    <w:name w:val="Balloon Text Char"/>
    <w:basedOn w:val="DefaultParagraphFont"/>
    <w:link w:val="BalloonText"/>
    <w:uiPriority w:val="99"/>
    <w:semiHidden/>
    <w:rsid w:val="00607977"/>
    <w:rPr>
      <w:rFonts w:ascii="Tahoma" w:hAnsi="Tahoma" w:cs="Tahoma"/>
      <w:sz w:val="16"/>
      <w:szCs w:val="16"/>
    </w:rPr>
  </w:style>
  <w:style w:type="paragraph" w:styleId="ListParagraph">
    <w:name w:val="List Paragraph"/>
    <w:basedOn w:val="Normal"/>
    <w:uiPriority w:val="34"/>
    <w:qFormat/>
    <w:rsid w:val="00070137"/>
    <w:pPr>
      <w:spacing w:after="240"/>
      <w:ind w:left="720"/>
      <w:contextualSpacing/>
    </w:pPr>
  </w:style>
  <w:style w:type="character" w:styleId="CommentReference">
    <w:name w:val="annotation reference"/>
    <w:basedOn w:val="DefaultParagraphFont"/>
    <w:uiPriority w:val="99"/>
    <w:semiHidden/>
    <w:unhideWhenUsed/>
    <w:rsid w:val="00070137"/>
    <w:rPr>
      <w:sz w:val="16"/>
      <w:szCs w:val="16"/>
    </w:rPr>
  </w:style>
  <w:style w:type="paragraph" w:styleId="CommentText">
    <w:name w:val="annotation text"/>
    <w:basedOn w:val="Normal"/>
    <w:link w:val="CommentTextChar"/>
    <w:uiPriority w:val="99"/>
    <w:semiHidden/>
    <w:unhideWhenUsed/>
    <w:rsid w:val="00070137"/>
    <w:rPr>
      <w:sz w:val="20"/>
    </w:rPr>
  </w:style>
  <w:style w:type="character" w:customStyle="1" w:styleId="CommentTextChar">
    <w:name w:val="Comment Text Char"/>
    <w:basedOn w:val="DefaultParagraphFont"/>
    <w:link w:val="CommentText"/>
    <w:uiPriority w:val="99"/>
    <w:semiHidden/>
    <w:rsid w:val="00070137"/>
  </w:style>
  <w:style w:type="paragraph" w:styleId="CommentSubject">
    <w:name w:val="annotation subject"/>
    <w:basedOn w:val="CommentText"/>
    <w:next w:val="CommentText"/>
    <w:link w:val="CommentSubjectChar"/>
    <w:uiPriority w:val="99"/>
    <w:semiHidden/>
    <w:unhideWhenUsed/>
    <w:rsid w:val="00070137"/>
    <w:rPr>
      <w:b/>
      <w:bCs/>
    </w:rPr>
  </w:style>
  <w:style w:type="character" w:customStyle="1" w:styleId="CommentSubjectChar">
    <w:name w:val="Comment Subject Char"/>
    <w:basedOn w:val="CommentTextChar"/>
    <w:link w:val="CommentSubject"/>
    <w:uiPriority w:val="99"/>
    <w:semiHidden/>
    <w:rsid w:val="00070137"/>
    <w:rPr>
      <w:b/>
      <w:bCs/>
    </w:rPr>
  </w:style>
  <w:style w:type="paragraph" w:styleId="Revision">
    <w:name w:val="Revision"/>
    <w:hidden/>
    <w:uiPriority w:val="99"/>
    <w:semiHidden/>
    <w:rsid w:val="00B82C1B"/>
    <w:rPr>
      <w:sz w:val="24"/>
    </w:rPr>
  </w:style>
  <w:style w:type="character" w:styleId="Emphasis">
    <w:name w:val="Emphasis"/>
    <w:basedOn w:val="DefaultParagraphFont"/>
    <w:uiPriority w:val="20"/>
    <w:qFormat/>
    <w:rsid w:val="002D7072"/>
    <w:rPr>
      <w:i/>
      <w:iCs/>
    </w:rPr>
  </w:style>
  <w:style w:type="paragraph" w:styleId="Header">
    <w:name w:val="header"/>
    <w:basedOn w:val="Normal"/>
    <w:link w:val="HeaderChar"/>
    <w:uiPriority w:val="99"/>
    <w:unhideWhenUsed/>
    <w:rsid w:val="006274DA"/>
    <w:pPr>
      <w:tabs>
        <w:tab w:val="center" w:pos="4513"/>
        <w:tab w:val="right" w:pos="9026"/>
      </w:tabs>
    </w:pPr>
  </w:style>
  <w:style w:type="character" w:customStyle="1" w:styleId="HeaderChar">
    <w:name w:val="Header Char"/>
    <w:basedOn w:val="DefaultParagraphFont"/>
    <w:link w:val="Header"/>
    <w:uiPriority w:val="99"/>
    <w:rsid w:val="006274DA"/>
    <w:rPr>
      <w:sz w:val="24"/>
    </w:rPr>
  </w:style>
  <w:style w:type="paragraph" w:styleId="Footer">
    <w:name w:val="footer"/>
    <w:basedOn w:val="Normal"/>
    <w:link w:val="FooterChar"/>
    <w:uiPriority w:val="99"/>
    <w:unhideWhenUsed/>
    <w:rsid w:val="006274DA"/>
    <w:pPr>
      <w:tabs>
        <w:tab w:val="center" w:pos="4513"/>
        <w:tab w:val="right" w:pos="9026"/>
      </w:tabs>
    </w:pPr>
  </w:style>
  <w:style w:type="character" w:customStyle="1" w:styleId="FooterChar">
    <w:name w:val="Footer Char"/>
    <w:basedOn w:val="DefaultParagraphFont"/>
    <w:link w:val="Footer"/>
    <w:uiPriority w:val="99"/>
    <w:rsid w:val="006274DA"/>
    <w:rPr>
      <w:sz w:val="24"/>
    </w:rPr>
  </w:style>
  <w:style w:type="paragraph" w:customStyle="1" w:styleId="base-text-paragraph">
    <w:name w:val="base-text-paragraph"/>
    <w:link w:val="base-text-paragraphChar"/>
    <w:rsid w:val="00C619BB"/>
    <w:pPr>
      <w:tabs>
        <w:tab w:val="left" w:pos="1987"/>
      </w:tabs>
      <w:spacing w:before="120" w:after="120"/>
      <w:ind w:left="1140"/>
    </w:pPr>
    <w:rPr>
      <w:sz w:val="24"/>
    </w:rPr>
  </w:style>
  <w:style w:type="character" w:customStyle="1" w:styleId="base-text-paragraphChar">
    <w:name w:val="base-text-paragraph Char"/>
    <w:link w:val="base-text-paragraph"/>
    <w:locked/>
    <w:rsid w:val="00C619BB"/>
    <w:rPr>
      <w:sz w:val="24"/>
    </w:rPr>
  </w:style>
  <w:style w:type="paragraph" w:styleId="NoSpacing">
    <w:name w:val="No Spacing"/>
    <w:uiPriority w:val="1"/>
    <w:qFormat/>
    <w:rsid w:val="00C619BB"/>
    <w:rPr>
      <w:sz w:val="24"/>
    </w:rPr>
  </w:style>
  <w:style w:type="paragraph" w:customStyle="1" w:styleId="Bullet">
    <w:name w:val="Bullet"/>
    <w:basedOn w:val="Normal"/>
    <w:link w:val="BulletChar"/>
    <w:rsid w:val="00241127"/>
    <w:pPr>
      <w:numPr>
        <w:numId w:val="2"/>
      </w:numPr>
      <w:tabs>
        <w:tab w:val="left" w:pos="1701"/>
        <w:tab w:val="right" w:pos="9072"/>
      </w:tabs>
      <w:spacing w:line="240" w:lineRule="exact"/>
      <w:ind w:right="91"/>
    </w:pPr>
  </w:style>
  <w:style w:type="character" w:customStyle="1" w:styleId="BulletChar">
    <w:name w:val="Bullet Char"/>
    <w:basedOn w:val="DefaultParagraphFont"/>
    <w:link w:val="Bullet"/>
    <w:rsid w:val="00241127"/>
    <w:rPr>
      <w:sz w:val="24"/>
    </w:rPr>
  </w:style>
  <w:style w:type="paragraph" w:customStyle="1" w:styleId="Dash">
    <w:name w:val="Dash"/>
    <w:basedOn w:val="Normal"/>
    <w:link w:val="DashChar"/>
    <w:rsid w:val="00241127"/>
    <w:pPr>
      <w:numPr>
        <w:ilvl w:val="1"/>
        <w:numId w:val="2"/>
      </w:numPr>
      <w:tabs>
        <w:tab w:val="left" w:pos="1701"/>
        <w:tab w:val="right" w:pos="9072"/>
      </w:tabs>
      <w:spacing w:line="240" w:lineRule="exact"/>
      <w:ind w:right="91"/>
    </w:pPr>
  </w:style>
  <w:style w:type="character" w:customStyle="1" w:styleId="DashChar">
    <w:name w:val="Dash Char"/>
    <w:basedOn w:val="DefaultParagraphFont"/>
    <w:link w:val="Dash"/>
    <w:rsid w:val="00241127"/>
    <w:rPr>
      <w:sz w:val="24"/>
    </w:rPr>
  </w:style>
  <w:style w:type="paragraph" w:customStyle="1" w:styleId="DoubleDot">
    <w:name w:val="Double Dot"/>
    <w:basedOn w:val="Normal"/>
    <w:link w:val="DoubleDotChar"/>
    <w:rsid w:val="00241127"/>
    <w:pPr>
      <w:numPr>
        <w:ilvl w:val="2"/>
        <w:numId w:val="2"/>
      </w:numPr>
      <w:tabs>
        <w:tab w:val="right" w:pos="9072"/>
      </w:tabs>
      <w:spacing w:line="240" w:lineRule="exact"/>
      <w:ind w:right="91"/>
    </w:pPr>
  </w:style>
  <w:style w:type="character" w:customStyle="1" w:styleId="DoubleDotChar">
    <w:name w:val="Double Dot Char"/>
    <w:basedOn w:val="DefaultParagraphFont"/>
    <w:link w:val="DoubleDot"/>
    <w:rsid w:val="00241127"/>
    <w:rPr>
      <w:sz w:val="24"/>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881D-87D2-4075-8040-2C63BD10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Memorandum - General</Template>
  <TotalTime>0</TotalTime>
  <Pages>7</Pages>
  <Words>2362</Words>
  <Characters>12560</Characters>
  <Application>Microsoft Office Word</Application>
  <DocSecurity>0</DocSecurity>
  <Lines>341</Lines>
  <Paragraphs>168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14801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Lin, Jenny</dc:creator>
  <cp:lastModifiedBy>hilhma</cp:lastModifiedBy>
  <cp:revision>2</cp:revision>
  <cp:lastPrinted>2012-08-02T04:15:00Z</cp:lastPrinted>
  <dcterms:created xsi:type="dcterms:W3CDTF">2012-09-03T01:01:00Z</dcterms:created>
  <dcterms:modified xsi:type="dcterms:W3CDTF">2012-09-03T01:01:00Z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-1481061560</vt:i4>
  </property>
  <property fmtid="{D5CDD505-2E9C-101B-9397-08002B2CF9AE}" pid="3" name="_NewReviewCycle">
    <vt:lpwstr/>
  </property>
  <property fmtid="{D5CDD505-2E9C-101B-9397-08002B2CF9AE}" pid="4" name="_EmailSubject">
    <vt:lpwstr>Additional info needed for the GST Reg [SEC=UNCLASSIFIED]</vt:lpwstr>
  </property>
  <property fmtid="{D5CDD505-2E9C-101B-9397-08002B2CF9AE}" pid="5" name="_AuthorEmail">
    <vt:lpwstr>Jenny.Lin@TREASURY.GOV.AU</vt:lpwstr>
  </property>
  <property fmtid="{D5CDD505-2E9C-101B-9397-08002B2CF9AE}" pid="6" name="_AuthorEmailDisplayName">
    <vt:lpwstr>Lin, Jenny</vt:lpwstr>
  </property>
  <property fmtid="{D5CDD505-2E9C-101B-9397-08002B2CF9AE}" pid="7" name="_ReviewingToolsShownOnce">
    <vt:lpwstr/>
  </property>
</Properties>
</file>