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1" w:rsidRPr="00493612" w:rsidRDefault="00FC3F61" w:rsidP="00674B00">
      <w:r w:rsidRPr="007C5C8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01.25pt;height:77.25pt;visibility:visible">
            <v:imagedata r:id="rId8" o:title=""/>
          </v:shape>
        </w:pict>
      </w:r>
    </w:p>
    <w:p w:rsidR="00FC3F61" w:rsidRPr="002E50AB" w:rsidRDefault="00FC3F61" w:rsidP="00FC3F61">
      <w:pPr>
        <w:pStyle w:val="Title"/>
        <w:pBdr>
          <w:bottom w:val="single" w:sz="4" w:space="3" w:color="auto"/>
        </w:pBdr>
        <w:rPr>
          <w:sz w:val="28"/>
          <w:szCs w:val="28"/>
        </w:rPr>
      </w:pPr>
      <w:bookmarkStart w:id="0" w:name="Citation"/>
      <w:r>
        <w:rPr>
          <w:sz w:val="28"/>
          <w:szCs w:val="28"/>
        </w:rPr>
        <w:t>PB 83</w:t>
      </w:r>
      <w:r w:rsidRPr="002E50AB">
        <w:rPr>
          <w:sz w:val="28"/>
          <w:szCs w:val="28"/>
        </w:rPr>
        <w:t xml:space="preserve"> of 2012</w:t>
      </w:r>
    </w:p>
    <w:p w:rsidR="00B3354C" w:rsidRPr="00207FE6" w:rsidRDefault="00B3354C">
      <w:pPr>
        <w:pStyle w:val="Title"/>
        <w:pBdr>
          <w:bottom w:val="single" w:sz="4" w:space="3" w:color="auto"/>
        </w:pBdr>
      </w:pPr>
      <w:r w:rsidRPr="00207FE6">
        <w:t>National Health (</w:t>
      </w:r>
      <w:r w:rsidR="0035790D" w:rsidRPr="00207FE6">
        <w:t>P</w:t>
      </w:r>
      <w:r w:rsidRPr="00207FE6">
        <w:t>harmaceutical benefits</w:t>
      </w:r>
      <w:r w:rsidR="0035790D" w:rsidRPr="00207FE6">
        <w:t xml:space="preserve"> supplied by private hospitals</w:t>
      </w:r>
      <w:r w:rsidRPr="00207FE6">
        <w:t xml:space="preserve">) </w:t>
      </w:r>
      <w:r w:rsidR="008203BE" w:rsidRPr="00207FE6">
        <w:t xml:space="preserve">Amendment </w:t>
      </w:r>
      <w:r w:rsidRPr="00207FE6">
        <w:t xml:space="preserve">Determination </w:t>
      </w:r>
      <w:bookmarkEnd w:id="0"/>
      <w:r w:rsidR="008203BE" w:rsidRPr="00207FE6">
        <w:t>2012</w:t>
      </w:r>
      <w:r w:rsidR="00FC3F61">
        <w:t xml:space="preserve"> </w:t>
      </w:r>
      <w:r w:rsidR="00207FE6" w:rsidRPr="00207FE6">
        <w:t>(No. 1)</w:t>
      </w:r>
      <w:r w:rsidR="000137BB" w:rsidRPr="000137BB">
        <w:rPr>
          <w:rStyle w:val="EndnoteReference"/>
          <w:b w:val="0"/>
        </w:rPr>
        <w:endnoteReference w:id="1"/>
      </w:r>
    </w:p>
    <w:p w:rsidR="00FC3F61" w:rsidRPr="0070453A" w:rsidRDefault="00FC3F61" w:rsidP="00FC3F61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bookmarkStart w:id="1" w:name="_Toc272329537"/>
      <w:r w:rsidRPr="0070453A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:rsidR="00FC3F61" w:rsidRPr="003F4850" w:rsidRDefault="00FC3F61" w:rsidP="00FC3F61">
      <w:pPr>
        <w:spacing w:before="360"/>
      </w:pPr>
      <w:r w:rsidRPr="003F4850">
        <w:t xml:space="preserve">I, </w:t>
      </w:r>
      <w:r>
        <w:t xml:space="preserve">TANYA PLIBERSEK, </w:t>
      </w:r>
      <w:r w:rsidRPr="003F4850">
        <w:t xml:space="preserve">Minister </w:t>
      </w:r>
      <w:r>
        <w:t xml:space="preserve">for </w:t>
      </w:r>
      <w:r w:rsidRPr="003F4850">
        <w:t xml:space="preserve">Health, make this </w:t>
      </w:r>
      <w:r>
        <w:t xml:space="preserve">Determination </w:t>
      </w:r>
      <w:r w:rsidRPr="003F4850">
        <w:t>under s</w:t>
      </w:r>
      <w:r>
        <w:t>ubs</w:t>
      </w:r>
      <w:r w:rsidRPr="003F4850">
        <w:t>ection</w:t>
      </w:r>
      <w:r>
        <w:t> </w:t>
      </w:r>
      <w:r w:rsidRPr="003F4850">
        <w:t xml:space="preserve">99(4) of the </w:t>
      </w:r>
      <w:r w:rsidRPr="003F4850">
        <w:rPr>
          <w:i/>
        </w:rPr>
        <w:t>National Health Act 1953</w:t>
      </w:r>
      <w:r w:rsidRPr="003F4850">
        <w:t>.</w:t>
      </w:r>
    </w:p>
    <w:p w:rsidR="00FC3F61" w:rsidRPr="003F4850" w:rsidRDefault="00FC3F61" w:rsidP="00314CDA">
      <w:pPr>
        <w:tabs>
          <w:tab w:val="left" w:pos="1134"/>
          <w:tab w:val="left" w:pos="4536"/>
        </w:tabs>
        <w:spacing w:before="600" w:after="600" w:line="300" w:lineRule="exact"/>
      </w:pPr>
      <w:r w:rsidRPr="003F4850">
        <w:t xml:space="preserve">Dated </w:t>
      </w:r>
      <w:bookmarkStart w:id="2" w:name="MadeDate"/>
      <w:bookmarkStart w:id="3" w:name="Year"/>
      <w:bookmarkEnd w:id="2"/>
      <w:r w:rsidRPr="003F4850">
        <w:tab/>
      </w:r>
      <w:r w:rsidR="00314CDA">
        <w:t>24</w:t>
      </w:r>
      <w:r w:rsidR="00314CDA" w:rsidRPr="00314CDA">
        <w:rPr>
          <w:vertAlign w:val="superscript"/>
        </w:rPr>
        <w:t>th</w:t>
      </w:r>
      <w:r w:rsidR="00314CDA">
        <w:t xml:space="preserve"> September </w:t>
      </w:r>
      <w:r w:rsidRPr="003F4850">
        <w:t>201</w:t>
      </w:r>
      <w:bookmarkEnd w:id="3"/>
      <w:r w:rsidRPr="003F4850">
        <w:t>2</w:t>
      </w:r>
    </w:p>
    <w:p w:rsidR="00FC3F61" w:rsidRDefault="00FC3F61" w:rsidP="00FC3F61">
      <w:pPr>
        <w:pBdr>
          <w:bottom w:val="single" w:sz="4" w:space="12" w:color="auto"/>
        </w:pBdr>
        <w:spacing w:line="240" w:lineRule="exact"/>
      </w:pPr>
      <w:bookmarkStart w:id="4" w:name="Minister"/>
    </w:p>
    <w:p w:rsidR="00FC3F61" w:rsidRDefault="00FC3F61" w:rsidP="00FC3F61">
      <w:pPr>
        <w:pBdr>
          <w:bottom w:val="single" w:sz="4" w:space="12" w:color="auto"/>
        </w:pBdr>
        <w:spacing w:line="240" w:lineRule="exact"/>
      </w:pPr>
    </w:p>
    <w:p w:rsidR="00FC3F61" w:rsidRDefault="00FC3F61" w:rsidP="00FC3F61">
      <w:pPr>
        <w:pBdr>
          <w:bottom w:val="single" w:sz="4" w:space="12" w:color="auto"/>
        </w:pBdr>
        <w:spacing w:line="240" w:lineRule="exact"/>
      </w:pPr>
    </w:p>
    <w:p w:rsidR="00FC3F61" w:rsidRDefault="00FC3F61" w:rsidP="00FC3F61">
      <w:pPr>
        <w:pBdr>
          <w:bottom w:val="single" w:sz="4" w:space="12" w:color="auto"/>
        </w:pBdr>
        <w:spacing w:line="240" w:lineRule="exact"/>
      </w:pPr>
    </w:p>
    <w:p w:rsidR="00FC3F61" w:rsidRDefault="00FC3F61" w:rsidP="00FC3F61">
      <w:pPr>
        <w:pBdr>
          <w:bottom w:val="single" w:sz="4" w:space="12" w:color="auto"/>
        </w:pBdr>
        <w:spacing w:line="240" w:lineRule="exact"/>
      </w:pPr>
    </w:p>
    <w:p w:rsidR="00FC3F61" w:rsidRDefault="00FC3F61" w:rsidP="00FC3F61">
      <w:pPr>
        <w:pBdr>
          <w:bottom w:val="single" w:sz="4" w:space="12" w:color="auto"/>
        </w:pBdr>
        <w:spacing w:line="240" w:lineRule="exact"/>
      </w:pPr>
    </w:p>
    <w:p w:rsidR="00FC3F61" w:rsidRPr="003F4850" w:rsidRDefault="00FC3F61" w:rsidP="00FC3F61">
      <w:pPr>
        <w:pBdr>
          <w:bottom w:val="single" w:sz="4" w:space="12" w:color="auto"/>
        </w:pBdr>
        <w:spacing w:line="240" w:lineRule="exact"/>
      </w:pPr>
    </w:p>
    <w:p w:rsidR="00FC3F61" w:rsidRPr="003F4850" w:rsidRDefault="00FC3F61" w:rsidP="00FC3F61">
      <w:pPr>
        <w:pBdr>
          <w:bottom w:val="single" w:sz="4" w:space="12" w:color="auto"/>
        </w:pBdr>
        <w:spacing w:line="240" w:lineRule="exact"/>
      </w:pPr>
    </w:p>
    <w:p w:rsidR="00FC3F61" w:rsidRPr="002E50AB" w:rsidRDefault="00FC3F61" w:rsidP="00FC3F61">
      <w:pPr>
        <w:pBdr>
          <w:bottom w:val="single" w:sz="4" w:space="12" w:color="auto"/>
        </w:pBdr>
        <w:spacing w:line="240" w:lineRule="exact"/>
        <w:rPr>
          <w:b/>
        </w:rPr>
      </w:pPr>
      <w:r w:rsidRPr="002E50AB">
        <w:rPr>
          <w:b/>
        </w:rPr>
        <w:t>TANYA PLIBERSEK</w:t>
      </w:r>
    </w:p>
    <w:p w:rsidR="00FC3F61" w:rsidRPr="002E50AB" w:rsidRDefault="00FC3F61" w:rsidP="00FC3F61">
      <w:pPr>
        <w:pBdr>
          <w:bottom w:val="single" w:sz="4" w:space="12" w:color="auto"/>
        </w:pBdr>
        <w:spacing w:line="240" w:lineRule="exact"/>
      </w:pPr>
      <w:r w:rsidRPr="002E50AB">
        <w:t>Minister for Health</w:t>
      </w:r>
    </w:p>
    <w:bookmarkEnd w:id="4"/>
    <w:p w:rsidR="00FC3F61" w:rsidRPr="00B65B5F" w:rsidRDefault="00FC3F61" w:rsidP="00FC3F61">
      <w:pPr>
        <w:pStyle w:val="SigningPageBreak"/>
        <w:sectPr w:rsidR="00FC3F61" w:rsidRPr="00B65B5F" w:rsidSect="001006A8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endnotePr>
            <w:numFmt w:val="decimal"/>
          </w:endnotePr>
          <w:type w:val="continuous"/>
          <w:pgSz w:w="11907" w:h="16839" w:code="9"/>
          <w:pgMar w:top="1440" w:right="1797" w:bottom="1134" w:left="1797" w:header="709" w:footer="0" w:gutter="0"/>
          <w:cols w:space="708"/>
          <w:titlePg/>
          <w:docGrid w:linePitch="360"/>
        </w:sectPr>
      </w:pPr>
    </w:p>
    <w:p w:rsidR="00FC3F61" w:rsidRDefault="00FC3F61" w:rsidP="00FC3F61">
      <w:pPr>
        <w:pStyle w:val="A1"/>
        <w:ind w:left="567" w:hanging="567"/>
      </w:pPr>
      <w:r>
        <w:rPr>
          <w:rStyle w:val="CharSectnoAm"/>
        </w:rPr>
        <w:lastRenderedPageBreak/>
        <w:br w:type="page"/>
      </w:r>
      <w:bookmarkEnd w:id="1"/>
      <w:r w:rsidRPr="00FC3F61">
        <w:rPr>
          <w:rStyle w:val="CharSectnoAm"/>
          <w:sz w:val="24"/>
        </w:rPr>
        <w:lastRenderedPageBreak/>
        <w:t>1</w:t>
      </w:r>
      <w:r w:rsidRPr="00207150">
        <w:tab/>
        <w:t>Name</w:t>
      </w:r>
      <w:r w:rsidRPr="00B65B5F">
        <w:t xml:space="preserve"> o</w:t>
      </w:r>
      <w:r>
        <w:t>f Determination</w:t>
      </w:r>
    </w:p>
    <w:p w:rsidR="00FC3F61" w:rsidRDefault="00FC3F61" w:rsidP="00FC3F61">
      <w:pPr>
        <w:pStyle w:val="A2"/>
        <w:spacing w:after="120"/>
        <w:jc w:val="left"/>
      </w:pPr>
      <w:r>
        <w:tab/>
        <w:t>(1)</w:t>
      </w:r>
      <w:r>
        <w:tab/>
      </w:r>
      <w:r w:rsidRPr="00B65B5F">
        <w:t>This</w:t>
      </w:r>
      <w:r>
        <w:t xml:space="preserve"> </w:t>
      </w:r>
      <w:r w:rsidRPr="00B65B5F">
        <w:t>Determination is the</w:t>
      </w:r>
      <w:r>
        <w:t xml:space="preserve"> </w:t>
      </w:r>
      <w:r w:rsidRPr="006613B8">
        <w:rPr>
          <w:i/>
        </w:rPr>
        <w:t xml:space="preserve">National Health (Pharmaceutical </w:t>
      </w:r>
      <w:r>
        <w:rPr>
          <w:i/>
        </w:rPr>
        <w:t>benefits s</w:t>
      </w:r>
      <w:r w:rsidRPr="006613B8">
        <w:rPr>
          <w:i/>
        </w:rPr>
        <w:t xml:space="preserve">upplied by </w:t>
      </w:r>
      <w:r>
        <w:rPr>
          <w:i/>
        </w:rPr>
        <w:t>private h</w:t>
      </w:r>
      <w:r w:rsidRPr="006613B8">
        <w:rPr>
          <w:i/>
        </w:rPr>
        <w:t>os</w:t>
      </w:r>
      <w:r>
        <w:rPr>
          <w:i/>
        </w:rPr>
        <w:t>pitals) Amendment Determination</w:t>
      </w:r>
      <w:r w:rsidRPr="006613B8">
        <w:rPr>
          <w:i/>
        </w:rPr>
        <w:t xml:space="preserve"> 201</w:t>
      </w:r>
      <w:r>
        <w:rPr>
          <w:i/>
        </w:rPr>
        <w:t>2 (No. 1)</w:t>
      </w:r>
      <w:r>
        <w:t>.</w:t>
      </w:r>
    </w:p>
    <w:p w:rsidR="00FC3F61" w:rsidRPr="000533C3" w:rsidRDefault="00FC3F61" w:rsidP="00FC3F61">
      <w:pPr>
        <w:pStyle w:val="A2"/>
        <w:spacing w:after="120"/>
      </w:pPr>
      <w:r>
        <w:tab/>
        <w:t>(2)</w:t>
      </w:r>
      <w:r>
        <w:tab/>
        <w:t>This Determination may also be cited as PB 83 of 2012.</w:t>
      </w:r>
    </w:p>
    <w:p w:rsidR="00FC3F61" w:rsidRPr="00207150" w:rsidRDefault="00FC3F61" w:rsidP="00FC3F61">
      <w:pPr>
        <w:pStyle w:val="A1"/>
        <w:ind w:left="567" w:hanging="567"/>
      </w:pPr>
      <w:r w:rsidRPr="00FC3F61">
        <w:rPr>
          <w:rStyle w:val="CharSectnoAm"/>
          <w:sz w:val="24"/>
        </w:rPr>
        <w:t>2</w:t>
      </w:r>
      <w:r w:rsidRPr="00207150">
        <w:tab/>
        <w:t>Commencement</w:t>
      </w:r>
    </w:p>
    <w:p w:rsidR="00FC3F61" w:rsidRPr="00B65B5F" w:rsidRDefault="00FC3F61" w:rsidP="00FC3F61">
      <w:pPr>
        <w:pStyle w:val="A2"/>
        <w:ind w:left="567" w:hanging="567"/>
      </w:pPr>
      <w:r w:rsidRPr="00B65B5F">
        <w:tab/>
        <w:t xml:space="preserve">This Determination commences on </w:t>
      </w:r>
      <w:r>
        <w:t>1 October 2012</w:t>
      </w:r>
      <w:r w:rsidRPr="00B65B5F">
        <w:t>.</w:t>
      </w:r>
    </w:p>
    <w:p w:rsidR="00FC3F61" w:rsidRPr="00207150" w:rsidRDefault="00FC3F61" w:rsidP="00FC3F61">
      <w:pPr>
        <w:pStyle w:val="A1"/>
        <w:ind w:left="567" w:hanging="567"/>
        <w:rPr>
          <w:i/>
        </w:rPr>
      </w:pPr>
      <w:r w:rsidRPr="00FC3F61">
        <w:rPr>
          <w:rStyle w:val="CharSectnoAm"/>
          <w:sz w:val="24"/>
        </w:rPr>
        <w:t>3</w:t>
      </w:r>
      <w:r w:rsidRPr="00207150">
        <w:tab/>
        <w:t xml:space="preserve">Amendment of </w:t>
      </w:r>
      <w:r w:rsidR="000137BB">
        <w:rPr>
          <w:i/>
        </w:rPr>
        <w:t xml:space="preserve">National Health </w:t>
      </w:r>
      <w:r w:rsidR="000137BB" w:rsidRPr="006613B8">
        <w:rPr>
          <w:i/>
        </w:rPr>
        <w:t xml:space="preserve">(Pharmaceutical </w:t>
      </w:r>
      <w:r w:rsidR="000137BB">
        <w:rPr>
          <w:i/>
        </w:rPr>
        <w:t>benefits s</w:t>
      </w:r>
      <w:r w:rsidR="000137BB" w:rsidRPr="006613B8">
        <w:rPr>
          <w:i/>
        </w:rPr>
        <w:t xml:space="preserve">upplied by </w:t>
      </w:r>
      <w:r w:rsidR="000137BB">
        <w:rPr>
          <w:i/>
        </w:rPr>
        <w:t>private h</w:t>
      </w:r>
      <w:r w:rsidR="000137BB" w:rsidRPr="006613B8">
        <w:rPr>
          <w:i/>
        </w:rPr>
        <w:t>os</w:t>
      </w:r>
      <w:r w:rsidR="000137BB">
        <w:rPr>
          <w:i/>
        </w:rPr>
        <w:t>pitals) Determination 2010</w:t>
      </w:r>
    </w:p>
    <w:p w:rsidR="00FC3F61" w:rsidRPr="000137BB" w:rsidRDefault="00FC3F61" w:rsidP="00FC3F61">
      <w:pPr>
        <w:pStyle w:val="A2"/>
        <w:ind w:left="567" w:hanging="567"/>
        <w:jc w:val="left"/>
      </w:pPr>
      <w:r w:rsidRPr="00B65B5F">
        <w:tab/>
        <w:t xml:space="preserve">Schedule 1 amends the </w:t>
      </w:r>
      <w:r>
        <w:rPr>
          <w:i/>
        </w:rPr>
        <w:t xml:space="preserve">National Health </w:t>
      </w:r>
      <w:r w:rsidR="000137BB" w:rsidRPr="006613B8">
        <w:rPr>
          <w:i/>
        </w:rPr>
        <w:t xml:space="preserve">(Pharmaceutical </w:t>
      </w:r>
      <w:r w:rsidR="000137BB">
        <w:rPr>
          <w:i/>
        </w:rPr>
        <w:t>benefits s</w:t>
      </w:r>
      <w:r w:rsidR="000137BB" w:rsidRPr="006613B8">
        <w:rPr>
          <w:i/>
        </w:rPr>
        <w:t xml:space="preserve">upplied by </w:t>
      </w:r>
      <w:r w:rsidR="000137BB">
        <w:rPr>
          <w:i/>
        </w:rPr>
        <w:t>private h</w:t>
      </w:r>
      <w:r w:rsidR="000137BB" w:rsidRPr="006613B8">
        <w:rPr>
          <w:i/>
        </w:rPr>
        <w:t>os</w:t>
      </w:r>
      <w:r w:rsidR="000137BB">
        <w:rPr>
          <w:i/>
        </w:rPr>
        <w:t>pitals) Determination</w:t>
      </w:r>
      <w:r w:rsidR="000137BB" w:rsidRPr="006613B8">
        <w:rPr>
          <w:i/>
        </w:rPr>
        <w:t xml:space="preserve"> 201</w:t>
      </w:r>
      <w:r w:rsidR="000137BB">
        <w:rPr>
          <w:i/>
        </w:rPr>
        <w:t xml:space="preserve">0 </w:t>
      </w:r>
      <w:r w:rsidR="000137BB">
        <w:t>made on 21 September 2010.</w:t>
      </w:r>
    </w:p>
    <w:p w:rsidR="00FC3F61" w:rsidRPr="00B65B5F" w:rsidRDefault="00FC3F61" w:rsidP="00FC3F61">
      <w:pPr>
        <w:pStyle w:val="MainBodySectionBreak"/>
        <w:sectPr w:rsidR="00FC3F61" w:rsidRPr="00B65B5F" w:rsidSect="001006A8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7" w:h="16839" w:code="9"/>
          <w:pgMar w:top="1440" w:right="1797" w:bottom="1440" w:left="1797" w:header="709" w:footer="259" w:gutter="0"/>
          <w:cols w:space="708"/>
          <w:docGrid w:linePitch="360"/>
        </w:sectPr>
      </w:pPr>
    </w:p>
    <w:p w:rsidR="000139B6" w:rsidRPr="00B65B5F" w:rsidRDefault="00362FB5" w:rsidP="000137BB">
      <w:pPr>
        <w:pStyle w:val="AS"/>
        <w:keepNext w:val="0"/>
        <w:keepLines w:val="0"/>
        <w:ind w:left="2268" w:hanging="2268"/>
      </w:pPr>
      <w:r>
        <w:rPr>
          <w:rStyle w:val="CharAmSchNo"/>
        </w:rPr>
        <w:lastRenderedPageBreak/>
        <w:br w:type="page"/>
      </w:r>
      <w:r w:rsidR="000139B6" w:rsidRPr="00B65B5F">
        <w:rPr>
          <w:rStyle w:val="CharAmSchNo"/>
        </w:rPr>
        <w:lastRenderedPageBreak/>
        <w:t>Schedule 1</w:t>
      </w:r>
      <w:r w:rsidR="000139B6" w:rsidRPr="00B65B5F">
        <w:tab/>
      </w:r>
      <w:r w:rsidR="000139B6" w:rsidRPr="00B65B5F">
        <w:rPr>
          <w:rStyle w:val="CharAmSchText"/>
        </w:rPr>
        <w:t>Amendments</w:t>
      </w:r>
    </w:p>
    <w:p w:rsidR="00E452BC" w:rsidRPr="00493612" w:rsidRDefault="000139B6" w:rsidP="000137BB">
      <w:pPr>
        <w:pStyle w:val="A1"/>
        <w:keepNext w:val="0"/>
        <w:keepLines w:val="0"/>
        <w:spacing w:before="360"/>
        <w:ind w:left="567" w:hanging="567"/>
        <w:rPr>
          <w:b w:val="0"/>
        </w:rPr>
      </w:pPr>
      <w:r w:rsidRPr="00B65B5F">
        <w:t>[</w:t>
      </w:r>
      <w:r>
        <w:t>1</w:t>
      </w:r>
      <w:r w:rsidR="00B74348">
        <w:t>]</w:t>
      </w:r>
      <w:r w:rsidR="00B74348">
        <w:tab/>
      </w:r>
      <w:r w:rsidR="00E452BC" w:rsidRPr="000139B6">
        <w:t>S</w:t>
      </w:r>
      <w:r w:rsidR="008A1C28" w:rsidRPr="000139B6">
        <w:t>ubs</w:t>
      </w:r>
      <w:r w:rsidR="00E452BC" w:rsidRPr="000139B6">
        <w:t>ection 5</w:t>
      </w:r>
      <w:r w:rsidR="008A1C28" w:rsidRPr="000139B6">
        <w:t>(1)</w:t>
      </w:r>
    </w:p>
    <w:p w:rsidR="00034A38" w:rsidRPr="00B74348" w:rsidRDefault="00B74348" w:rsidP="00096070">
      <w:pPr>
        <w:pStyle w:val="R1"/>
        <w:keepLines w:val="0"/>
        <w:spacing w:before="180"/>
        <w:ind w:firstLine="0"/>
        <w:rPr>
          <w:i/>
        </w:rPr>
      </w:pPr>
      <w:r w:rsidRPr="00B74348">
        <w:rPr>
          <w:i/>
        </w:rPr>
        <w:t>insert</w:t>
      </w:r>
    </w:p>
    <w:p w:rsidR="00375A51" w:rsidRPr="00493612" w:rsidRDefault="00034A38" w:rsidP="00362FB5">
      <w:pPr>
        <w:pStyle w:val="definition"/>
        <w:ind w:left="1311"/>
        <w:jc w:val="left"/>
      </w:pPr>
      <w:r w:rsidRPr="00493612">
        <w:rPr>
          <w:b/>
          <w:i/>
        </w:rPr>
        <w:t xml:space="preserve">approved ex-manufacturer price </w:t>
      </w:r>
      <w:r w:rsidRPr="00493612">
        <w:t>has the same meaning as</w:t>
      </w:r>
      <w:r w:rsidR="00E452BC" w:rsidRPr="00493612">
        <w:t xml:space="preserve"> in subsection 84(1) of the Act.</w:t>
      </w:r>
    </w:p>
    <w:p w:rsidR="00414CDD" w:rsidRPr="000137BB" w:rsidRDefault="00414CDD" w:rsidP="000137BB">
      <w:pPr>
        <w:pStyle w:val="A1"/>
        <w:keepNext w:val="0"/>
        <w:keepLines w:val="0"/>
        <w:spacing w:before="360"/>
        <w:ind w:left="567" w:hanging="567"/>
      </w:pPr>
      <w:r w:rsidRPr="000137BB">
        <w:t>[2]</w:t>
      </w:r>
      <w:r w:rsidRPr="000137BB">
        <w:tab/>
        <w:t>S</w:t>
      </w:r>
      <w:r w:rsidR="008A1C28" w:rsidRPr="000137BB">
        <w:t>ubs</w:t>
      </w:r>
      <w:r w:rsidRPr="000137BB">
        <w:t>ection 5</w:t>
      </w:r>
      <w:r w:rsidR="008A1C28" w:rsidRPr="000137BB">
        <w:t>(1)</w:t>
      </w:r>
      <w:r w:rsidRPr="000137BB">
        <w:t xml:space="preserve">, definition of Approved Pharmacists Determination </w:t>
      </w:r>
    </w:p>
    <w:p w:rsidR="00414CDD" w:rsidRPr="00B74348" w:rsidRDefault="00414CDD" w:rsidP="00362FB5">
      <w:pPr>
        <w:pStyle w:val="R1"/>
        <w:keepLines w:val="0"/>
        <w:rPr>
          <w:i/>
        </w:rPr>
      </w:pPr>
      <w:r w:rsidRPr="00493612">
        <w:tab/>
      </w:r>
      <w:r w:rsidRPr="00493612">
        <w:tab/>
      </w:r>
      <w:r w:rsidR="00B74348" w:rsidRPr="00B74348">
        <w:rPr>
          <w:i/>
        </w:rPr>
        <w:t>omit</w:t>
      </w:r>
    </w:p>
    <w:p w:rsidR="00414CDD" w:rsidRPr="00493612" w:rsidRDefault="00414CDD" w:rsidP="00096070">
      <w:pPr>
        <w:pStyle w:val="R1"/>
        <w:keepLines w:val="0"/>
        <w:ind w:left="1320" w:firstLine="0"/>
        <w:jc w:val="left"/>
      </w:pPr>
      <w:r w:rsidRPr="00493612">
        <w:t xml:space="preserve">the </w:t>
      </w:r>
      <w:r w:rsidRPr="00493612">
        <w:rPr>
          <w:i/>
        </w:rPr>
        <w:t>Commonwealth price (Pharmaceutical benefits supplied by approved pharmacists) Determination 2010</w:t>
      </w:r>
    </w:p>
    <w:p w:rsidR="00291380" w:rsidRPr="00B74348" w:rsidRDefault="00434445" w:rsidP="00362FB5">
      <w:pPr>
        <w:pStyle w:val="R1"/>
        <w:keepLines w:val="0"/>
        <w:rPr>
          <w:i/>
        </w:rPr>
      </w:pPr>
      <w:r w:rsidRPr="00493612">
        <w:tab/>
      </w:r>
      <w:r w:rsidRPr="00493612">
        <w:tab/>
      </w:r>
      <w:r w:rsidR="00B74348">
        <w:rPr>
          <w:i/>
        </w:rPr>
        <w:t>insert</w:t>
      </w:r>
    </w:p>
    <w:p w:rsidR="00414CDD" w:rsidRPr="00493612" w:rsidRDefault="00414CDD" w:rsidP="00096070">
      <w:pPr>
        <w:pStyle w:val="R1"/>
        <w:keepLines w:val="0"/>
        <w:ind w:left="1320" w:firstLine="0"/>
        <w:jc w:val="left"/>
      </w:pPr>
      <w:r w:rsidRPr="00493612">
        <w:t>the determination made under paragraph 98B(1)(a) of the Act</w:t>
      </w:r>
    </w:p>
    <w:p w:rsidR="00414CDD" w:rsidRPr="00493612" w:rsidRDefault="00414CDD" w:rsidP="000137BB">
      <w:pPr>
        <w:spacing w:before="360" w:line="260" w:lineRule="exact"/>
        <w:ind w:left="567" w:hanging="567"/>
        <w:rPr>
          <w:b/>
        </w:rPr>
      </w:pPr>
      <w:bookmarkStart w:id="5" w:name="_Toc272329541"/>
      <w:r w:rsidRPr="000139B6">
        <w:rPr>
          <w:rFonts w:ascii="Arial" w:hAnsi="Arial"/>
          <w:b/>
        </w:rPr>
        <w:t>[</w:t>
      </w:r>
      <w:r w:rsidR="00E452BC" w:rsidRPr="000139B6">
        <w:rPr>
          <w:rFonts w:ascii="Arial" w:hAnsi="Arial"/>
          <w:b/>
        </w:rPr>
        <w:t>3</w:t>
      </w:r>
      <w:r w:rsidRPr="000139B6">
        <w:rPr>
          <w:rFonts w:ascii="Arial" w:hAnsi="Arial"/>
          <w:b/>
        </w:rPr>
        <w:t>]</w:t>
      </w:r>
      <w:r w:rsidRPr="000139B6">
        <w:rPr>
          <w:rFonts w:ascii="Arial" w:hAnsi="Arial"/>
          <w:b/>
        </w:rPr>
        <w:tab/>
        <w:t>S</w:t>
      </w:r>
      <w:r w:rsidR="008A1C28" w:rsidRPr="000139B6">
        <w:rPr>
          <w:rFonts w:ascii="Arial" w:hAnsi="Arial"/>
          <w:b/>
        </w:rPr>
        <w:t>ubs</w:t>
      </w:r>
      <w:r w:rsidRPr="000139B6">
        <w:rPr>
          <w:rFonts w:ascii="Arial" w:hAnsi="Arial"/>
          <w:b/>
        </w:rPr>
        <w:t>ection 5</w:t>
      </w:r>
      <w:r w:rsidR="008A1C28" w:rsidRPr="000139B6">
        <w:rPr>
          <w:rFonts w:ascii="Arial" w:hAnsi="Arial"/>
          <w:b/>
        </w:rPr>
        <w:t>(1)</w:t>
      </w:r>
      <w:r w:rsidRPr="000139B6">
        <w:rPr>
          <w:rFonts w:ascii="Arial" w:hAnsi="Arial"/>
          <w:b/>
        </w:rPr>
        <w:t xml:space="preserve">, definition of </w:t>
      </w:r>
      <w:r w:rsidR="00E452BC" w:rsidRPr="000139B6">
        <w:rPr>
          <w:rFonts w:ascii="Arial" w:hAnsi="Arial"/>
          <w:b/>
        </w:rPr>
        <w:t>approved price to pharmacists</w:t>
      </w:r>
    </w:p>
    <w:p w:rsidR="00414CDD" w:rsidRPr="00493612" w:rsidRDefault="00414CDD" w:rsidP="00362FB5">
      <w:pPr>
        <w:pStyle w:val="R1"/>
        <w:keepLines w:val="0"/>
      </w:pPr>
      <w:r w:rsidRPr="00493612">
        <w:tab/>
      </w:r>
      <w:r w:rsidRPr="00493612">
        <w:tab/>
      </w:r>
      <w:r w:rsidR="00B74348">
        <w:rPr>
          <w:i/>
        </w:rPr>
        <w:t>omit</w:t>
      </w:r>
    </w:p>
    <w:p w:rsidR="00E452BC" w:rsidRPr="000139B6" w:rsidRDefault="00E452BC" w:rsidP="000137BB">
      <w:pPr>
        <w:spacing w:before="360" w:line="260" w:lineRule="exact"/>
        <w:ind w:left="567" w:hanging="567"/>
        <w:rPr>
          <w:rFonts w:ascii="Arial" w:hAnsi="Arial"/>
          <w:b/>
        </w:rPr>
      </w:pPr>
      <w:r w:rsidRPr="000139B6">
        <w:rPr>
          <w:rFonts w:ascii="Arial" w:hAnsi="Arial"/>
          <w:b/>
        </w:rPr>
        <w:t>[4]</w:t>
      </w:r>
      <w:r w:rsidRPr="000139B6">
        <w:rPr>
          <w:rFonts w:ascii="Arial" w:hAnsi="Arial"/>
          <w:b/>
        </w:rPr>
        <w:tab/>
        <w:t>S</w:t>
      </w:r>
      <w:r w:rsidR="008A1C28" w:rsidRPr="000139B6">
        <w:rPr>
          <w:rFonts w:ascii="Arial" w:hAnsi="Arial"/>
          <w:b/>
        </w:rPr>
        <w:t>ubs</w:t>
      </w:r>
      <w:r w:rsidRPr="000139B6">
        <w:rPr>
          <w:rFonts w:ascii="Arial" w:hAnsi="Arial"/>
          <w:b/>
        </w:rPr>
        <w:t>ection 5</w:t>
      </w:r>
      <w:r w:rsidR="008A1C28" w:rsidRPr="000139B6">
        <w:rPr>
          <w:rFonts w:ascii="Arial" w:hAnsi="Arial"/>
          <w:b/>
        </w:rPr>
        <w:t>(1)</w:t>
      </w:r>
      <w:r w:rsidRPr="000139B6">
        <w:rPr>
          <w:rFonts w:ascii="Arial" w:hAnsi="Arial"/>
          <w:b/>
        </w:rPr>
        <w:t>, definition of manufacturers’ packs</w:t>
      </w:r>
    </w:p>
    <w:p w:rsidR="00E452BC" w:rsidRPr="00493612" w:rsidRDefault="00E452BC" w:rsidP="00362FB5">
      <w:pPr>
        <w:pStyle w:val="R1"/>
        <w:keepLines w:val="0"/>
      </w:pPr>
      <w:r w:rsidRPr="00493612">
        <w:tab/>
      </w:r>
      <w:r w:rsidRPr="00493612">
        <w:tab/>
      </w:r>
      <w:r w:rsidR="00B74348">
        <w:rPr>
          <w:i/>
        </w:rPr>
        <w:t>omit</w:t>
      </w:r>
    </w:p>
    <w:p w:rsidR="00E452BC" w:rsidRPr="00B74348" w:rsidRDefault="00E452BC" w:rsidP="00362FB5">
      <w:pPr>
        <w:pStyle w:val="R1"/>
        <w:keepLines w:val="0"/>
        <w:rPr>
          <w:i/>
        </w:rPr>
      </w:pPr>
      <w:r w:rsidRPr="00493612">
        <w:tab/>
      </w:r>
      <w:r w:rsidRPr="00493612">
        <w:tab/>
      </w:r>
      <w:r w:rsidR="00B74348">
        <w:rPr>
          <w:i/>
        </w:rPr>
        <w:t>insert</w:t>
      </w:r>
    </w:p>
    <w:p w:rsidR="00E452BC" w:rsidRPr="00493612" w:rsidRDefault="00E452BC" w:rsidP="00096070">
      <w:pPr>
        <w:pStyle w:val="definition"/>
        <w:ind w:left="1320"/>
        <w:jc w:val="left"/>
        <w:rPr>
          <w:bCs/>
          <w:iCs/>
        </w:rPr>
      </w:pPr>
      <w:r w:rsidRPr="00493612">
        <w:rPr>
          <w:b/>
          <w:bCs/>
          <w:i/>
          <w:iCs/>
        </w:rPr>
        <w:t xml:space="preserve">pack quantity </w:t>
      </w:r>
      <w:r w:rsidRPr="00493612">
        <w:rPr>
          <w:bCs/>
          <w:iCs/>
        </w:rPr>
        <w:t>has the same meaning as in subsection 84(1) of the Act.</w:t>
      </w:r>
    </w:p>
    <w:p w:rsidR="00E452BC" w:rsidRPr="00493612" w:rsidRDefault="00E452BC" w:rsidP="00096070">
      <w:pPr>
        <w:pStyle w:val="definition"/>
        <w:ind w:left="1320"/>
        <w:jc w:val="left"/>
        <w:rPr>
          <w:sz w:val="18"/>
          <w:szCs w:val="18"/>
        </w:rPr>
      </w:pPr>
      <w:r w:rsidRPr="00493612">
        <w:rPr>
          <w:bCs/>
          <w:iCs/>
          <w:sz w:val="18"/>
          <w:szCs w:val="18"/>
        </w:rPr>
        <w:t xml:space="preserve">Note: The Minister may determine one or more </w:t>
      </w:r>
      <w:r w:rsidRPr="00493612">
        <w:rPr>
          <w:bCs/>
          <w:i/>
          <w:iCs/>
          <w:sz w:val="18"/>
          <w:szCs w:val="18"/>
        </w:rPr>
        <w:t>pack quantities</w:t>
      </w:r>
      <w:r w:rsidRPr="00493612">
        <w:rPr>
          <w:bCs/>
          <w:iCs/>
          <w:sz w:val="18"/>
          <w:szCs w:val="18"/>
        </w:rPr>
        <w:t xml:space="preserve"> for a brand of a pharmaceutical item under subsection 84AK(2) of the Act.  The quantities determined are the quantities in manufacturer’s PBS packs.</w:t>
      </w:r>
    </w:p>
    <w:p w:rsidR="00E452BC" w:rsidRPr="000139B6" w:rsidRDefault="00077553" w:rsidP="000137BB">
      <w:pPr>
        <w:spacing w:before="360" w:line="260" w:lineRule="exact"/>
        <w:ind w:left="567" w:hanging="567"/>
        <w:rPr>
          <w:rFonts w:ascii="Arial" w:hAnsi="Arial"/>
          <w:b/>
        </w:rPr>
      </w:pPr>
      <w:r w:rsidRPr="000139B6">
        <w:rPr>
          <w:rFonts w:ascii="Arial" w:hAnsi="Arial"/>
          <w:b/>
        </w:rPr>
        <w:t>[5]</w:t>
      </w:r>
      <w:r w:rsidRPr="000139B6">
        <w:rPr>
          <w:rFonts w:ascii="Arial" w:hAnsi="Arial"/>
          <w:b/>
        </w:rPr>
        <w:tab/>
        <w:t>S</w:t>
      </w:r>
      <w:r w:rsidR="008A1C28" w:rsidRPr="000139B6">
        <w:rPr>
          <w:rFonts w:ascii="Arial" w:hAnsi="Arial"/>
          <w:b/>
        </w:rPr>
        <w:t>ubs</w:t>
      </w:r>
      <w:r w:rsidRPr="000139B6">
        <w:rPr>
          <w:rFonts w:ascii="Arial" w:hAnsi="Arial"/>
          <w:b/>
        </w:rPr>
        <w:t>ection 5</w:t>
      </w:r>
      <w:r w:rsidR="008A1C28" w:rsidRPr="000139B6">
        <w:rPr>
          <w:rFonts w:ascii="Arial" w:hAnsi="Arial"/>
          <w:b/>
        </w:rPr>
        <w:t>(1)</w:t>
      </w:r>
      <w:r w:rsidR="00E452BC" w:rsidRPr="000139B6">
        <w:rPr>
          <w:rFonts w:ascii="Arial" w:hAnsi="Arial"/>
          <w:b/>
        </w:rPr>
        <w:t xml:space="preserve">  </w:t>
      </w:r>
    </w:p>
    <w:p w:rsidR="00E452BC" w:rsidRPr="00B74348" w:rsidRDefault="00E452BC" w:rsidP="00362FB5">
      <w:pPr>
        <w:pStyle w:val="R1"/>
        <w:keepLines w:val="0"/>
        <w:rPr>
          <w:i/>
        </w:rPr>
      </w:pPr>
      <w:r w:rsidRPr="00493612">
        <w:tab/>
      </w:r>
      <w:r w:rsidRPr="00493612">
        <w:tab/>
      </w:r>
      <w:r w:rsidR="00B74348">
        <w:t>i</w:t>
      </w:r>
      <w:r w:rsidR="00B74348">
        <w:rPr>
          <w:i/>
        </w:rPr>
        <w:t>nsert</w:t>
      </w:r>
    </w:p>
    <w:p w:rsidR="00E452BC" w:rsidRPr="00493612" w:rsidRDefault="00E452BC" w:rsidP="00096070">
      <w:pPr>
        <w:pStyle w:val="definition"/>
        <w:ind w:left="1320"/>
        <w:jc w:val="left"/>
        <w:rPr>
          <w:bCs/>
          <w:iCs/>
        </w:rPr>
      </w:pPr>
      <w:r w:rsidRPr="00493612">
        <w:rPr>
          <w:b/>
          <w:bCs/>
          <w:i/>
          <w:iCs/>
        </w:rPr>
        <w:t xml:space="preserve">proportional ex-manufacturer price </w:t>
      </w:r>
      <w:r w:rsidRPr="00493612">
        <w:rPr>
          <w:bCs/>
          <w:iCs/>
        </w:rPr>
        <w:t>has the same meaning as in subsection 84(1) of the Act.</w:t>
      </w:r>
    </w:p>
    <w:p w:rsidR="00C3775E" w:rsidRPr="009A58A6" w:rsidRDefault="00C3775E" w:rsidP="000137BB">
      <w:pPr>
        <w:spacing w:before="360" w:line="260" w:lineRule="exact"/>
        <w:ind w:left="567" w:hanging="567"/>
        <w:rPr>
          <w:rFonts w:ascii="Arial" w:hAnsi="Arial"/>
          <w:b/>
        </w:rPr>
      </w:pPr>
      <w:r w:rsidRPr="000139B6">
        <w:rPr>
          <w:rFonts w:ascii="Arial" w:hAnsi="Arial"/>
          <w:b/>
        </w:rPr>
        <w:t>[</w:t>
      </w:r>
      <w:r w:rsidR="007A14BB">
        <w:rPr>
          <w:rFonts w:ascii="Arial" w:hAnsi="Arial"/>
          <w:b/>
        </w:rPr>
        <w:t>6</w:t>
      </w:r>
      <w:r w:rsidRPr="000139B6">
        <w:rPr>
          <w:rFonts w:ascii="Arial" w:hAnsi="Arial"/>
          <w:b/>
        </w:rPr>
        <w:t>]</w:t>
      </w:r>
      <w:r w:rsidRPr="000139B6">
        <w:rPr>
          <w:rFonts w:ascii="Arial" w:hAnsi="Arial"/>
          <w:b/>
        </w:rPr>
        <w:tab/>
      </w:r>
      <w:r w:rsidRPr="009A58A6">
        <w:rPr>
          <w:rFonts w:ascii="Arial" w:hAnsi="Arial"/>
          <w:b/>
        </w:rPr>
        <w:t xml:space="preserve">Subsection 5(1), definition of storage and handling mark-up  </w:t>
      </w:r>
    </w:p>
    <w:p w:rsidR="00C3775E" w:rsidRPr="009A58A6" w:rsidRDefault="00B74348" w:rsidP="00362FB5">
      <w:pPr>
        <w:pStyle w:val="R1"/>
        <w:keepLines w:val="0"/>
        <w:ind w:firstLine="0"/>
        <w:rPr>
          <w:i/>
        </w:rPr>
      </w:pPr>
      <w:r w:rsidRPr="009A58A6">
        <w:rPr>
          <w:i/>
        </w:rPr>
        <w:t>omit</w:t>
      </w:r>
    </w:p>
    <w:p w:rsidR="00C3775E" w:rsidRPr="009A58A6" w:rsidRDefault="00C3775E" w:rsidP="00096070">
      <w:pPr>
        <w:pStyle w:val="R1"/>
        <w:keepLines w:val="0"/>
        <w:ind w:left="1320" w:hanging="4"/>
        <w:jc w:val="left"/>
      </w:pPr>
      <w:r w:rsidRPr="009A58A6">
        <w:t>the ex-manufacturer price of the benefit</w:t>
      </w:r>
    </w:p>
    <w:p w:rsidR="00C3775E" w:rsidRPr="009A58A6" w:rsidRDefault="00C3775E" w:rsidP="00362FB5">
      <w:pPr>
        <w:pStyle w:val="R1"/>
        <w:keepLines w:val="0"/>
        <w:rPr>
          <w:i/>
        </w:rPr>
      </w:pPr>
      <w:r w:rsidRPr="009A58A6">
        <w:tab/>
      </w:r>
      <w:r w:rsidRPr="009A58A6">
        <w:tab/>
      </w:r>
      <w:r w:rsidR="00B74348" w:rsidRPr="009A58A6">
        <w:rPr>
          <w:i/>
        </w:rPr>
        <w:t>insert</w:t>
      </w:r>
    </w:p>
    <w:p w:rsidR="00C3775E" w:rsidRPr="009A58A6" w:rsidRDefault="00C3775E" w:rsidP="00096070">
      <w:pPr>
        <w:pStyle w:val="definition"/>
        <w:ind w:left="1320"/>
        <w:jc w:val="left"/>
      </w:pPr>
      <w:r w:rsidRPr="009A58A6">
        <w:t xml:space="preserve">the approved ex-manufacturer price or the proportional ex-manufacturer price of the pack quantity of the benefit </w:t>
      </w:r>
    </w:p>
    <w:p w:rsidR="00077553" w:rsidRPr="000139B6" w:rsidRDefault="00077553" w:rsidP="001006A8">
      <w:pPr>
        <w:keepNext/>
        <w:keepLines/>
        <w:spacing w:before="360" w:line="260" w:lineRule="exact"/>
        <w:ind w:left="567" w:hanging="567"/>
        <w:rPr>
          <w:rFonts w:ascii="Arial" w:hAnsi="Arial"/>
          <w:b/>
        </w:rPr>
      </w:pPr>
      <w:r w:rsidRPr="009A58A6">
        <w:rPr>
          <w:rFonts w:ascii="Arial" w:hAnsi="Arial"/>
          <w:b/>
        </w:rPr>
        <w:lastRenderedPageBreak/>
        <w:t>[</w:t>
      </w:r>
      <w:r w:rsidR="007A14BB">
        <w:rPr>
          <w:rFonts w:ascii="Arial" w:hAnsi="Arial"/>
          <w:b/>
        </w:rPr>
        <w:t>7</w:t>
      </w:r>
      <w:r w:rsidRPr="009A58A6">
        <w:rPr>
          <w:rFonts w:ascii="Arial" w:hAnsi="Arial"/>
          <w:b/>
        </w:rPr>
        <w:t>]</w:t>
      </w:r>
      <w:r w:rsidRPr="009A58A6">
        <w:rPr>
          <w:rFonts w:ascii="Arial" w:hAnsi="Arial"/>
          <w:b/>
        </w:rPr>
        <w:tab/>
        <w:t>Subsection 5(2)</w:t>
      </w:r>
    </w:p>
    <w:p w:rsidR="00077553" w:rsidRPr="00B74348" w:rsidRDefault="00077553" w:rsidP="001006A8">
      <w:pPr>
        <w:pStyle w:val="R1"/>
        <w:keepNext/>
        <w:rPr>
          <w:i/>
        </w:rPr>
      </w:pPr>
      <w:r w:rsidRPr="00493612">
        <w:tab/>
      </w:r>
      <w:r w:rsidRPr="00493612">
        <w:tab/>
      </w:r>
      <w:r w:rsidR="00B74348" w:rsidRPr="00B74348">
        <w:rPr>
          <w:i/>
        </w:rPr>
        <w:t>omit</w:t>
      </w:r>
    </w:p>
    <w:p w:rsidR="00077553" w:rsidRPr="000139B6" w:rsidRDefault="00077553" w:rsidP="000137BB">
      <w:pPr>
        <w:spacing w:before="360" w:line="260" w:lineRule="exact"/>
        <w:ind w:left="567" w:hanging="567"/>
        <w:rPr>
          <w:rFonts w:ascii="Arial" w:hAnsi="Arial"/>
          <w:b/>
        </w:rPr>
      </w:pPr>
      <w:r w:rsidRPr="000139B6">
        <w:rPr>
          <w:rFonts w:ascii="Arial" w:hAnsi="Arial"/>
          <w:b/>
        </w:rPr>
        <w:t>[</w:t>
      </w:r>
      <w:r w:rsidR="007A14BB">
        <w:rPr>
          <w:rFonts w:ascii="Arial" w:hAnsi="Arial"/>
          <w:b/>
        </w:rPr>
        <w:t>8</w:t>
      </w:r>
      <w:r w:rsidRPr="000139B6">
        <w:rPr>
          <w:rFonts w:ascii="Arial" w:hAnsi="Arial"/>
          <w:b/>
        </w:rPr>
        <w:t>]</w:t>
      </w:r>
      <w:r w:rsidRPr="000139B6">
        <w:rPr>
          <w:rFonts w:ascii="Arial" w:hAnsi="Arial"/>
          <w:b/>
        </w:rPr>
        <w:tab/>
        <w:t>Subsection 11(1)</w:t>
      </w:r>
    </w:p>
    <w:p w:rsidR="00077553" w:rsidRPr="00B74348" w:rsidRDefault="00077553" w:rsidP="00362FB5">
      <w:pPr>
        <w:pStyle w:val="R1"/>
        <w:keepLines w:val="0"/>
        <w:rPr>
          <w:i/>
        </w:rPr>
      </w:pPr>
      <w:r w:rsidRPr="00493612">
        <w:tab/>
      </w:r>
      <w:r w:rsidRPr="00493612">
        <w:tab/>
      </w:r>
      <w:r w:rsidR="00B74348">
        <w:rPr>
          <w:i/>
        </w:rPr>
        <w:t>omit</w:t>
      </w:r>
    </w:p>
    <w:p w:rsidR="00077553" w:rsidRPr="00B74348" w:rsidRDefault="00077553" w:rsidP="00362FB5">
      <w:pPr>
        <w:pStyle w:val="R2"/>
        <w:keepLines w:val="0"/>
        <w:rPr>
          <w:i/>
        </w:rPr>
      </w:pPr>
      <w:r w:rsidRPr="00493612">
        <w:tab/>
      </w:r>
      <w:r w:rsidRPr="00493612">
        <w:tab/>
      </w:r>
      <w:r w:rsidR="00B74348" w:rsidRPr="00B74348">
        <w:rPr>
          <w:i/>
        </w:rPr>
        <w:t>substitute</w:t>
      </w:r>
    </w:p>
    <w:p w:rsidR="00BD22BD" w:rsidRPr="00493612" w:rsidRDefault="00BD22BD" w:rsidP="00362FB5">
      <w:pPr>
        <w:pStyle w:val="R1"/>
        <w:keepLines w:val="0"/>
        <w:tabs>
          <w:tab w:val="clear" w:pos="794"/>
          <w:tab w:val="right" w:pos="2640"/>
        </w:tabs>
        <w:ind w:left="1800" w:hanging="484"/>
        <w:jc w:val="left"/>
      </w:pPr>
      <w:r w:rsidRPr="00493612">
        <w:t>(1)</w:t>
      </w:r>
      <w:r w:rsidR="00E6038D" w:rsidRPr="00493612">
        <w:tab/>
      </w:r>
      <w:r w:rsidR="00E6038D" w:rsidRPr="00493612">
        <w:tab/>
      </w:r>
      <w:r w:rsidRPr="00493612">
        <w:t xml:space="preserve">The dispensed price for the supply of a ready-prepared pharmaceutical benefit by an approved hospital authority to a patient receiving treatment in or at a </w:t>
      </w:r>
      <w:r w:rsidR="00C3775E">
        <w:t>private</w:t>
      </w:r>
      <w:r w:rsidRPr="00493612">
        <w:t xml:space="preserve"> hospital for which the authority is approved is:</w:t>
      </w:r>
    </w:p>
    <w:p w:rsidR="00BD22BD" w:rsidRPr="00493612" w:rsidRDefault="00BD22BD" w:rsidP="00362FB5">
      <w:pPr>
        <w:pStyle w:val="P1"/>
        <w:keepLines w:val="0"/>
        <w:tabs>
          <w:tab w:val="clear" w:pos="1191"/>
          <w:tab w:val="right" w:pos="2520"/>
        </w:tabs>
        <w:ind w:left="2280" w:hanging="480"/>
        <w:jc w:val="left"/>
      </w:pPr>
      <w:r w:rsidRPr="00493612">
        <w:t>(a)</w:t>
      </w:r>
      <w:r w:rsidR="00E6038D" w:rsidRPr="00493612">
        <w:tab/>
      </w:r>
      <w:r w:rsidR="00E6038D" w:rsidRPr="00493612">
        <w:tab/>
      </w:r>
      <w:r w:rsidRPr="00493612">
        <w:t>if a quantity of the benefit that is ordered and supplied is equal to a multiple of a pack quantity of the benefit — the sum of:</w:t>
      </w:r>
    </w:p>
    <w:p w:rsidR="00BD22BD" w:rsidRPr="00493612" w:rsidRDefault="00BD22BD" w:rsidP="00362FB5">
      <w:pPr>
        <w:pStyle w:val="P1"/>
        <w:keepLines w:val="0"/>
        <w:tabs>
          <w:tab w:val="clear" w:pos="1191"/>
          <w:tab w:val="right" w:pos="3120"/>
        </w:tabs>
        <w:ind w:left="2760" w:hanging="484"/>
        <w:jc w:val="left"/>
      </w:pPr>
      <w:r w:rsidRPr="00493612">
        <w:t>(</w:t>
      </w:r>
      <w:proofErr w:type="spellStart"/>
      <w:r w:rsidRPr="00493612">
        <w:t>i</w:t>
      </w:r>
      <w:proofErr w:type="spellEnd"/>
      <w:r w:rsidRPr="00493612">
        <w:t xml:space="preserve">) </w:t>
      </w:r>
      <w:r w:rsidR="00E6038D" w:rsidRPr="00493612">
        <w:tab/>
      </w:r>
      <w:r w:rsidR="00E6038D" w:rsidRPr="00493612">
        <w:tab/>
      </w:r>
      <w:r w:rsidRPr="00493612">
        <w:t>for each pack quantity:</w:t>
      </w:r>
    </w:p>
    <w:p w:rsidR="00BD22BD" w:rsidRPr="00493612" w:rsidRDefault="00BD22BD" w:rsidP="00362FB5">
      <w:pPr>
        <w:pStyle w:val="P2"/>
        <w:keepLines w:val="0"/>
        <w:tabs>
          <w:tab w:val="clear" w:pos="2155"/>
          <w:tab w:val="left" w:pos="3240"/>
        </w:tabs>
        <w:ind w:left="3240" w:hanging="484"/>
        <w:jc w:val="left"/>
        <w:rPr>
          <w:sz w:val="23"/>
          <w:szCs w:val="23"/>
        </w:rPr>
      </w:pPr>
      <w:r w:rsidRPr="00493612">
        <w:t>(A)</w:t>
      </w:r>
      <w:r w:rsidRPr="00493612">
        <w:tab/>
      </w:r>
      <w:r w:rsidRPr="00493612">
        <w:rPr>
          <w:sz w:val="23"/>
          <w:szCs w:val="23"/>
        </w:rPr>
        <w:t xml:space="preserve">the approved </w:t>
      </w:r>
      <w:r w:rsidRPr="00493612">
        <w:t>ex-manufacturer price or the proportional ex-manufacturer price</w:t>
      </w:r>
      <w:r w:rsidRPr="00493612">
        <w:rPr>
          <w:sz w:val="23"/>
          <w:szCs w:val="23"/>
        </w:rPr>
        <w:t xml:space="preserve"> for the pack quantity; and</w:t>
      </w:r>
    </w:p>
    <w:p w:rsidR="00BD22BD" w:rsidRPr="00493612" w:rsidRDefault="00BD22BD" w:rsidP="00362FB5">
      <w:pPr>
        <w:pStyle w:val="P2"/>
        <w:keepLines w:val="0"/>
        <w:tabs>
          <w:tab w:val="clear" w:pos="2155"/>
          <w:tab w:val="left" w:pos="3240"/>
        </w:tabs>
        <w:ind w:left="3240" w:hanging="484"/>
        <w:jc w:val="left"/>
      </w:pPr>
      <w:r w:rsidRPr="00493612">
        <w:t>(B)</w:t>
      </w:r>
      <w:r w:rsidRPr="00493612">
        <w:tab/>
        <w:t>the storage and handling mark-up; and</w:t>
      </w:r>
    </w:p>
    <w:p w:rsidR="00BD22BD" w:rsidRPr="00493612" w:rsidRDefault="00BD22BD" w:rsidP="00362FB5">
      <w:pPr>
        <w:pStyle w:val="P2"/>
        <w:keepLines w:val="0"/>
        <w:tabs>
          <w:tab w:val="clear" w:pos="2155"/>
          <w:tab w:val="left" w:pos="3240"/>
        </w:tabs>
        <w:ind w:left="3240" w:hanging="484"/>
        <w:jc w:val="left"/>
      </w:pPr>
      <w:r w:rsidRPr="00493612">
        <w:t>(C)</w:t>
      </w:r>
      <w:r w:rsidRPr="00493612">
        <w:tab/>
        <w:t>the mark-up, worked out under section 12; and</w:t>
      </w:r>
    </w:p>
    <w:p w:rsidR="00BD22BD" w:rsidRPr="00493612" w:rsidRDefault="00BD22BD" w:rsidP="00362FB5">
      <w:pPr>
        <w:pStyle w:val="P1"/>
        <w:keepLines w:val="0"/>
        <w:tabs>
          <w:tab w:val="clear" w:pos="1191"/>
          <w:tab w:val="right" w:pos="3120"/>
        </w:tabs>
        <w:ind w:left="2760" w:hanging="484"/>
        <w:jc w:val="left"/>
      </w:pPr>
      <w:r w:rsidRPr="00493612">
        <w:t>(ii)</w:t>
      </w:r>
      <w:r w:rsidRPr="00493612">
        <w:tab/>
        <w:t>a ready-prepared dispensing fee; or</w:t>
      </w:r>
    </w:p>
    <w:p w:rsidR="00BD22BD" w:rsidRPr="00493612" w:rsidRDefault="00BD22BD" w:rsidP="00362FB5">
      <w:pPr>
        <w:pStyle w:val="P1"/>
        <w:keepLines w:val="0"/>
        <w:tabs>
          <w:tab w:val="clear" w:pos="1191"/>
          <w:tab w:val="right" w:pos="2520"/>
        </w:tabs>
        <w:ind w:left="2280" w:hanging="480"/>
        <w:jc w:val="left"/>
      </w:pPr>
      <w:r w:rsidRPr="00493612">
        <w:t>(b)</w:t>
      </w:r>
      <w:r w:rsidRPr="00493612">
        <w:tab/>
        <w:t>if a quantity of the benefit that is ordered and supplied is less than a pack quantity of the benefit — the sum of:</w:t>
      </w:r>
    </w:p>
    <w:p w:rsidR="00BD22BD" w:rsidRPr="00493612" w:rsidRDefault="00BD22BD" w:rsidP="00362FB5">
      <w:pPr>
        <w:pStyle w:val="P1"/>
        <w:keepLines w:val="0"/>
        <w:tabs>
          <w:tab w:val="clear" w:pos="1191"/>
          <w:tab w:val="right" w:pos="3120"/>
        </w:tabs>
        <w:ind w:left="2760" w:hanging="484"/>
        <w:jc w:val="left"/>
      </w:pPr>
      <w:r w:rsidRPr="00493612">
        <w:t>(</w:t>
      </w:r>
      <w:proofErr w:type="spellStart"/>
      <w:r w:rsidRPr="00493612">
        <w:t>i</w:t>
      </w:r>
      <w:proofErr w:type="spellEnd"/>
      <w:r w:rsidRPr="00493612">
        <w:t>)</w:t>
      </w:r>
      <w:r w:rsidRPr="00493612">
        <w:tab/>
        <w:t>the amount worked out under section 14; and</w:t>
      </w:r>
    </w:p>
    <w:p w:rsidR="00BD22BD" w:rsidRPr="00493612" w:rsidRDefault="00BD22BD" w:rsidP="00362FB5">
      <w:pPr>
        <w:pStyle w:val="P1"/>
        <w:keepLines w:val="0"/>
        <w:tabs>
          <w:tab w:val="clear" w:pos="1191"/>
          <w:tab w:val="right" w:pos="3120"/>
        </w:tabs>
        <w:ind w:left="2760" w:hanging="484"/>
        <w:jc w:val="left"/>
      </w:pPr>
      <w:r w:rsidRPr="00493612">
        <w:t>(ii)</w:t>
      </w:r>
      <w:r w:rsidRPr="00493612">
        <w:tab/>
        <w:t>a ready-prepared dispensing fee; and</w:t>
      </w:r>
    </w:p>
    <w:p w:rsidR="00BD22BD" w:rsidRPr="00493612" w:rsidRDefault="00BD22BD" w:rsidP="00362FB5">
      <w:pPr>
        <w:pStyle w:val="P1"/>
        <w:keepLines w:val="0"/>
        <w:tabs>
          <w:tab w:val="clear" w:pos="1191"/>
          <w:tab w:val="right" w:pos="3120"/>
        </w:tabs>
        <w:ind w:left="2760" w:hanging="484"/>
        <w:jc w:val="left"/>
      </w:pPr>
      <w:r w:rsidRPr="00493612">
        <w:t>(iii)</w:t>
      </w:r>
      <w:r w:rsidRPr="00493612">
        <w:tab/>
        <w:t>an amount for the supply of a container, worked out under section 13; or</w:t>
      </w:r>
    </w:p>
    <w:p w:rsidR="00BD22BD" w:rsidRPr="00493612" w:rsidRDefault="00BD22BD" w:rsidP="00362FB5">
      <w:pPr>
        <w:pStyle w:val="P1"/>
        <w:keepLines w:val="0"/>
        <w:tabs>
          <w:tab w:val="clear" w:pos="1191"/>
          <w:tab w:val="right" w:pos="2520"/>
        </w:tabs>
        <w:ind w:left="2280" w:hanging="480"/>
        <w:jc w:val="left"/>
      </w:pPr>
      <w:r w:rsidRPr="00493612">
        <w:t>(c)</w:t>
      </w:r>
      <w:r w:rsidRPr="00493612">
        <w:tab/>
        <w:t>if a quantity of the benefit that is ordered and supplied is more than a multiple of a pack quantity of the benefit— the sum of:</w:t>
      </w:r>
    </w:p>
    <w:p w:rsidR="00BD22BD" w:rsidRPr="00493612" w:rsidRDefault="00BD22BD" w:rsidP="00362FB5">
      <w:pPr>
        <w:pStyle w:val="P1"/>
        <w:keepLines w:val="0"/>
        <w:tabs>
          <w:tab w:val="clear" w:pos="1191"/>
          <w:tab w:val="right" w:pos="3120"/>
        </w:tabs>
        <w:ind w:left="2760" w:hanging="484"/>
        <w:jc w:val="left"/>
      </w:pPr>
      <w:r w:rsidRPr="00493612">
        <w:t>(</w:t>
      </w:r>
      <w:proofErr w:type="spellStart"/>
      <w:r w:rsidRPr="00493612">
        <w:t>i</w:t>
      </w:r>
      <w:proofErr w:type="spellEnd"/>
      <w:r w:rsidRPr="00493612">
        <w:t xml:space="preserve">) </w:t>
      </w:r>
      <w:r w:rsidRPr="00493612">
        <w:tab/>
        <w:t>for each pack quantity:</w:t>
      </w:r>
    </w:p>
    <w:p w:rsidR="00BD22BD" w:rsidRPr="00493612" w:rsidRDefault="00BD22BD" w:rsidP="00362FB5">
      <w:pPr>
        <w:pStyle w:val="P2"/>
        <w:keepLines w:val="0"/>
        <w:tabs>
          <w:tab w:val="clear" w:pos="2155"/>
          <w:tab w:val="left" w:pos="3240"/>
        </w:tabs>
        <w:ind w:left="3240" w:hanging="484"/>
        <w:jc w:val="left"/>
      </w:pPr>
      <w:r w:rsidRPr="00493612">
        <w:t xml:space="preserve"> (A)</w:t>
      </w:r>
      <w:r w:rsidRPr="00493612">
        <w:tab/>
        <w:t>the approved ex-manufacturer price or the proportional ex-manufacturer price for the pack quantity; and</w:t>
      </w:r>
    </w:p>
    <w:p w:rsidR="00BD22BD" w:rsidRPr="00493612" w:rsidRDefault="00BD22BD" w:rsidP="00362FB5">
      <w:pPr>
        <w:pStyle w:val="P2"/>
        <w:keepLines w:val="0"/>
        <w:tabs>
          <w:tab w:val="clear" w:pos="2155"/>
          <w:tab w:val="left" w:pos="3240"/>
        </w:tabs>
        <w:ind w:left="3240" w:hanging="484"/>
        <w:jc w:val="left"/>
      </w:pPr>
      <w:r w:rsidRPr="00493612">
        <w:t>(B)</w:t>
      </w:r>
      <w:r w:rsidRPr="00493612">
        <w:tab/>
        <w:t>the storage and handling mark-up; and</w:t>
      </w:r>
    </w:p>
    <w:p w:rsidR="00BD22BD" w:rsidRPr="00493612" w:rsidRDefault="00BD22BD" w:rsidP="00362FB5">
      <w:pPr>
        <w:pStyle w:val="P2"/>
        <w:keepLines w:val="0"/>
        <w:tabs>
          <w:tab w:val="clear" w:pos="2155"/>
          <w:tab w:val="left" w:pos="3240"/>
        </w:tabs>
        <w:ind w:left="3240" w:hanging="484"/>
        <w:jc w:val="left"/>
      </w:pPr>
      <w:r w:rsidRPr="00493612">
        <w:t>(C)</w:t>
      </w:r>
      <w:r w:rsidRPr="00493612">
        <w:tab/>
        <w:t>the mark-up worked out under section 12; and</w:t>
      </w:r>
    </w:p>
    <w:p w:rsidR="00BD22BD" w:rsidRPr="00493612" w:rsidRDefault="00BD22BD" w:rsidP="00362FB5">
      <w:pPr>
        <w:pStyle w:val="P1"/>
        <w:keepLines w:val="0"/>
        <w:tabs>
          <w:tab w:val="clear" w:pos="1191"/>
          <w:tab w:val="right" w:pos="3120"/>
        </w:tabs>
        <w:ind w:left="2760" w:hanging="484"/>
        <w:jc w:val="left"/>
      </w:pPr>
      <w:r w:rsidRPr="00493612">
        <w:t>(ii)</w:t>
      </w:r>
      <w:r w:rsidRPr="00493612">
        <w:tab/>
        <w:t>for the remainder of the quantity that is less than a pack quantity— the amount worked out under section 14; and</w:t>
      </w:r>
    </w:p>
    <w:p w:rsidR="00BD22BD" w:rsidRPr="00493612" w:rsidRDefault="00BD22BD" w:rsidP="00362FB5">
      <w:pPr>
        <w:pStyle w:val="P1"/>
        <w:keepLines w:val="0"/>
        <w:tabs>
          <w:tab w:val="clear" w:pos="1191"/>
          <w:tab w:val="right" w:pos="3120"/>
        </w:tabs>
        <w:ind w:left="2760" w:hanging="484"/>
        <w:jc w:val="left"/>
      </w:pPr>
      <w:r w:rsidRPr="00493612">
        <w:t>(iii)</w:t>
      </w:r>
      <w:r w:rsidRPr="00493612">
        <w:tab/>
        <w:t>a ready-prepared dispensing fee.</w:t>
      </w:r>
    </w:p>
    <w:p w:rsidR="00D121ED" w:rsidRPr="000139B6" w:rsidRDefault="00D121ED" w:rsidP="000137BB">
      <w:pPr>
        <w:spacing w:before="360" w:line="260" w:lineRule="exact"/>
        <w:ind w:left="567" w:hanging="567"/>
        <w:rPr>
          <w:rFonts w:ascii="Arial" w:hAnsi="Arial"/>
          <w:b/>
        </w:rPr>
      </w:pPr>
      <w:r w:rsidRPr="000139B6">
        <w:rPr>
          <w:rFonts w:ascii="Arial" w:hAnsi="Arial"/>
          <w:b/>
        </w:rPr>
        <w:t>[</w:t>
      </w:r>
      <w:r w:rsidR="007A14BB">
        <w:rPr>
          <w:rFonts w:ascii="Arial" w:hAnsi="Arial"/>
          <w:b/>
        </w:rPr>
        <w:t>9</w:t>
      </w:r>
      <w:r w:rsidRPr="000139B6">
        <w:rPr>
          <w:rFonts w:ascii="Arial" w:hAnsi="Arial"/>
          <w:b/>
        </w:rPr>
        <w:t>]</w:t>
      </w:r>
      <w:r w:rsidRPr="000139B6">
        <w:rPr>
          <w:rFonts w:ascii="Arial" w:hAnsi="Arial"/>
          <w:b/>
        </w:rPr>
        <w:tab/>
        <w:t xml:space="preserve">Subsection 12(1)  </w:t>
      </w:r>
    </w:p>
    <w:p w:rsidR="00D121ED" w:rsidRPr="00B74348" w:rsidRDefault="00B74348" w:rsidP="00362FB5">
      <w:pPr>
        <w:pStyle w:val="R2"/>
        <w:keepLines w:val="0"/>
        <w:ind w:hanging="4"/>
        <w:jc w:val="left"/>
        <w:rPr>
          <w:i/>
        </w:rPr>
      </w:pPr>
      <w:r>
        <w:rPr>
          <w:i/>
        </w:rPr>
        <w:t>omit</w:t>
      </w:r>
    </w:p>
    <w:p w:rsidR="00D121ED" w:rsidRPr="00493612" w:rsidRDefault="009B4303" w:rsidP="00362FB5">
      <w:pPr>
        <w:pStyle w:val="R2"/>
        <w:keepLines w:val="0"/>
        <w:ind w:left="1320" w:hanging="4"/>
        <w:jc w:val="left"/>
      </w:pPr>
      <w:r>
        <w:t>subparagraph</w:t>
      </w:r>
      <w:r w:rsidR="00D121ED" w:rsidRPr="00493612">
        <w:t xml:space="preserve"> 11 (1) (a) (iii) </w:t>
      </w:r>
    </w:p>
    <w:p w:rsidR="00B74348" w:rsidRDefault="00B74348" w:rsidP="00362FB5">
      <w:pPr>
        <w:pStyle w:val="R2"/>
        <w:keepLines w:val="0"/>
        <w:jc w:val="left"/>
      </w:pPr>
      <w:r>
        <w:rPr>
          <w:i/>
        </w:rPr>
        <w:tab/>
      </w:r>
      <w:r>
        <w:rPr>
          <w:i/>
        </w:rPr>
        <w:tab/>
      </w:r>
      <w:r w:rsidRPr="00B74348">
        <w:rPr>
          <w:i/>
        </w:rPr>
        <w:t>substitute</w:t>
      </w:r>
      <w:r>
        <w:t xml:space="preserve"> </w:t>
      </w:r>
    </w:p>
    <w:p w:rsidR="00AD13D8" w:rsidRDefault="009B4303" w:rsidP="00362FB5">
      <w:pPr>
        <w:pStyle w:val="R2"/>
        <w:keepLines w:val="0"/>
        <w:ind w:left="1320" w:hanging="4"/>
        <w:jc w:val="left"/>
      </w:pPr>
      <w:r>
        <w:t>sub-subparagraph</w:t>
      </w:r>
      <w:r w:rsidR="00D121ED" w:rsidRPr="00493612">
        <w:t xml:space="preserve"> 11(1)(a)(</w:t>
      </w:r>
      <w:proofErr w:type="spellStart"/>
      <w:r w:rsidR="00D121ED" w:rsidRPr="00493612">
        <w:t>i</w:t>
      </w:r>
      <w:proofErr w:type="spellEnd"/>
      <w:r w:rsidR="00D121ED" w:rsidRPr="00493612">
        <w:t>)(C)</w:t>
      </w:r>
    </w:p>
    <w:p w:rsidR="00D121ED" w:rsidRPr="000139B6" w:rsidRDefault="00AD13D8" w:rsidP="000137BB">
      <w:pPr>
        <w:pStyle w:val="R2"/>
        <w:keepLines w:val="0"/>
        <w:ind w:left="567" w:hanging="567"/>
        <w:jc w:val="left"/>
        <w:rPr>
          <w:rFonts w:ascii="Arial" w:hAnsi="Arial"/>
          <w:b/>
        </w:rPr>
      </w:pPr>
      <w:r>
        <w:br w:type="page"/>
      </w:r>
      <w:r w:rsidR="00E4501B" w:rsidRPr="000139B6">
        <w:rPr>
          <w:rFonts w:ascii="Arial" w:hAnsi="Arial"/>
          <w:b/>
        </w:rPr>
        <w:lastRenderedPageBreak/>
        <w:t>[</w:t>
      </w:r>
      <w:r w:rsidR="007A14BB">
        <w:rPr>
          <w:rFonts w:ascii="Arial" w:hAnsi="Arial"/>
          <w:b/>
        </w:rPr>
        <w:t>10</w:t>
      </w:r>
      <w:r w:rsidR="00E4501B" w:rsidRPr="000139B6">
        <w:rPr>
          <w:rFonts w:ascii="Arial" w:hAnsi="Arial"/>
          <w:b/>
        </w:rPr>
        <w:t>]</w:t>
      </w:r>
      <w:r>
        <w:rPr>
          <w:rFonts w:ascii="Arial" w:hAnsi="Arial"/>
          <w:b/>
        </w:rPr>
        <w:tab/>
      </w:r>
      <w:r w:rsidR="00E4501B" w:rsidRPr="000139B6">
        <w:rPr>
          <w:rFonts w:ascii="Arial" w:hAnsi="Arial"/>
          <w:b/>
        </w:rPr>
        <w:t xml:space="preserve">Subsection 12(1) </w:t>
      </w:r>
      <w:r w:rsidR="00D121ED" w:rsidRPr="000139B6">
        <w:rPr>
          <w:rFonts w:ascii="Arial" w:hAnsi="Arial"/>
          <w:b/>
        </w:rPr>
        <w:t xml:space="preserve"> </w:t>
      </w:r>
    </w:p>
    <w:p w:rsidR="00D121ED" w:rsidRPr="00B74348" w:rsidRDefault="00B74348" w:rsidP="00362FB5">
      <w:pPr>
        <w:pStyle w:val="R2"/>
        <w:keepLines w:val="0"/>
        <w:ind w:left="960" w:hanging="4"/>
        <w:jc w:val="left"/>
        <w:rPr>
          <w:i/>
        </w:rPr>
      </w:pPr>
      <w:r>
        <w:rPr>
          <w:i/>
        </w:rPr>
        <w:t>omit</w:t>
      </w:r>
    </w:p>
    <w:p w:rsidR="00D121ED" w:rsidRPr="00493612" w:rsidRDefault="00D121ED" w:rsidP="00AD13D8">
      <w:pPr>
        <w:pStyle w:val="R2"/>
        <w:keepLines w:val="0"/>
        <w:spacing w:before="120"/>
        <w:ind w:left="1321" w:hanging="6"/>
        <w:jc w:val="left"/>
      </w:pPr>
      <w:r w:rsidRPr="00493612">
        <w:t>subparagraphs 11 (1) (a) (</w:t>
      </w:r>
      <w:proofErr w:type="spellStart"/>
      <w:r w:rsidRPr="00493612">
        <w:t>i</w:t>
      </w:r>
      <w:proofErr w:type="spellEnd"/>
      <w:r w:rsidRPr="00493612">
        <w:t xml:space="preserve">) and (ii) </w:t>
      </w:r>
    </w:p>
    <w:p w:rsidR="00D121ED" w:rsidRPr="00B74348" w:rsidRDefault="00B74348" w:rsidP="00362FB5">
      <w:pPr>
        <w:pStyle w:val="R1"/>
        <w:keepLines w:val="0"/>
        <w:ind w:firstLine="0"/>
        <w:rPr>
          <w:i/>
        </w:rPr>
      </w:pPr>
      <w:r>
        <w:rPr>
          <w:i/>
        </w:rPr>
        <w:t>insert</w:t>
      </w:r>
    </w:p>
    <w:p w:rsidR="00D121ED" w:rsidRPr="00493612" w:rsidRDefault="009B4303" w:rsidP="00AD13D8">
      <w:pPr>
        <w:pStyle w:val="R2"/>
        <w:keepLines w:val="0"/>
        <w:spacing w:before="120"/>
        <w:ind w:left="1321" w:hanging="6"/>
        <w:jc w:val="left"/>
      </w:pPr>
      <w:r>
        <w:t>sub-s</w:t>
      </w:r>
      <w:r w:rsidR="00D121ED" w:rsidRPr="00493612">
        <w:t>ubparagraphs 11(1)(a)(</w:t>
      </w:r>
      <w:proofErr w:type="spellStart"/>
      <w:r w:rsidR="00D121ED" w:rsidRPr="00493612">
        <w:t>i</w:t>
      </w:r>
      <w:proofErr w:type="spellEnd"/>
      <w:r w:rsidR="00D121ED" w:rsidRPr="00493612">
        <w:t>)(A) and (B)</w:t>
      </w:r>
    </w:p>
    <w:p w:rsidR="00E4501B" w:rsidRPr="000139B6" w:rsidRDefault="00E4501B" w:rsidP="000137BB">
      <w:pPr>
        <w:spacing w:before="360" w:line="260" w:lineRule="exact"/>
        <w:ind w:left="567" w:hanging="567"/>
        <w:rPr>
          <w:rFonts w:ascii="Arial" w:hAnsi="Arial"/>
          <w:b/>
        </w:rPr>
      </w:pPr>
      <w:r w:rsidRPr="000139B6">
        <w:rPr>
          <w:rFonts w:ascii="Arial" w:hAnsi="Arial"/>
          <w:b/>
        </w:rPr>
        <w:t>[1</w:t>
      </w:r>
      <w:r w:rsidR="007A14BB">
        <w:rPr>
          <w:rFonts w:ascii="Arial" w:hAnsi="Arial"/>
          <w:b/>
        </w:rPr>
        <w:t>1</w:t>
      </w:r>
      <w:r w:rsidRPr="000139B6">
        <w:rPr>
          <w:rFonts w:ascii="Arial" w:hAnsi="Arial"/>
          <w:b/>
        </w:rPr>
        <w:t>]</w:t>
      </w:r>
      <w:r w:rsidRPr="000139B6">
        <w:rPr>
          <w:rFonts w:ascii="Arial" w:hAnsi="Arial"/>
          <w:b/>
        </w:rPr>
        <w:tab/>
        <w:t>Subsection 12(2)</w:t>
      </w:r>
    </w:p>
    <w:p w:rsidR="00E4501B" w:rsidRPr="00B74348" w:rsidRDefault="00B74348" w:rsidP="00362FB5">
      <w:pPr>
        <w:pStyle w:val="R2"/>
        <w:keepLines w:val="0"/>
        <w:ind w:hanging="4"/>
        <w:jc w:val="left"/>
        <w:rPr>
          <w:i/>
        </w:rPr>
      </w:pPr>
      <w:r>
        <w:rPr>
          <w:i/>
        </w:rPr>
        <w:t>omit</w:t>
      </w:r>
    </w:p>
    <w:p w:rsidR="00E4501B" w:rsidRPr="00493612" w:rsidRDefault="009B4303" w:rsidP="00AD13D8">
      <w:pPr>
        <w:pStyle w:val="R2"/>
        <w:keepLines w:val="0"/>
        <w:spacing w:before="120"/>
        <w:ind w:left="1321" w:hanging="6"/>
        <w:jc w:val="left"/>
      </w:pPr>
      <w:r>
        <w:t>subparagraph</w:t>
      </w:r>
      <w:r w:rsidR="00E4501B" w:rsidRPr="00493612">
        <w:t xml:space="preserve"> 11 (1) (c) (iii) </w:t>
      </w:r>
    </w:p>
    <w:p w:rsidR="00B74348" w:rsidRDefault="00B74348" w:rsidP="00362FB5">
      <w:pPr>
        <w:pStyle w:val="R2"/>
        <w:keepLines w:val="0"/>
        <w:jc w:val="left"/>
      </w:pPr>
      <w:r>
        <w:rPr>
          <w:i/>
        </w:rPr>
        <w:tab/>
      </w:r>
      <w:r>
        <w:rPr>
          <w:i/>
        </w:rPr>
        <w:tab/>
      </w:r>
      <w:r w:rsidRPr="00B74348">
        <w:rPr>
          <w:i/>
        </w:rPr>
        <w:t>substitute</w:t>
      </w:r>
      <w:r>
        <w:t xml:space="preserve"> </w:t>
      </w:r>
    </w:p>
    <w:p w:rsidR="00E4501B" w:rsidRPr="00493612" w:rsidRDefault="009B4303" w:rsidP="00AD13D8">
      <w:pPr>
        <w:pStyle w:val="R2"/>
        <w:keepLines w:val="0"/>
        <w:spacing w:before="120"/>
        <w:ind w:left="1321" w:hanging="6"/>
        <w:jc w:val="left"/>
      </w:pPr>
      <w:r>
        <w:t>sub-subparagraph</w:t>
      </w:r>
      <w:r w:rsidR="00E4501B" w:rsidRPr="00493612">
        <w:t xml:space="preserve"> 11(1)(c)(</w:t>
      </w:r>
      <w:proofErr w:type="spellStart"/>
      <w:r w:rsidR="00E4501B" w:rsidRPr="00493612">
        <w:t>i</w:t>
      </w:r>
      <w:proofErr w:type="spellEnd"/>
      <w:r w:rsidR="00E4501B" w:rsidRPr="00493612">
        <w:t>)(C)</w:t>
      </w:r>
    </w:p>
    <w:p w:rsidR="00E4501B" w:rsidRPr="000139B6" w:rsidRDefault="00E4501B" w:rsidP="000137BB">
      <w:pPr>
        <w:spacing w:before="360" w:line="260" w:lineRule="exact"/>
        <w:ind w:left="567" w:hanging="567"/>
        <w:rPr>
          <w:rFonts w:ascii="Arial" w:hAnsi="Arial"/>
          <w:b/>
        </w:rPr>
      </w:pPr>
      <w:r w:rsidRPr="000139B6">
        <w:rPr>
          <w:rFonts w:ascii="Arial" w:hAnsi="Arial"/>
          <w:b/>
        </w:rPr>
        <w:t>[1</w:t>
      </w:r>
      <w:r w:rsidR="007A14BB">
        <w:rPr>
          <w:rFonts w:ascii="Arial" w:hAnsi="Arial"/>
          <w:b/>
        </w:rPr>
        <w:t>2</w:t>
      </w:r>
      <w:r w:rsidRPr="000139B6">
        <w:rPr>
          <w:rFonts w:ascii="Arial" w:hAnsi="Arial"/>
          <w:b/>
        </w:rPr>
        <w:t>]</w:t>
      </w:r>
      <w:r w:rsidRPr="000139B6">
        <w:rPr>
          <w:rFonts w:ascii="Arial" w:hAnsi="Arial"/>
          <w:b/>
        </w:rPr>
        <w:tab/>
        <w:t xml:space="preserve">Subsection 12(2)  </w:t>
      </w:r>
    </w:p>
    <w:p w:rsidR="00E4501B" w:rsidRPr="00B74348" w:rsidRDefault="00B74348" w:rsidP="00362FB5">
      <w:pPr>
        <w:pStyle w:val="R2"/>
        <w:keepLines w:val="0"/>
        <w:ind w:left="960" w:hanging="4"/>
        <w:jc w:val="left"/>
        <w:rPr>
          <w:i/>
        </w:rPr>
      </w:pPr>
      <w:r>
        <w:rPr>
          <w:i/>
        </w:rPr>
        <w:t>omit</w:t>
      </w:r>
    </w:p>
    <w:p w:rsidR="00E4501B" w:rsidRPr="00493612" w:rsidRDefault="00E4501B" w:rsidP="00AD13D8">
      <w:pPr>
        <w:pStyle w:val="R2"/>
        <w:keepLines w:val="0"/>
        <w:spacing w:before="120"/>
        <w:ind w:left="1321" w:hanging="6"/>
        <w:jc w:val="left"/>
      </w:pPr>
      <w:r w:rsidRPr="00493612">
        <w:t>subparagraphs 11 (1) (c) (</w:t>
      </w:r>
      <w:proofErr w:type="spellStart"/>
      <w:r w:rsidRPr="00493612">
        <w:t>i</w:t>
      </w:r>
      <w:proofErr w:type="spellEnd"/>
      <w:r w:rsidRPr="00493612">
        <w:t xml:space="preserve">) and (ii) </w:t>
      </w:r>
    </w:p>
    <w:p w:rsidR="00E4501B" w:rsidRPr="00B74348" w:rsidRDefault="00B74348" w:rsidP="00362FB5">
      <w:pPr>
        <w:pStyle w:val="R2"/>
        <w:keepLines w:val="0"/>
        <w:ind w:left="960" w:hanging="4"/>
        <w:jc w:val="left"/>
        <w:rPr>
          <w:i/>
        </w:rPr>
      </w:pPr>
      <w:r w:rsidRPr="00B74348">
        <w:rPr>
          <w:i/>
        </w:rPr>
        <w:t>insert</w:t>
      </w:r>
    </w:p>
    <w:p w:rsidR="00E4501B" w:rsidRPr="00493612" w:rsidRDefault="009B4303" w:rsidP="00AD13D8">
      <w:pPr>
        <w:pStyle w:val="R2"/>
        <w:keepLines w:val="0"/>
        <w:spacing w:before="120"/>
        <w:ind w:left="1321" w:hanging="6"/>
        <w:jc w:val="left"/>
      </w:pPr>
      <w:r>
        <w:t>sub-s</w:t>
      </w:r>
      <w:r w:rsidR="00E4501B" w:rsidRPr="00493612">
        <w:t>ubparagraphs 11(1)(c)(</w:t>
      </w:r>
      <w:proofErr w:type="spellStart"/>
      <w:r w:rsidR="00E4501B" w:rsidRPr="00493612">
        <w:t>i</w:t>
      </w:r>
      <w:proofErr w:type="spellEnd"/>
      <w:r w:rsidR="00E4501B" w:rsidRPr="00493612">
        <w:t>)(A) and (B)</w:t>
      </w:r>
    </w:p>
    <w:p w:rsidR="001E674B" w:rsidRPr="000139B6" w:rsidRDefault="004872D0" w:rsidP="000137BB">
      <w:pPr>
        <w:spacing w:before="360" w:line="260" w:lineRule="exact"/>
        <w:ind w:left="567" w:hanging="567"/>
        <w:rPr>
          <w:rFonts w:ascii="Arial" w:hAnsi="Arial"/>
          <w:b/>
        </w:rPr>
      </w:pPr>
      <w:r w:rsidRPr="000139B6">
        <w:rPr>
          <w:rFonts w:ascii="Arial" w:hAnsi="Arial"/>
          <w:b/>
        </w:rPr>
        <w:t>[1</w:t>
      </w:r>
      <w:r w:rsidR="007A14BB">
        <w:rPr>
          <w:rFonts w:ascii="Arial" w:hAnsi="Arial"/>
          <w:b/>
        </w:rPr>
        <w:t>3</w:t>
      </w:r>
      <w:r w:rsidR="001E674B" w:rsidRPr="000139B6">
        <w:rPr>
          <w:rFonts w:ascii="Arial" w:hAnsi="Arial"/>
          <w:b/>
        </w:rPr>
        <w:t>]</w:t>
      </w:r>
      <w:r w:rsidR="001E674B" w:rsidRPr="000139B6">
        <w:rPr>
          <w:rFonts w:ascii="Arial" w:hAnsi="Arial"/>
          <w:b/>
        </w:rPr>
        <w:tab/>
        <w:t>Section 14</w:t>
      </w:r>
    </w:p>
    <w:p w:rsidR="001E674B" w:rsidRPr="00B74348" w:rsidRDefault="001E674B" w:rsidP="00362FB5">
      <w:pPr>
        <w:pStyle w:val="R1"/>
        <w:keepLines w:val="0"/>
        <w:rPr>
          <w:i/>
        </w:rPr>
      </w:pPr>
      <w:r w:rsidRPr="00493612">
        <w:tab/>
      </w:r>
      <w:r w:rsidRPr="00493612">
        <w:tab/>
      </w:r>
      <w:r w:rsidR="00B74348">
        <w:rPr>
          <w:i/>
        </w:rPr>
        <w:t>omit</w:t>
      </w:r>
    </w:p>
    <w:p w:rsidR="006C6182" w:rsidRPr="006C6182" w:rsidRDefault="006C6182" w:rsidP="00AD13D8">
      <w:pPr>
        <w:pStyle w:val="R2"/>
        <w:keepLines w:val="0"/>
        <w:spacing w:before="120"/>
        <w:ind w:left="1321" w:hanging="6"/>
        <w:jc w:val="left"/>
      </w:pPr>
      <w:r w:rsidRPr="00B700F1">
        <w:t>If a ready-prepared pharmaceutical benefit is ordered and supplied in a quantity that is less than the quantity contained in a standard or non</w:t>
      </w:r>
      <w:r w:rsidRPr="00B700F1">
        <w:noBreakHyphen/>
        <w:t xml:space="preserve">standard pack (the </w:t>
      </w:r>
      <w:r w:rsidRPr="00B700F1">
        <w:rPr>
          <w:b/>
          <w:i/>
        </w:rPr>
        <w:t>broken quantity</w:t>
      </w:r>
      <w:r w:rsidRPr="00B700F1">
        <w:t>), the amount mentioned in subparagraph 11 (1) (b) (</w:t>
      </w:r>
      <w:proofErr w:type="spellStart"/>
      <w:r w:rsidRPr="00B700F1">
        <w:t>i</w:t>
      </w:r>
      <w:proofErr w:type="spellEnd"/>
      <w:r w:rsidRPr="00B700F1">
        <w:t>) or (c) (iv) is to be worked out using</w:t>
      </w:r>
      <w:r>
        <w:t xml:space="preserve"> the following method statement.</w:t>
      </w:r>
    </w:p>
    <w:p w:rsidR="001E674B" w:rsidRPr="00493612" w:rsidRDefault="001E674B" w:rsidP="00362FB5">
      <w:pPr>
        <w:pStyle w:val="R2"/>
        <w:keepLines w:val="0"/>
      </w:pPr>
      <w:r w:rsidRPr="00493612">
        <w:tab/>
      </w:r>
      <w:r w:rsidRPr="00493612">
        <w:tab/>
      </w:r>
      <w:r w:rsidR="00B74348" w:rsidRPr="00B74348">
        <w:rPr>
          <w:i/>
        </w:rPr>
        <w:t>substitute</w:t>
      </w:r>
    </w:p>
    <w:p w:rsidR="004872D0" w:rsidRPr="00493612" w:rsidRDefault="004872D0" w:rsidP="00AD13D8">
      <w:pPr>
        <w:pStyle w:val="R2"/>
        <w:keepLines w:val="0"/>
        <w:spacing w:before="120"/>
        <w:ind w:left="1321" w:hanging="6"/>
        <w:jc w:val="left"/>
      </w:pPr>
      <w:r w:rsidRPr="00493612">
        <w:tab/>
        <w:t xml:space="preserve">If a ready-prepared pharmaceutical benefit is ordered and supplied in a quantity that is less than a pack quantity (the </w:t>
      </w:r>
      <w:r w:rsidRPr="00493612">
        <w:rPr>
          <w:b/>
          <w:i/>
        </w:rPr>
        <w:t>broken quantity</w:t>
      </w:r>
      <w:r w:rsidRPr="00493612">
        <w:t>), the amount mentioned in subparagraph 11 (1) (b) (</w:t>
      </w:r>
      <w:proofErr w:type="spellStart"/>
      <w:r w:rsidRPr="00493612">
        <w:t>i</w:t>
      </w:r>
      <w:proofErr w:type="spellEnd"/>
      <w:r w:rsidRPr="00493612">
        <w:t>) or (c) (ii) is to be worked out using</w:t>
      </w:r>
      <w:r w:rsidR="006C6182">
        <w:t xml:space="preserve"> the following method statement.</w:t>
      </w:r>
    </w:p>
    <w:p w:rsidR="004872D0" w:rsidRPr="000139B6" w:rsidRDefault="004872D0" w:rsidP="000137BB">
      <w:pPr>
        <w:spacing w:before="360" w:line="260" w:lineRule="exact"/>
        <w:ind w:left="567" w:hanging="567"/>
        <w:rPr>
          <w:rFonts w:ascii="Arial" w:hAnsi="Arial"/>
          <w:b/>
        </w:rPr>
      </w:pPr>
      <w:r w:rsidRPr="000139B6">
        <w:rPr>
          <w:rFonts w:ascii="Arial" w:hAnsi="Arial"/>
          <w:b/>
        </w:rPr>
        <w:t>[1</w:t>
      </w:r>
      <w:r w:rsidR="007A14BB">
        <w:rPr>
          <w:rFonts w:ascii="Arial" w:hAnsi="Arial"/>
          <w:b/>
        </w:rPr>
        <w:t>4</w:t>
      </w:r>
      <w:r w:rsidRPr="000139B6">
        <w:rPr>
          <w:rFonts w:ascii="Arial" w:hAnsi="Arial"/>
          <w:b/>
        </w:rPr>
        <w:t>]</w:t>
      </w:r>
      <w:r w:rsidRPr="000139B6">
        <w:rPr>
          <w:rFonts w:ascii="Arial" w:hAnsi="Arial"/>
          <w:b/>
        </w:rPr>
        <w:tab/>
        <w:t xml:space="preserve">Section 14, Step </w:t>
      </w:r>
      <w:r w:rsidR="00C3775E" w:rsidRPr="000139B6">
        <w:rPr>
          <w:rFonts w:ascii="Arial" w:hAnsi="Arial"/>
          <w:b/>
        </w:rPr>
        <w:t>1</w:t>
      </w:r>
      <w:r w:rsidRPr="000139B6">
        <w:rPr>
          <w:rFonts w:ascii="Arial" w:hAnsi="Arial"/>
          <w:b/>
        </w:rPr>
        <w:t xml:space="preserve"> </w:t>
      </w:r>
    </w:p>
    <w:p w:rsidR="004872D0" w:rsidRPr="00B74348" w:rsidRDefault="004872D0" w:rsidP="00362FB5">
      <w:pPr>
        <w:pStyle w:val="R1"/>
        <w:keepLines w:val="0"/>
        <w:rPr>
          <w:i/>
        </w:rPr>
      </w:pPr>
      <w:r w:rsidRPr="00493612">
        <w:tab/>
      </w:r>
      <w:r w:rsidRPr="00493612">
        <w:tab/>
      </w:r>
      <w:r w:rsidR="00B74348" w:rsidRPr="00B74348">
        <w:rPr>
          <w:i/>
        </w:rPr>
        <w:t>omit</w:t>
      </w:r>
    </w:p>
    <w:p w:rsidR="004872D0" w:rsidRPr="00493612" w:rsidRDefault="004872D0" w:rsidP="00362FB5">
      <w:pPr>
        <w:pStyle w:val="R2"/>
        <w:keepLines w:val="0"/>
      </w:pPr>
      <w:r w:rsidRPr="00493612">
        <w:tab/>
      </w:r>
      <w:r w:rsidRPr="00493612">
        <w:tab/>
      </w:r>
      <w:r w:rsidR="00B74348" w:rsidRPr="00B74348">
        <w:rPr>
          <w:i/>
        </w:rPr>
        <w:t>substitute</w:t>
      </w:r>
    </w:p>
    <w:p w:rsidR="004872D0" w:rsidRPr="00493612" w:rsidRDefault="004872D0" w:rsidP="00AD13D8">
      <w:pPr>
        <w:pStyle w:val="R2"/>
        <w:keepLines w:val="0"/>
        <w:spacing w:before="120"/>
        <w:ind w:left="1321" w:hanging="6"/>
        <w:jc w:val="left"/>
      </w:pPr>
      <w:r w:rsidRPr="009A58A6">
        <w:rPr>
          <w:i/>
        </w:rPr>
        <w:t>Step</w:t>
      </w:r>
      <w:r w:rsidRPr="00493612">
        <w:rPr>
          <w:i/>
        </w:rPr>
        <w:t xml:space="preserve"> 1</w:t>
      </w:r>
      <w:r w:rsidRPr="00493612">
        <w:rPr>
          <w:i/>
        </w:rPr>
        <w:tab/>
      </w:r>
      <w:r w:rsidRPr="00493612">
        <w:t>Add together, for a pack quantity:</w:t>
      </w:r>
    </w:p>
    <w:p w:rsidR="004872D0" w:rsidRDefault="004872D0" w:rsidP="00096070">
      <w:pPr>
        <w:pStyle w:val="P1"/>
        <w:keepLines w:val="0"/>
        <w:ind w:left="2640" w:hanging="480"/>
        <w:jc w:val="left"/>
      </w:pPr>
      <w:r w:rsidRPr="00493612">
        <w:t>(a)</w:t>
      </w:r>
      <w:r w:rsidRPr="00493612">
        <w:tab/>
        <w:t xml:space="preserve">the </w:t>
      </w:r>
      <w:r w:rsidRPr="00493612">
        <w:rPr>
          <w:sz w:val="23"/>
          <w:szCs w:val="23"/>
        </w:rPr>
        <w:t xml:space="preserve">approved </w:t>
      </w:r>
      <w:r w:rsidRPr="00493612">
        <w:t>ex-manufacturer price or the proportional ex-manufacturer price</w:t>
      </w:r>
      <w:r w:rsidRPr="00493612">
        <w:rPr>
          <w:sz w:val="23"/>
          <w:szCs w:val="23"/>
        </w:rPr>
        <w:t xml:space="preserve"> for the pack quantity</w:t>
      </w:r>
      <w:r w:rsidRPr="00493612">
        <w:t>; and</w:t>
      </w:r>
    </w:p>
    <w:p w:rsidR="00C3775E" w:rsidRPr="00AD13D8" w:rsidRDefault="00C3775E" w:rsidP="00096070">
      <w:pPr>
        <w:pStyle w:val="P1"/>
        <w:keepLines w:val="0"/>
        <w:ind w:left="2640" w:hanging="480"/>
        <w:jc w:val="left"/>
        <w:rPr>
          <w:sz w:val="23"/>
          <w:szCs w:val="23"/>
        </w:rPr>
      </w:pPr>
      <w:r w:rsidRPr="00AD13D8">
        <w:t>(b)</w:t>
      </w:r>
      <w:r w:rsidRPr="00AD13D8">
        <w:tab/>
      </w:r>
      <w:r w:rsidRPr="00AD13D8">
        <w:rPr>
          <w:sz w:val="23"/>
          <w:szCs w:val="23"/>
        </w:rPr>
        <w:t>the storage and handling mark-up; and</w:t>
      </w:r>
    </w:p>
    <w:p w:rsidR="00C3775E" w:rsidRPr="00B700F1" w:rsidRDefault="00C3775E" w:rsidP="00096070">
      <w:pPr>
        <w:pStyle w:val="P1"/>
        <w:keepLines w:val="0"/>
        <w:ind w:left="2640" w:hanging="480"/>
        <w:jc w:val="left"/>
      </w:pPr>
      <w:r w:rsidRPr="00AD13D8">
        <w:rPr>
          <w:sz w:val="23"/>
          <w:szCs w:val="23"/>
        </w:rPr>
        <w:t>(c)</w:t>
      </w:r>
      <w:r w:rsidRPr="00AD13D8">
        <w:rPr>
          <w:sz w:val="23"/>
          <w:szCs w:val="23"/>
        </w:rPr>
        <w:tab/>
      </w:r>
      <w:r w:rsidRPr="00AD13D8">
        <w:t>the mark-up worked out under section 12.</w:t>
      </w:r>
    </w:p>
    <w:p w:rsidR="004872D0" w:rsidRPr="000139B6" w:rsidRDefault="004872D0" w:rsidP="000137BB">
      <w:pPr>
        <w:spacing w:before="360" w:line="260" w:lineRule="exact"/>
        <w:ind w:left="567" w:hanging="567"/>
        <w:rPr>
          <w:rFonts w:ascii="Arial" w:hAnsi="Arial"/>
          <w:b/>
        </w:rPr>
      </w:pPr>
      <w:r w:rsidRPr="000139B6">
        <w:rPr>
          <w:rFonts w:ascii="Arial" w:hAnsi="Arial"/>
          <w:b/>
        </w:rPr>
        <w:lastRenderedPageBreak/>
        <w:t>[1</w:t>
      </w:r>
      <w:r w:rsidR="007A14BB">
        <w:rPr>
          <w:rFonts w:ascii="Arial" w:hAnsi="Arial"/>
          <w:b/>
        </w:rPr>
        <w:t>5</w:t>
      </w:r>
      <w:r w:rsidRPr="000139B6">
        <w:rPr>
          <w:rFonts w:ascii="Arial" w:hAnsi="Arial"/>
          <w:b/>
        </w:rPr>
        <w:t>]</w:t>
      </w:r>
      <w:r w:rsidRPr="000139B6">
        <w:rPr>
          <w:rFonts w:ascii="Arial" w:hAnsi="Arial"/>
          <w:b/>
        </w:rPr>
        <w:tab/>
        <w:t>Section 14, Step 2</w:t>
      </w:r>
    </w:p>
    <w:p w:rsidR="004872D0" w:rsidRPr="00B74348" w:rsidRDefault="004872D0" w:rsidP="00362FB5">
      <w:pPr>
        <w:pStyle w:val="R1"/>
        <w:keepLines w:val="0"/>
        <w:rPr>
          <w:i/>
        </w:rPr>
      </w:pPr>
      <w:r w:rsidRPr="00493612">
        <w:tab/>
      </w:r>
      <w:r w:rsidRPr="00493612">
        <w:tab/>
      </w:r>
      <w:r w:rsidR="00B74348" w:rsidRPr="00B74348">
        <w:rPr>
          <w:i/>
        </w:rPr>
        <w:t>omit</w:t>
      </w:r>
    </w:p>
    <w:p w:rsidR="004872D0" w:rsidRPr="00493612" w:rsidRDefault="004872D0" w:rsidP="00AD13D8">
      <w:pPr>
        <w:pStyle w:val="R2"/>
        <w:keepLines w:val="0"/>
        <w:spacing w:before="120"/>
        <w:ind w:left="1321" w:hanging="6"/>
        <w:jc w:val="left"/>
      </w:pPr>
      <w:r w:rsidRPr="00493612">
        <w:t>quantity or number of units in the standard or non-standard pack</w:t>
      </w:r>
    </w:p>
    <w:p w:rsidR="004872D0" w:rsidRPr="00493612" w:rsidRDefault="004872D0" w:rsidP="00362FB5">
      <w:pPr>
        <w:pStyle w:val="R2"/>
        <w:keepLines w:val="0"/>
      </w:pPr>
      <w:r w:rsidRPr="00493612">
        <w:tab/>
      </w:r>
      <w:r w:rsidRPr="00493612">
        <w:tab/>
      </w:r>
      <w:r w:rsidR="00B74348" w:rsidRPr="00B74348">
        <w:rPr>
          <w:i/>
        </w:rPr>
        <w:t>substitute</w:t>
      </w:r>
    </w:p>
    <w:p w:rsidR="00077553" w:rsidRPr="00493612" w:rsidRDefault="004872D0" w:rsidP="00AD13D8">
      <w:pPr>
        <w:pStyle w:val="R2"/>
        <w:keepLines w:val="0"/>
        <w:spacing w:before="120"/>
        <w:ind w:left="1321" w:hanging="6"/>
        <w:jc w:val="left"/>
      </w:pPr>
      <w:r w:rsidRPr="00493612">
        <w:t xml:space="preserve">pack quantity </w:t>
      </w:r>
    </w:p>
    <w:p w:rsidR="00584BDC" w:rsidRPr="000139B6" w:rsidRDefault="00584BDC" w:rsidP="000137BB">
      <w:pPr>
        <w:spacing w:before="360" w:line="260" w:lineRule="exact"/>
        <w:ind w:left="567" w:hanging="567"/>
        <w:rPr>
          <w:rFonts w:ascii="Arial" w:hAnsi="Arial"/>
          <w:b/>
        </w:rPr>
      </w:pPr>
      <w:r w:rsidRPr="000139B6">
        <w:rPr>
          <w:rFonts w:ascii="Arial" w:hAnsi="Arial"/>
          <w:b/>
        </w:rPr>
        <w:t>[1</w:t>
      </w:r>
      <w:r w:rsidR="007A14BB">
        <w:rPr>
          <w:rFonts w:ascii="Arial" w:hAnsi="Arial"/>
          <w:b/>
        </w:rPr>
        <w:t>6</w:t>
      </w:r>
      <w:r w:rsidRPr="000139B6">
        <w:rPr>
          <w:rFonts w:ascii="Arial" w:hAnsi="Arial"/>
          <w:b/>
        </w:rPr>
        <w:t>]</w:t>
      </w:r>
      <w:r w:rsidRPr="000139B6">
        <w:rPr>
          <w:rFonts w:ascii="Arial" w:hAnsi="Arial"/>
          <w:b/>
        </w:rPr>
        <w:tab/>
        <w:t>Section 15</w:t>
      </w:r>
    </w:p>
    <w:p w:rsidR="00584BDC" w:rsidRPr="00B74348" w:rsidRDefault="00584BDC" w:rsidP="00362FB5">
      <w:pPr>
        <w:pStyle w:val="R1"/>
        <w:keepLines w:val="0"/>
        <w:rPr>
          <w:i/>
        </w:rPr>
      </w:pPr>
      <w:r w:rsidRPr="00493612">
        <w:tab/>
      </w:r>
      <w:r w:rsidRPr="00493612">
        <w:tab/>
      </w:r>
      <w:r w:rsidR="00B74348" w:rsidRPr="00B74348">
        <w:rPr>
          <w:i/>
        </w:rPr>
        <w:t>omit</w:t>
      </w:r>
    </w:p>
    <w:p w:rsidR="00584BDC" w:rsidRPr="00493612" w:rsidRDefault="00B74348" w:rsidP="00362FB5">
      <w:pPr>
        <w:pStyle w:val="R2"/>
        <w:keepLines w:val="0"/>
        <w:ind w:hanging="4"/>
      </w:pPr>
      <w:r w:rsidRPr="00B74348">
        <w:rPr>
          <w:i/>
        </w:rPr>
        <w:t>substitute</w:t>
      </w:r>
    </w:p>
    <w:p w:rsidR="00584BDC" w:rsidRPr="00493612" w:rsidRDefault="00584BDC" w:rsidP="001006A8">
      <w:pPr>
        <w:pStyle w:val="R1"/>
        <w:keepLines w:val="0"/>
        <w:tabs>
          <w:tab w:val="clear" w:pos="794"/>
        </w:tabs>
        <w:ind w:left="1418" w:firstLine="0"/>
        <w:jc w:val="left"/>
      </w:pPr>
      <w:r w:rsidRPr="00493612">
        <w:t>If the dispensed price worked out for the supply of a broken quantity of a ready-prepared pharmaceutical benefit exceeds the dispensed price for a pack quantity, the dispensed price for the pack quantity is the dispensed price for the broken quantity.</w:t>
      </w:r>
    </w:p>
    <w:p w:rsidR="00584BDC" w:rsidRPr="000139B6" w:rsidRDefault="00584BDC" w:rsidP="000137BB">
      <w:pPr>
        <w:spacing w:before="360" w:line="260" w:lineRule="exact"/>
        <w:ind w:left="567" w:hanging="567"/>
        <w:rPr>
          <w:rFonts w:ascii="Arial" w:hAnsi="Arial"/>
          <w:b/>
        </w:rPr>
      </w:pPr>
      <w:r w:rsidRPr="000139B6">
        <w:rPr>
          <w:rFonts w:ascii="Arial" w:hAnsi="Arial"/>
          <w:b/>
        </w:rPr>
        <w:t>[1</w:t>
      </w:r>
      <w:r w:rsidR="007A14BB">
        <w:rPr>
          <w:rFonts w:ascii="Arial" w:hAnsi="Arial"/>
          <w:b/>
        </w:rPr>
        <w:t>7</w:t>
      </w:r>
      <w:r w:rsidRPr="000139B6">
        <w:rPr>
          <w:rFonts w:ascii="Arial" w:hAnsi="Arial"/>
          <w:b/>
        </w:rPr>
        <w:t>]</w:t>
      </w:r>
      <w:r w:rsidRPr="000139B6">
        <w:rPr>
          <w:rFonts w:ascii="Arial" w:hAnsi="Arial"/>
          <w:b/>
        </w:rPr>
        <w:tab/>
        <w:t xml:space="preserve">Section 16  </w:t>
      </w:r>
    </w:p>
    <w:p w:rsidR="00584BDC" w:rsidRPr="00B74348" w:rsidRDefault="00584BDC" w:rsidP="00362FB5">
      <w:pPr>
        <w:pStyle w:val="R1"/>
        <w:keepLines w:val="0"/>
        <w:rPr>
          <w:i/>
        </w:rPr>
      </w:pPr>
      <w:r w:rsidRPr="00493612">
        <w:tab/>
      </w:r>
      <w:r w:rsidRPr="00493612">
        <w:tab/>
      </w:r>
      <w:r w:rsidR="00B74348" w:rsidRPr="00B74348">
        <w:rPr>
          <w:i/>
        </w:rPr>
        <w:t>omit</w:t>
      </w:r>
      <w:r w:rsidR="006E2FB2" w:rsidRPr="00B74348">
        <w:rPr>
          <w:i/>
        </w:rPr>
        <w:t xml:space="preserve"> the heading</w:t>
      </w:r>
      <w:r w:rsidR="00B74348">
        <w:rPr>
          <w:i/>
        </w:rPr>
        <w:t xml:space="preserve"> to the section and the section</w:t>
      </w:r>
    </w:p>
    <w:p w:rsidR="00584BDC" w:rsidRPr="00493612" w:rsidRDefault="00B74348" w:rsidP="00362FB5">
      <w:pPr>
        <w:pStyle w:val="R2"/>
        <w:keepLines w:val="0"/>
        <w:ind w:hanging="4"/>
        <w:rPr>
          <w:rStyle w:val="CharSectno"/>
        </w:rPr>
      </w:pPr>
      <w:r w:rsidRPr="00B74348">
        <w:rPr>
          <w:i/>
        </w:rPr>
        <w:t>substitute</w:t>
      </w:r>
    </w:p>
    <w:p w:rsidR="00584BDC" w:rsidRPr="00493612" w:rsidRDefault="00584BDC" w:rsidP="00096070">
      <w:pPr>
        <w:pStyle w:val="HR"/>
        <w:keepNext w:val="0"/>
        <w:keepLines w:val="0"/>
        <w:ind w:left="1920" w:hanging="600"/>
        <w:rPr>
          <w:rFonts w:ascii="Times New Roman" w:hAnsi="Times New Roman"/>
        </w:rPr>
      </w:pPr>
      <w:r w:rsidRPr="00493612">
        <w:rPr>
          <w:rStyle w:val="CharSectno"/>
          <w:rFonts w:ascii="Times New Roman" w:hAnsi="Times New Roman"/>
        </w:rPr>
        <w:t>16</w:t>
      </w:r>
      <w:r w:rsidRPr="00493612">
        <w:rPr>
          <w:rFonts w:ascii="Times New Roman" w:hAnsi="Times New Roman"/>
        </w:rPr>
        <w:tab/>
        <w:t>Pharmaceutical benefits mentioned in a determination under paragraph 98C (1) (b) of the Act</w:t>
      </w:r>
    </w:p>
    <w:p w:rsidR="00584BDC" w:rsidRPr="00493612" w:rsidRDefault="00584BDC" w:rsidP="00096070">
      <w:pPr>
        <w:pStyle w:val="R1"/>
        <w:keepLines w:val="0"/>
        <w:ind w:left="1920" w:hanging="600"/>
        <w:jc w:val="left"/>
      </w:pPr>
      <w:r w:rsidRPr="00493612">
        <w:tab/>
        <w:t xml:space="preserve">If a prescription directs the supply of a quantity of a pharmaceutical benefit mentioned in a determination under paragraph 98C(1)(b) of the </w:t>
      </w:r>
      <w:r w:rsidR="009B4303">
        <w:t>Act as a pharmaceutical benefit</w:t>
      </w:r>
      <w:r w:rsidRPr="00493612">
        <w:t xml:space="preserve"> the complete pack of which shall be supplied regardless o</w:t>
      </w:r>
      <w:r w:rsidR="009B4303">
        <w:t xml:space="preserve">f any lesser quantity ordered, </w:t>
      </w:r>
      <w:r w:rsidRPr="00493612">
        <w:t>the dispensed price is the price worked out as if a complete pack was supplied.</w:t>
      </w:r>
    </w:p>
    <w:bookmarkEnd w:id="5"/>
    <w:p w:rsidR="009B4303" w:rsidRDefault="009B4303" w:rsidP="00362FB5">
      <w:pPr>
        <w:pStyle w:val="definition"/>
        <w:ind w:left="1320"/>
      </w:pPr>
    </w:p>
    <w:sectPr w:rsidR="009B4303" w:rsidSect="00AF78F9">
      <w:headerReference w:type="even" r:id="rId18"/>
      <w:headerReference w:type="default" r:id="rId19"/>
      <w:footerReference w:type="even" r:id="rId20"/>
      <w:footerReference w:type="first" r:id="rId21"/>
      <w:type w:val="continuous"/>
      <w:pgSz w:w="11907" w:h="16839" w:code="9"/>
      <w:pgMar w:top="1440" w:right="1797" w:bottom="1440" w:left="1797" w:header="709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4EB" w:rsidRDefault="003234EB">
      <w:r>
        <w:separator/>
      </w:r>
    </w:p>
  </w:endnote>
  <w:endnote w:type="continuationSeparator" w:id="0">
    <w:p w:rsidR="003234EB" w:rsidRDefault="003234EB">
      <w:r>
        <w:continuationSeparator/>
      </w:r>
    </w:p>
  </w:endnote>
  <w:endnote w:id="1">
    <w:p w:rsidR="000962F6" w:rsidRPr="00493612" w:rsidRDefault="000962F6" w:rsidP="000137BB">
      <w:pPr>
        <w:pStyle w:val="NoteEnd"/>
        <w:keepLines w:val="0"/>
        <w:pBdr>
          <w:top w:val="single" w:sz="4" w:space="3" w:color="auto"/>
        </w:pBdr>
        <w:spacing w:before="480"/>
        <w:rPr>
          <w:b/>
          <w:sz w:val="24"/>
        </w:rPr>
      </w:pPr>
      <w:r>
        <w:rPr>
          <w:rStyle w:val="EndnoteReference"/>
        </w:rPr>
        <w:endnoteRef/>
      </w:r>
      <w:r>
        <w:t xml:space="preserve"> </w:t>
      </w:r>
      <w:r w:rsidRPr="00493612">
        <w:rPr>
          <w:b/>
          <w:sz w:val="24"/>
        </w:rPr>
        <w:t>Note</w:t>
      </w:r>
    </w:p>
    <w:p w:rsidR="000962F6" w:rsidRDefault="000962F6" w:rsidP="000137BB">
      <w:pPr>
        <w:pStyle w:val="EndnoteText"/>
      </w:pPr>
      <w:r w:rsidRPr="00493612">
        <w:t xml:space="preserve">All legislative instruments and compilations are registered on the Federal Register of Legislative Instruments kept under the </w:t>
      </w:r>
      <w:r w:rsidRPr="00493612">
        <w:rPr>
          <w:i/>
        </w:rPr>
        <w:t xml:space="preserve">Legislative Instruments Act 2003. </w:t>
      </w:r>
      <w:r w:rsidRPr="00493612">
        <w:t xml:space="preserve">See </w:t>
      </w:r>
      <w:r w:rsidRPr="00493612">
        <w:rPr>
          <w:u w:val="single"/>
        </w:rPr>
        <w:t>http://www.frli.gov.au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F6" w:rsidRDefault="000962F6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0962F6" w:rsidRPr="000E1CC4">
      <w:tc>
        <w:tcPr>
          <w:tcW w:w="1134" w:type="dxa"/>
        </w:tcPr>
        <w:p w:rsidR="000962F6" w:rsidRPr="000E1CC4" w:rsidRDefault="000962F6" w:rsidP="00EE298C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0962F6" w:rsidRPr="000962F6" w:rsidRDefault="000962F6" w:rsidP="00FC3F61">
          <w:pPr>
            <w:pStyle w:val="Title"/>
            <w:pBdr>
              <w:bottom w:val="single" w:sz="4" w:space="3" w:color="auto"/>
            </w:pBdr>
            <w:rPr>
              <w:rFonts w:ascii="Times New Roman" w:hAnsi="Times New Roman"/>
              <w:sz w:val="24"/>
              <w:szCs w:val="24"/>
            </w:rPr>
          </w:pPr>
          <w:r w:rsidRPr="00342D60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342D60">
            <w:rPr>
              <w:rFonts w:ascii="Times New Roman" w:hAnsi="Times New Roman"/>
              <w:sz w:val="24"/>
              <w:szCs w:val="24"/>
            </w:rPr>
            <w:instrText xml:space="preserve"> REF  Citation\*charformat </w:instrText>
          </w:r>
          <w:r w:rsidRPr="00342D60">
            <w:rPr>
              <w:rFonts w:ascii="Times New Roman" w:hAnsi="Times New Roman"/>
              <w:sz w:val="24"/>
              <w:szCs w:val="24"/>
            </w:rPr>
            <w:fldChar w:fldCharType="separate"/>
          </w:r>
          <w:r w:rsidRPr="000962F6">
            <w:rPr>
              <w:rFonts w:ascii="Times New Roman" w:hAnsi="Times New Roman"/>
              <w:sz w:val="24"/>
              <w:szCs w:val="24"/>
            </w:rPr>
            <w:t>PB 83 of 2012</w:t>
          </w:r>
        </w:p>
        <w:p w:rsidR="000962F6" w:rsidRPr="00342D60" w:rsidRDefault="000962F6" w:rsidP="00EE298C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sz w:val="24"/>
              <w:szCs w:val="24"/>
            </w:rPr>
          </w:pPr>
          <w:r w:rsidRPr="000962F6">
            <w:rPr>
              <w:rFonts w:ascii="Times New Roman" w:hAnsi="Times New Roman"/>
              <w:sz w:val="24"/>
              <w:szCs w:val="24"/>
            </w:rPr>
            <w:t xml:space="preserve">National Health (Pharmaceutical benefits supplied by private hospitals) Amendment Determination </w:t>
          </w:r>
          <w:r w:rsidRPr="00342D60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0962F6" w:rsidRPr="000E1CC4" w:rsidRDefault="000962F6" w:rsidP="00EE298C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0962F6" w:rsidRDefault="000962F6">
    <w:pPr>
      <w:pStyle w:val="FooterDraft"/>
      <w:ind w:right="360" w:firstLine="360"/>
    </w:pPr>
  </w:p>
  <w:p w:rsidR="000962F6" w:rsidRDefault="000962F6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F6" w:rsidRDefault="000962F6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0962F6" w:rsidRPr="000E1CC4">
      <w:tc>
        <w:tcPr>
          <w:tcW w:w="1134" w:type="dxa"/>
        </w:tcPr>
        <w:p w:rsidR="000962F6" w:rsidRPr="000E1CC4" w:rsidRDefault="000962F6" w:rsidP="00EE298C">
          <w:pPr>
            <w:spacing w:line="240" w:lineRule="exact"/>
          </w:pPr>
        </w:p>
      </w:tc>
      <w:tc>
        <w:tcPr>
          <w:tcW w:w="6095" w:type="dxa"/>
        </w:tcPr>
        <w:p w:rsidR="000962F6" w:rsidRPr="002E50AB" w:rsidRDefault="000962F6" w:rsidP="00FC3F61">
          <w:pPr>
            <w:pStyle w:val="Title"/>
            <w:pBdr>
              <w:bottom w:val="single" w:sz="4" w:space="3" w:color="auto"/>
            </w:pBdr>
            <w:rPr>
              <w:sz w:val="28"/>
              <w:szCs w:val="28"/>
            </w:rPr>
          </w:pPr>
          <w:r w:rsidRPr="00342D60"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>REF Citation</w:instrText>
          </w:r>
          <w:r w:rsidRPr="00342D60">
            <w:rPr>
              <w:rFonts w:ascii="Times New Roman" w:hAnsi="Times New Roman"/>
              <w:sz w:val="24"/>
            </w:rPr>
            <w:fldChar w:fldCharType="separate"/>
          </w:r>
          <w:r>
            <w:rPr>
              <w:sz w:val="28"/>
              <w:szCs w:val="28"/>
            </w:rPr>
            <w:t>PB 83</w:t>
          </w:r>
          <w:r w:rsidRPr="002E50AB">
            <w:rPr>
              <w:sz w:val="28"/>
              <w:szCs w:val="28"/>
            </w:rPr>
            <w:t xml:space="preserve"> of 2012</w:t>
          </w:r>
        </w:p>
        <w:p w:rsidR="000962F6" w:rsidRPr="00342D60" w:rsidRDefault="000962F6" w:rsidP="00EE298C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sz w:val="24"/>
            </w:rPr>
          </w:pPr>
          <w:r w:rsidRPr="00207FE6">
            <w:t xml:space="preserve">National Health (Pharmaceutical benefits supplied by private hospitals) Amendment Determination </w:t>
          </w:r>
          <w:r w:rsidRPr="00342D60">
            <w:rPr>
              <w:rFonts w:ascii="Times New Roman" w:hAnsi="Times New Roman"/>
              <w:sz w:val="24"/>
            </w:rPr>
            <w:fldChar w:fldCharType="end"/>
          </w:r>
        </w:p>
      </w:tc>
      <w:tc>
        <w:tcPr>
          <w:tcW w:w="1134" w:type="dxa"/>
        </w:tcPr>
        <w:p w:rsidR="000962F6" w:rsidRPr="000E1CC4" w:rsidRDefault="000962F6" w:rsidP="00EE298C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0962F6" w:rsidRDefault="000962F6">
    <w:pPr>
      <w:pStyle w:val="FooterDraft"/>
    </w:pPr>
  </w:p>
  <w:p w:rsidR="000962F6" w:rsidRDefault="000962F6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F6" w:rsidRDefault="000962F6">
    <w:pPr>
      <w:pStyle w:val="Footer"/>
      <w:jc w:val="right"/>
    </w:pPr>
  </w:p>
  <w:p w:rsidR="000962F6" w:rsidRPr="0061686E" w:rsidRDefault="000962F6" w:rsidP="0061686E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F6" w:rsidRDefault="000962F6" w:rsidP="00A409C2">
    <w:pPr>
      <w:pStyle w:val="FooterInfo"/>
      <w:tabs>
        <w:tab w:val="left" w:pos="8505"/>
      </w:tabs>
      <w:ind w:right="18"/>
      <w:rPr>
        <w:rFonts w:cs="Arial"/>
        <w:noProof/>
        <w:sz w:val="20"/>
        <w:szCs w:val="20"/>
      </w:rPr>
    </w:pPr>
    <w:r w:rsidRPr="003E4A18">
      <w:rPr>
        <w:rFonts w:cs="Arial"/>
        <w:i/>
        <w:sz w:val="20"/>
        <w:szCs w:val="20"/>
      </w:rPr>
      <w:t>Instrument Number PB 8</w:t>
    </w:r>
    <w:r>
      <w:rPr>
        <w:rFonts w:cs="Arial"/>
        <w:i/>
        <w:sz w:val="20"/>
        <w:szCs w:val="20"/>
      </w:rPr>
      <w:t>3</w:t>
    </w:r>
    <w:r w:rsidRPr="003E4A18">
      <w:rPr>
        <w:rFonts w:cs="Arial"/>
        <w:i/>
        <w:sz w:val="20"/>
        <w:szCs w:val="20"/>
      </w:rPr>
      <w:t xml:space="preserve"> of 2012</w:t>
    </w:r>
    <w:r>
      <w:rPr>
        <w:rFonts w:cs="Arial"/>
        <w:sz w:val="20"/>
        <w:szCs w:val="20"/>
      </w:rPr>
      <w:tab/>
    </w:r>
    <w:r w:rsidRPr="00C224AB">
      <w:rPr>
        <w:rFonts w:cs="Arial"/>
        <w:sz w:val="20"/>
        <w:szCs w:val="20"/>
      </w:rPr>
      <w:fldChar w:fldCharType="begin"/>
    </w:r>
    <w:r w:rsidRPr="00C224AB">
      <w:rPr>
        <w:rFonts w:cs="Arial"/>
        <w:sz w:val="20"/>
        <w:szCs w:val="20"/>
      </w:rPr>
      <w:instrText xml:space="preserve"> PAGE   \* MERGEFORMAT </w:instrText>
    </w:r>
    <w:r w:rsidRPr="00C224AB">
      <w:rPr>
        <w:rFonts w:cs="Arial"/>
        <w:sz w:val="20"/>
        <w:szCs w:val="20"/>
      </w:rPr>
      <w:fldChar w:fldCharType="separate"/>
    </w:r>
    <w:r w:rsidR="00925A8B">
      <w:rPr>
        <w:rFonts w:cs="Arial"/>
        <w:noProof/>
        <w:sz w:val="20"/>
        <w:szCs w:val="20"/>
      </w:rPr>
      <w:t>2</w:t>
    </w:r>
    <w:r w:rsidRPr="00C224AB">
      <w:rPr>
        <w:rFonts w:cs="Arial"/>
        <w:noProof/>
        <w:sz w:val="20"/>
        <w:szCs w:val="20"/>
      </w:rPr>
      <w:fldChar w:fldCharType="end"/>
    </w:r>
  </w:p>
  <w:p w:rsidR="00925A8B" w:rsidRPr="00C224AB" w:rsidRDefault="00925A8B" w:rsidP="00A409C2">
    <w:pPr>
      <w:pStyle w:val="FooterInfo"/>
      <w:tabs>
        <w:tab w:val="left" w:pos="8505"/>
      </w:tabs>
      <w:ind w:right="18"/>
      <w:rPr>
        <w:rFonts w:cs="Arial"/>
        <w:sz w:val="20"/>
        <w:szCs w:val="20"/>
      </w:rPr>
    </w:pPr>
  </w:p>
  <w:p w:rsidR="000962F6" w:rsidRPr="00A409C2" w:rsidRDefault="000962F6" w:rsidP="00A409C2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F6" w:rsidRDefault="000962F6" w:rsidP="00A409C2">
    <w:pPr>
      <w:pStyle w:val="FooterInfo"/>
      <w:tabs>
        <w:tab w:val="left" w:pos="8505"/>
      </w:tabs>
      <w:ind w:right="18"/>
      <w:rPr>
        <w:rFonts w:cs="Arial"/>
        <w:noProof/>
        <w:sz w:val="20"/>
        <w:szCs w:val="20"/>
      </w:rPr>
    </w:pPr>
    <w:r w:rsidRPr="003E4A18">
      <w:rPr>
        <w:rFonts w:cs="Arial"/>
        <w:i/>
        <w:sz w:val="20"/>
        <w:szCs w:val="20"/>
      </w:rPr>
      <w:t>Instrument Number PB 8</w:t>
    </w:r>
    <w:r>
      <w:rPr>
        <w:rFonts w:cs="Arial"/>
        <w:i/>
        <w:sz w:val="20"/>
        <w:szCs w:val="20"/>
      </w:rPr>
      <w:t>3</w:t>
    </w:r>
    <w:r w:rsidRPr="003E4A18">
      <w:rPr>
        <w:rFonts w:cs="Arial"/>
        <w:i/>
        <w:sz w:val="20"/>
        <w:szCs w:val="20"/>
      </w:rPr>
      <w:t xml:space="preserve"> of 2012</w:t>
    </w:r>
    <w:r>
      <w:rPr>
        <w:rFonts w:cs="Arial"/>
        <w:sz w:val="20"/>
        <w:szCs w:val="20"/>
      </w:rPr>
      <w:tab/>
    </w:r>
    <w:r w:rsidRPr="00C224AB">
      <w:rPr>
        <w:rFonts w:cs="Arial"/>
        <w:sz w:val="20"/>
        <w:szCs w:val="20"/>
      </w:rPr>
      <w:fldChar w:fldCharType="begin"/>
    </w:r>
    <w:r w:rsidRPr="00C224AB">
      <w:rPr>
        <w:rFonts w:cs="Arial"/>
        <w:sz w:val="20"/>
        <w:szCs w:val="20"/>
      </w:rPr>
      <w:instrText xml:space="preserve"> PAGE   \* MERGEFORMAT </w:instrText>
    </w:r>
    <w:r w:rsidRPr="00C224AB">
      <w:rPr>
        <w:rFonts w:cs="Arial"/>
        <w:sz w:val="20"/>
        <w:szCs w:val="20"/>
      </w:rPr>
      <w:fldChar w:fldCharType="separate"/>
    </w:r>
    <w:r w:rsidR="00925A8B">
      <w:rPr>
        <w:rFonts w:cs="Arial"/>
        <w:noProof/>
        <w:sz w:val="20"/>
        <w:szCs w:val="20"/>
      </w:rPr>
      <w:t>3</w:t>
    </w:r>
    <w:r w:rsidRPr="00C224AB">
      <w:rPr>
        <w:rFonts w:cs="Arial"/>
        <w:noProof/>
        <w:sz w:val="20"/>
        <w:szCs w:val="20"/>
      </w:rPr>
      <w:fldChar w:fldCharType="end"/>
    </w:r>
  </w:p>
  <w:p w:rsidR="00925A8B" w:rsidRPr="00C224AB" w:rsidRDefault="00925A8B" w:rsidP="00A409C2">
    <w:pPr>
      <w:pStyle w:val="FooterInfo"/>
      <w:tabs>
        <w:tab w:val="left" w:pos="8505"/>
      </w:tabs>
      <w:ind w:right="18"/>
      <w:rPr>
        <w:rFonts w:cs="Arial"/>
        <w:sz w:val="20"/>
        <w:szCs w:val="20"/>
      </w:rPr>
    </w:pPr>
  </w:p>
  <w:p w:rsidR="000962F6" w:rsidRDefault="000962F6" w:rsidP="00AF78F9">
    <w:pPr>
      <w:spacing w:line="200" w:lineRule="exact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F6" w:rsidRDefault="000962F6" w:rsidP="00A409C2">
    <w:pPr>
      <w:pStyle w:val="FooterInfo"/>
      <w:tabs>
        <w:tab w:val="left" w:pos="8505"/>
      </w:tabs>
      <w:ind w:right="18"/>
      <w:rPr>
        <w:rFonts w:cs="Arial"/>
        <w:noProof/>
        <w:sz w:val="20"/>
        <w:szCs w:val="20"/>
      </w:rPr>
    </w:pPr>
    <w:r w:rsidRPr="003E4A18">
      <w:rPr>
        <w:rFonts w:cs="Arial"/>
        <w:i/>
        <w:sz w:val="20"/>
        <w:szCs w:val="20"/>
      </w:rPr>
      <w:t>Instrument Number PB 8</w:t>
    </w:r>
    <w:r>
      <w:rPr>
        <w:rFonts w:cs="Arial"/>
        <w:i/>
        <w:sz w:val="20"/>
        <w:szCs w:val="20"/>
      </w:rPr>
      <w:t>3</w:t>
    </w:r>
    <w:r w:rsidRPr="003E4A18">
      <w:rPr>
        <w:rFonts w:cs="Arial"/>
        <w:i/>
        <w:sz w:val="20"/>
        <w:szCs w:val="20"/>
      </w:rPr>
      <w:t xml:space="preserve"> of 2012</w:t>
    </w:r>
    <w:r>
      <w:rPr>
        <w:rFonts w:cs="Arial"/>
        <w:sz w:val="20"/>
        <w:szCs w:val="20"/>
      </w:rPr>
      <w:tab/>
    </w:r>
    <w:r w:rsidRPr="00C224AB">
      <w:rPr>
        <w:rFonts w:cs="Arial"/>
        <w:sz w:val="20"/>
        <w:szCs w:val="20"/>
      </w:rPr>
      <w:fldChar w:fldCharType="begin"/>
    </w:r>
    <w:r w:rsidRPr="00C224AB">
      <w:rPr>
        <w:rFonts w:cs="Arial"/>
        <w:sz w:val="20"/>
        <w:szCs w:val="20"/>
      </w:rPr>
      <w:instrText xml:space="preserve"> PAGE   \* MERGEFORMAT </w:instrText>
    </w:r>
    <w:r w:rsidRPr="00C224AB">
      <w:rPr>
        <w:rFonts w:cs="Arial"/>
        <w:sz w:val="20"/>
        <w:szCs w:val="20"/>
      </w:rPr>
      <w:fldChar w:fldCharType="separate"/>
    </w:r>
    <w:r w:rsidR="00925A8B">
      <w:rPr>
        <w:rFonts w:cs="Arial"/>
        <w:noProof/>
        <w:sz w:val="20"/>
        <w:szCs w:val="20"/>
      </w:rPr>
      <w:t>4</w:t>
    </w:r>
    <w:r w:rsidRPr="00C224AB">
      <w:rPr>
        <w:rFonts w:cs="Arial"/>
        <w:noProof/>
        <w:sz w:val="20"/>
        <w:szCs w:val="20"/>
      </w:rPr>
      <w:fldChar w:fldCharType="end"/>
    </w:r>
  </w:p>
  <w:p w:rsidR="00925A8B" w:rsidRPr="00C224AB" w:rsidRDefault="00925A8B" w:rsidP="00A409C2">
    <w:pPr>
      <w:pStyle w:val="FooterInfo"/>
      <w:tabs>
        <w:tab w:val="left" w:pos="8505"/>
      </w:tabs>
      <w:ind w:right="18"/>
      <w:rPr>
        <w:rFonts w:cs="Arial"/>
        <w:sz w:val="20"/>
        <w:szCs w:val="20"/>
      </w:rPr>
    </w:pPr>
  </w:p>
  <w:p w:rsidR="000962F6" w:rsidRDefault="000962F6" w:rsidP="00BD545A">
    <w:pPr>
      <w:pStyle w:val="FooterInfo"/>
    </w:pPr>
    <w:r w:rsidRPr="00974D8C">
      <w:t xml:space="preserve"> </w:t>
    </w:r>
    <w: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F6" w:rsidRPr="00096070" w:rsidRDefault="000962F6" w:rsidP="000960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4EB" w:rsidRDefault="003234EB">
      <w:r>
        <w:separator/>
      </w:r>
    </w:p>
  </w:footnote>
  <w:footnote w:type="continuationSeparator" w:id="0">
    <w:p w:rsidR="003234EB" w:rsidRDefault="00323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0962F6" w:rsidRPr="000E1CC4">
      <w:tc>
        <w:tcPr>
          <w:tcW w:w="8385" w:type="dxa"/>
        </w:tcPr>
        <w:p w:rsidR="000962F6" w:rsidRPr="000E1CC4" w:rsidRDefault="000962F6" w:rsidP="00EE298C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0962F6" w:rsidRPr="000E1CC4">
      <w:tc>
        <w:tcPr>
          <w:tcW w:w="8385" w:type="dxa"/>
        </w:tcPr>
        <w:p w:rsidR="000962F6" w:rsidRPr="000E1CC4" w:rsidRDefault="000962F6" w:rsidP="00EE298C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0962F6" w:rsidRPr="000E1CC4">
      <w:tc>
        <w:tcPr>
          <w:tcW w:w="8385" w:type="dxa"/>
        </w:tcPr>
        <w:p w:rsidR="000962F6" w:rsidRPr="00342D60" w:rsidRDefault="000962F6" w:rsidP="00EE298C">
          <w:pPr>
            <w:pStyle w:val="HeaderBoldEven"/>
            <w:spacing w:before="0" w:after="120" w:line="480" w:lineRule="auto"/>
            <w:rPr>
              <w:rFonts w:ascii="Times New Roman" w:hAnsi="Times New Roman"/>
              <w:sz w:val="24"/>
            </w:rPr>
          </w:pPr>
        </w:p>
      </w:tc>
    </w:tr>
  </w:tbl>
  <w:p w:rsidR="000962F6" w:rsidRDefault="000962F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0962F6" w:rsidRPr="000E1CC4">
      <w:tc>
        <w:tcPr>
          <w:tcW w:w="8385" w:type="dxa"/>
        </w:tcPr>
        <w:p w:rsidR="000962F6" w:rsidRPr="000E1CC4" w:rsidRDefault="000962F6"/>
      </w:tc>
    </w:tr>
    <w:tr w:rsidR="000962F6" w:rsidRPr="000E1CC4">
      <w:tc>
        <w:tcPr>
          <w:tcW w:w="8385" w:type="dxa"/>
        </w:tcPr>
        <w:p w:rsidR="000962F6" w:rsidRPr="000E1CC4" w:rsidRDefault="000962F6"/>
      </w:tc>
    </w:tr>
    <w:tr w:rsidR="000962F6" w:rsidRPr="000E1CC4">
      <w:tc>
        <w:tcPr>
          <w:tcW w:w="8385" w:type="dxa"/>
        </w:tcPr>
        <w:p w:rsidR="000962F6" w:rsidRPr="000E1CC4" w:rsidRDefault="000962F6"/>
      </w:tc>
    </w:tr>
  </w:tbl>
  <w:p w:rsidR="000962F6" w:rsidRDefault="000962F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F6" w:rsidRDefault="000962F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F6" w:rsidRDefault="000962F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F6" w:rsidRDefault="000962F6" w:rsidP="00BD545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F6" w:rsidRDefault="000962F6" w:rsidP="00BD54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AA40BEC"/>
    <w:multiLevelType w:val="multilevel"/>
    <w:tmpl w:val="2BC6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A0E6C"/>
    <w:multiLevelType w:val="multilevel"/>
    <w:tmpl w:val="E5A2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0BB41B3"/>
    <w:multiLevelType w:val="multilevel"/>
    <w:tmpl w:val="628A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A25FEA"/>
    <w:multiLevelType w:val="multilevel"/>
    <w:tmpl w:val="AB8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C005F8"/>
    <w:multiLevelType w:val="hybridMultilevel"/>
    <w:tmpl w:val="1ECE0E72"/>
    <w:lvl w:ilvl="0" w:tplc="D24AE768">
      <w:start w:val="1"/>
      <w:numFmt w:val="lowerLetter"/>
      <w:lvlText w:val="(%1)"/>
      <w:lvlJc w:val="left"/>
      <w:pPr>
        <w:ind w:left="118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6016E9"/>
    <w:multiLevelType w:val="hybridMultilevel"/>
    <w:tmpl w:val="AFDE8698"/>
    <w:lvl w:ilvl="0" w:tplc="A0B846E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0808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굤椲"/>
    <w:docVar w:name="dgnword-eventsink" w:val="³ܗĔᓣèTable List 3«嘺q혓0ఀÿఀÿ؀ÿ樀⏖푿"/>
  </w:docVars>
  <w:rsids>
    <w:rsidRoot w:val="009F3228"/>
    <w:rsid w:val="0000321E"/>
    <w:rsid w:val="000038A0"/>
    <w:rsid w:val="000058FA"/>
    <w:rsid w:val="00012F8A"/>
    <w:rsid w:val="000137BB"/>
    <w:rsid w:val="000139B6"/>
    <w:rsid w:val="0001662A"/>
    <w:rsid w:val="00020108"/>
    <w:rsid w:val="00027BE3"/>
    <w:rsid w:val="00032F2C"/>
    <w:rsid w:val="00034A38"/>
    <w:rsid w:val="00040090"/>
    <w:rsid w:val="000403D5"/>
    <w:rsid w:val="000427E4"/>
    <w:rsid w:val="0004456C"/>
    <w:rsid w:val="00045BA4"/>
    <w:rsid w:val="00045F1B"/>
    <w:rsid w:val="000521B7"/>
    <w:rsid w:val="0005339D"/>
    <w:rsid w:val="000579AC"/>
    <w:rsid w:val="00060076"/>
    <w:rsid w:val="000646EC"/>
    <w:rsid w:val="00065118"/>
    <w:rsid w:val="00065296"/>
    <w:rsid w:val="000715D1"/>
    <w:rsid w:val="00077553"/>
    <w:rsid w:val="00082916"/>
    <w:rsid w:val="00083189"/>
    <w:rsid w:val="0008560A"/>
    <w:rsid w:val="00091146"/>
    <w:rsid w:val="00095849"/>
    <w:rsid w:val="00096070"/>
    <w:rsid w:val="000962F6"/>
    <w:rsid w:val="000A0788"/>
    <w:rsid w:val="000A0CCA"/>
    <w:rsid w:val="000A1742"/>
    <w:rsid w:val="000A620C"/>
    <w:rsid w:val="000A7869"/>
    <w:rsid w:val="000B2F33"/>
    <w:rsid w:val="000B4121"/>
    <w:rsid w:val="000B51B3"/>
    <w:rsid w:val="000D1916"/>
    <w:rsid w:val="000D5EA6"/>
    <w:rsid w:val="000E16EC"/>
    <w:rsid w:val="000E27E3"/>
    <w:rsid w:val="000E48BD"/>
    <w:rsid w:val="000E7494"/>
    <w:rsid w:val="001006A8"/>
    <w:rsid w:val="001026B1"/>
    <w:rsid w:val="00105BB8"/>
    <w:rsid w:val="00111D90"/>
    <w:rsid w:val="00116989"/>
    <w:rsid w:val="001205FD"/>
    <w:rsid w:val="001207EF"/>
    <w:rsid w:val="00120EE9"/>
    <w:rsid w:val="00121F96"/>
    <w:rsid w:val="00125657"/>
    <w:rsid w:val="001272DE"/>
    <w:rsid w:val="00130EE2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542A1"/>
    <w:rsid w:val="00156551"/>
    <w:rsid w:val="00162609"/>
    <w:rsid w:val="00164935"/>
    <w:rsid w:val="00165D61"/>
    <w:rsid w:val="0017685B"/>
    <w:rsid w:val="00185F83"/>
    <w:rsid w:val="00186360"/>
    <w:rsid w:val="00187D63"/>
    <w:rsid w:val="00191FA5"/>
    <w:rsid w:val="0019218E"/>
    <w:rsid w:val="00192C10"/>
    <w:rsid w:val="00193F32"/>
    <w:rsid w:val="00195639"/>
    <w:rsid w:val="001A4DD7"/>
    <w:rsid w:val="001A6C59"/>
    <w:rsid w:val="001B1223"/>
    <w:rsid w:val="001C0893"/>
    <w:rsid w:val="001C22F5"/>
    <w:rsid w:val="001C25FE"/>
    <w:rsid w:val="001C7118"/>
    <w:rsid w:val="001C769F"/>
    <w:rsid w:val="001D1609"/>
    <w:rsid w:val="001D6D71"/>
    <w:rsid w:val="001E092D"/>
    <w:rsid w:val="001E1749"/>
    <w:rsid w:val="001E674B"/>
    <w:rsid w:val="001F108C"/>
    <w:rsid w:val="001F41C5"/>
    <w:rsid w:val="002015B2"/>
    <w:rsid w:val="00201952"/>
    <w:rsid w:val="00203232"/>
    <w:rsid w:val="00207FE6"/>
    <w:rsid w:val="00210652"/>
    <w:rsid w:val="00213F0C"/>
    <w:rsid w:val="00214C3B"/>
    <w:rsid w:val="00221073"/>
    <w:rsid w:val="00222FD0"/>
    <w:rsid w:val="002252C7"/>
    <w:rsid w:val="002259E4"/>
    <w:rsid w:val="00226691"/>
    <w:rsid w:val="0022734F"/>
    <w:rsid w:val="00233C57"/>
    <w:rsid w:val="0023489C"/>
    <w:rsid w:val="0024222C"/>
    <w:rsid w:val="00243601"/>
    <w:rsid w:val="00244C01"/>
    <w:rsid w:val="00246042"/>
    <w:rsid w:val="00252F17"/>
    <w:rsid w:val="00253DDD"/>
    <w:rsid w:val="00260912"/>
    <w:rsid w:val="00265BA1"/>
    <w:rsid w:val="00267225"/>
    <w:rsid w:val="00270A9F"/>
    <w:rsid w:val="0027348F"/>
    <w:rsid w:val="00275245"/>
    <w:rsid w:val="00281E63"/>
    <w:rsid w:val="0028604C"/>
    <w:rsid w:val="0028609E"/>
    <w:rsid w:val="00286CEA"/>
    <w:rsid w:val="002900BD"/>
    <w:rsid w:val="00291380"/>
    <w:rsid w:val="00293797"/>
    <w:rsid w:val="00293BC3"/>
    <w:rsid w:val="002A0984"/>
    <w:rsid w:val="002A19B0"/>
    <w:rsid w:val="002A37DA"/>
    <w:rsid w:val="002A6A16"/>
    <w:rsid w:val="002B104A"/>
    <w:rsid w:val="002B1EBA"/>
    <w:rsid w:val="002B265A"/>
    <w:rsid w:val="002B3023"/>
    <w:rsid w:val="002B3196"/>
    <w:rsid w:val="002B32C5"/>
    <w:rsid w:val="002B4CD4"/>
    <w:rsid w:val="002B519A"/>
    <w:rsid w:val="002B7DCF"/>
    <w:rsid w:val="002D4558"/>
    <w:rsid w:val="002D54C0"/>
    <w:rsid w:val="002D61FC"/>
    <w:rsid w:val="002D71AC"/>
    <w:rsid w:val="002D7932"/>
    <w:rsid w:val="002E4A60"/>
    <w:rsid w:val="002E5749"/>
    <w:rsid w:val="002F78D5"/>
    <w:rsid w:val="00306194"/>
    <w:rsid w:val="003072E7"/>
    <w:rsid w:val="003074DD"/>
    <w:rsid w:val="003106C7"/>
    <w:rsid w:val="00314CDA"/>
    <w:rsid w:val="003231FF"/>
    <w:rsid w:val="003234EB"/>
    <w:rsid w:val="0033573E"/>
    <w:rsid w:val="00336724"/>
    <w:rsid w:val="00336A0F"/>
    <w:rsid w:val="00343B24"/>
    <w:rsid w:val="00344DAB"/>
    <w:rsid w:val="00345BD8"/>
    <w:rsid w:val="003464E0"/>
    <w:rsid w:val="003469E3"/>
    <w:rsid w:val="0035001E"/>
    <w:rsid w:val="00353F3B"/>
    <w:rsid w:val="00357657"/>
    <w:rsid w:val="0035790D"/>
    <w:rsid w:val="0036134C"/>
    <w:rsid w:val="00362FB5"/>
    <w:rsid w:val="00367E3F"/>
    <w:rsid w:val="00370DD7"/>
    <w:rsid w:val="0037255F"/>
    <w:rsid w:val="00375A51"/>
    <w:rsid w:val="0038199B"/>
    <w:rsid w:val="00381E88"/>
    <w:rsid w:val="00387F34"/>
    <w:rsid w:val="00392557"/>
    <w:rsid w:val="0039396B"/>
    <w:rsid w:val="00397372"/>
    <w:rsid w:val="003A5AF1"/>
    <w:rsid w:val="003A63AE"/>
    <w:rsid w:val="003A77F7"/>
    <w:rsid w:val="003B0D29"/>
    <w:rsid w:val="003B7468"/>
    <w:rsid w:val="003B7E2B"/>
    <w:rsid w:val="003C1D25"/>
    <w:rsid w:val="003D1079"/>
    <w:rsid w:val="003D1FD3"/>
    <w:rsid w:val="003D5FC8"/>
    <w:rsid w:val="003D659C"/>
    <w:rsid w:val="003D6F03"/>
    <w:rsid w:val="003E1CDB"/>
    <w:rsid w:val="003E6D06"/>
    <w:rsid w:val="003F4A3B"/>
    <w:rsid w:val="003F6833"/>
    <w:rsid w:val="004005D4"/>
    <w:rsid w:val="00401A44"/>
    <w:rsid w:val="00403F78"/>
    <w:rsid w:val="00404128"/>
    <w:rsid w:val="00405B43"/>
    <w:rsid w:val="00414CDD"/>
    <w:rsid w:val="00421964"/>
    <w:rsid w:val="00422522"/>
    <w:rsid w:val="004255DD"/>
    <w:rsid w:val="004311E3"/>
    <w:rsid w:val="00431F2E"/>
    <w:rsid w:val="00433B06"/>
    <w:rsid w:val="00434445"/>
    <w:rsid w:val="0043498E"/>
    <w:rsid w:val="00435C2C"/>
    <w:rsid w:val="004361A5"/>
    <w:rsid w:val="00440996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55600"/>
    <w:rsid w:val="00455863"/>
    <w:rsid w:val="004624D8"/>
    <w:rsid w:val="00464092"/>
    <w:rsid w:val="004640EA"/>
    <w:rsid w:val="00464AD1"/>
    <w:rsid w:val="00466DBA"/>
    <w:rsid w:val="00475629"/>
    <w:rsid w:val="004758D9"/>
    <w:rsid w:val="004839A4"/>
    <w:rsid w:val="004872D0"/>
    <w:rsid w:val="004879CB"/>
    <w:rsid w:val="0049172E"/>
    <w:rsid w:val="00493612"/>
    <w:rsid w:val="004A20E2"/>
    <w:rsid w:val="004A7502"/>
    <w:rsid w:val="004A7713"/>
    <w:rsid w:val="004A7AA7"/>
    <w:rsid w:val="004B1AC1"/>
    <w:rsid w:val="004B6C4F"/>
    <w:rsid w:val="004B71CE"/>
    <w:rsid w:val="004C3987"/>
    <w:rsid w:val="004D2382"/>
    <w:rsid w:val="004D32C2"/>
    <w:rsid w:val="004D5EAB"/>
    <w:rsid w:val="004D6045"/>
    <w:rsid w:val="004E0619"/>
    <w:rsid w:val="004E1C75"/>
    <w:rsid w:val="004E2FEB"/>
    <w:rsid w:val="004E7590"/>
    <w:rsid w:val="004F5D6D"/>
    <w:rsid w:val="00500513"/>
    <w:rsid w:val="00501E0C"/>
    <w:rsid w:val="005056C8"/>
    <w:rsid w:val="0051137B"/>
    <w:rsid w:val="00511776"/>
    <w:rsid w:val="00511924"/>
    <w:rsid w:val="00511DF1"/>
    <w:rsid w:val="00512974"/>
    <w:rsid w:val="00513467"/>
    <w:rsid w:val="0051511D"/>
    <w:rsid w:val="0052220C"/>
    <w:rsid w:val="005234C7"/>
    <w:rsid w:val="005238E0"/>
    <w:rsid w:val="005277E8"/>
    <w:rsid w:val="00531A0B"/>
    <w:rsid w:val="0054351E"/>
    <w:rsid w:val="005516CA"/>
    <w:rsid w:val="00561583"/>
    <w:rsid w:val="005672DE"/>
    <w:rsid w:val="005728BC"/>
    <w:rsid w:val="005749F6"/>
    <w:rsid w:val="00576569"/>
    <w:rsid w:val="00580301"/>
    <w:rsid w:val="00584BDC"/>
    <w:rsid w:val="005859FB"/>
    <w:rsid w:val="005924C4"/>
    <w:rsid w:val="005943B6"/>
    <w:rsid w:val="005A4031"/>
    <w:rsid w:val="005B5BAF"/>
    <w:rsid w:val="005B7B02"/>
    <w:rsid w:val="005C05BE"/>
    <w:rsid w:val="005C4A85"/>
    <w:rsid w:val="005D0D39"/>
    <w:rsid w:val="005D2F97"/>
    <w:rsid w:val="005D692B"/>
    <w:rsid w:val="005E43E5"/>
    <w:rsid w:val="005E51D3"/>
    <w:rsid w:val="005E563D"/>
    <w:rsid w:val="005F0DDB"/>
    <w:rsid w:val="005F21D6"/>
    <w:rsid w:val="005F31B4"/>
    <w:rsid w:val="005F3851"/>
    <w:rsid w:val="005F47D8"/>
    <w:rsid w:val="005F4E16"/>
    <w:rsid w:val="005F52A1"/>
    <w:rsid w:val="00602748"/>
    <w:rsid w:val="006047C5"/>
    <w:rsid w:val="00615988"/>
    <w:rsid w:val="0061686E"/>
    <w:rsid w:val="00621915"/>
    <w:rsid w:val="00624074"/>
    <w:rsid w:val="0062769F"/>
    <w:rsid w:val="006332FB"/>
    <w:rsid w:val="006374D8"/>
    <w:rsid w:val="00640008"/>
    <w:rsid w:val="00641664"/>
    <w:rsid w:val="0065001E"/>
    <w:rsid w:val="006533B7"/>
    <w:rsid w:val="00656BC9"/>
    <w:rsid w:val="00674B00"/>
    <w:rsid w:val="00684303"/>
    <w:rsid w:val="006936BA"/>
    <w:rsid w:val="006C2616"/>
    <w:rsid w:val="006C5742"/>
    <w:rsid w:val="006C6182"/>
    <w:rsid w:val="006D018E"/>
    <w:rsid w:val="006D3078"/>
    <w:rsid w:val="006D4034"/>
    <w:rsid w:val="006E0E4B"/>
    <w:rsid w:val="006E2530"/>
    <w:rsid w:val="006E2FB2"/>
    <w:rsid w:val="006E548F"/>
    <w:rsid w:val="006E7E7A"/>
    <w:rsid w:val="006F0BD8"/>
    <w:rsid w:val="006F6CA4"/>
    <w:rsid w:val="006F73F0"/>
    <w:rsid w:val="00701CB2"/>
    <w:rsid w:val="00702998"/>
    <w:rsid w:val="00704DF1"/>
    <w:rsid w:val="0071055A"/>
    <w:rsid w:val="0071414A"/>
    <w:rsid w:val="0071514F"/>
    <w:rsid w:val="007166DC"/>
    <w:rsid w:val="00716F1E"/>
    <w:rsid w:val="00727685"/>
    <w:rsid w:val="00730AF8"/>
    <w:rsid w:val="007354A3"/>
    <w:rsid w:val="00735D7F"/>
    <w:rsid w:val="007375F7"/>
    <w:rsid w:val="00740322"/>
    <w:rsid w:val="00740916"/>
    <w:rsid w:val="00742FC6"/>
    <w:rsid w:val="007431FF"/>
    <w:rsid w:val="00756F9E"/>
    <w:rsid w:val="007607E6"/>
    <w:rsid w:val="00772ADE"/>
    <w:rsid w:val="0078300B"/>
    <w:rsid w:val="007833A9"/>
    <w:rsid w:val="007844E1"/>
    <w:rsid w:val="007851E9"/>
    <w:rsid w:val="007910D2"/>
    <w:rsid w:val="00792315"/>
    <w:rsid w:val="00794754"/>
    <w:rsid w:val="007A14BB"/>
    <w:rsid w:val="007A3064"/>
    <w:rsid w:val="007A3E70"/>
    <w:rsid w:val="007C7959"/>
    <w:rsid w:val="007D1A1E"/>
    <w:rsid w:val="007E231D"/>
    <w:rsid w:val="007E3AA5"/>
    <w:rsid w:val="007F1F6B"/>
    <w:rsid w:val="007F488D"/>
    <w:rsid w:val="007F75DF"/>
    <w:rsid w:val="008002E8"/>
    <w:rsid w:val="008006D5"/>
    <w:rsid w:val="00805657"/>
    <w:rsid w:val="00811B2B"/>
    <w:rsid w:val="0081427E"/>
    <w:rsid w:val="008149B7"/>
    <w:rsid w:val="008203BE"/>
    <w:rsid w:val="00825250"/>
    <w:rsid w:val="008322B6"/>
    <w:rsid w:val="008349F1"/>
    <w:rsid w:val="00836024"/>
    <w:rsid w:val="00836392"/>
    <w:rsid w:val="00837AF4"/>
    <w:rsid w:val="008416EA"/>
    <w:rsid w:val="00844132"/>
    <w:rsid w:val="00847850"/>
    <w:rsid w:val="00851322"/>
    <w:rsid w:val="008546A9"/>
    <w:rsid w:val="00854857"/>
    <w:rsid w:val="00856EB5"/>
    <w:rsid w:val="00860297"/>
    <w:rsid w:val="0086309D"/>
    <w:rsid w:val="00863597"/>
    <w:rsid w:val="0086648B"/>
    <w:rsid w:val="008673F2"/>
    <w:rsid w:val="00867E7D"/>
    <w:rsid w:val="008711E3"/>
    <w:rsid w:val="00872EB7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94FA3"/>
    <w:rsid w:val="008A1C28"/>
    <w:rsid w:val="008A2CE6"/>
    <w:rsid w:val="008A4808"/>
    <w:rsid w:val="008A656F"/>
    <w:rsid w:val="008A6DFE"/>
    <w:rsid w:val="008B0EFE"/>
    <w:rsid w:val="008B183C"/>
    <w:rsid w:val="008B1E93"/>
    <w:rsid w:val="008B4F9B"/>
    <w:rsid w:val="008B5981"/>
    <w:rsid w:val="008B6C52"/>
    <w:rsid w:val="008C3068"/>
    <w:rsid w:val="008C43C2"/>
    <w:rsid w:val="008C48D9"/>
    <w:rsid w:val="008D5B3D"/>
    <w:rsid w:val="008D5DD3"/>
    <w:rsid w:val="008E18BB"/>
    <w:rsid w:val="008E2235"/>
    <w:rsid w:val="008E3423"/>
    <w:rsid w:val="008E63C4"/>
    <w:rsid w:val="008F16BC"/>
    <w:rsid w:val="008F1DAB"/>
    <w:rsid w:val="008F3C01"/>
    <w:rsid w:val="009007F1"/>
    <w:rsid w:val="009078CC"/>
    <w:rsid w:val="00911F7B"/>
    <w:rsid w:val="00913281"/>
    <w:rsid w:val="00913EA5"/>
    <w:rsid w:val="009146C1"/>
    <w:rsid w:val="00915D96"/>
    <w:rsid w:val="00925A8B"/>
    <w:rsid w:val="00927849"/>
    <w:rsid w:val="00930919"/>
    <w:rsid w:val="00943CEA"/>
    <w:rsid w:val="00945A5E"/>
    <w:rsid w:val="009612A7"/>
    <w:rsid w:val="00963ADB"/>
    <w:rsid w:val="00967444"/>
    <w:rsid w:val="00976374"/>
    <w:rsid w:val="00983A1F"/>
    <w:rsid w:val="009851B7"/>
    <w:rsid w:val="00987485"/>
    <w:rsid w:val="0099167B"/>
    <w:rsid w:val="00993442"/>
    <w:rsid w:val="009A0CC8"/>
    <w:rsid w:val="009A207B"/>
    <w:rsid w:val="009A58A6"/>
    <w:rsid w:val="009A5A0D"/>
    <w:rsid w:val="009A679E"/>
    <w:rsid w:val="009A6D1B"/>
    <w:rsid w:val="009B303B"/>
    <w:rsid w:val="009B3BDA"/>
    <w:rsid w:val="009B4303"/>
    <w:rsid w:val="009B76D8"/>
    <w:rsid w:val="009B785F"/>
    <w:rsid w:val="009C0398"/>
    <w:rsid w:val="009C7D4C"/>
    <w:rsid w:val="009D4252"/>
    <w:rsid w:val="009D6B2A"/>
    <w:rsid w:val="009D7BDF"/>
    <w:rsid w:val="009E129A"/>
    <w:rsid w:val="009E1C06"/>
    <w:rsid w:val="009E28DB"/>
    <w:rsid w:val="009E2D2F"/>
    <w:rsid w:val="009E5210"/>
    <w:rsid w:val="009E7304"/>
    <w:rsid w:val="009F3228"/>
    <w:rsid w:val="009F3F7B"/>
    <w:rsid w:val="009F7877"/>
    <w:rsid w:val="00A00C88"/>
    <w:rsid w:val="00A046F7"/>
    <w:rsid w:val="00A04AC3"/>
    <w:rsid w:val="00A10B39"/>
    <w:rsid w:val="00A13F63"/>
    <w:rsid w:val="00A15843"/>
    <w:rsid w:val="00A15B2B"/>
    <w:rsid w:val="00A21D2D"/>
    <w:rsid w:val="00A223AA"/>
    <w:rsid w:val="00A24F06"/>
    <w:rsid w:val="00A266F5"/>
    <w:rsid w:val="00A30ABA"/>
    <w:rsid w:val="00A314B9"/>
    <w:rsid w:val="00A33D5D"/>
    <w:rsid w:val="00A34E8A"/>
    <w:rsid w:val="00A35CB2"/>
    <w:rsid w:val="00A409C2"/>
    <w:rsid w:val="00A41885"/>
    <w:rsid w:val="00A41B45"/>
    <w:rsid w:val="00A44A76"/>
    <w:rsid w:val="00A46B94"/>
    <w:rsid w:val="00A52515"/>
    <w:rsid w:val="00A54B37"/>
    <w:rsid w:val="00A56970"/>
    <w:rsid w:val="00A609DD"/>
    <w:rsid w:val="00A60B57"/>
    <w:rsid w:val="00A61815"/>
    <w:rsid w:val="00A644DE"/>
    <w:rsid w:val="00A65157"/>
    <w:rsid w:val="00A6740F"/>
    <w:rsid w:val="00A77958"/>
    <w:rsid w:val="00A90C9D"/>
    <w:rsid w:val="00A921BD"/>
    <w:rsid w:val="00A95A88"/>
    <w:rsid w:val="00A95CB3"/>
    <w:rsid w:val="00AA1B63"/>
    <w:rsid w:val="00AA3188"/>
    <w:rsid w:val="00AA420D"/>
    <w:rsid w:val="00AB2C8C"/>
    <w:rsid w:val="00AB3DCD"/>
    <w:rsid w:val="00AB444A"/>
    <w:rsid w:val="00AC0437"/>
    <w:rsid w:val="00AC111E"/>
    <w:rsid w:val="00AC2142"/>
    <w:rsid w:val="00AC405E"/>
    <w:rsid w:val="00AD13D8"/>
    <w:rsid w:val="00AD3746"/>
    <w:rsid w:val="00AD70E0"/>
    <w:rsid w:val="00AE732F"/>
    <w:rsid w:val="00AF074C"/>
    <w:rsid w:val="00AF716F"/>
    <w:rsid w:val="00AF78F9"/>
    <w:rsid w:val="00B00446"/>
    <w:rsid w:val="00B03AF0"/>
    <w:rsid w:val="00B05373"/>
    <w:rsid w:val="00B067E6"/>
    <w:rsid w:val="00B11A88"/>
    <w:rsid w:val="00B12260"/>
    <w:rsid w:val="00B12825"/>
    <w:rsid w:val="00B13F00"/>
    <w:rsid w:val="00B156E1"/>
    <w:rsid w:val="00B15CF9"/>
    <w:rsid w:val="00B25433"/>
    <w:rsid w:val="00B2626C"/>
    <w:rsid w:val="00B3354C"/>
    <w:rsid w:val="00B3728B"/>
    <w:rsid w:val="00B408B6"/>
    <w:rsid w:val="00B40B97"/>
    <w:rsid w:val="00B531ED"/>
    <w:rsid w:val="00B53574"/>
    <w:rsid w:val="00B53D45"/>
    <w:rsid w:val="00B60027"/>
    <w:rsid w:val="00B61908"/>
    <w:rsid w:val="00B63AE9"/>
    <w:rsid w:val="00B662B0"/>
    <w:rsid w:val="00B66CE7"/>
    <w:rsid w:val="00B670FF"/>
    <w:rsid w:val="00B700F1"/>
    <w:rsid w:val="00B70B80"/>
    <w:rsid w:val="00B72C52"/>
    <w:rsid w:val="00B74348"/>
    <w:rsid w:val="00B76BE0"/>
    <w:rsid w:val="00B80913"/>
    <w:rsid w:val="00B8139C"/>
    <w:rsid w:val="00B85BB6"/>
    <w:rsid w:val="00B85C3D"/>
    <w:rsid w:val="00B878ED"/>
    <w:rsid w:val="00B90F49"/>
    <w:rsid w:val="00B91A8D"/>
    <w:rsid w:val="00BA1766"/>
    <w:rsid w:val="00BA34AD"/>
    <w:rsid w:val="00BA4B2A"/>
    <w:rsid w:val="00BB4E81"/>
    <w:rsid w:val="00BB69FF"/>
    <w:rsid w:val="00BC59B9"/>
    <w:rsid w:val="00BD22BD"/>
    <w:rsid w:val="00BD545A"/>
    <w:rsid w:val="00BD7DF3"/>
    <w:rsid w:val="00BF1C2D"/>
    <w:rsid w:val="00BF2735"/>
    <w:rsid w:val="00BF42D0"/>
    <w:rsid w:val="00BF738E"/>
    <w:rsid w:val="00C0402F"/>
    <w:rsid w:val="00C11887"/>
    <w:rsid w:val="00C14CE5"/>
    <w:rsid w:val="00C24D41"/>
    <w:rsid w:val="00C30025"/>
    <w:rsid w:val="00C3254A"/>
    <w:rsid w:val="00C329A2"/>
    <w:rsid w:val="00C35EC8"/>
    <w:rsid w:val="00C3775E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1B0E"/>
    <w:rsid w:val="00C639B5"/>
    <w:rsid w:val="00C651A6"/>
    <w:rsid w:val="00C7143B"/>
    <w:rsid w:val="00C725F3"/>
    <w:rsid w:val="00C72C99"/>
    <w:rsid w:val="00C822F8"/>
    <w:rsid w:val="00C8251B"/>
    <w:rsid w:val="00C83482"/>
    <w:rsid w:val="00C83A6F"/>
    <w:rsid w:val="00C92D6F"/>
    <w:rsid w:val="00C93DEA"/>
    <w:rsid w:val="00C97351"/>
    <w:rsid w:val="00C97D8E"/>
    <w:rsid w:val="00CA2A23"/>
    <w:rsid w:val="00CA2DC6"/>
    <w:rsid w:val="00CA752C"/>
    <w:rsid w:val="00CB009F"/>
    <w:rsid w:val="00CB221F"/>
    <w:rsid w:val="00CB64A5"/>
    <w:rsid w:val="00CC3524"/>
    <w:rsid w:val="00CC70A1"/>
    <w:rsid w:val="00CC7A7E"/>
    <w:rsid w:val="00CD3C04"/>
    <w:rsid w:val="00CD3C3C"/>
    <w:rsid w:val="00CD561C"/>
    <w:rsid w:val="00CE46AE"/>
    <w:rsid w:val="00CE662A"/>
    <w:rsid w:val="00CF73A6"/>
    <w:rsid w:val="00D03772"/>
    <w:rsid w:val="00D05575"/>
    <w:rsid w:val="00D118BD"/>
    <w:rsid w:val="00D121ED"/>
    <w:rsid w:val="00D13C76"/>
    <w:rsid w:val="00D15738"/>
    <w:rsid w:val="00D2157E"/>
    <w:rsid w:val="00D22AE7"/>
    <w:rsid w:val="00D23FEE"/>
    <w:rsid w:val="00D24F42"/>
    <w:rsid w:val="00D2550B"/>
    <w:rsid w:val="00D271FF"/>
    <w:rsid w:val="00D3367E"/>
    <w:rsid w:val="00D33956"/>
    <w:rsid w:val="00D34F1B"/>
    <w:rsid w:val="00D41229"/>
    <w:rsid w:val="00D4367A"/>
    <w:rsid w:val="00D54AD1"/>
    <w:rsid w:val="00D57D13"/>
    <w:rsid w:val="00D611B7"/>
    <w:rsid w:val="00D6243F"/>
    <w:rsid w:val="00D6403A"/>
    <w:rsid w:val="00D67C9C"/>
    <w:rsid w:val="00D70518"/>
    <w:rsid w:val="00D774C6"/>
    <w:rsid w:val="00D80163"/>
    <w:rsid w:val="00D84CCB"/>
    <w:rsid w:val="00D84E18"/>
    <w:rsid w:val="00D95125"/>
    <w:rsid w:val="00DB2470"/>
    <w:rsid w:val="00DB4680"/>
    <w:rsid w:val="00DC6821"/>
    <w:rsid w:val="00DC7FB4"/>
    <w:rsid w:val="00DE27FB"/>
    <w:rsid w:val="00DE5043"/>
    <w:rsid w:val="00DE7476"/>
    <w:rsid w:val="00DF44BE"/>
    <w:rsid w:val="00DF64FD"/>
    <w:rsid w:val="00E05AF6"/>
    <w:rsid w:val="00E10958"/>
    <w:rsid w:val="00E127AC"/>
    <w:rsid w:val="00E14318"/>
    <w:rsid w:val="00E164AE"/>
    <w:rsid w:val="00E22DF6"/>
    <w:rsid w:val="00E24EF9"/>
    <w:rsid w:val="00E24FB9"/>
    <w:rsid w:val="00E26CD1"/>
    <w:rsid w:val="00E26E31"/>
    <w:rsid w:val="00E26F82"/>
    <w:rsid w:val="00E35189"/>
    <w:rsid w:val="00E4231B"/>
    <w:rsid w:val="00E424E9"/>
    <w:rsid w:val="00E44149"/>
    <w:rsid w:val="00E44D80"/>
    <w:rsid w:val="00E44ECA"/>
    <w:rsid w:val="00E4501B"/>
    <w:rsid w:val="00E452BC"/>
    <w:rsid w:val="00E459C3"/>
    <w:rsid w:val="00E53A61"/>
    <w:rsid w:val="00E57384"/>
    <w:rsid w:val="00E5755C"/>
    <w:rsid w:val="00E5796B"/>
    <w:rsid w:val="00E6038D"/>
    <w:rsid w:val="00E6578A"/>
    <w:rsid w:val="00E678BB"/>
    <w:rsid w:val="00E726B2"/>
    <w:rsid w:val="00E7293B"/>
    <w:rsid w:val="00E74109"/>
    <w:rsid w:val="00E750F1"/>
    <w:rsid w:val="00E76062"/>
    <w:rsid w:val="00E814E3"/>
    <w:rsid w:val="00E83542"/>
    <w:rsid w:val="00EA0DE3"/>
    <w:rsid w:val="00EA0E4D"/>
    <w:rsid w:val="00EB1E0E"/>
    <w:rsid w:val="00EB77D8"/>
    <w:rsid w:val="00EB7CEA"/>
    <w:rsid w:val="00EC100A"/>
    <w:rsid w:val="00ED1C66"/>
    <w:rsid w:val="00ED1FB9"/>
    <w:rsid w:val="00EE298C"/>
    <w:rsid w:val="00EE4BF8"/>
    <w:rsid w:val="00EE739D"/>
    <w:rsid w:val="00EF15F7"/>
    <w:rsid w:val="00EF1EE8"/>
    <w:rsid w:val="00EF63BE"/>
    <w:rsid w:val="00EF69B2"/>
    <w:rsid w:val="00F02711"/>
    <w:rsid w:val="00F02993"/>
    <w:rsid w:val="00F05948"/>
    <w:rsid w:val="00F10F95"/>
    <w:rsid w:val="00F11289"/>
    <w:rsid w:val="00F11A57"/>
    <w:rsid w:val="00F16F68"/>
    <w:rsid w:val="00F172D2"/>
    <w:rsid w:val="00F242C4"/>
    <w:rsid w:val="00F336D9"/>
    <w:rsid w:val="00F37E63"/>
    <w:rsid w:val="00F41F12"/>
    <w:rsid w:val="00F511C0"/>
    <w:rsid w:val="00F670D6"/>
    <w:rsid w:val="00F719EC"/>
    <w:rsid w:val="00F7591B"/>
    <w:rsid w:val="00F76ECD"/>
    <w:rsid w:val="00F815B1"/>
    <w:rsid w:val="00F863BB"/>
    <w:rsid w:val="00F86BD5"/>
    <w:rsid w:val="00F92D2D"/>
    <w:rsid w:val="00F9606B"/>
    <w:rsid w:val="00F96152"/>
    <w:rsid w:val="00F96711"/>
    <w:rsid w:val="00F97D20"/>
    <w:rsid w:val="00FB1906"/>
    <w:rsid w:val="00FC3F61"/>
    <w:rsid w:val="00FC708C"/>
    <w:rsid w:val="00FD119D"/>
    <w:rsid w:val="00FD46FD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uiPriority w:val="99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uiPriority w:val="99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uiPriority w:val="99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uiPriority w:val="99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uiPriority w:val="99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uiPriority w:val="99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uiPriority w:val="99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uiPriority w:val="99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paragraph" w:customStyle="1" w:styleId="Default">
    <w:name w:val="Default"/>
    <w:rsid w:val="00265B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894FA3"/>
  </w:style>
  <w:style w:type="character" w:customStyle="1" w:styleId="CharSectnoAm">
    <w:name w:val="CharSectnoAm"/>
    <w:rsid w:val="00FC3F61"/>
    <w:rPr>
      <w:sz w:val="18"/>
    </w:rPr>
  </w:style>
  <w:style w:type="character" w:customStyle="1" w:styleId="FooterChar">
    <w:name w:val="Footer Char"/>
    <w:link w:val="Footer"/>
    <w:uiPriority w:val="99"/>
    <w:rsid w:val="00FC3F61"/>
    <w:rPr>
      <w:rFonts w:ascii="Arial" w:hAnsi="Arial"/>
      <w:i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590B1-A31B-4CF6-9757-4C464C5D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897</Words>
  <Characters>4806</Characters>
  <Application>Microsoft Office Word</Application>
  <DocSecurity>0</DocSecurity>
  <Lines>162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(Supply of pharmaceutical benefits) Determination 2010</vt:lpstr>
    </vt:vector>
  </TitlesOfParts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Health (Supply of pharmaceutical benefits) Determination 2010</dc:title>
  <dc:subject/>
  <dc:creator/>
  <cp:keywords/>
  <cp:lastModifiedBy/>
  <cp:revision>1</cp:revision>
  <cp:lastPrinted>2010-09-16T02:15:00Z</cp:lastPrinted>
  <dcterms:created xsi:type="dcterms:W3CDTF">2012-09-27T03:48:00Z</dcterms:created>
  <dcterms:modified xsi:type="dcterms:W3CDTF">2012-09-27T03:48:00Z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170</vt:lpwstr>
  </property>
  <property fmtid="{D5CDD505-2E9C-101B-9397-08002B2CF9AE}" pid="3" name="IndexMatter">
    <vt:lpwstr>1008596B</vt:lpwstr>
  </property>
  <property fmtid="{D5CDD505-2E9C-101B-9397-08002B2CF9AE}" pid="4" name="Editor">
    <vt:bool>true</vt:bool>
  </property>
  <property fmtid="{D5CDD505-2E9C-101B-9397-08002B2CF9AE}" pid="5" name="Final">
    <vt:bool>true</vt:bool>
  </property>
  <property fmtid="{D5CDD505-2E9C-101B-9397-08002B2CF9AE}" pid="6" name="DMSDOCTYPE">
    <vt:lpwstr/>
  </property>
  <property fmtid="{D5CDD505-2E9C-101B-9397-08002B2CF9AE}" pid="7" name="DraftType">
    <vt:lpwstr/>
  </property>
  <property fmtid="{D5CDD505-2E9C-101B-9397-08002B2CF9AE}" pid="8" name="WPLUSServerName">
    <vt:lpwstr/>
  </property>
  <property fmtid="{D5CDD505-2E9C-101B-9397-08002B2CF9AE}" pid="9" name="WPLUSDataBaseName">
    <vt:lpwstr/>
  </property>
  <property fmtid="{D5CDD505-2E9C-101B-9397-08002B2CF9AE}" pid="10" name="WPLUSDocumentUNID">
    <vt:lpwstr/>
  </property>
  <property fmtid="{D5CDD505-2E9C-101B-9397-08002B2CF9AE}" pid="11" name="NeverSavedToNT">
    <vt:lpwstr/>
  </property>
</Properties>
</file>