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E0" w:rsidRPr="006F01E0" w:rsidRDefault="006F01E0" w:rsidP="00BD3FF3">
      <w:pPr>
        <w:keepNext/>
        <w:widowControl w:val="0"/>
        <w:spacing w:after="240"/>
        <w:ind w:left="851" w:hanging="851"/>
        <w:outlineLvl w:val="0"/>
        <w:rPr>
          <w:rFonts w:eastAsia="Times New Roman" w:cs="Times New Roman"/>
          <w:b/>
          <w:bCs/>
          <w:sz w:val="28"/>
          <w:szCs w:val="28"/>
        </w:rPr>
      </w:pPr>
      <w:bookmarkStart w:id="0" w:name="_Toc330278867"/>
      <w:bookmarkStart w:id="1" w:name="_GoBack"/>
      <w:bookmarkEnd w:id="1"/>
      <w:r w:rsidRPr="006F01E0">
        <w:rPr>
          <w:rFonts w:eastAsia="Times New Roman" w:cs="Times New Roman"/>
          <w:b/>
          <w:bCs/>
          <w:sz w:val="28"/>
          <w:szCs w:val="28"/>
        </w:rPr>
        <w:t>Explanatory Statement</w:t>
      </w:r>
      <w:bookmarkEnd w:id="0"/>
    </w:p>
    <w:p w:rsidR="006F01E0" w:rsidRPr="006F01E0" w:rsidRDefault="006F01E0" w:rsidP="006F01E0">
      <w:pPr>
        <w:widowControl w:val="0"/>
        <w:rPr>
          <w:rFonts w:eastAsia="Times New Roman" w:cs="Times New Roman"/>
          <w:b/>
          <w:szCs w:val="24"/>
          <w:lang w:val="en-AU" w:eastAsia="en-GB"/>
        </w:rPr>
      </w:pPr>
      <w:r w:rsidRPr="006F01E0">
        <w:rPr>
          <w:rFonts w:eastAsia="Times New Roman" w:cs="Times New Roman"/>
          <w:b/>
          <w:szCs w:val="24"/>
          <w:lang w:val="en-AU" w:eastAsia="en-GB"/>
        </w:rPr>
        <w:t>1.</w:t>
      </w:r>
      <w:r w:rsidRPr="006F01E0">
        <w:rPr>
          <w:rFonts w:eastAsia="Times New Roman" w:cs="Times New Roman"/>
          <w:b/>
          <w:szCs w:val="24"/>
          <w:lang w:val="en-AU" w:eastAsia="en-GB"/>
        </w:rPr>
        <w:tab/>
        <w:t>Authority</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autoSpaceDE w:val="0"/>
        <w:autoSpaceDN w:val="0"/>
        <w:adjustRightInd w:val="0"/>
        <w:rPr>
          <w:rFonts w:eastAsia="Calibri" w:cs="Arial"/>
          <w:bCs/>
          <w:lang w:val="en-AU"/>
        </w:rPr>
      </w:pPr>
      <w:r w:rsidRPr="006F01E0">
        <w:rPr>
          <w:rFonts w:eastAsia="Calibri" w:cs="Arial"/>
          <w:bCs/>
          <w:lang w:val="en-AU"/>
        </w:rPr>
        <w:t xml:space="preserve">Section 13 of the </w:t>
      </w:r>
      <w:r w:rsidRPr="006F01E0">
        <w:rPr>
          <w:rFonts w:eastAsia="Calibri" w:cs="Arial"/>
          <w:bCs/>
          <w:i/>
          <w:lang w:val="en-AU"/>
        </w:rPr>
        <w:t>Food Standards Australia New Zealand Act 1991</w:t>
      </w:r>
      <w:r w:rsidRPr="006F01E0">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6F01E0">
        <w:rPr>
          <w:rFonts w:eastAsia="Calibri" w:cs="Arial"/>
          <w:bCs/>
          <w:i/>
          <w:lang w:val="en-AU"/>
        </w:rPr>
        <w:t>Australia New Zealand Food Standards Code</w:t>
      </w:r>
      <w:r w:rsidRPr="006F01E0">
        <w:rPr>
          <w:rFonts w:eastAsia="Calibri" w:cs="Arial"/>
          <w:bCs/>
          <w:lang w:val="en-AU"/>
        </w:rPr>
        <w:t xml:space="preserve"> (the Code).</w:t>
      </w:r>
    </w:p>
    <w:p w:rsidR="006F01E0" w:rsidRPr="006F01E0" w:rsidRDefault="006F01E0" w:rsidP="006F01E0">
      <w:pPr>
        <w:autoSpaceDE w:val="0"/>
        <w:autoSpaceDN w:val="0"/>
        <w:adjustRightInd w:val="0"/>
        <w:rPr>
          <w:rFonts w:eastAsia="Calibri" w:cs="Arial"/>
          <w:bCs/>
          <w:lang w:val="en-AU"/>
        </w:rPr>
      </w:pPr>
    </w:p>
    <w:p w:rsidR="006F01E0" w:rsidRPr="006F01E0" w:rsidRDefault="006F01E0" w:rsidP="006F01E0">
      <w:pPr>
        <w:autoSpaceDE w:val="0"/>
        <w:autoSpaceDN w:val="0"/>
        <w:adjustRightInd w:val="0"/>
        <w:rPr>
          <w:rFonts w:eastAsia="Calibri" w:cs="Arial"/>
          <w:bCs/>
          <w:lang w:val="en-AU"/>
        </w:rPr>
      </w:pPr>
      <w:r w:rsidRPr="006F01E0">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6F01E0" w:rsidRPr="006F01E0" w:rsidRDefault="006F01E0" w:rsidP="006F01E0">
      <w:pPr>
        <w:autoSpaceDE w:val="0"/>
        <w:autoSpaceDN w:val="0"/>
        <w:adjustRightInd w:val="0"/>
        <w:rPr>
          <w:rFonts w:eastAsia="Calibri" w:cs="Arial"/>
          <w:bCs/>
          <w:lang w:val="en-AU"/>
        </w:rPr>
      </w:pPr>
    </w:p>
    <w:p w:rsidR="006F01E0" w:rsidRPr="006F01E0" w:rsidRDefault="006F01E0" w:rsidP="006F01E0">
      <w:pPr>
        <w:autoSpaceDE w:val="0"/>
        <w:autoSpaceDN w:val="0"/>
        <w:adjustRightInd w:val="0"/>
        <w:rPr>
          <w:rFonts w:eastAsia="Calibri" w:cs="Arial"/>
          <w:bCs/>
          <w:lang w:val="en-AU"/>
        </w:rPr>
      </w:pPr>
      <w:r w:rsidRPr="006F01E0">
        <w:rPr>
          <w:rFonts w:eastAsia="Calibri" w:cs="Arial"/>
          <w:bCs/>
          <w:lang w:val="en-AU"/>
        </w:rPr>
        <w:t xml:space="preserve">FSANZ prepared Proposal P1021 to amend Standards in the Code to correct minor typographical errors and inconsistencies, update references, correct formatting issues, and correct cross references. The Authority considered the Proposal in accordance with Division 2 of Part 3 and has approved draft variations to Standards in the Code. </w:t>
      </w:r>
    </w:p>
    <w:p w:rsidR="006F01E0" w:rsidRPr="006F01E0" w:rsidRDefault="006F01E0" w:rsidP="006F01E0">
      <w:pPr>
        <w:autoSpaceDE w:val="0"/>
        <w:autoSpaceDN w:val="0"/>
        <w:adjustRightInd w:val="0"/>
        <w:rPr>
          <w:rFonts w:eastAsia="Calibri" w:cs="Arial"/>
          <w:bCs/>
          <w:lang w:val="en-AU"/>
        </w:rPr>
      </w:pPr>
    </w:p>
    <w:p w:rsidR="006F01E0" w:rsidRPr="006F01E0" w:rsidRDefault="006F01E0" w:rsidP="006F01E0">
      <w:pPr>
        <w:autoSpaceDE w:val="0"/>
        <w:autoSpaceDN w:val="0"/>
        <w:adjustRightInd w:val="0"/>
        <w:rPr>
          <w:rFonts w:eastAsia="Calibri" w:cs="Arial"/>
          <w:bCs/>
          <w:lang w:val="en-AU"/>
        </w:rPr>
      </w:pPr>
      <w:r w:rsidRPr="006F01E0">
        <w:rPr>
          <w:rFonts w:eastAsia="Calibri" w:cs="Arial"/>
          <w:bCs/>
          <w:lang w:val="en-AU"/>
        </w:rPr>
        <w:t xml:space="preserve">Following consideration by </w:t>
      </w:r>
      <w:r w:rsidRPr="006F01E0">
        <w:rPr>
          <w:rFonts w:eastAsia="Times New Roman" w:cs="Arial"/>
          <w:szCs w:val="24"/>
          <w:lang w:bidi="en-US"/>
        </w:rPr>
        <w:t>COAG Legislative and Governance Forum on Food Regulation</w:t>
      </w:r>
      <w:r w:rsidRPr="006F01E0">
        <w:rPr>
          <w:rFonts w:eastAsia="Times New Roman" w:cs="Arial"/>
          <w:szCs w:val="24"/>
          <w:vertAlign w:val="superscript"/>
          <w:lang w:bidi="en-US"/>
        </w:rPr>
        <w:footnoteReference w:id="1"/>
      </w:r>
      <w:r w:rsidRPr="006F01E0">
        <w:rPr>
          <w:rFonts w:eastAsia="Calibri" w:cs="Arial"/>
          <w:bCs/>
          <w:lang w:val="en-AU"/>
        </w:rPr>
        <w:t xml:space="preserve">, section 92 of the FSANZ Act stipulates that the Authority must publish a notice about the standard or draft variation of a standard. </w:t>
      </w:r>
    </w:p>
    <w:p w:rsidR="006F01E0" w:rsidRPr="006F01E0" w:rsidRDefault="006F01E0" w:rsidP="006F01E0">
      <w:pPr>
        <w:autoSpaceDE w:val="0"/>
        <w:autoSpaceDN w:val="0"/>
        <w:adjustRightInd w:val="0"/>
        <w:rPr>
          <w:rFonts w:eastAsia="Calibri" w:cs="Arial"/>
          <w:bCs/>
          <w:lang w:val="en-AU"/>
        </w:rPr>
      </w:pPr>
    </w:p>
    <w:p w:rsidR="006F01E0" w:rsidRPr="006F01E0" w:rsidRDefault="006F01E0" w:rsidP="006F01E0">
      <w:pPr>
        <w:autoSpaceDE w:val="0"/>
        <w:autoSpaceDN w:val="0"/>
        <w:adjustRightInd w:val="0"/>
        <w:rPr>
          <w:rFonts w:eastAsia="Calibri" w:cs="Arial"/>
          <w:color w:val="000000"/>
          <w:lang w:val="en-AU"/>
        </w:rPr>
      </w:pPr>
      <w:r w:rsidRPr="006F01E0">
        <w:rPr>
          <w:rFonts w:eastAsia="Calibri" w:cs="Arial"/>
          <w:bCs/>
          <w:color w:val="000000"/>
          <w:lang w:val="en-AU"/>
        </w:rPr>
        <w:t>Section 94 of the FSANZ Act specifies that a</w:t>
      </w:r>
      <w:r w:rsidRPr="006F01E0">
        <w:rPr>
          <w:rFonts w:eastAsia="Calibri" w:cs="Arial"/>
          <w:color w:val="000000"/>
          <w:lang w:val="en-AU"/>
        </w:rPr>
        <w:t xml:space="preserve"> standard, or a variation of a standard, in relation to which a notice is published under section 92 is a legislative instrument, but is not subject to parliamentary disallowance or sunsetting under the </w:t>
      </w:r>
      <w:r w:rsidRPr="006F01E0">
        <w:rPr>
          <w:rFonts w:eastAsia="Calibri" w:cs="Arial"/>
          <w:i/>
          <w:color w:val="000000"/>
          <w:lang w:val="en-AU"/>
        </w:rPr>
        <w:t>Legislative Instruments Act 2003</w:t>
      </w:r>
      <w:r w:rsidRPr="006F01E0">
        <w:rPr>
          <w:rFonts w:eastAsia="Calibri" w:cs="Arial"/>
          <w:color w:val="000000"/>
          <w:lang w:val="en-AU"/>
        </w:rPr>
        <w:t>.</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b/>
          <w:szCs w:val="24"/>
          <w:lang w:val="en-AU" w:eastAsia="en-GB"/>
        </w:rPr>
      </w:pPr>
      <w:r w:rsidRPr="006F01E0">
        <w:rPr>
          <w:rFonts w:eastAsia="Times New Roman" w:cs="Times New Roman"/>
          <w:b/>
          <w:szCs w:val="24"/>
          <w:lang w:val="en-AU" w:eastAsia="en-GB"/>
        </w:rPr>
        <w:t>2.</w:t>
      </w:r>
      <w:r w:rsidRPr="006F01E0">
        <w:rPr>
          <w:rFonts w:eastAsia="Times New Roman" w:cs="Times New Roman"/>
          <w:b/>
          <w:szCs w:val="24"/>
          <w:lang w:val="en-AU" w:eastAsia="en-GB"/>
        </w:rPr>
        <w:tab/>
        <w:t>Purpose and operation</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bidi="en-US"/>
        </w:rPr>
      </w:pPr>
      <w:r w:rsidRPr="006F01E0">
        <w:rPr>
          <w:rFonts w:eastAsia="Times New Roman" w:cs="Times New Roman"/>
          <w:szCs w:val="24"/>
          <w:lang w:val="en-AU" w:eastAsia="en-GB"/>
        </w:rPr>
        <w:t xml:space="preserve">The Authority has approved variations to the Code to </w:t>
      </w:r>
      <w:r w:rsidRPr="006F01E0">
        <w:rPr>
          <w:rFonts w:eastAsia="Calibri" w:cs="Arial"/>
          <w:bCs/>
          <w:lang w:val="en-AU"/>
        </w:rPr>
        <w:t xml:space="preserve">correct minor typographical errors and inconsistencies, update references, correct formatting issues, and correct cross references. </w:t>
      </w:r>
      <w:r w:rsidRPr="006F01E0">
        <w:rPr>
          <w:rFonts w:eastAsia="Times New Roman" w:cs="Times New Roman"/>
          <w:szCs w:val="24"/>
          <w:lang w:val="en-AU" w:eastAsia="en-GB"/>
        </w:rPr>
        <w:t xml:space="preserve">The variations are minor </w:t>
      </w:r>
      <w:r w:rsidRPr="006F01E0">
        <w:rPr>
          <w:rFonts w:eastAsia="Times New Roman" w:cs="Times New Roman"/>
          <w:szCs w:val="24"/>
          <w:lang w:bidi="en-US"/>
        </w:rPr>
        <w:t>in nature as defined under section 66 of the FSANZ Act, i.e., they do not:</w:t>
      </w:r>
    </w:p>
    <w:p w:rsidR="006F01E0" w:rsidRPr="006F01E0" w:rsidRDefault="006F01E0" w:rsidP="006F01E0">
      <w:pPr>
        <w:widowControl w:val="0"/>
        <w:rPr>
          <w:rFonts w:eastAsia="Times New Roman" w:cs="Times New Roman"/>
          <w:szCs w:val="24"/>
          <w:lang w:bidi="en-US"/>
        </w:rPr>
      </w:pPr>
    </w:p>
    <w:p w:rsidR="006F01E0" w:rsidRPr="006F01E0" w:rsidRDefault="006F01E0" w:rsidP="006F01E0">
      <w:pPr>
        <w:widowControl w:val="0"/>
        <w:rPr>
          <w:rFonts w:eastAsia="Times New Roman" w:cs="Times New Roman"/>
          <w:szCs w:val="24"/>
          <w:lang w:bidi="en-US"/>
        </w:rPr>
      </w:pPr>
      <w:r w:rsidRPr="006F01E0">
        <w:rPr>
          <w:rFonts w:eastAsia="Times New Roman" w:cs="Times New Roman"/>
          <w:szCs w:val="24"/>
          <w:lang w:bidi="en-US"/>
        </w:rPr>
        <w:t>(a)</w:t>
      </w:r>
      <w:r w:rsidRPr="006F01E0">
        <w:rPr>
          <w:rFonts w:eastAsia="Times New Roman" w:cs="Times New Roman"/>
          <w:szCs w:val="24"/>
          <w:lang w:bidi="en-US"/>
        </w:rPr>
        <w:tab/>
      </w:r>
      <w:proofErr w:type="gramStart"/>
      <w:r w:rsidRPr="006F01E0">
        <w:rPr>
          <w:rFonts w:eastAsia="Times New Roman" w:cs="Times New Roman"/>
          <w:szCs w:val="24"/>
          <w:lang w:bidi="en-US"/>
        </w:rPr>
        <w:t>impose</w:t>
      </w:r>
      <w:proofErr w:type="gramEnd"/>
      <w:r w:rsidRPr="006F01E0">
        <w:rPr>
          <w:rFonts w:eastAsia="Times New Roman" w:cs="Times New Roman"/>
          <w:szCs w:val="24"/>
          <w:lang w:bidi="en-US"/>
        </w:rPr>
        <w:t>, vary or remove an obligation on any person; or</w:t>
      </w:r>
    </w:p>
    <w:p w:rsidR="006F01E0" w:rsidRPr="006F01E0" w:rsidRDefault="006F01E0" w:rsidP="006F01E0">
      <w:pPr>
        <w:widowControl w:val="0"/>
        <w:rPr>
          <w:rFonts w:eastAsia="Times New Roman" w:cs="Times New Roman"/>
          <w:szCs w:val="24"/>
          <w:lang w:bidi="en-US"/>
        </w:rPr>
      </w:pPr>
      <w:r w:rsidRPr="006F01E0">
        <w:rPr>
          <w:rFonts w:eastAsia="Times New Roman" w:cs="Times New Roman"/>
          <w:szCs w:val="24"/>
          <w:lang w:bidi="en-US"/>
        </w:rPr>
        <w:t>(b)</w:t>
      </w:r>
      <w:r w:rsidRPr="006F01E0">
        <w:rPr>
          <w:rFonts w:eastAsia="Times New Roman" w:cs="Times New Roman"/>
          <w:szCs w:val="24"/>
          <w:lang w:bidi="en-US"/>
        </w:rPr>
        <w:tab/>
      </w:r>
      <w:proofErr w:type="gramStart"/>
      <w:r w:rsidRPr="006F01E0">
        <w:rPr>
          <w:rFonts w:eastAsia="Times New Roman" w:cs="Times New Roman"/>
          <w:szCs w:val="24"/>
          <w:lang w:bidi="en-US"/>
        </w:rPr>
        <w:t>create</w:t>
      </w:r>
      <w:proofErr w:type="gramEnd"/>
      <w:r w:rsidRPr="006F01E0">
        <w:rPr>
          <w:rFonts w:eastAsia="Times New Roman" w:cs="Times New Roman"/>
          <w:szCs w:val="24"/>
          <w:lang w:bidi="en-US"/>
        </w:rPr>
        <w:t>, vary or remove a right of any person; or</w:t>
      </w:r>
    </w:p>
    <w:p w:rsidR="006F01E0" w:rsidRPr="006F01E0" w:rsidRDefault="006F01E0" w:rsidP="006F01E0">
      <w:pPr>
        <w:widowControl w:val="0"/>
        <w:rPr>
          <w:rFonts w:eastAsia="Times New Roman" w:cs="Times New Roman"/>
          <w:szCs w:val="24"/>
          <w:lang w:bidi="en-US"/>
        </w:rPr>
      </w:pPr>
      <w:r w:rsidRPr="006F01E0">
        <w:rPr>
          <w:rFonts w:eastAsia="Times New Roman" w:cs="Times New Roman"/>
          <w:szCs w:val="24"/>
          <w:lang w:bidi="en-US"/>
        </w:rPr>
        <w:t>(c)</w:t>
      </w:r>
      <w:r w:rsidRPr="006F01E0">
        <w:rPr>
          <w:rFonts w:eastAsia="Times New Roman" w:cs="Times New Roman"/>
          <w:szCs w:val="24"/>
          <w:lang w:bidi="en-US"/>
        </w:rPr>
        <w:tab/>
      </w:r>
      <w:proofErr w:type="gramStart"/>
      <w:r w:rsidRPr="006F01E0">
        <w:rPr>
          <w:rFonts w:eastAsia="Times New Roman" w:cs="Times New Roman"/>
          <w:szCs w:val="24"/>
          <w:lang w:bidi="en-US"/>
        </w:rPr>
        <w:t>otherwise</w:t>
      </w:r>
      <w:proofErr w:type="gramEnd"/>
      <w:r w:rsidRPr="006F01E0">
        <w:rPr>
          <w:rFonts w:eastAsia="Times New Roman" w:cs="Times New Roman"/>
          <w:szCs w:val="24"/>
          <w:lang w:bidi="en-US"/>
        </w:rPr>
        <w:t xml:space="preserve"> alter the legal effect of a food regulatory measure.</w:t>
      </w:r>
    </w:p>
    <w:p w:rsidR="006F01E0" w:rsidRPr="006F01E0" w:rsidRDefault="006F01E0" w:rsidP="006F01E0">
      <w:pPr>
        <w:widowControl w:val="0"/>
        <w:rPr>
          <w:rFonts w:eastAsia="Times New Roman" w:cs="Times New Roman"/>
          <w:szCs w:val="24"/>
          <w:lang w:bidi="en-US"/>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bidi="en-US"/>
        </w:rPr>
        <w:t>Therefore, the affected Standards continue to have the same legal effect as before the variations.</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b/>
          <w:szCs w:val="24"/>
          <w:lang w:val="en-AU" w:eastAsia="en-GB"/>
        </w:rPr>
      </w:pPr>
      <w:r w:rsidRPr="006F01E0">
        <w:rPr>
          <w:rFonts w:eastAsia="Times New Roman" w:cs="Times New Roman"/>
          <w:b/>
          <w:szCs w:val="24"/>
          <w:lang w:val="en-AU" w:eastAsia="en-GB"/>
        </w:rPr>
        <w:t>3.</w:t>
      </w:r>
      <w:r w:rsidRPr="006F01E0">
        <w:rPr>
          <w:rFonts w:eastAsia="Times New Roman" w:cs="Times New Roman"/>
          <w:b/>
          <w:szCs w:val="24"/>
          <w:lang w:val="en-AU" w:eastAsia="en-GB"/>
        </w:rPr>
        <w:tab/>
        <w:t>Documents incorporated by reference</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autoSpaceDE w:val="0"/>
        <w:autoSpaceDN w:val="0"/>
        <w:adjustRightInd w:val="0"/>
        <w:rPr>
          <w:rFonts w:eastAsia="Calibri" w:cs="Arial"/>
          <w:bCs/>
          <w:lang w:val="en-AU"/>
        </w:rPr>
      </w:pPr>
      <w:r w:rsidRPr="006F01E0">
        <w:rPr>
          <w:rFonts w:eastAsia="Calibri" w:cs="Arial"/>
          <w:bCs/>
          <w:lang w:val="en-AU"/>
        </w:rPr>
        <w:t>Some of the variations to food regulatory measures update documents incorporated by reference.</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b/>
          <w:szCs w:val="24"/>
          <w:lang w:val="en-AU" w:eastAsia="en-GB"/>
        </w:rPr>
      </w:pPr>
      <w:r w:rsidRPr="006F01E0">
        <w:rPr>
          <w:rFonts w:eastAsia="Times New Roman" w:cs="Times New Roman"/>
          <w:b/>
          <w:szCs w:val="24"/>
          <w:lang w:val="en-AU" w:eastAsia="en-GB"/>
        </w:rPr>
        <w:t>4.</w:t>
      </w:r>
      <w:r w:rsidRPr="006F01E0">
        <w:rPr>
          <w:rFonts w:eastAsia="Times New Roman" w:cs="Times New Roman"/>
          <w:b/>
          <w:szCs w:val="24"/>
          <w:lang w:val="en-AU" w:eastAsia="en-GB"/>
        </w:rPr>
        <w:tab/>
        <w:t>Consultation</w:t>
      </w:r>
    </w:p>
    <w:p w:rsidR="006F01E0" w:rsidRPr="006F01E0" w:rsidRDefault="006F01E0" w:rsidP="006F01E0">
      <w:pPr>
        <w:widowControl w:val="0"/>
        <w:rPr>
          <w:rFonts w:eastAsia="Times New Roman" w:cs="Times New Roman"/>
          <w:szCs w:val="24"/>
          <w:lang w:val="en-AU" w:eastAsia="en-GB"/>
        </w:rPr>
      </w:pPr>
    </w:p>
    <w:p w:rsidR="000E01EF" w:rsidRDefault="006F01E0" w:rsidP="006F01E0">
      <w:pPr>
        <w:widowControl w:val="0"/>
        <w:rPr>
          <w:rFonts w:eastAsia="Times New Roman" w:cs="Times New Roman"/>
          <w:lang w:bidi="en-US"/>
        </w:rPr>
      </w:pPr>
      <w:r w:rsidRPr="006F01E0">
        <w:rPr>
          <w:rFonts w:eastAsia="Times New Roman" w:cs="Times New Roman"/>
          <w:lang w:bidi="en-US"/>
        </w:rPr>
        <w:t xml:space="preserve">In accordance with the procedure in Division 2 of Part 3 of the FSANZ Act, </w:t>
      </w:r>
      <w:r w:rsidRPr="006F01E0">
        <w:rPr>
          <w:rFonts w:eastAsia="Calibri" w:cs="Arial"/>
          <w:bCs/>
          <w:lang w:val="en-AU"/>
        </w:rPr>
        <w:t>the Authority</w:t>
      </w:r>
      <w:r w:rsidRPr="006F01E0">
        <w:rPr>
          <w:rFonts w:eastAsia="Times New Roman" w:cs="Times New Roman"/>
          <w:lang w:bidi="en-US"/>
        </w:rPr>
        <w:t xml:space="preserve">’s consideration of Proposal P1021 includes one round of consultation with relevant government agencies. Submissions were called for on 18 June 2012 for three weeks. </w:t>
      </w:r>
      <w:r w:rsidR="000E01EF">
        <w:rPr>
          <w:rFonts w:eastAsia="Times New Roman" w:cs="Times New Roman"/>
          <w:lang w:bidi="en-US"/>
        </w:rPr>
        <w:br w:type="page"/>
      </w:r>
    </w:p>
    <w:p w:rsidR="006F01E0" w:rsidRPr="006F01E0" w:rsidRDefault="006F01E0" w:rsidP="006F01E0">
      <w:pPr>
        <w:autoSpaceDE w:val="0"/>
        <w:autoSpaceDN w:val="0"/>
        <w:adjustRightInd w:val="0"/>
        <w:rPr>
          <w:rFonts w:eastAsia="Times New Roman" w:cs="Arial"/>
          <w:lang w:bidi="en-US"/>
        </w:rPr>
      </w:pPr>
      <w:r w:rsidRPr="006F01E0">
        <w:rPr>
          <w:rFonts w:eastAsia="Calibri" w:cs="Arial"/>
          <w:bCs/>
          <w:lang w:val="en-AU"/>
        </w:rPr>
        <w:lastRenderedPageBreak/>
        <w:t xml:space="preserve">A Regulation Impact Statement was not required because the proposed variations </w:t>
      </w:r>
      <w:r w:rsidRPr="006F01E0">
        <w:rPr>
          <w:rFonts w:eastAsia="Times New Roman" w:cs="Times New Roman"/>
          <w:szCs w:val="24"/>
          <w:lang w:bidi="en-US"/>
        </w:rPr>
        <w:t xml:space="preserve">are minor in nature as described in 2 above. </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rPr>
          <w:rFonts w:eastAsia="Calibri" w:cs="Arial"/>
          <w:b/>
          <w:bCs/>
          <w:lang w:val="en-AU"/>
        </w:rPr>
      </w:pPr>
      <w:r w:rsidRPr="006F01E0">
        <w:rPr>
          <w:rFonts w:eastAsia="Calibri" w:cs="Arial"/>
          <w:b/>
          <w:bCs/>
          <w:lang w:val="en-AU"/>
        </w:rPr>
        <w:t>5.</w:t>
      </w:r>
      <w:r w:rsidRPr="006F01E0">
        <w:rPr>
          <w:rFonts w:eastAsia="Calibri" w:cs="Arial"/>
          <w:b/>
          <w:bCs/>
          <w:lang w:val="en-AU"/>
        </w:rPr>
        <w:tab/>
        <w:t>Statement of compatibility with human rights</w:t>
      </w:r>
    </w:p>
    <w:p w:rsidR="006F01E0" w:rsidRPr="006F01E0" w:rsidRDefault="006F01E0" w:rsidP="006F01E0">
      <w:pPr>
        <w:widowControl w:val="0"/>
        <w:rPr>
          <w:rFonts w:eastAsia="Calibri" w:cs="Times New Roman"/>
          <w:szCs w:val="24"/>
          <w:lang w:val="en-AU"/>
        </w:rPr>
      </w:pPr>
    </w:p>
    <w:p w:rsidR="006F01E0" w:rsidRPr="006F01E0" w:rsidRDefault="006F01E0" w:rsidP="006F01E0">
      <w:pPr>
        <w:widowControl w:val="0"/>
        <w:rPr>
          <w:rFonts w:eastAsia="Calibri" w:cs="Times New Roman"/>
          <w:szCs w:val="24"/>
          <w:lang w:val="en-AU"/>
        </w:rPr>
      </w:pPr>
      <w:r w:rsidRPr="006F01E0">
        <w:rPr>
          <w:rFonts w:eastAsia="Calibri" w:cs="Times New Roman"/>
          <w:szCs w:val="24"/>
          <w:lang w:val="en-AU"/>
        </w:rPr>
        <w:t>This instrument is exempt from the requirements for a statement of compatibility with human rights as it is a non-disallowable instrument under section 94 of the FSANZ Act.</w:t>
      </w:r>
    </w:p>
    <w:p w:rsidR="006F01E0" w:rsidRPr="006F01E0" w:rsidRDefault="006F01E0" w:rsidP="006F01E0">
      <w:pPr>
        <w:widowControl w:val="0"/>
        <w:rPr>
          <w:rFonts w:eastAsia="Calibri" w:cs="Times New Roman"/>
          <w:szCs w:val="24"/>
          <w:lang w:val="en-AU"/>
        </w:rPr>
      </w:pPr>
    </w:p>
    <w:p w:rsidR="006F01E0" w:rsidRPr="006F01E0" w:rsidRDefault="006F01E0" w:rsidP="006F01E0">
      <w:pPr>
        <w:widowControl w:val="0"/>
        <w:rPr>
          <w:rFonts w:eastAsia="Times New Roman" w:cs="Times New Roman"/>
          <w:b/>
          <w:szCs w:val="24"/>
          <w:lang w:bidi="en-US"/>
        </w:rPr>
      </w:pPr>
      <w:r w:rsidRPr="006F01E0">
        <w:rPr>
          <w:rFonts w:eastAsia="Times New Roman" w:cs="Times New Roman"/>
          <w:b/>
          <w:szCs w:val="24"/>
          <w:lang w:bidi="en-US"/>
        </w:rPr>
        <w:t>6.</w:t>
      </w:r>
      <w:r w:rsidRPr="006F01E0">
        <w:rPr>
          <w:rFonts w:eastAsia="Times New Roman" w:cs="Times New Roman"/>
          <w:b/>
          <w:szCs w:val="24"/>
          <w:lang w:bidi="en-US"/>
        </w:rPr>
        <w:tab/>
        <w:t>Variations</w:t>
      </w:r>
    </w:p>
    <w:p w:rsidR="006F01E0" w:rsidRPr="006F01E0" w:rsidRDefault="006F01E0" w:rsidP="006F01E0">
      <w:pPr>
        <w:widowControl w:val="0"/>
        <w:rPr>
          <w:rFonts w:eastAsia="Times New Roman" w:cs="Times New Roman"/>
          <w:szCs w:val="24"/>
          <w:lang w:bidi="en-US"/>
        </w:rPr>
      </w:pPr>
    </w:p>
    <w:p w:rsidR="006F01E0" w:rsidRPr="006F01E0" w:rsidRDefault="006F01E0" w:rsidP="006F01E0">
      <w:pPr>
        <w:widowControl w:val="0"/>
        <w:rPr>
          <w:rFonts w:eastAsia="Times New Roman" w:cs="Times New Roman"/>
          <w:szCs w:val="24"/>
          <w:lang w:bidi="en-US"/>
        </w:rPr>
      </w:pPr>
      <w:r w:rsidRPr="006F01E0">
        <w:rPr>
          <w:rFonts w:eastAsia="Times New Roman" w:cs="Times New Roman"/>
          <w:i/>
          <w:szCs w:val="24"/>
          <w:lang w:val="en-AU" w:eastAsia="en-GB"/>
        </w:rPr>
        <w:t>6.1</w:t>
      </w:r>
      <w:r w:rsidRPr="006F01E0">
        <w:rPr>
          <w:rFonts w:eastAsia="Times New Roman" w:cs="Times New Roman"/>
          <w:i/>
          <w:szCs w:val="24"/>
          <w:lang w:val="en-AU" w:eastAsia="en-GB"/>
        </w:rPr>
        <w:tab/>
        <w:t>Updating references</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val="en-AU" w:eastAsia="en-GB"/>
        </w:rPr>
        <w:t>Items [1], [8.1], [8.2] and [15] update references in the Code.</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i/>
          <w:szCs w:val="24"/>
          <w:lang w:val="en-AU" w:eastAsia="en-GB"/>
        </w:rPr>
      </w:pPr>
      <w:r w:rsidRPr="006F01E0">
        <w:rPr>
          <w:rFonts w:eastAsia="Times New Roman" w:cs="Times New Roman"/>
          <w:i/>
          <w:szCs w:val="24"/>
          <w:lang w:val="en-AU" w:eastAsia="en-GB"/>
        </w:rPr>
        <w:t>6.2</w:t>
      </w:r>
      <w:r w:rsidRPr="006F01E0">
        <w:rPr>
          <w:rFonts w:eastAsia="Times New Roman" w:cs="Times New Roman"/>
          <w:i/>
          <w:szCs w:val="24"/>
          <w:lang w:val="en-AU" w:eastAsia="en-GB"/>
        </w:rPr>
        <w:tab/>
        <w:t>Updating material from international sources</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val="en-AU" w:eastAsia="en-GB"/>
        </w:rPr>
        <w:t xml:space="preserve">Items [3.1] – [3.2], [3.4] – [3.5] and [6.3] – [6.10] update the name and additive number of </w:t>
      </w:r>
      <w:r w:rsidRPr="006F01E0">
        <w:rPr>
          <w:rFonts w:eastAsia="Times New Roman" w:cs="Times New Roman"/>
          <w:i/>
          <w:szCs w:val="24"/>
          <w:lang w:val="en-AU" w:eastAsia="en-GB"/>
        </w:rPr>
        <w:t xml:space="preserve">tocopherols concentrate, mixed </w:t>
      </w:r>
      <w:r w:rsidRPr="006F01E0">
        <w:rPr>
          <w:rFonts w:eastAsia="Times New Roman" w:cs="Times New Roman"/>
          <w:szCs w:val="24"/>
          <w:lang w:val="en-AU" w:eastAsia="en-GB"/>
        </w:rPr>
        <w:t>to match those in Codex Alimentarius. The amendment allows the continuation of the current description for two years followed by the usual one year for stock in trade in order that industry can update product labelling at minimal cost.</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val="en-AU" w:eastAsia="en-GB"/>
        </w:rPr>
        <w:t>Item [7.4] updates the definition of the enzyme bromelain.</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i/>
          <w:szCs w:val="24"/>
          <w:lang w:val="en-AU" w:eastAsia="en-GB"/>
        </w:rPr>
      </w:pPr>
      <w:r w:rsidRPr="006F01E0">
        <w:rPr>
          <w:rFonts w:eastAsia="Times New Roman" w:cs="Times New Roman"/>
          <w:i/>
          <w:szCs w:val="24"/>
          <w:lang w:val="en-AU" w:eastAsia="en-GB"/>
        </w:rPr>
        <w:t>6.3</w:t>
      </w:r>
      <w:r w:rsidRPr="006F01E0">
        <w:rPr>
          <w:rFonts w:eastAsia="Times New Roman" w:cs="Times New Roman"/>
          <w:i/>
          <w:szCs w:val="24"/>
          <w:lang w:val="en-AU" w:eastAsia="en-GB"/>
        </w:rPr>
        <w:tab/>
        <w:t xml:space="preserve">Correcting minor errors and omissions, and improving clarity </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val="en-AU" w:eastAsia="en-GB"/>
        </w:rPr>
        <w:t>Items [2], [5.2], [6.1], [6.11], [6.13], [7.1], [7.5] – [7.8], [9.1] – [9.3], [12.1], [14.1], [14.2], [16.1] and [16.2] correct minor errors and omissions in the Code.</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val="en-AU" w:eastAsia="en-GB"/>
        </w:rPr>
        <w:t>Items [3.6], [5.1], [6.2], [6.14], [6.15], [7.3], [10], [11] and [12.2] improve clarity in the Code.</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i/>
          <w:szCs w:val="24"/>
          <w:lang w:val="en-AU" w:eastAsia="en-GB"/>
        </w:rPr>
      </w:pPr>
      <w:r w:rsidRPr="006F01E0">
        <w:rPr>
          <w:rFonts w:eastAsia="Times New Roman" w:cs="Times New Roman"/>
          <w:i/>
          <w:szCs w:val="24"/>
          <w:lang w:val="en-AU" w:eastAsia="en-GB"/>
        </w:rPr>
        <w:t>6.4</w:t>
      </w:r>
      <w:r w:rsidRPr="006F01E0">
        <w:rPr>
          <w:rFonts w:eastAsia="Times New Roman" w:cs="Times New Roman"/>
          <w:i/>
          <w:szCs w:val="24"/>
          <w:lang w:val="en-AU" w:eastAsia="en-GB"/>
        </w:rPr>
        <w:tab/>
        <w:t>Removing material that is no longer required</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val="en-AU" w:eastAsia="en-GB"/>
        </w:rPr>
        <w:t>Items [8.3] and [8.4] remove specifications from the Code that are no longer required because the substances have now been evaluated by JECFA and their specifications published in a monograph which is a primary reference source for the Code.</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i/>
          <w:szCs w:val="24"/>
          <w:lang w:val="en-AU" w:eastAsia="en-GB"/>
        </w:rPr>
      </w:pPr>
      <w:r w:rsidRPr="006F01E0">
        <w:rPr>
          <w:rFonts w:eastAsia="Times New Roman" w:cs="Times New Roman"/>
          <w:i/>
          <w:szCs w:val="24"/>
          <w:lang w:val="en-AU" w:eastAsia="en-GB"/>
        </w:rPr>
        <w:t>6.5</w:t>
      </w:r>
      <w:r w:rsidRPr="006F01E0">
        <w:rPr>
          <w:rFonts w:eastAsia="Times New Roman" w:cs="Times New Roman"/>
          <w:i/>
          <w:szCs w:val="24"/>
          <w:lang w:val="en-AU" w:eastAsia="en-GB"/>
        </w:rPr>
        <w:tab/>
        <w:t>Variation to Editorial Notes and Examples in the Australia New Zealand Food Standards Code</w:t>
      </w:r>
    </w:p>
    <w:p w:rsidR="006F01E0" w:rsidRPr="006F01E0" w:rsidRDefault="006F01E0" w:rsidP="006F01E0">
      <w:pPr>
        <w:widowControl w:val="0"/>
        <w:rPr>
          <w:rFonts w:eastAsia="Times New Roman" w:cs="Times New Roman"/>
          <w:szCs w:val="24"/>
          <w:lang w:val="en-AU" w:eastAsia="en-GB"/>
        </w:rPr>
      </w:pPr>
    </w:p>
    <w:p w:rsidR="006F01E0" w:rsidRPr="006F01E0" w:rsidRDefault="006F01E0" w:rsidP="006F01E0">
      <w:pPr>
        <w:widowControl w:val="0"/>
        <w:rPr>
          <w:rFonts w:eastAsia="Times New Roman" w:cs="Times New Roman"/>
          <w:szCs w:val="24"/>
          <w:lang w:val="en-AU" w:eastAsia="en-GB"/>
        </w:rPr>
      </w:pPr>
      <w:r w:rsidRPr="006F01E0">
        <w:rPr>
          <w:rFonts w:eastAsia="Times New Roman" w:cs="Times New Roman"/>
          <w:szCs w:val="24"/>
          <w:lang w:val="en-AU" w:eastAsia="en-GB"/>
        </w:rPr>
        <w:t>Items [3.3], [3.7], [4], [6.2], [6.12], [7.2], [7.9] and [13] correct and update various examples and editorial notes in the Code.</w:t>
      </w:r>
    </w:p>
    <w:p w:rsidR="006F01E0" w:rsidRPr="006F01E0" w:rsidRDefault="006F01E0" w:rsidP="006F01E0">
      <w:pPr>
        <w:widowControl w:val="0"/>
        <w:rPr>
          <w:rFonts w:eastAsia="Times New Roman" w:cs="Times New Roman"/>
          <w:szCs w:val="24"/>
          <w:lang w:val="en-AU" w:eastAsia="en-GB"/>
        </w:rPr>
      </w:pPr>
    </w:p>
    <w:p w:rsidR="00041643" w:rsidRDefault="006F01E0" w:rsidP="006F01E0">
      <w:r w:rsidRPr="006F01E0">
        <w:rPr>
          <w:rFonts w:eastAsia="Times New Roman" w:cs="Times New Roman"/>
          <w:szCs w:val="24"/>
          <w:lang w:val="en-AU" w:eastAsia="en-GB"/>
        </w:rPr>
        <w:t>The amendments to the Code include changes to Editorial notes and Examples.  Editorial notes and Examples are not, by virtue of the definition of ‘standard’, part of a draft standard and are therefore not subject to the standards development process under part 3 of the FSANZ Act.  The Editorial notes and Examples have only been provided for completeness.</w:t>
      </w:r>
    </w:p>
    <w:sectPr w:rsidR="00041643" w:rsidSect="00BD3FF3">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E0" w:rsidRDefault="006F01E0" w:rsidP="006F01E0">
      <w:r>
        <w:separator/>
      </w:r>
    </w:p>
  </w:endnote>
  <w:endnote w:type="continuationSeparator" w:id="0">
    <w:p w:rsidR="006F01E0" w:rsidRDefault="006F01E0" w:rsidP="006F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644670"/>
      <w:docPartObj>
        <w:docPartGallery w:val="Page Numbers (Bottom of Page)"/>
        <w:docPartUnique/>
      </w:docPartObj>
    </w:sdtPr>
    <w:sdtEndPr>
      <w:rPr>
        <w:noProof/>
      </w:rPr>
    </w:sdtEndPr>
    <w:sdtContent>
      <w:p w:rsidR="00BD3FF3" w:rsidRDefault="00BD3FF3" w:rsidP="00BD3F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E0" w:rsidRDefault="006F01E0" w:rsidP="006F01E0">
      <w:r>
        <w:separator/>
      </w:r>
    </w:p>
  </w:footnote>
  <w:footnote w:type="continuationSeparator" w:id="0">
    <w:p w:rsidR="006F01E0" w:rsidRDefault="006F01E0" w:rsidP="006F01E0">
      <w:r>
        <w:continuationSeparator/>
      </w:r>
    </w:p>
  </w:footnote>
  <w:footnote w:id="1">
    <w:p w:rsidR="006F01E0" w:rsidRPr="006E1858" w:rsidRDefault="006F01E0" w:rsidP="006F01E0">
      <w:pPr>
        <w:pStyle w:val="FootnoteText"/>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E0"/>
    <w:rsid w:val="00041643"/>
    <w:rsid w:val="000E01EF"/>
    <w:rsid w:val="001E696B"/>
    <w:rsid w:val="0054036E"/>
    <w:rsid w:val="006F01E0"/>
    <w:rsid w:val="008931F6"/>
    <w:rsid w:val="00BD3FF3"/>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FootnoteReference">
    <w:name w:val="footnote reference"/>
    <w:basedOn w:val="DefaultParagraphFont"/>
    <w:semiHidden/>
    <w:rsid w:val="006F01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widowControl w:val="0"/>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eastAsia="Times New Roman" w:cs="Arial"/>
      <w:szCs w:val="24"/>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FootnoteReference">
    <w:name w:val="footnote reference"/>
    <w:basedOn w:val="DefaultParagraphFont"/>
    <w:semiHidden/>
    <w:rsid w:val="006F0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Seamons, Colleen</dc:creator>
  <cp:lastModifiedBy>Humphries, Cathie</cp:lastModifiedBy>
  <cp:revision>3</cp:revision>
  <dcterms:created xsi:type="dcterms:W3CDTF">2012-08-10T06:05:00Z</dcterms:created>
  <dcterms:modified xsi:type="dcterms:W3CDTF">2012-09-13T06:35:00Z</dcterms:modified>
</cp:coreProperties>
</file>