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834DCD">
      <w:pPr>
        <w:ind w:left="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45pt;height:87.05pt" fillcolor="window">
            <v:imagedata r:id="rId8" o:title=""/>
          </v:shape>
        </w:pict>
      </w:r>
    </w:p>
    <w:p w:rsidR="008B18E8" w:rsidRDefault="008B18E8" w:rsidP="008B18E8">
      <w:pPr>
        <w:pStyle w:val="Title"/>
        <w:ind w:left="397" w:right="397"/>
        <w:rPr>
          <w:b w:val="0"/>
          <w:position w:val="6"/>
          <w:sz w:val="24"/>
          <w:vertAlign w:val="superscript"/>
        </w:rPr>
      </w:pPr>
      <w:bookmarkStart w:id="0" w:name="Citation"/>
      <w:r>
        <w:t xml:space="preserve">Greenhouse </w:t>
      </w:r>
      <w:r w:rsidR="00B74845">
        <w:t xml:space="preserve">and </w:t>
      </w:r>
      <w:r>
        <w:t>Energy Minimum Standards Regulation 20</w:t>
      </w:r>
      <w:r w:rsidR="00960730">
        <w:t>12</w:t>
      </w:r>
      <w:bookmarkEnd w:id="0"/>
      <w:r w:rsidRPr="008B18E8">
        <w:rPr>
          <w:b w:val="0"/>
          <w:position w:val="6"/>
          <w:sz w:val="24"/>
          <w:vertAlign w:val="superscript"/>
        </w:rPr>
        <w:t>1</w:t>
      </w:r>
    </w:p>
    <w:p w:rsidR="008B18E8" w:rsidRDefault="008B18E8" w:rsidP="008B18E8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</w:t>
      </w:r>
      <w:r w:rsidR="00960730">
        <w:t>12</w:t>
      </w:r>
      <w:bookmarkEnd w:id="1"/>
      <w:r>
        <w:t xml:space="preserve"> No. </w:t>
      </w:r>
      <w:bookmarkStart w:id="2" w:name="Refno"/>
      <w:r w:rsidR="00E16FAD">
        <w:t>239</w:t>
      </w:r>
      <w:bookmarkEnd w:id="2"/>
    </w:p>
    <w:p w:rsidR="008B18E8" w:rsidRDefault="008B18E8" w:rsidP="008B18E8">
      <w:pPr>
        <w:spacing w:before="360"/>
        <w:ind w:left="397" w:right="397"/>
        <w:jc w:val="both"/>
      </w:pPr>
      <w:r>
        <w:t xml:space="preserve">I, QUENTIN BRYCE, Governor-General of the Commonwealth of Australia, acting with the advice of the Federal Executive Council, make the following </w:t>
      </w:r>
      <w:r w:rsidR="000F57D2">
        <w:t>r</w:t>
      </w:r>
      <w:r>
        <w:t xml:space="preserve">egulation under the </w:t>
      </w:r>
      <w:r>
        <w:rPr>
          <w:i/>
        </w:rPr>
        <w:t xml:space="preserve">Greenhouse </w:t>
      </w:r>
      <w:r w:rsidR="00B74845">
        <w:rPr>
          <w:i/>
        </w:rPr>
        <w:t xml:space="preserve">and </w:t>
      </w:r>
      <w:r>
        <w:rPr>
          <w:i/>
        </w:rPr>
        <w:t>E</w:t>
      </w:r>
      <w:r w:rsidR="00B74845">
        <w:rPr>
          <w:i/>
        </w:rPr>
        <w:t>nergy Minimum Standards Act 2012</w:t>
      </w:r>
      <w:r>
        <w:t>.</w:t>
      </w:r>
    </w:p>
    <w:p w:rsidR="008B18E8" w:rsidRDefault="008B18E8" w:rsidP="008B18E8">
      <w:pPr>
        <w:keepNext/>
        <w:tabs>
          <w:tab w:val="left" w:pos="3402"/>
        </w:tabs>
        <w:spacing w:before="300" w:line="240" w:lineRule="atLeast"/>
        <w:ind w:left="397" w:right="397"/>
        <w:jc w:val="both"/>
      </w:pPr>
      <w:r>
        <w:t xml:space="preserve">Dated </w:t>
      </w:r>
      <w:bookmarkStart w:id="3" w:name="MadeByDate"/>
      <w:r w:rsidR="00E16FAD">
        <w:t>11 October</w:t>
      </w:r>
      <w:r w:rsidR="00960730">
        <w:t xml:space="preserve"> 2012</w:t>
      </w:r>
      <w:bookmarkEnd w:id="3"/>
    </w:p>
    <w:p w:rsidR="008B18E8" w:rsidRDefault="00E16FAD" w:rsidP="008B18E8">
      <w:pPr>
        <w:keepNext/>
        <w:tabs>
          <w:tab w:val="left" w:pos="3402"/>
        </w:tabs>
        <w:spacing w:before="1080" w:line="300" w:lineRule="atLeast"/>
        <w:ind w:left="397" w:right="397"/>
        <w:jc w:val="right"/>
      </w:pPr>
      <w:bookmarkStart w:id="4" w:name="GG"/>
      <w:bookmarkEnd w:id="4"/>
      <w:r>
        <w:t>QUENTIN BRYCE</w:t>
      </w:r>
    </w:p>
    <w:p w:rsidR="008B18E8" w:rsidRDefault="008B18E8" w:rsidP="008B18E8">
      <w:pPr>
        <w:keepNext/>
        <w:tabs>
          <w:tab w:val="left" w:pos="3402"/>
        </w:tabs>
        <w:spacing w:line="300" w:lineRule="atLeast"/>
        <w:ind w:left="397" w:right="397"/>
        <w:jc w:val="right"/>
      </w:pPr>
      <w:r>
        <w:t>Governor-General</w:t>
      </w:r>
    </w:p>
    <w:p w:rsidR="008B18E8" w:rsidRDefault="008B18E8" w:rsidP="008B18E8">
      <w:pPr>
        <w:keepNext/>
        <w:tabs>
          <w:tab w:val="left" w:pos="3402"/>
        </w:tabs>
        <w:spacing w:after="800" w:line="300" w:lineRule="atLeast"/>
        <w:ind w:left="397" w:right="397"/>
      </w:pPr>
      <w:r>
        <w:t>By Her Excellency’s Command</w:t>
      </w:r>
    </w:p>
    <w:p w:rsidR="008B18E8" w:rsidRDefault="009D1BC8" w:rsidP="008B18E8">
      <w:pPr>
        <w:keepNext/>
        <w:tabs>
          <w:tab w:val="left" w:pos="3402"/>
        </w:tabs>
        <w:spacing w:before="480" w:line="300" w:lineRule="atLeast"/>
        <w:ind w:left="397" w:right="397"/>
      </w:pPr>
      <w:r w:rsidRPr="009D1BC8">
        <w:t>MARK DREYFUS</w:t>
      </w:r>
    </w:p>
    <w:p w:rsidR="008B18E8" w:rsidRDefault="009D1BC8" w:rsidP="008B18E8">
      <w:pPr>
        <w:keepNext/>
        <w:pBdr>
          <w:bottom w:val="single" w:sz="4" w:space="12" w:color="auto"/>
        </w:pBdr>
        <w:tabs>
          <w:tab w:val="left" w:pos="3402"/>
        </w:tabs>
        <w:spacing w:after="240" w:line="300" w:lineRule="atLeast"/>
        <w:ind w:left="397" w:right="397"/>
      </w:pPr>
      <w:bookmarkStart w:id="5" w:name="Minister"/>
      <w:r>
        <w:t xml:space="preserve">Parliamentary Secretary </w:t>
      </w:r>
      <w:r w:rsidR="008B18E8">
        <w:t>for Climate Change and Energy Efficiency</w:t>
      </w:r>
      <w:bookmarkEnd w:id="5"/>
    </w:p>
    <w:p w:rsidR="00834DCD" w:rsidRDefault="00834DCD" w:rsidP="00A77F87">
      <w:pPr>
        <w:pStyle w:val="SigningPageBreak"/>
        <w:sectPr w:rsidR="00834DCD" w:rsidSect="00A77F8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834DCD" w:rsidRDefault="00834DCD" w:rsidP="00A77F87">
      <w:pPr>
        <w:pStyle w:val="ContentsHead"/>
      </w:pPr>
      <w:r>
        <w:lastRenderedPageBreak/>
        <w:t>Contents</w:t>
      </w:r>
    </w:p>
    <w:p w:rsidR="00834DCD" w:rsidRDefault="00834DCD">
      <w:pPr>
        <w:pStyle w:val="TOC2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"1-9" \t "HC,1, HP,2, HD,3, HS,4,CHS,4, HR,5, RGHead,7, Schedule title,6, Schedule part,8, Schedule Division,8, RX.SC,8, Dictionary Heading,2, Note Heading,9" </w:instrText>
      </w:r>
      <w:r>
        <w:fldChar w:fldCharType="separate"/>
      </w:r>
      <w:r>
        <w:rPr>
          <w:noProof/>
        </w:rPr>
        <w:t>Part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Preliminary</w:t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1.1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Name of 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_Toc335716060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3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1.2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_Toc335716061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3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1.3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_Toc335716062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3</w:t>
      </w:r>
      <w:r>
        <w:rPr>
          <w:noProof/>
        </w:rPr>
        <w:fldChar w:fldCharType="end"/>
      </w:r>
    </w:p>
    <w:p w:rsidR="00834DCD" w:rsidRDefault="00834DCD">
      <w:pPr>
        <w:pStyle w:val="TOC2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Part 4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GEMS determinations</w:t>
      </w:r>
    </w:p>
    <w:p w:rsidR="00834DCD" w:rsidRDefault="00834DCD">
      <w:pPr>
        <w:pStyle w:val="TOC3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Division 4.1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Exempting models of GEMS products from GEMS determinations</w:t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4.1.1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  <w:lang w:eastAsia="en-AU"/>
        </w:rPr>
        <w:t>Purpose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_Toc335716065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4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4.1.2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GEMS Regulator may exempt model of GEMS product from requirements of GEMS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_Toc335716066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4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4.1.3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Application for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_Toc335716067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4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4.1.4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GEMS Regulator may request further information or 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_Toc335716068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5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4.1.5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Matters to which GEMS Regulator must have regard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_Toc335716069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5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4.1.6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Matters to which GEMS Regulator may have regard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_Toc335716070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5</w:t>
      </w:r>
      <w:r>
        <w:rPr>
          <w:noProof/>
        </w:rPr>
        <w:fldChar w:fldCharType="end"/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4.1.7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GEMS Regulator to provide notice of decision on application for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_Toc335716071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6</w:t>
      </w:r>
      <w:r>
        <w:rPr>
          <w:noProof/>
        </w:rPr>
        <w:fldChar w:fldCharType="end"/>
      </w:r>
    </w:p>
    <w:p w:rsidR="00834DCD" w:rsidRDefault="00834DCD">
      <w:pPr>
        <w:pStyle w:val="TOC2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Part 5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Registering models of GEMS products</w:t>
      </w:r>
    </w:p>
    <w:p w:rsidR="00834DCD" w:rsidRDefault="00834DCD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5.1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Application requirements—contact persons and contact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_Toc335716073 \h </w:instrText>
      </w:r>
      <w:r>
        <w:rPr>
          <w:noProof/>
        </w:rPr>
      </w:r>
      <w:r>
        <w:rPr>
          <w:noProof/>
        </w:rPr>
        <w:fldChar w:fldCharType="separate"/>
      </w:r>
      <w:r w:rsidR="00E16FAD">
        <w:rPr>
          <w:noProof/>
        </w:rPr>
        <w:t>7</w:t>
      </w:r>
      <w:r>
        <w:rPr>
          <w:noProof/>
        </w:rPr>
        <w:fldChar w:fldCharType="end"/>
      </w:r>
    </w:p>
    <w:p w:rsidR="00834DCD" w:rsidRDefault="00834DCD" w:rsidP="00834DCD">
      <w:r>
        <w:fldChar w:fldCharType="end"/>
      </w:r>
    </w:p>
    <w:p w:rsidR="00834DCD" w:rsidRDefault="00834DCD" w:rsidP="00A77F87">
      <w:pPr>
        <w:pBdr>
          <w:bottom w:val="single" w:sz="6" w:space="5" w:color="auto"/>
        </w:pBdr>
        <w:ind w:left="2880" w:right="2880"/>
        <w:jc w:val="center"/>
      </w:pPr>
    </w:p>
    <w:p w:rsidR="00834DCD" w:rsidRPr="009725C1" w:rsidRDefault="00834DCD" w:rsidP="00A77F87">
      <w:pPr>
        <w:pStyle w:val="ContentsSectionBreak"/>
        <w:rPr>
          <w:lang w:val="en-US"/>
        </w:rPr>
        <w:sectPr w:rsidR="00834DCD" w:rsidRPr="009725C1" w:rsidSect="00A77F8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319AC" w:rsidRDefault="00F319AC" w:rsidP="00834DCD">
      <w:pPr>
        <w:pStyle w:val="HP"/>
        <w:pageBreakBefore/>
      </w:pPr>
      <w:bookmarkStart w:id="6" w:name="_Toc335716059"/>
      <w:r w:rsidRPr="00834DCD">
        <w:rPr>
          <w:rStyle w:val="CharPartNo"/>
        </w:rPr>
        <w:lastRenderedPageBreak/>
        <w:t>Part 1</w:t>
      </w:r>
      <w:r>
        <w:tab/>
      </w:r>
      <w:r w:rsidRPr="00834DCD">
        <w:rPr>
          <w:rStyle w:val="CharPartText"/>
        </w:rPr>
        <w:t>Preliminary</w:t>
      </w:r>
      <w:bookmarkEnd w:id="6"/>
    </w:p>
    <w:p w:rsidR="00607E7F" w:rsidRPr="00607E7F" w:rsidRDefault="00607E7F" w:rsidP="00607E7F">
      <w:pPr>
        <w:pStyle w:val="Header"/>
        <w:rPr>
          <w:vanish/>
        </w:rPr>
      </w:pPr>
      <w:bookmarkStart w:id="7" w:name="_Toc335716060"/>
      <w:r w:rsidRPr="00607E7F">
        <w:rPr>
          <w:rStyle w:val="CharDivNo"/>
          <w:vanish/>
        </w:rPr>
        <w:t xml:space="preserve"> </w:t>
      </w:r>
      <w:r w:rsidRPr="00607E7F">
        <w:rPr>
          <w:rStyle w:val="CharDivText"/>
          <w:vanish/>
        </w:rPr>
        <w:t xml:space="preserve"> </w:t>
      </w:r>
    </w:p>
    <w:p w:rsidR="008B18E8" w:rsidRDefault="008B18E8" w:rsidP="008B18E8">
      <w:pPr>
        <w:pStyle w:val="HR"/>
      </w:pPr>
      <w:r w:rsidRPr="00834DCD">
        <w:rPr>
          <w:rStyle w:val="CharSectno"/>
        </w:rPr>
        <w:t>1</w:t>
      </w:r>
      <w:r w:rsidR="00F319AC" w:rsidRPr="00834DCD">
        <w:rPr>
          <w:rStyle w:val="CharSectno"/>
        </w:rPr>
        <w:t>.1</w:t>
      </w:r>
      <w:r>
        <w:tab/>
        <w:t xml:space="preserve">Name of </w:t>
      </w:r>
      <w:r w:rsidR="000F57D2">
        <w:t>r</w:t>
      </w:r>
      <w:r>
        <w:t>egulation</w:t>
      </w:r>
      <w:bookmarkEnd w:id="7"/>
    </w:p>
    <w:p w:rsidR="008B18E8" w:rsidRDefault="008B18E8" w:rsidP="008B18E8">
      <w:pPr>
        <w:pStyle w:val="R1"/>
      </w:pPr>
      <w:r>
        <w:tab/>
      </w:r>
      <w:r>
        <w:tab/>
        <w:t>Th</w:t>
      </w:r>
      <w:r w:rsidR="000F57D2">
        <w:t>is</w:t>
      </w:r>
      <w:r>
        <w:t xml:space="preserve"> </w:t>
      </w:r>
      <w:r w:rsidR="000F57D2">
        <w:t>r</w:t>
      </w:r>
      <w:r>
        <w:t xml:space="preserve">egulation </w:t>
      </w:r>
      <w:r w:rsidR="000F57D2">
        <w:t>is</w:t>
      </w:r>
      <w:r>
        <w:t xml:space="preserve">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E16FAD" w:rsidRPr="00E16FAD">
        <w:rPr>
          <w:i/>
        </w:rPr>
        <w:t>Greenhouse and Energy Minimum Standards Regulation 2012</w:t>
      </w:r>
      <w:r>
        <w:rPr>
          <w:i/>
        </w:rPr>
        <w:fldChar w:fldCharType="end"/>
      </w:r>
      <w:r>
        <w:t>.</w:t>
      </w:r>
    </w:p>
    <w:p w:rsidR="008B18E8" w:rsidRDefault="00F319AC" w:rsidP="008B18E8">
      <w:pPr>
        <w:pStyle w:val="HR"/>
      </w:pPr>
      <w:bookmarkStart w:id="8" w:name="_Toc335716061"/>
      <w:r w:rsidRPr="00834DCD">
        <w:rPr>
          <w:rStyle w:val="CharSectno"/>
        </w:rPr>
        <w:t>1.2</w:t>
      </w:r>
      <w:r w:rsidR="008B18E8">
        <w:tab/>
        <w:t>Commencement</w:t>
      </w:r>
      <w:bookmarkEnd w:id="8"/>
    </w:p>
    <w:p w:rsidR="008B18E8" w:rsidRDefault="008B18E8" w:rsidP="008B18E8">
      <w:pPr>
        <w:pStyle w:val="R1"/>
      </w:pPr>
      <w:r>
        <w:tab/>
      </w:r>
      <w:r>
        <w:tab/>
        <w:t>Th</w:t>
      </w:r>
      <w:r w:rsidR="000F57D2">
        <w:t>is</w:t>
      </w:r>
      <w:r>
        <w:t xml:space="preserve"> </w:t>
      </w:r>
      <w:r w:rsidR="000F57D2">
        <w:t>r</w:t>
      </w:r>
      <w:r>
        <w:t>egulation commence</w:t>
      </w:r>
      <w:r w:rsidR="000F57D2">
        <w:t>s</w:t>
      </w:r>
      <w:r>
        <w:t xml:space="preserve"> on the day after </w:t>
      </w:r>
      <w:r w:rsidR="000F57D2">
        <w:t xml:space="preserve">it is </w:t>
      </w:r>
      <w:r>
        <w:t>registered.</w:t>
      </w:r>
    </w:p>
    <w:p w:rsidR="008B18E8" w:rsidRDefault="00A5777C" w:rsidP="008B18E8">
      <w:pPr>
        <w:pStyle w:val="HR"/>
      </w:pPr>
      <w:bookmarkStart w:id="9" w:name="_Toc335716062"/>
      <w:r w:rsidRPr="00834DCD">
        <w:rPr>
          <w:rStyle w:val="CharSectno"/>
        </w:rPr>
        <w:t>1.</w:t>
      </w:r>
      <w:r w:rsidR="00F319AC" w:rsidRPr="00834DCD">
        <w:rPr>
          <w:rStyle w:val="CharSectno"/>
        </w:rPr>
        <w:t>3</w:t>
      </w:r>
      <w:r w:rsidR="008B18E8">
        <w:tab/>
      </w:r>
      <w:r w:rsidR="00DB4A76">
        <w:t>Definitions</w:t>
      </w:r>
      <w:bookmarkEnd w:id="9"/>
    </w:p>
    <w:p w:rsidR="00DB4A76" w:rsidRDefault="00DB4A76" w:rsidP="00034D62">
      <w:pPr>
        <w:pStyle w:val="ZR1"/>
      </w:pPr>
      <w:r>
        <w:tab/>
      </w:r>
      <w:r>
        <w:tab/>
        <w:t xml:space="preserve">In </w:t>
      </w:r>
      <w:r w:rsidR="000F57D2">
        <w:t>this regulation</w:t>
      </w:r>
      <w:r>
        <w:t>:</w:t>
      </w:r>
    </w:p>
    <w:p w:rsidR="00B75D41" w:rsidRPr="00D45497" w:rsidRDefault="00B75D41" w:rsidP="00B75D41">
      <w:pPr>
        <w:pStyle w:val="definition"/>
      </w:pPr>
      <w:r w:rsidRPr="00D45497">
        <w:rPr>
          <w:b/>
          <w:i/>
        </w:rPr>
        <w:t>ABN</w:t>
      </w:r>
      <w:r w:rsidRPr="00D45497">
        <w:t xml:space="preserve"> has the meaning </w:t>
      </w:r>
      <w:r w:rsidR="00B74845" w:rsidRPr="00D45497">
        <w:t xml:space="preserve">given by section 41 of the </w:t>
      </w:r>
      <w:r w:rsidR="005E2912" w:rsidRPr="00D45497">
        <w:rPr>
          <w:i/>
        </w:rPr>
        <w:t>A New Tax System (Australian Business Number) Act 1999</w:t>
      </w:r>
      <w:r w:rsidR="005E2912" w:rsidRPr="00D45497">
        <w:t>.</w:t>
      </w:r>
    </w:p>
    <w:p w:rsidR="00B75D41" w:rsidRPr="00D45497" w:rsidRDefault="00B75D41" w:rsidP="00B75D41">
      <w:pPr>
        <w:pStyle w:val="definition"/>
      </w:pPr>
      <w:r w:rsidRPr="00D45497">
        <w:rPr>
          <w:b/>
          <w:i/>
        </w:rPr>
        <w:t>ACN</w:t>
      </w:r>
      <w:r w:rsidRPr="00D45497">
        <w:t xml:space="preserve"> has the meaning given by</w:t>
      </w:r>
      <w:r w:rsidR="005E2912" w:rsidRPr="00D45497">
        <w:t xml:space="preserve"> section 9 of the </w:t>
      </w:r>
      <w:r w:rsidR="005E2912" w:rsidRPr="00D45497">
        <w:rPr>
          <w:i/>
        </w:rPr>
        <w:t>Corporations Act 2001</w:t>
      </w:r>
      <w:r w:rsidR="005E2912" w:rsidRPr="00D45497">
        <w:t>.</w:t>
      </w:r>
    </w:p>
    <w:p w:rsidR="0047334E" w:rsidRPr="00D45497" w:rsidRDefault="00DB4A76" w:rsidP="00DB4A76">
      <w:pPr>
        <w:pStyle w:val="definition"/>
      </w:pPr>
      <w:r w:rsidRPr="00D45497">
        <w:rPr>
          <w:b/>
          <w:i/>
        </w:rPr>
        <w:t>Act</w:t>
      </w:r>
      <w:r w:rsidRPr="00D45497">
        <w:t xml:space="preserve"> means the </w:t>
      </w:r>
      <w:r w:rsidRPr="00D45497">
        <w:rPr>
          <w:i/>
        </w:rPr>
        <w:t>Greenhouse</w:t>
      </w:r>
      <w:r w:rsidR="00B74845" w:rsidRPr="00D45497">
        <w:rPr>
          <w:i/>
        </w:rPr>
        <w:t xml:space="preserve"> and</w:t>
      </w:r>
      <w:r w:rsidRPr="00D45497">
        <w:rPr>
          <w:i/>
        </w:rPr>
        <w:t xml:space="preserve"> Energy Minimum Standards Act 201</w:t>
      </w:r>
      <w:r w:rsidR="006319A5" w:rsidRPr="00D45497">
        <w:rPr>
          <w:i/>
        </w:rPr>
        <w:t>2</w:t>
      </w:r>
      <w:r w:rsidRPr="00D45497">
        <w:t>.</w:t>
      </w:r>
    </w:p>
    <w:p w:rsidR="00C67D31" w:rsidRPr="00D45497" w:rsidRDefault="00C67D31" w:rsidP="004754F2">
      <w:pPr>
        <w:pStyle w:val="HP"/>
        <w:pageBreakBefore/>
      </w:pPr>
      <w:bookmarkStart w:id="10" w:name="_Toc335716063"/>
      <w:r w:rsidRPr="00834DCD">
        <w:rPr>
          <w:rStyle w:val="CharPartNo"/>
        </w:rPr>
        <w:lastRenderedPageBreak/>
        <w:t xml:space="preserve">Part </w:t>
      </w:r>
      <w:r w:rsidR="005E2912" w:rsidRPr="00834DCD">
        <w:rPr>
          <w:rStyle w:val="CharPartNo"/>
        </w:rPr>
        <w:t>4</w:t>
      </w:r>
      <w:r w:rsidR="005E2912" w:rsidRPr="00D45497">
        <w:tab/>
      </w:r>
      <w:r w:rsidR="005E2912" w:rsidRPr="00834DCD">
        <w:rPr>
          <w:rStyle w:val="CharPartText"/>
        </w:rPr>
        <w:t xml:space="preserve">GEMS </w:t>
      </w:r>
      <w:r w:rsidR="006319A5" w:rsidRPr="00834DCD">
        <w:rPr>
          <w:rStyle w:val="CharPartText"/>
        </w:rPr>
        <w:t>d</w:t>
      </w:r>
      <w:r w:rsidR="005E2912" w:rsidRPr="00834DCD">
        <w:rPr>
          <w:rStyle w:val="CharPartText"/>
        </w:rPr>
        <w:t>eterminations</w:t>
      </w:r>
      <w:bookmarkEnd w:id="10"/>
    </w:p>
    <w:p w:rsidR="002A0C26" w:rsidRPr="00D45497" w:rsidRDefault="002A0C26" w:rsidP="002A0C26">
      <w:pPr>
        <w:pStyle w:val="HD"/>
      </w:pPr>
      <w:bookmarkStart w:id="11" w:name="_Toc335716064"/>
      <w:r w:rsidRPr="00834DCD">
        <w:rPr>
          <w:rStyle w:val="CharDivNo"/>
        </w:rPr>
        <w:t>Division 4.</w:t>
      </w:r>
      <w:r w:rsidR="003C3336" w:rsidRPr="00834DCD">
        <w:rPr>
          <w:rStyle w:val="CharDivNo"/>
        </w:rPr>
        <w:t>1</w:t>
      </w:r>
      <w:r w:rsidRPr="00D45497">
        <w:tab/>
      </w:r>
      <w:r w:rsidRPr="00834DCD">
        <w:rPr>
          <w:rStyle w:val="CharDivText"/>
        </w:rPr>
        <w:t>Exempting model</w:t>
      </w:r>
      <w:r w:rsidR="006319A5" w:rsidRPr="00834DCD">
        <w:rPr>
          <w:rStyle w:val="CharDivText"/>
        </w:rPr>
        <w:t>s</w:t>
      </w:r>
      <w:r w:rsidRPr="00834DCD">
        <w:rPr>
          <w:rStyle w:val="CharDivText"/>
        </w:rPr>
        <w:t xml:space="preserve"> of GEMS products from GEMS </w:t>
      </w:r>
      <w:r w:rsidR="006319A5" w:rsidRPr="00834DCD">
        <w:rPr>
          <w:rStyle w:val="CharDivText"/>
        </w:rPr>
        <w:t>d</w:t>
      </w:r>
      <w:r w:rsidRPr="00834DCD">
        <w:rPr>
          <w:rStyle w:val="CharDivText"/>
        </w:rPr>
        <w:t>etermination</w:t>
      </w:r>
      <w:r w:rsidR="006319A5" w:rsidRPr="00834DCD">
        <w:rPr>
          <w:rStyle w:val="CharDivText"/>
        </w:rPr>
        <w:t>s</w:t>
      </w:r>
      <w:bookmarkEnd w:id="11"/>
    </w:p>
    <w:p w:rsidR="002A0C26" w:rsidRPr="00D45497" w:rsidRDefault="002A0C26" w:rsidP="002A0C26">
      <w:pPr>
        <w:pStyle w:val="HR"/>
        <w:rPr>
          <w:lang w:eastAsia="en-AU"/>
        </w:rPr>
      </w:pPr>
      <w:bookmarkStart w:id="12" w:name="_Toc335716065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.1</w:t>
      </w:r>
      <w:r w:rsidRPr="00D45497">
        <w:rPr>
          <w:lang w:eastAsia="en-AU"/>
        </w:rPr>
        <w:tab/>
        <w:t>Purpose of Division</w:t>
      </w:r>
      <w:bookmarkEnd w:id="12"/>
    </w:p>
    <w:p w:rsidR="00C67D31" w:rsidRPr="00D45497" w:rsidRDefault="002A0C26" w:rsidP="00C67D31">
      <w:pPr>
        <w:pStyle w:val="R1"/>
        <w:rPr>
          <w:lang w:eastAsia="en-AU"/>
        </w:rPr>
      </w:pPr>
      <w:r w:rsidRPr="00D45497">
        <w:rPr>
          <w:lang w:eastAsia="en-AU"/>
        </w:rPr>
        <w:tab/>
      </w:r>
      <w:r w:rsidRPr="00D45497">
        <w:rPr>
          <w:lang w:eastAsia="en-AU"/>
        </w:rPr>
        <w:tab/>
        <w:t xml:space="preserve">For section 37 of the Act, the purpose of this Division is to set out the circumstances in which the GEMS Regulator may exempt a model of </w:t>
      </w:r>
      <w:r w:rsidR="00036449">
        <w:rPr>
          <w:lang w:eastAsia="en-AU"/>
        </w:rPr>
        <w:t xml:space="preserve">a </w:t>
      </w:r>
      <w:r w:rsidRPr="00D45497">
        <w:rPr>
          <w:lang w:eastAsia="en-AU"/>
        </w:rPr>
        <w:t xml:space="preserve">GEMS product from the requirements of a GEMS </w:t>
      </w:r>
      <w:r w:rsidR="006319A5" w:rsidRPr="00D45497">
        <w:rPr>
          <w:lang w:eastAsia="en-AU"/>
        </w:rPr>
        <w:t>d</w:t>
      </w:r>
      <w:r w:rsidRPr="00D45497">
        <w:rPr>
          <w:lang w:eastAsia="en-AU"/>
        </w:rPr>
        <w:t>etermination.</w:t>
      </w:r>
    </w:p>
    <w:p w:rsidR="00D43418" w:rsidRPr="00D45497" w:rsidRDefault="00E05F87" w:rsidP="00D43418">
      <w:pPr>
        <w:pStyle w:val="HR"/>
      </w:pPr>
      <w:bookmarkStart w:id="13" w:name="_Toc335716066"/>
      <w:r w:rsidRPr="00834DCD">
        <w:rPr>
          <w:rStyle w:val="CharSectno"/>
        </w:rPr>
        <w:t>4</w:t>
      </w:r>
      <w:r w:rsidR="002A0C26" w:rsidRPr="00834DCD">
        <w:rPr>
          <w:rStyle w:val="CharSectno"/>
        </w:rPr>
        <w:t>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.2</w:t>
      </w:r>
      <w:r w:rsidRPr="00D45497">
        <w:tab/>
      </w:r>
      <w:r w:rsidR="00C67D31" w:rsidRPr="00D45497">
        <w:t>GEMS Regulator may exempt model</w:t>
      </w:r>
      <w:r w:rsidRPr="00D45497">
        <w:t xml:space="preserve"> </w:t>
      </w:r>
      <w:r w:rsidR="00C67D31" w:rsidRPr="00D45497">
        <w:t xml:space="preserve">of </w:t>
      </w:r>
      <w:r w:rsidRPr="00D45497">
        <w:t>GEMS product</w:t>
      </w:r>
      <w:r w:rsidR="00D43418" w:rsidRPr="00D45497">
        <w:t xml:space="preserve"> from req</w:t>
      </w:r>
      <w:r w:rsidRPr="00D45497">
        <w:t xml:space="preserve">uirements of GEMS </w:t>
      </w:r>
      <w:r w:rsidR="006319A5" w:rsidRPr="00D45497">
        <w:t>d</w:t>
      </w:r>
      <w:r w:rsidRPr="00D45497">
        <w:t>etermination</w:t>
      </w:r>
      <w:bookmarkEnd w:id="13"/>
    </w:p>
    <w:p w:rsidR="00542432" w:rsidRPr="00D45497" w:rsidRDefault="00C67D31" w:rsidP="00034D62">
      <w:pPr>
        <w:pStyle w:val="ZR1"/>
      </w:pPr>
      <w:r w:rsidRPr="00D45497">
        <w:tab/>
      </w:r>
      <w:r w:rsidR="00D43418" w:rsidRPr="00D45497">
        <w:tab/>
      </w:r>
      <w:r w:rsidRPr="00D45497">
        <w:t>The</w:t>
      </w:r>
      <w:r w:rsidR="00D43418" w:rsidRPr="00D45497">
        <w:t xml:space="preserve"> GEMS Regulator may exempt a model of a </w:t>
      </w:r>
      <w:r w:rsidR="00004A19" w:rsidRPr="00D45497">
        <w:t>GEMS</w:t>
      </w:r>
      <w:r w:rsidR="00D43418" w:rsidRPr="00D45497">
        <w:t xml:space="preserve"> product from </w:t>
      </w:r>
      <w:r w:rsidR="002809EE">
        <w:t xml:space="preserve">one or more </w:t>
      </w:r>
      <w:r w:rsidR="00D43418" w:rsidRPr="00D45497">
        <w:t xml:space="preserve">requirements of a GEMS </w:t>
      </w:r>
      <w:r w:rsidR="006319A5" w:rsidRPr="00D45497">
        <w:t>d</w:t>
      </w:r>
      <w:r w:rsidR="00D43418" w:rsidRPr="00D45497">
        <w:t>etermination</w:t>
      </w:r>
      <w:r w:rsidR="006402C7" w:rsidRPr="00D45497">
        <w:t>:</w:t>
      </w:r>
    </w:p>
    <w:p w:rsidR="00542432" w:rsidRPr="00D45497" w:rsidRDefault="00542432" w:rsidP="00542432">
      <w:pPr>
        <w:pStyle w:val="P1"/>
      </w:pPr>
      <w:r w:rsidRPr="00D45497">
        <w:tab/>
        <w:t>(</w:t>
      </w:r>
      <w:r w:rsidR="00D43418" w:rsidRPr="00D45497">
        <w:t>a)</w:t>
      </w:r>
      <w:r w:rsidR="00D43418" w:rsidRPr="00D45497">
        <w:tab/>
        <w:t>on the GEMS Regulator’s own initiative; or</w:t>
      </w:r>
    </w:p>
    <w:p w:rsidR="00D43418" w:rsidRPr="00D45497" w:rsidRDefault="00D43418" w:rsidP="00A15EEC">
      <w:pPr>
        <w:pStyle w:val="P1"/>
      </w:pPr>
      <w:r w:rsidRPr="00D45497">
        <w:tab/>
        <w:t>(b)</w:t>
      </w:r>
      <w:r w:rsidRPr="00D45497">
        <w:tab/>
        <w:t>o</w:t>
      </w:r>
      <w:r w:rsidR="00960730" w:rsidRPr="00D45497">
        <w:t xml:space="preserve">n application by a </w:t>
      </w:r>
      <w:r w:rsidR="00AD0CB7" w:rsidRPr="00D45497">
        <w:t>supplier or co</w:t>
      </w:r>
      <w:r w:rsidR="00C67D31" w:rsidRPr="00D45497">
        <w:t xml:space="preserve">mmercial user of </w:t>
      </w:r>
      <w:r w:rsidR="00B257FE" w:rsidRPr="00D45497">
        <w:t>the</w:t>
      </w:r>
      <w:r w:rsidR="00C67D31" w:rsidRPr="00D45497">
        <w:t xml:space="preserve"> GEMS product</w:t>
      </w:r>
      <w:r w:rsidR="00A15EEC">
        <w:t>.</w:t>
      </w:r>
    </w:p>
    <w:p w:rsidR="00C67D31" w:rsidRPr="00D45497" w:rsidRDefault="002A0C26" w:rsidP="00C67D31">
      <w:pPr>
        <w:pStyle w:val="HR"/>
      </w:pPr>
      <w:bookmarkStart w:id="14" w:name="_Toc335716067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.3</w:t>
      </w:r>
      <w:r w:rsidR="00C67D31" w:rsidRPr="00D45497">
        <w:tab/>
        <w:t>Application for exemption</w:t>
      </w:r>
      <w:bookmarkEnd w:id="14"/>
    </w:p>
    <w:p w:rsidR="007A0D4E" w:rsidRDefault="00004A19" w:rsidP="00004A19">
      <w:pPr>
        <w:pStyle w:val="R1"/>
      </w:pPr>
      <w:r w:rsidRPr="00D45497">
        <w:tab/>
      </w:r>
      <w:r w:rsidR="007941A0" w:rsidRPr="00D45497">
        <w:t>(1)</w:t>
      </w:r>
      <w:r w:rsidR="00D43418" w:rsidRPr="00D45497">
        <w:tab/>
      </w:r>
      <w:r w:rsidR="00C67D31" w:rsidRPr="00D45497">
        <w:t xml:space="preserve">An application for </w:t>
      </w:r>
      <w:r w:rsidR="00B257FE" w:rsidRPr="00D45497">
        <w:t>an</w:t>
      </w:r>
      <w:r w:rsidR="00C67D31" w:rsidRPr="00D45497">
        <w:t xml:space="preserve"> exemption </w:t>
      </w:r>
      <w:r w:rsidR="00C67D31">
        <w:t>must:</w:t>
      </w:r>
    </w:p>
    <w:p w:rsidR="007A0D4E" w:rsidRDefault="007A0D4E" w:rsidP="007A0D4E">
      <w:pPr>
        <w:pStyle w:val="P1"/>
      </w:pPr>
      <w:r>
        <w:tab/>
        <w:t>(a)</w:t>
      </w:r>
      <w:r>
        <w:tab/>
      </w:r>
      <w:r w:rsidR="00C67D31">
        <w:t xml:space="preserve">be </w:t>
      </w:r>
      <w:r>
        <w:t>in a form approved by the GEMS Regulator; and</w:t>
      </w:r>
    </w:p>
    <w:p w:rsidR="007941A0" w:rsidRDefault="00C67D31" w:rsidP="007A0D4E">
      <w:pPr>
        <w:pStyle w:val="P1"/>
      </w:pPr>
      <w:r>
        <w:tab/>
        <w:t>(b</w:t>
      </w:r>
      <w:r w:rsidR="007A0D4E">
        <w:t>)</w:t>
      </w:r>
      <w:r w:rsidR="007A0D4E">
        <w:tab/>
      </w:r>
      <w:r w:rsidR="007941A0">
        <w:t xml:space="preserve">set out the contact details mentioned in </w:t>
      </w:r>
      <w:r w:rsidR="002809EE">
        <w:t xml:space="preserve">subsection </w:t>
      </w:r>
      <w:r w:rsidR="007941A0">
        <w:t>(2); and</w:t>
      </w:r>
    </w:p>
    <w:p w:rsidR="00C67D31" w:rsidRDefault="007941A0" w:rsidP="00FC1CCA">
      <w:pPr>
        <w:pStyle w:val="P1"/>
      </w:pPr>
      <w:r>
        <w:tab/>
        <w:t>(c)</w:t>
      </w:r>
      <w:r>
        <w:tab/>
      </w:r>
      <w:r w:rsidR="00C67D31">
        <w:t>set out the reasons for seeking the exemption including</w:t>
      </w:r>
      <w:r w:rsidR="00FC1CCA">
        <w:t xml:space="preserve"> </w:t>
      </w:r>
      <w:r w:rsidR="00223055">
        <w:t xml:space="preserve">addressing </w:t>
      </w:r>
      <w:r w:rsidR="00C67D31">
        <w:t xml:space="preserve">the matters mentioned in </w:t>
      </w:r>
      <w:r w:rsidR="002809EE">
        <w:t xml:space="preserve">section </w:t>
      </w:r>
      <w:r w:rsidR="00E82FC3">
        <w:t>4.</w:t>
      </w:r>
      <w:r w:rsidR="003C3336">
        <w:t>1</w:t>
      </w:r>
      <w:r w:rsidR="002809EE">
        <w:t>.5</w:t>
      </w:r>
      <w:r w:rsidR="00C67D31">
        <w:t>; and</w:t>
      </w:r>
    </w:p>
    <w:p w:rsidR="00004A19" w:rsidRDefault="00004A19" w:rsidP="007A0D4E">
      <w:pPr>
        <w:pStyle w:val="P1"/>
      </w:pPr>
      <w:r>
        <w:tab/>
        <w:t>(</w:t>
      </w:r>
      <w:r w:rsidR="007941A0">
        <w:t>d</w:t>
      </w:r>
      <w:r w:rsidR="00E05F87">
        <w:t>)</w:t>
      </w:r>
      <w:r w:rsidR="00E05F87">
        <w:tab/>
        <w:t xml:space="preserve">be accompanied by documentation supporting the </w:t>
      </w:r>
      <w:r w:rsidR="00355D1D">
        <w:t xml:space="preserve">applicant’s </w:t>
      </w:r>
      <w:r>
        <w:t xml:space="preserve">reasons for </w:t>
      </w:r>
      <w:r w:rsidR="00355D1D">
        <w:t xml:space="preserve">seeking </w:t>
      </w:r>
      <w:r>
        <w:t>the exemption</w:t>
      </w:r>
      <w:r w:rsidR="00D51327">
        <w:t>.</w:t>
      </w:r>
    </w:p>
    <w:p w:rsidR="00EE08E0" w:rsidRDefault="00EE08E0" w:rsidP="00034D62">
      <w:pPr>
        <w:pStyle w:val="ZR2"/>
      </w:pPr>
      <w:r>
        <w:tab/>
        <w:t>(2)</w:t>
      </w:r>
      <w:r>
        <w:tab/>
      </w:r>
      <w:r w:rsidR="006319A5">
        <w:t>For paragraph (1)</w:t>
      </w:r>
      <w:r w:rsidR="00034D62">
        <w:t> </w:t>
      </w:r>
      <w:r w:rsidR="006319A5">
        <w:t>(b), the contact details for an applicant are the following:</w:t>
      </w:r>
    </w:p>
    <w:p w:rsidR="00F5063E" w:rsidRDefault="00F5063E" w:rsidP="00F5063E">
      <w:pPr>
        <w:pStyle w:val="P1"/>
      </w:pPr>
      <w:r>
        <w:tab/>
        <w:t>(a)</w:t>
      </w:r>
      <w:r>
        <w:tab/>
        <w:t>if the applicant is an individual—the name of the individual;</w:t>
      </w:r>
    </w:p>
    <w:p w:rsidR="00F5063E" w:rsidRDefault="00F5063E" w:rsidP="00034D62">
      <w:pPr>
        <w:pStyle w:val="ZP1"/>
      </w:pPr>
      <w:r>
        <w:lastRenderedPageBreak/>
        <w:tab/>
        <w:t>(b)</w:t>
      </w:r>
      <w:r>
        <w:tab/>
        <w:t>if the applicant is a business</w:t>
      </w:r>
      <w:r w:rsidR="00435267">
        <w:t>:</w:t>
      </w:r>
    </w:p>
    <w:p w:rsidR="00F5063E" w:rsidRDefault="00F5063E" w:rsidP="00F5063E">
      <w:pPr>
        <w:pStyle w:val="P2"/>
      </w:pPr>
      <w:r>
        <w:tab/>
        <w:t>(i)</w:t>
      </w:r>
      <w:r>
        <w:tab/>
        <w:t>the name of the business; and</w:t>
      </w:r>
    </w:p>
    <w:p w:rsidR="00F5063E" w:rsidRDefault="00F5063E" w:rsidP="00F5063E">
      <w:pPr>
        <w:pStyle w:val="P2"/>
      </w:pPr>
      <w:r>
        <w:tab/>
        <w:t>(ii)</w:t>
      </w:r>
      <w:r>
        <w:tab/>
        <w:t xml:space="preserve">the trading name of the business (if any); </w:t>
      </w:r>
      <w:r w:rsidR="00476655">
        <w:t>and</w:t>
      </w:r>
    </w:p>
    <w:p w:rsidR="00ED4A35" w:rsidRDefault="00ED4A35" w:rsidP="00F5063E">
      <w:pPr>
        <w:pStyle w:val="P2"/>
      </w:pPr>
      <w:r>
        <w:tab/>
        <w:t>(iii)</w:t>
      </w:r>
      <w:r>
        <w:tab/>
        <w:t>the ABN or ACN for the business;</w:t>
      </w:r>
    </w:p>
    <w:p w:rsidR="00F5063E" w:rsidRDefault="00F5063E" w:rsidP="00F5063E">
      <w:pPr>
        <w:pStyle w:val="P1"/>
      </w:pPr>
      <w:r>
        <w:tab/>
        <w:t>(</w:t>
      </w:r>
      <w:r w:rsidR="00ED4A35">
        <w:t>c</w:t>
      </w:r>
      <w:r>
        <w:t>)</w:t>
      </w:r>
      <w:r>
        <w:tab/>
        <w:t xml:space="preserve">the </w:t>
      </w:r>
      <w:r w:rsidR="00ED4A35">
        <w:t xml:space="preserve">applicant’s </w:t>
      </w:r>
      <w:r>
        <w:t>address, phone number, fax number and email address.</w:t>
      </w:r>
    </w:p>
    <w:p w:rsidR="00C67D31" w:rsidRDefault="002A0C26" w:rsidP="00C67D31">
      <w:pPr>
        <w:pStyle w:val="HR"/>
      </w:pPr>
      <w:bookmarkStart w:id="15" w:name="_Toc335716068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.4</w:t>
      </w:r>
      <w:r w:rsidR="00C67D31">
        <w:tab/>
      </w:r>
      <w:r w:rsidR="006319A5">
        <w:t xml:space="preserve">GEMS Regulator may </w:t>
      </w:r>
      <w:r w:rsidR="003C3336">
        <w:t xml:space="preserve">request </w:t>
      </w:r>
      <w:r w:rsidR="006319A5">
        <w:t>f</w:t>
      </w:r>
      <w:r w:rsidR="00C67D31">
        <w:t>urthe</w:t>
      </w:r>
      <w:r w:rsidR="00D51327">
        <w:t xml:space="preserve">r information </w:t>
      </w:r>
      <w:r w:rsidR="006319A5">
        <w:t>or documentation</w:t>
      </w:r>
      <w:bookmarkEnd w:id="15"/>
    </w:p>
    <w:p w:rsidR="007A0D4E" w:rsidRDefault="00004A19" w:rsidP="00004A19">
      <w:pPr>
        <w:pStyle w:val="R1"/>
      </w:pPr>
      <w:r>
        <w:tab/>
        <w:t>(1</w:t>
      </w:r>
      <w:r w:rsidR="007A0D4E">
        <w:t>)</w:t>
      </w:r>
      <w:r w:rsidR="007A0D4E">
        <w:tab/>
        <w:t>The GEMS Regulator may request</w:t>
      </w:r>
      <w:r w:rsidR="003C3336">
        <w:t>,</w:t>
      </w:r>
      <w:r w:rsidR="00E05F87">
        <w:t xml:space="preserve"> </w:t>
      </w:r>
      <w:r w:rsidR="003C3336">
        <w:t xml:space="preserve">by written notice, </w:t>
      </w:r>
      <w:r w:rsidR="00E05F87">
        <w:t>that the applicant provide</w:t>
      </w:r>
      <w:r w:rsidR="007A0D4E">
        <w:t xml:space="preserve"> further</w:t>
      </w:r>
      <w:r w:rsidR="00D51327">
        <w:t xml:space="preserve"> </w:t>
      </w:r>
      <w:r w:rsidR="007A0D4E">
        <w:t>information</w:t>
      </w:r>
      <w:r w:rsidR="006319A5">
        <w:t xml:space="preserve"> or documentation</w:t>
      </w:r>
      <w:r w:rsidR="007A0D4E">
        <w:t xml:space="preserve"> to support the application</w:t>
      </w:r>
      <w:r w:rsidR="003C3336">
        <w:t>, by the time specified in the notice</w:t>
      </w:r>
      <w:r w:rsidR="007A0D4E">
        <w:t>.</w:t>
      </w:r>
    </w:p>
    <w:p w:rsidR="00E05F87" w:rsidRDefault="00004A19" w:rsidP="00542432">
      <w:pPr>
        <w:pStyle w:val="R2"/>
      </w:pPr>
      <w:r>
        <w:tab/>
        <w:t>(2</w:t>
      </w:r>
      <w:r w:rsidR="00E05F87">
        <w:t>)</w:t>
      </w:r>
      <w:r w:rsidR="00E05F87">
        <w:tab/>
        <w:t xml:space="preserve">If the GEMS Regulator requests the applicant </w:t>
      </w:r>
      <w:r w:rsidR="006319A5">
        <w:t xml:space="preserve">to </w:t>
      </w:r>
      <w:r w:rsidR="00E05F87">
        <w:t>provide further information</w:t>
      </w:r>
      <w:r w:rsidR="00ED4A35">
        <w:t xml:space="preserve"> or documentation</w:t>
      </w:r>
      <w:r w:rsidR="00E05F87">
        <w:t xml:space="preserve">, the GEMS Regulator may refuse to consider the application until the applicant </w:t>
      </w:r>
      <w:r w:rsidR="00ED4A35">
        <w:t>provides</w:t>
      </w:r>
      <w:r w:rsidR="00E05F87">
        <w:t xml:space="preserve"> the information</w:t>
      </w:r>
      <w:r w:rsidR="00ED4A35">
        <w:t xml:space="preserve"> or documentation</w:t>
      </w:r>
      <w:r w:rsidR="00F5063E">
        <w:t>.</w:t>
      </w:r>
    </w:p>
    <w:p w:rsidR="00542432" w:rsidRDefault="005E2912" w:rsidP="00542432">
      <w:pPr>
        <w:pStyle w:val="HR"/>
      </w:pPr>
      <w:bookmarkStart w:id="16" w:name="_Toc335716069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.5</w:t>
      </w:r>
      <w:r w:rsidR="00542432">
        <w:tab/>
      </w:r>
      <w:r w:rsidR="002D01EF">
        <w:t>M</w:t>
      </w:r>
      <w:r w:rsidR="00542432">
        <w:t>atter</w:t>
      </w:r>
      <w:r w:rsidR="002D01EF">
        <w:t>s</w:t>
      </w:r>
      <w:r w:rsidR="00D51327">
        <w:t xml:space="preserve"> to which </w:t>
      </w:r>
      <w:r w:rsidR="00542432">
        <w:t xml:space="preserve">GEMS </w:t>
      </w:r>
      <w:r w:rsidR="00094D24">
        <w:t>R</w:t>
      </w:r>
      <w:r w:rsidR="00542432">
        <w:t>egulator must have regard</w:t>
      </w:r>
      <w:bookmarkEnd w:id="16"/>
    </w:p>
    <w:p w:rsidR="00542432" w:rsidRDefault="00542432" w:rsidP="00034D62">
      <w:pPr>
        <w:pStyle w:val="ZR1"/>
      </w:pPr>
      <w:r>
        <w:tab/>
      </w:r>
      <w:r w:rsidR="00004A19">
        <w:tab/>
      </w:r>
      <w:r w:rsidR="003C3336">
        <w:t xml:space="preserve">In </w:t>
      </w:r>
      <w:r w:rsidR="008E5379">
        <w:t xml:space="preserve">deciding </w:t>
      </w:r>
      <w:r w:rsidR="00E52389">
        <w:t>whether to exempt a model</w:t>
      </w:r>
      <w:r w:rsidR="001740FB">
        <w:t xml:space="preserve"> of a GEMS product</w:t>
      </w:r>
      <w:r w:rsidR="003C3336">
        <w:t>,</w:t>
      </w:r>
      <w:r w:rsidR="002A1D35">
        <w:t xml:space="preserve"> or </w:t>
      </w:r>
      <w:r w:rsidR="003C3336">
        <w:t xml:space="preserve">to </w:t>
      </w:r>
      <w:r w:rsidR="0080485C">
        <w:t xml:space="preserve">specify </w:t>
      </w:r>
      <w:r w:rsidR="003C3336">
        <w:t xml:space="preserve">a </w:t>
      </w:r>
      <w:r w:rsidR="002A1D35" w:rsidRPr="002A1D35">
        <w:t>condition</w:t>
      </w:r>
      <w:r w:rsidR="001740FB">
        <w:t xml:space="preserve"> to which an exemption is subject</w:t>
      </w:r>
      <w:r w:rsidR="003C3336">
        <w:t>, the GEMS Regulator must have regard to the following matters</w:t>
      </w:r>
      <w:r>
        <w:t>:</w:t>
      </w:r>
    </w:p>
    <w:p w:rsidR="00542432" w:rsidRDefault="00004A19" w:rsidP="00004A19">
      <w:pPr>
        <w:pStyle w:val="P1"/>
      </w:pPr>
      <w:r>
        <w:tab/>
        <w:t>(</w:t>
      </w:r>
      <w:r w:rsidR="00AE21B9">
        <w:t>a</w:t>
      </w:r>
      <w:r>
        <w:t>)</w:t>
      </w:r>
      <w:r>
        <w:tab/>
      </w:r>
      <w:r w:rsidR="00542432" w:rsidRPr="00542432">
        <w:t>the impact on Australia’s gre</w:t>
      </w:r>
      <w:r w:rsidR="008E5379">
        <w:t xml:space="preserve">enhouse </w:t>
      </w:r>
      <w:r w:rsidR="002A1D35">
        <w:t>gas</w:t>
      </w:r>
      <w:r w:rsidR="009D1BCA">
        <w:t xml:space="preserve"> </w:t>
      </w:r>
      <w:r w:rsidR="008E5379">
        <w:t>emissions if the exemption is granted</w:t>
      </w:r>
      <w:r w:rsidR="00542432">
        <w:t>;</w:t>
      </w:r>
    </w:p>
    <w:p w:rsidR="00AE21B9" w:rsidRDefault="00AE21B9" w:rsidP="00004A19">
      <w:pPr>
        <w:pStyle w:val="P1"/>
      </w:pPr>
      <w:r>
        <w:tab/>
      </w:r>
      <w:r w:rsidRPr="00B95DE3">
        <w:t>(b)</w:t>
      </w:r>
      <w:r w:rsidRPr="00B95DE3">
        <w:tab/>
      </w:r>
      <w:r w:rsidR="001740FB" w:rsidRPr="001740FB">
        <w:t xml:space="preserve">any grounds relied upon, or matters considered, in the making of the GEMS determination </w:t>
      </w:r>
      <w:r w:rsidR="001740FB">
        <w:t xml:space="preserve">for the GEMS product </w:t>
      </w:r>
      <w:r w:rsidR="001740FB" w:rsidRPr="001740FB">
        <w:t>under section 23</w:t>
      </w:r>
      <w:r w:rsidR="001740FB">
        <w:t xml:space="preserve"> of the Act</w:t>
      </w:r>
      <w:r w:rsidR="001740FB" w:rsidRPr="001740FB">
        <w:t>, including the matters considered in determining the efficiency and labelling requirements</w:t>
      </w:r>
      <w:r w:rsidRPr="00B95DE3">
        <w:t>.</w:t>
      </w:r>
    </w:p>
    <w:p w:rsidR="009874E6" w:rsidRDefault="005E2912" w:rsidP="00467754">
      <w:pPr>
        <w:pStyle w:val="HR"/>
      </w:pPr>
      <w:bookmarkStart w:id="17" w:name="_Toc335716070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.6</w:t>
      </w:r>
      <w:r w:rsidR="00467754">
        <w:tab/>
        <w:t>Matter</w:t>
      </w:r>
      <w:r w:rsidR="009874E6">
        <w:t>s</w:t>
      </w:r>
      <w:r w:rsidR="00D51327">
        <w:t xml:space="preserve"> to which</w:t>
      </w:r>
      <w:r w:rsidR="00467754">
        <w:t xml:space="preserve"> GEMS Regulator may have regard</w:t>
      </w:r>
      <w:bookmarkEnd w:id="17"/>
    </w:p>
    <w:p w:rsidR="00467754" w:rsidRDefault="009874E6" w:rsidP="00034D62">
      <w:pPr>
        <w:pStyle w:val="ZR1"/>
      </w:pPr>
      <w:r>
        <w:tab/>
      </w:r>
      <w:r>
        <w:tab/>
      </w:r>
      <w:r w:rsidR="001740FB">
        <w:t>In d</w:t>
      </w:r>
      <w:r w:rsidR="00004A19">
        <w:t>eciding whether to exempt a model</w:t>
      </w:r>
      <w:r w:rsidR="001740FB">
        <w:t xml:space="preserve"> of a GEMS product</w:t>
      </w:r>
      <w:r w:rsidR="002A1D35">
        <w:t xml:space="preserve">, or specify </w:t>
      </w:r>
      <w:r w:rsidR="001740FB">
        <w:t xml:space="preserve">a </w:t>
      </w:r>
      <w:r w:rsidR="002A1D35">
        <w:t>condition</w:t>
      </w:r>
      <w:r w:rsidR="001740FB">
        <w:t xml:space="preserve"> to which an exemption is subject,</w:t>
      </w:r>
      <w:r w:rsidR="001740FB" w:rsidRPr="001740FB">
        <w:t xml:space="preserve"> </w:t>
      </w:r>
      <w:r w:rsidR="001740FB">
        <w:t>the GEMS Regulator may have regard to the following matters</w:t>
      </w:r>
      <w:r>
        <w:t>:</w:t>
      </w:r>
    </w:p>
    <w:p w:rsidR="009874E6" w:rsidRDefault="009874E6" w:rsidP="009874E6">
      <w:pPr>
        <w:pStyle w:val="P1"/>
      </w:pPr>
      <w:r>
        <w:tab/>
        <w:t>(a)</w:t>
      </w:r>
      <w:r>
        <w:tab/>
        <w:t>the cost to the</w:t>
      </w:r>
      <w:r w:rsidR="00E52389">
        <w:t xml:space="preserve"> applicant </w:t>
      </w:r>
      <w:r w:rsidR="008E5379">
        <w:t xml:space="preserve">of complying with the GEMS </w:t>
      </w:r>
      <w:r w:rsidR="00ED4A35">
        <w:t>d</w:t>
      </w:r>
      <w:r>
        <w:t>etermination if the exemption is not granted;</w:t>
      </w:r>
    </w:p>
    <w:p w:rsidR="00D51327" w:rsidRDefault="009874E6" w:rsidP="00E52389">
      <w:pPr>
        <w:pStyle w:val="P1"/>
      </w:pPr>
      <w:r>
        <w:lastRenderedPageBreak/>
        <w:tab/>
      </w:r>
      <w:r w:rsidRPr="00D51327">
        <w:t>(b)</w:t>
      </w:r>
      <w:r w:rsidRPr="00D51327">
        <w:tab/>
        <w:t xml:space="preserve">whether imposing a condition </w:t>
      </w:r>
      <w:r w:rsidR="008E5379" w:rsidRPr="00D51327">
        <w:t xml:space="preserve">on the exemption </w:t>
      </w:r>
      <w:r w:rsidRPr="00D51327">
        <w:t>under subsection 37</w:t>
      </w:r>
      <w:r w:rsidR="00034D62">
        <w:t> </w:t>
      </w:r>
      <w:r w:rsidRPr="00D51327">
        <w:t>(2) o</w:t>
      </w:r>
      <w:r w:rsidR="00E52389" w:rsidRPr="00D51327">
        <w:t>f the Act could</w:t>
      </w:r>
      <w:r w:rsidR="00D51327">
        <w:t>:</w:t>
      </w:r>
    </w:p>
    <w:p w:rsidR="00D51327" w:rsidRDefault="00D51327" w:rsidP="00D51327">
      <w:pPr>
        <w:pStyle w:val="P2"/>
      </w:pPr>
      <w:r>
        <w:tab/>
        <w:t>(i)</w:t>
      </w:r>
      <w:r>
        <w:tab/>
      </w:r>
      <w:r w:rsidR="00E52389" w:rsidRPr="00D51327">
        <w:t>minimise or prevent a</w:t>
      </w:r>
      <w:r w:rsidR="009874E6" w:rsidRPr="00D51327">
        <w:t xml:space="preserve"> negative im</w:t>
      </w:r>
      <w:r w:rsidR="008E5379" w:rsidRPr="00D51327">
        <w:t xml:space="preserve">pact on Australia’s </w:t>
      </w:r>
      <w:r w:rsidR="009D1BCA">
        <w:t xml:space="preserve">greenhouse gas </w:t>
      </w:r>
      <w:r w:rsidR="00E52389" w:rsidRPr="00D51327">
        <w:t xml:space="preserve">emissions </w:t>
      </w:r>
      <w:r w:rsidR="006C7526">
        <w:t xml:space="preserve">that may result </w:t>
      </w:r>
      <w:r w:rsidR="00E52389" w:rsidRPr="00D51327">
        <w:t>from granting the</w:t>
      </w:r>
      <w:r>
        <w:t xml:space="preserve"> exemption; and</w:t>
      </w:r>
    </w:p>
    <w:p w:rsidR="00D54237" w:rsidRDefault="00D51327" w:rsidP="00D51327">
      <w:pPr>
        <w:pStyle w:val="P2"/>
      </w:pPr>
      <w:r>
        <w:tab/>
        <w:t>(ii)</w:t>
      </w:r>
      <w:r>
        <w:tab/>
        <w:t>deliver</w:t>
      </w:r>
      <w:r w:rsidR="009874E6" w:rsidRPr="00D51327">
        <w:t xml:space="preserve"> a reasonable outcome for the</w:t>
      </w:r>
      <w:r w:rsidR="008331F9">
        <w:t xml:space="preserve"> applicant;</w:t>
      </w:r>
    </w:p>
    <w:p w:rsidR="008331F9" w:rsidRDefault="008331F9" w:rsidP="008331F9">
      <w:pPr>
        <w:pStyle w:val="P1"/>
      </w:pPr>
      <w:r>
        <w:tab/>
        <w:t>(c)</w:t>
      </w:r>
      <w:r>
        <w:tab/>
        <w:t>any other matter the G</w:t>
      </w:r>
      <w:r w:rsidR="001740FB">
        <w:t>EMS</w:t>
      </w:r>
      <w:r>
        <w:t xml:space="preserve"> Regulator considers relevant.</w:t>
      </w:r>
    </w:p>
    <w:p w:rsidR="00D51327" w:rsidRDefault="002A0C26" w:rsidP="007F461B">
      <w:pPr>
        <w:pStyle w:val="HR"/>
      </w:pPr>
      <w:bookmarkStart w:id="18" w:name="_Toc335716071"/>
      <w:r w:rsidRPr="00834DCD">
        <w:rPr>
          <w:rStyle w:val="CharSectno"/>
        </w:rPr>
        <w:t>4.</w:t>
      </w:r>
      <w:r w:rsidR="003C3336" w:rsidRPr="00834DCD">
        <w:rPr>
          <w:rStyle w:val="CharSectno"/>
        </w:rPr>
        <w:t>1</w:t>
      </w:r>
      <w:r w:rsidR="00F319AC" w:rsidRPr="00834DCD">
        <w:rPr>
          <w:rStyle w:val="CharSectno"/>
        </w:rPr>
        <w:t>.7</w:t>
      </w:r>
      <w:r w:rsidR="007F461B">
        <w:tab/>
      </w:r>
      <w:r w:rsidR="00ED4A35">
        <w:t>GEMS Regulator to provide n</w:t>
      </w:r>
      <w:r w:rsidR="007F461B">
        <w:t xml:space="preserve">otice of decision </w:t>
      </w:r>
      <w:r w:rsidR="00135540">
        <w:t xml:space="preserve">on </w:t>
      </w:r>
      <w:r w:rsidR="00ED4A35">
        <w:t xml:space="preserve">application for </w:t>
      </w:r>
      <w:r w:rsidR="007F461B">
        <w:t>exemption</w:t>
      </w:r>
      <w:bookmarkEnd w:id="18"/>
    </w:p>
    <w:p w:rsidR="007F461B" w:rsidRPr="00D45497" w:rsidRDefault="007F461B" w:rsidP="007F461B">
      <w:pPr>
        <w:pStyle w:val="R1"/>
      </w:pPr>
      <w:r>
        <w:tab/>
      </w:r>
      <w:r w:rsidR="00531E2F" w:rsidRPr="00D45497">
        <w:t>(1)</w:t>
      </w:r>
      <w:r w:rsidRPr="00D45497">
        <w:tab/>
        <w:t>The GEMS Regulator must</w:t>
      </w:r>
      <w:r w:rsidR="00834B5F" w:rsidRPr="00D45497">
        <w:t xml:space="preserve"> </w:t>
      </w:r>
      <w:r w:rsidR="003117B4" w:rsidRPr="00D45497">
        <w:t>give</w:t>
      </w:r>
      <w:r w:rsidRPr="00D45497">
        <w:t xml:space="preserve"> t</w:t>
      </w:r>
      <w:r w:rsidR="00C66AFC" w:rsidRPr="00D45497">
        <w:t>he applicant written notice of the</w:t>
      </w:r>
      <w:r w:rsidRPr="00D45497">
        <w:t xml:space="preserve"> GEMS Regulator’s decision </w:t>
      </w:r>
      <w:r w:rsidR="00135540">
        <w:t xml:space="preserve">on an </w:t>
      </w:r>
      <w:r w:rsidR="00EB3034">
        <w:t xml:space="preserve">application for an exemption </w:t>
      </w:r>
      <w:r w:rsidR="00834B5F" w:rsidRPr="00D45497">
        <w:t>as soon as practicable after the decision is made.</w:t>
      </w:r>
    </w:p>
    <w:p w:rsidR="005E1DC0" w:rsidRPr="003D7227" w:rsidRDefault="00531E2F" w:rsidP="009371E0">
      <w:pPr>
        <w:pStyle w:val="R2"/>
        <w:rPr>
          <w:color w:val="365F91"/>
        </w:rPr>
      </w:pPr>
      <w:r w:rsidRPr="00D45497">
        <w:tab/>
        <w:t>(2)</w:t>
      </w:r>
      <w:r w:rsidRPr="00D45497">
        <w:tab/>
      </w:r>
      <w:r w:rsidR="00694609" w:rsidRPr="00D45497">
        <w:t>I</w:t>
      </w:r>
      <w:r w:rsidRPr="00D45497">
        <w:t xml:space="preserve">f </w:t>
      </w:r>
      <w:r w:rsidR="00ED4A35" w:rsidRPr="00D45497">
        <w:t>the</w:t>
      </w:r>
      <w:r w:rsidR="00694609" w:rsidRPr="00D45497">
        <w:t xml:space="preserve"> notice </w:t>
      </w:r>
      <w:r w:rsidRPr="00D45497">
        <w:t>is given to the contact person</w:t>
      </w:r>
      <w:r w:rsidR="005E1DC0" w:rsidRPr="00D45497">
        <w:t xml:space="preserve"> for the applicant</w:t>
      </w:r>
      <w:r w:rsidR="00694609" w:rsidRPr="00D45497">
        <w:t>, it is taken to have been given to the applicant</w:t>
      </w:r>
      <w:r w:rsidRPr="00D45497">
        <w:t>.</w:t>
      </w:r>
    </w:p>
    <w:p w:rsidR="00D51327" w:rsidRPr="00D51327" w:rsidRDefault="00D51327" w:rsidP="004754F2">
      <w:pPr>
        <w:pStyle w:val="HP"/>
        <w:pageBreakBefore/>
      </w:pPr>
      <w:bookmarkStart w:id="19" w:name="_Toc335716072"/>
      <w:r w:rsidRPr="00834DCD">
        <w:rPr>
          <w:rStyle w:val="CharPartNo"/>
        </w:rPr>
        <w:lastRenderedPageBreak/>
        <w:t>Part 5</w:t>
      </w:r>
      <w:r>
        <w:tab/>
      </w:r>
      <w:r w:rsidRPr="00834DCD">
        <w:rPr>
          <w:rStyle w:val="CharPartText"/>
        </w:rPr>
        <w:t>Regi</w:t>
      </w:r>
      <w:r w:rsidR="002A0C26" w:rsidRPr="00834DCD">
        <w:rPr>
          <w:rStyle w:val="CharPartText"/>
        </w:rPr>
        <w:t>stering models of GEMS products</w:t>
      </w:r>
      <w:bookmarkEnd w:id="19"/>
    </w:p>
    <w:p w:rsidR="00607E7F" w:rsidRPr="00607E7F" w:rsidRDefault="00607E7F" w:rsidP="00607E7F">
      <w:pPr>
        <w:pStyle w:val="Header"/>
        <w:rPr>
          <w:vanish/>
        </w:rPr>
      </w:pPr>
      <w:bookmarkStart w:id="20" w:name="_Toc335716073"/>
      <w:r w:rsidRPr="00607E7F">
        <w:rPr>
          <w:rStyle w:val="CharDivNo"/>
          <w:vanish/>
        </w:rPr>
        <w:t xml:space="preserve"> </w:t>
      </w:r>
      <w:r w:rsidRPr="00607E7F">
        <w:rPr>
          <w:rStyle w:val="CharDivText"/>
          <w:vanish/>
        </w:rPr>
        <w:t xml:space="preserve"> </w:t>
      </w:r>
    </w:p>
    <w:p w:rsidR="00883060" w:rsidRDefault="002A0C26" w:rsidP="006E2C47">
      <w:pPr>
        <w:pStyle w:val="HR"/>
      </w:pPr>
      <w:r w:rsidRPr="00834DCD">
        <w:rPr>
          <w:rStyle w:val="CharSectno"/>
        </w:rPr>
        <w:t>5.1</w:t>
      </w:r>
      <w:r w:rsidR="00DA567B">
        <w:tab/>
      </w:r>
      <w:r w:rsidR="00EE46B3">
        <w:t>Application requirements—contact persons and contact details</w:t>
      </w:r>
      <w:bookmarkEnd w:id="20"/>
    </w:p>
    <w:p w:rsidR="00EE46B3" w:rsidRPr="00EE46B3" w:rsidRDefault="00EE46B3" w:rsidP="00EE46B3">
      <w:pPr>
        <w:pStyle w:val="R1"/>
      </w:pPr>
      <w:r>
        <w:tab/>
        <w:t>(1)</w:t>
      </w:r>
      <w:r>
        <w:tab/>
        <w:t xml:space="preserve">This </w:t>
      </w:r>
      <w:r w:rsidR="002809EE">
        <w:t xml:space="preserve">section </w:t>
      </w:r>
      <w:r>
        <w:t>is made for section 42 of the Act.</w:t>
      </w:r>
    </w:p>
    <w:p w:rsidR="00986825" w:rsidRPr="00986825" w:rsidRDefault="00EE46B3" w:rsidP="00986825">
      <w:pPr>
        <w:pStyle w:val="HSR"/>
      </w:pPr>
      <w:r>
        <w:t>C</w:t>
      </w:r>
      <w:r w:rsidR="00986825">
        <w:t>ontact person</w:t>
      </w:r>
      <w:r>
        <w:t>s</w:t>
      </w:r>
    </w:p>
    <w:p w:rsidR="00EE46B3" w:rsidRDefault="005D71E0" w:rsidP="00EE46B3">
      <w:pPr>
        <w:pStyle w:val="R2"/>
      </w:pPr>
      <w:r>
        <w:tab/>
        <w:t>(</w:t>
      </w:r>
      <w:r w:rsidR="00EE46B3">
        <w:t>2</w:t>
      </w:r>
      <w:r>
        <w:t>)</w:t>
      </w:r>
      <w:r>
        <w:tab/>
      </w:r>
      <w:r w:rsidR="00EE46B3">
        <w:t>The contact person for the applicant must be an officer or employee of the applicant.</w:t>
      </w:r>
    </w:p>
    <w:p w:rsidR="00986825" w:rsidRPr="005D71E0" w:rsidRDefault="00986825" w:rsidP="00986825">
      <w:pPr>
        <w:pStyle w:val="HSR"/>
      </w:pPr>
      <w:r>
        <w:t>Contact details</w:t>
      </w:r>
    </w:p>
    <w:p w:rsidR="00317741" w:rsidRDefault="00883060" w:rsidP="00034D62">
      <w:pPr>
        <w:pStyle w:val="ZR2"/>
      </w:pPr>
      <w:r>
        <w:tab/>
      </w:r>
      <w:r w:rsidR="0047334E">
        <w:t>(</w:t>
      </w:r>
      <w:r w:rsidR="00C05CBB">
        <w:t>3</w:t>
      </w:r>
      <w:r w:rsidR="0047334E">
        <w:t>)</w:t>
      </w:r>
      <w:r>
        <w:tab/>
      </w:r>
      <w:r w:rsidR="00EE46B3">
        <w:t xml:space="preserve">The </w:t>
      </w:r>
      <w:r w:rsidR="006E2C47">
        <w:t>contact details for</w:t>
      </w:r>
      <w:r w:rsidR="00623B56">
        <w:t xml:space="preserve"> the applicant are the following</w:t>
      </w:r>
      <w:r w:rsidR="00317741">
        <w:t>:</w:t>
      </w:r>
    </w:p>
    <w:p w:rsidR="006E2C47" w:rsidRDefault="0047334E" w:rsidP="0047334E">
      <w:pPr>
        <w:pStyle w:val="P1"/>
      </w:pPr>
      <w:r>
        <w:tab/>
        <w:t>(a</w:t>
      </w:r>
      <w:r w:rsidR="00E55560">
        <w:t>)</w:t>
      </w:r>
      <w:r w:rsidR="00E55560">
        <w:tab/>
        <w:t>if the applicant</w:t>
      </w:r>
      <w:r w:rsidR="00EE46B3">
        <w:t xml:space="preserve"> </w:t>
      </w:r>
      <w:r w:rsidR="00392E90">
        <w:t>is an individual—</w:t>
      </w:r>
      <w:r w:rsidR="006E2C47">
        <w:t>the name of the individual;</w:t>
      </w:r>
    </w:p>
    <w:p w:rsidR="0047334E" w:rsidRDefault="0047334E" w:rsidP="00034D62">
      <w:pPr>
        <w:pStyle w:val="ZP1"/>
      </w:pPr>
      <w:r>
        <w:tab/>
        <w:t>(</w:t>
      </w:r>
      <w:r w:rsidR="006D479C">
        <w:t>b</w:t>
      </w:r>
      <w:r w:rsidR="006E2C47">
        <w:t>)</w:t>
      </w:r>
      <w:r w:rsidR="006E2C47">
        <w:tab/>
        <w:t>if the app</w:t>
      </w:r>
      <w:r>
        <w:t>licant is a business</w:t>
      </w:r>
      <w:r w:rsidR="00435267">
        <w:t>:</w:t>
      </w:r>
    </w:p>
    <w:p w:rsidR="0047334E" w:rsidRDefault="0047334E" w:rsidP="0047334E">
      <w:pPr>
        <w:pStyle w:val="P2"/>
      </w:pPr>
      <w:r>
        <w:tab/>
        <w:t>(i)</w:t>
      </w:r>
      <w:r>
        <w:tab/>
      </w:r>
      <w:r w:rsidR="006E2C47">
        <w:t>the name of the business</w:t>
      </w:r>
      <w:r>
        <w:t>;</w:t>
      </w:r>
      <w:r w:rsidR="006E2C47">
        <w:t xml:space="preserve"> and</w:t>
      </w:r>
    </w:p>
    <w:p w:rsidR="006E2C47" w:rsidRDefault="0047334E" w:rsidP="0047334E">
      <w:pPr>
        <w:pStyle w:val="P2"/>
      </w:pPr>
      <w:r>
        <w:tab/>
        <w:t>(ii)</w:t>
      </w:r>
      <w:r>
        <w:tab/>
      </w:r>
      <w:r w:rsidR="006E2C47">
        <w:t xml:space="preserve">the trading name of the business (if any); </w:t>
      </w:r>
      <w:r w:rsidR="00D21FC4">
        <w:t>and</w:t>
      </w:r>
    </w:p>
    <w:p w:rsidR="00317741" w:rsidRDefault="00317741" w:rsidP="0047334E">
      <w:pPr>
        <w:pStyle w:val="P2"/>
      </w:pPr>
      <w:r>
        <w:tab/>
        <w:t>(iii)</w:t>
      </w:r>
      <w:r>
        <w:tab/>
        <w:t>the ABN or ACN for the business;</w:t>
      </w:r>
    </w:p>
    <w:p w:rsidR="00317741" w:rsidRDefault="00E55560" w:rsidP="00E55560">
      <w:pPr>
        <w:pStyle w:val="P1"/>
      </w:pPr>
      <w:r>
        <w:tab/>
        <w:t>(</w:t>
      </w:r>
      <w:r w:rsidR="00317741">
        <w:t>c</w:t>
      </w:r>
      <w:r>
        <w:t>)</w:t>
      </w:r>
      <w:r>
        <w:tab/>
        <w:t xml:space="preserve">the </w:t>
      </w:r>
      <w:r w:rsidR="00317741">
        <w:t xml:space="preserve">applicant’s </w:t>
      </w:r>
      <w:r>
        <w:t>address, phone number, fax number and email address</w:t>
      </w:r>
      <w:r w:rsidR="00317741">
        <w:t>.</w:t>
      </w:r>
    </w:p>
    <w:p w:rsidR="00D21FC4" w:rsidRDefault="00E55560" w:rsidP="00034D62">
      <w:pPr>
        <w:pStyle w:val="ZR2"/>
      </w:pPr>
      <w:r>
        <w:tab/>
        <w:t>(</w:t>
      </w:r>
      <w:r w:rsidR="00623B56">
        <w:t>4</w:t>
      </w:r>
      <w:r>
        <w:t>)</w:t>
      </w:r>
      <w:r>
        <w:tab/>
      </w:r>
      <w:r w:rsidR="00317741">
        <w:t>T</w:t>
      </w:r>
      <w:r>
        <w:t xml:space="preserve">he contact details for </w:t>
      </w:r>
      <w:r w:rsidR="00623B56">
        <w:t xml:space="preserve">the </w:t>
      </w:r>
      <w:r>
        <w:t>contact person are</w:t>
      </w:r>
      <w:r w:rsidR="00D21FC4">
        <w:t xml:space="preserve"> the following:</w:t>
      </w:r>
    </w:p>
    <w:p w:rsidR="00D21FC4" w:rsidRDefault="00D21FC4" w:rsidP="00D21FC4">
      <w:pPr>
        <w:pStyle w:val="P1"/>
      </w:pPr>
      <w:r>
        <w:tab/>
        <w:t>(a)</w:t>
      </w:r>
      <w:r>
        <w:tab/>
        <w:t>the contact person’s</w:t>
      </w:r>
      <w:r w:rsidR="00E55560">
        <w:t xml:space="preserve"> name</w:t>
      </w:r>
      <w:r>
        <w:t>;</w:t>
      </w:r>
    </w:p>
    <w:p w:rsidR="00D21FC4" w:rsidRDefault="00D21FC4" w:rsidP="00D21FC4">
      <w:pPr>
        <w:pStyle w:val="P1"/>
      </w:pPr>
      <w:r>
        <w:tab/>
        <w:t>(b)</w:t>
      </w:r>
      <w:r>
        <w:tab/>
        <w:t>the position of the contact person with the applicant;</w:t>
      </w:r>
    </w:p>
    <w:p w:rsidR="006E2C47" w:rsidRDefault="00D21FC4" w:rsidP="00D21FC4">
      <w:pPr>
        <w:pStyle w:val="P1"/>
      </w:pPr>
      <w:r>
        <w:tab/>
        <w:t>(c)</w:t>
      </w:r>
      <w:r>
        <w:tab/>
        <w:t>the contact person’s</w:t>
      </w:r>
      <w:r w:rsidR="00E55560">
        <w:t xml:space="preserve"> address, </w:t>
      </w:r>
      <w:r>
        <w:t>phone</w:t>
      </w:r>
      <w:r w:rsidR="00E55560">
        <w:t xml:space="preserve"> number, fax number and email address</w:t>
      </w:r>
      <w:r>
        <w:t>.</w:t>
      </w:r>
    </w:p>
    <w:p w:rsidR="00834DCD" w:rsidRDefault="00834DCD" w:rsidP="00A77F87">
      <w:pPr>
        <w:pStyle w:val="MainBodySectionBreak"/>
        <w:sectPr w:rsidR="00834DCD" w:rsidSect="00A77F8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8B18E8" w:rsidRDefault="008B18E8" w:rsidP="00582DD8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8B18E8" w:rsidRDefault="008B18E8" w:rsidP="00582DD8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w</w:t>
      </w:r>
      <w:r w:rsidRPr="00DA0A32">
        <w:rPr>
          <w:color w:val="000000"/>
          <w:u w:val="single"/>
        </w:rPr>
        <w:t>ww.</w:t>
      </w:r>
      <w:r w:rsidR="004754F2">
        <w:rPr>
          <w:color w:val="000000"/>
          <w:u w:val="single"/>
        </w:rPr>
        <w:t>comlaw</w:t>
      </w:r>
      <w:r w:rsidRPr="00DA0A32">
        <w:rPr>
          <w:color w:val="000000"/>
          <w:u w:val="single"/>
        </w:rPr>
        <w:t>.gov.au</w:t>
      </w:r>
      <w:r>
        <w:rPr>
          <w:color w:val="000000"/>
        </w:rPr>
        <w:t>.</w:t>
      </w:r>
    </w:p>
    <w:p w:rsidR="00834DCD" w:rsidRDefault="00834DCD" w:rsidP="00A77F87">
      <w:pPr>
        <w:pStyle w:val="NotesSectionBreak"/>
        <w:sectPr w:rsidR="00834DCD" w:rsidSect="00A77F8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890489" w:rsidRPr="008B18E8" w:rsidRDefault="00890489" w:rsidP="00034D62"/>
    <w:sectPr w:rsidR="00890489" w:rsidRPr="008B18E8" w:rsidSect="008B18E8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10" w:rsidRDefault="00490F10">
      <w:r>
        <w:separator/>
      </w:r>
    </w:p>
  </w:endnote>
  <w:endnote w:type="continuationSeparator" w:id="0">
    <w:p w:rsidR="00490F10" w:rsidRDefault="0049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 w:rsidP="00A77F8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834DCD">
      <w:tc>
        <w:tcPr>
          <w:tcW w:w="1134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91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jc w:val="right"/>
          </w:pPr>
          <w:fldSimple w:instr=" REF Year \*Charformat ">
            <w:r w:rsidR="00E16FAD">
              <w:t>2012</w:t>
            </w:r>
          </w:fldSimple>
          <w:r w:rsidRPr="007F6065">
            <w:t xml:space="preserve">, </w:t>
          </w:r>
          <w:fldSimple w:instr=" REF refno \*Charformat ">
            <w:r w:rsidR="00E16FAD">
              <w:t>239</w:t>
            </w:r>
          </w:fldSimple>
        </w:p>
      </w:tc>
    </w:tr>
  </w:tbl>
  <w:p w:rsidR="00834DCD" w:rsidRDefault="00834DCD" w:rsidP="00A77F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401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400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99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 w:rsidP="00A77F8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834DCD">
      <w:tc>
        <w:tcPr>
          <w:tcW w:w="1134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91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jc w:val="right"/>
          </w:pPr>
          <w:fldSimple w:instr=" REF Year \*Charformat ">
            <w:r w:rsidR="00E16FAD">
              <w:t>2012</w:t>
            </w:r>
          </w:fldSimple>
          <w:r w:rsidRPr="007F6065">
            <w:t xml:space="preserve">, </w:t>
          </w:r>
          <w:fldSimple w:instr=" REF refno \*Charformat ">
            <w:r w:rsidR="00E16FAD">
              <w:t>239</w:t>
            </w:r>
          </w:fldSimple>
        </w:p>
      </w:tc>
    </w:tr>
  </w:tbl>
  <w:p w:rsidR="00834DCD" w:rsidRDefault="00834DCD" w:rsidP="00A77F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0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410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  <w:r>
      <w:rPr>
        <w:noProof/>
      </w:rPr>
      <w:pict>
        <v:shape id="_x0000_s2409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409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  <w:r>
      <w:rPr>
        <w:noProof/>
      </w:rPr>
      <w:pict>
        <v:shape id="_x0000_s2408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408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A41806" w:rsidRDefault="00834DCD" w:rsidP="00A77F8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834DCD" w:rsidRPr="00A41806">
      <w:tc>
        <w:tcPr>
          <w:tcW w:w="1191" w:type="dxa"/>
          <w:shd w:val="clear" w:color="auto" w:fill="auto"/>
        </w:tcPr>
        <w:p w:rsidR="00834DCD" w:rsidRPr="00A41806" w:rsidRDefault="00834DCD" w:rsidP="00A77F87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E16FA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E16FAD">
            <w:fldChar w:fldCharType="separate"/>
          </w:r>
          <w:r w:rsidR="00E16FAD">
            <w:t>239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E16FAD">
            <w:t>Greenhouse and Energy Minimum Standards Regulation 2012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834DCD" w:rsidRPr="005968DD" w:rsidRDefault="00834DCD" w:rsidP="00A77F87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4</w:t>
          </w:r>
          <w:r w:rsidRPr="005968DD">
            <w:rPr>
              <w:rStyle w:val="PageNumber"/>
            </w:rPr>
            <w:fldChar w:fldCharType="end"/>
          </w:r>
        </w:p>
      </w:tc>
    </w:tr>
  </w:tbl>
  <w:p w:rsidR="00834DCD" w:rsidRPr="00A41806" w:rsidRDefault="00834DCD" w:rsidP="00A77F8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7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407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556EB9" w:rsidRDefault="00D375AE" w:rsidP="00A77F87">
    <w:pPr>
      <w:pStyle w:val="FooterCitation"/>
    </w:pPr>
    <w:r>
      <w:rPr>
        <w:noProof/>
      </w:rPr>
      <w:t>G:\Drafting-Unit 1\#final 11xxxx\1123411A Greenhouse &amp; Energy Min Stnds Reg 2012\1123411A-120919Z.doc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FB" w:rsidRPr="00A41806" w:rsidRDefault="001740FB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1740FB" w:rsidRPr="00A41806">
      <w:tc>
        <w:tcPr>
          <w:tcW w:w="1134" w:type="dxa"/>
        </w:tcPr>
        <w:p w:rsidR="001740FB" w:rsidRPr="00A41806" w:rsidRDefault="001740FB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4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1740FB" w:rsidRPr="00EF2F9D" w:rsidRDefault="001740FB" w:rsidP="008C15A7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91" w:type="dxa"/>
        </w:tcPr>
        <w:p w:rsidR="001740FB" w:rsidRPr="00A41806" w:rsidRDefault="001740FB" w:rsidP="008C15A7">
          <w:pPr>
            <w:pStyle w:val="Footer"/>
            <w:spacing w:before="20"/>
            <w:jc w:val="right"/>
          </w:pPr>
          <w:fldSimple w:instr=" REF Year \*Charformat ">
            <w:r w:rsidR="00E16FAD">
              <w:t>2012</w:t>
            </w:r>
          </w:fldSimple>
          <w:r w:rsidRPr="00A41806">
            <w:t xml:space="preserve">, </w:t>
          </w:r>
          <w:fldSimple w:instr=" REF refno \*Charformat ">
            <w:r w:rsidR="00E16FAD">
              <w:t>239</w:t>
            </w:r>
          </w:fldSimple>
        </w:p>
      </w:tc>
    </w:tr>
  </w:tbl>
  <w:p w:rsidR="001740FB" w:rsidRPr="00A41806" w:rsidRDefault="001740FB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1740FB" w:rsidRPr="00E16FAD" w:rsidRDefault="001740FB" w:rsidP="00E16FAD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1740FB" w:rsidRPr="004675CE" w:rsidRDefault="001740FB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1740FB" w:rsidRPr="004675CE" w:rsidRDefault="00D375AE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1740FB" w:rsidRPr="004675CE" w:rsidRDefault="001740FB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1740FB" w:rsidRPr="004675CE" w:rsidRDefault="00D375AE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FB" w:rsidRDefault="001740FB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1740FB" w:rsidRPr="008D3896">
      <w:tc>
        <w:tcPr>
          <w:tcW w:w="1191" w:type="dxa"/>
        </w:tcPr>
        <w:p w:rsidR="001740FB" w:rsidRPr="008D3896" w:rsidRDefault="001740FB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1740FB" w:rsidRPr="00EF2F9D" w:rsidRDefault="001740FB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1740FB" w:rsidRPr="008D3896" w:rsidRDefault="001740FB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4</w:t>
          </w:r>
          <w:r w:rsidRPr="008D3896">
            <w:rPr>
              <w:rStyle w:val="PageNumber"/>
            </w:rPr>
            <w:fldChar w:fldCharType="end"/>
          </w:r>
        </w:p>
      </w:tc>
    </w:tr>
  </w:tbl>
  <w:p w:rsidR="001740FB" w:rsidRDefault="001740FB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1740FB" w:rsidRPr="00E16FAD" w:rsidRDefault="001740FB" w:rsidP="00E16FAD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FB" w:rsidRDefault="001740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1740FB" w:rsidRPr="004675CE" w:rsidRDefault="001740FB">
                <w:pPr>
                  <w:pStyle w:val="FooterDraft"/>
                </w:pPr>
                <w:r w:rsidRPr="004675CE">
                  <w:t>DRAFT ONLY</w:t>
                </w:r>
              </w:p>
              <w:p w:rsidR="001740FB" w:rsidRPr="004675CE" w:rsidRDefault="00D375AE">
                <w:pPr>
                  <w:pStyle w:val="FooterInfo"/>
                </w:pPr>
                <w:r>
                  <w:rPr>
                    <w:noProof/>
                  </w:rPr>
                  <w:t>1123411A-120919Z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A41806" w:rsidRDefault="00834DCD" w:rsidP="00A77F8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834DCD" w:rsidRPr="00A41806">
      <w:tc>
        <w:tcPr>
          <w:tcW w:w="1191" w:type="dxa"/>
          <w:shd w:val="clear" w:color="auto" w:fill="auto"/>
        </w:tcPr>
        <w:p w:rsidR="00834DCD" w:rsidRPr="00A41806" w:rsidRDefault="00834DCD" w:rsidP="00A77F87">
          <w:pPr>
            <w:pStyle w:val="Footer"/>
            <w:spacing w:before="20"/>
          </w:pPr>
          <w:fldSimple w:instr=" REF Year \*Charformat ">
            <w:r w:rsidR="00E16FAD">
              <w:t>2012</w:t>
            </w:r>
          </w:fldSimple>
          <w:r w:rsidRPr="00A41806">
            <w:t xml:space="preserve">, </w:t>
          </w:r>
          <w:fldSimple w:instr=" REF refno \*Charformat ">
            <w:r w:rsidR="00E16FAD">
              <w:t>239</w:t>
            </w:r>
          </w:fldSimple>
        </w:p>
      </w:tc>
      <w:tc>
        <w:tcPr>
          <w:tcW w:w="4820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34" w:type="dxa"/>
          <w:shd w:val="clear" w:color="auto" w:fill="auto"/>
        </w:tcPr>
        <w:p w:rsidR="00834DCD" w:rsidRPr="0014079B" w:rsidRDefault="00834DCD" w:rsidP="00A77F87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7</w:t>
          </w:r>
          <w:r w:rsidRPr="0014079B">
            <w:rPr>
              <w:rStyle w:val="PageNumber"/>
            </w:rPr>
            <w:fldChar w:fldCharType="end"/>
          </w:r>
        </w:p>
      </w:tc>
    </w:tr>
  </w:tbl>
  <w:p w:rsidR="00834DCD" w:rsidRPr="00094457" w:rsidRDefault="00834DCD" w:rsidP="00A77F8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98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 w:rsidP="00A77F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2" type="#_x0000_t202" style="position:absolute;margin-left:0;margin-top:784.75pt;width:349.5pt;height:41.4pt;z-index:251656192;mso-position-vertical-relative:page" filled="f" stroked="f">
          <v:textbox style="mso-next-textbox:#_x0000_s2402" inset="0,0,0,0">
            <w:txbxContent>
              <w:p w:rsidR="00834DCD" w:rsidRPr="004675CE" w:rsidRDefault="00834DCD" w:rsidP="00A77F87">
                <w:pPr>
                  <w:pStyle w:val="FooterDraft"/>
                </w:pPr>
              </w:p>
              <w:p w:rsidR="00834DCD" w:rsidRPr="004675CE" w:rsidRDefault="00D375AE" w:rsidP="00A77F87">
                <w:pPr>
                  <w:pStyle w:val="FooterInfo"/>
                </w:pPr>
                <w:r>
                  <w:rPr>
                    <w:noProof/>
                  </w:rPr>
                  <w:t>1123411A-120919Z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834DCD">
      <w:tc>
        <w:tcPr>
          <w:tcW w:w="1134" w:type="dxa"/>
          <w:shd w:val="clear" w:color="auto" w:fill="auto"/>
        </w:tcPr>
        <w:p w:rsidR="00834DCD" w:rsidRPr="007F6065" w:rsidRDefault="00834DCD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834DCD" w:rsidRPr="00EF2F9D" w:rsidRDefault="00834DCD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91" w:type="dxa"/>
          <w:shd w:val="clear" w:color="auto" w:fill="auto"/>
        </w:tcPr>
        <w:p w:rsidR="00834DCD" w:rsidRPr="007F6065" w:rsidRDefault="00834DCD">
          <w:pPr>
            <w:pStyle w:val="Footer"/>
            <w:spacing w:before="20"/>
            <w:jc w:val="right"/>
          </w:pPr>
          <w:fldSimple w:instr=" REF Year \*Charformat ">
            <w:r w:rsidR="00E16FAD">
              <w:t>2012</w:t>
            </w:r>
          </w:fldSimple>
          <w:r w:rsidRPr="007F6065">
            <w:t xml:space="preserve">, </w:t>
          </w:r>
          <w:fldSimple w:instr=" REF refno \*Charformat ">
            <w:r w:rsidR="00E16FAD">
              <w:t>239</w:t>
            </w:r>
          </w:fldSimple>
        </w:p>
      </w:tc>
    </w:tr>
  </w:tbl>
  <w:p w:rsidR="00834DCD" w:rsidRDefault="00834D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14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  <w:r>
      <w:rPr>
        <w:noProof/>
      </w:rPr>
      <w:pict>
        <v:shape id="_x0000_s2413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13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  <w:r>
      <w:rPr>
        <w:noProof/>
      </w:rPr>
      <w:pict>
        <v:shape id="_x0000_s2412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412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A41806" w:rsidRDefault="00834DCD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834DCD" w:rsidRPr="00A41806">
      <w:tc>
        <w:tcPr>
          <w:tcW w:w="1191" w:type="dxa"/>
          <w:shd w:val="clear" w:color="auto" w:fill="auto"/>
        </w:tcPr>
        <w:p w:rsidR="00834DCD" w:rsidRPr="00A41806" w:rsidRDefault="00834DCD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E16FA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E16FAD">
            <w:fldChar w:fldCharType="separate"/>
          </w:r>
          <w:r w:rsidR="00E16FAD">
            <w:t>239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834DCD" w:rsidRPr="00EF2F9D" w:rsidRDefault="00834DCD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E16FAD">
            <w:t>Greenhouse and Energy Minimum Standards Regulation 2012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834DCD" w:rsidRDefault="00834DCD">
          <w:pPr>
            <w:pStyle w:val="Footer"/>
            <w:spacing w:before="2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34DCD" w:rsidRPr="00A41806" w:rsidRDefault="00834DC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1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411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556EB9" w:rsidRDefault="00D375AE">
    <w:pPr>
      <w:pStyle w:val="FooterCitation"/>
    </w:pPr>
    <w:r>
      <w:rPr>
        <w:noProof/>
      </w:rPr>
      <w:t>G:\Drafting-Unit 1\#final 11xxxx\1123411A Greenhouse &amp; Energy Min Stnds Reg 2012\1123411A-120919Z.doc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 w:rsidP="00A77F8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675"/>
      <w:gridCol w:w="5279"/>
      <w:gridCol w:w="1191"/>
    </w:tblGrid>
    <w:tr w:rsidR="00834DCD" w:rsidTr="00834DCD">
      <w:tc>
        <w:tcPr>
          <w:tcW w:w="675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6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5279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fldSimple w:instr=" REF  Citation\*charformat ">
            <w:r w:rsidR="00E16FAD">
              <w:t>Greenhouse and Energy Minimum Standards Regulation 2012</w:t>
            </w:r>
          </w:fldSimple>
        </w:p>
      </w:tc>
      <w:tc>
        <w:tcPr>
          <w:tcW w:w="1191" w:type="dxa"/>
          <w:shd w:val="clear" w:color="auto" w:fill="auto"/>
        </w:tcPr>
        <w:p w:rsidR="00834DCD" w:rsidRPr="007F6065" w:rsidRDefault="00834DCD" w:rsidP="00A77F87">
          <w:pPr>
            <w:pStyle w:val="Footer"/>
            <w:spacing w:before="20"/>
            <w:jc w:val="right"/>
          </w:pPr>
          <w:fldSimple w:instr=" REF Year \*Charformat ">
            <w:r w:rsidR="00E16FAD">
              <w:t>2012</w:t>
            </w:r>
          </w:fldSimple>
          <w:r w:rsidRPr="007F6065">
            <w:t xml:space="preserve">, </w:t>
          </w:r>
          <w:fldSimple w:instr=" REF refno \*Charformat ">
            <w:r w:rsidR="00E16FAD">
              <w:t>239</w:t>
            </w:r>
          </w:fldSimple>
        </w:p>
      </w:tc>
    </w:tr>
  </w:tbl>
  <w:p w:rsidR="00834DCD" w:rsidRDefault="00834DCD" w:rsidP="00A77F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6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406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  <w:r>
      <w:rPr>
        <w:noProof/>
      </w:rPr>
      <w:pict>
        <v:shape id="_x0000_s2405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405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  <w:r>
      <w:rPr>
        <w:noProof/>
      </w:rPr>
      <w:pict>
        <v:shape id="_x0000_s2404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404">
            <w:txbxContent>
              <w:p w:rsidR="00834DCD" w:rsidRPr="004675CE" w:rsidRDefault="00834DCD" w:rsidP="00272CE0">
                <w:pPr>
                  <w:pStyle w:val="FooterDraft"/>
                </w:pPr>
              </w:p>
              <w:p w:rsidR="00834DCD" w:rsidRPr="004675CE" w:rsidRDefault="00D375AE" w:rsidP="00A77F8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D375AE">
                  <w:rPr>
                    <w:rFonts w:ascii="Arial" w:hAnsi="Arial" w:cs="Arial"/>
                    <w:noProof/>
                    <w:sz w:val="12"/>
                    <w:szCs w:val="12"/>
                  </w:rPr>
                  <w:t>1123411A-120919Z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A41806" w:rsidRDefault="00834DCD" w:rsidP="00A77F8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5296"/>
      <w:gridCol w:w="658"/>
    </w:tblGrid>
    <w:tr w:rsidR="00834DCD" w:rsidRPr="00A41806" w:rsidTr="00834DCD">
      <w:tc>
        <w:tcPr>
          <w:tcW w:w="1191" w:type="dxa"/>
          <w:shd w:val="clear" w:color="auto" w:fill="auto"/>
        </w:tcPr>
        <w:p w:rsidR="00834DCD" w:rsidRPr="00A41806" w:rsidRDefault="00834DCD" w:rsidP="00A77F87">
          <w:pPr>
            <w:pStyle w:val="Footer"/>
            <w:spacing w:before="20"/>
          </w:pPr>
          <w:fldSimple w:instr=" REF Year \*Charformat ">
            <w:r w:rsidR="00E16FAD">
              <w:t>2012</w:t>
            </w:r>
          </w:fldSimple>
          <w:r w:rsidRPr="00A41806">
            <w:t xml:space="preserve">, </w:t>
          </w:r>
          <w:fldSimple w:instr=" REF refno \*Charformat ">
            <w:r w:rsidR="00E16FAD">
              <w:t>239</w:t>
            </w:r>
          </w:fldSimple>
        </w:p>
      </w:tc>
      <w:tc>
        <w:tcPr>
          <w:tcW w:w="5296" w:type="dxa"/>
          <w:shd w:val="clear" w:color="auto" w:fill="auto"/>
        </w:tcPr>
        <w:p w:rsidR="00834DCD" w:rsidRPr="00EF2F9D" w:rsidRDefault="00834DCD" w:rsidP="00A77F87">
          <w:pPr>
            <w:pStyle w:val="FooterCitation"/>
          </w:pPr>
          <w:fldSimple w:instr=" REF  Citation\*charformat  \* MERGEFORMAT ">
            <w:r w:rsidR="00E16FAD">
              <w:t>Greenhouse and Energy Minimum Standards Regulation 2012</w:t>
            </w:r>
          </w:fldSimple>
        </w:p>
      </w:tc>
      <w:tc>
        <w:tcPr>
          <w:tcW w:w="658" w:type="dxa"/>
          <w:shd w:val="clear" w:color="auto" w:fill="auto"/>
        </w:tcPr>
        <w:p w:rsidR="00834DCD" w:rsidRPr="00845B98" w:rsidRDefault="00834DCD" w:rsidP="00A77F87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E16FAD">
            <w:rPr>
              <w:rStyle w:val="PageNumber"/>
              <w:noProof/>
            </w:rPr>
            <w:t>7</w:t>
          </w:r>
          <w:r w:rsidRPr="00845B98">
            <w:rPr>
              <w:rStyle w:val="PageNumber"/>
            </w:rPr>
            <w:fldChar w:fldCharType="end"/>
          </w:r>
        </w:p>
      </w:tc>
    </w:tr>
  </w:tbl>
  <w:p w:rsidR="00834DCD" w:rsidRPr="00A41806" w:rsidRDefault="00834DCD" w:rsidP="00A77F8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3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403" inset="0,0,0,0">
            <w:txbxContent>
              <w:p w:rsidR="00834DCD" w:rsidRPr="00E16FAD" w:rsidRDefault="00834DCD" w:rsidP="00E16FAD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Pr="00556EB9" w:rsidRDefault="00D375AE" w:rsidP="00A77F87">
    <w:pPr>
      <w:pStyle w:val="FooterCitation"/>
    </w:pPr>
    <w:r>
      <w:rPr>
        <w:noProof/>
      </w:rPr>
      <w:t>G:\Drafting-Unit 1\#final 11xxxx\1123411A Greenhouse &amp; Energy Min Stnds Reg 2012\1123411A-120919Z.doc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10" w:rsidRDefault="00490F10">
      <w:r>
        <w:separator/>
      </w:r>
    </w:p>
  </w:footnote>
  <w:footnote w:type="continuationSeparator" w:id="0">
    <w:p w:rsidR="00490F10" w:rsidRDefault="0049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834DCD">
      <w:tc>
        <w:tcPr>
          <w:tcW w:w="1531" w:type="dxa"/>
        </w:tcPr>
        <w:p w:rsidR="00834DCD" w:rsidRDefault="00834DCD">
          <w:pPr>
            <w:pStyle w:val="HeaderLiteEven"/>
          </w:pP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</w:p>
      </w:tc>
    </w:tr>
    <w:tr w:rsidR="00834DCD">
      <w:tc>
        <w:tcPr>
          <w:tcW w:w="1531" w:type="dxa"/>
        </w:tcPr>
        <w:p w:rsidR="00834DCD" w:rsidRDefault="00834DCD">
          <w:pPr>
            <w:pStyle w:val="HeaderLiteEven"/>
          </w:pP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</w:p>
      </w:tc>
    </w:tr>
    <w:tr w:rsidR="00834DCD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Even"/>
          </w:pPr>
        </w:p>
      </w:tc>
    </w:tr>
  </w:tbl>
  <w:p w:rsidR="00834DCD" w:rsidRDefault="00834DC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834DCD">
      <w:tc>
        <w:tcPr>
          <w:tcW w:w="7167" w:type="dxa"/>
        </w:tcPr>
        <w:p w:rsidR="00834DCD" w:rsidRDefault="00834DCD">
          <w:pPr>
            <w:pStyle w:val="HeaderLiteOdd"/>
          </w:pPr>
          <w:r>
            <w:t>Note</w:t>
          </w:r>
        </w:p>
      </w:tc>
    </w:tr>
    <w:tr w:rsidR="00834DCD">
      <w:tc>
        <w:tcPr>
          <w:tcW w:w="7167" w:type="dxa"/>
        </w:tcPr>
        <w:p w:rsidR="00834DCD" w:rsidRDefault="00834DCD">
          <w:pPr>
            <w:pStyle w:val="HeaderLiteOdd"/>
          </w:pPr>
        </w:p>
      </w:tc>
    </w:tr>
    <w:tr w:rsidR="00834DCD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Odd"/>
          </w:pPr>
        </w:p>
      </w:tc>
    </w:tr>
  </w:tbl>
  <w:p w:rsidR="00834DCD" w:rsidRDefault="00834DCD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1740FB">
      <w:tc>
        <w:tcPr>
          <w:tcW w:w="1531" w:type="dxa"/>
        </w:tcPr>
        <w:p w:rsidR="001740FB" w:rsidRDefault="001740FB" w:rsidP="004B0996">
          <w:pPr>
            <w:pStyle w:val="HeaderLiteEven"/>
          </w:pPr>
        </w:p>
      </w:tc>
      <w:tc>
        <w:tcPr>
          <w:tcW w:w="5636" w:type="dxa"/>
        </w:tcPr>
        <w:p w:rsidR="001740FB" w:rsidRDefault="001740FB" w:rsidP="004B0996">
          <w:pPr>
            <w:pStyle w:val="HeaderLiteEven"/>
          </w:pPr>
        </w:p>
      </w:tc>
    </w:tr>
    <w:tr w:rsidR="001740FB">
      <w:tc>
        <w:tcPr>
          <w:tcW w:w="1531" w:type="dxa"/>
        </w:tcPr>
        <w:p w:rsidR="001740FB" w:rsidRDefault="001740FB" w:rsidP="004B0996">
          <w:pPr>
            <w:pStyle w:val="HeaderLiteEven"/>
          </w:pPr>
        </w:p>
      </w:tc>
      <w:tc>
        <w:tcPr>
          <w:tcW w:w="5636" w:type="dxa"/>
        </w:tcPr>
        <w:p w:rsidR="001740FB" w:rsidRDefault="001740FB" w:rsidP="004B0996">
          <w:pPr>
            <w:pStyle w:val="HeaderLiteEven"/>
          </w:pPr>
        </w:p>
      </w:tc>
    </w:tr>
    <w:tr w:rsidR="001740FB">
      <w:tc>
        <w:tcPr>
          <w:tcW w:w="1531" w:type="dxa"/>
        </w:tcPr>
        <w:p w:rsidR="001740FB" w:rsidRDefault="001740FB" w:rsidP="004B0996">
          <w:pPr>
            <w:pStyle w:val="HeaderBoldEven"/>
          </w:pPr>
        </w:p>
      </w:tc>
      <w:tc>
        <w:tcPr>
          <w:tcW w:w="5636" w:type="dxa"/>
        </w:tcPr>
        <w:p w:rsidR="001740FB" w:rsidRDefault="001740FB" w:rsidP="004B0996">
          <w:pPr>
            <w:pStyle w:val="HeaderBoldEven"/>
          </w:pPr>
        </w:p>
      </w:tc>
    </w:tr>
  </w:tbl>
  <w:p w:rsidR="001740FB" w:rsidRDefault="001740FB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1740FB">
      <w:tc>
        <w:tcPr>
          <w:tcW w:w="1531" w:type="dxa"/>
        </w:tcPr>
        <w:p w:rsidR="001740FB" w:rsidRDefault="001740FB">
          <w:pPr>
            <w:pStyle w:val="HeaderLiteOdd"/>
          </w:pPr>
        </w:p>
      </w:tc>
      <w:tc>
        <w:tcPr>
          <w:tcW w:w="1531" w:type="dxa"/>
        </w:tcPr>
        <w:p w:rsidR="001740FB" w:rsidRDefault="001740FB">
          <w:pPr>
            <w:pStyle w:val="HeaderLiteOdd"/>
          </w:pPr>
        </w:p>
      </w:tc>
    </w:tr>
    <w:tr w:rsidR="001740FB">
      <w:tc>
        <w:tcPr>
          <w:tcW w:w="1531" w:type="dxa"/>
        </w:tcPr>
        <w:p w:rsidR="001740FB" w:rsidRDefault="001740FB">
          <w:pPr>
            <w:pStyle w:val="HeaderLiteOdd"/>
          </w:pPr>
        </w:p>
      </w:tc>
      <w:tc>
        <w:tcPr>
          <w:tcW w:w="1531" w:type="dxa"/>
        </w:tcPr>
        <w:p w:rsidR="001740FB" w:rsidRDefault="001740FB">
          <w:pPr>
            <w:pStyle w:val="HeaderLiteOdd"/>
          </w:pPr>
        </w:p>
      </w:tc>
    </w:tr>
    <w:tr w:rsidR="001740FB">
      <w:tc>
        <w:tcPr>
          <w:tcW w:w="5636" w:type="dxa"/>
          <w:tcBorders>
            <w:bottom w:val="single" w:sz="4" w:space="0" w:color="auto"/>
          </w:tcBorders>
        </w:tcPr>
        <w:p w:rsidR="001740FB" w:rsidRDefault="001740FB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1740FB" w:rsidRDefault="001740FB">
          <w:pPr>
            <w:pStyle w:val="HeaderBoldOdd"/>
          </w:pPr>
        </w:p>
      </w:tc>
    </w:tr>
  </w:tbl>
  <w:p w:rsidR="001740FB" w:rsidRDefault="001740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</w:p>
      </w:tc>
      <w:tc>
        <w:tcPr>
          <w:tcW w:w="1531" w:type="dxa"/>
        </w:tcPr>
        <w:p w:rsidR="00834DCD" w:rsidRDefault="00834DCD">
          <w:pPr>
            <w:pStyle w:val="HeaderLiteOdd"/>
          </w:pPr>
        </w:p>
      </w:tc>
    </w:tr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</w:p>
      </w:tc>
      <w:tc>
        <w:tcPr>
          <w:tcW w:w="1531" w:type="dxa"/>
        </w:tcPr>
        <w:p w:rsidR="00834DCD" w:rsidRDefault="00834DCD">
          <w:pPr>
            <w:pStyle w:val="HeaderLiteOdd"/>
          </w:pPr>
        </w:p>
      </w:tc>
    </w:tr>
    <w:tr w:rsidR="00834DCD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Odd"/>
          </w:pPr>
        </w:p>
      </w:tc>
    </w:tr>
  </w:tbl>
  <w:p w:rsidR="00834DCD" w:rsidRDefault="00834D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834DCD">
      <w:tc>
        <w:tcPr>
          <w:tcW w:w="1531" w:type="dxa"/>
        </w:tcPr>
        <w:p w:rsidR="00834DCD" w:rsidRDefault="00834DCD">
          <w:pPr>
            <w:pStyle w:val="HeaderLiteEven"/>
          </w:pPr>
          <w:r>
            <w:t>Contents</w:t>
          </w: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</w:p>
      </w:tc>
    </w:tr>
    <w:tr w:rsidR="00834DCD">
      <w:tc>
        <w:tcPr>
          <w:tcW w:w="1531" w:type="dxa"/>
        </w:tcPr>
        <w:p w:rsidR="00834DCD" w:rsidRDefault="00834DCD">
          <w:pPr>
            <w:pStyle w:val="HeaderLiteEven"/>
          </w:pP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</w:p>
      </w:tc>
    </w:tr>
    <w:tr w:rsidR="00834DCD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Even"/>
          </w:pPr>
        </w:p>
      </w:tc>
    </w:tr>
  </w:tbl>
  <w:p w:rsidR="00834DCD" w:rsidRDefault="00834DCD">
    <w:pPr>
      <w:pStyle w:val="HeaderContentsPage"/>
    </w:pPr>
    <w:r>
      <w:t>Page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</w:p>
      </w:tc>
      <w:tc>
        <w:tcPr>
          <w:tcW w:w="1531" w:type="dxa"/>
        </w:tcPr>
        <w:p w:rsidR="00834DCD" w:rsidRDefault="00834DCD">
          <w:pPr>
            <w:pStyle w:val="HeaderLiteOdd"/>
          </w:pPr>
          <w:r>
            <w:t>Contents</w:t>
          </w:r>
        </w:p>
      </w:tc>
    </w:tr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</w:p>
      </w:tc>
      <w:tc>
        <w:tcPr>
          <w:tcW w:w="1531" w:type="dxa"/>
        </w:tcPr>
        <w:p w:rsidR="00834DCD" w:rsidRDefault="00834DCD">
          <w:pPr>
            <w:pStyle w:val="HeaderLiteOdd"/>
          </w:pPr>
        </w:p>
      </w:tc>
    </w:tr>
    <w:tr w:rsidR="00834DCD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Odd"/>
          </w:pPr>
        </w:p>
      </w:tc>
    </w:tr>
  </w:tbl>
  <w:p w:rsidR="00834DCD" w:rsidRDefault="00834DCD">
    <w:pPr>
      <w:pStyle w:val="HeaderContentsPage"/>
    </w:pPr>
    <w:r>
      <w:t>Page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834DCD">
      <w:tc>
        <w:tcPr>
          <w:tcW w:w="1531" w:type="dxa"/>
        </w:tcPr>
        <w:p w:rsidR="00834DCD" w:rsidRDefault="00834DCD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No \*Charformat ">
            <w:r w:rsidR="00E16FAD">
              <w:rPr>
                <w:noProof/>
              </w:rPr>
              <w:instrText>Part 4</w:instrText>
            </w:r>
          </w:fldSimple>
          <w:r>
            <w:instrText xml:space="preserve"> &lt;&gt; "Error*" </w:instrText>
          </w:r>
          <w:fldSimple w:instr=" STYLEREF CharPartNo \*Charformat ">
            <w:r w:rsidR="00E16FAD">
              <w:rPr>
                <w:noProof/>
              </w:rPr>
              <w:instrText>Part 4</w:instrText>
            </w:r>
          </w:fldSimple>
          <w:r>
            <w:instrText xml:space="preserve"> </w:instrText>
          </w:r>
          <w:r>
            <w:fldChar w:fldCharType="separate"/>
          </w:r>
          <w:r w:rsidR="00E16FAD">
            <w:rPr>
              <w:noProof/>
            </w:rPr>
            <w:t>Part 4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E16FAD">
              <w:rPr>
                <w:noProof/>
              </w:rPr>
              <w:instrText>GEMS determinations</w:instrText>
            </w:r>
          </w:fldSimple>
          <w:r>
            <w:instrText xml:space="preserve"> &lt;&gt; "Error*" </w:instrText>
          </w:r>
          <w:fldSimple w:instr=" STYLEREF CharPartText \*Charformat ">
            <w:r w:rsidR="00E16FAD">
              <w:rPr>
                <w:noProof/>
              </w:rPr>
              <w:instrText>GEMS determinations</w:instrText>
            </w:r>
          </w:fldSimple>
          <w:r>
            <w:instrText xml:space="preserve"> </w:instrText>
          </w:r>
          <w:r>
            <w:fldChar w:fldCharType="separate"/>
          </w:r>
          <w:r w:rsidR="00E16FAD">
            <w:rPr>
              <w:noProof/>
            </w:rPr>
            <w:t>GEMS determinations</w:t>
          </w:r>
          <w:r>
            <w:fldChar w:fldCharType="end"/>
          </w:r>
        </w:p>
      </w:tc>
    </w:tr>
    <w:tr w:rsidR="00834DCD">
      <w:tc>
        <w:tcPr>
          <w:tcW w:w="1531" w:type="dxa"/>
        </w:tcPr>
        <w:p w:rsidR="00834DCD" w:rsidRDefault="00834DCD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DivNo \*Charformat ">
            <w:r w:rsidR="00E16FAD">
              <w:rPr>
                <w:noProof/>
              </w:rPr>
              <w:instrText>Division 4.1</w:instrText>
            </w:r>
          </w:fldSimple>
          <w:r>
            <w:instrText xml:space="preserve"> &lt;&gt; "Error*" </w:instrText>
          </w:r>
          <w:fldSimple w:instr=" STYLEREF CharDivNo \*Charformat ">
            <w:r w:rsidR="00E16FAD">
              <w:rPr>
                <w:noProof/>
              </w:rPr>
              <w:instrText>Division 4.1</w:instrText>
            </w:r>
          </w:fldSimple>
          <w:r>
            <w:instrText xml:space="preserve"> </w:instrText>
          </w:r>
          <w:r w:rsidR="00E16FAD">
            <w:fldChar w:fldCharType="separate"/>
          </w:r>
          <w:r w:rsidR="00E16FAD">
            <w:rPr>
              <w:noProof/>
            </w:rPr>
            <w:t>Division 4.1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834DCD" w:rsidRDefault="00834DCD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DivText \*Charformat ">
            <w:r w:rsidR="00E16FAD">
              <w:rPr>
                <w:noProof/>
              </w:rPr>
              <w:instrText>Exempting models of GEMS products from GEMS determinations</w:instrText>
            </w:r>
          </w:fldSimple>
          <w:r>
            <w:instrText xml:space="preserve"> &lt;&gt; "Error*" </w:instrText>
          </w:r>
          <w:fldSimple w:instr=" STYLEREF CharDivText \*Charformat ">
            <w:r w:rsidR="00E16FAD">
              <w:rPr>
                <w:noProof/>
              </w:rPr>
              <w:instrText>Exempting models of GEMS products from GEMS determinations</w:instrText>
            </w:r>
          </w:fldSimple>
          <w:r>
            <w:instrText xml:space="preserve"> </w:instrText>
          </w:r>
          <w:r w:rsidR="00E16FAD">
            <w:fldChar w:fldCharType="separate"/>
          </w:r>
          <w:r w:rsidR="00E16FAD">
            <w:rPr>
              <w:noProof/>
            </w:rPr>
            <w:t>Exempting models of GEMS products from GEMS determinations</w:t>
          </w:r>
          <w:r>
            <w:fldChar w:fldCharType="end"/>
          </w:r>
        </w:p>
      </w:tc>
    </w:tr>
    <w:tr w:rsidR="00834DCD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Pr="00834DCD" w:rsidRDefault="00834DCD" w:rsidP="00A77F87">
          <w:pPr>
            <w:pStyle w:val="HeaderBoldEven"/>
          </w:pPr>
          <w:r>
            <w:t xml:space="preserve">Section </w:t>
          </w:r>
          <w:r w:rsidRPr="00834DCD">
            <w:fldChar w:fldCharType="begin"/>
          </w:r>
          <w:r w:rsidRPr="00834DCD">
            <w:instrText xml:space="preserve"> If </w:instrText>
          </w:r>
          <w:fldSimple w:instr=" STYLEREF CharSectno \*Charformat ">
            <w:r w:rsidR="00E16FAD">
              <w:rPr>
                <w:noProof/>
              </w:rPr>
              <w:instrText>4.1.7</w:instrText>
            </w:r>
          </w:fldSimple>
          <w:r w:rsidRPr="00834DCD">
            <w:instrText xml:space="preserve"> &lt;&gt; "Error*" </w:instrText>
          </w:r>
          <w:fldSimple w:instr=" STYLEREF CharSectno \*Charformat ">
            <w:r w:rsidR="00E16FAD">
              <w:rPr>
                <w:noProof/>
              </w:rPr>
              <w:instrText>4.1.7</w:instrText>
            </w:r>
          </w:fldSimple>
          <w:r w:rsidRPr="00834DCD">
            <w:instrText xml:space="preserve"> </w:instrText>
          </w:r>
          <w:r w:rsidRPr="00834DCD">
            <w:fldChar w:fldCharType="separate"/>
          </w:r>
          <w:r w:rsidR="00E16FAD">
            <w:rPr>
              <w:noProof/>
            </w:rPr>
            <w:t>4.1.7</w:t>
          </w:r>
          <w:r w:rsidRPr="00834DCD">
            <w:fldChar w:fldCharType="end"/>
          </w:r>
        </w:p>
      </w:tc>
    </w:tr>
  </w:tbl>
  <w:p w:rsidR="00834DCD" w:rsidRDefault="00834DC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Text \*Charformat \l ">
            <w:r w:rsidR="00E16FAD">
              <w:rPr>
                <w:noProof/>
              </w:rPr>
              <w:instrText>Registering models of GEMS products</w:instrText>
            </w:r>
          </w:fldSimple>
          <w:r>
            <w:instrText xml:space="preserve"> &lt;&gt; "Error*" </w:instrText>
          </w:r>
          <w:fldSimple w:instr=" STYLEREF CharPartText \*Charformat \l ">
            <w:r w:rsidR="00E16FAD">
              <w:rPr>
                <w:noProof/>
              </w:rPr>
              <w:instrText>Registering models of GEMS products</w:instrText>
            </w:r>
          </w:fldSimple>
          <w:r>
            <w:instrText xml:space="preserve"> </w:instrText>
          </w:r>
          <w:r>
            <w:fldChar w:fldCharType="separate"/>
          </w:r>
          <w:r w:rsidR="00E16FAD">
            <w:rPr>
              <w:noProof/>
            </w:rPr>
            <w:t>Registering models of GEMS products</w:t>
          </w:r>
          <w:r>
            <w:fldChar w:fldCharType="end"/>
          </w:r>
        </w:p>
      </w:tc>
      <w:tc>
        <w:tcPr>
          <w:tcW w:w="1531" w:type="dxa"/>
        </w:tcPr>
        <w:p w:rsidR="00834DCD" w:rsidRDefault="00834DCD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No \*Charformat \l ">
            <w:r w:rsidR="00E16FAD">
              <w:rPr>
                <w:noProof/>
              </w:rPr>
              <w:instrText>Part 5</w:instrText>
            </w:r>
          </w:fldSimple>
          <w:r>
            <w:instrText xml:space="preserve"> &lt;&gt; "Error*" </w:instrText>
          </w:r>
          <w:fldSimple w:instr=" STYLEREF CharPartNo \*Charformat \l ">
            <w:r w:rsidR="00E16FAD">
              <w:rPr>
                <w:noProof/>
              </w:rPr>
              <w:instrText>Part 5</w:instrText>
            </w:r>
          </w:fldSimple>
          <w:r>
            <w:instrText xml:space="preserve"> </w:instrText>
          </w:r>
          <w:r>
            <w:fldChar w:fldCharType="separate"/>
          </w:r>
          <w:r w:rsidR="00E16FAD">
            <w:rPr>
              <w:noProof/>
            </w:rPr>
            <w:t>Part 5</w:t>
          </w:r>
          <w:r>
            <w:fldChar w:fldCharType="end"/>
          </w:r>
        </w:p>
      </w:tc>
    </w:tr>
    <w:tr w:rsidR="00834DCD">
      <w:tc>
        <w:tcPr>
          <w:tcW w:w="5636" w:type="dxa"/>
          <w:vAlign w:val="bottom"/>
        </w:tcPr>
        <w:p w:rsidR="00834DCD" w:rsidRDefault="00834DCD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531" w:type="dxa"/>
        </w:tcPr>
        <w:p w:rsidR="00834DCD" w:rsidRDefault="00834DCD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34DCD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DCD" w:rsidRPr="00834DCD" w:rsidRDefault="00834DCD">
          <w:pPr>
            <w:pStyle w:val="HeaderBoldOdd"/>
          </w:pPr>
          <w:r>
            <w:t xml:space="preserve">Section </w:t>
          </w:r>
          <w:r w:rsidRPr="00834DCD">
            <w:fldChar w:fldCharType="begin"/>
          </w:r>
          <w:r w:rsidRPr="00834DCD">
            <w:instrText xml:space="preserve"> If </w:instrText>
          </w:r>
          <w:fldSimple w:instr=" STYLEREF CharSectno \*Charformat \l ">
            <w:r w:rsidR="00E16FAD">
              <w:rPr>
                <w:noProof/>
              </w:rPr>
              <w:instrText>5.1</w:instrText>
            </w:r>
          </w:fldSimple>
          <w:r w:rsidRPr="00834DCD">
            <w:instrText xml:space="preserve"> &lt;&gt; "Error*" </w:instrText>
          </w:r>
          <w:fldSimple w:instr=" STYLEREF CharSectno \*Charformat \l ">
            <w:r w:rsidR="00E16FAD">
              <w:rPr>
                <w:noProof/>
              </w:rPr>
              <w:instrText>5.1</w:instrText>
            </w:r>
          </w:fldSimple>
          <w:r w:rsidRPr="00834DCD">
            <w:instrText xml:space="preserve"> </w:instrText>
          </w:r>
          <w:r w:rsidRPr="00834DCD">
            <w:fldChar w:fldCharType="separate"/>
          </w:r>
          <w:r w:rsidR="00E16FAD">
            <w:rPr>
              <w:noProof/>
            </w:rPr>
            <w:t>5.1</w:t>
          </w:r>
          <w:r w:rsidRPr="00834DCD">
            <w:fldChar w:fldCharType="end"/>
          </w:r>
        </w:p>
      </w:tc>
    </w:tr>
  </w:tbl>
  <w:p w:rsidR="00834DCD" w:rsidRDefault="00834DC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CD" w:rsidRDefault="00834DC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834DCD">
      <w:tc>
        <w:tcPr>
          <w:tcW w:w="7167" w:type="dxa"/>
        </w:tcPr>
        <w:p w:rsidR="00834DCD" w:rsidRDefault="00834DCD">
          <w:pPr>
            <w:pStyle w:val="HeaderLiteEven"/>
          </w:pPr>
          <w:r>
            <w:t>Note</w:t>
          </w:r>
        </w:p>
      </w:tc>
    </w:tr>
    <w:tr w:rsidR="00834DCD">
      <w:tc>
        <w:tcPr>
          <w:tcW w:w="7167" w:type="dxa"/>
        </w:tcPr>
        <w:p w:rsidR="00834DCD" w:rsidRDefault="00834DCD">
          <w:pPr>
            <w:pStyle w:val="HeaderLiteEven"/>
          </w:pPr>
        </w:p>
      </w:tc>
    </w:tr>
    <w:tr w:rsidR="00834DCD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834DCD" w:rsidRDefault="00834DCD">
          <w:pPr>
            <w:pStyle w:val="HeaderBoldEven"/>
          </w:pPr>
        </w:p>
      </w:tc>
    </w:tr>
  </w:tbl>
  <w:p w:rsidR="00834DCD" w:rsidRDefault="00834D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A76"/>
    <w:rsid w:val="00002328"/>
    <w:rsid w:val="000047FD"/>
    <w:rsid w:val="00004A19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34D62"/>
    <w:rsid w:val="00036449"/>
    <w:rsid w:val="0004081D"/>
    <w:rsid w:val="00046633"/>
    <w:rsid w:val="000472C2"/>
    <w:rsid w:val="000510B9"/>
    <w:rsid w:val="00051C9B"/>
    <w:rsid w:val="00054AD0"/>
    <w:rsid w:val="000551A3"/>
    <w:rsid w:val="00055E25"/>
    <w:rsid w:val="00064E0B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4D24"/>
    <w:rsid w:val="00095CC4"/>
    <w:rsid w:val="000A3C52"/>
    <w:rsid w:val="000B0A20"/>
    <w:rsid w:val="000B26C3"/>
    <w:rsid w:val="000B4B24"/>
    <w:rsid w:val="000B52F3"/>
    <w:rsid w:val="000B68A5"/>
    <w:rsid w:val="000C2AB1"/>
    <w:rsid w:val="000C56FE"/>
    <w:rsid w:val="000C78B5"/>
    <w:rsid w:val="000D112D"/>
    <w:rsid w:val="000D3597"/>
    <w:rsid w:val="000D363E"/>
    <w:rsid w:val="000D7167"/>
    <w:rsid w:val="000D736B"/>
    <w:rsid w:val="000E081D"/>
    <w:rsid w:val="000E470D"/>
    <w:rsid w:val="000F140F"/>
    <w:rsid w:val="000F2FA3"/>
    <w:rsid w:val="000F3758"/>
    <w:rsid w:val="000F57D2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5540"/>
    <w:rsid w:val="001363F5"/>
    <w:rsid w:val="00137611"/>
    <w:rsid w:val="00137EF4"/>
    <w:rsid w:val="00144F68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0FB"/>
    <w:rsid w:val="0017420C"/>
    <w:rsid w:val="00176457"/>
    <w:rsid w:val="0017669E"/>
    <w:rsid w:val="00176BCE"/>
    <w:rsid w:val="00180CD3"/>
    <w:rsid w:val="001840EA"/>
    <w:rsid w:val="00190D22"/>
    <w:rsid w:val="00191B57"/>
    <w:rsid w:val="001A01F2"/>
    <w:rsid w:val="001A062E"/>
    <w:rsid w:val="001A25BD"/>
    <w:rsid w:val="001A2921"/>
    <w:rsid w:val="001A2B82"/>
    <w:rsid w:val="001A745A"/>
    <w:rsid w:val="001B10D1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2B35"/>
    <w:rsid w:val="001D49E7"/>
    <w:rsid w:val="001D5A5D"/>
    <w:rsid w:val="001D7DD2"/>
    <w:rsid w:val="001E1FF9"/>
    <w:rsid w:val="001E551F"/>
    <w:rsid w:val="001F0F35"/>
    <w:rsid w:val="001F1819"/>
    <w:rsid w:val="001F204C"/>
    <w:rsid w:val="001F24CF"/>
    <w:rsid w:val="001F3D0A"/>
    <w:rsid w:val="00200446"/>
    <w:rsid w:val="0020253A"/>
    <w:rsid w:val="0020488A"/>
    <w:rsid w:val="0020650F"/>
    <w:rsid w:val="002125DA"/>
    <w:rsid w:val="00220C24"/>
    <w:rsid w:val="00220EDA"/>
    <w:rsid w:val="00222DA1"/>
    <w:rsid w:val="00223055"/>
    <w:rsid w:val="00223A7F"/>
    <w:rsid w:val="002250FB"/>
    <w:rsid w:val="002271DC"/>
    <w:rsid w:val="00230352"/>
    <w:rsid w:val="00232857"/>
    <w:rsid w:val="00232F0F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2CE0"/>
    <w:rsid w:val="00273A80"/>
    <w:rsid w:val="002757D6"/>
    <w:rsid w:val="002809EE"/>
    <w:rsid w:val="002870C2"/>
    <w:rsid w:val="002937F9"/>
    <w:rsid w:val="00293C63"/>
    <w:rsid w:val="002957A9"/>
    <w:rsid w:val="00296435"/>
    <w:rsid w:val="0029646C"/>
    <w:rsid w:val="00296E69"/>
    <w:rsid w:val="002A0C26"/>
    <w:rsid w:val="002A1D35"/>
    <w:rsid w:val="002A3206"/>
    <w:rsid w:val="002A57A4"/>
    <w:rsid w:val="002B0960"/>
    <w:rsid w:val="002B2A9A"/>
    <w:rsid w:val="002C0290"/>
    <w:rsid w:val="002C0E89"/>
    <w:rsid w:val="002C42F1"/>
    <w:rsid w:val="002C77BC"/>
    <w:rsid w:val="002C79E4"/>
    <w:rsid w:val="002C7F8D"/>
    <w:rsid w:val="002D01EF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17B4"/>
    <w:rsid w:val="00312BF2"/>
    <w:rsid w:val="00317741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3A61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4E0D"/>
    <w:rsid w:val="00355D1D"/>
    <w:rsid w:val="003567D5"/>
    <w:rsid w:val="003570F6"/>
    <w:rsid w:val="00363C3E"/>
    <w:rsid w:val="0036497C"/>
    <w:rsid w:val="00364DB8"/>
    <w:rsid w:val="00365390"/>
    <w:rsid w:val="00365485"/>
    <w:rsid w:val="00365707"/>
    <w:rsid w:val="00366209"/>
    <w:rsid w:val="003722D5"/>
    <w:rsid w:val="00374DBE"/>
    <w:rsid w:val="00377C91"/>
    <w:rsid w:val="0038715C"/>
    <w:rsid w:val="00390E65"/>
    <w:rsid w:val="00392E90"/>
    <w:rsid w:val="00393A96"/>
    <w:rsid w:val="00395DDF"/>
    <w:rsid w:val="00395FAC"/>
    <w:rsid w:val="00396732"/>
    <w:rsid w:val="003A0C0D"/>
    <w:rsid w:val="003A271A"/>
    <w:rsid w:val="003A3291"/>
    <w:rsid w:val="003A358A"/>
    <w:rsid w:val="003A3951"/>
    <w:rsid w:val="003A400F"/>
    <w:rsid w:val="003A4C15"/>
    <w:rsid w:val="003B55ED"/>
    <w:rsid w:val="003C1016"/>
    <w:rsid w:val="003C3336"/>
    <w:rsid w:val="003C41F2"/>
    <w:rsid w:val="003C6D45"/>
    <w:rsid w:val="003C700C"/>
    <w:rsid w:val="003D0A16"/>
    <w:rsid w:val="003D1610"/>
    <w:rsid w:val="003D1F25"/>
    <w:rsid w:val="003D20DD"/>
    <w:rsid w:val="003D3CC7"/>
    <w:rsid w:val="003D5B35"/>
    <w:rsid w:val="003D7227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078E7"/>
    <w:rsid w:val="00411455"/>
    <w:rsid w:val="004120B2"/>
    <w:rsid w:val="00416A06"/>
    <w:rsid w:val="004207D7"/>
    <w:rsid w:val="00420E93"/>
    <w:rsid w:val="00424431"/>
    <w:rsid w:val="0042496B"/>
    <w:rsid w:val="00425581"/>
    <w:rsid w:val="004271A6"/>
    <w:rsid w:val="00427249"/>
    <w:rsid w:val="00435267"/>
    <w:rsid w:val="004353AE"/>
    <w:rsid w:val="00440DE0"/>
    <w:rsid w:val="00441257"/>
    <w:rsid w:val="00442444"/>
    <w:rsid w:val="004454CF"/>
    <w:rsid w:val="0044728E"/>
    <w:rsid w:val="00447FF1"/>
    <w:rsid w:val="0045063A"/>
    <w:rsid w:val="00454D0B"/>
    <w:rsid w:val="00455A79"/>
    <w:rsid w:val="00456454"/>
    <w:rsid w:val="00463EFC"/>
    <w:rsid w:val="00467754"/>
    <w:rsid w:val="00471344"/>
    <w:rsid w:val="0047221D"/>
    <w:rsid w:val="0047334E"/>
    <w:rsid w:val="004742DF"/>
    <w:rsid w:val="004754F2"/>
    <w:rsid w:val="00476655"/>
    <w:rsid w:val="00477B83"/>
    <w:rsid w:val="00480BB9"/>
    <w:rsid w:val="004825F7"/>
    <w:rsid w:val="00482B0A"/>
    <w:rsid w:val="00487A4B"/>
    <w:rsid w:val="00490F10"/>
    <w:rsid w:val="00492AF6"/>
    <w:rsid w:val="00495EBA"/>
    <w:rsid w:val="00495FD3"/>
    <w:rsid w:val="00496CD7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E785D"/>
    <w:rsid w:val="004F0A32"/>
    <w:rsid w:val="004F586F"/>
    <w:rsid w:val="004F6F63"/>
    <w:rsid w:val="005069EE"/>
    <w:rsid w:val="00507C08"/>
    <w:rsid w:val="00507DA3"/>
    <w:rsid w:val="00512C3B"/>
    <w:rsid w:val="0051543A"/>
    <w:rsid w:val="00517E9B"/>
    <w:rsid w:val="0052196C"/>
    <w:rsid w:val="00524BE1"/>
    <w:rsid w:val="00524C2B"/>
    <w:rsid w:val="0052732A"/>
    <w:rsid w:val="00527808"/>
    <w:rsid w:val="00531E2F"/>
    <w:rsid w:val="00535BFA"/>
    <w:rsid w:val="00540953"/>
    <w:rsid w:val="00542432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2DD8"/>
    <w:rsid w:val="00584A71"/>
    <w:rsid w:val="005867F2"/>
    <w:rsid w:val="00590B66"/>
    <w:rsid w:val="005914FF"/>
    <w:rsid w:val="00594F6A"/>
    <w:rsid w:val="00595272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40A7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D71E0"/>
    <w:rsid w:val="005E1DC0"/>
    <w:rsid w:val="005E2912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07E7F"/>
    <w:rsid w:val="00610CB1"/>
    <w:rsid w:val="00612688"/>
    <w:rsid w:val="006133D2"/>
    <w:rsid w:val="006205BF"/>
    <w:rsid w:val="0062109B"/>
    <w:rsid w:val="006228F8"/>
    <w:rsid w:val="0062301D"/>
    <w:rsid w:val="00623B56"/>
    <w:rsid w:val="00625EBE"/>
    <w:rsid w:val="00626972"/>
    <w:rsid w:val="00630C62"/>
    <w:rsid w:val="006319A5"/>
    <w:rsid w:val="006334F8"/>
    <w:rsid w:val="006402C7"/>
    <w:rsid w:val="00641CB9"/>
    <w:rsid w:val="00642014"/>
    <w:rsid w:val="0064304E"/>
    <w:rsid w:val="00645165"/>
    <w:rsid w:val="00645A49"/>
    <w:rsid w:val="00647421"/>
    <w:rsid w:val="006503AC"/>
    <w:rsid w:val="0065051F"/>
    <w:rsid w:val="006509B2"/>
    <w:rsid w:val="00651924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2528"/>
    <w:rsid w:val="00686152"/>
    <w:rsid w:val="00686485"/>
    <w:rsid w:val="00691AD5"/>
    <w:rsid w:val="00694609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526"/>
    <w:rsid w:val="006C795D"/>
    <w:rsid w:val="006D0603"/>
    <w:rsid w:val="006D18DE"/>
    <w:rsid w:val="006D479C"/>
    <w:rsid w:val="006E23CD"/>
    <w:rsid w:val="006E2C47"/>
    <w:rsid w:val="006E6AF8"/>
    <w:rsid w:val="006F2504"/>
    <w:rsid w:val="006F4850"/>
    <w:rsid w:val="007014F3"/>
    <w:rsid w:val="0070264A"/>
    <w:rsid w:val="007037DD"/>
    <w:rsid w:val="00710450"/>
    <w:rsid w:val="00711719"/>
    <w:rsid w:val="00714984"/>
    <w:rsid w:val="00715B04"/>
    <w:rsid w:val="00717563"/>
    <w:rsid w:val="00725A68"/>
    <w:rsid w:val="00725DC5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77760"/>
    <w:rsid w:val="007803FF"/>
    <w:rsid w:val="0078324E"/>
    <w:rsid w:val="00785DFE"/>
    <w:rsid w:val="00787D5F"/>
    <w:rsid w:val="00787E97"/>
    <w:rsid w:val="007916FB"/>
    <w:rsid w:val="00792C57"/>
    <w:rsid w:val="00792D08"/>
    <w:rsid w:val="00793F47"/>
    <w:rsid w:val="007941A0"/>
    <w:rsid w:val="007952D3"/>
    <w:rsid w:val="0079643C"/>
    <w:rsid w:val="0079710F"/>
    <w:rsid w:val="00797C09"/>
    <w:rsid w:val="007A0273"/>
    <w:rsid w:val="007A0D4E"/>
    <w:rsid w:val="007A1349"/>
    <w:rsid w:val="007A18FD"/>
    <w:rsid w:val="007A1BAB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461B"/>
    <w:rsid w:val="007F6065"/>
    <w:rsid w:val="007F6B43"/>
    <w:rsid w:val="00800EE9"/>
    <w:rsid w:val="00802693"/>
    <w:rsid w:val="0080485C"/>
    <w:rsid w:val="00805B1D"/>
    <w:rsid w:val="00812E73"/>
    <w:rsid w:val="008200F1"/>
    <w:rsid w:val="00820E6A"/>
    <w:rsid w:val="00826D3D"/>
    <w:rsid w:val="0083232E"/>
    <w:rsid w:val="008331F9"/>
    <w:rsid w:val="00833881"/>
    <w:rsid w:val="00834026"/>
    <w:rsid w:val="00834B5F"/>
    <w:rsid w:val="00834DCD"/>
    <w:rsid w:val="00836F81"/>
    <w:rsid w:val="00837950"/>
    <w:rsid w:val="008405E8"/>
    <w:rsid w:val="008421EA"/>
    <w:rsid w:val="008529D0"/>
    <w:rsid w:val="00855B7C"/>
    <w:rsid w:val="008621D6"/>
    <w:rsid w:val="00871BD1"/>
    <w:rsid w:val="00872D79"/>
    <w:rsid w:val="008800E2"/>
    <w:rsid w:val="00880302"/>
    <w:rsid w:val="00883060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A65FA"/>
    <w:rsid w:val="008B02F9"/>
    <w:rsid w:val="008B09DB"/>
    <w:rsid w:val="008B18E8"/>
    <w:rsid w:val="008B3946"/>
    <w:rsid w:val="008B7DD7"/>
    <w:rsid w:val="008C117F"/>
    <w:rsid w:val="008C15A7"/>
    <w:rsid w:val="008C1D70"/>
    <w:rsid w:val="008C2B87"/>
    <w:rsid w:val="008C38FE"/>
    <w:rsid w:val="008C4F3C"/>
    <w:rsid w:val="008C628F"/>
    <w:rsid w:val="008C6FFC"/>
    <w:rsid w:val="008D027A"/>
    <w:rsid w:val="008D252B"/>
    <w:rsid w:val="008D2C3B"/>
    <w:rsid w:val="008D2F4A"/>
    <w:rsid w:val="008D3896"/>
    <w:rsid w:val="008D3FB6"/>
    <w:rsid w:val="008D64ED"/>
    <w:rsid w:val="008E02E5"/>
    <w:rsid w:val="008E1131"/>
    <w:rsid w:val="008E45F9"/>
    <w:rsid w:val="008E4EF6"/>
    <w:rsid w:val="008E5379"/>
    <w:rsid w:val="008E611B"/>
    <w:rsid w:val="008E74ED"/>
    <w:rsid w:val="008E7D39"/>
    <w:rsid w:val="008F5EC2"/>
    <w:rsid w:val="00901DA5"/>
    <w:rsid w:val="00902FB5"/>
    <w:rsid w:val="0090335E"/>
    <w:rsid w:val="00903E31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03AB"/>
    <w:rsid w:val="00922335"/>
    <w:rsid w:val="00923493"/>
    <w:rsid w:val="00924C24"/>
    <w:rsid w:val="0093033C"/>
    <w:rsid w:val="00930C1D"/>
    <w:rsid w:val="00933028"/>
    <w:rsid w:val="009356C5"/>
    <w:rsid w:val="009360BD"/>
    <w:rsid w:val="009371E0"/>
    <w:rsid w:val="00942C0F"/>
    <w:rsid w:val="00943616"/>
    <w:rsid w:val="009437DF"/>
    <w:rsid w:val="00944599"/>
    <w:rsid w:val="00946AE0"/>
    <w:rsid w:val="00950B11"/>
    <w:rsid w:val="0095322A"/>
    <w:rsid w:val="009553F5"/>
    <w:rsid w:val="00960730"/>
    <w:rsid w:val="00960E91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6825"/>
    <w:rsid w:val="009874E6"/>
    <w:rsid w:val="00987DF2"/>
    <w:rsid w:val="009901D6"/>
    <w:rsid w:val="00992087"/>
    <w:rsid w:val="00992710"/>
    <w:rsid w:val="009955A7"/>
    <w:rsid w:val="00996B0A"/>
    <w:rsid w:val="009A4BDC"/>
    <w:rsid w:val="009A53B6"/>
    <w:rsid w:val="009A595E"/>
    <w:rsid w:val="009B10B3"/>
    <w:rsid w:val="009B242B"/>
    <w:rsid w:val="009B252C"/>
    <w:rsid w:val="009B50E4"/>
    <w:rsid w:val="009D1BC8"/>
    <w:rsid w:val="009D1BCA"/>
    <w:rsid w:val="009D5EBA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5EEC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514A"/>
    <w:rsid w:val="00A37688"/>
    <w:rsid w:val="00A37E7E"/>
    <w:rsid w:val="00A40509"/>
    <w:rsid w:val="00A40875"/>
    <w:rsid w:val="00A40923"/>
    <w:rsid w:val="00A41806"/>
    <w:rsid w:val="00A428C2"/>
    <w:rsid w:val="00A43AF6"/>
    <w:rsid w:val="00A45C77"/>
    <w:rsid w:val="00A4716C"/>
    <w:rsid w:val="00A5777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7F87"/>
    <w:rsid w:val="00A90B8A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0CB7"/>
    <w:rsid w:val="00AD2FDA"/>
    <w:rsid w:val="00AD3862"/>
    <w:rsid w:val="00AD4C82"/>
    <w:rsid w:val="00AD56FF"/>
    <w:rsid w:val="00AD6369"/>
    <w:rsid w:val="00AD7490"/>
    <w:rsid w:val="00AE21B9"/>
    <w:rsid w:val="00AE3BDB"/>
    <w:rsid w:val="00AE5649"/>
    <w:rsid w:val="00AF319F"/>
    <w:rsid w:val="00AF392D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57FE"/>
    <w:rsid w:val="00B267A3"/>
    <w:rsid w:val="00B2730F"/>
    <w:rsid w:val="00B30277"/>
    <w:rsid w:val="00B312AC"/>
    <w:rsid w:val="00B32109"/>
    <w:rsid w:val="00B341F1"/>
    <w:rsid w:val="00B34FB7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845"/>
    <w:rsid w:val="00B74EBD"/>
    <w:rsid w:val="00B750D0"/>
    <w:rsid w:val="00B75420"/>
    <w:rsid w:val="00B75D41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95DE3"/>
    <w:rsid w:val="00BA01C2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4DA7"/>
    <w:rsid w:val="00BF65E6"/>
    <w:rsid w:val="00BF6D49"/>
    <w:rsid w:val="00BF7296"/>
    <w:rsid w:val="00C00E04"/>
    <w:rsid w:val="00C01793"/>
    <w:rsid w:val="00C01E41"/>
    <w:rsid w:val="00C02DBF"/>
    <w:rsid w:val="00C03332"/>
    <w:rsid w:val="00C0430D"/>
    <w:rsid w:val="00C05CBB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33C"/>
    <w:rsid w:val="00C33891"/>
    <w:rsid w:val="00C33E69"/>
    <w:rsid w:val="00C34B2A"/>
    <w:rsid w:val="00C43464"/>
    <w:rsid w:val="00C4494E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66AFC"/>
    <w:rsid w:val="00C67D31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4D0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1010"/>
    <w:rsid w:val="00CE233A"/>
    <w:rsid w:val="00CF478A"/>
    <w:rsid w:val="00CF60F8"/>
    <w:rsid w:val="00D035FA"/>
    <w:rsid w:val="00D10555"/>
    <w:rsid w:val="00D1206A"/>
    <w:rsid w:val="00D21FC4"/>
    <w:rsid w:val="00D222D8"/>
    <w:rsid w:val="00D27EAA"/>
    <w:rsid w:val="00D30298"/>
    <w:rsid w:val="00D304D1"/>
    <w:rsid w:val="00D31300"/>
    <w:rsid w:val="00D33DA9"/>
    <w:rsid w:val="00D34D9F"/>
    <w:rsid w:val="00D36966"/>
    <w:rsid w:val="00D375AE"/>
    <w:rsid w:val="00D40E4E"/>
    <w:rsid w:val="00D42B1B"/>
    <w:rsid w:val="00D4327E"/>
    <w:rsid w:val="00D43418"/>
    <w:rsid w:val="00D43C47"/>
    <w:rsid w:val="00D4502B"/>
    <w:rsid w:val="00D45497"/>
    <w:rsid w:val="00D50A88"/>
    <w:rsid w:val="00D50AA7"/>
    <w:rsid w:val="00D50D04"/>
    <w:rsid w:val="00D51327"/>
    <w:rsid w:val="00D51A6A"/>
    <w:rsid w:val="00D52833"/>
    <w:rsid w:val="00D54237"/>
    <w:rsid w:val="00D608D7"/>
    <w:rsid w:val="00D61C41"/>
    <w:rsid w:val="00D62311"/>
    <w:rsid w:val="00D62BB9"/>
    <w:rsid w:val="00D72203"/>
    <w:rsid w:val="00D72818"/>
    <w:rsid w:val="00D72D29"/>
    <w:rsid w:val="00D81D67"/>
    <w:rsid w:val="00D873E7"/>
    <w:rsid w:val="00D91D36"/>
    <w:rsid w:val="00D93293"/>
    <w:rsid w:val="00D9415C"/>
    <w:rsid w:val="00D9574F"/>
    <w:rsid w:val="00D96034"/>
    <w:rsid w:val="00D96FAA"/>
    <w:rsid w:val="00D97C6A"/>
    <w:rsid w:val="00D97F3C"/>
    <w:rsid w:val="00DA1AA6"/>
    <w:rsid w:val="00DA2412"/>
    <w:rsid w:val="00DA39B1"/>
    <w:rsid w:val="00DA567B"/>
    <w:rsid w:val="00DB2833"/>
    <w:rsid w:val="00DB4A76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F7A67"/>
    <w:rsid w:val="00E015AE"/>
    <w:rsid w:val="00E0170F"/>
    <w:rsid w:val="00E01972"/>
    <w:rsid w:val="00E046CD"/>
    <w:rsid w:val="00E05F87"/>
    <w:rsid w:val="00E06384"/>
    <w:rsid w:val="00E115EE"/>
    <w:rsid w:val="00E147C5"/>
    <w:rsid w:val="00E14C28"/>
    <w:rsid w:val="00E16FAD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6BA"/>
    <w:rsid w:val="00E51B0C"/>
    <w:rsid w:val="00E51FF8"/>
    <w:rsid w:val="00E52389"/>
    <w:rsid w:val="00E529BC"/>
    <w:rsid w:val="00E537B4"/>
    <w:rsid w:val="00E55560"/>
    <w:rsid w:val="00E61DD6"/>
    <w:rsid w:val="00E62BED"/>
    <w:rsid w:val="00E73A1B"/>
    <w:rsid w:val="00E76310"/>
    <w:rsid w:val="00E7672E"/>
    <w:rsid w:val="00E82FC3"/>
    <w:rsid w:val="00E83CB5"/>
    <w:rsid w:val="00E876A1"/>
    <w:rsid w:val="00E91A76"/>
    <w:rsid w:val="00E924EE"/>
    <w:rsid w:val="00E92C90"/>
    <w:rsid w:val="00E94FEE"/>
    <w:rsid w:val="00E95A6B"/>
    <w:rsid w:val="00EA0056"/>
    <w:rsid w:val="00EA14B9"/>
    <w:rsid w:val="00EB00FD"/>
    <w:rsid w:val="00EB0254"/>
    <w:rsid w:val="00EB3034"/>
    <w:rsid w:val="00EB31CA"/>
    <w:rsid w:val="00EB6778"/>
    <w:rsid w:val="00EB7BDE"/>
    <w:rsid w:val="00EC0C5E"/>
    <w:rsid w:val="00EC1470"/>
    <w:rsid w:val="00EC18DC"/>
    <w:rsid w:val="00EC4A18"/>
    <w:rsid w:val="00EC5742"/>
    <w:rsid w:val="00EC6938"/>
    <w:rsid w:val="00ED0738"/>
    <w:rsid w:val="00ED148F"/>
    <w:rsid w:val="00ED153A"/>
    <w:rsid w:val="00ED310D"/>
    <w:rsid w:val="00ED3249"/>
    <w:rsid w:val="00ED3B47"/>
    <w:rsid w:val="00ED4A35"/>
    <w:rsid w:val="00EE08E0"/>
    <w:rsid w:val="00EE3BA1"/>
    <w:rsid w:val="00EE46B3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5FA2"/>
    <w:rsid w:val="00F07689"/>
    <w:rsid w:val="00F10548"/>
    <w:rsid w:val="00F126D4"/>
    <w:rsid w:val="00F1343A"/>
    <w:rsid w:val="00F13B15"/>
    <w:rsid w:val="00F1449F"/>
    <w:rsid w:val="00F21027"/>
    <w:rsid w:val="00F23B5B"/>
    <w:rsid w:val="00F3058D"/>
    <w:rsid w:val="00F319AC"/>
    <w:rsid w:val="00F33606"/>
    <w:rsid w:val="00F34483"/>
    <w:rsid w:val="00F35903"/>
    <w:rsid w:val="00F3623A"/>
    <w:rsid w:val="00F3797F"/>
    <w:rsid w:val="00F41EA3"/>
    <w:rsid w:val="00F4594E"/>
    <w:rsid w:val="00F4771F"/>
    <w:rsid w:val="00F504C6"/>
    <w:rsid w:val="00F5063E"/>
    <w:rsid w:val="00F5332E"/>
    <w:rsid w:val="00F54B0B"/>
    <w:rsid w:val="00F54EC9"/>
    <w:rsid w:val="00F55371"/>
    <w:rsid w:val="00F57858"/>
    <w:rsid w:val="00F60047"/>
    <w:rsid w:val="00F60524"/>
    <w:rsid w:val="00F60AAA"/>
    <w:rsid w:val="00F61562"/>
    <w:rsid w:val="00F72662"/>
    <w:rsid w:val="00F7544B"/>
    <w:rsid w:val="00F8004D"/>
    <w:rsid w:val="00F80AF7"/>
    <w:rsid w:val="00F81BE7"/>
    <w:rsid w:val="00F843D5"/>
    <w:rsid w:val="00F8464C"/>
    <w:rsid w:val="00F85736"/>
    <w:rsid w:val="00F8632C"/>
    <w:rsid w:val="00F87AD8"/>
    <w:rsid w:val="00F87B42"/>
    <w:rsid w:val="00F94F72"/>
    <w:rsid w:val="00F96701"/>
    <w:rsid w:val="00FA2260"/>
    <w:rsid w:val="00FA33E4"/>
    <w:rsid w:val="00FA61AA"/>
    <w:rsid w:val="00FA61F6"/>
    <w:rsid w:val="00FA6DE7"/>
    <w:rsid w:val="00FA7C63"/>
    <w:rsid w:val="00FA7F87"/>
    <w:rsid w:val="00FB2A3E"/>
    <w:rsid w:val="00FB515C"/>
    <w:rsid w:val="00FC1CCA"/>
    <w:rsid w:val="00FC1CF1"/>
    <w:rsid w:val="00FD0E8A"/>
    <w:rsid w:val="00FD189C"/>
    <w:rsid w:val="00FD212A"/>
    <w:rsid w:val="00FD41B2"/>
    <w:rsid w:val="00FD4915"/>
    <w:rsid w:val="00FD4B3A"/>
    <w:rsid w:val="00FD4C92"/>
    <w:rsid w:val="00FD537E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800080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0000FF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772F15"/>
    <w:pPr>
      <w:keepNext/>
      <w:tabs>
        <w:tab w:val="right" w:pos="708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uiPriority w:val="39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uiPriority w:val="39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uiPriority w:val="39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6BC-2D8B-4DF7-AEA5-A330374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5246</Characters>
  <Application>Microsoft Office Word</Application>
  <DocSecurity>0</DocSecurity>
  <Lines>160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Energy Minimum Standards Regulations 2011</vt:lpstr>
    </vt:vector>
  </TitlesOfParts>
  <Manager/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Energy Minimum Standards Regulations 2011</dc:title>
  <dc:subject/>
  <dc:creator/>
  <cp:keywords/>
  <cp:lastModifiedBy/>
  <cp:revision>1</cp:revision>
  <cp:lastPrinted>2012-09-19T03:35:00Z</cp:lastPrinted>
  <dcterms:created xsi:type="dcterms:W3CDTF">2012-10-10T00:19:00Z</dcterms:created>
  <dcterms:modified xsi:type="dcterms:W3CDTF">2012-10-10T00:19:00Z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788</vt:lpwstr>
  </property>
  <property fmtid="{D5CDD505-2E9C-101B-9397-08002B2CF9AE}" pid="3" name="IndexMatter">
    <vt:lpwstr>1123411A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