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9E" w:rsidRDefault="0058049E" w:rsidP="00101E29">
      <w:pPr>
        <w:rPr>
          <w:b/>
        </w:rPr>
      </w:pPr>
    </w:p>
    <w:p w:rsidR="00101E29" w:rsidRDefault="00D43A31" w:rsidP="00101E29">
      <w:pPr>
        <w:rPr>
          <w:b/>
        </w:rPr>
      </w:pPr>
      <w:r>
        <w:rPr>
          <w:noProof/>
          <w:lang w:val="en-AU"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A4" w:rsidRPr="00080FC2" w:rsidRDefault="00447FA4" w:rsidP="00447FA4">
      <w:pPr>
        <w:pStyle w:val="Title"/>
        <w:keepLines/>
        <w:pBdr>
          <w:bottom w:val="single" w:sz="4" w:space="3" w:color="auto"/>
        </w:pBdr>
        <w:rPr>
          <w:sz w:val="36"/>
        </w:rPr>
      </w:pPr>
      <w:bookmarkStart w:id="0" w:name="Citation"/>
      <w:r w:rsidRPr="00080FC2">
        <w:rPr>
          <w:sz w:val="36"/>
        </w:rPr>
        <w:t>Radiocommunications Advisory Guidelines (</w:t>
      </w:r>
      <w:r w:rsidR="00A53E40">
        <w:rPr>
          <w:sz w:val="36"/>
        </w:rPr>
        <w:t>Additional Device Boundary Criteria</w:t>
      </w:r>
      <w:r w:rsidRPr="00080FC2">
        <w:rPr>
          <w:sz w:val="36"/>
        </w:rPr>
        <w:t xml:space="preserve"> – </w:t>
      </w:r>
      <w:r>
        <w:rPr>
          <w:sz w:val="36"/>
        </w:rPr>
        <w:t>1</w:t>
      </w:r>
      <w:r w:rsidRPr="00080FC2">
        <w:rPr>
          <w:sz w:val="36"/>
        </w:rPr>
        <w:t>800 MHz</w:t>
      </w:r>
      <w:r>
        <w:rPr>
          <w:sz w:val="36"/>
        </w:rPr>
        <w:t xml:space="preserve"> Lower</w:t>
      </w:r>
      <w:r w:rsidRPr="00080FC2">
        <w:rPr>
          <w:sz w:val="36"/>
        </w:rPr>
        <w:t xml:space="preserve"> Band) 2012</w:t>
      </w:r>
      <w:bookmarkEnd w:id="0"/>
    </w:p>
    <w:p w:rsidR="00447FA4" w:rsidRPr="00F10FB4" w:rsidRDefault="00447FA4" w:rsidP="00447FA4">
      <w:pPr>
        <w:keepLines/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F10FB4"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447FA4" w:rsidRPr="00F10FB4" w:rsidRDefault="00447FA4" w:rsidP="00447FA4">
      <w:pPr>
        <w:keepLines/>
        <w:spacing w:before="360"/>
        <w:jc w:val="both"/>
      </w:pPr>
      <w:r w:rsidRPr="00F10FB4">
        <w:t xml:space="preserve">The AUSTRALIAN COMMUNICATIONS AND MEDIA AUTHORITY makes these Advisory Guidelines under section 262 of the </w:t>
      </w:r>
      <w:r w:rsidRPr="00F10FB4">
        <w:rPr>
          <w:i/>
        </w:rPr>
        <w:t>Radiocommunications Act 1992</w:t>
      </w:r>
      <w:r w:rsidRPr="00F10FB4">
        <w:t>.</w:t>
      </w:r>
    </w:p>
    <w:p w:rsidR="00447FA4" w:rsidRPr="00F10FB4" w:rsidRDefault="00447FA4" w:rsidP="00143DA8">
      <w:pPr>
        <w:keepLines/>
        <w:tabs>
          <w:tab w:val="left" w:pos="3119"/>
        </w:tabs>
        <w:spacing w:before="300" w:after="480"/>
      </w:pPr>
      <w:r w:rsidRPr="00F10FB4">
        <w:t xml:space="preserve">Dated </w:t>
      </w:r>
      <w:bookmarkStart w:id="1" w:name="MadeByDate"/>
      <w:r w:rsidR="00143DA8" w:rsidRPr="00143DA8">
        <w:rPr>
          <w:i/>
        </w:rPr>
        <w:t xml:space="preserve">26 September </w:t>
      </w:r>
      <w:bookmarkStart w:id="2" w:name="Year"/>
      <w:bookmarkEnd w:id="1"/>
      <w:r>
        <w:t>20</w:t>
      </w:r>
      <w:bookmarkEnd w:id="2"/>
      <w:r>
        <w:t>12</w:t>
      </w:r>
    </w:p>
    <w:p w:rsidR="00447FA4" w:rsidRDefault="00143DA8" w:rsidP="00447FA4">
      <w:pPr>
        <w:keepLines/>
        <w:tabs>
          <w:tab w:val="left" w:pos="3119"/>
        </w:tabs>
        <w:spacing w:line="300" w:lineRule="atLeast"/>
        <w:jc w:val="right"/>
      </w:pPr>
      <w:r w:rsidRPr="00143DA8">
        <w:rPr>
          <w:i/>
        </w:rPr>
        <w:t>Chris Chapman</w:t>
      </w:r>
      <w:r>
        <w:t xml:space="preserve"> </w:t>
      </w:r>
      <w:r>
        <w:br/>
        <w:t xml:space="preserve">[signed] </w:t>
      </w:r>
      <w:r>
        <w:br/>
      </w:r>
      <w:r w:rsidR="00447FA4" w:rsidRPr="00F10FB4">
        <w:t>Member</w:t>
      </w:r>
    </w:p>
    <w:p w:rsidR="00447FA4" w:rsidRPr="00F10FB4" w:rsidRDefault="00447FA4" w:rsidP="00447FA4">
      <w:pPr>
        <w:keepLines/>
        <w:tabs>
          <w:tab w:val="left" w:pos="3119"/>
        </w:tabs>
        <w:spacing w:line="300" w:lineRule="atLeast"/>
        <w:jc w:val="right"/>
      </w:pPr>
    </w:p>
    <w:p w:rsidR="00447FA4" w:rsidRPr="00F10FB4" w:rsidRDefault="00143DA8" w:rsidP="00447FA4">
      <w:pPr>
        <w:keepLines/>
        <w:tabs>
          <w:tab w:val="left" w:pos="3119"/>
        </w:tabs>
        <w:spacing w:line="300" w:lineRule="atLeast"/>
        <w:jc w:val="right"/>
      </w:pPr>
      <w:r w:rsidRPr="00143DA8">
        <w:rPr>
          <w:i/>
        </w:rPr>
        <w:t>Brendan Byrne</w:t>
      </w:r>
      <w:r>
        <w:t xml:space="preserve"> </w:t>
      </w:r>
      <w:r>
        <w:br/>
        <w:t>[signed]</w:t>
      </w:r>
      <w:r>
        <w:br/>
        <w:t xml:space="preserve"> </w:t>
      </w:r>
      <w:r w:rsidR="00447FA4" w:rsidRPr="00143DA8">
        <w:rPr>
          <w:strike/>
        </w:rPr>
        <w:t>Member</w:t>
      </w:r>
      <w:r w:rsidR="00447FA4">
        <w:t>/General Manager</w:t>
      </w:r>
    </w:p>
    <w:p w:rsidR="00447FA4" w:rsidRPr="00F10FB4" w:rsidRDefault="00447FA4" w:rsidP="00447FA4">
      <w:pPr>
        <w:keepLines/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3" w:name="Minister"/>
      <w:r w:rsidRPr="00F10FB4">
        <w:t>Australian Communications and Media Authority</w:t>
      </w:r>
      <w:bookmarkEnd w:id="3"/>
      <w:r>
        <w:t xml:space="preserve"> </w:t>
      </w:r>
    </w:p>
    <w:p w:rsidR="009B20AE" w:rsidRDefault="00447FA4" w:rsidP="009B20AE">
      <w:pPr>
        <w:tabs>
          <w:tab w:val="left" w:pos="993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>Name of Advisory Guidelines</w:t>
      </w:r>
    </w:p>
    <w:p w:rsidR="00FC1511" w:rsidRDefault="00FC1511" w:rsidP="00423258">
      <w:pPr>
        <w:tabs>
          <w:tab w:val="left" w:pos="993"/>
        </w:tabs>
        <w:ind w:left="993"/>
        <w:rPr>
          <w:i/>
        </w:rPr>
      </w:pPr>
      <w:r>
        <w:t xml:space="preserve">These </w:t>
      </w:r>
      <w:r w:rsidR="00447FA4">
        <w:t>Advisory G</w:t>
      </w:r>
      <w:r>
        <w:t>uidelines a</w:t>
      </w:r>
      <w:r w:rsidRPr="005E64C5">
        <w:t xml:space="preserve">re the </w:t>
      </w:r>
      <w:r w:rsidR="00101E29" w:rsidRPr="005E64C5">
        <w:rPr>
          <w:i/>
        </w:rPr>
        <w:t>Radiocommunications Advisory Guidelines (Additional Device Boundary Criteria - 1800 MHz Lower Band) 2012.</w:t>
      </w:r>
    </w:p>
    <w:p w:rsidR="009B20AE" w:rsidRDefault="00447FA4" w:rsidP="009B20AE">
      <w:pPr>
        <w:tabs>
          <w:tab w:val="left" w:pos="993"/>
        </w:tabs>
        <w:spacing w:before="360" w:after="120"/>
        <w:ind w:left="993" w:hanging="993"/>
        <w:rPr>
          <w:rFonts w:ascii="Arial" w:hAnsi="Arial" w:cs="Arial"/>
          <w:b/>
        </w:rPr>
      </w:pPr>
      <w:r w:rsidRPr="00447FA4">
        <w:rPr>
          <w:rFonts w:ascii="Arial" w:hAnsi="Arial" w:cs="Arial"/>
          <w:b/>
        </w:rPr>
        <w:t>2</w:t>
      </w:r>
      <w:r w:rsidRPr="00447FA4">
        <w:rPr>
          <w:rFonts w:ascii="Arial" w:hAnsi="Arial" w:cs="Arial"/>
          <w:b/>
        </w:rPr>
        <w:tab/>
      </w:r>
      <w:r w:rsidR="00FC1511" w:rsidRPr="00447FA4">
        <w:rPr>
          <w:rFonts w:ascii="Arial" w:hAnsi="Arial" w:cs="Arial"/>
          <w:b/>
        </w:rPr>
        <w:t>Commencement</w:t>
      </w:r>
    </w:p>
    <w:p w:rsidR="009B20AE" w:rsidRDefault="00FC1511" w:rsidP="009B20AE">
      <w:pPr>
        <w:tabs>
          <w:tab w:val="left" w:pos="993"/>
        </w:tabs>
        <w:spacing w:after="120"/>
        <w:ind w:left="993"/>
      </w:pPr>
      <w:r>
        <w:t xml:space="preserve">These </w:t>
      </w:r>
      <w:r w:rsidR="00E11317">
        <w:t>g</w:t>
      </w:r>
      <w:r>
        <w:t xml:space="preserve">uidelines commence on </w:t>
      </w:r>
      <w:r w:rsidR="00447FA4" w:rsidRPr="00447FA4">
        <w:t>18 June 2013</w:t>
      </w:r>
      <w:r w:rsidRPr="00447FA4">
        <w:t>.</w:t>
      </w:r>
    </w:p>
    <w:p w:rsidR="00011A4E" w:rsidRDefault="009B20AE" w:rsidP="00423258">
      <w:pPr>
        <w:tabs>
          <w:tab w:val="left" w:pos="993"/>
        </w:tabs>
        <w:ind w:left="964"/>
        <w:jc w:val="both"/>
        <w:rPr>
          <w:lang w:eastAsia="en-US"/>
        </w:rPr>
      </w:pPr>
      <w:r w:rsidRPr="009B20AE">
        <w:rPr>
          <w:sz w:val="20"/>
        </w:rPr>
        <w:t>Note</w:t>
      </w:r>
      <w:r w:rsidR="00011A4E" w:rsidRPr="00725856">
        <w:rPr>
          <w:sz w:val="20"/>
        </w:rPr>
        <w:tab/>
      </w:r>
      <w:r w:rsidR="00011A4E" w:rsidRPr="00725856">
        <w:rPr>
          <w:color w:val="000000"/>
          <w:sz w:val="20"/>
        </w:rPr>
        <w:t xml:space="preserve">All legislative instruments and compilations are registered on the Federal Register of Legislative Instruments kept under the </w:t>
      </w:r>
      <w:r w:rsidR="00011A4E" w:rsidRPr="00725856">
        <w:rPr>
          <w:i/>
          <w:color w:val="000000"/>
          <w:sz w:val="20"/>
        </w:rPr>
        <w:t xml:space="preserve">Legislative Instruments Act 2003. </w:t>
      </w:r>
      <w:r w:rsidR="00011A4E" w:rsidRPr="00725856">
        <w:rPr>
          <w:color w:val="000000"/>
          <w:sz w:val="20"/>
        </w:rPr>
        <w:t xml:space="preserve">See </w:t>
      </w:r>
      <w:r w:rsidR="00011A4E" w:rsidRPr="00725856">
        <w:rPr>
          <w:color w:val="000000"/>
          <w:sz w:val="20"/>
          <w:u w:val="single"/>
        </w:rPr>
        <w:t>http://www.frli.gov.au</w:t>
      </w:r>
      <w:r w:rsidR="00011A4E" w:rsidRPr="00725856">
        <w:rPr>
          <w:color w:val="000000"/>
          <w:sz w:val="20"/>
        </w:rPr>
        <w:t>.</w:t>
      </w:r>
    </w:p>
    <w:p w:rsidR="009B20AE" w:rsidRDefault="00447FA4" w:rsidP="009B20AE">
      <w:pPr>
        <w:tabs>
          <w:tab w:val="left" w:pos="993"/>
        </w:tabs>
        <w:spacing w:before="360"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Revocation</w:t>
      </w:r>
    </w:p>
    <w:p w:rsidR="00447FA4" w:rsidRPr="00447FA4" w:rsidRDefault="00447FA4" w:rsidP="00423258">
      <w:pPr>
        <w:tabs>
          <w:tab w:val="left" w:pos="993"/>
        </w:tabs>
        <w:ind w:left="993" w:hanging="993"/>
      </w:pPr>
      <w:r>
        <w:rPr>
          <w:b/>
        </w:rPr>
        <w:tab/>
      </w:r>
      <w:r>
        <w:t xml:space="preserve">The </w:t>
      </w:r>
      <w:r>
        <w:rPr>
          <w:i/>
        </w:rPr>
        <w:t xml:space="preserve">Radiocommunications Advisory Guidelines (Protection of Mobile Base Receivers – 1800 MHz Lower Band) 1999 </w:t>
      </w:r>
      <w:r w:rsidR="00C04982">
        <w:t xml:space="preserve">are </w:t>
      </w:r>
      <w:r>
        <w:t>revoked.</w:t>
      </w:r>
    </w:p>
    <w:p w:rsidR="009B20AE" w:rsidRDefault="0035381E" w:rsidP="009B20AE">
      <w:pPr>
        <w:spacing w:before="360" w:after="120"/>
        <w:ind w:left="993" w:hanging="993"/>
        <w:rPr>
          <w:rFonts w:ascii="Arial" w:hAnsi="Arial" w:cs="Arial"/>
          <w:b/>
        </w:rPr>
      </w:pPr>
      <w:r w:rsidRPr="0035381E">
        <w:rPr>
          <w:rFonts w:ascii="Arial" w:hAnsi="Arial" w:cs="Arial"/>
          <w:b/>
        </w:rPr>
        <w:lastRenderedPageBreak/>
        <w:t>4</w:t>
      </w:r>
      <w:r w:rsidRPr="0035381E">
        <w:rPr>
          <w:rFonts w:ascii="Arial" w:hAnsi="Arial" w:cs="Arial"/>
          <w:b/>
        </w:rPr>
        <w:tab/>
      </w:r>
      <w:r w:rsidR="00FC1511" w:rsidRPr="0035381E">
        <w:rPr>
          <w:rFonts w:ascii="Arial" w:hAnsi="Arial" w:cs="Arial"/>
          <w:b/>
        </w:rPr>
        <w:t xml:space="preserve">Purpose </w:t>
      </w:r>
      <w:r w:rsidR="00B91280">
        <w:rPr>
          <w:rFonts w:ascii="Arial" w:hAnsi="Arial" w:cs="Arial"/>
          <w:b/>
        </w:rPr>
        <w:t xml:space="preserve">and application </w:t>
      </w:r>
    </w:p>
    <w:p w:rsidR="009B20AE" w:rsidRDefault="0035381E" w:rsidP="009B20AE">
      <w:pPr>
        <w:spacing w:after="240"/>
        <w:ind w:left="993" w:hanging="426"/>
      </w:pPr>
      <w:r w:rsidRPr="0035381E">
        <w:t>(1)</w:t>
      </w:r>
      <w:r w:rsidRPr="0035381E">
        <w:tab/>
      </w:r>
      <w:r w:rsidR="00FC1511">
        <w:t xml:space="preserve">The purpose of these </w:t>
      </w:r>
      <w:r w:rsidR="00E11317">
        <w:t>g</w:t>
      </w:r>
      <w:r w:rsidR="00FC1511">
        <w:t xml:space="preserve">uidelines is to provide </w:t>
      </w:r>
      <w:r w:rsidR="00D26E93">
        <w:t xml:space="preserve">guidance </w:t>
      </w:r>
      <w:r w:rsidR="00FC1511">
        <w:t>for the protection of</w:t>
      </w:r>
      <w:r w:rsidR="00D26E93">
        <w:t xml:space="preserve"> radiocommunications</w:t>
      </w:r>
      <w:r w:rsidR="00FC1511">
        <w:t xml:space="preserve"> receivers operated under spectrum licences in the 1800 MHz </w:t>
      </w:r>
      <w:r w:rsidR="002C7815">
        <w:t>L</w:t>
      </w:r>
      <w:r w:rsidR="00FC1511">
        <w:t>ower band from</w:t>
      </w:r>
      <w:r w:rsidR="0058049E">
        <w:t xml:space="preserve"> high sited</w:t>
      </w:r>
      <w:r w:rsidR="00FC1511">
        <w:t xml:space="preserve"> </w:t>
      </w:r>
      <w:r w:rsidR="00D26E93">
        <w:t>radiocommunications</w:t>
      </w:r>
      <w:r w:rsidR="00FC1511">
        <w:t xml:space="preserve"> transmitters </w:t>
      </w:r>
      <w:r w:rsidR="00B91280">
        <w:t xml:space="preserve">operating under </w:t>
      </w:r>
      <w:r w:rsidR="00B716D5">
        <w:t>either a spectrum licence</w:t>
      </w:r>
      <w:r w:rsidR="00011A4E">
        <w:t xml:space="preserve"> or an</w:t>
      </w:r>
      <w:r w:rsidR="00446A62">
        <w:t xml:space="preserve"> </w:t>
      </w:r>
      <w:r w:rsidR="00B91280">
        <w:t>apparatus licence</w:t>
      </w:r>
      <w:r w:rsidR="00FA28C7">
        <w:t xml:space="preserve"> </w:t>
      </w:r>
      <w:r w:rsidR="00446A62">
        <w:t xml:space="preserve">which is </w:t>
      </w:r>
      <w:r w:rsidR="00FA28C7">
        <w:t xml:space="preserve">issued on or after 18 June 2013. </w:t>
      </w:r>
      <w:r w:rsidR="00B91280">
        <w:t xml:space="preserve"> </w:t>
      </w:r>
      <w:r w:rsidR="00FC1511">
        <w:t xml:space="preserve"> </w:t>
      </w:r>
    </w:p>
    <w:p w:rsidR="009B20AE" w:rsidRDefault="00011A4E" w:rsidP="009B20AE">
      <w:pPr>
        <w:spacing w:after="240"/>
        <w:ind w:left="993" w:hanging="426"/>
      </w:pPr>
      <w:r>
        <w:t>(2)</w:t>
      </w:r>
      <w:r w:rsidR="00423258">
        <w:tab/>
      </w:r>
      <w:r>
        <w:t xml:space="preserve">The ACMA will take these guidelines into account in determining </w:t>
      </w:r>
      <w:r w:rsidR="00D5131B">
        <w:t>whether high</w:t>
      </w:r>
      <w:r w:rsidR="00D5131B" w:rsidRPr="00D5131B">
        <w:t xml:space="preserve"> sited transmitters</w:t>
      </w:r>
      <w:r w:rsidR="00D56496">
        <w:t xml:space="preserve"> operating in the 1800 MHz </w:t>
      </w:r>
      <w:r w:rsidR="00603DA6">
        <w:t>L</w:t>
      </w:r>
      <w:r w:rsidR="00D56496">
        <w:t>ower band</w:t>
      </w:r>
      <w:r w:rsidR="00D5131B" w:rsidRPr="00D5131B">
        <w:t xml:space="preserve"> </w:t>
      </w:r>
      <w:r w:rsidR="00D5131B">
        <w:t xml:space="preserve">are causing </w:t>
      </w:r>
      <w:r w:rsidR="00D5131B" w:rsidRPr="00D5131B">
        <w:t xml:space="preserve">in-band interference </w:t>
      </w:r>
      <w:r w:rsidR="00603DA6">
        <w:t>to receivers operating under</w:t>
      </w:r>
      <w:r w:rsidR="00D5131B" w:rsidRPr="00D5131B">
        <w:t xml:space="preserve"> adjacent area spectrum </w:t>
      </w:r>
      <w:r w:rsidR="009C0C77">
        <w:t>or</w:t>
      </w:r>
      <w:r w:rsidR="00D5131B" w:rsidRPr="00D5131B">
        <w:t xml:space="preserve"> apparatus licences</w:t>
      </w:r>
      <w:r>
        <w:t>.</w:t>
      </w:r>
    </w:p>
    <w:p w:rsidR="009B20AE" w:rsidRDefault="0035381E" w:rsidP="009B20AE">
      <w:pPr>
        <w:spacing w:before="360" w:after="240"/>
        <w:ind w:left="993" w:hanging="993"/>
        <w:rPr>
          <w:rFonts w:ascii="Arial" w:hAnsi="Arial" w:cs="Arial"/>
          <w:b/>
        </w:rPr>
      </w:pPr>
      <w:r w:rsidRPr="0035381E">
        <w:rPr>
          <w:rFonts w:ascii="Arial" w:hAnsi="Arial" w:cs="Arial"/>
          <w:b/>
        </w:rPr>
        <w:t>5</w:t>
      </w:r>
      <w:r w:rsidRPr="0035381E">
        <w:rPr>
          <w:rFonts w:ascii="Arial" w:hAnsi="Arial" w:cs="Arial"/>
          <w:b/>
        </w:rPr>
        <w:tab/>
      </w:r>
      <w:r w:rsidR="00FC1511" w:rsidRPr="0035381E">
        <w:rPr>
          <w:rFonts w:ascii="Arial" w:hAnsi="Arial" w:cs="Arial"/>
          <w:b/>
        </w:rPr>
        <w:t>Interpretation</w:t>
      </w:r>
    </w:p>
    <w:p w:rsidR="00101E29" w:rsidRDefault="0035381E" w:rsidP="00101E29">
      <w:pPr>
        <w:spacing w:before="120"/>
        <w:ind w:left="993" w:hanging="426"/>
      </w:pPr>
      <w:r w:rsidRPr="0035381E">
        <w:t>(1)</w:t>
      </w:r>
      <w:r w:rsidRPr="0035381E">
        <w:tab/>
      </w:r>
      <w:r w:rsidR="00FC1511">
        <w:t xml:space="preserve">In these </w:t>
      </w:r>
      <w:r w:rsidR="00E11317">
        <w:t>g</w:t>
      </w:r>
      <w:r w:rsidR="00FC1511">
        <w:t>uidelines, unless the contrary intention appears:</w:t>
      </w:r>
    </w:p>
    <w:p w:rsidR="00101E29" w:rsidRDefault="002828F0" w:rsidP="00101E29">
      <w:pPr>
        <w:pStyle w:val="definition"/>
        <w:spacing w:before="120"/>
      </w:pPr>
      <w:r>
        <w:rPr>
          <w:b/>
          <w:i/>
        </w:rPr>
        <w:t xml:space="preserve">1800 MHz band </w:t>
      </w:r>
      <w:r>
        <w:t>means the following frequency bands:</w:t>
      </w:r>
    </w:p>
    <w:p w:rsidR="002828F0" w:rsidRDefault="002828F0" w:rsidP="002828F0">
      <w:pPr>
        <w:pStyle w:val="definition"/>
      </w:pPr>
      <w:r w:rsidRPr="00827437">
        <w:t xml:space="preserve">(a) </w:t>
      </w:r>
      <w:r>
        <w:t xml:space="preserve">1710 MHz – 1785 MHz (the </w:t>
      </w:r>
      <w:r>
        <w:rPr>
          <w:b/>
          <w:i/>
        </w:rPr>
        <w:t>1800 MHz Lower band</w:t>
      </w:r>
      <w:r>
        <w:t>); and</w:t>
      </w:r>
    </w:p>
    <w:p w:rsidR="002828F0" w:rsidRPr="00A84067" w:rsidRDefault="002828F0" w:rsidP="002828F0">
      <w:pPr>
        <w:pStyle w:val="definition"/>
      </w:pPr>
      <w:r>
        <w:t xml:space="preserve">(b) 1805 MHz – 1880 MHz (the </w:t>
      </w:r>
      <w:r>
        <w:rPr>
          <w:b/>
          <w:i/>
        </w:rPr>
        <w:t>1800 MHz Upper band</w:t>
      </w:r>
      <w:r>
        <w:t>).</w:t>
      </w:r>
    </w:p>
    <w:p w:rsidR="00101E29" w:rsidRDefault="00FC1511" w:rsidP="00101E29">
      <w:pPr>
        <w:spacing w:before="120"/>
        <w:ind w:left="993"/>
        <w:rPr>
          <w:i/>
        </w:rPr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Radiocommunications Act 1992.</w:t>
      </w:r>
    </w:p>
    <w:p w:rsidR="00101E29" w:rsidRDefault="00FC1511" w:rsidP="00101E29">
      <w:pPr>
        <w:spacing w:before="120"/>
        <w:ind w:left="993"/>
      </w:pPr>
      <w:r>
        <w:rPr>
          <w:b/>
          <w:i/>
        </w:rPr>
        <w:t>additional device boundary criterion</w:t>
      </w:r>
      <w:r>
        <w:t xml:space="preserve"> means the device boundary criterion worked out in accordance with Schedule </w:t>
      </w:r>
      <w:r w:rsidR="00DA6132">
        <w:t>1</w:t>
      </w:r>
      <w:r>
        <w:t>.</w:t>
      </w:r>
    </w:p>
    <w:p w:rsidR="00D26E93" w:rsidRDefault="00D26E93" w:rsidP="00D26E93">
      <w:pPr>
        <w:spacing w:before="120"/>
        <w:ind w:left="993"/>
        <w:rPr>
          <w:b/>
          <w:i/>
        </w:rPr>
      </w:pPr>
      <w:r w:rsidRPr="00AE46DD">
        <w:rPr>
          <w:b/>
          <w:i/>
        </w:rPr>
        <w:t>areas of high mobile use</w:t>
      </w:r>
      <w:r>
        <w:t xml:space="preserve"> means the areas </w:t>
      </w:r>
      <w:r w:rsidR="002A05AD">
        <w:t xml:space="preserve">described </w:t>
      </w:r>
      <w:r>
        <w:t xml:space="preserve">in </w:t>
      </w:r>
      <w:r w:rsidR="002A05AD">
        <w:t xml:space="preserve">Schedule </w:t>
      </w:r>
      <w:r>
        <w:t xml:space="preserve">4 of the </w:t>
      </w:r>
      <w:r w:rsidR="00644242">
        <w:t xml:space="preserve">section 145 </w:t>
      </w:r>
      <w:r w:rsidR="00603DA6">
        <w:t>D</w:t>
      </w:r>
      <w:r w:rsidR="00644242">
        <w:t xml:space="preserve">etermination. </w:t>
      </w:r>
    </w:p>
    <w:p w:rsidR="00101E29" w:rsidRDefault="00FC1511" w:rsidP="00101E29">
      <w:pPr>
        <w:spacing w:before="120"/>
        <w:ind w:left="993"/>
      </w:pPr>
      <w:r>
        <w:rPr>
          <w:b/>
          <w:i/>
        </w:rPr>
        <w:t>emission buffer zone</w:t>
      </w:r>
      <w:r>
        <w:t xml:space="preserve"> means a zone along the frequency or geographic boundary of a spectrum licence where emission levels of</w:t>
      </w:r>
      <w:r w:rsidR="005D47DB">
        <w:t xml:space="preserve"> radiocommunications</w:t>
      </w:r>
      <w:r>
        <w:t xml:space="preserve"> transmitters are reduced to ensure that significant levels of emissions stay within the geographic area and frequency band of the licence.</w:t>
      </w:r>
    </w:p>
    <w:p w:rsidR="00101E29" w:rsidRDefault="007F383A" w:rsidP="00101E29">
      <w:pPr>
        <w:spacing w:before="120"/>
        <w:ind w:left="993"/>
      </w:pPr>
      <w:r>
        <w:rPr>
          <w:b/>
          <w:i/>
        </w:rPr>
        <w:t>in-band</w:t>
      </w:r>
      <w:r>
        <w:t xml:space="preserve"> means:</w:t>
      </w:r>
    </w:p>
    <w:p w:rsidR="00101E29" w:rsidRDefault="007F383A" w:rsidP="00101E29">
      <w:pPr>
        <w:ind w:left="1440" w:hanging="447"/>
      </w:pPr>
      <w:r>
        <w:t>(a)</w:t>
      </w:r>
      <w:r>
        <w:tab/>
        <w:t>for a radiocommunication</w:t>
      </w:r>
      <w:r w:rsidR="00C4184F">
        <w:t>s transmitter or radiocommunications receiver operated under a spectrum licence, the frequencies within the frequency band</w:t>
      </w:r>
      <w:r w:rsidR="000118F8">
        <w:t xml:space="preserve"> in which operation of those radiocommunications devices is authorised under the licence; and</w:t>
      </w:r>
    </w:p>
    <w:p w:rsidR="00101E29" w:rsidRPr="00101E29" w:rsidRDefault="00C4184F" w:rsidP="00101E29">
      <w:pPr>
        <w:ind w:left="1440" w:hanging="447"/>
      </w:pPr>
      <w:r>
        <w:t>(b)</w:t>
      </w:r>
      <w:r>
        <w:tab/>
        <w:t xml:space="preserve">for a radiocommunications transmitter or radiocommunications receiver operating under an apparatus licence, the frequencies within the lower frequency limit and the upper frequency limit </w:t>
      </w:r>
      <w:r w:rsidR="000118F8">
        <w:t xml:space="preserve">specified in the </w:t>
      </w:r>
      <w:r>
        <w:t xml:space="preserve"> licence.</w:t>
      </w:r>
    </w:p>
    <w:p w:rsidR="007B348B" w:rsidRDefault="007B348B" w:rsidP="007B348B">
      <w:pPr>
        <w:pStyle w:val="definition"/>
        <w:spacing w:before="120"/>
      </w:pPr>
      <w:r>
        <w:rPr>
          <w:b/>
          <w:i/>
        </w:rPr>
        <w:t xml:space="preserve">ITU </w:t>
      </w:r>
      <w:r>
        <w:t>means the International Telecommunication Union.</w:t>
      </w:r>
    </w:p>
    <w:p w:rsidR="007B348B" w:rsidRDefault="007B348B" w:rsidP="007B348B">
      <w:pPr>
        <w:pStyle w:val="definition"/>
        <w:spacing w:before="120"/>
      </w:pPr>
      <w:r w:rsidRPr="00F614B8">
        <w:rPr>
          <w:b/>
          <w:i/>
        </w:rPr>
        <w:t>ITU-R</w:t>
      </w:r>
      <w:r>
        <w:t xml:space="preserve"> means the ITU Radiocommunications sector.</w:t>
      </w:r>
    </w:p>
    <w:p w:rsidR="00423258" w:rsidRDefault="007B348B" w:rsidP="007B348B">
      <w:pPr>
        <w:pStyle w:val="definition"/>
        <w:spacing w:before="120"/>
      </w:pPr>
      <w:r>
        <w:rPr>
          <w:b/>
          <w:i/>
        </w:rPr>
        <w:t xml:space="preserve">ITU-R Recommendation </w:t>
      </w:r>
      <w:r>
        <w:t>means a Recommendation made by the ITU-R</w:t>
      </w:r>
      <w:r w:rsidR="00B73150">
        <w:t xml:space="preserve"> as in force from time to time</w:t>
      </w:r>
      <w:r>
        <w:t>.</w:t>
      </w:r>
    </w:p>
    <w:p w:rsidR="00423258" w:rsidRDefault="00423258">
      <w:pPr>
        <w:rPr>
          <w:noProof/>
          <w:szCs w:val="24"/>
          <w:lang w:val="en-AU" w:eastAsia="en-US"/>
        </w:rPr>
      </w:pPr>
      <w:r>
        <w:br w:type="page"/>
      </w:r>
    </w:p>
    <w:p w:rsidR="00101E29" w:rsidRDefault="007F383A" w:rsidP="00101E29">
      <w:pPr>
        <w:spacing w:before="120"/>
        <w:ind w:left="993"/>
      </w:pPr>
      <w:r>
        <w:rPr>
          <w:b/>
          <w:i/>
        </w:rPr>
        <w:lastRenderedPageBreak/>
        <w:t>out-of-band</w:t>
      </w:r>
      <w:r w:rsidR="00496067" w:rsidRPr="00496067">
        <w:rPr>
          <w:b/>
          <w:i/>
        </w:rPr>
        <w:t xml:space="preserve"> </w:t>
      </w:r>
      <w:r w:rsidR="00496067">
        <w:t>means:</w:t>
      </w:r>
    </w:p>
    <w:p w:rsidR="00A273E3" w:rsidRDefault="00496067" w:rsidP="00496067">
      <w:pPr>
        <w:numPr>
          <w:ilvl w:val="0"/>
          <w:numId w:val="8"/>
        </w:numPr>
      </w:pPr>
      <w:r>
        <w:t xml:space="preserve">for a radiocommunications transmitter or radiocommunications receiver operated under a spectrum licence, the frequencies outside the frequency band </w:t>
      </w:r>
      <w:r w:rsidR="009D5805">
        <w:t>in which operation of those radiocommunications devices is authorised under the licence; and</w:t>
      </w:r>
    </w:p>
    <w:p w:rsidR="00496067" w:rsidRDefault="00496067" w:rsidP="00496067">
      <w:pPr>
        <w:numPr>
          <w:ilvl w:val="0"/>
          <w:numId w:val="8"/>
        </w:numPr>
      </w:pPr>
      <w:r>
        <w:t xml:space="preserve">for a radiocommunications transmitter or radiocommunications receiver operating under an apparatus licence, the frequencies outside the lower frequency limit and upper frequency limit </w:t>
      </w:r>
      <w:r w:rsidR="009D5805">
        <w:t>specified in the</w:t>
      </w:r>
      <w:r>
        <w:t xml:space="preserve"> licence.</w:t>
      </w:r>
    </w:p>
    <w:p w:rsidR="00101E29" w:rsidRDefault="00BD5878" w:rsidP="00101E29">
      <w:pPr>
        <w:tabs>
          <w:tab w:val="left" w:pos="993"/>
        </w:tabs>
        <w:spacing w:before="120"/>
        <w:ind w:left="993"/>
        <w:rPr>
          <w:i/>
        </w:rPr>
      </w:pPr>
      <w:proofErr w:type="gramStart"/>
      <w:r>
        <w:rPr>
          <w:b/>
          <w:i/>
        </w:rPr>
        <w:t>section</w:t>
      </w:r>
      <w:proofErr w:type="gramEnd"/>
      <w:r>
        <w:rPr>
          <w:b/>
          <w:i/>
        </w:rPr>
        <w:t xml:space="preserve"> </w:t>
      </w:r>
      <w:r w:rsidR="00FC1511">
        <w:rPr>
          <w:b/>
          <w:i/>
        </w:rPr>
        <w:t xml:space="preserve">145 </w:t>
      </w:r>
      <w:r w:rsidR="00603DA6">
        <w:rPr>
          <w:b/>
          <w:i/>
        </w:rPr>
        <w:t>D</w:t>
      </w:r>
      <w:r w:rsidR="00FC1511">
        <w:rPr>
          <w:b/>
          <w:i/>
        </w:rPr>
        <w:t>etermination</w:t>
      </w:r>
      <w:r w:rsidR="00FC1511">
        <w:t xml:space="preserve"> means the </w:t>
      </w:r>
      <w:r w:rsidR="00FC1511">
        <w:rPr>
          <w:i/>
        </w:rPr>
        <w:t>Radiocommunications (Unacceptable Levels of Interference</w:t>
      </w:r>
      <w:r w:rsidR="00AF0947">
        <w:rPr>
          <w:i/>
        </w:rPr>
        <w:t xml:space="preserve"> </w:t>
      </w:r>
      <w:r w:rsidR="00FC1511">
        <w:rPr>
          <w:i/>
        </w:rPr>
        <w:t>-</w:t>
      </w:r>
      <w:r w:rsidR="00AF0947">
        <w:rPr>
          <w:i/>
        </w:rPr>
        <w:t xml:space="preserve"> </w:t>
      </w:r>
      <w:r w:rsidR="00FC1511">
        <w:rPr>
          <w:i/>
        </w:rPr>
        <w:t xml:space="preserve">1800 MHz Band) Determination </w:t>
      </w:r>
      <w:r w:rsidR="00101E29" w:rsidRPr="00101E29">
        <w:rPr>
          <w:i/>
        </w:rPr>
        <w:t>2012</w:t>
      </w:r>
      <w:r w:rsidR="00FC1511" w:rsidRPr="005F107C">
        <w:rPr>
          <w:i/>
        </w:rPr>
        <w:t>.</w:t>
      </w:r>
    </w:p>
    <w:p w:rsidR="00B716D5" w:rsidRDefault="00B716D5" w:rsidP="00B716D5">
      <w:pPr>
        <w:rPr>
          <w:i/>
        </w:rPr>
      </w:pPr>
    </w:p>
    <w:p w:rsidR="001132BF" w:rsidRDefault="00B716D5">
      <w:pPr>
        <w:spacing w:before="120" w:after="240"/>
        <w:ind w:left="993" w:hanging="426"/>
      </w:pPr>
      <w:r>
        <w:t>(2)</w:t>
      </w:r>
      <w:r>
        <w:tab/>
        <w:t xml:space="preserve">When a radiocommunications transmitter or radiocommunications receiver is described as </w:t>
      </w:r>
      <w:r w:rsidR="006B4407" w:rsidRPr="006B4407">
        <w:rPr>
          <w:b/>
          <w:i/>
        </w:rPr>
        <w:t>high sited</w:t>
      </w:r>
      <w:r>
        <w:t xml:space="preserve">, this means its effective antenna height for </w:t>
      </w:r>
      <w:r>
        <w:rPr>
          <w:szCs w:val="24"/>
        </w:rPr>
        <w:t xml:space="preserve">any </w:t>
      </w:r>
      <w:r w:rsidRPr="005E64C5">
        <w:rPr>
          <w:szCs w:val="24"/>
        </w:rPr>
        <w:t>increment 1,</w:t>
      </w:r>
      <w:r w:rsidRPr="00F571D3">
        <w:rPr>
          <w:szCs w:val="24"/>
        </w:rPr>
        <w:t xml:space="preserve"> </w:t>
      </w:r>
      <w:r w:rsidRPr="00F571D3">
        <w:rPr>
          <w:i/>
          <w:szCs w:val="24"/>
        </w:rPr>
        <w:t>he</w:t>
      </w:r>
      <w:r w:rsidRPr="00F571D3">
        <w:rPr>
          <w:i/>
          <w:szCs w:val="24"/>
          <w:vertAlign w:val="subscript"/>
        </w:rPr>
        <w:t>1</w:t>
      </w:r>
      <w:r w:rsidRPr="00F571D3">
        <w:rPr>
          <w:i/>
          <w:szCs w:val="24"/>
        </w:rPr>
        <w:t>(</w:t>
      </w:r>
      <w:r w:rsidRPr="00F571D3">
        <w:rPr>
          <w:i/>
          <w:szCs w:val="24"/>
        </w:rPr>
        <w:sym w:font="Symbol" w:char="F066"/>
      </w:r>
      <w:r w:rsidRPr="00F571D3">
        <w:rPr>
          <w:i/>
          <w:szCs w:val="24"/>
          <w:vertAlign w:val="subscript"/>
        </w:rPr>
        <w:t>n</w:t>
      </w:r>
      <w:r w:rsidRPr="00F571D3">
        <w:rPr>
          <w:i/>
          <w:szCs w:val="24"/>
        </w:rPr>
        <w:t>)</w:t>
      </w:r>
      <w:r>
        <w:t xml:space="preserve"> is greater than 10 metres.</w:t>
      </w:r>
    </w:p>
    <w:p w:rsidR="001132BF" w:rsidRDefault="009D5805">
      <w:pPr>
        <w:spacing w:before="120" w:after="120"/>
        <w:ind w:left="993" w:hanging="426"/>
      </w:pPr>
      <w:r>
        <w:t>(3)</w:t>
      </w:r>
      <w:r>
        <w:tab/>
      </w:r>
      <w:r w:rsidR="00B716D5">
        <w:t xml:space="preserve">When a radiocommunications transmitter or radiocommunications receiver is described as </w:t>
      </w:r>
      <w:r w:rsidR="006B4407" w:rsidRPr="00FF41C0">
        <w:rPr>
          <w:b/>
          <w:i/>
        </w:rPr>
        <w:t>low sited</w:t>
      </w:r>
      <w:r w:rsidR="00B716D5">
        <w:t xml:space="preserve">, this means its effective antenna height for each </w:t>
      </w:r>
      <w:r w:rsidR="00B716D5" w:rsidRPr="00FF41C0">
        <w:t xml:space="preserve">increment 1, </w:t>
      </w:r>
      <w:r w:rsidR="00B716D5" w:rsidRPr="00FF41C0">
        <w:rPr>
          <w:i/>
        </w:rPr>
        <w:t>he1(</w:t>
      </w:r>
      <w:r w:rsidR="00B716D5" w:rsidRPr="00FF41C0">
        <w:rPr>
          <w:i/>
        </w:rPr>
        <w:sym w:font="Symbol" w:char="F066"/>
      </w:r>
      <w:r w:rsidR="00B716D5" w:rsidRPr="00FF41C0">
        <w:rPr>
          <w:i/>
        </w:rPr>
        <w:t xml:space="preserve">n) </w:t>
      </w:r>
      <w:r w:rsidR="00B716D5">
        <w:t>is less than or equal to 10 metres.</w:t>
      </w:r>
    </w:p>
    <w:p w:rsidR="00B716D5" w:rsidRDefault="00B716D5" w:rsidP="00B716D5">
      <w:pPr>
        <w:pStyle w:val="FootnoteText"/>
        <w:spacing w:before="120" w:after="240"/>
        <w:ind w:left="993"/>
      </w:pPr>
      <w:r>
        <w:t>Note</w:t>
      </w:r>
      <w:r w:rsidR="00AF0947">
        <w:tab/>
      </w:r>
      <w:r>
        <w:tab/>
        <w:t>The effective antenna height (</w:t>
      </w:r>
      <w:proofErr w:type="gramStart"/>
      <w:r w:rsidRPr="00AD05D5">
        <w:t>he1(</w:t>
      </w:r>
      <w:proofErr w:type="gramEnd"/>
      <w:r w:rsidRPr="00AD05D5">
        <w:sym w:font="Symbol" w:char="F066"/>
      </w:r>
      <w:r w:rsidRPr="00AD05D5">
        <w:t>n)</w:t>
      </w:r>
      <w:r>
        <w:t>) is calculated in accordance with the formula specified in the s</w:t>
      </w:r>
      <w:r w:rsidR="009D5805">
        <w:t xml:space="preserve">ection </w:t>
      </w:r>
      <w:r>
        <w:t xml:space="preserve">145 </w:t>
      </w:r>
      <w:r w:rsidR="00603DA6">
        <w:t>D</w:t>
      </w:r>
      <w:r>
        <w:t>etermination</w:t>
      </w:r>
      <w:r w:rsidR="009D5805">
        <w:t>.</w:t>
      </w:r>
    </w:p>
    <w:p w:rsidR="001132BF" w:rsidRDefault="00101E29">
      <w:pPr>
        <w:spacing w:after="240"/>
        <w:ind w:left="993" w:hanging="426"/>
      </w:pPr>
      <w:r w:rsidRPr="00101E29">
        <w:t>(</w:t>
      </w:r>
      <w:r w:rsidR="009D5805">
        <w:t>4</w:t>
      </w:r>
      <w:r w:rsidRPr="00101E29">
        <w:t>)</w:t>
      </w:r>
      <w:r w:rsidR="00BD40A4">
        <w:tab/>
      </w:r>
      <w:r w:rsidR="00FC1511">
        <w:t>In these</w:t>
      </w:r>
      <w:r w:rsidR="00644242">
        <w:t xml:space="preserve"> </w:t>
      </w:r>
      <w:r w:rsidR="00011A4E">
        <w:t>g</w:t>
      </w:r>
      <w:r w:rsidR="00FC1511">
        <w:t>uidelines, the range of numbers that identifies a frequency band includes the higher, but not the lower, number.</w:t>
      </w:r>
    </w:p>
    <w:p w:rsidR="00644242" w:rsidRDefault="00101E29" w:rsidP="00644242">
      <w:pPr>
        <w:ind w:left="993" w:hanging="426"/>
      </w:pPr>
      <w:r w:rsidRPr="00101E29">
        <w:t>(</w:t>
      </w:r>
      <w:r w:rsidR="009D5805">
        <w:t>5</w:t>
      </w:r>
      <w:r w:rsidRPr="00101E29">
        <w:t>)</w:t>
      </w:r>
      <w:r w:rsidRPr="00101E29">
        <w:tab/>
      </w:r>
      <w:r w:rsidR="00644242">
        <w:t xml:space="preserve">A number of terms used in these </w:t>
      </w:r>
      <w:r w:rsidR="00011A4E">
        <w:t>g</w:t>
      </w:r>
      <w:r w:rsidR="00644242">
        <w:t>uidelines are defined in the section 145 Determination and, unless the contrary intention appears, have the same meaning as in that determination.</w:t>
      </w:r>
    </w:p>
    <w:p w:rsidR="009B20AE" w:rsidRDefault="009B20AE" w:rsidP="009B20AE">
      <w:pPr>
        <w:tabs>
          <w:tab w:val="left" w:pos="993"/>
        </w:tabs>
      </w:pPr>
    </w:p>
    <w:p w:rsidR="00E70D99" w:rsidRPr="00E70D99" w:rsidRDefault="00644242" w:rsidP="00E70D99">
      <w:pPr>
        <w:ind w:left="273" w:firstLine="720"/>
        <w:rPr>
          <w:sz w:val="20"/>
        </w:rPr>
      </w:pPr>
      <w:r w:rsidRPr="00E70D99">
        <w:rPr>
          <w:sz w:val="20"/>
        </w:rPr>
        <w:t>Note 1</w:t>
      </w:r>
      <w:r w:rsidRPr="00E70D99">
        <w:rPr>
          <w:sz w:val="20"/>
        </w:rPr>
        <w:tab/>
        <w:t>The following terms are defined in the section 145 Determination:</w:t>
      </w:r>
    </w:p>
    <w:p w:rsidR="00101E29" w:rsidRPr="00E70D99" w:rsidRDefault="002C3516" w:rsidP="00E70D99">
      <w:pPr>
        <w:pStyle w:val="ListParagraph"/>
        <w:numPr>
          <w:ilvl w:val="0"/>
          <w:numId w:val="25"/>
        </w:numPr>
        <w:tabs>
          <w:tab w:val="left" w:pos="993"/>
        </w:tabs>
        <w:rPr>
          <w:sz w:val="20"/>
        </w:rPr>
      </w:pPr>
      <w:r w:rsidRPr="00E70D99">
        <w:rPr>
          <w:sz w:val="20"/>
        </w:rPr>
        <w:t>DEM-9S</w:t>
      </w:r>
    </w:p>
    <w:p w:rsidR="00101E29" w:rsidRPr="00E70D99" w:rsidRDefault="002C3516" w:rsidP="00E70D99">
      <w:pPr>
        <w:pStyle w:val="ListParagraph"/>
        <w:numPr>
          <w:ilvl w:val="0"/>
          <w:numId w:val="25"/>
        </w:numPr>
        <w:tabs>
          <w:tab w:val="left" w:pos="993"/>
        </w:tabs>
        <w:rPr>
          <w:sz w:val="20"/>
        </w:rPr>
      </w:pPr>
      <w:r w:rsidRPr="00E70D99">
        <w:rPr>
          <w:sz w:val="20"/>
        </w:rPr>
        <w:t>DEM-9S cell</w:t>
      </w:r>
    </w:p>
    <w:p w:rsidR="003F1999" w:rsidRDefault="002C3516" w:rsidP="00E70D99">
      <w:pPr>
        <w:pStyle w:val="ListParagraph"/>
        <w:numPr>
          <w:ilvl w:val="0"/>
          <w:numId w:val="25"/>
        </w:numPr>
        <w:tabs>
          <w:tab w:val="left" w:pos="993"/>
        </w:tabs>
        <w:rPr>
          <w:sz w:val="20"/>
        </w:rPr>
      </w:pPr>
      <w:r w:rsidRPr="00E70D99">
        <w:rPr>
          <w:sz w:val="20"/>
        </w:rPr>
        <w:t>effective antenna height</w:t>
      </w:r>
    </w:p>
    <w:p w:rsidR="00101E29" w:rsidRPr="00E70D99" w:rsidRDefault="002C3516" w:rsidP="00E70D99">
      <w:pPr>
        <w:pStyle w:val="ListParagraph"/>
        <w:numPr>
          <w:ilvl w:val="0"/>
          <w:numId w:val="25"/>
        </w:numPr>
        <w:tabs>
          <w:tab w:val="left" w:pos="993"/>
        </w:tabs>
        <w:rPr>
          <w:sz w:val="20"/>
        </w:rPr>
      </w:pPr>
      <w:r w:rsidRPr="00E70D99">
        <w:rPr>
          <w:sz w:val="20"/>
        </w:rPr>
        <w:t>fixed transmitter</w:t>
      </w:r>
    </w:p>
    <w:p w:rsidR="00101E29" w:rsidRPr="00E70D99" w:rsidRDefault="002C3516" w:rsidP="00E70D99">
      <w:pPr>
        <w:pStyle w:val="ListParagraph"/>
        <w:numPr>
          <w:ilvl w:val="0"/>
          <w:numId w:val="25"/>
        </w:numPr>
        <w:tabs>
          <w:tab w:val="left" w:pos="993"/>
        </w:tabs>
        <w:rPr>
          <w:sz w:val="20"/>
        </w:rPr>
      </w:pPr>
      <w:r w:rsidRPr="00E70D99">
        <w:rPr>
          <w:sz w:val="20"/>
        </w:rPr>
        <w:t xml:space="preserve">geographic area </w:t>
      </w:r>
    </w:p>
    <w:p w:rsidR="00101E29" w:rsidRPr="00E70D99" w:rsidRDefault="002C3516" w:rsidP="00E70D99">
      <w:pPr>
        <w:pStyle w:val="ListParagraph"/>
        <w:numPr>
          <w:ilvl w:val="0"/>
          <w:numId w:val="25"/>
        </w:numPr>
        <w:tabs>
          <w:tab w:val="left" w:pos="993"/>
        </w:tabs>
        <w:rPr>
          <w:sz w:val="20"/>
        </w:rPr>
      </w:pPr>
      <w:r w:rsidRPr="00E70D99">
        <w:rPr>
          <w:sz w:val="20"/>
        </w:rPr>
        <w:t>horizontally radiated power</w:t>
      </w:r>
    </w:p>
    <w:p w:rsidR="00101E29" w:rsidRPr="00E70D99" w:rsidRDefault="002C3516" w:rsidP="00E70D99">
      <w:pPr>
        <w:pStyle w:val="ListParagraph"/>
        <w:numPr>
          <w:ilvl w:val="0"/>
          <w:numId w:val="25"/>
        </w:numPr>
        <w:tabs>
          <w:tab w:val="left" w:pos="993"/>
        </w:tabs>
        <w:rPr>
          <w:sz w:val="20"/>
        </w:rPr>
      </w:pPr>
      <w:r w:rsidRPr="00E70D99">
        <w:rPr>
          <w:sz w:val="20"/>
        </w:rPr>
        <w:t>occupied bandwidth.</w:t>
      </w:r>
    </w:p>
    <w:p w:rsidR="00101E29" w:rsidRDefault="00101E29" w:rsidP="00CD0505">
      <w:pPr>
        <w:tabs>
          <w:tab w:val="left" w:pos="993"/>
        </w:tabs>
        <w:ind w:left="993" w:hanging="426"/>
      </w:pPr>
    </w:p>
    <w:p w:rsidR="00101E29" w:rsidRDefault="00BD40A4" w:rsidP="00101E29">
      <w:pPr>
        <w:tabs>
          <w:tab w:val="left" w:pos="993"/>
        </w:tabs>
        <w:ind w:left="993" w:hanging="426"/>
        <w:rPr>
          <w:sz w:val="20"/>
        </w:rPr>
      </w:pPr>
      <w:r>
        <w:tab/>
      </w:r>
      <w:r>
        <w:rPr>
          <w:sz w:val="20"/>
        </w:rPr>
        <w:t>Note</w:t>
      </w:r>
      <w:r w:rsidR="007C41A2">
        <w:rPr>
          <w:sz w:val="20"/>
        </w:rPr>
        <w:t xml:space="preserve"> 2</w:t>
      </w:r>
      <w:r>
        <w:rPr>
          <w:sz w:val="20"/>
        </w:rPr>
        <w:tab/>
      </w:r>
      <w:r w:rsidR="00D91898">
        <w:rPr>
          <w:sz w:val="20"/>
        </w:rPr>
        <w:t>The following</w:t>
      </w:r>
      <w:r>
        <w:rPr>
          <w:sz w:val="20"/>
        </w:rPr>
        <w:t xml:space="preserve"> terms used in </w:t>
      </w:r>
      <w:r w:rsidR="00644242">
        <w:rPr>
          <w:sz w:val="20"/>
        </w:rPr>
        <w:t xml:space="preserve">these </w:t>
      </w:r>
      <w:r w:rsidR="00011A4E">
        <w:rPr>
          <w:sz w:val="20"/>
        </w:rPr>
        <w:t>g</w:t>
      </w:r>
      <w:r w:rsidR="00644242">
        <w:rPr>
          <w:sz w:val="20"/>
        </w:rPr>
        <w:t>uidelines</w:t>
      </w:r>
      <w:r>
        <w:rPr>
          <w:sz w:val="20"/>
        </w:rPr>
        <w:t xml:space="preserve">, are defined in the </w:t>
      </w:r>
      <w:r w:rsidR="00BD49A3" w:rsidRPr="00BD49A3">
        <w:rPr>
          <w:sz w:val="20"/>
        </w:rPr>
        <w:t>Act</w:t>
      </w:r>
      <w:r>
        <w:rPr>
          <w:sz w:val="20"/>
        </w:rPr>
        <w:t xml:space="preserve"> and </w:t>
      </w:r>
      <w:r w:rsidR="00D91898">
        <w:rPr>
          <w:sz w:val="20"/>
        </w:rPr>
        <w:t xml:space="preserve">unless the contrary intention appears, </w:t>
      </w:r>
      <w:r>
        <w:rPr>
          <w:sz w:val="20"/>
        </w:rPr>
        <w:t>have the meaning given to them by th</w:t>
      </w:r>
      <w:r w:rsidR="00133065">
        <w:rPr>
          <w:sz w:val="20"/>
        </w:rPr>
        <w:t>e</w:t>
      </w:r>
      <w:r>
        <w:rPr>
          <w:sz w:val="20"/>
        </w:rPr>
        <w:t xml:space="preserve"> Act:</w:t>
      </w:r>
    </w:p>
    <w:p w:rsidR="00101E29" w:rsidRPr="00101E29" w:rsidRDefault="00101E29" w:rsidP="00101E29">
      <w:pPr>
        <w:pStyle w:val="ListParagraph"/>
        <w:numPr>
          <w:ilvl w:val="0"/>
          <w:numId w:val="7"/>
        </w:numPr>
        <w:tabs>
          <w:tab w:val="left" w:pos="993"/>
        </w:tabs>
        <w:rPr>
          <w:sz w:val="20"/>
        </w:rPr>
      </w:pPr>
      <w:r w:rsidRPr="00101E29">
        <w:rPr>
          <w:sz w:val="20"/>
        </w:rPr>
        <w:t>ACMA</w:t>
      </w:r>
    </w:p>
    <w:p w:rsidR="00101E29" w:rsidRPr="00101E29" w:rsidRDefault="00BD40A4" w:rsidP="00101E29">
      <w:pPr>
        <w:pStyle w:val="ListParagraph"/>
        <w:numPr>
          <w:ilvl w:val="0"/>
          <w:numId w:val="7"/>
        </w:numPr>
        <w:tabs>
          <w:tab w:val="left" w:pos="993"/>
        </w:tabs>
      </w:pPr>
      <w:r>
        <w:rPr>
          <w:sz w:val="20"/>
        </w:rPr>
        <w:t>core condition</w:t>
      </w:r>
    </w:p>
    <w:p w:rsidR="00101E29" w:rsidRPr="00101E29" w:rsidRDefault="00BD40A4" w:rsidP="00101E29">
      <w:pPr>
        <w:pStyle w:val="ListParagraph"/>
        <w:numPr>
          <w:ilvl w:val="0"/>
          <w:numId w:val="7"/>
        </w:numPr>
        <w:tabs>
          <w:tab w:val="left" w:pos="993"/>
        </w:tabs>
      </w:pPr>
      <w:r>
        <w:rPr>
          <w:sz w:val="20"/>
        </w:rPr>
        <w:t>frequency band</w:t>
      </w:r>
    </w:p>
    <w:p w:rsidR="00101E29" w:rsidRPr="00101E29" w:rsidRDefault="00BD40A4" w:rsidP="00101E29">
      <w:pPr>
        <w:pStyle w:val="ListParagraph"/>
        <w:numPr>
          <w:ilvl w:val="0"/>
          <w:numId w:val="7"/>
        </w:numPr>
        <w:tabs>
          <w:tab w:val="left" w:pos="993"/>
        </w:tabs>
      </w:pPr>
      <w:r>
        <w:rPr>
          <w:sz w:val="20"/>
        </w:rPr>
        <w:t>interference</w:t>
      </w:r>
    </w:p>
    <w:p w:rsidR="00101E29" w:rsidRPr="00101E29" w:rsidRDefault="00BD40A4" w:rsidP="00101E29">
      <w:pPr>
        <w:pStyle w:val="ListParagraph"/>
        <w:numPr>
          <w:ilvl w:val="0"/>
          <w:numId w:val="7"/>
        </w:numPr>
        <w:tabs>
          <w:tab w:val="left" w:pos="993"/>
        </w:tabs>
      </w:pPr>
      <w:r>
        <w:rPr>
          <w:sz w:val="20"/>
        </w:rPr>
        <w:t>radiocommunications receiver</w:t>
      </w:r>
    </w:p>
    <w:p w:rsidR="00101E29" w:rsidRPr="005459BD" w:rsidRDefault="00BD40A4" w:rsidP="00101E29">
      <w:pPr>
        <w:pStyle w:val="ListParagraph"/>
        <w:numPr>
          <w:ilvl w:val="0"/>
          <w:numId w:val="7"/>
        </w:numPr>
        <w:tabs>
          <w:tab w:val="left" w:pos="993"/>
        </w:tabs>
      </w:pPr>
      <w:r>
        <w:rPr>
          <w:sz w:val="20"/>
        </w:rPr>
        <w:t>radiocommunication transmitter</w:t>
      </w:r>
    </w:p>
    <w:p w:rsidR="005459BD" w:rsidRPr="00101E29" w:rsidRDefault="005459BD" w:rsidP="00101E29">
      <w:pPr>
        <w:pStyle w:val="ListParagraph"/>
        <w:numPr>
          <w:ilvl w:val="0"/>
          <w:numId w:val="7"/>
        </w:numPr>
        <w:tabs>
          <w:tab w:val="left" w:pos="993"/>
        </w:tabs>
      </w:pPr>
      <w:r>
        <w:rPr>
          <w:sz w:val="20"/>
        </w:rPr>
        <w:t>Register</w:t>
      </w:r>
    </w:p>
    <w:p w:rsidR="00101E29" w:rsidRDefault="00BD40A4" w:rsidP="00101E29">
      <w:pPr>
        <w:pStyle w:val="ListParagraph"/>
        <w:numPr>
          <w:ilvl w:val="0"/>
          <w:numId w:val="7"/>
        </w:numPr>
        <w:tabs>
          <w:tab w:val="left" w:pos="993"/>
        </w:tabs>
      </w:pPr>
      <w:r>
        <w:rPr>
          <w:sz w:val="20"/>
        </w:rPr>
        <w:t>spectrum licence</w:t>
      </w:r>
      <w:r w:rsidR="00603DA6">
        <w:rPr>
          <w:sz w:val="20"/>
        </w:rPr>
        <w:t>.</w:t>
      </w:r>
    </w:p>
    <w:p w:rsidR="00603DA6" w:rsidRDefault="00603DA6">
      <w:r>
        <w:br w:type="page"/>
      </w:r>
    </w:p>
    <w:p w:rsidR="00603DA6" w:rsidRDefault="00603DA6" w:rsidP="00FC1511"/>
    <w:p w:rsidR="00101E29" w:rsidRDefault="00447FA4" w:rsidP="00101E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Background</w:t>
      </w:r>
    </w:p>
    <w:p w:rsidR="006B4407" w:rsidRDefault="00447FA4" w:rsidP="006B4407">
      <w:pPr>
        <w:tabs>
          <w:tab w:val="left" w:pos="993"/>
        </w:tabs>
        <w:spacing w:before="120" w:after="120"/>
      </w:pPr>
      <w:r>
        <w:t>A spectrum licence consists of a frequency band and a geographic area.  Interference occurring between adjacent spectrum licences consists of</w:t>
      </w:r>
      <w:r w:rsidR="00CD0505">
        <w:t xml:space="preserve"> </w:t>
      </w:r>
      <w:r>
        <w:t>in-band interference across the geographic boundaries and</w:t>
      </w:r>
      <w:r w:rsidR="00CD0505">
        <w:t xml:space="preserve"> o</w:t>
      </w:r>
      <w:r w:rsidR="002F19AA">
        <w:t>ut-of-</w:t>
      </w:r>
      <w:r>
        <w:t>band interference across the frequency boundaries.</w:t>
      </w:r>
    </w:p>
    <w:p w:rsidR="006B4407" w:rsidRDefault="00CD0505" w:rsidP="006B4407">
      <w:pPr>
        <w:spacing w:after="120"/>
      </w:pPr>
      <w:r>
        <w:t>T</w:t>
      </w:r>
      <w:r w:rsidR="00447FA4">
        <w:t xml:space="preserve">his interference is managed by creating emission buffer zones along the geographic and frequency boundaries of the licence, using a number of </w:t>
      </w:r>
      <w:r w:rsidR="00FC6270">
        <w:t>provisions of</w:t>
      </w:r>
      <w:r w:rsidR="00447FA4">
        <w:t xml:space="preserve"> the</w:t>
      </w:r>
      <w:r w:rsidR="002A05AD">
        <w:t xml:space="preserve"> Act</w:t>
      </w:r>
      <w:r w:rsidR="00447FA4">
        <w:rPr>
          <w:i/>
        </w:rPr>
        <w:t>.</w:t>
      </w:r>
      <w:r w:rsidR="00447FA4">
        <w:t xml:space="preserve">  These </w:t>
      </w:r>
      <w:r w:rsidR="00FC6270">
        <w:t>include</w:t>
      </w:r>
      <w:r w:rsidR="00447FA4">
        <w:t>:</w:t>
      </w:r>
    </w:p>
    <w:p w:rsidR="006B4407" w:rsidRDefault="00CD0505" w:rsidP="006B4407">
      <w:pPr>
        <w:pStyle w:val="ListParagraph"/>
        <w:numPr>
          <w:ilvl w:val="0"/>
          <w:numId w:val="19"/>
        </w:numPr>
        <w:spacing w:after="120"/>
      </w:pPr>
      <w:r>
        <w:t>the core con</w:t>
      </w:r>
      <w:r w:rsidR="00447FA4">
        <w:t xml:space="preserve">ditions </w:t>
      </w:r>
      <w:r w:rsidR="00603DA6">
        <w:t xml:space="preserve">that </w:t>
      </w:r>
      <w:r w:rsidR="00447FA4">
        <w:t xml:space="preserve">all spectrum licences </w:t>
      </w:r>
      <w:r w:rsidR="00603DA6">
        <w:t xml:space="preserve">are subject to </w:t>
      </w:r>
      <w:r w:rsidR="00447FA4">
        <w:t>(see s</w:t>
      </w:r>
      <w:r w:rsidR="002A05AD">
        <w:t>ection</w:t>
      </w:r>
      <w:r w:rsidR="004D3815">
        <w:t xml:space="preserve"> </w:t>
      </w:r>
      <w:r w:rsidR="00447FA4">
        <w:t>66 of the Act), abou</w:t>
      </w:r>
      <w:r w:rsidR="006C1AB6">
        <w:t xml:space="preserve">t </w:t>
      </w:r>
      <w:r w:rsidR="00447FA4">
        <w:t>emission limits outside the area</w:t>
      </w:r>
      <w:r>
        <w:t xml:space="preserve"> and </w:t>
      </w:r>
      <w:r w:rsidR="00447FA4">
        <w:t>emission limits outside the band</w:t>
      </w:r>
      <w:r w:rsidR="00523B94">
        <w:t>;</w:t>
      </w:r>
    </w:p>
    <w:p w:rsidR="006B4407" w:rsidRDefault="006C1AB6" w:rsidP="006B4407">
      <w:pPr>
        <w:pStyle w:val="ListParagraph"/>
        <w:numPr>
          <w:ilvl w:val="0"/>
          <w:numId w:val="19"/>
        </w:numPr>
        <w:spacing w:after="120"/>
      </w:pPr>
      <w:r>
        <w:t xml:space="preserve">the </w:t>
      </w:r>
      <w:r w:rsidR="0092676C">
        <w:t xml:space="preserve">applicable </w:t>
      </w:r>
      <w:r>
        <w:t xml:space="preserve">determination under </w:t>
      </w:r>
      <w:r w:rsidR="00603DA6">
        <w:t>sub</w:t>
      </w:r>
      <w:r>
        <w:t>section 145</w:t>
      </w:r>
      <w:r w:rsidR="00603DA6">
        <w:t xml:space="preserve"> (4)</w:t>
      </w:r>
      <w:r>
        <w:t xml:space="preserve"> of the Act relating to unacceptable </w:t>
      </w:r>
      <w:r w:rsidR="00603DA6">
        <w:t xml:space="preserve">levels of </w:t>
      </w:r>
      <w:r>
        <w:t xml:space="preserve">interference; and </w:t>
      </w:r>
    </w:p>
    <w:p w:rsidR="006B4407" w:rsidRDefault="00603DA6" w:rsidP="006B4407">
      <w:pPr>
        <w:pStyle w:val="ListParagraph"/>
        <w:numPr>
          <w:ilvl w:val="0"/>
          <w:numId w:val="21"/>
        </w:numPr>
        <w:spacing w:after="120"/>
      </w:pPr>
      <w:r>
        <w:t>a</w:t>
      </w:r>
      <w:r w:rsidR="00447FA4">
        <w:t xml:space="preserve">dvisory </w:t>
      </w:r>
      <w:r>
        <w:t>g</w:t>
      </w:r>
      <w:r w:rsidR="00447FA4">
        <w:t>uidelines made under s</w:t>
      </w:r>
      <w:r w:rsidR="002A05AD">
        <w:t xml:space="preserve">ection </w:t>
      </w:r>
      <w:r w:rsidR="00447FA4">
        <w:t>262 of the Act, about managing interference in specific circumstances.</w:t>
      </w:r>
    </w:p>
    <w:p w:rsidR="006B4407" w:rsidRDefault="002A05AD" w:rsidP="006B4407">
      <w:pPr>
        <w:spacing w:after="120"/>
      </w:pPr>
      <w:r>
        <w:t xml:space="preserve">These </w:t>
      </w:r>
      <w:r w:rsidR="00E11317">
        <w:t>g</w:t>
      </w:r>
      <w:r w:rsidR="00197630">
        <w:t>uidelines</w:t>
      </w:r>
      <w:r>
        <w:t xml:space="preserve"> are intended to assist in</w:t>
      </w:r>
      <w:r w:rsidR="00447FA4">
        <w:t xml:space="preserve"> the managemen</w:t>
      </w:r>
      <w:r w:rsidR="00523B94">
        <w:t>t of interference to radiocommunications</w:t>
      </w:r>
      <w:r w:rsidR="00447FA4">
        <w:t xml:space="preserve"> receivers operating in the</w:t>
      </w:r>
      <w:r w:rsidR="002C7815">
        <w:t xml:space="preserve"> 1800 MHz L</w:t>
      </w:r>
      <w:r w:rsidR="00447FA4">
        <w:t>ower band.</w:t>
      </w:r>
    </w:p>
    <w:p w:rsidR="00BE63CA" w:rsidRDefault="00BE63CA">
      <w:r>
        <w:br w:type="page"/>
      </w:r>
    </w:p>
    <w:p w:rsidR="00101E29" w:rsidRDefault="00101E29" w:rsidP="00101E29"/>
    <w:p w:rsidR="009B20AE" w:rsidRDefault="002F19AA" w:rsidP="009B20AE">
      <w:pPr>
        <w:tabs>
          <w:tab w:val="left" w:pos="993"/>
        </w:tabs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</w:t>
      </w:r>
      <w:r w:rsidR="00101E29" w:rsidRPr="00101E29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ab/>
      </w:r>
      <w:r w:rsidR="00AC2D45" w:rsidRPr="004B0A30">
        <w:rPr>
          <w:rFonts w:ascii="Arial" w:hAnsi="Arial" w:cs="Arial"/>
          <w:b/>
        </w:rPr>
        <w:t>C</w:t>
      </w:r>
      <w:r w:rsidR="00AC2D45">
        <w:rPr>
          <w:rFonts w:ascii="Arial" w:hAnsi="Arial" w:cs="Arial"/>
          <w:b/>
        </w:rPr>
        <w:t>oexistence</w:t>
      </w:r>
      <w:r w:rsidR="00AC2D45" w:rsidRPr="004B0A30">
        <w:rPr>
          <w:rFonts w:ascii="Arial" w:hAnsi="Arial" w:cs="Arial"/>
          <w:b/>
        </w:rPr>
        <w:t xml:space="preserve"> </w:t>
      </w:r>
      <w:r w:rsidR="00964F17" w:rsidRPr="002F19AA">
        <w:rPr>
          <w:rFonts w:ascii="Arial" w:hAnsi="Arial" w:cs="Arial"/>
          <w:b/>
        </w:rPr>
        <w:t>arrangements</w:t>
      </w:r>
      <w:r w:rsidR="00AC2D45" w:rsidRPr="002F19AA">
        <w:rPr>
          <w:rFonts w:ascii="Arial" w:hAnsi="Arial" w:cs="Arial"/>
          <w:b/>
        </w:rPr>
        <w:t xml:space="preserve"> </w:t>
      </w:r>
      <w:r w:rsidR="002C7815">
        <w:rPr>
          <w:rFonts w:ascii="Arial" w:hAnsi="Arial" w:cs="Arial"/>
          <w:b/>
        </w:rPr>
        <w:t>in the 1800 MHz L</w:t>
      </w:r>
      <w:r w:rsidR="00523B94">
        <w:rPr>
          <w:rFonts w:ascii="Arial" w:hAnsi="Arial" w:cs="Arial"/>
          <w:b/>
        </w:rPr>
        <w:t>ower band</w:t>
      </w:r>
    </w:p>
    <w:p w:rsidR="00FC1511" w:rsidRDefault="00FC1511" w:rsidP="00FC1511">
      <w:pPr>
        <w:rPr>
          <w:b/>
        </w:rPr>
      </w:pPr>
    </w:p>
    <w:p w:rsidR="009B20AE" w:rsidRDefault="00FC1511" w:rsidP="009B20AE">
      <w:pPr>
        <w:pStyle w:val="ListParagraph"/>
        <w:numPr>
          <w:ilvl w:val="0"/>
          <w:numId w:val="27"/>
        </w:numPr>
        <w:tabs>
          <w:tab w:val="left" w:pos="993"/>
        </w:tabs>
        <w:ind w:hanging="927"/>
      </w:pPr>
      <w:r>
        <w:t xml:space="preserve">The emission buffer zones along the geographic boundaries of 1800 MHz spectrum licences are created by </w:t>
      </w:r>
      <w:r w:rsidR="002C7815">
        <w:t>calculating the</w:t>
      </w:r>
      <w:r>
        <w:t xml:space="preserve"> device boundary criteria set out in the </w:t>
      </w:r>
      <w:r w:rsidR="002A05AD">
        <w:t>section 145</w:t>
      </w:r>
      <w:r>
        <w:t xml:space="preserve"> </w:t>
      </w:r>
      <w:r w:rsidR="00603DA6">
        <w:t>Determination</w:t>
      </w:r>
      <w:r>
        <w:t xml:space="preserve">.  The device boundary criteria </w:t>
      </w:r>
      <w:r w:rsidR="00523B94">
        <w:t xml:space="preserve">in the </w:t>
      </w:r>
      <w:r w:rsidR="002A05AD">
        <w:t>section 145</w:t>
      </w:r>
      <w:r w:rsidR="00523B94">
        <w:t xml:space="preserve"> </w:t>
      </w:r>
      <w:r w:rsidR="00603DA6">
        <w:t xml:space="preserve">Determination </w:t>
      </w:r>
      <w:r>
        <w:t>are based on a high site</w:t>
      </w:r>
      <w:r w:rsidR="00523B94">
        <w:t xml:space="preserve"> to</w:t>
      </w:r>
      <w:r>
        <w:t xml:space="preserve"> low site propagation model</w:t>
      </w:r>
      <w:r w:rsidR="00523B94">
        <w:t xml:space="preserve"> which is generally representative of path loss for frequency division duplex (FDD) mobile services</w:t>
      </w:r>
      <w:r>
        <w:t xml:space="preserve">.  </w:t>
      </w:r>
      <w:r w:rsidR="00523B94">
        <w:t>This facilitates the deployment of services with high sited radiocommunication</w:t>
      </w:r>
      <w:r w:rsidR="002C7815">
        <w:t>s transmitters in the 1800 MHz U</w:t>
      </w:r>
      <w:r w:rsidR="00523B94">
        <w:t>pper band and high sited radiocommunicat</w:t>
      </w:r>
      <w:r w:rsidR="002C7815">
        <w:t>ions receivers in the 1800 MHz L</w:t>
      </w:r>
      <w:r w:rsidR="00523B94">
        <w:t xml:space="preserve">ower band. </w:t>
      </w:r>
    </w:p>
    <w:p w:rsidR="00101E29" w:rsidRDefault="00101E29" w:rsidP="00415527">
      <w:pPr>
        <w:tabs>
          <w:tab w:val="left" w:pos="993"/>
        </w:tabs>
        <w:ind w:left="993" w:hanging="927"/>
      </w:pPr>
    </w:p>
    <w:p w:rsidR="00523B94" w:rsidRDefault="00964F17" w:rsidP="00415527">
      <w:pPr>
        <w:ind w:left="993" w:hanging="927"/>
      </w:pPr>
      <w:r>
        <w:t>(2</w:t>
      </w:r>
      <w:r w:rsidR="004B0A30" w:rsidRPr="004B0A30">
        <w:t>)</w:t>
      </w:r>
      <w:r w:rsidR="004B0A30" w:rsidRPr="004B0A30">
        <w:tab/>
      </w:r>
      <w:r w:rsidR="00523B94">
        <w:t xml:space="preserve">In order to increase flexibility in the use of spectrum, </w:t>
      </w:r>
      <w:r w:rsidR="00B716D5">
        <w:t xml:space="preserve">the section 145 </w:t>
      </w:r>
      <w:r w:rsidR="00603DA6">
        <w:t>D</w:t>
      </w:r>
      <w:r w:rsidR="00B716D5">
        <w:t xml:space="preserve">etermination allows </w:t>
      </w:r>
      <w:r w:rsidR="00523B94">
        <w:t xml:space="preserve">high sited radiocommunications transmitters </w:t>
      </w:r>
      <w:r w:rsidR="002C7815">
        <w:t xml:space="preserve">to be </w:t>
      </w:r>
      <w:r w:rsidR="00B716D5">
        <w:t xml:space="preserve">operated </w:t>
      </w:r>
      <w:r w:rsidR="002C7815">
        <w:t>in the 1800 MHz L</w:t>
      </w:r>
      <w:r w:rsidR="00523B94">
        <w:t>ower band.  This can result in situations where both high sited radiocommunications transmitters and</w:t>
      </w:r>
      <w:r w:rsidR="00D03D02">
        <w:t xml:space="preserve"> high sited</w:t>
      </w:r>
      <w:r w:rsidR="0006200A">
        <w:t xml:space="preserve"> radiocommunications</w:t>
      </w:r>
      <w:r w:rsidR="00523B94">
        <w:t xml:space="preserve"> receiver</w:t>
      </w:r>
      <w:r w:rsidR="002C7815">
        <w:t xml:space="preserve">s </w:t>
      </w:r>
      <w:r w:rsidR="00B716D5">
        <w:t xml:space="preserve">operate </w:t>
      </w:r>
      <w:r w:rsidR="002C7815">
        <w:t>in the 1800 MHz L</w:t>
      </w:r>
      <w:r w:rsidR="00523B94">
        <w:t>ower band.  As a result</w:t>
      </w:r>
      <w:r w:rsidR="00F25681">
        <w:t>,</w:t>
      </w:r>
      <w:r w:rsidR="00523B94">
        <w:t xml:space="preserve"> there is an increased risk of interference occurring.  In looking to accommodate a mix of services while managing the potential for interference, a compromise has been necessary </w:t>
      </w:r>
      <w:r w:rsidR="0006200A">
        <w:t>to allow these services to co-exist in the 1800</w:t>
      </w:r>
      <w:r w:rsidR="007002B4">
        <w:t xml:space="preserve"> </w:t>
      </w:r>
      <w:r w:rsidR="0006200A">
        <w:t xml:space="preserve">MHz Lower band. </w:t>
      </w:r>
    </w:p>
    <w:p w:rsidR="00523B94" w:rsidRDefault="00523B94" w:rsidP="00415527">
      <w:pPr>
        <w:ind w:left="993" w:hanging="927"/>
      </w:pPr>
    </w:p>
    <w:p w:rsidR="00101E29" w:rsidRDefault="00964F17" w:rsidP="00415527">
      <w:pPr>
        <w:ind w:left="993" w:hanging="927"/>
      </w:pPr>
      <w:r>
        <w:t>(3</w:t>
      </w:r>
      <w:r w:rsidR="00101E29" w:rsidRPr="00101E29">
        <w:t>)</w:t>
      </w:r>
      <w:r w:rsidR="005E1F37">
        <w:rPr>
          <w:b/>
        </w:rPr>
        <w:tab/>
      </w:r>
      <w:r w:rsidR="00FA46AF">
        <w:t xml:space="preserve">The compromise </w:t>
      </w:r>
      <w:r w:rsidR="00AA46C2">
        <w:t xml:space="preserve">made is to </w:t>
      </w:r>
      <w:r w:rsidR="00B716D5">
        <w:t xml:space="preserve">give precedence to </w:t>
      </w:r>
      <w:r w:rsidR="00AA46C2">
        <w:t>FDD mobile</w:t>
      </w:r>
      <w:r w:rsidR="00FA46AF">
        <w:t xml:space="preserve"> </w:t>
      </w:r>
      <w:r w:rsidR="00AA46C2">
        <w:t>services in areas of</w:t>
      </w:r>
      <w:r w:rsidR="00FA46AF">
        <w:t xml:space="preserve"> high mobile use and </w:t>
      </w:r>
      <w:r w:rsidR="007545F9">
        <w:t>only</w:t>
      </w:r>
      <w:r w:rsidR="001454F0">
        <w:t xml:space="preserve"> allow high sited radiocommunications transmitters to be operated in the 1800 MHz Lower band </w:t>
      </w:r>
      <w:r w:rsidR="00AA46C2">
        <w:t>outside these areas.  To achieve this, in areas of high mobile use</w:t>
      </w:r>
      <w:r w:rsidR="00897C17">
        <w:t>,</w:t>
      </w:r>
      <w:r w:rsidR="00AA46C2">
        <w:t xml:space="preserve"> </w:t>
      </w:r>
      <w:r w:rsidR="0006200A">
        <w:t xml:space="preserve">radiocommunications </w:t>
      </w:r>
      <w:r w:rsidR="00AA46C2">
        <w:t xml:space="preserve">transmitters are restricted to low sites </w:t>
      </w:r>
      <w:r w:rsidR="002C7815">
        <w:t>when operating in the 1800 MHz L</w:t>
      </w:r>
      <w:r w:rsidR="00AA46C2">
        <w:t xml:space="preserve">ower band by the </w:t>
      </w:r>
      <w:r w:rsidR="002A05AD">
        <w:t>section 145</w:t>
      </w:r>
      <w:r w:rsidR="00AA46C2">
        <w:t xml:space="preserve"> </w:t>
      </w:r>
      <w:r w:rsidR="00603DA6">
        <w:t>D</w:t>
      </w:r>
      <w:r w:rsidR="00AA46C2">
        <w:t>etermination.  Outside areas of high mobile use</w:t>
      </w:r>
      <w:r w:rsidR="00405F46">
        <w:t>,</w:t>
      </w:r>
      <w:r w:rsidR="00AA46C2">
        <w:t xml:space="preserve"> the </w:t>
      </w:r>
      <w:r w:rsidR="002A05AD">
        <w:t>section 145</w:t>
      </w:r>
      <w:r w:rsidR="00AA46C2">
        <w:t xml:space="preserve"> </w:t>
      </w:r>
      <w:r w:rsidR="00603DA6">
        <w:t>D</w:t>
      </w:r>
      <w:r w:rsidR="00AA46C2">
        <w:t>etermination allows radiocommunications transmitter</w:t>
      </w:r>
      <w:r w:rsidR="003D2CB3">
        <w:t>s</w:t>
      </w:r>
      <w:r w:rsidR="00AA46C2">
        <w:t xml:space="preserve"> to operate at any height </w:t>
      </w:r>
      <w:r w:rsidR="002C7815">
        <w:t xml:space="preserve">in both the 1800 MHz </w:t>
      </w:r>
      <w:r w:rsidR="0006200A">
        <w:t>U</w:t>
      </w:r>
      <w:r w:rsidR="002C7815">
        <w:t xml:space="preserve">pper and </w:t>
      </w:r>
      <w:r w:rsidR="0006200A">
        <w:t>L</w:t>
      </w:r>
      <w:r w:rsidR="00AA46C2">
        <w:t>ower bands.</w:t>
      </w:r>
    </w:p>
    <w:p w:rsidR="00101E29" w:rsidRDefault="00101E29" w:rsidP="00415527">
      <w:pPr>
        <w:ind w:left="993" w:hanging="927"/>
      </w:pPr>
    </w:p>
    <w:p w:rsidR="00101E29" w:rsidRDefault="00AA46C2" w:rsidP="00415527">
      <w:pPr>
        <w:ind w:left="993" w:hanging="927"/>
      </w:pPr>
      <w:r>
        <w:t>(4)</w:t>
      </w:r>
      <w:r>
        <w:tab/>
        <w:t>Licensees are advised that due to this</w:t>
      </w:r>
      <w:r w:rsidR="00212EEF">
        <w:t xml:space="preserve"> deployment flexibility,</w:t>
      </w:r>
      <w:r w:rsidR="00212EEF" w:rsidRPr="00212EEF">
        <w:t xml:space="preserve"> </w:t>
      </w:r>
      <w:r w:rsidR="00212EEF">
        <w:t xml:space="preserve">there </w:t>
      </w:r>
      <w:r>
        <w:t>is potential for loss of spectrum utility in</w:t>
      </w:r>
      <w:r w:rsidR="00212EEF">
        <w:t xml:space="preserve"> areas</w:t>
      </w:r>
      <w:r>
        <w:t xml:space="preserve"> where both high sited radiocommunications transmitters and</w:t>
      </w:r>
      <w:r w:rsidR="00405F46">
        <w:t xml:space="preserve"> high sited</w:t>
      </w:r>
      <w:r>
        <w:t xml:space="preserve"> </w:t>
      </w:r>
      <w:r w:rsidR="0006200A">
        <w:t xml:space="preserve">radiocommunications </w:t>
      </w:r>
      <w:r>
        <w:t xml:space="preserve">receivers </w:t>
      </w:r>
      <w:r w:rsidR="0006200A">
        <w:t>operate</w:t>
      </w:r>
      <w:r>
        <w:t>.</w:t>
      </w:r>
    </w:p>
    <w:p w:rsidR="00BE63CA" w:rsidRDefault="00BE63CA">
      <w:r>
        <w:br w:type="page"/>
      </w:r>
    </w:p>
    <w:p w:rsidR="00F62BD6" w:rsidRDefault="00F62BD6" w:rsidP="00F62BD6"/>
    <w:p w:rsidR="00964F17" w:rsidRDefault="00964F17" w:rsidP="00F62BD6">
      <w:pPr>
        <w:rPr>
          <w:rFonts w:ascii="Arial" w:hAnsi="Arial" w:cs="Arial"/>
          <w:b/>
        </w:rPr>
      </w:pPr>
    </w:p>
    <w:p w:rsidR="009B20AE" w:rsidRDefault="00F62BD6" w:rsidP="009B20AE">
      <w:pPr>
        <w:tabs>
          <w:tab w:val="left" w:pos="993"/>
        </w:tabs>
        <w:rPr>
          <w:rFonts w:ascii="Arial" w:hAnsi="Arial" w:cs="Arial"/>
          <w:b/>
        </w:rPr>
      </w:pPr>
      <w:r w:rsidRPr="00F62BD6">
        <w:rPr>
          <w:rFonts w:ascii="Arial" w:hAnsi="Arial" w:cs="Arial"/>
          <w:b/>
        </w:rPr>
        <w:t xml:space="preserve">Part </w:t>
      </w:r>
      <w:r w:rsidR="0017605F">
        <w:rPr>
          <w:rFonts w:ascii="Arial" w:hAnsi="Arial" w:cs="Arial"/>
          <w:b/>
        </w:rPr>
        <w:t>3</w:t>
      </w:r>
      <w:r w:rsidRPr="00F62BD6">
        <w:rPr>
          <w:rFonts w:ascii="Arial" w:hAnsi="Arial" w:cs="Arial"/>
          <w:b/>
        </w:rPr>
        <w:tab/>
      </w:r>
      <w:r w:rsidR="0017605F">
        <w:rPr>
          <w:rFonts w:ascii="Arial" w:hAnsi="Arial" w:cs="Arial"/>
          <w:b/>
        </w:rPr>
        <w:t>Managing interference inside areas of high mobile use</w:t>
      </w:r>
    </w:p>
    <w:p w:rsidR="00FC1511" w:rsidRDefault="00FC1511" w:rsidP="00FC1511">
      <w:pPr>
        <w:jc w:val="center"/>
        <w:rPr>
          <w:b/>
        </w:rPr>
      </w:pPr>
    </w:p>
    <w:p w:rsidR="009B20AE" w:rsidRDefault="00FC1511" w:rsidP="009B20AE">
      <w:pPr>
        <w:ind w:left="273" w:firstLine="720"/>
      </w:pPr>
      <w:r>
        <w:rPr>
          <w:b/>
        </w:rPr>
        <w:t>Out-of-band interference - antenna height</w:t>
      </w:r>
    </w:p>
    <w:p w:rsidR="009B20AE" w:rsidRDefault="00101E29" w:rsidP="009B20AE">
      <w:pPr>
        <w:pStyle w:val="FootnoteText"/>
        <w:tabs>
          <w:tab w:val="left" w:pos="993"/>
        </w:tabs>
        <w:spacing w:before="120"/>
        <w:ind w:left="993" w:hanging="993"/>
        <w:rPr>
          <w:sz w:val="24"/>
        </w:rPr>
      </w:pPr>
      <w:r w:rsidRPr="00101E29">
        <w:rPr>
          <w:sz w:val="24"/>
        </w:rPr>
        <w:t>(1)</w:t>
      </w:r>
      <w:r w:rsidRPr="00101E29">
        <w:rPr>
          <w:sz w:val="24"/>
        </w:rPr>
        <w:tab/>
      </w:r>
      <w:r w:rsidR="00FC1511">
        <w:rPr>
          <w:sz w:val="24"/>
        </w:rPr>
        <w:t xml:space="preserve">The technical framework is designed to favour </w:t>
      </w:r>
      <w:r w:rsidR="0017605F">
        <w:rPr>
          <w:sz w:val="24"/>
        </w:rPr>
        <w:t xml:space="preserve">FDD </w:t>
      </w:r>
      <w:r w:rsidR="00FC1511">
        <w:rPr>
          <w:sz w:val="24"/>
        </w:rPr>
        <w:t xml:space="preserve">mobile services in areas of high mobile use. </w:t>
      </w:r>
      <w:r w:rsidR="001454F0">
        <w:rPr>
          <w:sz w:val="24"/>
        </w:rPr>
        <w:t xml:space="preserve">Within those areas, the section 145 </w:t>
      </w:r>
      <w:r w:rsidR="00603DA6">
        <w:rPr>
          <w:sz w:val="24"/>
        </w:rPr>
        <w:t>D</w:t>
      </w:r>
      <w:r w:rsidR="001454F0">
        <w:rPr>
          <w:sz w:val="24"/>
        </w:rPr>
        <w:t>etermination does not allow high sited radiocommunications transmitters to operate in the 1800 MHz Lower band</w:t>
      </w:r>
      <w:r w:rsidR="00405F46">
        <w:rPr>
          <w:sz w:val="24"/>
        </w:rPr>
        <w:t xml:space="preserve"> by providing that such operation will result in an unacceptable level of interference</w:t>
      </w:r>
      <w:r w:rsidR="001454F0">
        <w:rPr>
          <w:sz w:val="24"/>
        </w:rPr>
        <w:t xml:space="preserve">. </w:t>
      </w:r>
      <w:r w:rsidR="0045307A">
        <w:rPr>
          <w:sz w:val="24"/>
        </w:rPr>
        <w:t xml:space="preserve">This constraint is in force to help </w:t>
      </w:r>
      <w:r w:rsidR="00FC1511">
        <w:rPr>
          <w:sz w:val="24"/>
        </w:rPr>
        <w:t xml:space="preserve">manage out-of-band interference in </w:t>
      </w:r>
      <w:r w:rsidR="0045307A">
        <w:rPr>
          <w:sz w:val="24"/>
        </w:rPr>
        <w:t>radiocommunications</w:t>
      </w:r>
      <w:r w:rsidR="00FC1511">
        <w:rPr>
          <w:sz w:val="24"/>
        </w:rPr>
        <w:t xml:space="preserve"> receivers for mobile systems used at high sites</w:t>
      </w:r>
      <w:r w:rsidR="0045307A">
        <w:rPr>
          <w:sz w:val="24"/>
        </w:rPr>
        <w:t xml:space="preserve"> by maintaining a high site to low site interference path</w:t>
      </w:r>
      <w:r w:rsidR="00FC1511">
        <w:rPr>
          <w:sz w:val="24"/>
        </w:rPr>
        <w:t xml:space="preserve">.  </w:t>
      </w:r>
    </w:p>
    <w:p w:rsidR="00FC1511" w:rsidRDefault="00FC1511" w:rsidP="00FC1511">
      <w:pPr>
        <w:pStyle w:val="FootnoteText"/>
        <w:rPr>
          <w:sz w:val="24"/>
        </w:rPr>
      </w:pPr>
    </w:p>
    <w:p w:rsidR="00101E29" w:rsidRDefault="00F62BD6" w:rsidP="00101E29">
      <w:pPr>
        <w:ind w:left="993"/>
      </w:pPr>
      <w:r w:rsidRPr="007C41A2">
        <w:rPr>
          <w:sz w:val="20"/>
        </w:rPr>
        <w:t>Note</w:t>
      </w:r>
      <w:r w:rsidR="00415527">
        <w:rPr>
          <w:sz w:val="20"/>
        </w:rPr>
        <w:tab/>
      </w:r>
      <w:r w:rsidR="00415527">
        <w:rPr>
          <w:sz w:val="20"/>
        </w:rPr>
        <w:tab/>
      </w:r>
      <w:r w:rsidR="00FC1511">
        <w:rPr>
          <w:sz w:val="20"/>
        </w:rPr>
        <w:t>In urban areas, mobile service base stations are typically spread in a homogeneous fashion throughout a service area, sometimes as close as a few hundred metres</w:t>
      </w:r>
      <w:r w:rsidR="00AF0947">
        <w:rPr>
          <w:sz w:val="20"/>
        </w:rPr>
        <w:t xml:space="preserve"> to each other</w:t>
      </w:r>
      <w:r w:rsidR="00FC1511">
        <w:rPr>
          <w:sz w:val="20"/>
        </w:rPr>
        <w:t xml:space="preserve">.  Out-of-band compatibility would be very difficult to achieve under these circumstances if </w:t>
      </w:r>
      <w:r w:rsidR="0034496C">
        <w:rPr>
          <w:sz w:val="20"/>
        </w:rPr>
        <w:t xml:space="preserve">the radiocommunications transmitter’s effective </w:t>
      </w:r>
      <w:r w:rsidR="00FC1511">
        <w:rPr>
          <w:sz w:val="20"/>
        </w:rPr>
        <w:t xml:space="preserve">antenna height was not limited in the </w:t>
      </w:r>
      <w:r w:rsidR="0034496C">
        <w:rPr>
          <w:sz w:val="20"/>
        </w:rPr>
        <w:t xml:space="preserve">frequency </w:t>
      </w:r>
      <w:r w:rsidR="00FC1511">
        <w:rPr>
          <w:sz w:val="20"/>
        </w:rPr>
        <w:t xml:space="preserve">band used for base </w:t>
      </w:r>
      <w:r w:rsidR="0034496C">
        <w:rPr>
          <w:sz w:val="20"/>
        </w:rPr>
        <w:t xml:space="preserve">radiocommunications </w:t>
      </w:r>
      <w:r w:rsidR="00FC1511">
        <w:rPr>
          <w:sz w:val="20"/>
        </w:rPr>
        <w:t>receivers.</w:t>
      </w:r>
    </w:p>
    <w:p w:rsidR="00835F46" w:rsidRDefault="00835F46" w:rsidP="00FC1511"/>
    <w:p w:rsidR="009B20AE" w:rsidRDefault="00FC1511" w:rsidP="009B20AE">
      <w:pPr>
        <w:pStyle w:val="FootnoteText"/>
        <w:ind w:left="273" w:firstLine="720"/>
        <w:rPr>
          <w:sz w:val="24"/>
        </w:rPr>
      </w:pPr>
      <w:r>
        <w:rPr>
          <w:b/>
          <w:sz w:val="24"/>
        </w:rPr>
        <w:t>In-band interference - additional device boundary</w:t>
      </w:r>
    </w:p>
    <w:p w:rsidR="009B20AE" w:rsidRDefault="00101E29" w:rsidP="009B20AE">
      <w:pPr>
        <w:spacing w:before="120"/>
        <w:ind w:left="993" w:hanging="993"/>
      </w:pPr>
      <w:r w:rsidRPr="00101E29">
        <w:t>(2)</w:t>
      </w:r>
      <w:r w:rsidRPr="00101E29">
        <w:tab/>
      </w:r>
      <w:r w:rsidR="00FC1511">
        <w:t xml:space="preserve">Under the device boundary criteria in the </w:t>
      </w:r>
      <w:r w:rsidR="002A05AD">
        <w:t>section 145</w:t>
      </w:r>
      <w:r w:rsidR="00FC1511">
        <w:t xml:space="preserve"> </w:t>
      </w:r>
      <w:r w:rsidR="00603DA6">
        <w:t>D</w:t>
      </w:r>
      <w:r w:rsidR="00FC1511">
        <w:t xml:space="preserve">etermination, which is based on a high site </w:t>
      </w:r>
      <w:r w:rsidR="0045307A">
        <w:t xml:space="preserve">to </w:t>
      </w:r>
      <w:r w:rsidR="00FC1511">
        <w:t xml:space="preserve">low site propagation model, </w:t>
      </w:r>
      <w:r w:rsidR="001454F0">
        <w:t xml:space="preserve">high sited radiocommunications receivers operating in the 1800 MHz </w:t>
      </w:r>
      <w:r w:rsidR="002C7815">
        <w:t>L</w:t>
      </w:r>
      <w:r w:rsidR="00FC1511">
        <w:t xml:space="preserve">ower band would normally need to be placed well within the </w:t>
      </w:r>
      <w:r w:rsidR="00C604D1">
        <w:t xml:space="preserve">geographical </w:t>
      </w:r>
      <w:r w:rsidR="00FC1511">
        <w:t xml:space="preserve">boundary to achieve a reasonable level of protection from </w:t>
      </w:r>
      <w:r w:rsidR="00405F46">
        <w:t xml:space="preserve">high sited </w:t>
      </w:r>
      <w:r w:rsidR="00493AD1">
        <w:t xml:space="preserve">radiocommunications </w:t>
      </w:r>
      <w:r w:rsidR="00FC1511">
        <w:t>transmitters operating</w:t>
      </w:r>
      <w:r w:rsidR="00603DA6">
        <w:t xml:space="preserve"> in the 1800 MHz Lower band</w:t>
      </w:r>
      <w:r w:rsidR="00FC1511">
        <w:t xml:space="preserve">. </w:t>
      </w:r>
      <w:r w:rsidR="0045307A">
        <w:t>In order t</w:t>
      </w:r>
      <w:r w:rsidR="00DA6132">
        <w:t xml:space="preserve">o allow </w:t>
      </w:r>
      <w:r w:rsidR="0045307A">
        <w:t>high sited radiocommunications</w:t>
      </w:r>
      <w:r w:rsidR="00DA6132">
        <w:t xml:space="preserve"> </w:t>
      </w:r>
      <w:r w:rsidR="0045307A">
        <w:t>receivers</w:t>
      </w:r>
      <w:r w:rsidR="00AC2D45">
        <w:t xml:space="preserve"> in the</w:t>
      </w:r>
      <w:r w:rsidR="0045307A">
        <w:t xml:space="preserve"> 1800 MHz</w:t>
      </w:r>
      <w:r w:rsidR="002C7815">
        <w:t xml:space="preserve"> L</w:t>
      </w:r>
      <w:r w:rsidR="00AC2D45">
        <w:t xml:space="preserve">ower band </w:t>
      </w:r>
      <w:r w:rsidR="0045307A">
        <w:t>to operate</w:t>
      </w:r>
      <w:r w:rsidR="00AC2D45">
        <w:t xml:space="preserve"> </w:t>
      </w:r>
      <w:r w:rsidR="00DA6132">
        <w:t>close to the boundary</w:t>
      </w:r>
      <w:r w:rsidR="00AC2D45">
        <w:t xml:space="preserve"> and still achieve a high level of protection,</w:t>
      </w:r>
      <w:r w:rsidR="00835F46">
        <w:t xml:space="preserve"> </w:t>
      </w:r>
      <w:r w:rsidR="00FC1511">
        <w:t xml:space="preserve">additional emission buffer zones are required </w:t>
      </w:r>
      <w:r w:rsidR="00C72EA2">
        <w:t xml:space="preserve">for </w:t>
      </w:r>
      <w:r w:rsidR="00AC2D45">
        <w:t xml:space="preserve">high sited </w:t>
      </w:r>
      <w:r w:rsidR="0045307A">
        <w:t>radiocommunications</w:t>
      </w:r>
      <w:r w:rsidR="00C72EA2">
        <w:t xml:space="preserve"> transmitters</w:t>
      </w:r>
      <w:r w:rsidR="002C7815">
        <w:t xml:space="preserve"> </w:t>
      </w:r>
      <w:r w:rsidR="00493AD1">
        <w:t xml:space="preserve">operating </w:t>
      </w:r>
      <w:r w:rsidR="002C7815">
        <w:t>in the 1800 MHz L</w:t>
      </w:r>
      <w:r w:rsidR="0045307A">
        <w:t>ower band</w:t>
      </w:r>
      <w:r w:rsidR="00AC2D45">
        <w:t>.</w:t>
      </w:r>
      <w:r w:rsidR="00FC1511">
        <w:t xml:space="preserve">  These additional emission buffer zones are created by an additional device boundary requirement (that is, in addition to that described in the </w:t>
      </w:r>
      <w:r w:rsidR="002A05AD">
        <w:t>section 145</w:t>
      </w:r>
      <w:r w:rsidR="00FC1511">
        <w:t xml:space="preserve"> </w:t>
      </w:r>
      <w:r w:rsidR="00603DA6">
        <w:t>D</w:t>
      </w:r>
      <w:r w:rsidR="00FC1511">
        <w:t>etermination) for both spectrum</w:t>
      </w:r>
      <w:r w:rsidR="00BD091B">
        <w:t xml:space="preserve"> </w:t>
      </w:r>
      <w:r w:rsidR="00FC1511">
        <w:t xml:space="preserve">licensed and apparatus licensed </w:t>
      </w:r>
      <w:r w:rsidR="00405F46">
        <w:t xml:space="preserve">high sited </w:t>
      </w:r>
      <w:r w:rsidR="00493AD1">
        <w:t xml:space="preserve">radiocommunications </w:t>
      </w:r>
      <w:r w:rsidR="00FC1511">
        <w:t>transmitters operat</w:t>
      </w:r>
      <w:r w:rsidR="00405F46">
        <w:t>ing</w:t>
      </w:r>
      <w:r w:rsidR="00FC1511">
        <w:t xml:space="preserve"> outside areas of high mobile use.  </w:t>
      </w:r>
    </w:p>
    <w:p w:rsidR="004B158F" w:rsidRDefault="004B158F" w:rsidP="00FC1511"/>
    <w:p w:rsidR="00101E29" w:rsidRDefault="00101E29" w:rsidP="00B74ABE">
      <w:pPr>
        <w:ind w:left="993" w:hanging="993"/>
      </w:pPr>
      <w:r w:rsidRPr="00101E29">
        <w:t>(3)</w:t>
      </w:r>
      <w:r w:rsidRPr="00101E29">
        <w:tab/>
      </w:r>
      <w:r w:rsidR="00FC1511">
        <w:t>The additional device boundary requirement</w:t>
      </w:r>
      <w:r w:rsidR="00493AD1">
        <w:t xml:space="preserve"> set out in Schedule 1</w:t>
      </w:r>
      <w:r w:rsidR="00FC1511">
        <w:t xml:space="preserve"> </w:t>
      </w:r>
      <w:r w:rsidR="00053406">
        <w:t>is</w:t>
      </w:r>
      <w:r w:rsidR="00FC1511">
        <w:t xml:space="preserve"> based on:</w:t>
      </w:r>
    </w:p>
    <w:p w:rsidR="00101E29" w:rsidRDefault="00CA3CB0" w:rsidP="00101E29">
      <w:pPr>
        <w:ind w:left="1418" w:hanging="425"/>
      </w:pPr>
      <w:r>
        <w:t>(a)</w:t>
      </w:r>
      <w:r>
        <w:tab/>
      </w:r>
      <w:r w:rsidR="00FC1511">
        <w:t>selection of an appropriate high site</w:t>
      </w:r>
      <w:r w:rsidR="0045307A">
        <w:t xml:space="preserve"> to</w:t>
      </w:r>
      <w:r w:rsidR="00FC1511">
        <w:t xml:space="preserve"> high site propagation loss model; and</w:t>
      </w:r>
    </w:p>
    <w:p w:rsidR="00101E29" w:rsidRDefault="00CA3CB0" w:rsidP="00101E29">
      <w:pPr>
        <w:tabs>
          <w:tab w:val="left" w:pos="1418"/>
        </w:tabs>
        <w:ind w:left="1418" w:hanging="425"/>
      </w:pPr>
      <w:r>
        <w:t>(b)</w:t>
      </w:r>
      <w:r>
        <w:tab/>
      </w:r>
      <w:r w:rsidR="00FC1511">
        <w:t xml:space="preserve">notional base </w:t>
      </w:r>
      <w:r w:rsidR="00493AD1">
        <w:t xml:space="preserve">radiocommunications </w:t>
      </w:r>
      <w:r w:rsidR="00FC1511">
        <w:t>receiver parameters.</w:t>
      </w:r>
    </w:p>
    <w:p w:rsidR="00964F17" w:rsidRDefault="00964F17" w:rsidP="00FC1511"/>
    <w:p w:rsidR="00BE63CA" w:rsidRDefault="00BE63CA">
      <w:r>
        <w:br w:type="page"/>
      </w:r>
    </w:p>
    <w:p w:rsidR="009B20AE" w:rsidRDefault="00101E29" w:rsidP="009B20AE">
      <w:pPr>
        <w:ind w:left="993" w:hanging="993"/>
        <w:rPr>
          <w:rFonts w:ascii="Arial" w:hAnsi="Arial" w:cs="Arial"/>
          <w:b/>
        </w:rPr>
      </w:pPr>
      <w:r w:rsidRPr="00101E29">
        <w:rPr>
          <w:rFonts w:ascii="Arial" w:hAnsi="Arial" w:cs="Arial"/>
          <w:b/>
        </w:rPr>
        <w:t xml:space="preserve">Part </w:t>
      </w:r>
      <w:r w:rsidR="0045307A">
        <w:rPr>
          <w:rFonts w:ascii="Arial" w:hAnsi="Arial" w:cs="Arial"/>
          <w:b/>
        </w:rPr>
        <w:t>4</w:t>
      </w:r>
      <w:r w:rsidRPr="00101E29">
        <w:rPr>
          <w:rFonts w:ascii="Arial" w:hAnsi="Arial" w:cs="Arial"/>
          <w:b/>
        </w:rPr>
        <w:tab/>
      </w:r>
      <w:r w:rsidR="0045307A">
        <w:rPr>
          <w:rFonts w:ascii="Arial" w:hAnsi="Arial" w:cs="Arial"/>
          <w:b/>
        </w:rPr>
        <w:t>Managing interference outside</w:t>
      </w:r>
      <w:r w:rsidRPr="00101E29">
        <w:rPr>
          <w:rFonts w:ascii="Arial" w:hAnsi="Arial" w:cs="Arial"/>
          <w:b/>
        </w:rPr>
        <w:t xml:space="preserve"> areas of high mobile use</w:t>
      </w:r>
    </w:p>
    <w:p w:rsidR="00FC1511" w:rsidRDefault="00FC1511" w:rsidP="00FC1511">
      <w:pPr>
        <w:jc w:val="center"/>
        <w:rPr>
          <w:b/>
        </w:rPr>
      </w:pPr>
    </w:p>
    <w:p w:rsidR="009B20AE" w:rsidRDefault="00101E29" w:rsidP="009B20AE">
      <w:pPr>
        <w:ind w:left="993" w:hanging="993"/>
      </w:pPr>
      <w:r w:rsidRPr="00101E29">
        <w:t>(1)</w:t>
      </w:r>
      <w:r w:rsidRPr="00101E29">
        <w:tab/>
      </w:r>
      <w:r w:rsidR="00FC1511">
        <w:t xml:space="preserve">Outside areas of high mobile use, </w:t>
      </w:r>
      <w:r w:rsidR="0045307A">
        <w:t xml:space="preserve">radiocommunications </w:t>
      </w:r>
      <w:r w:rsidR="00FC1511">
        <w:t>transmitters may be sited at any height</w:t>
      </w:r>
      <w:r w:rsidR="00DF05E5">
        <w:t xml:space="preserve"> in</w:t>
      </w:r>
      <w:r w:rsidR="00FC1511">
        <w:t xml:space="preserve"> both the</w:t>
      </w:r>
      <w:r w:rsidR="00DF05E5">
        <w:t xml:space="preserve"> 1800 MHz</w:t>
      </w:r>
      <w:r w:rsidR="00FC1511">
        <w:t xml:space="preserve"> </w:t>
      </w:r>
      <w:r w:rsidR="0062469B">
        <w:t>U</w:t>
      </w:r>
      <w:r w:rsidR="00FC1511">
        <w:t xml:space="preserve">pper and </w:t>
      </w:r>
      <w:r w:rsidR="0062469B">
        <w:t>L</w:t>
      </w:r>
      <w:r w:rsidR="00FC1511">
        <w:t>ower band</w:t>
      </w:r>
      <w:r w:rsidR="00DF05E5">
        <w:t>s</w:t>
      </w:r>
      <w:r w:rsidR="00FC1511">
        <w:t>.  This has certain consequences for spectrum licensees.</w:t>
      </w:r>
    </w:p>
    <w:p w:rsidR="00101E29" w:rsidRDefault="00101E29" w:rsidP="00101E29">
      <w:pPr>
        <w:ind w:left="993" w:hanging="426"/>
      </w:pPr>
    </w:p>
    <w:p w:rsidR="009B20AE" w:rsidRDefault="005459BD" w:rsidP="009B20AE">
      <w:pPr>
        <w:pStyle w:val="ListParagraph"/>
        <w:numPr>
          <w:ilvl w:val="0"/>
          <w:numId w:val="27"/>
        </w:numPr>
        <w:ind w:hanging="927"/>
      </w:pPr>
      <w:r>
        <w:t>H</w:t>
      </w:r>
      <w:r w:rsidR="00DF24E8">
        <w:t>igh sited</w:t>
      </w:r>
      <w:r w:rsidR="000630DA">
        <w:t xml:space="preserve"> </w:t>
      </w:r>
      <w:r w:rsidR="00DF05E5">
        <w:t>radiocommunications</w:t>
      </w:r>
      <w:r w:rsidR="00DF24E8">
        <w:t xml:space="preserve"> receivers </w:t>
      </w:r>
      <w:r>
        <w:t xml:space="preserve">operating </w:t>
      </w:r>
      <w:r w:rsidR="002C7815">
        <w:t>in the 1800 MHz L</w:t>
      </w:r>
      <w:r w:rsidR="00DF05E5">
        <w:t xml:space="preserve">ower band </w:t>
      </w:r>
      <w:r w:rsidR="00DF24E8">
        <w:t xml:space="preserve">in all spectrum licensed areas </w:t>
      </w:r>
      <w:r>
        <w:t xml:space="preserve">that are registered in the Register </w:t>
      </w:r>
      <w:r w:rsidR="00DF24E8">
        <w:t xml:space="preserve">are afforded out-of-band protection in accordance with the </w:t>
      </w:r>
      <w:r w:rsidR="00101E29" w:rsidRPr="00415527">
        <w:rPr>
          <w:i/>
        </w:rPr>
        <w:t xml:space="preserve">Radiocommunications Advisory Guidelines (Managing Interference </w:t>
      </w:r>
      <w:r w:rsidR="00D9648A" w:rsidRPr="00415527">
        <w:rPr>
          <w:i/>
        </w:rPr>
        <w:t>to</w:t>
      </w:r>
      <w:r w:rsidR="002C7815" w:rsidRPr="00415527">
        <w:rPr>
          <w:i/>
        </w:rPr>
        <w:t xml:space="preserve"> Spectrum Licensed</w:t>
      </w:r>
      <w:r w:rsidR="00D9648A" w:rsidRPr="00415527">
        <w:rPr>
          <w:i/>
        </w:rPr>
        <w:t xml:space="preserve"> Receivers</w:t>
      </w:r>
      <w:r w:rsidR="00101E29" w:rsidRPr="00415527">
        <w:rPr>
          <w:i/>
        </w:rPr>
        <w:t xml:space="preserve"> – 1800 MHz Band)</w:t>
      </w:r>
      <w:r w:rsidR="00DF24E8" w:rsidRPr="00415527">
        <w:rPr>
          <w:i/>
        </w:rPr>
        <w:t xml:space="preserve"> </w:t>
      </w:r>
      <w:r w:rsidR="00101E29" w:rsidRPr="00415527">
        <w:rPr>
          <w:i/>
        </w:rPr>
        <w:t>2012</w:t>
      </w:r>
      <w:r w:rsidR="00DF24E8" w:rsidRPr="00415527">
        <w:rPr>
          <w:i/>
        </w:rPr>
        <w:t xml:space="preserve">. </w:t>
      </w:r>
      <w:r w:rsidR="00DF24E8">
        <w:t xml:space="preserve">However, as this is on a </w:t>
      </w:r>
      <w:r w:rsidR="007A3346">
        <w:t>first-in-time basis, a</w:t>
      </w:r>
      <w:r w:rsidR="00FC1511">
        <w:t xml:space="preserve"> </w:t>
      </w:r>
      <w:r>
        <w:t xml:space="preserve">spectrum </w:t>
      </w:r>
      <w:r w:rsidR="00FC1511">
        <w:t>licensee who wants to operate a</w:t>
      </w:r>
      <w:r w:rsidR="00DF05E5">
        <w:t xml:space="preserve"> </w:t>
      </w:r>
      <w:r w:rsidR="003B5B1E">
        <w:t xml:space="preserve">high sited </w:t>
      </w:r>
      <w:r w:rsidR="00DF05E5">
        <w:t>radiocommunications</w:t>
      </w:r>
      <w:r w:rsidR="00FC1511">
        <w:t xml:space="preserve"> receiver </w:t>
      </w:r>
      <w:r w:rsidR="003B5B1E">
        <w:t xml:space="preserve">in the 1800 MHz Lower band </w:t>
      </w:r>
      <w:r w:rsidR="00FC1511">
        <w:t xml:space="preserve">where </w:t>
      </w:r>
      <w:r w:rsidR="00971093">
        <w:t xml:space="preserve">there are existing </w:t>
      </w:r>
      <w:r w:rsidR="003B5B1E">
        <w:t xml:space="preserve">high sited </w:t>
      </w:r>
      <w:r w:rsidR="00DF05E5">
        <w:t xml:space="preserve">radiocommunications </w:t>
      </w:r>
      <w:r w:rsidR="00FC1511">
        <w:t>transmitters</w:t>
      </w:r>
      <w:r w:rsidR="003B5B1E">
        <w:t xml:space="preserve"> operating</w:t>
      </w:r>
      <w:r w:rsidR="00FC1511">
        <w:t xml:space="preserve"> in adjacent </w:t>
      </w:r>
      <w:r w:rsidR="003B5B1E">
        <w:t xml:space="preserve">frequency </w:t>
      </w:r>
      <w:r w:rsidR="00FC1511">
        <w:t>bands</w:t>
      </w:r>
      <w:r w:rsidR="00DF05E5">
        <w:t>,</w:t>
      </w:r>
      <w:r w:rsidR="00FC1511">
        <w:t xml:space="preserve"> may have to either:</w:t>
      </w:r>
    </w:p>
    <w:p w:rsidR="009B20AE" w:rsidRDefault="009B20AE" w:rsidP="009B20AE">
      <w:pPr>
        <w:pStyle w:val="ListParagraph"/>
        <w:ind w:left="927"/>
      </w:pPr>
    </w:p>
    <w:p w:rsidR="009B20AE" w:rsidRDefault="00CA3CB0" w:rsidP="009B20AE">
      <w:pPr>
        <w:spacing w:after="120"/>
        <w:ind w:left="1418" w:hanging="425"/>
      </w:pPr>
      <w:r>
        <w:t>(a)</w:t>
      </w:r>
      <w:r>
        <w:tab/>
      </w:r>
      <w:r w:rsidR="00FC1511">
        <w:t>provide guard bands and/or high performance filters at the edges of</w:t>
      </w:r>
      <w:r w:rsidR="005459BD">
        <w:t xml:space="preserve"> the band within which the receiver operates</w:t>
      </w:r>
      <w:r w:rsidR="00FC1511">
        <w:t>; or</w:t>
      </w:r>
    </w:p>
    <w:p w:rsidR="009B20AE" w:rsidRDefault="00CA3CB0" w:rsidP="009B20AE">
      <w:pPr>
        <w:spacing w:after="120"/>
        <w:ind w:left="1418" w:hanging="425"/>
      </w:pPr>
      <w:r>
        <w:t>(b)</w:t>
      </w:r>
      <w:r>
        <w:tab/>
      </w:r>
      <w:r w:rsidR="00FC1511">
        <w:t xml:space="preserve">negotiate with the adjacent licensee </w:t>
      </w:r>
      <w:r w:rsidR="00DF05E5">
        <w:t>to</w:t>
      </w:r>
      <w:r w:rsidR="00FC1511">
        <w:t>:</w:t>
      </w:r>
    </w:p>
    <w:p w:rsidR="00101E29" w:rsidRDefault="00CA3CB0" w:rsidP="00101E29">
      <w:pPr>
        <w:ind w:left="720" w:firstLine="698"/>
      </w:pPr>
      <w:r>
        <w:t>(i)</w:t>
      </w:r>
      <w:r>
        <w:tab/>
      </w:r>
      <w:r w:rsidR="00FC1511">
        <w:t xml:space="preserve">employ transmit filtering; or </w:t>
      </w:r>
    </w:p>
    <w:p w:rsidR="00101E29" w:rsidRDefault="00CA3CB0" w:rsidP="00101E29">
      <w:pPr>
        <w:ind w:left="2153" w:hanging="735"/>
      </w:pPr>
      <w:r>
        <w:t>(ii)</w:t>
      </w:r>
      <w:r>
        <w:tab/>
      </w:r>
      <w:r w:rsidR="00FC1511">
        <w:t xml:space="preserve">not place </w:t>
      </w:r>
      <w:r w:rsidR="003B5B1E">
        <w:t xml:space="preserve">high sited </w:t>
      </w:r>
      <w:r w:rsidR="00DF05E5">
        <w:t xml:space="preserve">radiocommunications </w:t>
      </w:r>
      <w:r w:rsidR="00FC1511">
        <w:t xml:space="preserve">transmitters </w:t>
      </w:r>
      <w:r w:rsidR="003B5B1E">
        <w:t xml:space="preserve">at a particular location which is </w:t>
      </w:r>
      <w:r w:rsidR="00FC1511">
        <w:t>near the frequency boundary</w:t>
      </w:r>
      <w:r w:rsidR="005459BD">
        <w:t xml:space="preserve"> of the spectrum licence under which the receiver operates</w:t>
      </w:r>
      <w:r w:rsidR="00FC1511">
        <w:t xml:space="preserve"> </w:t>
      </w:r>
    </w:p>
    <w:p w:rsidR="00FC1511" w:rsidRDefault="00FC1511" w:rsidP="00FC1511">
      <w:pPr>
        <w:rPr>
          <w:b/>
        </w:rPr>
      </w:pPr>
    </w:p>
    <w:p w:rsidR="009B20AE" w:rsidRDefault="00CA3CB0" w:rsidP="009B20AE">
      <w:pPr>
        <w:tabs>
          <w:tab w:val="left" w:pos="993"/>
        </w:tabs>
        <w:spacing w:before="120"/>
        <w:ind w:left="993" w:hanging="993"/>
      </w:pPr>
      <w:r>
        <w:t>(3)</w:t>
      </w:r>
      <w:r>
        <w:tab/>
      </w:r>
      <w:r w:rsidR="00FC1511">
        <w:t xml:space="preserve">In regional areas, base stations are usually located at the best vantage point for serving a country town.  </w:t>
      </w:r>
      <w:r w:rsidR="00DF05E5">
        <w:t xml:space="preserve">As a result there is an increased likelihood that high sited radiocommunications transmitters and </w:t>
      </w:r>
      <w:r w:rsidR="00811C0A">
        <w:t xml:space="preserve">high sited </w:t>
      </w:r>
      <w:r w:rsidR="000B7FB1">
        <w:t xml:space="preserve">radiocommunications </w:t>
      </w:r>
      <w:r w:rsidR="00DF05E5">
        <w:t xml:space="preserve">receivers will be operated </w:t>
      </w:r>
      <w:r w:rsidR="00FC1511">
        <w:t>in close proximity to each other</w:t>
      </w:r>
      <w:r w:rsidR="00DF05E5">
        <w:t>.</w:t>
      </w:r>
      <w:r w:rsidR="00FC1511">
        <w:t xml:space="preserve">  Therefore, </w:t>
      </w:r>
      <w:r w:rsidR="00DF05E5">
        <w:t>in locations where both high sited radiocommunications transmitters and</w:t>
      </w:r>
      <w:r w:rsidR="000B7FB1">
        <w:t xml:space="preserve"> </w:t>
      </w:r>
      <w:r w:rsidR="00811C0A">
        <w:t xml:space="preserve">high sited </w:t>
      </w:r>
      <w:r w:rsidR="000B7FB1">
        <w:t>radiocommunications</w:t>
      </w:r>
      <w:r w:rsidR="00DF05E5">
        <w:t xml:space="preserve"> receivers are deployed</w:t>
      </w:r>
      <w:r w:rsidR="002E7654">
        <w:t xml:space="preserve">, </w:t>
      </w:r>
      <w:r w:rsidR="00FC1511">
        <w:t>it is likely that negotiation</w:t>
      </w:r>
      <w:r w:rsidR="00DF05E5">
        <w:t xml:space="preserve"> would need to</w:t>
      </w:r>
      <w:r w:rsidR="00FC1511">
        <w:t xml:space="preserve"> occur</w:t>
      </w:r>
      <w:r w:rsidR="00811C0A">
        <w:t xml:space="preserve"> between licensees</w:t>
      </w:r>
      <w:r w:rsidR="00DF05E5">
        <w:t xml:space="preserve"> to manage potential interference issues.</w:t>
      </w:r>
      <w:r w:rsidR="00FC1511">
        <w:t xml:space="preserve"> </w:t>
      </w:r>
      <w:r w:rsidR="00DF05E5">
        <w:t xml:space="preserve"> </w:t>
      </w:r>
    </w:p>
    <w:p w:rsidR="00FC1511" w:rsidRDefault="00FC1511" w:rsidP="00FC1511"/>
    <w:p w:rsidR="009B20AE" w:rsidRDefault="00FC1511" w:rsidP="009B20AE">
      <w:pPr>
        <w:tabs>
          <w:tab w:val="left" w:pos="993"/>
        </w:tabs>
        <w:rPr>
          <w:rFonts w:ascii="Arial" w:hAnsi="Arial" w:cs="Arial"/>
          <w:b/>
        </w:rPr>
      </w:pPr>
      <w:r>
        <w:br w:type="page"/>
      </w:r>
      <w:r w:rsidR="00101E29" w:rsidRPr="00101E29">
        <w:rPr>
          <w:rFonts w:ascii="Arial" w:hAnsi="Arial" w:cs="Arial"/>
          <w:b/>
        </w:rPr>
        <w:t xml:space="preserve">Part </w:t>
      </w:r>
      <w:r w:rsidR="008D3ED1">
        <w:rPr>
          <w:rFonts w:ascii="Arial" w:hAnsi="Arial" w:cs="Arial"/>
          <w:b/>
        </w:rPr>
        <w:t>5</w:t>
      </w:r>
      <w:r w:rsidR="00101E29" w:rsidRPr="00101E29">
        <w:rPr>
          <w:rFonts w:ascii="Arial" w:hAnsi="Arial" w:cs="Arial"/>
          <w:b/>
        </w:rPr>
        <w:tab/>
      </w:r>
      <w:r w:rsidR="008D3ED1">
        <w:rPr>
          <w:rFonts w:ascii="Arial" w:hAnsi="Arial" w:cs="Arial"/>
          <w:b/>
        </w:rPr>
        <w:t>Application of the Additional Device Boundary Criteria</w:t>
      </w:r>
    </w:p>
    <w:p w:rsidR="00FC1511" w:rsidRDefault="00FC1511" w:rsidP="00FC1511">
      <w:pPr>
        <w:jc w:val="center"/>
        <w:rPr>
          <w:b/>
        </w:rPr>
      </w:pPr>
    </w:p>
    <w:p w:rsidR="009B20AE" w:rsidRDefault="00CD2FC9" w:rsidP="009B20AE">
      <w:pPr>
        <w:pStyle w:val="ListParagraph"/>
        <w:spacing w:after="120"/>
        <w:ind w:left="993"/>
        <w:rPr>
          <w:b/>
        </w:rPr>
      </w:pPr>
      <w:r>
        <w:rPr>
          <w:b/>
        </w:rPr>
        <w:t>Fixed transmitters operating under a spectrum licence</w:t>
      </w:r>
    </w:p>
    <w:p w:rsidR="009B20AE" w:rsidRDefault="008D3ED1" w:rsidP="009B20AE">
      <w:pPr>
        <w:pStyle w:val="ListParagraph"/>
        <w:numPr>
          <w:ilvl w:val="0"/>
          <w:numId w:val="12"/>
        </w:numPr>
        <w:spacing w:after="120"/>
        <w:ind w:left="993" w:hanging="993"/>
      </w:pPr>
      <w:r>
        <w:t xml:space="preserve">The additional device boundary criterion applies to </w:t>
      </w:r>
      <w:r w:rsidR="002E7654">
        <w:t xml:space="preserve">a </w:t>
      </w:r>
      <w:r>
        <w:t xml:space="preserve">fixed transmitter operated under an 1800 MHz band spectrum licence </w:t>
      </w:r>
      <w:r w:rsidR="00C41175">
        <w:t>if</w:t>
      </w:r>
      <w:r w:rsidR="00811C0A">
        <w:t xml:space="preserve"> the fixed transmitter is</w:t>
      </w:r>
      <w:r>
        <w:t xml:space="preserve">: </w:t>
      </w:r>
    </w:p>
    <w:p w:rsidR="00101E29" w:rsidRDefault="008D3ED1" w:rsidP="00415527">
      <w:pPr>
        <w:tabs>
          <w:tab w:val="left" w:pos="1701"/>
        </w:tabs>
        <w:ind w:left="1418" w:hanging="142"/>
      </w:pPr>
      <w:r>
        <w:t>(a)</w:t>
      </w:r>
      <w:r>
        <w:tab/>
      </w:r>
      <w:r w:rsidR="002E7654">
        <w:t xml:space="preserve">a high sited radiocommunications transmitter; </w:t>
      </w:r>
    </w:p>
    <w:p w:rsidR="00101E29" w:rsidRDefault="008D3ED1" w:rsidP="00415527">
      <w:pPr>
        <w:tabs>
          <w:tab w:val="left" w:pos="1418"/>
          <w:tab w:val="left" w:pos="1701"/>
        </w:tabs>
        <w:ind w:left="1418" w:hanging="142"/>
      </w:pPr>
      <w:r>
        <w:t>(b)</w:t>
      </w:r>
      <w:r>
        <w:tab/>
      </w:r>
      <w:r w:rsidR="002E7654">
        <w:t>operated in the 1800 MHz Lower band;</w:t>
      </w:r>
      <w:r w:rsidR="002E7654" w:rsidRPr="002E7654">
        <w:t xml:space="preserve"> </w:t>
      </w:r>
      <w:r w:rsidR="002E7654">
        <w:t xml:space="preserve">and </w:t>
      </w:r>
    </w:p>
    <w:p w:rsidR="009B20AE" w:rsidRDefault="008D3ED1" w:rsidP="009B20AE">
      <w:pPr>
        <w:pStyle w:val="ListParagraph"/>
        <w:tabs>
          <w:tab w:val="left" w:pos="1701"/>
        </w:tabs>
        <w:ind w:left="1701" w:hanging="425"/>
      </w:pPr>
      <w:r>
        <w:t>(c)</w:t>
      </w:r>
      <w:r>
        <w:tab/>
      </w:r>
      <w:r w:rsidR="002E7654">
        <w:t xml:space="preserve">located outside an area of high mobile use and within 200 km of the geographical boundary of the 1800 MHz band spectrum licence it operates under. </w:t>
      </w:r>
    </w:p>
    <w:p w:rsidR="008D3ED1" w:rsidRDefault="008D3ED1" w:rsidP="008D3ED1">
      <w:pPr>
        <w:ind w:left="993" w:hanging="426"/>
      </w:pPr>
    </w:p>
    <w:p w:rsidR="009B20AE" w:rsidRDefault="008D3ED1" w:rsidP="009B20AE">
      <w:pPr>
        <w:pStyle w:val="ListParagraph"/>
        <w:numPr>
          <w:ilvl w:val="0"/>
          <w:numId w:val="12"/>
        </w:numPr>
        <w:ind w:left="993" w:hanging="993"/>
      </w:pPr>
      <w:r w:rsidRPr="0022369B">
        <w:t>If an</w:t>
      </w:r>
      <w:r>
        <w:t>y</w:t>
      </w:r>
      <w:r w:rsidRPr="00D4783D">
        <w:rPr>
          <w:b/>
        </w:rPr>
        <w:t xml:space="preserve"> </w:t>
      </w:r>
      <w:r>
        <w:t xml:space="preserve">part of </w:t>
      </w:r>
      <w:r w:rsidR="00D4783D">
        <w:t xml:space="preserve">the </w:t>
      </w:r>
      <w:r>
        <w:t>device boundary</w:t>
      </w:r>
      <w:r w:rsidR="00D4783D">
        <w:t xml:space="preserve"> for a fixed transmitter described in</w:t>
      </w:r>
      <w:r w:rsidR="00897C17">
        <w:t xml:space="preserve"> section</w:t>
      </w:r>
      <w:r w:rsidR="00D4783D">
        <w:t xml:space="preserve"> (1)</w:t>
      </w:r>
      <w:r>
        <w:t xml:space="preserve">, determined using the additional device boundary criterion, lies outside the geographic area of the </w:t>
      </w:r>
      <w:r w:rsidR="00C41175">
        <w:t xml:space="preserve">spectrum </w:t>
      </w:r>
      <w:r>
        <w:t>licence</w:t>
      </w:r>
      <w:r w:rsidR="00811C0A">
        <w:t xml:space="preserve"> under which it is operated</w:t>
      </w:r>
      <w:r>
        <w:t xml:space="preserve">, it is deemed to cause unacceptable </w:t>
      </w:r>
      <w:r w:rsidR="00B32ACC">
        <w:t xml:space="preserve">levels of </w:t>
      </w:r>
      <w:r>
        <w:t>interference</w:t>
      </w:r>
      <w:r w:rsidR="00C41175">
        <w:t xml:space="preserve"> under the section 145 </w:t>
      </w:r>
      <w:r w:rsidR="00603DA6">
        <w:t>D</w:t>
      </w:r>
      <w:r w:rsidR="00C41175">
        <w:t>etermination</w:t>
      </w:r>
      <w:r>
        <w:t>.</w:t>
      </w:r>
    </w:p>
    <w:p w:rsidR="008D3ED1" w:rsidRDefault="008D3ED1" w:rsidP="008D3ED1">
      <w:pPr>
        <w:ind w:left="993" w:hanging="426"/>
      </w:pPr>
    </w:p>
    <w:p w:rsidR="001454F0" w:rsidRDefault="001454F0" w:rsidP="001454F0">
      <w:pPr>
        <w:ind w:left="993"/>
        <w:rPr>
          <w:sz w:val="20"/>
        </w:rPr>
      </w:pPr>
      <w:r w:rsidRPr="007C41A2">
        <w:rPr>
          <w:sz w:val="20"/>
        </w:rPr>
        <w:t>Note</w:t>
      </w:r>
      <w:r w:rsidRPr="007C41A2">
        <w:rPr>
          <w:sz w:val="20"/>
        </w:rPr>
        <w:tab/>
      </w:r>
      <w:r>
        <w:rPr>
          <w:sz w:val="20"/>
        </w:rPr>
        <w:tab/>
        <w:t xml:space="preserve">The additional device boundary criterion is also used to protect high sited radiocommunications receivers in the 1800 MHz Lower band operating under apparatus licences.  </w:t>
      </w:r>
      <w:r w:rsidRPr="00156AE3">
        <w:rPr>
          <w:sz w:val="20"/>
        </w:rPr>
        <w:t xml:space="preserve"> </w:t>
      </w:r>
    </w:p>
    <w:p w:rsidR="008D3ED1" w:rsidRDefault="008D3ED1" w:rsidP="001454F0">
      <w:pPr>
        <w:ind w:left="993"/>
      </w:pPr>
    </w:p>
    <w:p w:rsidR="00CD2FC9" w:rsidRDefault="00CD2FC9" w:rsidP="00CD2FC9">
      <w:pPr>
        <w:pStyle w:val="ListParagraph"/>
        <w:ind w:left="993"/>
      </w:pPr>
      <w:r>
        <w:rPr>
          <w:b/>
        </w:rPr>
        <w:t>Fixed transmitters operating under an apparatus licence</w:t>
      </w:r>
    </w:p>
    <w:p w:rsidR="009B20AE" w:rsidRDefault="008D3ED1" w:rsidP="009B20AE">
      <w:pPr>
        <w:pStyle w:val="ListParagraph"/>
        <w:numPr>
          <w:ilvl w:val="0"/>
          <w:numId w:val="12"/>
        </w:numPr>
        <w:spacing w:before="100" w:beforeAutospacing="1" w:after="120"/>
        <w:ind w:left="993" w:hanging="993"/>
      </w:pPr>
      <w:r>
        <w:t xml:space="preserve">The additional device boundary criterion applies to </w:t>
      </w:r>
      <w:r w:rsidR="002E7654">
        <w:t xml:space="preserve">a </w:t>
      </w:r>
      <w:r>
        <w:t>fixed transmitter</w:t>
      </w:r>
      <w:r w:rsidR="00404373">
        <w:t xml:space="preserve"> if the fixed transmitter</w:t>
      </w:r>
      <w:r w:rsidR="002E7654">
        <w:t xml:space="preserve"> is a high sited radiocommunications transmitter</w:t>
      </w:r>
      <w:r w:rsidR="00404373">
        <w:t xml:space="preserve"> that</w:t>
      </w:r>
      <w:r>
        <w:t xml:space="preserve">: </w:t>
      </w:r>
    </w:p>
    <w:p w:rsidR="00365308" w:rsidRDefault="004D5A58" w:rsidP="00365308">
      <w:pPr>
        <w:tabs>
          <w:tab w:val="left" w:pos="1701"/>
        </w:tabs>
        <w:ind w:left="1696" w:hanging="420"/>
      </w:pPr>
      <w:r>
        <w:t>(a)</w:t>
      </w:r>
      <w:r>
        <w:tab/>
      </w:r>
      <w:r w:rsidR="007002B4">
        <w:t xml:space="preserve">is </w:t>
      </w:r>
      <w:r w:rsidR="002E7654">
        <w:t>operated under</w:t>
      </w:r>
      <w:r w:rsidR="00D670BE">
        <w:t xml:space="preserve"> an</w:t>
      </w:r>
      <w:r w:rsidR="002E7654">
        <w:t xml:space="preserve"> apparatus licence issued </w:t>
      </w:r>
      <w:r w:rsidR="002C3516" w:rsidRPr="002C3516">
        <w:t>on or after 18 June 2013;</w:t>
      </w:r>
      <w:r w:rsidR="008D3ED1">
        <w:t xml:space="preserve"> </w:t>
      </w:r>
    </w:p>
    <w:p w:rsidR="009B20AE" w:rsidRDefault="004D5A58" w:rsidP="009B20AE">
      <w:pPr>
        <w:tabs>
          <w:tab w:val="left" w:pos="1701"/>
        </w:tabs>
        <w:ind w:left="1701" w:hanging="425"/>
      </w:pPr>
      <w:r>
        <w:t>(b)</w:t>
      </w:r>
      <w:r>
        <w:tab/>
      </w:r>
      <w:r w:rsidR="007002B4">
        <w:t xml:space="preserve">is </w:t>
      </w:r>
      <w:r w:rsidR="002E7654">
        <w:t xml:space="preserve">located within 200 km of </w:t>
      </w:r>
      <w:r w:rsidR="00404373">
        <w:t xml:space="preserve">an adjacent area </w:t>
      </w:r>
      <w:r w:rsidR="002E7654">
        <w:t xml:space="preserve">1800 MHz band spectrum licence geographical boundary; and </w:t>
      </w:r>
      <w:r w:rsidR="002E7654" w:rsidDel="002E7654">
        <w:t xml:space="preserve"> </w:t>
      </w:r>
    </w:p>
    <w:p w:rsidR="00101E29" w:rsidRDefault="00DD70CB" w:rsidP="00415527">
      <w:pPr>
        <w:tabs>
          <w:tab w:val="left" w:pos="1701"/>
        </w:tabs>
        <w:ind w:left="1701" w:hanging="425"/>
      </w:pPr>
      <w:r>
        <w:t>(c)</w:t>
      </w:r>
      <w:r>
        <w:tab/>
      </w:r>
      <w:r w:rsidR="002E7654">
        <w:t xml:space="preserve">has an occupied bandwidth </w:t>
      </w:r>
      <w:r w:rsidR="00253F7B">
        <w:t>wholly</w:t>
      </w:r>
      <w:r w:rsidR="002E7654">
        <w:t xml:space="preserve"> or partially contained within the frequency band of an adjacent area 1800 MHz band spectrum licence. </w:t>
      </w:r>
    </w:p>
    <w:p w:rsidR="008D3ED1" w:rsidRDefault="008D3ED1" w:rsidP="008D3ED1"/>
    <w:p w:rsidR="00736B17" w:rsidRDefault="00E86860" w:rsidP="00736B17">
      <w:pPr>
        <w:pStyle w:val="ListParagraph"/>
        <w:numPr>
          <w:ilvl w:val="0"/>
          <w:numId w:val="12"/>
        </w:numPr>
        <w:ind w:hanging="1070"/>
        <w:rPr>
          <w:b/>
        </w:rPr>
      </w:pPr>
      <w:r w:rsidRPr="0022369B">
        <w:t>If an</w:t>
      </w:r>
      <w:r>
        <w:t>y</w:t>
      </w:r>
      <w:r w:rsidRPr="00D4783D">
        <w:rPr>
          <w:b/>
        </w:rPr>
        <w:t xml:space="preserve"> </w:t>
      </w:r>
      <w:r>
        <w:t xml:space="preserve">part of the device boundary for a fixed transmitter described in </w:t>
      </w:r>
      <w:r w:rsidR="00253F7B">
        <w:t xml:space="preserve">section </w:t>
      </w:r>
      <w:r>
        <w:t>(3), determined using the additional device boundary criterion, lies inside the geographic area of a</w:t>
      </w:r>
      <w:r w:rsidR="00E73B7B">
        <w:t>n</w:t>
      </w:r>
      <w:r>
        <w:t xml:space="preserve"> 1800 MHz band spectrum licence, </w:t>
      </w:r>
      <w:r w:rsidR="005B21D5">
        <w:t>the fixed transmitter</w:t>
      </w:r>
      <w:r w:rsidR="00C0096E">
        <w:t xml:space="preserve"> will be taken to not comply with the additional device boundary criteria. </w:t>
      </w:r>
      <w:r w:rsidR="00415527">
        <w:rPr>
          <w:b/>
        </w:rPr>
        <w:br w:type="page"/>
      </w:r>
    </w:p>
    <w:p w:rsidR="009B20AE" w:rsidRDefault="002C3516" w:rsidP="009B20AE">
      <w:pPr>
        <w:pStyle w:val="ListParagraph"/>
        <w:spacing w:after="120"/>
        <w:ind w:left="1134"/>
        <w:rPr>
          <w:b/>
        </w:rPr>
      </w:pPr>
      <w:r w:rsidRPr="002C3516">
        <w:rPr>
          <w:b/>
        </w:rPr>
        <w:t xml:space="preserve">Circumstances </w:t>
      </w:r>
      <w:r w:rsidR="00F95690">
        <w:rPr>
          <w:b/>
        </w:rPr>
        <w:t xml:space="preserve">when </w:t>
      </w:r>
      <w:r w:rsidRPr="002C3516">
        <w:rPr>
          <w:b/>
        </w:rPr>
        <w:t>compliance is not requir</w:t>
      </w:r>
      <w:r w:rsidRPr="00C0096E">
        <w:rPr>
          <w:b/>
        </w:rPr>
        <w:t>e</w:t>
      </w:r>
      <w:r w:rsidRPr="002C3516">
        <w:rPr>
          <w:b/>
        </w:rPr>
        <w:t>d</w:t>
      </w:r>
    </w:p>
    <w:p w:rsidR="009B20AE" w:rsidRDefault="0092018A" w:rsidP="009B20AE">
      <w:pPr>
        <w:pStyle w:val="Jeanpara"/>
        <w:numPr>
          <w:ilvl w:val="0"/>
          <w:numId w:val="12"/>
        </w:numPr>
        <w:spacing w:before="120"/>
        <w:ind w:left="1134" w:hanging="1134"/>
      </w:pPr>
      <w:r>
        <w:t>A licensee of a fixed transmitter</w:t>
      </w:r>
      <w:r w:rsidR="005D0399">
        <w:t xml:space="preserve"> described in section</w:t>
      </w:r>
      <w:r w:rsidR="00DF5A46">
        <w:t xml:space="preserve"> (1) </w:t>
      </w:r>
      <w:r w:rsidR="0036265B">
        <w:t>or</w:t>
      </w:r>
      <w:r w:rsidR="005D0399">
        <w:t xml:space="preserve"> (3)</w:t>
      </w:r>
      <w:r w:rsidR="00C651E7">
        <w:t xml:space="preserve"> is not required to comply with the additional device boundary criterion if</w:t>
      </w:r>
      <w:r w:rsidR="00CD2FC9">
        <w:t>:</w:t>
      </w:r>
      <w:r w:rsidR="00C651E7">
        <w:t xml:space="preserve"> </w:t>
      </w:r>
    </w:p>
    <w:p w:rsidR="00ED306A" w:rsidRDefault="00BD5878">
      <w:pPr>
        <w:pStyle w:val="Jeanpara"/>
        <w:numPr>
          <w:ilvl w:val="1"/>
          <w:numId w:val="12"/>
        </w:numPr>
        <w:spacing w:before="120"/>
      </w:pPr>
      <w:r>
        <w:t>t</w:t>
      </w:r>
      <w:r w:rsidR="00C651E7">
        <w:t xml:space="preserve">he device boundary of the transmitter is wholly within the geographic area of </w:t>
      </w:r>
      <w:r w:rsidR="00307361">
        <w:t xml:space="preserve">one or more </w:t>
      </w:r>
      <w:r w:rsidR="00C651E7">
        <w:t>spectrum licence</w:t>
      </w:r>
      <w:r w:rsidR="00307361">
        <w:t>s</w:t>
      </w:r>
      <w:r w:rsidR="00865EC2">
        <w:t xml:space="preserve"> other than the licence under which the transmitter operates (t</w:t>
      </w:r>
      <w:r w:rsidR="00865EC2" w:rsidRPr="00C0096E">
        <w:t>he</w:t>
      </w:r>
      <w:r w:rsidR="00865EC2">
        <w:t xml:space="preserve"> </w:t>
      </w:r>
      <w:r w:rsidR="00307361">
        <w:rPr>
          <w:b/>
          <w:i/>
        </w:rPr>
        <w:t>other spectrum licences</w:t>
      </w:r>
      <w:r w:rsidR="00307361">
        <w:t>);</w:t>
      </w:r>
      <w:r w:rsidR="00865EC2">
        <w:t xml:space="preserve"> </w:t>
      </w:r>
      <w:r w:rsidR="00C651E7">
        <w:t xml:space="preserve"> </w:t>
      </w:r>
    </w:p>
    <w:p w:rsidR="00ED306A" w:rsidRDefault="00BD5878">
      <w:pPr>
        <w:pStyle w:val="Jeanpara"/>
        <w:numPr>
          <w:ilvl w:val="1"/>
          <w:numId w:val="12"/>
        </w:numPr>
        <w:spacing w:before="120"/>
      </w:pPr>
      <w:r>
        <w:t>t</w:t>
      </w:r>
      <w:r w:rsidR="00C651E7">
        <w:t>he occupied bandwidth</w:t>
      </w:r>
      <w:r w:rsidR="00B73150">
        <w:t xml:space="preserve"> of the transmit</w:t>
      </w:r>
      <w:r w:rsidR="00C651E7">
        <w:t>ter is wholly</w:t>
      </w:r>
      <w:r w:rsidR="007027C8">
        <w:t xml:space="preserve"> or partially contained</w:t>
      </w:r>
      <w:r w:rsidR="00C651E7">
        <w:t xml:space="preserve"> within t</w:t>
      </w:r>
      <w:r w:rsidR="00307361">
        <w:t>he frequency band within which the other</w:t>
      </w:r>
      <w:r w:rsidR="00C651E7">
        <w:t xml:space="preserve"> spectrum licence</w:t>
      </w:r>
      <w:r w:rsidR="00307361">
        <w:t>s operate; and</w:t>
      </w:r>
    </w:p>
    <w:p w:rsidR="00603DA6" w:rsidRDefault="00BD5878">
      <w:pPr>
        <w:pStyle w:val="Jeanpara"/>
        <w:numPr>
          <w:ilvl w:val="1"/>
          <w:numId w:val="12"/>
        </w:numPr>
        <w:spacing w:before="120"/>
      </w:pPr>
      <w:r>
        <w:t>t</w:t>
      </w:r>
      <w:r w:rsidR="00307361">
        <w:t>he licensee</w:t>
      </w:r>
      <w:r w:rsidR="00603DA6">
        <w:t>:</w:t>
      </w:r>
    </w:p>
    <w:p w:rsidR="001132BF" w:rsidRDefault="00A541E3">
      <w:pPr>
        <w:pStyle w:val="Jeanpara"/>
        <w:numPr>
          <w:ilvl w:val="0"/>
          <w:numId w:val="28"/>
        </w:numPr>
        <w:spacing w:before="120"/>
        <w:ind w:hanging="104"/>
      </w:pPr>
      <w:r>
        <w:t>is the holder of the other spectrum licences</w:t>
      </w:r>
      <w:r w:rsidR="00603DA6">
        <w:t>;</w:t>
      </w:r>
      <w:r>
        <w:t xml:space="preserve"> or </w:t>
      </w:r>
    </w:p>
    <w:p w:rsidR="001132BF" w:rsidRDefault="00307361">
      <w:pPr>
        <w:pStyle w:val="Jeanpara"/>
        <w:numPr>
          <w:ilvl w:val="3"/>
          <w:numId w:val="12"/>
        </w:numPr>
        <w:spacing w:before="120"/>
        <w:ind w:left="2127" w:hanging="426"/>
      </w:pPr>
      <w:r>
        <w:t>has written agreement</w:t>
      </w:r>
      <w:r w:rsidR="00C0096E">
        <w:t>s</w:t>
      </w:r>
      <w:r>
        <w:t xml:space="preserve"> with the holders of the other spectrum licences</w:t>
      </w:r>
      <w:r w:rsidR="00603DA6">
        <w:t xml:space="preserve"> </w:t>
      </w:r>
      <w:r w:rsidR="00A301E4">
        <w:t xml:space="preserve">permitting it </w:t>
      </w:r>
      <w:r w:rsidR="00C604D1">
        <w:t>to exceed the additional device boundary criteri</w:t>
      </w:r>
      <w:r w:rsidR="00C0096E">
        <w:t>on</w:t>
      </w:r>
      <w:r w:rsidR="007129B7">
        <w:t xml:space="preserve"> for the transmitter</w:t>
      </w:r>
      <w:r>
        <w:t>.</w:t>
      </w:r>
      <w:r w:rsidR="00E73B7B">
        <w:t xml:space="preserve"> </w:t>
      </w:r>
      <w:r>
        <w:t xml:space="preserve"> </w:t>
      </w:r>
    </w:p>
    <w:p w:rsidR="00ED306A" w:rsidRDefault="00ED306A">
      <w:pPr>
        <w:pStyle w:val="Jeanpara"/>
        <w:spacing w:before="120"/>
      </w:pPr>
    </w:p>
    <w:p w:rsidR="00423258" w:rsidRDefault="00423258">
      <w:pPr>
        <w:rPr>
          <w:b/>
        </w:rPr>
      </w:pPr>
      <w:r>
        <w:rPr>
          <w:b/>
        </w:rPr>
        <w:br w:type="page"/>
      </w:r>
    </w:p>
    <w:p w:rsidR="00FC1511" w:rsidRDefault="00FC1511" w:rsidP="00FC1511">
      <w:pPr>
        <w:jc w:val="center"/>
        <w:rPr>
          <w:b/>
        </w:rPr>
      </w:pPr>
    </w:p>
    <w:p w:rsidR="00101E29" w:rsidRPr="00572400" w:rsidRDefault="009B20AE" w:rsidP="00101E29">
      <w:pPr>
        <w:rPr>
          <w:rFonts w:ascii="Arial" w:hAnsi="Arial" w:cs="Arial"/>
          <w:b/>
          <w:szCs w:val="24"/>
        </w:rPr>
      </w:pPr>
      <w:r w:rsidRPr="009B20AE">
        <w:rPr>
          <w:rFonts w:ascii="Arial" w:hAnsi="Arial" w:cs="Arial"/>
          <w:b/>
          <w:szCs w:val="24"/>
        </w:rPr>
        <w:t>Schedule 1</w:t>
      </w:r>
      <w:r w:rsidR="00572400">
        <w:rPr>
          <w:rFonts w:ascii="Arial" w:hAnsi="Arial" w:cs="Arial"/>
          <w:b/>
          <w:szCs w:val="24"/>
        </w:rPr>
        <w:tab/>
      </w:r>
      <w:r w:rsidRPr="009B20AE">
        <w:rPr>
          <w:rFonts w:ascii="Arial" w:hAnsi="Arial" w:cs="Arial"/>
          <w:b/>
          <w:szCs w:val="24"/>
        </w:rPr>
        <w:t>Additional device boundary criterion</w:t>
      </w:r>
    </w:p>
    <w:p w:rsidR="00FC1511" w:rsidRDefault="00FC1511" w:rsidP="00FC1511">
      <w:pPr>
        <w:jc w:val="center"/>
        <w:rPr>
          <w:b/>
        </w:rPr>
      </w:pPr>
    </w:p>
    <w:p w:rsidR="00101E29" w:rsidRDefault="00D121D7" w:rsidP="007C41A2">
      <w:pPr>
        <w:ind w:left="1418" w:hanging="1418"/>
      </w:pPr>
      <w:r>
        <w:t>(1)</w:t>
      </w:r>
      <w:r>
        <w:tab/>
      </w:r>
      <w:r w:rsidR="00FC1511">
        <w:t>The additional device boundary is calculated according to the distance that is necessary to satisfy the following</w:t>
      </w:r>
      <w:r w:rsidR="00CD1A72">
        <w:t xml:space="preserve"> equation:</w:t>
      </w:r>
    </w:p>
    <w:p w:rsidR="00CD1A72" w:rsidRDefault="00CD1A72" w:rsidP="007C41A2">
      <w:pPr>
        <w:spacing w:before="120"/>
        <w:ind w:left="1418" w:hanging="1418"/>
      </w:pPr>
      <w:r>
        <w:tab/>
        <w:t xml:space="preserve">(HRP - Lb - CR) </w:t>
      </w:r>
      <w:r>
        <w:sym w:font="Symbol" w:char="F0A3"/>
      </w:r>
      <w:r>
        <w:t xml:space="preserve"> 0;</w:t>
      </w:r>
    </w:p>
    <w:p w:rsidR="00CD1A72" w:rsidRDefault="00CD1A72" w:rsidP="007C41A2">
      <w:pPr>
        <w:spacing w:before="120"/>
        <w:ind w:left="1418"/>
      </w:pPr>
      <w:r>
        <w:t>Where</w:t>
      </w:r>
      <w:r>
        <w:tab/>
        <w:t xml:space="preserve">HRP = Horizontally Radiated Power; </w:t>
      </w:r>
    </w:p>
    <w:p w:rsidR="00CD1A72" w:rsidRDefault="00CD1A72" w:rsidP="007C41A2">
      <w:pPr>
        <w:ind w:left="1418"/>
      </w:pPr>
      <w:r>
        <w:tab/>
      </w:r>
      <w:r w:rsidR="00572400">
        <w:tab/>
      </w:r>
      <w:r>
        <w:t>Lb = Propagation Loss; and</w:t>
      </w:r>
    </w:p>
    <w:p w:rsidR="009B20AE" w:rsidRDefault="00CD1A72" w:rsidP="009B20AE">
      <w:pPr>
        <w:ind w:left="2160"/>
      </w:pPr>
      <w:r>
        <w:t xml:space="preserve">CR = Compatibility Requirement for a notional </w:t>
      </w:r>
      <w:r w:rsidR="00E7215E">
        <w:t xml:space="preserve">radiocommunications </w:t>
      </w:r>
      <w:r>
        <w:t>receiver.</w:t>
      </w:r>
    </w:p>
    <w:p w:rsidR="00101E29" w:rsidRDefault="00101E29" w:rsidP="00572400">
      <w:pPr>
        <w:ind w:left="993" w:hanging="993"/>
      </w:pPr>
    </w:p>
    <w:p w:rsidR="00101E29" w:rsidRDefault="00CD1A72" w:rsidP="007C41A2">
      <w:pPr>
        <w:ind w:left="1418" w:hanging="1418"/>
      </w:pPr>
      <w:r>
        <w:t>(2)</w:t>
      </w:r>
      <w:r>
        <w:tab/>
        <w:t xml:space="preserve">Calculations are performed every 500 metres along radials with a maximum length of 200 kilometres at every 1 degree of arc (beginning at True North) and centred on the </w:t>
      </w:r>
      <w:r w:rsidR="00E7215E">
        <w:t xml:space="preserve">location of the </w:t>
      </w:r>
      <w:r>
        <w:t>radiocommunications transmitter.</w:t>
      </w:r>
    </w:p>
    <w:p w:rsidR="00101E29" w:rsidRDefault="00101E29" w:rsidP="00572400">
      <w:pPr>
        <w:ind w:left="993" w:hanging="993"/>
      </w:pPr>
    </w:p>
    <w:p w:rsidR="00101E29" w:rsidRDefault="00CD1A72" w:rsidP="007C41A2">
      <w:pPr>
        <w:ind w:left="1418" w:hanging="1418"/>
      </w:pPr>
      <w:r>
        <w:t>(3)</w:t>
      </w:r>
      <w:r>
        <w:tab/>
        <w:t xml:space="preserve">The location of the point where the additional device boundary criterion is </w:t>
      </w:r>
      <w:r w:rsidR="001454F0">
        <w:t xml:space="preserve">satisfied </w:t>
      </w:r>
      <w:r>
        <w:t>along each radial should be determined. These points form the device boundary of the radiocommunications transmitter.</w:t>
      </w:r>
    </w:p>
    <w:p w:rsidR="00101E29" w:rsidRDefault="00101E29" w:rsidP="00101E29">
      <w:pPr>
        <w:ind w:left="993" w:hanging="426"/>
      </w:pPr>
    </w:p>
    <w:p w:rsidR="009B20AE" w:rsidRDefault="00FC1511" w:rsidP="009B20AE">
      <w:pPr>
        <w:ind w:left="273" w:firstLine="1145"/>
        <w:rPr>
          <w:b/>
        </w:rPr>
      </w:pPr>
      <w:r>
        <w:rPr>
          <w:b/>
        </w:rPr>
        <w:t>Calculation of Horizontally Radiated Power (HRP)</w:t>
      </w:r>
    </w:p>
    <w:p w:rsidR="009B20AE" w:rsidRDefault="00BB5586" w:rsidP="009B20AE">
      <w:pPr>
        <w:spacing w:before="120"/>
        <w:ind w:left="1418" w:hanging="1418"/>
      </w:pPr>
      <w:r>
        <w:t>(</w:t>
      </w:r>
      <w:r w:rsidR="007B348B">
        <w:t>4</w:t>
      </w:r>
      <w:r>
        <w:t>)</w:t>
      </w:r>
      <w:r>
        <w:tab/>
      </w:r>
      <w:r w:rsidR="00FC1511">
        <w:t xml:space="preserve">HRP (dBm EIRP per 30 kHz) is the horizontally radiated power </w:t>
      </w:r>
      <w:r w:rsidR="007B348B">
        <w:t>along</w:t>
      </w:r>
      <w:r w:rsidR="00FC1511">
        <w:t xml:space="preserve"> each radial.  </w:t>
      </w:r>
      <w:r w:rsidR="002C7815">
        <w:t xml:space="preserve">It should be noted that the out-of-area core condition </w:t>
      </w:r>
      <w:r w:rsidR="00DC0721">
        <w:t xml:space="preserve">(imposed under section 66 of the Act) </w:t>
      </w:r>
      <w:r w:rsidR="002C7815">
        <w:t>applicable to all 1800 MHz spectrum licences limits the HRP to 54.5 dBm EIRP per 30 kHz.</w:t>
      </w:r>
    </w:p>
    <w:p w:rsidR="00FC1511" w:rsidRDefault="00FC1511" w:rsidP="00FC1511"/>
    <w:p w:rsidR="009B20AE" w:rsidRDefault="00FC1511" w:rsidP="009B20AE">
      <w:pPr>
        <w:ind w:left="1418"/>
        <w:rPr>
          <w:b/>
        </w:rPr>
      </w:pPr>
      <w:r>
        <w:rPr>
          <w:b/>
        </w:rPr>
        <w:t xml:space="preserve">High Site-High Site Propagation </w:t>
      </w:r>
      <w:r w:rsidR="00E7215E">
        <w:rPr>
          <w:b/>
        </w:rPr>
        <w:t xml:space="preserve">Loss </w:t>
      </w:r>
      <w:r>
        <w:rPr>
          <w:b/>
        </w:rPr>
        <w:t>(Lb)</w:t>
      </w:r>
    </w:p>
    <w:p w:rsidR="00101E29" w:rsidRDefault="007B348B" w:rsidP="007C41A2">
      <w:pPr>
        <w:spacing w:before="120"/>
        <w:ind w:left="1418" w:hanging="1418"/>
      </w:pPr>
      <w:r>
        <w:t>(5</w:t>
      </w:r>
      <w:r w:rsidR="00BB5586">
        <w:t>)</w:t>
      </w:r>
      <w:r w:rsidR="00BB5586">
        <w:tab/>
      </w:r>
      <w:r w:rsidR="00FC1511">
        <w:t>The propagation loss for a high site</w:t>
      </w:r>
      <w:r>
        <w:t xml:space="preserve"> to </w:t>
      </w:r>
      <w:r w:rsidR="00FC1511">
        <w:t>high site transmit-receive path (Lb) may be worked out in accordance with the general method for estimating diffraction loss described in ITU</w:t>
      </w:r>
      <w:r>
        <w:t>-R</w:t>
      </w:r>
      <w:r w:rsidR="00FC1511">
        <w:t xml:space="preserve"> Recommendation P.526</w:t>
      </w:r>
      <w:r w:rsidR="00DC0721">
        <w:t xml:space="preserve">: </w:t>
      </w:r>
      <w:r w:rsidR="006B4407" w:rsidRPr="006B4407">
        <w:rPr>
          <w:i/>
        </w:rPr>
        <w:t>Propagation by diffraction</w:t>
      </w:r>
      <w:r w:rsidR="00FC1511">
        <w:t xml:space="preserve"> using a path profile </w:t>
      </w:r>
      <w:r w:rsidR="002C7815">
        <w:t xml:space="preserve">(from the </w:t>
      </w:r>
      <w:r w:rsidR="00E7215E">
        <w:t xml:space="preserve">radiocommunications </w:t>
      </w:r>
      <w:r w:rsidR="002C7815">
        <w:t xml:space="preserve">transmitter site to each 500 metre increment along each radial) </w:t>
      </w:r>
      <w:r w:rsidR="00FC1511">
        <w:t xml:space="preserve">derived from </w:t>
      </w:r>
      <w:r w:rsidR="00C72EA2">
        <w:t>DEM</w:t>
      </w:r>
      <w:r w:rsidR="007F383A">
        <w:t>-</w:t>
      </w:r>
      <w:r w:rsidR="00C72EA2">
        <w:t>9S</w:t>
      </w:r>
      <w:r w:rsidR="00FC1511">
        <w:t xml:space="preserve"> and an effective earth radius factor of </w:t>
      </w:r>
      <w:r w:rsidR="00FC1511">
        <w:rPr>
          <w:vertAlign w:val="superscript"/>
        </w:rPr>
        <w:t>4</w:t>
      </w:r>
      <w:r w:rsidR="00FC1511">
        <w:t>/</w:t>
      </w:r>
      <w:r w:rsidR="00FC1511">
        <w:rPr>
          <w:sz w:val="16"/>
        </w:rPr>
        <w:t>3</w:t>
      </w:r>
      <w:r w:rsidR="00FC1511">
        <w:t>.</w:t>
      </w:r>
    </w:p>
    <w:p w:rsidR="009B20AE" w:rsidRDefault="006C1AB6" w:rsidP="009B20AE">
      <w:pPr>
        <w:pStyle w:val="HP"/>
        <w:ind w:left="1418" w:firstLine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Note</w:t>
      </w:r>
      <w:r>
        <w:rPr>
          <w:rFonts w:ascii="Times New Roman" w:hAnsi="Times New Roman"/>
          <w:b w:val="0"/>
          <w:sz w:val="20"/>
          <w:szCs w:val="20"/>
        </w:rPr>
        <w:tab/>
        <w:t>The ITU-R Recommendation P.526</w:t>
      </w:r>
      <w:r w:rsidRPr="00282BD0">
        <w:rPr>
          <w:rFonts w:ascii="Times New Roman" w:hAnsi="Times New Roman"/>
          <w:b w:val="0"/>
          <w:sz w:val="20"/>
          <w:szCs w:val="20"/>
        </w:rPr>
        <w:t xml:space="preserve"> is available from the ITU website at </w:t>
      </w:r>
      <w:hyperlink r:id="rId14" w:history="1">
        <w:r w:rsidRPr="00282BD0">
          <w:rPr>
            <w:rStyle w:val="Hyperlink"/>
            <w:rFonts w:ascii="Times New Roman" w:hAnsi="Times New Roman"/>
            <w:b w:val="0"/>
            <w:sz w:val="20"/>
            <w:szCs w:val="20"/>
          </w:rPr>
          <w:t>http://www.itu.int</w:t>
        </w:r>
      </w:hyperlink>
      <w:r>
        <w:rPr>
          <w:rFonts w:ascii="Times New Roman" w:hAnsi="Times New Roman"/>
          <w:b w:val="0"/>
          <w:sz w:val="20"/>
          <w:szCs w:val="20"/>
        </w:rPr>
        <w:t>.</w:t>
      </w:r>
    </w:p>
    <w:p w:rsidR="00FC1511" w:rsidRDefault="00FC1511" w:rsidP="00FC1511"/>
    <w:p w:rsidR="009B20AE" w:rsidRDefault="00BD2983" w:rsidP="009B20AE">
      <w:pPr>
        <w:ind w:left="1418" w:hanging="1418"/>
      </w:pPr>
      <w:r>
        <w:t>(</w:t>
      </w:r>
      <w:r w:rsidR="00AB424B">
        <w:t>6</w:t>
      </w:r>
      <w:r w:rsidR="00D9648A">
        <w:t>)</w:t>
      </w:r>
      <w:r w:rsidR="00D9648A">
        <w:tab/>
      </w:r>
      <w:r w:rsidR="003E6794">
        <w:t>The notional radiocommunications receiver antenna height above ground is 30 metres.</w:t>
      </w:r>
    </w:p>
    <w:p w:rsidR="003E6794" w:rsidRDefault="003E6794" w:rsidP="007C41A2">
      <w:pPr>
        <w:ind w:left="1418" w:hanging="426"/>
      </w:pPr>
    </w:p>
    <w:p w:rsidR="00101E29" w:rsidRDefault="003E6794" w:rsidP="007C41A2">
      <w:pPr>
        <w:ind w:left="1418" w:hanging="1418"/>
      </w:pPr>
      <w:r>
        <w:t>(7)</w:t>
      </w:r>
      <w:r>
        <w:tab/>
      </w:r>
      <w:r w:rsidR="00FC1511">
        <w:t xml:space="preserve">The procedure </w:t>
      </w:r>
      <w:r w:rsidR="008144A5">
        <w:t xml:space="preserve">specified in </w:t>
      </w:r>
      <w:r w:rsidR="007B348B">
        <w:t>ITU-R Recommendation</w:t>
      </w:r>
      <w:r w:rsidR="00FC1511">
        <w:t xml:space="preserve"> P.526 for calculating propagation loss is complex and </w:t>
      </w:r>
      <w:r w:rsidR="00E7215E">
        <w:t xml:space="preserve">spectrum </w:t>
      </w:r>
      <w:r w:rsidR="00FC1511">
        <w:t xml:space="preserve">licensees should exercise particular care when establishing whether a particular service might meet the compatibility requirements under these </w:t>
      </w:r>
      <w:r w:rsidR="00E11317">
        <w:t>g</w:t>
      </w:r>
      <w:r w:rsidR="008144A5">
        <w:t>uidelines</w:t>
      </w:r>
      <w:r w:rsidR="00FC1511">
        <w:t xml:space="preserve">.  </w:t>
      </w:r>
    </w:p>
    <w:p w:rsidR="009B20AE" w:rsidRDefault="00FC1511" w:rsidP="009B20AE">
      <w:pPr>
        <w:keepNext/>
        <w:ind w:left="1418"/>
        <w:rPr>
          <w:b/>
        </w:rPr>
      </w:pPr>
      <w:r>
        <w:rPr>
          <w:b/>
        </w:rPr>
        <w:t>Compatibility Requirement</w:t>
      </w:r>
      <w:r w:rsidR="00D9648A">
        <w:rPr>
          <w:b/>
        </w:rPr>
        <w:t xml:space="preserve"> (CR)</w:t>
      </w:r>
    </w:p>
    <w:p w:rsidR="009B20AE" w:rsidRDefault="007B348B" w:rsidP="009B20AE">
      <w:pPr>
        <w:spacing w:before="120"/>
        <w:ind w:left="1418" w:hanging="1418"/>
      </w:pPr>
      <w:r>
        <w:t>(</w:t>
      </w:r>
      <w:r w:rsidR="00BD2983">
        <w:t>8</w:t>
      </w:r>
      <w:r w:rsidR="00D9648A">
        <w:t>)</w:t>
      </w:r>
      <w:r w:rsidR="00D9648A">
        <w:tab/>
      </w:r>
      <w:r w:rsidR="00DC0721">
        <w:t>The compatibility requirement</w:t>
      </w:r>
      <w:r w:rsidR="005B1EDB">
        <w:t xml:space="preserve"> (CR)</w:t>
      </w:r>
      <w:r w:rsidR="00DC0721">
        <w:t xml:space="preserve">, </w:t>
      </w:r>
      <w:r w:rsidR="005B1EDB">
        <w:t>specified</w:t>
      </w:r>
      <w:r w:rsidR="00DC0721">
        <w:t xml:space="preserve"> in clause </w:t>
      </w:r>
      <w:r w:rsidR="00603DA6">
        <w:t>(</w:t>
      </w:r>
      <w:r w:rsidR="00DC0721">
        <w:t>1</w:t>
      </w:r>
      <w:r w:rsidR="00603DA6">
        <w:t>)</w:t>
      </w:r>
      <w:r w:rsidR="00DC0721">
        <w:t>, to be satisfied is -136.5 dBm/30</w:t>
      </w:r>
      <w:r w:rsidR="00603DA6">
        <w:t xml:space="preserve"> </w:t>
      </w:r>
      <w:r w:rsidR="00DC0721">
        <w:t xml:space="preserve">kHz. This </w:t>
      </w:r>
      <w:r w:rsidR="005B1EDB">
        <w:t>CR</w:t>
      </w:r>
      <w:r w:rsidR="00DC0721">
        <w:t xml:space="preserve"> is based on providing the necessary level of protection (as calculated in accordance with clause </w:t>
      </w:r>
      <w:r w:rsidR="00603DA6">
        <w:t>(</w:t>
      </w:r>
      <w:r w:rsidR="00DC0721">
        <w:t>9</w:t>
      </w:r>
      <w:r w:rsidR="00603DA6">
        <w:t>)</w:t>
      </w:r>
      <w:r w:rsidR="00DC0721">
        <w:t xml:space="preserve">) for a notional radiocommunications receiver located at least 3 km from the </w:t>
      </w:r>
      <w:r w:rsidR="008144A5">
        <w:t xml:space="preserve">geographic </w:t>
      </w:r>
      <w:r w:rsidR="00DC0721">
        <w:t>boundary</w:t>
      </w:r>
      <w:r w:rsidR="008144A5">
        <w:t xml:space="preserve"> of a spectrum licence operating in the 1800 MHz band</w:t>
      </w:r>
      <w:r w:rsidR="00DC0721">
        <w:t>.</w:t>
      </w:r>
    </w:p>
    <w:p w:rsidR="009B20AE" w:rsidRDefault="00F961AA" w:rsidP="009B20AE">
      <w:pPr>
        <w:spacing w:before="120"/>
        <w:ind w:left="1418"/>
        <w:rPr>
          <w:sz w:val="20"/>
        </w:rPr>
      </w:pPr>
      <w:r>
        <w:rPr>
          <w:sz w:val="20"/>
        </w:rPr>
        <w:t>Note</w:t>
      </w:r>
      <w:r w:rsidR="007C41A2">
        <w:rPr>
          <w:sz w:val="20"/>
        </w:rPr>
        <w:t xml:space="preserve"> </w:t>
      </w:r>
      <w:r w:rsidR="00A66B7F">
        <w:rPr>
          <w:sz w:val="20"/>
        </w:rPr>
        <w:t>1</w:t>
      </w:r>
      <w:r w:rsidR="007C41A2">
        <w:rPr>
          <w:sz w:val="20"/>
        </w:rPr>
        <w:tab/>
      </w:r>
      <w:r>
        <w:rPr>
          <w:sz w:val="20"/>
        </w:rPr>
        <w:t xml:space="preserve">The </w:t>
      </w:r>
      <w:r w:rsidR="005B1EDB">
        <w:rPr>
          <w:sz w:val="20"/>
        </w:rPr>
        <w:t>CR</w:t>
      </w:r>
      <w:r>
        <w:rPr>
          <w:sz w:val="20"/>
        </w:rPr>
        <w:t xml:space="preserve"> of -136.5 dBm/30</w:t>
      </w:r>
      <w:r w:rsidR="00603DA6">
        <w:rPr>
          <w:sz w:val="20"/>
        </w:rPr>
        <w:t xml:space="preserve"> </w:t>
      </w:r>
      <w:r>
        <w:rPr>
          <w:sz w:val="20"/>
        </w:rPr>
        <w:t>kHz is to be met at the geographical boundary of an 1800 M</w:t>
      </w:r>
      <w:r w:rsidR="002570B5">
        <w:rPr>
          <w:sz w:val="20"/>
        </w:rPr>
        <w:t xml:space="preserve">Hz spectrum licence, and aims to provide the necessary </w:t>
      </w:r>
      <w:r>
        <w:rPr>
          <w:sz w:val="20"/>
        </w:rPr>
        <w:t xml:space="preserve">protection </w:t>
      </w:r>
      <w:r w:rsidR="008144A5">
        <w:rPr>
          <w:sz w:val="20"/>
        </w:rPr>
        <w:t xml:space="preserve">for </w:t>
      </w:r>
      <w:r>
        <w:rPr>
          <w:sz w:val="20"/>
        </w:rPr>
        <w:t>a notional receiver located 3</w:t>
      </w:r>
      <w:r w:rsidR="00603DA6">
        <w:rPr>
          <w:sz w:val="20"/>
        </w:rPr>
        <w:t xml:space="preserve"> </w:t>
      </w:r>
      <w:r>
        <w:rPr>
          <w:sz w:val="20"/>
        </w:rPr>
        <w:t xml:space="preserve">km from the boundary. Therefore, the </w:t>
      </w:r>
      <w:r w:rsidR="005B1EDB">
        <w:rPr>
          <w:sz w:val="20"/>
        </w:rPr>
        <w:t>CR</w:t>
      </w:r>
      <w:r>
        <w:rPr>
          <w:sz w:val="20"/>
        </w:rPr>
        <w:t xml:space="preserve"> is a higher level </w:t>
      </w:r>
      <w:r w:rsidR="00CA0ED4">
        <w:rPr>
          <w:sz w:val="20"/>
        </w:rPr>
        <w:t xml:space="preserve">of protection </w:t>
      </w:r>
      <w:r>
        <w:rPr>
          <w:sz w:val="20"/>
        </w:rPr>
        <w:t xml:space="preserve">than the level of protection required by the notional receiver (as calculated in </w:t>
      </w:r>
      <w:r w:rsidR="00603DA6">
        <w:rPr>
          <w:sz w:val="20"/>
        </w:rPr>
        <w:t>clause (9)</w:t>
      </w:r>
      <w:r>
        <w:rPr>
          <w:sz w:val="20"/>
        </w:rPr>
        <w:t xml:space="preserve"> below).</w:t>
      </w:r>
      <w:r w:rsidR="002570B5">
        <w:rPr>
          <w:sz w:val="20"/>
        </w:rPr>
        <w:t xml:space="preserve"> The difference between the </w:t>
      </w:r>
      <w:r w:rsidR="005B1EDB">
        <w:rPr>
          <w:sz w:val="20"/>
        </w:rPr>
        <w:t>CR</w:t>
      </w:r>
      <w:r w:rsidR="002570B5">
        <w:rPr>
          <w:sz w:val="20"/>
        </w:rPr>
        <w:t xml:space="preserve"> and the receiver level of protection is due to the additional signal propagation loss from the area boundary to the notional receiver location 3km from the boundary.</w:t>
      </w:r>
    </w:p>
    <w:p w:rsidR="009B20AE" w:rsidRDefault="00A66B7F" w:rsidP="009B20AE">
      <w:pPr>
        <w:spacing w:before="120"/>
        <w:ind w:left="1418"/>
        <w:rPr>
          <w:sz w:val="20"/>
        </w:rPr>
      </w:pPr>
      <w:r>
        <w:rPr>
          <w:sz w:val="20"/>
          <w:lang w:val="en-AU"/>
        </w:rPr>
        <w:t>Note 2</w:t>
      </w:r>
      <w:r>
        <w:rPr>
          <w:sz w:val="20"/>
          <w:lang w:val="en-AU"/>
        </w:rPr>
        <w:tab/>
      </w:r>
      <w:r w:rsidR="00BD49A3" w:rsidRPr="00BD49A3">
        <w:rPr>
          <w:sz w:val="20"/>
          <w:lang w:val="en-AU"/>
        </w:rPr>
        <w:t xml:space="preserve">Due to the device boundary criterion in the section 145 </w:t>
      </w:r>
      <w:r w:rsidR="00603DA6">
        <w:rPr>
          <w:sz w:val="20"/>
          <w:lang w:val="en-AU"/>
        </w:rPr>
        <w:t>D</w:t>
      </w:r>
      <w:r w:rsidR="00BD49A3" w:rsidRPr="00BD49A3">
        <w:rPr>
          <w:sz w:val="20"/>
          <w:lang w:val="en-AU"/>
        </w:rPr>
        <w:t>etermination it is expected that base station receivers will not be located closer than 3 km to a geographical boundary</w:t>
      </w:r>
      <w:r w:rsidR="00CA0ED4">
        <w:rPr>
          <w:sz w:val="20"/>
          <w:lang w:val="en-AU"/>
        </w:rPr>
        <w:t xml:space="preserve"> of an 1800 MHz spectrum licence</w:t>
      </w:r>
      <w:r w:rsidR="00BD49A3" w:rsidRPr="00BD49A3">
        <w:rPr>
          <w:sz w:val="20"/>
          <w:lang w:val="en-AU"/>
        </w:rPr>
        <w:t>.</w:t>
      </w:r>
    </w:p>
    <w:p w:rsidR="00101E29" w:rsidRDefault="00101E29" w:rsidP="007C41A2">
      <w:pPr>
        <w:ind w:left="1418" w:hanging="851"/>
      </w:pPr>
    </w:p>
    <w:p w:rsidR="00101E29" w:rsidRDefault="00D9648A" w:rsidP="007C41A2">
      <w:pPr>
        <w:ind w:left="1418" w:hanging="1418"/>
      </w:pPr>
      <w:r>
        <w:t>(</w:t>
      </w:r>
      <w:r w:rsidR="00BD2983">
        <w:t>9</w:t>
      </w:r>
      <w:r>
        <w:t>)</w:t>
      </w:r>
      <w:r>
        <w:tab/>
      </w:r>
      <w:r w:rsidR="00F7007A">
        <w:t>Th</w:t>
      </w:r>
      <w:r w:rsidR="00BD2983">
        <w:t xml:space="preserve">e </w:t>
      </w:r>
      <w:r w:rsidR="005B1EDB">
        <w:t>CR</w:t>
      </w:r>
      <w:r w:rsidR="00F7007A">
        <w:t xml:space="preserve"> assumes a</w:t>
      </w:r>
      <w:r w:rsidR="00FC1511">
        <w:t xml:space="preserve"> </w:t>
      </w:r>
      <w:r w:rsidR="00F7007A">
        <w:t xml:space="preserve">notional receiver </w:t>
      </w:r>
      <w:r w:rsidR="00FC1511">
        <w:t>level of protection</w:t>
      </w:r>
      <w:r w:rsidR="00F7007A">
        <w:t xml:space="preserve"> of</w:t>
      </w:r>
      <w:r w:rsidR="00FC1511">
        <w:t xml:space="preserve"> -1</w:t>
      </w:r>
      <w:r w:rsidR="00C20420">
        <w:t>39.</w:t>
      </w:r>
      <w:r w:rsidR="00FC1511">
        <w:t>5 dBm/30 kHz</w:t>
      </w:r>
      <w:r w:rsidR="00436368">
        <w:t xml:space="preserve"> at the input of the receive antenna</w:t>
      </w:r>
      <w:r w:rsidR="00794CE1">
        <w:t>, which is located 3 km from the geographical boundary of an 1800 MHz spectrum licence</w:t>
      </w:r>
      <w:r w:rsidR="00FC1511">
        <w:t>.</w:t>
      </w:r>
      <w:r w:rsidR="00436368">
        <w:t xml:space="preserve"> </w:t>
      </w:r>
      <w:r w:rsidR="00FC1511">
        <w:t>This level of protection is based on:</w:t>
      </w:r>
    </w:p>
    <w:p w:rsidR="009B20AE" w:rsidRDefault="00D9648A" w:rsidP="009B20AE">
      <w:pPr>
        <w:ind w:left="2153" w:hanging="735"/>
      </w:pPr>
      <w:r>
        <w:t>(a)</w:t>
      </w:r>
      <w:r>
        <w:tab/>
      </w:r>
      <w:r w:rsidR="00FC1511">
        <w:t xml:space="preserve">a </w:t>
      </w:r>
      <w:r w:rsidR="00436368">
        <w:t xml:space="preserve">maximum unwanted level at the receiver input of -123.5 </w:t>
      </w:r>
      <w:r w:rsidR="00FC1511">
        <w:t>dBm/30kHz;</w:t>
      </w:r>
    </w:p>
    <w:p w:rsidR="00AF24FD" w:rsidRDefault="00D9648A" w:rsidP="007C41A2">
      <w:pPr>
        <w:ind w:left="1418"/>
      </w:pPr>
      <w:r>
        <w:t>(b)</w:t>
      </w:r>
      <w:r>
        <w:tab/>
      </w:r>
      <w:r w:rsidR="00FC1511">
        <w:t>an antenna gain of 1</w:t>
      </w:r>
      <w:r w:rsidR="00436368">
        <w:t>8</w:t>
      </w:r>
      <w:r w:rsidR="00FC1511">
        <w:t xml:space="preserve"> dBi; and</w:t>
      </w:r>
    </w:p>
    <w:p w:rsidR="00101E29" w:rsidRDefault="00D9648A" w:rsidP="007C41A2">
      <w:pPr>
        <w:ind w:left="1418"/>
      </w:pPr>
      <w:r>
        <w:t>(c)</w:t>
      </w:r>
      <w:r>
        <w:tab/>
      </w:r>
      <w:r w:rsidR="00FC1511">
        <w:t>a feeder loss of 2 dB</w:t>
      </w:r>
      <w:r>
        <w:t>.</w:t>
      </w:r>
    </w:p>
    <w:p w:rsidR="00436368" w:rsidRDefault="00FC1511" w:rsidP="007C41A2">
      <w:pPr>
        <w:ind w:left="1418" w:hanging="1418"/>
      </w:pPr>
      <w:r>
        <w:t>.</w:t>
      </w:r>
    </w:p>
    <w:p w:rsidR="009B20AE" w:rsidRDefault="0005754E" w:rsidP="009B20AE">
      <w:pPr>
        <w:spacing w:before="120"/>
        <w:ind w:left="1418"/>
        <w:rPr>
          <w:sz w:val="20"/>
        </w:rPr>
      </w:pPr>
      <w:r w:rsidRPr="0005754E">
        <w:rPr>
          <w:sz w:val="20"/>
        </w:rPr>
        <w:t>Note</w:t>
      </w:r>
      <w:r w:rsidRPr="0005754E">
        <w:rPr>
          <w:sz w:val="20"/>
        </w:rPr>
        <w:tab/>
      </w:r>
      <w:r w:rsidR="00A80A9A">
        <w:rPr>
          <w:sz w:val="20"/>
        </w:rPr>
        <w:t xml:space="preserve">The </w:t>
      </w:r>
      <w:r w:rsidR="00A80A9A" w:rsidRPr="005E64C5">
        <w:rPr>
          <w:sz w:val="20"/>
        </w:rPr>
        <w:t xml:space="preserve">maximum unwanted level at the receiver input set out in paragraph (a) is equal to </w:t>
      </w:r>
      <w:r w:rsidR="00BD49A3" w:rsidRPr="005E64C5">
        <w:rPr>
          <w:sz w:val="20"/>
          <w:lang w:val="en-AU"/>
        </w:rPr>
        <w:t xml:space="preserve">the value of the </w:t>
      </w:r>
      <w:r w:rsidR="005B1EDB" w:rsidRPr="005E64C5">
        <w:rPr>
          <w:sz w:val="20"/>
          <w:lang w:val="en-AU"/>
        </w:rPr>
        <w:t>CR</w:t>
      </w:r>
      <w:r w:rsidR="00A80A9A" w:rsidRPr="005E64C5">
        <w:rPr>
          <w:sz w:val="20"/>
          <w:lang w:val="en-AU"/>
        </w:rPr>
        <w:t xml:space="preserve"> specified in the</w:t>
      </w:r>
      <w:r w:rsidR="00BD49A3" w:rsidRPr="005E64C5">
        <w:rPr>
          <w:sz w:val="20"/>
          <w:lang w:val="en-AU"/>
        </w:rPr>
        <w:t xml:space="preserve"> </w:t>
      </w:r>
      <w:r w:rsidR="00BD49A3" w:rsidRPr="005E64C5">
        <w:rPr>
          <w:i/>
          <w:sz w:val="20"/>
          <w:lang w:val="en-AU"/>
        </w:rPr>
        <w:t xml:space="preserve">Radiocommunications Advisory Guidelines (Managing Interference to </w:t>
      </w:r>
      <w:r w:rsidR="00BD091B">
        <w:rPr>
          <w:i/>
          <w:sz w:val="20"/>
          <w:lang w:val="en-AU"/>
        </w:rPr>
        <w:t>Spectrum</w:t>
      </w:r>
      <w:r w:rsidR="00D5131B">
        <w:rPr>
          <w:i/>
          <w:sz w:val="20"/>
          <w:lang w:val="en-AU"/>
        </w:rPr>
        <w:t xml:space="preserve"> </w:t>
      </w:r>
      <w:r w:rsidR="00BD091B">
        <w:rPr>
          <w:i/>
          <w:sz w:val="20"/>
          <w:lang w:val="en-AU"/>
        </w:rPr>
        <w:t xml:space="preserve">Licensed </w:t>
      </w:r>
      <w:r w:rsidR="00BD49A3" w:rsidRPr="005E64C5">
        <w:rPr>
          <w:i/>
          <w:sz w:val="20"/>
          <w:lang w:val="en-AU"/>
        </w:rPr>
        <w:t>Receivers – 1800 MHz Band) 2012</w:t>
      </w:r>
      <w:r w:rsidR="007002B4">
        <w:rPr>
          <w:i/>
          <w:sz w:val="20"/>
          <w:lang w:val="en-AU"/>
        </w:rPr>
        <w:t>.</w:t>
      </w:r>
    </w:p>
    <w:p w:rsidR="00101E29" w:rsidRPr="005E64C5" w:rsidRDefault="00101E29" w:rsidP="007C41A2">
      <w:pPr>
        <w:ind w:left="1418" w:hanging="1418"/>
        <w:rPr>
          <w:sz w:val="20"/>
        </w:rPr>
      </w:pPr>
    </w:p>
    <w:p w:rsidR="009B20AE" w:rsidRDefault="009B20AE" w:rsidP="009B20AE">
      <w:pPr>
        <w:jc w:val="center"/>
        <w:rPr>
          <w:b/>
          <w:sz w:val="20"/>
        </w:rPr>
      </w:pPr>
    </w:p>
    <w:p w:rsidR="00D53772" w:rsidRDefault="00D53772"/>
    <w:sectPr w:rsidR="00D53772" w:rsidSect="008273D5">
      <w:headerReference w:type="default" r:id="rId15"/>
      <w:footerReference w:type="default" r:id="rId16"/>
      <w:pgSz w:w="11907" w:h="16840" w:code="9"/>
      <w:pgMar w:top="1440" w:right="1797" w:bottom="1440" w:left="1797" w:header="720" w:footer="720" w:gutter="0"/>
      <w:paperSrc w:firs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04" w:rsidRDefault="00F24C04" w:rsidP="00FC1511">
      <w:r>
        <w:separator/>
      </w:r>
    </w:p>
  </w:endnote>
  <w:endnote w:type="continuationSeparator" w:id="0">
    <w:p w:rsidR="00F24C04" w:rsidRDefault="00F24C04" w:rsidP="00FC1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04" w:rsidRDefault="00F24C04" w:rsidP="00447FA4">
    <w:pPr>
      <w:pStyle w:val="Footer"/>
      <w:pBdr>
        <w:bottom w:val="single" w:sz="6" w:space="1" w:color="auto"/>
      </w:pBdr>
      <w:jc w:val="center"/>
      <w:rPr>
        <w:i/>
        <w:sz w:val="20"/>
      </w:rPr>
    </w:pPr>
    <w:r>
      <w:rPr>
        <w:rStyle w:val="PageNumber"/>
      </w:rPr>
      <w:tab/>
    </w:r>
    <w:r>
      <w:rPr>
        <w:rStyle w:val="PageNumber"/>
      </w:rPr>
      <w:tab/>
    </w:r>
    <w:r w:rsidRPr="00447FA4">
      <w:rPr>
        <w:i/>
        <w:sz w:val="20"/>
      </w:rPr>
      <w:t xml:space="preserve"> </w:t>
    </w:r>
  </w:p>
  <w:p w:rsidR="00F24C04" w:rsidRPr="005E64C5" w:rsidRDefault="00F24C04" w:rsidP="00447FA4">
    <w:pPr>
      <w:pStyle w:val="Footer"/>
      <w:jc w:val="center"/>
      <w:rPr>
        <w:i/>
        <w:sz w:val="20"/>
      </w:rPr>
    </w:pPr>
    <w:r w:rsidRPr="005E64C5">
      <w:rPr>
        <w:i/>
        <w:sz w:val="20"/>
      </w:rPr>
      <w:t xml:space="preserve">Radiocommunications Advisory Guidelines </w:t>
    </w:r>
  </w:p>
  <w:p w:rsidR="00F24C04" w:rsidRDefault="00F24C04" w:rsidP="00447FA4">
    <w:pPr>
      <w:pStyle w:val="Footer"/>
      <w:jc w:val="center"/>
      <w:rPr>
        <w:i/>
        <w:sz w:val="20"/>
      </w:rPr>
    </w:pPr>
    <w:r w:rsidRPr="005E64C5">
      <w:rPr>
        <w:i/>
        <w:sz w:val="20"/>
      </w:rPr>
      <w:t>(Additional Device Boundary Criteria –</w:t>
    </w:r>
    <w:r>
      <w:rPr>
        <w:i/>
        <w:sz w:val="20"/>
      </w:rPr>
      <w:t xml:space="preserve"> </w:t>
    </w:r>
    <w:r w:rsidRPr="005E64C5">
      <w:rPr>
        <w:i/>
        <w:sz w:val="20"/>
      </w:rPr>
      <w:t>1800</w:t>
    </w:r>
    <w:r>
      <w:rPr>
        <w:i/>
        <w:sz w:val="20"/>
      </w:rPr>
      <w:t xml:space="preserve"> </w:t>
    </w:r>
    <w:r w:rsidRPr="005E64C5">
      <w:rPr>
        <w:i/>
        <w:sz w:val="20"/>
      </w:rPr>
      <w:t>MHz Lower Band) 2012</w:t>
    </w:r>
  </w:p>
  <w:p w:rsidR="00F24C04" w:rsidRDefault="0013423D" w:rsidP="00447FA4">
    <w:pPr>
      <w:pStyle w:val="Footer"/>
      <w:jc w:val="right"/>
    </w:pPr>
    <w:r w:rsidRPr="00173B75">
      <w:rPr>
        <w:sz w:val="20"/>
      </w:rPr>
      <w:fldChar w:fldCharType="begin"/>
    </w:r>
    <w:r w:rsidR="00F24C04" w:rsidRPr="00173B75">
      <w:rPr>
        <w:sz w:val="20"/>
      </w:rPr>
      <w:instrText xml:space="preserve"> PAGE   \* MERGEFORMAT </w:instrText>
    </w:r>
    <w:r w:rsidRPr="00173B75">
      <w:rPr>
        <w:sz w:val="20"/>
      </w:rPr>
      <w:fldChar w:fldCharType="separate"/>
    </w:r>
    <w:r w:rsidR="00143DA8">
      <w:rPr>
        <w:noProof/>
        <w:sz w:val="20"/>
      </w:rPr>
      <w:t>2</w:t>
    </w:r>
    <w:r w:rsidRPr="00173B75">
      <w:rPr>
        <w:sz w:val="20"/>
      </w:rPr>
      <w:fldChar w:fldCharType="end"/>
    </w:r>
  </w:p>
  <w:p w:rsidR="00F24C04" w:rsidRDefault="00F24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04" w:rsidRDefault="00F24C04" w:rsidP="00FC1511">
      <w:r>
        <w:separator/>
      </w:r>
    </w:p>
  </w:footnote>
  <w:footnote w:type="continuationSeparator" w:id="0">
    <w:p w:rsidR="00F24C04" w:rsidRDefault="00F24C04" w:rsidP="00FC1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04" w:rsidRDefault="00F24C04" w:rsidP="00447FA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A96BE8"/>
    <w:multiLevelType w:val="hybridMultilevel"/>
    <w:tmpl w:val="A7EC71BC"/>
    <w:lvl w:ilvl="0" w:tplc="B8621C90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81A29FEC">
      <w:start w:val="1"/>
      <w:numFmt w:val="lowerLetter"/>
      <w:lvlText w:val="(%2)"/>
      <w:lvlJc w:val="left"/>
      <w:pPr>
        <w:ind w:left="1692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412" w:hanging="180"/>
      </w:pPr>
    </w:lvl>
    <w:lvl w:ilvl="3" w:tplc="4EBE5B26">
      <w:start w:val="2"/>
      <w:numFmt w:val="lowerRoman"/>
      <w:lvlText w:val="(%4)"/>
      <w:lvlJc w:val="left"/>
      <w:pPr>
        <w:ind w:left="3492" w:hanging="72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852" w:hanging="360"/>
      </w:pPr>
    </w:lvl>
    <w:lvl w:ilvl="5" w:tplc="0C09001B" w:tentative="1">
      <w:start w:val="1"/>
      <w:numFmt w:val="lowerRoman"/>
      <w:lvlText w:val="%6."/>
      <w:lvlJc w:val="right"/>
      <w:pPr>
        <w:ind w:left="4572" w:hanging="180"/>
      </w:pPr>
    </w:lvl>
    <w:lvl w:ilvl="6" w:tplc="0C09000F" w:tentative="1">
      <w:start w:val="1"/>
      <w:numFmt w:val="decimal"/>
      <w:lvlText w:val="%7."/>
      <w:lvlJc w:val="left"/>
      <w:pPr>
        <w:ind w:left="5292" w:hanging="360"/>
      </w:pPr>
    </w:lvl>
    <w:lvl w:ilvl="7" w:tplc="0C090019" w:tentative="1">
      <w:start w:val="1"/>
      <w:numFmt w:val="lowerLetter"/>
      <w:lvlText w:val="%8."/>
      <w:lvlJc w:val="left"/>
      <w:pPr>
        <w:ind w:left="6012" w:hanging="360"/>
      </w:pPr>
    </w:lvl>
    <w:lvl w:ilvl="8" w:tplc="0C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05942739"/>
    <w:multiLevelType w:val="hybridMultilevel"/>
    <w:tmpl w:val="3A567F36"/>
    <w:lvl w:ilvl="0" w:tplc="4412C9F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0D3D37"/>
    <w:multiLevelType w:val="hybridMultilevel"/>
    <w:tmpl w:val="575A7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D3567"/>
    <w:multiLevelType w:val="hybridMultilevel"/>
    <w:tmpl w:val="D76C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54DE1"/>
    <w:multiLevelType w:val="hybridMultilevel"/>
    <w:tmpl w:val="F87AF6B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354630"/>
    <w:multiLevelType w:val="hybridMultilevel"/>
    <w:tmpl w:val="BF78D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96F91"/>
    <w:multiLevelType w:val="hybridMultilevel"/>
    <w:tmpl w:val="4232EF34"/>
    <w:lvl w:ilvl="0" w:tplc="4412C9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C66736"/>
    <w:multiLevelType w:val="hybridMultilevel"/>
    <w:tmpl w:val="A154B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F0358"/>
    <w:multiLevelType w:val="hybridMultilevel"/>
    <w:tmpl w:val="DBE6B8AE"/>
    <w:lvl w:ilvl="0" w:tplc="BD109072">
      <w:start w:val="9"/>
      <w:numFmt w:val="lowerLetter"/>
      <w:lvlText w:val="(%1)"/>
      <w:lvlJc w:val="left"/>
      <w:pPr>
        <w:ind w:left="18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5" w:hanging="360"/>
      </w:pPr>
    </w:lvl>
    <w:lvl w:ilvl="2" w:tplc="0C09001B" w:tentative="1">
      <w:start w:val="1"/>
      <w:numFmt w:val="lowerRoman"/>
      <w:lvlText w:val="%3."/>
      <w:lvlJc w:val="right"/>
      <w:pPr>
        <w:ind w:left="3245" w:hanging="180"/>
      </w:pPr>
    </w:lvl>
    <w:lvl w:ilvl="3" w:tplc="0C09000F" w:tentative="1">
      <w:start w:val="1"/>
      <w:numFmt w:val="decimal"/>
      <w:lvlText w:val="%4."/>
      <w:lvlJc w:val="left"/>
      <w:pPr>
        <w:ind w:left="3965" w:hanging="360"/>
      </w:pPr>
    </w:lvl>
    <w:lvl w:ilvl="4" w:tplc="0C090019" w:tentative="1">
      <w:start w:val="1"/>
      <w:numFmt w:val="lowerLetter"/>
      <w:lvlText w:val="%5."/>
      <w:lvlJc w:val="left"/>
      <w:pPr>
        <w:ind w:left="4685" w:hanging="360"/>
      </w:pPr>
    </w:lvl>
    <w:lvl w:ilvl="5" w:tplc="0C09001B" w:tentative="1">
      <w:start w:val="1"/>
      <w:numFmt w:val="lowerRoman"/>
      <w:lvlText w:val="%6."/>
      <w:lvlJc w:val="right"/>
      <w:pPr>
        <w:ind w:left="5405" w:hanging="180"/>
      </w:pPr>
    </w:lvl>
    <w:lvl w:ilvl="6" w:tplc="0C09000F" w:tentative="1">
      <w:start w:val="1"/>
      <w:numFmt w:val="decimal"/>
      <w:lvlText w:val="%7."/>
      <w:lvlJc w:val="left"/>
      <w:pPr>
        <w:ind w:left="6125" w:hanging="360"/>
      </w:pPr>
    </w:lvl>
    <w:lvl w:ilvl="7" w:tplc="0C090019" w:tentative="1">
      <w:start w:val="1"/>
      <w:numFmt w:val="lowerLetter"/>
      <w:lvlText w:val="%8."/>
      <w:lvlJc w:val="left"/>
      <w:pPr>
        <w:ind w:left="6845" w:hanging="360"/>
      </w:pPr>
    </w:lvl>
    <w:lvl w:ilvl="8" w:tplc="0C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0">
    <w:nsid w:val="3798706D"/>
    <w:multiLevelType w:val="hybridMultilevel"/>
    <w:tmpl w:val="2C08A48E"/>
    <w:lvl w:ilvl="0" w:tplc="52502126">
      <w:start w:val="1"/>
      <w:numFmt w:val="lowerLetter"/>
      <w:lvlText w:val="(%1)"/>
      <w:lvlJc w:val="left"/>
      <w:pPr>
        <w:ind w:left="13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2" w:hanging="360"/>
      </w:pPr>
    </w:lvl>
    <w:lvl w:ilvl="2" w:tplc="0C09001B" w:tentative="1">
      <w:start w:val="1"/>
      <w:numFmt w:val="lowerRoman"/>
      <w:lvlText w:val="%3."/>
      <w:lvlJc w:val="right"/>
      <w:pPr>
        <w:ind w:left="2772" w:hanging="180"/>
      </w:pPr>
    </w:lvl>
    <w:lvl w:ilvl="3" w:tplc="0C09000F" w:tentative="1">
      <w:start w:val="1"/>
      <w:numFmt w:val="decimal"/>
      <w:lvlText w:val="%4."/>
      <w:lvlJc w:val="left"/>
      <w:pPr>
        <w:ind w:left="3492" w:hanging="360"/>
      </w:pPr>
    </w:lvl>
    <w:lvl w:ilvl="4" w:tplc="0C090019" w:tentative="1">
      <w:start w:val="1"/>
      <w:numFmt w:val="lowerLetter"/>
      <w:lvlText w:val="%5."/>
      <w:lvlJc w:val="left"/>
      <w:pPr>
        <w:ind w:left="4212" w:hanging="360"/>
      </w:pPr>
    </w:lvl>
    <w:lvl w:ilvl="5" w:tplc="0C09001B" w:tentative="1">
      <w:start w:val="1"/>
      <w:numFmt w:val="lowerRoman"/>
      <w:lvlText w:val="%6."/>
      <w:lvlJc w:val="right"/>
      <w:pPr>
        <w:ind w:left="4932" w:hanging="180"/>
      </w:pPr>
    </w:lvl>
    <w:lvl w:ilvl="6" w:tplc="0C09000F" w:tentative="1">
      <w:start w:val="1"/>
      <w:numFmt w:val="decimal"/>
      <w:lvlText w:val="%7."/>
      <w:lvlJc w:val="left"/>
      <w:pPr>
        <w:ind w:left="5652" w:hanging="360"/>
      </w:pPr>
    </w:lvl>
    <w:lvl w:ilvl="7" w:tplc="0C090019" w:tentative="1">
      <w:start w:val="1"/>
      <w:numFmt w:val="lowerLetter"/>
      <w:lvlText w:val="%8."/>
      <w:lvlJc w:val="left"/>
      <w:pPr>
        <w:ind w:left="6372" w:hanging="360"/>
      </w:pPr>
    </w:lvl>
    <w:lvl w:ilvl="8" w:tplc="0C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>
    <w:nsid w:val="39F5233E"/>
    <w:multiLevelType w:val="hybridMultilevel"/>
    <w:tmpl w:val="8FCE77D2"/>
    <w:lvl w:ilvl="0" w:tplc="C1EE450E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92" w:hanging="360"/>
      </w:pPr>
    </w:lvl>
    <w:lvl w:ilvl="2" w:tplc="0C09001B" w:tentative="1">
      <w:start w:val="1"/>
      <w:numFmt w:val="lowerRoman"/>
      <w:lvlText w:val="%3."/>
      <w:lvlJc w:val="right"/>
      <w:pPr>
        <w:ind w:left="2412" w:hanging="180"/>
      </w:pPr>
    </w:lvl>
    <w:lvl w:ilvl="3" w:tplc="0C09000F" w:tentative="1">
      <w:start w:val="1"/>
      <w:numFmt w:val="decimal"/>
      <w:lvlText w:val="%4."/>
      <w:lvlJc w:val="left"/>
      <w:pPr>
        <w:ind w:left="3132" w:hanging="360"/>
      </w:pPr>
    </w:lvl>
    <w:lvl w:ilvl="4" w:tplc="0C090019" w:tentative="1">
      <w:start w:val="1"/>
      <w:numFmt w:val="lowerLetter"/>
      <w:lvlText w:val="%5."/>
      <w:lvlJc w:val="left"/>
      <w:pPr>
        <w:ind w:left="3852" w:hanging="360"/>
      </w:pPr>
    </w:lvl>
    <w:lvl w:ilvl="5" w:tplc="0C09001B" w:tentative="1">
      <w:start w:val="1"/>
      <w:numFmt w:val="lowerRoman"/>
      <w:lvlText w:val="%6."/>
      <w:lvlJc w:val="right"/>
      <w:pPr>
        <w:ind w:left="4572" w:hanging="180"/>
      </w:pPr>
    </w:lvl>
    <w:lvl w:ilvl="6" w:tplc="0C09000F" w:tentative="1">
      <w:start w:val="1"/>
      <w:numFmt w:val="decimal"/>
      <w:lvlText w:val="%7."/>
      <w:lvlJc w:val="left"/>
      <w:pPr>
        <w:ind w:left="5292" w:hanging="360"/>
      </w:pPr>
    </w:lvl>
    <w:lvl w:ilvl="7" w:tplc="0C090019" w:tentative="1">
      <w:start w:val="1"/>
      <w:numFmt w:val="lowerLetter"/>
      <w:lvlText w:val="%8."/>
      <w:lvlJc w:val="left"/>
      <w:pPr>
        <w:ind w:left="6012" w:hanging="360"/>
      </w:pPr>
    </w:lvl>
    <w:lvl w:ilvl="8" w:tplc="0C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3F236847"/>
    <w:multiLevelType w:val="hybridMultilevel"/>
    <w:tmpl w:val="5AF62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C4B45"/>
    <w:multiLevelType w:val="hybridMultilevel"/>
    <w:tmpl w:val="C16CC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C3CD2"/>
    <w:multiLevelType w:val="hybridMultilevel"/>
    <w:tmpl w:val="302C773A"/>
    <w:lvl w:ilvl="0" w:tplc="64AA31DA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513178CF"/>
    <w:multiLevelType w:val="hybridMultilevel"/>
    <w:tmpl w:val="C6925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E3780"/>
    <w:multiLevelType w:val="hybridMultilevel"/>
    <w:tmpl w:val="F0F442AE"/>
    <w:lvl w:ilvl="0" w:tplc="76B0C610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6142603A"/>
    <w:multiLevelType w:val="hybridMultilevel"/>
    <w:tmpl w:val="C6CE68EE"/>
    <w:lvl w:ilvl="0" w:tplc="D2A0D3E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50E1513"/>
    <w:multiLevelType w:val="hybridMultilevel"/>
    <w:tmpl w:val="BF968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6613C"/>
    <w:multiLevelType w:val="hybridMultilevel"/>
    <w:tmpl w:val="B5FAD2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4E5498"/>
    <w:multiLevelType w:val="hybridMultilevel"/>
    <w:tmpl w:val="4232EF34"/>
    <w:lvl w:ilvl="0" w:tplc="4412C9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E36E1B"/>
    <w:multiLevelType w:val="hybridMultilevel"/>
    <w:tmpl w:val="A29A5C5A"/>
    <w:lvl w:ilvl="0" w:tplc="2DEE7428">
      <w:start w:val="1"/>
      <w:numFmt w:val="lowerLetter"/>
      <w:lvlText w:val="(%1)"/>
      <w:lvlJc w:val="left"/>
      <w:pPr>
        <w:ind w:left="1437" w:hanging="45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067" w:hanging="360"/>
      </w:pPr>
    </w:lvl>
    <w:lvl w:ilvl="2" w:tplc="0C09001B" w:tentative="1">
      <w:start w:val="1"/>
      <w:numFmt w:val="lowerRoman"/>
      <w:lvlText w:val="%3."/>
      <w:lvlJc w:val="right"/>
      <w:pPr>
        <w:ind w:left="2787" w:hanging="180"/>
      </w:pPr>
    </w:lvl>
    <w:lvl w:ilvl="3" w:tplc="0C09000F" w:tentative="1">
      <w:start w:val="1"/>
      <w:numFmt w:val="decimal"/>
      <w:lvlText w:val="%4."/>
      <w:lvlJc w:val="left"/>
      <w:pPr>
        <w:ind w:left="3507" w:hanging="360"/>
      </w:pPr>
    </w:lvl>
    <w:lvl w:ilvl="4" w:tplc="0C090019" w:tentative="1">
      <w:start w:val="1"/>
      <w:numFmt w:val="lowerLetter"/>
      <w:lvlText w:val="%5."/>
      <w:lvlJc w:val="left"/>
      <w:pPr>
        <w:ind w:left="4227" w:hanging="360"/>
      </w:pPr>
    </w:lvl>
    <w:lvl w:ilvl="5" w:tplc="0C09001B" w:tentative="1">
      <w:start w:val="1"/>
      <w:numFmt w:val="lowerRoman"/>
      <w:lvlText w:val="%6."/>
      <w:lvlJc w:val="right"/>
      <w:pPr>
        <w:ind w:left="4947" w:hanging="180"/>
      </w:pPr>
    </w:lvl>
    <w:lvl w:ilvl="6" w:tplc="0C09000F" w:tentative="1">
      <w:start w:val="1"/>
      <w:numFmt w:val="decimal"/>
      <w:lvlText w:val="%7."/>
      <w:lvlJc w:val="left"/>
      <w:pPr>
        <w:ind w:left="5667" w:hanging="360"/>
      </w:pPr>
    </w:lvl>
    <w:lvl w:ilvl="7" w:tplc="0C090019" w:tentative="1">
      <w:start w:val="1"/>
      <w:numFmt w:val="lowerLetter"/>
      <w:lvlText w:val="%8."/>
      <w:lvlJc w:val="left"/>
      <w:pPr>
        <w:ind w:left="6387" w:hanging="360"/>
      </w:pPr>
    </w:lvl>
    <w:lvl w:ilvl="8" w:tplc="0C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2">
    <w:nsid w:val="6B8F0E90"/>
    <w:multiLevelType w:val="hybridMultilevel"/>
    <w:tmpl w:val="98767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37839"/>
    <w:multiLevelType w:val="hybridMultilevel"/>
    <w:tmpl w:val="010EBA9E"/>
    <w:lvl w:ilvl="0" w:tplc="63900B32">
      <w:start w:val="3"/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610FC5"/>
    <w:multiLevelType w:val="hybridMultilevel"/>
    <w:tmpl w:val="54E8B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A0A1A"/>
    <w:multiLevelType w:val="hybridMultilevel"/>
    <w:tmpl w:val="417808F8"/>
    <w:lvl w:ilvl="0" w:tplc="781AFE2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D340638"/>
    <w:multiLevelType w:val="hybridMultilevel"/>
    <w:tmpl w:val="766ED786"/>
    <w:lvl w:ilvl="0" w:tplc="DFCC16A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1020" w:hanging="340"/>
        </w:pPr>
        <w:rPr>
          <w:rFonts w:ascii="Symbol" w:hAnsi="Symbol" w:hint="default"/>
        </w:rPr>
      </w:lvl>
    </w:lvlOverride>
  </w:num>
  <w:num w:numId="3">
    <w:abstractNumId w:val="22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2"/>
  </w:num>
  <w:num w:numId="9">
    <w:abstractNumId w:val="20"/>
  </w:num>
  <w:num w:numId="10">
    <w:abstractNumId w:val="7"/>
  </w:num>
  <w:num w:numId="11">
    <w:abstractNumId w:val="5"/>
  </w:num>
  <w:num w:numId="12">
    <w:abstractNumId w:val="1"/>
  </w:num>
  <w:num w:numId="13">
    <w:abstractNumId w:val="1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24"/>
  </w:num>
  <w:num w:numId="19">
    <w:abstractNumId w:val="18"/>
  </w:num>
  <w:num w:numId="20">
    <w:abstractNumId w:val="23"/>
  </w:num>
  <w:num w:numId="21">
    <w:abstractNumId w:val="6"/>
  </w:num>
  <w:num w:numId="22">
    <w:abstractNumId w:val="10"/>
  </w:num>
  <w:num w:numId="23">
    <w:abstractNumId w:val="11"/>
  </w:num>
  <w:num w:numId="24">
    <w:abstractNumId w:val="14"/>
  </w:num>
  <w:num w:numId="25">
    <w:abstractNumId w:val="26"/>
  </w:num>
  <w:num w:numId="26">
    <w:abstractNumId w:val="21"/>
  </w:num>
  <w:num w:numId="27">
    <w:abstractNumId w:val="2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C1511"/>
    <w:rsid w:val="00007A3F"/>
    <w:rsid w:val="000118F8"/>
    <w:rsid w:val="00011A4E"/>
    <w:rsid w:val="00015A1F"/>
    <w:rsid w:val="0003568F"/>
    <w:rsid w:val="00036992"/>
    <w:rsid w:val="0003790B"/>
    <w:rsid w:val="00053406"/>
    <w:rsid w:val="000571A9"/>
    <w:rsid w:val="00057539"/>
    <w:rsid w:val="0005754E"/>
    <w:rsid w:val="000617A9"/>
    <w:rsid w:val="0006200A"/>
    <w:rsid w:val="000625D3"/>
    <w:rsid w:val="000630DA"/>
    <w:rsid w:val="0006315E"/>
    <w:rsid w:val="00080C27"/>
    <w:rsid w:val="0008531E"/>
    <w:rsid w:val="0008685C"/>
    <w:rsid w:val="00087A40"/>
    <w:rsid w:val="00091223"/>
    <w:rsid w:val="000A382B"/>
    <w:rsid w:val="000B7FB1"/>
    <w:rsid w:val="000C7E34"/>
    <w:rsid w:val="000D2765"/>
    <w:rsid w:val="000D5088"/>
    <w:rsid w:val="000E51BC"/>
    <w:rsid w:val="000E6749"/>
    <w:rsid w:val="00101E29"/>
    <w:rsid w:val="001132BF"/>
    <w:rsid w:val="00133065"/>
    <w:rsid w:val="0013423D"/>
    <w:rsid w:val="00143DA8"/>
    <w:rsid w:val="001454F0"/>
    <w:rsid w:val="00160227"/>
    <w:rsid w:val="00175D7E"/>
    <w:rsid w:val="0017605F"/>
    <w:rsid w:val="001770B6"/>
    <w:rsid w:val="001770E8"/>
    <w:rsid w:val="001837DE"/>
    <w:rsid w:val="00192634"/>
    <w:rsid w:val="00197630"/>
    <w:rsid w:val="001A2419"/>
    <w:rsid w:val="001B3C41"/>
    <w:rsid w:val="001B54D3"/>
    <w:rsid w:val="001D577C"/>
    <w:rsid w:val="001F2D26"/>
    <w:rsid w:val="00212EEF"/>
    <w:rsid w:val="00217F12"/>
    <w:rsid w:val="002267A9"/>
    <w:rsid w:val="002338FB"/>
    <w:rsid w:val="00234EA4"/>
    <w:rsid w:val="00240D03"/>
    <w:rsid w:val="00253F7B"/>
    <w:rsid w:val="002570B5"/>
    <w:rsid w:val="002608F4"/>
    <w:rsid w:val="00273D0C"/>
    <w:rsid w:val="002828F0"/>
    <w:rsid w:val="0028535C"/>
    <w:rsid w:val="00285514"/>
    <w:rsid w:val="002A05AD"/>
    <w:rsid w:val="002B257D"/>
    <w:rsid w:val="002C3516"/>
    <w:rsid w:val="002C7815"/>
    <w:rsid w:val="002D081C"/>
    <w:rsid w:val="002E22B4"/>
    <w:rsid w:val="002E3498"/>
    <w:rsid w:val="002E4AA7"/>
    <w:rsid w:val="002E7654"/>
    <w:rsid w:val="002F19AA"/>
    <w:rsid w:val="00307361"/>
    <w:rsid w:val="00310BD2"/>
    <w:rsid w:val="00334133"/>
    <w:rsid w:val="0034496C"/>
    <w:rsid w:val="003506E6"/>
    <w:rsid w:val="0035381E"/>
    <w:rsid w:val="00357739"/>
    <w:rsid w:val="0036265B"/>
    <w:rsid w:val="00365308"/>
    <w:rsid w:val="00367244"/>
    <w:rsid w:val="003904F3"/>
    <w:rsid w:val="003A3333"/>
    <w:rsid w:val="003B28BB"/>
    <w:rsid w:val="003B5B1E"/>
    <w:rsid w:val="003B6106"/>
    <w:rsid w:val="003C3550"/>
    <w:rsid w:val="003D174F"/>
    <w:rsid w:val="003D2CB3"/>
    <w:rsid w:val="003D3B36"/>
    <w:rsid w:val="003D409A"/>
    <w:rsid w:val="003E20D7"/>
    <w:rsid w:val="003E6794"/>
    <w:rsid w:val="003F1999"/>
    <w:rsid w:val="003F3321"/>
    <w:rsid w:val="00401E1B"/>
    <w:rsid w:val="00404373"/>
    <w:rsid w:val="00405678"/>
    <w:rsid w:val="00405F46"/>
    <w:rsid w:val="00415527"/>
    <w:rsid w:val="00423258"/>
    <w:rsid w:val="00427402"/>
    <w:rsid w:val="00430E3D"/>
    <w:rsid w:val="004326C4"/>
    <w:rsid w:val="00435E94"/>
    <w:rsid w:val="00436368"/>
    <w:rsid w:val="00441BB6"/>
    <w:rsid w:val="004436AD"/>
    <w:rsid w:val="00446A62"/>
    <w:rsid w:val="00447FA4"/>
    <w:rsid w:val="0045307A"/>
    <w:rsid w:val="00463988"/>
    <w:rsid w:val="00465531"/>
    <w:rsid w:val="00476CBD"/>
    <w:rsid w:val="0047756B"/>
    <w:rsid w:val="0048557E"/>
    <w:rsid w:val="0048604D"/>
    <w:rsid w:val="0048686D"/>
    <w:rsid w:val="00493AD1"/>
    <w:rsid w:val="00496067"/>
    <w:rsid w:val="004B0A30"/>
    <w:rsid w:val="004B158F"/>
    <w:rsid w:val="004C21C3"/>
    <w:rsid w:val="004C3C72"/>
    <w:rsid w:val="004D3815"/>
    <w:rsid w:val="004D5A58"/>
    <w:rsid w:val="004D6549"/>
    <w:rsid w:val="004E4E03"/>
    <w:rsid w:val="005134B3"/>
    <w:rsid w:val="00515006"/>
    <w:rsid w:val="00515E30"/>
    <w:rsid w:val="00523B94"/>
    <w:rsid w:val="005251B0"/>
    <w:rsid w:val="005263A4"/>
    <w:rsid w:val="00544947"/>
    <w:rsid w:val="005459BD"/>
    <w:rsid w:val="0057171C"/>
    <w:rsid w:val="00572400"/>
    <w:rsid w:val="00575B02"/>
    <w:rsid w:val="0058049E"/>
    <w:rsid w:val="0058571A"/>
    <w:rsid w:val="005A289F"/>
    <w:rsid w:val="005A3EDE"/>
    <w:rsid w:val="005A7C7A"/>
    <w:rsid w:val="005B1EDB"/>
    <w:rsid w:val="005B21D5"/>
    <w:rsid w:val="005C46E8"/>
    <w:rsid w:val="005D0399"/>
    <w:rsid w:val="005D47DB"/>
    <w:rsid w:val="005E1F37"/>
    <w:rsid w:val="005E64C5"/>
    <w:rsid w:val="005F107C"/>
    <w:rsid w:val="005F62F6"/>
    <w:rsid w:val="006021F9"/>
    <w:rsid w:val="00603DA6"/>
    <w:rsid w:val="00606C58"/>
    <w:rsid w:val="0062469B"/>
    <w:rsid w:val="00644242"/>
    <w:rsid w:val="00644CAE"/>
    <w:rsid w:val="006B4407"/>
    <w:rsid w:val="006C1AB6"/>
    <w:rsid w:val="006C59D2"/>
    <w:rsid w:val="006E3964"/>
    <w:rsid w:val="007002B4"/>
    <w:rsid w:val="007027C8"/>
    <w:rsid w:val="007129B7"/>
    <w:rsid w:val="0071660C"/>
    <w:rsid w:val="00736B17"/>
    <w:rsid w:val="00746955"/>
    <w:rsid w:val="00747A2E"/>
    <w:rsid w:val="007545F9"/>
    <w:rsid w:val="0075771F"/>
    <w:rsid w:val="007678C5"/>
    <w:rsid w:val="00776106"/>
    <w:rsid w:val="00777CE3"/>
    <w:rsid w:val="00780C2B"/>
    <w:rsid w:val="0079479F"/>
    <w:rsid w:val="00794CE1"/>
    <w:rsid w:val="007967CD"/>
    <w:rsid w:val="007A3346"/>
    <w:rsid w:val="007B348B"/>
    <w:rsid w:val="007B6768"/>
    <w:rsid w:val="007C41A2"/>
    <w:rsid w:val="007D35D6"/>
    <w:rsid w:val="007E200C"/>
    <w:rsid w:val="007F15F7"/>
    <w:rsid w:val="007F383A"/>
    <w:rsid w:val="00801E9B"/>
    <w:rsid w:val="00811C0A"/>
    <w:rsid w:val="00812238"/>
    <w:rsid w:val="008123E3"/>
    <w:rsid w:val="00812A2D"/>
    <w:rsid w:val="008144A5"/>
    <w:rsid w:val="008273D5"/>
    <w:rsid w:val="00835F46"/>
    <w:rsid w:val="00837062"/>
    <w:rsid w:val="008546EF"/>
    <w:rsid w:val="00865EC2"/>
    <w:rsid w:val="00874038"/>
    <w:rsid w:val="00874B82"/>
    <w:rsid w:val="00883D91"/>
    <w:rsid w:val="00884B72"/>
    <w:rsid w:val="00887FAD"/>
    <w:rsid w:val="00890E5E"/>
    <w:rsid w:val="0089470E"/>
    <w:rsid w:val="00897C17"/>
    <w:rsid w:val="008C5E85"/>
    <w:rsid w:val="008D3ED1"/>
    <w:rsid w:val="008E02E5"/>
    <w:rsid w:val="008E16EB"/>
    <w:rsid w:val="0092018A"/>
    <w:rsid w:val="00920BED"/>
    <w:rsid w:val="0092163C"/>
    <w:rsid w:val="00923892"/>
    <w:rsid w:val="0092676C"/>
    <w:rsid w:val="00930902"/>
    <w:rsid w:val="00931BC5"/>
    <w:rsid w:val="00933EB7"/>
    <w:rsid w:val="00951341"/>
    <w:rsid w:val="00952D5C"/>
    <w:rsid w:val="0096331E"/>
    <w:rsid w:val="00964F17"/>
    <w:rsid w:val="00971093"/>
    <w:rsid w:val="00973CB6"/>
    <w:rsid w:val="009B0BA5"/>
    <w:rsid w:val="009B20AE"/>
    <w:rsid w:val="009B312B"/>
    <w:rsid w:val="009C0C77"/>
    <w:rsid w:val="009C4467"/>
    <w:rsid w:val="009D5805"/>
    <w:rsid w:val="009D602C"/>
    <w:rsid w:val="009D7FE3"/>
    <w:rsid w:val="009F6B62"/>
    <w:rsid w:val="009F7995"/>
    <w:rsid w:val="00A0436E"/>
    <w:rsid w:val="00A273E3"/>
    <w:rsid w:val="00A301E4"/>
    <w:rsid w:val="00A53E40"/>
    <w:rsid w:val="00A541E3"/>
    <w:rsid w:val="00A56C1B"/>
    <w:rsid w:val="00A60D1C"/>
    <w:rsid w:val="00A63D19"/>
    <w:rsid w:val="00A66B7F"/>
    <w:rsid w:val="00A670FC"/>
    <w:rsid w:val="00A80A9A"/>
    <w:rsid w:val="00A865F6"/>
    <w:rsid w:val="00A934C9"/>
    <w:rsid w:val="00A943C9"/>
    <w:rsid w:val="00A97753"/>
    <w:rsid w:val="00AA2DDC"/>
    <w:rsid w:val="00AA38F5"/>
    <w:rsid w:val="00AA46C2"/>
    <w:rsid w:val="00AB0F88"/>
    <w:rsid w:val="00AB424B"/>
    <w:rsid w:val="00AC2D45"/>
    <w:rsid w:val="00AC55B4"/>
    <w:rsid w:val="00AD7EDD"/>
    <w:rsid w:val="00AE01DD"/>
    <w:rsid w:val="00AE28FC"/>
    <w:rsid w:val="00AF0947"/>
    <w:rsid w:val="00AF18FF"/>
    <w:rsid w:val="00AF24FD"/>
    <w:rsid w:val="00B03037"/>
    <w:rsid w:val="00B32ACC"/>
    <w:rsid w:val="00B36DD3"/>
    <w:rsid w:val="00B378E5"/>
    <w:rsid w:val="00B41C5D"/>
    <w:rsid w:val="00B5622F"/>
    <w:rsid w:val="00B716D5"/>
    <w:rsid w:val="00B73150"/>
    <w:rsid w:val="00B74ABE"/>
    <w:rsid w:val="00B8190E"/>
    <w:rsid w:val="00B8257B"/>
    <w:rsid w:val="00B91280"/>
    <w:rsid w:val="00B9474E"/>
    <w:rsid w:val="00BB5586"/>
    <w:rsid w:val="00BD091B"/>
    <w:rsid w:val="00BD2983"/>
    <w:rsid w:val="00BD3BE1"/>
    <w:rsid w:val="00BD40A4"/>
    <w:rsid w:val="00BD49A3"/>
    <w:rsid w:val="00BD5878"/>
    <w:rsid w:val="00BE63CA"/>
    <w:rsid w:val="00C0096E"/>
    <w:rsid w:val="00C04982"/>
    <w:rsid w:val="00C1198E"/>
    <w:rsid w:val="00C20420"/>
    <w:rsid w:val="00C41175"/>
    <w:rsid w:val="00C4184F"/>
    <w:rsid w:val="00C41B6A"/>
    <w:rsid w:val="00C4265D"/>
    <w:rsid w:val="00C604D1"/>
    <w:rsid w:val="00C651E7"/>
    <w:rsid w:val="00C72EA2"/>
    <w:rsid w:val="00C92870"/>
    <w:rsid w:val="00CA0ED4"/>
    <w:rsid w:val="00CA2912"/>
    <w:rsid w:val="00CA3CB0"/>
    <w:rsid w:val="00CA3F1F"/>
    <w:rsid w:val="00CC038A"/>
    <w:rsid w:val="00CC6C92"/>
    <w:rsid w:val="00CD0505"/>
    <w:rsid w:val="00CD1A72"/>
    <w:rsid w:val="00CD2FC9"/>
    <w:rsid w:val="00CD6296"/>
    <w:rsid w:val="00CF4C83"/>
    <w:rsid w:val="00D03D02"/>
    <w:rsid w:val="00D04CFD"/>
    <w:rsid w:val="00D110C4"/>
    <w:rsid w:val="00D12179"/>
    <w:rsid w:val="00D121D7"/>
    <w:rsid w:val="00D26E93"/>
    <w:rsid w:val="00D32BFA"/>
    <w:rsid w:val="00D33B4E"/>
    <w:rsid w:val="00D346AD"/>
    <w:rsid w:val="00D3598F"/>
    <w:rsid w:val="00D35D75"/>
    <w:rsid w:val="00D43A31"/>
    <w:rsid w:val="00D4783D"/>
    <w:rsid w:val="00D5131B"/>
    <w:rsid w:val="00D53772"/>
    <w:rsid w:val="00D53BB8"/>
    <w:rsid w:val="00D56496"/>
    <w:rsid w:val="00D60E84"/>
    <w:rsid w:val="00D670BE"/>
    <w:rsid w:val="00D67D91"/>
    <w:rsid w:val="00D71CFD"/>
    <w:rsid w:val="00D74EDD"/>
    <w:rsid w:val="00D90E47"/>
    <w:rsid w:val="00D91898"/>
    <w:rsid w:val="00D91C2D"/>
    <w:rsid w:val="00D92DFC"/>
    <w:rsid w:val="00D9648A"/>
    <w:rsid w:val="00DA6132"/>
    <w:rsid w:val="00DC0721"/>
    <w:rsid w:val="00DD00AC"/>
    <w:rsid w:val="00DD70CB"/>
    <w:rsid w:val="00DF05E5"/>
    <w:rsid w:val="00DF24E8"/>
    <w:rsid w:val="00DF4B60"/>
    <w:rsid w:val="00DF5A46"/>
    <w:rsid w:val="00E11317"/>
    <w:rsid w:val="00E12925"/>
    <w:rsid w:val="00E35B58"/>
    <w:rsid w:val="00E40FF1"/>
    <w:rsid w:val="00E70D99"/>
    <w:rsid w:val="00E7215E"/>
    <w:rsid w:val="00E73B7B"/>
    <w:rsid w:val="00E86860"/>
    <w:rsid w:val="00E9754C"/>
    <w:rsid w:val="00EB21C8"/>
    <w:rsid w:val="00EB2F0E"/>
    <w:rsid w:val="00EB7689"/>
    <w:rsid w:val="00ED306A"/>
    <w:rsid w:val="00ED45DC"/>
    <w:rsid w:val="00EE661F"/>
    <w:rsid w:val="00EF2C81"/>
    <w:rsid w:val="00F11B8F"/>
    <w:rsid w:val="00F14341"/>
    <w:rsid w:val="00F23C96"/>
    <w:rsid w:val="00F24C04"/>
    <w:rsid w:val="00F25681"/>
    <w:rsid w:val="00F47D9B"/>
    <w:rsid w:val="00F5496F"/>
    <w:rsid w:val="00F571D3"/>
    <w:rsid w:val="00F62BD6"/>
    <w:rsid w:val="00F62D1D"/>
    <w:rsid w:val="00F7007A"/>
    <w:rsid w:val="00F95690"/>
    <w:rsid w:val="00F961AA"/>
    <w:rsid w:val="00FA28C7"/>
    <w:rsid w:val="00FA4549"/>
    <w:rsid w:val="00FA46AF"/>
    <w:rsid w:val="00FA7E2A"/>
    <w:rsid w:val="00FB3612"/>
    <w:rsid w:val="00FC1511"/>
    <w:rsid w:val="00FC6270"/>
    <w:rsid w:val="00FE0812"/>
    <w:rsid w:val="00FF41C0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11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9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9D2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6C59D2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9D2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rsid w:val="00FC15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C1511"/>
    <w:rPr>
      <w:sz w:val="24"/>
      <w:lang w:val="en-GB"/>
    </w:rPr>
  </w:style>
  <w:style w:type="character" w:styleId="PageNumber">
    <w:name w:val="page number"/>
    <w:basedOn w:val="DefaultParagraphFont"/>
    <w:rsid w:val="00FC1511"/>
  </w:style>
  <w:style w:type="paragraph" w:styleId="FootnoteText">
    <w:name w:val="footnote text"/>
    <w:basedOn w:val="Normal"/>
    <w:link w:val="FootnoteTextChar"/>
    <w:semiHidden/>
    <w:rsid w:val="00FC151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C1511"/>
    <w:rPr>
      <w:lang w:val="en-GB"/>
    </w:rPr>
  </w:style>
  <w:style w:type="paragraph" w:styleId="Footer">
    <w:name w:val="footer"/>
    <w:basedOn w:val="Normal"/>
    <w:link w:val="FooterChar"/>
    <w:uiPriority w:val="99"/>
    <w:rsid w:val="00FC15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511"/>
    <w:rPr>
      <w:sz w:val="24"/>
      <w:lang w:val="en-GB"/>
    </w:rPr>
  </w:style>
  <w:style w:type="paragraph" w:customStyle="1" w:styleId="Jeanpara">
    <w:name w:val="Jean para"/>
    <w:basedOn w:val="Normal"/>
    <w:rsid w:val="00FC1511"/>
    <w:pPr>
      <w:ind w:left="1020" w:hanging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11"/>
    <w:rPr>
      <w:rFonts w:ascii="Tahoma" w:hAnsi="Tahoma" w:cs="Tahoma"/>
      <w:sz w:val="16"/>
      <w:szCs w:val="16"/>
      <w:lang w:val="en-GB"/>
    </w:rPr>
  </w:style>
  <w:style w:type="character" w:styleId="FootnoteReference">
    <w:name w:val="footnote reference"/>
    <w:basedOn w:val="DefaultParagraphFont"/>
    <w:semiHidden/>
    <w:rsid w:val="00FC151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D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DD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DD3"/>
    <w:rPr>
      <w:b/>
      <w:bCs/>
    </w:rPr>
  </w:style>
  <w:style w:type="paragraph" w:styleId="Title">
    <w:name w:val="Title"/>
    <w:basedOn w:val="Normal"/>
    <w:next w:val="Normal"/>
    <w:link w:val="TitleChar"/>
    <w:qFormat/>
    <w:rsid w:val="00447FA4"/>
    <w:pPr>
      <w:spacing w:before="480"/>
    </w:pPr>
    <w:rPr>
      <w:rFonts w:ascii="Arial" w:hAnsi="Arial" w:cs="Arial"/>
      <w:b/>
      <w:bCs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447FA4"/>
    <w:rPr>
      <w:rFonts w:ascii="Arial" w:hAnsi="Arial" w:cs="Arial"/>
      <w:b/>
      <w:bCs/>
      <w:sz w:val="40"/>
      <w:szCs w:val="40"/>
    </w:rPr>
  </w:style>
  <w:style w:type="character" w:customStyle="1" w:styleId="CharSectno">
    <w:name w:val="CharSectno"/>
    <w:basedOn w:val="DefaultParagraphFont"/>
    <w:rsid w:val="00447FA4"/>
    <w:rPr>
      <w:sz w:val="24"/>
      <w:szCs w:val="24"/>
      <w:lang w:val="en-AU" w:eastAsia="en-AU" w:bidi="ar-SA"/>
    </w:rPr>
  </w:style>
  <w:style w:type="paragraph" w:styleId="Revision">
    <w:name w:val="Revision"/>
    <w:hidden/>
    <w:uiPriority w:val="99"/>
    <w:semiHidden/>
    <w:rsid w:val="0035381E"/>
    <w:rPr>
      <w:sz w:val="24"/>
      <w:lang w:val="en-GB"/>
    </w:rPr>
  </w:style>
  <w:style w:type="paragraph" w:customStyle="1" w:styleId="definition">
    <w:name w:val="definition"/>
    <w:basedOn w:val="Normal"/>
    <w:link w:val="definitionChar"/>
    <w:rsid w:val="002828F0"/>
    <w:pPr>
      <w:spacing w:before="80" w:line="260" w:lineRule="exact"/>
      <w:ind w:left="964"/>
      <w:jc w:val="both"/>
    </w:pPr>
    <w:rPr>
      <w:noProof/>
      <w:szCs w:val="24"/>
      <w:lang w:val="en-AU" w:eastAsia="en-US"/>
    </w:rPr>
  </w:style>
  <w:style w:type="character" w:customStyle="1" w:styleId="definitionChar">
    <w:name w:val="definition Char"/>
    <w:basedOn w:val="DefaultParagraphFont"/>
    <w:link w:val="definition"/>
    <w:rsid w:val="007B348B"/>
    <w:rPr>
      <w:noProof/>
      <w:sz w:val="24"/>
      <w:szCs w:val="24"/>
      <w:lang w:eastAsia="en-US"/>
    </w:rPr>
  </w:style>
  <w:style w:type="paragraph" w:customStyle="1" w:styleId="HP">
    <w:name w:val="HP"/>
    <w:aliases w:val="Part Heading"/>
    <w:basedOn w:val="Normal"/>
    <w:next w:val="Normal"/>
    <w:rsid w:val="006C1AB6"/>
    <w:pPr>
      <w:keepNext/>
      <w:keepLines/>
      <w:spacing w:before="360"/>
      <w:ind w:left="2410" w:hanging="2410"/>
    </w:pPr>
    <w:rPr>
      <w:rFonts w:ascii="Arial" w:hAnsi="Arial"/>
      <w:b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6C1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KNAH4PPFC442-1229-627</_dlc_DocId>
    <_dlc_DocIdUrl xmlns="6db8f3c6-01a1-4322-b043-a3b2a190f7a8">
      <Url>http://collaboration/organisation/CID/IRB/SORS/_layouts/DocIdRedir.aspx?ID=KNAH4PPFC442-1229-627</Url>
      <Description>KNAH4PPFC442-1229-627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87CF1831231499AB06102660F5006" ma:contentTypeVersion="0" ma:contentTypeDescription="Create a new document." ma:contentTypeScope="" ma:versionID="7c9fac8a034485a9a283bf1d2873c2a3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7621-C07F-4906-B846-1A775C04535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30D41E-C1BC-403D-B723-0E3BEA759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01A2D-5A23-499D-A681-CB26F74DCEFC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4.xml><?xml version="1.0" encoding="utf-8"?>
<ds:datastoreItem xmlns:ds="http://schemas.openxmlformats.org/officeDocument/2006/customXml" ds:itemID="{263BED61-6DB6-4D9C-B925-F67D8A69E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B08149-0AD5-46F4-BDC0-A9D313B5AAE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7554D78-4A84-4FD9-99E0-A5F790F7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Gocentas</dc:creator>
  <cp:lastModifiedBy>Helen Turnbull</cp:lastModifiedBy>
  <cp:revision>5</cp:revision>
  <dcterms:created xsi:type="dcterms:W3CDTF">2012-09-21T04:40:00Z</dcterms:created>
  <dcterms:modified xsi:type="dcterms:W3CDTF">2012-10-03T02:12:00Z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0x010100F3B87CF1831231499AB06102660F5006</vt:lpwstr>
  </property>
  <property fmtid="{D5CDD505-2E9C-101B-9397-08002B2CF9AE}" pid="3" name="_dlc_DocIdItemGuid">
    <vt:lpwstr>282a1a9c-d7e9-4955-ae1d-9dc8b10ead1d</vt:lpwstr>
  </property>
</Properties>
</file>