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E228" w14:textId="77777777" w:rsidR="00873650" w:rsidRPr="002E7B9B" w:rsidRDefault="00873650" w:rsidP="00873650">
      <w:pPr>
        <w:jc w:val="center"/>
        <w:rPr>
          <w:b/>
          <w:iCs/>
          <w:sz w:val="24"/>
          <w:szCs w:val="24"/>
        </w:rPr>
      </w:pPr>
      <w:bookmarkStart w:id="0" w:name="_Toc64886202"/>
    </w:p>
    <w:bookmarkStart w:id="1" w:name="_Toc32227149"/>
    <w:p w14:paraId="79D3FE0E" w14:textId="77777777" w:rsidR="00F006AA" w:rsidRPr="003237C5" w:rsidRDefault="00F006AA" w:rsidP="00F006AA">
      <w:r w:rsidRPr="003237C5">
        <w:object w:dxaOrig="2146" w:dyaOrig="1561" w14:anchorId="1DDE3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mmonwealth Coat of Arms of Australia" style="width:110.2pt;height:80.15pt" o:ole="" fillcolor="window">
            <v:imagedata r:id="rId11" o:title=""/>
          </v:shape>
          <o:OLEObject Type="Embed" ProgID="Word.Picture.8" ShapeID="_x0000_i1029" DrawAspect="Content" ObjectID="_1712489144" r:id="rId12"/>
        </w:object>
      </w:r>
    </w:p>
    <w:p w14:paraId="54C66402" w14:textId="77777777" w:rsidR="006D5459" w:rsidRPr="003237C5" w:rsidRDefault="006D5459" w:rsidP="00F006AA">
      <w:pPr>
        <w:spacing w:before="240"/>
        <w:rPr>
          <w:rFonts w:ascii="Times New Roman" w:hAnsi="Times New Roman" w:cs="Times New Roman"/>
          <w:b/>
          <w:sz w:val="40"/>
          <w:szCs w:val="40"/>
        </w:rPr>
      </w:pPr>
      <w:bookmarkStart w:id="2" w:name="_Toc32227150"/>
      <w:bookmarkStart w:id="3" w:name="Citation"/>
      <w:bookmarkEnd w:id="1"/>
      <w:r w:rsidRPr="003237C5">
        <w:rPr>
          <w:rFonts w:ascii="Times New Roman" w:hAnsi="Times New Roman" w:cs="Times New Roman"/>
          <w:b/>
          <w:sz w:val="40"/>
          <w:szCs w:val="40"/>
        </w:rPr>
        <w:t>Higher Education Provider Guidelines 2012</w:t>
      </w:r>
      <w:bookmarkEnd w:id="2"/>
    </w:p>
    <w:bookmarkEnd w:id="3"/>
    <w:p w14:paraId="59F7838E" w14:textId="77777777" w:rsidR="006D5459" w:rsidRPr="003237C5" w:rsidRDefault="006D5459" w:rsidP="006D5459">
      <w:pPr>
        <w:keepLines w:val="0"/>
        <w:spacing w:before="480"/>
        <w:rPr>
          <w:rFonts w:ascii="Times New Roman" w:hAnsi="Times New Roman" w:cs="Times New Roman"/>
          <w:bCs/>
          <w:i/>
          <w:sz w:val="24"/>
          <w:szCs w:val="24"/>
          <w:lang w:eastAsia="en-AU"/>
        </w:rPr>
      </w:pPr>
      <w:r w:rsidRPr="003237C5">
        <w:rPr>
          <w:rFonts w:ascii="Times New Roman" w:hAnsi="Times New Roman" w:cs="Times New Roman"/>
          <w:bCs/>
          <w:sz w:val="24"/>
          <w:szCs w:val="24"/>
          <w:lang w:eastAsia="en-AU"/>
        </w:rPr>
        <w:t>made under section 238–10 of the</w:t>
      </w:r>
      <w:r w:rsidRPr="003237C5">
        <w:rPr>
          <w:rFonts w:ascii="Times New Roman" w:hAnsi="Times New Roman" w:cs="Times New Roman"/>
          <w:bCs/>
          <w:sz w:val="24"/>
          <w:szCs w:val="24"/>
          <w:lang w:eastAsia="en-AU"/>
        </w:rPr>
        <w:br/>
      </w:r>
      <w:r w:rsidRPr="003237C5">
        <w:rPr>
          <w:rFonts w:ascii="Times New Roman" w:hAnsi="Times New Roman" w:cs="Times New Roman"/>
          <w:bCs/>
          <w:sz w:val="24"/>
          <w:szCs w:val="24"/>
          <w:lang w:eastAsia="en-AU"/>
        </w:rPr>
        <w:br/>
      </w:r>
      <w:r w:rsidRPr="003237C5">
        <w:rPr>
          <w:rFonts w:ascii="Times New Roman" w:hAnsi="Times New Roman" w:cs="Times New Roman"/>
          <w:bCs/>
          <w:i/>
          <w:sz w:val="24"/>
          <w:szCs w:val="24"/>
          <w:lang w:eastAsia="en-AU"/>
        </w:rPr>
        <w:t>Higher Education Support Act 2003</w:t>
      </w:r>
    </w:p>
    <w:p w14:paraId="077ECED5" w14:textId="66121D5F" w:rsidR="006D5459" w:rsidRPr="003237C5" w:rsidRDefault="006D5459" w:rsidP="006D5459">
      <w:pPr>
        <w:keepLines w:val="0"/>
        <w:spacing w:before="480"/>
        <w:rPr>
          <w:rFonts w:ascii="Times New Roman" w:hAnsi="Times New Roman" w:cs="Times New Roman"/>
          <w:b/>
          <w:bCs/>
          <w:sz w:val="28"/>
          <w:szCs w:val="28"/>
          <w:lang w:eastAsia="en-AU"/>
        </w:rPr>
      </w:pPr>
      <w:r w:rsidRPr="003237C5">
        <w:rPr>
          <w:rFonts w:ascii="Times New Roman" w:hAnsi="Times New Roman" w:cs="Times New Roman"/>
          <w:b/>
          <w:bCs/>
          <w:sz w:val="28"/>
          <w:szCs w:val="28"/>
          <w:lang w:eastAsia="en-AU"/>
        </w:rPr>
        <w:t xml:space="preserve">Compilation No. </w:t>
      </w:r>
      <w:r w:rsidR="009D6B05" w:rsidRPr="003237C5">
        <w:rPr>
          <w:rFonts w:ascii="Times New Roman" w:hAnsi="Times New Roman" w:cs="Times New Roman"/>
          <w:b/>
          <w:bCs/>
          <w:sz w:val="28"/>
          <w:szCs w:val="28"/>
          <w:lang w:eastAsia="en-AU"/>
        </w:rPr>
        <w:t>9</w:t>
      </w:r>
    </w:p>
    <w:p w14:paraId="26D1789A" w14:textId="51EC065E" w:rsidR="006D5459" w:rsidRPr="003237C5" w:rsidRDefault="006D5459" w:rsidP="006D5459">
      <w:pPr>
        <w:keepLines w:val="0"/>
        <w:spacing w:before="240"/>
        <w:rPr>
          <w:rFonts w:ascii="Times New Roman" w:hAnsi="Times New Roman" w:cs="Times New Roman"/>
          <w:sz w:val="24"/>
          <w:szCs w:val="24"/>
          <w:lang w:eastAsia="en-AU"/>
        </w:rPr>
      </w:pPr>
      <w:r w:rsidRPr="003237C5">
        <w:rPr>
          <w:rFonts w:ascii="Times New Roman" w:hAnsi="Times New Roman" w:cs="Times New Roman"/>
          <w:b/>
          <w:sz w:val="24"/>
          <w:szCs w:val="24"/>
          <w:lang w:eastAsia="en-AU"/>
        </w:rPr>
        <w:t>Compilation date:</w:t>
      </w:r>
      <w:r w:rsidRPr="003237C5">
        <w:rPr>
          <w:rFonts w:ascii="Times New Roman" w:hAnsi="Times New Roman" w:cs="Times New Roman"/>
          <w:sz w:val="24"/>
          <w:szCs w:val="24"/>
          <w:lang w:eastAsia="en-AU"/>
        </w:rPr>
        <w:tab/>
      </w:r>
      <w:r w:rsidRPr="003237C5">
        <w:rPr>
          <w:rFonts w:ascii="Times New Roman" w:hAnsi="Times New Roman" w:cs="Times New Roman"/>
          <w:sz w:val="24"/>
          <w:szCs w:val="24"/>
          <w:lang w:eastAsia="en-AU"/>
        </w:rPr>
        <w:tab/>
      </w:r>
      <w:r w:rsidRPr="003237C5">
        <w:rPr>
          <w:rFonts w:ascii="Times New Roman" w:hAnsi="Times New Roman" w:cs="Times New Roman"/>
          <w:sz w:val="24"/>
          <w:szCs w:val="24"/>
          <w:lang w:eastAsia="en-AU"/>
        </w:rPr>
        <w:tab/>
      </w:r>
      <w:r w:rsidRPr="003237C5">
        <w:rPr>
          <w:rFonts w:ascii="Times New Roman" w:hAnsi="Times New Roman" w:cs="Times New Roman"/>
          <w:sz w:val="24"/>
          <w:szCs w:val="24"/>
          <w:lang w:eastAsia="en-AU"/>
        </w:rPr>
        <w:tab/>
      </w:r>
      <w:r w:rsidR="00B523B2" w:rsidRPr="003237C5">
        <w:rPr>
          <w:rFonts w:ascii="Times New Roman" w:hAnsi="Times New Roman" w:cs="Times New Roman"/>
          <w:sz w:val="24"/>
          <w:szCs w:val="24"/>
          <w:lang w:eastAsia="en-AU"/>
        </w:rPr>
        <w:t>22 March 2022</w:t>
      </w:r>
    </w:p>
    <w:p w14:paraId="4D0C80C3" w14:textId="2FCF257F" w:rsidR="006D5459" w:rsidRPr="003237C5" w:rsidRDefault="006D5459" w:rsidP="006D5459">
      <w:pPr>
        <w:keepLines w:val="0"/>
        <w:spacing w:before="240"/>
        <w:rPr>
          <w:rFonts w:ascii="Times New Roman" w:hAnsi="Times New Roman" w:cs="Times New Roman"/>
          <w:sz w:val="24"/>
          <w:szCs w:val="24"/>
          <w:lang w:eastAsia="en-AU"/>
        </w:rPr>
      </w:pPr>
      <w:r w:rsidRPr="003237C5">
        <w:rPr>
          <w:rFonts w:ascii="Times New Roman" w:hAnsi="Times New Roman" w:cs="Times New Roman"/>
          <w:b/>
          <w:color w:val="000000"/>
          <w:sz w:val="24"/>
          <w:szCs w:val="24"/>
          <w:lang w:eastAsia="en-AU"/>
        </w:rPr>
        <w:t>Includes amendments up to:</w:t>
      </w:r>
      <w:r w:rsidRPr="003237C5">
        <w:rPr>
          <w:rFonts w:ascii="Times New Roman" w:hAnsi="Times New Roman" w:cs="Times New Roman"/>
          <w:color w:val="000000"/>
          <w:sz w:val="24"/>
          <w:szCs w:val="24"/>
          <w:lang w:eastAsia="en-AU"/>
        </w:rPr>
        <w:tab/>
      </w:r>
      <w:r w:rsidRPr="003237C5">
        <w:rPr>
          <w:rFonts w:ascii="Times New Roman" w:hAnsi="Times New Roman" w:cs="Times New Roman"/>
          <w:color w:val="000000"/>
          <w:sz w:val="24"/>
          <w:szCs w:val="24"/>
          <w:lang w:eastAsia="en-AU"/>
        </w:rPr>
        <w:tab/>
      </w:r>
      <w:r w:rsidR="00B523B2" w:rsidRPr="003237C5">
        <w:rPr>
          <w:rFonts w:ascii="Times New Roman" w:hAnsi="Times New Roman" w:cs="Times New Roman"/>
          <w:color w:val="000000"/>
          <w:sz w:val="24"/>
          <w:szCs w:val="24"/>
          <w:lang w:eastAsia="en-AU"/>
        </w:rPr>
        <w:t>F2022L00345</w:t>
      </w:r>
    </w:p>
    <w:p w14:paraId="73B4AA5A" w14:textId="77777777" w:rsidR="00873650" w:rsidRPr="003237C5" w:rsidRDefault="00873650" w:rsidP="00873650">
      <w:pPr>
        <w:rPr>
          <w:bCs/>
          <w:iCs/>
          <w:sz w:val="24"/>
          <w:szCs w:val="24"/>
        </w:rPr>
      </w:pPr>
    </w:p>
    <w:p w14:paraId="74F84603" w14:textId="77777777" w:rsidR="00873650" w:rsidRPr="003237C5" w:rsidRDefault="00873650" w:rsidP="00873650">
      <w:pPr>
        <w:rPr>
          <w:bCs/>
          <w:iCs/>
          <w:sz w:val="24"/>
          <w:szCs w:val="24"/>
        </w:rPr>
      </w:pPr>
    </w:p>
    <w:p w14:paraId="73A2E316" w14:textId="77777777" w:rsidR="00873650" w:rsidRPr="003237C5" w:rsidRDefault="00873650" w:rsidP="00873650">
      <w:pPr>
        <w:rPr>
          <w:bCs/>
          <w:iCs/>
          <w:sz w:val="24"/>
          <w:szCs w:val="24"/>
        </w:rPr>
      </w:pPr>
    </w:p>
    <w:p w14:paraId="4AEEC8E4" w14:textId="77777777" w:rsidR="00873650" w:rsidRPr="003237C5" w:rsidRDefault="00873650" w:rsidP="00873650">
      <w:pPr>
        <w:rPr>
          <w:bCs/>
          <w:iCs/>
          <w:sz w:val="24"/>
          <w:szCs w:val="24"/>
        </w:rPr>
      </w:pPr>
    </w:p>
    <w:p w14:paraId="459D9D15" w14:textId="77777777" w:rsidR="00966E90" w:rsidRPr="003237C5" w:rsidRDefault="00966E90" w:rsidP="00873650">
      <w:pPr>
        <w:rPr>
          <w:bCs/>
          <w:iCs/>
          <w:sz w:val="24"/>
          <w:szCs w:val="24"/>
        </w:rPr>
      </w:pPr>
    </w:p>
    <w:p w14:paraId="4AA008B1" w14:textId="77777777" w:rsidR="00966E90" w:rsidRPr="003237C5" w:rsidRDefault="00966E90" w:rsidP="00873650">
      <w:pPr>
        <w:rPr>
          <w:bCs/>
          <w:iCs/>
          <w:sz w:val="24"/>
          <w:szCs w:val="24"/>
        </w:rPr>
      </w:pPr>
    </w:p>
    <w:p w14:paraId="787A54E0" w14:textId="77777777" w:rsidR="00966E90" w:rsidRPr="003237C5" w:rsidRDefault="00966E90" w:rsidP="00873650">
      <w:pPr>
        <w:rPr>
          <w:bCs/>
          <w:iCs/>
          <w:sz w:val="24"/>
          <w:szCs w:val="24"/>
        </w:rPr>
      </w:pPr>
    </w:p>
    <w:p w14:paraId="081708C5" w14:textId="77777777" w:rsidR="00966E90" w:rsidRPr="003237C5" w:rsidRDefault="00966E90" w:rsidP="00873650">
      <w:pPr>
        <w:rPr>
          <w:bCs/>
          <w:iCs/>
          <w:sz w:val="24"/>
          <w:szCs w:val="24"/>
        </w:rPr>
      </w:pPr>
    </w:p>
    <w:p w14:paraId="76B8168D" w14:textId="77777777" w:rsidR="00966E90" w:rsidRPr="003237C5" w:rsidRDefault="00966E90" w:rsidP="00873650">
      <w:pPr>
        <w:rPr>
          <w:bCs/>
          <w:iCs/>
          <w:sz w:val="24"/>
          <w:szCs w:val="24"/>
        </w:rPr>
      </w:pPr>
    </w:p>
    <w:p w14:paraId="0F4606C7" w14:textId="38DE5899" w:rsidR="00966E90" w:rsidRPr="003237C5" w:rsidRDefault="00966E90" w:rsidP="00873650">
      <w:pPr>
        <w:rPr>
          <w:bCs/>
          <w:iCs/>
          <w:sz w:val="24"/>
          <w:szCs w:val="24"/>
        </w:rPr>
      </w:pPr>
    </w:p>
    <w:p w14:paraId="44F9A8CB" w14:textId="218478E3" w:rsidR="00DC6B8F" w:rsidRPr="003237C5" w:rsidRDefault="00DC6B8F" w:rsidP="00873650">
      <w:pPr>
        <w:rPr>
          <w:bCs/>
          <w:iCs/>
          <w:sz w:val="24"/>
          <w:szCs w:val="24"/>
        </w:rPr>
      </w:pPr>
    </w:p>
    <w:p w14:paraId="721E637E" w14:textId="12DBE079" w:rsidR="00DC6B8F" w:rsidRPr="003237C5" w:rsidRDefault="00DC6B8F" w:rsidP="00873650">
      <w:pPr>
        <w:rPr>
          <w:bCs/>
          <w:iCs/>
          <w:sz w:val="24"/>
          <w:szCs w:val="24"/>
        </w:rPr>
      </w:pPr>
    </w:p>
    <w:p w14:paraId="183F33A3" w14:textId="4BACB819" w:rsidR="00DC6B8F" w:rsidRPr="003237C5" w:rsidRDefault="00DC6B8F" w:rsidP="00873650">
      <w:pPr>
        <w:rPr>
          <w:bCs/>
          <w:iCs/>
          <w:sz w:val="24"/>
          <w:szCs w:val="24"/>
        </w:rPr>
      </w:pPr>
    </w:p>
    <w:p w14:paraId="3C1F86A7" w14:textId="207D79E7" w:rsidR="00DC6B8F" w:rsidRPr="003237C5" w:rsidRDefault="00DC6B8F" w:rsidP="00873650">
      <w:pPr>
        <w:rPr>
          <w:bCs/>
          <w:iCs/>
          <w:sz w:val="24"/>
          <w:szCs w:val="24"/>
        </w:rPr>
      </w:pPr>
    </w:p>
    <w:p w14:paraId="12226C62" w14:textId="77777777" w:rsidR="00DC6B8F" w:rsidRPr="003237C5" w:rsidRDefault="00DC6B8F" w:rsidP="00873650">
      <w:pPr>
        <w:rPr>
          <w:bCs/>
          <w:iCs/>
          <w:sz w:val="24"/>
          <w:szCs w:val="24"/>
        </w:rPr>
      </w:pPr>
    </w:p>
    <w:p w14:paraId="36C1A9B1" w14:textId="3E97BB79" w:rsidR="00DC6B8F" w:rsidRPr="003237C5" w:rsidRDefault="00DC6B8F" w:rsidP="00873650">
      <w:pPr>
        <w:rPr>
          <w:bCs/>
          <w:iCs/>
          <w:sz w:val="24"/>
          <w:szCs w:val="24"/>
        </w:rPr>
      </w:pPr>
    </w:p>
    <w:p w14:paraId="5DFFF86E" w14:textId="3FEA8E3F" w:rsidR="00DC6B8F" w:rsidRPr="003237C5" w:rsidRDefault="00DC6B8F" w:rsidP="00873650">
      <w:pPr>
        <w:rPr>
          <w:bCs/>
          <w:iCs/>
          <w:sz w:val="24"/>
          <w:szCs w:val="24"/>
        </w:rPr>
      </w:pPr>
    </w:p>
    <w:p w14:paraId="245FCB26" w14:textId="0A01367E" w:rsidR="00DC6B8F" w:rsidRPr="003237C5" w:rsidRDefault="00DC6B8F" w:rsidP="00873650">
      <w:pPr>
        <w:rPr>
          <w:bCs/>
          <w:iCs/>
          <w:sz w:val="24"/>
          <w:szCs w:val="24"/>
        </w:rPr>
      </w:pPr>
    </w:p>
    <w:p w14:paraId="6B943066" w14:textId="2F11B4D6" w:rsidR="00DC6B8F" w:rsidRPr="003237C5" w:rsidRDefault="00DC6B8F" w:rsidP="00873650">
      <w:pPr>
        <w:rPr>
          <w:bCs/>
          <w:iCs/>
          <w:sz w:val="24"/>
          <w:szCs w:val="24"/>
        </w:rPr>
      </w:pPr>
    </w:p>
    <w:p w14:paraId="55535247" w14:textId="78885424" w:rsidR="00DC6B8F" w:rsidRPr="003237C5" w:rsidRDefault="00DC6B8F" w:rsidP="00873650">
      <w:pPr>
        <w:rPr>
          <w:bCs/>
          <w:iCs/>
          <w:sz w:val="24"/>
          <w:szCs w:val="24"/>
        </w:rPr>
      </w:pPr>
    </w:p>
    <w:p w14:paraId="2110EDEE" w14:textId="77777777" w:rsidR="00DC6B8F" w:rsidRPr="003237C5" w:rsidRDefault="00DC6B8F" w:rsidP="00873650">
      <w:pPr>
        <w:rPr>
          <w:bCs/>
          <w:iCs/>
          <w:sz w:val="24"/>
          <w:szCs w:val="24"/>
        </w:rPr>
      </w:pPr>
    </w:p>
    <w:p w14:paraId="0C7EB4F9" w14:textId="77777777" w:rsidR="00966E90" w:rsidRPr="003237C5" w:rsidRDefault="00966E90" w:rsidP="00873650">
      <w:pPr>
        <w:rPr>
          <w:bCs/>
          <w:iCs/>
          <w:sz w:val="24"/>
          <w:szCs w:val="24"/>
        </w:rPr>
      </w:pPr>
    </w:p>
    <w:p w14:paraId="73F15C2B" w14:textId="77777777" w:rsidR="00966E90" w:rsidRPr="003237C5" w:rsidRDefault="00966E90" w:rsidP="00873650">
      <w:pPr>
        <w:rPr>
          <w:bCs/>
          <w:iCs/>
          <w:sz w:val="24"/>
          <w:szCs w:val="24"/>
        </w:rPr>
      </w:pPr>
    </w:p>
    <w:p w14:paraId="0D69C1CE" w14:textId="77777777" w:rsidR="00966E90" w:rsidRPr="003237C5" w:rsidRDefault="00966E90" w:rsidP="00873650">
      <w:pPr>
        <w:rPr>
          <w:bCs/>
          <w:iCs/>
          <w:sz w:val="24"/>
          <w:szCs w:val="24"/>
        </w:rPr>
      </w:pPr>
    </w:p>
    <w:p w14:paraId="2D3CA9C5" w14:textId="77777777" w:rsidR="00966E90" w:rsidRPr="003237C5" w:rsidRDefault="00966E90" w:rsidP="00873650">
      <w:pPr>
        <w:rPr>
          <w:bCs/>
          <w:iCs/>
          <w:sz w:val="24"/>
          <w:szCs w:val="24"/>
        </w:rPr>
      </w:pPr>
    </w:p>
    <w:p w14:paraId="0B49AB4F" w14:textId="77777777" w:rsidR="00966E90" w:rsidRPr="003237C5" w:rsidRDefault="00966E90" w:rsidP="00873650">
      <w:pPr>
        <w:rPr>
          <w:bCs/>
          <w:iCs/>
          <w:sz w:val="24"/>
          <w:szCs w:val="24"/>
        </w:rPr>
      </w:pPr>
    </w:p>
    <w:p w14:paraId="243DA6C7" w14:textId="77777777" w:rsidR="00873650" w:rsidRPr="003237C5" w:rsidRDefault="00873650" w:rsidP="00873650">
      <w:pPr>
        <w:rPr>
          <w:bCs/>
          <w:iCs/>
          <w:sz w:val="24"/>
          <w:szCs w:val="24"/>
        </w:rPr>
      </w:pPr>
    </w:p>
    <w:p w14:paraId="6C33F928" w14:textId="77777777" w:rsidR="00873650" w:rsidRPr="003237C5" w:rsidRDefault="000D7CD2" w:rsidP="00873650">
      <w:pPr>
        <w:rPr>
          <w:rFonts w:ascii="Times New Roman" w:hAnsi="Times New Roman" w:cs="Times New Roman"/>
          <w:bCs/>
          <w:iCs/>
          <w:szCs w:val="24"/>
        </w:rPr>
      </w:pPr>
      <w:r w:rsidRPr="003237C5">
        <w:rPr>
          <w:rFonts w:ascii="Times New Roman" w:hAnsi="Times New Roman" w:cs="Times New Roman"/>
          <w:bCs/>
          <w:iCs/>
          <w:szCs w:val="24"/>
        </w:rPr>
        <w:t xml:space="preserve">Prepared by </w:t>
      </w:r>
      <w:r w:rsidR="00D065A6" w:rsidRPr="003237C5">
        <w:rPr>
          <w:rFonts w:ascii="Times New Roman" w:hAnsi="Times New Roman" w:cs="Times New Roman"/>
          <w:bCs/>
          <w:iCs/>
          <w:szCs w:val="24"/>
        </w:rPr>
        <w:t>the Department of Education, Skills and Employment</w:t>
      </w:r>
      <w:r w:rsidRPr="003237C5">
        <w:rPr>
          <w:rFonts w:ascii="Times New Roman" w:hAnsi="Times New Roman" w:cs="Times New Roman"/>
          <w:bCs/>
          <w:iCs/>
          <w:szCs w:val="24"/>
        </w:rPr>
        <w:t>, Canberra</w:t>
      </w:r>
    </w:p>
    <w:p w14:paraId="20EA5DB5" w14:textId="77777777" w:rsidR="00873650" w:rsidRPr="003237C5" w:rsidRDefault="00873650" w:rsidP="00873650">
      <w:pPr>
        <w:jc w:val="center"/>
        <w:rPr>
          <w:iCs/>
          <w:sz w:val="24"/>
          <w:szCs w:val="24"/>
        </w:rPr>
      </w:pPr>
      <w:r w:rsidRPr="003237C5">
        <w:rPr>
          <w:iCs/>
        </w:rPr>
        <w:br w:type="page"/>
      </w:r>
    </w:p>
    <w:p w14:paraId="40E7E0DA" w14:textId="02E765E8" w:rsidR="00A31171" w:rsidRPr="003237C5" w:rsidRDefault="00A31171" w:rsidP="00A31171">
      <w:pPr>
        <w:pageBreakBefore/>
        <w:rPr>
          <w:rFonts w:ascii="Times New Roman" w:hAnsi="Times New Roman" w:cs="Times New Roman"/>
          <w:b/>
          <w:sz w:val="32"/>
          <w:szCs w:val="32"/>
        </w:rPr>
      </w:pPr>
      <w:r w:rsidRPr="003237C5">
        <w:rPr>
          <w:rFonts w:ascii="Times New Roman" w:hAnsi="Times New Roman" w:cs="Times New Roman"/>
          <w:b/>
          <w:sz w:val="32"/>
          <w:szCs w:val="32"/>
        </w:rPr>
        <w:t>About this compilation</w:t>
      </w:r>
    </w:p>
    <w:p w14:paraId="1AA9E9C2" w14:textId="77777777" w:rsidR="00A31171" w:rsidRPr="003237C5" w:rsidRDefault="00A31171" w:rsidP="00A31171">
      <w:pPr>
        <w:spacing w:before="240"/>
        <w:rPr>
          <w:rFonts w:ascii="Times New Roman" w:hAnsi="Times New Roman" w:cs="Times New Roman"/>
        </w:rPr>
      </w:pPr>
      <w:r w:rsidRPr="003237C5">
        <w:rPr>
          <w:rFonts w:ascii="Times New Roman" w:hAnsi="Times New Roman" w:cs="Times New Roman"/>
          <w:b/>
        </w:rPr>
        <w:t>This compilation</w:t>
      </w:r>
    </w:p>
    <w:p w14:paraId="037973CC" w14:textId="4DA49A6E" w:rsidR="00A31171" w:rsidRPr="003237C5" w:rsidRDefault="00A31171" w:rsidP="00A31171">
      <w:pPr>
        <w:spacing w:before="120" w:after="120"/>
        <w:rPr>
          <w:rFonts w:ascii="Times New Roman" w:hAnsi="Times New Roman" w:cs="Times New Roman"/>
        </w:rPr>
      </w:pPr>
      <w:r w:rsidRPr="003237C5">
        <w:rPr>
          <w:rFonts w:ascii="Times New Roman" w:hAnsi="Times New Roman" w:cs="Times New Roman"/>
        </w:rPr>
        <w:t xml:space="preserve">This is a compilation of the </w:t>
      </w:r>
      <w:r w:rsidRPr="003237C5">
        <w:rPr>
          <w:rFonts w:ascii="Times New Roman" w:hAnsi="Times New Roman" w:cs="Times New Roman"/>
          <w:i/>
          <w:iCs/>
        </w:rPr>
        <w:t>Higher Education Provider Guidelines 201</w:t>
      </w:r>
      <w:r w:rsidR="00A97C62" w:rsidRPr="003237C5">
        <w:rPr>
          <w:rFonts w:ascii="Times New Roman" w:hAnsi="Times New Roman" w:cs="Times New Roman"/>
          <w:i/>
          <w:iCs/>
        </w:rPr>
        <w:t xml:space="preserve">2 </w:t>
      </w:r>
      <w:r w:rsidRPr="003237C5">
        <w:rPr>
          <w:rFonts w:ascii="Times New Roman" w:hAnsi="Times New Roman" w:cs="Times New Roman"/>
        </w:rPr>
        <w:t xml:space="preserve">that shows the text of the law as amended and in force on </w:t>
      </w:r>
      <w:r w:rsidR="007D373D" w:rsidRPr="003237C5">
        <w:rPr>
          <w:rFonts w:ascii="Times New Roman" w:hAnsi="Times New Roman" w:cs="Times New Roman"/>
        </w:rPr>
        <w:t>22 March 2022</w:t>
      </w:r>
      <w:r w:rsidRPr="003237C5">
        <w:rPr>
          <w:rFonts w:ascii="Times New Roman" w:hAnsi="Times New Roman" w:cs="Times New Roman"/>
        </w:rPr>
        <w:t xml:space="preserve"> (the </w:t>
      </w:r>
      <w:r w:rsidRPr="003237C5">
        <w:rPr>
          <w:rFonts w:ascii="Times New Roman" w:hAnsi="Times New Roman" w:cs="Times New Roman"/>
          <w:b/>
          <w:i/>
        </w:rPr>
        <w:t>compilation date</w:t>
      </w:r>
      <w:r w:rsidRPr="003237C5">
        <w:rPr>
          <w:rFonts w:ascii="Times New Roman" w:hAnsi="Times New Roman" w:cs="Times New Roman"/>
        </w:rPr>
        <w:t>).</w:t>
      </w:r>
    </w:p>
    <w:p w14:paraId="655C150D" w14:textId="77777777" w:rsidR="00A31171" w:rsidRPr="003237C5" w:rsidRDefault="00A31171" w:rsidP="00A31171">
      <w:pPr>
        <w:spacing w:after="120"/>
        <w:rPr>
          <w:rFonts w:ascii="Times New Roman" w:hAnsi="Times New Roman" w:cs="Times New Roman"/>
        </w:rPr>
      </w:pPr>
      <w:r w:rsidRPr="003237C5">
        <w:rPr>
          <w:rFonts w:ascii="Times New Roman" w:hAnsi="Times New Roman" w:cs="Times New Roman"/>
        </w:rPr>
        <w:t xml:space="preserve">The notes at the end of this compilation (the </w:t>
      </w:r>
      <w:r w:rsidRPr="003237C5">
        <w:rPr>
          <w:rFonts w:ascii="Times New Roman" w:hAnsi="Times New Roman" w:cs="Times New Roman"/>
          <w:b/>
          <w:i/>
        </w:rPr>
        <w:t>endnotes</w:t>
      </w:r>
      <w:r w:rsidRPr="003237C5">
        <w:rPr>
          <w:rFonts w:ascii="Times New Roman" w:hAnsi="Times New Roman" w:cs="Times New Roman"/>
        </w:rPr>
        <w:t>) include information about amending laws and the amendment history of provisions of the compiled law.</w:t>
      </w:r>
    </w:p>
    <w:p w14:paraId="18A0798E" w14:textId="77777777" w:rsidR="00A31171" w:rsidRPr="003237C5" w:rsidRDefault="00A31171" w:rsidP="00A31171">
      <w:pPr>
        <w:tabs>
          <w:tab w:val="left" w:pos="5640"/>
        </w:tabs>
        <w:spacing w:before="120" w:after="120"/>
        <w:rPr>
          <w:rFonts w:ascii="Times New Roman" w:hAnsi="Times New Roman" w:cs="Times New Roman"/>
          <w:b/>
        </w:rPr>
      </w:pPr>
      <w:proofErr w:type="spellStart"/>
      <w:r w:rsidRPr="003237C5">
        <w:rPr>
          <w:rFonts w:ascii="Times New Roman" w:hAnsi="Times New Roman" w:cs="Times New Roman"/>
          <w:b/>
        </w:rPr>
        <w:t>Uncommenced</w:t>
      </w:r>
      <w:proofErr w:type="spellEnd"/>
      <w:r w:rsidRPr="003237C5">
        <w:rPr>
          <w:rFonts w:ascii="Times New Roman" w:hAnsi="Times New Roman" w:cs="Times New Roman"/>
          <w:b/>
        </w:rPr>
        <w:t xml:space="preserve"> amendments</w:t>
      </w:r>
    </w:p>
    <w:p w14:paraId="5F63EA4A" w14:textId="77777777" w:rsidR="00A31171" w:rsidRPr="003237C5" w:rsidRDefault="00A31171" w:rsidP="00A31171">
      <w:pPr>
        <w:spacing w:after="120"/>
        <w:rPr>
          <w:rFonts w:ascii="Times New Roman" w:hAnsi="Times New Roman" w:cs="Times New Roman"/>
        </w:rPr>
      </w:pPr>
      <w:r w:rsidRPr="003237C5">
        <w:rPr>
          <w:rFonts w:ascii="Times New Roman" w:hAnsi="Times New Roman" w:cs="Times New Roman"/>
        </w:rPr>
        <w:t xml:space="preserve">The effect of </w:t>
      </w:r>
      <w:proofErr w:type="spellStart"/>
      <w:r w:rsidRPr="003237C5">
        <w:rPr>
          <w:rFonts w:ascii="Times New Roman" w:hAnsi="Times New Roman" w:cs="Times New Roman"/>
        </w:rPr>
        <w:t>uncommenced</w:t>
      </w:r>
      <w:proofErr w:type="spellEnd"/>
      <w:r w:rsidRPr="003237C5">
        <w:rPr>
          <w:rFonts w:ascii="Times New Roman" w:hAnsi="Times New Roman" w:cs="Times New Roman"/>
        </w:rPr>
        <w:t xml:space="preserve"> amendments is not shown in the text of the compiled law. Any </w:t>
      </w:r>
      <w:proofErr w:type="spellStart"/>
      <w:r w:rsidRPr="003237C5">
        <w:rPr>
          <w:rFonts w:ascii="Times New Roman" w:hAnsi="Times New Roman" w:cs="Times New Roman"/>
        </w:rPr>
        <w:t>uncommenced</w:t>
      </w:r>
      <w:proofErr w:type="spellEnd"/>
      <w:r w:rsidRPr="003237C5">
        <w:rPr>
          <w:rFonts w:ascii="Times New Roman" w:hAnsi="Times New Roman" w:cs="Times New Roman"/>
        </w:rPr>
        <w:t xml:space="preserve"> amendments affecting the law are accessible on the Legislation Register (www.legislation.gov.au). The details of amendments made up to, but not commenced at, the compilation date </w:t>
      </w:r>
      <w:proofErr w:type="gramStart"/>
      <w:r w:rsidRPr="003237C5">
        <w:rPr>
          <w:rFonts w:ascii="Times New Roman" w:hAnsi="Times New Roman" w:cs="Times New Roman"/>
        </w:rPr>
        <w:t>are</w:t>
      </w:r>
      <w:proofErr w:type="gramEnd"/>
      <w:r w:rsidRPr="003237C5">
        <w:rPr>
          <w:rFonts w:ascii="Times New Roman" w:hAnsi="Times New Roman" w:cs="Times New Roman"/>
        </w:rPr>
        <w:t xml:space="preserve"> underlined in the endnotes. For more information on any </w:t>
      </w:r>
      <w:proofErr w:type="spellStart"/>
      <w:r w:rsidRPr="003237C5">
        <w:rPr>
          <w:rFonts w:ascii="Times New Roman" w:hAnsi="Times New Roman" w:cs="Times New Roman"/>
        </w:rPr>
        <w:t>uncommenced</w:t>
      </w:r>
      <w:proofErr w:type="spellEnd"/>
      <w:r w:rsidRPr="003237C5">
        <w:rPr>
          <w:rFonts w:ascii="Times New Roman" w:hAnsi="Times New Roman" w:cs="Times New Roman"/>
        </w:rPr>
        <w:t xml:space="preserve"> amendments, see the series page on the Legislation Register for the compiled law.</w:t>
      </w:r>
    </w:p>
    <w:p w14:paraId="17201172" w14:textId="77777777" w:rsidR="00A31171" w:rsidRPr="003237C5" w:rsidRDefault="00A31171" w:rsidP="00A31171">
      <w:pPr>
        <w:spacing w:before="120" w:after="120"/>
        <w:rPr>
          <w:rFonts w:ascii="Times New Roman" w:hAnsi="Times New Roman" w:cs="Times New Roman"/>
          <w:b/>
        </w:rPr>
      </w:pPr>
      <w:r w:rsidRPr="003237C5">
        <w:rPr>
          <w:rFonts w:ascii="Times New Roman" w:hAnsi="Times New Roman" w:cs="Times New Roman"/>
          <w:b/>
        </w:rPr>
        <w:t>Application, saving and transitional provisions for provisions and amendments</w:t>
      </w:r>
    </w:p>
    <w:p w14:paraId="4449FFDB" w14:textId="77777777" w:rsidR="00A31171" w:rsidRPr="003237C5" w:rsidRDefault="00A31171" w:rsidP="00A31171">
      <w:pPr>
        <w:spacing w:after="120"/>
        <w:rPr>
          <w:rFonts w:ascii="Times New Roman" w:hAnsi="Times New Roman" w:cs="Times New Roman"/>
        </w:rPr>
      </w:pPr>
      <w:r w:rsidRPr="003237C5">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65E94C4C" w14:textId="77777777" w:rsidR="00A31171" w:rsidRPr="003237C5" w:rsidRDefault="00A31171" w:rsidP="00A31171">
      <w:pPr>
        <w:spacing w:after="120"/>
        <w:rPr>
          <w:rFonts w:ascii="Times New Roman" w:hAnsi="Times New Roman" w:cs="Times New Roman"/>
          <w:b/>
        </w:rPr>
      </w:pPr>
      <w:r w:rsidRPr="003237C5">
        <w:rPr>
          <w:rFonts w:ascii="Times New Roman" w:hAnsi="Times New Roman" w:cs="Times New Roman"/>
          <w:b/>
        </w:rPr>
        <w:t>Editorial changes</w:t>
      </w:r>
    </w:p>
    <w:p w14:paraId="4220F459" w14:textId="77777777" w:rsidR="00A31171" w:rsidRPr="003237C5" w:rsidRDefault="00A31171" w:rsidP="00A31171">
      <w:pPr>
        <w:spacing w:after="120"/>
        <w:rPr>
          <w:rFonts w:ascii="Times New Roman" w:hAnsi="Times New Roman" w:cs="Times New Roman"/>
        </w:rPr>
      </w:pPr>
      <w:r w:rsidRPr="003237C5">
        <w:rPr>
          <w:rFonts w:ascii="Times New Roman" w:hAnsi="Times New Roman" w:cs="Times New Roman"/>
        </w:rPr>
        <w:t>For more information about any editorial changes made in this compilation, see the endnotes.</w:t>
      </w:r>
    </w:p>
    <w:p w14:paraId="054AD406" w14:textId="77777777" w:rsidR="00A31171" w:rsidRPr="003237C5" w:rsidRDefault="00A31171" w:rsidP="00A31171">
      <w:pPr>
        <w:spacing w:before="120" w:after="120"/>
        <w:rPr>
          <w:rFonts w:ascii="Times New Roman" w:hAnsi="Times New Roman" w:cs="Times New Roman"/>
          <w:b/>
        </w:rPr>
      </w:pPr>
      <w:r w:rsidRPr="003237C5">
        <w:rPr>
          <w:rFonts w:ascii="Times New Roman" w:hAnsi="Times New Roman" w:cs="Times New Roman"/>
          <w:b/>
        </w:rPr>
        <w:t>Modifications</w:t>
      </w:r>
    </w:p>
    <w:p w14:paraId="22B4ADEB" w14:textId="77777777" w:rsidR="00A31171" w:rsidRPr="003237C5" w:rsidRDefault="00A31171" w:rsidP="00A31171">
      <w:pPr>
        <w:spacing w:after="120"/>
        <w:rPr>
          <w:rFonts w:ascii="Times New Roman" w:hAnsi="Times New Roman" w:cs="Times New Roman"/>
        </w:rPr>
      </w:pPr>
      <w:r w:rsidRPr="003237C5">
        <w:rPr>
          <w:rFonts w:ascii="Times New Roman" w:hAnsi="Times New Roman" w:cs="Times New Roman"/>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880CBA5" w14:textId="77777777" w:rsidR="00A31171" w:rsidRPr="003237C5" w:rsidRDefault="00A31171" w:rsidP="00A31171">
      <w:pPr>
        <w:spacing w:before="80" w:after="120"/>
        <w:rPr>
          <w:rFonts w:ascii="Times New Roman" w:hAnsi="Times New Roman" w:cs="Times New Roman"/>
          <w:b/>
        </w:rPr>
      </w:pPr>
      <w:r w:rsidRPr="003237C5">
        <w:rPr>
          <w:rFonts w:ascii="Times New Roman" w:hAnsi="Times New Roman" w:cs="Times New Roman"/>
          <w:b/>
        </w:rPr>
        <w:t>Self</w:t>
      </w:r>
      <w:r w:rsidRPr="003237C5">
        <w:rPr>
          <w:rFonts w:ascii="Times New Roman" w:hAnsi="Times New Roman" w:cs="Times New Roman"/>
          <w:b/>
        </w:rPr>
        <w:noBreakHyphen/>
        <w:t>repealing provisions</w:t>
      </w:r>
    </w:p>
    <w:p w14:paraId="16A81278" w14:textId="77777777" w:rsidR="006B41FD" w:rsidRPr="003237C5" w:rsidRDefault="00A31171" w:rsidP="00A31171">
      <w:pPr>
        <w:spacing w:after="120"/>
        <w:rPr>
          <w:rFonts w:ascii="Times New Roman" w:hAnsi="Times New Roman" w:cs="Times New Roman"/>
        </w:rPr>
        <w:sectPr w:rsidR="006B41FD" w:rsidRPr="003237C5" w:rsidSect="00FE393D">
          <w:footerReference w:type="default" r:id="rId13"/>
          <w:footerReference w:type="first" r:id="rId14"/>
          <w:type w:val="continuous"/>
          <w:pgSz w:w="11907" w:h="16839" w:code="9"/>
          <w:pgMar w:top="1702" w:right="1134" w:bottom="1304" w:left="1134" w:header="454" w:footer="1134" w:gutter="0"/>
          <w:paperSrc w:first="7" w:other="7"/>
          <w:pgNumType w:start="3"/>
          <w:cols w:space="720"/>
          <w:formProt w:val="0"/>
          <w:titlePg/>
          <w:docGrid w:linePitch="326"/>
        </w:sectPr>
      </w:pPr>
      <w:r w:rsidRPr="003237C5">
        <w:rPr>
          <w:rFonts w:ascii="Times New Roman" w:hAnsi="Times New Roman" w:cs="Times New Roman"/>
        </w:rPr>
        <w:t>If a provision of the compiled law has been repealed in accordance with a provision of the law, details are included in the endnotes.</w:t>
      </w:r>
    </w:p>
    <w:p w14:paraId="5011200E" w14:textId="79D25F89" w:rsidR="00A31171" w:rsidRPr="003237C5" w:rsidRDefault="00A31171" w:rsidP="00A31171">
      <w:pPr>
        <w:spacing w:after="120"/>
        <w:rPr>
          <w:rFonts w:ascii="Times New Roman" w:hAnsi="Times New Roman" w:cs="Times New Roman"/>
        </w:rPr>
      </w:pPr>
    </w:p>
    <w:p w14:paraId="3C078BE2" w14:textId="77777777" w:rsidR="00A31171" w:rsidRPr="003237C5" w:rsidRDefault="00A31171" w:rsidP="00A31171">
      <w:pPr>
        <w:keepLines w:val="0"/>
        <w:tabs>
          <w:tab w:val="center" w:pos="4513"/>
          <w:tab w:val="right" w:pos="9026"/>
        </w:tabs>
        <w:spacing w:line="160" w:lineRule="exact"/>
        <w:rPr>
          <w:rFonts w:ascii="Times New Roman" w:hAnsi="Times New Roman" w:cs="Times New Roman"/>
          <w:sz w:val="16"/>
          <w:szCs w:val="16"/>
        </w:rPr>
      </w:pPr>
      <w:r w:rsidRPr="003237C5">
        <w:rPr>
          <w:rFonts w:ascii="Times New Roman" w:hAnsi="Times New Roman" w:cs="Times New Roman"/>
          <w:sz w:val="16"/>
          <w:szCs w:val="16"/>
        </w:rPr>
        <w:t xml:space="preserve">  </w:t>
      </w:r>
    </w:p>
    <w:p w14:paraId="088E2BEE" w14:textId="77777777" w:rsidR="00A31171" w:rsidRPr="003237C5" w:rsidRDefault="00A31171" w:rsidP="00A31171">
      <w:pPr>
        <w:keepLines w:val="0"/>
        <w:tabs>
          <w:tab w:val="center" w:pos="4513"/>
          <w:tab w:val="right" w:pos="9026"/>
        </w:tabs>
        <w:spacing w:line="160" w:lineRule="exact"/>
        <w:rPr>
          <w:rFonts w:ascii="Times New Roman" w:hAnsi="Times New Roman" w:cs="Times New Roman"/>
          <w:sz w:val="16"/>
          <w:szCs w:val="16"/>
        </w:rPr>
      </w:pPr>
      <w:r w:rsidRPr="003237C5">
        <w:rPr>
          <w:rFonts w:ascii="Times New Roman" w:hAnsi="Times New Roman" w:cs="Times New Roman"/>
          <w:sz w:val="16"/>
          <w:szCs w:val="16"/>
        </w:rPr>
        <w:t xml:space="preserve">  </w:t>
      </w:r>
    </w:p>
    <w:p w14:paraId="5138003C" w14:textId="77777777" w:rsidR="00A31171" w:rsidRPr="003237C5" w:rsidRDefault="00A31171" w:rsidP="00A31171">
      <w:pPr>
        <w:keepLines w:val="0"/>
        <w:tabs>
          <w:tab w:val="center" w:pos="4513"/>
          <w:tab w:val="right" w:pos="9026"/>
        </w:tabs>
        <w:spacing w:line="160" w:lineRule="exact"/>
        <w:rPr>
          <w:rFonts w:ascii="Times New Roman" w:hAnsi="Times New Roman" w:cs="Times New Roman"/>
          <w:sz w:val="16"/>
          <w:szCs w:val="16"/>
        </w:rPr>
      </w:pPr>
      <w:r w:rsidRPr="003237C5">
        <w:rPr>
          <w:rFonts w:ascii="Times New Roman" w:hAnsi="Times New Roman" w:cs="Times New Roman"/>
          <w:sz w:val="16"/>
          <w:szCs w:val="16"/>
        </w:rPr>
        <w:t xml:space="preserve">  </w:t>
      </w:r>
    </w:p>
    <w:bookmarkEnd w:id="0"/>
    <w:p w14:paraId="25C47B80" w14:textId="77777777" w:rsidR="00C13345" w:rsidRPr="003237C5" w:rsidRDefault="00C13345" w:rsidP="00DA0ECD">
      <w:pPr>
        <w:keepLines w:val="0"/>
        <w:jc w:val="center"/>
        <w:rPr>
          <w:b/>
          <w:iCs/>
          <w:sz w:val="24"/>
          <w:szCs w:val="24"/>
        </w:rPr>
      </w:pPr>
      <w:r w:rsidRPr="003237C5">
        <w:rPr>
          <w:b/>
          <w:iCs/>
          <w:sz w:val="24"/>
          <w:szCs w:val="24"/>
        </w:rPr>
        <w:t>Commonwealth of Australia</w:t>
      </w:r>
    </w:p>
    <w:p w14:paraId="7DC2AC8C" w14:textId="77777777" w:rsidR="00C13345" w:rsidRPr="003237C5" w:rsidRDefault="00C13345" w:rsidP="00C13345">
      <w:pPr>
        <w:jc w:val="center"/>
        <w:rPr>
          <w:b/>
          <w:iCs/>
          <w:sz w:val="24"/>
          <w:szCs w:val="24"/>
        </w:rPr>
      </w:pPr>
    </w:p>
    <w:p w14:paraId="306268E7" w14:textId="77777777" w:rsidR="00C13345" w:rsidRPr="003237C5" w:rsidRDefault="00C13345" w:rsidP="00C13345">
      <w:pPr>
        <w:jc w:val="center"/>
        <w:rPr>
          <w:b/>
          <w:iCs/>
          <w:sz w:val="24"/>
          <w:szCs w:val="24"/>
        </w:rPr>
      </w:pPr>
      <w:r w:rsidRPr="003237C5">
        <w:rPr>
          <w:b/>
          <w:iCs/>
          <w:sz w:val="24"/>
          <w:szCs w:val="24"/>
        </w:rPr>
        <w:t>Higher Education Support Act 2003</w:t>
      </w:r>
    </w:p>
    <w:p w14:paraId="4A5F2B14" w14:textId="77777777" w:rsidR="00C13345" w:rsidRPr="003237C5" w:rsidRDefault="00C13345" w:rsidP="00C13345">
      <w:pPr>
        <w:jc w:val="center"/>
        <w:rPr>
          <w:b/>
          <w:iCs/>
          <w:sz w:val="24"/>
          <w:szCs w:val="24"/>
        </w:rPr>
      </w:pPr>
    </w:p>
    <w:p w14:paraId="40046AD8" w14:textId="77777777" w:rsidR="00C13345" w:rsidRPr="003237C5" w:rsidRDefault="00C13345" w:rsidP="00C13345">
      <w:pPr>
        <w:jc w:val="center"/>
        <w:rPr>
          <w:b/>
          <w:iCs/>
          <w:sz w:val="24"/>
          <w:szCs w:val="24"/>
        </w:rPr>
      </w:pPr>
      <w:r w:rsidRPr="003237C5">
        <w:rPr>
          <w:b/>
          <w:iCs/>
          <w:sz w:val="24"/>
          <w:szCs w:val="24"/>
        </w:rPr>
        <w:t>HIGHER EDUCATION PROVIDER GUIDELINES 2012</w:t>
      </w:r>
    </w:p>
    <w:p w14:paraId="0483AC60" w14:textId="77777777" w:rsidR="00C13345" w:rsidRPr="003237C5" w:rsidRDefault="00C13345" w:rsidP="00C13345">
      <w:pPr>
        <w:rPr>
          <w:b/>
          <w:iCs/>
          <w:sz w:val="24"/>
          <w:szCs w:val="24"/>
        </w:rPr>
      </w:pPr>
    </w:p>
    <w:p w14:paraId="4A78926D" w14:textId="77777777" w:rsidR="00C13345" w:rsidRPr="003237C5" w:rsidRDefault="00C13345" w:rsidP="00C13345">
      <w:pPr>
        <w:rPr>
          <w:b/>
          <w:iCs/>
        </w:rPr>
      </w:pPr>
    </w:p>
    <w:p w14:paraId="0E96383E" w14:textId="77777777" w:rsidR="00C13345" w:rsidRPr="003237C5" w:rsidRDefault="00C13345" w:rsidP="00C13345">
      <w:pPr>
        <w:rPr>
          <w:b/>
          <w:iCs/>
        </w:rPr>
      </w:pPr>
    </w:p>
    <w:p w14:paraId="33F8516E" w14:textId="77777777" w:rsidR="00C13345" w:rsidRPr="003237C5" w:rsidRDefault="00C13345" w:rsidP="00C13345">
      <w:pPr>
        <w:rPr>
          <w:b/>
          <w:iCs/>
        </w:rPr>
      </w:pPr>
    </w:p>
    <w:p w14:paraId="5858B78F" w14:textId="77777777" w:rsidR="00C13345" w:rsidRPr="003237C5" w:rsidRDefault="00C13345" w:rsidP="00C13345">
      <w:pPr>
        <w:rPr>
          <w:b/>
          <w:iCs/>
          <w:sz w:val="24"/>
          <w:szCs w:val="24"/>
        </w:rPr>
      </w:pPr>
    </w:p>
    <w:p w14:paraId="5E86D78B" w14:textId="77777777" w:rsidR="00C13345" w:rsidRPr="003237C5" w:rsidRDefault="00C13345" w:rsidP="00C13345">
      <w:pPr>
        <w:rPr>
          <w:b/>
          <w:bCs/>
          <w:iCs/>
          <w:sz w:val="24"/>
          <w:szCs w:val="24"/>
        </w:rPr>
      </w:pPr>
      <w:r w:rsidRPr="003237C5">
        <w:rPr>
          <w:b/>
          <w:bCs/>
          <w:iCs/>
          <w:sz w:val="24"/>
          <w:szCs w:val="24"/>
        </w:rPr>
        <w:t>(</w:t>
      </w:r>
      <w:proofErr w:type="spellStart"/>
      <w:r w:rsidRPr="003237C5">
        <w:rPr>
          <w:b/>
          <w:bCs/>
          <w:iCs/>
          <w:sz w:val="24"/>
          <w:szCs w:val="24"/>
        </w:rPr>
        <w:t>i</w:t>
      </w:r>
      <w:proofErr w:type="spellEnd"/>
      <w:r w:rsidRPr="003237C5">
        <w:rPr>
          <w:b/>
          <w:bCs/>
          <w:iCs/>
          <w:sz w:val="24"/>
          <w:szCs w:val="24"/>
        </w:rPr>
        <w:t>)     CITATION</w:t>
      </w:r>
    </w:p>
    <w:p w14:paraId="7607CD3A" w14:textId="77777777" w:rsidR="00C13345" w:rsidRPr="003237C5" w:rsidRDefault="00C13345" w:rsidP="00C13345">
      <w:pPr>
        <w:rPr>
          <w:bCs/>
          <w:iCs/>
          <w:sz w:val="24"/>
          <w:szCs w:val="24"/>
        </w:rPr>
      </w:pPr>
    </w:p>
    <w:p w14:paraId="24593331" w14:textId="77777777" w:rsidR="00C13345" w:rsidRPr="003237C5" w:rsidRDefault="00C13345" w:rsidP="00C13345">
      <w:pPr>
        <w:rPr>
          <w:bCs/>
          <w:iCs/>
          <w:sz w:val="24"/>
          <w:szCs w:val="24"/>
        </w:rPr>
      </w:pPr>
      <w:r w:rsidRPr="003237C5">
        <w:rPr>
          <w:bCs/>
          <w:iCs/>
          <w:sz w:val="24"/>
          <w:szCs w:val="24"/>
        </w:rPr>
        <w:t xml:space="preserve">These Guidelines may be cited as the </w:t>
      </w:r>
      <w:r w:rsidRPr="003237C5">
        <w:rPr>
          <w:bCs/>
          <w:i/>
          <w:iCs/>
          <w:sz w:val="24"/>
          <w:szCs w:val="24"/>
        </w:rPr>
        <w:t>Higher Education Provider Guidelines 2012</w:t>
      </w:r>
      <w:r w:rsidRPr="003237C5">
        <w:rPr>
          <w:bCs/>
          <w:iCs/>
          <w:sz w:val="24"/>
          <w:szCs w:val="24"/>
        </w:rPr>
        <w:t>.</w:t>
      </w:r>
    </w:p>
    <w:p w14:paraId="0D0DA1DD" w14:textId="77777777" w:rsidR="00C13345" w:rsidRPr="003237C5" w:rsidRDefault="00C13345" w:rsidP="00C13345">
      <w:pPr>
        <w:rPr>
          <w:bCs/>
          <w:iCs/>
          <w:sz w:val="24"/>
          <w:szCs w:val="24"/>
        </w:rPr>
      </w:pPr>
    </w:p>
    <w:p w14:paraId="5F076490" w14:textId="77777777" w:rsidR="00C13345" w:rsidRPr="003237C5" w:rsidRDefault="00C13345" w:rsidP="00C13345">
      <w:pPr>
        <w:rPr>
          <w:bCs/>
          <w:iCs/>
          <w:sz w:val="24"/>
          <w:szCs w:val="24"/>
        </w:rPr>
      </w:pPr>
    </w:p>
    <w:p w14:paraId="39A9DAE1" w14:textId="77777777" w:rsidR="00C13345" w:rsidRPr="003237C5" w:rsidRDefault="00C13345" w:rsidP="00C13345">
      <w:pPr>
        <w:rPr>
          <w:b/>
          <w:bCs/>
          <w:iCs/>
          <w:sz w:val="24"/>
          <w:szCs w:val="24"/>
        </w:rPr>
      </w:pPr>
      <w:r w:rsidRPr="003237C5">
        <w:rPr>
          <w:b/>
          <w:bCs/>
          <w:iCs/>
          <w:sz w:val="24"/>
          <w:szCs w:val="24"/>
        </w:rPr>
        <w:t>(ii)     AUTHORITY</w:t>
      </w:r>
    </w:p>
    <w:p w14:paraId="443EB92A" w14:textId="77777777" w:rsidR="00C13345" w:rsidRPr="003237C5" w:rsidRDefault="00C13345" w:rsidP="00C13345">
      <w:pPr>
        <w:rPr>
          <w:bCs/>
          <w:iCs/>
          <w:sz w:val="24"/>
          <w:szCs w:val="24"/>
        </w:rPr>
      </w:pPr>
    </w:p>
    <w:p w14:paraId="3552486A" w14:textId="5CF6605B" w:rsidR="00C13345" w:rsidRPr="003237C5" w:rsidRDefault="00C13345" w:rsidP="00C13345">
      <w:pPr>
        <w:rPr>
          <w:bCs/>
          <w:i/>
          <w:iCs/>
          <w:sz w:val="24"/>
          <w:szCs w:val="24"/>
        </w:rPr>
      </w:pPr>
      <w:r w:rsidRPr="003237C5">
        <w:rPr>
          <w:bCs/>
          <w:iCs/>
          <w:sz w:val="24"/>
          <w:szCs w:val="24"/>
        </w:rPr>
        <w:t xml:space="preserve">These Guidelines are made pursuant to item 6 of the table in section 238-10 of the </w:t>
      </w:r>
      <w:r w:rsidRPr="003237C5">
        <w:rPr>
          <w:bCs/>
          <w:i/>
          <w:iCs/>
          <w:sz w:val="24"/>
          <w:szCs w:val="24"/>
        </w:rPr>
        <w:t>Higher Education Support Act 2003</w:t>
      </w:r>
      <w:r w:rsidRPr="003237C5">
        <w:rPr>
          <w:bCs/>
          <w:iCs/>
          <w:sz w:val="24"/>
          <w:szCs w:val="24"/>
        </w:rPr>
        <w:t xml:space="preserve"> (the Act)</w:t>
      </w:r>
      <w:r w:rsidRPr="003237C5">
        <w:rPr>
          <w:bCs/>
          <w:i/>
          <w:iCs/>
          <w:sz w:val="24"/>
          <w:szCs w:val="24"/>
        </w:rPr>
        <w:t>.</w:t>
      </w:r>
    </w:p>
    <w:p w14:paraId="30B0E147" w14:textId="77777777" w:rsidR="00C13345" w:rsidRPr="003237C5" w:rsidRDefault="00C13345" w:rsidP="00C13345">
      <w:pPr>
        <w:rPr>
          <w:bCs/>
          <w:iCs/>
          <w:sz w:val="24"/>
          <w:szCs w:val="24"/>
        </w:rPr>
      </w:pPr>
    </w:p>
    <w:p w14:paraId="0CBF214F" w14:textId="77777777" w:rsidR="00C13345" w:rsidRPr="003237C5" w:rsidRDefault="00C13345" w:rsidP="00C13345">
      <w:pPr>
        <w:rPr>
          <w:bCs/>
          <w:iCs/>
          <w:sz w:val="24"/>
          <w:szCs w:val="24"/>
        </w:rPr>
      </w:pPr>
    </w:p>
    <w:p w14:paraId="1B6D963D" w14:textId="77777777" w:rsidR="00C13345" w:rsidRPr="003237C5" w:rsidRDefault="00C13345" w:rsidP="00C13345">
      <w:pPr>
        <w:rPr>
          <w:b/>
          <w:bCs/>
          <w:iCs/>
          <w:sz w:val="24"/>
          <w:szCs w:val="24"/>
        </w:rPr>
      </w:pPr>
      <w:r w:rsidRPr="003237C5">
        <w:rPr>
          <w:b/>
          <w:bCs/>
          <w:iCs/>
          <w:sz w:val="24"/>
          <w:szCs w:val="24"/>
        </w:rPr>
        <w:t>(i</w:t>
      </w:r>
      <w:r w:rsidR="009E1F50" w:rsidRPr="003237C5">
        <w:rPr>
          <w:b/>
          <w:bCs/>
          <w:iCs/>
          <w:sz w:val="24"/>
          <w:szCs w:val="24"/>
        </w:rPr>
        <w:t>v</w:t>
      </w:r>
      <w:r w:rsidRPr="003237C5">
        <w:rPr>
          <w:b/>
          <w:bCs/>
          <w:iCs/>
          <w:sz w:val="24"/>
          <w:szCs w:val="24"/>
        </w:rPr>
        <w:t>)</w:t>
      </w:r>
      <w:r w:rsidRPr="003237C5">
        <w:rPr>
          <w:b/>
          <w:bCs/>
          <w:iCs/>
          <w:sz w:val="24"/>
          <w:szCs w:val="24"/>
        </w:rPr>
        <w:tab/>
        <w:t>TRANSITIONAL ARRANGEMENTS</w:t>
      </w:r>
    </w:p>
    <w:p w14:paraId="56296106" w14:textId="77777777" w:rsidR="00C13345" w:rsidRPr="003237C5" w:rsidRDefault="00C13345" w:rsidP="00C13345">
      <w:pPr>
        <w:rPr>
          <w:bCs/>
          <w:iCs/>
          <w:sz w:val="24"/>
          <w:szCs w:val="24"/>
        </w:rPr>
      </w:pPr>
    </w:p>
    <w:p w14:paraId="0C7C0C3C" w14:textId="77777777" w:rsidR="00C13345" w:rsidRPr="003237C5" w:rsidRDefault="00C13345" w:rsidP="00C13345">
      <w:pPr>
        <w:rPr>
          <w:bCs/>
          <w:iCs/>
          <w:sz w:val="24"/>
          <w:szCs w:val="24"/>
        </w:rPr>
      </w:pPr>
      <w:r w:rsidRPr="003237C5">
        <w:rPr>
          <w:bCs/>
          <w:iCs/>
          <w:sz w:val="24"/>
          <w:szCs w:val="24"/>
        </w:rPr>
        <w:t xml:space="preserve">The revocation of the Former Guidelines does not affect the validity of a payment or decision made under those guidelines. A decision made under the Former Guidelines is taken to continue to have effect as if it were made under the </w:t>
      </w:r>
      <w:r w:rsidRPr="003237C5">
        <w:rPr>
          <w:bCs/>
          <w:i/>
          <w:iCs/>
          <w:sz w:val="24"/>
          <w:szCs w:val="24"/>
        </w:rPr>
        <w:t>Higher Education Provider Guidelines 2012</w:t>
      </w:r>
      <w:r w:rsidRPr="003237C5">
        <w:rPr>
          <w:bCs/>
          <w:iCs/>
          <w:sz w:val="24"/>
          <w:szCs w:val="24"/>
        </w:rPr>
        <w:t>.</w:t>
      </w:r>
    </w:p>
    <w:p w14:paraId="0DEE003D" w14:textId="77777777" w:rsidR="00C13345" w:rsidRPr="003237C5" w:rsidRDefault="00C13345" w:rsidP="00F56BC1">
      <w:pPr>
        <w:jc w:val="center"/>
        <w:rPr>
          <w:b/>
          <w:bCs/>
          <w:sz w:val="24"/>
          <w:szCs w:val="24"/>
        </w:rPr>
      </w:pPr>
    </w:p>
    <w:p w14:paraId="7E8BDE9A" w14:textId="77777777" w:rsidR="00C13345" w:rsidRPr="003237C5" w:rsidRDefault="00C13345" w:rsidP="00F56BC1">
      <w:pPr>
        <w:jc w:val="center"/>
        <w:rPr>
          <w:b/>
          <w:bCs/>
          <w:sz w:val="24"/>
          <w:szCs w:val="24"/>
        </w:rPr>
      </w:pPr>
    </w:p>
    <w:p w14:paraId="56E7ADDC" w14:textId="77777777" w:rsidR="00C13345" w:rsidRPr="003237C5" w:rsidRDefault="00C13345" w:rsidP="00F56BC1">
      <w:pPr>
        <w:jc w:val="center"/>
        <w:rPr>
          <w:b/>
          <w:bCs/>
          <w:sz w:val="24"/>
          <w:szCs w:val="24"/>
        </w:rPr>
      </w:pPr>
    </w:p>
    <w:p w14:paraId="1105AAC4" w14:textId="77777777" w:rsidR="00C13345" w:rsidRPr="003237C5" w:rsidRDefault="00C13345" w:rsidP="00F56BC1">
      <w:pPr>
        <w:jc w:val="center"/>
        <w:rPr>
          <w:b/>
          <w:bCs/>
          <w:sz w:val="24"/>
          <w:szCs w:val="24"/>
        </w:rPr>
      </w:pPr>
    </w:p>
    <w:p w14:paraId="2174CC84" w14:textId="77777777" w:rsidR="00C13345" w:rsidRPr="003237C5" w:rsidRDefault="00C13345" w:rsidP="00F56BC1">
      <w:pPr>
        <w:jc w:val="center"/>
        <w:rPr>
          <w:b/>
          <w:bCs/>
          <w:sz w:val="24"/>
          <w:szCs w:val="24"/>
        </w:rPr>
      </w:pPr>
    </w:p>
    <w:p w14:paraId="18D696FB" w14:textId="77777777" w:rsidR="00C13345" w:rsidRPr="003237C5" w:rsidRDefault="00C13345" w:rsidP="00F56BC1">
      <w:pPr>
        <w:jc w:val="center"/>
        <w:rPr>
          <w:b/>
          <w:bCs/>
          <w:sz w:val="24"/>
          <w:szCs w:val="24"/>
        </w:rPr>
      </w:pPr>
    </w:p>
    <w:p w14:paraId="7B6AE968" w14:textId="77777777" w:rsidR="00C13345" w:rsidRPr="003237C5" w:rsidRDefault="00C13345" w:rsidP="00F56BC1">
      <w:pPr>
        <w:jc w:val="center"/>
        <w:rPr>
          <w:b/>
          <w:bCs/>
          <w:sz w:val="24"/>
          <w:szCs w:val="24"/>
        </w:rPr>
      </w:pPr>
    </w:p>
    <w:p w14:paraId="4F892CE5" w14:textId="77777777" w:rsidR="00C13345" w:rsidRPr="003237C5" w:rsidRDefault="00C13345" w:rsidP="00F56BC1">
      <w:pPr>
        <w:jc w:val="center"/>
        <w:rPr>
          <w:b/>
          <w:bCs/>
          <w:sz w:val="24"/>
          <w:szCs w:val="24"/>
        </w:rPr>
      </w:pPr>
    </w:p>
    <w:p w14:paraId="5C8C3F9B" w14:textId="77777777" w:rsidR="00C13345" w:rsidRPr="003237C5" w:rsidRDefault="00C13345" w:rsidP="00F56BC1">
      <w:pPr>
        <w:jc w:val="center"/>
        <w:rPr>
          <w:b/>
          <w:bCs/>
          <w:sz w:val="24"/>
          <w:szCs w:val="24"/>
        </w:rPr>
      </w:pPr>
    </w:p>
    <w:p w14:paraId="0B71052A" w14:textId="77777777" w:rsidR="00C13345" w:rsidRPr="003237C5" w:rsidRDefault="00C13345" w:rsidP="00F56BC1">
      <w:pPr>
        <w:jc w:val="center"/>
        <w:rPr>
          <w:b/>
          <w:bCs/>
          <w:sz w:val="24"/>
          <w:szCs w:val="24"/>
        </w:rPr>
      </w:pPr>
    </w:p>
    <w:p w14:paraId="09DFC64C" w14:textId="77777777" w:rsidR="00C13345" w:rsidRPr="003237C5" w:rsidRDefault="00C13345" w:rsidP="00F56BC1">
      <w:pPr>
        <w:jc w:val="center"/>
        <w:rPr>
          <w:b/>
          <w:bCs/>
          <w:sz w:val="24"/>
          <w:szCs w:val="24"/>
        </w:rPr>
      </w:pPr>
    </w:p>
    <w:p w14:paraId="68C70143" w14:textId="77777777" w:rsidR="00C13345" w:rsidRPr="003237C5" w:rsidRDefault="00C13345" w:rsidP="00F56BC1">
      <w:pPr>
        <w:jc w:val="center"/>
        <w:rPr>
          <w:b/>
          <w:bCs/>
          <w:sz w:val="24"/>
          <w:szCs w:val="24"/>
        </w:rPr>
      </w:pPr>
    </w:p>
    <w:p w14:paraId="35885543" w14:textId="77777777" w:rsidR="00C13345" w:rsidRPr="003237C5" w:rsidRDefault="00C13345" w:rsidP="00F56BC1">
      <w:pPr>
        <w:jc w:val="center"/>
        <w:rPr>
          <w:b/>
          <w:bCs/>
          <w:sz w:val="24"/>
          <w:szCs w:val="24"/>
        </w:rPr>
      </w:pPr>
    </w:p>
    <w:p w14:paraId="4A3BB0B9" w14:textId="77777777" w:rsidR="00C13345" w:rsidRPr="003237C5" w:rsidRDefault="00C13345" w:rsidP="00F56BC1">
      <w:pPr>
        <w:jc w:val="center"/>
        <w:rPr>
          <w:b/>
          <w:bCs/>
          <w:sz w:val="24"/>
          <w:szCs w:val="24"/>
        </w:rPr>
      </w:pPr>
    </w:p>
    <w:p w14:paraId="6EF78AB0" w14:textId="77777777" w:rsidR="00C13345" w:rsidRPr="003237C5" w:rsidRDefault="00C13345" w:rsidP="00F56BC1">
      <w:pPr>
        <w:jc w:val="center"/>
        <w:rPr>
          <w:b/>
          <w:bCs/>
          <w:sz w:val="24"/>
          <w:szCs w:val="24"/>
        </w:rPr>
      </w:pPr>
    </w:p>
    <w:p w14:paraId="299067D7" w14:textId="77777777" w:rsidR="00C13345" w:rsidRPr="003237C5" w:rsidRDefault="00C13345" w:rsidP="00F56BC1">
      <w:pPr>
        <w:jc w:val="center"/>
        <w:rPr>
          <w:b/>
          <w:bCs/>
          <w:sz w:val="24"/>
          <w:szCs w:val="24"/>
        </w:rPr>
      </w:pPr>
    </w:p>
    <w:p w14:paraId="23EC7E25" w14:textId="77777777" w:rsidR="00C13345" w:rsidRPr="003237C5" w:rsidRDefault="00C13345" w:rsidP="00F56BC1">
      <w:pPr>
        <w:jc w:val="center"/>
        <w:rPr>
          <w:b/>
          <w:bCs/>
          <w:sz w:val="24"/>
          <w:szCs w:val="24"/>
        </w:rPr>
      </w:pPr>
    </w:p>
    <w:p w14:paraId="42B01F84" w14:textId="77777777" w:rsidR="00C13345" w:rsidRPr="003237C5" w:rsidRDefault="00C13345" w:rsidP="00F56BC1">
      <w:pPr>
        <w:jc w:val="center"/>
        <w:rPr>
          <w:b/>
          <w:bCs/>
          <w:sz w:val="24"/>
          <w:szCs w:val="24"/>
        </w:rPr>
      </w:pPr>
    </w:p>
    <w:p w14:paraId="79B5EF21" w14:textId="77777777" w:rsidR="00C13345" w:rsidRPr="003237C5" w:rsidRDefault="00C13345" w:rsidP="00F56BC1">
      <w:pPr>
        <w:jc w:val="center"/>
        <w:rPr>
          <w:b/>
          <w:bCs/>
          <w:sz w:val="24"/>
          <w:szCs w:val="24"/>
        </w:rPr>
      </w:pPr>
    </w:p>
    <w:p w14:paraId="53A3BF92" w14:textId="77777777" w:rsidR="00C13345" w:rsidRPr="003237C5" w:rsidRDefault="00C13345" w:rsidP="00F56BC1">
      <w:pPr>
        <w:jc w:val="center"/>
        <w:rPr>
          <w:b/>
          <w:bCs/>
          <w:sz w:val="24"/>
          <w:szCs w:val="24"/>
        </w:rPr>
      </w:pPr>
    </w:p>
    <w:p w14:paraId="4BF9242C" w14:textId="77777777" w:rsidR="00C13345" w:rsidRPr="003237C5" w:rsidRDefault="00C13345" w:rsidP="00F56BC1">
      <w:pPr>
        <w:jc w:val="center"/>
        <w:rPr>
          <w:b/>
          <w:bCs/>
          <w:sz w:val="24"/>
          <w:szCs w:val="24"/>
        </w:rPr>
      </w:pPr>
    </w:p>
    <w:p w14:paraId="2FED878C" w14:textId="77777777" w:rsidR="00A54812" w:rsidRPr="003237C5" w:rsidRDefault="00A54812" w:rsidP="00F56BC1">
      <w:pPr>
        <w:jc w:val="center"/>
        <w:rPr>
          <w:b/>
          <w:bCs/>
          <w:sz w:val="24"/>
          <w:szCs w:val="24"/>
        </w:rPr>
      </w:pPr>
    </w:p>
    <w:p w14:paraId="4675DE5A" w14:textId="77777777" w:rsidR="00C13345" w:rsidRPr="003237C5" w:rsidRDefault="00C13345" w:rsidP="00F56BC1">
      <w:pPr>
        <w:jc w:val="center"/>
        <w:rPr>
          <w:b/>
          <w:bCs/>
          <w:sz w:val="24"/>
          <w:szCs w:val="24"/>
        </w:rPr>
      </w:pPr>
    </w:p>
    <w:p w14:paraId="32DFEA07" w14:textId="77777777" w:rsidR="00C13345" w:rsidRPr="003237C5" w:rsidRDefault="00C13345" w:rsidP="00F56BC1">
      <w:pPr>
        <w:jc w:val="center"/>
        <w:rPr>
          <w:b/>
          <w:bCs/>
          <w:sz w:val="24"/>
          <w:szCs w:val="24"/>
        </w:rPr>
      </w:pPr>
    </w:p>
    <w:p w14:paraId="5321E562" w14:textId="77777777" w:rsidR="00C13345" w:rsidRPr="003237C5" w:rsidRDefault="00C13345" w:rsidP="00F56BC1">
      <w:pPr>
        <w:jc w:val="center"/>
        <w:rPr>
          <w:b/>
          <w:bCs/>
          <w:sz w:val="24"/>
          <w:szCs w:val="24"/>
        </w:rPr>
      </w:pPr>
    </w:p>
    <w:p w14:paraId="5669CE72" w14:textId="77777777" w:rsidR="00F56BC1" w:rsidRPr="003237C5" w:rsidRDefault="00F56BC1" w:rsidP="00F56BC1">
      <w:pPr>
        <w:jc w:val="center"/>
        <w:rPr>
          <w:b/>
          <w:bCs/>
          <w:sz w:val="24"/>
          <w:szCs w:val="24"/>
        </w:rPr>
      </w:pPr>
      <w:r w:rsidRPr="003237C5">
        <w:rPr>
          <w:b/>
          <w:bCs/>
          <w:sz w:val="24"/>
          <w:szCs w:val="24"/>
        </w:rPr>
        <w:t>COMMONWEALTH OF AUSTRALIA</w:t>
      </w:r>
    </w:p>
    <w:p w14:paraId="3421D032" w14:textId="77777777" w:rsidR="00F56BC1" w:rsidRPr="003237C5" w:rsidRDefault="00F56BC1" w:rsidP="00F56BC1">
      <w:pPr>
        <w:jc w:val="center"/>
        <w:rPr>
          <w:b/>
          <w:bCs/>
          <w:sz w:val="24"/>
          <w:szCs w:val="24"/>
        </w:rPr>
      </w:pPr>
    </w:p>
    <w:p w14:paraId="103CCD68" w14:textId="77777777" w:rsidR="00F56BC1" w:rsidRPr="003237C5" w:rsidRDefault="00F56BC1" w:rsidP="00F56BC1">
      <w:pPr>
        <w:jc w:val="center"/>
        <w:rPr>
          <w:b/>
          <w:bCs/>
          <w:i/>
          <w:iCs/>
          <w:sz w:val="24"/>
          <w:szCs w:val="24"/>
        </w:rPr>
      </w:pPr>
      <w:r w:rsidRPr="003237C5">
        <w:rPr>
          <w:b/>
          <w:bCs/>
          <w:i/>
          <w:iCs/>
          <w:sz w:val="24"/>
          <w:szCs w:val="24"/>
        </w:rPr>
        <w:t>Higher Education Support Act 2003</w:t>
      </w:r>
    </w:p>
    <w:p w14:paraId="07A0CDF3" w14:textId="77777777" w:rsidR="00F56BC1" w:rsidRPr="003237C5" w:rsidRDefault="00F56BC1" w:rsidP="00C16CB1">
      <w:pPr>
        <w:rPr>
          <w:b/>
          <w:bCs/>
          <w:sz w:val="24"/>
          <w:szCs w:val="24"/>
          <w:lang w:eastAsia="en-AU"/>
        </w:rPr>
      </w:pPr>
    </w:p>
    <w:p w14:paraId="3F099B79" w14:textId="77777777" w:rsidR="00F56BC1" w:rsidRPr="003237C5" w:rsidRDefault="00F56BC1" w:rsidP="00F56BC1">
      <w:pPr>
        <w:jc w:val="center"/>
        <w:rPr>
          <w:b/>
          <w:bCs/>
          <w:sz w:val="24"/>
          <w:szCs w:val="24"/>
          <w:lang w:eastAsia="en-AU"/>
        </w:rPr>
      </w:pPr>
      <w:r w:rsidRPr="003237C5">
        <w:rPr>
          <w:b/>
          <w:bCs/>
          <w:sz w:val="24"/>
          <w:szCs w:val="24"/>
          <w:lang w:eastAsia="en-AU"/>
        </w:rPr>
        <w:t>HIGHER EDUCATION PROVIDER GUIDELINES</w:t>
      </w:r>
    </w:p>
    <w:p w14:paraId="6E9E53A3" w14:textId="77777777" w:rsidR="00F56BC1" w:rsidRPr="003237C5" w:rsidRDefault="00F56BC1" w:rsidP="00F56BC1">
      <w:pPr>
        <w:rPr>
          <w:lang w:eastAsia="en-AU"/>
        </w:rPr>
      </w:pPr>
    </w:p>
    <w:p w14:paraId="4AFB7685" w14:textId="77777777" w:rsidR="00F56BC1" w:rsidRPr="003237C5" w:rsidRDefault="00F56BC1" w:rsidP="00F56BC1">
      <w:pPr>
        <w:rPr>
          <w:lang w:eastAsia="en-AU"/>
        </w:rPr>
      </w:pPr>
    </w:p>
    <w:p w14:paraId="2BFEB225" w14:textId="77777777" w:rsidR="00F56BC1" w:rsidRPr="003237C5" w:rsidRDefault="00F56BC1" w:rsidP="00F56BC1">
      <w:pPr>
        <w:ind w:right="-360"/>
        <w:rPr>
          <w:b/>
          <w:bCs/>
          <w:sz w:val="18"/>
          <w:szCs w:val="18"/>
          <w:lang w:eastAsia="en-AU"/>
        </w:rPr>
      </w:pPr>
      <w:r w:rsidRPr="003237C5">
        <w:rPr>
          <w:b/>
          <w:bCs/>
          <w:sz w:val="24"/>
          <w:szCs w:val="24"/>
          <w:lang w:eastAsia="en-AU"/>
        </w:rPr>
        <w:t>TABLE OF CONTENTS</w:t>
      </w:r>
    </w:p>
    <w:p w14:paraId="65050982" w14:textId="77777777" w:rsidR="00F56BC1" w:rsidRPr="003237C5" w:rsidRDefault="00F56BC1" w:rsidP="00F56BC1"/>
    <w:p w14:paraId="7D92C681" w14:textId="4593BAB0" w:rsidR="005B327D" w:rsidRPr="003237C5" w:rsidRDefault="00F56BC1">
      <w:pPr>
        <w:pStyle w:val="TOC1"/>
        <w:rPr>
          <w:rFonts w:asciiTheme="minorHAnsi" w:eastAsiaTheme="minorEastAsia" w:hAnsiTheme="minorHAnsi" w:cstheme="minorBidi"/>
          <w:b w:val="0"/>
          <w:bCs w:val="0"/>
          <w:caps w:val="0"/>
          <w:noProof/>
          <w:u w:val="none"/>
          <w:lang w:eastAsia="en-AU"/>
        </w:rPr>
      </w:pPr>
      <w:r w:rsidRPr="003237C5">
        <w:rPr>
          <w:rStyle w:val="Hyperlink"/>
          <w:noProof/>
        </w:rPr>
        <w:fldChar w:fldCharType="begin"/>
      </w:r>
      <w:r w:rsidRPr="003237C5">
        <w:rPr>
          <w:rStyle w:val="Hyperlink"/>
          <w:noProof/>
        </w:rPr>
        <w:instrText xml:space="preserve"> TOC \o "1-3" \h \z \u </w:instrText>
      </w:r>
      <w:r w:rsidRPr="003237C5">
        <w:rPr>
          <w:rStyle w:val="Hyperlink"/>
          <w:noProof/>
        </w:rPr>
        <w:fldChar w:fldCharType="separate"/>
      </w:r>
      <w:hyperlink w:anchor="_Toc93391322" w:history="1">
        <w:r w:rsidR="005B327D" w:rsidRPr="003237C5">
          <w:rPr>
            <w:rStyle w:val="Hyperlink"/>
            <w:noProof/>
          </w:rPr>
          <w:t>CHAPTER 1</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INTRODUCTION</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_Toc93391322 \h </w:instrText>
        </w:r>
        <w:r w:rsidR="005B327D" w:rsidRPr="003237C5">
          <w:rPr>
            <w:noProof/>
            <w:webHidden/>
          </w:rPr>
        </w:r>
        <w:r w:rsidR="005B327D" w:rsidRPr="003237C5">
          <w:rPr>
            <w:noProof/>
            <w:webHidden/>
          </w:rPr>
          <w:fldChar w:fldCharType="separate"/>
        </w:r>
        <w:r w:rsidR="00F27052">
          <w:rPr>
            <w:noProof/>
            <w:webHidden/>
          </w:rPr>
          <w:t>5</w:t>
        </w:r>
        <w:r w:rsidR="005B327D" w:rsidRPr="003237C5">
          <w:rPr>
            <w:noProof/>
            <w:webHidden/>
          </w:rPr>
          <w:fldChar w:fldCharType="end"/>
        </w:r>
      </w:hyperlink>
    </w:p>
    <w:p w14:paraId="02D64B16" w14:textId="1CFCA6CD"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3" w:history="1">
        <w:r w:rsidR="005B327D" w:rsidRPr="003237C5">
          <w:rPr>
            <w:rStyle w:val="Hyperlink"/>
            <w:noProof/>
          </w:rPr>
          <w:t>CHAPTER 2</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THE TUITION PROTECTION REQUIREMENTS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_Toc93391323 \h </w:instrText>
        </w:r>
        <w:r w:rsidR="005B327D" w:rsidRPr="003237C5">
          <w:rPr>
            <w:noProof/>
            <w:webHidden/>
          </w:rPr>
        </w:r>
        <w:r w:rsidR="005B327D" w:rsidRPr="003237C5">
          <w:rPr>
            <w:noProof/>
            <w:webHidden/>
          </w:rPr>
          <w:fldChar w:fldCharType="separate"/>
        </w:r>
        <w:r w:rsidR="00F27052">
          <w:rPr>
            <w:noProof/>
            <w:webHidden/>
          </w:rPr>
          <w:t>7</w:t>
        </w:r>
        <w:r w:rsidR="005B327D" w:rsidRPr="003237C5">
          <w:rPr>
            <w:noProof/>
            <w:webHidden/>
          </w:rPr>
          <w:fldChar w:fldCharType="end"/>
        </w:r>
      </w:hyperlink>
    </w:p>
    <w:p w14:paraId="720B4728" w14:textId="15F71C40"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4" w:history="1">
        <w:r w:rsidR="005B327D" w:rsidRPr="003237C5">
          <w:rPr>
            <w:rStyle w:val="Hyperlink"/>
            <w:noProof/>
          </w:rPr>
          <w:t>CHAPTER 3</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HIGHER EDUCATION PROVIDER APPLICATION FEE</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_Toc93391324 \h </w:instrText>
        </w:r>
        <w:r w:rsidR="005B327D" w:rsidRPr="003237C5">
          <w:rPr>
            <w:noProof/>
            <w:webHidden/>
          </w:rPr>
        </w:r>
        <w:r w:rsidR="005B327D" w:rsidRPr="003237C5">
          <w:rPr>
            <w:noProof/>
            <w:webHidden/>
          </w:rPr>
          <w:fldChar w:fldCharType="separate"/>
        </w:r>
        <w:r w:rsidR="00F27052">
          <w:rPr>
            <w:noProof/>
            <w:webHidden/>
          </w:rPr>
          <w:t>11</w:t>
        </w:r>
        <w:r w:rsidR="005B327D" w:rsidRPr="003237C5">
          <w:rPr>
            <w:noProof/>
            <w:webHidden/>
          </w:rPr>
          <w:fldChar w:fldCharType="end"/>
        </w:r>
      </w:hyperlink>
    </w:p>
    <w:p w14:paraId="35B5C444" w14:textId="6B59CAA7"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5" w:history="1">
        <w:r w:rsidR="005B327D" w:rsidRPr="003237C5">
          <w:rPr>
            <w:rStyle w:val="Hyperlink"/>
            <w:noProof/>
          </w:rPr>
          <w:t>CHAPTER 4</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GRIEVANCE AND REVIEW PROCEDURES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_Toc93391325 \h </w:instrText>
        </w:r>
        <w:r w:rsidR="005B327D" w:rsidRPr="003237C5">
          <w:rPr>
            <w:noProof/>
            <w:webHidden/>
          </w:rPr>
        </w:r>
        <w:r w:rsidR="005B327D" w:rsidRPr="003237C5">
          <w:rPr>
            <w:noProof/>
            <w:webHidden/>
          </w:rPr>
          <w:fldChar w:fldCharType="separate"/>
        </w:r>
        <w:r w:rsidR="00F27052">
          <w:rPr>
            <w:noProof/>
            <w:webHidden/>
          </w:rPr>
          <w:t>13</w:t>
        </w:r>
        <w:r w:rsidR="005B327D" w:rsidRPr="003237C5">
          <w:rPr>
            <w:noProof/>
            <w:webHidden/>
          </w:rPr>
          <w:fldChar w:fldCharType="end"/>
        </w:r>
      </w:hyperlink>
    </w:p>
    <w:p w14:paraId="1937437D" w14:textId="778E1013"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6" w:history="1">
        <w:r w:rsidR="005B327D" w:rsidRPr="003237C5">
          <w:rPr>
            <w:rStyle w:val="Hyperlink"/>
            <w:noProof/>
          </w:rPr>
          <w:t>CHAPTER 5</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PUBLICATION AND OTHER REQUIREMENTS FOR STUDENT CONTRIBUTION AMOUNTS AND TUITION FEES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_Toc93391326 \h </w:instrText>
        </w:r>
        <w:r w:rsidR="005B327D" w:rsidRPr="003237C5">
          <w:rPr>
            <w:noProof/>
            <w:webHidden/>
          </w:rPr>
        </w:r>
        <w:r w:rsidR="005B327D" w:rsidRPr="003237C5">
          <w:rPr>
            <w:noProof/>
            <w:webHidden/>
          </w:rPr>
          <w:fldChar w:fldCharType="separate"/>
        </w:r>
        <w:r w:rsidR="00F27052">
          <w:rPr>
            <w:noProof/>
            <w:webHidden/>
          </w:rPr>
          <w:t>15</w:t>
        </w:r>
        <w:r w:rsidR="005B327D" w:rsidRPr="003237C5">
          <w:rPr>
            <w:noProof/>
            <w:webHidden/>
          </w:rPr>
          <w:fldChar w:fldCharType="end"/>
        </w:r>
      </w:hyperlink>
    </w:p>
    <w:p w14:paraId="7824E3A1" w14:textId="52D3CB1D"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7" w:history="1">
        <w:r w:rsidR="005B327D" w:rsidRPr="003237C5">
          <w:rPr>
            <w:rStyle w:val="Hyperlink"/>
            <w:noProof/>
          </w:rPr>
          <w:t>CHAPTER 6</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FEES IN RESPECT OF OVERSEAS STUDENTS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_Toc93391327 \h </w:instrText>
        </w:r>
        <w:r w:rsidR="005B327D" w:rsidRPr="003237C5">
          <w:rPr>
            <w:noProof/>
            <w:webHidden/>
          </w:rPr>
        </w:r>
        <w:r w:rsidR="005B327D" w:rsidRPr="003237C5">
          <w:rPr>
            <w:noProof/>
            <w:webHidden/>
          </w:rPr>
          <w:fldChar w:fldCharType="separate"/>
        </w:r>
        <w:r w:rsidR="00F27052">
          <w:rPr>
            <w:noProof/>
            <w:webHidden/>
          </w:rPr>
          <w:t>18</w:t>
        </w:r>
        <w:r w:rsidR="005B327D" w:rsidRPr="003237C5">
          <w:rPr>
            <w:noProof/>
            <w:webHidden/>
          </w:rPr>
          <w:fldChar w:fldCharType="end"/>
        </w:r>
      </w:hyperlink>
    </w:p>
    <w:p w14:paraId="3A3D93CC" w14:textId="44037F58"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8" w:history="1">
        <w:r w:rsidR="005B327D" w:rsidRPr="003237C5">
          <w:rPr>
            <w:rStyle w:val="Hyperlink"/>
            <w:noProof/>
          </w:rPr>
          <w:t>CHAPTER 7</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FEES FOR GOODS AND SERVICES INCIDENTAL TO STUDIES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_Toc93391328 \h </w:instrText>
        </w:r>
        <w:r w:rsidR="005B327D" w:rsidRPr="003237C5">
          <w:rPr>
            <w:noProof/>
            <w:webHidden/>
          </w:rPr>
        </w:r>
        <w:r w:rsidR="005B327D" w:rsidRPr="003237C5">
          <w:rPr>
            <w:noProof/>
            <w:webHidden/>
          </w:rPr>
          <w:fldChar w:fldCharType="separate"/>
        </w:r>
        <w:r w:rsidR="00F27052">
          <w:rPr>
            <w:noProof/>
            <w:webHidden/>
          </w:rPr>
          <w:t>21</w:t>
        </w:r>
        <w:r w:rsidR="005B327D" w:rsidRPr="003237C5">
          <w:rPr>
            <w:noProof/>
            <w:webHidden/>
          </w:rPr>
          <w:fldChar w:fldCharType="end"/>
        </w:r>
      </w:hyperlink>
    </w:p>
    <w:p w14:paraId="675BB9C5" w14:textId="5539205E"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29" w:history="1">
        <w:r w:rsidR="005B327D" w:rsidRPr="003237C5">
          <w:rPr>
            <w:rStyle w:val="Hyperlink"/>
            <w:noProof/>
          </w:rPr>
          <w:t>CHAPTER 8</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 xml:space="preserve">QUALITY, ACCOUNTABILITY AND OTHER ADMINISTRATIVE </w:t>
        </w:r>
        <w:r w:rsidR="005B327D" w:rsidRPr="003237C5">
          <w:rPr>
            <w:rStyle w:val="Hyperlink"/>
            <w:noProof/>
          </w:rPr>
          <w:t>REQUIREMENTS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_Toc93391329 \h </w:instrText>
        </w:r>
        <w:r w:rsidR="005B327D" w:rsidRPr="003237C5">
          <w:rPr>
            <w:noProof/>
            <w:webHidden/>
          </w:rPr>
        </w:r>
        <w:r w:rsidR="005B327D" w:rsidRPr="003237C5">
          <w:rPr>
            <w:noProof/>
            <w:webHidden/>
          </w:rPr>
          <w:fldChar w:fldCharType="separate"/>
        </w:r>
        <w:r w:rsidR="00F27052">
          <w:rPr>
            <w:noProof/>
            <w:webHidden/>
          </w:rPr>
          <w:t>22</w:t>
        </w:r>
        <w:r w:rsidR="005B327D" w:rsidRPr="003237C5">
          <w:rPr>
            <w:noProof/>
            <w:webHidden/>
          </w:rPr>
          <w:fldChar w:fldCharType="end"/>
        </w:r>
      </w:hyperlink>
    </w:p>
    <w:p w14:paraId="44F2B167" w14:textId="0B9BA858" w:rsidR="005B327D" w:rsidRPr="003237C5" w:rsidRDefault="0011058A">
      <w:pPr>
        <w:pStyle w:val="TOC1"/>
        <w:rPr>
          <w:rFonts w:asciiTheme="minorHAnsi" w:eastAsiaTheme="minorEastAsia" w:hAnsiTheme="minorHAnsi" w:cstheme="minorBidi"/>
          <w:b w:val="0"/>
          <w:bCs w:val="0"/>
          <w:caps w:val="0"/>
          <w:noProof/>
          <w:u w:val="none"/>
          <w:lang w:eastAsia="en-AU"/>
        </w:rPr>
      </w:pPr>
      <w:hyperlink w:anchor="_Toc93391330" w:history="1">
        <w:r w:rsidR="005B327D" w:rsidRPr="003237C5">
          <w:rPr>
            <w:rStyle w:val="Hyperlink"/>
            <w:noProof/>
          </w:rPr>
          <w:t>CHAPTER 9</w:t>
        </w:r>
        <w:r w:rsidR="005B327D" w:rsidRPr="003237C5">
          <w:rPr>
            <w:rFonts w:asciiTheme="minorHAnsi" w:eastAsiaTheme="minorEastAsia" w:hAnsiTheme="minorHAnsi" w:cstheme="minorBidi"/>
            <w:b w:val="0"/>
            <w:bCs w:val="0"/>
            <w:caps w:val="0"/>
            <w:noProof/>
            <w:u w:val="none"/>
            <w:lang w:eastAsia="en-AU"/>
          </w:rPr>
          <w:tab/>
        </w:r>
        <w:r w:rsidR="005B327D" w:rsidRPr="003237C5">
          <w:rPr>
            <w:rStyle w:val="Hyperlink"/>
            <w:noProof/>
          </w:rPr>
          <w:t>DETERMINING WHETHER STUDENTS ARE GENUINE STUDENTS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_Toc93391330 \h </w:instrText>
        </w:r>
        <w:r w:rsidR="005B327D" w:rsidRPr="003237C5">
          <w:rPr>
            <w:noProof/>
            <w:webHidden/>
          </w:rPr>
        </w:r>
        <w:r w:rsidR="005B327D" w:rsidRPr="003237C5">
          <w:rPr>
            <w:noProof/>
            <w:webHidden/>
          </w:rPr>
          <w:fldChar w:fldCharType="separate"/>
        </w:r>
        <w:r w:rsidR="00F27052">
          <w:rPr>
            <w:noProof/>
            <w:webHidden/>
          </w:rPr>
          <w:t>26</w:t>
        </w:r>
        <w:r w:rsidR="005B327D" w:rsidRPr="003237C5">
          <w:rPr>
            <w:noProof/>
            <w:webHidden/>
          </w:rPr>
          <w:fldChar w:fldCharType="end"/>
        </w:r>
      </w:hyperlink>
    </w:p>
    <w:p w14:paraId="2D8C9968" w14:textId="6D95E48C" w:rsidR="005B327D" w:rsidRPr="003237C5" w:rsidRDefault="0011058A">
      <w:pPr>
        <w:pStyle w:val="TOC2"/>
        <w:tabs>
          <w:tab w:val="right" w:pos="9629"/>
        </w:tabs>
        <w:rPr>
          <w:rFonts w:asciiTheme="minorHAnsi" w:eastAsiaTheme="minorEastAsia" w:hAnsiTheme="minorHAnsi" w:cstheme="minorBidi"/>
          <w:b w:val="0"/>
          <w:bCs w:val="0"/>
          <w:noProof/>
          <w:sz w:val="22"/>
          <w:szCs w:val="22"/>
          <w:lang w:eastAsia="en-AU"/>
        </w:rPr>
      </w:pPr>
      <w:hyperlink w:anchor="_Toc93391331" w:history="1">
        <w:r w:rsidR="005B327D" w:rsidRPr="003237C5">
          <w:rPr>
            <w:rStyle w:val="Hyperlink"/>
            <w:noProof/>
          </w:rPr>
          <w:t>Endnotes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_Toc93391331 \h </w:instrText>
        </w:r>
        <w:r w:rsidR="005B327D" w:rsidRPr="003237C5">
          <w:rPr>
            <w:noProof/>
            <w:webHidden/>
          </w:rPr>
        </w:r>
        <w:r w:rsidR="005B327D" w:rsidRPr="003237C5">
          <w:rPr>
            <w:noProof/>
            <w:webHidden/>
          </w:rPr>
          <w:fldChar w:fldCharType="separate"/>
        </w:r>
        <w:r w:rsidR="00F27052">
          <w:rPr>
            <w:noProof/>
            <w:webHidden/>
          </w:rPr>
          <w:t>30</w:t>
        </w:r>
        <w:r w:rsidR="005B327D" w:rsidRPr="003237C5">
          <w:rPr>
            <w:noProof/>
            <w:webHidden/>
          </w:rPr>
          <w:fldChar w:fldCharType="end"/>
        </w:r>
      </w:hyperlink>
    </w:p>
    <w:p w14:paraId="05E5EE38" w14:textId="2A6DD1FC" w:rsidR="005B327D" w:rsidRDefault="0011058A">
      <w:pPr>
        <w:pStyle w:val="TOC3"/>
        <w:tabs>
          <w:tab w:val="right" w:pos="9629"/>
        </w:tabs>
        <w:rPr>
          <w:noProof/>
        </w:rPr>
      </w:pPr>
      <w:hyperlink w:anchor="_Toc93391332" w:history="1">
        <w:r w:rsidR="005B327D" w:rsidRPr="003237C5">
          <w:rPr>
            <w:rStyle w:val="Hyperlink"/>
            <w:noProof/>
          </w:rPr>
          <w:t>Endnote 1—About the endnotes</w:t>
        </w:r>
        <w:r w:rsidR="005B327D" w:rsidRPr="003237C5">
          <w:rPr>
            <w:noProof/>
            <w:webHidden/>
          </w:rPr>
          <w:tab/>
        </w:r>
        <w:r w:rsidR="005B327D" w:rsidRPr="003237C5">
          <w:rPr>
            <w:noProof/>
            <w:webHidden/>
          </w:rPr>
          <w:fldChar w:fldCharType="begin"/>
        </w:r>
        <w:r w:rsidR="005B327D" w:rsidRPr="003237C5">
          <w:rPr>
            <w:noProof/>
            <w:webHidden/>
          </w:rPr>
          <w:instrText xml:space="preserve"> PAGEREF _Toc93391332 \h </w:instrText>
        </w:r>
        <w:r w:rsidR="005B327D" w:rsidRPr="003237C5">
          <w:rPr>
            <w:noProof/>
            <w:webHidden/>
          </w:rPr>
        </w:r>
        <w:r w:rsidR="005B327D" w:rsidRPr="003237C5">
          <w:rPr>
            <w:noProof/>
            <w:webHidden/>
          </w:rPr>
          <w:fldChar w:fldCharType="separate"/>
        </w:r>
        <w:r w:rsidR="00F27052">
          <w:rPr>
            <w:noProof/>
            <w:webHidden/>
          </w:rPr>
          <w:t>30</w:t>
        </w:r>
        <w:r w:rsidR="005B327D" w:rsidRPr="003237C5">
          <w:rPr>
            <w:noProof/>
            <w:webHidden/>
          </w:rPr>
          <w:fldChar w:fldCharType="end"/>
        </w:r>
      </w:hyperlink>
    </w:p>
    <w:p w14:paraId="06433519" w14:textId="70874167" w:rsidR="00207459" w:rsidRPr="00F27052" w:rsidRDefault="00207459" w:rsidP="00207459">
      <w:pPr>
        <w:ind w:firstLine="220"/>
        <w:rPr>
          <w:rFonts w:eastAsiaTheme="minorEastAsia"/>
          <w:noProof/>
        </w:rPr>
      </w:pPr>
      <w:r w:rsidRPr="00F27052">
        <w:rPr>
          <w:rStyle w:val="Hyperlink"/>
          <w:noProof/>
          <w:color w:val="auto"/>
          <w:u w:val="none"/>
        </w:rPr>
        <w:t>Endnote 2</w:t>
      </w:r>
      <w:r w:rsidR="00F27052" w:rsidRPr="00F27052">
        <w:rPr>
          <w:rStyle w:val="Hyperlink"/>
          <w:noProof/>
          <w:color w:val="auto"/>
          <w:u w:val="none"/>
        </w:rPr>
        <w:t>—</w:t>
      </w:r>
      <w:r w:rsidRPr="00F27052">
        <w:rPr>
          <w:rStyle w:val="Hyperlink"/>
          <w:noProof/>
          <w:color w:val="auto"/>
          <w:u w:val="none"/>
        </w:rPr>
        <w:t>Abbreviation Key</w:t>
      </w:r>
      <w:r w:rsidRPr="00F27052">
        <w:rPr>
          <w:rStyle w:val="Hyperlink"/>
          <w:noProof/>
          <w:u w:val="none"/>
        </w:rPr>
        <w:t xml:space="preserve"> </w:t>
      </w:r>
      <w:r w:rsidRPr="00F27052">
        <w:rPr>
          <w:rStyle w:val="Hyperlink"/>
          <w:noProof/>
          <w:u w:val="none"/>
        </w:rPr>
        <w:tab/>
      </w:r>
      <w:r w:rsidRPr="00F27052">
        <w:rPr>
          <w:rFonts w:eastAsiaTheme="minorEastAsia"/>
          <w:noProof/>
        </w:rPr>
        <w:tab/>
      </w:r>
      <w:r w:rsidRPr="00F27052">
        <w:rPr>
          <w:rFonts w:eastAsiaTheme="minorEastAsia"/>
          <w:noProof/>
        </w:rPr>
        <w:tab/>
      </w:r>
      <w:r w:rsidRPr="00F27052">
        <w:rPr>
          <w:rFonts w:eastAsiaTheme="minorEastAsia"/>
          <w:noProof/>
        </w:rPr>
        <w:tab/>
      </w:r>
      <w:r>
        <w:rPr>
          <w:rFonts w:eastAsiaTheme="minorEastAsia"/>
          <w:noProof/>
        </w:rPr>
        <w:tab/>
      </w:r>
      <w:r>
        <w:rPr>
          <w:rFonts w:eastAsiaTheme="minorEastAsia"/>
          <w:noProof/>
        </w:rPr>
        <w:tab/>
      </w:r>
      <w:r>
        <w:rPr>
          <w:rFonts w:eastAsiaTheme="minorEastAsia"/>
          <w:noProof/>
        </w:rPr>
        <w:tab/>
      </w:r>
      <w:r>
        <w:rPr>
          <w:rFonts w:eastAsiaTheme="minorEastAsia"/>
          <w:noProof/>
        </w:rPr>
        <w:tab/>
      </w:r>
      <w:r w:rsidR="00F27052">
        <w:rPr>
          <w:rFonts w:eastAsiaTheme="minorEastAsia"/>
          <w:noProof/>
        </w:rPr>
        <w:t xml:space="preserve">           </w:t>
      </w:r>
      <w:r>
        <w:rPr>
          <w:rFonts w:eastAsiaTheme="minorEastAsia"/>
          <w:noProof/>
        </w:rPr>
        <w:t xml:space="preserve"> </w:t>
      </w:r>
      <w:r w:rsidR="0011058A" w:rsidRPr="00F27052">
        <w:rPr>
          <w:rStyle w:val="Hyperlink"/>
          <w:noProof/>
          <w:color w:val="auto"/>
          <w:u w:val="none"/>
        </w:rPr>
        <w:t>3</w:t>
      </w:r>
      <w:r w:rsidR="0011058A">
        <w:rPr>
          <w:rStyle w:val="Hyperlink"/>
          <w:noProof/>
          <w:color w:val="auto"/>
          <w:u w:val="none"/>
        </w:rPr>
        <w:t>1</w:t>
      </w:r>
    </w:p>
    <w:p w14:paraId="60F0A01A" w14:textId="521D8597" w:rsidR="005B327D" w:rsidRPr="00F27052" w:rsidRDefault="0011058A">
      <w:pPr>
        <w:pStyle w:val="TOC3"/>
        <w:tabs>
          <w:tab w:val="right" w:pos="9629"/>
        </w:tabs>
        <w:rPr>
          <w:rFonts w:asciiTheme="minorHAnsi" w:eastAsiaTheme="minorEastAsia" w:hAnsiTheme="minorHAnsi" w:cstheme="minorBidi"/>
          <w:noProof/>
          <w:sz w:val="22"/>
          <w:szCs w:val="22"/>
          <w:lang w:eastAsia="en-AU"/>
        </w:rPr>
      </w:pPr>
      <w:hyperlink w:anchor="_Toc93391333" w:history="1">
        <w:r w:rsidR="005B327D" w:rsidRPr="00F27052">
          <w:rPr>
            <w:rStyle w:val="Hyperlink"/>
            <w:noProof/>
            <w:color w:val="auto"/>
            <w:u w:val="none"/>
          </w:rPr>
          <w:t>Endnote 3—Legislation history</w:t>
        </w:r>
        <w:r w:rsidR="005B327D" w:rsidRPr="00F27052">
          <w:rPr>
            <w:noProof/>
            <w:webHidden/>
          </w:rPr>
          <w:tab/>
        </w:r>
        <w:r w:rsidR="005B327D" w:rsidRPr="00F27052">
          <w:rPr>
            <w:noProof/>
            <w:webHidden/>
          </w:rPr>
          <w:fldChar w:fldCharType="begin"/>
        </w:r>
        <w:r w:rsidR="005B327D" w:rsidRPr="00F27052">
          <w:rPr>
            <w:noProof/>
            <w:webHidden/>
          </w:rPr>
          <w:instrText xml:space="preserve"> PAGEREF _Toc93391333 \h </w:instrText>
        </w:r>
        <w:r w:rsidR="005B327D" w:rsidRPr="00F27052">
          <w:rPr>
            <w:noProof/>
            <w:webHidden/>
          </w:rPr>
        </w:r>
        <w:r w:rsidR="005B327D" w:rsidRPr="00F27052">
          <w:rPr>
            <w:noProof/>
            <w:webHidden/>
          </w:rPr>
          <w:fldChar w:fldCharType="separate"/>
        </w:r>
        <w:r w:rsidR="00F27052">
          <w:rPr>
            <w:noProof/>
            <w:webHidden/>
          </w:rPr>
          <w:t>32</w:t>
        </w:r>
        <w:r w:rsidR="005B327D" w:rsidRPr="00F27052">
          <w:rPr>
            <w:noProof/>
            <w:webHidden/>
          </w:rPr>
          <w:fldChar w:fldCharType="end"/>
        </w:r>
      </w:hyperlink>
    </w:p>
    <w:p w14:paraId="51B9B35B" w14:textId="4388C200" w:rsidR="00F56BC1" w:rsidRPr="00207459" w:rsidRDefault="00F56BC1" w:rsidP="00F27052">
      <w:pPr>
        <w:ind w:left="284" w:hanging="284"/>
        <w:rPr>
          <w:noProof/>
          <w:sz w:val="20"/>
          <w:szCs w:val="20"/>
        </w:rPr>
      </w:pPr>
      <w:r w:rsidRPr="003237C5">
        <w:rPr>
          <w:rStyle w:val="Hyperlink"/>
          <w:sz w:val="22"/>
          <w:szCs w:val="22"/>
        </w:rPr>
        <w:fldChar w:fldCharType="end"/>
      </w:r>
      <w:r w:rsidR="00207459" w:rsidRPr="00F27052">
        <w:rPr>
          <w:rStyle w:val="Hyperlink"/>
          <w:color w:val="auto"/>
          <w:sz w:val="22"/>
          <w:szCs w:val="22"/>
          <w:u w:val="none"/>
        </w:rPr>
        <w:t xml:space="preserve">   </w:t>
      </w:r>
      <w:r w:rsidR="00207459" w:rsidRPr="00F27052">
        <w:rPr>
          <w:rStyle w:val="Hyperlink"/>
          <w:noProof/>
          <w:color w:val="auto"/>
          <w:u w:val="none"/>
        </w:rPr>
        <w:t>Endnote 4</w:t>
      </w:r>
      <w:r w:rsidR="00F27052" w:rsidRPr="00F27052">
        <w:rPr>
          <w:rStyle w:val="Hyperlink"/>
          <w:noProof/>
          <w:color w:val="auto"/>
          <w:u w:val="none"/>
        </w:rPr>
        <w:t>—</w:t>
      </w:r>
      <w:r w:rsidR="00207459" w:rsidRPr="00F27052">
        <w:rPr>
          <w:rStyle w:val="Hyperlink"/>
          <w:noProof/>
          <w:color w:val="auto"/>
          <w:u w:val="none"/>
        </w:rPr>
        <w:t xml:space="preserve">Amendment History    </w:t>
      </w:r>
      <w:r w:rsidR="00207459" w:rsidRPr="00F27052">
        <w:t xml:space="preserve">                                                           </w:t>
      </w:r>
      <w:r w:rsidR="00F27052">
        <w:t xml:space="preserve"> </w:t>
      </w:r>
      <w:r w:rsidR="00207459" w:rsidRPr="00F27052">
        <w:t xml:space="preserve">                            </w:t>
      </w:r>
      <w:r w:rsidR="00F27052">
        <w:t xml:space="preserve"> </w:t>
      </w:r>
      <w:r w:rsidR="00207459" w:rsidRPr="00F27052">
        <w:t xml:space="preserve">        </w:t>
      </w:r>
      <w:r w:rsidR="00F27052">
        <w:t xml:space="preserve"> </w:t>
      </w:r>
      <w:r w:rsidR="00207459" w:rsidRPr="00F27052">
        <w:t xml:space="preserve">  </w:t>
      </w:r>
      <w:r w:rsidR="0011058A" w:rsidRPr="00207459">
        <w:rPr>
          <w:sz w:val="20"/>
          <w:szCs w:val="20"/>
        </w:rPr>
        <w:t>3</w:t>
      </w:r>
      <w:r w:rsidR="0011058A">
        <w:rPr>
          <w:sz w:val="20"/>
          <w:szCs w:val="20"/>
        </w:rPr>
        <w:t>4</w:t>
      </w:r>
    </w:p>
    <w:p w14:paraId="5C2295CE" w14:textId="77777777" w:rsidR="00F56BC1" w:rsidRPr="003237C5" w:rsidRDefault="00F56BC1" w:rsidP="00F56BC1"/>
    <w:p w14:paraId="35D9E152" w14:textId="6DE2CEE2" w:rsidR="00F56BC1" w:rsidRPr="003237C5" w:rsidRDefault="00F56BC1" w:rsidP="00F56BC1">
      <w:pPr>
        <w:pStyle w:val="Heading1"/>
        <w:rPr>
          <w:u w:val="single"/>
        </w:rPr>
      </w:pPr>
      <w:r w:rsidRPr="003237C5">
        <w:br w:type="page"/>
      </w:r>
      <w:bookmarkStart w:id="4" w:name="_Toc122231819"/>
      <w:bookmarkStart w:id="5" w:name="_Toc152752057"/>
      <w:bookmarkStart w:id="6" w:name="_Toc93391322"/>
      <w:r w:rsidRPr="003237C5">
        <w:rPr>
          <w:u w:val="single"/>
        </w:rPr>
        <w:t>CHAPTER 1</w:t>
      </w:r>
      <w:r w:rsidRPr="003237C5">
        <w:rPr>
          <w:u w:val="single"/>
        </w:rPr>
        <w:tab/>
        <w:t>INTRODUCTION</w:t>
      </w:r>
      <w:bookmarkEnd w:id="4"/>
      <w:bookmarkEnd w:id="5"/>
      <w:bookmarkEnd w:id="6"/>
    </w:p>
    <w:p w14:paraId="02A5C655" w14:textId="77777777" w:rsidR="00F56BC1" w:rsidRPr="003237C5" w:rsidRDefault="00F56BC1" w:rsidP="00F56BC1">
      <w:pPr>
        <w:rPr>
          <w:b/>
          <w:bCs/>
          <w:lang w:eastAsia="en-AU"/>
        </w:rPr>
      </w:pPr>
    </w:p>
    <w:p w14:paraId="11F4F6D5" w14:textId="77777777" w:rsidR="00F56BC1" w:rsidRPr="003237C5" w:rsidRDefault="00F56BC1" w:rsidP="00F56BC1">
      <w:pPr>
        <w:pStyle w:val="List1"/>
        <w:keepNext/>
      </w:pPr>
      <w:r w:rsidRPr="003237C5">
        <w:t>1.5</w:t>
      </w:r>
      <w:r w:rsidRPr="003237C5">
        <w:tab/>
        <w:t>INTERPRETATION</w:t>
      </w:r>
    </w:p>
    <w:p w14:paraId="7DAE00F9" w14:textId="77777777" w:rsidR="00F56BC1" w:rsidRPr="003237C5" w:rsidRDefault="00F56BC1" w:rsidP="00F56BC1">
      <w:pPr>
        <w:keepNext/>
        <w:rPr>
          <w:b/>
          <w:bCs/>
        </w:rPr>
      </w:pPr>
    </w:p>
    <w:p w14:paraId="1768481F" w14:textId="77777777" w:rsidR="00F56BC1" w:rsidRPr="003237C5" w:rsidRDefault="00F56BC1" w:rsidP="00F56BC1">
      <w:pPr>
        <w:keepNext/>
        <w:tabs>
          <w:tab w:val="left" w:pos="800"/>
        </w:tabs>
        <w:ind w:left="800" w:hanging="800"/>
        <w:rPr>
          <w:lang w:eastAsia="en-AU"/>
        </w:rPr>
      </w:pPr>
      <w:r w:rsidRPr="003237C5">
        <w:rPr>
          <w:lang w:eastAsia="en-AU"/>
        </w:rPr>
        <w:t>1.5.1</w:t>
      </w:r>
      <w:r w:rsidRPr="003237C5">
        <w:rPr>
          <w:lang w:eastAsia="en-AU"/>
        </w:rPr>
        <w:tab/>
        <w:t>Unless the contrary intention appears,</w:t>
      </w:r>
      <w:r w:rsidRPr="003237C5">
        <w:t xml:space="preserve"> the terms within these Guidelines have the same meaning as in the </w:t>
      </w:r>
      <w:r w:rsidRPr="003237C5">
        <w:rPr>
          <w:i/>
          <w:iCs/>
        </w:rPr>
        <w:t>Act</w:t>
      </w:r>
      <w:r w:rsidRPr="003237C5">
        <w:rPr>
          <w:lang w:eastAsia="en-AU"/>
        </w:rPr>
        <w:t>.</w:t>
      </w:r>
    </w:p>
    <w:p w14:paraId="16A383E3" w14:textId="77777777" w:rsidR="00F56BC1" w:rsidRPr="003237C5" w:rsidRDefault="00F56BC1" w:rsidP="00F56BC1">
      <w:pPr>
        <w:keepNext/>
        <w:tabs>
          <w:tab w:val="left" w:pos="800"/>
        </w:tabs>
        <w:ind w:left="800" w:hanging="800"/>
        <w:rPr>
          <w:lang w:eastAsia="en-AU"/>
        </w:rPr>
      </w:pPr>
    </w:p>
    <w:p w14:paraId="1A075EE7" w14:textId="77777777" w:rsidR="00F56BC1" w:rsidRPr="003237C5" w:rsidRDefault="00973B90" w:rsidP="00F56BC1">
      <w:pPr>
        <w:tabs>
          <w:tab w:val="left" w:pos="1000"/>
        </w:tabs>
        <w:ind w:left="800" w:hanging="800"/>
        <w:rPr>
          <w:lang w:eastAsia="en-AU"/>
        </w:rPr>
      </w:pPr>
      <w:r w:rsidRPr="003237C5">
        <w:rPr>
          <w:lang w:eastAsia="en-AU"/>
        </w:rPr>
        <w:t>1.5.5</w:t>
      </w:r>
      <w:r w:rsidR="00F56BC1" w:rsidRPr="003237C5">
        <w:rPr>
          <w:lang w:eastAsia="en-AU"/>
        </w:rPr>
        <w:tab/>
      </w:r>
      <w:r w:rsidR="00F56BC1" w:rsidRPr="003237C5">
        <w:t>Terms</w:t>
      </w:r>
      <w:r w:rsidR="00F56BC1" w:rsidRPr="003237C5">
        <w:rPr>
          <w:lang w:eastAsia="en-AU"/>
        </w:rPr>
        <w:t xml:space="preserve"> in these Guidelines that are in </w:t>
      </w:r>
      <w:r w:rsidR="00F56BC1" w:rsidRPr="003237C5">
        <w:rPr>
          <w:i/>
          <w:iCs/>
          <w:lang w:eastAsia="en-AU"/>
        </w:rPr>
        <w:t xml:space="preserve">italics </w:t>
      </w:r>
      <w:r w:rsidR="00F56BC1" w:rsidRPr="003237C5">
        <w:rPr>
          <w:lang w:eastAsia="en-AU"/>
        </w:rPr>
        <w:t xml:space="preserve">have the meanings given in </w:t>
      </w:r>
      <w:r w:rsidR="00C104FD" w:rsidRPr="003237C5">
        <w:t>paragraph 1.5.10</w:t>
      </w:r>
      <w:r w:rsidR="00F56BC1" w:rsidRPr="003237C5">
        <w:rPr>
          <w:lang w:eastAsia="en-AU"/>
        </w:rPr>
        <w:t xml:space="preserve"> of these Guidelines.</w:t>
      </w:r>
    </w:p>
    <w:p w14:paraId="27D089AE" w14:textId="77777777" w:rsidR="00F56BC1" w:rsidRPr="003237C5" w:rsidRDefault="00F56BC1" w:rsidP="00F56BC1">
      <w:pPr>
        <w:tabs>
          <w:tab w:val="left" w:pos="1000"/>
        </w:tabs>
        <w:ind w:left="800" w:hanging="800"/>
        <w:rPr>
          <w:lang w:eastAsia="en-AU"/>
        </w:rPr>
      </w:pPr>
    </w:p>
    <w:p w14:paraId="063E8FD0" w14:textId="77777777" w:rsidR="00F56BC1" w:rsidRPr="003237C5" w:rsidRDefault="00973B90" w:rsidP="00F56BC1">
      <w:pPr>
        <w:keepNext/>
        <w:tabs>
          <w:tab w:val="left" w:pos="1000"/>
        </w:tabs>
        <w:ind w:left="800" w:hanging="800"/>
        <w:rPr>
          <w:lang w:eastAsia="en-AU"/>
        </w:rPr>
      </w:pPr>
      <w:r w:rsidRPr="003237C5">
        <w:t>1.5.10</w:t>
      </w:r>
      <w:r w:rsidR="00F56BC1" w:rsidRPr="003237C5">
        <w:tab/>
        <w:t>In these Guidelines, unless the contrary intention appears:</w:t>
      </w:r>
    </w:p>
    <w:p w14:paraId="291FC980" w14:textId="77777777" w:rsidR="00F56BC1" w:rsidRPr="003237C5" w:rsidRDefault="00F56BC1" w:rsidP="00F56BC1">
      <w:pPr>
        <w:tabs>
          <w:tab w:val="left" w:pos="1000"/>
        </w:tabs>
        <w:ind w:left="800" w:hanging="800"/>
        <w:rPr>
          <w:lang w:eastAsia="en-AU"/>
        </w:rPr>
      </w:pPr>
    </w:p>
    <w:p w14:paraId="4381EA0C" w14:textId="77777777" w:rsidR="00F56BC1" w:rsidRPr="003237C5" w:rsidRDefault="00F56BC1" w:rsidP="00F56BC1">
      <w:pPr>
        <w:tabs>
          <w:tab w:val="left" w:pos="1000"/>
        </w:tabs>
        <w:ind w:left="800" w:hanging="800"/>
        <w:rPr>
          <w:lang w:eastAsia="en-AU"/>
        </w:rPr>
      </w:pPr>
      <w:r w:rsidRPr="003237C5">
        <w:rPr>
          <w:b/>
          <w:bCs/>
          <w:i/>
          <w:iCs/>
          <w:lang w:eastAsia="en-AU"/>
        </w:rPr>
        <w:tab/>
        <w:t xml:space="preserve">academic matters </w:t>
      </w:r>
      <w:proofErr w:type="gramStart"/>
      <w:r w:rsidRPr="003237C5">
        <w:rPr>
          <w:lang w:eastAsia="en-AU"/>
        </w:rPr>
        <w:t>includes</w:t>
      </w:r>
      <w:proofErr w:type="gramEnd"/>
      <w:r w:rsidRPr="003237C5">
        <w:rPr>
          <w:lang w:eastAsia="en-AU"/>
        </w:rPr>
        <w:t xml:space="preserve"> those matters which relate to student progress, assessment, curriculum and awards in a course of study.</w:t>
      </w:r>
    </w:p>
    <w:p w14:paraId="69FCB130" w14:textId="77777777" w:rsidR="00F56BC1" w:rsidRPr="003237C5" w:rsidRDefault="00F56BC1" w:rsidP="00F56BC1">
      <w:pPr>
        <w:tabs>
          <w:tab w:val="left" w:pos="1000"/>
        </w:tabs>
        <w:ind w:left="800" w:hanging="800"/>
        <w:rPr>
          <w:b/>
          <w:bCs/>
          <w:i/>
          <w:iCs/>
        </w:rPr>
      </w:pPr>
    </w:p>
    <w:p w14:paraId="1E266EAF" w14:textId="77777777" w:rsidR="00C104FD" w:rsidRPr="003237C5" w:rsidRDefault="00C104FD" w:rsidP="00AE4D81">
      <w:pPr>
        <w:tabs>
          <w:tab w:val="left" w:pos="1000"/>
        </w:tabs>
        <w:ind w:left="800" w:hanging="800"/>
      </w:pPr>
      <w:r w:rsidRPr="003237C5">
        <w:rPr>
          <w:b/>
          <w:i/>
        </w:rPr>
        <w:tab/>
        <w:t>accounting standards</w:t>
      </w:r>
      <w:r w:rsidRPr="003237C5">
        <w:t xml:space="preserve"> has the same meaning as in the </w:t>
      </w:r>
      <w:r w:rsidRPr="003237C5">
        <w:rPr>
          <w:i/>
        </w:rPr>
        <w:t>Corporations Act 2001</w:t>
      </w:r>
      <w:r w:rsidRPr="003237C5">
        <w:t>.</w:t>
      </w:r>
    </w:p>
    <w:p w14:paraId="4370E6CC" w14:textId="77777777" w:rsidR="00C104FD" w:rsidRPr="003237C5" w:rsidRDefault="00C104FD" w:rsidP="00C104FD">
      <w:pPr>
        <w:rPr>
          <w:b/>
          <w:bCs/>
          <w:i/>
          <w:iCs/>
        </w:rPr>
      </w:pPr>
    </w:p>
    <w:p w14:paraId="5D52F4ED" w14:textId="77777777" w:rsidR="00F56BC1" w:rsidRPr="003237C5" w:rsidRDefault="00F56BC1" w:rsidP="00F56BC1">
      <w:pPr>
        <w:ind w:left="233" w:firstLine="567"/>
        <w:rPr>
          <w:i/>
          <w:iCs/>
        </w:rPr>
      </w:pPr>
      <w:r w:rsidRPr="003237C5">
        <w:rPr>
          <w:b/>
          <w:bCs/>
          <w:i/>
          <w:iCs/>
        </w:rPr>
        <w:t xml:space="preserve">Act </w:t>
      </w:r>
      <w:r w:rsidRPr="003237C5">
        <w:t>means the</w:t>
      </w:r>
      <w:r w:rsidRPr="003237C5">
        <w:rPr>
          <w:i/>
          <w:iCs/>
        </w:rPr>
        <w:t xml:space="preserve"> Higher Education Support Act 2003.</w:t>
      </w:r>
    </w:p>
    <w:p w14:paraId="528B199D" w14:textId="77777777" w:rsidR="00F56BC1" w:rsidRPr="003237C5" w:rsidRDefault="00F56BC1" w:rsidP="00F56BC1">
      <w:pPr>
        <w:rPr>
          <w:b/>
          <w:bCs/>
          <w:i/>
          <w:iCs/>
        </w:rPr>
      </w:pPr>
    </w:p>
    <w:p w14:paraId="776AC55C" w14:textId="77777777" w:rsidR="00F56BC1" w:rsidRPr="003237C5" w:rsidRDefault="00F56BC1" w:rsidP="00F56BC1">
      <w:pPr>
        <w:ind w:left="800"/>
        <w:rPr>
          <w:iCs/>
        </w:rPr>
      </w:pPr>
      <w:r w:rsidRPr="003237C5">
        <w:rPr>
          <w:b/>
          <w:bCs/>
          <w:i/>
          <w:iCs/>
        </w:rPr>
        <w:t>Budget and Other Measures Act</w:t>
      </w:r>
      <w:r w:rsidRPr="003237C5">
        <w:rPr>
          <w:i/>
          <w:iCs/>
        </w:rPr>
        <w:t xml:space="preserve"> </w:t>
      </w:r>
      <w:r w:rsidRPr="003237C5">
        <w:t>means</w:t>
      </w:r>
      <w:r w:rsidRPr="003237C5">
        <w:rPr>
          <w:i/>
          <w:iCs/>
        </w:rPr>
        <w:t xml:space="preserve"> </w:t>
      </w:r>
      <w:r w:rsidRPr="003237C5">
        <w:t>the</w:t>
      </w:r>
      <w:r w:rsidRPr="003237C5">
        <w:rPr>
          <w:i/>
          <w:iCs/>
        </w:rPr>
        <w:t xml:space="preserve"> Higher Education Legislation</w:t>
      </w:r>
      <w:r w:rsidR="002F4CA5" w:rsidRPr="003237C5">
        <w:rPr>
          <w:i/>
          <w:iCs/>
        </w:rPr>
        <w:t xml:space="preserve"> Amendment</w:t>
      </w:r>
      <w:r w:rsidRPr="003237C5">
        <w:rPr>
          <w:i/>
          <w:iCs/>
        </w:rPr>
        <w:t xml:space="preserve"> (2006 Budget and Other Measures) Act 2006</w:t>
      </w:r>
      <w:r w:rsidR="002F4CA5" w:rsidRPr="003237C5">
        <w:rPr>
          <w:i/>
          <w:iCs/>
        </w:rPr>
        <w:t>.</w:t>
      </w:r>
      <w:r w:rsidR="000E3CAB" w:rsidRPr="003237C5">
        <w:rPr>
          <w:iCs/>
        </w:rPr>
        <w:t xml:space="preserve"> </w:t>
      </w:r>
    </w:p>
    <w:p w14:paraId="56224C3D" w14:textId="77777777" w:rsidR="00F56BC1" w:rsidRPr="003237C5" w:rsidRDefault="00F56BC1" w:rsidP="00F56BC1">
      <w:pPr>
        <w:ind w:left="800"/>
        <w:rPr>
          <w:b/>
          <w:bCs/>
          <w:i/>
          <w:iCs/>
        </w:rPr>
      </w:pPr>
    </w:p>
    <w:p w14:paraId="7CD396B3" w14:textId="77777777" w:rsidR="00F56BC1" w:rsidRPr="003237C5" w:rsidRDefault="00F56BC1" w:rsidP="00F56BC1">
      <w:pPr>
        <w:tabs>
          <w:tab w:val="left" w:pos="1000"/>
        </w:tabs>
        <w:ind w:left="800"/>
      </w:pPr>
      <w:r w:rsidRPr="003237C5">
        <w:rPr>
          <w:b/>
          <w:bCs/>
          <w:i/>
          <w:iCs/>
        </w:rPr>
        <w:t>Business Day</w:t>
      </w:r>
      <w:r w:rsidRPr="003237C5">
        <w:t xml:space="preserve"> means, in relation to the doing of an action in a place, any day other than a Saturday, Sunday or public holiday in that place.</w:t>
      </w:r>
    </w:p>
    <w:p w14:paraId="5C49495C" w14:textId="77777777" w:rsidR="00F56BC1" w:rsidRPr="003237C5" w:rsidRDefault="00F56BC1" w:rsidP="00F56BC1">
      <w:pPr>
        <w:tabs>
          <w:tab w:val="left" w:pos="1000"/>
        </w:tabs>
        <w:ind w:left="800"/>
        <w:rPr>
          <w:b/>
          <w:bCs/>
          <w:i/>
          <w:iCs/>
        </w:rPr>
      </w:pPr>
    </w:p>
    <w:p w14:paraId="029043D7" w14:textId="77777777" w:rsidR="00011A7B" w:rsidRPr="003237C5" w:rsidRDefault="00EB5015" w:rsidP="00011A7B">
      <w:pPr>
        <w:tabs>
          <w:tab w:val="left" w:pos="1000"/>
        </w:tabs>
        <w:ind w:left="800"/>
        <w:rPr>
          <w:b/>
          <w:bCs/>
          <w:i/>
          <w:iCs/>
        </w:rPr>
      </w:pPr>
      <w:r w:rsidRPr="003237C5">
        <w:rPr>
          <w:b/>
          <w:bCs/>
          <w:iCs/>
        </w:rPr>
        <w:t>Department</w:t>
      </w:r>
      <w:r w:rsidRPr="003237C5">
        <w:rPr>
          <w:b/>
          <w:bCs/>
          <w:i/>
          <w:iCs/>
        </w:rPr>
        <w:t xml:space="preserve"> </w:t>
      </w:r>
      <w:r w:rsidRPr="003237C5">
        <w:rPr>
          <w:bCs/>
          <w:iCs/>
        </w:rPr>
        <w:t>means the department that administers these Guidelines.</w:t>
      </w:r>
    </w:p>
    <w:p w14:paraId="7387346B" w14:textId="77777777" w:rsidR="0012189A" w:rsidRPr="003237C5" w:rsidRDefault="0012189A" w:rsidP="00011A7B">
      <w:pPr>
        <w:tabs>
          <w:tab w:val="left" w:pos="1000"/>
        </w:tabs>
        <w:ind w:left="800"/>
      </w:pPr>
    </w:p>
    <w:p w14:paraId="24F2D83F" w14:textId="77777777" w:rsidR="00F56BC1" w:rsidRPr="003237C5" w:rsidRDefault="00F56BC1" w:rsidP="00F56BC1">
      <w:pPr>
        <w:tabs>
          <w:tab w:val="left" w:pos="1000"/>
        </w:tabs>
        <w:ind w:left="800"/>
      </w:pPr>
      <w:r w:rsidRPr="003237C5">
        <w:rPr>
          <w:b/>
          <w:bCs/>
          <w:i/>
          <w:iCs/>
        </w:rPr>
        <w:t xml:space="preserve">Guidelines </w:t>
      </w:r>
      <w:r w:rsidRPr="003237C5">
        <w:t>means these Higher Education Provider Guidelines</w:t>
      </w:r>
      <w:r w:rsidR="003C6C7D" w:rsidRPr="003237C5">
        <w:t xml:space="preserve"> 2012</w:t>
      </w:r>
      <w:r w:rsidRPr="003237C5">
        <w:t>.</w:t>
      </w:r>
    </w:p>
    <w:p w14:paraId="135EBE88" w14:textId="77777777" w:rsidR="00142D9A" w:rsidRPr="003237C5" w:rsidRDefault="00F56BC1" w:rsidP="00F56BC1">
      <w:pPr>
        <w:tabs>
          <w:tab w:val="left" w:pos="1000"/>
        </w:tabs>
        <w:ind w:left="800" w:hanging="800"/>
      </w:pPr>
      <w:r w:rsidRPr="003237C5">
        <w:tab/>
      </w:r>
    </w:p>
    <w:p w14:paraId="34C0327C" w14:textId="77777777" w:rsidR="00142D9A" w:rsidRPr="003237C5" w:rsidRDefault="004F59AB" w:rsidP="00364B5C">
      <w:pPr>
        <w:tabs>
          <w:tab w:val="left" w:pos="1000"/>
        </w:tabs>
        <w:ind w:left="800"/>
      </w:pPr>
      <w:r w:rsidRPr="003237C5">
        <w:rPr>
          <w:b/>
          <w:i/>
        </w:rPr>
        <w:t xml:space="preserve">General Manager </w:t>
      </w:r>
      <w:r w:rsidR="00142D9A" w:rsidRPr="003237C5">
        <w:t xml:space="preserve">means the person holding, </w:t>
      </w:r>
      <w:proofErr w:type="gramStart"/>
      <w:r w:rsidR="00142D9A" w:rsidRPr="003237C5">
        <w:t>occupying</w:t>
      </w:r>
      <w:proofErr w:type="gramEnd"/>
      <w:r w:rsidR="00142D9A" w:rsidRPr="003237C5">
        <w:t xml:space="preserve"> or performing the duties of </w:t>
      </w:r>
      <w:r w:rsidR="003C5D32" w:rsidRPr="003237C5">
        <w:t>the position</w:t>
      </w:r>
      <w:r w:rsidR="00142D9A" w:rsidRPr="003237C5">
        <w:t xml:space="preserve"> of </w:t>
      </w:r>
      <w:r w:rsidRPr="003237C5">
        <w:t>General Manager</w:t>
      </w:r>
      <w:r w:rsidR="00142D9A" w:rsidRPr="003237C5">
        <w:t xml:space="preserve"> or an equivalent position in the </w:t>
      </w:r>
      <w:r w:rsidR="00142D9A" w:rsidRPr="003237C5">
        <w:rPr>
          <w:i/>
        </w:rPr>
        <w:t>Department</w:t>
      </w:r>
      <w:r w:rsidR="00142D9A" w:rsidRPr="003237C5">
        <w:t xml:space="preserve"> responsible for the administration of </w:t>
      </w:r>
      <w:r w:rsidR="004A7901" w:rsidRPr="003237C5">
        <w:t xml:space="preserve">access to Commonwealth supported places, HECS-HELP and </w:t>
      </w:r>
      <w:r w:rsidR="00142D9A" w:rsidRPr="003237C5">
        <w:t>FEE</w:t>
      </w:r>
      <w:r w:rsidR="004A7901" w:rsidRPr="003237C5">
        <w:noBreakHyphen/>
      </w:r>
      <w:r w:rsidR="00142D9A" w:rsidRPr="003237C5">
        <w:t>HELP assistance.</w:t>
      </w:r>
    </w:p>
    <w:p w14:paraId="4C5D9909" w14:textId="77777777" w:rsidR="00142D9A" w:rsidRPr="003237C5" w:rsidRDefault="00142D9A" w:rsidP="00F56BC1">
      <w:pPr>
        <w:tabs>
          <w:tab w:val="left" w:pos="1000"/>
        </w:tabs>
        <w:ind w:left="800" w:hanging="800"/>
      </w:pPr>
    </w:p>
    <w:p w14:paraId="3DC4CDE1" w14:textId="77777777" w:rsidR="00F56BC1" w:rsidRPr="003237C5" w:rsidRDefault="00F56BC1" w:rsidP="00F56BC1">
      <w:pPr>
        <w:tabs>
          <w:tab w:val="left" w:pos="1000"/>
        </w:tabs>
        <w:ind w:left="800" w:hanging="800"/>
      </w:pPr>
      <w:r w:rsidRPr="003237C5">
        <w:rPr>
          <w:b/>
          <w:bCs/>
          <w:i/>
          <w:iCs/>
          <w:lang w:eastAsia="en-AU"/>
        </w:rPr>
        <w:tab/>
        <w:t xml:space="preserve">non-academic matters </w:t>
      </w:r>
      <w:proofErr w:type="gramStart"/>
      <w:r w:rsidRPr="003237C5">
        <w:rPr>
          <w:lang w:eastAsia="en-AU"/>
        </w:rPr>
        <w:t>includes</w:t>
      </w:r>
      <w:proofErr w:type="gramEnd"/>
      <w:r w:rsidRPr="003237C5">
        <w:rPr>
          <w:lang w:eastAsia="en-AU"/>
        </w:rPr>
        <w:t xml:space="preserve"> those matters which do not relate to student progress, assessment, curriculum and awards in a course of study</w:t>
      </w:r>
      <w:r w:rsidRPr="003237C5">
        <w:rPr>
          <w:i/>
          <w:iCs/>
          <w:lang w:eastAsia="en-AU"/>
        </w:rPr>
        <w:t xml:space="preserve"> </w:t>
      </w:r>
      <w:r w:rsidRPr="003237C5">
        <w:rPr>
          <w:lang w:eastAsia="en-AU"/>
        </w:rPr>
        <w:t xml:space="preserve">and includes complaints in relation to personal information that the provider holds in relation to the student, and about </w:t>
      </w:r>
      <w:r w:rsidRPr="003237C5">
        <w:t>the administration of the Commonwealth Scholarships Program.</w:t>
      </w:r>
    </w:p>
    <w:p w14:paraId="421B01E3" w14:textId="77777777" w:rsidR="00F56BC1" w:rsidRPr="003237C5" w:rsidRDefault="00F56BC1" w:rsidP="00F56BC1">
      <w:pPr>
        <w:tabs>
          <w:tab w:val="left" w:pos="1000"/>
        </w:tabs>
        <w:ind w:left="800" w:hanging="800"/>
      </w:pPr>
    </w:p>
    <w:p w14:paraId="21243071" w14:textId="77777777" w:rsidR="00154654" w:rsidRPr="003237C5" w:rsidRDefault="00142D9A" w:rsidP="00142D9A">
      <w:pPr>
        <w:tabs>
          <w:tab w:val="left" w:pos="1000"/>
        </w:tabs>
        <w:ind w:left="800"/>
        <w:rPr>
          <w:i/>
        </w:rPr>
      </w:pPr>
      <w:r w:rsidRPr="003237C5">
        <w:rPr>
          <w:b/>
          <w:bCs/>
          <w:i/>
          <w:iCs/>
        </w:rPr>
        <w:t>Registered</w:t>
      </w:r>
      <w:r w:rsidRPr="003237C5">
        <w:rPr>
          <w:i/>
        </w:rPr>
        <w:t xml:space="preserve"> </w:t>
      </w:r>
      <w:r w:rsidRPr="003237C5">
        <w:rPr>
          <w:b/>
          <w:i/>
        </w:rPr>
        <w:t>higher education provider</w:t>
      </w:r>
      <w:r w:rsidRPr="003237C5">
        <w:rPr>
          <w:i/>
        </w:rPr>
        <w:t xml:space="preserve"> </w:t>
      </w:r>
      <w:r w:rsidRPr="003237C5">
        <w:t xml:space="preserve">has the same meaning </w:t>
      </w:r>
      <w:r w:rsidR="00AD610C" w:rsidRPr="003237C5">
        <w:t>given by</w:t>
      </w:r>
      <w:r w:rsidRPr="003237C5">
        <w:t xml:space="preserve"> the </w:t>
      </w:r>
      <w:r w:rsidRPr="003237C5">
        <w:rPr>
          <w:i/>
        </w:rPr>
        <w:t>TEQSA Act</w:t>
      </w:r>
      <w:r w:rsidRPr="003237C5">
        <w:t>.</w:t>
      </w:r>
    </w:p>
    <w:p w14:paraId="046323C4" w14:textId="77777777" w:rsidR="00142D9A" w:rsidRPr="003237C5" w:rsidRDefault="00142D9A" w:rsidP="00F56BC1">
      <w:pPr>
        <w:tabs>
          <w:tab w:val="left" w:pos="1000"/>
        </w:tabs>
        <w:ind w:left="800" w:hanging="800"/>
      </w:pPr>
    </w:p>
    <w:p w14:paraId="6A5FB8F8" w14:textId="77777777" w:rsidR="00F56BC1" w:rsidRPr="003237C5" w:rsidRDefault="00F56BC1" w:rsidP="00F56BC1">
      <w:pPr>
        <w:tabs>
          <w:tab w:val="left" w:pos="1000"/>
        </w:tabs>
        <w:ind w:left="800"/>
        <w:rPr>
          <w:i/>
          <w:iCs/>
        </w:rPr>
      </w:pPr>
      <w:r w:rsidRPr="003237C5">
        <w:rPr>
          <w:b/>
          <w:bCs/>
          <w:i/>
          <w:iCs/>
        </w:rPr>
        <w:t>saved determination</w:t>
      </w:r>
      <w:r w:rsidRPr="003237C5">
        <w:rPr>
          <w:i/>
          <w:iCs/>
        </w:rPr>
        <w:t xml:space="preserve"> </w:t>
      </w:r>
      <w:r w:rsidRPr="003237C5">
        <w:t>has the meaning given to it under item 13(1) or item 14(1), as the context requires, of Schedule 3 of the</w:t>
      </w:r>
      <w:r w:rsidRPr="003237C5">
        <w:rPr>
          <w:i/>
          <w:iCs/>
        </w:rPr>
        <w:t xml:space="preserve"> Budget and Other Measures Act.</w:t>
      </w:r>
    </w:p>
    <w:p w14:paraId="7547E6B8" w14:textId="77777777" w:rsidR="00F56BC1" w:rsidRPr="003237C5" w:rsidRDefault="00F56BC1" w:rsidP="00F56BC1">
      <w:pPr>
        <w:tabs>
          <w:tab w:val="left" w:pos="1000"/>
        </w:tabs>
        <w:ind w:left="800"/>
        <w:rPr>
          <w:b/>
          <w:bCs/>
          <w:i/>
          <w:iCs/>
        </w:rPr>
      </w:pPr>
    </w:p>
    <w:p w14:paraId="626B1EDF" w14:textId="77777777" w:rsidR="00F56BC1" w:rsidRPr="003237C5" w:rsidRDefault="00F56BC1" w:rsidP="00F56BC1">
      <w:pPr>
        <w:keepNext/>
        <w:tabs>
          <w:tab w:val="left" w:pos="800"/>
        </w:tabs>
        <w:ind w:left="800"/>
        <w:rPr>
          <w:i/>
          <w:iCs/>
        </w:rPr>
      </w:pPr>
      <w:r w:rsidRPr="003237C5">
        <w:rPr>
          <w:b/>
          <w:bCs/>
          <w:i/>
          <w:iCs/>
          <w:lang w:eastAsia="en-AU"/>
        </w:rPr>
        <w:t>student cohort</w:t>
      </w:r>
      <w:r w:rsidRPr="003237C5">
        <w:rPr>
          <w:i/>
          <w:iCs/>
          <w:lang w:eastAsia="en-AU"/>
        </w:rPr>
        <w:t xml:space="preserve"> </w:t>
      </w:r>
      <w:r w:rsidRPr="003237C5">
        <w:rPr>
          <w:lang w:eastAsia="en-AU"/>
        </w:rPr>
        <w:t>has the meaning given to it under the</w:t>
      </w:r>
      <w:r w:rsidRPr="003237C5">
        <w:rPr>
          <w:i/>
          <w:iCs/>
          <w:lang w:eastAsia="en-AU"/>
        </w:rPr>
        <w:t xml:space="preserve"> </w:t>
      </w:r>
      <w:r w:rsidRPr="003237C5">
        <w:rPr>
          <w:i/>
          <w:iCs/>
        </w:rPr>
        <w:t xml:space="preserve">Act </w:t>
      </w:r>
      <w:r w:rsidRPr="003237C5">
        <w:t>before the definition was repealed under item 10 of the</w:t>
      </w:r>
      <w:r w:rsidRPr="003237C5">
        <w:rPr>
          <w:i/>
          <w:iCs/>
        </w:rPr>
        <w:t xml:space="preserve"> Budget and Other Measures Act.</w:t>
      </w:r>
    </w:p>
    <w:p w14:paraId="428C3EEF" w14:textId="77777777" w:rsidR="00F56BC1" w:rsidRPr="003237C5" w:rsidRDefault="00F56BC1" w:rsidP="00F56BC1">
      <w:pPr>
        <w:tabs>
          <w:tab w:val="left" w:pos="1000"/>
        </w:tabs>
        <w:ind w:left="800"/>
      </w:pPr>
    </w:p>
    <w:p w14:paraId="19571C36" w14:textId="77777777" w:rsidR="00C52216" w:rsidRPr="003237C5" w:rsidRDefault="00C52216" w:rsidP="00C52216">
      <w:pPr>
        <w:tabs>
          <w:tab w:val="left" w:pos="1000"/>
        </w:tabs>
        <w:ind w:left="800"/>
      </w:pPr>
      <w:r w:rsidRPr="003237C5">
        <w:rPr>
          <w:b/>
          <w:i/>
        </w:rPr>
        <w:t>TEQSA Act</w:t>
      </w:r>
      <w:r w:rsidRPr="003237C5">
        <w:t xml:space="preserve"> means the </w:t>
      </w:r>
      <w:r w:rsidRPr="003237C5">
        <w:rPr>
          <w:i/>
        </w:rPr>
        <w:t>Tertiary Education Quality and Standards Agency Act 2011</w:t>
      </w:r>
      <w:r w:rsidRPr="003237C5">
        <w:t>.</w:t>
      </w:r>
    </w:p>
    <w:p w14:paraId="3DE1FEBC" w14:textId="77777777" w:rsidR="00C52216" w:rsidRPr="003237C5" w:rsidRDefault="00C52216" w:rsidP="00F56BC1">
      <w:pPr>
        <w:tabs>
          <w:tab w:val="left" w:pos="1000"/>
        </w:tabs>
        <w:ind w:left="800"/>
        <w:rPr>
          <w:lang w:eastAsia="en-AU"/>
        </w:rPr>
      </w:pPr>
    </w:p>
    <w:p w14:paraId="21F65834" w14:textId="77777777" w:rsidR="00F56BC1" w:rsidRPr="003237C5" w:rsidRDefault="00F56BC1" w:rsidP="00F56BC1">
      <w:pPr>
        <w:tabs>
          <w:tab w:val="left" w:pos="1000"/>
        </w:tabs>
        <w:ind w:left="800"/>
      </w:pPr>
      <w:r w:rsidRPr="003237C5">
        <w:rPr>
          <w:b/>
          <w:bCs/>
          <w:i/>
          <w:iCs/>
        </w:rPr>
        <w:t xml:space="preserve">victimise </w:t>
      </w:r>
      <w:r w:rsidRPr="003237C5">
        <w:t>means to act or omit to act towards a person in a way which is intended to cause disadvantage to that person because they have made a complaint, or may make a complaint, or may be or are the subject of a complaint.</w:t>
      </w:r>
    </w:p>
    <w:p w14:paraId="02A27792" w14:textId="77777777" w:rsidR="00F56BC1" w:rsidRPr="003237C5" w:rsidRDefault="00F56BC1" w:rsidP="00F56BC1">
      <w:pPr>
        <w:rPr>
          <w:lang w:eastAsia="en-AU"/>
        </w:rPr>
      </w:pPr>
    </w:p>
    <w:p w14:paraId="2DD1C3C1" w14:textId="77777777" w:rsidR="00FC3A56" w:rsidRPr="003237C5" w:rsidRDefault="00F56BC1" w:rsidP="00FC3A56">
      <w:pPr>
        <w:rPr>
          <w:b/>
          <w:sz w:val="24"/>
          <w:szCs w:val="24"/>
          <w:u w:val="single"/>
        </w:rPr>
      </w:pPr>
      <w:r w:rsidRPr="003237C5">
        <w:rPr>
          <w:b/>
          <w:bCs/>
          <w:u w:val="single"/>
        </w:rPr>
        <w:br w:type="page"/>
      </w:r>
      <w:bookmarkStart w:id="7" w:name="_Toc330982473"/>
      <w:bookmarkStart w:id="8" w:name="_Toc122231820"/>
      <w:bookmarkStart w:id="9" w:name="_Toc152752058"/>
    </w:p>
    <w:p w14:paraId="634F80EE" w14:textId="77777777" w:rsidR="00FC3A56" w:rsidRPr="003237C5" w:rsidRDefault="00FC3A56" w:rsidP="00903D90">
      <w:pPr>
        <w:pStyle w:val="Heading1"/>
        <w:rPr>
          <w:b w:val="0"/>
          <w:u w:val="single"/>
        </w:rPr>
      </w:pPr>
      <w:bookmarkStart w:id="10" w:name="_Toc93391323"/>
      <w:r w:rsidRPr="003237C5">
        <w:rPr>
          <w:u w:val="single"/>
        </w:rPr>
        <w:t>CHAPTER 2</w:t>
      </w:r>
      <w:r w:rsidRPr="003237C5">
        <w:rPr>
          <w:u w:val="single"/>
        </w:rPr>
        <w:tab/>
        <w:t>THE TUITION PROTECTION REQUIREMENTS</w:t>
      </w:r>
      <w:bookmarkEnd w:id="7"/>
      <w:bookmarkEnd w:id="10"/>
      <w:r w:rsidRPr="003237C5">
        <w:rPr>
          <w:u w:val="single"/>
        </w:rPr>
        <w:t xml:space="preserve"> </w:t>
      </w:r>
    </w:p>
    <w:p w14:paraId="7C1215AE" w14:textId="77777777" w:rsidR="00FC3A56" w:rsidRPr="003237C5" w:rsidRDefault="00FC3A56" w:rsidP="00FC3A56"/>
    <w:p w14:paraId="5CD6B1A4" w14:textId="1023CA47" w:rsidR="00FC3A56" w:rsidRPr="003237C5" w:rsidRDefault="00FC3A56" w:rsidP="00FC3A56">
      <w:pPr>
        <w:tabs>
          <w:tab w:val="left" w:pos="1000"/>
        </w:tabs>
        <w:ind w:left="800" w:hanging="800"/>
      </w:pPr>
      <w:proofErr w:type="gramStart"/>
      <w:r w:rsidRPr="003237C5">
        <w:rPr>
          <w:b/>
          <w:bCs/>
        </w:rPr>
        <w:t xml:space="preserve">2.1 </w:t>
      </w:r>
      <w:r w:rsidR="003B71AA" w:rsidRPr="003237C5">
        <w:rPr>
          <w:b/>
          <w:bCs/>
        </w:rPr>
        <w:t xml:space="preserve"> </w:t>
      </w:r>
      <w:r w:rsidR="0097299B" w:rsidRPr="003237C5">
        <w:rPr>
          <w:b/>
          <w:bCs/>
        </w:rPr>
        <w:t>Purpose</w:t>
      </w:r>
      <w:proofErr w:type="gramEnd"/>
      <w:r w:rsidR="0097299B" w:rsidRPr="003237C5">
        <w:rPr>
          <w:b/>
          <w:bCs/>
        </w:rPr>
        <w:t xml:space="preserve"> and application</w:t>
      </w:r>
    </w:p>
    <w:p w14:paraId="3369BD1E" w14:textId="77777777" w:rsidR="00FC3A56" w:rsidRPr="003237C5" w:rsidRDefault="00FC3A56" w:rsidP="00FC3A56">
      <w:pPr>
        <w:ind w:left="800" w:hanging="800"/>
      </w:pPr>
    </w:p>
    <w:p w14:paraId="005E9D4D" w14:textId="77777777" w:rsidR="0097299B" w:rsidRPr="003237C5" w:rsidRDefault="00FC3A56" w:rsidP="0097299B">
      <w:pPr>
        <w:ind w:left="800" w:hanging="800"/>
        <w:rPr>
          <w:rFonts w:cs="Times New Roman"/>
        </w:rPr>
      </w:pPr>
      <w:r w:rsidRPr="003237C5">
        <w:t>2.1.1</w:t>
      </w:r>
      <w:r w:rsidRPr="003237C5">
        <w:tab/>
      </w:r>
      <w:r w:rsidR="0097299B" w:rsidRPr="003237C5">
        <w:rPr>
          <w:rFonts w:cs="Times New Roman"/>
        </w:rPr>
        <w:t xml:space="preserve">The purpose of this chapter is to set out the tuition protection requirements for the purposes of section 16-30 of the </w:t>
      </w:r>
      <w:r w:rsidR="0097299B" w:rsidRPr="003237C5">
        <w:rPr>
          <w:rFonts w:cs="Times New Roman"/>
          <w:i/>
          <w:iCs/>
        </w:rPr>
        <w:t>Act</w:t>
      </w:r>
      <w:r w:rsidR="0097299B" w:rsidRPr="003237C5">
        <w:rPr>
          <w:rFonts w:cs="Times New Roman"/>
        </w:rPr>
        <w:t>. The tuition protection requirements are the requirements set out in Part 5-1A of the</w:t>
      </w:r>
      <w:r w:rsidR="0097299B" w:rsidRPr="003237C5">
        <w:rPr>
          <w:rFonts w:cs="Times New Roman"/>
          <w:i/>
        </w:rPr>
        <w:t xml:space="preserve"> Act </w:t>
      </w:r>
      <w:r w:rsidR="0097299B" w:rsidRPr="003237C5">
        <w:rPr>
          <w:rFonts w:cs="Times New Roman"/>
          <w:iCs/>
        </w:rPr>
        <w:t>and</w:t>
      </w:r>
      <w:r w:rsidR="0097299B" w:rsidRPr="003237C5">
        <w:rPr>
          <w:rFonts w:cs="Times New Roman"/>
        </w:rPr>
        <w:t xml:space="preserve"> these </w:t>
      </w:r>
      <w:r w:rsidR="0097299B" w:rsidRPr="003237C5">
        <w:rPr>
          <w:rFonts w:cs="Times New Roman"/>
          <w:i/>
        </w:rPr>
        <w:t>Guidelines</w:t>
      </w:r>
      <w:r w:rsidR="0097299B" w:rsidRPr="003237C5">
        <w:rPr>
          <w:rFonts w:cs="Times New Roman"/>
        </w:rPr>
        <w:t>.</w:t>
      </w:r>
    </w:p>
    <w:p w14:paraId="48C5324B" w14:textId="77777777" w:rsidR="0097299B" w:rsidRPr="003237C5" w:rsidRDefault="0097299B" w:rsidP="0097299B">
      <w:pPr>
        <w:ind w:left="800" w:hanging="800"/>
        <w:rPr>
          <w:rFonts w:cs="Times New Roman"/>
        </w:rPr>
      </w:pPr>
      <w:r w:rsidRPr="003237C5">
        <w:rPr>
          <w:rFonts w:cs="Times New Roman"/>
        </w:rPr>
        <w:tab/>
      </w:r>
    </w:p>
    <w:p w14:paraId="7A88E7E2" w14:textId="2A24B550" w:rsidR="00FC3A56" w:rsidRPr="003237C5" w:rsidRDefault="0097299B" w:rsidP="00EA50A5">
      <w:pPr>
        <w:ind w:left="800" w:hanging="800"/>
        <w:rPr>
          <w:rFonts w:cs="Times New Roman"/>
          <w:sz w:val="20"/>
        </w:rPr>
      </w:pPr>
      <w:r w:rsidRPr="003237C5">
        <w:rPr>
          <w:rFonts w:cs="Times New Roman"/>
        </w:rPr>
        <w:tab/>
      </w:r>
      <w:r w:rsidRPr="003237C5">
        <w:rPr>
          <w:rFonts w:cs="Times New Roman"/>
          <w:sz w:val="20"/>
        </w:rPr>
        <w:t xml:space="preserve">Note: The Minister must be satisfied that a body will meet the tuition protection requirements (if applicable) </w:t>
      </w:r>
      <w:proofErr w:type="gramStart"/>
      <w:r w:rsidRPr="003237C5">
        <w:rPr>
          <w:rFonts w:cs="Times New Roman"/>
          <w:sz w:val="20"/>
        </w:rPr>
        <w:t>in order to</w:t>
      </w:r>
      <w:proofErr w:type="gramEnd"/>
      <w:r w:rsidRPr="003237C5">
        <w:rPr>
          <w:rFonts w:cs="Times New Roman"/>
          <w:sz w:val="20"/>
        </w:rPr>
        <w:t xml:space="preserve"> be approved as a higher education provider under paragraph 16-25(1)(c) of the </w:t>
      </w:r>
      <w:r w:rsidRPr="003237C5">
        <w:rPr>
          <w:rFonts w:cs="Times New Roman"/>
          <w:i/>
          <w:iCs/>
          <w:sz w:val="20"/>
        </w:rPr>
        <w:t>Act</w:t>
      </w:r>
      <w:r w:rsidRPr="003237C5">
        <w:rPr>
          <w:rFonts w:cs="Times New Roman"/>
          <w:sz w:val="20"/>
        </w:rPr>
        <w:t xml:space="preserve">. </w:t>
      </w:r>
    </w:p>
    <w:p w14:paraId="7134CDF2" w14:textId="77777777" w:rsidR="00FC3A56" w:rsidRPr="003237C5" w:rsidRDefault="00FC3A56" w:rsidP="00FC3A56">
      <w:pPr>
        <w:ind w:left="800" w:hanging="800"/>
      </w:pPr>
    </w:p>
    <w:p w14:paraId="4A97BC92" w14:textId="77777777" w:rsidR="0097299B" w:rsidRPr="003237C5" w:rsidRDefault="00FC3A56" w:rsidP="0097299B">
      <w:pPr>
        <w:ind w:left="800" w:hanging="800"/>
        <w:rPr>
          <w:rFonts w:cs="Times New Roman"/>
        </w:rPr>
      </w:pPr>
      <w:r w:rsidRPr="003237C5">
        <w:t>2.1.5</w:t>
      </w:r>
      <w:r w:rsidRPr="003237C5">
        <w:tab/>
      </w:r>
      <w:r w:rsidR="0097299B" w:rsidRPr="003237C5">
        <w:rPr>
          <w:rFonts w:cs="Times New Roman"/>
        </w:rPr>
        <w:t xml:space="preserve">For the purposes of paragraph 166-5(1)(b) of the </w:t>
      </w:r>
      <w:r w:rsidR="0097299B" w:rsidRPr="003237C5">
        <w:rPr>
          <w:rFonts w:cs="Times New Roman"/>
          <w:i/>
          <w:iCs/>
        </w:rPr>
        <w:t xml:space="preserve">Act, </w:t>
      </w:r>
      <w:r w:rsidR="0097299B" w:rsidRPr="003237C5">
        <w:rPr>
          <w:rFonts w:cs="Times New Roman"/>
        </w:rPr>
        <w:t xml:space="preserve">Part 5-1A of the </w:t>
      </w:r>
      <w:r w:rsidR="0097299B" w:rsidRPr="003237C5">
        <w:rPr>
          <w:rFonts w:cs="Times New Roman"/>
          <w:i/>
          <w:iCs/>
        </w:rPr>
        <w:t xml:space="preserve">Act </w:t>
      </w:r>
      <w:r w:rsidR="0097299B" w:rsidRPr="003237C5">
        <w:rPr>
          <w:rFonts w:cs="Times New Roman"/>
        </w:rPr>
        <w:t>does not apply to a provider if the provider is:</w:t>
      </w:r>
    </w:p>
    <w:p w14:paraId="3A29F8CB" w14:textId="77777777" w:rsidR="0097299B" w:rsidRPr="003237C5" w:rsidRDefault="0097299B" w:rsidP="0097299B">
      <w:pPr>
        <w:ind w:left="800" w:hanging="800"/>
        <w:rPr>
          <w:rFonts w:cs="Times New Roman"/>
        </w:rPr>
      </w:pPr>
    </w:p>
    <w:p w14:paraId="773A4FB8" w14:textId="77777777" w:rsidR="0097299B" w:rsidRPr="003237C5" w:rsidRDefault="0097299B" w:rsidP="0097299B">
      <w:pPr>
        <w:numPr>
          <w:ilvl w:val="0"/>
          <w:numId w:val="4"/>
        </w:numPr>
        <w:spacing w:after="120"/>
        <w:rPr>
          <w:rFonts w:cs="Times New Roman"/>
        </w:rPr>
      </w:pPr>
      <w:r w:rsidRPr="003237C5">
        <w:rPr>
          <w:rFonts w:cs="Times New Roman"/>
        </w:rPr>
        <w:t xml:space="preserve">owned by the Commonwealth, a </w:t>
      </w:r>
      <w:proofErr w:type="gramStart"/>
      <w:r w:rsidRPr="003237C5">
        <w:rPr>
          <w:rFonts w:cs="Times New Roman"/>
        </w:rPr>
        <w:t>State</w:t>
      </w:r>
      <w:proofErr w:type="gramEnd"/>
      <w:r w:rsidRPr="003237C5">
        <w:rPr>
          <w:rFonts w:cs="Times New Roman"/>
        </w:rPr>
        <w:t xml:space="preserve"> or a Territory; or </w:t>
      </w:r>
    </w:p>
    <w:p w14:paraId="13114D18" w14:textId="77777777" w:rsidR="0097299B" w:rsidRPr="003237C5" w:rsidRDefault="0097299B" w:rsidP="0097299B">
      <w:pPr>
        <w:numPr>
          <w:ilvl w:val="0"/>
          <w:numId w:val="4"/>
        </w:numPr>
        <w:spacing w:after="120"/>
        <w:rPr>
          <w:rFonts w:cs="Times New Roman"/>
        </w:rPr>
      </w:pPr>
      <w:r w:rsidRPr="003237C5">
        <w:rPr>
          <w:rFonts w:cs="Times New Roman"/>
        </w:rPr>
        <w:t>established under one of the following:</w:t>
      </w:r>
    </w:p>
    <w:p w14:paraId="19C73FF4" w14:textId="77777777" w:rsidR="0097299B" w:rsidRPr="003237C5" w:rsidRDefault="0097299B" w:rsidP="0097299B">
      <w:pPr>
        <w:pStyle w:val="ListParagraph"/>
        <w:keepLines/>
        <w:ind w:left="1155"/>
        <w:rPr>
          <w:szCs w:val="22"/>
        </w:rPr>
      </w:pPr>
      <w:r w:rsidRPr="003237C5">
        <w:rPr>
          <w:szCs w:val="22"/>
        </w:rPr>
        <w:t>(</w:t>
      </w:r>
      <w:proofErr w:type="spellStart"/>
      <w:r w:rsidRPr="003237C5">
        <w:rPr>
          <w:szCs w:val="22"/>
        </w:rPr>
        <w:t>i</w:t>
      </w:r>
      <w:proofErr w:type="spellEnd"/>
      <w:r w:rsidRPr="003237C5">
        <w:rPr>
          <w:szCs w:val="22"/>
        </w:rPr>
        <w:t xml:space="preserve">) the </w:t>
      </w:r>
      <w:r w:rsidRPr="003237C5">
        <w:rPr>
          <w:i/>
          <w:iCs/>
          <w:szCs w:val="22"/>
        </w:rPr>
        <w:t xml:space="preserve">Technical and Further Education Commission Act 1990 </w:t>
      </w:r>
      <w:r w:rsidRPr="003237C5">
        <w:rPr>
          <w:szCs w:val="22"/>
        </w:rPr>
        <w:t>(NSW</w:t>
      </w:r>
      <w:proofErr w:type="gramStart"/>
      <w:r w:rsidRPr="003237C5">
        <w:rPr>
          <w:szCs w:val="22"/>
        </w:rPr>
        <w:t>);</w:t>
      </w:r>
      <w:proofErr w:type="gramEnd"/>
    </w:p>
    <w:p w14:paraId="0BED29E4" w14:textId="77777777" w:rsidR="0097299B" w:rsidRPr="003237C5" w:rsidRDefault="0097299B" w:rsidP="0097299B">
      <w:pPr>
        <w:pStyle w:val="ListParagraph"/>
        <w:keepLines/>
        <w:ind w:left="1155"/>
        <w:rPr>
          <w:szCs w:val="22"/>
        </w:rPr>
      </w:pPr>
      <w:r w:rsidRPr="003237C5">
        <w:rPr>
          <w:szCs w:val="22"/>
        </w:rPr>
        <w:t xml:space="preserve">(ii) the </w:t>
      </w:r>
      <w:r w:rsidRPr="003237C5">
        <w:rPr>
          <w:i/>
          <w:iCs/>
          <w:szCs w:val="22"/>
        </w:rPr>
        <w:t xml:space="preserve">Education and Training Reform Act 2006 </w:t>
      </w:r>
      <w:r w:rsidRPr="003237C5">
        <w:rPr>
          <w:szCs w:val="22"/>
        </w:rPr>
        <w:t>(Vic.</w:t>
      </w:r>
      <w:proofErr w:type="gramStart"/>
      <w:r w:rsidRPr="003237C5">
        <w:rPr>
          <w:szCs w:val="22"/>
        </w:rPr>
        <w:t>);</w:t>
      </w:r>
      <w:proofErr w:type="gramEnd"/>
    </w:p>
    <w:p w14:paraId="246CD6CA" w14:textId="77777777" w:rsidR="0097299B" w:rsidRPr="003237C5" w:rsidRDefault="0097299B" w:rsidP="0097299B">
      <w:pPr>
        <w:pStyle w:val="ListParagraph"/>
        <w:keepLines/>
        <w:ind w:left="1155"/>
        <w:rPr>
          <w:szCs w:val="22"/>
        </w:rPr>
      </w:pPr>
      <w:r w:rsidRPr="003237C5">
        <w:rPr>
          <w:szCs w:val="22"/>
        </w:rPr>
        <w:t xml:space="preserve">(iii) the </w:t>
      </w:r>
      <w:r w:rsidRPr="003237C5">
        <w:rPr>
          <w:i/>
          <w:iCs/>
          <w:szCs w:val="22"/>
        </w:rPr>
        <w:t xml:space="preserve">TAFE Queensland Act 2013 </w:t>
      </w:r>
      <w:r w:rsidRPr="003237C5">
        <w:rPr>
          <w:szCs w:val="22"/>
        </w:rPr>
        <w:t>(Qld</w:t>
      </w:r>
      <w:proofErr w:type="gramStart"/>
      <w:r w:rsidRPr="003237C5">
        <w:rPr>
          <w:szCs w:val="22"/>
        </w:rPr>
        <w:t>);</w:t>
      </w:r>
      <w:proofErr w:type="gramEnd"/>
      <w:r w:rsidRPr="003237C5">
        <w:rPr>
          <w:szCs w:val="22"/>
        </w:rPr>
        <w:t xml:space="preserve"> </w:t>
      </w:r>
    </w:p>
    <w:p w14:paraId="7E78B761" w14:textId="77777777" w:rsidR="0097299B" w:rsidRPr="003237C5" w:rsidRDefault="0097299B" w:rsidP="0097299B">
      <w:pPr>
        <w:pStyle w:val="ListParagraph"/>
        <w:keepLines/>
        <w:ind w:left="1155"/>
        <w:rPr>
          <w:szCs w:val="22"/>
        </w:rPr>
      </w:pPr>
      <w:r w:rsidRPr="003237C5">
        <w:rPr>
          <w:szCs w:val="22"/>
        </w:rPr>
        <w:t xml:space="preserve">(iv) the </w:t>
      </w:r>
      <w:r w:rsidRPr="003237C5">
        <w:rPr>
          <w:i/>
          <w:iCs/>
          <w:szCs w:val="22"/>
        </w:rPr>
        <w:t xml:space="preserve">Vocational Education and Training Act 1996 </w:t>
      </w:r>
      <w:r w:rsidRPr="003237C5">
        <w:rPr>
          <w:szCs w:val="22"/>
        </w:rPr>
        <w:t>(WA</w:t>
      </w:r>
      <w:proofErr w:type="gramStart"/>
      <w:r w:rsidRPr="003237C5">
        <w:rPr>
          <w:szCs w:val="22"/>
        </w:rPr>
        <w:t>);</w:t>
      </w:r>
      <w:proofErr w:type="gramEnd"/>
      <w:r w:rsidRPr="003237C5">
        <w:rPr>
          <w:szCs w:val="22"/>
        </w:rPr>
        <w:t xml:space="preserve"> </w:t>
      </w:r>
    </w:p>
    <w:p w14:paraId="782006AF" w14:textId="77777777" w:rsidR="0097299B" w:rsidRPr="003237C5" w:rsidRDefault="0097299B" w:rsidP="0097299B">
      <w:pPr>
        <w:pStyle w:val="ListParagraph"/>
        <w:keepLines/>
        <w:ind w:left="1155"/>
        <w:rPr>
          <w:szCs w:val="22"/>
        </w:rPr>
      </w:pPr>
      <w:r w:rsidRPr="003237C5">
        <w:rPr>
          <w:szCs w:val="22"/>
        </w:rPr>
        <w:t xml:space="preserve">(v) the </w:t>
      </w:r>
      <w:r w:rsidRPr="003237C5">
        <w:rPr>
          <w:i/>
          <w:iCs/>
          <w:szCs w:val="22"/>
        </w:rPr>
        <w:t xml:space="preserve">TAFE SA Act 2012 </w:t>
      </w:r>
      <w:r w:rsidRPr="003237C5">
        <w:rPr>
          <w:szCs w:val="22"/>
        </w:rPr>
        <w:t>(SA</w:t>
      </w:r>
      <w:proofErr w:type="gramStart"/>
      <w:r w:rsidRPr="003237C5">
        <w:rPr>
          <w:szCs w:val="22"/>
        </w:rPr>
        <w:t>);</w:t>
      </w:r>
      <w:proofErr w:type="gramEnd"/>
      <w:r w:rsidRPr="003237C5">
        <w:rPr>
          <w:szCs w:val="22"/>
        </w:rPr>
        <w:t xml:space="preserve"> </w:t>
      </w:r>
    </w:p>
    <w:p w14:paraId="7FAD70EA" w14:textId="77777777" w:rsidR="0097299B" w:rsidRPr="003237C5" w:rsidRDefault="0097299B" w:rsidP="0097299B">
      <w:pPr>
        <w:pStyle w:val="ListParagraph"/>
        <w:keepLines/>
        <w:ind w:left="1155"/>
        <w:rPr>
          <w:szCs w:val="22"/>
        </w:rPr>
      </w:pPr>
      <w:r w:rsidRPr="003237C5">
        <w:rPr>
          <w:szCs w:val="22"/>
        </w:rPr>
        <w:t xml:space="preserve">(vi) the </w:t>
      </w:r>
      <w:r w:rsidRPr="003237C5">
        <w:rPr>
          <w:i/>
          <w:iCs/>
          <w:szCs w:val="22"/>
        </w:rPr>
        <w:t xml:space="preserve">Training and Workforce Development Act 2013 </w:t>
      </w:r>
      <w:r w:rsidRPr="003237C5">
        <w:rPr>
          <w:szCs w:val="22"/>
        </w:rPr>
        <w:t>(Tas.</w:t>
      </w:r>
      <w:proofErr w:type="gramStart"/>
      <w:r w:rsidRPr="003237C5">
        <w:rPr>
          <w:szCs w:val="22"/>
        </w:rPr>
        <w:t>);</w:t>
      </w:r>
      <w:proofErr w:type="gramEnd"/>
    </w:p>
    <w:p w14:paraId="3BD1BF43" w14:textId="77777777" w:rsidR="0097299B" w:rsidRPr="003237C5" w:rsidRDefault="0097299B" w:rsidP="0097299B">
      <w:pPr>
        <w:pStyle w:val="ListParagraph"/>
        <w:keepLines/>
        <w:ind w:left="1155"/>
        <w:rPr>
          <w:szCs w:val="22"/>
        </w:rPr>
      </w:pPr>
      <w:r w:rsidRPr="003237C5">
        <w:rPr>
          <w:szCs w:val="22"/>
        </w:rPr>
        <w:t xml:space="preserve">(vii) the </w:t>
      </w:r>
      <w:r w:rsidRPr="003237C5">
        <w:rPr>
          <w:i/>
          <w:iCs/>
          <w:szCs w:val="22"/>
        </w:rPr>
        <w:t xml:space="preserve">Canberra Institute of Technology Act 1987 </w:t>
      </w:r>
      <w:r w:rsidRPr="003237C5">
        <w:rPr>
          <w:szCs w:val="22"/>
        </w:rPr>
        <w:t xml:space="preserve">(ACT). </w:t>
      </w:r>
    </w:p>
    <w:p w14:paraId="03B066D8" w14:textId="77777777" w:rsidR="00FC3A56" w:rsidRPr="003237C5" w:rsidRDefault="00FC3A56" w:rsidP="00DA0ECD">
      <w:pPr>
        <w:spacing w:after="120"/>
      </w:pPr>
    </w:p>
    <w:p w14:paraId="5325A900" w14:textId="76F23B96" w:rsidR="00FC3A56" w:rsidRPr="003237C5" w:rsidRDefault="003B71AA" w:rsidP="00DA0ECD">
      <w:pPr>
        <w:tabs>
          <w:tab w:val="left" w:pos="1000"/>
        </w:tabs>
        <w:rPr>
          <w:b/>
          <w:bCs/>
        </w:rPr>
      </w:pPr>
      <w:proofErr w:type="gramStart"/>
      <w:r w:rsidRPr="003237C5">
        <w:rPr>
          <w:b/>
          <w:bCs/>
        </w:rPr>
        <w:t xml:space="preserve">2.5  </w:t>
      </w:r>
      <w:r w:rsidR="0097299B" w:rsidRPr="003237C5">
        <w:rPr>
          <w:b/>
          <w:bCs/>
        </w:rPr>
        <w:t>HELP</w:t>
      </w:r>
      <w:proofErr w:type="gramEnd"/>
      <w:r w:rsidR="0097299B" w:rsidRPr="003237C5">
        <w:rPr>
          <w:b/>
          <w:bCs/>
        </w:rPr>
        <w:t xml:space="preserve"> tuition protection levy</w:t>
      </w:r>
    </w:p>
    <w:p w14:paraId="66D152FE" w14:textId="77777777" w:rsidR="00FC3A56" w:rsidRPr="003237C5" w:rsidRDefault="00FC3A56" w:rsidP="00FC3A56">
      <w:pPr>
        <w:tabs>
          <w:tab w:val="left" w:pos="1000"/>
        </w:tabs>
        <w:ind w:left="799" w:hanging="799"/>
        <w:rPr>
          <w:i/>
        </w:rPr>
      </w:pPr>
    </w:p>
    <w:p w14:paraId="7BD19AEA" w14:textId="522FF538" w:rsidR="0097299B" w:rsidRPr="003237C5" w:rsidRDefault="00FC3A56" w:rsidP="00CE1923">
      <w:pPr>
        <w:tabs>
          <w:tab w:val="left" w:pos="1000"/>
        </w:tabs>
        <w:spacing w:after="120"/>
        <w:ind w:left="799" w:hanging="799"/>
      </w:pPr>
      <w:r w:rsidRPr="003237C5">
        <w:t>2.5.1</w:t>
      </w:r>
      <w:r w:rsidRPr="003237C5">
        <w:tab/>
      </w:r>
      <w:r w:rsidR="0097299B" w:rsidRPr="003237C5">
        <w:t>This section is made for the purposes of subsection 19-66</w:t>
      </w:r>
      <w:proofErr w:type="gramStart"/>
      <w:r w:rsidR="0097299B" w:rsidRPr="003237C5">
        <w:t>A(</w:t>
      </w:r>
      <w:proofErr w:type="gramEnd"/>
      <w:r w:rsidR="0097299B" w:rsidRPr="003237C5">
        <w:t xml:space="preserve">3) of the Act in relation to the collection or </w:t>
      </w:r>
      <w:r w:rsidR="0097299B" w:rsidRPr="003237C5">
        <w:rPr>
          <w:rFonts w:cs="Times New Roman"/>
        </w:rPr>
        <w:t>recovery</w:t>
      </w:r>
      <w:r w:rsidR="0097299B" w:rsidRPr="003237C5">
        <w:t xml:space="preserve"> of the HELP tuition protection levy.</w:t>
      </w:r>
    </w:p>
    <w:p w14:paraId="76F9EC7D" w14:textId="77777777" w:rsidR="00EA50A5" w:rsidRPr="003237C5" w:rsidRDefault="00EA50A5" w:rsidP="00EA50A5">
      <w:pPr>
        <w:spacing w:after="120"/>
        <w:rPr>
          <w:rFonts w:cs="Times New Roman"/>
          <w:i/>
          <w:iCs/>
        </w:rPr>
      </w:pPr>
      <w:r w:rsidRPr="003237C5">
        <w:rPr>
          <w:rFonts w:cs="Times New Roman"/>
          <w:i/>
          <w:iCs/>
        </w:rPr>
        <w:t xml:space="preserve">Notice of amount of HELP tuition protection levy </w:t>
      </w:r>
    </w:p>
    <w:p w14:paraId="6CF27669" w14:textId="77777777" w:rsidR="00EA50A5" w:rsidRPr="003237C5" w:rsidRDefault="00EA50A5" w:rsidP="00EA50A5">
      <w:pPr>
        <w:tabs>
          <w:tab w:val="left" w:pos="1000"/>
        </w:tabs>
        <w:spacing w:after="120"/>
        <w:ind w:left="799" w:hanging="799"/>
        <w:rPr>
          <w:rFonts w:cs="Times New Roman"/>
        </w:rPr>
      </w:pPr>
      <w:r w:rsidRPr="003237C5">
        <w:rPr>
          <w:rFonts w:cs="Times New Roman"/>
        </w:rPr>
        <w:t>2.5.5</w:t>
      </w:r>
      <w:r w:rsidRPr="003237C5">
        <w:rPr>
          <w:rFonts w:cs="Times New Roman"/>
        </w:rPr>
        <w:tab/>
        <w:t xml:space="preserve">For the purposes of paragraphs 19-66A(3)(a) and (b) of the </w:t>
      </w:r>
      <w:r w:rsidRPr="003237C5">
        <w:rPr>
          <w:rFonts w:cs="Times New Roman"/>
          <w:i/>
        </w:rPr>
        <w:t>Act</w:t>
      </w:r>
      <w:r w:rsidRPr="003237C5">
        <w:rPr>
          <w:rFonts w:cs="Times New Roman"/>
        </w:rPr>
        <w:t>, the Higher Education Tuition Protection Director must give a written notice to each higher education provider who is liable to pay the HELP tuition protection levy, which specifies:</w:t>
      </w:r>
    </w:p>
    <w:p w14:paraId="2CB595DA" w14:textId="77777777" w:rsidR="00EA50A5" w:rsidRPr="003237C5" w:rsidRDefault="00EA50A5" w:rsidP="006244DA">
      <w:pPr>
        <w:numPr>
          <w:ilvl w:val="0"/>
          <w:numId w:val="7"/>
        </w:numPr>
        <w:spacing w:after="120"/>
        <w:rPr>
          <w:rFonts w:cs="Times New Roman"/>
        </w:rPr>
      </w:pPr>
      <w:r w:rsidRPr="003237C5">
        <w:rPr>
          <w:rFonts w:cs="Times New Roman"/>
        </w:rPr>
        <w:t xml:space="preserve">the year to which the levy </w:t>
      </w:r>
      <w:proofErr w:type="gramStart"/>
      <w:r w:rsidRPr="003237C5">
        <w:rPr>
          <w:rFonts w:cs="Times New Roman"/>
        </w:rPr>
        <w:t>relates;</w:t>
      </w:r>
      <w:proofErr w:type="gramEnd"/>
    </w:p>
    <w:p w14:paraId="4D42A1D6" w14:textId="77777777" w:rsidR="00EA50A5" w:rsidRPr="003237C5" w:rsidRDefault="00EA50A5" w:rsidP="006244DA">
      <w:pPr>
        <w:numPr>
          <w:ilvl w:val="0"/>
          <w:numId w:val="7"/>
        </w:numPr>
        <w:spacing w:after="120"/>
        <w:rPr>
          <w:rFonts w:cs="Times New Roman"/>
        </w:rPr>
      </w:pPr>
      <w:r w:rsidRPr="003237C5">
        <w:rPr>
          <w:rFonts w:cs="Times New Roman"/>
        </w:rPr>
        <w:t xml:space="preserve">the amount of each component of the provider’s </w:t>
      </w:r>
      <w:proofErr w:type="gramStart"/>
      <w:r w:rsidRPr="003237C5">
        <w:rPr>
          <w:rFonts w:cs="Times New Roman"/>
        </w:rPr>
        <w:t>levy;</w:t>
      </w:r>
      <w:proofErr w:type="gramEnd"/>
      <w:r w:rsidRPr="003237C5">
        <w:rPr>
          <w:rFonts w:cs="Times New Roman"/>
        </w:rPr>
        <w:t xml:space="preserve"> </w:t>
      </w:r>
    </w:p>
    <w:p w14:paraId="10478030" w14:textId="77777777" w:rsidR="00EA50A5" w:rsidRPr="003237C5" w:rsidRDefault="00EA50A5" w:rsidP="006244DA">
      <w:pPr>
        <w:numPr>
          <w:ilvl w:val="0"/>
          <w:numId w:val="7"/>
        </w:numPr>
        <w:spacing w:after="120"/>
        <w:rPr>
          <w:rFonts w:cs="Times New Roman"/>
        </w:rPr>
      </w:pPr>
      <w:r w:rsidRPr="003237C5">
        <w:rPr>
          <w:rFonts w:cs="Times New Roman"/>
        </w:rPr>
        <w:t xml:space="preserve">the total amount of the provider’s </w:t>
      </w:r>
      <w:proofErr w:type="gramStart"/>
      <w:r w:rsidRPr="003237C5">
        <w:rPr>
          <w:rFonts w:cs="Times New Roman"/>
        </w:rPr>
        <w:t>levy;</w:t>
      </w:r>
      <w:proofErr w:type="gramEnd"/>
      <w:r w:rsidRPr="003237C5">
        <w:rPr>
          <w:rFonts w:cs="Times New Roman"/>
        </w:rPr>
        <w:t xml:space="preserve"> </w:t>
      </w:r>
    </w:p>
    <w:p w14:paraId="220D6511" w14:textId="77777777" w:rsidR="00EA50A5" w:rsidRPr="003237C5" w:rsidRDefault="00EA50A5" w:rsidP="006244DA">
      <w:pPr>
        <w:numPr>
          <w:ilvl w:val="0"/>
          <w:numId w:val="7"/>
        </w:numPr>
        <w:spacing w:after="120"/>
        <w:rPr>
          <w:rFonts w:cs="Times New Roman"/>
        </w:rPr>
      </w:pPr>
      <w:r w:rsidRPr="003237C5">
        <w:rPr>
          <w:rFonts w:cs="Times New Roman"/>
        </w:rPr>
        <w:t xml:space="preserve">an explanation of how each component of the provider’s levy was </w:t>
      </w:r>
      <w:proofErr w:type="gramStart"/>
      <w:r w:rsidRPr="003237C5">
        <w:rPr>
          <w:rFonts w:cs="Times New Roman"/>
        </w:rPr>
        <w:t>calculated;</w:t>
      </w:r>
      <w:proofErr w:type="gramEnd"/>
    </w:p>
    <w:p w14:paraId="76EAF66B" w14:textId="77777777" w:rsidR="00EA50A5" w:rsidRPr="003237C5" w:rsidRDefault="00EA50A5" w:rsidP="006244DA">
      <w:pPr>
        <w:numPr>
          <w:ilvl w:val="0"/>
          <w:numId w:val="7"/>
        </w:numPr>
        <w:spacing w:after="120"/>
        <w:rPr>
          <w:rFonts w:cs="Times New Roman"/>
        </w:rPr>
      </w:pPr>
      <w:r w:rsidRPr="003237C5">
        <w:rPr>
          <w:rFonts w:cs="Times New Roman"/>
        </w:rPr>
        <w:t xml:space="preserve">the day by which the levy is due and payable by the provider, which must be at least 30 days after the day the notice is </w:t>
      </w:r>
      <w:proofErr w:type="gramStart"/>
      <w:r w:rsidRPr="003237C5">
        <w:rPr>
          <w:rFonts w:cs="Times New Roman"/>
        </w:rPr>
        <w:t>given;</w:t>
      </w:r>
      <w:proofErr w:type="gramEnd"/>
      <w:r w:rsidRPr="003237C5">
        <w:rPr>
          <w:rFonts w:cs="Times New Roman"/>
        </w:rPr>
        <w:t xml:space="preserve"> and</w:t>
      </w:r>
    </w:p>
    <w:p w14:paraId="2EFC5E62" w14:textId="77777777" w:rsidR="00EA50A5" w:rsidRPr="003237C5" w:rsidRDefault="00EA50A5" w:rsidP="006244DA">
      <w:pPr>
        <w:numPr>
          <w:ilvl w:val="0"/>
          <w:numId w:val="7"/>
        </w:numPr>
        <w:ind w:left="1156" w:hanging="357"/>
        <w:rPr>
          <w:rFonts w:cs="Times New Roman"/>
        </w:rPr>
      </w:pPr>
      <w:r w:rsidRPr="003237C5">
        <w:rPr>
          <w:rFonts w:cs="Times New Roman"/>
        </w:rPr>
        <w:t xml:space="preserve">the method or methods by which the provider must pay the levy. </w:t>
      </w:r>
    </w:p>
    <w:p w14:paraId="22BDA4A7" w14:textId="77777777" w:rsidR="00EA50A5" w:rsidRPr="003237C5" w:rsidRDefault="00EA50A5" w:rsidP="00EA50A5">
      <w:pPr>
        <w:rPr>
          <w:rFonts w:cs="Times New Roman"/>
        </w:rPr>
      </w:pPr>
    </w:p>
    <w:p w14:paraId="60626658" w14:textId="77777777" w:rsidR="00EA50A5" w:rsidRPr="003237C5" w:rsidRDefault="00EA50A5" w:rsidP="00EA50A5">
      <w:pPr>
        <w:tabs>
          <w:tab w:val="left" w:pos="1000"/>
        </w:tabs>
        <w:spacing w:after="120"/>
        <w:ind w:left="799" w:hanging="799"/>
        <w:rPr>
          <w:rFonts w:cs="Times New Roman"/>
        </w:rPr>
      </w:pPr>
      <w:r w:rsidRPr="003237C5">
        <w:rPr>
          <w:rFonts w:cs="Times New Roman"/>
        </w:rPr>
        <w:t>2.5.10</w:t>
      </w:r>
      <w:r w:rsidRPr="003237C5">
        <w:rPr>
          <w:rFonts w:cs="Times New Roman"/>
        </w:rPr>
        <w:tab/>
        <w:t xml:space="preserve">A failure to give a higher education provider the notice under paragraph 2.5.5 does not affect the liability of the provider to pay the HELP tuition protection levy. </w:t>
      </w:r>
    </w:p>
    <w:p w14:paraId="39FD2957" w14:textId="77777777" w:rsidR="00EA50A5" w:rsidRPr="003237C5" w:rsidRDefault="00EA50A5" w:rsidP="00EA50A5">
      <w:pPr>
        <w:tabs>
          <w:tab w:val="left" w:pos="1000"/>
        </w:tabs>
        <w:spacing w:after="120"/>
        <w:ind w:left="799" w:hanging="799"/>
        <w:rPr>
          <w:rFonts w:cs="Times New Roman"/>
          <w:sz w:val="20"/>
        </w:rPr>
      </w:pPr>
      <w:r w:rsidRPr="003237C5">
        <w:rPr>
          <w:rFonts w:cs="Times New Roman"/>
        </w:rPr>
        <w:tab/>
      </w:r>
      <w:r w:rsidRPr="003237C5">
        <w:rPr>
          <w:rFonts w:cs="Times New Roman"/>
          <w:sz w:val="20"/>
        </w:rPr>
        <w:t xml:space="preserve">Note 1: HELP tuition protection levy is imposed, for a year, on a higher education provider to whom Part 5-1A of the </w:t>
      </w:r>
      <w:r w:rsidRPr="003237C5">
        <w:rPr>
          <w:rFonts w:cs="Times New Roman"/>
          <w:i/>
          <w:iCs/>
          <w:sz w:val="20"/>
        </w:rPr>
        <w:t xml:space="preserve">Act </w:t>
      </w:r>
      <w:r w:rsidRPr="003237C5">
        <w:rPr>
          <w:rFonts w:cs="Times New Roman"/>
          <w:sz w:val="20"/>
        </w:rPr>
        <w:t xml:space="preserve">applies but does not include a provider covered by subsection 5(1A) of the </w:t>
      </w:r>
      <w:r w:rsidRPr="003237C5">
        <w:rPr>
          <w:rFonts w:cs="Times New Roman"/>
          <w:i/>
          <w:sz w:val="20"/>
        </w:rPr>
        <w:t xml:space="preserve">Higher Education Support (HELP Tuition Protection Levy) Act 2020. </w:t>
      </w:r>
      <w:r w:rsidRPr="003237C5">
        <w:rPr>
          <w:rFonts w:cs="Times New Roman"/>
          <w:sz w:val="20"/>
        </w:rPr>
        <w:t xml:space="preserve">  </w:t>
      </w:r>
    </w:p>
    <w:p w14:paraId="4027D39C" w14:textId="16E40752" w:rsidR="00EA50A5" w:rsidRPr="003237C5" w:rsidRDefault="00EA50A5" w:rsidP="00EA50A5">
      <w:pPr>
        <w:tabs>
          <w:tab w:val="left" w:pos="1000"/>
        </w:tabs>
        <w:spacing w:after="120"/>
        <w:ind w:left="799" w:hanging="799"/>
        <w:rPr>
          <w:rFonts w:cs="Times New Roman"/>
          <w:sz w:val="20"/>
        </w:rPr>
      </w:pPr>
      <w:r w:rsidRPr="003237C5">
        <w:rPr>
          <w:rFonts w:cs="Times New Roman"/>
          <w:sz w:val="20"/>
        </w:rPr>
        <w:tab/>
        <w:t xml:space="preserve">Note 2: Paragraph 19-66A(2)(a) of the </w:t>
      </w:r>
      <w:r w:rsidRPr="003237C5">
        <w:rPr>
          <w:rFonts w:cs="Times New Roman"/>
          <w:i/>
          <w:sz w:val="20"/>
        </w:rPr>
        <w:t xml:space="preserve">Act </w:t>
      </w:r>
      <w:r w:rsidRPr="003237C5">
        <w:rPr>
          <w:rFonts w:cs="Times New Roman"/>
          <w:sz w:val="20"/>
        </w:rPr>
        <w:t xml:space="preserve">requires a higher education provider to pay the HELP tuition protection levy when it is due and payable. </w:t>
      </w:r>
    </w:p>
    <w:p w14:paraId="44F992C2" w14:textId="57965EF7" w:rsidR="00EA1920" w:rsidRPr="003237C5" w:rsidRDefault="00EA1920" w:rsidP="00EA1920">
      <w:pPr>
        <w:tabs>
          <w:tab w:val="left" w:pos="1000"/>
        </w:tabs>
        <w:spacing w:after="120"/>
        <w:ind w:left="799" w:hanging="799"/>
        <w:rPr>
          <w:rFonts w:cs="Times New Roman"/>
        </w:rPr>
      </w:pPr>
      <w:r w:rsidRPr="003237C5">
        <w:rPr>
          <w:rFonts w:cs="Times New Roman"/>
        </w:rPr>
        <w:t>2.5.15</w:t>
      </w:r>
      <w:r w:rsidRPr="003237C5">
        <w:rPr>
          <w:rFonts w:cs="Times New Roman"/>
        </w:rPr>
        <w:tab/>
        <w:t xml:space="preserve">A notice under paragraph 2.5.5 does not need to be given if the liability to pay the HELP tuition protection levy is waived under paragraph 2.5.30 or paragraph 2.5.35. </w:t>
      </w:r>
    </w:p>
    <w:p w14:paraId="0046C929" w14:textId="77777777" w:rsidR="00EA50A5" w:rsidRPr="003237C5" w:rsidRDefault="00EA50A5" w:rsidP="00EA50A5">
      <w:pPr>
        <w:keepNext/>
        <w:spacing w:after="120"/>
        <w:rPr>
          <w:rFonts w:cs="Times New Roman"/>
          <w:i/>
          <w:iCs/>
        </w:rPr>
      </w:pPr>
      <w:r w:rsidRPr="003237C5">
        <w:rPr>
          <w:rFonts w:cs="Times New Roman"/>
          <w:i/>
          <w:iCs/>
        </w:rPr>
        <w:t>Overdue notice</w:t>
      </w:r>
    </w:p>
    <w:p w14:paraId="369FD2E2" w14:textId="77777777" w:rsidR="00EA50A5" w:rsidRPr="003237C5" w:rsidRDefault="00EA50A5" w:rsidP="00EA50A5">
      <w:pPr>
        <w:tabs>
          <w:tab w:val="left" w:pos="1000"/>
        </w:tabs>
        <w:spacing w:after="120"/>
        <w:ind w:left="799" w:hanging="799"/>
        <w:rPr>
          <w:rFonts w:cs="Times New Roman"/>
        </w:rPr>
      </w:pPr>
      <w:r w:rsidRPr="003237C5">
        <w:rPr>
          <w:rFonts w:cs="Times New Roman"/>
        </w:rPr>
        <w:t>2.5.20</w:t>
      </w:r>
      <w:r w:rsidRPr="003237C5">
        <w:rPr>
          <w:rFonts w:cs="Times New Roman"/>
        </w:rPr>
        <w:tab/>
        <w:t xml:space="preserve">For the purposes of paragraph 19-66A(3)(a) of the </w:t>
      </w:r>
      <w:r w:rsidRPr="003237C5">
        <w:rPr>
          <w:rFonts w:cs="Times New Roman"/>
          <w:i/>
        </w:rPr>
        <w:t>Act</w:t>
      </w:r>
      <w:r w:rsidRPr="003237C5">
        <w:rPr>
          <w:rFonts w:cs="Times New Roman"/>
        </w:rPr>
        <w:t xml:space="preserve">, the Higher Education Tuition Protection Director may give a written overdue notice to the higher education provider to comply with a notice issued under paragraph 2.5.5 after the date the HELP tuition protection levy is due and payable. </w:t>
      </w:r>
    </w:p>
    <w:p w14:paraId="2C69E94B" w14:textId="77777777" w:rsidR="00EA50A5" w:rsidRPr="003237C5" w:rsidRDefault="00EA50A5" w:rsidP="00EA50A5">
      <w:pPr>
        <w:tabs>
          <w:tab w:val="left" w:pos="1000"/>
        </w:tabs>
        <w:spacing w:after="120"/>
        <w:ind w:left="799" w:hanging="799"/>
        <w:rPr>
          <w:rFonts w:cs="Times New Roman"/>
        </w:rPr>
      </w:pPr>
      <w:r w:rsidRPr="003237C5">
        <w:rPr>
          <w:rFonts w:cs="Times New Roman"/>
        </w:rPr>
        <w:t>2.5.25</w:t>
      </w:r>
      <w:r w:rsidRPr="003237C5">
        <w:rPr>
          <w:rFonts w:cs="Times New Roman"/>
        </w:rPr>
        <w:tab/>
        <w:t>The overdue notice must specify:</w:t>
      </w:r>
    </w:p>
    <w:p w14:paraId="7627A527" w14:textId="77777777" w:rsidR="00EA50A5" w:rsidRPr="003237C5" w:rsidRDefault="00EA50A5" w:rsidP="006244DA">
      <w:pPr>
        <w:numPr>
          <w:ilvl w:val="0"/>
          <w:numId w:val="6"/>
        </w:numPr>
        <w:spacing w:after="120"/>
        <w:rPr>
          <w:rFonts w:cs="Times New Roman"/>
        </w:rPr>
      </w:pPr>
      <w:r w:rsidRPr="003237C5">
        <w:rPr>
          <w:rFonts w:cs="Times New Roman"/>
        </w:rPr>
        <w:t xml:space="preserve">the amount that is still </w:t>
      </w:r>
      <w:proofErr w:type="gramStart"/>
      <w:r w:rsidRPr="003237C5">
        <w:rPr>
          <w:rFonts w:cs="Times New Roman"/>
        </w:rPr>
        <w:t>owing;</w:t>
      </w:r>
      <w:proofErr w:type="gramEnd"/>
      <w:r w:rsidRPr="003237C5">
        <w:rPr>
          <w:rFonts w:cs="Times New Roman"/>
        </w:rPr>
        <w:t xml:space="preserve"> </w:t>
      </w:r>
    </w:p>
    <w:p w14:paraId="69F7D13C" w14:textId="77777777" w:rsidR="00EA50A5" w:rsidRPr="003237C5" w:rsidRDefault="00EA50A5" w:rsidP="006244DA">
      <w:pPr>
        <w:numPr>
          <w:ilvl w:val="0"/>
          <w:numId w:val="6"/>
        </w:numPr>
        <w:spacing w:after="120"/>
        <w:rPr>
          <w:rFonts w:cs="Times New Roman"/>
        </w:rPr>
      </w:pPr>
      <w:r w:rsidRPr="003237C5">
        <w:rPr>
          <w:rFonts w:cs="Times New Roman"/>
        </w:rPr>
        <w:t>information about consequences of the late payment; and</w:t>
      </w:r>
    </w:p>
    <w:p w14:paraId="467B5AD6" w14:textId="59A71029" w:rsidR="00EA50A5" w:rsidRPr="003237C5" w:rsidRDefault="00EA50A5" w:rsidP="006244DA">
      <w:pPr>
        <w:numPr>
          <w:ilvl w:val="0"/>
          <w:numId w:val="6"/>
        </w:numPr>
        <w:ind w:left="1156" w:hanging="357"/>
        <w:rPr>
          <w:rFonts w:cs="Times New Roman"/>
        </w:rPr>
      </w:pPr>
      <w:r w:rsidRPr="003237C5">
        <w:rPr>
          <w:rFonts w:cs="Times New Roman"/>
        </w:rPr>
        <w:t>the day the amount must be paid by the higher education provider.</w:t>
      </w:r>
    </w:p>
    <w:p w14:paraId="20962763" w14:textId="7539D3B2" w:rsidR="00EA50A5" w:rsidRPr="003237C5" w:rsidRDefault="00EA50A5" w:rsidP="00EA50A5">
      <w:pPr>
        <w:keepNext/>
        <w:spacing w:after="120"/>
        <w:rPr>
          <w:rFonts w:cs="Times New Roman"/>
          <w:i/>
          <w:iCs/>
        </w:rPr>
      </w:pPr>
      <w:r w:rsidRPr="003237C5">
        <w:rPr>
          <w:rFonts w:cs="Times New Roman"/>
          <w:i/>
          <w:iCs/>
        </w:rPr>
        <w:t xml:space="preserve">Waiver </w:t>
      </w:r>
    </w:p>
    <w:p w14:paraId="3B71CC45" w14:textId="68B1AE67" w:rsidR="00EA50A5" w:rsidRPr="003237C5" w:rsidRDefault="00EA50A5" w:rsidP="00EA50A5">
      <w:pPr>
        <w:tabs>
          <w:tab w:val="left" w:pos="1000"/>
        </w:tabs>
        <w:spacing w:after="120"/>
        <w:ind w:left="799" w:hanging="799"/>
        <w:rPr>
          <w:rFonts w:cs="Times New Roman"/>
        </w:rPr>
      </w:pPr>
      <w:r w:rsidRPr="003237C5">
        <w:rPr>
          <w:rFonts w:cs="Times New Roman"/>
        </w:rPr>
        <w:t>2.5.30</w:t>
      </w:r>
      <w:r w:rsidRPr="003237C5">
        <w:rPr>
          <w:rFonts w:cs="Times New Roman"/>
        </w:rPr>
        <w:tab/>
        <w:t xml:space="preserve">For the purposes of paragraph 19-66A(3)(f) of the </w:t>
      </w:r>
      <w:r w:rsidRPr="003237C5">
        <w:rPr>
          <w:rFonts w:cs="Times New Roman"/>
          <w:i/>
        </w:rPr>
        <w:t xml:space="preserve">Act, </w:t>
      </w:r>
      <w:r w:rsidRPr="003237C5">
        <w:rPr>
          <w:rFonts w:cs="Times New Roman"/>
        </w:rPr>
        <w:t xml:space="preserve">liability to pay the HELP tuition protection levy is waived for all higher education providers for the calendar year 2020. </w:t>
      </w:r>
    </w:p>
    <w:p w14:paraId="037C9870" w14:textId="4B9DE01A" w:rsidR="004C7662" w:rsidRPr="003237C5" w:rsidRDefault="008102DF" w:rsidP="00EA50A5">
      <w:pPr>
        <w:tabs>
          <w:tab w:val="left" w:pos="1000"/>
        </w:tabs>
        <w:spacing w:after="120"/>
        <w:ind w:left="799" w:hanging="799"/>
        <w:rPr>
          <w:rFonts w:cs="Times New Roman"/>
        </w:rPr>
      </w:pPr>
      <w:r w:rsidRPr="003237C5">
        <w:rPr>
          <w:rFonts w:cs="Times New Roman"/>
        </w:rPr>
        <w:t>2.5.31</w:t>
      </w:r>
      <w:r w:rsidRPr="003237C5">
        <w:rPr>
          <w:rFonts w:cs="Times New Roman"/>
        </w:rPr>
        <w:tab/>
        <w:t xml:space="preserve">For the purposes of paragraph 19-66A(3)(f) of the Act, liability to pay the HELP tuition protection levy is waived for all higher education providers for the calendar year 2021. </w:t>
      </w:r>
    </w:p>
    <w:p w14:paraId="17B63B9A" w14:textId="77777777" w:rsidR="00EA50A5" w:rsidRPr="003237C5" w:rsidRDefault="00EA50A5" w:rsidP="00EA50A5">
      <w:pPr>
        <w:tabs>
          <w:tab w:val="left" w:pos="1000"/>
        </w:tabs>
        <w:spacing w:after="120"/>
        <w:ind w:left="799" w:hanging="799"/>
        <w:rPr>
          <w:rFonts w:cs="Times New Roman"/>
        </w:rPr>
      </w:pPr>
      <w:r w:rsidRPr="003237C5">
        <w:rPr>
          <w:rFonts w:cs="Times New Roman"/>
        </w:rPr>
        <w:t>2.5.35</w:t>
      </w:r>
      <w:r w:rsidRPr="003237C5">
        <w:rPr>
          <w:rFonts w:cs="Times New Roman"/>
        </w:rPr>
        <w:tab/>
        <w:t xml:space="preserve">Liability to pay the HELP tuition protection levy is waived if: </w:t>
      </w:r>
    </w:p>
    <w:p w14:paraId="45192FD4" w14:textId="77777777" w:rsidR="00EA50A5" w:rsidRPr="003237C5" w:rsidRDefault="00EA50A5" w:rsidP="006244DA">
      <w:pPr>
        <w:numPr>
          <w:ilvl w:val="0"/>
          <w:numId w:val="8"/>
        </w:numPr>
        <w:spacing w:after="120"/>
        <w:rPr>
          <w:rFonts w:cs="Times New Roman"/>
          <w:i/>
          <w:iCs/>
        </w:rPr>
      </w:pPr>
      <w:r w:rsidRPr="003237C5">
        <w:rPr>
          <w:rFonts w:cs="Times New Roman"/>
        </w:rPr>
        <w:t xml:space="preserve">the provider’s approval is revoked under the </w:t>
      </w:r>
      <w:proofErr w:type="gramStart"/>
      <w:r w:rsidRPr="003237C5">
        <w:rPr>
          <w:rFonts w:cs="Times New Roman"/>
          <w:i/>
        </w:rPr>
        <w:t>Act</w:t>
      </w:r>
      <w:r w:rsidRPr="003237C5">
        <w:rPr>
          <w:rFonts w:cs="Times New Roman"/>
          <w:iCs/>
        </w:rPr>
        <w:t>;</w:t>
      </w:r>
      <w:proofErr w:type="gramEnd"/>
      <w:r w:rsidRPr="003237C5">
        <w:rPr>
          <w:rFonts w:cs="Times New Roman"/>
          <w:iCs/>
        </w:rPr>
        <w:t xml:space="preserve"> </w:t>
      </w:r>
    </w:p>
    <w:p w14:paraId="724CAA49" w14:textId="77777777" w:rsidR="00EA50A5" w:rsidRPr="003237C5" w:rsidRDefault="00EA50A5" w:rsidP="006244DA">
      <w:pPr>
        <w:numPr>
          <w:ilvl w:val="0"/>
          <w:numId w:val="8"/>
        </w:numPr>
        <w:spacing w:after="120"/>
        <w:rPr>
          <w:rFonts w:cs="Times New Roman"/>
          <w:i/>
          <w:iCs/>
        </w:rPr>
      </w:pPr>
      <w:r w:rsidRPr="003237C5">
        <w:rPr>
          <w:rFonts w:cs="Times New Roman"/>
          <w:iCs/>
        </w:rPr>
        <w:t xml:space="preserve">the provider’s registration is cancelled under the </w:t>
      </w:r>
      <w:r w:rsidRPr="003237C5">
        <w:rPr>
          <w:rFonts w:cs="Times New Roman"/>
          <w:i/>
        </w:rPr>
        <w:t>TEQSA Act</w:t>
      </w:r>
      <w:r w:rsidRPr="003237C5">
        <w:rPr>
          <w:rFonts w:cs="Times New Roman"/>
          <w:iCs/>
        </w:rPr>
        <w:t>;</w:t>
      </w:r>
      <w:r w:rsidRPr="003237C5">
        <w:rPr>
          <w:rFonts w:cs="Times New Roman"/>
          <w:i/>
        </w:rPr>
        <w:t xml:space="preserve"> </w:t>
      </w:r>
      <w:r w:rsidRPr="003237C5">
        <w:rPr>
          <w:rFonts w:cs="Times New Roman"/>
        </w:rPr>
        <w:t xml:space="preserve">or </w:t>
      </w:r>
    </w:p>
    <w:p w14:paraId="022D9D4C" w14:textId="77777777" w:rsidR="00EA50A5" w:rsidRPr="003237C5" w:rsidRDefault="00EA50A5" w:rsidP="006244DA">
      <w:pPr>
        <w:numPr>
          <w:ilvl w:val="0"/>
          <w:numId w:val="8"/>
        </w:numPr>
        <w:spacing w:after="120"/>
        <w:rPr>
          <w:rFonts w:cs="Times New Roman"/>
          <w:i/>
          <w:iCs/>
        </w:rPr>
      </w:pPr>
      <w:r w:rsidRPr="003237C5">
        <w:rPr>
          <w:rFonts w:cs="Times New Roman"/>
        </w:rPr>
        <w:t xml:space="preserve">the provider is no longer in operation </w:t>
      </w:r>
    </w:p>
    <w:p w14:paraId="745799DF" w14:textId="741B0603" w:rsidR="00EA50A5" w:rsidRPr="003237C5" w:rsidRDefault="00EA50A5" w:rsidP="00DA0ECD">
      <w:pPr>
        <w:spacing w:after="120"/>
        <w:ind w:left="799"/>
        <w:rPr>
          <w:rFonts w:cs="Times New Roman"/>
          <w:i/>
          <w:iCs/>
        </w:rPr>
      </w:pPr>
      <w:r w:rsidRPr="003237C5">
        <w:rPr>
          <w:rFonts w:cs="Times New Roman"/>
        </w:rPr>
        <w:t xml:space="preserve">prior to the time the Higher Education Tuition Protection Director issues a notice under paragraph 2.5.5. </w:t>
      </w:r>
    </w:p>
    <w:p w14:paraId="4A028F83" w14:textId="1E3BB9E7" w:rsidR="00EA50A5" w:rsidRPr="003237C5" w:rsidRDefault="00EA50A5" w:rsidP="00EA50A5">
      <w:pPr>
        <w:keepNext/>
        <w:spacing w:after="120"/>
        <w:rPr>
          <w:rFonts w:cs="Times New Roman"/>
          <w:i/>
          <w:iCs/>
        </w:rPr>
      </w:pPr>
      <w:r w:rsidRPr="003237C5">
        <w:rPr>
          <w:rFonts w:cs="Times New Roman"/>
          <w:i/>
          <w:iCs/>
        </w:rPr>
        <w:t>Internal review of notice issued under paragraph 2.5.5</w:t>
      </w:r>
    </w:p>
    <w:p w14:paraId="5F48844E" w14:textId="77777777" w:rsidR="00EA50A5" w:rsidRPr="003237C5" w:rsidRDefault="00EA50A5" w:rsidP="00EA50A5">
      <w:pPr>
        <w:tabs>
          <w:tab w:val="left" w:pos="1000"/>
        </w:tabs>
        <w:spacing w:after="120"/>
        <w:ind w:left="799" w:hanging="799"/>
        <w:rPr>
          <w:rFonts w:cs="Times New Roman"/>
        </w:rPr>
      </w:pPr>
      <w:r w:rsidRPr="003237C5">
        <w:rPr>
          <w:rFonts w:cs="Times New Roman"/>
        </w:rPr>
        <w:t>2.5.40</w:t>
      </w:r>
      <w:r w:rsidRPr="003237C5">
        <w:rPr>
          <w:rFonts w:cs="Times New Roman"/>
        </w:rPr>
        <w:tab/>
        <w:t xml:space="preserve">For the purposes of paragraph 19-66A(3)(g) of the </w:t>
      </w:r>
      <w:r w:rsidRPr="003237C5">
        <w:rPr>
          <w:rFonts w:cs="Times New Roman"/>
          <w:i/>
        </w:rPr>
        <w:t>Act</w:t>
      </w:r>
      <w:r w:rsidRPr="003237C5">
        <w:rPr>
          <w:rFonts w:cs="Times New Roman"/>
        </w:rPr>
        <w:t>, a higher education provider may request the Higher Education Tuition Protection Director to reconsider a notice issued under paragraph 2.5.5 in relation to the determination of any components of the HELP tuition protection levy (</w:t>
      </w:r>
      <w:r w:rsidRPr="003237C5">
        <w:rPr>
          <w:rFonts w:cs="Times New Roman"/>
          <w:b/>
          <w:i/>
        </w:rPr>
        <w:t>decision</w:t>
      </w:r>
      <w:r w:rsidRPr="003237C5">
        <w:rPr>
          <w:rFonts w:cs="Times New Roman"/>
        </w:rPr>
        <w:t xml:space="preserve">). </w:t>
      </w:r>
    </w:p>
    <w:p w14:paraId="7C089DDE" w14:textId="77777777" w:rsidR="00EA50A5" w:rsidRPr="003237C5" w:rsidRDefault="00EA50A5" w:rsidP="00EA50A5">
      <w:pPr>
        <w:tabs>
          <w:tab w:val="left" w:pos="1000"/>
        </w:tabs>
        <w:spacing w:after="120"/>
        <w:ind w:left="799" w:hanging="799"/>
        <w:rPr>
          <w:rFonts w:cs="Times New Roman"/>
        </w:rPr>
      </w:pPr>
      <w:r w:rsidRPr="003237C5">
        <w:rPr>
          <w:rFonts w:cs="Times New Roman"/>
        </w:rPr>
        <w:t>2.5.45</w:t>
      </w:r>
      <w:r w:rsidRPr="003237C5">
        <w:rPr>
          <w:rFonts w:cs="Times New Roman"/>
        </w:rPr>
        <w:tab/>
        <w:t xml:space="preserve">The higher education provider’s request must be in writing and given to the Higher Education Tuition Protection Director within 14 days after the day on which the provider received the notice. </w:t>
      </w:r>
    </w:p>
    <w:p w14:paraId="719D3F50" w14:textId="77777777" w:rsidR="00EA50A5" w:rsidRPr="003237C5" w:rsidRDefault="00EA50A5" w:rsidP="00EA50A5">
      <w:pPr>
        <w:tabs>
          <w:tab w:val="left" w:pos="1000"/>
        </w:tabs>
        <w:spacing w:after="120"/>
        <w:ind w:left="799" w:hanging="799"/>
        <w:rPr>
          <w:rFonts w:cs="Times New Roman"/>
        </w:rPr>
      </w:pPr>
      <w:r w:rsidRPr="003237C5">
        <w:rPr>
          <w:rFonts w:cs="Times New Roman"/>
        </w:rPr>
        <w:t>2.5.50</w:t>
      </w:r>
      <w:r w:rsidRPr="003237C5">
        <w:rPr>
          <w:rFonts w:cs="Times New Roman"/>
        </w:rPr>
        <w:tab/>
        <w:t>After receiving the request, the Higher Education Tuition Protection Director must reconsider the decision and:</w:t>
      </w:r>
    </w:p>
    <w:p w14:paraId="3892CF08" w14:textId="77777777" w:rsidR="00EA50A5" w:rsidRPr="003237C5" w:rsidRDefault="00EA50A5" w:rsidP="006244DA">
      <w:pPr>
        <w:numPr>
          <w:ilvl w:val="0"/>
          <w:numId w:val="9"/>
        </w:numPr>
        <w:spacing w:after="120"/>
        <w:rPr>
          <w:rFonts w:cs="Times New Roman"/>
        </w:rPr>
      </w:pPr>
      <w:r w:rsidRPr="003237C5">
        <w:rPr>
          <w:rFonts w:cs="Times New Roman"/>
        </w:rPr>
        <w:t xml:space="preserve">confirm the </w:t>
      </w:r>
      <w:proofErr w:type="gramStart"/>
      <w:r w:rsidRPr="003237C5">
        <w:rPr>
          <w:rFonts w:cs="Times New Roman"/>
        </w:rPr>
        <w:t>decision;</w:t>
      </w:r>
      <w:proofErr w:type="gramEnd"/>
      <w:r w:rsidRPr="003237C5">
        <w:rPr>
          <w:rFonts w:cs="Times New Roman"/>
        </w:rPr>
        <w:t xml:space="preserve"> </w:t>
      </w:r>
    </w:p>
    <w:p w14:paraId="731D4031" w14:textId="77777777" w:rsidR="00EA50A5" w:rsidRPr="003237C5" w:rsidRDefault="00EA50A5" w:rsidP="006244DA">
      <w:pPr>
        <w:numPr>
          <w:ilvl w:val="0"/>
          <w:numId w:val="9"/>
        </w:numPr>
        <w:spacing w:after="120"/>
        <w:rPr>
          <w:rFonts w:cs="Times New Roman"/>
        </w:rPr>
      </w:pPr>
      <w:r w:rsidRPr="003237C5">
        <w:rPr>
          <w:rFonts w:cs="Times New Roman"/>
        </w:rPr>
        <w:t>vary the decision; or</w:t>
      </w:r>
    </w:p>
    <w:p w14:paraId="44349348" w14:textId="77777777" w:rsidR="00EA50A5" w:rsidRPr="003237C5" w:rsidRDefault="00EA50A5" w:rsidP="006244DA">
      <w:pPr>
        <w:numPr>
          <w:ilvl w:val="0"/>
          <w:numId w:val="9"/>
        </w:numPr>
        <w:ind w:left="1156" w:hanging="357"/>
        <w:rPr>
          <w:rFonts w:cs="Times New Roman"/>
        </w:rPr>
      </w:pPr>
      <w:r w:rsidRPr="003237C5">
        <w:rPr>
          <w:rFonts w:cs="Times New Roman"/>
        </w:rPr>
        <w:t>set the decision aside and substitute a new decision.</w:t>
      </w:r>
    </w:p>
    <w:p w14:paraId="3003182F" w14:textId="77777777" w:rsidR="00EA50A5" w:rsidRPr="003237C5" w:rsidRDefault="00EA50A5" w:rsidP="00EA50A5">
      <w:pPr>
        <w:ind w:left="1156"/>
        <w:rPr>
          <w:rFonts w:cs="Times New Roman"/>
        </w:rPr>
      </w:pPr>
    </w:p>
    <w:p w14:paraId="01C3938D" w14:textId="77777777" w:rsidR="00EA50A5" w:rsidRPr="003237C5" w:rsidRDefault="00EA50A5" w:rsidP="00EA50A5">
      <w:pPr>
        <w:tabs>
          <w:tab w:val="left" w:pos="1000"/>
        </w:tabs>
        <w:spacing w:after="120"/>
        <w:ind w:left="799" w:hanging="799"/>
        <w:rPr>
          <w:rFonts w:cs="Times New Roman"/>
        </w:rPr>
      </w:pPr>
      <w:r w:rsidRPr="003237C5">
        <w:rPr>
          <w:rFonts w:cs="Times New Roman"/>
        </w:rPr>
        <w:t>2.5.55</w:t>
      </w:r>
      <w:r w:rsidRPr="003237C5">
        <w:rPr>
          <w:rFonts w:cs="Times New Roman"/>
        </w:rPr>
        <w:tab/>
        <w:t>The Higher Education Tuition Protection Director must give the higher education provider written notice of the Director’s decision (</w:t>
      </w:r>
      <w:r w:rsidRPr="003237C5">
        <w:rPr>
          <w:rFonts w:cs="Times New Roman"/>
          <w:b/>
          <w:i/>
        </w:rPr>
        <w:t>internal review decision</w:t>
      </w:r>
      <w:r w:rsidRPr="003237C5">
        <w:rPr>
          <w:rFonts w:cs="Times New Roman"/>
        </w:rPr>
        <w:t xml:space="preserve">) under paragraph 2.5.50. </w:t>
      </w:r>
    </w:p>
    <w:p w14:paraId="47003ED8" w14:textId="77777777" w:rsidR="00EA50A5" w:rsidRPr="003237C5" w:rsidRDefault="00EA50A5" w:rsidP="00EA50A5">
      <w:pPr>
        <w:tabs>
          <w:tab w:val="left" w:pos="1000"/>
        </w:tabs>
        <w:spacing w:after="120"/>
        <w:ind w:left="799" w:hanging="799"/>
        <w:rPr>
          <w:rFonts w:cs="Times New Roman"/>
        </w:rPr>
      </w:pPr>
      <w:r w:rsidRPr="003237C5">
        <w:rPr>
          <w:rFonts w:cs="Times New Roman"/>
        </w:rPr>
        <w:t>2.5.60</w:t>
      </w:r>
      <w:r w:rsidRPr="003237C5">
        <w:rPr>
          <w:rFonts w:cs="Times New Roman"/>
        </w:rPr>
        <w:tab/>
        <w:t xml:space="preserve">The notice under paragraph 2.5.55:  </w:t>
      </w:r>
    </w:p>
    <w:p w14:paraId="6F77CE44" w14:textId="77777777" w:rsidR="00EA50A5" w:rsidRPr="003237C5" w:rsidRDefault="00EA50A5" w:rsidP="006244DA">
      <w:pPr>
        <w:numPr>
          <w:ilvl w:val="0"/>
          <w:numId w:val="10"/>
        </w:numPr>
        <w:spacing w:after="120"/>
        <w:rPr>
          <w:rFonts w:cs="Times New Roman"/>
        </w:rPr>
      </w:pPr>
      <w:r w:rsidRPr="003237C5">
        <w:rPr>
          <w:rFonts w:cs="Times New Roman"/>
        </w:rPr>
        <w:t xml:space="preserve">must be given within 7 days after the internal review decision is </w:t>
      </w:r>
      <w:proofErr w:type="gramStart"/>
      <w:r w:rsidRPr="003237C5">
        <w:rPr>
          <w:rFonts w:cs="Times New Roman"/>
        </w:rPr>
        <w:t>made;</w:t>
      </w:r>
      <w:proofErr w:type="gramEnd"/>
      <w:r w:rsidRPr="003237C5">
        <w:rPr>
          <w:rFonts w:cs="Times New Roman"/>
        </w:rPr>
        <w:t xml:space="preserve"> </w:t>
      </w:r>
    </w:p>
    <w:p w14:paraId="623109D3" w14:textId="77777777" w:rsidR="00EA50A5" w:rsidRPr="003237C5" w:rsidRDefault="00EA50A5" w:rsidP="006244DA">
      <w:pPr>
        <w:numPr>
          <w:ilvl w:val="0"/>
          <w:numId w:val="10"/>
        </w:numPr>
        <w:spacing w:after="120"/>
        <w:rPr>
          <w:rFonts w:cs="Times New Roman"/>
        </w:rPr>
      </w:pPr>
      <w:r w:rsidRPr="003237C5">
        <w:rPr>
          <w:rFonts w:cs="Times New Roman"/>
        </w:rPr>
        <w:t>must contain a statement of the reasons for the internal review decision; and</w:t>
      </w:r>
    </w:p>
    <w:p w14:paraId="337813A3" w14:textId="7FD9DEDD" w:rsidR="00EA50A5" w:rsidRPr="003237C5" w:rsidRDefault="00EA50A5" w:rsidP="006244DA">
      <w:pPr>
        <w:numPr>
          <w:ilvl w:val="0"/>
          <w:numId w:val="10"/>
        </w:numPr>
        <w:ind w:left="1156" w:hanging="357"/>
        <w:rPr>
          <w:rFonts w:cs="Times New Roman"/>
        </w:rPr>
      </w:pPr>
      <w:r w:rsidRPr="003237C5">
        <w:rPr>
          <w:rFonts w:cs="Times New Roman"/>
        </w:rPr>
        <w:t>if subparagraph 2.5.50(b) or (c) applies, include a new notice under paragraph 2.5.5 with a due date at least 30 days after the date the provider is notified of the internal review decision.</w:t>
      </w:r>
    </w:p>
    <w:p w14:paraId="31F04E39" w14:textId="77777777" w:rsidR="00EA50A5" w:rsidRPr="003237C5" w:rsidRDefault="00EA50A5" w:rsidP="00DA0ECD">
      <w:pPr>
        <w:keepNext/>
        <w:spacing w:after="120"/>
        <w:rPr>
          <w:i/>
          <w:iCs/>
        </w:rPr>
      </w:pPr>
      <w:r w:rsidRPr="003237C5">
        <w:rPr>
          <w:i/>
          <w:iCs/>
        </w:rPr>
        <w:t xml:space="preserve">Administrative Appeals Tribunal review </w:t>
      </w:r>
    </w:p>
    <w:p w14:paraId="6AF5A9AF" w14:textId="77777777" w:rsidR="00EA50A5" w:rsidRPr="003237C5" w:rsidRDefault="00EA50A5" w:rsidP="00DA0ECD">
      <w:pPr>
        <w:tabs>
          <w:tab w:val="left" w:pos="1000"/>
        </w:tabs>
        <w:spacing w:after="120"/>
        <w:ind w:left="799" w:hanging="799"/>
      </w:pPr>
      <w:r w:rsidRPr="003237C5">
        <w:rPr>
          <w:rFonts w:cs="Times New Roman"/>
        </w:rPr>
        <w:t>2.5.65</w:t>
      </w:r>
      <w:r w:rsidRPr="003237C5">
        <w:rPr>
          <w:rFonts w:cs="Times New Roman"/>
        </w:rPr>
        <w:tab/>
        <w:t xml:space="preserve">For the purposes of paragraph 19-66A(3)(g) of the Act, an application may be made to the Administrative Appeals Tribunal for the review of a decision that has been confirmed, </w:t>
      </w:r>
      <w:proofErr w:type="gramStart"/>
      <w:r w:rsidRPr="003237C5">
        <w:rPr>
          <w:rFonts w:cs="Times New Roman"/>
        </w:rPr>
        <w:t>varied</w:t>
      </w:r>
      <w:proofErr w:type="gramEnd"/>
      <w:r w:rsidRPr="003237C5">
        <w:rPr>
          <w:rFonts w:cs="Times New Roman"/>
        </w:rPr>
        <w:t xml:space="preserve"> or set aside under paragraph 2.5.50. </w:t>
      </w:r>
    </w:p>
    <w:p w14:paraId="1BCE128F" w14:textId="77777777" w:rsidR="00EA50A5" w:rsidRPr="003237C5" w:rsidRDefault="00EA50A5" w:rsidP="00EA50A5">
      <w:pPr>
        <w:tabs>
          <w:tab w:val="left" w:pos="1000"/>
        </w:tabs>
        <w:rPr>
          <w:b/>
        </w:rPr>
      </w:pPr>
    </w:p>
    <w:p w14:paraId="7B229D57" w14:textId="4C3802BE" w:rsidR="00EA50A5" w:rsidRPr="003237C5" w:rsidRDefault="00EA50A5" w:rsidP="00EA50A5">
      <w:pPr>
        <w:tabs>
          <w:tab w:val="left" w:pos="1000"/>
        </w:tabs>
        <w:rPr>
          <w:b/>
          <w:bCs/>
        </w:rPr>
      </w:pPr>
      <w:proofErr w:type="gramStart"/>
      <w:r w:rsidRPr="003237C5">
        <w:rPr>
          <w:b/>
        </w:rPr>
        <w:t xml:space="preserve">2.10  </w:t>
      </w:r>
      <w:r w:rsidRPr="003237C5">
        <w:rPr>
          <w:b/>
          <w:bCs/>
        </w:rPr>
        <w:t>When</w:t>
      </w:r>
      <w:proofErr w:type="gramEnd"/>
      <w:r w:rsidRPr="003237C5">
        <w:rPr>
          <w:b/>
          <w:bCs/>
        </w:rPr>
        <w:t xml:space="preserve"> a higher education provider defaults in relation to a student </w:t>
      </w:r>
    </w:p>
    <w:p w14:paraId="79FB114E" w14:textId="77777777" w:rsidR="00EA50A5" w:rsidRPr="003237C5" w:rsidRDefault="00EA50A5" w:rsidP="00EA50A5">
      <w:pPr>
        <w:tabs>
          <w:tab w:val="left" w:pos="1000"/>
        </w:tabs>
        <w:ind w:left="800" w:hanging="800"/>
        <w:rPr>
          <w:b/>
          <w:bCs/>
        </w:rPr>
      </w:pPr>
    </w:p>
    <w:p w14:paraId="2FD3E389" w14:textId="77777777" w:rsidR="00EA50A5" w:rsidRPr="003237C5" w:rsidRDefault="00EA50A5" w:rsidP="00EA50A5">
      <w:pPr>
        <w:tabs>
          <w:tab w:val="left" w:pos="1000"/>
        </w:tabs>
        <w:spacing w:after="120"/>
        <w:ind w:left="799" w:hanging="799"/>
        <w:rPr>
          <w:rFonts w:cs="Times New Roman"/>
        </w:rPr>
      </w:pPr>
      <w:r w:rsidRPr="003237C5">
        <w:rPr>
          <w:rFonts w:cs="Times New Roman"/>
          <w:bCs/>
        </w:rPr>
        <w:t>2.10.1</w:t>
      </w:r>
      <w:r w:rsidRPr="003237C5">
        <w:rPr>
          <w:rFonts w:cs="Times New Roman"/>
          <w:bCs/>
        </w:rPr>
        <w:tab/>
        <w:t xml:space="preserve">For the purposes of subsection 166-10(3) of the </w:t>
      </w:r>
      <w:r w:rsidRPr="003237C5">
        <w:rPr>
          <w:rFonts w:cs="Times New Roman"/>
          <w:bCs/>
          <w:i/>
        </w:rPr>
        <w:t xml:space="preserve">Act, </w:t>
      </w:r>
      <w:r w:rsidRPr="003237C5">
        <w:rPr>
          <w:rFonts w:cs="Times New Roman"/>
          <w:bCs/>
        </w:rPr>
        <w:t xml:space="preserve">a higher education provider defaults in relation to a student if the following circumstances apply </w:t>
      </w:r>
      <w:r w:rsidRPr="003237C5">
        <w:rPr>
          <w:rFonts w:cs="Times New Roman"/>
        </w:rPr>
        <w:t>in relation to the provider and the student:</w:t>
      </w:r>
    </w:p>
    <w:p w14:paraId="6ECCBE88" w14:textId="77777777" w:rsidR="00EA50A5" w:rsidRPr="003237C5" w:rsidRDefault="00EA50A5" w:rsidP="006244DA">
      <w:pPr>
        <w:pStyle w:val="ListParagraph"/>
        <w:keepLines/>
        <w:numPr>
          <w:ilvl w:val="0"/>
          <w:numId w:val="11"/>
        </w:numPr>
        <w:tabs>
          <w:tab w:val="left" w:pos="1000"/>
        </w:tabs>
        <w:spacing w:after="120"/>
        <w:rPr>
          <w:szCs w:val="22"/>
        </w:rPr>
      </w:pPr>
      <w:r w:rsidRPr="003237C5">
        <w:rPr>
          <w:szCs w:val="22"/>
        </w:rPr>
        <w:t xml:space="preserve">the student is enrolled in a course of study with that provider and is not enrolled in any units of study within that course; and </w:t>
      </w:r>
    </w:p>
    <w:p w14:paraId="3FB65759" w14:textId="77777777" w:rsidR="00EA50A5" w:rsidRPr="003237C5" w:rsidRDefault="00EA50A5" w:rsidP="006244DA">
      <w:pPr>
        <w:numPr>
          <w:ilvl w:val="0"/>
          <w:numId w:val="11"/>
        </w:numPr>
        <w:spacing w:after="120"/>
        <w:rPr>
          <w:rFonts w:cs="Times New Roman"/>
          <w:bCs/>
        </w:rPr>
      </w:pPr>
      <w:r w:rsidRPr="003237C5">
        <w:rPr>
          <w:rFonts w:cs="Times New Roman"/>
        </w:rPr>
        <w:t xml:space="preserve">the provider fails to commence the course on the day the course was scheduled to start or ceases to provide the course on a day after the course starts but before it is completed. </w:t>
      </w:r>
    </w:p>
    <w:p w14:paraId="516CEBCA" w14:textId="77777777" w:rsidR="00EA50A5" w:rsidRPr="003237C5" w:rsidRDefault="00EA50A5" w:rsidP="00EA50A5">
      <w:pPr>
        <w:tabs>
          <w:tab w:val="left" w:pos="1000"/>
        </w:tabs>
        <w:rPr>
          <w:b/>
        </w:rPr>
      </w:pPr>
    </w:p>
    <w:p w14:paraId="752554C5" w14:textId="2E9CD38F" w:rsidR="00EA50A5" w:rsidRPr="003237C5" w:rsidRDefault="00EA50A5" w:rsidP="00EA50A5">
      <w:pPr>
        <w:tabs>
          <w:tab w:val="left" w:pos="1000"/>
        </w:tabs>
        <w:rPr>
          <w:b/>
          <w:bCs/>
        </w:rPr>
      </w:pPr>
      <w:proofErr w:type="gramStart"/>
      <w:r w:rsidRPr="003237C5">
        <w:rPr>
          <w:b/>
        </w:rPr>
        <w:t xml:space="preserve">2.15  </w:t>
      </w:r>
      <w:r w:rsidRPr="003237C5">
        <w:rPr>
          <w:b/>
          <w:bCs/>
        </w:rPr>
        <w:t>Notifying</w:t>
      </w:r>
      <w:proofErr w:type="gramEnd"/>
      <w:r w:rsidRPr="003237C5">
        <w:rPr>
          <w:b/>
          <w:bCs/>
        </w:rPr>
        <w:t xml:space="preserve"> the Higher Education Tuition Protection Director of the details of the default  </w:t>
      </w:r>
    </w:p>
    <w:p w14:paraId="34320BF1" w14:textId="77777777" w:rsidR="00EA50A5" w:rsidRPr="003237C5" w:rsidRDefault="00EA50A5" w:rsidP="00EA50A5">
      <w:pPr>
        <w:tabs>
          <w:tab w:val="left" w:pos="1000"/>
        </w:tabs>
        <w:ind w:left="800" w:hanging="800"/>
        <w:rPr>
          <w:b/>
          <w:bCs/>
        </w:rPr>
      </w:pPr>
    </w:p>
    <w:p w14:paraId="7F00F87C" w14:textId="77777777" w:rsidR="00EA50A5" w:rsidRPr="003237C5" w:rsidRDefault="00EA50A5" w:rsidP="00EA50A5">
      <w:pPr>
        <w:tabs>
          <w:tab w:val="left" w:pos="1000"/>
        </w:tabs>
        <w:ind w:left="800" w:hanging="800"/>
        <w:rPr>
          <w:rFonts w:cs="Times New Roman"/>
          <w:bCs/>
          <w:i/>
        </w:rPr>
      </w:pPr>
      <w:r w:rsidRPr="003237C5">
        <w:rPr>
          <w:rFonts w:cs="Times New Roman"/>
          <w:bCs/>
          <w:i/>
        </w:rPr>
        <w:t xml:space="preserve">Additional details of default </w:t>
      </w:r>
    </w:p>
    <w:p w14:paraId="6349A861" w14:textId="77777777" w:rsidR="00EA50A5" w:rsidRPr="003237C5" w:rsidRDefault="00EA50A5" w:rsidP="00EA50A5">
      <w:pPr>
        <w:tabs>
          <w:tab w:val="left" w:pos="1000"/>
        </w:tabs>
        <w:ind w:left="800" w:hanging="800"/>
        <w:rPr>
          <w:rFonts w:cs="Times New Roman"/>
          <w:bCs/>
          <w:i/>
        </w:rPr>
      </w:pPr>
    </w:p>
    <w:p w14:paraId="1BCD6A7B" w14:textId="77777777" w:rsidR="00EA50A5" w:rsidRPr="003237C5" w:rsidRDefault="00EA50A5" w:rsidP="00EA50A5">
      <w:pPr>
        <w:tabs>
          <w:tab w:val="left" w:pos="1000"/>
        </w:tabs>
        <w:spacing w:after="120"/>
        <w:ind w:left="799" w:hanging="799"/>
        <w:rPr>
          <w:rFonts w:cs="Times New Roman"/>
        </w:rPr>
      </w:pPr>
      <w:r w:rsidRPr="003237C5">
        <w:rPr>
          <w:rFonts w:cs="Times New Roman"/>
          <w:bCs/>
        </w:rPr>
        <w:t>2.15.1</w:t>
      </w:r>
      <w:r w:rsidRPr="003237C5">
        <w:rPr>
          <w:rFonts w:cs="Times New Roman"/>
          <w:bCs/>
        </w:rPr>
        <w:tab/>
        <w:t xml:space="preserve">For the purposes of paragraph 166-15(3)(b) of the </w:t>
      </w:r>
      <w:r w:rsidRPr="003237C5">
        <w:rPr>
          <w:rFonts w:cs="Times New Roman"/>
          <w:bCs/>
          <w:i/>
        </w:rPr>
        <w:t xml:space="preserve">Act, </w:t>
      </w:r>
      <w:r w:rsidRPr="003237C5">
        <w:rPr>
          <w:rFonts w:cs="Times New Roman"/>
          <w:bCs/>
        </w:rPr>
        <w:t xml:space="preserve">the written notice given to the Higher Education Tuition Protection Director under subsection 166-15(3) of the </w:t>
      </w:r>
      <w:r w:rsidRPr="003237C5">
        <w:rPr>
          <w:rFonts w:cs="Times New Roman"/>
          <w:bCs/>
          <w:i/>
        </w:rPr>
        <w:t xml:space="preserve">Act </w:t>
      </w:r>
      <w:r w:rsidRPr="003237C5">
        <w:rPr>
          <w:rFonts w:cs="Times New Roman"/>
          <w:bCs/>
        </w:rPr>
        <w:t xml:space="preserve">must specify for each student in relation to each unit of study and course of study that the student was enrolled in at the time of the </w:t>
      </w:r>
      <w:r w:rsidRPr="003237C5">
        <w:rPr>
          <w:rFonts w:cs="Times New Roman"/>
        </w:rPr>
        <w:t>default:</w:t>
      </w:r>
    </w:p>
    <w:p w14:paraId="327AB0F9" w14:textId="77777777" w:rsidR="00EA50A5" w:rsidRPr="003237C5" w:rsidRDefault="00EA50A5" w:rsidP="006244DA">
      <w:pPr>
        <w:pStyle w:val="ListParagraph"/>
        <w:keepLines/>
        <w:numPr>
          <w:ilvl w:val="0"/>
          <w:numId w:val="12"/>
        </w:numPr>
        <w:tabs>
          <w:tab w:val="left" w:pos="1000"/>
        </w:tabs>
        <w:spacing w:after="120"/>
        <w:rPr>
          <w:szCs w:val="22"/>
        </w:rPr>
      </w:pPr>
      <w:r w:rsidRPr="003237C5">
        <w:rPr>
          <w:szCs w:val="22"/>
        </w:rPr>
        <w:t xml:space="preserve">the student’s residential address, phone number and email </w:t>
      </w:r>
      <w:proofErr w:type="gramStart"/>
      <w:r w:rsidRPr="003237C5">
        <w:rPr>
          <w:szCs w:val="22"/>
        </w:rPr>
        <w:t>address;</w:t>
      </w:r>
      <w:proofErr w:type="gramEnd"/>
    </w:p>
    <w:p w14:paraId="27E41474" w14:textId="77777777" w:rsidR="00EA50A5" w:rsidRPr="003237C5" w:rsidRDefault="00EA50A5" w:rsidP="006244DA">
      <w:pPr>
        <w:numPr>
          <w:ilvl w:val="0"/>
          <w:numId w:val="12"/>
        </w:numPr>
        <w:spacing w:after="120"/>
        <w:rPr>
          <w:rFonts w:cs="Times New Roman"/>
        </w:rPr>
      </w:pPr>
      <w:r w:rsidRPr="003237C5">
        <w:rPr>
          <w:rFonts w:cs="Times New Roman"/>
        </w:rPr>
        <w:t xml:space="preserve">whether the student was studying part-time or </w:t>
      </w:r>
      <w:proofErr w:type="gramStart"/>
      <w:r w:rsidRPr="003237C5">
        <w:rPr>
          <w:rFonts w:cs="Times New Roman"/>
        </w:rPr>
        <w:t>full-time;</w:t>
      </w:r>
      <w:proofErr w:type="gramEnd"/>
      <w:r w:rsidRPr="003237C5">
        <w:rPr>
          <w:rFonts w:cs="Times New Roman"/>
        </w:rPr>
        <w:t xml:space="preserve"> </w:t>
      </w:r>
    </w:p>
    <w:p w14:paraId="73F1715E" w14:textId="77777777" w:rsidR="00EA50A5" w:rsidRPr="003237C5" w:rsidRDefault="00EA50A5" w:rsidP="006244DA">
      <w:pPr>
        <w:numPr>
          <w:ilvl w:val="0"/>
          <w:numId w:val="12"/>
        </w:numPr>
        <w:spacing w:after="120"/>
        <w:rPr>
          <w:rFonts w:cs="Times New Roman"/>
        </w:rPr>
      </w:pPr>
      <w:r w:rsidRPr="003237C5">
        <w:rPr>
          <w:rFonts w:cs="Times New Roman"/>
        </w:rPr>
        <w:t xml:space="preserve">the mode of delivery of each unit or course and if the student did not study online, the location (campus, suburb and postcode) where each unit or course was primarily </w:t>
      </w:r>
      <w:proofErr w:type="gramStart"/>
      <w:r w:rsidRPr="003237C5">
        <w:rPr>
          <w:rFonts w:cs="Times New Roman"/>
        </w:rPr>
        <w:t>delivered;</w:t>
      </w:r>
      <w:proofErr w:type="gramEnd"/>
      <w:r w:rsidRPr="003237C5">
        <w:rPr>
          <w:rFonts w:cs="Times New Roman"/>
        </w:rPr>
        <w:t xml:space="preserve"> </w:t>
      </w:r>
    </w:p>
    <w:p w14:paraId="10970B14" w14:textId="77777777" w:rsidR="00EA50A5" w:rsidRPr="003237C5" w:rsidRDefault="00EA50A5" w:rsidP="006244DA">
      <w:pPr>
        <w:numPr>
          <w:ilvl w:val="0"/>
          <w:numId w:val="12"/>
        </w:numPr>
        <w:spacing w:after="120"/>
        <w:rPr>
          <w:rFonts w:cs="Times New Roman"/>
        </w:rPr>
      </w:pPr>
      <w:r w:rsidRPr="003237C5">
        <w:rPr>
          <w:rFonts w:cs="Times New Roman"/>
        </w:rPr>
        <w:t xml:space="preserve">unit and course description outlines, including outlines for completed </w:t>
      </w:r>
      <w:proofErr w:type="gramStart"/>
      <w:r w:rsidRPr="003237C5">
        <w:rPr>
          <w:rFonts w:cs="Times New Roman"/>
        </w:rPr>
        <w:t>units;</w:t>
      </w:r>
      <w:proofErr w:type="gramEnd"/>
    </w:p>
    <w:p w14:paraId="0D90AF59" w14:textId="77777777" w:rsidR="00EA50A5" w:rsidRPr="003237C5" w:rsidRDefault="00EA50A5" w:rsidP="006244DA">
      <w:pPr>
        <w:numPr>
          <w:ilvl w:val="0"/>
          <w:numId w:val="12"/>
        </w:numPr>
        <w:spacing w:after="120"/>
        <w:rPr>
          <w:rFonts w:cs="Times New Roman"/>
        </w:rPr>
      </w:pPr>
      <w:r w:rsidRPr="003237C5">
        <w:rPr>
          <w:rFonts w:cs="Times New Roman"/>
        </w:rPr>
        <w:t xml:space="preserve">whether the student has withdrawn from the course and the date of </w:t>
      </w:r>
      <w:proofErr w:type="gramStart"/>
      <w:r w:rsidRPr="003237C5">
        <w:rPr>
          <w:rFonts w:cs="Times New Roman"/>
        </w:rPr>
        <w:t>withdrawal;</w:t>
      </w:r>
      <w:proofErr w:type="gramEnd"/>
    </w:p>
    <w:p w14:paraId="02A39BD6" w14:textId="77777777" w:rsidR="00EA50A5" w:rsidRPr="003237C5" w:rsidRDefault="00EA50A5" w:rsidP="006244DA">
      <w:pPr>
        <w:numPr>
          <w:ilvl w:val="0"/>
          <w:numId w:val="12"/>
        </w:numPr>
        <w:spacing w:after="120"/>
        <w:rPr>
          <w:rFonts w:cs="Times New Roman"/>
        </w:rPr>
      </w:pPr>
      <w:r w:rsidRPr="003237C5">
        <w:rPr>
          <w:rFonts w:cs="Times New Roman"/>
        </w:rPr>
        <w:t xml:space="preserve">whether the student has deferred from any units or the course, the date of the deferral and the date the student is expected to re-commence </w:t>
      </w:r>
      <w:proofErr w:type="gramStart"/>
      <w:r w:rsidRPr="003237C5">
        <w:rPr>
          <w:rFonts w:cs="Times New Roman"/>
        </w:rPr>
        <w:t>study;</w:t>
      </w:r>
      <w:proofErr w:type="gramEnd"/>
      <w:r w:rsidRPr="003237C5">
        <w:rPr>
          <w:rFonts w:cs="Times New Roman"/>
        </w:rPr>
        <w:t xml:space="preserve"> </w:t>
      </w:r>
    </w:p>
    <w:p w14:paraId="599E248D" w14:textId="77777777" w:rsidR="00EA50A5" w:rsidRPr="003237C5" w:rsidRDefault="00EA50A5" w:rsidP="006244DA">
      <w:pPr>
        <w:numPr>
          <w:ilvl w:val="0"/>
          <w:numId w:val="12"/>
        </w:numPr>
        <w:spacing w:after="120"/>
        <w:rPr>
          <w:rFonts w:cs="Times New Roman"/>
        </w:rPr>
      </w:pPr>
      <w:r w:rsidRPr="003237C5">
        <w:rPr>
          <w:rFonts w:cs="Times New Roman"/>
        </w:rPr>
        <w:t xml:space="preserve">the unit of study status and unit completion date for each unit, including whether the status is withdrawn, ongoing, passed or </w:t>
      </w:r>
      <w:proofErr w:type="gramStart"/>
      <w:r w:rsidRPr="003237C5">
        <w:rPr>
          <w:rFonts w:cs="Times New Roman"/>
        </w:rPr>
        <w:t>failed;</w:t>
      </w:r>
      <w:proofErr w:type="gramEnd"/>
      <w:r w:rsidRPr="003237C5">
        <w:rPr>
          <w:rFonts w:cs="Times New Roman"/>
        </w:rPr>
        <w:t xml:space="preserve"> </w:t>
      </w:r>
    </w:p>
    <w:p w14:paraId="22ED1DD4" w14:textId="77777777" w:rsidR="00EA50A5" w:rsidRPr="003237C5" w:rsidRDefault="00EA50A5" w:rsidP="006244DA">
      <w:pPr>
        <w:numPr>
          <w:ilvl w:val="0"/>
          <w:numId w:val="12"/>
        </w:numPr>
        <w:spacing w:after="120"/>
        <w:rPr>
          <w:rFonts w:cs="Times New Roman"/>
        </w:rPr>
      </w:pPr>
      <w:r w:rsidRPr="003237C5">
        <w:rPr>
          <w:rFonts w:cs="Times New Roman"/>
        </w:rPr>
        <w:t xml:space="preserve">any work integrated learning and internship requirements for each </w:t>
      </w:r>
      <w:proofErr w:type="gramStart"/>
      <w:r w:rsidRPr="003237C5">
        <w:rPr>
          <w:rFonts w:cs="Times New Roman"/>
        </w:rPr>
        <w:t>unit;</w:t>
      </w:r>
      <w:proofErr w:type="gramEnd"/>
    </w:p>
    <w:p w14:paraId="7D9E0802" w14:textId="77777777" w:rsidR="00EA50A5" w:rsidRPr="003237C5" w:rsidRDefault="00EA50A5" w:rsidP="006244DA">
      <w:pPr>
        <w:numPr>
          <w:ilvl w:val="0"/>
          <w:numId w:val="12"/>
        </w:numPr>
        <w:spacing w:after="120"/>
        <w:rPr>
          <w:rFonts w:cs="Times New Roman"/>
        </w:rPr>
      </w:pPr>
      <w:r w:rsidRPr="003237C5">
        <w:rPr>
          <w:rFonts w:cs="Times New Roman"/>
        </w:rPr>
        <w:t>information about any scholarship arrangements or any payment arrangements made for the student by a third party for the student’s tuition fees; and</w:t>
      </w:r>
    </w:p>
    <w:p w14:paraId="6447CF80" w14:textId="1DB99878" w:rsidR="00EA50A5" w:rsidRPr="003237C5" w:rsidRDefault="00EA50A5" w:rsidP="006244DA">
      <w:pPr>
        <w:numPr>
          <w:ilvl w:val="0"/>
          <w:numId w:val="12"/>
        </w:numPr>
        <w:spacing w:after="120"/>
        <w:rPr>
          <w:rFonts w:cs="Times New Roman"/>
        </w:rPr>
      </w:pPr>
      <w:r w:rsidRPr="003237C5">
        <w:rPr>
          <w:rFonts w:cs="Times New Roman"/>
        </w:rPr>
        <w:t xml:space="preserve">the total of other fees that are not tuition fees paid for the student for the unit or course received by the provider. </w:t>
      </w:r>
    </w:p>
    <w:p w14:paraId="47BDFDA6" w14:textId="77777777" w:rsidR="00EA50A5" w:rsidRPr="003237C5" w:rsidRDefault="00EA50A5" w:rsidP="00EA50A5">
      <w:pPr>
        <w:tabs>
          <w:tab w:val="left" w:pos="1000"/>
        </w:tabs>
        <w:ind w:left="800" w:hanging="800"/>
        <w:rPr>
          <w:rFonts w:cs="Times New Roman"/>
          <w:bCs/>
          <w:i/>
        </w:rPr>
      </w:pPr>
      <w:r w:rsidRPr="003237C5">
        <w:rPr>
          <w:rFonts w:cs="Times New Roman"/>
          <w:bCs/>
          <w:i/>
        </w:rPr>
        <w:t xml:space="preserve">Requirements of notice </w:t>
      </w:r>
    </w:p>
    <w:p w14:paraId="5EB89B93" w14:textId="77777777" w:rsidR="00EA50A5" w:rsidRPr="003237C5" w:rsidRDefault="00EA50A5" w:rsidP="00EA50A5">
      <w:pPr>
        <w:tabs>
          <w:tab w:val="left" w:pos="1000"/>
        </w:tabs>
        <w:ind w:left="800" w:hanging="800"/>
        <w:rPr>
          <w:rFonts w:cs="Times New Roman"/>
          <w:bCs/>
          <w:i/>
        </w:rPr>
      </w:pPr>
    </w:p>
    <w:p w14:paraId="6B35412C" w14:textId="77777777" w:rsidR="00EA50A5" w:rsidRPr="003237C5" w:rsidRDefault="00EA50A5" w:rsidP="00EA50A5">
      <w:pPr>
        <w:tabs>
          <w:tab w:val="left" w:pos="1000"/>
        </w:tabs>
        <w:ind w:left="800" w:hanging="800"/>
        <w:rPr>
          <w:rFonts w:cs="Times New Roman"/>
          <w:bCs/>
        </w:rPr>
      </w:pPr>
      <w:r w:rsidRPr="003237C5">
        <w:rPr>
          <w:rFonts w:cs="Times New Roman"/>
          <w:bCs/>
        </w:rPr>
        <w:t>2.15.5</w:t>
      </w:r>
      <w:r w:rsidRPr="003237C5">
        <w:rPr>
          <w:rFonts w:cs="Times New Roman"/>
          <w:bCs/>
        </w:rPr>
        <w:tab/>
        <w:t xml:space="preserve">For the purposes of subsection 166-15(5) of the </w:t>
      </w:r>
      <w:r w:rsidRPr="003237C5">
        <w:rPr>
          <w:rFonts w:cs="Times New Roman"/>
          <w:bCs/>
          <w:i/>
        </w:rPr>
        <w:t>Act</w:t>
      </w:r>
      <w:r w:rsidRPr="003237C5">
        <w:rPr>
          <w:rFonts w:cs="Times New Roman"/>
          <w:bCs/>
        </w:rPr>
        <w:t xml:space="preserve">, the notice given to the Higher Education Tuition Protection Director under subsection 166-15(2) of the </w:t>
      </w:r>
      <w:r w:rsidRPr="003237C5">
        <w:rPr>
          <w:rFonts w:cs="Times New Roman"/>
          <w:bCs/>
          <w:i/>
          <w:iCs/>
        </w:rPr>
        <w:t xml:space="preserve">Act </w:t>
      </w:r>
      <w:r w:rsidRPr="003237C5">
        <w:rPr>
          <w:rFonts w:cs="Times New Roman"/>
          <w:bCs/>
        </w:rPr>
        <w:t>must include information about the number of students in relation to whom the higher education provider has defaulted.</w:t>
      </w:r>
    </w:p>
    <w:p w14:paraId="75122EF7" w14:textId="77777777" w:rsidR="00EA50A5" w:rsidRPr="003237C5" w:rsidRDefault="00EA50A5" w:rsidP="00EA50A5">
      <w:pPr>
        <w:tabs>
          <w:tab w:val="left" w:pos="1000"/>
        </w:tabs>
        <w:ind w:left="800" w:hanging="800"/>
        <w:rPr>
          <w:rFonts w:cs="Times New Roman"/>
          <w:bCs/>
        </w:rPr>
      </w:pPr>
    </w:p>
    <w:p w14:paraId="55A0AED8" w14:textId="77777777" w:rsidR="00EA50A5" w:rsidRPr="003237C5" w:rsidRDefault="00EA50A5" w:rsidP="00EA50A5">
      <w:pPr>
        <w:tabs>
          <w:tab w:val="left" w:pos="1000"/>
        </w:tabs>
        <w:ind w:left="800" w:hanging="800"/>
        <w:rPr>
          <w:rFonts w:cs="Times New Roman"/>
          <w:bCs/>
        </w:rPr>
      </w:pPr>
      <w:r w:rsidRPr="003237C5">
        <w:rPr>
          <w:rFonts w:cs="Times New Roman"/>
          <w:bCs/>
        </w:rPr>
        <w:t>2.15.10</w:t>
      </w:r>
      <w:r w:rsidRPr="003237C5">
        <w:rPr>
          <w:rFonts w:cs="Times New Roman"/>
          <w:bCs/>
        </w:rPr>
        <w:tab/>
        <w:t xml:space="preserve">The information required under subsection 166-15(3) of the </w:t>
      </w:r>
      <w:r w:rsidRPr="003237C5">
        <w:rPr>
          <w:rFonts w:cs="Times New Roman"/>
          <w:bCs/>
          <w:i/>
        </w:rPr>
        <w:t>Act</w:t>
      </w:r>
      <w:r w:rsidRPr="003237C5">
        <w:rPr>
          <w:rFonts w:cs="Times New Roman"/>
          <w:bCs/>
        </w:rPr>
        <w:t xml:space="preserve"> must be given to the Higher Education Tuition Protection Director in a manner and form approved by the Director. </w:t>
      </w:r>
    </w:p>
    <w:p w14:paraId="60AF7F92" w14:textId="1697513F" w:rsidR="00EA50A5" w:rsidRPr="003237C5" w:rsidRDefault="00EA50A5" w:rsidP="00032DC4">
      <w:pPr>
        <w:rPr>
          <w:rFonts w:cs="Times New Roman"/>
        </w:rPr>
      </w:pPr>
    </w:p>
    <w:p w14:paraId="1CE2FC6D" w14:textId="77777777" w:rsidR="00EA50A5" w:rsidRPr="003237C5" w:rsidRDefault="00EA50A5" w:rsidP="00EA50A5">
      <w:pPr>
        <w:tabs>
          <w:tab w:val="left" w:pos="1000"/>
        </w:tabs>
        <w:rPr>
          <w:b/>
          <w:bCs/>
        </w:rPr>
      </w:pPr>
      <w:proofErr w:type="gramStart"/>
      <w:r w:rsidRPr="003237C5">
        <w:rPr>
          <w:b/>
        </w:rPr>
        <w:t xml:space="preserve">2.20  </w:t>
      </w:r>
      <w:r w:rsidRPr="003237C5">
        <w:rPr>
          <w:b/>
          <w:bCs/>
        </w:rPr>
        <w:t>Requirements</w:t>
      </w:r>
      <w:proofErr w:type="gramEnd"/>
      <w:r w:rsidRPr="003237C5">
        <w:rPr>
          <w:b/>
          <w:bCs/>
        </w:rPr>
        <w:t xml:space="preserve"> of notice to student </w:t>
      </w:r>
    </w:p>
    <w:p w14:paraId="4AFAABB4" w14:textId="77777777" w:rsidR="00EA50A5" w:rsidRPr="003237C5" w:rsidRDefault="00EA50A5" w:rsidP="00EA50A5">
      <w:pPr>
        <w:tabs>
          <w:tab w:val="left" w:pos="1000"/>
        </w:tabs>
        <w:ind w:left="800" w:hanging="800"/>
        <w:rPr>
          <w:bCs/>
        </w:rPr>
      </w:pPr>
      <w:r w:rsidRPr="003237C5">
        <w:rPr>
          <w:bCs/>
        </w:rPr>
        <w:t xml:space="preserve">  </w:t>
      </w:r>
    </w:p>
    <w:p w14:paraId="0D99E485" w14:textId="77777777" w:rsidR="00EA50A5" w:rsidRPr="003237C5" w:rsidRDefault="00EA50A5" w:rsidP="00EA50A5">
      <w:pPr>
        <w:tabs>
          <w:tab w:val="left" w:pos="1000"/>
        </w:tabs>
        <w:spacing w:after="120"/>
        <w:ind w:left="799" w:hanging="799"/>
        <w:rPr>
          <w:rFonts w:cs="Times New Roman"/>
        </w:rPr>
      </w:pPr>
      <w:r w:rsidRPr="003237C5">
        <w:rPr>
          <w:rFonts w:cs="Times New Roman"/>
          <w:bCs/>
        </w:rPr>
        <w:t>2.20.1</w:t>
      </w:r>
      <w:r w:rsidRPr="003237C5">
        <w:rPr>
          <w:rFonts w:cs="Times New Roman"/>
          <w:bCs/>
        </w:rPr>
        <w:tab/>
        <w:t xml:space="preserve">For the purposes of subsection 166-20(3) of the </w:t>
      </w:r>
      <w:r w:rsidRPr="003237C5">
        <w:rPr>
          <w:rFonts w:cs="Times New Roman"/>
          <w:bCs/>
          <w:i/>
          <w:iCs/>
        </w:rPr>
        <w:t>Act</w:t>
      </w:r>
      <w:r w:rsidRPr="003237C5">
        <w:rPr>
          <w:rFonts w:cs="Times New Roman"/>
          <w:bCs/>
        </w:rPr>
        <w:t xml:space="preserve">, the higher education provider must specify in its written notice of default to students in relation to </w:t>
      </w:r>
      <w:r w:rsidRPr="003237C5">
        <w:rPr>
          <w:rFonts w:cs="Times New Roman"/>
        </w:rPr>
        <w:t xml:space="preserve">whom it has defaulted: </w:t>
      </w:r>
    </w:p>
    <w:p w14:paraId="63E08AC5" w14:textId="77777777" w:rsidR="00EA50A5" w:rsidRPr="003237C5" w:rsidRDefault="00EA50A5" w:rsidP="006244DA">
      <w:pPr>
        <w:pStyle w:val="ListParagraph"/>
        <w:keepLines/>
        <w:numPr>
          <w:ilvl w:val="0"/>
          <w:numId w:val="13"/>
        </w:numPr>
        <w:tabs>
          <w:tab w:val="left" w:pos="1000"/>
        </w:tabs>
        <w:spacing w:after="120"/>
        <w:rPr>
          <w:szCs w:val="22"/>
        </w:rPr>
      </w:pPr>
      <w:r w:rsidRPr="003237C5">
        <w:rPr>
          <w:szCs w:val="22"/>
        </w:rPr>
        <w:t xml:space="preserve">the name of the course of study and units of study that the student was enrolled in at the time of the </w:t>
      </w:r>
      <w:proofErr w:type="gramStart"/>
      <w:r w:rsidRPr="003237C5">
        <w:rPr>
          <w:szCs w:val="22"/>
        </w:rPr>
        <w:t>default;</w:t>
      </w:r>
      <w:proofErr w:type="gramEnd"/>
    </w:p>
    <w:p w14:paraId="38389A35" w14:textId="77777777" w:rsidR="00EA50A5" w:rsidRPr="003237C5" w:rsidRDefault="00EA50A5" w:rsidP="006244DA">
      <w:pPr>
        <w:numPr>
          <w:ilvl w:val="0"/>
          <w:numId w:val="13"/>
        </w:numPr>
        <w:spacing w:after="120"/>
        <w:rPr>
          <w:rFonts w:cs="Times New Roman"/>
        </w:rPr>
      </w:pPr>
      <w:r w:rsidRPr="003237C5">
        <w:rPr>
          <w:rFonts w:cs="Times New Roman"/>
        </w:rPr>
        <w:t xml:space="preserve">the date of the </w:t>
      </w:r>
      <w:proofErr w:type="gramStart"/>
      <w:r w:rsidRPr="003237C5">
        <w:rPr>
          <w:rFonts w:cs="Times New Roman"/>
        </w:rPr>
        <w:t>default;</w:t>
      </w:r>
      <w:proofErr w:type="gramEnd"/>
    </w:p>
    <w:p w14:paraId="6E80B9A5" w14:textId="77777777" w:rsidR="00EA50A5" w:rsidRPr="003237C5" w:rsidRDefault="00EA50A5" w:rsidP="006244DA">
      <w:pPr>
        <w:numPr>
          <w:ilvl w:val="0"/>
          <w:numId w:val="13"/>
        </w:numPr>
        <w:spacing w:after="120"/>
        <w:rPr>
          <w:rFonts w:cs="Times New Roman"/>
        </w:rPr>
      </w:pPr>
      <w:r w:rsidRPr="003237C5">
        <w:rPr>
          <w:rFonts w:cs="Times New Roman"/>
        </w:rPr>
        <w:t xml:space="preserve">a copy of the student’s transcript for units already </w:t>
      </w:r>
      <w:proofErr w:type="gramStart"/>
      <w:r w:rsidRPr="003237C5">
        <w:rPr>
          <w:rFonts w:cs="Times New Roman"/>
        </w:rPr>
        <w:t>completed;</w:t>
      </w:r>
      <w:proofErr w:type="gramEnd"/>
      <w:r w:rsidRPr="003237C5">
        <w:rPr>
          <w:rFonts w:cs="Times New Roman"/>
        </w:rPr>
        <w:t xml:space="preserve"> </w:t>
      </w:r>
    </w:p>
    <w:p w14:paraId="5B5ED957" w14:textId="77777777" w:rsidR="00EA50A5" w:rsidRPr="003237C5" w:rsidRDefault="00EA50A5" w:rsidP="006244DA">
      <w:pPr>
        <w:numPr>
          <w:ilvl w:val="0"/>
          <w:numId w:val="13"/>
        </w:numPr>
        <w:spacing w:after="120"/>
        <w:rPr>
          <w:rFonts w:cs="Times New Roman"/>
        </w:rPr>
      </w:pPr>
      <w:r w:rsidRPr="003237C5">
        <w:rPr>
          <w:rFonts w:cs="Times New Roman"/>
        </w:rPr>
        <w:t>evidence of any amounts of up-front payments received; and</w:t>
      </w:r>
    </w:p>
    <w:p w14:paraId="60C4B5BF" w14:textId="77777777" w:rsidR="00EA50A5" w:rsidRPr="003237C5" w:rsidRDefault="00EA50A5" w:rsidP="006244DA">
      <w:pPr>
        <w:numPr>
          <w:ilvl w:val="0"/>
          <w:numId w:val="13"/>
        </w:numPr>
        <w:spacing w:after="120"/>
        <w:rPr>
          <w:rFonts w:cs="Times New Roman"/>
        </w:rPr>
      </w:pPr>
      <w:r w:rsidRPr="003237C5">
        <w:rPr>
          <w:rFonts w:cs="Times New Roman"/>
        </w:rPr>
        <w:t xml:space="preserve">details of where to get information from the responsible Australian Government Department about tuition protection. </w:t>
      </w:r>
    </w:p>
    <w:p w14:paraId="757D43BD" w14:textId="77777777" w:rsidR="00EA50A5" w:rsidRPr="003237C5" w:rsidRDefault="00EA50A5" w:rsidP="00EA50A5">
      <w:pPr>
        <w:tabs>
          <w:tab w:val="left" w:pos="1000"/>
        </w:tabs>
        <w:spacing w:after="120"/>
        <w:ind w:left="799" w:hanging="799"/>
        <w:rPr>
          <w:rFonts w:cs="Times New Roman"/>
          <w:bCs/>
        </w:rPr>
      </w:pPr>
      <w:r w:rsidRPr="003237C5">
        <w:rPr>
          <w:rFonts w:cs="Times New Roman"/>
          <w:bCs/>
        </w:rPr>
        <w:t>2.20.5</w:t>
      </w:r>
      <w:r w:rsidRPr="003237C5">
        <w:rPr>
          <w:rFonts w:cs="Times New Roman"/>
          <w:bCs/>
        </w:rPr>
        <w:tab/>
        <w:t xml:space="preserve">The higher education provider must send the notice in one of the following ways: </w:t>
      </w:r>
    </w:p>
    <w:p w14:paraId="619CA451" w14:textId="77777777" w:rsidR="00EA50A5" w:rsidRPr="003237C5" w:rsidRDefault="00EA50A5" w:rsidP="006244DA">
      <w:pPr>
        <w:pStyle w:val="ListParagraph"/>
        <w:keepLines/>
        <w:numPr>
          <w:ilvl w:val="0"/>
          <w:numId w:val="14"/>
        </w:numPr>
        <w:tabs>
          <w:tab w:val="left" w:pos="1000"/>
        </w:tabs>
        <w:spacing w:after="120"/>
        <w:rPr>
          <w:szCs w:val="22"/>
        </w:rPr>
      </w:pPr>
      <w:r w:rsidRPr="003237C5">
        <w:rPr>
          <w:szCs w:val="22"/>
        </w:rPr>
        <w:t xml:space="preserve">to the student’s personal email address as advised by the </w:t>
      </w:r>
      <w:proofErr w:type="gramStart"/>
      <w:r w:rsidRPr="003237C5">
        <w:rPr>
          <w:szCs w:val="22"/>
        </w:rPr>
        <w:t>student;</w:t>
      </w:r>
      <w:proofErr w:type="gramEnd"/>
    </w:p>
    <w:p w14:paraId="51589E9A" w14:textId="77777777" w:rsidR="00EA50A5" w:rsidRPr="003237C5" w:rsidRDefault="00EA50A5" w:rsidP="006244DA">
      <w:pPr>
        <w:numPr>
          <w:ilvl w:val="0"/>
          <w:numId w:val="14"/>
        </w:numPr>
        <w:spacing w:after="120"/>
        <w:rPr>
          <w:rFonts w:cs="Times New Roman"/>
        </w:rPr>
      </w:pPr>
      <w:r w:rsidRPr="003237C5">
        <w:rPr>
          <w:rFonts w:cs="Times New Roman"/>
        </w:rPr>
        <w:t>to the student’s postal address as advised by the student; or</w:t>
      </w:r>
    </w:p>
    <w:p w14:paraId="4FC9585B" w14:textId="77777777" w:rsidR="00EA50A5" w:rsidRPr="003237C5" w:rsidRDefault="00EA50A5" w:rsidP="006244DA">
      <w:pPr>
        <w:numPr>
          <w:ilvl w:val="0"/>
          <w:numId w:val="14"/>
        </w:numPr>
        <w:spacing w:after="120"/>
        <w:rPr>
          <w:rFonts w:cs="Times New Roman"/>
          <w:sz w:val="20"/>
        </w:rPr>
      </w:pPr>
      <w:r w:rsidRPr="003237C5">
        <w:rPr>
          <w:rFonts w:cs="Times New Roman"/>
        </w:rPr>
        <w:t>to the student by another method agreed to by the student.</w:t>
      </w:r>
    </w:p>
    <w:p w14:paraId="46148945" w14:textId="5E6621F4" w:rsidR="00EA50A5" w:rsidRPr="003237C5" w:rsidRDefault="00EA50A5" w:rsidP="00032DC4">
      <w:pPr>
        <w:rPr>
          <w:rFonts w:cs="Times New Roman"/>
        </w:rPr>
      </w:pPr>
    </w:p>
    <w:p w14:paraId="771EF70C" w14:textId="77777777" w:rsidR="00EA50A5" w:rsidRPr="003237C5" w:rsidRDefault="00EA50A5" w:rsidP="00EA50A5">
      <w:pPr>
        <w:tabs>
          <w:tab w:val="left" w:pos="1000"/>
        </w:tabs>
        <w:rPr>
          <w:b/>
          <w:bCs/>
        </w:rPr>
      </w:pPr>
      <w:proofErr w:type="gramStart"/>
      <w:r w:rsidRPr="003237C5">
        <w:rPr>
          <w:b/>
        </w:rPr>
        <w:t xml:space="preserve">2.25  </w:t>
      </w:r>
      <w:r w:rsidRPr="003237C5">
        <w:rPr>
          <w:b/>
          <w:bCs/>
        </w:rPr>
        <w:t>Providers</w:t>
      </w:r>
      <w:proofErr w:type="gramEnd"/>
      <w:r w:rsidRPr="003237C5">
        <w:rPr>
          <w:b/>
          <w:bCs/>
        </w:rPr>
        <w:t xml:space="preserve"> to notify of outcome of discharge of obligations  </w:t>
      </w:r>
    </w:p>
    <w:p w14:paraId="79F88C47" w14:textId="77777777" w:rsidR="00EA50A5" w:rsidRPr="003237C5" w:rsidRDefault="00EA50A5" w:rsidP="00EA50A5">
      <w:pPr>
        <w:tabs>
          <w:tab w:val="left" w:pos="1000"/>
        </w:tabs>
        <w:ind w:left="800" w:hanging="800"/>
        <w:rPr>
          <w:bCs/>
          <w:i/>
        </w:rPr>
      </w:pPr>
      <w:r w:rsidRPr="003237C5">
        <w:rPr>
          <w:b/>
          <w:bCs/>
        </w:rPr>
        <w:t xml:space="preserve">  </w:t>
      </w:r>
    </w:p>
    <w:p w14:paraId="4F2A88FC" w14:textId="77777777" w:rsidR="00EA50A5" w:rsidRPr="003237C5" w:rsidRDefault="00EA50A5" w:rsidP="00EA50A5">
      <w:pPr>
        <w:tabs>
          <w:tab w:val="left" w:pos="1000"/>
        </w:tabs>
        <w:spacing w:after="120"/>
        <w:ind w:left="799" w:hanging="799"/>
        <w:rPr>
          <w:rFonts w:cs="Times New Roman"/>
        </w:rPr>
      </w:pPr>
      <w:r w:rsidRPr="003237C5">
        <w:rPr>
          <w:rFonts w:cs="Times New Roman"/>
          <w:bCs/>
        </w:rPr>
        <w:t xml:space="preserve">2.25.1 </w:t>
      </w:r>
      <w:r w:rsidRPr="003237C5">
        <w:rPr>
          <w:rFonts w:cs="Times New Roman"/>
          <w:bCs/>
        </w:rPr>
        <w:tab/>
        <w:t>For the purposes of subsection 166-26</w:t>
      </w:r>
      <w:proofErr w:type="gramStart"/>
      <w:r w:rsidRPr="003237C5">
        <w:rPr>
          <w:rFonts w:cs="Times New Roman"/>
          <w:bCs/>
        </w:rPr>
        <w:t>A(</w:t>
      </w:r>
      <w:proofErr w:type="gramEnd"/>
      <w:r w:rsidRPr="003237C5">
        <w:rPr>
          <w:rFonts w:cs="Times New Roman"/>
          <w:bCs/>
        </w:rPr>
        <w:t xml:space="preserve">3) of the </w:t>
      </w:r>
      <w:r w:rsidRPr="003237C5">
        <w:rPr>
          <w:rFonts w:cs="Times New Roman"/>
          <w:bCs/>
          <w:i/>
        </w:rPr>
        <w:t xml:space="preserve">Act, </w:t>
      </w:r>
      <w:r w:rsidRPr="003237C5">
        <w:rPr>
          <w:rFonts w:cs="Times New Roman"/>
          <w:bCs/>
        </w:rPr>
        <w:t xml:space="preserve">the higher education </w:t>
      </w:r>
      <w:r w:rsidRPr="003237C5">
        <w:rPr>
          <w:rFonts w:cs="Times New Roman"/>
        </w:rPr>
        <w:t xml:space="preserve">provider must include in its written notice to the Higher Education Tuition Protection Director: </w:t>
      </w:r>
    </w:p>
    <w:p w14:paraId="2DD61BDE" w14:textId="77777777" w:rsidR="00EA50A5" w:rsidRPr="003237C5" w:rsidRDefault="00EA50A5" w:rsidP="006244DA">
      <w:pPr>
        <w:numPr>
          <w:ilvl w:val="0"/>
          <w:numId w:val="15"/>
        </w:numPr>
        <w:spacing w:after="120"/>
        <w:rPr>
          <w:rFonts w:cs="Times New Roman"/>
        </w:rPr>
      </w:pPr>
      <w:r w:rsidRPr="003237C5">
        <w:rPr>
          <w:rFonts w:cs="Times New Roman"/>
        </w:rPr>
        <w:t xml:space="preserve">if the provider arranged a replacement unit or replacement course —evidence of the arrangement between the student and replacement provider, including any payment arrangements relating to tuition fees. </w:t>
      </w:r>
    </w:p>
    <w:p w14:paraId="0F31733F" w14:textId="6FB45D1A" w:rsidR="00EA50A5" w:rsidRPr="003237C5" w:rsidRDefault="00EA50A5" w:rsidP="00032DC4">
      <w:pPr>
        <w:rPr>
          <w:rFonts w:cs="Times New Roman"/>
        </w:rPr>
      </w:pPr>
    </w:p>
    <w:p w14:paraId="2F4E2D81" w14:textId="77777777" w:rsidR="00EA50A5" w:rsidRPr="003237C5" w:rsidRDefault="00EA50A5" w:rsidP="00EA50A5">
      <w:pPr>
        <w:keepNext/>
        <w:tabs>
          <w:tab w:val="left" w:pos="1000"/>
        </w:tabs>
        <w:ind w:left="800" w:hanging="800"/>
        <w:rPr>
          <w:b/>
          <w:bCs/>
        </w:rPr>
      </w:pPr>
      <w:proofErr w:type="gramStart"/>
      <w:r w:rsidRPr="003237C5">
        <w:rPr>
          <w:b/>
          <w:bCs/>
        </w:rPr>
        <w:t>2.30  Payments</w:t>
      </w:r>
      <w:proofErr w:type="gramEnd"/>
      <w:r w:rsidRPr="003237C5">
        <w:rPr>
          <w:b/>
          <w:bCs/>
        </w:rPr>
        <w:t xml:space="preserve"> in connection with tuition protection</w:t>
      </w:r>
    </w:p>
    <w:p w14:paraId="6534709F" w14:textId="77777777" w:rsidR="00EA50A5" w:rsidRPr="003237C5" w:rsidRDefault="00EA50A5" w:rsidP="00EA50A5">
      <w:pPr>
        <w:keepNext/>
      </w:pPr>
    </w:p>
    <w:p w14:paraId="27D17DE6" w14:textId="77777777" w:rsidR="00EA50A5" w:rsidRPr="003237C5" w:rsidRDefault="00EA50A5" w:rsidP="006244DA">
      <w:pPr>
        <w:pStyle w:val="ListParagraph"/>
        <w:keepNext/>
        <w:keepLines/>
        <w:numPr>
          <w:ilvl w:val="2"/>
          <w:numId w:val="16"/>
        </w:numPr>
        <w:tabs>
          <w:tab w:val="left" w:pos="800"/>
        </w:tabs>
        <w:spacing w:after="120"/>
        <w:rPr>
          <w:rFonts w:eastAsia="Calibri"/>
          <w:szCs w:val="22"/>
        </w:rPr>
      </w:pPr>
      <w:r w:rsidRPr="003237C5">
        <w:rPr>
          <w:rFonts w:eastAsia="Calibri"/>
          <w:szCs w:val="22"/>
        </w:rPr>
        <w:t xml:space="preserve">For the purposes of paragraph 167-10(1)(a) of the </w:t>
      </w:r>
      <w:r w:rsidRPr="003237C5">
        <w:rPr>
          <w:rFonts w:eastAsia="Calibri"/>
          <w:i/>
          <w:szCs w:val="22"/>
        </w:rPr>
        <w:t xml:space="preserve">Act, </w:t>
      </w:r>
      <w:r w:rsidRPr="003237C5">
        <w:rPr>
          <w:rFonts w:eastAsia="Calibri"/>
          <w:iCs/>
          <w:szCs w:val="22"/>
        </w:rPr>
        <w:t>if a student accepts an offer of a replacement unit or replacement course, the Hi</w:t>
      </w:r>
      <w:r w:rsidRPr="003237C5">
        <w:rPr>
          <w:rFonts w:eastAsia="Calibri"/>
          <w:szCs w:val="22"/>
        </w:rPr>
        <w:t xml:space="preserve">gher Education Tuition Protection Director may make payment of such amounts that the Director considers appropriate to: </w:t>
      </w:r>
    </w:p>
    <w:p w14:paraId="2AD796E1" w14:textId="77777777" w:rsidR="00EA50A5" w:rsidRPr="003237C5" w:rsidRDefault="00EA50A5" w:rsidP="006244DA">
      <w:pPr>
        <w:keepNext/>
        <w:numPr>
          <w:ilvl w:val="0"/>
          <w:numId w:val="17"/>
        </w:numPr>
        <w:spacing w:after="120"/>
        <w:rPr>
          <w:rFonts w:cs="Times New Roman"/>
        </w:rPr>
      </w:pPr>
      <w:r w:rsidRPr="003237C5">
        <w:rPr>
          <w:rFonts w:cs="Times New Roman"/>
        </w:rPr>
        <w:t>the replacement provider; or</w:t>
      </w:r>
    </w:p>
    <w:p w14:paraId="2BC403AA" w14:textId="77777777" w:rsidR="00EA50A5" w:rsidRPr="003237C5" w:rsidRDefault="00EA50A5" w:rsidP="006244DA">
      <w:pPr>
        <w:keepNext/>
        <w:numPr>
          <w:ilvl w:val="0"/>
          <w:numId w:val="17"/>
        </w:numPr>
        <w:spacing w:after="120"/>
        <w:rPr>
          <w:rFonts w:cs="Times New Roman"/>
        </w:rPr>
      </w:pPr>
      <w:r w:rsidRPr="003237C5">
        <w:rPr>
          <w:rFonts w:cs="Times New Roman"/>
        </w:rPr>
        <w:t xml:space="preserve">another person </w:t>
      </w:r>
      <w:proofErr w:type="gramStart"/>
      <w:r w:rsidRPr="003237C5">
        <w:rPr>
          <w:rFonts w:cs="Times New Roman"/>
        </w:rPr>
        <w:t>in order to</w:t>
      </w:r>
      <w:proofErr w:type="gramEnd"/>
      <w:r w:rsidRPr="003237C5">
        <w:rPr>
          <w:rFonts w:cs="Times New Roman"/>
        </w:rPr>
        <w:t xml:space="preserve"> facilitate a student’s placement in a replacement unit or replacement course.</w:t>
      </w:r>
    </w:p>
    <w:p w14:paraId="19CD6701" w14:textId="77777777" w:rsidR="00EA50A5" w:rsidRPr="003237C5" w:rsidRDefault="00EA50A5" w:rsidP="00EA50A5">
      <w:pPr>
        <w:tabs>
          <w:tab w:val="left" w:pos="1000"/>
        </w:tabs>
        <w:spacing w:after="120"/>
        <w:ind w:left="799" w:hanging="799"/>
        <w:rPr>
          <w:rFonts w:cs="Times New Roman"/>
        </w:rPr>
      </w:pPr>
      <w:r w:rsidRPr="003237C5">
        <w:rPr>
          <w:rFonts w:cs="Times New Roman"/>
        </w:rPr>
        <w:t>2.30.5</w:t>
      </w:r>
      <w:r w:rsidRPr="003237C5">
        <w:rPr>
          <w:rFonts w:cs="Times New Roman"/>
        </w:rPr>
        <w:tab/>
        <w:t>In deciding whether to make a payment, and the amount of such a payment, the Higher Education Tuition Protection Director:</w:t>
      </w:r>
    </w:p>
    <w:p w14:paraId="77F54775" w14:textId="77777777" w:rsidR="00EA50A5" w:rsidRPr="003237C5" w:rsidRDefault="00EA50A5" w:rsidP="006244DA">
      <w:pPr>
        <w:numPr>
          <w:ilvl w:val="0"/>
          <w:numId w:val="18"/>
        </w:numPr>
        <w:spacing w:after="120"/>
        <w:rPr>
          <w:rFonts w:cs="Times New Roman"/>
        </w:rPr>
      </w:pPr>
      <w:r w:rsidRPr="003237C5">
        <w:rPr>
          <w:rFonts w:cs="Times New Roman"/>
        </w:rPr>
        <w:t xml:space="preserve">must have regard to the sustainability of the Higher Education Tuition Protection Fund; and </w:t>
      </w:r>
    </w:p>
    <w:p w14:paraId="756498FE" w14:textId="61FA1611" w:rsidR="00EA50A5" w:rsidRPr="003237C5" w:rsidRDefault="00EA50A5" w:rsidP="006244DA">
      <w:pPr>
        <w:numPr>
          <w:ilvl w:val="0"/>
          <w:numId w:val="18"/>
        </w:numPr>
        <w:spacing w:after="120"/>
        <w:rPr>
          <w:rFonts w:cs="Times New Roman"/>
        </w:rPr>
      </w:pPr>
      <w:r w:rsidRPr="003237C5">
        <w:rPr>
          <w:rFonts w:cs="Times New Roman"/>
        </w:rPr>
        <w:t xml:space="preserve">may have regard to any other matters the Director considers relevant. </w:t>
      </w:r>
    </w:p>
    <w:p w14:paraId="016FCC43" w14:textId="179C7A8D" w:rsidR="00FC3A56" w:rsidRPr="003237C5" w:rsidRDefault="0097299B" w:rsidP="00FC3A56">
      <w:pPr>
        <w:tabs>
          <w:tab w:val="left" w:pos="1000"/>
        </w:tabs>
        <w:rPr>
          <w:b/>
          <w:bCs/>
        </w:rPr>
      </w:pPr>
      <w:r w:rsidRPr="003237C5">
        <w:rPr>
          <w:b/>
        </w:rPr>
        <w:br/>
      </w:r>
      <w:proofErr w:type="gramStart"/>
      <w:r w:rsidR="00FC3A56" w:rsidRPr="003237C5">
        <w:rPr>
          <w:b/>
        </w:rPr>
        <w:t>2.</w:t>
      </w:r>
      <w:r w:rsidR="009724F7" w:rsidRPr="003237C5">
        <w:rPr>
          <w:b/>
        </w:rPr>
        <w:t>40</w:t>
      </w:r>
      <w:r w:rsidR="00FC3A56" w:rsidRPr="003237C5">
        <w:t xml:space="preserve">  </w:t>
      </w:r>
      <w:r w:rsidR="009724F7" w:rsidRPr="003237C5">
        <w:rPr>
          <w:b/>
          <w:bCs/>
        </w:rPr>
        <w:t>Other</w:t>
      </w:r>
      <w:proofErr w:type="gramEnd"/>
      <w:r w:rsidR="009724F7" w:rsidRPr="003237C5">
        <w:rPr>
          <w:b/>
          <w:bCs/>
        </w:rPr>
        <w:t xml:space="preserve"> tuition protection requirements – special circumstances </w:t>
      </w:r>
      <w:r w:rsidR="00FC3A56" w:rsidRPr="003237C5">
        <w:rPr>
          <w:b/>
          <w:bCs/>
        </w:rPr>
        <w:t xml:space="preserve"> </w:t>
      </w:r>
    </w:p>
    <w:p w14:paraId="38FBDDDD" w14:textId="77777777" w:rsidR="00FC3A56" w:rsidRPr="003237C5" w:rsidRDefault="00FC3A56" w:rsidP="00FC3A56">
      <w:pPr>
        <w:tabs>
          <w:tab w:val="left" w:pos="1000"/>
        </w:tabs>
        <w:ind w:left="800" w:hanging="800"/>
      </w:pPr>
    </w:p>
    <w:p w14:paraId="4EA8764E" w14:textId="77777777" w:rsidR="009724F7" w:rsidRPr="003237C5" w:rsidRDefault="009724F7" w:rsidP="009724F7">
      <w:pPr>
        <w:rPr>
          <w:rFonts w:cs="Times New Roman"/>
          <w:i/>
          <w:iCs/>
        </w:rPr>
      </w:pPr>
      <w:r w:rsidRPr="003237C5">
        <w:rPr>
          <w:rFonts w:cs="Times New Roman"/>
          <w:i/>
          <w:iCs/>
        </w:rPr>
        <w:t xml:space="preserve">HECS-HELP assistance </w:t>
      </w:r>
    </w:p>
    <w:p w14:paraId="2FCF6CF9" w14:textId="77777777" w:rsidR="009724F7" w:rsidRPr="003237C5" w:rsidRDefault="009724F7" w:rsidP="009724F7">
      <w:pPr>
        <w:rPr>
          <w:rFonts w:cs="Times New Roman"/>
        </w:rPr>
      </w:pPr>
    </w:p>
    <w:p w14:paraId="43944FBE" w14:textId="77777777" w:rsidR="009724F7" w:rsidRPr="003237C5" w:rsidRDefault="009724F7" w:rsidP="006244DA">
      <w:pPr>
        <w:pStyle w:val="ListParagraph"/>
        <w:keepLines/>
        <w:numPr>
          <w:ilvl w:val="2"/>
          <w:numId w:val="19"/>
        </w:numPr>
        <w:tabs>
          <w:tab w:val="left" w:pos="800"/>
        </w:tabs>
        <w:spacing w:after="120"/>
        <w:rPr>
          <w:rFonts w:eastAsia="Calibri"/>
          <w:iCs/>
          <w:szCs w:val="22"/>
        </w:rPr>
      </w:pPr>
      <w:r w:rsidRPr="003237C5">
        <w:rPr>
          <w:rFonts w:eastAsia="Calibri"/>
          <w:szCs w:val="22"/>
        </w:rPr>
        <w:t xml:space="preserve">For the purposes of subsection 36-20(4) of the </w:t>
      </w:r>
      <w:r w:rsidRPr="003237C5">
        <w:rPr>
          <w:rFonts w:eastAsia="Calibri"/>
          <w:i/>
          <w:szCs w:val="22"/>
        </w:rPr>
        <w:t xml:space="preserve">Act, </w:t>
      </w:r>
      <w:r w:rsidRPr="003237C5">
        <w:rPr>
          <w:rFonts w:eastAsia="Calibri"/>
          <w:szCs w:val="22"/>
        </w:rPr>
        <w:t xml:space="preserve">if the higher education provider determines that section 36-20 of the </w:t>
      </w:r>
      <w:r w:rsidRPr="003237C5">
        <w:rPr>
          <w:rFonts w:eastAsia="Calibri"/>
          <w:i/>
          <w:iCs/>
          <w:szCs w:val="22"/>
        </w:rPr>
        <w:t xml:space="preserve">Act </w:t>
      </w:r>
      <w:r w:rsidRPr="003237C5">
        <w:rPr>
          <w:rFonts w:eastAsia="Calibri"/>
          <w:szCs w:val="22"/>
        </w:rPr>
        <w:t>applies to a person and the person enrolled in the unit as a replacement unit, the defaulting provider must:</w:t>
      </w:r>
    </w:p>
    <w:p w14:paraId="2BC40A36" w14:textId="77777777" w:rsidR="009724F7" w:rsidRPr="003237C5" w:rsidRDefault="009724F7" w:rsidP="009724F7">
      <w:pPr>
        <w:pStyle w:val="ListParagraph"/>
        <w:keepLines/>
        <w:tabs>
          <w:tab w:val="left" w:pos="800"/>
        </w:tabs>
        <w:spacing w:after="120"/>
        <w:rPr>
          <w:rFonts w:eastAsia="Calibri"/>
          <w:iCs/>
          <w:szCs w:val="22"/>
        </w:rPr>
      </w:pPr>
    </w:p>
    <w:p w14:paraId="1AC87975" w14:textId="77777777" w:rsidR="009724F7" w:rsidRPr="003237C5" w:rsidRDefault="009724F7" w:rsidP="006244DA">
      <w:pPr>
        <w:pStyle w:val="ListParagraph"/>
        <w:keepLines/>
        <w:numPr>
          <w:ilvl w:val="0"/>
          <w:numId w:val="20"/>
        </w:numPr>
        <w:tabs>
          <w:tab w:val="left" w:pos="800"/>
        </w:tabs>
        <w:spacing w:after="120"/>
        <w:rPr>
          <w:rFonts w:eastAsia="Calibri"/>
          <w:iCs/>
          <w:szCs w:val="22"/>
        </w:rPr>
      </w:pPr>
      <w:r w:rsidRPr="003237C5">
        <w:rPr>
          <w:rFonts w:eastAsia="Calibri"/>
          <w:iCs/>
          <w:szCs w:val="22"/>
        </w:rPr>
        <w:t>pay the person an amount equal to the payment, or the sum of the payments, that the person made in relation to their student contribution amount for the affected unit; and</w:t>
      </w:r>
    </w:p>
    <w:p w14:paraId="17E84E0E" w14:textId="77777777" w:rsidR="009724F7" w:rsidRPr="003237C5" w:rsidRDefault="009724F7" w:rsidP="009724F7">
      <w:pPr>
        <w:pStyle w:val="ListParagraph"/>
        <w:keepLines/>
        <w:tabs>
          <w:tab w:val="left" w:pos="800"/>
        </w:tabs>
        <w:spacing w:after="120"/>
        <w:rPr>
          <w:rFonts w:eastAsia="Calibri"/>
          <w:iCs/>
          <w:szCs w:val="22"/>
        </w:rPr>
      </w:pPr>
    </w:p>
    <w:p w14:paraId="46072CAD" w14:textId="77777777" w:rsidR="009724F7" w:rsidRPr="003237C5" w:rsidRDefault="009724F7" w:rsidP="006244DA">
      <w:pPr>
        <w:pStyle w:val="ListParagraph"/>
        <w:keepLines/>
        <w:numPr>
          <w:ilvl w:val="0"/>
          <w:numId w:val="20"/>
        </w:numPr>
        <w:tabs>
          <w:tab w:val="left" w:pos="800"/>
        </w:tabs>
        <w:spacing w:after="120"/>
        <w:rPr>
          <w:rFonts w:eastAsia="Calibri"/>
          <w:iCs/>
          <w:szCs w:val="22"/>
        </w:rPr>
      </w:pPr>
      <w:r w:rsidRPr="003237C5">
        <w:rPr>
          <w:rFonts w:eastAsia="Calibri"/>
          <w:iCs/>
          <w:szCs w:val="22"/>
        </w:rPr>
        <w:t xml:space="preserve">pay to the Commonwealth an amount equal to any HECS-HELP assistance to which the person was entitled to for the affected unit. </w:t>
      </w:r>
    </w:p>
    <w:p w14:paraId="1C49CE87" w14:textId="77777777" w:rsidR="009724F7" w:rsidRPr="003237C5" w:rsidRDefault="009724F7" w:rsidP="009724F7">
      <w:pPr>
        <w:pStyle w:val="ListParagraph"/>
        <w:keepLines/>
        <w:tabs>
          <w:tab w:val="left" w:pos="800"/>
        </w:tabs>
        <w:spacing w:after="120"/>
        <w:rPr>
          <w:rFonts w:eastAsia="Calibri"/>
          <w:szCs w:val="22"/>
        </w:rPr>
      </w:pPr>
    </w:p>
    <w:p w14:paraId="5684D72D" w14:textId="77777777" w:rsidR="009724F7" w:rsidRPr="003237C5" w:rsidRDefault="009724F7" w:rsidP="006244DA">
      <w:pPr>
        <w:pStyle w:val="ListParagraph"/>
        <w:keepLines/>
        <w:numPr>
          <w:ilvl w:val="2"/>
          <w:numId w:val="21"/>
        </w:numPr>
        <w:tabs>
          <w:tab w:val="left" w:pos="800"/>
        </w:tabs>
        <w:spacing w:after="120"/>
        <w:rPr>
          <w:rFonts w:eastAsia="Calibri"/>
          <w:szCs w:val="22"/>
        </w:rPr>
      </w:pPr>
      <w:r w:rsidRPr="003237C5">
        <w:rPr>
          <w:rFonts w:eastAsia="Calibri"/>
          <w:iCs/>
          <w:szCs w:val="22"/>
        </w:rPr>
        <w:t xml:space="preserve">If the defaulting provider is unable to act for the purposes of subparagraph 2.40.1(a), the Higher Education Tuition Protection Director must pay the person an amount equal to the payment, or the sum of the payments, that the person made in relation to their student contribution amount for the affected unit. </w:t>
      </w:r>
    </w:p>
    <w:p w14:paraId="413FB3C9" w14:textId="77777777" w:rsidR="009724F7" w:rsidRPr="003237C5" w:rsidRDefault="009724F7" w:rsidP="009724F7">
      <w:pPr>
        <w:pStyle w:val="ListParagraph"/>
        <w:keepLines/>
        <w:tabs>
          <w:tab w:val="left" w:pos="800"/>
        </w:tabs>
        <w:spacing w:after="120"/>
        <w:rPr>
          <w:rFonts w:eastAsia="Calibri"/>
          <w:szCs w:val="22"/>
        </w:rPr>
      </w:pPr>
    </w:p>
    <w:p w14:paraId="43E10913" w14:textId="77777777" w:rsidR="009724F7" w:rsidRPr="003237C5" w:rsidRDefault="009724F7" w:rsidP="006244DA">
      <w:pPr>
        <w:pStyle w:val="ListParagraph"/>
        <w:keepLines/>
        <w:numPr>
          <w:ilvl w:val="2"/>
          <w:numId w:val="22"/>
        </w:numPr>
        <w:tabs>
          <w:tab w:val="left" w:pos="800"/>
        </w:tabs>
        <w:spacing w:after="120"/>
        <w:rPr>
          <w:rFonts w:eastAsia="Calibri"/>
          <w:szCs w:val="22"/>
        </w:rPr>
      </w:pPr>
      <w:r w:rsidRPr="003237C5">
        <w:rPr>
          <w:rFonts w:eastAsia="Calibri"/>
          <w:szCs w:val="22"/>
        </w:rPr>
        <w:t xml:space="preserve">If paragraph 2.40.5 applies, the defaulting provider must pay the Commonwealth for the purposes of the Higher Education Tuition Protection Fund an amount equal to the amount that the Higher Education Tuition Protection Director paid in relation to the person under paragraph 2.40.5. </w:t>
      </w:r>
    </w:p>
    <w:p w14:paraId="2B25FCB0" w14:textId="77777777" w:rsidR="009724F7" w:rsidRPr="003237C5" w:rsidRDefault="009724F7" w:rsidP="009724F7">
      <w:pPr>
        <w:pStyle w:val="ListParagraph"/>
        <w:rPr>
          <w:rFonts w:eastAsia="Calibri"/>
          <w:szCs w:val="22"/>
        </w:rPr>
      </w:pPr>
    </w:p>
    <w:p w14:paraId="6B5BBD28" w14:textId="77777777" w:rsidR="009724F7" w:rsidRPr="003237C5" w:rsidRDefault="009724F7" w:rsidP="009724F7">
      <w:pPr>
        <w:pStyle w:val="ListParagraph"/>
        <w:keepNext/>
        <w:ind w:left="0"/>
        <w:rPr>
          <w:rFonts w:eastAsia="Calibri"/>
          <w:i/>
          <w:iCs/>
          <w:szCs w:val="22"/>
        </w:rPr>
      </w:pPr>
      <w:r w:rsidRPr="003237C5">
        <w:rPr>
          <w:rFonts w:eastAsia="Calibri"/>
          <w:i/>
          <w:iCs/>
          <w:szCs w:val="22"/>
        </w:rPr>
        <w:t>FEE-HELP assistance</w:t>
      </w:r>
    </w:p>
    <w:p w14:paraId="3974A3D7" w14:textId="77777777" w:rsidR="009724F7" w:rsidRPr="003237C5" w:rsidRDefault="009724F7" w:rsidP="009724F7">
      <w:pPr>
        <w:pStyle w:val="ListParagraph"/>
        <w:keepNext/>
        <w:ind w:left="0"/>
        <w:rPr>
          <w:rFonts w:eastAsia="Calibri"/>
          <w:i/>
          <w:iCs/>
          <w:szCs w:val="22"/>
        </w:rPr>
      </w:pPr>
    </w:p>
    <w:p w14:paraId="4ABE2FC5" w14:textId="77777777" w:rsidR="009724F7" w:rsidRPr="003237C5" w:rsidRDefault="009724F7" w:rsidP="006244DA">
      <w:pPr>
        <w:pStyle w:val="ListParagraph"/>
        <w:keepNext/>
        <w:keepLines/>
        <w:numPr>
          <w:ilvl w:val="2"/>
          <w:numId w:val="23"/>
        </w:numPr>
        <w:tabs>
          <w:tab w:val="left" w:pos="800"/>
        </w:tabs>
        <w:spacing w:after="120"/>
        <w:rPr>
          <w:rFonts w:eastAsia="Calibri"/>
          <w:szCs w:val="22"/>
        </w:rPr>
      </w:pPr>
      <w:r w:rsidRPr="003237C5">
        <w:rPr>
          <w:rFonts w:eastAsia="Calibri"/>
          <w:szCs w:val="22"/>
        </w:rPr>
        <w:t xml:space="preserve">For the purposes of subsection 110-5(1B) of the </w:t>
      </w:r>
      <w:r w:rsidRPr="003237C5">
        <w:rPr>
          <w:rFonts w:eastAsia="Calibri"/>
          <w:i/>
          <w:iCs/>
          <w:szCs w:val="22"/>
        </w:rPr>
        <w:t>Act</w:t>
      </w:r>
      <w:r w:rsidRPr="003237C5">
        <w:rPr>
          <w:rFonts w:eastAsia="Calibri"/>
          <w:szCs w:val="22"/>
        </w:rPr>
        <w:t xml:space="preserve">, if the circumstances at subsection 110-5(1A) of the </w:t>
      </w:r>
      <w:r w:rsidRPr="003237C5">
        <w:rPr>
          <w:rFonts w:eastAsia="Calibri"/>
          <w:i/>
          <w:iCs/>
          <w:szCs w:val="22"/>
        </w:rPr>
        <w:t>Act</w:t>
      </w:r>
      <w:r w:rsidRPr="003237C5">
        <w:rPr>
          <w:rFonts w:eastAsia="Calibri"/>
          <w:szCs w:val="22"/>
        </w:rPr>
        <w:t xml:space="preserve"> apply, then the defaulting provider must pay to the Commonwealth an amount equal to any FEE-HELP assistance to which the person was entitled to for the affected unit which the replacement unit replaces. </w:t>
      </w:r>
    </w:p>
    <w:p w14:paraId="7D3B6909" w14:textId="77777777" w:rsidR="009724F7" w:rsidRPr="003237C5" w:rsidRDefault="009724F7" w:rsidP="009724F7">
      <w:pPr>
        <w:pStyle w:val="ListParagraph"/>
        <w:keepLines/>
        <w:tabs>
          <w:tab w:val="left" w:pos="800"/>
        </w:tabs>
        <w:spacing w:after="120"/>
        <w:rPr>
          <w:rFonts w:eastAsia="Calibri"/>
          <w:szCs w:val="22"/>
        </w:rPr>
      </w:pPr>
    </w:p>
    <w:p w14:paraId="16EE4A63" w14:textId="445F670E" w:rsidR="009724F7" w:rsidRPr="003237C5" w:rsidRDefault="009724F7" w:rsidP="006244DA">
      <w:pPr>
        <w:pStyle w:val="ListParagraph"/>
        <w:keepLines/>
        <w:numPr>
          <w:ilvl w:val="2"/>
          <w:numId w:val="24"/>
        </w:numPr>
        <w:tabs>
          <w:tab w:val="left" w:pos="800"/>
        </w:tabs>
        <w:spacing w:after="120"/>
        <w:rPr>
          <w:rFonts w:eastAsia="Calibri"/>
        </w:rPr>
      </w:pPr>
      <w:r w:rsidRPr="003237C5">
        <w:rPr>
          <w:rFonts w:eastAsia="Calibri"/>
          <w:szCs w:val="22"/>
        </w:rPr>
        <w:t xml:space="preserve">For the purposes of section 2.40, </w:t>
      </w:r>
      <w:r w:rsidRPr="003237C5">
        <w:rPr>
          <w:rFonts w:eastAsia="Calibri"/>
          <w:b/>
          <w:bCs/>
          <w:i/>
          <w:iCs/>
          <w:szCs w:val="22"/>
        </w:rPr>
        <w:t xml:space="preserve">defaulting provider </w:t>
      </w:r>
      <w:r w:rsidRPr="003237C5">
        <w:rPr>
          <w:rFonts w:eastAsia="Calibri"/>
          <w:szCs w:val="22"/>
        </w:rPr>
        <w:t>means a higher education provider which defaulted in relation to the person and the affected unit which the replacement unit replaces.</w:t>
      </w:r>
    </w:p>
    <w:p w14:paraId="28DC2B33" w14:textId="77777777" w:rsidR="000674D8" w:rsidRPr="003237C5" w:rsidRDefault="000674D8" w:rsidP="00903D90">
      <w:pPr>
        <w:pStyle w:val="Heading1"/>
        <w:rPr>
          <w:rStyle w:val="CharSectno"/>
          <w:b w:val="0"/>
          <w:u w:val="single"/>
        </w:rPr>
      </w:pPr>
      <w:bookmarkStart w:id="11" w:name="_Toc93391324"/>
      <w:bookmarkStart w:id="12" w:name="_Toc122231821"/>
      <w:bookmarkStart w:id="13" w:name="_Toc152752059"/>
      <w:bookmarkEnd w:id="8"/>
      <w:bookmarkEnd w:id="9"/>
      <w:r w:rsidRPr="003237C5">
        <w:rPr>
          <w:rStyle w:val="CharSectno"/>
          <w:u w:val="single"/>
        </w:rPr>
        <w:t>CHAPTER 3</w:t>
      </w:r>
      <w:r w:rsidRPr="003237C5">
        <w:rPr>
          <w:rStyle w:val="CharSectno"/>
          <w:u w:val="single"/>
        </w:rPr>
        <w:tab/>
        <w:t>HIGHER EDUCATION PROVIDER APPLICATION FEE</w:t>
      </w:r>
      <w:bookmarkEnd w:id="11"/>
    </w:p>
    <w:p w14:paraId="21720458" w14:textId="77777777" w:rsidR="000674D8" w:rsidRPr="003237C5" w:rsidRDefault="000674D8" w:rsidP="000674D8">
      <w:pPr>
        <w:pStyle w:val="ActHead5"/>
        <w:rPr>
          <w:rFonts w:ascii="Arial" w:hAnsi="Arial" w:cs="Arial"/>
          <w:b w:val="0"/>
        </w:rPr>
      </w:pPr>
      <w:r w:rsidRPr="003237C5">
        <w:rPr>
          <w:rStyle w:val="CharSectno"/>
          <w:rFonts w:ascii="Arial" w:hAnsi="Arial" w:cs="Arial"/>
        </w:rPr>
        <w:t>3.1 Purpose</w:t>
      </w:r>
    </w:p>
    <w:p w14:paraId="2E1D5C04" w14:textId="77777777" w:rsidR="000674D8" w:rsidRPr="003237C5" w:rsidRDefault="000674D8" w:rsidP="000674D8"/>
    <w:p w14:paraId="375FDA33" w14:textId="77777777" w:rsidR="000674D8" w:rsidRPr="003237C5" w:rsidRDefault="000674D8" w:rsidP="000674D8">
      <w:pPr>
        <w:ind w:left="709" w:hanging="709"/>
      </w:pPr>
      <w:r w:rsidRPr="003237C5">
        <w:t>3.1.1</w:t>
      </w:r>
      <w:r w:rsidRPr="003237C5">
        <w:tab/>
      </w:r>
      <w:r w:rsidRPr="003237C5">
        <w:rPr>
          <w:lang w:eastAsia="en-AU"/>
        </w:rPr>
        <w:t xml:space="preserve">The purpose of this chapter is to set out the application fee for a body </w:t>
      </w:r>
      <w:r w:rsidRPr="003237C5">
        <w:t>corporate’s application to be approved as a higher education provider.</w:t>
      </w:r>
    </w:p>
    <w:p w14:paraId="73429AB6" w14:textId="77777777" w:rsidR="000674D8" w:rsidRPr="003237C5" w:rsidRDefault="000674D8" w:rsidP="000674D8">
      <w:pPr>
        <w:pStyle w:val="ActHead5"/>
        <w:rPr>
          <w:rStyle w:val="CharSectno"/>
          <w:rFonts w:ascii="Arial" w:hAnsi="Arial" w:cs="Arial"/>
        </w:rPr>
      </w:pPr>
      <w:r w:rsidRPr="003237C5">
        <w:rPr>
          <w:rStyle w:val="CharSectno"/>
          <w:rFonts w:ascii="Arial" w:hAnsi="Arial" w:cs="Arial"/>
        </w:rPr>
        <w:t>3.2 Higher education provider application fee</w:t>
      </w:r>
    </w:p>
    <w:p w14:paraId="5D361D32" w14:textId="77777777" w:rsidR="000674D8" w:rsidRPr="003237C5" w:rsidRDefault="000674D8" w:rsidP="000674D8"/>
    <w:p w14:paraId="000AE25B" w14:textId="77777777" w:rsidR="000674D8" w:rsidRPr="003237C5" w:rsidRDefault="000674D8" w:rsidP="000674D8">
      <w:pPr>
        <w:ind w:left="709" w:hanging="709"/>
        <w:rPr>
          <w:lang w:eastAsia="en-AU"/>
        </w:rPr>
      </w:pPr>
      <w:r w:rsidRPr="003237C5">
        <w:t>3.2.1</w:t>
      </w:r>
      <w:r w:rsidRPr="003237C5">
        <w:tab/>
      </w:r>
      <w:r w:rsidRPr="003237C5">
        <w:rPr>
          <w:lang w:eastAsia="en-AU"/>
        </w:rPr>
        <w:t xml:space="preserve">For the purposes of paragraph 16-40(2)(c) of the </w:t>
      </w:r>
      <w:r w:rsidRPr="003237C5">
        <w:rPr>
          <w:i/>
          <w:lang w:eastAsia="en-AU"/>
        </w:rPr>
        <w:t>Act</w:t>
      </w:r>
      <w:r w:rsidRPr="003237C5">
        <w:rPr>
          <w:lang w:eastAsia="en-AU"/>
        </w:rPr>
        <w:t>, the fee is set out in the table below.</w:t>
      </w:r>
    </w:p>
    <w:p w14:paraId="3C9A72B5" w14:textId="77777777" w:rsidR="000674D8" w:rsidRPr="003237C5" w:rsidRDefault="000674D8" w:rsidP="000674D8">
      <w:pPr>
        <w:ind w:left="709" w:firstLine="11"/>
        <w:rPr>
          <w:lang w:eastAsia="en-AU"/>
        </w:rPr>
      </w:pPr>
    </w:p>
    <w:bookmarkEnd w:id="12"/>
    <w:bookmarkEnd w:id="13"/>
    <w:p w14:paraId="197FC784" w14:textId="36628382" w:rsidR="00F56BC1" w:rsidRPr="003237C5" w:rsidRDefault="00F56BC1" w:rsidP="000674D8">
      <w:pPr>
        <w:pStyle w:val="Heading1"/>
        <w:ind w:left="1700" w:hanging="1700"/>
        <w:rPr>
          <w:b w:val="0"/>
          <w:bCs w:val="0"/>
        </w:rPr>
      </w:pPr>
    </w:p>
    <w:tbl>
      <w:tblPr>
        <w:tblW w:w="0" w:type="auto"/>
        <w:tblInd w:w="2440" w:type="dxa"/>
        <w:shd w:val="clear" w:color="auto" w:fill="FFFFFF"/>
        <w:tblCellMar>
          <w:left w:w="0" w:type="dxa"/>
          <w:right w:w="0" w:type="dxa"/>
        </w:tblCellMar>
        <w:tblLook w:val="04A0" w:firstRow="1" w:lastRow="0" w:firstColumn="1" w:lastColumn="0" w:noHBand="0" w:noVBand="1"/>
      </w:tblPr>
      <w:tblGrid>
        <w:gridCol w:w="988"/>
        <w:gridCol w:w="1197"/>
      </w:tblGrid>
      <w:tr w:rsidR="00C639F6" w:rsidRPr="003237C5" w14:paraId="5900276A" w14:textId="77777777" w:rsidTr="00252989">
        <w:trPr>
          <w:trHeight w:val="266"/>
          <w:tblHeader/>
        </w:trPr>
        <w:tc>
          <w:tcPr>
            <w:tcW w:w="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9E804" w14:textId="77777777" w:rsidR="00C639F6" w:rsidRPr="003237C5" w:rsidRDefault="00C639F6" w:rsidP="00252989">
            <w:pPr>
              <w:jc w:val="center"/>
              <w:rPr>
                <w:color w:val="000000"/>
                <w:lang w:eastAsia="en-AU"/>
              </w:rPr>
            </w:pPr>
            <w:r w:rsidRPr="003237C5">
              <w:rPr>
                <w:b/>
                <w:bCs/>
                <w:color w:val="000000"/>
                <w:lang w:eastAsia="en-AU"/>
              </w:rPr>
              <w:t>Year</w:t>
            </w:r>
          </w:p>
        </w:tc>
        <w:tc>
          <w:tcPr>
            <w:tcW w:w="11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C6C855" w14:textId="77777777" w:rsidR="00C639F6" w:rsidRPr="003237C5" w:rsidRDefault="00C639F6" w:rsidP="00252989">
            <w:pPr>
              <w:jc w:val="center"/>
              <w:rPr>
                <w:color w:val="000000"/>
                <w:lang w:eastAsia="en-AU"/>
              </w:rPr>
            </w:pPr>
            <w:r w:rsidRPr="003237C5">
              <w:rPr>
                <w:b/>
                <w:bCs/>
                <w:color w:val="000000"/>
                <w:lang w:eastAsia="en-AU"/>
              </w:rPr>
              <w:t>Fee</w:t>
            </w:r>
          </w:p>
        </w:tc>
      </w:tr>
      <w:tr w:rsidR="00C639F6" w:rsidRPr="003237C5" w14:paraId="1420C649" w14:textId="77777777" w:rsidTr="00252989">
        <w:trPr>
          <w:trHeight w:val="266"/>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F4F2BC" w14:textId="77777777" w:rsidR="00C639F6" w:rsidRPr="003237C5" w:rsidRDefault="00C639F6" w:rsidP="00252989">
            <w:pPr>
              <w:jc w:val="center"/>
              <w:rPr>
                <w:color w:val="000000"/>
                <w:lang w:eastAsia="en-AU"/>
              </w:rPr>
            </w:pPr>
            <w:r w:rsidRPr="003237C5">
              <w:rPr>
                <w:color w:val="000000"/>
                <w:lang w:eastAsia="en-AU"/>
              </w:rPr>
              <w:t>2020</w:t>
            </w: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10FF58" w14:textId="77777777" w:rsidR="00C639F6" w:rsidRPr="003237C5" w:rsidRDefault="00C639F6" w:rsidP="00252989">
            <w:pPr>
              <w:jc w:val="center"/>
              <w:rPr>
                <w:color w:val="000000"/>
                <w:lang w:eastAsia="en-AU"/>
              </w:rPr>
            </w:pPr>
            <w:r w:rsidRPr="003237C5">
              <w:rPr>
                <w:color w:val="000000"/>
                <w:lang w:eastAsia="en-AU"/>
              </w:rPr>
              <w:t>$12,818</w:t>
            </w:r>
          </w:p>
        </w:tc>
      </w:tr>
      <w:tr w:rsidR="00C639F6" w:rsidRPr="003237C5" w14:paraId="45C9D895" w14:textId="77777777" w:rsidTr="00252989">
        <w:trPr>
          <w:trHeight w:val="266"/>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63A6E6" w14:textId="77777777" w:rsidR="00C639F6" w:rsidRPr="003237C5" w:rsidRDefault="00C639F6" w:rsidP="00252989">
            <w:pPr>
              <w:jc w:val="center"/>
              <w:rPr>
                <w:color w:val="000000"/>
                <w:lang w:eastAsia="en-AU"/>
              </w:rPr>
            </w:pPr>
            <w:r w:rsidRPr="003237C5">
              <w:rPr>
                <w:color w:val="000000"/>
                <w:lang w:eastAsia="en-AU"/>
              </w:rPr>
              <w:t>2021</w:t>
            </w: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6B13A" w14:textId="77777777" w:rsidR="00C639F6" w:rsidRPr="003237C5" w:rsidRDefault="00C639F6" w:rsidP="00252989">
            <w:pPr>
              <w:jc w:val="center"/>
              <w:rPr>
                <w:color w:val="000000"/>
                <w:lang w:eastAsia="en-AU"/>
              </w:rPr>
            </w:pPr>
            <w:r w:rsidRPr="003237C5">
              <w:rPr>
                <w:color w:val="000000"/>
                <w:lang w:eastAsia="en-AU"/>
              </w:rPr>
              <w:t>$13,010</w:t>
            </w:r>
          </w:p>
        </w:tc>
      </w:tr>
      <w:tr w:rsidR="00C639F6" w:rsidRPr="003237C5" w14:paraId="62864D20" w14:textId="77777777" w:rsidTr="00252989">
        <w:trPr>
          <w:trHeight w:val="266"/>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6B626" w14:textId="77777777" w:rsidR="00C639F6" w:rsidRPr="003237C5" w:rsidRDefault="00C639F6" w:rsidP="00252989">
            <w:pPr>
              <w:jc w:val="center"/>
              <w:rPr>
                <w:color w:val="000000"/>
                <w:lang w:eastAsia="en-AU"/>
              </w:rPr>
            </w:pPr>
            <w:r w:rsidRPr="003237C5">
              <w:rPr>
                <w:color w:val="000000"/>
                <w:lang w:eastAsia="en-AU"/>
              </w:rPr>
              <w:t>2022</w:t>
            </w: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6D0D5" w14:textId="77777777" w:rsidR="00C639F6" w:rsidRPr="003237C5" w:rsidRDefault="00C639F6" w:rsidP="00252989">
            <w:pPr>
              <w:jc w:val="center"/>
              <w:rPr>
                <w:color w:val="000000"/>
                <w:lang w:eastAsia="en-AU"/>
              </w:rPr>
            </w:pPr>
            <w:r w:rsidRPr="003237C5">
              <w:rPr>
                <w:color w:val="000000"/>
                <w:lang w:eastAsia="en-AU"/>
              </w:rPr>
              <w:t>$13,153</w:t>
            </w:r>
          </w:p>
        </w:tc>
      </w:tr>
      <w:tr w:rsidR="00C639F6" w:rsidRPr="003237C5" w14:paraId="2E56CFCC" w14:textId="77777777" w:rsidTr="00252989">
        <w:trPr>
          <w:trHeight w:val="266"/>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49A4FB" w14:textId="77777777" w:rsidR="00C639F6" w:rsidRPr="003237C5" w:rsidRDefault="00C639F6" w:rsidP="00252989">
            <w:pPr>
              <w:jc w:val="center"/>
              <w:rPr>
                <w:color w:val="000000"/>
                <w:lang w:eastAsia="en-AU"/>
              </w:rPr>
            </w:pPr>
            <w:r w:rsidRPr="003237C5">
              <w:rPr>
                <w:color w:val="000000"/>
                <w:lang w:eastAsia="en-AU"/>
              </w:rPr>
              <w:t>2023</w:t>
            </w: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B21A8" w14:textId="77777777" w:rsidR="00C639F6" w:rsidRPr="003237C5" w:rsidRDefault="00C639F6" w:rsidP="00252989">
            <w:pPr>
              <w:jc w:val="center"/>
              <w:rPr>
                <w:color w:val="000000"/>
                <w:lang w:eastAsia="en-AU"/>
              </w:rPr>
            </w:pPr>
            <w:r w:rsidRPr="003237C5">
              <w:rPr>
                <w:color w:val="000000"/>
                <w:lang w:eastAsia="en-AU"/>
              </w:rPr>
              <w:t>$13,364</w:t>
            </w:r>
          </w:p>
        </w:tc>
      </w:tr>
      <w:tr w:rsidR="00C639F6" w:rsidRPr="003237C5" w14:paraId="6985CA08" w14:textId="77777777" w:rsidTr="00252989">
        <w:trPr>
          <w:trHeight w:val="266"/>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E8D90" w14:textId="77777777" w:rsidR="00C639F6" w:rsidRPr="003237C5" w:rsidRDefault="00C639F6" w:rsidP="00252989">
            <w:pPr>
              <w:jc w:val="center"/>
              <w:rPr>
                <w:color w:val="000000"/>
                <w:lang w:eastAsia="en-AU"/>
              </w:rPr>
            </w:pPr>
            <w:r w:rsidRPr="003237C5">
              <w:rPr>
                <w:color w:val="000000"/>
                <w:lang w:eastAsia="en-AU"/>
              </w:rPr>
              <w:t>2024</w:t>
            </w: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9BFF4" w14:textId="77777777" w:rsidR="00C639F6" w:rsidRPr="003237C5" w:rsidRDefault="00C639F6" w:rsidP="00252989">
            <w:pPr>
              <w:jc w:val="center"/>
              <w:rPr>
                <w:color w:val="000000"/>
                <w:lang w:eastAsia="en-AU"/>
              </w:rPr>
            </w:pPr>
            <w:r w:rsidRPr="003237C5">
              <w:rPr>
                <w:color w:val="000000"/>
                <w:lang w:eastAsia="en-AU"/>
              </w:rPr>
              <w:t>$13,577</w:t>
            </w:r>
          </w:p>
        </w:tc>
      </w:tr>
    </w:tbl>
    <w:p w14:paraId="7C5BD150" w14:textId="77777777" w:rsidR="00C639F6" w:rsidRPr="003237C5" w:rsidRDefault="00C639F6" w:rsidP="00C639F6"/>
    <w:p w14:paraId="5615D14B" w14:textId="77777777" w:rsidR="00F56BC1" w:rsidRPr="003237C5" w:rsidRDefault="00F56BC1" w:rsidP="00F56BC1">
      <w:pPr>
        <w:rPr>
          <w:lang w:eastAsia="en-AU"/>
        </w:rPr>
      </w:pPr>
      <w:r w:rsidRPr="003237C5">
        <w:br w:type="page"/>
      </w:r>
    </w:p>
    <w:p w14:paraId="1E0B08E2" w14:textId="77777777" w:rsidR="00F56BC1" w:rsidRPr="003237C5" w:rsidRDefault="00F56BC1" w:rsidP="00F56BC1">
      <w:pPr>
        <w:pStyle w:val="Heading1"/>
        <w:rPr>
          <w:u w:val="single"/>
        </w:rPr>
      </w:pPr>
      <w:bookmarkStart w:id="14" w:name="_Toc122231822"/>
      <w:bookmarkStart w:id="15" w:name="_Toc152752060"/>
      <w:bookmarkStart w:id="16" w:name="_Toc93391325"/>
      <w:r w:rsidRPr="003237C5">
        <w:rPr>
          <w:u w:val="single"/>
        </w:rPr>
        <w:t>CHAPTER 4</w:t>
      </w:r>
      <w:r w:rsidRPr="003237C5">
        <w:rPr>
          <w:u w:val="single"/>
        </w:rPr>
        <w:tab/>
        <w:t>GRIEVANCE AND REVIEW PROCEDURES</w:t>
      </w:r>
      <w:bookmarkEnd w:id="14"/>
      <w:bookmarkEnd w:id="15"/>
      <w:bookmarkEnd w:id="16"/>
      <w:r w:rsidRPr="003237C5">
        <w:rPr>
          <w:u w:val="single"/>
        </w:rPr>
        <w:t xml:space="preserve"> </w:t>
      </w:r>
    </w:p>
    <w:p w14:paraId="28608964" w14:textId="77777777" w:rsidR="00F56BC1" w:rsidRPr="003237C5" w:rsidRDefault="00F56BC1" w:rsidP="00F56BC1">
      <w:pPr>
        <w:rPr>
          <w:b/>
          <w:bCs/>
        </w:rPr>
      </w:pPr>
    </w:p>
    <w:p w14:paraId="1A837927" w14:textId="77777777" w:rsidR="00935DD8" w:rsidRPr="003237C5" w:rsidRDefault="00F56BC1" w:rsidP="00F56BC1">
      <w:pPr>
        <w:tabs>
          <w:tab w:val="left" w:pos="800"/>
        </w:tabs>
        <w:rPr>
          <w:b/>
        </w:rPr>
      </w:pPr>
      <w:r w:rsidRPr="003237C5">
        <w:rPr>
          <w:b/>
        </w:rPr>
        <w:t>4.1</w:t>
      </w:r>
      <w:r w:rsidRPr="003237C5">
        <w:rPr>
          <w:b/>
        </w:rPr>
        <w:tab/>
      </w:r>
      <w:r w:rsidR="00935DD8" w:rsidRPr="003237C5">
        <w:rPr>
          <w:b/>
        </w:rPr>
        <w:t>PURPOSE</w:t>
      </w:r>
    </w:p>
    <w:p w14:paraId="40CB8D02" w14:textId="77777777" w:rsidR="00935DD8" w:rsidRPr="003237C5" w:rsidRDefault="00935DD8" w:rsidP="00F56BC1">
      <w:pPr>
        <w:tabs>
          <w:tab w:val="left" w:pos="800"/>
        </w:tabs>
      </w:pPr>
    </w:p>
    <w:p w14:paraId="5BED5646" w14:textId="77777777" w:rsidR="00F56BC1" w:rsidRPr="003237C5" w:rsidRDefault="00935DD8" w:rsidP="00935DD8">
      <w:pPr>
        <w:tabs>
          <w:tab w:val="left" w:pos="800"/>
        </w:tabs>
        <w:spacing w:after="120"/>
        <w:rPr>
          <w:lang w:eastAsia="en-AU"/>
        </w:rPr>
      </w:pPr>
      <w:r w:rsidRPr="003237C5">
        <w:t>4.1.1</w:t>
      </w:r>
      <w:r w:rsidRPr="003237C5">
        <w:tab/>
      </w:r>
      <w:r w:rsidR="00F56BC1" w:rsidRPr="003237C5">
        <w:rPr>
          <w:lang w:eastAsia="en-AU"/>
        </w:rPr>
        <w:t xml:space="preserve">The purpose of this chapter is: </w:t>
      </w:r>
    </w:p>
    <w:p w14:paraId="3B139F62" w14:textId="77777777" w:rsidR="00F56BC1" w:rsidRPr="003237C5" w:rsidRDefault="006D5459" w:rsidP="006D5459">
      <w:pPr>
        <w:keepLines w:val="0"/>
        <w:tabs>
          <w:tab w:val="left" w:pos="1160"/>
        </w:tabs>
        <w:spacing w:after="120"/>
        <w:ind w:left="1160" w:hanging="360"/>
      </w:pPr>
      <w:r w:rsidRPr="003237C5">
        <w:t>(a)</w:t>
      </w:r>
      <w:r w:rsidRPr="003237C5">
        <w:tab/>
      </w:r>
      <w:r w:rsidR="00F56BC1" w:rsidRPr="003237C5">
        <w:t xml:space="preserve">to ensure that all higher education providers other than those listed on Table A of the </w:t>
      </w:r>
      <w:r w:rsidR="00F56BC1" w:rsidRPr="003237C5">
        <w:rPr>
          <w:i/>
          <w:iCs/>
        </w:rPr>
        <w:t>Act</w:t>
      </w:r>
      <w:r w:rsidR="00F56BC1" w:rsidRPr="003237C5">
        <w:t xml:space="preserve"> have a grievance procedure in place to ensure effective and fair handling of complaints about both </w:t>
      </w:r>
      <w:r w:rsidR="00F56BC1" w:rsidRPr="003237C5">
        <w:rPr>
          <w:i/>
          <w:iCs/>
        </w:rPr>
        <w:t>academic</w:t>
      </w:r>
      <w:r w:rsidR="00F56BC1" w:rsidRPr="003237C5">
        <w:t xml:space="preserve"> and </w:t>
      </w:r>
      <w:r w:rsidR="00F56BC1" w:rsidRPr="003237C5">
        <w:rPr>
          <w:i/>
          <w:iCs/>
        </w:rPr>
        <w:t>non-academic matters</w:t>
      </w:r>
      <w:r w:rsidR="00F56BC1" w:rsidRPr="003237C5">
        <w:t>. (See paragraphs 19</w:t>
      </w:r>
      <w:r w:rsidR="00F56BC1" w:rsidRPr="003237C5">
        <w:noBreakHyphen/>
        <w:t xml:space="preserve">45(1)(a) and (b) and subsection19-45(2) of the </w:t>
      </w:r>
      <w:r w:rsidR="00F56BC1" w:rsidRPr="003237C5">
        <w:rPr>
          <w:i/>
          <w:iCs/>
        </w:rPr>
        <w:t>Act</w:t>
      </w:r>
      <w:r w:rsidR="00F56BC1" w:rsidRPr="003237C5">
        <w:t xml:space="preserve">.); and </w:t>
      </w:r>
    </w:p>
    <w:p w14:paraId="7AD65847" w14:textId="77777777" w:rsidR="00F56BC1" w:rsidRPr="003237C5" w:rsidRDefault="006D5459" w:rsidP="006D5459">
      <w:pPr>
        <w:keepLines w:val="0"/>
        <w:tabs>
          <w:tab w:val="left" w:pos="1160"/>
        </w:tabs>
        <w:spacing w:after="120"/>
        <w:ind w:left="1160" w:hanging="360"/>
      </w:pPr>
      <w:r w:rsidRPr="003237C5">
        <w:t>(b)</w:t>
      </w:r>
      <w:r w:rsidRPr="003237C5">
        <w:tab/>
      </w:r>
      <w:r w:rsidR="00F56BC1" w:rsidRPr="003237C5">
        <w:t xml:space="preserve">to set out procedures that review officers must follow when reviewing reviewable decisions of </w:t>
      </w:r>
      <w:r w:rsidR="00F2194D" w:rsidRPr="003237C5">
        <w:t>higher education provider</w:t>
      </w:r>
      <w:r w:rsidR="00F56BC1" w:rsidRPr="003237C5">
        <w:t xml:space="preserve">s under Chapter 3 of the </w:t>
      </w:r>
      <w:r w:rsidR="00F56BC1" w:rsidRPr="003237C5">
        <w:rPr>
          <w:i/>
          <w:iCs/>
        </w:rPr>
        <w:t>Act</w:t>
      </w:r>
      <w:r w:rsidR="00F2194D" w:rsidRPr="003237C5">
        <w:t>. (See subsection19</w:t>
      </w:r>
      <w:r w:rsidR="00F2194D" w:rsidRPr="003237C5">
        <w:noBreakHyphen/>
      </w:r>
      <w:r w:rsidR="00F56BC1" w:rsidRPr="003237C5">
        <w:t xml:space="preserve">45(4) of the </w:t>
      </w:r>
      <w:r w:rsidR="00F56BC1" w:rsidRPr="003237C5">
        <w:rPr>
          <w:i/>
          <w:iCs/>
        </w:rPr>
        <w:t>Act</w:t>
      </w:r>
      <w:r w:rsidR="00F56BC1" w:rsidRPr="003237C5">
        <w:t>.)</w:t>
      </w:r>
    </w:p>
    <w:p w14:paraId="0C05884B" w14:textId="77777777" w:rsidR="00F56BC1" w:rsidRPr="003237C5" w:rsidRDefault="00F56BC1" w:rsidP="00F56BC1">
      <w:pPr>
        <w:rPr>
          <w:lang w:eastAsia="en-AU"/>
        </w:rPr>
      </w:pPr>
    </w:p>
    <w:p w14:paraId="4B4A5952" w14:textId="77777777" w:rsidR="00F56BC1" w:rsidRPr="003237C5" w:rsidRDefault="00F56BC1" w:rsidP="00F56BC1">
      <w:pPr>
        <w:pStyle w:val="List1"/>
      </w:pPr>
      <w:r w:rsidRPr="003237C5">
        <w:t>4.5</w:t>
      </w:r>
      <w:r w:rsidRPr="003237C5">
        <w:tab/>
        <w:t>REQUIREMENTS FOR GRIEVANCE PROCEDURES</w:t>
      </w:r>
    </w:p>
    <w:p w14:paraId="7E5181D7" w14:textId="77777777" w:rsidR="00F56BC1" w:rsidRPr="003237C5" w:rsidRDefault="00F56BC1" w:rsidP="00F56BC1">
      <w:pPr>
        <w:rPr>
          <w:lang w:eastAsia="en-AU"/>
        </w:rPr>
      </w:pPr>
    </w:p>
    <w:p w14:paraId="17EF1A41" w14:textId="77777777" w:rsidR="00F56BC1" w:rsidRPr="003237C5" w:rsidRDefault="00F56BC1" w:rsidP="00D2292A">
      <w:pPr>
        <w:tabs>
          <w:tab w:val="left" w:pos="1000"/>
        </w:tabs>
        <w:spacing w:after="120"/>
        <w:ind w:left="800" w:hanging="800"/>
      </w:pPr>
      <w:r w:rsidRPr="003237C5">
        <w:t>4.5.1</w:t>
      </w:r>
      <w:r w:rsidRPr="003237C5">
        <w:tab/>
        <w:t>A higher education provider other than a Table A provider must have a grievance procedure to deal with complaints:</w:t>
      </w:r>
    </w:p>
    <w:p w14:paraId="4ACF00E9" w14:textId="77777777" w:rsidR="00F56BC1" w:rsidRPr="003237C5" w:rsidRDefault="006D5459" w:rsidP="006D5459">
      <w:pPr>
        <w:keepLines w:val="0"/>
        <w:tabs>
          <w:tab w:val="left" w:pos="1160"/>
        </w:tabs>
        <w:spacing w:after="120"/>
        <w:ind w:left="1160" w:hanging="360"/>
      </w:pPr>
      <w:r w:rsidRPr="003237C5">
        <w:t>(a)</w:t>
      </w:r>
      <w:r w:rsidRPr="003237C5">
        <w:tab/>
      </w:r>
      <w:r w:rsidR="00F56BC1" w:rsidRPr="003237C5">
        <w:t xml:space="preserve">from the provider’s students, and from persons seeking to enrol in courses of study with the provider, relating to </w:t>
      </w:r>
      <w:r w:rsidR="00F56BC1" w:rsidRPr="003237C5">
        <w:rPr>
          <w:i/>
          <w:iCs/>
        </w:rPr>
        <w:t>non-academic matters</w:t>
      </w:r>
      <w:r w:rsidR="00F56BC1" w:rsidRPr="003237C5">
        <w:t>; and</w:t>
      </w:r>
    </w:p>
    <w:p w14:paraId="0262C78F" w14:textId="77777777" w:rsidR="00F56BC1" w:rsidRPr="003237C5" w:rsidRDefault="006D5459" w:rsidP="006D5459">
      <w:pPr>
        <w:keepLines w:val="0"/>
        <w:tabs>
          <w:tab w:val="left" w:pos="1160"/>
        </w:tabs>
        <w:ind w:left="1156" w:hanging="357"/>
      </w:pPr>
      <w:r w:rsidRPr="003237C5">
        <w:t>(b)</w:t>
      </w:r>
      <w:r w:rsidRPr="003237C5">
        <w:tab/>
      </w:r>
      <w:r w:rsidR="00F56BC1" w:rsidRPr="003237C5">
        <w:t xml:space="preserve">from the provider’s students, relating to </w:t>
      </w:r>
      <w:r w:rsidR="00F56BC1" w:rsidRPr="003237C5">
        <w:rPr>
          <w:i/>
          <w:iCs/>
        </w:rPr>
        <w:t>academic matters</w:t>
      </w:r>
      <w:r w:rsidR="00F56BC1" w:rsidRPr="003237C5">
        <w:t>.</w:t>
      </w:r>
    </w:p>
    <w:p w14:paraId="228E756B" w14:textId="77777777" w:rsidR="00F56BC1" w:rsidRPr="003237C5" w:rsidRDefault="00F56BC1" w:rsidP="00F56BC1">
      <w:pPr>
        <w:tabs>
          <w:tab w:val="left" w:pos="1000"/>
        </w:tabs>
        <w:ind w:left="800" w:hanging="800"/>
      </w:pPr>
    </w:p>
    <w:p w14:paraId="4E3B53C1" w14:textId="77777777" w:rsidR="00F56BC1" w:rsidRPr="003237C5" w:rsidRDefault="007C4103" w:rsidP="00D2292A">
      <w:pPr>
        <w:tabs>
          <w:tab w:val="left" w:pos="1000"/>
        </w:tabs>
        <w:spacing w:after="120"/>
        <w:ind w:left="800" w:hanging="800"/>
      </w:pPr>
      <w:r w:rsidRPr="003237C5">
        <w:t>4.5.5</w:t>
      </w:r>
      <w:r w:rsidR="00F56BC1" w:rsidRPr="003237C5">
        <w:tab/>
        <w:t>These grievance procedures must contain the following elements:</w:t>
      </w:r>
    </w:p>
    <w:p w14:paraId="5508E156" w14:textId="77777777" w:rsidR="00F56BC1" w:rsidRPr="003237C5" w:rsidRDefault="006D5459" w:rsidP="006D5459">
      <w:pPr>
        <w:keepLines w:val="0"/>
        <w:tabs>
          <w:tab w:val="left" w:pos="1159"/>
        </w:tabs>
        <w:spacing w:after="120"/>
        <w:ind w:left="1159" w:hanging="360"/>
      </w:pPr>
      <w:r w:rsidRPr="003237C5">
        <w:t>(a)</w:t>
      </w:r>
      <w:r w:rsidRPr="003237C5">
        <w:tab/>
      </w:r>
      <w:r w:rsidR="00F56BC1" w:rsidRPr="003237C5">
        <w:t>an arrangement for handling complaints which is easily accessible to students; is without charge, or at reasonable cost to students; and encourages timely resolution; and</w:t>
      </w:r>
    </w:p>
    <w:p w14:paraId="50B9925B" w14:textId="77777777" w:rsidR="00F56BC1" w:rsidRPr="003237C5" w:rsidRDefault="006D5459" w:rsidP="006D5459">
      <w:pPr>
        <w:keepLines w:val="0"/>
        <w:tabs>
          <w:tab w:val="left" w:pos="1159"/>
        </w:tabs>
        <w:spacing w:after="120"/>
        <w:ind w:left="1159" w:hanging="360"/>
      </w:pPr>
      <w:r w:rsidRPr="003237C5">
        <w:t>(b)</w:t>
      </w:r>
      <w:r w:rsidRPr="003237C5">
        <w:tab/>
      </w:r>
      <w:r w:rsidR="00F56BC1" w:rsidRPr="003237C5">
        <w:t xml:space="preserve">an arrangement for the internal investigation of complaints which remain unresolved by the process outlined at </w:t>
      </w:r>
      <w:r w:rsidR="00BE3C79" w:rsidRPr="003237C5">
        <w:t>(</w:t>
      </w:r>
      <w:r w:rsidR="00F56BC1" w:rsidRPr="003237C5">
        <w:t>a) by an independent and impartial senior officer of the provider nominated by the provider, or dedicated complaints committee or unit established by the provider; and</w:t>
      </w:r>
    </w:p>
    <w:p w14:paraId="7A309F65" w14:textId="77777777" w:rsidR="00F56BC1" w:rsidRPr="003237C5" w:rsidRDefault="006D5459" w:rsidP="006D5459">
      <w:pPr>
        <w:keepLines w:val="0"/>
        <w:tabs>
          <w:tab w:val="left" w:pos="1159"/>
        </w:tabs>
        <w:ind w:left="1156" w:hanging="357"/>
      </w:pPr>
      <w:r w:rsidRPr="003237C5">
        <w:t>(c)</w:t>
      </w:r>
      <w:r w:rsidRPr="003237C5">
        <w:tab/>
      </w:r>
      <w:r w:rsidR="00F56BC1" w:rsidRPr="003237C5">
        <w:t xml:space="preserve">a provision for external review of decisions made under paragraph </w:t>
      </w:r>
      <w:r w:rsidR="00BE3C79" w:rsidRPr="003237C5">
        <w:t>(</w:t>
      </w:r>
      <w:r w:rsidR="00F56BC1" w:rsidRPr="003237C5">
        <w:t>b) by an independent person or body established or nominated by the higher education provider.</w:t>
      </w:r>
    </w:p>
    <w:p w14:paraId="365FECF0" w14:textId="77777777" w:rsidR="00F56BC1" w:rsidRPr="003237C5" w:rsidRDefault="00F56BC1" w:rsidP="00F56BC1"/>
    <w:p w14:paraId="191187C9" w14:textId="77777777" w:rsidR="00F56BC1" w:rsidRPr="003237C5" w:rsidRDefault="007C4103" w:rsidP="00D2292A">
      <w:pPr>
        <w:tabs>
          <w:tab w:val="left" w:pos="1000"/>
        </w:tabs>
        <w:spacing w:after="120"/>
        <w:ind w:left="800" w:hanging="800"/>
      </w:pPr>
      <w:r w:rsidRPr="003237C5">
        <w:t>4.5.10</w:t>
      </w:r>
      <w:r w:rsidR="00D2292A" w:rsidRPr="003237C5">
        <w:tab/>
      </w:r>
      <w:r w:rsidR="00F56BC1" w:rsidRPr="003237C5">
        <w:t>The higher education provider must:</w:t>
      </w:r>
    </w:p>
    <w:p w14:paraId="5092E044" w14:textId="77777777" w:rsidR="00F56BC1" w:rsidRPr="003237C5" w:rsidRDefault="006D5459" w:rsidP="006D5459">
      <w:pPr>
        <w:keepLines w:val="0"/>
        <w:tabs>
          <w:tab w:val="left" w:pos="1287"/>
        </w:tabs>
        <w:spacing w:after="120"/>
        <w:ind w:left="1287" w:hanging="360"/>
      </w:pPr>
      <w:r w:rsidRPr="003237C5">
        <w:t>(a)</w:t>
      </w:r>
      <w:r w:rsidRPr="003237C5">
        <w:tab/>
      </w:r>
      <w:r w:rsidR="00F56BC1" w:rsidRPr="003237C5">
        <w:t xml:space="preserve">have a mechanism in place to implement the grievance procedures, including implementation of recommendations arising from any external review under paragraph </w:t>
      </w:r>
      <w:proofErr w:type="gramStart"/>
      <w:r w:rsidR="00F56BC1" w:rsidRPr="003237C5">
        <w:t>4.5</w:t>
      </w:r>
      <w:r w:rsidR="007C4103" w:rsidRPr="003237C5">
        <w:t>.5</w:t>
      </w:r>
      <w:r w:rsidR="00BE3C79" w:rsidRPr="003237C5">
        <w:t>(</w:t>
      </w:r>
      <w:r w:rsidR="00F56BC1" w:rsidRPr="003237C5">
        <w:t>c);</w:t>
      </w:r>
      <w:proofErr w:type="gramEnd"/>
    </w:p>
    <w:p w14:paraId="2DB27E06" w14:textId="77777777" w:rsidR="00F56BC1" w:rsidRPr="003237C5" w:rsidRDefault="006D5459" w:rsidP="006D5459">
      <w:pPr>
        <w:keepLines w:val="0"/>
        <w:tabs>
          <w:tab w:val="left" w:pos="1287"/>
        </w:tabs>
        <w:spacing w:after="120"/>
        <w:ind w:left="1287" w:hanging="360"/>
      </w:pPr>
      <w:r w:rsidRPr="003237C5">
        <w:t>(b)</w:t>
      </w:r>
      <w:r w:rsidRPr="003237C5">
        <w:tab/>
      </w:r>
      <w:r w:rsidR="00F56BC1" w:rsidRPr="003237C5">
        <w:t xml:space="preserve">ensure that the grievance procedures are complete, unambiguous and agreed to and ratified by the provider’s governing </w:t>
      </w:r>
      <w:proofErr w:type="gramStart"/>
      <w:r w:rsidR="00F56BC1" w:rsidRPr="003237C5">
        <w:t>body;</w:t>
      </w:r>
      <w:proofErr w:type="gramEnd"/>
    </w:p>
    <w:p w14:paraId="3399868B" w14:textId="77777777" w:rsidR="00F56BC1" w:rsidRPr="003237C5" w:rsidRDefault="006D5459" w:rsidP="006D5459">
      <w:pPr>
        <w:keepLines w:val="0"/>
        <w:tabs>
          <w:tab w:val="left" w:pos="1287"/>
        </w:tabs>
        <w:spacing w:after="120"/>
        <w:ind w:left="1287" w:hanging="360"/>
      </w:pPr>
      <w:r w:rsidRPr="003237C5">
        <w:t>(c)</w:t>
      </w:r>
      <w:r w:rsidRPr="003237C5">
        <w:tab/>
      </w:r>
      <w:r w:rsidR="00F56BC1" w:rsidRPr="003237C5">
        <w:t xml:space="preserve">not </w:t>
      </w:r>
      <w:r w:rsidR="00F56BC1" w:rsidRPr="003237C5">
        <w:rPr>
          <w:i/>
          <w:iCs/>
        </w:rPr>
        <w:t>victimise</w:t>
      </w:r>
      <w:r w:rsidR="00F56BC1" w:rsidRPr="003237C5">
        <w:t xml:space="preserve"> or discriminate against any complainant or </w:t>
      </w:r>
      <w:proofErr w:type="gramStart"/>
      <w:r w:rsidR="00F56BC1" w:rsidRPr="003237C5">
        <w:t>respondent;</w:t>
      </w:r>
      <w:proofErr w:type="gramEnd"/>
    </w:p>
    <w:p w14:paraId="23CB5E96" w14:textId="77777777" w:rsidR="00F56BC1" w:rsidRPr="003237C5" w:rsidRDefault="006D5459" w:rsidP="006D5459">
      <w:pPr>
        <w:keepLines w:val="0"/>
        <w:tabs>
          <w:tab w:val="left" w:pos="1287"/>
        </w:tabs>
        <w:spacing w:after="120"/>
        <w:ind w:left="1287" w:hanging="360"/>
      </w:pPr>
      <w:r w:rsidRPr="003237C5">
        <w:t>(d)</w:t>
      </w:r>
      <w:r w:rsidRPr="003237C5">
        <w:tab/>
      </w:r>
      <w:r w:rsidR="00F56BC1" w:rsidRPr="003237C5">
        <w:t xml:space="preserve">make details of the grievance procedures publicly </w:t>
      </w:r>
      <w:proofErr w:type="gramStart"/>
      <w:r w:rsidR="00F56BC1" w:rsidRPr="003237C5">
        <w:t>available;</w:t>
      </w:r>
      <w:proofErr w:type="gramEnd"/>
    </w:p>
    <w:p w14:paraId="4BF85D09" w14:textId="77777777" w:rsidR="00F56BC1" w:rsidRPr="003237C5" w:rsidRDefault="006D5459" w:rsidP="006D5459">
      <w:pPr>
        <w:keepLines w:val="0"/>
        <w:tabs>
          <w:tab w:val="left" w:pos="1287"/>
        </w:tabs>
        <w:spacing w:after="120"/>
        <w:ind w:left="1287" w:hanging="360"/>
      </w:pPr>
      <w:r w:rsidRPr="003237C5">
        <w:t>(e)</w:t>
      </w:r>
      <w:r w:rsidRPr="003237C5">
        <w:tab/>
      </w:r>
      <w:r w:rsidR="00F56BC1" w:rsidRPr="003237C5">
        <w:t xml:space="preserve">communicate the grievance procedures in writing to its staff and train its staff in their </w:t>
      </w:r>
      <w:proofErr w:type="gramStart"/>
      <w:r w:rsidR="00F56BC1" w:rsidRPr="003237C5">
        <w:t>application;</w:t>
      </w:r>
      <w:proofErr w:type="gramEnd"/>
      <w:r w:rsidR="00F56BC1" w:rsidRPr="003237C5">
        <w:t xml:space="preserve"> </w:t>
      </w:r>
    </w:p>
    <w:p w14:paraId="1215F31F" w14:textId="77777777" w:rsidR="00F56BC1" w:rsidRPr="003237C5" w:rsidRDefault="006D5459" w:rsidP="006D5459">
      <w:pPr>
        <w:keepLines w:val="0"/>
        <w:tabs>
          <w:tab w:val="left" w:pos="1287"/>
        </w:tabs>
        <w:spacing w:after="120"/>
        <w:ind w:left="1287" w:hanging="360"/>
      </w:pPr>
      <w:r w:rsidRPr="003237C5">
        <w:t>(f)</w:t>
      </w:r>
      <w:r w:rsidRPr="003237C5">
        <w:tab/>
      </w:r>
      <w:r w:rsidR="00F56BC1" w:rsidRPr="003237C5">
        <w:t xml:space="preserve">specify reasonable timelines for responses to each stage of the </w:t>
      </w:r>
      <w:proofErr w:type="gramStart"/>
      <w:r w:rsidR="00F56BC1" w:rsidRPr="003237C5">
        <w:t>process;</w:t>
      </w:r>
      <w:proofErr w:type="gramEnd"/>
      <w:r w:rsidR="00F56BC1" w:rsidRPr="003237C5">
        <w:t xml:space="preserve"> </w:t>
      </w:r>
    </w:p>
    <w:p w14:paraId="6F1C9F5C" w14:textId="77777777" w:rsidR="00F56BC1" w:rsidRPr="003237C5" w:rsidRDefault="006D5459" w:rsidP="006D5459">
      <w:pPr>
        <w:keepLines w:val="0"/>
        <w:tabs>
          <w:tab w:val="left" w:pos="1287"/>
        </w:tabs>
        <w:spacing w:after="120"/>
        <w:ind w:left="1287" w:hanging="360"/>
      </w:pPr>
      <w:r w:rsidRPr="003237C5">
        <w:t>(g)</w:t>
      </w:r>
      <w:r w:rsidRPr="003237C5">
        <w:tab/>
      </w:r>
      <w:r w:rsidR="00F56BC1" w:rsidRPr="003237C5">
        <w:t xml:space="preserve">allow the complainant and/or respondent to be accompanied and assisted by a third party if </w:t>
      </w:r>
      <w:proofErr w:type="gramStart"/>
      <w:r w:rsidR="00F56BC1" w:rsidRPr="003237C5">
        <w:t>desired;</w:t>
      </w:r>
      <w:proofErr w:type="gramEnd"/>
    </w:p>
    <w:p w14:paraId="381A87FB" w14:textId="77777777" w:rsidR="00F56BC1" w:rsidRPr="003237C5" w:rsidRDefault="006D5459" w:rsidP="006D5459">
      <w:pPr>
        <w:keepLines w:val="0"/>
        <w:tabs>
          <w:tab w:val="left" w:pos="1287"/>
        </w:tabs>
        <w:spacing w:after="120"/>
        <w:ind w:left="1287" w:hanging="360"/>
      </w:pPr>
      <w:r w:rsidRPr="003237C5">
        <w:t>(h)</w:t>
      </w:r>
      <w:r w:rsidRPr="003237C5">
        <w:tab/>
      </w:r>
      <w:r w:rsidR="00F56BC1" w:rsidRPr="003237C5">
        <w:t xml:space="preserve">give reasons and full explanation in writing for decisions and actions taken as part of the procedures, if requested by the complainant and/or </w:t>
      </w:r>
      <w:proofErr w:type="gramStart"/>
      <w:r w:rsidR="00F56BC1" w:rsidRPr="003237C5">
        <w:t>respondent;</w:t>
      </w:r>
      <w:proofErr w:type="gramEnd"/>
    </w:p>
    <w:p w14:paraId="6CDF6FE3" w14:textId="77777777" w:rsidR="00F56BC1" w:rsidRPr="003237C5" w:rsidRDefault="006D5459" w:rsidP="006D5459">
      <w:pPr>
        <w:keepLines w:val="0"/>
        <w:tabs>
          <w:tab w:val="left" w:pos="1287"/>
        </w:tabs>
        <w:spacing w:after="120"/>
        <w:ind w:left="1287" w:hanging="360"/>
      </w:pPr>
      <w:r w:rsidRPr="003237C5">
        <w:t>(</w:t>
      </w:r>
      <w:proofErr w:type="spellStart"/>
      <w:r w:rsidRPr="003237C5">
        <w:t>i</w:t>
      </w:r>
      <w:proofErr w:type="spellEnd"/>
      <w:r w:rsidRPr="003237C5">
        <w:t>)</w:t>
      </w:r>
      <w:r w:rsidRPr="003237C5">
        <w:tab/>
      </w:r>
      <w:r w:rsidR="00F56BC1" w:rsidRPr="003237C5">
        <w:t xml:space="preserve">keep appropriate records of all grievances for at least five years, and allow parties to the complaint appropriate access to these </w:t>
      </w:r>
      <w:proofErr w:type="gramStart"/>
      <w:r w:rsidR="00F56BC1" w:rsidRPr="003237C5">
        <w:t>records;</w:t>
      </w:r>
      <w:proofErr w:type="gramEnd"/>
    </w:p>
    <w:p w14:paraId="52D45126" w14:textId="77777777" w:rsidR="00F56BC1" w:rsidRPr="003237C5" w:rsidRDefault="006D5459" w:rsidP="006D5459">
      <w:pPr>
        <w:keepLines w:val="0"/>
        <w:tabs>
          <w:tab w:val="left" w:pos="1287"/>
        </w:tabs>
        <w:ind w:left="1281" w:hanging="357"/>
      </w:pPr>
      <w:r w:rsidRPr="003237C5">
        <w:t>(j)</w:t>
      </w:r>
      <w:r w:rsidRPr="003237C5">
        <w:tab/>
      </w:r>
      <w:r w:rsidR="00F56BC1" w:rsidRPr="003237C5">
        <w:t>ensure that such records are treated as confidential.</w:t>
      </w:r>
    </w:p>
    <w:p w14:paraId="3639F80C" w14:textId="77777777" w:rsidR="00F56BC1" w:rsidRPr="003237C5" w:rsidRDefault="00F56BC1" w:rsidP="00F56BC1">
      <w:pPr>
        <w:ind w:left="360"/>
      </w:pPr>
    </w:p>
    <w:p w14:paraId="68EDA4A5" w14:textId="77777777" w:rsidR="00F56BC1" w:rsidRPr="003237C5" w:rsidRDefault="007C4103" w:rsidP="00F56BC1">
      <w:pPr>
        <w:tabs>
          <w:tab w:val="left" w:pos="1000"/>
        </w:tabs>
        <w:ind w:left="800" w:hanging="800"/>
      </w:pPr>
      <w:r w:rsidRPr="003237C5">
        <w:t>4.5.15</w:t>
      </w:r>
      <w:r w:rsidR="00F56BC1" w:rsidRPr="003237C5">
        <w:tab/>
        <w:t>Students or persons seeking to enrol in course of study with a provider are entitled to access the grievance procedures as set out by that provider, regardless of the location of the campus at which the grievance has arisen, the student’s place of residence or the mode in which they study.</w:t>
      </w:r>
    </w:p>
    <w:p w14:paraId="7FD2484C" w14:textId="77777777" w:rsidR="00F56BC1" w:rsidRPr="003237C5" w:rsidRDefault="00F56BC1" w:rsidP="00F56BC1"/>
    <w:p w14:paraId="412C7D33" w14:textId="77777777" w:rsidR="00F56BC1" w:rsidRPr="003237C5" w:rsidRDefault="007C4103" w:rsidP="00085880">
      <w:pPr>
        <w:tabs>
          <w:tab w:val="left" w:pos="1000"/>
        </w:tabs>
        <w:ind w:left="799" w:hanging="799"/>
      </w:pPr>
      <w:r w:rsidRPr="003237C5">
        <w:t>4.5.20</w:t>
      </w:r>
      <w:r w:rsidR="00F56BC1" w:rsidRPr="003237C5">
        <w:tab/>
        <w:t xml:space="preserve">The procedures set out in </w:t>
      </w:r>
      <w:r w:rsidR="00B667DD" w:rsidRPr="003237C5">
        <w:t>the grievance procedures document</w:t>
      </w:r>
      <w:r w:rsidR="00F56BC1" w:rsidRPr="003237C5">
        <w:t xml:space="preserve"> do not replace or modify procedures or any other responsibilities which may arise under other higher education provider policies or under statute or any other law.</w:t>
      </w:r>
    </w:p>
    <w:p w14:paraId="62CBF573" w14:textId="77777777" w:rsidR="00F56BC1" w:rsidRPr="003237C5" w:rsidRDefault="00F56BC1" w:rsidP="00F56BC1"/>
    <w:p w14:paraId="45943A82" w14:textId="77777777" w:rsidR="00F56BC1" w:rsidRPr="003237C5" w:rsidRDefault="00F56BC1" w:rsidP="00F56BC1">
      <w:pPr>
        <w:pStyle w:val="List1"/>
        <w:ind w:left="795" w:hanging="795"/>
      </w:pPr>
      <w:r w:rsidRPr="003237C5">
        <w:t>4.10</w:t>
      </w:r>
      <w:r w:rsidRPr="003237C5">
        <w:tab/>
        <w:t>REQUIREMENTS FOR REVIEWING DECISIONS OF A HIGHER EDUCATION PROVIDER IN RELATION TO ASSISTANCE UNDER CHAPTER 3 OF THE</w:t>
      </w:r>
      <w:r w:rsidRPr="003237C5">
        <w:rPr>
          <w:i/>
          <w:iCs/>
        </w:rPr>
        <w:t xml:space="preserve"> ACT</w:t>
      </w:r>
    </w:p>
    <w:p w14:paraId="62955F1F" w14:textId="77777777" w:rsidR="00F56BC1" w:rsidRPr="003237C5" w:rsidRDefault="00F56BC1" w:rsidP="00F56BC1">
      <w:pPr>
        <w:rPr>
          <w:i/>
          <w:iCs/>
        </w:rPr>
      </w:pPr>
      <w:r w:rsidRPr="003237C5">
        <w:rPr>
          <w:i/>
          <w:iCs/>
          <w:sz w:val="20"/>
          <w:szCs w:val="20"/>
          <w:lang w:eastAsia="en-AU"/>
        </w:rPr>
        <w:t xml:space="preserve"> </w:t>
      </w:r>
    </w:p>
    <w:p w14:paraId="176F168F" w14:textId="77777777" w:rsidR="00F56BC1" w:rsidRPr="003237C5" w:rsidRDefault="00F56BC1" w:rsidP="00F56BC1">
      <w:pPr>
        <w:ind w:left="1000" w:hanging="1000"/>
        <w:rPr>
          <w:lang w:eastAsia="en-AU"/>
        </w:rPr>
      </w:pPr>
      <w:r w:rsidRPr="003237C5">
        <w:rPr>
          <w:lang w:eastAsia="en-AU"/>
        </w:rPr>
        <w:t>4.10.1</w:t>
      </w:r>
      <w:r w:rsidRPr="003237C5">
        <w:rPr>
          <w:lang w:eastAsia="en-AU"/>
        </w:rPr>
        <w:tab/>
        <w:t xml:space="preserve">In reviewing </w:t>
      </w:r>
      <w:r w:rsidRPr="003237C5">
        <w:rPr>
          <w:i/>
          <w:iCs/>
          <w:lang w:eastAsia="en-AU"/>
        </w:rPr>
        <w:t>reviewable decisions</w:t>
      </w:r>
      <w:r w:rsidRPr="003237C5">
        <w:rPr>
          <w:lang w:eastAsia="en-AU"/>
        </w:rPr>
        <w:t xml:space="preserve"> made under Chapter 3 of the</w:t>
      </w:r>
      <w:r w:rsidRPr="003237C5">
        <w:rPr>
          <w:i/>
          <w:iCs/>
          <w:lang w:eastAsia="en-AU"/>
        </w:rPr>
        <w:t xml:space="preserve"> Act</w:t>
      </w:r>
      <w:r w:rsidRPr="003237C5">
        <w:rPr>
          <w:lang w:eastAsia="en-AU"/>
        </w:rPr>
        <w:t xml:space="preserve">, providers must comply with the requirements of this section </w:t>
      </w:r>
      <w:r w:rsidR="0087325A" w:rsidRPr="003237C5">
        <w:rPr>
          <w:lang w:eastAsia="en-AU"/>
        </w:rPr>
        <w:t xml:space="preserve">4.10 </w:t>
      </w:r>
      <w:r w:rsidRPr="003237C5">
        <w:rPr>
          <w:lang w:eastAsia="en-AU"/>
        </w:rPr>
        <w:t xml:space="preserve">and of Division 209 of the </w:t>
      </w:r>
      <w:r w:rsidRPr="003237C5">
        <w:rPr>
          <w:i/>
          <w:iCs/>
          <w:lang w:eastAsia="en-AU"/>
        </w:rPr>
        <w:t>Act</w:t>
      </w:r>
      <w:r w:rsidRPr="003237C5">
        <w:rPr>
          <w:lang w:eastAsia="en-AU"/>
        </w:rPr>
        <w:t xml:space="preserve">. </w:t>
      </w:r>
    </w:p>
    <w:p w14:paraId="1BC12DD0" w14:textId="77777777" w:rsidR="00F56BC1" w:rsidRPr="003237C5" w:rsidRDefault="00F56BC1" w:rsidP="00F56BC1">
      <w:pPr>
        <w:ind w:left="1000" w:hanging="1000"/>
        <w:rPr>
          <w:lang w:eastAsia="en-AU"/>
        </w:rPr>
      </w:pPr>
    </w:p>
    <w:p w14:paraId="5D075170" w14:textId="77777777" w:rsidR="00F56BC1" w:rsidRPr="003237C5" w:rsidRDefault="00F56BC1" w:rsidP="00F56BC1">
      <w:pPr>
        <w:ind w:left="1000" w:hanging="1000"/>
        <w:rPr>
          <w:lang w:eastAsia="en-AU"/>
        </w:rPr>
      </w:pPr>
      <w:r w:rsidRPr="003237C5">
        <w:rPr>
          <w:lang w:eastAsia="en-AU"/>
        </w:rPr>
        <w:t>4.10.5</w:t>
      </w:r>
      <w:r w:rsidRPr="003237C5">
        <w:rPr>
          <w:lang w:eastAsia="en-AU"/>
        </w:rPr>
        <w:tab/>
        <w:t>The higher education provider must acknowledge receipt of an application for review of a reviewable decision in writing and inform the applicant that, if the reviewer has not advised the applicant of a decision within 45 days of receiving the application for review, the reviewer is taken to have confirmed the original decision.</w:t>
      </w:r>
    </w:p>
    <w:p w14:paraId="7CCC1D76" w14:textId="77777777" w:rsidR="00F56BC1" w:rsidRPr="003237C5" w:rsidRDefault="00F56BC1" w:rsidP="00F56BC1">
      <w:pPr>
        <w:ind w:left="1000" w:hanging="1000"/>
        <w:rPr>
          <w:lang w:eastAsia="en-AU"/>
        </w:rPr>
      </w:pPr>
    </w:p>
    <w:p w14:paraId="3D9327A9" w14:textId="77777777" w:rsidR="00F56BC1" w:rsidRPr="003237C5" w:rsidRDefault="00F56BC1" w:rsidP="00F56BC1">
      <w:pPr>
        <w:tabs>
          <w:tab w:val="left" w:pos="440"/>
        </w:tabs>
        <w:ind w:left="990" w:hanging="990"/>
        <w:rPr>
          <w:lang w:eastAsia="en-AU"/>
        </w:rPr>
      </w:pPr>
      <w:r w:rsidRPr="003237C5">
        <w:rPr>
          <w:lang w:eastAsia="en-AU"/>
        </w:rPr>
        <w:t xml:space="preserve">4.10.10    The reviewer of a reviewable decision must inform applicants of their right to apply to        the Administrative Appeals Tribunal for a review of the reviewable decision that has been confirmed, </w:t>
      </w:r>
      <w:proofErr w:type="gramStart"/>
      <w:r w:rsidRPr="003237C5">
        <w:rPr>
          <w:lang w:eastAsia="en-AU"/>
        </w:rPr>
        <w:t>varied</w:t>
      </w:r>
      <w:proofErr w:type="gramEnd"/>
      <w:r w:rsidRPr="003237C5">
        <w:rPr>
          <w:lang w:eastAsia="en-AU"/>
        </w:rPr>
        <w:t xml:space="preserve"> or set aside under section 209-5 or 209-10 of the </w:t>
      </w:r>
      <w:r w:rsidRPr="003237C5">
        <w:rPr>
          <w:i/>
          <w:iCs/>
          <w:lang w:eastAsia="en-AU"/>
        </w:rPr>
        <w:t>Act</w:t>
      </w:r>
      <w:r w:rsidRPr="003237C5">
        <w:rPr>
          <w:lang w:eastAsia="en-AU"/>
        </w:rPr>
        <w:t xml:space="preserve">, and provide the contact details of the closest Administrative Appeals Registry and the approximate costs of lodging an appeal with the Administrative Appeals Tribunal.  </w:t>
      </w:r>
    </w:p>
    <w:p w14:paraId="51655888" w14:textId="77777777" w:rsidR="00F56BC1" w:rsidRPr="003237C5" w:rsidRDefault="00F56BC1" w:rsidP="00F56BC1">
      <w:pPr>
        <w:tabs>
          <w:tab w:val="left" w:pos="1000"/>
        </w:tabs>
        <w:rPr>
          <w:sz w:val="20"/>
          <w:szCs w:val="20"/>
          <w:lang w:eastAsia="en-AU"/>
        </w:rPr>
      </w:pPr>
    </w:p>
    <w:p w14:paraId="380246F4" w14:textId="77777777" w:rsidR="00F56BC1" w:rsidRPr="003237C5" w:rsidRDefault="00F56BC1" w:rsidP="00F56BC1">
      <w:pPr>
        <w:tabs>
          <w:tab w:val="left" w:pos="1000"/>
        </w:tabs>
        <w:rPr>
          <w:sz w:val="20"/>
          <w:szCs w:val="20"/>
          <w:lang w:eastAsia="en-AU"/>
        </w:rPr>
      </w:pPr>
    </w:p>
    <w:p w14:paraId="4A68C78C" w14:textId="77777777" w:rsidR="00F56BC1" w:rsidRPr="003237C5" w:rsidRDefault="00F56BC1" w:rsidP="00F56BC1">
      <w:pPr>
        <w:tabs>
          <w:tab w:val="left" w:pos="1000"/>
        </w:tabs>
        <w:rPr>
          <w:sz w:val="20"/>
          <w:szCs w:val="20"/>
          <w:lang w:eastAsia="en-AU"/>
        </w:rPr>
      </w:pPr>
    </w:p>
    <w:p w14:paraId="30BC1596" w14:textId="77777777" w:rsidR="00F56BC1" w:rsidRPr="003237C5" w:rsidRDefault="00F56BC1" w:rsidP="00F56BC1">
      <w:pPr>
        <w:tabs>
          <w:tab w:val="left" w:pos="1000"/>
        </w:tabs>
        <w:rPr>
          <w:sz w:val="20"/>
          <w:szCs w:val="20"/>
          <w:lang w:eastAsia="en-AU"/>
        </w:rPr>
      </w:pPr>
    </w:p>
    <w:p w14:paraId="3A94D929" w14:textId="77777777" w:rsidR="00F56BC1" w:rsidRPr="003237C5" w:rsidRDefault="00F56BC1" w:rsidP="00F56BC1">
      <w:pPr>
        <w:tabs>
          <w:tab w:val="left" w:pos="1000"/>
        </w:tabs>
        <w:ind w:left="800" w:hanging="800"/>
      </w:pPr>
    </w:p>
    <w:p w14:paraId="7B5BC02D" w14:textId="77777777" w:rsidR="00F56BC1" w:rsidRPr="003237C5" w:rsidRDefault="00C1470A" w:rsidP="00C1470A">
      <w:pPr>
        <w:pStyle w:val="Heading1"/>
        <w:ind w:left="1700" w:hanging="1700"/>
        <w:rPr>
          <w:u w:val="single"/>
        </w:rPr>
      </w:pPr>
      <w:r w:rsidRPr="003237C5">
        <w:br w:type="page"/>
      </w:r>
      <w:bookmarkStart w:id="17" w:name="_Toc150239571"/>
      <w:bookmarkStart w:id="18" w:name="_Toc93391326"/>
      <w:r w:rsidR="00F56BC1" w:rsidRPr="003237C5">
        <w:rPr>
          <w:u w:val="single"/>
        </w:rPr>
        <w:t xml:space="preserve">CHAPTER </w:t>
      </w:r>
      <w:r w:rsidRPr="003237C5">
        <w:rPr>
          <w:u w:val="single"/>
        </w:rPr>
        <w:t>5</w:t>
      </w:r>
      <w:r w:rsidRPr="003237C5">
        <w:rPr>
          <w:u w:val="single"/>
        </w:rPr>
        <w:tab/>
      </w:r>
      <w:r w:rsidR="00F56BC1" w:rsidRPr="003237C5">
        <w:rPr>
          <w:u w:val="single"/>
        </w:rPr>
        <w:t>PUBLICATION AND OTHER REQUIREMENTS FOR STUDENT CONTRIBUTION AMOUNTS AND TUITION FEES</w:t>
      </w:r>
      <w:bookmarkEnd w:id="17"/>
      <w:bookmarkEnd w:id="18"/>
    </w:p>
    <w:p w14:paraId="09E866BA" w14:textId="77777777" w:rsidR="00F56BC1" w:rsidRPr="003237C5" w:rsidRDefault="00F56BC1" w:rsidP="00F56BC1">
      <w:pPr>
        <w:rPr>
          <w:u w:val="single"/>
        </w:rPr>
      </w:pPr>
    </w:p>
    <w:p w14:paraId="33B9A219" w14:textId="77777777" w:rsidR="00F56BC1" w:rsidRPr="003237C5" w:rsidRDefault="00C1470A" w:rsidP="00F56BC1">
      <w:pPr>
        <w:pStyle w:val="List1"/>
      </w:pPr>
      <w:r w:rsidRPr="003237C5">
        <w:t>5</w:t>
      </w:r>
      <w:r w:rsidR="00F56BC1" w:rsidRPr="003237C5">
        <w:t>.1</w:t>
      </w:r>
      <w:r w:rsidR="00F56BC1" w:rsidRPr="003237C5">
        <w:tab/>
        <w:t>PURPOSE</w:t>
      </w:r>
    </w:p>
    <w:p w14:paraId="738C5938" w14:textId="77777777" w:rsidR="00F56BC1" w:rsidRPr="003237C5" w:rsidRDefault="00F56BC1" w:rsidP="00F56BC1"/>
    <w:p w14:paraId="6A47A5C3" w14:textId="77777777" w:rsidR="00F56BC1" w:rsidRPr="003237C5" w:rsidRDefault="00C1470A" w:rsidP="004D795F">
      <w:pPr>
        <w:tabs>
          <w:tab w:val="left" w:pos="800"/>
        </w:tabs>
        <w:spacing w:after="120"/>
      </w:pPr>
      <w:r w:rsidRPr="003237C5">
        <w:t>5</w:t>
      </w:r>
      <w:r w:rsidR="00F56BC1" w:rsidRPr="003237C5">
        <w:t>.1.1</w:t>
      </w:r>
      <w:r w:rsidR="00F56BC1" w:rsidRPr="003237C5">
        <w:tab/>
        <w:t>The purpose of this chapter is to specify the:</w:t>
      </w:r>
    </w:p>
    <w:p w14:paraId="59AF23BF" w14:textId="77777777" w:rsidR="00BE3C79" w:rsidRPr="003237C5" w:rsidRDefault="006D5459" w:rsidP="006D5459">
      <w:pPr>
        <w:spacing w:after="120"/>
        <w:ind w:left="1080" w:hanging="357"/>
      </w:pPr>
      <w:r w:rsidRPr="003237C5">
        <w:t>(a)</w:t>
      </w:r>
      <w:r w:rsidRPr="003237C5">
        <w:tab/>
      </w:r>
      <w:r w:rsidR="00F56BC1" w:rsidRPr="003237C5">
        <w:t xml:space="preserve">periods under subsections 19-87(1), 19-90(1) and 19-95(1) of the </w:t>
      </w:r>
      <w:proofErr w:type="gramStart"/>
      <w:r w:rsidR="00F56BC1" w:rsidRPr="003237C5">
        <w:rPr>
          <w:i/>
          <w:iCs/>
        </w:rPr>
        <w:t>Act;</w:t>
      </w:r>
      <w:proofErr w:type="gramEnd"/>
    </w:p>
    <w:p w14:paraId="2EFB4488" w14:textId="77777777" w:rsidR="00BE3C79" w:rsidRPr="003237C5" w:rsidRDefault="006D5459" w:rsidP="006D5459">
      <w:pPr>
        <w:spacing w:after="120"/>
        <w:ind w:left="1080" w:hanging="357"/>
      </w:pPr>
      <w:r w:rsidRPr="003237C5">
        <w:t>(b)</w:t>
      </w:r>
      <w:r w:rsidRPr="003237C5">
        <w:tab/>
      </w:r>
      <w:r w:rsidR="00F56BC1" w:rsidRPr="003237C5">
        <w:t>date by which a higher education provider must publish the schedule of student contribution amounts for places and tuition fees for a particular period under paragraph 19</w:t>
      </w:r>
      <w:r w:rsidR="00F56BC1" w:rsidRPr="003237C5">
        <w:noBreakHyphen/>
        <w:t xml:space="preserve">95(2)(b) of the </w:t>
      </w:r>
      <w:proofErr w:type="gramStart"/>
      <w:r w:rsidR="00F56BC1" w:rsidRPr="003237C5">
        <w:rPr>
          <w:i/>
          <w:iCs/>
        </w:rPr>
        <w:t>Act</w:t>
      </w:r>
      <w:r w:rsidR="00F56BC1" w:rsidRPr="003237C5">
        <w:t>;</w:t>
      </w:r>
      <w:proofErr w:type="gramEnd"/>
    </w:p>
    <w:p w14:paraId="7880EFB1" w14:textId="77777777" w:rsidR="00F56BC1" w:rsidRPr="003237C5" w:rsidRDefault="006D5459" w:rsidP="006D5459">
      <w:pPr>
        <w:spacing w:after="120"/>
        <w:ind w:left="1080" w:hanging="357"/>
      </w:pPr>
      <w:r w:rsidRPr="003237C5">
        <w:t>(c)</w:t>
      </w:r>
      <w:r w:rsidRPr="003237C5">
        <w:tab/>
      </w:r>
      <w:r w:rsidR="00F56BC1" w:rsidRPr="003237C5">
        <w:t xml:space="preserve">matters to which a provider must not have regard when setting student contribution amounts or tuition fees under subsections 19-87(2A) and 19-90(3) of the </w:t>
      </w:r>
      <w:proofErr w:type="gramStart"/>
      <w:r w:rsidR="00F56BC1" w:rsidRPr="003237C5">
        <w:rPr>
          <w:i/>
          <w:iCs/>
        </w:rPr>
        <w:t>Act;</w:t>
      </w:r>
      <w:proofErr w:type="gramEnd"/>
    </w:p>
    <w:p w14:paraId="057854C9" w14:textId="77777777" w:rsidR="00F56BC1" w:rsidRPr="003237C5" w:rsidRDefault="006D5459" w:rsidP="006D5459">
      <w:pPr>
        <w:spacing w:after="120"/>
        <w:ind w:left="1080" w:hanging="357"/>
      </w:pPr>
      <w:r w:rsidRPr="003237C5">
        <w:t>(d)</w:t>
      </w:r>
      <w:r w:rsidRPr="003237C5">
        <w:tab/>
      </w:r>
      <w:r w:rsidR="00F56BC1" w:rsidRPr="003237C5">
        <w:t>date before which a variation to a:</w:t>
      </w:r>
    </w:p>
    <w:p w14:paraId="745963AE" w14:textId="77777777" w:rsidR="00BE3C79" w:rsidRPr="003237C5" w:rsidRDefault="006D5459" w:rsidP="006D5459">
      <w:pPr>
        <w:spacing w:after="120"/>
        <w:ind w:left="1495" w:hanging="357"/>
      </w:pPr>
      <w:r w:rsidRPr="003237C5">
        <w:t>(</w:t>
      </w:r>
      <w:proofErr w:type="spellStart"/>
      <w:r w:rsidRPr="003237C5">
        <w:t>i</w:t>
      </w:r>
      <w:proofErr w:type="spellEnd"/>
      <w:r w:rsidRPr="003237C5">
        <w:t>)</w:t>
      </w:r>
      <w:r w:rsidRPr="003237C5">
        <w:tab/>
      </w:r>
      <w:r w:rsidR="00F56BC1" w:rsidRPr="003237C5">
        <w:t>student contribution amount must be made under subparagraph 19</w:t>
      </w:r>
      <w:r w:rsidR="00F56BC1" w:rsidRPr="003237C5">
        <w:noBreakHyphen/>
        <w:t>87(3)(a)(</w:t>
      </w:r>
      <w:proofErr w:type="spellStart"/>
      <w:r w:rsidR="00F56BC1" w:rsidRPr="003237C5">
        <w:t>i</w:t>
      </w:r>
      <w:proofErr w:type="spellEnd"/>
      <w:r w:rsidR="00F56BC1" w:rsidRPr="003237C5">
        <w:t xml:space="preserve">) of the </w:t>
      </w:r>
      <w:r w:rsidR="00F56BC1" w:rsidRPr="003237C5">
        <w:rPr>
          <w:i/>
          <w:iCs/>
        </w:rPr>
        <w:t>Act</w:t>
      </w:r>
      <w:r w:rsidR="00F56BC1" w:rsidRPr="003237C5">
        <w:t>; and</w:t>
      </w:r>
    </w:p>
    <w:p w14:paraId="2452010D" w14:textId="77777777" w:rsidR="00F56BC1" w:rsidRPr="003237C5" w:rsidRDefault="006D5459" w:rsidP="006D5459">
      <w:pPr>
        <w:spacing w:after="120"/>
        <w:ind w:left="1495" w:hanging="357"/>
      </w:pPr>
      <w:r w:rsidRPr="003237C5">
        <w:t>(ii)</w:t>
      </w:r>
      <w:r w:rsidRPr="003237C5">
        <w:tab/>
      </w:r>
      <w:r w:rsidR="00F56BC1" w:rsidRPr="003237C5">
        <w:t>tuition fee must be made under subparagraph 19-90(4)(a)(</w:t>
      </w:r>
      <w:proofErr w:type="spellStart"/>
      <w:r w:rsidR="00F56BC1" w:rsidRPr="003237C5">
        <w:t>i</w:t>
      </w:r>
      <w:proofErr w:type="spellEnd"/>
      <w:r w:rsidR="00F56BC1" w:rsidRPr="003237C5">
        <w:t xml:space="preserve">) of the </w:t>
      </w:r>
      <w:proofErr w:type="gramStart"/>
      <w:r w:rsidR="00F56BC1" w:rsidRPr="003237C5">
        <w:rPr>
          <w:i/>
          <w:iCs/>
        </w:rPr>
        <w:t>Act</w:t>
      </w:r>
      <w:r w:rsidR="00F56BC1" w:rsidRPr="003237C5">
        <w:t>;</w:t>
      </w:r>
      <w:proofErr w:type="gramEnd"/>
    </w:p>
    <w:p w14:paraId="78FF067E" w14:textId="77777777" w:rsidR="00F56BC1" w:rsidRPr="003237C5" w:rsidRDefault="006D5459" w:rsidP="006D5459">
      <w:pPr>
        <w:spacing w:after="120"/>
        <w:ind w:left="1080" w:hanging="357"/>
      </w:pPr>
      <w:r w:rsidRPr="003237C5">
        <w:t>(e)</w:t>
      </w:r>
      <w:r w:rsidRPr="003237C5">
        <w:tab/>
      </w:r>
      <w:r w:rsidR="00F56BC1" w:rsidRPr="003237C5">
        <w:t>circumstances in which a:</w:t>
      </w:r>
    </w:p>
    <w:p w14:paraId="6AA90782" w14:textId="77777777" w:rsidR="00F56BC1" w:rsidRPr="003237C5" w:rsidRDefault="006D5459" w:rsidP="006D5459">
      <w:pPr>
        <w:spacing w:after="120"/>
        <w:ind w:left="1495" w:hanging="357"/>
      </w:pPr>
      <w:r w:rsidRPr="003237C5">
        <w:t>(</w:t>
      </w:r>
      <w:proofErr w:type="spellStart"/>
      <w:r w:rsidRPr="003237C5">
        <w:t>i</w:t>
      </w:r>
      <w:proofErr w:type="spellEnd"/>
      <w:r w:rsidRPr="003237C5">
        <w:t>)</w:t>
      </w:r>
      <w:r w:rsidRPr="003237C5">
        <w:tab/>
      </w:r>
      <w:r w:rsidR="00F56BC1" w:rsidRPr="003237C5">
        <w:t>student contribution amount may be varied under subparagraph 19</w:t>
      </w:r>
      <w:r w:rsidR="00F56BC1" w:rsidRPr="003237C5">
        <w:noBreakHyphen/>
        <w:t>87(3)(a)(ii) of the Act; and</w:t>
      </w:r>
    </w:p>
    <w:p w14:paraId="7191EA41" w14:textId="77777777" w:rsidR="00F56BC1" w:rsidRPr="003237C5" w:rsidRDefault="006D5459" w:rsidP="006D5459">
      <w:pPr>
        <w:spacing w:after="120"/>
        <w:ind w:left="1495" w:hanging="357"/>
      </w:pPr>
      <w:r w:rsidRPr="003237C5">
        <w:t>(ii)</w:t>
      </w:r>
      <w:r w:rsidRPr="003237C5">
        <w:tab/>
      </w:r>
      <w:r w:rsidR="00F56BC1" w:rsidRPr="003237C5">
        <w:t>tuition fee may be varied under subparagraph 19</w:t>
      </w:r>
      <w:r w:rsidR="00F56BC1" w:rsidRPr="003237C5">
        <w:noBreakHyphen/>
        <w:t xml:space="preserve">90(4)(a)(ii) of the </w:t>
      </w:r>
      <w:proofErr w:type="gramStart"/>
      <w:r w:rsidR="00F56BC1" w:rsidRPr="003237C5">
        <w:rPr>
          <w:i/>
          <w:iCs/>
        </w:rPr>
        <w:t>Act</w:t>
      </w:r>
      <w:r w:rsidR="00F56BC1" w:rsidRPr="003237C5">
        <w:t>;</w:t>
      </w:r>
      <w:proofErr w:type="gramEnd"/>
    </w:p>
    <w:p w14:paraId="05D4AC43" w14:textId="77777777" w:rsidR="00BE3C79" w:rsidRPr="003237C5" w:rsidRDefault="006D5459" w:rsidP="006D5459">
      <w:pPr>
        <w:spacing w:after="120"/>
        <w:ind w:left="1080" w:hanging="357"/>
      </w:pPr>
      <w:r w:rsidRPr="003237C5">
        <w:t>(f)</w:t>
      </w:r>
      <w:r w:rsidRPr="003237C5">
        <w:tab/>
      </w:r>
      <w:r w:rsidR="00F56BC1" w:rsidRPr="003237C5">
        <w:t xml:space="preserve">date by which information on student contribution amounts for places in units, or tuition fees, to apply to students in student cohorts must be published and made publicly available under subsection 19-97(2) of the </w:t>
      </w:r>
      <w:r w:rsidR="00F56BC1" w:rsidRPr="003237C5">
        <w:rPr>
          <w:i/>
          <w:iCs/>
        </w:rPr>
        <w:t>Act</w:t>
      </w:r>
      <w:r w:rsidR="00F56BC1" w:rsidRPr="003237C5">
        <w:t xml:space="preserve"> before section 19-97 of the </w:t>
      </w:r>
      <w:r w:rsidR="00F56BC1" w:rsidRPr="003237C5">
        <w:rPr>
          <w:i/>
          <w:iCs/>
        </w:rPr>
        <w:t>Act</w:t>
      </w:r>
      <w:r w:rsidR="00F56BC1" w:rsidRPr="003237C5">
        <w:t xml:space="preserve"> was repealed by item 6 of Schedule 3 of the </w:t>
      </w:r>
      <w:r w:rsidR="00F56BC1" w:rsidRPr="003237C5">
        <w:rPr>
          <w:i/>
          <w:iCs/>
        </w:rPr>
        <w:t xml:space="preserve">Budget and Other Measures </w:t>
      </w:r>
      <w:proofErr w:type="gramStart"/>
      <w:r w:rsidR="00F56BC1" w:rsidRPr="003237C5">
        <w:rPr>
          <w:i/>
          <w:iCs/>
        </w:rPr>
        <w:t>Act</w:t>
      </w:r>
      <w:r w:rsidR="00F56BC1" w:rsidRPr="003237C5">
        <w:t>;</w:t>
      </w:r>
      <w:proofErr w:type="gramEnd"/>
      <w:r w:rsidR="00F56BC1" w:rsidRPr="003237C5">
        <w:t xml:space="preserve"> </w:t>
      </w:r>
    </w:p>
    <w:p w14:paraId="4AE14880" w14:textId="77777777" w:rsidR="00BE3C79" w:rsidRPr="003237C5" w:rsidRDefault="006D5459" w:rsidP="006D5459">
      <w:pPr>
        <w:spacing w:after="120"/>
        <w:ind w:left="1080" w:hanging="357"/>
      </w:pPr>
      <w:r w:rsidRPr="003237C5">
        <w:t>(g)</w:t>
      </w:r>
      <w:r w:rsidRPr="003237C5">
        <w:tab/>
      </w:r>
      <w:r w:rsidR="00F56BC1" w:rsidRPr="003237C5">
        <w:t xml:space="preserve">date before which a higher education provider may revoke a </w:t>
      </w:r>
      <w:r w:rsidR="00F56BC1" w:rsidRPr="003237C5">
        <w:rPr>
          <w:i/>
          <w:iCs/>
        </w:rPr>
        <w:t>saved determination</w:t>
      </w:r>
      <w:r w:rsidR="00F56BC1" w:rsidRPr="003237C5">
        <w:t xml:space="preserve"> under item 13(4) or item 14(4), as the context requires, of Schedule 3 </w:t>
      </w:r>
      <w:proofErr w:type="gramStart"/>
      <w:r w:rsidR="00F56BC1" w:rsidRPr="003237C5">
        <w:t>of  the</w:t>
      </w:r>
      <w:proofErr w:type="gramEnd"/>
      <w:r w:rsidR="00F56BC1" w:rsidRPr="003237C5">
        <w:t xml:space="preserve"> </w:t>
      </w:r>
      <w:r w:rsidR="00F56BC1" w:rsidRPr="003237C5">
        <w:rPr>
          <w:i/>
          <w:iCs/>
        </w:rPr>
        <w:t>Budget and Other Measures Act</w:t>
      </w:r>
      <w:r w:rsidR="00F56BC1" w:rsidRPr="003237C5">
        <w:t xml:space="preserve">; and </w:t>
      </w:r>
    </w:p>
    <w:p w14:paraId="3FA73F40" w14:textId="77777777" w:rsidR="00F56BC1" w:rsidRPr="003237C5" w:rsidRDefault="006D5459" w:rsidP="006D5459">
      <w:pPr>
        <w:spacing w:after="120"/>
        <w:ind w:left="1080" w:hanging="357"/>
      </w:pPr>
      <w:r w:rsidRPr="003237C5">
        <w:t>(h)</w:t>
      </w:r>
      <w:r w:rsidRPr="003237C5">
        <w:tab/>
      </w:r>
      <w:r w:rsidR="00F56BC1" w:rsidRPr="003237C5">
        <w:t xml:space="preserve">circumstances in which a higher education provider may revoke a </w:t>
      </w:r>
      <w:r w:rsidR="00F56BC1" w:rsidRPr="003237C5">
        <w:rPr>
          <w:i/>
          <w:iCs/>
        </w:rPr>
        <w:t>saved determination</w:t>
      </w:r>
      <w:r w:rsidR="00F56BC1" w:rsidRPr="003237C5">
        <w:t xml:space="preserve"> under item 13(4) or item 14(4), as the context requires, of Schedule 3 of the </w:t>
      </w:r>
      <w:r w:rsidR="00F56BC1" w:rsidRPr="003237C5">
        <w:rPr>
          <w:i/>
          <w:iCs/>
        </w:rPr>
        <w:t>Budget and Other Measures Act.</w:t>
      </w:r>
    </w:p>
    <w:p w14:paraId="0E32518B" w14:textId="77777777" w:rsidR="00EB5015" w:rsidRPr="003237C5" w:rsidRDefault="006D5459" w:rsidP="006D5459">
      <w:pPr>
        <w:spacing w:after="120"/>
        <w:ind w:left="1080" w:hanging="360"/>
      </w:pPr>
      <w:r w:rsidRPr="003237C5">
        <w:t>(</w:t>
      </w:r>
      <w:proofErr w:type="spellStart"/>
      <w:r w:rsidRPr="003237C5">
        <w:t>i</w:t>
      </w:r>
      <w:proofErr w:type="spellEnd"/>
      <w:r w:rsidRPr="003237C5">
        <w:t>)</w:t>
      </w:r>
      <w:r w:rsidRPr="003237C5">
        <w:tab/>
      </w:r>
      <w:r w:rsidR="00EB5015" w:rsidRPr="003237C5">
        <w:t>the form in which a higher education provider must give the Minister a schedule of student contribution amounts for places and tuition fees under paragraph 19-95(1)(a) to the Act</w:t>
      </w:r>
    </w:p>
    <w:p w14:paraId="3B6F0C6D" w14:textId="77777777" w:rsidR="00F56BC1" w:rsidRPr="003237C5" w:rsidRDefault="00F56BC1" w:rsidP="00F56BC1"/>
    <w:p w14:paraId="2E3C7DA7" w14:textId="77777777" w:rsidR="00F56BC1" w:rsidRPr="003237C5" w:rsidRDefault="005A12F5" w:rsidP="00F56BC1">
      <w:pPr>
        <w:pStyle w:val="list10"/>
        <w:keepNext/>
        <w:tabs>
          <w:tab w:val="left" w:pos="851"/>
        </w:tabs>
      </w:pPr>
      <w:r w:rsidRPr="003237C5">
        <w:t>5</w:t>
      </w:r>
      <w:r w:rsidR="00F56BC1" w:rsidRPr="003237C5">
        <w:t>.5</w:t>
      </w:r>
      <w:r w:rsidR="00F56BC1" w:rsidRPr="003237C5">
        <w:tab/>
        <w:t>PERIOD</w:t>
      </w:r>
    </w:p>
    <w:p w14:paraId="61AD3127" w14:textId="77777777" w:rsidR="00F56BC1" w:rsidRPr="003237C5" w:rsidRDefault="00F56BC1" w:rsidP="00F56BC1">
      <w:pPr>
        <w:rPr>
          <w:b/>
          <w:bCs/>
        </w:rPr>
      </w:pPr>
    </w:p>
    <w:p w14:paraId="4C439BEE" w14:textId="77777777" w:rsidR="00F56BC1" w:rsidRPr="003237C5" w:rsidRDefault="005A12F5" w:rsidP="00CA7F4C">
      <w:pPr>
        <w:pStyle w:val="BodyTextIndent3"/>
        <w:ind w:left="851" w:hanging="851"/>
      </w:pPr>
      <w:r w:rsidRPr="003237C5">
        <w:t>5</w:t>
      </w:r>
      <w:r w:rsidR="00F56BC1" w:rsidRPr="003237C5">
        <w:t>.5.1</w:t>
      </w:r>
      <w:r w:rsidR="00F56BC1" w:rsidRPr="003237C5">
        <w:tab/>
      </w:r>
      <w:r w:rsidR="00EB5015" w:rsidRPr="003237C5">
        <w:t>For the purposes of subsections 19-87(1), 19-90(1) and 19-95(1) of the Act, the period commences on the earliest enrolment date for the unit of study as determined by the higher education provider and ends on the completion date for the unit of study as determined by the higher education provider.</w:t>
      </w:r>
    </w:p>
    <w:p w14:paraId="58C1CF7A" w14:textId="77777777" w:rsidR="0012189A" w:rsidRPr="003237C5" w:rsidRDefault="0012189A" w:rsidP="00F56BC1">
      <w:pPr>
        <w:rPr>
          <w:b/>
          <w:bCs/>
        </w:rPr>
      </w:pPr>
    </w:p>
    <w:p w14:paraId="1E41693E" w14:textId="77777777" w:rsidR="00F56BC1" w:rsidRPr="003237C5" w:rsidRDefault="005A12F5" w:rsidP="00F56BC1">
      <w:pPr>
        <w:pStyle w:val="BodyTextIndent3"/>
        <w:ind w:left="851" w:hanging="851"/>
      </w:pPr>
      <w:r w:rsidRPr="003237C5">
        <w:t>5</w:t>
      </w:r>
      <w:r w:rsidR="00F56BC1" w:rsidRPr="003237C5">
        <w:t>.5.5</w:t>
      </w:r>
      <w:r w:rsidR="00F56BC1" w:rsidRPr="003237C5">
        <w:tab/>
        <w:t xml:space="preserve">The periods specified in paragraph </w:t>
      </w:r>
      <w:r w:rsidRPr="003237C5">
        <w:t>5</w:t>
      </w:r>
      <w:r w:rsidR="00F56BC1" w:rsidRPr="003237C5">
        <w:t xml:space="preserve">.5.1 of these guidelines are relevant only for the purposes of subsections 19-87(1), 19-90(1) and 19-95(1) of the </w:t>
      </w:r>
      <w:r w:rsidR="00F56BC1" w:rsidRPr="003237C5">
        <w:rPr>
          <w:i/>
          <w:iCs/>
        </w:rPr>
        <w:t>Act</w:t>
      </w:r>
      <w:r w:rsidR="00F56BC1" w:rsidRPr="003237C5">
        <w:t xml:space="preserve"> and paragraph </w:t>
      </w:r>
      <w:r w:rsidRPr="003237C5">
        <w:t>5</w:t>
      </w:r>
      <w:r w:rsidR="00F56BC1" w:rsidRPr="003237C5">
        <w:t>.10.1 of these guidelines.</w:t>
      </w:r>
    </w:p>
    <w:p w14:paraId="4E6F34E8" w14:textId="77777777" w:rsidR="00F56BC1" w:rsidRPr="003237C5" w:rsidRDefault="00F56BC1" w:rsidP="00F56BC1">
      <w:pPr>
        <w:pStyle w:val="BodyTextIndent3"/>
        <w:ind w:left="851" w:hanging="851"/>
      </w:pPr>
    </w:p>
    <w:p w14:paraId="1B4D89C4" w14:textId="77777777" w:rsidR="0012189A" w:rsidRPr="003237C5" w:rsidRDefault="00EB5015" w:rsidP="00C54A19">
      <w:pPr>
        <w:pStyle w:val="list10"/>
        <w:keepNext/>
        <w:tabs>
          <w:tab w:val="left" w:pos="851"/>
        </w:tabs>
        <w:ind w:left="851" w:hanging="851"/>
      </w:pPr>
      <w:r w:rsidRPr="003237C5">
        <w:t xml:space="preserve">5.10 </w:t>
      </w:r>
      <w:r w:rsidR="0012189A" w:rsidRPr="003237C5">
        <w:tab/>
      </w:r>
      <w:r w:rsidRPr="003237C5">
        <w:t>DATE BY WHICH, AND MANNER IN WHICH, A HIGHER EDUCATION PROVIDER MUST PUBLISH THE SCHEDULE OF STUDENT CONTRIBUTION AMOUNTS FOR PLACES AND TUITION FEES FOR A PARTICULAR PERIOD</w:t>
      </w:r>
    </w:p>
    <w:p w14:paraId="08AAE3BF" w14:textId="77777777" w:rsidR="00C54A19" w:rsidRPr="003237C5" w:rsidRDefault="00C54A19" w:rsidP="00C54A19">
      <w:pPr>
        <w:pStyle w:val="list10"/>
        <w:keepNext/>
        <w:tabs>
          <w:tab w:val="left" w:pos="851"/>
        </w:tabs>
        <w:ind w:left="851" w:hanging="851"/>
      </w:pPr>
    </w:p>
    <w:p w14:paraId="1EEFCB10" w14:textId="77777777" w:rsidR="00F56BC1" w:rsidRPr="003237C5" w:rsidRDefault="00EB5015" w:rsidP="00CA7F4C">
      <w:pPr>
        <w:pStyle w:val="BodyTextIndent3"/>
        <w:ind w:left="851" w:hanging="851"/>
      </w:pPr>
      <w:r w:rsidRPr="003237C5">
        <w:t xml:space="preserve">5.10.1 </w:t>
      </w:r>
      <w:r w:rsidR="0012189A" w:rsidRPr="003237C5">
        <w:tab/>
      </w:r>
      <w:r w:rsidRPr="003237C5">
        <w:t>In accordance with paragraph 19-95(2)(b), a higher education provider must publish a schedule of student contribution amounts for places and tuition fees on the higher education provider’s website on or before the earliest enrolment date for the unit of study as determined by the higher education provider.</w:t>
      </w:r>
    </w:p>
    <w:p w14:paraId="704DF2E3" w14:textId="77777777" w:rsidR="0012189A" w:rsidRPr="003237C5" w:rsidRDefault="0012189A" w:rsidP="00F56BC1"/>
    <w:p w14:paraId="796BD2A4" w14:textId="77777777" w:rsidR="00F56BC1" w:rsidRPr="003237C5" w:rsidRDefault="005A12F5" w:rsidP="00F56BC1">
      <w:pPr>
        <w:pStyle w:val="List1"/>
        <w:ind w:left="795" w:hanging="795"/>
        <w:rPr>
          <w:b w:val="0"/>
          <w:bCs w:val="0"/>
        </w:rPr>
      </w:pPr>
      <w:r w:rsidRPr="003237C5">
        <w:t>5</w:t>
      </w:r>
      <w:r w:rsidR="003804E2" w:rsidRPr="003237C5">
        <w:t>.15</w:t>
      </w:r>
      <w:r w:rsidR="00F56BC1" w:rsidRPr="003237C5">
        <w:rPr>
          <w:b w:val="0"/>
          <w:bCs w:val="0"/>
        </w:rPr>
        <w:tab/>
      </w:r>
      <w:r w:rsidR="00F56BC1" w:rsidRPr="003237C5">
        <w:t>MATTERS TO WHICH A PROVIDER MUST NOT HAVE REGARD WHEN DETERMINING MORE THAN ONE STUDENT CONTRIBUTION AMOUNT OR TUITION FEE</w:t>
      </w:r>
    </w:p>
    <w:p w14:paraId="387CD83D" w14:textId="77777777" w:rsidR="00F56BC1" w:rsidRPr="003237C5" w:rsidRDefault="00F56BC1" w:rsidP="00F56BC1">
      <w:pPr>
        <w:pStyle w:val="List1"/>
        <w:ind w:left="795" w:hanging="795"/>
        <w:rPr>
          <w:b w:val="0"/>
          <w:bCs w:val="0"/>
        </w:rPr>
      </w:pPr>
    </w:p>
    <w:p w14:paraId="28805CFA" w14:textId="77777777" w:rsidR="00F56BC1" w:rsidRPr="003237C5" w:rsidRDefault="005A12F5" w:rsidP="004D795F">
      <w:pPr>
        <w:spacing w:after="120"/>
        <w:ind w:left="800" w:hanging="800"/>
      </w:pPr>
      <w:r w:rsidRPr="003237C5">
        <w:t>5</w:t>
      </w:r>
      <w:r w:rsidR="003804E2" w:rsidRPr="003237C5">
        <w:t>.15</w:t>
      </w:r>
      <w:r w:rsidR="00F56BC1" w:rsidRPr="003237C5">
        <w:t>.1</w:t>
      </w:r>
      <w:r w:rsidR="00F56BC1" w:rsidRPr="003237C5">
        <w:rPr>
          <w:b/>
          <w:bCs/>
        </w:rPr>
        <w:tab/>
      </w:r>
      <w:r w:rsidR="00F56BC1" w:rsidRPr="003237C5">
        <w:t xml:space="preserve">When determining a student contribution amount under subsection 19-87(2) or a tuition fee under subsection 19-90(2) of the </w:t>
      </w:r>
      <w:r w:rsidR="00F56BC1" w:rsidRPr="003237C5">
        <w:rPr>
          <w:i/>
          <w:iCs/>
        </w:rPr>
        <w:t>Act</w:t>
      </w:r>
      <w:r w:rsidR="00F56BC1" w:rsidRPr="003237C5">
        <w:t xml:space="preserve"> for a unit, a higher education provider must not have regard to any matter related to the manner or timing of:</w:t>
      </w:r>
    </w:p>
    <w:p w14:paraId="5F7B9ADD" w14:textId="77777777" w:rsidR="00F56BC1" w:rsidRPr="003237C5" w:rsidRDefault="006D5459" w:rsidP="006D5459">
      <w:pPr>
        <w:keepLines w:val="0"/>
        <w:tabs>
          <w:tab w:val="left" w:pos="1160"/>
        </w:tabs>
        <w:spacing w:after="120"/>
        <w:ind w:left="1160" w:hanging="360"/>
      </w:pPr>
      <w:r w:rsidRPr="003237C5">
        <w:t>(a)</w:t>
      </w:r>
      <w:r w:rsidRPr="003237C5">
        <w:tab/>
      </w:r>
      <w:r w:rsidR="00F56BC1" w:rsidRPr="003237C5">
        <w:t>any student’s payment of the student contribution amount or tuition fee to the provider; or</w:t>
      </w:r>
    </w:p>
    <w:p w14:paraId="23F10B65" w14:textId="77777777" w:rsidR="00F56BC1" w:rsidRPr="003237C5" w:rsidRDefault="006D5459" w:rsidP="006D5459">
      <w:pPr>
        <w:keepLines w:val="0"/>
        <w:tabs>
          <w:tab w:val="left" w:pos="1160"/>
        </w:tabs>
        <w:spacing w:after="120"/>
        <w:ind w:left="1160" w:hanging="360"/>
      </w:pPr>
      <w:r w:rsidRPr="003237C5">
        <w:t>(b)</w:t>
      </w:r>
      <w:r w:rsidRPr="003237C5">
        <w:tab/>
      </w:r>
      <w:r w:rsidR="00F56BC1" w:rsidRPr="003237C5">
        <w:t>the Commonwealth’s payment to the provider:</w:t>
      </w:r>
    </w:p>
    <w:p w14:paraId="714EE5E0" w14:textId="77777777" w:rsidR="00F56BC1" w:rsidRPr="003237C5" w:rsidRDefault="006D5459" w:rsidP="006D5459">
      <w:pPr>
        <w:spacing w:after="120"/>
        <w:ind w:left="1495" w:hanging="360"/>
      </w:pPr>
      <w:r w:rsidRPr="003237C5">
        <w:t>(</w:t>
      </w:r>
      <w:proofErr w:type="spellStart"/>
      <w:r w:rsidRPr="003237C5">
        <w:t>i</w:t>
      </w:r>
      <w:proofErr w:type="spellEnd"/>
      <w:r w:rsidRPr="003237C5">
        <w:t>)</w:t>
      </w:r>
      <w:r w:rsidRPr="003237C5">
        <w:tab/>
      </w:r>
      <w:r w:rsidR="00F56BC1" w:rsidRPr="003237C5">
        <w:t>of any amount lent to any student in discharge of the student’s liability to pay the student contribution amount or tuition fee; or</w:t>
      </w:r>
    </w:p>
    <w:p w14:paraId="7AD5A773" w14:textId="77777777" w:rsidR="00F56BC1" w:rsidRPr="003237C5" w:rsidRDefault="006D5459" w:rsidP="006D5459">
      <w:pPr>
        <w:ind w:left="1491" w:hanging="357"/>
      </w:pPr>
      <w:r w:rsidRPr="003237C5">
        <w:t>(ii)</w:t>
      </w:r>
      <w:r w:rsidRPr="003237C5">
        <w:tab/>
      </w:r>
      <w:r w:rsidR="00F56BC1" w:rsidRPr="003237C5">
        <w:t>of any HECS-HELP discount for the unit.</w:t>
      </w:r>
    </w:p>
    <w:p w14:paraId="7185E853" w14:textId="77777777" w:rsidR="00F56BC1" w:rsidRPr="003237C5" w:rsidRDefault="00F56BC1" w:rsidP="00BE3C79">
      <w:pPr>
        <w:pStyle w:val="List1"/>
        <w:rPr>
          <w:b w:val="0"/>
          <w:bCs w:val="0"/>
        </w:rPr>
      </w:pPr>
    </w:p>
    <w:p w14:paraId="392EBA9A" w14:textId="77777777" w:rsidR="00EB5015" w:rsidRPr="003237C5" w:rsidRDefault="00EB5015" w:rsidP="00CA7F4C">
      <w:pPr>
        <w:pStyle w:val="List1"/>
        <w:ind w:left="795" w:hanging="795"/>
      </w:pPr>
      <w:r w:rsidRPr="003237C5">
        <w:t xml:space="preserve">5.25 </w:t>
      </w:r>
      <w:r w:rsidR="00CA7F4C" w:rsidRPr="003237C5">
        <w:tab/>
      </w:r>
      <w:r w:rsidRPr="003237C5">
        <w:t>VARYING A STUDENT CONTRIBUTION AMOUNT OR TUITION FEE</w:t>
      </w:r>
    </w:p>
    <w:p w14:paraId="50B988ED" w14:textId="77777777" w:rsidR="00CA7F4C" w:rsidRPr="003237C5" w:rsidRDefault="00CA7F4C" w:rsidP="00CA7F4C">
      <w:pPr>
        <w:pStyle w:val="List1"/>
        <w:ind w:left="795" w:hanging="795"/>
      </w:pPr>
    </w:p>
    <w:p w14:paraId="78C6C3E9" w14:textId="77777777" w:rsidR="00EB5015" w:rsidRPr="003237C5" w:rsidRDefault="00EB5015" w:rsidP="00CA7F4C">
      <w:pPr>
        <w:spacing w:after="120"/>
        <w:ind w:left="800" w:hanging="800"/>
      </w:pPr>
      <w:r w:rsidRPr="003237C5">
        <w:t xml:space="preserve">5.25.1 </w:t>
      </w:r>
      <w:r w:rsidR="00CA7F4C" w:rsidRPr="003237C5">
        <w:tab/>
      </w:r>
      <w:r w:rsidRPr="003237C5">
        <w:t>For the purposes of paragraph 19-87(3)(a) and paragraph 19-90(4)(a) of the Act, a higher education provider may only vary a published student contribution amount or tuition fee if the variation occurs prior to the published census date for the unit of study, and:</w:t>
      </w:r>
    </w:p>
    <w:p w14:paraId="7C56BD59" w14:textId="77777777" w:rsidR="00EB5015" w:rsidRPr="003237C5" w:rsidRDefault="006D5459" w:rsidP="006D5459">
      <w:pPr>
        <w:keepLines w:val="0"/>
        <w:tabs>
          <w:tab w:val="left" w:pos="1160"/>
        </w:tabs>
        <w:spacing w:after="120"/>
        <w:ind w:left="1160" w:hanging="360"/>
      </w:pPr>
      <w:r w:rsidRPr="003237C5">
        <w:t>(a)</w:t>
      </w:r>
      <w:r w:rsidRPr="003237C5">
        <w:tab/>
      </w:r>
      <w:r w:rsidR="00EB5015" w:rsidRPr="003237C5">
        <w:t>the variation does not disadvantage a student enrolled, or a person seeking to enrol; and</w:t>
      </w:r>
    </w:p>
    <w:p w14:paraId="26AAFB57" w14:textId="77777777" w:rsidR="00EB5015" w:rsidRPr="003237C5" w:rsidRDefault="006D5459" w:rsidP="006D5459">
      <w:pPr>
        <w:keepLines w:val="0"/>
        <w:tabs>
          <w:tab w:val="left" w:pos="1160"/>
        </w:tabs>
        <w:spacing w:after="120"/>
        <w:ind w:left="1160" w:hanging="360"/>
      </w:pPr>
      <w:r w:rsidRPr="003237C5">
        <w:t>(b)</w:t>
      </w:r>
      <w:r w:rsidRPr="003237C5">
        <w:tab/>
      </w:r>
      <w:r w:rsidR="00EB5015" w:rsidRPr="003237C5">
        <w:t>the variation is necessary to correct the published student contribution amount or tuition fee due to administrative error or circumstances that did not apply at the time the student contribution amount or tuition fee was determined.</w:t>
      </w:r>
    </w:p>
    <w:p w14:paraId="087903C3" w14:textId="77777777" w:rsidR="00EB5015" w:rsidRPr="003237C5" w:rsidRDefault="00EB5015" w:rsidP="00CA7F4C">
      <w:pPr>
        <w:pStyle w:val="BodyTextIndent3"/>
        <w:ind w:left="851" w:hanging="851"/>
      </w:pPr>
      <w:r w:rsidRPr="003237C5">
        <w:t xml:space="preserve">5.25.5 </w:t>
      </w:r>
      <w:r w:rsidR="00CA7F4C" w:rsidRPr="003237C5">
        <w:tab/>
      </w:r>
      <w:r w:rsidRPr="003237C5">
        <w:t>Without limiting the generality of paragraph 5.25.1(a) of these Guidelines, a student will be disadvantaged by a variation that increases the student contribution amount or tuition fee.</w:t>
      </w:r>
    </w:p>
    <w:p w14:paraId="25920A70" w14:textId="77777777" w:rsidR="00CA7F4C" w:rsidRPr="003237C5" w:rsidRDefault="00CA7F4C" w:rsidP="00EB5015">
      <w:pPr>
        <w:pStyle w:val="List1"/>
        <w:keepNext/>
        <w:ind w:left="800" w:hanging="800"/>
      </w:pPr>
    </w:p>
    <w:p w14:paraId="6EA71FCF" w14:textId="77777777" w:rsidR="0089233B" w:rsidRPr="003237C5" w:rsidRDefault="00EB5015" w:rsidP="00CA7F4C">
      <w:pPr>
        <w:spacing w:after="120"/>
        <w:ind w:left="800" w:hanging="800"/>
      </w:pPr>
      <w:r w:rsidRPr="003237C5">
        <w:t xml:space="preserve">5.25.10 In relation to replacement schedules under subsection 19-95(3) to the Act, the method by which a higher education provider must withdraw the previous schedule, inform the Minister of the </w:t>
      </w:r>
      <w:proofErr w:type="gramStart"/>
      <w:r w:rsidRPr="003237C5">
        <w:t>variation</w:t>
      </w:r>
      <w:proofErr w:type="gramEnd"/>
      <w:r w:rsidRPr="003237C5">
        <w:t xml:space="preserve"> and give the Minister a replacement schedule incorporating the variation is by publishing the replacement schedule on the higher education provider’s website as soon as practicable after making that decision.</w:t>
      </w:r>
    </w:p>
    <w:p w14:paraId="1C7C4016" w14:textId="77777777" w:rsidR="00F56BC1" w:rsidRPr="003237C5" w:rsidRDefault="00F56BC1" w:rsidP="00F56BC1"/>
    <w:p w14:paraId="65B35771" w14:textId="77777777" w:rsidR="00F56BC1" w:rsidRPr="003237C5" w:rsidRDefault="005A12F5" w:rsidP="00F56BC1">
      <w:pPr>
        <w:pStyle w:val="List1"/>
        <w:keepNext/>
        <w:keepLines/>
        <w:ind w:left="800" w:hanging="800"/>
      </w:pPr>
      <w:r w:rsidRPr="003237C5">
        <w:t>5</w:t>
      </w:r>
      <w:r w:rsidR="003804E2" w:rsidRPr="003237C5">
        <w:t>.30</w:t>
      </w:r>
      <w:r w:rsidR="00F56BC1" w:rsidRPr="003237C5">
        <w:tab/>
        <w:t>DATE BY WHICH STUDENT COHORT INFORMATION MUST BE PUBLISHED</w:t>
      </w:r>
    </w:p>
    <w:p w14:paraId="2C2E86E2" w14:textId="77777777" w:rsidR="00F56BC1" w:rsidRPr="003237C5" w:rsidRDefault="00F56BC1" w:rsidP="00F56BC1">
      <w:pPr>
        <w:keepNext/>
      </w:pPr>
    </w:p>
    <w:p w14:paraId="0FF9571C" w14:textId="77777777" w:rsidR="00F56BC1" w:rsidRPr="003237C5" w:rsidRDefault="005A12F5" w:rsidP="006D0718">
      <w:pPr>
        <w:keepNext/>
        <w:tabs>
          <w:tab w:val="left" w:pos="800"/>
        </w:tabs>
        <w:ind w:left="799" w:hanging="799"/>
      </w:pPr>
      <w:r w:rsidRPr="003237C5">
        <w:t>5</w:t>
      </w:r>
      <w:r w:rsidR="003804E2" w:rsidRPr="003237C5">
        <w:t>.30</w:t>
      </w:r>
      <w:r w:rsidR="00F56BC1" w:rsidRPr="003237C5">
        <w:t>.1</w:t>
      </w:r>
      <w:r w:rsidR="00F56BC1" w:rsidRPr="003237C5">
        <w:tab/>
        <w:t xml:space="preserve">For any </w:t>
      </w:r>
      <w:r w:rsidR="00F56BC1" w:rsidRPr="003237C5">
        <w:rPr>
          <w:i/>
          <w:iCs/>
        </w:rPr>
        <w:t>saved determination</w:t>
      </w:r>
      <w:r w:rsidR="00F56BC1" w:rsidRPr="003237C5">
        <w:t xml:space="preserve"> that has not been revoked under item 13(4) or item 14(4) of Schedule 3 of the </w:t>
      </w:r>
      <w:r w:rsidR="00F56BC1" w:rsidRPr="003237C5">
        <w:rPr>
          <w:i/>
          <w:iCs/>
        </w:rPr>
        <w:t>Budget and Other Measures Act</w:t>
      </w:r>
      <w:r w:rsidR="00F56BC1" w:rsidRPr="003237C5">
        <w:t>,</w:t>
      </w:r>
      <w:r w:rsidR="00F56BC1" w:rsidRPr="003237C5">
        <w:rPr>
          <w:i/>
          <w:iCs/>
        </w:rPr>
        <w:t xml:space="preserve"> </w:t>
      </w:r>
      <w:r w:rsidR="00F56BC1" w:rsidRPr="003237C5">
        <w:t xml:space="preserve">sufficient information to enable a person in a </w:t>
      </w:r>
      <w:r w:rsidR="00F56BC1" w:rsidRPr="003237C5">
        <w:rPr>
          <w:i/>
          <w:iCs/>
        </w:rPr>
        <w:t>student cohort</w:t>
      </w:r>
      <w:r w:rsidR="00F56BC1" w:rsidRPr="003237C5">
        <w:t xml:space="preserve"> to work out his or her student contribution amount and tuition fee for each unit of study that the provider provides or is to provide as part of the cohort’s course of study, and any conditions that are to apply in relation to the student contribution amount or tuition fee for each unit of study for each cohort, must be published and made publicly available by 1 October in the year immediately preceding the year in which the </w:t>
      </w:r>
      <w:r w:rsidR="00F56BC1" w:rsidRPr="003237C5">
        <w:rPr>
          <w:i/>
          <w:iCs/>
        </w:rPr>
        <w:t xml:space="preserve">student cohort </w:t>
      </w:r>
      <w:r w:rsidR="00F56BC1" w:rsidRPr="003237C5">
        <w:t>commences its course of study.</w:t>
      </w:r>
    </w:p>
    <w:p w14:paraId="6B8F79D4" w14:textId="77777777" w:rsidR="00F56BC1" w:rsidRPr="003237C5" w:rsidRDefault="00F56BC1" w:rsidP="00F56BC1">
      <w:pPr>
        <w:tabs>
          <w:tab w:val="left" w:pos="1000"/>
        </w:tabs>
      </w:pPr>
    </w:p>
    <w:p w14:paraId="7A419DBE" w14:textId="77777777" w:rsidR="00F56BC1" w:rsidRPr="003237C5" w:rsidRDefault="005A12F5" w:rsidP="00F56BC1">
      <w:pPr>
        <w:tabs>
          <w:tab w:val="left" w:pos="1000"/>
        </w:tabs>
        <w:ind w:left="794" w:hanging="794"/>
        <w:rPr>
          <w:b/>
          <w:bCs/>
          <w:lang w:eastAsia="en-AU"/>
        </w:rPr>
      </w:pPr>
      <w:r w:rsidRPr="003237C5">
        <w:rPr>
          <w:b/>
          <w:bCs/>
          <w:lang w:eastAsia="en-AU"/>
        </w:rPr>
        <w:t>5</w:t>
      </w:r>
      <w:r w:rsidR="003804E2" w:rsidRPr="003237C5">
        <w:rPr>
          <w:b/>
          <w:bCs/>
          <w:lang w:eastAsia="en-AU"/>
        </w:rPr>
        <w:t>.35</w:t>
      </w:r>
      <w:r w:rsidR="00F56BC1" w:rsidRPr="003237C5">
        <w:rPr>
          <w:b/>
          <w:bCs/>
          <w:lang w:eastAsia="en-AU"/>
        </w:rPr>
        <w:tab/>
        <w:t>DATE BEFORE WHICH A SAVED DETERMINATION MAY BE REVOKED</w:t>
      </w:r>
      <w:r w:rsidR="00F56BC1" w:rsidRPr="003237C5">
        <w:rPr>
          <w:b/>
          <w:bCs/>
          <w:lang w:eastAsia="en-AU"/>
        </w:rPr>
        <w:br/>
      </w:r>
    </w:p>
    <w:p w14:paraId="424D793C" w14:textId="77777777" w:rsidR="00F56BC1" w:rsidRPr="003237C5" w:rsidRDefault="005A12F5" w:rsidP="004D795F">
      <w:pPr>
        <w:tabs>
          <w:tab w:val="left" w:pos="1000"/>
        </w:tabs>
        <w:spacing w:after="120"/>
        <w:ind w:left="794" w:hanging="794"/>
        <w:rPr>
          <w:b/>
          <w:bCs/>
        </w:rPr>
      </w:pPr>
      <w:r w:rsidRPr="003237C5">
        <w:rPr>
          <w:bCs/>
        </w:rPr>
        <w:t>5</w:t>
      </w:r>
      <w:r w:rsidR="003804E2" w:rsidRPr="003237C5">
        <w:rPr>
          <w:bCs/>
        </w:rPr>
        <w:t>.35</w:t>
      </w:r>
      <w:r w:rsidR="00F56BC1" w:rsidRPr="003237C5">
        <w:rPr>
          <w:bCs/>
        </w:rPr>
        <w:t>.1</w:t>
      </w:r>
      <w:r w:rsidR="00F56BC1" w:rsidRPr="003237C5">
        <w:rPr>
          <w:b/>
          <w:bCs/>
        </w:rPr>
        <w:tab/>
      </w:r>
      <w:r w:rsidR="00F148A1" w:rsidRPr="003237C5">
        <w:t>A</w:t>
      </w:r>
      <w:r w:rsidR="00F56BC1" w:rsidRPr="003237C5">
        <w:t xml:space="preserve"> higher education provider may revoke a </w:t>
      </w:r>
      <w:r w:rsidR="00F56BC1" w:rsidRPr="003237C5">
        <w:rPr>
          <w:i/>
          <w:iCs/>
        </w:rPr>
        <w:t>saved determination</w:t>
      </w:r>
      <w:r w:rsidR="00F56BC1" w:rsidRPr="003237C5">
        <w:t xml:space="preserve"> </w:t>
      </w:r>
      <w:r w:rsidR="00F148A1" w:rsidRPr="003237C5">
        <w:t xml:space="preserve">only </w:t>
      </w:r>
      <w:r w:rsidR="00F56BC1" w:rsidRPr="003237C5">
        <w:t xml:space="preserve">if the provider </w:t>
      </w:r>
      <w:r w:rsidR="00F148A1" w:rsidRPr="003237C5">
        <w:rPr>
          <w:bCs/>
        </w:rPr>
        <w:t xml:space="preserve">has advised the </w:t>
      </w:r>
      <w:r w:rsidR="00F148A1" w:rsidRPr="003237C5">
        <w:rPr>
          <w:bCs/>
          <w:i/>
        </w:rPr>
        <w:t>Department</w:t>
      </w:r>
      <w:r w:rsidR="00F148A1" w:rsidRPr="003237C5">
        <w:rPr>
          <w:bCs/>
        </w:rPr>
        <w:t xml:space="preserve">, in writing, of its intention to revoke the </w:t>
      </w:r>
      <w:r w:rsidR="00F148A1" w:rsidRPr="003237C5">
        <w:rPr>
          <w:bCs/>
          <w:i/>
          <w:iCs/>
        </w:rPr>
        <w:t>saved determination</w:t>
      </w:r>
      <w:r w:rsidR="00F148A1" w:rsidRPr="003237C5">
        <w:rPr>
          <w:bCs/>
        </w:rPr>
        <w:t xml:space="preserve"> and may only do so </w:t>
      </w:r>
      <w:r w:rsidR="004D795F" w:rsidRPr="003237C5">
        <w:t>before the earlier of:</w:t>
      </w:r>
    </w:p>
    <w:p w14:paraId="3130CC56" w14:textId="77777777" w:rsidR="00F56BC1" w:rsidRPr="003237C5" w:rsidRDefault="00F56BC1" w:rsidP="004D795F">
      <w:pPr>
        <w:spacing w:after="120"/>
        <w:ind w:left="1100" w:hanging="330"/>
      </w:pPr>
      <w:r w:rsidRPr="003237C5">
        <w:t>(a)</w:t>
      </w:r>
      <w:r w:rsidRPr="003237C5">
        <w:tab/>
        <w:t xml:space="preserve">two months before the date of commencement of the next unit of study to which the </w:t>
      </w:r>
      <w:r w:rsidRPr="003237C5">
        <w:rPr>
          <w:i/>
          <w:iCs/>
        </w:rPr>
        <w:t>saved determination</w:t>
      </w:r>
      <w:r w:rsidRPr="003237C5">
        <w:t xml:space="preserve"> would otherwise apply (the “</w:t>
      </w:r>
      <w:r w:rsidRPr="003237C5">
        <w:rPr>
          <w:b/>
          <w:bCs/>
        </w:rPr>
        <w:t>next unit</w:t>
      </w:r>
      <w:r w:rsidRPr="003237C5">
        <w:t>”); and</w:t>
      </w:r>
      <w:r w:rsidRPr="003237C5">
        <w:tab/>
      </w:r>
      <w:r w:rsidRPr="003237C5">
        <w:tab/>
      </w:r>
    </w:p>
    <w:p w14:paraId="381BDB68" w14:textId="77777777" w:rsidR="00F56BC1" w:rsidRPr="003237C5" w:rsidRDefault="00F56BC1" w:rsidP="004D795F">
      <w:pPr>
        <w:spacing w:after="120"/>
        <w:ind w:left="1100" w:hanging="330"/>
      </w:pPr>
      <w:r w:rsidRPr="003237C5">
        <w:t>(b)</w:t>
      </w:r>
      <w:r w:rsidRPr="003237C5">
        <w:tab/>
        <w:t>two months before the latest date on which a student can enrol in the next unit without incurring a late enrolment fee for the unit.</w:t>
      </w:r>
    </w:p>
    <w:p w14:paraId="1FBCE84B" w14:textId="77777777" w:rsidR="00F56BC1" w:rsidRPr="003237C5" w:rsidRDefault="00F56BC1" w:rsidP="00F56BC1">
      <w:pPr>
        <w:ind w:left="1434" w:hanging="300"/>
      </w:pPr>
    </w:p>
    <w:p w14:paraId="2D2851F9" w14:textId="77777777" w:rsidR="0012189A" w:rsidRPr="003237C5" w:rsidRDefault="0012189A" w:rsidP="00CA7F4C">
      <w:pPr>
        <w:tabs>
          <w:tab w:val="left" w:pos="1000"/>
        </w:tabs>
        <w:ind w:left="794" w:hanging="794"/>
        <w:rPr>
          <w:b/>
          <w:bCs/>
          <w:lang w:eastAsia="en-AU"/>
        </w:rPr>
      </w:pPr>
      <w:r w:rsidRPr="003237C5">
        <w:rPr>
          <w:b/>
          <w:bCs/>
          <w:lang w:eastAsia="en-AU"/>
        </w:rPr>
        <w:t xml:space="preserve">5.40 </w:t>
      </w:r>
      <w:r w:rsidR="00CA7F4C" w:rsidRPr="003237C5">
        <w:rPr>
          <w:b/>
          <w:bCs/>
          <w:lang w:eastAsia="en-AU"/>
        </w:rPr>
        <w:tab/>
      </w:r>
      <w:r w:rsidRPr="003237C5">
        <w:rPr>
          <w:b/>
          <w:bCs/>
          <w:lang w:eastAsia="en-AU"/>
        </w:rPr>
        <w:t>THE FORM IN WHICH A HIGHER EDUCATION PROVIDER MUST GIVE THE MINISTER A SCHEDULE OF STUDENT CONTRBUTION AMOUNTS FOR PLACES AND TUITION FEES</w:t>
      </w:r>
    </w:p>
    <w:p w14:paraId="7EDD974B" w14:textId="77777777" w:rsidR="00CA7F4C" w:rsidRPr="003237C5" w:rsidRDefault="00CA7F4C" w:rsidP="00CA7F4C">
      <w:pPr>
        <w:tabs>
          <w:tab w:val="left" w:pos="1000"/>
        </w:tabs>
        <w:ind w:left="794" w:hanging="794"/>
        <w:rPr>
          <w:b/>
          <w:bCs/>
          <w:lang w:eastAsia="en-AU"/>
        </w:rPr>
      </w:pPr>
    </w:p>
    <w:p w14:paraId="16021049" w14:textId="77777777" w:rsidR="00F148A1" w:rsidRPr="003237C5" w:rsidRDefault="0012189A" w:rsidP="0012189A">
      <w:pPr>
        <w:keepNext/>
        <w:tabs>
          <w:tab w:val="left" w:pos="800"/>
        </w:tabs>
        <w:ind w:left="800" w:hanging="800"/>
        <w:rPr>
          <w:bCs/>
          <w:iCs/>
        </w:rPr>
      </w:pPr>
      <w:r w:rsidRPr="003237C5">
        <w:rPr>
          <w:bCs/>
          <w:iCs/>
        </w:rPr>
        <w:t xml:space="preserve">5.40.1 </w:t>
      </w:r>
      <w:r w:rsidR="00CA7F4C" w:rsidRPr="003237C5">
        <w:rPr>
          <w:bCs/>
          <w:iCs/>
        </w:rPr>
        <w:tab/>
      </w:r>
      <w:r w:rsidRPr="003237C5">
        <w:rPr>
          <w:bCs/>
          <w:iCs/>
        </w:rPr>
        <w:t>For the purposes of paragraph 19-95(1)(a) and paragraph 19-95(1)(b) to the Act, a higher education provider gives the Minister a schedule of student contribution amounts for places and tuition fees by publishing the schedule on the higher education provider’s website.</w:t>
      </w:r>
    </w:p>
    <w:p w14:paraId="683773B2" w14:textId="77777777" w:rsidR="00F56BC1" w:rsidRPr="003237C5" w:rsidRDefault="00F56BC1" w:rsidP="0033232C">
      <w:pPr>
        <w:pStyle w:val="Heading1"/>
        <w:tabs>
          <w:tab w:val="left" w:pos="1560"/>
        </w:tabs>
        <w:rPr>
          <w:u w:val="single"/>
        </w:rPr>
      </w:pPr>
      <w:r w:rsidRPr="003237C5">
        <w:br w:type="page"/>
      </w:r>
      <w:bookmarkStart w:id="19" w:name="_Toc152752063"/>
      <w:bookmarkStart w:id="20" w:name="_Toc93391327"/>
      <w:r w:rsidRPr="003237C5">
        <w:rPr>
          <w:u w:val="single"/>
        </w:rPr>
        <w:t xml:space="preserve">CHAPTER </w:t>
      </w:r>
      <w:r w:rsidR="005A12F5" w:rsidRPr="003237C5">
        <w:rPr>
          <w:u w:val="single"/>
        </w:rPr>
        <w:t>6</w:t>
      </w:r>
      <w:r w:rsidRPr="003237C5">
        <w:rPr>
          <w:u w:val="single"/>
        </w:rPr>
        <w:tab/>
        <w:t>FEES IN RESPECT OF OVERSEAS STUDENTS</w:t>
      </w:r>
      <w:bookmarkEnd w:id="19"/>
      <w:bookmarkEnd w:id="20"/>
    </w:p>
    <w:p w14:paraId="325E4FD4" w14:textId="77777777" w:rsidR="00F56BC1" w:rsidRPr="003237C5" w:rsidRDefault="00F56BC1" w:rsidP="00F56BC1">
      <w:pPr>
        <w:autoSpaceDE w:val="0"/>
        <w:autoSpaceDN w:val="0"/>
        <w:adjustRightInd w:val="0"/>
        <w:rPr>
          <w:b/>
          <w:bCs/>
          <w:sz w:val="26"/>
          <w:szCs w:val="26"/>
          <w:lang w:eastAsia="en-AU"/>
        </w:rPr>
      </w:pPr>
    </w:p>
    <w:p w14:paraId="67293B86" w14:textId="77777777" w:rsidR="00F56BC1" w:rsidRPr="003237C5" w:rsidRDefault="005A12F5" w:rsidP="00F56BC1">
      <w:pPr>
        <w:autoSpaceDE w:val="0"/>
        <w:autoSpaceDN w:val="0"/>
        <w:adjustRightInd w:val="0"/>
        <w:rPr>
          <w:b/>
          <w:bCs/>
          <w:lang w:eastAsia="en-AU"/>
        </w:rPr>
      </w:pPr>
      <w:r w:rsidRPr="003237C5">
        <w:rPr>
          <w:b/>
          <w:bCs/>
          <w:lang w:eastAsia="en-AU"/>
        </w:rPr>
        <w:t>6</w:t>
      </w:r>
      <w:r w:rsidR="00F56BC1" w:rsidRPr="003237C5">
        <w:rPr>
          <w:b/>
          <w:bCs/>
          <w:lang w:eastAsia="en-AU"/>
        </w:rPr>
        <w:t xml:space="preserve">.1 </w:t>
      </w:r>
      <w:r w:rsidR="00F56BC1" w:rsidRPr="003237C5">
        <w:rPr>
          <w:b/>
          <w:bCs/>
          <w:lang w:eastAsia="en-AU"/>
        </w:rPr>
        <w:tab/>
        <w:t xml:space="preserve">PURPOSE </w:t>
      </w:r>
    </w:p>
    <w:p w14:paraId="33DD76C5" w14:textId="77777777" w:rsidR="00F56BC1" w:rsidRPr="003237C5" w:rsidRDefault="00F56BC1" w:rsidP="00F56BC1">
      <w:pPr>
        <w:autoSpaceDE w:val="0"/>
        <w:autoSpaceDN w:val="0"/>
        <w:adjustRightInd w:val="0"/>
        <w:rPr>
          <w:b/>
          <w:bCs/>
          <w:lang w:eastAsia="en-AU"/>
        </w:rPr>
      </w:pPr>
    </w:p>
    <w:p w14:paraId="52223D68" w14:textId="77777777" w:rsidR="00F56BC1" w:rsidRPr="003237C5" w:rsidRDefault="005A12F5" w:rsidP="00EC0D33">
      <w:pPr>
        <w:autoSpaceDE w:val="0"/>
        <w:autoSpaceDN w:val="0"/>
        <w:adjustRightInd w:val="0"/>
        <w:ind w:left="709" w:hanging="709"/>
        <w:rPr>
          <w:lang w:eastAsia="en-AU"/>
        </w:rPr>
      </w:pPr>
      <w:r w:rsidRPr="003237C5">
        <w:rPr>
          <w:lang w:eastAsia="en-AU"/>
        </w:rPr>
        <w:t>6</w:t>
      </w:r>
      <w:r w:rsidR="00F56BC1" w:rsidRPr="003237C5">
        <w:rPr>
          <w:lang w:eastAsia="en-AU"/>
        </w:rPr>
        <w:t>.1.1</w:t>
      </w:r>
      <w:r w:rsidR="00F56BC1" w:rsidRPr="003237C5">
        <w:rPr>
          <w:lang w:eastAsia="en-AU"/>
        </w:rPr>
        <w:tab/>
        <w:t xml:space="preserve">The purpose of this chapter is to detail the requirements for fees in respect of overseas students which are the fees referred to in paragraph 19-102(3)(d) of the </w:t>
      </w:r>
      <w:r w:rsidR="00F56BC1" w:rsidRPr="003237C5">
        <w:rPr>
          <w:i/>
          <w:iCs/>
          <w:lang w:eastAsia="en-AU"/>
        </w:rPr>
        <w:t>Act</w:t>
      </w:r>
      <w:r w:rsidR="00F56BC1" w:rsidRPr="003237C5">
        <w:rPr>
          <w:lang w:eastAsia="en-AU"/>
        </w:rPr>
        <w:t xml:space="preserve">.  </w:t>
      </w:r>
    </w:p>
    <w:p w14:paraId="069A9075" w14:textId="77777777" w:rsidR="00F56BC1" w:rsidRPr="003237C5" w:rsidRDefault="00F56BC1" w:rsidP="00F56BC1">
      <w:pPr>
        <w:autoSpaceDE w:val="0"/>
        <w:autoSpaceDN w:val="0"/>
        <w:adjustRightInd w:val="0"/>
        <w:rPr>
          <w:lang w:eastAsia="en-AU"/>
        </w:rPr>
      </w:pPr>
    </w:p>
    <w:p w14:paraId="72A48B87" w14:textId="77777777" w:rsidR="00F56BC1" w:rsidRPr="003237C5" w:rsidRDefault="005A12F5" w:rsidP="006D0718">
      <w:pPr>
        <w:autoSpaceDE w:val="0"/>
        <w:autoSpaceDN w:val="0"/>
        <w:adjustRightInd w:val="0"/>
        <w:rPr>
          <w:b/>
          <w:bCs/>
          <w:lang w:eastAsia="en-AU"/>
        </w:rPr>
      </w:pPr>
      <w:r w:rsidRPr="003237C5">
        <w:rPr>
          <w:b/>
          <w:bCs/>
          <w:lang w:eastAsia="en-AU"/>
        </w:rPr>
        <w:t>6</w:t>
      </w:r>
      <w:r w:rsidR="00F56BC1" w:rsidRPr="003237C5">
        <w:rPr>
          <w:b/>
          <w:bCs/>
          <w:lang w:eastAsia="en-AU"/>
        </w:rPr>
        <w:t xml:space="preserve">.5 </w:t>
      </w:r>
      <w:r w:rsidR="00F56BC1" w:rsidRPr="003237C5">
        <w:rPr>
          <w:b/>
          <w:bCs/>
          <w:lang w:eastAsia="en-AU"/>
        </w:rPr>
        <w:tab/>
        <w:t>REQUIREMENTS</w:t>
      </w:r>
    </w:p>
    <w:p w14:paraId="2D89AEA2" w14:textId="77777777" w:rsidR="00F56BC1" w:rsidRPr="003237C5" w:rsidRDefault="00F56BC1" w:rsidP="00F56BC1">
      <w:pPr>
        <w:autoSpaceDE w:val="0"/>
        <w:autoSpaceDN w:val="0"/>
        <w:adjustRightInd w:val="0"/>
        <w:rPr>
          <w:b/>
          <w:bCs/>
          <w:lang w:eastAsia="en-AU"/>
        </w:rPr>
      </w:pPr>
    </w:p>
    <w:p w14:paraId="15FD489B" w14:textId="77777777" w:rsidR="00F56BC1" w:rsidRPr="003237C5" w:rsidRDefault="005A12F5" w:rsidP="006D0718">
      <w:pPr>
        <w:autoSpaceDE w:val="0"/>
        <w:autoSpaceDN w:val="0"/>
        <w:adjustRightInd w:val="0"/>
        <w:spacing w:after="120"/>
        <w:ind w:left="709" w:hanging="709"/>
        <w:rPr>
          <w:lang w:eastAsia="en-AU"/>
        </w:rPr>
      </w:pPr>
      <w:r w:rsidRPr="003237C5">
        <w:rPr>
          <w:lang w:eastAsia="en-AU"/>
        </w:rPr>
        <w:t>6</w:t>
      </w:r>
      <w:r w:rsidR="00F56BC1" w:rsidRPr="003237C5">
        <w:rPr>
          <w:lang w:eastAsia="en-AU"/>
        </w:rPr>
        <w:t>.5.1</w:t>
      </w:r>
      <w:r w:rsidR="00F56BC1" w:rsidRPr="003237C5">
        <w:rPr>
          <w:lang w:eastAsia="en-AU"/>
        </w:rPr>
        <w:tab/>
        <w:t xml:space="preserve">Subject to paragraph </w:t>
      </w:r>
      <w:r w:rsidRPr="003237C5">
        <w:rPr>
          <w:lang w:eastAsia="en-AU"/>
        </w:rPr>
        <w:t>6</w:t>
      </w:r>
      <w:r w:rsidR="00F56BC1" w:rsidRPr="003237C5">
        <w:rPr>
          <w:lang w:eastAsia="en-AU"/>
        </w:rPr>
        <w:t xml:space="preserve">.10 of these guidelines when determining the fee for an overseas student, a higher education provider must meet the following requirements in respect of all overseas students other than those students excluded under paragraph </w:t>
      </w:r>
      <w:r w:rsidRPr="003237C5">
        <w:rPr>
          <w:lang w:eastAsia="en-AU"/>
        </w:rPr>
        <w:t>6</w:t>
      </w:r>
      <w:r w:rsidR="00F56BC1" w:rsidRPr="003237C5">
        <w:rPr>
          <w:lang w:eastAsia="en-AU"/>
        </w:rPr>
        <w:t>.10.1:</w:t>
      </w:r>
    </w:p>
    <w:p w14:paraId="246732A7" w14:textId="77777777" w:rsidR="008A0308" w:rsidRDefault="006D5459" w:rsidP="008A0308">
      <w:pPr>
        <w:autoSpaceDE w:val="0"/>
        <w:autoSpaceDN w:val="0"/>
        <w:adjustRightInd w:val="0"/>
        <w:spacing w:after="120"/>
        <w:ind w:left="1276" w:hanging="425"/>
        <w:rPr>
          <w:lang w:eastAsia="en-AU"/>
        </w:rPr>
      </w:pPr>
      <w:r w:rsidRPr="003237C5">
        <w:rPr>
          <w:lang w:eastAsia="en-AU"/>
        </w:rPr>
        <w:t>(a)</w:t>
      </w:r>
      <w:r w:rsidRPr="003237C5">
        <w:rPr>
          <w:lang w:eastAsia="en-AU"/>
        </w:rPr>
        <w:tab/>
      </w:r>
      <w:r w:rsidR="00F56BC1" w:rsidRPr="003237C5">
        <w:rPr>
          <w:lang w:eastAsia="en-AU"/>
        </w:rPr>
        <w:t>a higher education provider must charge as a minimum, a fee sufficient to recover the full cost of providing a course to an overseas student. Without limiting the meaning of full cost, it includes:</w:t>
      </w:r>
    </w:p>
    <w:p w14:paraId="5A3DC8C5" w14:textId="714FFB43" w:rsidR="008A0308" w:rsidRDefault="006D5459" w:rsidP="00F27052">
      <w:pPr>
        <w:autoSpaceDE w:val="0"/>
        <w:autoSpaceDN w:val="0"/>
        <w:adjustRightInd w:val="0"/>
        <w:spacing w:after="120"/>
        <w:ind w:left="1701" w:hanging="425"/>
      </w:pPr>
      <w:r w:rsidRPr="003237C5">
        <w:t>(</w:t>
      </w:r>
      <w:proofErr w:type="spellStart"/>
      <w:r w:rsidRPr="003237C5">
        <w:t>i</w:t>
      </w:r>
      <w:proofErr w:type="spellEnd"/>
      <w:r w:rsidRPr="003237C5">
        <w:t>)</w:t>
      </w:r>
      <w:r w:rsidRPr="003237C5">
        <w:tab/>
      </w:r>
      <w:r w:rsidR="00F56BC1" w:rsidRPr="003237C5">
        <w:t xml:space="preserve">full operating costs, including equipment costs. Account should be taken not only of directly associated staff costs, but also all overheads (including but not limited to, utilities, rent and marketing costs) and common services costs (including but not limited to, libraries and the provision of services required under the National Code of Practice for Registration Authorities and Providers of Education and Training to Overseas Students and the Education Services for Overseas Students Act 2000); and  </w:t>
      </w:r>
    </w:p>
    <w:p w14:paraId="03B24EF1" w14:textId="5F7658E9" w:rsidR="00F56BC1" w:rsidRPr="003237C5" w:rsidRDefault="006D5459" w:rsidP="00F27052">
      <w:pPr>
        <w:autoSpaceDE w:val="0"/>
        <w:autoSpaceDN w:val="0"/>
        <w:adjustRightInd w:val="0"/>
        <w:spacing w:after="120"/>
        <w:ind w:left="1701" w:hanging="425"/>
        <w:rPr>
          <w:lang w:eastAsia="en-AU"/>
        </w:rPr>
      </w:pPr>
      <w:r w:rsidRPr="003237C5">
        <w:rPr>
          <w:lang w:eastAsia="en-AU"/>
        </w:rPr>
        <w:t>(ii)</w:t>
      </w:r>
      <w:r w:rsidRPr="003237C5">
        <w:rPr>
          <w:lang w:eastAsia="en-AU"/>
        </w:rPr>
        <w:tab/>
      </w:r>
      <w:r w:rsidR="00F56BC1" w:rsidRPr="003237C5">
        <w:t xml:space="preserve">full capital costs. For fee calculation purposes, the current average cost per place of providing capital facilities for the course in question should be determined by the higher education provider. A capital component of the fee will not need to be </w:t>
      </w:r>
      <w:proofErr w:type="gramStart"/>
      <w:r w:rsidR="00F56BC1" w:rsidRPr="003237C5">
        <w:t>taken into account</w:t>
      </w:r>
      <w:proofErr w:type="gramEnd"/>
      <w:r w:rsidR="00F56BC1" w:rsidRPr="003237C5">
        <w:t xml:space="preserve"> where the necessary capital facilities</w:t>
      </w:r>
      <w:r w:rsidR="00F56BC1" w:rsidRPr="003237C5">
        <w:rPr>
          <w:lang w:eastAsia="en-AU"/>
        </w:rPr>
        <w:t xml:space="preserve"> are provided by a third party.</w:t>
      </w:r>
    </w:p>
    <w:p w14:paraId="6A8B22D4" w14:textId="77777777" w:rsidR="00210D0F" w:rsidRPr="003237C5" w:rsidRDefault="006D5459" w:rsidP="008A0308">
      <w:pPr>
        <w:keepNext/>
        <w:spacing w:after="120"/>
        <w:ind w:left="1134" w:hanging="425"/>
        <w:rPr>
          <w:lang w:eastAsia="en-AU"/>
        </w:rPr>
      </w:pPr>
      <w:r w:rsidRPr="003237C5">
        <w:rPr>
          <w:lang w:eastAsia="en-AU"/>
        </w:rPr>
        <w:t>(b)</w:t>
      </w:r>
      <w:r w:rsidRPr="003237C5">
        <w:rPr>
          <w:lang w:eastAsia="en-AU"/>
        </w:rPr>
        <w:tab/>
      </w:r>
      <w:r w:rsidR="00210D0F" w:rsidRPr="003237C5">
        <w:rPr>
          <w:lang w:eastAsia="en-AU"/>
        </w:rPr>
        <w:t>The fee must be no less than those shown for the relevant category of courses in the schedule of minimum indicative course fees, which forms part of these guidelines, except where:</w:t>
      </w:r>
    </w:p>
    <w:p w14:paraId="76C41074" w14:textId="77777777" w:rsidR="00A317B9" w:rsidRPr="003237C5" w:rsidRDefault="006D5459" w:rsidP="006D5459">
      <w:pPr>
        <w:keepNext/>
        <w:spacing w:after="120"/>
        <w:ind w:left="1637" w:hanging="357"/>
      </w:pPr>
      <w:r w:rsidRPr="003237C5">
        <w:t>(</w:t>
      </w:r>
      <w:proofErr w:type="spellStart"/>
      <w:r w:rsidRPr="003237C5">
        <w:t>i</w:t>
      </w:r>
      <w:proofErr w:type="spellEnd"/>
      <w:r w:rsidRPr="003237C5">
        <w:t>)</w:t>
      </w:r>
      <w:r w:rsidRPr="003237C5">
        <w:tab/>
      </w:r>
      <w:r w:rsidR="00210D0F" w:rsidRPr="003237C5">
        <w:t xml:space="preserve">a course is provided wholly </w:t>
      </w:r>
      <w:proofErr w:type="gramStart"/>
      <w:r w:rsidR="00210D0F" w:rsidRPr="003237C5">
        <w:t>off-shore</w:t>
      </w:r>
      <w:proofErr w:type="gramEnd"/>
      <w:r w:rsidR="00210D0F" w:rsidRPr="003237C5">
        <w:t xml:space="preserve"> and students will not at any stage enter Australia for study; or</w:t>
      </w:r>
    </w:p>
    <w:p w14:paraId="5AB8327E" w14:textId="77777777" w:rsidR="00F56BC1" w:rsidRPr="003237C5" w:rsidRDefault="006D5459" w:rsidP="006D5459">
      <w:pPr>
        <w:keepNext/>
        <w:spacing w:after="120"/>
        <w:ind w:left="1637" w:hanging="357"/>
      </w:pPr>
      <w:r w:rsidRPr="003237C5">
        <w:t>(ii)</w:t>
      </w:r>
      <w:r w:rsidRPr="003237C5">
        <w:tab/>
      </w:r>
      <w:r w:rsidR="00210D0F" w:rsidRPr="003237C5">
        <w:t xml:space="preserve">approval has been given by the </w:t>
      </w:r>
      <w:r w:rsidR="00A014D0" w:rsidRPr="003237C5">
        <w:rPr>
          <w:i/>
        </w:rPr>
        <w:t>Department</w:t>
      </w:r>
      <w:r w:rsidR="00A014D0" w:rsidRPr="003237C5">
        <w:t xml:space="preserve"> </w:t>
      </w:r>
      <w:r w:rsidR="00210D0F" w:rsidRPr="003237C5">
        <w:t>to charge less than the minimum indicative fee for a course.</w:t>
      </w:r>
    </w:p>
    <w:p w14:paraId="6775EB74" w14:textId="77777777" w:rsidR="00BE3C79" w:rsidRPr="003237C5" w:rsidRDefault="006D5459" w:rsidP="006D5459">
      <w:pPr>
        <w:keepNext/>
        <w:spacing w:after="120"/>
        <w:ind w:left="1160" w:hanging="360"/>
        <w:rPr>
          <w:lang w:eastAsia="en-AU"/>
        </w:rPr>
      </w:pPr>
      <w:r w:rsidRPr="003237C5">
        <w:rPr>
          <w:lang w:eastAsia="en-AU"/>
        </w:rPr>
        <w:t>(c)</w:t>
      </w:r>
      <w:r w:rsidRPr="003237C5">
        <w:rPr>
          <w:lang w:eastAsia="en-AU"/>
        </w:rPr>
        <w:tab/>
      </w:r>
      <w:r w:rsidR="00F56BC1" w:rsidRPr="003237C5">
        <w:rPr>
          <w:lang w:eastAsia="en-AU"/>
        </w:rPr>
        <w:t xml:space="preserve">Where the requirements of subparagraph </w:t>
      </w:r>
      <w:r w:rsidR="005A12F5" w:rsidRPr="003237C5">
        <w:rPr>
          <w:lang w:eastAsia="en-AU"/>
        </w:rPr>
        <w:t>6</w:t>
      </w:r>
      <w:r w:rsidR="00F56BC1" w:rsidRPr="003237C5">
        <w:rPr>
          <w:lang w:eastAsia="en-AU"/>
        </w:rPr>
        <w:t>.5.1(b)(</w:t>
      </w:r>
      <w:proofErr w:type="spellStart"/>
      <w:r w:rsidR="00F56BC1" w:rsidRPr="003237C5">
        <w:rPr>
          <w:lang w:eastAsia="en-AU"/>
        </w:rPr>
        <w:t>i</w:t>
      </w:r>
      <w:proofErr w:type="spellEnd"/>
      <w:r w:rsidR="00F56BC1" w:rsidRPr="003237C5">
        <w:rPr>
          <w:lang w:eastAsia="en-AU"/>
        </w:rPr>
        <w:t xml:space="preserve">) or subparagraph </w:t>
      </w:r>
      <w:r w:rsidR="005A12F5" w:rsidRPr="003237C5">
        <w:rPr>
          <w:lang w:eastAsia="en-AU"/>
        </w:rPr>
        <w:t>6</w:t>
      </w:r>
      <w:r w:rsidR="00F56BC1" w:rsidRPr="003237C5">
        <w:rPr>
          <w:lang w:eastAsia="en-AU"/>
        </w:rPr>
        <w:t xml:space="preserve">.5(b)(ii) are satisfied in relation to a course no minimum indicative fee will apply. </w:t>
      </w:r>
      <w:proofErr w:type="gramStart"/>
      <w:r w:rsidR="00F56BC1" w:rsidRPr="003237C5">
        <w:rPr>
          <w:lang w:eastAsia="en-AU"/>
        </w:rPr>
        <w:t>However</w:t>
      </w:r>
      <w:proofErr w:type="gramEnd"/>
      <w:r w:rsidR="00F56BC1" w:rsidRPr="003237C5">
        <w:rPr>
          <w:lang w:eastAsia="en-AU"/>
        </w:rPr>
        <w:t xml:space="preserve"> the higher education provider must be able to demonstrate</w:t>
      </w:r>
      <w:r w:rsidR="000538E2" w:rsidRPr="003237C5">
        <w:rPr>
          <w:lang w:eastAsia="en-AU"/>
        </w:rPr>
        <w:t xml:space="preserve"> to the </w:t>
      </w:r>
      <w:r w:rsidR="000538E2" w:rsidRPr="003237C5">
        <w:rPr>
          <w:i/>
        </w:rPr>
        <w:t xml:space="preserve">Department </w:t>
      </w:r>
      <w:r w:rsidR="00F56BC1" w:rsidRPr="003237C5">
        <w:rPr>
          <w:lang w:eastAsia="en-AU"/>
        </w:rPr>
        <w:t xml:space="preserve">that the fee proposed will recover at least the full cost of providing the course in accordance with paragraph </w:t>
      </w:r>
      <w:r w:rsidR="005A12F5" w:rsidRPr="003237C5">
        <w:rPr>
          <w:lang w:eastAsia="en-AU"/>
        </w:rPr>
        <w:t>6</w:t>
      </w:r>
      <w:r w:rsidR="00F56BC1" w:rsidRPr="003237C5">
        <w:rPr>
          <w:lang w:eastAsia="en-AU"/>
        </w:rPr>
        <w:t>.5.1(a).</w:t>
      </w:r>
    </w:p>
    <w:p w14:paraId="31D6BF9F" w14:textId="77777777" w:rsidR="00F56BC1" w:rsidRPr="003237C5" w:rsidRDefault="006D5459" w:rsidP="006D5459">
      <w:pPr>
        <w:keepNext/>
        <w:spacing w:after="120"/>
        <w:ind w:left="1160" w:hanging="360"/>
        <w:rPr>
          <w:lang w:eastAsia="en-AU"/>
        </w:rPr>
      </w:pPr>
      <w:r w:rsidRPr="003237C5">
        <w:rPr>
          <w:lang w:eastAsia="en-AU"/>
        </w:rPr>
        <w:t>(d)</w:t>
      </w:r>
      <w:r w:rsidRPr="003237C5">
        <w:rPr>
          <w:lang w:eastAsia="en-AU"/>
        </w:rPr>
        <w:tab/>
      </w:r>
      <w:r w:rsidR="00F56BC1" w:rsidRPr="003237C5">
        <w:rPr>
          <w:lang w:eastAsia="en-AU"/>
        </w:rPr>
        <w:t xml:space="preserve">For the purposes of paragraph </w:t>
      </w:r>
      <w:r w:rsidR="005A12F5" w:rsidRPr="003237C5">
        <w:rPr>
          <w:lang w:eastAsia="en-AU"/>
        </w:rPr>
        <w:t>6</w:t>
      </w:r>
      <w:r w:rsidR="00F56BC1" w:rsidRPr="003237C5">
        <w:rPr>
          <w:lang w:eastAsia="en-AU"/>
        </w:rPr>
        <w:t>.5.1(b), the minimum indicative course fee for the relevant category of course is:</w:t>
      </w:r>
    </w:p>
    <w:p w14:paraId="1682019E" w14:textId="77777777" w:rsidR="00F56BC1" w:rsidRPr="003237C5" w:rsidRDefault="006D5459" w:rsidP="006D5459">
      <w:pPr>
        <w:keepNext/>
        <w:spacing w:after="120"/>
        <w:ind w:left="1637" w:hanging="360"/>
      </w:pPr>
      <w:r w:rsidRPr="003237C5">
        <w:t>(</w:t>
      </w:r>
      <w:proofErr w:type="spellStart"/>
      <w:r w:rsidRPr="003237C5">
        <w:t>i</w:t>
      </w:r>
      <w:proofErr w:type="spellEnd"/>
      <w:r w:rsidRPr="003237C5">
        <w:t>)</w:t>
      </w:r>
      <w:r w:rsidRPr="003237C5">
        <w:tab/>
      </w:r>
      <w:r w:rsidR="00F56BC1" w:rsidRPr="003237C5">
        <w:t xml:space="preserve">where, in accordance with subparagraph </w:t>
      </w:r>
      <w:r w:rsidR="005A12F5" w:rsidRPr="003237C5">
        <w:t>6</w:t>
      </w:r>
      <w:r w:rsidR="00F56BC1" w:rsidRPr="003237C5">
        <w:t xml:space="preserve">.5.1(a)(ii), the capital component of the fee is not </w:t>
      </w:r>
      <w:proofErr w:type="gramStart"/>
      <w:r w:rsidR="00F56BC1" w:rsidRPr="003237C5">
        <w:t>taken into account</w:t>
      </w:r>
      <w:proofErr w:type="gramEnd"/>
      <w:r w:rsidR="00F56BC1" w:rsidRPr="003237C5">
        <w:t xml:space="preserve"> because the necessary capital facilities are provided by a third party, the amount in the column headed Total without capital component; or</w:t>
      </w:r>
    </w:p>
    <w:p w14:paraId="1484CF7C" w14:textId="63FC2C1E" w:rsidR="00F56BC1" w:rsidRDefault="006D5459" w:rsidP="006D5459">
      <w:pPr>
        <w:keepNext/>
        <w:ind w:left="1633" w:hanging="357"/>
        <w:rPr>
          <w:lang w:eastAsia="en-AU"/>
        </w:rPr>
      </w:pPr>
      <w:r w:rsidRPr="003237C5">
        <w:rPr>
          <w:lang w:eastAsia="en-AU"/>
        </w:rPr>
        <w:t>(ii)</w:t>
      </w:r>
      <w:r w:rsidRPr="003237C5">
        <w:rPr>
          <w:lang w:eastAsia="en-AU"/>
        </w:rPr>
        <w:tab/>
      </w:r>
      <w:r w:rsidR="00F56BC1" w:rsidRPr="003237C5">
        <w:t>in all other circumstances, the amount in the column headed Total with</w:t>
      </w:r>
      <w:r w:rsidR="00F56BC1" w:rsidRPr="003237C5">
        <w:rPr>
          <w:iCs/>
          <w:lang w:eastAsia="en-AU"/>
        </w:rPr>
        <w:t xml:space="preserve"> capital component</w:t>
      </w:r>
      <w:r w:rsidR="00F56BC1" w:rsidRPr="003237C5">
        <w:rPr>
          <w:lang w:eastAsia="en-AU"/>
        </w:rPr>
        <w:t>.</w:t>
      </w:r>
    </w:p>
    <w:p w14:paraId="5C357541" w14:textId="77777777" w:rsidR="00F27052" w:rsidRPr="003237C5" w:rsidRDefault="00F27052" w:rsidP="006D5459">
      <w:pPr>
        <w:keepNext/>
        <w:ind w:left="1633" w:hanging="357"/>
        <w:rPr>
          <w:lang w:eastAsia="en-AU"/>
        </w:rPr>
      </w:pPr>
    </w:p>
    <w:p w14:paraId="46188DA8" w14:textId="77777777" w:rsidR="006D0718" w:rsidRPr="003237C5" w:rsidRDefault="006D0718" w:rsidP="00F56BC1">
      <w:pPr>
        <w:autoSpaceDE w:val="0"/>
        <w:autoSpaceDN w:val="0"/>
        <w:adjustRightInd w:val="0"/>
        <w:rPr>
          <w:lang w:eastAsia="en-AU"/>
        </w:rPr>
      </w:pPr>
    </w:p>
    <w:p w14:paraId="36FF360E" w14:textId="77777777" w:rsidR="00F56BC1" w:rsidRPr="003237C5" w:rsidRDefault="005A12F5" w:rsidP="006D0718">
      <w:pPr>
        <w:autoSpaceDE w:val="0"/>
        <w:autoSpaceDN w:val="0"/>
        <w:adjustRightInd w:val="0"/>
        <w:ind w:left="601" w:hanging="601"/>
        <w:rPr>
          <w:b/>
          <w:bCs/>
          <w:lang w:eastAsia="en-AU"/>
        </w:rPr>
      </w:pPr>
      <w:r w:rsidRPr="003237C5">
        <w:rPr>
          <w:b/>
          <w:bCs/>
          <w:lang w:eastAsia="en-AU"/>
        </w:rPr>
        <w:t>6</w:t>
      </w:r>
      <w:r w:rsidR="00F56BC1" w:rsidRPr="003237C5">
        <w:rPr>
          <w:b/>
          <w:bCs/>
          <w:lang w:eastAsia="en-AU"/>
        </w:rPr>
        <w:t xml:space="preserve">.10 </w:t>
      </w:r>
      <w:r w:rsidR="00F56BC1" w:rsidRPr="003237C5">
        <w:rPr>
          <w:b/>
          <w:bCs/>
          <w:lang w:eastAsia="en-AU"/>
        </w:rPr>
        <w:tab/>
        <w:t>CIRCUMSTANCES IN WHICH THE REQUIREMENTS FOR DETERMINING FEES FOR OVERSEAS STUDENTS MAY NOT APPLY</w:t>
      </w:r>
    </w:p>
    <w:p w14:paraId="77C9909F" w14:textId="77777777" w:rsidR="00F56BC1" w:rsidRPr="003237C5" w:rsidRDefault="00F56BC1" w:rsidP="00F56BC1">
      <w:pPr>
        <w:autoSpaceDE w:val="0"/>
        <w:autoSpaceDN w:val="0"/>
        <w:adjustRightInd w:val="0"/>
        <w:rPr>
          <w:b/>
          <w:bCs/>
          <w:lang w:eastAsia="en-AU"/>
        </w:rPr>
      </w:pPr>
    </w:p>
    <w:p w14:paraId="0ABE264A" w14:textId="77777777" w:rsidR="00F56BC1" w:rsidRPr="003237C5" w:rsidRDefault="005A12F5" w:rsidP="0039748D">
      <w:pPr>
        <w:autoSpaceDE w:val="0"/>
        <w:autoSpaceDN w:val="0"/>
        <w:adjustRightInd w:val="0"/>
        <w:spacing w:after="120"/>
        <w:ind w:left="709" w:hanging="709"/>
        <w:rPr>
          <w:lang w:eastAsia="en-AU"/>
        </w:rPr>
      </w:pPr>
      <w:r w:rsidRPr="003237C5">
        <w:rPr>
          <w:lang w:eastAsia="en-AU"/>
        </w:rPr>
        <w:t>6</w:t>
      </w:r>
      <w:r w:rsidR="00BE3C79" w:rsidRPr="003237C5">
        <w:rPr>
          <w:lang w:eastAsia="en-AU"/>
        </w:rPr>
        <w:t>.10.1</w:t>
      </w:r>
      <w:r w:rsidR="00BE3C79" w:rsidRPr="003237C5">
        <w:rPr>
          <w:lang w:eastAsia="en-AU"/>
        </w:rPr>
        <w:tab/>
      </w:r>
      <w:r w:rsidR="00F56BC1" w:rsidRPr="003237C5">
        <w:rPr>
          <w:lang w:eastAsia="en-AU"/>
        </w:rPr>
        <w:t xml:space="preserve">A higher education provider is not required to comply with the requirements of paragraph </w:t>
      </w:r>
      <w:r w:rsidRPr="003237C5">
        <w:rPr>
          <w:lang w:eastAsia="en-AU"/>
        </w:rPr>
        <w:t>6</w:t>
      </w:r>
      <w:r w:rsidR="00F56BC1" w:rsidRPr="003237C5">
        <w:rPr>
          <w:lang w:eastAsia="en-AU"/>
        </w:rPr>
        <w:t>.5.1 when determining the fee for the following classes of overseas students:</w:t>
      </w:r>
    </w:p>
    <w:p w14:paraId="3BCFA88B" w14:textId="77777777" w:rsidR="00BE3C79" w:rsidRPr="003237C5" w:rsidRDefault="006D5459" w:rsidP="006D5459">
      <w:pPr>
        <w:keepNext/>
        <w:spacing w:after="120"/>
        <w:ind w:left="1160" w:hanging="360"/>
        <w:rPr>
          <w:lang w:eastAsia="en-AU"/>
        </w:rPr>
      </w:pPr>
      <w:r w:rsidRPr="003237C5">
        <w:rPr>
          <w:lang w:eastAsia="en-AU"/>
        </w:rPr>
        <w:t>(a)</w:t>
      </w:r>
      <w:r w:rsidRPr="003237C5">
        <w:rPr>
          <w:lang w:eastAsia="en-AU"/>
        </w:rPr>
        <w:tab/>
      </w:r>
      <w:r w:rsidR="00F56BC1" w:rsidRPr="003237C5">
        <w:rPr>
          <w:lang w:eastAsia="en-AU"/>
        </w:rPr>
        <w:t>overseas students undertaking study in Australia as part of a formal exchange program; and</w:t>
      </w:r>
    </w:p>
    <w:p w14:paraId="2881B729" w14:textId="77777777" w:rsidR="00F56BC1" w:rsidRPr="003237C5" w:rsidRDefault="006D5459" w:rsidP="006D5459">
      <w:pPr>
        <w:keepNext/>
        <w:ind w:left="1156" w:hanging="357"/>
        <w:rPr>
          <w:lang w:eastAsia="en-AU"/>
        </w:rPr>
      </w:pPr>
      <w:r w:rsidRPr="003237C5">
        <w:rPr>
          <w:lang w:eastAsia="en-AU"/>
        </w:rPr>
        <w:t>(b)</w:t>
      </w:r>
      <w:r w:rsidRPr="003237C5">
        <w:rPr>
          <w:lang w:eastAsia="en-AU"/>
        </w:rPr>
        <w:tab/>
      </w:r>
      <w:r w:rsidR="00F56BC1" w:rsidRPr="003237C5">
        <w:rPr>
          <w:lang w:eastAsia="en-AU"/>
        </w:rPr>
        <w:t xml:space="preserve">overseas students undertaking study in Australia towards </w:t>
      </w:r>
      <w:proofErr w:type="gramStart"/>
      <w:r w:rsidR="00F56BC1" w:rsidRPr="003237C5">
        <w:rPr>
          <w:lang w:eastAsia="en-AU"/>
        </w:rPr>
        <w:t>a research</w:t>
      </w:r>
      <w:proofErr w:type="gramEnd"/>
      <w:r w:rsidR="00F56BC1" w:rsidRPr="003237C5">
        <w:rPr>
          <w:lang w:eastAsia="en-AU"/>
        </w:rPr>
        <w:t xml:space="preserve"> </w:t>
      </w:r>
      <w:proofErr w:type="spellStart"/>
      <w:r w:rsidR="00F56BC1" w:rsidRPr="003237C5">
        <w:rPr>
          <w:lang w:eastAsia="en-AU"/>
        </w:rPr>
        <w:t>Masters</w:t>
      </w:r>
      <w:proofErr w:type="spellEnd"/>
      <w:r w:rsidR="00F56BC1" w:rsidRPr="003237C5">
        <w:rPr>
          <w:lang w:eastAsia="en-AU"/>
        </w:rPr>
        <w:t xml:space="preserve"> degree or a research Doctoral degree who have been awarded a scholarship for that study on the basis of merit following a competitive application process.</w:t>
      </w:r>
    </w:p>
    <w:p w14:paraId="135C717F" w14:textId="77777777" w:rsidR="00F56BC1" w:rsidRPr="003237C5" w:rsidRDefault="00F56BC1" w:rsidP="00F56BC1">
      <w:pPr>
        <w:autoSpaceDE w:val="0"/>
        <w:autoSpaceDN w:val="0"/>
        <w:adjustRightInd w:val="0"/>
        <w:rPr>
          <w:lang w:eastAsia="en-AU"/>
        </w:rPr>
      </w:pPr>
    </w:p>
    <w:p w14:paraId="5C7AC131" w14:textId="77777777" w:rsidR="00BE3C79" w:rsidRPr="003237C5" w:rsidRDefault="005A12F5" w:rsidP="0039748D">
      <w:pPr>
        <w:autoSpaceDE w:val="0"/>
        <w:autoSpaceDN w:val="0"/>
        <w:adjustRightInd w:val="0"/>
        <w:spacing w:after="120"/>
        <w:ind w:left="851" w:hanging="851"/>
        <w:rPr>
          <w:lang w:eastAsia="en-AU"/>
        </w:rPr>
      </w:pPr>
      <w:r w:rsidRPr="003237C5">
        <w:rPr>
          <w:lang w:eastAsia="en-AU"/>
        </w:rPr>
        <w:t>6</w:t>
      </w:r>
      <w:r w:rsidR="00F56BC1" w:rsidRPr="003237C5">
        <w:rPr>
          <w:lang w:eastAsia="en-AU"/>
        </w:rPr>
        <w:t>.10.5</w:t>
      </w:r>
      <w:r w:rsidR="00F56BC1" w:rsidRPr="003237C5">
        <w:rPr>
          <w:lang w:eastAsia="en-AU"/>
        </w:rPr>
        <w:tab/>
        <w:t xml:space="preserve">For the purposes of paragraph </w:t>
      </w:r>
      <w:r w:rsidRPr="003237C5">
        <w:rPr>
          <w:lang w:eastAsia="en-AU"/>
        </w:rPr>
        <w:t>6</w:t>
      </w:r>
      <w:r w:rsidR="00F56BC1" w:rsidRPr="003237C5">
        <w:rPr>
          <w:lang w:eastAsia="en-AU"/>
        </w:rPr>
        <w:t>.10.1(a), a formal exchange program is a program established under a formal agreement between an Australian higher education provider and an overseas higher education institution [“overseas institution”] that provides for:</w:t>
      </w:r>
    </w:p>
    <w:p w14:paraId="6C526D82" w14:textId="77777777" w:rsidR="00BE3C79" w:rsidRPr="003237C5" w:rsidRDefault="006D5459" w:rsidP="006D5459">
      <w:pPr>
        <w:keepNext/>
        <w:spacing w:after="120"/>
        <w:ind w:left="1160" w:hanging="360"/>
        <w:rPr>
          <w:lang w:eastAsia="en-AU"/>
        </w:rPr>
      </w:pPr>
      <w:r w:rsidRPr="003237C5">
        <w:rPr>
          <w:lang w:eastAsia="en-AU"/>
        </w:rPr>
        <w:t>(a)</w:t>
      </w:r>
      <w:r w:rsidRPr="003237C5">
        <w:rPr>
          <w:lang w:eastAsia="en-AU"/>
        </w:rPr>
        <w:tab/>
      </w:r>
      <w:r w:rsidR="00F56BC1" w:rsidRPr="003237C5">
        <w:rPr>
          <w:lang w:eastAsia="en-AU"/>
        </w:rPr>
        <w:t xml:space="preserve">students of the Australian higher education provider to undertake study at the overseas institution, where the study at the overseas institution contributes to the requirements of a course of study being undertaken by the students with the Australian higher education </w:t>
      </w:r>
      <w:proofErr w:type="gramStart"/>
      <w:r w:rsidR="00F56BC1" w:rsidRPr="003237C5">
        <w:rPr>
          <w:lang w:eastAsia="en-AU"/>
        </w:rPr>
        <w:t>provider;</w:t>
      </w:r>
      <w:proofErr w:type="gramEnd"/>
    </w:p>
    <w:p w14:paraId="314005F8" w14:textId="77777777" w:rsidR="00BE3C79" w:rsidRPr="003237C5" w:rsidRDefault="006D5459" w:rsidP="006D5459">
      <w:pPr>
        <w:keepNext/>
        <w:spacing w:after="120"/>
        <w:ind w:left="1160" w:hanging="360"/>
        <w:rPr>
          <w:lang w:eastAsia="en-AU"/>
        </w:rPr>
      </w:pPr>
      <w:r w:rsidRPr="003237C5">
        <w:rPr>
          <w:lang w:eastAsia="en-AU"/>
        </w:rPr>
        <w:t>(b)</w:t>
      </w:r>
      <w:r w:rsidRPr="003237C5">
        <w:rPr>
          <w:lang w:eastAsia="en-AU"/>
        </w:rPr>
        <w:tab/>
      </w:r>
      <w:r w:rsidR="00F56BC1" w:rsidRPr="003237C5">
        <w:rPr>
          <w:lang w:eastAsia="en-AU"/>
        </w:rPr>
        <w:t xml:space="preserve">students of the overseas institution to undertake study at the Australian higher education </w:t>
      </w:r>
      <w:proofErr w:type="gramStart"/>
      <w:r w:rsidR="00F56BC1" w:rsidRPr="003237C5">
        <w:rPr>
          <w:lang w:eastAsia="en-AU"/>
        </w:rPr>
        <w:t>provider ,</w:t>
      </w:r>
      <w:proofErr w:type="gramEnd"/>
      <w:r w:rsidR="00F56BC1" w:rsidRPr="003237C5">
        <w:rPr>
          <w:lang w:eastAsia="en-AU"/>
        </w:rPr>
        <w:t xml:space="preserve"> where the study at the Australian higher education provider contributes to the requirements of a course of study being undertaken by the students with the overseas institution;</w:t>
      </w:r>
    </w:p>
    <w:p w14:paraId="0031CABF" w14:textId="77777777" w:rsidR="00BE3C79" w:rsidRPr="003237C5" w:rsidRDefault="006D5459" w:rsidP="006D5459">
      <w:pPr>
        <w:keepNext/>
        <w:spacing w:after="120"/>
        <w:ind w:left="1160" w:hanging="360"/>
        <w:rPr>
          <w:lang w:eastAsia="en-AU"/>
        </w:rPr>
      </w:pPr>
      <w:r w:rsidRPr="003237C5">
        <w:rPr>
          <w:lang w:eastAsia="en-AU"/>
        </w:rPr>
        <w:t>(c)</w:t>
      </w:r>
      <w:r w:rsidRPr="003237C5">
        <w:rPr>
          <w:lang w:eastAsia="en-AU"/>
        </w:rPr>
        <w:tab/>
      </w:r>
      <w:r w:rsidR="00F56BC1" w:rsidRPr="003237C5">
        <w:rPr>
          <w:lang w:eastAsia="en-AU"/>
        </w:rPr>
        <w:t xml:space="preserve">the exchange of students between the Australian higher education provider and the overseas institution to be reciprocal over </w:t>
      </w:r>
      <w:proofErr w:type="gramStart"/>
      <w:r w:rsidR="00F56BC1" w:rsidRPr="003237C5">
        <w:rPr>
          <w:lang w:eastAsia="en-AU"/>
        </w:rPr>
        <w:t>time;</w:t>
      </w:r>
      <w:proofErr w:type="gramEnd"/>
    </w:p>
    <w:p w14:paraId="113BB816" w14:textId="77777777" w:rsidR="00BE3C79" w:rsidRPr="003237C5" w:rsidRDefault="006D5459" w:rsidP="006D5459">
      <w:pPr>
        <w:keepNext/>
        <w:spacing w:after="120"/>
        <w:ind w:left="1160" w:hanging="360"/>
        <w:rPr>
          <w:lang w:eastAsia="en-AU"/>
        </w:rPr>
      </w:pPr>
      <w:r w:rsidRPr="003237C5">
        <w:rPr>
          <w:lang w:eastAsia="en-AU"/>
        </w:rPr>
        <w:t>(d)</w:t>
      </w:r>
      <w:r w:rsidRPr="003237C5">
        <w:rPr>
          <w:lang w:eastAsia="en-AU"/>
        </w:rPr>
        <w:tab/>
      </w:r>
      <w:r w:rsidR="00F56BC1" w:rsidRPr="003237C5">
        <w:rPr>
          <w:lang w:eastAsia="en-AU"/>
        </w:rPr>
        <w:t xml:space="preserve">all students of the Australian higher education provider undertaking study in accordance with paragraph </w:t>
      </w:r>
      <w:r w:rsidR="005A12F5" w:rsidRPr="003237C5">
        <w:rPr>
          <w:lang w:eastAsia="en-AU"/>
        </w:rPr>
        <w:t>6</w:t>
      </w:r>
      <w:r w:rsidR="00F56BC1" w:rsidRPr="003237C5">
        <w:rPr>
          <w:lang w:eastAsia="en-AU"/>
        </w:rPr>
        <w:t xml:space="preserve">.10.5(a) are charged student contribution amounts and tuition fees in accordance with </w:t>
      </w:r>
      <w:r w:rsidR="00923C0F" w:rsidRPr="003237C5">
        <w:rPr>
          <w:lang w:eastAsia="en-AU"/>
        </w:rPr>
        <w:t xml:space="preserve">the </w:t>
      </w:r>
      <w:r w:rsidR="00923C0F" w:rsidRPr="003237C5">
        <w:rPr>
          <w:i/>
          <w:lang w:eastAsia="en-AU"/>
        </w:rPr>
        <w:t>Act</w:t>
      </w:r>
      <w:r w:rsidR="00923C0F" w:rsidRPr="003237C5">
        <w:rPr>
          <w:lang w:eastAsia="en-AU"/>
        </w:rPr>
        <w:t xml:space="preserve"> </w:t>
      </w:r>
      <w:r w:rsidR="00F56BC1" w:rsidRPr="003237C5">
        <w:rPr>
          <w:lang w:eastAsia="en-AU"/>
        </w:rPr>
        <w:t>and are not charged fees at the overseas institution; and</w:t>
      </w:r>
    </w:p>
    <w:p w14:paraId="3B11EE66" w14:textId="77777777" w:rsidR="00F56BC1" w:rsidRPr="003237C5" w:rsidRDefault="006D5459" w:rsidP="006D5459">
      <w:pPr>
        <w:keepNext/>
        <w:spacing w:after="120"/>
        <w:ind w:left="1160" w:hanging="360"/>
        <w:rPr>
          <w:lang w:eastAsia="en-AU"/>
        </w:rPr>
      </w:pPr>
      <w:r w:rsidRPr="003237C5">
        <w:rPr>
          <w:lang w:eastAsia="en-AU"/>
        </w:rPr>
        <w:t>(e)</w:t>
      </w:r>
      <w:r w:rsidRPr="003237C5">
        <w:rPr>
          <w:lang w:eastAsia="en-AU"/>
        </w:rPr>
        <w:tab/>
      </w:r>
      <w:r w:rsidR="00F56BC1" w:rsidRPr="003237C5">
        <w:rPr>
          <w:lang w:eastAsia="en-AU"/>
        </w:rPr>
        <w:t xml:space="preserve">all students of the overseas institution undertaking study in accordance with paragraph </w:t>
      </w:r>
      <w:r w:rsidR="005A12F5" w:rsidRPr="003237C5">
        <w:rPr>
          <w:lang w:eastAsia="en-AU"/>
        </w:rPr>
        <w:t>6</w:t>
      </w:r>
      <w:r w:rsidR="00F56BC1" w:rsidRPr="003237C5">
        <w:rPr>
          <w:lang w:eastAsia="en-AU"/>
        </w:rPr>
        <w:t>.10.5(b) are charged fees in accordance with the practices of that overseas institution and are not charged fees at the Australian higher education provider.</w:t>
      </w:r>
    </w:p>
    <w:p w14:paraId="39F38F0F" w14:textId="38D9A5FA" w:rsidR="00A446E4" w:rsidRPr="003237C5" w:rsidRDefault="00A446E4">
      <w:pPr>
        <w:keepLines w:val="0"/>
        <w:rPr>
          <w:lang w:eastAsia="en-AU"/>
        </w:rPr>
      </w:pPr>
      <w:r w:rsidRPr="003237C5">
        <w:rPr>
          <w:lang w:eastAsia="en-AU"/>
        </w:rPr>
        <w:br w:type="page"/>
      </w:r>
    </w:p>
    <w:p w14:paraId="4FC413DB" w14:textId="77777777" w:rsidR="00F56BC1" w:rsidRPr="003237C5" w:rsidRDefault="005A12F5" w:rsidP="00F56BC1">
      <w:pPr>
        <w:keepNext/>
        <w:autoSpaceDE w:val="0"/>
        <w:autoSpaceDN w:val="0"/>
        <w:adjustRightInd w:val="0"/>
        <w:rPr>
          <w:b/>
          <w:bCs/>
          <w:lang w:eastAsia="en-AU"/>
        </w:rPr>
      </w:pPr>
      <w:r w:rsidRPr="003237C5">
        <w:rPr>
          <w:b/>
          <w:bCs/>
          <w:lang w:eastAsia="en-AU"/>
        </w:rPr>
        <w:t>6</w:t>
      </w:r>
      <w:r w:rsidR="00F56BC1" w:rsidRPr="003237C5">
        <w:rPr>
          <w:b/>
          <w:bCs/>
          <w:lang w:eastAsia="en-AU"/>
        </w:rPr>
        <w:t xml:space="preserve">.15 </w:t>
      </w:r>
      <w:r w:rsidR="00F56BC1" w:rsidRPr="003237C5">
        <w:rPr>
          <w:b/>
          <w:bCs/>
          <w:lang w:eastAsia="en-AU"/>
        </w:rPr>
        <w:tab/>
        <w:t>MINIMUM INDICATIVE COURSE FEES</w:t>
      </w:r>
    </w:p>
    <w:p w14:paraId="303A977E" w14:textId="77777777" w:rsidR="00F56BC1" w:rsidRPr="003237C5" w:rsidRDefault="00F56BC1" w:rsidP="00F56BC1">
      <w:pPr>
        <w:keepNext/>
        <w:autoSpaceDE w:val="0"/>
        <w:autoSpaceDN w:val="0"/>
        <w:adjustRightInd w:val="0"/>
        <w:rPr>
          <w:lang w:eastAsia="en-AU"/>
        </w:rPr>
      </w:pPr>
    </w:p>
    <w:p w14:paraId="52D29BEE" w14:textId="77777777" w:rsidR="00F56BC1" w:rsidRPr="003237C5" w:rsidRDefault="005A12F5" w:rsidP="00F56BC1">
      <w:pPr>
        <w:keepNext/>
        <w:autoSpaceDE w:val="0"/>
        <w:autoSpaceDN w:val="0"/>
        <w:adjustRightInd w:val="0"/>
        <w:rPr>
          <w:lang w:eastAsia="en-AU"/>
        </w:rPr>
      </w:pPr>
      <w:r w:rsidRPr="003237C5">
        <w:rPr>
          <w:lang w:eastAsia="en-AU"/>
        </w:rPr>
        <w:t>6</w:t>
      </w:r>
      <w:r w:rsidR="00F56BC1" w:rsidRPr="003237C5">
        <w:rPr>
          <w:lang w:eastAsia="en-AU"/>
        </w:rPr>
        <w:t>.15.1 The schedule of minimum indicative course fees for 20</w:t>
      </w:r>
      <w:r w:rsidRPr="003237C5">
        <w:rPr>
          <w:lang w:eastAsia="en-AU"/>
        </w:rPr>
        <w:t xml:space="preserve">12 </w:t>
      </w:r>
      <w:r w:rsidR="00F56BC1" w:rsidRPr="003237C5">
        <w:rPr>
          <w:lang w:eastAsia="en-AU"/>
        </w:rPr>
        <w:t>is as follows:</w:t>
      </w:r>
    </w:p>
    <w:p w14:paraId="74B4ED86" w14:textId="77777777" w:rsidR="00F56BC1" w:rsidRPr="003237C5" w:rsidRDefault="00F56BC1" w:rsidP="00F56BC1">
      <w:pPr>
        <w:keepNext/>
        <w:autoSpaceDE w:val="0"/>
        <w:autoSpaceDN w:val="0"/>
        <w:adjustRightInd w:val="0"/>
        <w:rPr>
          <w:lang w:eastAsia="en-AU"/>
        </w:rPr>
      </w:pPr>
    </w:p>
    <w:tbl>
      <w:tblPr>
        <w:tblW w:w="4777" w:type="pct"/>
        <w:tblCellSpacing w:w="0" w:type="dxa"/>
        <w:tblInd w:w="123"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210"/>
        <w:gridCol w:w="4901"/>
        <w:gridCol w:w="1700"/>
        <w:gridCol w:w="2059"/>
      </w:tblGrid>
      <w:tr w:rsidR="00F56BC1" w:rsidRPr="003237C5" w14:paraId="6689F0D3" w14:textId="77777777" w:rsidTr="0040756F">
        <w:trPr>
          <w:tblCellSpacing w:w="0" w:type="dxa"/>
        </w:trPr>
        <w:tc>
          <w:tcPr>
            <w:tcW w:w="3096" w:type="pct"/>
            <w:gridSpan w:val="2"/>
            <w:tcBorders>
              <w:top w:val="outset" w:sz="6" w:space="0" w:color="auto"/>
              <w:left w:val="outset" w:sz="6" w:space="0" w:color="auto"/>
              <w:bottom w:val="outset" w:sz="6" w:space="0" w:color="auto"/>
              <w:right w:val="outset" w:sz="6" w:space="0" w:color="auto"/>
            </w:tcBorders>
          </w:tcPr>
          <w:p w14:paraId="5C091561" w14:textId="77777777" w:rsidR="00F56BC1" w:rsidRPr="003237C5" w:rsidRDefault="00F56BC1" w:rsidP="00F56BC1">
            <w:pPr>
              <w:keepNext/>
              <w:rPr>
                <w:lang w:eastAsia="en-AU"/>
              </w:rPr>
            </w:pPr>
            <w:r w:rsidRPr="003237C5">
              <w:rPr>
                <w:b/>
                <w:bCs/>
                <w:lang w:eastAsia="en-AU"/>
              </w:rPr>
              <w:t>COURSE CATEGORIES</w:t>
            </w:r>
            <w:r w:rsidRPr="003237C5">
              <w:rPr>
                <w:lang w:eastAsia="en-AU"/>
              </w:rPr>
              <w:br/>
            </w:r>
            <w:r w:rsidRPr="003237C5">
              <w:rPr>
                <w:lang w:eastAsia="en-AU"/>
              </w:rPr>
              <w:br/>
            </w:r>
          </w:p>
          <w:p w14:paraId="63861310" w14:textId="77777777" w:rsidR="00F56BC1" w:rsidRPr="003237C5" w:rsidRDefault="00F56BC1" w:rsidP="00F56BC1">
            <w:pPr>
              <w:keepNext/>
              <w:rPr>
                <w:lang w:eastAsia="en-AU"/>
              </w:rPr>
            </w:pP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962B13" w14:textId="77777777" w:rsidR="00F56BC1" w:rsidRPr="003237C5" w:rsidRDefault="00F56BC1" w:rsidP="00F56BC1">
            <w:pPr>
              <w:keepNext/>
              <w:rPr>
                <w:lang w:eastAsia="en-AU"/>
              </w:rPr>
            </w:pPr>
            <w:r w:rsidRPr="003237C5">
              <w:rPr>
                <w:b/>
                <w:bCs/>
                <w:lang w:eastAsia="en-AU"/>
              </w:rPr>
              <w:t>Total without capital component</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FF3EB7" w14:textId="77777777" w:rsidR="00F56BC1" w:rsidRPr="003237C5" w:rsidRDefault="00F56BC1" w:rsidP="00F56BC1">
            <w:pPr>
              <w:keepNext/>
              <w:rPr>
                <w:lang w:eastAsia="en-AU"/>
              </w:rPr>
            </w:pPr>
            <w:r w:rsidRPr="003237C5">
              <w:rPr>
                <w:b/>
                <w:bCs/>
                <w:lang w:eastAsia="en-AU"/>
              </w:rPr>
              <w:t>Total with capital component</w:t>
            </w:r>
          </w:p>
          <w:p w14:paraId="5B15988B" w14:textId="77777777" w:rsidR="00F56BC1" w:rsidRPr="003237C5" w:rsidRDefault="00F56BC1" w:rsidP="00F56BC1">
            <w:pPr>
              <w:keepNext/>
              <w:rPr>
                <w:lang w:eastAsia="en-AU"/>
              </w:rPr>
            </w:pPr>
          </w:p>
        </w:tc>
      </w:tr>
      <w:tr w:rsidR="00F56BC1" w:rsidRPr="003237C5" w14:paraId="298510F1"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E8BC45" w14:textId="77777777" w:rsidR="00F56BC1" w:rsidRPr="003237C5" w:rsidRDefault="00F56BC1" w:rsidP="00F56BC1">
            <w:pPr>
              <w:keepNext/>
              <w:rPr>
                <w:b/>
                <w:bCs/>
                <w:lang w:eastAsia="en-AU"/>
              </w:rPr>
            </w:pPr>
          </w:p>
          <w:p w14:paraId="7F8B994D" w14:textId="77777777" w:rsidR="00F56BC1" w:rsidRPr="003237C5" w:rsidRDefault="00F56BC1" w:rsidP="00F56BC1">
            <w:pPr>
              <w:keepNext/>
              <w:rPr>
                <w:b/>
                <w:bCs/>
                <w:lang w:eastAsia="en-AU"/>
              </w:rPr>
            </w:pPr>
            <w:r w:rsidRPr="003237C5">
              <w:rPr>
                <w:b/>
                <w:bCs/>
                <w:lang w:eastAsia="en-AU"/>
              </w:rPr>
              <w:t>ON CAMPUS</w:t>
            </w:r>
          </w:p>
        </w:tc>
      </w:tr>
      <w:tr w:rsidR="00F56BC1" w:rsidRPr="003237C5" w14:paraId="02B188DB"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E7ABAA" w14:textId="77777777" w:rsidR="00F56BC1" w:rsidRPr="003237C5" w:rsidRDefault="00F56BC1" w:rsidP="00F56BC1">
            <w:pPr>
              <w:jc w:val="center"/>
              <w:rPr>
                <w:b/>
                <w:bCs/>
                <w:lang w:eastAsia="en-AU"/>
              </w:rPr>
            </w:pPr>
            <w:r w:rsidRPr="003237C5">
              <w:rPr>
                <w:b/>
                <w:bCs/>
                <w:lang w:eastAsia="en-AU"/>
              </w:rPr>
              <w:t xml:space="preserve">                                                                                       Fees weekly</w:t>
            </w:r>
          </w:p>
        </w:tc>
      </w:tr>
      <w:tr w:rsidR="00F56BC1" w:rsidRPr="003237C5" w14:paraId="14246E30"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DBE2D7" w14:textId="77777777" w:rsidR="00F56BC1" w:rsidRPr="003237C5" w:rsidRDefault="00F56BC1" w:rsidP="00F56BC1">
            <w:pPr>
              <w:jc w:val="center"/>
              <w:rPr>
                <w:lang w:eastAsia="en-AU"/>
              </w:rPr>
            </w:pPr>
            <w:r w:rsidRPr="003237C5">
              <w:rPr>
                <w:b/>
                <w:bCs/>
                <w:lang w:eastAsia="en-AU"/>
              </w:rPr>
              <w:t>1.</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9A5588" w14:textId="77777777" w:rsidR="00F56BC1" w:rsidRPr="003237C5" w:rsidRDefault="00F56BC1" w:rsidP="00F56BC1">
            <w:pPr>
              <w:rPr>
                <w:lang w:eastAsia="en-AU"/>
              </w:rPr>
            </w:pPr>
            <w:r w:rsidRPr="003237C5">
              <w:rPr>
                <w:lang w:eastAsia="en-AU"/>
              </w:rPr>
              <w:t xml:space="preserve">ELICOS </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D023E3" w14:textId="77777777" w:rsidR="00F56BC1" w:rsidRPr="003237C5" w:rsidRDefault="00F56BC1" w:rsidP="00F56BC1">
            <w:pPr>
              <w:jc w:val="right"/>
              <w:rPr>
                <w:lang w:eastAsia="en-AU"/>
              </w:rPr>
            </w:pPr>
            <w:r w:rsidRPr="003237C5">
              <w:rPr>
                <w:lang w:eastAsia="en-AU"/>
              </w:rPr>
              <w:t>$2</w:t>
            </w:r>
            <w:r w:rsidR="00425F88" w:rsidRPr="003237C5">
              <w:rPr>
                <w:lang w:eastAsia="en-AU"/>
              </w:rPr>
              <w:t>69</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FDA15E" w14:textId="77777777" w:rsidR="00F56BC1" w:rsidRPr="003237C5" w:rsidRDefault="00F56BC1" w:rsidP="00F56BC1">
            <w:pPr>
              <w:jc w:val="right"/>
              <w:rPr>
                <w:lang w:eastAsia="en-AU"/>
              </w:rPr>
            </w:pPr>
            <w:r w:rsidRPr="003237C5">
              <w:rPr>
                <w:lang w:eastAsia="en-AU"/>
              </w:rPr>
              <w:t>$2</w:t>
            </w:r>
            <w:r w:rsidR="00425F88" w:rsidRPr="003237C5">
              <w:rPr>
                <w:lang w:eastAsia="en-AU"/>
              </w:rPr>
              <w:t>93</w:t>
            </w:r>
          </w:p>
        </w:tc>
      </w:tr>
      <w:tr w:rsidR="00F56BC1" w:rsidRPr="003237C5" w14:paraId="155507CA"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A3F583" w14:textId="77777777" w:rsidR="00F56BC1" w:rsidRPr="003237C5" w:rsidRDefault="00F56BC1" w:rsidP="00F56BC1">
            <w:pPr>
              <w:jc w:val="center"/>
              <w:rPr>
                <w:b/>
                <w:bCs/>
                <w:lang w:eastAsia="en-AU"/>
              </w:rPr>
            </w:pPr>
            <w:r w:rsidRPr="003237C5">
              <w:rPr>
                <w:b/>
                <w:bCs/>
                <w:lang w:eastAsia="en-AU"/>
              </w:rPr>
              <w:t xml:space="preserve">                                                                                      Fees per year</w:t>
            </w:r>
          </w:p>
          <w:p w14:paraId="310E86C5" w14:textId="77777777" w:rsidR="00F56BC1" w:rsidRPr="003237C5" w:rsidRDefault="00F56BC1" w:rsidP="00F56BC1">
            <w:pPr>
              <w:jc w:val="center"/>
              <w:rPr>
                <w:lang w:eastAsia="en-AU"/>
              </w:rPr>
            </w:pPr>
            <w:r w:rsidRPr="003237C5">
              <w:rPr>
                <w:b/>
                <w:bCs/>
                <w:lang w:eastAsia="en-AU"/>
              </w:rPr>
              <w:t xml:space="preserve">                                                                                        (Equivalent Full-time)</w:t>
            </w:r>
          </w:p>
        </w:tc>
      </w:tr>
      <w:tr w:rsidR="00F56BC1" w:rsidRPr="003237C5" w14:paraId="3E38F816"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188A26" w14:textId="77777777" w:rsidR="00F56BC1" w:rsidRPr="003237C5" w:rsidRDefault="00F56BC1" w:rsidP="00F56BC1">
            <w:pPr>
              <w:jc w:val="center"/>
              <w:rPr>
                <w:lang w:eastAsia="en-AU"/>
              </w:rPr>
            </w:pPr>
            <w:r w:rsidRPr="003237C5">
              <w:rPr>
                <w:b/>
                <w:bCs/>
                <w:lang w:eastAsia="en-AU"/>
              </w:rPr>
              <w:t>2.</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78D5BC" w14:textId="77777777" w:rsidR="00F56BC1" w:rsidRPr="003237C5" w:rsidRDefault="00F56BC1" w:rsidP="00F56BC1">
            <w:pPr>
              <w:rPr>
                <w:lang w:eastAsia="en-AU"/>
              </w:rPr>
            </w:pPr>
            <w:r w:rsidRPr="003237C5">
              <w:rPr>
                <w:lang w:eastAsia="en-AU"/>
              </w:rPr>
              <w:t xml:space="preserve">Law, Economics, Business, Humanities, Maths/Statistics, Social Science, Education, Computing, Architecture, Design, Nursing, Arts, Science (non-lab-based) </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8AC3F93" w14:textId="77777777" w:rsidR="00F56BC1" w:rsidRPr="003237C5" w:rsidRDefault="00F56BC1" w:rsidP="00F56BC1">
            <w:pPr>
              <w:jc w:val="right"/>
              <w:rPr>
                <w:lang w:eastAsia="en-AU"/>
              </w:rPr>
            </w:pPr>
            <w:r w:rsidRPr="003237C5">
              <w:rPr>
                <w:lang w:eastAsia="en-AU"/>
              </w:rPr>
              <w:t>$</w:t>
            </w:r>
            <w:r w:rsidR="00425F88" w:rsidRPr="003237C5">
              <w:rPr>
                <w:lang w:eastAsia="en-AU"/>
              </w:rPr>
              <w:t>9,242</w:t>
            </w:r>
            <w:r w:rsidRPr="003237C5">
              <w:rPr>
                <w:lang w:eastAsia="en-AU"/>
              </w:rPr>
              <w:t xml:space="preserve"> </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0FBFAB" w14:textId="77777777" w:rsidR="00F56BC1" w:rsidRPr="003237C5" w:rsidRDefault="00F56BC1" w:rsidP="00F56BC1">
            <w:pPr>
              <w:jc w:val="right"/>
              <w:rPr>
                <w:lang w:eastAsia="en-AU"/>
              </w:rPr>
            </w:pPr>
            <w:r w:rsidRPr="003237C5">
              <w:rPr>
                <w:lang w:eastAsia="en-AU"/>
              </w:rPr>
              <w:t>$</w:t>
            </w:r>
            <w:r w:rsidR="00425F88" w:rsidRPr="003237C5">
              <w:rPr>
                <w:lang w:eastAsia="en-AU"/>
              </w:rPr>
              <w:t>11,026</w:t>
            </w:r>
          </w:p>
        </w:tc>
      </w:tr>
      <w:tr w:rsidR="00F56BC1" w:rsidRPr="003237C5" w14:paraId="46B4A03F"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922C4D" w14:textId="77777777" w:rsidR="00F56BC1" w:rsidRPr="003237C5" w:rsidRDefault="00F56BC1" w:rsidP="00F56BC1">
            <w:pPr>
              <w:jc w:val="center"/>
              <w:rPr>
                <w:lang w:eastAsia="en-AU"/>
              </w:rPr>
            </w:pPr>
            <w:r w:rsidRPr="003237C5">
              <w:rPr>
                <w:b/>
                <w:bCs/>
                <w:lang w:eastAsia="en-AU"/>
              </w:rPr>
              <w:t>3.</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BA4450" w14:textId="77777777" w:rsidR="00F56BC1" w:rsidRPr="003237C5" w:rsidRDefault="00F56BC1" w:rsidP="00F56BC1">
            <w:pPr>
              <w:rPr>
                <w:lang w:eastAsia="en-AU"/>
              </w:rPr>
            </w:pPr>
            <w:r w:rsidRPr="003237C5">
              <w:rPr>
                <w:lang w:eastAsia="en-AU"/>
              </w:rPr>
              <w:t xml:space="preserve">Science (lab-based), Paramedical, Engineering, Pharmacy, Agriculture </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8DB8FB3" w14:textId="77777777" w:rsidR="00F56BC1" w:rsidRPr="003237C5" w:rsidRDefault="00F56BC1" w:rsidP="00F56BC1">
            <w:pPr>
              <w:jc w:val="right"/>
              <w:rPr>
                <w:lang w:eastAsia="en-AU"/>
              </w:rPr>
            </w:pPr>
            <w:r w:rsidRPr="003237C5">
              <w:rPr>
                <w:lang w:eastAsia="en-AU"/>
              </w:rPr>
              <w:t>$1</w:t>
            </w:r>
            <w:r w:rsidR="00425F88" w:rsidRPr="003237C5">
              <w:rPr>
                <w:lang w:eastAsia="en-AU"/>
              </w:rPr>
              <w:t>3,954</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248950" w14:textId="77777777" w:rsidR="00F56BC1" w:rsidRPr="003237C5" w:rsidRDefault="00F56BC1" w:rsidP="00F56BC1">
            <w:pPr>
              <w:jc w:val="right"/>
              <w:rPr>
                <w:lang w:eastAsia="en-AU"/>
              </w:rPr>
            </w:pPr>
            <w:r w:rsidRPr="003237C5">
              <w:rPr>
                <w:lang w:eastAsia="en-AU"/>
              </w:rPr>
              <w:t>$1</w:t>
            </w:r>
            <w:r w:rsidR="00425F88" w:rsidRPr="003237C5">
              <w:rPr>
                <w:lang w:eastAsia="en-AU"/>
              </w:rPr>
              <w:t>6,490</w:t>
            </w:r>
          </w:p>
        </w:tc>
      </w:tr>
      <w:tr w:rsidR="00F56BC1" w:rsidRPr="003237C5" w14:paraId="7A3B21E5"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747717" w14:textId="77777777" w:rsidR="00F56BC1" w:rsidRPr="003237C5" w:rsidRDefault="00F56BC1" w:rsidP="00F56BC1">
            <w:pPr>
              <w:jc w:val="center"/>
              <w:rPr>
                <w:lang w:eastAsia="en-AU"/>
              </w:rPr>
            </w:pPr>
            <w:r w:rsidRPr="003237C5">
              <w:rPr>
                <w:b/>
                <w:bCs/>
                <w:lang w:eastAsia="en-AU"/>
              </w:rPr>
              <w:t>4.</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097DE8" w14:textId="77777777" w:rsidR="00F56BC1" w:rsidRPr="003237C5" w:rsidRDefault="00F56BC1" w:rsidP="00F56BC1">
            <w:pPr>
              <w:rPr>
                <w:lang w:eastAsia="en-AU"/>
              </w:rPr>
            </w:pPr>
            <w:r w:rsidRPr="003237C5">
              <w:rPr>
                <w:lang w:eastAsia="en-AU"/>
              </w:rPr>
              <w:t>Medicine, Dentistry, Veterinary Science</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2FEADF" w14:textId="77777777" w:rsidR="00F56BC1" w:rsidRPr="003237C5" w:rsidRDefault="00F56BC1" w:rsidP="00F56BC1">
            <w:pPr>
              <w:jc w:val="right"/>
              <w:rPr>
                <w:lang w:eastAsia="en-AU"/>
              </w:rPr>
            </w:pPr>
            <w:r w:rsidRPr="003237C5">
              <w:rPr>
                <w:lang w:eastAsia="en-AU"/>
              </w:rPr>
              <w:t>$1</w:t>
            </w:r>
            <w:r w:rsidR="00425F88" w:rsidRPr="003237C5">
              <w:rPr>
                <w:lang w:eastAsia="en-AU"/>
              </w:rPr>
              <w:t>9,297</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5252B1" w14:textId="77777777" w:rsidR="00F56BC1" w:rsidRPr="003237C5" w:rsidRDefault="00F56BC1" w:rsidP="00F56BC1">
            <w:pPr>
              <w:jc w:val="right"/>
              <w:rPr>
                <w:lang w:eastAsia="en-AU"/>
              </w:rPr>
            </w:pPr>
            <w:r w:rsidRPr="003237C5">
              <w:rPr>
                <w:lang w:eastAsia="en-AU"/>
              </w:rPr>
              <w:t>$2</w:t>
            </w:r>
            <w:r w:rsidR="00425F88" w:rsidRPr="003237C5">
              <w:rPr>
                <w:lang w:eastAsia="en-AU"/>
              </w:rPr>
              <w:t>2,712</w:t>
            </w:r>
          </w:p>
        </w:tc>
      </w:tr>
      <w:tr w:rsidR="00F56BC1" w:rsidRPr="003237C5" w14:paraId="7322B7FF"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9046FA" w14:textId="77777777" w:rsidR="00F56BC1" w:rsidRPr="003237C5" w:rsidRDefault="00F56BC1" w:rsidP="00F56BC1">
            <w:pPr>
              <w:rPr>
                <w:b/>
                <w:bCs/>
                <w:lang w:eastAsia="en-AU"/>
              </w:rPr>
            </w:pPr>
          </w:p>
          <w:p w14:paraId="3EFFB72B" w14:textId="77777777" w:rsidR="00F56BC1" w:rsidRPr="003237C5" w:rsidRDefault="00F56BC1" w:rsidP="00F56BC1">
            <w:pPr>
              <w:rPr>
                <w:lang w:eastAsia="en-AU"/>
              </w:rPr>
            </w:pPr>
            <w:r w:rsidRPr="003237C5">
              <w:rPr>
                <w:b/>
                <w:bCs/>
                <w:lang w:eastAsia="en-AU"/>
              </w:rPr>
              <w:t>EXTERNAL</w:t>
            </w:r>
            <w:r w:rsidRPr="003237C5">
              <w:rPr>
                <w:lang w:eastAsia="en-AU"/>
              </w:rPr>
              <w:t>  </w:t>
            </w:r>
          </w:p>
        </w:tc>
      </w:tr>
      <w:tr w:rsidR="00F56BC1" w:rsidRPr="003237C5" w14:paraId="259BA8B3"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F9A780" w14:textId="77777777" w:rsidR="00F56BC1" w:rsidRPr="003237C5" w:rsidRDefault="00F56BC1" w:rsidP="00F56BC1">
            <w:pPr>
              <w:jc w:val="center"/>
              <w:rPr>
                <w:b/>
                <w:bCs/>
                <w:lang w:eastAsia="en-AU"/>
              </w:rPr>
            </w:pPr>
            <w:r w:rsidRPr="003237C5">
              <w:rPr>
                <w:b/>
                <w:bCs/>
                <w:lang w:eastAsia="en-AU"/>
              </w:rPr>
              <w:t xml:space="preserve">                                                                                       Fees weekly</w:t>
            </w:r>
          </w:p>
        </w:tc>
      </w:tr>
      <w:tr w:rsidR="00F56BC1" w:rsidRPr="003237C5" w14:paraId="599DC3D5"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A3B4A4" w14:textId="77777777" w:rsidR="00F56BC1" w:rsidRPr="003237C5" w:rsidRDefault="00F56BC1" w:rsidP="00F56BC1">
            <w:pPr>
              <w:jc w:val="center"/>
              <w:rPr>
                <w:lang w:eastAsia="en-AU"/>
              </w:rPr>
            </w:pPr>
            <w:r w:rsidRPr="003237C5">
              <w:rPr>
                <w:b/>
                <w:bCs/>
                <w:lang w:eastAsia="en-AU"/>
              </w:rPr>
              <w:t>E1.</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655DAB6" w14:textId="77777777" w:rsidR="00F56BC1" w:rsidRPr="003237C5" w:rsidRDefault="00F56BC1" w:rsidP="00F56BC1">
            <w:pPr>
              <w:rPr>
                <w:lang w:eastAsia="en-AU"/>
              </w:rPr>
            </w:pPr>
            <w:r w:rsidRPr="003237C5">
              <w:rPr>
                <w:lang w:eastAsia="en-AU"/>
              </w:rPr>
              <w:t>ELICOS (fees/weekly)</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B43782" w14:textId="77777777" w:rsidR="00F56BC1" w:rsidRPr="003237C5" w:rsidRDefault="00F56BC1" w:rsidP="00F56BC1">
            <w:pPr>
              <w:jc w:val="right"/>
              <w:rPr>
                <w:lang w:eastAsia="en-AU"/>
              </w:rPr>
            </w:pPr>
            <w:r w:rsidRPr="003237C5">
              <w:rPr>
                <w:lang w:eastAsia="en-AU"/>
              </w:rPr>
              <w:t>$2</w:t>
            </w:r>
            <w:r w:rsidR="00425F88" w:rsidRPr="003237C5">
              <w:rPr>
                <w:lang w:eastAsia="en-AU"/>
              </w:rPr>
              <w:t>69</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AC24355" w14:textId="77777777" w:rsidR="00F56BC1" w:rsidRPr="003237C5" w:rsidRDefault="00F56BC1" w:rsidP="00F56BC1">
            <w:pPr>
              <w:jc w:val="right"/>
              <w:rPr>
                <w:lang w:eastAsia="en-AU"/>
              </w:rPr>
            </w:pPr>
            <w:r w:rsidRPr="003237C5">
              <w:rPr>
                <w:lang w:eastAsia="en-AU"/>
              </w:rPr>
              <w:t>$2</w:t>
            </w:r>
            <w:r w:rsidR="00425F88" w:rsidRPr="003237C5">
              <w:rPr>
                <w:lang w:eastAsia="en-AU"/>
              </w:rPr>
              <w:t>93</w:t>
            </w:r>
          </w:p>
        </w:tc>
      </w:tr>
      <w:tr w:rsidR="00F56BC1" w:rsidRPr="003237C5" w14:paraId="52FF7ED9" w14:textId="77777777" w:rsidTr="0040756F">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6EA5D0" w14:textId="77777777" w:rsidR="00F56BC1" w:rsidRPr="003237C5" w:rsidRDefault="00F56BC1" w:rsidP="00F56BC1">
            <w:pPr>
              <w:jc w:val="center"/>
              <w:rPr>
                <w:b/>
                <w:bCs/>
                <w:lang w:eastAsia="en-AU"/>
              </w:rPr>
            </w:pPr>
            <w:r w:rsidRPr="003237C5">
              <w:rPr>
                <w:b/>
                <w:bCs/>
                <w:lang w:eastAsia="en-AU"/>
              </w:rPr>
              <w:t xml:space="preserve">                                                                                      Fees per year</w:t>
            </w:r>
          </w:p>
          <w:p w14:paraId="73DBD176" w14:textId="77777777" w:rsidR="00F56BC1" w:rsidRPr="003237C5" w:rsidRDefault="00F56BC1" w:rsidP="00F56BC1">
            <w:pPr>
              <w:jc w:val="center"/>
              <w:rPr>
                <w:lang w:eastAsia="en-AU"/>
              </w:rPr>
            </w:pPr>
            <w:r w:rsidRPr="003237C5">
              <w:rPr>
                <w:b/>
                <w:bCs/>
                <w:lang w:eastAsia="en-AU"/>
              </w:rPr>
              <w:t xml:space="preserve">                                                                                        (Equivalent Full-time)</w:t>
            </w:r>
          </w:p>
        </w:tc>
      </w:tr>
      <w:tr w:rsidR="00F56BC1" w:rsidRPr="003237C5" w14:paraId="4BAFAA85"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B222B9" w14:textId="77777777" w:rsidR="00F56BC1" w:rsidRPr="003237C5" w:rsidRDefault="00F56BC1" w:rsidP="00F56BC1">
            <w:pPr>
              <w:jc w:val="center"/>
              <w:rPr>
                <w:lang w:eastAsia="en-AU"/>
              </w:rPr>
            </w:pPr>
            <w:r w:rsidRPr="003237C5">
              <w:rPr>
                <w:b/>
                <w:bCs/>
                <w:lang w:eastAsia="en-AU"/>
              </w:rPr>
              <w:t>E2.</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EAEF86" w14:textId="77777777" w:rsidR="00F56BC1" w:rsidRPr="003237C5" w:rsidRDefault="00F56BC1" w:rsidP="00F56BC1">
            <w:pPr>
              <w:rPr>
                <w:lang w:eastAsia="en-AU"/>
              </w:rPr>
            </w:pPr>
            <w:r w:rsidRPr="003237C5">
              <w:rPr>
                <w:lang w:eastAsia="en-AU"/>
              </w:rPr>
              <w:t>Law, Economics, Business, Humanities, Maths/Statistics, Social Science, Education, Computing, Architecture, Design, Nursing, Arts, Science (non-lab-based)</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F392C4" w14:textId="77777777" w:rsidR="00F56BC1" w:rsidRPr="003237C5" w:rsidRDefault="00F56BC1" w:rsidP="00F56BC1">
            <w:pPr>
              <w:jc w:val="right"/>
              <w:rPr>
                <w:lang w:eastAsia="en-AU"/>
              </w:rPr>
            </w:pPr>
            <w:r w:rsidRPr="003237C5">
              <w:rPr>
                <w:lang w:eastAsia="en-AU"/>
              </w:rPr>
              <w:t>$</w:t>
            </w:r>
            <w:r w:rsidR="00425F88" w:rsidRPr="003237C5">
              <w:rPr>
                <w:lang w:eastAsia="en-AU"/>
              </w:rPr>
              <w:t>9,242</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522DB0" w14:textId="77777777" w:rsidR="00F56BC1" w:rsidRPr="003237C5" w:rsidRDefault="00F56BC1" w:rsidP="00F56BC1">
            <w:pPr>
              <w:jc w:val="right"/>
              <w:rPr>
                <w:lang w:eastAsia="en-AU"/>
              </w:rPr>
            </w:pPr>
            <w:r w:rsidRPr="003237C5">
              <w:rPr>
                <w:lang w:eastAsia="en-AU"/>
              </w:rPr>
              <w:t>$</w:t>
            </w:r>
            <w:r w:rsidR="00425F88" w:rsidRPr="003237C5">
              <w:rPr>
                <w:lang w:eastAsia="en-AU"/>
              </w:rPr>
              <w:t>9,741</w:t>
            </w:r>
          </w:p>
        </w:tc>
      </w:tr>
      <w:tr w:rsidR="00F56BC1" w:rsidRPr="003237C5" w14:paraId="040ABB74" w14:textId="77777777" w:rsidTr="0040756F">
        <w:trPr>
          <w:tblCellSpacing w:w="0" w:type="dxa"/>
        </w:trPr>
        <w:tc>
          <w:tcPr>
            <w:tcW w:w="6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2D88F5" w14:textId="77777777" w:rsidR="00F56BC1" w:rsidRPr="003237C5" w:rsidRDefault="00F56BC1" w:rsidP="00F56BC1">
            <w:pPr>
              <w:jc w:val="center"/>
              <w:rPr>
                <w:lang w:eastAsia="en-AU"/>
              </w:rPr>
            </w:pPr>
            <w:r w:rsidRPr="003237C5">
              <w:rPr>
                <w:b/>
                <w:bCs/>
                <w:lang w:eastAsia="en-AU"/>
              </w:rPr>
              <w:t>E3.</w:t>
            </w:r>
          </w:p>
        </w:tc>
        <w:tc>
          <w:tcPr>
            <w:tcW w:w="24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EBF446" w14:textId="77777777" w:rsidR="00F56BC1" w:rsidRPr="003237C5" w:rsidRDefault="00F56BC1" w:rsidP="00F56BC1">
            <w:pPr>
              <w:rPr>
                <w:lang w:eastAsia="en-AU"/>
              </w:rPr>
            </w:pPr>
            <w:r w:rsidRPr="003237C5">
              <w:rPr>
                <w:lang w:eastAsia="en-AU"/>
              </w:rPr>
              <w:t>Science (lab-based), Paramedical, Engineering, Pharmacy, Agriculture</w:t>
            </w:r>
          </w:p>
        </w:tc>
        <w:tc>
          <w:tcPr>
            <w:tcW w:w="8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06F007" w14:textId="77777777" w:rsidR="00F56BC1" w:rsidRPr="003237C5" w:rsidRDefault="00F56BC1" w:rsidP="00F56BC1">
            <w:pPr>
              <w:jc w:val="right"/>
              <w:rPr>
                <w:lang w:eastAsia="en-AU"/>
              </w:rPr>
            </w:pPr>
            <w:r w:rsidRPr="003237C5">
              <w:rPr>
                <w:lang w:eastAsia="en-AU"/>
              </w:rPr>
              <w:t>$</w:t>
            </w:r>
            <w:r w:rsidR="00425F88" w:rsidRPr="003237C5">
              <w:rPr>
                <w:lang w:eastAsia="en-AU"/>
              </w:rPr>
              <w:t>13,954</w:t>
            </w:r>
          </w:p>
        </w:tc>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332B23" w14:textId="77777777" w:rsidR="00F56BC1" w:rsidRPr="003237C5" w:rsidRDefault="00F56BC1" w:rsidP="00F56BC1">
            <w:pPr>
              <w:jc w:val="right"/>
              <w:rPr>
                <w:lang w:eastAsia="en-AU"/>
              </w:rPr>
            </w:pPr>
            <w:r w:rsidRPr="003237C5">
              <w:rPr>
                <w:lang w:eastAsia="en-AU"/>
              </w:rPr>
              <w:t>$</w:t>
            </w:r>
            <w:r w:rsidR="00425F88" w:rsidRPr="003237C5">
              <w:rPr>
                <w:lang w:eastAsia="en-AU"/>
              </w:rPr>
              <w:t>14,633</w:t>
            </w:r>
          </w:p>
        </w:tc>
      </w:tr>
    </w:tbl>
    <w:p w14:paraId="2AC60D89" w14:textId="77777777" w:rsidR="00F56BC1" w:rsidRPr="003237C5" w:rsidRDefault="00F56BC1" w:rsidP="00F56BC1">
      <w:pPr>
        <w:rPr>
          <w:rFonts w:ascii="Times New Roman" w:hAnsi="Times New Roman" w:cs="Times New Roman"/>
          <w:sz w:val="24"/>
          <w:szCs w:val="24"/>
          <w:lang w:eastAsia="en-AU"/>
        </w:rPr>
      </w:pPr>
    </w:p>
    <w:p w14:paraId="0B0203AF" w14:textId="77777777" w:rsidR="00F56BC1" w:rsidRPr="003237C5" w:rsidRDefault="005A12F5" w:rsidP="00F56BC1">
      <w:pPr>
        <w:ind w:left="1200" w:hanging="1200"/>
      </w:pPr>
      <w:r w:rsidRPr="003237C5">
        <w:t>6</w:t>
      </w:r>
      <w:r w:rsidR="00F56BC1" w:rsidRPr="003237C5">
        <w:t xml:space="preserve">.15.5 </w:t>
      </w:r>
      <w:r w:rsidR="00F56BC1" w:rsidRPr="003237C5">
        <w:tab/>
        <w:t xml:space="preserve">Amounts in paragraph </w:t>
      </w:r>
      <w:r w:rsidRPr="003237C5">
        <w:t>6</w:t>
      </w:r>
      <w:r w:rsidR="00F56BC1" w:rsidRPr="003237C5">
        <w:t>.15.1 will be indexed each year after 20</w:t>
      </w:r>
      <w:r w:rsidRPr="003237C5">
        <w:t xml:space="preserve">12 </w:t>
      </w:r>
      <w:r w:rsidR="00F56BC1" w:rsidRPr="003237C5">
        <w:t xml:space="preserve">in accordance with the method of indexation set out in Division 198 of Part 5-6 of Chapter 5 of the </w:t>
      </w:r>
      <w:r w:rsidR="00F56BC1" w:rsidRPr="003237C5">
        <w:rPr>
          <w:i/>
          <w:iCs/>
        </w:rPr>
        <w:t>Act</w:t>
      </w:r>
      <w:r w:rsidR="00F56BC1" w:rsidRPr="003237C5">
        <w:t>.</w:t>
      </w:r>
    </w:p>
    <w:p w14:paraId="67540BEA" w14:textId="77777777" w:rsidR="00F56BC1" w:rsidRPr="003237C5" w:rsidRDefault="00F56BC1" w:rsidP="00F56BC1">
      <w:pPr>
        <w:autoSpaceDE w:val="0"/>
        <w:autoSpaceDN w:val="0"/>
        <w:adjustRightInd w:val="0"/>
        <w:rPr>
          <w:lang w:eastAsia="en-AU"/>
        </w:rPr>
      </w:pPr>
    </w:p>
    <w:p w14:paraId="1E5A0AD1" w14:textId="77777777" w:rsidR="00F56BC1" w:rsidRPr="003237C5" w:rsidRDefault="00F56BC1" w:rsidP="00F56BC1">
      <w:pPr>
        <w:pStyle w:val="Heading1"/>
        <w:rPr>
          <w:u w:val="single"/>
        </w:rPr>
      </w:pPr>
      <w:r w:rsidRPr="003237C5">
        <w:rPr>
          <w:lang w:eastAsia="en-AU"/>
        </w:rPr>
        <w:br w:type="page"/>
      </w:r>
      <w:bookmarkStart w:id="21" w:name="_Toc93391328"/>
      <w:r w:rsidRPr="003237C5">
        <w:rPr>
          <w:u w:val="single"/>
        </w:rPr>
        <w:t xml:space="preserve">CHAPTER </w:t>
      </w:r>
      <w:r w:rsidR="005A12F5" w:rsidRPr="003237C5">
        <w:rPr>
          <w:u w:val="single"/>
        </w:rPr>
        <w:t>7</w:t>
      </w:r>
      <w:r w:rsidRPr="003237C5">
        <w:rPr>
          <w:u w:val="single"/>
        </w:rPr>
        <w:tab/>
        <w:t>FEES FOR GOODS AND SERVICES INCIDENTAL TO STUDIES</w:t>
      </w:r>
      <w:bookmarkEnd w:id="21"/>
    </w:p>
    <w:p w14:paraId="7F5DC299" w14:textId="77777777" w:rsidR="00F56BC1" w:rsidRPr="003237C5" w:rsidRDefault="00F56BC1" w:rsidP="00F56BC1">
      <w:pPr>
        <w:pStyle w:val="Heading1"/>
        <w:rPr>
          <w:lang w:eastAsia="en-AU"/>
        </w:rPr>
      </w:pPr>
    </w:p>
    <w:p w14:paraId="4AFF5D25" w14:textId="77777777" w:rsidR="00F56BC1" w:rsidRPr="003237C5" w:rsidRDefault="005A12F5" w:rsidP="00F56BC1">
      <w:pPr>
        <w:autoSpaceDE w:val="0"/>
        <w:autoSpaceDN w:val="0"/>
        <w:adjustRightInd w:val="0"/>
        <w:rPr>
          <w:b/>
          <w:bCs/>
          <w:lang w:eastAsia="en-AU"/>
        </w:rPr>
      </w:pPr>
      <w:r w:rsidRPr="003237C5">
        <w:rPr>
          <w:b/>
          <w:bCs/>
          <w:lang w:eastAsia="en-AU"/>
        </w:rPr>
        <w:t>7</w:t>
      </w:r>
      <w:r w:rsidR="00F56BC1" w:rsidRPr="003237C5">
        <w:rPr>
          <w:b/>
          <w:bCs/>
          <w:lang w:eastAsia="en-AU"/>
        </w:rPr>
        <w:t xml:space="preserve">.1 </w:t>
      </w:r>
      <w:r w:rsidR="00F56BC1" w:rsidRPr="003237C5">
        <w:rPr>
          <w:b/>
          <w:bCs/>
          <w:lang w:eastAsia="en-AU"/>
        </w:rPr>
        <w:tab/>
        <w:t>PURPOSE</w:t>
      </w:r>
    </w:p>
    <w:p w14:paraId="41A52E21" w14:textId="77777777" w:rsidR="00F56BC1" w:rsidRPr="003237C5" w:rsidRDefault="00F56BC1" w:rsidP="00F56BC1">
      <w:pPr>
        <w:autoSpaceDE w:val="0"/>
        <w:autoSpaceDN w:val="0"/>
        <w:adjustRightInd w:val="0"/>
        <w:rPr>
          <w:b/>
          <w:bCs/>
          <w:lang w:eastAsia="en-AU"/>
        </w:rPr>
      </w:pPr>
    </w:p>
    <w:p w14:paraId="78E79215" w14:textId="77777777" w:rsidR="00F56BC1" w:rsidRPr="003237C5" w:rsidRDefault="005A12F5" w:rsidP="00EC0D33">
      <w:pPr>
        <w:autoSpaceDE w:val="0"/>
        <w:autoSpaceDN w:val="0"/>
        <w:adjustRightInd w:val="0"/>
        <w:ind w:left="709" w:hanging="709"/>
        <w:rPr>
          <w:lang w:eastAsia="en-AU"/>
        </w:rPr>
      </w:pPr>
      <w:r w:rsidRPr="003237C5">
        <w:rPr>
          <w:lang w:eastAsia="en-AU"/>
        </w:rPr>
        <w:t>7</w:t>
      </w:r>
      <w:r w:rsidR="00F56BC1" w:rsidRPr="003237C5">
        <w:rPr>
          <w:lang w:eastAsia="en-AU"/>
        </w:rPr>
        <w:t>.1.1</w:t>
      </w:r>
      <w:r w:rsidR="00F56BC1" w:rsidRPr="003237C5">
        <w:rPr>
          <w:lang w:eastAsia="en-AU"/>
        </w:rPr>
        <w:tab/>
        <w:t xml:space="preserve">The purpose of this chapter is to specify the criteria for determining whether a fee is of a kind referred to in paragraph 19-102(3)(f) of the </w:t>
      </w:r>
      <w:r w:rsidR="00F56BC1" w:rsidRPr="003237C5">
        <w:rPr>
          <w:i/>
          <w:iCs/>
          <w:lang w:eastAsia="en-AU"/>
        </w:rPr>
        <w:t>Act</w:t>
      </w:r>
      <w:r w:rsidR="00F56BC1" w:rsidRPr="003237C5">
        <w:rPr>
          <w:lang w:eastAsia="en-AU"/>
        </w:rPr>
        <w:t xml:space="preserve">.  </w:t>
      </w:r>
    </w:p>
    <w:p w14:paraId="66DC379F" w14:textId="77777777" w:rsidR="00F56BC1" w:rsidRPr="003237C5" w:rsidRDefault="00F56BC1" w:rsidP="00F56BC1">
      <w:pPr>
        <w:autoSpaceDE w:val="0"/>
        <w:autoSpaceDN w:val="0"/>
        <w:adjustRightInd w:val="0"/>
        <w:rPr>
          <w:b/>
          <w:bCs/>
          <w:lang w:eastAsia="en-AU"/>
        </w:rPr>
      </w:pPr>
    </w:p>
    <w:p w14:paraId="294EC2AD" w14:textId="77777777" w:rsidR="00F56BC1" w:rsidRPr="003237C5" w:rsidRDefault="005A12F5" w:rsidP="00F56BC1">
      <w:pPr>
        <w:autoSpaceDE w:val="0"/>
        <w:autoSpaceDN w:val="0"/>
        <w:adjustRightInd w:val="0"/>
        <w:ind w:left="600" w:hanging="600"/>
        <w:rPr>
          <w:b/>
          <w:bCs/>
          <w:lang w:eastAsia="en-AU"/>
        </w:rPr>
      </w:pPr>
      <w:r w:rsidRPr="003237C5">
        <w:rPr>
          <w:b/>
          <w:bCs/>
          <w:lang w:eastAsia="en-AU"/>
        </w:rPr>
        <w:t>7</w:t>
      </w:r>
      <w:r w:rsidR="00F56BC1" w:rsidRPr="003237C5">
        <w:rPr>
          <w:b/>
          <w:bCs/>
          <w:lang w:eastAsia="en-AU"/>
        </w:rPr>
        <w:t xml:space="preserve">.5 </w:t>
      </w:r>
      <w:r w:rsidR="00F56BC1" w:rsidRPr="003237C5">
        <w:rPr>
          <w:b/>
          <w:bCs/>
          <w:lang w:eastAsia="en-AU"/>
        </w:rPr>
        <w:tab/>
        <w:t>FEE OF A KIND THAT IS INCIDENTAL TO STUDIES THAT MAY BE UNDERTAKEN WITH A HIGHER EDUCATION PROVIDER</w:t>
      </w:r>
    </w:p>
    <w:p w14:paraId="4D8F409C" w14:textId="77777777" w:rsidR="00F56BC1" w:rsidRPr="003237C5" w:rsidRDefault="00F56BC1" w:rsidP="00F56BC1">
      <w:pPr>
        <w:autoSpaceDE w:val="0"/>
        <w:autoSpaceDN w:val="0"/>
        <w:adjustRightInd w:val="0"/>
        <w:rPr>
          <w:b/>
          <w:bCs/>
          <w:lang w:eastAsia="en-AU"/>
        </w:rPr>
      </w:pPr>
    </w:p>
    <w:p w14:paraId="0BAE91BE" w14:textId="77777777" w:rsidR="00F56BC1" w:rsidRPr="003237C5" w:rsidRDefault="005A12F5" w:rsidP="00A260ED">
      <w:pPr>
        <w:autoSpaceDE w:val="0"/>
        <w:autoSpaceDN w:val="0"/>
        <w:adjustRightInd w:val="0"/>
        <w:spacing w:after="120"/>
        <w:ind w:left="709" w:hanging="709"/>
        <w:rPr>
          <w:lang w:eastAsia="en-AU"/>
        </w:rPr>
      </w:pPr>
      <w:r w:rsidRPr="003237C5">
        <w:rPr>
          <w:lang w:eastAsia="en-AU"/>
        </w:rPr>
        <w:t>7</w:t>
      </w:r>
      <w:r w:rsidR="00F56BC1" w:rsidRPr="003237C5">
        <w:rPr>
          <w:lang w:eastAsia="en-AU"/>
        </w:rPr>
        <w:t>.5.1</w:t>
      </w:r>
      <w:r w:rsidR="00F56BC1" w:rsidRPr="003237C5">
        <w:rPr>
          <w:lang w:eastAsia="en-AU"/>
        </w:rPr>
        <w:tab/>
        <w:t xml:space="preserve">Provided that its payment is in accordance with the </w:t>
      </w:r>
      <w:r w:rsidR="00F56BC1" w:rsidRPr="003237C5">
        <w:rPr>
          <w:i/>
          <w:iCs/>
          <w:lang w:eastAsia="en-AU"/>
        </w:rPr>
        <w:t>Act</w:t>
      </w:r>
      <w:r w:rsidR="00F56BC1" w:rsidRPr="003237C5">
        <w:rPr>
          <w:lang w:eastAsia="en-AU"/>
        </w:rPr>
        <w:t>, a fee is of a kind that is incidental to studies that may be undertaken with a higher education provider if it falls into any one or more of the following categories:</w:t>
      </w:r>
    </w:p>
    <w:p w14:paraId="4319DD2C" w14:textId="77777777" w:rsidR="00EC0D33" w:rsidRPr="003237C5" w:rsidRDefault="006D5459" w:rsidP="006D5459">
      <w:pPr>
        <w:autoSpaceDE w:val="0"/>
        <w:autoSpaceDN w:val="0"/>
        <w:adjustRightInd w:val="0"/>
        <w:spacing w:after="120"/>
        <w:ind w:left="1069" w:hanging="360"/>
        <w:rPr>
          <w:lang w:eastAsia="en-AU"/>
        </w:rPr>
      </w:pPr>
      <w:r w:rsidRPr="003237C5">
        <w:rPr>
          <w:lang w:eastAsia="en-AU"/>
        </w:rPr>
        <w:t>(a)</w:t>
      </w:r>
      <w:r w:rsidRPr="003237C5">
        <w:rPr>
          <w:lang w:eastAsia="en-AU"/>
        </w:rPr>
        <w:tab/>
      </w:r>
      <w:r w:rsidR="00F56BC1" w:rsidRPr="003237C5">
        <w:rPr>
          <w:lang w:eastAsia="en-AU"/>
        </w:rPr>
        <w:t>It is a charge for a good or service that is not essential to the course of study.</w:t>
      </w:r>
    </w:p>
    <w:p w14:paraId="5246AED6" w14:textId="77777777" w:rsidR="00EC0D33" w:rsidRPr="003237C5" w:rsidRDefault="006D5459" w:rsidP="006D5459">
      <w:pPr>
        <w:autoSpaceDE w:val="0"/>
        <w:autoSpaceDN w:val="0"/>
        <w:adjustRightInd w:val="0"/>
        <w:spacing w:after="120"/>
        <w:ind w:left="1069" w:hanging="360"/>
        <w:rPr>
          <w:lang w:eastAsia="en-AU"/>
        </w:rPr>
      </w:pPr>
      <w:r w:rsidRPr="003237C5">
        <w:rPr>
          <w:lang w:eastAsia="en-AU"/>
        </w:rPr>
        <w:t>(b)</w:t>
      </w:r>
      <w:r w:rsidRPr="003237C5">
        <w:rPr>
          <w:lang w:eastAsia="en-AU"/>
        </w:rPr>
        <w:tab/>
      </w:r>
      <w:r w:rsidR="00F56BC1" w:rsidRPr="003237C5">
        <w:rPr>
          <w:lang w:eastAsia="en-AU"/>
        </w:rPr>
        <w:t>It is a charge for an alternative form, or alternative forms, of access to a good or service that is an essential component of the course of stud</w:t>
      </w:r>
      <w:r w:rsidR="00A260ED" w:rsidRPr="003237C5">
        <w:rPr>
          <w:lang w:eastAsia="en-AU"/>
        </w:rPr>
        <w:t xml:space="preserve">y but is otherwise made readily </w:t>
      </w:r>
      <w:r w:rsidR="00F56BC1" w:rsidRPr="003237C5">
        <w:rPr>
          <w:lang w:eastAsia="en-AU"/>
        </w:rPr>
        <w:t>available at no additional fee by the higher education provider.</w:t>
      </w:r>
      <w:r w:rsidR="00E45B3B" w:rsidRPr="003237C5">
        <w:rPr>
          <w:lang w:eastAsia="en-AU"/>
        </w:rPr>
        <w:t xml:space="preserve"> </w:t>
      </w:r>
    </w:p>
    <w:p w14:paraId="7CAE1703" w14:textId="77777777" w:rsidR="00F56BC1" w:rsidRPr="003237C5" w:rsidRDefault="006D5459" w:rsidP="006D5459">
      <w:pPr>
        <w:autoSpaceDE w:val="0"/>
        <w:autoSpaceDN w:val="0"/>
        <w:adjustRightInd w:val="0"/>
        <w:spacing w:after="120"/>
        <w:ind w:left="1069" w:hanging="360"/>
        <w:rPr>
          <w:lang w:eastAsia="en-AU"/>
        </w:rPr>
      </w:pPr>
      <w:r w:rsidRPr="003237C5">
        <w:rPr>
          <w:lang w:eastAsia="en-AU"/>
        </w:rPr>
        <w:t>(c)</w:t>
      </w:r>
      <w:r w:rsidRPr="003237C5">
        <w:rPr>
          <w:lang w:eastAsia="en-AU"/>
        </w:rPr>
        <w:tab/>
      </w:r>
      <w:r w:rsidR="00F56BC1" w:rsidRPr="003237C5">
        <w:rPr>
          <w:lang w:eastAsia="en-AU"/>
        </w:rPr>
        <w:t>It is a charge for an essential good or service that the student has the choice of acquiring from a supplier other than the higher education provider and is for:</w:t>
      </w:r>
    </w:p>
    <w:p w14:paraId="3DB5D509" w14:textId="77777777" w:rsidR="00EC0D33" w:rsidRPr="003237C5" w:rsidRDefault="006D5459" w:rsidP="006D5459">
      <w:pPr>
        <w:autoSpaceDE w:val="0"/>
        <w:autoSpaceDN w:val="0"/>
        <w:adjustRightInd w:val="0"/>
        <w:spacing w:after="120"/>
        <w:ind w:left="1495" w:hanging="360"/>
        <w:rPr>
          <w:lang w:eastAsia="en-AU"/>
        </w:rPr>
      </w:pPr>
      <w:r w:rsidRPr="003237C5">
        <w:rPr>
          <w:lang w:eastAsia="en-AU"/>
        </w:rPr>
        <w:t>(</w:t>
      </w:r>
      <w:proofErr w:type="spellStart"/>
      <w:r w:rsidRPr="003237C5">
        <w:rPr>
          <w:lang w:eastAsia="en-AU"/>
        </w:rPr>
        <w:t>i</w:t>
      </w:r>
      <w:proofErr w:type="spellEnd"/>
      <w:r w:rsidRPr="003237C5">
        <w:rPr>
          <w:lang w:eastAsia="en-AU"/>
        </w:rPr>
        <w:t>)</w:t>
      </w:r>
      <w:r w:rsidRPr="003237C5">
        <w:rPr>
          <w:lang w:eastAsia="en-AU"/>
        </w:rPr>
        <w:tab/>
      </w:r>
      <w:r w:rsidR="00F56BC1" w:rsidRPr="003237C5">
        <w:rPr>
          <w:lang w:eastAsia="en-AU"/>
        </w:rPr>
        <w:t xml:space="preserve">equipment or items which become the physical property of the student and are not consumed </w:t>
      </w:r>
      <w:proofErr w:type="gramStart"/>
      <w:r w:rsidR="00F56BC1" w:rsidRPr="003237C5">
        <w:rPr>
          <w:lang w:eastAsia="en-AU"/>
        </w:rPr>
        <w:t>during the course of</w:t>
      </w:r>
      <w:proofErr w:type="gramEnd"/>
      <w:r w:rsidR="00F56BC1" w:rsidRPr="003237C5">
        <w:rPr>
          <w:lang w:eastAsia="en-AU"/>
        </w:rPr>
        <w:t xml:space="preserve"> study; or</w:t>
      </w:r>
    </w:p>
    <w:p w14:paraId="03BA995C" w14:textId="77777777" w:rsidR="00F56BC1" w:rsidRPr="003237C5" w:rsidRDefault="006D5459" w:rsidP="006D5459">
      <w:pPr>
        <w:autoSpaceDE w:val="0"/>
        <w:autoSpaceDN w:val="0"/>
        <w:adjustRightInd w:val="0"/>
        <w:spacing w:after="120"/>
        <w:ind w:left="1495" w:hanging="360"/>
        <w:rPr>
          <w:lang w:eastAsia="en-AU"/>
        </w:rPr>
      </w:pPr>
      <w:r w:rsidRPr="003237C5">
        <w:rPr>
          <w:lang w:eastAsia="en-AU"/>
        </w:rPr>
        <w:t>(ii)</w:t>
      </w:r>
      <w:r w:rsidRPr="003237C5">
        <w:rPr>
          <w:lang w:eastAsia="en-AU"/>
        </w:rPr>
        <w:tab/>
      </w:r>
      <w:r w:rsidR="00F56BC1" w:rsidRPr="003237C5">
        <w:rPr>
          <w:lang w:eastAsia="en-AU"/>
        </w:rPr>
        <w:t xml:space="preserve">food, </w:t>
      </w:r>
      <w:proofErr w:type="gramStart"/>
      <w:r w:rsidR="00F56BC1" w:rsidRPr="003237C5">
        <w:rPr>
          <w:lang w:eastAsia="en-AU"/>
        </w:rPr>
        <w:t>transport</w:t>
      </w:r>
      <w:proofErr w:type="gramEnd"/>
      <w:r w:rsidR="00F56BC1" w:rsidRPr="003237C5">
        <w:rPr>
          <w:lang w:eastAsia="en-AU"/>
        </w:rPr>
        <w:t xml:space="preserve"> and accommodation costs associated with the provision of field trips that form part of the course of study.</w:t>
      </w:r>
    </w:p>
    <w:p w14:paraId="2899FECB" w14:textId="77777777" w:rsidR="00907AAC" w:rsidRPr="003237C5" w:rsidRDefault="006D5459" w:rsidP="006D5459">
      <w:pPr>
        <w:autoSpaceDE w:val="0"/>
        <w:autoSpaceDN w:val="0"/>
        <w:adjustRightInd w:val="0"/>
        <w:spacing w:after="120"/>
        <w:ind w:left="1069" w:hanging="360"/>
      </w:pPr>
      <w:r w:rsidRPr="003237C5">
        <w:t>(d)</w:t>
      </w:r>
      <w:r w:rsidRPr="003237C5">
        <w:tab/>
      </w:r>
      <w:r w:rsidR="00F56BC1" w:rsidRPr="003237C5">
        <w:rPr>
          <w:lang w:eastAsia="en-AU"/>
        </w:rPr>
        <w:t>It is a fine or a penalty</w:t>
      </w:r>
      <w:r w:rsidR="007F7842" w:rsidRPr="003237C5">
        <w:rPr>
          <w:lang w:eastAsia="en-AU"/>
        </w:rPr>
        <w:t>,</w:t>
      </w:r>
      <w:r w:rsidR="00F56BC1" w:rsidRPr="003237C5">
        <w:rPr>
          <w:lang w:eastAsia="en-AU"/>
        </w:rPr>
        <w:t xml:space="preserve"> provided it is imposed </w:t>
      </w:r>
      <w:r w:rsidR="003C1091" w:rsidRPr="003237C5">
        <w:rPr>
          <w:lang w:eastAsia="en-AU"/>
        </w:rPr>
        <w:t xml:space="preserve">by the higher education provider </w:t>
      </w:r>
      <w:r w:rsidR="00F56BC1" w:rsidRPr="003237C5">
        <w:rPr>
          <w:lang w:eastAsia="en-AU"/>
        </w:rPr>
        <w:t>principally as a disincentive</w:t>
      </w:r>
      <w:r w:rsidR="000538E2" w:rsidRPr="003237C5">
        <w:rPr>
          <w:lang w:eastAsia="en-AU"/>
        </w:rPr>
        <w:t xml:space="preserve"> </w:t>
      </w:r>
      <w:r w:rsidR="00F56BC1" w:rsidRPr="003237C5">
        <w:rPr>
          <w:lang w:eastAsia="en-AU"/>
        </w:rPr>
        <w:t xml:space="preserve">and not </w:t>
      </w:r>
      <w:proofErr w:type="gramStart"/>
      <w:r w:rsidR="00F56BC1" w:rsidRPr="003237C5">
        <w:rPr>
          <w:lang w:eastAsia="en-AU"/>
        </w:rPr>
        <w:t>in order to</w:t>
      </w:r>
      <w:proofErr w:type="gramEnd"/>
      <w:r w:rsidR="00F56BC1" w:rsidRPr="003237C5">
        <w:rPr>
          <w:lang w:eastAsia="en-AU"/>
        </w:rPr>
        <w:t xml:space="preserve"> raise revenu</w:t>
      </w:r>
      <w:r w:rsidR="007D1FAC" w:rsidRPr="003237C5">
        <w:rPr>
          <w:lang w:eastAsia="en-AU"/>
        </w:rPr>
        <w:t>e or cover administrative costs</w:t>
      </w:r>
      <w:r w:rsidR="00BE3C79" w:rsidRPr="003237C5">
        <w:rPr>
          <w:lang w:eastAsia="en-AU"/>
        </w:rPr>
        <w:t>.</w:t>
      </w:r>
      <w:r w:rsidR="00E45B3B" w:rsidRPr="003237C5">
        <w:rPr>
          <w:lang w:eastAsia="en-AU"/>
        </w:rPr>
        <w:t xml:space="preserve">  </w:t>
      </w:r>
    </w:p>
    <w:p w14:paraId="36D07735" w14:textId="1E6D71A2" w:rsidR="00C104FD" w:rsidRPr="003237C5" w:rsidRDefault="00C104FD" w:rsidP="00B84E8C">
      <w:pPr>
        <w:pStyle w:val="Heading1"/>
        <w:pageBreakBefore/>
        <w:ind w:left="1701" w:hanging="1701"/>
        <w:rPr>
          <w:u w:val="single"/>
        </w:rPr>
      </w:pPr>
      <w:bookmarkStart w:id="22" w:name="_Toc93391329"/>
      <w:bookmarkStart w:id="23" w:name="_Toc3370939"/>
      <w:r w:rsidRPr="003237C5">
        <w:rPr>
          <w:u w:val="single"/>
        </w:rPr>
        <w:t>CHAPTER 8</w:t>
      </w:r>
      <w:r w:rsidRPr="003237C5">
        <w:rPr>
          <w:u w:val="single"/>
        </w:rPr>
        <w:tab/>
        <w:t>QUALITY, ACCOUNTABILITY AND OTHER ADMINISTRATIVE REQUIREMENTS</w:t>
      </w:r>
      <w:bookmarkEnd w:id="22"/>
      <w:r w:rsidRPr="003237C5">
        <w:rPr>
          <w:u w:val="single"/>
        </w:rPr>
        <w:t xml:space="preserve"> </w:t>
      </w:r>
    </w:p>
    <w:p w14:paraId="7679EE56" w14:textId="33A3344E" w:rsidR="00C104FD" w:rsidRPr="003237C5" w:rsidRDefault="00C104FD" w:rsidP="00C104FD">
      <w:pPr>
        <w:pStyle w:val="ActHead5"/>
        <w:rPr>
          <w:rFonts w:ascii="Arial" w:hAnsi="Arial" w:cs="Arial"/>
          <w:sz w:val="22"/>
          <w:szCs w:val="22"/>
        </w:rPr>
      </w:pPr>
      <w:bookmarkStart w:id="24" w:name="_Toc3370940"/>
      <w:bookmarkEnd w:id="23"/>
      <w:proofErr w:type="gramStart"/>
      <w:r w:rsidRPr="003237C5">
        <w:rPr>
          <w:rStyle w:val="CharSectno"/>
          <w:rFonts w:ascii="Arial" w:hAnsi="Arial" w:cs="Arial"/>
          <w:sz w:val="22"/>
          <w:szCs w:val="22"/>
        </w:rPr>
        <w:t>8.1</w:t>
      </w:r>
      <w:r w:rsidRPr="003237C5">
        <w:rPr>
          <w:rFonts w:ascii="Arial" w:hAnsi="Arial" w:cs="Arial"/>
          <w:sz w:val="22"/>
          <w:szCs w:val="22"/>
        </w:rPr>
        <w:t xml:space="preserve">  Purpose</w:t>
      </w:r>
      <w:bookmarkEnd w:id="24"/>
      <w:proofErr w:type="gramEnd"/>
    </w:p>
    <w:p w14:paraId="3EB96163" w14:textId="69E081B1" w:rsidR="00C104FD" w:rsidRPr="003237C5" w:rsidRDefault="00C104FD" w:rsidP="00C104FD">
      <w:pPr>
        <w:pStyle w:val="subsection"/>
        <w:rPr>
          <w:rFonts w:ascii="Arial" w:hAnsi="Arial" w:cs="Arial"/>
          <w:szCs w:val="22"/>
        </w:rPr>
      </w:pPr>
      <w:r w:rsidRPr="003237C5">
        <w:rPr>
          <w:rFonts w:ascii="Arial" w:hAnsi="Arial" w:cs="Arial"/>
          <w:szCs w:val="22"/>
        </w:rPr>
        <w:tab/>
        <w:t>8.1.1</w:t>
      </w:r>
      <w:r w:rsidRPr="003237C5">
        <w:rPr>
          <w:rFonts w:ascii="Arial" w:hAnsi="Arial" w:cs="Arial"/>
          <w:szCs w:val="22"/>
        </w:rPr>
        <w:tab/>
        <w:t>The purpose of this chapter is to set out additional quality, accountability and other administrative requirements that apply to higher education providers.</w:t>
      </w:r>
    </w:p>
    <w:p w14:paraId="68D9EE73" w14:textId="77777777" w:rsidR="00C104FD" w:rsidRPr="003237C5" w:rsidRDefault="00C104FD" w:rsidP="00C104FD">
      <w:pPr>
        <w:pStyle w:val="ActHead5"/>
        <w:rPr>
          <w:rFonts w:ascii="Arial" w:hAnsi="Arial" w:cs="Arial"/>
          <w:sz w:val="22"/>
          <w:szCs w:val="22"/>
        </w:rPr>
      </w:pPr>
      <w:bookmarkStart w:id="25" w:name="_Toc3370941"/>
      <w:proofErr w:type="gramStart"/>
      <w:r w:rsidRPr="003237C5">
        <w:rPr>
          <w:rStyle w:val="CharSectno"/>
          <w:rFonts w:ascii="Arial" w:hAnsi="Arial" w:cs="Arial"/>
          <w:sz w:val="22"/>
          <w:szCs w:val="22"/>
        </w:rPr>
        <w:t>8.2</w:t>
      </w:r>
      <w:r w:rsidRPr="003237C5">
        <w:rPr>
          <w:rFonts w:ascii="Arial" w:hAnsi="Arial" w:cs="Arial"/>
          <w:sz w:val="22"/>
          <w:szCs w:val="22"/>
        </w:rPr>
        <w:t xml:space="preserve">  Financial</w:t>
      </w:r>
      <w:proofErr w:type="gramEnd"/>
      <w:r w:rsidRPr="003237C5">
        <w:rPr>
          <w:rFonts w:ascii="Arial" w:hAnsi="Arial" w:cs="Arial"/>
          <w:sz w:val="22"/>
          <w:szCs w:val="22"/>
        </w:rPr>
        <w:t xml:space="preserve"> statements</w:t>
      </w:r>
      <w:bookmarkEnd w:id="25"/>
    </w:p>
    <w:p w14:paraId="0B9DA9AB" w14:textId="5724CA2E" w:rsidR="00C104FD" w:rsidRPr="003237C5" w:rsidRDefault="00C104FD" w:rsidP="00C104FD">
      <w:pPr>
        <w:pStyle w:val="subsection"/>
        <w:rPr>
          <w:rFonts w:ascii="Arial" w:hAnsi="Arial" w:cs="Arial"/>
          <w:szCs w:val="22"/>
        </w:rPr>
      </w:pPr>
      <w:r w:rsidRPr="003237C5">
        <w:rPr>
          <w:rFonts w:ascii="Arial" w:hAnsi="Arial" w:cs="Arial"/>
          <w:szCs w:val="22"/>
        </w:rPr>
        <w:tab/>
        <w:t>8.2.1</w:t>
      </w:r>
      <w:r w:rsidRPr="003237C5">
        <w:rPr>
          <w:rFonts w:ascii="Arial" w:hAnsi="Arial" w:cs="Arial"/>
          <w:szCs w:val="22"/>
        </w:rPr>
        <w:tab/>
        <w:t>This section is made for the purposes of paragraph 19</w:t>
      </w:r>
      <w:r w:rsidRPr="003237C5">
        <w:rPr>
          <w:rFonts w:ascii="Arial" w:hAnsi="Arial" w:cs="Arial"/>
          <w:szCs w:val="22"/>
        </w:rPr>
        <w:noBreakHyphen/>
        <w:t>10(</w:t>
      </w:r>
      <w:proofErr w:type="gramStart"/>
      <w:r w:rsidRPr="003237C5">
        <w:rPr>
          <w:rFonts w:ascii="Arial" w:hAnsi="Arial" w:cs="Arial"/>
          <w:szCs w:val="22"/>
        </w:rPr>
        <w:t>2)(</w:t>
      </w:r>
      <w:proofErr w:type="gramEnd"/>
      <w:r w:rsidRPr="003237C5">
        <w:rPr>
          <w:rFonts w:ascii="Arial" w:hAnsi="Arial" w:cs="Arial"/>
          <w:szCs w:val="22"/>
        </w:rPr>
        <w:t xml:space="preserve">ab) of the </w:t>
      </w:r>
      <w:r w:rsidRPr="003237C5">
        <w:rPr>
          <w:rFonts w:ascii="Arial" w:hAnsi="Arial" w:cs="Arial"/>
          <w:i/>
          <w:szCs w:val="22"/>
        </w:rPr>
        <w:t>Act</w:t>
      </w:r>
      <w:r w:rsidR="009724F7" w:rsidRPr="003237C5">
        <w:rPr>
          <w:rFonts w:ascii="Arial" w:hAnsi="Arial" w:cs="Arial"/>
          <w:i/>
          <w:szCs w:val="22"/>
        </w:rPr>
        <w:t xml:space="preserve"> </w:t>
      </w:r>
      <w:r w:rsidR="009724F7" w:rsidRPr="003237C5">
        <w:rPr>
          <w:rFonts w:ascii="Arial" w:hAnsi="Arial" w:cs="Arial"/>
          <w:kern w:val="28"/>
          <w:szCs w:val="18"/>
        </w:rPr>
        <w:t xml:space="preserve">and only applies to higher education providers approved under section 16-25 of the </w:t>
      </w:r>
      <w:r w:rsidR="009724F7" w:rsidRPr="003237C5">
        <w:rPr>
          <w:rFonts w:ascii="Arial" w:hAnsi="Arial" w:cs="Arial"/>
          <w:i/>
          <w:iCs/>
          <w:kern w:val="28"/>
          <w:szCs w:val="18"/>
        </w:rPr>
        <w:t>Act</w:t>
      </w:r>
      <w:r w:rsidRPr="003237C5">
        <w:rPr>
          <w:rFonts w:ascii="Arial" w:hAnsi="Arial" w:cs="Arial"/>
          <w:szCs w:val="22"/>
        </w:rPr>
        <w:t>.</w:t>
      </w:r>
    </w:p>
    <w:p w14:paraId="3A82AA36" w14:textId="77777777" w:rsidR="00C104FD" w:rsidRPr="003237C5" w:rsidRDefault="00C104FD" w:rsidP="00C104FD">
      <w:pPr>
        <w:pStyle w:val="subsection"/>
        <w:rPr>
          <w:rFonts w:ascii="Arial" w:hAnsi="Arial" w:cs="Arial"/>
          <w:szCs w:val="22"/>
        </w:rPr>
      </w:pPr>
      <w:r w:rsidRPr="003237C5">
        <w:rPr>
          <w:rFonts w:ascii="Arial" w:hAnsi="Arial" w:cs="Arial"/>
          <w:szCs w:val="22"/>
        </w:rPr>
        <w:tab/>
        <w:t>8.2.5</w:t>
      </w:r>
      <w:r w:rsidRPr="003237C5">
        <w:rPr>
          <w:rFonts w:ascii="Arial" w:hAnsi="Arial" w:cs="Arial"/>
          <w:szCs w:val="22"/>
        </w:rPr>
        <w:tab/>
        <w:t>If the higher education provider had total revenue of $10 million or more for the previous annual financial reporting period, the financial statement for the annual financial reporting period must:</w:t>
      </w:r>
    </w:p>
    <w:p w14:paraId="41C8B016"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be a </w:t>
      </w:r>
      <w:proofErr w:type="gramStart"/>
      <w:r w:rsidRPr="003237C5">
        <w:rPr>
          <w:rFonts w:ascii="Arial" w:hAnsi="Arial" w:cs="Arial"/>
          <w:szCs w:val="22"/>
        </w:rPr>
        <w:t>general purpose</w:t>
      </w:r>
      <w:proofErr w:type="gramEnd"/>
      <w:r w:rsidRPr="003237C5">
        <w:rPr>
          <w:rFonts w:ascii="Arial" w:hAnsi="Arial" w:cs="Arial"/>
          <w:szCs w:val="22"/>
        </w:rPr>
        <w:t xml:space="preserve"> financial statement that complies with the applicable </w:t>
      </w:r>
      <w:r w:rsidRPr="003237C5">
        <w:rPr>
          <w:rFonts w:ascii="Arial" w:hAnsi="Arial" w:cs="Arial"/>
          <w:i/>
          <w:szCs w:val="22"/>
        </w:rPr>
        <w:t>accounting standards</w:t>
      </w:r>
      <w:r w:rsidRPr="003237C5">
        <w:rPr>
          <w:rFonts w:ascii="Arial" w:hAnsi="Arial" w:cs="Arial"/>
          <w:szCs w:val="22"/>
        </w:rPr>
        <w:t>; and</w:t>
      </w:r>
    </w:p>
    <w:p w14:paraId="4B1806FF"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be prepared by a qualified accountant in accordance with the applicable </w:t>
      </w:r>
      <w:r w:rsidRPr="003237C5">
        <w:rPr>
          <w:rFonts w:ascii="Arial" w:hAnsi="Arial" w:cs="Arial"/>
          <w:i/>
          <w:szCs w:val="22"/>
        </w:rPr>
        <w:t>accounting standards</w:t>
      </w:r>
      <w:r w:rsidRPr="003237C5">
        <w:rPr>
          <w:rFonts w:ascii="Arial" w:hAnsi="Arial" w:cs="Arial"/>
          <w:szCs w:val="22"/>
        </w:rPr>
        <w:t>; and</w:t>
      </w:r>
    </w:p>
    <w:p w14:paraId="73D137A8" w14:textId="77777777"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include a declaration by the qualified accountant that the provider has, as at the date of the declaration, complied with all statutory obligations relating to the payment of:</w:t>
      </w:r>
    </w:p>
    <w:p w14:paraId="3C510BC3" w14:textId="77777777" w:rsidR="00C104FD" w:rsidRPr="003237C5" w:rsidRDefault="00C104FD" w:rsidP="00C104FD">
      <w:pPr>
        <w:pStyle w:val="paragraphsub"/>
        <w:rPr>
          <w:rFonts w:ascii="Arial" w:hAnsi="Arial" w:cs="Arial"/>
          <w:szCs w:val="22"/>
        </w:rPr>
      </w:pPr>
      <w:r w:rsidRPr="003237C5">
        <w:rPr>
          <w:rFonts w:ascii="Arial" w:hAnsi="Arial" w:cs="Arial"/>
          <w:szCs w:val="22"/>
        </w:rPr>
        <w:tab/>
        <w:t>(</w:t>
      </w:r>
      <w:proofErr w:type="spellStart"/>
      <w:r w:rsidRPr="003237C5">
        <w:rPr>
          <w:rFonts w:ascii="Arial" w:hAnsi="Arial" w:cs="Arial"/>
          <w:szCs w:val="22"/>
        </w:rPr>
        <w:t>i</w:t>
      </w:r>
      <w:proofErr w:type="spellEnd"/>
      <w:r w:rsidRPr="003237C5">
        <w:rPr>
          <w:rFonts w:ascii="Arial" w:hAnsi="Arial" w:cs="Arial"/>
          <w:szCs w:val="22"/>
        </w:rPr>
        <w:t>)</w:t>
      </w:r>
      <w:r w:rsidRPr="003237C5">
        <w:rPr>
          <w:rFonts w:ascii="Arial" w:hAnsi="Arial" w:cs="Arial"/>
          <w:szCs w:val="22"/>
        </w:rPr>
        <w:tab/>
        <w:t>Commonwealth, State and Territory taxes; and</w:t>
      </w:r>
    </w:p>
    <w:p w14:paraId="0C3D08B1" w14:textId="77777777" w:rsidR="00C104FD" w:rsidRPr="003237C5" w:rsidRDefault="00C104FD" w:rsidP="00C104FD">
      <w:pPr>
        <w:pStyle w:val="paragraphsub"/>
        <w:rPr>
          <w:rFonts w:ascii="Arial" w:hAnsi="Arial" w:cs="Arial"/>
          <w:szCs w:val="22"/>
        </w:rPr>
      </w:pPr>
      <w:r w:rsidRPr="003237C5">
        <w:rPr>
          <w:rFonts w:ascii="Arial" w:hAnsi="Arial" w:cs="Arial"/>
          <w:szCs w:val="22"/>
        </w:rPr>
        <w:tab/>
        <w:t>(ii)</w:t>
      </w:r>
      <w:r w:rsidRPr="003237C5">
        <w:rPr>
          <w:rFonts w:ascii="Arial" w:hAnsi="Arial" w:cs="Arial"/>
          <w:szCs w:val="22"/>
        </w:rPr>
        <w:tab/>
        <w:t>the superannuation guarantee charge in relation to employees of the provider.</w:t>
      </w:r>
    </w:p>
    <w:p w14:paraId="1C832168" w14:textId="77777777" w:rsidR="00C104FD" w:rsidRPr="003237C5" w:rsidRDefault="00C104FD" w:rsidP="00C104FD">
      <w:pPr>
        <w:pStyle w:val="subsection"/>
        <w:rPr>
          <w:rFonts w:ascii="Arial" w:hAnsi="Arial" w:cs="Arial"/>
          <w:szCs w:val="22"/>
        </w:rPr>
      </w:pPr>
      <w:r w:rsidRPr="003237C5">
        <w:rPr>
          <w:rFonts w:ascii="Arial" w:hAnsi="Arial" w:cs="Arial"/>
          <w:szCs w:val="22"/>
        </w:rPr>
        <w:tab/>
        <w:t>8.2.10</w:t>
      </w:r>
      <w:r w:rsidRPr="003237C5">
        <w:rPr>
          <w:rFonts w:ascii="Arial" w:hAnsi="Arial" w:cs="Arial"/>
          <w:szCs w:val="22"/>
        </w:rPr>
        <w:tab/>
        <w:t xml:space="preserve">If the higher education provider had total revenue of less than $10 million for the previous annual financial reporting period, the financial statement for the annual financial reporting period must be a special purpose financial statement that complies with the following </w:t>
      </w:r>
      <w:r w:rsidRPr="003237C5">
        <w:rPr>
          <w:rFonts w:ascii="Arial" w:hAnsi="Arial" w:cs="Arial"/>
          <w:i/>
          <w:szCs w:val="22"/>
        </w:rPr>
        <w:t>accounting standards</w:t>
      </w:r>
      <w:r w:rsidRPr="003237C5">
        <w:rPr>
          <w:rFonts w:ascii="Arial" w:hAnsi="Arial" w:cs="Arial"/>
          <w:szCs w:val="22"/>
        </w:rPr>
        <w:t>:</w:t>
      </w:r>
    </w:p>
    <w:p w14:paraId="6DA5419C"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AASB 101, Presentation of Financial </w:t>
      </w:r>
      <w:proofErr w:type="gramStart"/>
      <w:r w:rsidRPr="003237C5">
        <w:rPr>
          <w:rFonts w:ascii="Arial" w:hAnsi="Arial" w:cs="Arial"/>
          <w:szCs w:val="22"/>
        </w:rPr>
        <w:t>Statements;</w:t>
      </w:r>
      <w:proofErr w:type="gramEnd"/>
    </w:p>
    <w:p w14:paraId="77D2EBAA"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AASB 107, Statement of Cash </w:t>
      </w:r>
      <w:proofErr w:type="gramStart"/>
      <w:r w:rsidRPr="003237C5">
        <w:rPr>
          <w:rFonts w:ascii="Arial" w:hAnsi="Arial" w:cs="Arial"/>
          <w:szCs w:val="22"/>
        </w:rPr>
        <w:t>Flows;</w:t>
      </w:r>
      <w:proofErr w:type="gramEnd"/>
    </w:p>
    <w:p w14:paraId="71A7CB78" w14:textId="77777777"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 xml:space="preserve">AASB 108, Accounting Policies, Changes in Accounting Estimates and </w:t>
      </w:r>
      <w:proofErr w:type="gramStart"/>
      <w:r w:rsidRPr="003237C5">
        <w:rPr>
          <w:rFonts w:ascii="Arial" w:hAnsi="Arial" w:cs="Arial"/>
          <w:szCs w:val="22"/>
        </w:rPr>
        <w:t>Errors;</w:t>
      </w:r>
      <w:proofErr w:type="gramEnd"/>
    </w:p>
    <w:p w14:paraId="4D35BE64" w14:textId="77777777" w:rsidR="00C104FD" w:rsidRPr="003237C5" w:rsidRDefault="00C104FD" w:rsidP="00C104FD">
      <w:pPr>
        <w:pStyle w:val="paragraph"/>
        <w:rPr>
          <w:rFonts w:ascii="Arial" w:hAnsi="Arial" w:cs="Arial"/>
          <w:szCs w:val="22"/>
        </w:rPr>
      </w:pPr>
      <w:r w:rsidRPr="003237C5">
        <w:rPr>
          <w:rFonts w:ascii="Arial" w:hAnsi="Arial" w:cs="Arial"/>
          <w:szCs w:val="22"/>
        </w:rPr>
        <w:tab/>
        <w:t>(d)</w:t>
      </w:r>
      <w:r w:rsidRPr="003237C5">
        <w:rPr>
          <w:rFonts w:ascii="Arial" w:hAnsi="Arial" w:cs="Arial"/>
          <w:szCs w:val="22"/>
        </w:rPr>
        <w:tab/>
        <w:t xml:space="preserve">AASB 1048, Interpretation of </w:t>
      </w:r>
      <w:proofErr w:type="gramStart"/>
      <w:r w:rsidRPr="003237C5">
        <w:rPr>
          <w:rFonts w:ascii="Arial" w:hAnsi="Arial" w:cs="Arial"/>
          <w:szCs w:val="22"/>
        </w:rPr>
        <w:t>Standards;</w:t>
      </w:r>
      <w:proofErr w:type="gramEnd"/>
    </w:p>
    <w:p w14:paraId="21D5EFA7" w14:textId="77777777" w:rsidR="00C104FD" w:rsidRPr="003237C5" w:rsidRDefault="00C104FD" w:rsidP="00C104FD">
      <w:pPr>
        <w:pStyle w:val="paragraph"/>
        <w:rPr>
          <w:rFonts w:ascii="Arial" w:hAnsi="Arial" w:cs="Arial"/>
          <w:i/>
          <w:szCs w:val="22"/>
        </w:rPr>
      </w:pPr>
      <w:r w:rsidRPr="003237C5">
        <w:rPr>
          <w:rFonts w:ascii="Arial" w:hAnsi="Arial" w:cs="Arial"/>
          <w:szCs w:val="22"/>
        </w:rPr>
        <w:tab/>
        <w:t>(e)</w:t>
      </w:r>
      <w:r w:rsidRPr="003237C5">
        <w:rPr>
          <w:rFonts w:ascii="Arial" w:hAnsi="Arial" w:cs="Arial"/>
          <w:szCs w:val="22"/>
        </w:rPr>
        <w:tab/>
        <w:t>AASB 1054, Australian Additional Disclosures.</w:t>
      </w:r>
    </w:p>
    <w:p w14:paraId="27578DAC" w14:textId="77777777" w:rsidR="00C104FD" w:rsidRPr="003237C5" w:rsidRDefault="00C104FD" w:rsidP="00C104FD">
      <w:pPr>
        <w:pStyle w:val="subsection"/>
        <w:rPr>
          <w:rFonts w:ascii="Arial" w:hAnsi="Arial" w:cs="Arial"/>
          <w:szCs w:val="22"/>
        </w:rPr>
      </w:pPr>
      <w:r w:rsidRPr="003237C5">
        <w:rPr>
          <w:rFonts w:ascii="Arial" w:hAnsi="Arial" w:cs="Arial"/>
          <w:szCs w:val="22"/>
        </w:rPr>
        <w:tab/>
        <w:t>8.2.15</w:t>
      </w:r>
      <w:r w:rsidRPr="003237C5">
        <w:rPr>
          <w:rFonts w:ascii="Arial" w:hAnsi="Arial" w:cs="Arial"/>
          <w:szCs w:val="22"/>
        </w:rPr>
        <w:tab/>
        <w:t>If the higher education provider is part of a consolidated entity, the financial statement for the annual financial reporting period must be accompanied by:</w:t>
      </w:r>
    </w:p>
    <w:p w14:paraId="64E2B535"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a copy of the most recent consolidated financial statements for the entity prepared in accordance with applicable </w:t>
      </w:r>
      <w:r w:rsidRPr="003237C5">
        <w:rPr>
          <w:rFonts w:ascii="Arial" w:hAnsi="Arial" w:cs="Arial"/>
          <w:i/>
          <w:szCs w:val="22"/>
        </w:rPr>
        <w:t>accounting standards</w:t>
      </w:r>
      <w:r w:rsidRPr="003237C5">
        <w:rPr>
          <w:rFonts w:ascii="Arial" w:hAnsi="Arial" w:cs="Arial"/>
          <w:szCs w:val="22"/>
        </w:rPr>
        <w:t>; and</w:t>
      </w:r>
    </w:p>
    <w:p w14:paraId="684E9528"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such additional information related to the consolidated entity as is determined, in writing, by the Minister.</w:t>
      </w:r>
    </w:p>
    <w:p w14:paraId="29BD16BE" w14:textId="77777777" w:rsidR="00C104FD" w:rsidRPr="003237C5" w:rsidRDefault="00C104FD" w:rsidP="00C104FD">
      <w:pPr>
        <w:pStyle w:val="subsection"/>
        <w:keepNext/>
        <w:keepLines/>
        <w:rPr>
          <w:rFonts w:ascii="Arial" w:hAnsi="Arial" w:cs="Arial"/>
          <w:szCs w:val="22"/>
        </w:rPr>
      </w:pPr>
      <w:r w:rsidRPr="003237C5">
        <w:rPr>
          <w:rFonts w:ascii="Arial" w:hAnsi="Arial" w:cs="Arial"/>
          <w:szCs w:val="22"/>
        </w:rPr>
        <w:tab/>
        <w:t>8.2.20</w:t>
      </w:r>
      <w:r w:rsidRPr="003237C5">
        <w:rPr>
          <w:rFonts w:ascii="Arial" w:hAnsi="Arial" w:cs="Arial"/>
          <w:szCs w:val="22"/>
        </w:rPr>
        <w:tab/>
        <w:t>In this section:</w:t>
      </w:r>
    </w:p>
    <w:p w14:paraId="561E507D" w14:textId="77777777" w:rsidR="00C104FD" w:rsidRPr="003237C5" w:rsidRDefault="00C104FD" w:rsidP="00C104FD">
      <w:pPr>
        <w:pStyle w:val="Definition"/>
        <w:keepNext/>
        <w:keepLines/>
        <w:rPr>
          <w:rFonts w:ascii="Arial" w:hAnsi="Arial" w:cs="Arial"/>
          <w:szCs w:val="22"/>
        </w:rPr>
      </w:pPr>
      <w:r w:rsidRPr="003237C5">
        <w:rPr>
          <w:rFonts w:ascii="Arial" w:hAnsi="Arial" w:cs="Arial"/>
          <w:b/>
          <w:i/>
          <w:szCs w:val="22"/>
        </w:rPr>
        <w:t>consolidated entity</w:t>
      </w:r>
      <w:r w:rsidRPr="003237C5">
        <w:rPr>
          <w:rFonts w:ascii="Arial" w:hAnsi="Arial" w:cs="Arial"/>
          <w:szCs w:val="22"/>
        </w:rPr>
        <w:t xml:space="preserve"> has the same meaning as in the </w:t>
      </w:r>
      <w:r w:rsidRPr="003237C5">
        <w:rPr>
          <w:rFonts w:ascii="Arial" w:hAnsi="Arial" w:cs="Arial"/>
          <w:i/>
          <w:szCs w:val="22"/>
        </w:rPr>
        <w:t>Corporations Act 2001</w:t>
      </w:r>
      <w:r w:rsidRPr="003237C5">
        <w:rPr>
          <w:rFonts w:ascii="Arial" w:hAnsi="Arial" w:cs="Arial"/>
          <w:szCs w:val="22"/>
        </w:rPr>
        <w:t>.</w:t>
      </w:r>
    </w:p>
    <w:p w14:paraId="6402A09A" w14:textId="77777777" w:rsidR="00C104FD" w:rsidRPr="003237C5" w:rsidRDefault="00C104FD" w:rsidP="00C104FD">
      <w:pPr>
        <w:pStyle w:val="Definition"/>
        <w:keepNext/>
        <w:keepLines/>
        <w:rPr>
          <w:rFonts w:ascii="Arial" w:hAnsi="Arial" w:cs="Arial"/>
          <w:szCs w:val="22"/>
        </w:rPr>
      </w:pPr>
      <w:r w:rsidRPr="003237C5">
        <w:rPr>
          <w:rFonts w:ascii="Arial" w:hAnsi="Arial" w:cs="Arial"/>
          <w:b/>
          <w:bCs/>
          <w:i/>
          <w:iCs/>
          <w:szCs w:val="22"/>
        </w:rPr>
        <w:t>general purpose financial statement</w:t>
      </w:r>
      <w:r w:rsidRPr="003237C5">
        <w:rPr>
          <w:rFonts w:ascii="Arial" w:hAnsi="Arial" w:cs="Arial"/>
          <w:szCs w:val="22"/>
        </w:rPr>
        <w:t xml:space="preserve"> has the meaning given by the </w:t>
      </w:r>
      <w:r w:rsidRPr="003237C5">
        <w:rPr>
          <w:rFonts w:ascii="Arial" w:hAnsi="Arial" w:cs="Arial"/>
          <w:i/>
          <w:szCs w:val="22"/>
        </w:rPr>
        <w:t>accounting standards</w:t>
      </w:r>
      <w:r w:rsidRPr="003237C5">
        <w:rPr>
          <w:rFonts w:ascii="Arial" w:hAnsi="Arial" w:cs="Arial"/>
          <w:szCs w:val="22"/>
        </w:rPr>
        <w:t>.</w:t>
      </w:r>
    </w:p>
    <w:p w14:paraId="53D821F0" w14:textId="77777777" w:rsidR="00C104FD" w:rsidRPr="003237C5" w:rsidRDefault="00C104FD" w:rsidP="00C104FD">
      <w:pPr>
        <w:pStyle w:val="Definition"/>
        <w:keepNext/>
        <w:keepLines/>
        <w:rPr>
          <w:rFonts w:ascii="Arial" w:hAnsi="Arial" w:cs="Arial"/>
          <w:szCs w:val="22"/>
        </w:rPr>
      </w:pPr>
      <w:r w:rsidRPr="003237C5">
        <w:rPr>
          <w:rFonts w:ascii="Arial" w:hAnsi="Arial" w:cs="Arial"/>
          <w:b/>
          <w:i/>
          <w:szCs w:val="22"/>
        </w:rPr>
        <w:t>qualified accountant</w:t>
      </w:r>
      <w:r w:rsidRPr="003237C5">
        <w:rPr>
          <w:rFonts w:ascii="Arial" w:hAnsi="Arial" w:cs="Arial"/>
          <w:szCs w:val="22"/>
        </w:rPr>
        <w:t xml:space="preserve"> has the same meaning as in the </w:t>
      </w:r>
      <w:r w:rsidRPr="003237C5">
        <w:rPr>
          <w:rFonts w:ascii="Arial" w:hAnsi="Arial" w:cs="Arial"/>
          <w:i/>
          <w:szCs w:val="22"/>
        </w:rPr>
        <w:t>Corporations Act 2001</w:t>
      </w:r>
      <w:r w:rsidRPr="003237C5">
        <w:rPr>
          <w:rFonts w:ascii="Arial" w:hAnsi="Arial" w:cs="Arial"/>
          <w:szCs w:val="22"/>
        </w:rPr>
        <w:t>.</w:t>
      </w:r>
    </w:p>
    <w:p w14:paraId="259AE6E8" w14:textId="77777777" w:rsidR="00C104FD" w:rsidRPr="003237C5" w:rsidRDefault="00C104FD" w:rsidP="00C104FD">
      <w:pPr>
        <w:pStyle w:val="Definition"/>
        <w:rPr>
          <w:rFonts w:ascii="Arial" w:hAnsi="Arial" w:cs="Arial"/>
          <w:szCs w:val="22"/>
        </w:rPr>
      </w:pPr>
      <w:r w:rsidRPr="003237C5">
        <w:rPr>
          <w:rFonts w:ascii="Arial" w:hAnsi="Arial" w:cs="Arial"/>
          <w:b/>
          <w:bCs/>
          <w:i/>
          <w:iCs/>
          <w:szCs w:val="22"/>
        </w:rPr>
        <w:t>special purpose financial statement</w:t>
      </w:r>
      <w:r w:rsidRPr="003237C5">
        <w:rPr>
          <w:rFonts w:ascii="Arial" w:hAnsi="Arial" w:cs="Arial"/>
          <w:szCs w:val="22"/>
        </w:rPr>
        <w:t xml:space="preserve"> means a financial statement that is not a </w:t>
      </w:r>
      <w:proofErr w:type="gramStart"/>
      <w:r w:rsidRPr="003237C5">
        <w:rPr>
          <w:rFonts w:ascii="Arial" w:hAnsi="Arial" w:cs="Arial"/>
          <w:szCs w:val="22"/>
        </w:rPr>
        <w:t>general purpose</w:t>
      </w:r>
      <w:proofErr w:type="gramEnd"/>
      <w:r w:rsidRPr="003237C5">
        <w:rPr>
          <w:rFonts w:ascii="Arial" w:hAnsi="Arial" w:cs="Arial"/>
          <w:szCs w:val="22"/>
        </w:rPr>
        <w:t xml:space="preserve"> financial statement.</w:t>
      </w:r>
    </w:p>
    <w:p w14:paraId="42990947" w14:textId="77777777" w:rsidR="00C104FD" w:rsidRPr="003237C5" w:rsidRDefault="00C104FD" w:rsidP="00C104FD">
      <w:pPr>
        <w:pStyle w:val="ActHead5"/>
        <w:rPr>
          <w:rFonts w:ascii="Arial" w:hAnsi="Arial" w:cs="Arial"/>
          <w:sz w:val="22"/>
          <w:szCs w:val="22"/>
        </w:rPr>
      </w:pPr>
      <w:bookmarkStart w:id="26" w:name="_Toc3370942"/>
      <w:proofErr w:type="gramStart"/>
      <w:r w:rsidRPr="003237C5">
        <w:rPr>
          <w:rStyle w:val="CharSectno"/>
          <w:rFonts w:ascii="Arial" w:hAnsi="Arial" w:cs="Arial"/>
          <w:sz w:val="22"/>
          <w:szCs w:val="22"/>
        </w:rPr>
        <w:t>8.3</w:t>
      </w:r>
      <w:r w:rsidRPr="003237C5">
        <w:rPr>
          <w:rFonts w:ascii="Arial" w:hAnsi="Arial" w:cs="Arial"/>
          <w:sz w:val="22"/>
          <w:szCs w:val="22"/>
        </w:rPr>
        <w:t xml:space="preserve">  Financial</w:t>
      </w:r>
      <w:proofErr w:type="gramEnd"/>
      <w:r w:rsidRPr="003237C5">
        <w:rPr>
          <w:rFonts w:ascii="Arial" w:hAnsi="Arial" w:cs="Arial"/>
          <w:sz w:val="22"/>
          <w:szCs w:val="22"/>
        </w:rPr>
        <w:t xml:space="preserve"> viability</w:t>
      </w:r>
      <w:bookmarkEnd w:id="26"/>
    </w:p>
    <w:p w14:paraId="0405CF13" w14:textId="218DF7E7" w:rsidR="00C104FD" w:rsidRPr="003237C5" w:rsidRDefault="00C104FD" w:rsidP="00C104FD">
      <w:pPr>
        <w:pStyle w:val="subsection"/>
        <w:rPr>
          <w:rFonts w:ascii="Arial" w:hAnsi="Arial" w:cs="Arial"/>
          <w:szCs w:val="22"/>
        </w:rPr>
      </w:pPr>
      <w:r w:rsidRPr="003237C5">
        <w:rPr>
          <w:rFonts w:ascii="Arial" w:hAnsi="Arial" w:cs="Arial"/>
          <w:szCs w:val="22"/>
        </w:rPr>
        <w:tab/>
        <w:t>8.3.1</w:t>
      </w:r>
      <w:r w:rsidRPr="003237C5">
        <w:rPr>
          <w:rFonts w:ascii="Arial" w:hAnsi="Arial" w:cs="Arial"/>
          <w:szCs w:val="22"/>
        </w:rPr>
        <w:tab/>
        <w:t>For the purposes of paragraph 19</w:t>
      </w:r>
      <w:r w:rsidRPr="003237C5">
        <w:rPr>
          <w:rFonts w:ascii="Arial" w:hAnsi="Arial" w:cs="Arial"/>
          <w:szCs w:val="22"/>
        </w:rPr>
        <w:noBreakHyphen/>
        <w:t xml:space="preserve">12(b) of the </w:t>
      </w:r>
      <w:r w:rsidRPr="003237C5">
        <w:rPr>
          <w:rFonts w:ascii="Arial" w:hAnsi="Arial" w:cs="Arial"/>
          <w:i/>
          <w:szCs w:val="22"/>
        </w:rPr>
        <w:t>Act</w:t>
      </w:r>
      <w:r w:rsidRPr="003237C5">
        <w:rPr>
          <w:rFonts w:ascii="Arial" w:hAnsi="Arial" w:cs="Arial"/>
          <w:szCs w:val="22"/>
        </w:rPr>
        <w:t>, the Minister must have regard to the following matters when determining whether a higher education provider</w:t>
      </w:r>
      <w:r w:rsidR="00EA1920" w:rsidRPr="003237C5">
        <w:rPr>
          <w:rFonts w:ascii="Arial" w:hAnsi="Arial" w:cs="Arial"/>
          <w:szCs w:val="22"/>
        </w:rPr>
        <w:t xml:space="preserve"> </w:t>
      </w:r>
      <w:r w:rsidR="00EA1920" w:rsidRPr="003237C5">
        <w:rPr>
          <w:rFonts w:ascii="Arial" w:hAnsi="Arial" w:cs="Arial"/>
          <w:kern w:val="28"/>
          <w:szCs w:val="18"/>
        </w:rPr>
        <w:t xml:space="preserve">approved under section 16-25 of the </w:t>
      </w:r>
      <w:r w:rsidR="00EA1920" w:rsidRPr="003237C5">
        <w:rPr>
          <w:rFonts w:ascii="Arial" w:hAnsi="Arial" w:cs="Arial"/>
          <w:i/>
          <w:iCs/>
          <w:kern w:val="28"/>
          <w:szCs w:val="18"/>
        </w:rPr>
        <w:t>Act</w:t>
      </w:r>
      <w:r w:rsidRPr="003237C5">
        <w:rPr>
          <w:rFonts w:ascii="Arial" w:hAnsi="Arial" w:cs="Arial"/>
          <w:szCs w:val="22"/>
        </w:rPr>
        <w:t xml:space="preserve"> is financially viable, and likely to remain so:</w:t>
      </w:r>
    </w:p>
    <w:p w14:paraId="6DE5BD0E"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the provider generates sufficient income to meet operating payments, debt commitments and, where applicable, to allow growth while delivering quality higher </w:t>
      </w:r>
      <w:proofErr w:type="gramStart"/>
      <w:r w:rsidRPr="003237C5">
        <w:rPr>
          <w:rFonts w:ascii="Arial" w:hAnsi="Arial" w:cs="Arial"/>
          <w:szCs w:val="22"/>
        </w:rPr>
        <w:t>education;</w:t>
      </w:r>
      <w:proofErr w:type="gramEnd"/>
    </w:p>
    <w:p w14:paraId="2192A1EC"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the provider’s total assets exceed the provider’s total liabilities (the provider has a positive equity position), and there is no evidence to suggest that this might </w:t>
      </w:r>
      <w:proofErr w:type="gramStart"/>
      <w:r w:rsidRPr="003237C5">
        <w:rPr>
          <w:rFonts w:ascii="Arial" w:hAnsi="Arial" w:cs="Arial"/>
          <w:szCs w:val="22"/>
        </w:rPr>
        <w:t>change;</w:t>
      </w:r>
      <w:proofErr w:type="gramEnd"/>
    </w:p>
    <w:p w14:paraId="115A9A80" w14:textId="77777777"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if the provider is not a charitable or not</w:t>
      </w:r>
      <w:r w:rsidRPr="003237C5">
        <w:rPr>
          <w:rFonts w:ascii="Arial" w:hAnsi="Arial" w:cs="Arial"/>
          <w:szCs w:val="22"/>
        </w:rPr>
        <w:noBreakHyphen/>
        <w:t>for</w:t>
      </w:r>
      <w:r w:rsidRPr="003237C5">
        <w:rPr>
          <w:rFonts w:ascii="Arial" w:hAnsi="Arial" w:cs="Arial"/>
          <w:szCs w:val="22"/>
        </w:rPr>
        <w:noBreakHyphen/>
        <w:t>profit organisation registered with the Australian Charities and Not</w:t>
      </w:r>
      <w:r w:rsidRPr="003237C5">
        <w:rPr>
          <w:rFonts w:ascii="Arial" w:hAnsi="Arial" w:cs="Arial"/>
          <w:szCs w:val="22"/>
        </w:rPr>
        <w:noBreakHyphen/>
        <w:t>for</w:t>
      </w:r>
      <w:r w:rsidRPr="003237C5">
        <w:rPr>
          <w:rFonts w:ascii="Arial" w:hAnsi="Arial" w:cs="Arial"/>
          <w:szCs w:val="22"/>
        </w:rPr>
        <w:noBreakHyphen/>
        <w:t xml:space="preserve">profits Commission, and has been operating for 3 years or more—the provider has operated at a profit for at least 2 of the 3 most recent financial years for the </w:t>
      </w:r>
      <w:proofErr w:type="gramStart"/>
      <w:r w:rsidRPr="003237C5">
        <w:rPr>
          <w:rFonts w:ascii="Arial" w:hAnsi="Arial" w:cs="Arial"/>
          <w:szCs w:val="22"/>
        </w:rPr>
        <w:t>provider;</w:t>
      </w:r>
      <w:proofErr w:type="gramEnd"/>
    </w:p>
    <w:p w14:paraId="5BE5EA14" w14:textId="77777777" w:rsidR="00C104FD" w:rsidRPr="003237C5" w:rsidRDefault="00C104FD" w:rsidP="00C104FD">
      <w:pPr>
        <w:pStyle w:val="paragraph"/>
        <w:rPr>
          <w:rFonts w:ascii="Arial" w:hAnsi="Arial" w:cs="Arial"/>
          <w:szCs w:val="22"/>
        </w:rPr>
      </w:pPr>
      <w:r w:rsidRPr="003237C5">
        <w:rPr>
          <w:rFonts w:ascii="Arial" w:hAnsi="Arial" w:cs="Arial"/>
          <w:szCs w:val="22"/>
        </w:rPr>
        <w:tab/>
        <w:t>(d)</w:t>
      </w:r>
      <w:r w:rsidRPr="003237C5">
        <w:rPr>
          <w:rFonts w:ascii="Arial" w:hAnsi="Arial" w:cs="Arial"/>
          <w:szCs w:val="22"/>
        </w:rPr>
        <w:tab/>
        <w:t>if the provider has at least 100 enrolments in courses of study that lead to higher education awards—at least 20% of the provider’s revenue for the previous financial year came from sources other than payments that gave rise to FEE</w:t>
      </w:r>
      <w:r w:rsidRPr="003237C5">
        <w:rPr>
          <w:rFonts w:ascii="Arial" w:hAnsi="Arial" w:cs="Arial"/>
          <w:szCs w:val="22"/>
        </w:rPr>
        <w:noBreakHyphen/>
        <w:t xml:space="preserve">HELP </w:t>
      </w:r>
      <w:proofErr w:type="gramStart"/>
      <w:r w:rsidRPr="003237C5">
        <w:rPr>
          <w:rFonts w:ascii="Arial" w:hAnsi="Arial" w:cs="Arial"/>
          <w:szCs w:val="22"/>
        </w:rPr>
        <w:t>debts;</w:t>
      </w:r>
      <w:proofErr w:type="gramEnd"/>
    </w:p>
    <w:p w14:paraId="1E51E958" w14:textId="77777777" w:rsidR="00C104FD" w:rsidRPr="003237C5" w:rsidRDefault="00C104FD" w:rsidP="00C104FD">
      <w:pPr>
        <w:pStyle w:val="paragraph"/>
        <w:rPr>
          <w:rFonts w:ascii="Arial" w:hAnsi="Arial" w:cs="Arial"/>
          <w:szCs w:val="22"/>
        </w:rPr>
      </w:pPr>
      <w:r w:rsidRPr="003237C5">
        <w:rPr>
          <w:rFonts w:ascii="Arial" w:hAnsi="Arial" w:cs="Arial"/>
          <w:szCs w:val="22"/>
        </w:rPr>
        <w:tab/>
        <w:t>(e)</w:t>
      </w:r>
      <w:r w:rsidRPr="003237C5">
        <w:rPr>
          <w:rFonts w:ascii="Arial" w:hAnsi="Arial" w:cs="Arial"/>
          <w:szCs w:val="22"/>
        </w:rPr>
        <w:tab/>
        <w:t xml:space="preserve">the provider has a net positive cash position from operating activities (determined in accordance with the </w:t>
      </w:r>
      <w:r w:rsidRPr="003237C5">
        <w:rPr>
          <w:rFonts w:ascii="Arial" w:hAnsi="Arial" w:cs="Arial"/>
          <w:i/>
          <w:szCs w:val="22"/>
        </w:rPr>
        <w:t>accounting standards</w:t>
      </w:r>
      <w:proofErr w:type="gramStart"/>
      <w:r w:rsidRPr="003237C5">
        <w:rPr>
          <w:rFonts w:ascii="Arial" w:hAnsi="Arial" w:cs="Arial"/>
          <w:szCs w:val="22"/>
        </w:rPr>
        <w:t>);</w:t>
      </w:r>
      <w:proofErr w:type="gramEnd"/>
    </w:p>
    <w:p w14:paraId="477193E9" w14:textId="77777777" w:rsidR="00C104FD" w:rsidRPr="003237C5" w:rsidRDefault="00C104FD" w:rsidP="00C104FD">
      <w:pPr>
        <w:pStyle w:val="paragraph"/>
        <w:rPr>
          <w:rFonts w:ascii="Arial" w:hAnsi="Arial" w:cs="Arial"/>
          <w:szCs w:val="22"/>
        </w:rPr>
      </w:pPr>
      <w:r w:rsidRPr="003237C5">
        <w:rPr>
          <w:rFonts w:ascii="Arial" w:hAnsi="Arial" w:cs="Arial"/>
          <w:szCs w:val="22"/>
        </w:rPr>
        <w:tab/>
        <w:t>(f)</w:t>
      </w:r>
      <w:r w:rsidRPr="003237C5">
        <w:rPr>
          <w:rFonts w:ascii="Arial" w:hAnsi="Arial" w:cs="Arial"/>
          <w:szCs w:val="22"/>
        </w:rPr>
        <w:tab/>
        <w:t xml:space="preserve">the provider is not providing guarantees or loans that could have a material effect on the provider’s </w:t>
      </w:r>
      <w:proofErr w:type="gramStart"/>
      <w:r w:rsidRPr="003237C5">
        <w:rPr>
          <w:rFonts w:ascii="Arial" w:hAnsi="Arial" w:cs="Arial"/>
          <w:szCs w:val="22"/>
        </w:rPr>
        <w:t>finances;</w:t>
      </w:r>
      <w:proofErr w:type="gramEnd"/>
    </w:p>
    <w:p w14:paraId="6B441B4C" w14:textId="77777777" w:rsidR="00C104FD" w:rsidRPr="003237C5" w:rsidRDefault="00C104FD" w:rsidP="00C104FD">
      <w:pPr>
        <w:pStyle w:val="paragraph"/>
        <w:rPr>
          <w:rFonts w:ascii="Arial" w:hAnsi="Arial" w:cs="Arial"/>
          <w:szCs w:val="22"/>
        </w:rPr>
      </w:pPr>
      <w:r w:rsidRPr="003237C5">
        <w:rPr>
          <w:rFonts w:ascii="Arial" w:hAnsi="Arial" w:cs="Arial"/>
          <w:szCs w:val="22"/>
        </w:rPr>
        <w:tab/>
        <w:t>(g)</w:t>
      </w:r>
      <w:r w:rsidRPr="003237C5">
        <w:rPr>
          <w:rFonts w:ascii="Arial" w:hAnsi="Arial" w:cs="Arial"/>
          <w:szCs w:val="22"/>
        </w:rPr>
        <w:tab/>
        <w:t>the provider is not providing its assets as security other than under a commercial loan arrangement with an authorised deposit</w:t>
      </w:r>
      <w:r w:rsidRPr="003237C5">
        <w:rPr>
          <w:rFonts w:ascii="Arial" w:hAnsi="Arial" w:cs="Arial"/>
          <w:szCs w:val="22"/>
        </w:rPr>
        <w:noBreakHyphen/>
        <w:t xml:space="preserve">taking institution (within the meaning of the </w:t>
      </w:r>
      <w:r w:rsidRPr="003237C5">
        <w:rPr>
          <w:rFonts w:ascii="Arial" w:hAnsi="Arial" w:cs="Arial"/>
          <w:i/>
          <w:szCs w:val="22"/>
        </w:rPr>
        <w:t>Banking Act 1959</w:t>
      </w:r>
      <w:r w:rsidRPr="003237C5">
        <w:rPr>
          <w:rFonts w:ascii="Arial" w:hAnsi="Arial" w:cs="Arial"/>
          <w:szCs w:val="22"/>
        </w:rPr>
        <w:t>).</w:t>
      </w:r>
    </w:p>
    <w:p w14:paraId="2ED821A8" w14:textId="77777777" w:rsidR="00C104FD" w:rsidRPr="003237C5" w:rsidRDefault="00C104FD" w:rsidP="00C104FD">
      <w:pPr>
        <w:pStyle w:val="ActHead5"/>
        <w:rPr>
          <w:rFonts w:ascii="Arial" w:hAnsi="Arial" w:cs="Arial"/>
          <w:sz w:val="22"/>
          <w:szCs w:val="22"/>
        </w:rPr>
      </w:pPr>
      <w:bookmarkStart w:id="27" w:name="_Toc3370943"/>
      <w:proofErr w:type="gramStart"/>
      <w:r w:rsidRPr="003237C5">
        <w:rPr>
          <w:rStyle w:val="CharSectno"/>
          <w:rFonts w:ascii="Arial" w:hAnsi="Arial" w:cs="Arial"/>
          <w:sz w:val="22"/>
          <w:szCs w:val="22"/>
        </w:rPr>
        <w:t>8.4</w:t>
      </w:r>
      <w:r w:rsidRPr="003237C5">
        <w:rPr>
          <w:rFonts w:ascii="Arial" w:hAnsi="Arial" w:cs="Arial"/>
          <w:sz w:val="22"/>
          <w:szCs w:val="22"/>
        </w:rPr>
        <w:t xml:space="preserve">  Offering</w:t>
      </w:r>
      <w:proofErr w:type="gramEnd"/>
      <w:r w:rsidRPr="003237C5">
        <w:rPr>
          <w:rFonts w:ascii="Arial" w:hAnsi="Arial" w:cs="Arial"/>
          <w:sz w:val="22"/>
          <w:szCs w:val="22"/>
        </w:rPr>
        <w:t xml:space="preserve"> certain inducements</w:t>
      </w:r>
      <w:bookmarkEnd w:id="27"/>
    </w:p>
    <w:p w14:paraId="348FE500" w14:textId="77777777" w:rsidR="00C104FD" w:rsidRPr="003237C5" w:rsidRDefault="00C104FD" w:rsidP="00C104FD">
      <w:pPr>
        <w:pStyle w:val="subsection"/>
        <w:rPr>
          <w:rFonts w:ascii="Arial" w:hAnsi="Arial" w:cs="Arial"/>
          <w:szCs w:val="22"/>
        </w:rPr>
      </w:pPr>
      <w:r w:rsidRPr="003237C5">
        <w:rPr>
          <w:rFonts w:ascii="Arial" w:hAnsi="Arial" w:cs="Arial"/>
          <w:szCs w:val="22"/>
        </w:rPr>
        <w:tab/>
        <w:t>8.4.1</w:t>
      </w:r>
      <w:r w:rsidRPr="003237C5">
        <w:rPr>
          <w:rFonts w:ascii="Arial" w:hAnsi="Arial" w:cs="Arial"/>
          <w:szCs w:val="22"/>
        </w:rPr>
        <w:tab/>
        <w:t>The following benefits are specified for the purposes of subsection 19</w:t>
      </w:r>
      <w:r w:rsidRPr="003237C5">
        <w:rPr>
          <w:rFonts w:ascii="Arial" w:hAnsi="Arial" w:cs="Arial"/>
          <w:szCs w:val="22"/>
        </w:rPr>
        <w:noBreakHyphen/>
        <w:t>36</w:t>
      </w:r>
      <w:proofErr w:type="gramStart"/>
      <w:r w:rsidRPr="003237C5">
        <w:rPr>
          <w:rFonts w:ascii="Arial" w:hAnsi="Arial" w:cs="Arial"/>
          <w:szCs w:val="22"/>
        </w:rPr>
        <w:t>A(</w:t>
      </w:r>
      <w:proofErr w:type="gramEnd"/>
      <w:r w:rsidRPr="003237C5">
        <w:rPr>
          <w:rFonts w:ascii="Arial" w:hAnsi="Arial" w:cs="Arial"/>
          <w:szCs w:val="22"/>
        </w:rPr>
        <w:t xml:space="preserve">2) of the </w:t>
      </w:r>
      <w:r w:rsidRPr="003237C5">
        <w:rPr>
          <w:rFonts w:ascii="Arial" w:hAnsi="Arial" w:cs="Arial"/>
          <w:i/>
          <w:szCs w:val="22"/>
        </w:rPr>
        <w:t>Act</w:t>
      </w:r>
      <w:r w:rsidRPr="003237C5">
        <w:rPr>
          <w:rFonts w:ascii="Arial" w:hAnsi="Arial" w:cs="Arial"/>
          <w:szCs w:val="22"/>
        </w:rPr>
        <w:t>:</w:t>
      </w:r>
    </w:p>
    <w:p w14:paraId="0F5108F8"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the content and quality of the unit of </w:t>
      </w:r>
      <w:proofErr w:type="gramStart"/>
      <w:r w:rsidRPr="003237C5">
        <w:rPr>
          <w:rFonts w:ascii="Arial" w:hAnsi="Arial" w:cs="Arial"/>
          <w:szCs w:val="22"/>
        </w:rPr>
        <w:t>study;</w:t>
      </w:r>
      <w:proofErr w:type="gramEnd"/>
    </w:p>
    <w:p w14:paraId="32D1CF03"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the amount of the tuition fees for the unit of </w:t>
      </w:r>
      <w:proofErr w:type="gramStart"/>
      <w:r w:rsidRPr="003237C5">
        <w:rPr>
          <w:rFonts w:ascii="Arial" w:hAnsi="Arial" w:cs="Arial"/>
          <w:szCs w:val="22"/>
        </w:rPr>
        <w:t>study;</w:t>
      </w:r>
      <w:proofErr w:type="gramEnd"/>
    </w:p>
    <w:p w14:paraId="35FF736B" w14:textId="033831CF"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the availability of FEE</w:t>
      </w:r>
      <w:r w:rsidRPr="003237C5">
        <w:rPr>
          <w:rFonts w:ascii="Arial" w:hAnsi="Arial" w:cs="Arial"/>
          <w:szCs w:val="22"/>
        </w:rPr>
        <w:noBreakHyphen/>
        <w:t xml:space="preserve">HELP assistance </w:t>
      </w:r>
      <w:r w:rsidR="009724F7" w:rsidRPr="003237C5">
        <w:rPr>
          <w:rFonts w:ascii="Arial" w:hAnsi="Arial" w:cs="Arial"/>
          <w:kern w:val="28"/>
          <w:szCs w:val="18"/>
        </w:rPr>
        <w:t>and HECS</w:t>
      </w:r>
      <w:r w:rsidR="009724F7" w:rsidRPr="003237C5">
        <w:rPr>
          <w:kern w:val="28"/>
          <w:szCs w:val="18"/>
        </w:rPr>
        <w:t>-</w:t>
      </w:r>
      <w:r w:rsidR="009724F7" w:rsidRPr="003237C5">
        <w:rPr>
          <w:rFonts w:ascii="Arial" w:hAnsi="Arial" w:cs="Arial"/>
          <w:kern w:val="28"/>
          <w:szCs w:val="18"/>
        </w:rPr>
        <w:t>HELP assistance</w:t>
      </w:r>
      <w:r w:rsidR="009724F7" w:rsidRPr="003237C5">
        <w:rPr>
          <w:rFonts w:ascii="Arial" w:hAnsi="Arial" w:cs="Arial"/>
          <w:szCs w:val="22"/>
        </w:rPr>
        <w:t xml:space="preserve"> </w:t>
      </w:r>
      <w:r w:rsidRPr="003237C5">
        <w:rPr>
          <w:rFonts w:ascii="Arial" w:hAnsi="Arial" w:cs="Arial"/>
          <w:szCs w:val="22"/>
        </w:rPr>
        <w:t xml:space="preserve">for the unit of </w:t>
      </w:r>
      <w:proofErr w:type="gramStart"/>
      <w:r w:rsidRPr="003237C5">
        <w:rPr>
          <w:rFonts w:ascii="Arial" w:hAnsi="Arial" w:cs="Arial"/>
          <w:szCs w:val="22"/>
        </w:rPr>
        <w:t>study;</w:t>
      </w:r>
      <w:proofErr w:type="gramEnd"/>
    </w:p>
    <w:p w14:paraId="23FB94BB" w14:textId="77777777" w:rsidR="00C104FD" w:rsidRPr="003237C5" w:rsidRDefault="00C104FD" w:rsidP="00C104FD">
      <w:pPr>
        <w:pStyle w:val="paragraph"/>
        <w:rPr>
          <w:rFonts w:ascii="Arial" w:hAnsi="Arial" w:cs="Arial"/>
          <w:szCs w:val="22"/>
        </w:rPr>
      </w:pPr>
      <w:r w:rsidRPr="003237C5">
        <w:rPr>
          <w:rFonts w:ascii="Arial" w:hAnsi="Arial" w:cs="Arial"/>
          <w:szCs w:val="22"/>
        </w:rPr>
        <w:tab/>
        <w:t>(d)</w:t>
      </w:r>
      <w:r w:rsidRPr="003237C5">
        <w:rPr>
          <w:rFonts w:ascii="Arial" w:hAnsi="Arial" w:cs="Arial"/>
          <w:szCs w:val="22"/>
        </w:rPr>
        <w:tab/>
        <w:t xml:space="preserve">marketing merchandise up to the total value of $30 per </w:t>
      </w:r>
      <w:proofErr w:type="gramStart"/>
      <w:r w:rsidRPr="003237C5">
        <w:rPr>
          <w:rFonts w:ascii="Arial" w:hAnsi="Arial" w:cs="Arial"/>
          <w:szCs w:val="22"/>
        </w:rPr>
        <w:t>person;</w:t>
      </w:r>
      <w:proofErr w:type="gramEnd"/>
    </w:p>
    <w:p w14:paraId="0585A101" w14:textId="77777777" w:rsidR="00C104FD" w:rsidRPr="003237C5" w:rsidRDefault="00C104FD" w:rsidP="00C104FD">
      <w:pPr>
        <w:pStyle w:val="paragraph"/>
        <w:rPr>
          <w:rFonts w:ascii="Arial" w:hAnsi="Arial" w:cs="Arial"/>
          <w:szCs w:val="22"/>
        </w:rPr>
      </w:pPr>
      <w:r w:rsidRPr="003237C5">
        <w:rPr>
          <w:rFonts w:ascii="Arial" w:hAnsi="Arial" w:cs="Arial"/>
          <w:szCs w:val="22"/>
        </w:rPr>
        <w:tab/>
        <w:t>(e)</w:t>
      </w:r>
      <w:r w:rsidRPr="003237C5">
        <w:rPr>
          <w:rFonts w:ascii="Arial" w:hAnsi="Arial" w:cs="Arial"/>
          <w:szCs w:val="22"/>
        </w:rPr>
        <w:tab/>
        <w:t>the offering of money in the form of scholarships or bursaries.</w:t>
      </w:r>
    </w:p>
    <w:p w14:paraId="727E5962" w14:textId="77777777" w:rsidR="00C104FD" w:rsidRPr="003237C5" w:rsidRDefault="00C104FD" w:rsidP="00C104FD">
      <w:pPr>
        <w:pStyle w:val="ActHead5"/>
        <w:rPr>
          <w:rFonts w:ascii="Arial" w:hAnsi="Arial" w:cs="Arial"/>
          <w:sz w:val="22"/>
          <w:szCs w:val="22"/>
        </w:rPr>
      </w:pPr>
      <w:bookmarkStart w:id="28" w:name="_Toc3370944"/>
      <w:proofErr w:type="gramStart"/>
      <w:r w:rsidRPr="003237C5">
        <w:rPr>
          <w:rStyle w:val="CharSectno"/>
          <w:rFonts w:ascii="Arial" w:hAnsi="Arial" w:cs="Arial"/>
          <w:sz w:val="22"/>
          <w:szCs w:val="22"/>
        </w:rPr>
        <w:t>8.5</w:t>
      </w:r>
      <w:r w:rsidRPr="003237C5">
        <w:rPr>
          <w:rFonts w:ascii="Arial" w:hAnsi="Arial" w:cs="Arial"/>
          <w:sz w:val="22"/>
          <w:szCs w:val="22"/>
        </w:rPr>
        <w:t xml:space="preserve">  Use</w:t>
      </w:r>
      <w:proofErr w:type="gramEnd"/>
      <w:r w:rsidRPr="003237C5">
        <w:rPr>
          <w:rFonts w:ascii="Arial" w:hAnsi="Arial" w:cs="Arial"/>
          <w:sz w:val="22"/>
          <w:szCs w:val="22"/>
        </w:rPr>
        <w:t xml:space="preserve"> of third party contact lists</w:t>
      </w:r>
      <w:bookmarkEnd w:id="28"/>
    </w:p>
    <w:p w14:paraId="74380361" w14:textId="77777777" w:rsidR="00C104FD" w:rsidRPr="003237C5" w:rsidRDefault="00C104FD" w:rsidP="00C104FD">
      <w:pPr>
        <w:pStyle w:val="subsection"/>
        <w:rPr>
          <w:rFonts w:ascii="Arial" w:hAnsi="Arial" w:cs="Arial"/>
          <w:szCs w:val="22"/>
        </w:rPr>
      </w:pPr>
      <w:r w:rsidRPr="003237C5">
        <w:rPr>
          <w:rFonts w:ascii="Arial" w:hAnsi="Arial" w:cs="Arial"/>
          <w:szCs w:val="22"/>
        </w:rPr>
        <w:tab/>
        <w:t>8.5.1</w:t>
      </w:r>
      <w:r w:rsidRPr="003237C5">
        <w:rPr>
          <w:rFonts w:ascii="Arial" w:hAnsi="Arial" w:cs="Arial"/>
          <w:szCs w:val="22"/>
        </w:rPr>
        <w:tab/>
        <w:t>This section is made for the purposes of subsection 19</w:t>
      </w:r>
      <w:r w:rsidRPr="003237C5">
        <w:rPr>
          <w:rFonts w:ascii="Arial" w:hAnsi="Arial" w:cs="Arial"/>
          <w:szCs w:val="22"/>
        </w:rPr>
        <w:noBreakHyphen/>
        <w:t>36</w:t>
      </w:r>
      <w:proofErr w:type="gramStart"/>
      <w:r w:rsidRPr="003237C5">
        <w:rPr>
          <w:rFonts w:ascii="Arial" w:hAnsi="Arial" w:cs="Arial"/>
          <w:szCs w:val="22"/>
        </w:rPr>
        <w:t>C(</w:t>
      </w:r>
      <w:proofErr w:type="gramEnd"/>
      <w:r w:rsidRPr="003237C5">
        <w:rPr>
          <w:rFonts w:ascii="Arial" w:hAnsi="Arial" w:cs="Arial"/>
          <w:szCs w:val="22"/>
        </w:rPr>
        <w:t xml:space="preserve">3) of the </w:t>
      </w:r>
      <w:r w:rsidRPr="003237C5">
        <w:rPr>
          <w:rFonts w:ascii="Arial" w:hAnsi="Arial" w:cs="Arial"/>
          <w:i/>
          <w:szCs w:val="22"/>
        </w:rPr>
        <w:t>Act</w:t>
      </w:r>
      <w:r w:rsidRPr="003237C5">
        <w:rPr>
          <w:rFonts w:ascii="Arial" w:hAnsi="Arial" w:cs="Arial"/>
          <w:szCs w:val="22"/>
        </w:rPr>
        <w:t>.</w:t>
      </w:r>
    </w:p>
    <w:p w14:paraId="23E686F8" w14:textId="77777777" w:rsidR="00C104FD" w:rsidRPr="003237C5" w:rsidRDefault="00C104FD" w:rsidP="00C104FD">
      <w:pPr>
        <w:pStyle w:val="subsection"/>
        <w:rPr>
          <w:rFonts w:ascii="Arial" w:hAnsi="Arial" w:cs="Arial"/>
          <w:szCs w:val="22"/>
        </w:rPr>
      </w:pPr>
      <w:r w:rsidRPr="003237C5">
        <w:rPr>
          <w:rFonts w:ascii="Arial" w:hAnsi="Arial" w:cs="Arial"/>
          <w:szCs w:val="22"/>
        </w:rPr>
        <w:tab/>
        <w:t>8.5.5</w:t>
      </w:r>
      <w:r w:rsidRPr="003237C5">
        <w:rPr>
          <w:rFonts w:ascii="Arial" w:hAnsi="Arial" w:cs="Arial"/>
          <w:szCs w:val="22"/>
        </w:rPr>
        <w:tab/>
        <w:t>Subsection 19</w:t>
      </w:r>
      <w:r w:rsidRPr="003237C5">
        <w:rPr>
          <w:rFonts w:ascii="Arial" w:hAnsi="Arial" w:cs="Arial"/>
          <w:szCs w:val="22"/>
        </w:rPr>
        <w:noBreakHyphen/>
        <w:t>36</w:t>
      </w:r>
      <w:proofErr w:type="gramStart"/>
      <w:r w:rsidRPr="003237C5">
        <w:rPr>
          <w:rFonts w:ascii="Arial" w:hAnsi="Arial" w:cs="Arial"/>
          <w:szCs w:val="22"/>
        </w:rPr>
        <w:t>C(</w:t>
      </w:r>
      <w:proofErr w:type="gramEnd"/>
      <w:r w:rsidRPr="003237C5">
        <w:rPr>
          <w:rFonts w:ascii="Arial" w:hAnsi="Arial" w:cs="Arial"/>
          <w:szCs w:val="22"/>
        </w:rPr>
        <w:t xml:space="preserve">2) of the </w:t>
      </w:r>
      <w:r w:rsidRPr="003237C5">
        <w:rPr>
          <w:rFonts w:ascii="Arial" w:hAnsi="Arial" w:cs="Arial"/>
          <w:i/>
          <w:szCs w:val="22"/>
        </w:rPr>
        <w:t>Act</w:t>
      </w:r>
      <w:r w:rsidRPr="003237C5">
        <w:rPr>
          <w:rFonts w:ascii="Arial" w:hAnsi="Arial" w:cs="Arial"/>
          <w:szCs w:val="22"/>
        </w:rPr>
        <w:t xml:space="preserve"> does not apply if the student has given express consent to being contacted by the higher education provider.</w:t>
      </w:r>
    </w:p>
    <w:p w14:paraId="5DD48CC4" w14:textId="77777777" w:rsidR="00C104FD" w:rsidRPr="003237C5" w:rsidRDefault="00C104FD" w:rsidP="00C104FD">
      <w:pPr>
        <w:pStyle w:val="subsection"/>
        <w:rPr>
          <w:rFonts w:ascii="Arial" w:hAnsi="Arial" w:cs="Arial"/>
          <w:szCs w:val="22"/>
        </w:rPr>
      </w:pPr>
      <w:r w:rsidRPr="003237C5">
        <w:rPr>
          <w:rFonts w:ascii="Arial" w:hAnsi="Arial" w:cs="Arial"/>
          <w:szCs w:val="22"/>
        </w:rPr>
        <w:tab/>
        <w:t>8.5.10</w:t>
      </w:r>
      <w:r w:rsidRPr="003237C5">
        <w:rPr>
          <w:rFonts w:ascii="Arial" w:hAnsi="Arial" w:cs="Arial"/>
          <w:szCs w:val="22"/>
        </w:rPr>
        <w:tab/>
        <w:t>However, subject to section 8.5.15, a student cannot be taken to have provided express consent unless:</w:t>
      </w:r>
    </w:p>
    <w:p w14:paraId="3E292FA4"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information in the request for consent was presented clearly, and set out the specific purpose for which the student’s personal information would be used if consent were given; and</w:t>
      </w:r>
    </w:p>
    <w:p w14:paraId="4D158AC2"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the request was prominent; and</w:t>
      </w:r>
    </w:p>
    <w:p w14:paraId="4E7908B2" w14:textId="77777777"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the student was able to give consent in a separate optional tick box from other consents; and</w:t>
      </w:r>
    </w:p>
    <w:p w14:paraId="144F74CD" w14:textId="77777777" w:rsidR="00C104FD" w:rsidRPr="003237C5" w:rsidRDefault="00C104FD" w:rsidP="00C104FD">
      <w:pPr>
        <w:pStyle w:val="paragraph"/>
        <w:rPr>
          <w:rFonts w:ascii="Arial" w:hAnsi="Arial" w:cs="Arial"/>
          <w:szCs w:val="22"/>
        </w:rPr>
      </w:pPr>
      <w:r w:rsidRPr="003237C5">
        <w:rPr>
          <w:rFonts w:ascii="Arial" w:hAnsi="Arial" w:cs="Arial"/>
          <w:szCs w:val="22"/>
        </w:rPr>
        <w:tab/>
        <w:t>(d)</w:t>
      </w:r>
      <w:r w:rsidRPr="003237C5">
        <w:rPr>
          <w:rFonts w:ascii="Arial" w:hAnsi="Arial" w:cs="Arial"/>
          <w:szCs w:val="22"/>
        </w:rPr>
        <w:tab/>
        <w:t xml:space="preserve">the request was not a required field to be answered </w:t>
      </w:r>
      <w:proofErr w:type="gramStart"/>
      <w:r w:rsidRPr="003237C5">
        <w:rPr>
          <w:rFonts w:ascii="Arial" w:hAnsi="Arial" w:cs="Arial"/>
          <w:szCs w:val="22"/>
        </w:rPr>
        <w:t>in order for</w:t>
      </w:r>
      <w:proofErr w:type="gramEnd"/>
      <w:r w:rsidRPr="003237C5">
        <w:rPr>
          <w:rFonts w:ascii="Arial" w:hAnsi="Arial" w:cs="Arial"/>
          <w:szCs w:val="22"/>
        </w:rPr>
        <w:t xml:space="preserve"> a person to submit other information; and</w:t>
      </w:r>
    </w:p>
    <w:p w14:paraId="474091AC" w14:textId="77777777" w:rsidR="00C104FD" w:rsidRPr="003237C5" w:rsidRDefault="00C104FD" w:rsidP="00C104FD">
      <w:pPr>
        <w:pStyle w:val="paragraph"/>
        <w:rPr>
          <w:rFonts w:ascii="Arial" w:hAnsi="Arial" w:cs="Arial"/>
          <w:szCs w:val="22"/>
        </w:rPr>
      </w:pPr>
      <w:r w:rsidRPr="003237C5">
        <w:rPr>
          <w:rFonts w:ascii="Arial" w:hAnsi="Arial" w:cs="Arial"/>
          <w:szCs w:val="22"/>
        </w:rPr>
        <w:tab/>
        <w:t>(e)</w:t>
      </w:r>
      <w:r w:rsidRPr="003237C5">
        <w:rPr>
          <w:rFonts w:ascii="Arial" w:hAnsi="Arial" w:cs="Arial"/>
          <w:szCs w:val="22"/>
        </w:rPr>
        <w:tab/>
        <w:t>the request did not include a default tick for consent; and</w:t>
      </w:r>
    </w:p>
    <w:p w14:paraId="13214BFA" w14:textId="77777777" w:rsidR="00C104FD" w:rsidRPr="003237C5" w:rsidRDefault="00C104FD" w:rsidP="00C104FD">
      <w:pPr>
        <w:pStyle w:val="paragraph"/>
        <w:rPr>
          <w:rFonts w:ascii="Arial" w:hAnsi="Arial" w:cs="Arial"/>
          <w:szCs w:val="22"/>
        </w:rPr>
      </w:pPr>
      <w:r w:rsidRPr="003237C5">
        <w:rPr>
          <w:rFonts w:ascii="Arial" w:hAnsi="Arial" w:cs="Arial"/>
          <w:szCs w:val="22"/>
        </w:rPr>
        <w:tab/>
        <w:t>(f)</w:t>
      </w:r>
      <w:r w:rsidRPr="003237C5">
        <w:rPr>
          <w:rFonts w:ascii="Arial" w:hAnsi="Arial" w:cs="Arial"/>
          <w:szCs w:val="22"/>
        </w:rPr>
        <w:tab/>
        <w:t>the request named the provider; and</w:t>
      </w:r>
    </w:p>
    <w:p w14:paraId="7F6C7D26" w14:textId="77777777" w:rsidR="00C104FD" w:rsidRPr="003237C5" w:rsidRDefault="00C104FD" w:rsidP="00C104FD">
      <w:pPr>
        <w:pStyle w:val="paragraph"/>
        <w:rPr>
          <w:rFonts w:ascii="Arial" w:hAnsi="Arial" w:cs="Arial"/>
          <w:szCs w:val="22"/>
        </w:rPr>
      </w:pPr>
      <w:r w:rsidRPr="003237C5">
        <w:rPr>
          <w:rFonts w:ascii="Arial" w:hAnsi="Arial" w:cs="Arial"/>
          <w:szCs w:val="22"/>
        </w:rPr>
        <w:tab/>
        <w:t>(g)</w:t>
      </w:r>
      <w:r w:rsidRPr="003237C5">
        <w:rPr>
          <w:rFonts w:ascii="Arial" w:hAnsi="Arial" w:cs="Arial"/>
          <w:szCs w:val="22"/>
        </w:rPr>
        <w:tab/>
        <w:t>the request detailed any referral fee or other fee that would be paid to the person who made the request and any other benefit that would be provided to the person who made the request.</w:t>
      </w:r>
    </w:p>
    <w:p w14:paraId="000A1804" w14:textId="77777777" w:rsidR="00C104FD" w:rsidRPr="003237C5" w:rsidRDefault="00C104FD" w:rsidP="00C104FD">
      <w:pPr>
        <w:pStyle w:val="subsection"/>
        <w:rPr>
          <w:rFonts w:ascii="Arial" w:hAnsi="Arial" w:cs="Arial"/>
          <w:szCs w:val="22"/>
        </w:rPr>
      </w:pPr>
      <w:r w:rsidRPr="003237C5">
        <w:rPr>
          <w:rFonts w:ascii="Arial" w:hAnsi="Arial" w:cs="Arial"/>
          <w:szCs w:val="22"/>
        </w:rPr>
        <w:tab/>
        <w:t>8.5.15</w:t>
      </w:r>
      <w:r w:rsidRPr="003237C5">
        <w:rPr>
          <w:rFonts w:ascii="Arial" w:hAnsi="Arial" w:cs="Arial"/>
          <w:szCs w:val="22"/>
        </w:rPr>
        <w:tab/>
        <w:t>The student is taken to have provided express consent if the student initiates contact with a third party for the purpose of:</w:t>
      </w:r>
    </w:p>
    <w:p w14:paraId="1E47F2A6"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giving information relating to education and training to the provider; or</w:t>
      </w:r>
    </w:p>
    <w:p w14:paraId="49348FB0"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obtaining information relating to higher education from the provider.</w:t>
      </w:r>
    </w:p>
    <w:p w14:paraId="0079420F" w14:textId="77777777" w:rsidR="00C104FD" w:rsidRPr="003237C5" w:rsidRDefault="00C104FD" w:rsidP="00C104FD">
      <w:pPr>
        <w:pStyle w:val="ActHead5"/>
        <w:rPr>
          <w:rFonts w:ascii="Arial" w:hAnsi="Arial" w:cs="Arial"/>
          <w:sz w:val="22"/>
          <w:szCs w:val="22"/>
        </w:rPr>
      </w:pPr>
      <w:bookmarkStart w:id="29" w:name="_Toc3370945"/>
      <w:proofErr w:type="gramStart"/>
      <w:r w:rsidRPr="003237C5">
        <w:rPr>
          <w:rStyle w:val="CharSectno"/>
          <w:rFonts w:ascii="Arial" w:hAnsi="Arial" w:cs="Arial"/>
          <w:sz w:val="22"/>
          <w:szCs w:val="22"/>
        </w:rPr>
        <w:t>8.6</w:t>
      </w:r>
      <w:r w:rsidRPr="003237C5">
        <w:rPr>
          <w:rFonts w:ascii="Arial" w:hAnsi="Arial" w:cs="Arial"/>
          <w:sz w:val="22"/>
          <w:szCs w:val="22"/>
        </w:rPr>
        <w:t xml:space="preserve">  Keeping</w:t>
      </w:r>
      <w:proofErr w:type="gramEnd"/>
      <w:r w:rsidRPr="003237C5">
        <w:rPr>
          <w:rFonts w:ascii="Arial" w:hAnsi="Arial" w:cs="Arial"/>
          <w:sz w:val="22"/>
          <w:szCs w:val="22"/>
        </w:rPr>
        <w:t xml:space="preserve"> records</w:t>
      </w:r>
      <w:bookmarkEnd w:id="29"/>
    </w:p>
    <w:p w14:paraId="46E7FB3C" w14:textId="77777777" w:rsidR="00C104FD" w:rsidRPr="003237C5" w:rsidRDefault="00C104FD" w:rsidP="00C104FD">
      <w:pPr>
        <w:pStyle w:val="subsection"/>
        <w:rPr>
          <w:rFonts w:ascii="Arial" w:hAnsi="Arial" w:cs="Arial"/>
          <w:szCs w:val="22"/>
        </w:rPr>
      </w:pPr>
      <w:r w:rsidRPr="003237C5">
        <w:rPr>
          <w:rFonts w:ascii="Arial" w:hAnsi="Arial" w:cs="Arial"/>
          <w:szCs w:val="22"/>
        </w:rPr>
        <w:tab/>
        <w:t>8.6.1</w:t>
      </w:r>
      <w:r w:rsidRPr="003237C5">
        <w:rPr>
          <w:rFonts w:ascii="Arial" w:hAnsi="Arial" w:cs="Arial"/>
          <w:szCs w:val="22"/>
        </w:rPr>
        <w:tab/>
        <w:t>This section is made for the purposes of section 19</w:t>
      </w:r>
      <w:r w:rsidRPr="003237C5">
        <w:rPr>
          <w:rFonts w:ascii="Arial" w:hAnsi="Arial" w:cs="Arial"/>
          <w:szCs w:val="22"/>
        </w:rPr>
        <w:noBreakHyphen/>
        <w:t xml:space="preserve">72 of the </w:t>
      </w:r>
      <w:r w:rsidRPr="003237C5">
        <w:rPr>
          <w:rFonts w:ascii="Arial" w:hAnsi="Arial" w:cs="Arial"/>
          <w:i/>
          <w:szCs w:val="22"/>
        </w:rPr>
        <w:t>Act</w:t>
      </w:r>
      <w:r w:rsidRPr="003237C5">
        <w:rPr>
          <w:rFonts w:ascii="Arial" w:hAnsi="Arial" w:cs="Arial"/>
          <w:szCs w:val="22"/>
        </w:rPr>
        <w:t>.</w:t>
      </w:r>
    </w:p>
    <w:p w14:paraId="4C9E1912" w14:textId="77777777" w:rsidR="00C104FD" w:rsidRPr="003237C5" w:rsidRDefault="00C104FD" w:rsidP="00C104FD">
      <w:pPr>
        <w:pStyle w:val="subsection"/>
        <w:rPr>
          <w:rFonts w:ascii="Arial" w:hAnsi="Arial" w:cs="Arial"/>
          <w:szCs w:val="22"/>
        </w:rPr>
      </w:pPr>
      <w:r w:rsidRPr="003237C5">
        <w:rPr>
          <w:rFonts w:ascii="Arial" w:hAnsi="Arial" w:cs="Arial"/>
          <w:szCs w:val="22"/>
        </w:rPr>
        <w:tab/>
        <w:t>8.6.5</w:t>
      </w:r>
      <w:r w:rsidRPr="003237C5">
        <w:rPr>
          <w:rFonts w:ascii="Arial" w:hAnsi="Arial" w:cs="Arial"/>
          <w:szCs w:val="22"/>
        </w:rPr>
        <w:tab/>
        <w:t>A higher education provider must keep records relating to:</w:t>
      </w:r>
    </w:p>
    <w:p w14:paraId="68349889"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how the provider assessed a student as academically suited to undertake a unit of study before enrolling the student in the unit of study being undertaken as part of a course of study; and</w:t>
      </w:r>
    </w:p>
    <w:p w14:paraId="44CCA72C" w14:textId="64DC65C0"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if the provider is satisfied that special circumstances apply to a student for the purposes of section 104</w:t>
      </w:r>
      <w:r w:rsidRPr="003237C5">
        <w:rPr>
          <w:rFonts w:ascii="Arial" w:hAnsi="Arial" w:cs="Arial"/>
          <w:szCs w:val="22"/>
        </w:rPr>
        <w:noBreakHyphen/>
        <w:t xml:space="preserve">1A of the </w:t>
      </w:r>
      <w:r w:rsidRPr="003237C5">
        <w:rPr>
          <w:rFonts w:ascii="Arial" w:hAnsi="Arial" w:cs="Arial"/>
          <w:i/>
          <w:szCs w:val="22"/>
        </w:rPr>
        <w:t>Act</w:t>
      </w:r>
      <w:r w:rsidRPr="003237C5">
        <w:rPr>
          <w:rFonts w:ascii="Arial" w:hAnsi="Arial" w:cs="Arial"/>
          <w:szCs w:val="22"/>
        </w:rPr>
        <w:t>—the grounds on which the provider is so satisfied</w:t>
      </w:r>
      <w:r w:rsidR="00CE1923" w:rsidRPr="003237C5">
        <w:rPr>
          <w:rFonts w:ascii="Arial" w:hAnsi="Arial" w:cs="Arial"/>
          <w:szCs w:val="22"/>
        </w:rPr>
        <w:t xml:space="preserve">; and </w:t>
      </w:r>
    </w:p>
    <w:p w14:paraId="26CB5F7A" w14:textId="763859A7" w:rsidR="00CE1923" w:rsidRPr="003237C5" w:rsidRDefault="00CE1923"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if the provider determines that undertaking a unit will not impose an unreasonable study load on a person for the purposes of subsections 36-12(2) and 104-1</w:t>
      </w:r>
      <w:proofErr w:type="gramStart"/>
      <w:r w:rsidRPr="003237C5">
        <w:rPr>
          <w:rFonts w:ascii="Arial" w:hAnsi="Arial" w:cs="Arial"/>
          <w:szCs w:val="22"/>
        </w:rPr>
        <w:t>AA(</w:t>
      </w:r>
      <w:proofErr w:type="gramEnd"/>
      <w:r w:rsidRPr="003237C5">
        <w:rPr>
          <w:rFonts w:ascii="Arial" w:hAnsi="Arial" w:cs="Arial"/>
          <w:szCs w:val="22"/>
        </w:rPr>
        <w:t>2)—the grounds on which the provider made such a determination.</w:t>
      </w:r>
    </w:p>
    <w:p w14:paraId="7A360FEF" w14:textId="77777777" w:rsidR="00C104FD" w:rsidRPr="003237C5" w:rsidRDefault="00C104FD" w:rsidP="00C104FD">
      <w:pPr>
        <w:pStyle w:val="notetext"/>
        <w:rPr>
          <w:rFonts w:ascii="Arial" w:hAnsi="Arial" w:cs="Arial"/>
          <w:sz w:val="20"/>
        </w:rPr>
      </w:pPr>
      <w:r w:rsidRPr="003237C5">
        <w:rPr>
          <w:rFonts w:ascii="Arial" w:hAnsi="Arial" w:cs="Arial"/>
          <w:sz w:val="20"/>
        </w:rPr>
        <w:t>Note 1:</w:t>
      </w:r>
      <w:r w:rsidRPr="003237C5">
        <w:rPr>
          <w:rFonts w:ascii="Arial" w:hAnsi="Arial" w:cs="Arial"/>
          <w:sz w:val="20"/>
        </w:rPr>
        <w:tab/>
        <w:t>The requirement to undertake the assessment mentioned in paragraph (a) is imposed under section 19</w:t>
      </w:r>
      <w:r w:rsidRPr="003237C5">
        <w:rPr>
          <w:rFonts w:ascii="Arial" w:hAnsi="Arial" w:cs="Arial"/>
          <w:sz w:val="20"/>
        </w:rPr>
        <w:noBreakHyphen/>
        <w:t xml:space="preserve">42 of the </w:t>
      </w:r>
      <w:r w:rsidRPr="003237C5">
        <w:rPr>
          <w:rFonts w:ascii="Arial" w:hAnsi="Arial" w:cs="Arial"/>
          <w:i/>
          <w:sz w:val="20"/>
        </w:rPr>
        <w:t>Act</w:t>
      </w:r>
      <w:r w:rsidRPr="003237C5">
        <w:rPr>
          <w:rFonts w:ascii="Arial" w:hAnsi="Arial" w:cs="Arial"/>
          <w:sz w:val="20"/>
        </w:rPr>
        <w:t>.</w:t>
      </w:r>
    </w:p>
    <w:p w14:paraId="070E3292" w14:textId="77777777" w:rsidR="00C104FD" w:rsidRPr="003237C5" w:rsidRDefault="00C104FD" w:rsidP="00C104FD">
      <w:pPr>
        <w:pStyle w:val="notetext"/>
        <w:rPr>
          <w:rFonts w:ascii="Arial" w:hAnsi="Arial" w:cs="Arial"/>
          <w:sz w:val="20"/>
        </w:rPr>
      </w:pPr>
      <w:r w:rsidRPr="003237C5">
        <w:rPr>
          <w:rFonts w:ascii="Arial" w:hAnsi="Arial" w:cs="Arial"/>
          <w:sz w:val="20"/>
        </w:rPr>
        <w:t>Note 2:</w:t>
      </w:r>
      <w:r w:rsidRPr="003237C5">
        <w:rPr>
          <w:rFonts w:ascii="Arial" w:hAnsi="Arial" w:cs="Arial"/>
          <w:sz w:val="20"/>
        </w:rPr>
        <w:tab/>
        <w:t>For when special circumstances apply to a person, see section 104</w:t>
      </w:r>
      <w:r w:rsidRPr="003237C5">
        <w:rPr>
          <w:rFonts w:ascii="Arial" w:hAnsi="Arial" w:cs="Arial"/>
          <w:sz w:val="20"/>
        </w:rPr>
        <w:noBreakHyphen/>
        <w:t xml:space="preserve">30 of the </w:t>
      </w:r>
      <w:r w:rsidRPr="003237C5">
        <w:rPr>
          <w:rFonts w:ascii="Arial" w:hAnsi="Arial" w:cs="Arial"/>
          <w:i/>
          <w:sz w:val="20"/>
        </w:rPr>
        <w:t>Act</w:t>
      </w:r>
      <w:r w:rsidRPr="003237C5">
        <w:rPr>
          <w:rFonts w:ascii="Arial" w:hAnsi="Arial" w:cs="Arial"/>
          <w:sz w:val="20"/>
        </w:rPr>
        <w:t>.</w:t>
      </w:r>
    </w:p>
    <w:p w14:paraId="46B6D07F" w14:textId="77777777" w:rsidR="00C104FD" w:rsidRPr="003237C5" w:rsidRDefault="00C104FD" w:rsidP="00C104FD">
      <w:pPr>
        <w:pStyle w:val="subsection"/>
        <w:rPr>
          <w:rFonts w:ascii="Arial" w:hAnsi="Arial" w:cs="Arial"/>
          <w:szCs w:val="22"/>
        </w:rPr>
      </w:pPr>
      <w:r w:rsidRPr="003237C5">
        <w:rPr>
          <w:rFonts w:ascii="Arial" w:hAnsi="Arial" w:cs="Arial"/>
          <w:szCs w:val="22"/>
        </w:rPr>
        <w:tab/>
        <w:t>8.6.10</w:t>
      </w:r>
      <w:r w:rsidRPr="003237C5">
        <w:rPr>
          <w:rFonts w:ascii="Arial" w:hAnsi="Arial" w:cs="Arial"/>
          <w:szCs w:val="22"/>
        </w:rPr>
        <w:tab/>
        <w:t>The records must be kept in a manner so that they can be readily provided upon request to the student concerned, the Minister or the Secretary.</w:t>
      </w:r>
    </w:p>
    <w:p w14:paraId="6E698096" w14:textId="77777777" w:rsidR="00C104FD" w:rsidRPr="003237C5" w:rsidRDefault="00C104FD" w:rsidP="00C104FD">
      <w:pPr>
        <w:pStyle w:val="subsection"/>
        <w:rPr>
          <w:rFonts w:ascii="Arial" w:hAnsi="Arial" w:cs="Arial"/>
          <w:szCs w:val="22"/>
        </w:rPr>
      </w:pPr>
      <w:r w:rsidRPr="003237C5">
        <w:rPr>
          <w:rFonts w:ascii="Arial" w:hAnsi="Arial" w:cs="Arial"/>
          <w:szCs w:val="22"/>
        </w:rPr>
        <w:tab/>
        <w:t>8.6.15</w:t>
      </w:r>
      <w:r w:rsidRPr="003237C5">
        <w:rPr>
          <w:rFonts w:ascii="Arial" w:hAnsi="Arial" w:cs="Arial"/>
          <w:szCs w:val="22"/>
        </w:rPr>
        <w:tab/>
        <w:t>A record required to be kept by a provider under this section must be kept by the provider for the period of 7 years, starting from when the record was made by the provider.</w:t>
      </w:r>
    </w:p>
    <w:p w14:paraId="6076DC46" w14:textId="77777777" w:rsidR="00C104FD" w:rsidRPr="003237C5" w:rsidRDefault="00C104FD" w:rsidP="00C104FD">
      <w:pPr>
        <w:pStyle w:val="ActHead5"/>
        <w:rPr>
          <w:rFonts w:ascii="Arial" w:hAnsi="Arial" w:cs="Arial"/>
          <w:sz w:val="22"/>
          <w:szCs w:val="22"/>
        </w:rPr>
      </w:pPr>
      <w:bookmarkStart w:id="30" w:name="_Toc3370946"/>
      <w:proofErr w:type="gramStart"/>
      <w:r w:rsidRPr="003237C5">
        <w:rPr>
          <w:rStyle w:val="CharSectno"/>
          <w:rFonts w:ascii="Arial" w:hAnsi="Arial" w:cs="Arial"/>
          <w:sz w:val="22"/>
          <w:szCs w:val="22"/>
        </w:rPr>
        <w:t>8.7</w:t>
      </w:r>
      <w:r w:rsidRPr="003237C5">
        <w:rPr>
          <w:rFonts w:ascii="Arial" w:hAnsi="Arial" w:cs="Arial"/>
          <w:sz w:val="22"/>
          <w:szCs w:val="22"/>
        </w:rPr>
        <w:t xml:space="preserve">  Publishing</w:t>
      </w:r>
      <w:proofErr w:type="gramEnd"/>
      <w:r w:rsidRPr="003237C5">
        <w:rPr>
          <w:rFonts w:ascii="Arial" w:hAnsi="Arial" w:cs="Arial"/>
          <w:sz w:val="22"/>
          <w:szCs w:val="22"/>
        </w:rPr>
        <w:t xml:space="preserve"> information</w:t>
      </w:r>
      <w:bookmarkEnd w:id="30"/>
    </w:p>
    <w:p w14:paraId="4AED44EB" w14:textId="77777777" w:rsidR="00C104FD" w:rsidRPr="003237C5" w:rsidRDefault="00C104FD" w:rsidP="00C104FD">
      <w:pPr>
        <w:pStyle w:val="subsection"/>
        <w:rPr>
          <w:rFonts w:ascii="Arial" w:hAnsi="Arial" w:cs="Arial"/>
          <w:szCs w:val="22"/>
        </w:rPr>
      </w:pPr>
      <w:r w:rsidRPr="003237C5">
        <w:rPr>
          <w:rFonts w:ascii="Arial" w:hAnsi="Arial" w:cs="Arial"/>
          <w:szCs w:val="22"/>
        </w:rPr>
        <w:tab/>
        <w:t>8.7.1</w:t>
      </w:r>
      <w:r w:rsidRPr="003237C5">
        <w:rPr>
          <w:rFonts w:ascii="Arial" w:hAnsi="Arial" w:cs="Arial"/>
          <w:szCs w:val="22"/>
        </w:rPr>
        <w:tab/>
        <w:t>This section is made for the purposes of section 19</w:t>
      </w:r>
      <w:r w:rsidRPr="003237C5">
        <w:rPr>
          <w:rFonts w:ascii="Arial" w:hAnsi="Arial" w:cs="Arial"/>
          <w:szCs w:val="22"/>
        </w:rPr>
        <w:noBreakHyphen/>
        <w:t xml:space="preserve">73 of the </w:t>
      </w:r>
      <w:r w:rsidRPr="003237C5">
        <w:rPr>
          <w:rFonts w:ascii="Arial" w:hAnsi="Arial" w:cs="Arial"/>
          <w:i/>
          <w:szCs w:val="22"/>
        </w:rPr>
        <w:t>Act</w:t>
      </w:r>
      <w:r w:rsidRPr="003237C5">
        <w:rPr>
          <w:rFonts w:ascii="Arial" w:hAnsi="Arial" w:cs="Arial"/>
          <w:szCs w:val="22"/>
        </w:rPr>
        <w:t>.</w:t>
      </w:r>
    </w:p>
    <w:p w14:paraId="0B79BCE6" w14:textId="77777777" w:rsidR="00C104FD" w:rsidRPr="003237C5" w:rsidRDefault="00C104FD" w:rsidP="00C104FD">
      <w:pPr>
        <w:pStyle w:val="subsection"/>
        <w:rPr>
          <w:rFonts w:ascii="Arial" w:hAnsi="Arial" w:cs="Arial"/>
          <w:szCs w:val="22"/>
        </w:rPr>
      </w:pPr>
      <w:r w:rsidRPr="003237C5">
        <w:rPr>
          <w:rFonts w:ascii="Arial" w:hAnsi="Arial" w:cs="Arial"/>
          <w:szCs w:val="22"/>
        </w:rPr>
        <w:tab/>
        <w:t>8.7.5</w:t>
      </w:r>
      <w:r w:rsidRPr="003237C5">
        <w:rPr>
          <w:rFonts w:ascii="Arial" w:hAnsi="Arial" w:cs="Arial"/>
          <w:szCs w:val="22"/>
        </w:rPr>
        <w:tab/>
        <w:t>A higher education provider must publish the following information in relation to each unit of study offered by the provider:</w:t>
      </w:r>
    </w:p>
    <w:p w14:paraId="585068A5"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the mode of delivery of the unit of </w:t>
      </w:r>
      <w:proofErr w:type="gramStart"/>
      <w:r w:rsidRPr="003237C5">
        <w:rPr>
          <w:rFonts w:ascii="Arial" w:hAnsi="Arial" w:cs="Arial"/>
          <w:szCs w:val="22"/>
        </w:rPr>
        <w:t>study;</w:t>
      </w:r>
      <w:proofErr w:type="gramEnd"/>
    </w:p>
    <w:p w14:paraId="1FCB5869"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whether the unit of study will be delivered by the provider or by a third </w:t>
      </w:r>
      <w:proofErr w:type="gramStart"/>
      <w:r w:rsidRPr="003237C5">
        <w:rPr>
          <w:rFonts w:ascii="Arial" w:hAnsi="Arial" w:cs="Arial"/>
          <w:szCs w:val="22"/>
        </w:rPr>
        <w:t>party;</w:t>
      </w:r>
      <w:proofErr w:type="gramEnd"/>
    </w:p>
    <w:p w14:paraId="093B032F" w14:textId="33C68F08" w:rsidR="00CE1923"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r>
      <w:r w:rsidR="00CE1923" w:rsidRPr="003237C5">
        <w:rPr>
          <w:rFonts w:ascii="Arial" w:hAnsi="Arial" w:cs="Arial"/>
          <w:szCs w:val="22"/>
        </w:rPr>
        <w:t xml:space="preserve">whether FEE-HELP assistance or HECS-HELP assistance is available for the unit of study and whether a person can be a Commonwealth supported student in relation to the unit of </w:t>
      </w:r>
      <w:proofErr w:type="gramStart"/>
      <w:r w:rsidR="00CE1923" w:rsidRPr="003237C5">
        <w:rPr>
          <w:rFonts w:ascii="Arial" w:hAnsi="Arial" w:cs="Arial"/>
          <w:szCs w:val="22"/>
        </w:rPr>
        <w:t>study;</w:t>
      </w:r>
      <w:proofErr w:type="gramEnd"/>
      <w:r w:rsidRPr="003237C5">
        <w:rPr>
          <w:rFonts w:ascii="Arial" w:hAnsi="Arial" w:cs="Arial"/>
          <w:szCs w:val="22"/>
        </w:rPr>
        <w:tab/>
      </w:r>
    </w:p>
    <w:p w14:paraId="6F19A7D3" w14:textId="29EAB1DA" w:rsidR="00C104FD" w:rsidRPr="003237C5" w:rsidRDefault="00CE1923" w:rsidP="00C104FD">
      <w:pPr>
        <w:pStyle w:val="paragraph"/>
        <w:rPr>
          <w:rFonts w:ascii="Arial" w:hAnsi="Arial" w:cs="Arial"/>
          <w:szCs w:val="22"/>
        </w:rPr>
      </w:pPr>
      <w:r w:rsidRPr="003237C5">
        <w:rPr>
          <w:rFonts w:ascii="Arial" w:hAnsi="Arial" w:cs="Arial"/>
          <w:szCs w:val="22"/>
        </w:rPr>
        <w:tab/>
      </w:r>
      <w:r w:rsidR="00C104FD" w:rsidRPr="003237C5">
        <w:rPr>
          <w:rFonts w:ascii="Arial" w:hAnsi="Arial" w:cs="Arial"/>
          <w:szCs w:val="22"/>
        </w:rPr>
        <w:t>(d)</w:t>
      </w:r>
      <w:r w:rsidR="00C104FD" w:rsidRPr="003237C5">
        <w:rPr>
          <w:rFonts w:ascii="Arial" w:hAnsi="Arial" w:cs="Arial"/>
          <w:szCs w:val="22"/>
        </w:rPr>
        <w:tab/>
        <w:t>whether there are any limits or conditions on the FEE</w:t>
      </w:r>
      <w:r w:rsidR="00C104FD" w:rsidRPr="003237C5">
        <w:rPr>
          <w:rFonts w:ascii="Arial" w:hAnsi="Arial" w:cs="Arial"/>
          <w:szCs w:val="22"/>
        </w:rPr>
        <w:noBreakHyphen/>
        <w:t>HELP assistance</w:t>
      </w:r>
      <w:r w:rsidRPr="003237C5">
        <w:rPr>
          <w:rFonts w:ascii="Arial" w:hAnsi="Arial" w:cs="Arial"/>
          <w:szCs w:val="22"/>
        </w:rPr>
        <w:t xml:space="preserve"> </w:t>
      </w:r>
      <w:r w:rsidRPr="003237C5">
        <w:rPr>
          <w:rFonts w:ascii="Arial" w:hAnsi="Arial" w:cs="Arial"/>
          <w:kern w:val="28"/>
          <w:szCs w:val="18"/>
        </w:rPr>
        <w:t>or HECS-HELP assistance</w:t>
      </w:r>
      <w:r w:rsidR="00C104FD" w:rsidRPr="003237C5">
        <w:rPr>
          <w:rFonts w:ascii="Arial" w:hAnsi="Arial" w:cs="Arial"/>
          <w:szCs w:val="22"/>
        </w:rPr>
        <w:t xml:space="preserve"> available for the unit of study imposed on the provider’s approval as a higher education provider.</w:t>
      </w:r>
    </w:p>
    <w:p w14:paraId="46482D62" w14:textId="77777777" w:rsidR="00C104FD" w:rsidRPr="003237C5" w:rsidRDefault="00C104FD" w:rsidP="00C104FD">
      <w:pPr>
        <w:pStyle w:val="subsection"/>
        <w:rPr>
          <w:rFonts w:ascii="Arial" w:hAnsi="Arial" w:cs="Arial"/>
          <w:szCs w:val="22"/>
        </w:rPr>
      </w:pPr>
      <w:r w:rsidRPr="003237C5">
        <w:rPr>
          <w:rFonts w:ascii="Arial" w:hAnsi="Arial" w:cs="Arial"/>
          <w:szCs w:val="22"/>
        </w:rPr>
        <w:tab/>
        <w:t>8.7.10</w:t>
      </w:r>
      <w:r w:rsidRPr="003237C5">
        <w:rPr>
          <w:rFonts w:ascii="Arial" w:hAnsi="Arial" w:cs="Arial"/>
          <w:szCs w:val="22"/>
        </w:rPr>
        <w:tab/>
        <w:t>The information must be published by the provider prominently on its website, and in a manner that is easily accessible without provision of login or contact information.</w:t>
      </w:r>
    </w:p>
    <w:p w14:paraId="5A01D973" w14:textId="77777777" w:rsidR="00C104FD" w:rsidRPr="003237C5" w:rsidRDefault="00C104FD" w:rsidP="00C104FD">
      <w:pPr>
        <w:pStyle w:val="subsection"/>
        <w:rPr>
          <w:rFonts w:ascii="Arial" w:hAnsi="Arial" w:cs="Arial"/>
          <w:szCs w:val="22"/>
        </w:rPr>
      </w:pPr>
      <w:r w:rsidRPr="003237C5">
        <w:rPr>
          <w:rFonts w:ascii="Arial" w:hAnsi="Arial" w:cs="Arial"/>
          <w:szCs w:val="22"/>
        </w:rPr>
        <w:tab/>
        <w:t>8.7.15</w:t>
      </w:r>
      <w:r w:rsidRPr="003237C5">
        <w:rPr>
          <w:rFonts w:ascii="Arial" w:hAnsi="Arial" w:cs="Arial"/>
          <w:szCs w:val="22"/>
        </w:rPr>
        <w:tab/>
        <w:t>The information must:</w:t>
      </w:r>
    </w:p>
    <w:p w14:paraId="13FFEA3F"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be published before the earliest day for enrolment in the unit of study; and</w:t>
      </w:r>
    </w:p>
    <w:p w14:paraId="5BCA21B7"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must remain published at least until the end of the period in which the unit can be undertaken.</w:t>
      </w:r>
    </w:p>
    <w:p w14:paraId="747C5779" w14:textId="77777777" w:rsidR="00C104FD" w:rsidRPr="003237C5" w:rsidRDefault="00C104FD" w:rsidP="00C104FD">
      <w:pPr>
        <w:pStyle w:val="ActHead5"/>
        <w:rPr>
          <w:rFonts w:ascii="Arial" w:hAnsi="Arial" w:cs="Arial"/>
          <w:sz w:val="22"/>
          <w:szCs w:val="22"/>
        </w:rPr>
      </w:pPr>
      <w:bookmarkStart w:id="31" w:name="_Toc3370947"/>
      <w:proofErr w:type="gramStart"/>
      <w:r w:rsidRPr="003237C5">
        <w:rPr>
          <w:rStyle w:val="CharSectno"/>
          <w:rFonts w:ascii="Arial" w:hAnsi="Arial" w:cs="Arial"/>
          <w:sz w:val="22"/>
          <w:szCs w:val="22"/>
        </w:rPr>
        <w:t>8.8</w:t>
      </w:r>
      <w:r w:rsidRPr="003237C5">
        <w:rPr>
          <w:rFonts w:ascii="Arial" w:hAnsi="Arial" w:cs="Arial"/>
          <w:sz w:val="22"/>
          <w:szCs w:val="22"/>
        </w:rPr>
        <w:t xml:space="preserve">  Withdrawal</w:t>
      </w:r>
      <w:proofErr w:type="gramEnd"/>
      <w:r w:rsidRPr="003237C5">
        <w:rPr>
          <w:rFonts w:ascii="Arial" w:hAnsi="Arial" w:cs="Arial"/>
          <w:sz w:val="22"/>
          <w:szCs w:val="22"/>
        </w:rPr>
        <w:t xml:space="preserve"> from units of study</w:t>
      </w:r>
      <w:bookmarkEnd w:id="31"/>
    </w:p>
    <w:p w14:paraId="6134AFAC" w14:textId="77777777" w:rsidR="00C104FD" w:rsidRPr="003237C5" w:rsidRDefault="00C104FD" w:rsidP="00C104FD">
      <w:pPr>
        <w:pStyle w:val="subsection"/>
        <w:rPr>
          <w:rFonts w:ascii="Arial" w:hAnsi="Arial" w:cs="Arial"/>
          <w:szCs w:val="22"/>
        </w:rPr>
      </w:pPr>
      <w:r w:rsidRPr="003237C5">
        <w:rPr>
          <w:rFonts w:ascii="Arial" w:hAnsi="Arial" w:cs="Arial"/>
          <w:szCs w:val="22"/>
        </w:rPr>
        <w:tab/>
        <w:t>8.8.1</w:t>
      </w:r>
      <w:r w:rsidRPr="003237C5">
        <w:rPr>
          <w:rFonts w:ascii="Arial" w:hAnsi="Arial" w:cs="Arial"/>
          <w:szCs w:val="22"/>
        </w:rPr>
        <w:tab/>
        <w:t>This section is made for the purposes of section 169</w:t>
      </w:r>
      <w:r w:rsidRPr="003237C5">
        <w:rPr>
          <w:rFonts w:ascii="Arial" w:hAnsi="Arial" w:cs="Arial"/>
          <w:szCs w:val="22"/>
        </w:rPr>
        <w:noBreakHyphen/>
        <w:t xml:space="preserve">17 of the </w:t>
      </w:r>
      <w:r w:rsidRPr="003237C5">
        <w:rPr>
          <w:rFonts w:ascii="Arial" w:hAnsi="Arial" w:cs="Arial"/>
          <w:i/>
          <w:szCs w:val="22"/>
        </w:rPr>
        <w:t>Act</w:t>
      </w:r>
      <w:r w:rsidRPr="003237C5">
        <w:rPr>
          <w:rFonts w:ascii="Arial" w:hAnsi="Arial" w:cs="Arial"/>
          <w:szCs w:val="22"/>
        </w:rPr>
        <w:t>.</w:t>
      </w:r>
    </w:p>
    <w:p w14:paraId="3D4436EC" w14:textId="77777777" w:rsidR="00C104FD" w:rsidRPr="003237C5" w:rsidRDefault="00C104FD" w:rsidP="00C104FD">
      <w:pPr>
        <w:pStyle w:val="subsection"/>
        <w:rPr>
          <w:rFonts w:ascii="Arial" w:hAnsi="Arial" w:cs="Arial"/>
          <w:szCs w:val="22"/>
        </w:rPr>
      </w:pPr>
      <w:r w:rsidRPr="003237C5">
        <w:rPr>
          <w:rFonts w:ascii="Arial" w:hAnsi="Arial" w:cs="Arial"/>
          <w:szCs w:val="22"/>
        </w:rPr>
        <w:tab/>
        <w:t>8.8.5</w:t>
      </w:r>
      <w:r w:rsidRPr="003237C5">
        <w:rPr>
          <w:rFonts w:ascii="Arial" w:hAnsi="Arial" w:cs="Arial"/>
          <w:szCs w:val="22"/>
        </w:rPr>
        <w:tab/>
        <w:t>A higher education provider must have processes and procedures that include:</w:t>
      </w:r>
    </w:p>
    <w:p w14:paraId="7CFBC29D"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procedures for a student to withdraw from a unit of study or a course of study; and</w:t>
      </w:r>
    </w:p>
    <w:p w14:paraId="6165FACB"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a procedure for a student to enrol in a unit of study that was part of a course of study with the provider in circumstances where the student had earlier withdrawn from a unit of study of that course undertaken with the provider.</w:t>
      </w:r>
    </w:p>
    <w:p w14:paraId="20531E08" w14:textId="77777777" w:rsidR="00C104FD" w:rsidRPr="003237C5" w:rsidRDefault="00C104FD" w:rsidP="00C104FD">
      <w:pPr>
        <w:pStyle w:val="subsection"/>
        <w:rPr>
          <w:rFonts w:ascii="Arial" w:hAnsi="Arial" w:cs="Arial"/>
          <w:szCs w:val="22"/>
        </w:rPr>
      </w:pPr>
      <w:r w:rsidRPr="003237C5">
        <w:rPr>
          <w:rFonts w:ascii="Arial" w:hAnsi="Arial" w:cs="Arial"/>
          <w:szCs w:val="22"/>
        </w:rPr>
        <w:tab/>
        <w:t>8.8.10</w:t>
      </w:r>
      <w:r w:rsidRPr="003237C5">
        <w:rPr>
          <w:rFonts w:ascii="Arial" w:hAnsi="Arial" w:cs="Arial"/>
          <w:szCs w:val="22"/>
        </w:rPr>
        <w:tab/>
        <w:t xml:space="preserve">The procedures for a student to withdraw from a unit of study or a course of study, before a census date for the unit or course, must not involve financial, </w:t>
      </w:r>
      <w:proofErr w:type="gramStart"/>
      <w:r w:rsidRPr="003237C5">
        <w:rPr>
          <w:rFonts w:ascii="Arial" w:hAnsi="Arial" w:cs="Arial"/>
          <w:szCs w:val="22"/>
        </w:rPr>
        <w:t>administrative</w:t>
      </w:r>
      <w:proofErr w:type="gramEnd"/>
      <w:r w:rsidRPr="003237C5">
        <w:rPr>
          <w:rFonts w:ascii="Arial" w:hAnsi="Arial" w:cs="Arial"/>
          <w:szCs w:val="22"/>
        </w:rPr>
        <w:t xml:space="preserve"> or other barriers to the withdrawal.</w:t>
      </w:r>
    </w:p>
    <w:p w14:paraId="2FB3DC0B" w14:textId="77777777" w:rsidR="00C104FD" w:rsidRPr="003237C5" w:rsidRDefault="00C104FD" w:rsidP="00C104FD">
      <w:pPr>
        <w:pStyle w:val="subsection"/>
        <w:rPr>
          <w:rFonts w:ascii="Arial" w:hAnsi="Arial" w:cs="Arial"/>
          <w:szCs w:val="22"/>
        </w:rPr>
      </w:pPr>
      <w:r w:rsidRPr="003237C5">
        <w:rPr>
          <w:rFonts w:ascii="Arial" w:hAnsi="Arial" w:cs="Arial"/>
          <w:szCs w:val="22"/>
        </w:rPr>
        <w:tab/>
        <w:t>8.8.15</w:t>
      </w:r>
      <w:r w:rsidRPr="003237C5">
        <w:rPr>
          <w:rFonts w:ascii="Arial" w:hAnsi="Arial" w:cs="Arial"/>
          <w:szCs w:val="22"/>
        </w:rPr>
        <w:tab/>
        <w:t>If a student withdraws from a unit of study or a course of study, the provider must not, after the withdrawal, enrol the student in a unit of study or course of study without the written permission of the student (which must be given after the withdrawal).</w:t>
      </w:r>
    </w:p>
    <w:p w14:paraId="220D623F" w14:textId="77777777" w:rsidR="00C104FD" w:rsidRPr="003237C5" w:rsidRDefault="00C104FD" w:rsidP="00C104FD">
      <w:bookmarkStart w:id="32" w:name="_Toc3370948"/>
    </w:p>
    <w:p w14:paraId="767ED2F7" w14:textId="77777777" w:rsidR="00C104FD" w:rsidRPr="003237C5" w:rsidRDefault="00C104FD" w:rsidP="00D5292E">
      <w:pPr>
        <w:pStyle w:val="Heading1"/>
        <w:pageBreakBefore/>
        <w:rPr>
          <w:u w:val="single"/>
        </w:rPr>
      </w:pPr>
      <w:bookmarkStart w:id="33" w:name="_Toc93391330"/>
      <w:r w:rsidRPr="003237C5">
        <w:rPr>
          <w:u w:val="single"/>
        </w:rPr>
        <w:t>CHAPTER 9</w:t>
      </w:r>
      <w:r w:rsidRPr="003237C5">
        <w:rPr>
          <w:u w:val="single"/>
        </w:rPr>
        <w:tab/>
        <w:t>DETERMINING WHETHER STUDENTS ARE GENUINE STUDENTS</w:t>
      </w:r>
      <w:bookmarkEnd w:id="33"/>
    </w:p>
    <w:p w14:paraId="7A7043E4" w14:textId="77777777" w:rsidR="00C104FD" w:rsidRPr="003237C5" w:rsidRDefault="00C104FD" w:rsidP="00C104FD">
      <w:pPr>
        <w:rPr>
          <w:rStyle w:val="CharSectno"/>
        </w:rPr>
      </w:pPr>
      <w:bookmarkStart w:id="34" w:name="_Toc3370949"/>
      <w:bookmarkEnd w:id="32"/>
    </w:p>
    <w:p w14:paraId="3FE96CE7" w14:textId="77777777" w:rsidR="00C104FD" w:rsidRPr="003237C5" w:rsidRDefault="00C104FD" w:rsidP="00C104FD">
      <w:pPr>
        <w:pStyle w:val="ActHead5"/>
        <w:rPr>
          <w:rFonts w:ascii="Arial" w:hAnsi="Arial" w:cs="Arial"/>
          <w:sz w:val="22"/>
          <w:szCs w:val="22"/>
        </w:rPr>
      </w:pPr>
      <w:proofErr w:type="gramStart"/>
      <w:r w:rsidRPr="003237C5">
        <w:rPr>
          <w:rStyle w:val="CharSectno"/>
          <w:rFonts w:ascii="Arial" w:hAnsi="Arial" w:cs="Arial"/>
          <w:sz w:val="22"/>
          <w:szCs w:val="22"/>
        </w:rPr>
        <w:t>9.1</w:t>
      </w:r>
      <w:r w:rsidRPr="003237C5">
        <w:rPr>
          <w:rFonts w:ascii="Arial" w:hAnsi="Arial" w:cs="Arial"/>
          <w:sz w:val="22"/>
          <w:szCs w:val="22"/>
        </w:rPr>
        <w:t xml:space="preserve">  Purpose</w:t>
      </w:r>
      <w:bookmarkEnd w:id="34"/>
      <w:proofErr w:type="gramEnd"/>
    </w:p>
    <w:p w14:paraId="7903A31F" w14:textId="5042FB25" w:rsidR="00C104FD" w:rsidRPr="003237C5" w:rsidRDefault="00C104FD" w:rsidP="00C104FD">
      <w:pPr>
        <w:pStyle w:val="subsection"/>
        <w:rPr>
          <w:rFonts w:ascii="Arial" w:hAnsi="Arial" w:cs="Arial"/>
          <w:szCs w:val="22"/>
        </w:rPr>
      </w:pPr>
      <w:r w:rsidRPr="003237C5">
        <w:rPr>
          <w:rFonts w:ascii="Arial" w:hAnsi="Arial" w:cs="Arial"/>
          <w:szCs w:val="22"/>
        </w:rPr>
        <w:tab/>
        <w:t>9.1.1</w:t>
      </w:r>
      <w:r w:rsidRPr="003237C5">
        <w:rPr>
          <w:rFonts w:ascii="Arial" w:hAnsi="Arial" w:cs="Arial"/>
          <w:szCs w:val="22"/>
        </w:rPr>
        <w:tab/>
        <w:t xml:space="preserve">The purpose of this chapter is to specify matters to be </w:t>
      </w:r>
      <w:proofErr w:type="gramStart"/>
      <w:r w:rsidRPr="003237C5">
        <w:rPr>
          <w:rFonts w:ascii="Arial" w:hAnsi="Arial" w:cs="Arial"/>
          <w:szCs w:val="22"/>
        </w:rPr>
        <w:t>taken into account</w:t>
      </w:r>
      <w:proofErr w:type="gramEnd"/>
      <w:r w:rsidRPr="003237C5">
        <w:rPr>
          <w:rFonts w:ascii="Arial" w:hAnsi="Arial" w:cs="Arial"/>
          <w:szCs w:val="22"/>
        </w:rPr>
        <w:t xml:space="preserve"> in determining whether students undertaking units of study provided by higher education providers are genuine students.</w:t>
      </w:r>
    </w:p>
    <w:p w14:paraId="1B95C7DC" w14:textId="77777777" w:rsidR="00C104FD" w:rsidRPr="003237C5" w:rsidRDefault="00C104FD" w:rsidP="00C104FD">
      <w:pPr>
        <w:pStyle w:val="ActHead5"/>
        <w:rPr>
          <w:rFonts w:ascii="Arial" w:hAnsi="Arial" w:cs="Arial"/>
          <w:sz w:val="22"/>
          <w:szCs w:val="22"/>
        </w:rPr>
      </w:pPr>
      <w:bookmarkStart w:id="35" w:name="_Toc3370950"/>
      <w:proofErr w:type="gramStart"/>
      <w:r w:rsidRPr="003237C5">
        <w:rPr>
          <w:rStyle w:val="CharSectno"/>
          <w:rFonts w:ascii="Arial" w:hAnsi="Arial" w:cs="Arial"/>
          <w:sz w:val="22"/>
          <w:szCs w:val="22"/>
        </w:rPr>
        <w:t>9.2</w:t>
      </w:r>
      <w:r w:rsidRPr="003237C5">
        <w:rPr>
          <w:rFonts w:ascii="Arial" w:hAnsi="Arial" w:cs="Arial"/>
          <w:sz w:val="22"/>
          <w:szCs w:val="22"/>
        </w:rPr>
        <w:t xml:space="preserve">  Genuine</w:t>
      </w:r>
      <w:proofErr w:type="gramEnd"/>
      <w:r w:rsidRPr="003237C5">
        <w:rPr>
          <w:rFonts w:ascii="Arial" w:hAnsi="Arial" w:cs="Arial"/>
          <w:sz w:val="22"/>
          <w:szCs w:val="22"/>
        </w:rPr>
        <w:t xml:space="preserve"> student</w:t>
      </w:r>
      <w:bookmarkEnd w:id="35"/>
    </w:p>
    <w:p w14:paraId="5C211677" w14:textId="66FB333A" w:rsidR="00C104FD" w:rsidRPr="003237C5" w:rsidRDefault="00C104FD" w:rsidP="00C104FD">
      <w:pPr>
        <w:pStyle w:val="subsection"/>
        <w:rPr>
          <w:rFonts w:ascii="Arial" w:hAnsi="Arial" w:cs="Arial"/>
          <w:szCs w:val="22"/>
        </w:rPr>
      </w:pPr>
      <w:r w:rsidRPr="003237C5">
        <w:rPr>
          <w:rFonts w:ascii="Arial" w:hAnsi="Arial" w:cs="Arial"/>
          <w:szCs w:val="22"/>
        </w:rPr>
        <w:tab/>
        <w:t>9.2.1</w:t>
      </w:r>
      <w:r w:rsidRPr="003237C5">
        <w:rPr>
          <w:rFonts w:ascii="Arial" w:hAnsi="Arial" w:cs="Arial"/>
          <w:szCs w:val="22"/>
        </w:rPr>
        <w:tab/>
        <w:t xml:space="preserve">For the purposes of </w:t>
      </w:r>
      <w:r w:rsidR="00CE1923" w:rsidRPr="003237C5">
        <w:rPr>
          <w:rFonts w:ascii="Arial" w:hAnsi="Arial" w:cs="Arial"/>
          <w:kern w:val="28"/>
          <w:szCs w:val="18"/>
        </w:rPr>
        <w:t>subsections 36-5(6) and 104-1(1AB</w:t>
      </w:r>
      <w:r w:rsidRPr="003237C5">
        <w:rPr>
          <w:rFonts w:ascii="Arial" w:hAnsi="Arial" w:cs="Arial"/>
          <w:szCs w:val="22"/>
        </w:rPr>
        <w:t xml:space="preserve">) of the </w:t>
      </w:r>
      <w:r w:rsidRPr="003237C5">
        <w:rPr>
          <w:rFonts w:ascii="Arial" w:hAnsi="Arial" w:cs="Arial"/>
          <w:i/>
          <w:szCs w:val="22"/>
        </w:rPr>
        <w:t>Act</w:t>
      </w:r>
      <w:r w:rsidRPr="003237C5">
        <w:rPr>
          <w:rFonts w:ascii="Arial" w:hAnsi="Arial" w:cs="Arial"/>
          <w:szCs w:val="22"/>
        </w:rPr>
        <w:t>, in determining whether a student is a genuine student in relation to a unit of study being undertaken as part of a course of study, regard may be had to the following matters:</w:t>
      </w:r>
    </w:p>
    <w:p w14:paraId="7C67C15F" w14:textId="77777777" w:rsidR="00C104FD" w:rsidRPr="003237C5" w:rsidRDefault="00C104FD" w:rsidP="00C104FD">
      <w:pPr>
        <w:pStyle w:val="paragraph"/>
        <w:rPr>
          <w:rFonts w:ascii="Arial" w:hAnsi="Arial" w:cs="Arial"/>
          <w:szCs w:val="22"/>
        </w:rPr>
      </w:pPr>
      <w:r w:rsidRPr="003237C5">
        <w:rPr>
          <w:rFonts w:ascii="Arial" w:hAnsi="Arial" w:cs="Arial"/>
          <w:szCs w:val="22"/>
        </w:rPr>
        <w:tab/>
        <w:t>(a)</w:t>
      </w:r>
      <w:r w:rsidRPr="003237C5">
        <w:rPr>
          <w:rFonts w:ascii="Arial" w:hAnsi="Arial" w:cs="Arial"/>
          <w:szCs w:val="22"/>
        </w:rPr>
        <w:tab/>
        <w:t xml:space="preserve">whether the student is reasonably engaged in the </w:t>
      </w:r>
      <w:proofErr w:type="gramStart"/>
      <w:r w:rsidRPr="003237C5">
        <w:rPr>
          <w:rFonts w:ascii="Arial" w:hAnsi="Arial" w:cs="Arial"/>
          <w:szCs w:val="22"/>
        </w:rPr>
        <w:t>course;</w:t>
      </w:r>
      <w:proofErr w:type="gramEnd"/>
    </w:p>
    <w:p w14:paraId="33725A2A" w14:textId="77777777" w:rsidR="00C104FD" w:rsidRPr="003237C5" w:rsidRDefault="00C104FD" w:rsidP="00C104FD">
      <w:pPr>
        <w:pStyle w:val="paragraph"/>
        <w:rPr>
          <w:rFonts w:ascii="Arial" w:hAnsi="Arial" w:cs="Arial"/>
          <w:szCs w:val="22"/>
        </w:rPr>
      </w:pPr>
      <w:r w:rsidRPr="003237C5">
        <w:rPr>
          <w:rFonts w:ascii="Arial" w:hAnsi="Arial" w:cs="Arial"/>
          <w:szCs w:val="22"/>
        </w:rPr>
        <w:tab/>
        <w:t>(b)</w:t>
      </w:r>
      <w:r w:rsidRPr="003237C5">
        <w:rPr>
          <w:rFonts w:ascii="Arial" w:hAnsi="Arial" w:cs="Arial"/>
          <w:szCs w:val="22"/>
        </w:rPr>
        <w:tab/>
        <w:t xml:space="preserve">whether the student has been provided with information about the requirements for the course, and the cost and duration of the </w:t>
      </w:r>
      <w:proofErr w:type="gramStart"/>
      <w:r w:rsidRPr="003237C5">
        <w:rPr>
          <w:rFonts w:ascii="Arial" w:hAnsi="Arial" w:cs="Arial"/>
          <w:szCs w:val="22"/>
        </w:rPr>
        <w:t>course;</w:t>
      </w:r>
      <w:proofErr w:type="gramEnd"/>
    </w:p>
    <w:p w14:paraId="44F9D274" w14:textId="77777777" w:rsidR="00C104FD" w:rsidRPr="003237C5" w:rsidRDefault="00C104FD" w:rsidP="00C104FD">
      <w:pPr>
        <w:pStyle w:val="paragraph"/>
        <w:rPr>
          <w:rFonts w:ascii="Arial" w:hAnsi="Arial" w:cs="Arial"/>
          <w:szCs w:val="22"/>
        </w:rPr>
      </w:pPr>
      <w:r w:rsidRPr="003237C5">
        <w:rPr>
          <w:rFonts w:ascii="Arial" w:hAnsi="Arial" w:cs="Arial"/>
          <w:szCs w:val="22"/>
        </w:rPr>
        <w:tab/>
        <w:t>(c)</w:t>
      </w:r>
      <w:r w:rsidRPr="003237C5">
        <w:rPr>
          <w:rFonts w:ascii="Arial" w:hAnsi="Arial" w:cs="Arial"/>
          <w:szCs w:val="22"/>
        </w:rPr>
        <w:tab/>
        <w:t xml:space="preserve">whether the student has satisfied course requirements for the course or participated in assessment activities for the </w:t>
      </w:r>
      <w:proofErr w:type="gramStart"/>
      <w:r w:rsidRPr="003237C5">
        <w:rPr>
          <w:rFonts w:ascii="Arial" w:hAnsi="Arial" w:cs="Arial"/>
          <w:szCs w:val="22"/>
        </w:rPr>
        <w:t>course;</w:t>
      </w:r>
      <w:proofErr w:type="gramEnd"/>
    </w:p>
    <w:p w14:paraId="3F0B73C6" w14:textId="77777777" w:rsidR="00C104FD" w:rsidRPr="003237C5" w:rsidRDefault="00C104FD" w:rsidP="00C104FD">
      <w:pPr>
        <w:pStyle w:val="paragraph"/>
        <w:rPr>
          <w:rFonts w:ascii="Arial" w:hAnsi="Arial" w:cs="Arial"/>
          <w:szCs w:val="22"/>
        </w:rPr>
      </w:pPr>
      <w:r w:rsidRPr="003237C5">
        <w:rPr>
          <w:rFonts w:ascii="Arial" w:hAnsi="Arial" w:cs="Arial"/>
          <w:szCs w:val="22"/>
        </w:rPr>
        <w:tab/>
        <w:t>(d)</w:t>
      </w:r>
      <w:r w:rsidRPr="003237C5">
        <w:rPr>
          <w:rFonts w:ascii="Arial" w:hAnsi="Arial" w:cs="Arial"/>
          <w:szCs w:val="22"/>
        </w:rPr>
        <w:tab/>
        <w:t xml:space="preserve">if the course is an online course—the number of occasions on which the student has logged in to the course is not </w:t>
      </w:r>
      <w:proofErr w:type="gramStart"/>
      <w:r w:rsidRPr="003237C5">
        <w:rPr>
          <w:rFonts w:ascii="Arial" w:hAnsi="Arial" w:cs="Arial"/>
          <w:szCs w:val="22"/>
        </w:rPr>
        <w:t>insignificant;</w:t>
      </w:r>
      <w:proofErr w:type="gramEnd"/>
    </w:p>
    <w:p w14:paraId="35653F48" w14:textId="77777777" w:rsidR="00C104FD" w:rsidRPr="003237C5" w:rsidRDefault="00C104FD" w:rsidP="00C104FD">
      <w:pPr>
        <w:pStyle w:val="paragraph"/>
        <w:rPr>
          <w:rFonts w:ascii="Arial" w:hAnsi="Arial" w:cs="Arial"/>
          <w:szCs w:val="22"/>
        </w:rPr>
      </w:pPr>
      <w:r w:rsidRPr="003237C5">
        <w:rPr>
          <w:rFonts w:ascii="Arial" w:hAnsi="Arial" w:cs="Arial"/>
          <w:szCs w:val="22"/>
        </w:rPr>
        <w:tab/>
        <w:t>(e)</w:t>
      </w:r>
      <w:r w:rsidRPr="003237C5">
        <w:rPr>
          <w:rFonts w:ascii="Arial" w:hAnsi="Arial" w:cs="Arial"/>
          <w:szCs w:val="22"/>
        </w:rPr>
        <w:tab/>
        <w:t>whether the student has provided up</w:t>
      </w:r>
      <w:r w:rsidRPr="003237C5">
        <w:rPr>
          <w:rFonts w:ascii="Arial" w:hAnsi="Arial" w:cs="Arial"/>
          <w:szCs w:val="22"/>
        </w:rPr>
        <w:noBreakHyphen/>
        <w:t>to</w:t>
      </w:r>
      <w:r w:rsidRPr="003237C5">
        <w:rPr>
          <w:rFonts w:ascii="Arial" w:hAnsi="Arial" w:cs="Arial"/>
          <w:szCs w:val="22"/>
        </w:rPr>
        <w:noBreakHyphen/>
        <w:t xml:space="preserve">date contact details that enable the </w:t>
      </w:r>
      <w:r w:rsidRPr="003237C5">
        <w:rPr>
          <w:rFonts w:ascii="Arial" w:hAnsi="Arial" w:cs="Arial"/>
          <w:i/>
          <w:szCs w:val="22"/>
        </w:rPr>
        <w:t>Department</w:t>
      </w:r>
      <w:r w:rsidRPr="003237C5">
        <w:rPr>
          <w:rFonts w:ascii="Arial" w:hAnsi="Arial" w:cs="Arial"/>
          <w:szCs w:val="22"/>
        </w:rPr>
        <w:t xml:space="preserve"> to contact the student to verify the student’s enrolment in the </w:t>
      </w:r>
      <w:proofErr w:type="gramStart"/>
      <w:r w:rsidRPr="003237C5">
        <w:rPr>
          <w:rFonts w:ascii="Arial" w:hAnsi="Arial" w:cs="Arial"/>
          <w:szCs w:val="22"/>
        </w:rPr>
        <w:t>course;</w:t>
      </w:r>
      <w:proofErr w:type="gramEnd"/>
    </w:p>
    <w:p w14:paraId="365E4C08" w14:textId="77777777" w:rsidR="005F6165" w:rsidRPr="003237C5" w:rsidRDefault="00C104FD" w:rsidP="005F6165">
      <w:pPr>
        <w:pStyle w:val="paragraph"/>
        <w:rPr>
          <w:rFonts w:ascii="Arial" w:hAnsi="Arial" w:cs="Arial"/>
          <w:szCs w:val="22"/>
        </w:rPr>
      </w:pPr>
      <w:r w:rsidRPr="003237C5">
        <w:rPr>
          <w:rFonts w:ascii="Arial" w:hAnsi="Arial" w:cs="Arial"/>
          <w:szCs w:val="22"/>
        </w:rPr>
        <w:tab/>
        <w:t>(f)</w:t>
      </w:r>
      <w:r w:rsidRPr="003237C5">
        <w:rPr>
          <w:rFonts w:ascii="Arial" w:hAnsi="Arial" w:cs="Arial"/>
          <w:szCs w:val="22"/>
        </w:rPr>
        <w:tab/>
        <w:t>if the student is enrolled in another course—the number of the enrolments and associated course loads would not make successful completion of a course by the student impossible or highly improbable.</w:t>
      </w:r>
    </w:p>
    <w:p w14:paraId="05E9C7CE" w14:textId="77777777" w:rsidR="005F6165" w:rsidRPr="003237C5" w:rsidRDefault="005F6165" w:rsidP="005F6165">
      <w:pPr>
        <w:pStyle w:val="paragraph"/>
        <w:rPr>
          <w:rFonts w:ascii="Arial" w:hAnsi="Arial" w:cs="Arial"/>
          <w:szCs w:val="22"/>
        </w:rPr>
      </w:pPr>
    </w:p>
    <w:p w14:paraId="3AF303BF" w14:textId="77777777" w:rsidR="005F6165" w:rsidRPr="003237C5" w:rsidRDefault="005F6165" w:rsidP="005F6165">
      <w:pPr>
        <w:pStyle w:val="paragraph"/>
        <w:rPr>
          <w:rFonts w:ascii="Arial" w:hAnsi="Arial" w:cs="Arial"/>
          <w:szCs w:val="22"/>
        </w:rPr>
      </w:pPr>
    </w:p>
    <w:p w14:paraId="3C951F7F" w14:textId="77777777" w:rsidR="000A3622" w:rsidRPr="003237C5" w:rsidRDefault="000A3622" w:rsidP="005F6165">
      <w:pPr>
        <w:pStyle w:val="paragraph"/>
        <w:rPr>
          <w:rFonts w:ascii="Arial" w:hAnsi="Arial" w:cs="Arial"/>
          <w:szCs w:val="22"/>
        </w:rPr>
      </w:pPr>
    </w:p>
    <w:p w14:paraId="7939D29B" w14:textId="77777777" w:rsidR="000A3622" w:rsidRPr="003237C5" w:rsidRDefault="000A3622" w:rsidP="005F6165">
      <w:pPr>
        <w:pStyle w:val="paragraph"/>
        <w:rPr>
          <w:rFonts w:ascii="Arial" w:hAnsi="Arial" w:cs="Arial"/>
          <w:szCs w:val="22"/>
        </w:rPr>
      </w:pPr>
    </w:p>
    <w:p w14:paraId="60A3B1F5" w14:textId="77777777" w:rsidR="000A3622" w:rsidRPr="003237C5" w:rsidRDefault="000A3622" w:rsidP="005F6165">
      <w:pPr>
        <w:pStyle w:val="paragraph"/>
        <w:rPr>
          <w:rFonts w:ascii="Arial" w:hAnsi="Arial" w:cs="Arial"/>
          <w:szCs w:val="22"/>
        </w:rPr>
      </w:pPr>
    </w:p>
    <w:p w14:paraId="24BDEB3B" w14:textId="77777777" w:rsidR="000A3622" w:rsidRPr="003237C5" w:rsidRDefault="000A3622" w:rsidP="005F6165">
      <w:pPr>
        <w:pStyle w:val="paragraph"/>
        <w:rPr>
          <w:rFonts w:ascii="Arial" w:hAnsi="Arial" w:cs="Arial"/>
          <w:szCs w:val="22"/>
        </w:rPr>
      </w:pPr>
    </w:p>
    <w:p w14:paraId="0E039FCF" w14:textId="77777777" w:rsidR="000A3622" w:rsidRPr="003237C5" w:rsidRDefault="000A3622" w:rsidP="005F6165">
      <w:pPr>
        <w:pStyle w:val="paragraph"/>
        <w:rPr>
          <w:rFonts w:ascii="Arial" w:hAnsi="Arial" w:cs="Arial"/>
          <w:szCs w:val="22"/>
        </w:rPr>
      </w:pPr>
    </w:p>
    <w:p w14:paraId="4479BA32" w14:textId="77777777" w:rsidR="000A3622" w:rsidRPr="003237C5" w:rsidRDefault="000A3622" w:rsidP="005F6165">
      <w:pPr>
        <w:pStyle w:val="paragraph"/>
        <w:rPr>
          <w:rFonts w:ascii="Arial" w:hAnsi="Arial" w:cs="Arial"/>
          <w:szCs w:val="22"/>
        </w:rPr>
      </w:pPr>
    </w:p>
    <w:p w14:paraId="5B9D1A1B" w14:textId="77777777" w:rsidR="000A3622" w:rsidRPr="003237C5" w:rsidRDefault="000A3622" w:rsidP="005F6165">
      <w:pPr>
        <w:pStyle w:val="paragraph"/>
        <w:rPr>
          <w:rFonts w:ascii="Arial" w:hAnsi="Arial" w:cs="Arial"/>
          <w:szCs w:val="22"/>
        </w:rPr>
      </w:pPr>
    </w:p>
    <w:p w14:paraId="466FE355" w14:textId="77777777" w:rsidR="000A3622" w:rsidRPr="003237C5" w:rsidRDefault="000A3622" w:rsidP="005F6165">
      <w:pPr>
        <w:pStyle w:val="paragraph"/>
        <w:rPr>
          <w:rFonts w:ascii="Arial" w:hAnsi="Arial" w:cs="Arial"/>
          <w:szCs w:val="22"/>
        </w:rPr>
      </w:pPr>
    </w:p>
    <w:p w14:paraId="07728323" w14:textId="77777777" w:rsidR="000A3622" w:rsidRPr="003237C5" w:rsidRDefault="000A3622" w:rsidP="005F6165">
      <w:pPr>
        <w:pStyle w:val="paragraph"/>
        <w:rPr>
          <w:rFonts w:ascii="Arial" w:hAnsi="Arial" w:cs="Arial"/>
          <w:szCs w:val="22"/>
        </w:rPr>
      </w:pPr>
    </w:p>
    <w:p w14:paraId="3B92298F" w14:textId="77777777" w:rsidR="000A3622" w:rsidRPr="003237C5" w:rsidRDefault="000A3622" w:rsidP="005F6165">
      <w:pPr>
        <w:pStyle w:val="paragraph"/>
        <w:rPr>
          <w:rFonts w:ascii="Arial" w:hAnsi="Arial" w:cs="Arial"/>
          <w:szCs w:val="22"/>
        </w:rPr>
      </w:pPr>
    </w:p>
    <w:p w14:paraId="51A61943" w14:textId="77777777" w:rsidR="000A3622" w:rsidRPr="003237C5" w:rsidRDefault="000A3622" w:rsidP="005F6165">
      <w:pPr>
        <w:pStyle w:val="paragraph"/>
        <w:rPr>
          <w:rFonts w:ascii="Arial" w:hAnsi="Arial" w:cs="Arial"/>
          <w:szCs w:val="22"/>
        </w:rPr>
      </w:pPr>
    </w:p>
    <w:p w14:paraId="3BF5A18E" w14:textId="77777777" w:rsidR="000A3622" w:rsidRPr="003237C5" w:rsidRDefault="000A3622" w:rsidP="005F6165">
      <w:pPr>
        <w:pStyle w:val="paragraph"/>
        <w:rPr>
          <w:rFonts w:ascii="Arial" w:hAnsi="Arial" w:cs="Arial"/>
          <w:szCs w:val="22"/>
        </w:rPr>
      </w:pPr>
    </w:p>
    <w:p w14:paraId="112498A7" w14:textId="77777777" w:rsidR="000A3622" w:rsidRPr="003237C5" w:rsidRDefault="000A3622" w:rsidP="005F6165">
      <w:pPr>
        <w:pStyle w:val="paragraph"/>
        <w:rPr>
          <w:rFonts w:ascii="Arial" w:hAnsi="Arial" w:cs="Arial"/>
          <w:szCs w:val="22"/>
        </w:rPr>
      </w:pPr>
    </w:p>
    <w:p w14:paraId="75DFE9E2" w14:textId="77777777" w:rsidR="000A3622" w:rsidRPr="003237C5" w:rsidRDefault="000A3622" w:rsidP="005F6165">
      <w:pPr>
        <w:pStyle w:val="paragraph"/>
        <w:rPr>
          <w:rFonts w:ascii="Arial" w:hAnsi="Arial" w:cs="Arial"/>
          <w:szCs w:val="22"/>
        </w:rPr>
      </w:pPr>
    </w:p>
    <w:p w14:paraId="213CAC3A" w14:textId="77777777" w:rsidR="000A3622" w:rsidRPr="003237C5" w:rsidRDefault="000A3622" w:rsidP="005F6165">
      <w:pPr>
        <w:pStyle w:val="paragraph"/>
        <w:rPr>
          <w:rFonts w:ascii="Arial" w:hAnsi="Arial" w:cs="Arial"/>
          <w:szCs w:val="22"/>
        </w:rPr>
      </w:pPr>
    </w:p>
    <w:p w14:paraId="56C2C801" w14:textId="77777777" w:rsidR="000A3622" w:rsidRPr="003237C5" w:rsidRDefault="000A3622" w:rsidP="005F6165">
      <w:pPr>
        <w:pStyle w:val="paragraph"/>
        <w:rPr>
          <w:rFonts w:ascii="Arial" w:hAnsi="Arial" w:cs="Arial"/>
          <w:szCs w:val="22"/>
        </w:rPr>
      </w:pPr>
    </w:p>
    <w:p w14:paraId="02B4F56F" w14:textId="77777777" w:rsidR="000A3622" w:rsidRPr="003237C5" w:rsidRDefault="000A3622" w:rsidP="005F6165">
      <w:pPr>
        <w:pStyle w:val="paragraph"/>
        <w:rPr>
          <w:rFonts w:ascii="Arial" w:hAnsi="Arial" w:cs="Arial"/>
          <w:szCs w:val="22"/>
        </w:rPr>
      </w:pPr>
    </w:p>
    <w:p w14:paraId="55D0CC57" w14:textId="77777777" w:rsidR="000A3622" w:rsidRPr="003237C5" w:rsidRDefault="000A3622" w:rsidP="005F6165">
      <w:pPr>
        <w:pStyle w:val="paragraph"/>
        <w:rPr>
          <w:rFonts w:ascii="Arial" w:hAnsi="Arial" w:cs="Arial"/>
          <w:szCs w:val="22"/>
        </w:rPr>
      </w:pPr>
    </w:p>
    <w:p w14:paraId="4C31EB04" w14:textId="77777777" w:rsidR="00FD372A" w:rsidRPr="003237C5" w:rsidRDefault="00FD372A" w:rsidP="00FD372A">
      <w:pPr>
        <w:keepNext/>
        <w:spacing w:before="220"/>
        <w:ind w:left="709" w:hanging="709"/>
        <w:rPr>
          <w:b/>
          <w:kern w:val="28"/>
          <w:sz w:val="24"/>
          <w:u w:val="single"/>
          <w:lang w:eastAsia="en-AU"/>
        </w:rPr>
      </w:pPr>
      <w:bookmarkStart w:id="36" w:name="_Toc59433513"/>
      <w:r w:rsidRPr="003237C5">
        <w:rPr>
          <w:b/>
          <w:kern w:val="28"/>
          <w:sz w:val="24"/>
          <w:u w:val="single"/>
          <w:lang w:eastAsia="en-AU"/>
        </w:rPr>
        <w:t>CHAPTER 10</w:t>
      </w:r>
      <w:r w:rsidRPr="003237C5">
        <w:rPr>
          <w:b/>
          <w:kern w:val="28"/>
          <w:sz w:val="24"/>
          <w:u w:val="single"/>
          <w:lang w:eastAsia="en-AU"/>
        </w:rPr>
        <w:tab/>
      </w:r>
      <w:bookmarkEnd w:id="36"/>
      <w:r w:rsidRPr="003237C5">
        <w:rPr>
          <w:b/>
          <w:kern w:val="28"/>
          <w:sz w:val="24"/>
          <w:u w:val="single"/>
          <w:lang w:eastAsia="en-AU"/>
        </w:rPr>
        <w:t xml:space="preserve">HIGHER EDUCATION PROVIDER CHARGE </w:t>
      </w:r>
    </w:p>
    <w:p w14:paraId="3211D358" w14:textId="77777777" w:rsidR="00FD372A" w:rsidRPr="003237C5" w:rsidRDefault="00FD372A" w:rsidP="00FD372A">
      <w:pPr>
        <w:keepNext/>
        <w:spacing w:before="220"/>
        <w:rPr>
          <w:rFonts w:cs="Times New Roman"/>
          <w:b/>
          <w:kern w:val="28"/>
          <w:lang w:eastAsia="en-AU"/>
        </w:rPr>
      </w:pPr>
      <w:proofErr w:type="gramStart"/>
      <w:r w:rsidRPr="003237C5">
        <w:rPr>
          <w:rFonts w:cs="Times New Roman"/>
          <w:b/>
          <w:kern w:val="28"/>
          <w:lang w:eastAsia="en-AU"/>
        </w:rPr>
        <w:t>10.1  Purpose</w:t>
      </w:r>
      <w:proofErr w:type="gramEnd"/>
      <w:r w:rsidRPr="003237C5">
        <w:rPr>
          <w:rFonts w:cs="Times New Roman"/>
          <w:b/>
          <w:kern w:val="28"/>
          <w:lang w:eastAsia="en-AU"/>
        </w:rPr>
        <w:t xml:space="preserve"> </w:t>
      </w:r>
    </w:p>
    <w:p w14:paraId="70E5971B" w14:textId="77777777" w:rsidR="00FD372A" w:rsidRPr="003237C5" w:rsidRDefault="00FD372A" w:rsidP="00FD372A">
      <w:pPr>
        <w:keepNext/>
        <w:spacing w:before="220"/>
        <w:ind w:left="720" w:hanging="720"/>
        <w:rPr>
          <w:rFonts w:cs="Times New Roman"/>
          <w:bCs/>
          <w:kern w:val="28"/>
          <w:lang w:eastAsia="en-AU"/>
        </w:rPr>
      </w:pPr>
      <w:r w:rsidRPr="003237C5">
        <w:rPr>
          <w:rFonts w:cs="Times New Roman"/>
          <w:bCs/>
          <w:kern w:val="28"/>
          <w:lang w:eastAsia="en-AU"/>
        </w:rPr>
        <w:t>10.1.1</w:t>
      </w:r>
      <w:r w:rsidRPr="003237C5">
        <w:rPr>
          <w:rFonts w:cs="Times New Roman"/>
          <w:bCs/>
          <w:kern w:val="28"/>
          <w:lang w:eastAsia="en-AU"/>
        </w:rPr>
        <w:tab/>
        <w:t xml:space="preserve">The purpose of this chapter is to provide various matters in relation </w:t>
      </w:r>
      <w:bookmarkStart w:id="37" w:name="_Hlk89347867"/>
      <w:r w:rsidRPr="003237C5">
        <w:rPr>
          <w:rFonts w:cs="Times New Roman"/>
          <w:bCs/>
          <w:kern w:val="28"/>
          <w:lang w:eastAsia="en-AU"/>
        </w:rPr>
        <w:t xml:space="preserve">to the collection and recovery of higher education provider charge for the purposes of subsection 19-66(2) of the </w:t>
      </w:r>
      <w:r w:rsidRPr="003237C5">
        <w:rPr>
          <w:rFonts w:cs="Times New Roman"/>
          <w:bCs/>
          <w:i/>
          <w:iCs/>
          <w:kern w:val="28"/>
          <w:lang w:eastAsia="en-AU"/>
        </w:rPr>
        <w:t>Act</w:t>
      </w:r>
      <w:r w:rsidRPr="003237C5">
        <w:rPr>
          <w:rFonts w:cs="Times New Roman"/>
          <w:bCs/>
          <w:kern w:val="28"/>
          <w:lang w:eastAsia="en-AU"/>
        </w:rPr>
        <w:t xml:space="preserve">. </w:t>
      </w:r>
      <w:bookmarkEnd w:id="37"/>
    </w:p>
    <w:p w14:paraId="32E2D33B" w14:textId="77777777" w:rsidR="00FD372A" w:rsidRPr="003237C5" w:rsidRDefault="00FD372A" w:rsidP="00FD372A">
      <w:pPr>
        <w:spacing w:before="80"/>
        <w:ind w:left="720"/>
        <w:rPr>
          <w:color w:val="000000"/>
          <w:sz w:val="20"/>
          <w:szCs w:val="20"/>
          <w:shd w:val="clear" w:color="auto" w:fill="FFFFFF"/>
          <w:lang w:eastAsia="en-AU"/>
        </w:rPr>
      </w:pPr>
      <w:r w:rsidRPr="003237C5">
        <w:rPr>
          <w:sz w:val="20"/>
          <w:szCs w:val="20"/>
          <w:lang w:eastAsia="en-AU"/>
        </w:rPr>
        <w:t xml:space="preserve">Note 1: </w:t>
      </w:r>
      <w:r w:rsidRPr="003237C5">
        <w:rPr>
          <w:color w:val="000000"/>
          <w:sz w:val="20"/>
          <w:szCs w:val="20"/>
          <w:shd w:val="clear" w:color="auto" w:fill="FFFFFF"/>
          <w:lang w:eastAsia="en-AU"/>
        </w:rPr>
        <w:t>Higher education provider charge is imposed by the </w:t>
      </w:r>
      <w:r w:rsidRPr="003237C5">
        <w:rPr>
          <w:i/>
          <w:iCs/>
          <w:color w:val="000000"/>
          <w:sz w:val="20"/>
          <w:szCs w:val="20"/>
          <w:shd w:val="clear" w:color="auto" w:fill="FFFFFF"/>
          <w:lang w:eastAsia="en-AU"/>
        </w:rPr>
        <w:t>Higher Education Support (Charges) Act 2019</w:t>
      </w:r>
      <w:r w:rsidRPr="003237C5">
        <w:rPr>
          <w:color w:val="000000"/>
          <w:sz w:val="20"/>
          <w:szCs w:val="20"/>
          <w:shd w:val="clear" w:color="auto" w:fill="FFFFFF"/>
          <w:lang w:eastAsia="en-AU"/>
        </w:rPr>
        <w:t xml:space="preserve">. The charge is imposed on a body, for a year starting on or after 1 January 2020, if the body is a higher education provider (within the same meaning of the Act) at any time during that year. </w:t>
      </w:r>
    </w:p>
    <w:p w14:paraId="42CE51FB" w14:textId="77777777" w:rsidR="00FD372A" w:rsidRPr="003237C5" w:rsidRDefault="00FD372A" w:rsidP="00FD372A">
      <w:pPr>
        <w:keepNext/>
        <w:spacing w:before="220"/>
        <w:rPr>
          <w:rFonts w:cs="Times New Roman"/>
          <w:b/>
          <w:kern w:val="28"/>
          <w:lang w:eastAsia="en-AU"/>
        </w:rPr>
      </w:pPr>
      <w:proofErr w:type="gramStart"/>
      <w:r w:rsidRPr="003237C5">
        <w:rPr>
          <w:rFonts w:cs="Times New Roman"/>
          <w:b/>
          <w:kern w:val="28"/>
          <w:lang w:eastAsia="en-AU"/>
        </w:rPr>
        <w:t>10.5  Higher</w:t>
      </w:r>
      <w:proofErr w:type="gramEnd"/>
      <w:r w:rsidRPr="003237C5">
        <w:rPr>
          <w:rFonts w:cs="Times New Roman"/>
          <w:b/>
          <w:kern w:val="28"/>
          <w:lang w:eastAsia="en-AU"/>
        </w:rPr>
        <w:t xml:space="preserve"> education provider charge </w:t>
      </w:r>
    </w:p>
    <w:p w14:paraId="002BD1F8" w14:textId="77777777" w:rsidR="00FD372A" w:rsidRPr="003237C5" w:rsidRDefault="00FD372A" w:rsidP="00FD372A">
      <w:pPr>
        <w:tabs>
          <w:tab w:val="left" w:pos="1000"/>
        </w:tabs>
        <w:rPr>
          <w:i/>
        </w:rPr>
      </w:pPr>
    </w:p>
    <w:p w14:paraId="2C22CB05" w14:textId="77777777" w:rsidR="00FD372A" w:rsidRPr="003237C5" w:rsidRDefault="00FD372A" w:rsidP="00FD372A">
      <w:pPr>
        <w:spacing w:after="120"/>
        <w:rPr>
          <w:rFonts w:cs="Times New Roman"/>
          <w:i/>
          <w:iCs/>
        </w:rPr>
      </w:pPr>
      <w:r w:rsidRPr="003237C5">
        <w:rPr>
          <w:rFonts w:cs="Times New Roman"/>
          <w:i/>
          <w:iCs/>
        </w:rPr>
        <w:t xml:space="preserve">Notice of amount of higher education provider charge (for the purposes of </w:t>
      </w:r>
      <w:r w:rsidRPr="003237C5">
        <w:rPr>
          <w:rFonts w:cs="Times New Roman"/>
        </w:rPr>
        <w:t xml:space="preserve">paragraphs 19-66(2)(a), (b) and (h) of the </w:t>
      </w:r>
      <w:r w:rsidRPr="003237C5">
        <w:rPr>
          <w:rFonts w:cs="Times New Roman"/>
          <w:i/>
        </w:rPr>
        <w:t>Act)</w:t>
      </w:r>
    </w:p>
    <w:p w14:paraId="4DD353F0" w14:textId="77777777" w:rsidR="00FD372A" w:rsidRPr="003237C5" w:rsidRDefault="00FD372A" w:rsidP="00FD372A">
      <w:pPr>
        <w:tabs>
          <w:tab w:val="left" w:pos="1000"/>
        </w:tabs>
        <w:spacing w:after="120"/>
        <w:ind w:left="799" w:hanging="799"/>
        <w:rPr>
          <w:rFonts w:cs="Times New Roman"/>
        </w:rPr>
      </w:pPr>
      <w:r w:rsidRPr="003237C5">
        <w:rPr>
          <w:rFonts w:cs="Times New Roman"/>
        </w:rPr>
        <w:t>10.5.1</w:t>
      </w:r>
      <w:r w:rsidRPr="003237C5">
        <w:rPr>
          <w:rFonts w:cs="Times New Roman"/>
        </w:rPr>
        <w:tab/>
        <w:t>The Secretary must give a written notice to each higher education provider who is liable to pay higher education provider charge, which specifies:</w:t>
      </w:r>
    </w:p>
    <w:p w14:paraId="3F47ED3D"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 xml:space="preserve">the year to which the charge </w:t>
      </w:r>
      <w:proofErr w:type="gramStart"/>
      <w:r w:rsidRPr="003237C5">
        <w:rPr>
          <w:rFonts w:cs="Times New Roman"/>
        </w:rPr>
        <w:t>relates;</w:t>
      </w:r>
      <w:proofErr w:type="gramEnd"/>
    </w:p>
    <w:p w14:paraId="456508D6"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 xml:space="preserve">the total amount of the provider’s </w:t>
      </w:r>
      <w:proofErr w:type="gramStart"/>
      <w:r w:rsidRPr="003237C5">
        <w:rPr>
          <w:rFonts w:cs="Times New Roman"/>
        </w:rPr>
        <w:t>charge;</w:t>
      </w:r>
      <w:proofErr w:type="gramEnd"/>
      <w:r w:rsidRPr="003237C5">
        <w:rPr>
          <w:rFonts w:cs="Times New Roman"/>
        </w:rPr>
        <w:t xml:space="preserve"> </w:t>
      </w:r>
    </w:p>
    <w:p w14:paraId="5010E51D"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 xml:space="preserve">an explanation of how the provider’s charge was </w:t>
      </w:r>
      <w:proofErr w:type="gramStart"/>
      <w:r w:rsidRPr="003237C5">
        <w:rPr>
          <w:rFonts w:cs="Times New Roman"/>
        </w:rPr>
        <w:t>calculated;</w:t>
      </w:r>
      <w:proofErr w:type="gramEnd"/>
    </w:p>
    <w:p w14:paraId="33326E8A"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 xml:space="preserve">the day by which the charge is due and payable by the provider, which must be at least 30 days after the day the notice is </w:t>
      </w:r>
      <w:proofErr w:type="gramStart"/>
      <w:r w:rsidRPr="003237C5">
        <w:rPr>
          <w:rFonts w:cs="Times New Roman"/>
        </w:rPr>
        <w:t>given;</w:t>
      </w:r>
      <w:proofErr w:type="gramEnd"/>
      <w:r w:rsidRPr="003237C5">
        <w:rPr>
          <w:rFonts w:cs="Times New Roman"/>
        </w:rPr>
        <w:t xml:space="preserve"> </w:t>
      </w:r>
    </w:p>
    <w:p w14:paraId="30C77847"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the method or methods by which the provider must pay the charge; and</w:t>
      </w:r>
    </w:p>
    <w:p w14:paraId="6F5E14F4" w14:textId="77777777" w:rsidR="00FD372A" w:rsidRPr="003237C5" w:rsidRDefault="00FD372A" w:rsidP="00712E10">
      <w:pPr>
        <w:keepLines w:val="0"/>
        <w:numPr>
          <w:ilvl w:val="0"/>
          <w:numId w:val="30"/>
        </w:numPr>
        <w:spacing w:after="120" w:line="260" w:lineRule="atLeast"/>
        <w:rPr>
          <w:rFonts w:cs="Times New Roman"/>
        </w:rPr>
      </w:pPr>
      <w:r w:rsidRPr="003237C5">
        <w:rPr>
          <w:rFonts w:cs="Times New Roman"/>
        </w:rPr>
        <w:t xml:space="preserve">information about the consequences of a late payment. </w:t>
      </w:r>
    </w:p>
    <w:p w14:paraId="0756DAB1" w14:textId="77777777" w:rsidR="00FD372A" w:rsidRPr="003237C5" w:rsidRDefault="00FD372A" w:rsidP="00FD372A">
      <w:pPr>
        <w:spacing w:before="80"/>
        <w:ind w:left="720"/>
        <w:rPr>
          <w:color w:val="000000"/>
          <w:sz w:val="20"/>
          <w:szCs w:val="20"/>
          <w:shd w:val="clear" w:color="auto" w:fill="FFFFFF"/>
          <w:lang w:eastAsia="en-AU"/>
        </w:rPr>
      </w:pPr>
      <w:r w:rsidRPr="003237C5">
        <w:rPr>
          <w:sz w:val="20"/>
          <w:szCs w:val="20"/>
          <w:lang w:eastAsia="en-AU"/>
        </w:rPr>
        <w:t xml:space="preserve">Note 1: </w:t>
      </w:r>
      <w:r w:rsidRPr="003237C5">
        <w:rPr>
          <w:color w:val="000000"/>
          <w:sz w:val="20"/>
          <w:szCs w:val="20"/>
          <w:shd w:val="clear" w:color="auto" w:fill="FFFFFF"/>
          <w:lang w:eastAsia="en-AU"/>
        </w:rPr>
        <w:t xml:space="preserve">A failure to give a higher education provider the notice under paragraph 10.5.1 is not intended to affect the liability of the provider to pay higher education provider charge. </w:t>
      </w:r>
      <w:r w:rsidRPr="003237C5">
        <w:rPr>
          <w:color w:val="000000"/>
          <w:sz w:val="20"/>
          <w:szCs w:val="20"/>
          <w:shd w:val="clear" w:color="auto" w:fill="FFFFFF"/>
          <w:lang w:eastAsia="en-AU"/>
        </w:rPr>
        <w:br/>
      </w:r>
    </w:p>
    <w:p w14:paraId="2A106A21" w14:textId="77777777" w:rsidR="00FD372A" w:rsidRPr="003237C5" w:rsidRDefault="00FD372A" w:rsidP="00FD372A">
      <w:pPr>
        <w:tabs>
          <w:tab w:val="left" w:pos="1000"/>
        </w:tabs>
        <w:spacing w:after="120"/>
        <w:ind w:left="799" w:hanging="799"/>
        <w:rPr>
          <w:rFonts w:cs="Times New Roman"/>
        </w:rPr>
      </w:pPr>
      <w:r w:rsidRPr="003237C5">
        <w:rPr>
          <w:rFonts w:cs="Times New Roman"/>
        </w:rPr>
        <w:t>10.5.5</w:t>
      </w:r>
      <w:r w:rsidRPr="003237C5">
        <w:rPr>
          <w:rFonts w:cs="Times New Roman"/>
        </w:rPr>
        <w:tab/>
        <w:t xml:space="preserve">A notice under paragraph 10.5.1 does not need to be given if: </w:t>
      </w:r>
    </w:p>
    <w:p w14:paraId="52C445CF" w14:textId="77777777" w:rsidR="00FD372A" w:rsidRPr="003237C5" w:rsidRDefault="00FD372A" w:rsidP="006244DA">
      <w:pPr>
        <w:keepLines w:val="0"/>
        <w:numPr>
          <w:ilvl w:val="0"/>
          <w:numId w:val="29"/>
        </w:numPr>
        <w:spacing w:after="120" w:line="260" w:lineRule="atLeast"/>
        <w:rPr>
          <w:rFonts w:cs="Times New Roman"/>
        </w:rPr>
      </w:pPr>
      <w:r w:rsidRPr="003237C5">
        <w:rPr>
          <w:rFonts w:cs="Times New Roman"/>
        </w:rPr>
        <w:t>the liability to pay higher education provider charge is waived in accordance with paragraph 10.5.30; or</w:t>
      </w:r>
    </w:p>
    <w:p w14:paraId="4EB6FD86" w14:textId="77777777" w:rsidR="00FD372A" w:rsidRPr="003237C5" w:rsidRDefault="00FD372A" w:rsidP="006244DA">
      <w:pPr>
        <w:keepLines w:val="0"/>
        <w:numPr>
          <w:ilvl w:val="0"/>
          <w:numId w:val="29"/>
        </w:numPr>
        <w:spacing w:after="120" w:line="260" w:lineRule="atLeast"/>
        <w:rPr>
          <w:rFonts w:cs="Times New Roman"/>
        </w:rPr>
      </w:pPr>
      <w:r w:rsidRPr="003237C5">
        <w:rPr>
          <w:rFonts w:cs="Times New Roman"/>
        </w:rPr>
        <w:t xml:space="preserve">the amount of higher education charge for a higher education provider for the year is nil. </w:t>
      </w:r>
    </w:p>
    <w:p w14:paraId="5D28EA06" w14:textId="77777777" w:rsidR="00FD372A" w:rsidRPr="003237C5" w:rsidRDefault="00FD372A" w:rsidP="00FD372A">
      <w:pPr>
        <w:spacing w:after="120"/>
        <w:rPr>
          <w:rFonts w:cs="Times New Roman"/>
          <w:i/>
          <w:iCs/>
        </w:rPr>
      </w:pPr>
      <w:r w:rsidRPr="003237C5">
        <w:rPr>
          <w:rFonts w:cs="Times New Roman"/>
          <w:i/>
          <w:iCs/>
        </w:rPr>
        <w:t xml:space="preserve">When higher education provider </w:t>
      </w:r>
      <w:proofErr w:type="gramStart"/>
      <w:r w:rsidRPr="003237C5">
        <w:rPr>
          <w:rFonts w:cs="Times New Roman"/>
          <w:i/>
          <w:iCs/>
        </w:rPr>
        <w:t>charge</w:t>
      </w:r>
      <w:proofErr w:type="gramEnd"/>
      <w:r w:rsidRPr="003237C5">
        <w:rPr>
          <w:rFonts w:cs="Times New Roman"/>
          <w:i/>
          <w:iCs/>
        </w:rPr>
        <w:t xml:space="preserve"> due for payment in the event of revocation of approval (for the purposes of paragraph 19-66(2)(b) of the Act)</w:t>
      </w:r>
    </w:p>
    <w:p w14:paraId="05A6DB0C" w14:textId="77777777" w:rsidR="00FD372A" w:rsidRPr="003237C5" w:rsidRDefault="00FD372A" w:rsidP="00FD372A">
      <w:pPr>
        <w:tabs>
          <w:tab w:val="left" w:pos="1000"/>
        </w:tabs>
        <w:spacing w:after="120"/>
        <w:ind w:left="799" w:hanging="799"/>
        <w:rPr>
          <w:rFonts w:cs="Times New Roman"/>
        </w:rPr>
      </w:pPr>
      <w:r w:rsidRPr="003237C5">
        <w:rPr>
          <w:rFonts w:cs="Times New Roman"/>
        </w:rPr>
        <w:t>10.5.10</w:t>
      </w:r>
      <w:r w:rsidRPr="003237C5">
        <w:rPr>
          <w:rFonts w:cs="Times New Roman"/>
        </w:rPr>
        <w:tab/>
        <w:t>If, before the end of the year to which higher education provider charge relates, a higher education provider’s approval is revoked under Division 22 of Part 2-1 of the Act, the amount of higher education provider charge may be due and payable on a day that is after the date that the revocation takes effect and either before or after the end of the year.</w:t>
      </w:r>
    </w:p>
    <w:p w14:paraId="6D2E204A" w14:textId="77777777" w:rsidR="00FD372A" w:rsidRPr="003237C5" w:rsidRDefault="00FD372A" w:rsidP="00FD372A">
      <w:pPr>
        <w:tabs>
          <w:tab w:val="left" w:pos="1000"/>
        </w:tabs>
        <w:spacing w:after="120"/>
        <w:ind w:left="799" w:hanging="799"/>
        <w:rPr>
          <w:rFonts w:cs="Times New Roman"/>
          <w:i/>
          <w:iCs/>
        </w:rPr>
      </w:pPr>
      <w:r w:rsidRPr="003237C5">
        <w:rPr>
          <w:rFonts w:cs="Times New Roman"/>
          <w:i/>
          <w:iCs/>
        </w:rPr>
        <w:t xml:space="preserve">Extension notice (for the purposes of </w:t>
      </w:r>
      <w:r w:rsidRPr="003237C5">
        <w:rPr>
          <w:rFonts w:cs="Times New Roman"/>
        </w:rPr>
        <w:t xml:space="preserve">paragraphs 19-66(2)(c) of the </w:t>
      </w:r>
      <w:r w:rsidRPr="003237C5">
        <w:rPr>
          <w:rFonts w:cs="Times New Roman"/>
          <w:i/>
        </w:rPr>
        <w:t>Act)</w:t>
      </w:r>
    </w:p>
    <w:p w14:paraId="1D99BB49" w14:textId="77777777" w:rsidR="00FD372A" w:rsidRPr="003237C5" w:rsidRDefault="00FD372A" w:rsidP="00FD372A">
      <w:pPr>
        <w:tabs>
          <w:tab w:val="left" w:pos="1000"/>
        </w:tabs>
        <w:spacing w:after="120"/>
        <w:ind w:left="799" w:hanging="799"/>
        <w:rPr>
          <w:rFonts w:cs="Times New Roman"/>
        </w:rPr>
      </w:pPr>
      <w:r w:rsidRPr="003237C5">
        <w:rPr>
          <w:rFonts w:cs="Times New Roman"/>
        </w:rPr>
        <w:t>10.5.15</w:t>
      </w:r>
      <w:r w:rsidRPr="003237C5">
        <w:rPr>
          <w:rFonts w:cs="Times New Roman"/>
        </w:rPr>
        <w:tab/>
        <w:t>The Secretary may, at any time after giving a higher education provider a notice under paragraph 10.5.1, give the provider a written extension notice that specifies a day that is later than the day specified in paragraph 10.5.1 as the day on which higher education provider charge is due and payable. The extension notice has effect according to its terms.</w:t>
      </w:r>
    </w:p>
    <w:p w14:paraId="2DB29180" w14:textId="77777777" w:rsidR="00FD372A" w:rsidRPr="003237C5" w:rsidRDefault="00FD372A" w:rsidP="00FD372A">
      <w:pPr>
        <w:keepNext/>
        <w:spacing w:after="120"/>
        <w:rPr>
          <w:rFonts w:cs="Times New Roman"/>
          <w:i/>
          <w:iCs/>
        </w:rPr>
      </w:pPr>
      <w:r w:rsidRPr="003237C5">
        <w:rPr>
          <w:rFonts w:cs="Times New Roman"/>
          <w:i/>
          <w:iCs/>
        </w:rPr>
        <w:t>Late payment penalty (for the purposes of paragraph 19-66(2)(d) of the Act)</w:t>
      </w:r>
    </w:p>
    <w:p w14:paraId="368494E5" w14:textId="77777777" w:rsidR="00FD372A" w:rsidRPr="003237C5" w:rsidRDefault="00FD372A" w:rsidP="00FD372A">
      <w:pPr>
        <w:tabs>
          <w:tab w:val="left" w:pos="1000"/>
        </w:tabs>
        <w:spacing w:after="120"/>
        <w:ind w:left="799" w:hanging="799"/>
        <w:rPr>
          <w:rFonts w:cs="Times New Roman"/>
        </w:rPr>
      </w:pPr>
      <w:r w:rsidRPr="003237C5">
        <w:rPr>
          <w:rFonts w:cs="Times New Roman"/>
        </w:rPr>
        <w:t>10.5.20</w:t>
      </w:r>
      <w:r w:rsidRPr="003237C5">
        <w:rPr>
          <w:rFonts w:cs="Times New Roman"/>
        </w:rPr>
        <w:tab/>
        <w:t xml:space="preserve">If an amount of higher education provider charge payable by a higher education provider remains unpaid after the day on which it is due and payable, the provider is liable to pay a penalty worked out using the formula: </w:t>
      </w:r>
    </w:p>
    <w:p w14:paraId="1750F447" w14:textId="77777777" w:rsidR="00FD372A" w:rsidRPr="003237C5" w:rsidRDefault="00FD372A" w:rsidP="00FD372A">
      <w:pPr>
        <w:tabs>
          <w:tab w:val="left" w:pos="1000"/>
        </w:tabs>
        <w:spacing w:after="120"/>
        <w:ind w:left="799" w:hanging="799"/>
        <w:rPr>
          <w:rFonts w:cs="Times New Roman"/>
        </w:rPr>
      </w:pPr>
    </w:p>
    <w:p w14:paraId="17B80E87" w14:textId="77777777" w:rsidR="00FD372A" w:rsidRPr="003237C5" w:rsidRDefault="00FD372A" w:rsidP="00FD372A">
      <w:pPr>
        <w:tabs>
          <w:tab w:val="left" w:pos="1000"/>
        </w:tabs>
        <w:spacing w:after="120"/>
        <w:ind w:left="799" w:hanging="799"/>
        <w:rPr>
          <w:sz w:val="28"/>
          <w:szCs w:val="28"/>
        </w:rPr>
      </w:pPr>
      <w:r w:rsidRPr="003237C5">
        <w:rPr>
          <w:rFonts w:cs="Times New Roman"/>
        </w:rPr>
        <w:tab/>
      </w:r>
      <m:oMath>
        <m:f>
          <m:fPr>
            <m:ctrlPr>
              <w:rPr>
                <w:rFonts w:ascii="Cambria Math" w:hAnsi="Cambria Math"/>
                <w:i/>
                <w:sz w:val="28"/>
                <w:szCs w:val="28"/>
              </w:rPr>
            </m:ctrlPr>
          </m:fPr>
          <m:num>
            <m:r>
              <w:rPr>
                <w:rFonts w:ascii="Cambria Math" w:hAnsi="Cambria Math"/>
                <w:sz w:val="28"/>
                <w:szCs w:val="28"/>
              </w:rPr>
              <m:t>0.2 ×unpaid amounts ×days overdue</m:t>
            </m:r>
          </m:num>
          <m:den>
            <m:r>
              <w:rPr>
                <w:rFonts w:ascii="Cambria Math" w:hAnsi="Cambria Math"/>
                <w:sz w:val="28"/>
                <w:szCs w:val="28"/>
              </w:rPr>
              <m:t>365</m:t>
            </m:r>
          </m:den>
        </m:f>
      </m:oMath>
    </w:p>
    <w:p w14:paraId="0B121681" w14:textId="77777777" w:rsidR="00FD372A" w:rsidRPr="003237C5" w:rsidRDefault="00FD372A" w:rsidP="00FD372A">
      <w:pPr>
        <w:rPr>
          <w:rFonts w:cs="Times New Roman"/>
        </w:rPr>
      </w:pPr>
    </w:p>
    <w:p w14:paraId="4FF614F3" w14:textId="77777777" w:rsidR="00FD372A" w:rsidRPr="003237C5" w:rsidRDefault="00FD372A" w:rsidP="00FD372A">
      <w:pPr>
        <w:keepLines w:val="0"/>
        <w:shd w:val="clear" w:color="auto" w:fill="FFFFFF"/>
        <w:spacing w:before="180"/>
        <w:ind w:firstLine="720"/>
        <w:rPr>
          <w:color w:val="000000"/>
          <w:lang w:eastAsia="en-AU"/>
        </w:rPr>
      </w:pPr>
      <w:r w:rsidRPr="003237C5">
        <w:rPr>
          <w:color w:val="000000"/>
          <w:lang w:eastAsia="en-AU"/>
        </w:rPr>
        <w:t>where:</w:t>
      </w:r>
    </w:p>
    <w:p w14:paraId="2E8E900F" w14:textId="77777777" w:rsidR="00FD372A" w:rsidRPr="003237C5" w:rsidRDefault="00FD372A" w:rsidP="00FD372A">
      <w:pPr>
        <w:keepLines w:val="0"/>
        <w:shd w:val="clear" w:color="auto" w:fill="FFFFFF"/>
        <w:spacing w:before="180"/>
        <w:ind w:left="720"/>
        <w:rPr>
          <w:color w:val="000000"/>
          <w:lang w:eastAsia="en-AU"/>
        </w:rPr>
      </w:pPr>
      <w:r w:rsidRPr="003237C5">
        <w:rPr>
          <w:b/>
          <w:bCs/>
          <w:i/>
          <w:iCs/>
          <w:color w:val="000000"/>
          <w:lang w:eastAsia="en-AU"/>
        </w:rPr>
        <w:t xml:space="preserve">unpaid amount </w:t>
      </w:r>
      <w:r w:rsidRPr="003237C5">
        <w:rPr>
          <w:color w:val="000000"/>
          <w:lang w:eastAsia="en-AU"/>
        </w:rPr>
        <w:t>is the amount of higher education provider charge that has not been paid.</w:t>
      </w:r>
    </w:p>
    <w:p w14:paraId="2E396ADD" w14:textId="77777777" w:rsidR="00FD372A" w:rsidRPr="003237C5" w:rsidRDefault="00FD372A" w:rsidP="00FD372A">
      <w:pPr>
        <w:keepLines w:val="0"/>
        <w:shd w:val="clear" w:color="auto" w:fill="FFFFFF"/>
        <w:spacing w:before="180"/>
        <w:ind w:left="720"/>
        <w:rPr>
          <w:color w:val="000000"/>
          <w:lang w:eastAsia="en-AU"/>
        </w:rPr>
      </w:pPr>
      <w:r w:rsidRPr="003237C5">
        <w:rPr>
          <w:b/>
          <w:bCs/>
          <w:i/>
          <w:iCs/>
          <w:color w:val="000000"/>
          <w:lang w:eastAsia="en-AU"/>
        </w:rPr>
        <w:t>days overdue</w:t>
      </w:r>
      <w:r w:rsidRPr="003237C5">
        <w:rPr>
          <w:color w:val="000000"/>
          <w:lang w:eastAsia="en-AU"/>
        </w:rPr>
        <w:t xml:space="preserve"> is the number of days after the higher education provider charge is due and payable that elapse before the day on which the charge is paid.</w:t>
      </w:r>
    </w:p>
    <w:p w14:paraId="6BC56AD6" w14:textId="77777777" w:rsidR="00FD372A" w:rsidRPr="003237C5" w:rsidRDefault="00FD372A" w:rsidP="00FD372A">
      <w:pPr>
        <w:keepLines w:val="0"/>
        <w:shd w:val="clear" w:color="auto" w:fill="FFFFFF"/>
        <w:spacing w:before="180"/>
        <w:rPr>
          <w:color w:val="000000"/>
          <w:lang w:eastAsia="en-AU"/>
        </w:rPr>
      </w:pPr>
    </w:p>
    <w:p w14:paraId="0FA089AF" w14:textId="77777777" w:rsidR="00FD372A" w:rsidRPr="003237C5" w:rsidRDefault="00FD372A" w:rsidP="00FD372A">
      <w:pPr>
        <w:tabs>
          <w:tab w:val="left" w:pos="1000"/>
        </w:tabs>
        <w:spacing w:after="120"/>
        <w:ind w:left="799" w:hanging="799"/>
        <w:rPr>
          <w:color w:val="000000"/>
          <w:lang w:eastAsia="en-AU"/>
        </w:rPr>
      </w:pPr>
      <w:r w:rsidRPr="003237C5">
        <w:rPr>
          <w:color w:val="000000"/>
          <w:lang w:eastAsia="en-AU"/>
        </w:rPr>
        <w:t>10.5.25</w:t>
      </w:r>
      <w:r w:rsidRPr="003237C5">
        <w:rPr>
          <w:color w:val="000000"/>
          <w:lang w:eastAsia="en-AU"/>
        </w:rPr>
        <w:tab/>
        <w:t xml:space="preserve">To avoid doubt, </w:t>
      </w:r>
      <w:r w:rsidRPr="003237C5">
        <w:rPr>
          <w:rFonts w:cs="Times New Roman"/>
        </w:rPr>
        <w:t>a late payment penalty that a provider is liable to pay is due and payable immediately.</w:t>
      </w:r>
    </w:p>
    <w:p w14:paraId="1CCEAE75" w14:textId="77777777" w:rsidR="00FD372A" w:rsidRPr="003237C5" w:rsidRDefault="00FD372A" w:rsidP="00FD372A">
      <w:pPr>
        <w:keepNext/>
        <w:spacing w:after="120"/>
        <w:rPr>
          <w:rFonts w:cs="Times New Roman"/>
          <w:i/>
          <w:iCs/>
        </w:rPr>
      </w:pPr>
      <w:r w:rsidRPr="003237C5">
        <w:rPr>
          <w:rFonts w:cs="Times New Roman"/>
          <w:i/>
          <w:iCs/>
        </w:rPr>
        <w:t>Waiver of higher education provider charge and late payment penalty (for the purposes of paragraph 19-66(2)(f) of the Act)</w:t>
      </w:r>
    </w:p>
    <w:p w14:paraId="4007749A" w14:textId="77777777" w:rsidR="00FD372A" w:rsidRPr="003237C5" w:rsidRDefault="00FD372A" w:rsidP="00FD372A">
      <w:pPr>
        <w:tabs>
          <w:tab w:val="left" w:pos="1000"/>
        </w:tabs>
        <w:spacing w:after="120"/>
        <w:ind w:left="799" w:hanging="799"/>
        <w:rPr>
          <w:rFonts w:cs="Times New Roman"/>
        </w:rPr>
      </w:pPr>
      <w:r w:rsidRPr="003237C5">
        <w:rPr>
          <w:rFonts w:cs="Times New Roman"/>
        </w:rPr>
        <w:t>10.5.30</w:t>
      </w:r>
      <w:r w:rsidRPr="003237C5">
        <w:rPr>
          <w:rFonts w:cs="Times New Roman"/>
        </w:rPr>
        <w:tab/>
        <w:t xml:space="preserve">The Secretary may, on behalf of the Commonwealth, waive the payment of the whole or a part of an amount of higher education provider charge or late payment penalty (or both) that is payable by a higher education provider. </w:t>
      </w:r>
    </w:p>
    <w:p w14:paraId="79111753" w14:textId="77777777" w:rsidR="00FD372A" w:rsidRPr="003237C5" w:rsidRDefault="00FD372A" w:rsidP="00FD372A">
      <w:pPr>
        <w:tabs>
          <w:tab w:val="left" w:pos="1000"/>
        </w:tabs>
        <w:spacing w:after="120"/>
        <w:ind w:left="799" w:hanging="799"/>
        <w:rPr>
          <w:rFonts w:cs="Times New Roman"/>
        </w:rPr>
      </w:pPr>
      <w:r w:rsidRPr="003237C5">
        <w:rPr>
          <w:rFonts w:cs="Times New Roman"/>
        </w:rPr>
        <w:t>10.5.35</w:t>
      </w:r>
      <w:r w:rsidRPr="003237C5">
        <w:rPr>
          <w:rFonts w:cs="Times New Roman"/>
        </w:rPr>
        <w:tab/>
        <w:t xml:space="preserve">The Secretary may do so on his or her initiative or on written application by the relevant higher education provider. </w:t>
      </w:r>
    </w:p>
    <w:p w14:paraId="1FB8D420" w14:textId="77777777" w:rsidR="00FD372A" w:rsidRPr="003237C5" w:rsidRDefault="00FD372A" w:rsidP="00FD372A">
      <w:pPr>
        <w:keepNext/>
        <w:spacing w:after="120"/>
        <w:rPr>
          <w:rFonts w:cs="Times New Roman"/>
          <w:i/>
          <w:iCs/>
        </w:rPr>
      </w:pPr>
      <w:r w:rsidRPr="003237C5">
        <w:rPr>
          <w:rFonts w:cs="Times New Roman"/>
          <w:i/>
          <w:iCs/>
        </w:rPr>
        <w:t>Recovery of higher education provider charge and late payment penalty (for the purposes of paragraph 19-66(2)(f) and (h) of the Act)</w:t>
      </w:r>
    </w:p>
    <w:p w14:paraId="10AE849A" w14:textId="77777777" w:rsidR="00FD372A" w:rsidRPr="003237C5" w:rsidRDefault="00FD372A" w:rsidP="00FD372A">
      <w:pPr>
        <w:tabs>
          <w:tab w:val="left" w:pos="1000"/>
        </w:tabs>
        <w:spacing w:after="120"/>
        <w:ind w:left="799" w:hanging="799"/>
        <w:rPr>
          <w:rFonts w:cs="Times New Roman"/>
        </w:rPr>
      </w:pPr>
      <w:r w:rsidRPr="003237C5">
        <w:rPr>
          <w:rFonts w:cs="Times New Roman"/>
        </w:rPr>
        <w:t>10.5.40</w:t>
      </w:r>
      <w:r w:rsidRPr="003237C5">
        <w:rPr>
          <w:rFonts w:cs="Times New Roman"/>
        </w:rPr>
        <w:tab/>
        <w:t>The following amounts may be recovered by the Secretary, on behalf of the Commonwealth, from a higher education provider as debts due to the Commonwealth:</w:t>
      </w:r>
    </w:p>
    <w:p w14:paraId="1221CB89" w14:textId="77777777" w:rsidR="00FD372A" w:rsidRPr="003237C5" w:rsidRDefault="00FD372A" w:rsidP="006244DA">
      <w:pPr>
        <w:keepLines w:val="0"/>
        <w:numPr>
          <w:ilvl w:val="0"/>
          <w:numId w:val="25"/>
        </w:numPr>
        <w:spacing w:after="120" w:line="260" w:lineRule="atLeast"/>
        <w:rPr>
          <w:rFonts w:cs="Times New Roman"/>
        </w:rPr>
      </w:pPr>
      <w:r w:rsidRPr="003237C5">
        <w:rPr>
          <w:rFonts w:cs="Times New Roman"/>
        </w:rPr>
        <w:t xml:space="preserve">an amount of higher education provider charge that is due and payable by the </w:t>
      </w:r>
      <w:proofErr w:type="gramStart"/>
      <w:r w:rsidRPr="003237C5">
        <w:rPr>
          <w:rFonts w:cs="Times New Roman"/>
        </w:rPr>
        <w:t>provider;</w:t>
      </w:r>
      <w:proofErr w:type="gramEnd"/>
    </w:p>
    <w:p w14:paraId="3589F41A" w14:textId="77777777" w:rsidR="00FD372A" w:rsidRPr="003237C5" w:rsidRDefault="00FD372A" w:rsidP="006244DA">
      <w:pPr>
        <w:keepLines w:val="0"/>
        <w:numPr>
          <w:ilvl w:val="0"/>
          <w:numId w:val="25"/>
        </w:numPr>
        <w:spacing w:after="120" w:line="260" w:lineRule="atLeast"/>
        <w:rPr>
          <w:rFonts w:cs="Times New Roman"/>
        </w:rPr>
      </w:pPr>
      <w:r w:rsidRPr="003237C5">
        <w:rPr>
          <w:rFonts w:cs="Times New Roman"/>
        </w:rPr>
        <w:t>a late payment penalty that is due and payable by the provider.</w:t>
      </w:r>
    </w:p>
    <w:p w14:paraId="08665F2B" w14:textId="77777777" w:rsidR="00FD372A" w:rsidRPr="003237C5" w:rsidRDefault="00FD372A" w:rsidP="00FD372A">
      <w:pPr>
        <w:keepNext/>
        <w:spacing w:after="120"/>
        <w:rPr>
          <w:rFonts w:cs="Times New Roman"/>
          <w:i/>
          <w:iCs/>
        </w:rPr>
      </w:pPr>
      <w:r w:rsidRPr="003237C5">
        <w:rPr>
          <w:rFonts w:cs="Times New Roman"/>
          <w:i/>
          <w:iCs/>
        </w:rPr>
        <w:t>Refund of higher education provider charge and late payment penalty (for the purposes of paragraph 19-66(2)(f) of the Act)</w:t>
      </w:r>
    </w:p>
    <w:p w14:paraId="5A5DA04E" w14:textId="77777777" w:rsidR="00FD372A" w:rsidRPr="003237C5" w:rsidRDefault="00FD372A" w:rsidP="00FD372A">
      <w:pPr>
        <w:ind w:left="720" w:hanging="720"/>
        <w:rPr>
          <w:rFonts w:cs="Times New Roman"/>
        </w:rPr>
      </w:pPr>
      <w:r w:rsidRPr="003237C5">
        <w:rPr>
          <w:rFonts w:cs="Times New Roman"/>
        </w:rPr>
        <w:t xml:space="preserve">10.5.45 The Secretary may, on behalf of the Commonwealth, refund the whole or a part of an amount of higher education provider charge or late payment penalty (or both) paid by a higher education provider if the Secretary is satisfied that special or unusual circumstances exist that cause the charge or late payment penalty to be unreasonable or inequitable. </w:t>
      </w:r>
    </w:p>
    <w:p w14:paraId="54DBA634" w14:textId="77777777" w:rsidR="00FD372A" w:rsidRPr="003237C5" w:rsidRDefault="00FD372A" w:rsidP="00FD372A">
      <w:pPr>
        <w:ind w:left="720" w:hanging="720"/>
        <w:rPr>
          <w:rFonts w:cs="Times New Roman"/>
        </w:rPr>
      </w:pPr>
    </w:p>
    <w:p w14:paraId="0983F8E1" w14:textId="77777777" w:rsidR="00FD372A" w:rsidRPr="003237C5" w:rsidRDefault="00FD372A" w:rsidP="00FD372A">
      <w:pPr>
        <w:tabs>
          <w:tab w:val="left" w:pos="1000"/>
        </w:tabs>
        <w:spacing w:after="120"/>
        <w:ind w:left="799" w:hanging="799"/>
        <w:rPr>
          <w:rFonts w:cs="Times New Roman"/>
        </w:rPr>
      </w:pPr>
      <w:r w:rsidRPr="003237C5">
        <w:rPr>
          <w:rFonts w:cs="Times New Roman"/>
        </w:rPr>
        <w:t>10.5.50</w:t>
      </w:r>
      <w:r w:rsidRPr="003237C5">
        <w:rPr>
          <w:rFonts w:cs="Times New Roman"/>
        </w:rPr>
        <w:tab/>
        <w:t xml:space="preserve">The Secretary may do so on his or her initiative or on written application by the relevant higher education provider. </w:t>
      </w:r>
    </w:p>
    <w:p w14:paraId="26EF7701" w14:textId="77777777" w:rsidR="00FD372A" w:rsidRPr="003237C5" w:rsidRDefault="00FD372A" w:rsidP="00FD372A">
      <w:pPr>
        <w:keepNext/>
        <w:spacing w:before="220"/>
        <w:rPr>
          <w:rFonts w:cs="Times New Roman"/>
          <w:b/>
          <w:kern w:val="28"/>
          <w:lang w:eastAsia="en-AU"/>
        </w:rPr>
      </w:pPr>
      <w:proofErr w:type="gramStart"/>
      <w:r w:rsidRPr="003237C5">
        <w:rPr>
          <w:rFonts w:cs="Times New Roman"/>
          <w:b/>
          <w:kern w:val="28"/>
          <w:lang w:eastAsia="en-AU"/>
        </w:rPr>
        <w:t>10.10  Review</w:t>
      </w:r>
      <w:proofErr w:type="gramEnd"/>
      <w:r w:rsidRPr="003237C5">
        <w:rPr>
          <w:rFonts w:cs="Times New Roman"/>
          <w:b/>
          <w:kern w:val="28"/>
          <w:lang w:eastAsia="en-AU"/>
        </w:rPr>
        <w:t xml:space="preserve"> of decisions</w:t>
      </w:r>
    </w:p>
    <w:p w14:paraId="4BB51BBB" w14:textId="77777777" w:rsidR="00FD372A" w:rsidRPr="003237C5" w:rsidRDefault="00FD372A" w:rsidP="00FD372A">
      <w:pPr>
        <w:keepNext/>
        <w:spacing w:after="120"/>
        <w:rPr>
          <w:rFonts w:cs="Times New Roman"/>
          <w:i/>
          <w:iCs/>
        </w:rPr>
      </w:pPr>
    </w:p>
    <w:p w14:paraId="7DF5C1E0" w14:textId="77777777" w:rsidR="00FD372A" w:rsidRPr="003237C5" w:rsidRDefault="00FD372A" w:rsidP="00FD372A">
      <w:pPr>
        <w:keepNext/>
        <w:spacing w:after="120"/>
        <w:rPr>
          <w:rFonts w:cs="Times New Roman"/>
          <w:i/>
          <w:iCs/>
        </w:rPr>
      </w:pPr>
      <w:r w:rsidRPr="003237C5">
        <w:rPr>
          <w:rFonts w:cs="Times New Roman"/>
          <w:i/>
          <w:iCs/>
        </w:rPr>
        <w:t>Reviewable decisions (for the purposes of paragraph 19-66(2)(g) of the Act)</w:t>
      </w:r>
    </w:p>
    <w:p w14:paraId="581BB29F" w14:textId="77777777" w:rsidR="00FD372A" w:rsidRPr="003237C5" w:rsidRDefault="00FD372A" w:rsidP="00FD372A">
      <w:pPr>
        <w:tabs>
          <w:tab w:val="left" w:pos="1000"/>
        </w:tabs>
        <w:spacing w:after="120"/>
        <w:ind w:left="799" w:hanging="799"/>
        <w:rPr>
          <w:rFonts w:cs="Times New Roman"/>
        </w:rPr>
      </w:pPr>
      <w:r w:rsidRPr="003237C5">
        <w:rPr>
          <w:rFonts w:cs="Times New Roman"/>
        </w:rPr>
        <w:t>10.10.1</w:t>
      </w:r>
      <w:r w:rsidRPr="003237C5">
        <w:rPr>
          <w:rFonts w:cs="Times New Roman"/>
        </w:rPr>
        <w:tab/>
        <w:t xml:space="preserve">The following are </w:t>
      </w:r>
      <w:r w:rsidRPr="003237C5">
        <w:rPr>
          <w:rFonts w:cs="Times New Roman"/>
          <w:b/>
          <w:bCs/>
          <w:i/>
          <w:iCs/>
        </w:rPr>
        <w:t>reviewable decisions</w:t>
      </w:r>
      <w:r w:rsidRPr="003237C5">
        <w:rPr>
          <w:rFonts w:cs="Times New Roman"/>
        </w:rPr>
        <w:t xml:space="preserve"> for the purposes of this chapter: </w:t>
      </w:r>
    </w:p>
    <w:p w14:paraId="39A06E88" w14:textId="77777777" w:rsidR="00FD372A" w:rsidRPr="003237C5" w:rsidRDefault="00FD372A" w:rsidP="006244DA">
      <w:pPr>
        <w:keepLines w:val="0"/>
        <w:numPr>
          <w:ilvl w:val="0"/>
          <w:numId w:val="26"/>
        </w:numPr>
        <w:spacing w:after="120" w:line="260" w:lineRule="atLeast"/>
        <w:rPr>
          <w:rFonts w:cs="Times New Roman"/>
        </w:rPr>
      </w:pPr>
      <w:bookmarkStart w:id="38" w:name="_Hlk89351095"/>
      <w:r w:rsidRPr="003237C5">
        <w:rPr>
          <w:rFonts w:cs="Times New Roman"/>
        </w:rPr>
        <w:t xml:space="preserve">a decision to issue a notice under paragraph 10.5.1 in relation to the determination of higher education provider </w:t>
      </w:r>
      <w:proofErr w:type="gramStart"/>
      <w:r w:rsidRPr="003237C5">
        <w:rPr>
          <w:rFonts w:cs="Times New Roman"/>
        </w:rPr>
        <w:t>charge;</w:t>
      </w:r>
      <w:proofErr w:type="gramEnd"/>
    </w:p>
    <w:p w14:paraId="5ABD190B" w14:textId="77777777" w:rsidR="00FD372A" w:rsidRPr="003237C5" w:rsidRDefault="00FD372A" w:rsidP="006244DA">
      <w:pPr>
        <w:keepLines w:val="0"/>
        <w:numPr>
          <w:ilvl w:val="0"/>
          <w:numId w:val="26"/>
        </w:numPr>
        <w:spacing w:after="120" w:line="260" w:lineRule="atLeast"/>
        <w:rPr>
          <w:rFonts w:cs="Times New Roman"/>
        </w:rPr>
      </w:pPr>
      <w:r w:rsidRPr="003237C5">
        <w:rPr>
          <w:rFonts w:cs="Times New Roman"/>
        </w:rPr>
        <w:t xml:space="preserve">a decision not to waive the payment of the whole or a part of an amount of higher education provider charge or late payment penalty under paragraph 10.5.30 following an application by a higher education </w:t>
      </w:r>
      <w:proofErr w:type="gramStart"/>
      <w:r w:rsidRPr="003237C5">
        <w:rPr>
          <w:rFonts w:cs="Times New Roman"/>
        </w:rPr>
        <w:t>provider;</w:t>
      </w:r>
      <w:proofErr w:type="gramEnd"/>
      <w:r w:rsidRPr="003237C5">
        <w:rPr>
          <w:rFonts w:cs="Times New Roman"/>
        </w:rPr>
        <w:t xml:space="preserve"> </w:t>
      </w:r>
    </w:p>
    <w:p w14:paraId="23769955" w14:textId="77777777" w:rsidR="00FD372A" w:rsidRPr="003237C5" w:rsidRDefault="00FD372A" w:rsidP="006244DA">
      <w:pPr>
        <w:keepLines w:val="0"/>
        <w:numPr>
          <w:ilvl w:val="0"/>
          <w:numId w:val="26"/>
        </w:numPr>
        <w:spacing w:after="120" w:line="260" w:lineRule="atLeast"/>
        <w:rPr>
          <w:rFonts w:cs="Times New Roman"/>
        </w:rPr>
      </w:pPr>
      <w:r w:rsidRPr="003237C5">
        <w:rPr>
          <w:rFonts w:cs="Times New Roman"/>
        </w:rPr>
        <w:t xml:space="preserve">a decision not to refund the payment of the whole or a part of an amount of higher education provider charge or late payment penalty under paragraph 10.5.45 following an application by a higher education provider. </w:t>
      </w:r>
    </w:p>
    <w:bookmarkEnd w:id="38"/>
    <w:p w14:paraId="17E51FA8" w14:textId="77777777" w:rsidR="00FD372A" w:rsidRPr="003237C5" w:rsidRDefault="00FD372A" w:rsidP="00FD372A">
      <w:pPr>
        <w:keepNext/>
        <w:spacing w:after="120"/>
        <w:rPr>
          <w:rFonts w:cs="Times New Roman"/>
          <w:b/>
          <w:bCs/>
          <w:i/>
          <w:iCs/>
        </w:rPr>
      </w:pPr>
      <w:r w:rsidRPr="003237C5">
        <w:rPr>
          <w:rFonts w:cs="Times New Roman"/>
          <w:i/>
          <w:iCs/>
        </w:rPr>
        <w:t>Internal review (for the purposes of paragraph 19-66(2)(g) of the Act)</w:t>
      </w:r>
    </w:p>
    <w:p w14:paraId="4BFC3856" w14:textId="77777777" w:rsidR="00FD372A" w:rsidRPr="003237C5" w:rsidRDefault="00FD372A" w:rsidP="00FD372A">
      <w:pPr>
        <w:tabs>
          <w:tab w:val="left" w:pos="1000"/>
        </w:tabs>
        <w:spacing w:after="120"/>
        <w:ind w:left="799" w:hanging="799"/>
        <w:rPr>
          <w:rFonts w:cs="Times New Roman"/>
        </w:rPr>
      </w:pPr>
      <w:r w:rsidRPr="003237C5">
        <w:rPr>
          <w:rFonts w:cs="Times New Roman"/>
        </w:rPr>
        <w:t>10.10.5</w:t>
      </w:r>
      <w:r w:rsidRPr="003237C5">
        <w:rPr>
          <w:rFonts w:cs="Times New Roman"/>
        </w:rPr>
        <w:tab/>
        <w:t>A higher education provider may request the Secretary to reconsider a reviewable decision.</w:t>
      </w:r>
    </w:p>
    <w:p w14:paraId="260A1FF3" w14:textId="77777777" w:rsidR="00FD372A" w:rsidRPr="003237C5" w:rsidRDefault="00FD372A" w:rsidP="00FD372A">
      <w:pPr>
        <w:tabs>
          <w:tab w:val="left" w:pos="1000"/>
        </w:tabs>
        <w:spacing w:after="120"/>
        <w:ind w:left="799" w:hanging="799"/>
        <w:rPr>
          <w:rFonts w:cs="Times New Roman"/>
        </w:rPr>
      </w:pPr>
      <w:r w:rsidRPr="003237C5">
        <w:rPr>
          <w:rFonts w:cs="Times New Roman"/>
        </w:rPr>
        <w:t>10.10.10</w:t>
      </w:r>
      <w:r w:rsidRPr="003237C5">
        <w:rPr>
          <w:rFonts w:cs="Times New Roman"/>
        </w:rPr>
        <w:tab/>
        <w:t xml:space="preserve">The higher education provider’s request must be in writing and given to the Secretary within 14 days, or such longer period as the Secretary allows, after the day on which the provider received the notice issued under paragraph 10.5.1 or notice of the decision under paragraph 10.5.30 or 10.5.45. </w:t>
      </w:r>
    </w:p>
    <w:p w14:paraId="6D78658C" w14:textId="77777777" w:rsidR="00FD372A" w:rsidRPr="003237C5" w:rsidRDefault="00FD372A" w:rsidP="00FD372A">
      <w:pPr>
        <w:tabs>
          <w:tab w:val="left" w:pos="1000"/>
        </w:tabs>
        <w:spacing w:after="120"/>
        <w:ind w:left="799" w:hanging="799"/>
        <w:rPr>
          <w:rFonts w:cs="Times New Roman"/>
        </w:rPr>
      </w:pPr>
      <w:r w:rsidRPr="003237C5">
        <w:rPr>
          <w:rFonts w:cs="Times New Roman"/>
        </w:rPr>
        <w:t>10.10.15</w:t>
      </w:r>
      <w:r w:rsidRPr="003237C5">
        <w:rPr>
          <w:rFonts w:cs="Times New Roman"/>
        </w:rPr>
        <w:tab/>
        <w:t xml:space="preserve">After receiving the request, the Secretary must reconsider the reviewable decision and: </w:t>
      </w:r>
      <w:r w:rsidRPr="003237C5">
        <w:rPr>
          <w:rFonts w:cs="Times New Roman"/>
        </w:rPr>
        <w:tab/>
      </w:r>
    </w:p>
    <w:p w14:paraId="3EDC9582" w14:textId="77777777" w:rsidR="00FD372A" w:rsidRPr="003237C5" w:rsidRDefault="00FD372A" w:rsidP="006244DA">
      <w:pPr>
        <w:keepLines w:val="0"/>
        <w:numPr>
          <w:ilvl w:val="0"/>
          <w:numId w:val="27"/>
        </w:numPr>
        <w:spacing w:after="120" w:line="260" w:lineRule="atLeast"/>
        <w:rPr>
          <w:rFonts w:cs="Times New Roman"/>
        </w:rPr>
      </w:pPr>
      <w:r w:rsidRPr="003237C5">
        <w:rPr>
          <w:rFonts w:cs="Times New Roman"/>
        </w:rPr>
        <w:t xml:space="preserve">confirm the </w:t>
      </w:r>
      <w:proofErr w:type="gramStart"/>
      <w:r w:rsidRPr="003237C5">
        <w:rPr>
          <w:rFonts w:cs="Times New Roman"/>
        </w:rPr>
        <w:t>decision;</w:t>
      </w:r>
      <w:proofErr w:type="gramEnd"/>
      <w:r w:rsidRPr="003237C5">
        <w:rPr>
          <w:rFonts w:cs="Times New Roman"/>
        </w:rPr>
        <w:t xml:space="preserve"> </w:t>
      </w:r>
    </w:p>
    <w:p w14:paraId="2F607A90" w14:textId="77777777" w:rsidR="00FD372A" w:rsidRPr="003237C5" w:rsidRDefault="00FD372A" w:rsidP="006244DA">
      <w:pPr>
        <w:keepLines w:val="0"/>
        <w:numPr>
          <w:ilvl w:val="0"/>
          <w:numId w:val="27"/>
        </w:numPr>
        <w:spacing w:after="120" w:line="260" w:lineRule="atLeast"/>
        <w:rPr>
          <w:rFonts w:cs="Times New Roman"/>
        </w:rPr>
      </w:pPr>
      <w:r w:rsidRPr="003237C5">
        <w:rPr>
          <w:rFonts w:cs="Times New Roman"/>
        </w:rPr>
        <w:t>vary the decision; or</w:t>
      </w:r>
    </w:p>
    <w:p w14:paraId="234AB417" w14:textId="77777777" w:rsidR="00FD372A" w:rsidRPr="003237C5" w:rsidRDefault="00FD372A" w:rsidP="006244DA">
      <w:pPr>
        <w:keepLines w:val="0"/>
        <w:numPr>
          <w:ilvl w:val="0"/>
          <w:numId w:val="27"/>
        </w:numPr>
        <w:spacing w:after="120" w:line="260" w:lineRule="atLeast"/>
        <w:rPr>
          <w:rFonts w:cs="Times New Roman"/>
        </w:rPr>
      </w:pPr>
      <w:r w:rsidRPr="003237C5">
        <w:rPr>
          <w:rFonts w:cs="Times New Roman"/>
        </w:rPr>
        <w:t xml:space="preserve">set the decision aside and substitute a new decision. </w:t>
      </w:r>
    </w:p>
    <w:p w14:paraId="03EB9EAA" w14:textId="77777777" w:rsidR="00FD372A" w:rsidRPr="003237C5" w:rsidRDefault="00FD372A" w:rsidP="00FD372A">
      <w:pPr>
        <w:spacing w:after="120"/>
        <w:ind w:left="851" w:hanging="851"/>
        <w:rPr>
          <w:rFonts w:cs="Times New Roman"/>
        </w:rPr>
      </w:pPr>
      <w:r w:rsidRPr="003237C5">
        <w:rPr>
          <w:rFonts w:cs="Times New Roman"/>
        </w:rPr>
        <w:t xml:space="preserve">10.10.20 Without limiting the obligation that the Secretary has under section 27A of the </w:t>
      </w:r>
      <w:r w:rsidRPr="003237C5">
        <w:rPr>
          <w:rFonts w:cs="Times New Roman"/>
          <w:i/>
          <w:iCs/>
        </w:rPr>
        <w:t>Administrative Appeals Tribunal Act 1975</w:t>
      </w:r>
      <w:r w:rsidRPr="003237C5">
        <w:rPr>
          <w:rFonts w:cs="Times New Roman"/>
        </w:rPr>
        <w:t>, the Secretary must give a notice of the Secretary’s decision (</w:t>
      </w:r>
      <w:r w:rsidRPr="003237C5">
        <w:rPr>
          <w:rFonts w:cs="Times New Roman"/>
          <w:b/>
          <w:bCs/>
          <w:i/>
          <w:iCs/>
        </w:rPr>
        <w:t>internal review decision</w:t>
      </w:r>
      <w:r w:rsidRPr="003237C5">
        <w:rPr>
          <w:rFonts w:cs="Times New Roman"/>
        </w:rPr>
        <w:t xml:space="preserve">) under paragraph 10.10.15. </w:t>
      </w:r>
    </w:p>
    <w:p w14:paraId="01329E1A" w14:textId="77777777" w:rsidR="00FD372A" w:rsidRPr="003237C5" w:rsidRDefault="00FD372A" w:rsidP="00FD372A">
      <w:pPr>
        <w:spacing w:after="120"/>
        <w:ind w:left="851" w:hanging="851"/>
        <w:rPr>
          <w:rFonts w:cs="Times New Roman"/>
        </w:rPr>
      </w:pPr>
      <w:r w:rsidRPr="003237C5">
        <w:rPr>
          <w:rFonts w:cs="Times New Roman"/>
        </w:rPr>
        <w:t>10.10.25 The notice under paragraph 10.10.20:</w:t>
      </w:r>
    </w:p>
    <w:p w14:paraId="0DE803B8" w14:textId="77777777" w:rsidR="00FD372A" w:rsidRPr="003237C5" w:rsidRDefault="00FD372A" w:rsidP="006244DA">
      <w:pPr>
        <w:keepLines w:val="0"/>
        <w:numPr>
          <w:ilvl w:val="0"/>
          <w:numId w:val="28"/>
        </w:numPr>
        <w:spacing w:after="120" w:line="260" w:lineRule="atLeast"/>
        <w:rPr>
          <w:rFonts w:cs="Times New Roman"/>
        </w:rPr>
      </w:pPr>
      <w:r w:rsidRPr="003237C5">
        <w:rPr>
          <w:rFonts w:cs="Times New Roman"/>
        </w:rPr>
        <w:t xml:space="preserve">must be given within 14 days after the internal review decision is </w:t>
      </w:r>
      <w:proofErr w:type="gramStart"/>
      <w:r w:rsidRPr="003237C5">
        <w:rPr>
          <w:rFonts w:cs="Times New Roman"/>
        </w:rPr>
        <w:t>made;</w:t>
      </w:r>
      <w:proofErr w:type="gramEnd"/>
      <w:r w:rsidRPr="003237C5">
        <w:rPr>
          <w:rFonts w:cs="Times New Roman"/>
        </w:rPr>
        <w:t xml:space="preserve"> </w:t>
      </w:r>
    </w:p>
    <w:p w14:paraId="18E36D22" w14:textId="77777777" w:rsidR="00FD372A" w:rsidRPr="003237C5" w:rsidRDefault="00FD372A" w:rsidP="006244DA">
      <w:pPr>
        <w:keepLines w:val="0"/>
        <w:numPr>
          <w:ilvl w:val="0"/>
          <w:numId w:val="28"/>
        </w:numPr>
        <w:spacing w:after="120" w:line="260" w:lineRule="atLeast"/>
        <w:rPr>
          <w:rFonts w:cs="Times New Roman"/>
        </w:rPr>
      </w:pPr>
      <w:r w:rsidRPr="003237C5">
        <w:rPr>
          <w:rFonts w:cs="Times New Roman"/>
        </w:rPr>
        <w:t xml:space="preserve">must contain a statement of the reasons for the internal review decision; and </w:t>
      </w:r>
    </w:p>
    <w:p w14:paraId="67DE74AC" w14:textId="77777777" w:rsidR="00FD372A" w:rsidRPr="003237C5" w:rsidRDefault="00FD372A" w:rsidP="006244DA">
      <w:pPr>
        <w:keepLines w:val="0"/>
        <w:numPr>
          <w:ilvl w:val="0"/>
          <w:numId w:val="28"/>
        </w:numPr>
        <w:spacing w:after="120" w:line="260" w:lineRule="atLeast"/>
        <w:rPr>
          <w:rFonts w:cs="Times New Roman"/>
        </w:rPr>
      </w:pPr>
      <w:r w:rsidRPr="003237C5">
        <w:rPr>
          <w:rFonts w:cs="Times New Roman"/>
        </w:rPr>
        <w:t>if the internal review decision relates to a notice issued under paragraph 10.5.1 and subparagraphs 10.10.15(b) or (c) apply, include a new notice under paragraph 10.5.1 with a due date at least 30 days after the date the provider is notified of the internal review decision.</w:t>
      </w:r>
    </w:p>
    <w:p w14:paraId="5C2EDF55" w14:textId="77777777" w:rsidR="00FD372A" w:rsidRPr="003237C5" w:rsidRDefault="00FD372A" w:rsidP="00FD372A">
      <w:pPr>
        <w:keepNext/>
        <w:spacing w:after="120"/>
        <w:rPr>
          <w:rFonts w:cs="Times New Roman"/>
          <w:b/>
          <w:bCs/>
          <w:i/>
          <w:iCs/>
        </w:rPr>
      </w:pPr>
      <w:r w:rsidRPr="003237C5">
        <w:rPr>
          <w:rFonts w:cs="Times New Roman"/>
          <w:i/>
          <w:iCs/>
        </w:rPr>
        <w:t>Administrative Appeals Tribunal review (for the purposes of paragraph 19-66(2)(g) of the Act)</w:t>
      </w:r>
    </w:p>
    <w:p w14:paraId="0D3AB72B" w14:textId="77777777" w:rsidR="00FD372A" w:rsidRPr="003237C5" w:rsidRDefault="00FD372A" w:rsidP="00FD372A">
      <w:pPr>
        <w:spacing w:after="120"/>
        <w:ind w:left="851" w:hanging="851"/>
        <w:rPr>
          <w:rFonts w:cs="Times New Roman"/>
        </w:rPr>
      </w:pPr>
      <w:r w:rsidRPr="003237C5">
        <w:rPr>
          <w:rFonts w:cs="Times New Roman"/>
        </w:rPr>
        <w:t xml:space="preserve">10.10.30 An application may be made to the Administrative Appeals Tribunal for the review of a decision that has been confirmed, </w:t>
      </w:r>
      <w:proofErr w:type="gramStart"/>
      <w:r w:rsidRPr="003237C5">
        <w:rPr>
          <w:rFonts w:cs="Times New Roman"/>
        </w:rPr>
        <w:t>varied</w:t>
      </w:r>
      <w:proofErr w:type="gramEnd"/>
      <w:r w:rsidRPr="003237C5">
        <w:rPr>
          <w:rFonts w:cs="Times New Roman"/>
        </w:rPr>
        <w:t xml:space="preserve"> or set aside under paragraph 10.10.15. </w:t>
      </w:r>
    </w:p>
    <w:p w14:paraId="0997E980" w14:textId="77777777" w:rsidR="000A3622" w:rsidRPr="003237C5" w:rsidRDefault="000A3622" w:rsidP="005F6165">
      <w:pPr>
        <w:pStyle w:val="paragraph"/>
        <w:rPr>
          <w:rFonts w:ascii="Arial" w:hAnsi="Arial" w:cs="Arial"/>
          <w:szCs w:val="22"/>
        </w:rPr>
      </w:pPr>
    </w:p>
    <w:p w14:paraId="36FF3BED" w14:textId="77777777" w:rsidR="000A3622" w:rsidRPr="003237C5" w:rsidRDefault="000A3622" w:rsidP="005F6165">
      <w:pPr>
        <w:pStyle w:val="paragraph"/>
        <w:rPr>
          <w:rFonts w:ascii="Arial" w:hAnsi="Arial" w:cs="Arial"/>
          <w:szCs w:val="22"/>
        </w:rPr>
      </w:pPr>
    </w:p>
    <w:p w14:paraId="7806CBC5" w14:textId="23E583D5" w:rsidR="000A3622" w:rsidRPr="003237C5" w:rsidRDefault="000A3622" w:rsidP="005F6165">
      <w:pPr>
        <w:pStyle w:val="paragraph"/>
        <w:rPr>
          <w:rFonts w:ascii="Arial" w:hAnsi="Arial" w:cs="Arial"/>
          <w:szCs w:val="22"/>
        </w:rPr>
        <w:sectPr w:rsidR="000A3622" w:rsidRPr="003237C5" w:rsidSect="00F27052">
          <w:footerReference w:type="default" r:id="rId15"/>
          <w:footerReference w:type="first" r:id="rId16"/>
          <w:pgSz w:w="11907" w:h="16839" w:code="9"/>
          <w:pgMar w:top="1702" w:right="1134" w:bottom="1304" w:left="426" w:header="454" w:footer="1134" w:gutter="0"/>
          <w:paperSrc w:first="7" w:other="7"/>
          <w:pgNumType w:start="3"/>
          <w:cols w:space="720"/>
          <w:formProt w:val="0"/>
          <w:titlePg/>
          <w:docGrid w:linePitch="326"/>
        </w:sectPr>
      </w:pPr>
    </w:p>
    <w:p w14:paraId="64581ED5" w14:textId="77777777" w:rsidR="004068D3" w:rsidRPr="003237C5" w:rsidRDefault="004068D3" w:rsidP="004068D3">
      <w:pPr>
        <w:pStyle w:val="ENotesHeading1"/>
      </w:pPr>
      <w:bookmarkStart w:id="39" w:name="_Toc93391331"/>
      <w:r w:rsidRPr="003237C5">
        <w:t>Endnotes</w:t>
      </w:r>
      <w:bookmarkEnd w:id="39"/>
    </w:p>
    <w:p w14:paraId="23A3BFFA" w14:textId="77777777" w:rsidR="004068D3" w:rsidRPr="003237C5" w:rsidRDefault="004068D3" w:rsidP="004068D3">
      <w:pPr>
        <w:pStyle w:val="ENotesHeading2"/>
      </w:pPr>
      <w:bookmarkStart w:id="40" w:name="_Toc93391332"/>
      <w:r w:rsidRPr="003237C5">
        <w:t>Endnote 1—About the endnotes</w:t>
      </w:r>
      <w:bookmarkEnd w:id="40"/>
    </w:p>
    <w:p w14:paraId="5C089131" w14:textId="77777777" w:rsidR="004068D3" w:rsidRPr="003237C5" w:rsidRDefault="004068D3" w:rsidP="004068D3">
      <w:pPr>
        <w:spacing w:after="120"/>
      </w:pPr>
      <w:r w:rsidRPr="003237C5">
        <w:t>The endnotes provide information about this compilation and the compiled law.</w:t>
      </w:r>
    </w:p>
    <w:p w14:paraId="4FB6E78E" w14:textId="77777777" w:rsidR="004068D3" w:rsidRPr="003237C5" w:rsidRDefault="004068D3" w:rsidP="004068D3">
      <w:pPr>
        <w:spacing w:after="120"/>
      </w:pPr>
      <w:r w:rsidRPr="003237C5">
        <w:t>The following endnotes are included in every compilation:</w:t>
      </w:r>
    </w:p>
    <w:p w14:paraId="36DE1BDC" w14:textId="77777777" w:rsidR="004068D3" w:rsidRPr="003237C5" w:rsidRDefault="004068D3" w:rsidP="004068D3">
      <w:r w:rsidRPr="003237C5">
        <w:t>Endnote 1—About the endnotes</w:t>
      </w:r>
    </w:p>
    <w:p w14:paraId="01DFA8A2" w14:textId="77777777" w:rsidR="004068D3" w:rsidRPr="003237C5" w:rsidRDefault="004068D3" w:rsidP="004068D3">
      <w:r w:rsidRPr="003237C5">
        <w:t>Endnote 2—Abbreviation key</w:t>
      </w:r>
    </w:p>
    <w:p w14:paraId="7C54FCEE" w14:textId="77777777" w:rsidR="004068D3" w:rsidRPr="003237C5" w:rsidRDefault="004068D3" w:rsidP="004068D3">
      <w:r w:rsidRPr="003237C5">
        <w:t>Endnote 3—Legislation history</w:t>
      </w:r>
    </w:p>
    <w:p w14:paraId="63782B80" w14:textId="77777777" w:rsidR="004068D3" w:rsidRPr="003237C5" w:rsidRDefault="004068D3" w:rsidP="004068D3">
      <w:pPr>
        <w:spacing w:after="120"/>
      </w:pPr>
      <w:r w:rsidRPr="003237C5">
        <w:t>Endnote 4—Amendment history</w:t>
      </w:r>
    </w:p>
    <w:p w14:paraId="1429B3C8" w14:textId="77777777" w:rsidR="004068D3" w:rsidRPr="003237C5" w:rsidRDefault="004068D3" w:rsidP="004068D3">
      <w:r w:rsidRPr="003237C5">
        <w:rPr>
          <w:b/>
        </w:rPr>
        <w:t>Abbreviation key—Endnote 2</w:t>
      </w:r>
    </w:p>
    <w:p w14:paraId="1EE2B0D0" w14:textId="77777777" w:rsidR="004068D3" w:rsidRPr="003237C5" w:rsidRDefault="004068D3" w:rsidP="004068D3">
      <w:pPr>
        <w:spacing w:after="120"/>
      </w:pPr>
      <w:r w:rsidRPr="003237C5">
        <w:t>The abbreviation key sets out abbreviations that may be used in the endnotes.</w:t>
      </w:r>
    </w:p>
    <w:p w14:paraId="79A5D508" w14:textId="77777777" w:rsidR="004068D3" w:rsidRPr="003237C5" w:rsidRDefault="004068D3" w:rsidP="004068D3">
      <w:pPr>
        <w:rPr>
          <w:b/>
        </w:rPr>
      </w:pPr>
      <w:r w:rsidRPr="003237C5">
        <w:rPr>
          <w:b/>
        </w:rPr>
        <w:t>Legislation history and amendment history—Endnotes 3 and 4</w:t>
      </w:r>
    </w:p>
    <w:p w14:paraId="69EA79F5" w14:textId="77777777" w:rsidR="004068D3" w:rsidRPr="003237C5" w:rsidRDefault="004068D3" w:rsidP="004068D3">
      <w:pPr>
        <w:spacing w:after="120"/>
      </w:pPr>
      <w:r w:rsidRPr="003237C5">
        <w:t>Amending laws are annotated in the legislation history and amendment history.</w:t>
      </w:r>
    </w:p>
    <w:p w14:paraId="63559520" w14:textId="77777777" w:rsidR="004068D3" w:rsidRPr="003237C5" w:rsidRDefault="004068D3" w:rsidP="004068D3">
      <w:pPr>
        <w:spacing w:after="120"/>
      </w:pPr>
      <w:r w:rsidRPr="003237C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546E6C2" w14:textId="77777777" w:rsidR="004068D3" w:rsidRPr="003237C5" w:rsidRDefault="004068D3" w:rsidP="004068D3">
      <w:pPr>
        <w:spacing w:after="120"/>
      </w:pPr>
      <w:r w:rsidRPr="003237C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C0F7D29" w14:textId="77777777" w:rsidR="004068D3" w:rsidRPr="003237C5" w:rsidRDefault="004068D3" w:rsidP="004068D3">
      <w:pPr>
        <w:keepNext/>
      </w:pPr>
      <w:r w:rsidRPr="003237C5">
        <w:rPr>
          <w:b/>
        </w:rPr>
        <w:t>Misdescribed amendments</w:t>
      </w:r>
    </w:p>
    <w:p w14:paraId="2941822F" w14:textId="77777777" w:rsidR="004068D3" w:rsidRPr="003237C5" w:rsidRDefault="004068D3" w:rsidP="004068D3">
      <w:pPr>
        <w:spacing w:after="120"/>
      </w:pPr>
      <w:r w:rsidRPr="003237C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12C1B51" w14:textId="77777777" w:rsidR="004068D3" w:rsidRPr="003237C5" w:rsidRDefault="004068D3" w:rsidP="004068D3">
      <w:pPr>
        <w:spacing w:before="120"/>
      </w:pPr>
      <w:r w:rsidRPr="003237C5">
        <w:t xml:space="preserve">If a misdescribed amendment cannot be given effect as intended, the abbreviation “(md not incorp)” is added to the details of the amendment included in the amendment history.  </w:t>
      </w:r>
    </w:p>
    <w:p w14:paraId="08398A85" w14:textId="2420CEE4" w:rsidR="00C104FD" w:rsidRPr="003237C5" w:rsidRDefault="00C104FD" w:rsidP="00C104FD">
      <w:pPr>
        <w:pStyle w:val="paragraph"/>
        <w:rPr>
          <w:rFonts w:ascii="Arial" w:hAnsi="Arial" w:cs="Arial"/>
          <w:szCs w:val="22"/>
        </w:rPr>
      </w:pPr>
    </w:p>
    <w:p w14:paraId="29E15007" w14:textId="77777777" w:rsidR="004068D3" w:rsidRPr="003237C5" w:rsidRDefault="004068D3" w:rsidP="00C104FD">
      <w:pPr>
        <w:pStyle w:val="paragraph"/>
        <w:rPr>
          <w:rFonts w:ascii="Arial" w:hAnsi="Arial" w:cs="Arial"/>
          <w:szCs w:val="22"/>
        </w:rPr>
        <w:sectPr w:rsidR="004068D3" w:rsidRPr="003237C5" w:rsidSect="00FD0920">
          <w:headerReference w:type="first" r:id="rId17"/>
          <w:footerReference w:type="first" r:id="rId18"/>
          <w:pgSz w:w="11907" w:h="16839" w:code="9"/>
          <w:pgMar w:top="1702" w:right="1134" w:bottom="1304" w:left="1134" w:header="454" w:footer="1134" w:gutter="0"/>
          <w:paperSrc w:first="7" w:other="7"/>
          <w:cols w:space="720"/>
          <w:formProt w:val="0"/>
          <w:titlePg/>
          <w:docGrid w:linePitch="326"/>
        </w:sectPr>
      </w:pPr>
    </w:p>
    <w:p w14:paraId="531E47E6" w14:textId="77777777" w:rsidR="004068D3" w:rsidRPr="003237C5" w:rsidRDefault="004068D3" w:rsidP="004068D3">
      <w:pPr>
        <w:pStyle w:val="ENotesHeading2"/>
        <w:pageBreakBefore/>
        <w:outlineLvl w:val="9"/>
      </w:pPr>
      <w:r w:rsidRPr="003237C5">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4068D3" w:rsidRPr="003237C5" w14:paraId="344902CC" w14:textId="77777777" w:rsidTr="00A959D9">
        <w:tc>
          <w:tcPr>
            <w:tcW w:w="4253" w:type="dxa"/>
            <w:shd w:val="clear" w:color="auto" w:fill="auto"/>
          </w:tcPr>
          <w:p w14:paraId="4BB915CD" w14:textId="77777777" w:rsidR="004068D3" w:rsidRPr="003237C5" w:rsidRDefault="004068D3" w:rsidP="00A959D9">
            <w:pPr>
              <w:spacing w:before="60"/>
              <w:ind w:left="34"/>
              <w:rPr>
                <w:sz w:val="20"/>
              </w:rPr>
            </w:pPr>
          </w:p>
        </w:tc>
        <w:tc>
          <w:tcPr>
            <w:tcW w:w="3686" w:type="dxa"/>
            <w:shd w:val="clear" w:color="auto" w:fill="auto"/>
          </w:tcPr>
          <w:p w14:paraId="16862BBF" w14:textId="77777777" w:rsidR="004068D3" w:rsidRPr="003237C5" w:rsidRDefault="004068D3" w:rsidP="00A959D9">
            <w:pPr>
              <w:spacing w:before="60"/>
              <w:ind w:left="34"/>
              <w:rPr>
                <w:sz w:val="20"/>
              </w:rPr>
            </w:pPr>
            <w:r w:rsidRPr="003237C5">
              <w:rPr>
                <w:sz w:val="20"/>
              </w:rPr>
              <w:t>o = order(s)</w:t>
            </w:r>
          </w:p>
        </w:tc>
      </w:tr>
      <w:tr w:rsidR="004068D3" w:rsidRPr="003237C5" w14:paraId="77146AD0" w14:textId="77777777" w:rsidTr="00A959D9">
        <w:tc>
          <w:tcPr>
            <w:tcW w:w="4253" w:type="dxa"/>
            <w:shd w:val="clear" w:color="auto" w:fill="auto"/>
          </w:tcPr>
          <w:p w14:paraId="6FFD1FBA" w14:textId="77777777" w:rsidR="004068D3" w:rsidRPr="003237C5" w:rsidRDefault="004068D3" w:rsidP="00A959D9">
            <w:pPr>
              <w:spacing w:before="60"/>
              <w:ind w:left="34"/>
              <w:rPr>
                <w:sz w:val="20"/>
              </w:rPr>
            </w:pPr>
            <w:r w:rsidRPr="003237C5">
              <w:rPr>
                <w:sz w:val="20"/>
              </w:rPr>
              <w:t>ad = added or inserted</w:t>
            </w:r>
          </w:p>
        </w:tc>
        <w:tc>
          <w:tcPr>
            <w:tcW w:w="3686" w:type="dxa"/>
            <w:shd w:val="clear" w:color="auto" w:fill="auto"/>
          </w:tcPr>
          <w:p w14:paraId="5CB717AF" w14:textId="77777777" w:rsidR="004068D3" w:rsidRPr="003237C5" w:rsidRDefault="004068D3" w:rsidP="00A959D9">
            <w:pPr>
              <w:spacing w:before="60"/>
              <w:ind w:left="34"/>
              <w:rPr>
                <w:sz w:val="20"/>
              </w:rPr>
            </w:pPr>
            <w:r w:rsidRPr="003237C5">
              <w:rPr>
                <w:sz w:val="20"/>
              </w:rPr>
              <w:t>Ord = Ordinance</w:t>
            </w:r>
          </w:p>
        </w:tc>
      </w:tr>
      <w:tr w:rsidR="004068D3" w:rsidRPr="003237C5" w14:paraId="7AEAE9AD" w14:textId="77777777" w:rsidTr="00A959D9">
        <w:tc>
          <w:tcPr>
            <w:tcW w:w="4253" w:type="dxa"/>
            <w:shd w:val="clear" w:color="auto" w:fill="auto"/>
          </w:tcPr>
          <w:p w14:paraId="6552B063" w14:textId="77777777" w:rsidR="004068D3" w:rsidRPr="003237C5" w:rsidRDefault="004068D3" w:rsidP="00A959D9">
            <w:pPr>
              <w:spacing w:before="60"/>
              <w:ind w:left="34"/>
              <w:rPr>
                <w:sz w:val="20"/>
              </w:rPr>
            </w:pPr>
            <w:r w:rsidRPr="003237C5">
              <w:rPr>
                <w:sz w:val="20"/>
              </w:rPr>
              <w:t>am = amended</w:t>
            </w:r>
          </w:p>
        </w:tc>
        <w:tc>
          <w:tcPr>
            <w:tcW w:w="3686" w:type="dxa"/>
            <w:shd w:val="clear" w:color="auto" w:fill="auto"/>
          </w:tcPr>
          <w:p w14:paraId="3045A580" w14:textId="77777777" w:rsidR="004068D3" w:rsidRPr="003237C5" w:rsidRDefault="004068D3" w:rsidP="00A959D9">
            <w:pPr>
              <w:spacing w:before="60"/>
              <w:ind w:left="34"/>
              <w:rPr>
                <w:sz w:val="20"/>
              </w:rPr>
            </w:pPr>
            <w:proofErr w:type="spellStart"/>
            <w:r w:rsidRPr="003237C5">
              <w:rPr>
                <w:sz w:val="20"/>
              </w:rPr>
              <w:t>orig</w:t>
            </w:r>
            <w:proofErr w:type="spellEnd"/>
            <w:r w:rsidRPr="003237C5">
              <w:rPr>
                <w:sz w:val="20"/>
              </w:rPr>
              <w:t xml:space="preserve"> = original</w:t>
            </w:r>
          </w:p>
        </w:tc>
      </w:tr>
      <w:tr w:rsidR="004068D3" w:rsidRPr="003237C5" w14:paraId="34FA77CB" w14:textId="77777777" w:rsidTr="00A959D9">
        <w:tc>
          <w:tcPr>
            <w:tcW w:w="4253" w:type="dxa"/>
            <w:shd w:val="clear" w:color="auto" w:fill="auto"/>
          </w:tcPr>
          <w:p w14:paraId="21138B4F" w14:textId="77777777" w:rsidR="004068D3" w:rsidRPr="003237C5" w:rsidRDefault="004068D3" w:rsidP="00A959D9">
            <w:pPr>
              <w:spacing w:before="60"/>
              <w:ind w:left="34"/>
              <w:rPr>
                <w:sz w:val="20"/>
              </w:rPr>
            </w:pPr>
            <w:proofErr w:type="spellStart"/>
            <w:r w:rsidRPr="003237C5">
              <w:rPr>
                <w:sz w:val="20"/>
              </w:rPr>
              <w:t>amdt</w:t>
            </w:r>
            <w:proofErr w:type="spellEnd"/>
            <w:r w:rsidRPr="003237C5">
              <w:rPr>
                <w:sz w:val="20"/>
              </w:rPr>
              <w:t xml:space="preserve"> = amendment</w:t>
            </w:r>
          </w:p>
        </w:tc>
        <w:tc>
          <w:tcPr>
            <w:tcW w:w="3686" w:type="dxa"/>
            <w:shd w:val="clear" w:color="auto" w:fill="auto"/>
          </w:tcPr>
          <w:p w14:paraId="05D41A1D" w14:textId="77777777" w:rsidR="004068D3" w:rsidRPr="003237C5" w:rsidRDefault="004068D3" w:rsidP="00A959D9">
            <w:pPr>
              <w:spacing w:before="60"/>
              <w:ind w:left="34"/>
              <w:rPr>
                <w:sz w:val="20"/>
              </w:rPr>
            </w:pPr>
            <w:r w:rsidRPr="003237C5">
              <w:rPr>
                <w:sz w:val="20"/>
              </w:rPr>
              <w:t>par = paragraph(s)/subparagraph(s)</w:t>
            </w:r>
          </w:p>
        </w:tc>
      </w:tr>
      <w:tr w:rsidR="004068D3" w:rsidRPr="003237C5" w14:paraId="003F08D5" w14:textId="77777777" w:rsidTr="00A959D9">
        <w:tc>
          <w:tcPr>
            <w:tcW w:w="4253" w:type="dxa"/>
            <w:shd w:val="clear" w:color="auto" w:fill="auto"/>
          </w:tcPr>
          <w:p w14:paraId="07D27580" w14:textId="77777777" w:rsidR="004068D3" w:rsidRPr="003237C5" w:rsidRDefault="004068D3" w:rsidP="00A959D9">
            <w:pPr>
              <w:spacing w:before="60"/>
              <w:ind w:left="34"/>
              <w:rPr>
                <w:sz w:val="20"/>
              </w:rPr>
            </w:pPr>
            <w:r w:rsidRPr="003237C5">
              <w:rPr>
                <w:sz w:val="20"/>
              </w:rPr>
              <w:t>c = clause(s)</w:t>
            </w:r>
          </w:p>
        </w:tc>
        <w:tc>
          <w:tcPr>
            <w:tcW w:w="3686" w:type="dxa"/>
            <w:shd w:val="clear" w:color="auto" w:fill="auto"/>
          </w:tcPr>
          <w:p w14:paraId="2FF25F4E" w14:textId="77777777" w:rsidR="004068D3" w:rsidRPr="003237C5" w:rsidRDefault="004068D3" w:rsidP="00A959D9">
            <w:pPr>
              <w:ind w:left="34"/>
              <w:rPr>
                <w:sz w:val="20"/>
              </w:rPr>
            </w:pPr>
            <w:r w:rsidRPr="003237C5">
              <w:rPr>
                <w:sz w:val="20"/>
              </w:rPr>
              <w:t xml:space="preserve">    /sub</w:t>
            </w:r>
            <w:r w:rsidRPr="003237C5">
              <w:rPr>
                <w:sz w:val="20"/>
              </w:rPr>
              <w:noBreakHyphen/>
              <w:t>subparagraph(s)</w:t>
            </w:r>
          </w:p>
        </w:tc>
      </w:tr>
      <w:tr w:rsidR="004068D3" w:rsidRPr="003237C5" w14:paraId="52808818" w14:textId="77777777" w:rsidTr="00A959D9">
        <w:tc>
          <w:tcPr>
            <w:tcW w:w="4253" w:type="dxa"/>
            <w:shd w:val="clear" w:color="auto" w:fill="auto"/>
          </w:tcPr>
          <w:p w14:paraId="0D429086" w14:textId="77777777" w:rsidR="004068D3" w:rsidRPr="003237C5" w:rsidRDefault="004068D3" w:rsidP="00A959D9">
            <w:pPr>
              <w:spacing w:before="60"/>
              <w:ind w:left="34"/>
              <w:rPr>
                <w:sz w:val="20"/>
              </w:rPr>
            </w:pPr>
            <w:r w:rsidRPr="003237C5">
              <w:rPr>
                <w:sz w:val="20"/>
              </w:rPr>
              <w:t>C[x] = Compilation No. x</w:t>
            </w:r>
          </w:p>
        </w:tc>
        <w:tc>
          <w:tcPr>
            <w:tcW w:w="3686" w:type="dxa"/>
            <w:shd w:val="clear" w:color="auto" w:fill="auto"/>
          </w:tcPr>
          <w:p w14:paraId="4DAF208C" w14:textId="77777777" w:rsidR="004068D3" w:rsidRPr="003237C5" w:rsidRDefault="004068D3" w:rsidP="00A959D9">
            <w:pPr>
              <w:spacing w:before="60"/>
              <w:ind w:left="34"/>
              <w:rPr>
                <w:sz w:val="20"/>
              </w:rPr>
            </w:pPr>
            <w:proofErr w:type="spellStart"/>
            <w:r w:rsidRPr="003237C5">
              <w:rPr>
                <w:sz w:val="20"/>
              </w:rPr>
              <w:t>pres</w:t>
            </w:r>
            <w:proofErr w:type="spellEnd"/>
            <w:r w:rsidRPr="003237C5">
              <w:rPr>
                <w:sz w:val="20"/>
              </w:rPr>
              <w:t xml:space="preserve"> = present</w:t>
            </w:r>
          </w:p>
        </w:tc>
      </w:tr>
      <w:tr w:rsidR="004068D3" w:rsidRPr="003237C5" w14:paraId="3DD58DE1" w14:textId="77777777" w:rsidTr="00A959D9">
        <w:tc>
          <w:tcPr>
            <w:tcW w:w="4253" w:type="dxa"/>
            <w:shd w:val="clear" w:color="auto" w:fill="auto"/>
          </w:tcPr>
          <w:p w14:paraId="27F1EB32" w14:textId="77777777" w:rsidR="004068D3" w:rsidRPr="003237C5" w:rsidRDefault="004068D3" w:rsidP="00A959D9">
            <w:pPr>
              <w:spacing w:before="60"/>
              <w:ind w:left="34"/>
              <w:rPr>
                <w:sz w:val="20"/>
              </w:rPr>
            </w:pPr>
            <w:r w:rsidRPr="003237C5">
              <w:rPr>
                <w:sz w:val="20"/>
              </w:rPr>
              <w:t>Ch = Chapter(s)</w:t>
            </w:r>
          </w:p>
        </w:tc>
        <w:tc>
          <w:tcPr>
            <w:tcW w:w="3686" w:type="dxa"/>
            <w:shd w:val="clear" w:color="auto" w:fill="auto"/>
          </w:tcPr>
          <w:p w14:paraId="06D894EA" w14:textId="77777777" w:rsidR="004068D3" w:rsidRPr="003237C5" w:rsidRDefault="004068D3" w:rsidP="00A959D9">
            <w:pPr>
              <w:spacing w:before="60"/>
              <w:ind w:left="34"/>
              <w:rPr>
                <w:sz w:val="20"/>
              </w:rPr>
            </w:pPr>
            <w:proofErr w:type="spellStart"/>
            <w:r w:rsidRPr="003237C5">
              <w:rPr>
                <w:sz w:val="20"/>
              </w:rPr>
              <w:t>prev</w:t>
            </w:r>
            <w:proofErr w:type="spellEnd"/>
            <w:r w:rsidRPr="003237C5">
              <w:rPr>
                <w:sz w:val="20"/>
              </w:rPr>
              <w:t xml:space="preserve"> = previous</w:t>
            </w:r>
          </w:p>
        </w:tc>
      </w:tr>
      <w:tr w:rsidR="004068D3" w:rsidRPr="003237C5" w14:paraId="19A454A0" w14:textId="77777777" w:rsidTr="00A959D9">
        <w:tc>
          <w:tcPr>
            <w:tcW w:w="4253" w:type="dxa"/>
            <w:shd w:val="clear" w:color="auto" w:fill="auto"/>
          </w:tcPr>
          <w:p w14:paraId="44B0C568" w14:textId="77777777" w:rsidR="004068D3" w:rsidRPr="003237C5" w:rsidRDefault="004068D3" w:rsidP="00A959D9">
            <w:pPr>
              <w:spacing w:before="60"/>
              <w:ind w:left="34"/>
              <w:rPr>
                <w:sz w:val="20"/>
              </w:rPr>
            </w:pPr>
            <w:r w:rsidRPr="003237C5">
              <w:rPr>
                <w:sz w:val="20"/>
              </w:rPr>
              <w:t>def = definition(s)</w:t>
            </w:r>
          </w:p>
        </w:tc>
        <w:tc>
          <w:tcPr>
            <w:tcW w:w="3686" w:type="dxa"/>
            <w:shd w:val="clear" w:color="auto" w:fill="auto"/>
          </w:tcPr>
          <w:p w14:paraId="4C920A5C" w14:textId="77777777" w:rsidR="004068D3" w:rsidRPr="003237C5" w:rsidRDefault="004068D3" w:rsidP="00A959D9">
            <w:pPr>
              <w:spacing w:before="60"/>
              <w:ind w:left="34"/>
              <w:rPr>
                <w:sz w:val="20"/>
              </w:rPr>
            </w:pPr>
            <w:r w:rsidRPr="003237C5">
              <w:rPr>
                <w:sz w:val="20"/>
              </w:rPr>
              <w:t>(</w:t>
            </w:r>
            <w:proofErr w:type="spellStart"/>
            <w:r w:rsidRPr="003237C5">
              <w:rPr>
                <w:sz w:val="20"/>
              </w:rPr>
              <w:t>prev</w:t>
            </w:r>
            <w:proofErr w:type="spellEnd"/>
            <w:r w:rsidRPr="003237C5">
              <w:rPr>
                <w:sz w:val="20"/>
              </w:rPr>
              <w:t>…) = previously</w:t>
            </w:r>
          </w:p>
        </w:tc>
      </w:tr>
      <w:tr w:rsidR="004068D3" w:rsidRPr="003237C5" w14:paraId="0AD4277B" w14:textId="77777777" w:rsidTr="00A959D9">
        <w:tc>
          <w:tcPr>
            <w:tcW w:w="4253" w:type="dxa"/>
            <w:shd w:val="clear" w:color="auto" w:fill="auto"/>
          </w:tcPr>
          <w:p w14:paraId="504F3280" w14:textId="77777777" w:rsidR="004068D3" w:rsidRPr="003237C5" w:rsidRDefault="004068D3" w:rsidP="00A959D9">
            <w:pPr>
              <w:spacing w:before="60"/>
              <w:ind w:left="34"/>
              <w:rPr>
                <w:sz w:val="20"/>
              </w:rPr>
            </w:pPr>
            <w:proofErr w:type="spellStart"/>
            <w:r w:rsidRPr="003237C5">
              <w:rPr>
                <w:sz w:val="20"/>
              </w:rPr>
              <w:t>Dict</w:t>
            </w:r>
            <w:proofErr w:type="spellEnd"/>
            <w:r w:rsidRPr="003237C5">
              <w:rPr>
                <w:sz w:val="20"/>
              </w:rPr>
              <w:t xml:space="preserve"> = Dictionary</w:t>
            </w:r>
          </w:p>
        </w:tc>
        <w:tc>
          <w:tcPr>
            <w:tcW w:w="3686" w:type="dxa"/>
            <w:shd w:val="clear" w:color="auto" w:fill="auto"/>
          </w:tcPr>
          <w:p w14:paraId="09513112" w14:textId="77777777" w:rsidR="004068D3" w:rsidRPr="003237C5" w:rsidRDefault="004068D3" w:rsidP="00A959D9">
            <w:pPr>
              <w:spacing w:before="60"/>
              <w:ind w:left="34"/>
              <w:rPr>
                <w:sz w:val="20"/>
              </w:rPr>
            </w:pPr>
            <w:r w:rsidRPr="003237C5">
              <w:rPr>
                <w:sz w:val="20"/>
              </w:rPr>
              <w:t>Pt = Part(s)</w:t>
            </w:r>
          </w:p>
        </w:tc>
      </w:tr>
      <w:tr w:rsidR="004068D3" w:rsidRPr="003237C5" w14:paraId="14911B75" w14:textId="77777777" w:rsidTr="00A959D9">
        <w:tc>
          <w:tcPr>
            <w:tcW w:w="4253" w:type="dxa"/>
            <w:shd w:val="clear" w:color="auto" w:fill="auto"/>
          </w:tcPr>
          <w:p w14:paraId="07FB460B" w14:textId="77777777" w:rsidR="004068D3" w:rsidRPr="003237C5" w:rsidRDefault="004068D3" w:rsidP="00A959D9">
            <w:pPr>
              <w:spacing w:before="60"/>
              <w:ind w:left="34"/>
              <w:rPr>
                <w:sz w:val="20"/>
              </w:rPr>
            </w:pPr>
            <w:r w:rsidRPr="003237C5">
              <w:rPr>
                <w:sz w:val="20"/>
              </w:rPr>
              <w:t>disallowed = disallowed by Parliament</w:t>
            </w:r>
          </w:p>
        </w:tc>
        <w:tc>
          <w:tcPr>
            <w:tcW w:w="3686" w:type="dxa"/>
            <w:shd w:val="clear" w:color="auto" w:fill="auto"/>
          </w:tcPr>
          <w:p w14:paraId="4DBADBDA" w14:textId="77777777" w:rsidR="004068D3" w:rsidRPr="003237C5" w:rsidRDefault="004068D3" w:rsidP="00A959D9">
            <w:pPr>
              <w:spacing w:before="60"/>
              <w:ind w:left="34"/>
              <w:rPr>
                <w:sz w:val="20"/>
              </w:rPr>
            </w:pPr>
            <w:r w:rsidRPr="003237C5">
              <w:rPr>
                <w:sz w:val="20"/>
              </w:rPr>
              <w:t>r = regulation(s)/rule(s)</w:t>
            </w:r>
          </w:p>
        </w:tc>
      </w:tr>
      <w:tr w:rsidR="004068D3" w:rsidRPr="003237C5" w14:paraId="4A97ABD9" w14:textId="77777777" w:rsidTr="00A959D9">
        <w:tc>
          <w:tcPr>
            <w:tcW w:w="4253" w:type="dxa"/>
            <w:shd w:val="clear" w:color="auto" w:fill="auto"/>
          </w:tcPr>
          <w:p w14:paraId="78B943E3" w14:textId="77777777" w:rsidR="004068D3" w:rsidRDefault="004068D3" w:rsidP="00A959D9">
            <w:pPr>
              <w:spacing w:before="60"/>
              <w:ind w:left="34"/>
              <w:rPr>
                <w:sz w:val="20"/>
              </w:rPr>
            </w:pPr>
            <w:proofErr w:type="spellStart"/>
            <w:r w:rsidRPr="003237C5">
              <w:rPr>
                <w:sz w:val="20"/>
              </w:rPr>
              <w:t>Div</w:t>
            </w:r>
            <w:proofErr w:type="spellEnd"/>
            <w:r w:rsidRPr="003237C5">
              <w:rPr>
                <w:sz w:val="20"/>
              </w:rPr>
              <w:t xml:space="preserve"> = Division(s)</w:t>
            </w:r>
          </w:p>
          <w:p w14:paraId="1DD70224" w14:textId="2AF5EA14" w:rsidR="00207459" w:rsidRPr="003237C5" w:rsidRDefault="00207459" w:rsidP="00A959D9">
            <w:pPr>
              <w:spacing w:before="60"/>
              <w:ind w:left="34"/>
              <w:rPr>
                <w:sz w:val="20"/>
              </w:rPr>
            </w:pPr>
            <w:r>
              <w:rPr>
                <w:sz w:val="20"/>
              </w:rPr>
              <w:t>ed = editorial change</w:t>
            </w:r>
          </w:p>
        </w:tc>
        <w:tc>
          <w:tcPr>
            <w:tcW w:w="3686" w:type="dxa"/>
            <w:shd w:val="clear" w:color="auto" w:fill="auto"/>
          </w:tcPr>
          <w:p w14:paraId="5C79E01D" w14:textId="77777777" w:rsidR="004068D3" w:rsidRPr="003237C5" w:rsidRDefault="004068D3" w:rsidP="00A959D9">
            <w:pPr>
              <w:spacing w:before="60"/>
              <w:ind w:left="34"/>
              <w:rPr>
                <w:sz w:val="20"/>
              </w:rPr>
            </w:pPr>
          </w:p>
        </w:tc>
      </w:tr>
      <w:tr w:rsidR="004068D3" w:rsidRPr="003237C5" w14:paraId="3BF89C6B" w14:textId="77777777" w:rsidTr="00A959D9">
        <w:tc>
          <w:tcPr>
            <w:tcW w:w="4253" w:type="dxa"/>
            <w:shd w:val="clear" w:color="auto" w:fill="auto"/>
          </w:tcPr>
          <w:p w14:paraId="37A89294" w14:textId="77777777" w:rsidR="004068D3" w:rsidRPr="003237C5" w:rsidRDefault="004068D3" w:rsidP="00A959D9">
            <w:pPr>
              <w:spacing w:before="60"/>
              <w:ind w:left="34"/>
              <w:rPr>
                <w:sz w:val="20"/>
              </w:rPr>
            </w:pPr>
            <w:r w:rsidRPr="003237C5">
              <w:rPr>
                <w:sz w:val="20"/>
              </w:rPr>
              <w:t>exp = expires/expired or ceases/ceased to have</w:t>
            </w:r>
          </w:p>
        </w:tc>
        <w:tc>
          <w:tcPr>
            <w:tcW w:w="3686" w:type="dxa"/>
            <w:shd w:val="clear" w:color="auto" w:fill="auto"/>
          </w:tcPr>
          <w:p w14:paraId="590BFD13" w14:textId="77777777" w:rsidR="004068D3" w:rsidRPr="003237C5" w:rsidRDefault="004068D3" w:rsidP="00A959D9">
            <w:pPr>
              <w:spacing w:before="60"/>
              <w:ind w:left="34"/>
              <w:rPr>
                <w:sz w:val="20"/>
              </w:rPr>
            </w:pPr>
            <w:proofErr w:type="spellStart"/>
            <w:r w:rsidRPr="003237C5">
              <w:rPr>
                <w:sz w:val="20"/>
              </w:rPr>
              <w:t>reloc</w:t>
            </w:r>
            <w:proofErr w:type="spellEnd"/>
            <w:r w:rsidRPr="003237C5">
              <w:rPr>
                <w:sz w:val="20"/>
              </w:rPr>
              <w:t xml:space="preserve"> = relocated</w:t>
            </w:r>
          </w:p>
        </w:tc>
      </w:tr>
      <w:tr w:rsidR="004068D3" w:rsidRPr="003237C5" w14:paraId="1EFD8823" w14:textId="77777777" w:rsidTr="00A959D9">
        <w:tc>
          <w:tcPr>
            <w:tcW w:w="4253" w:type="dxa"/>
            <w:shd w:val="clear" w:color="auto" w:fill="auto"/>
          </w:tcPr>
          <w:p w14:paraId="4B957888" w14:textId="77777777" w:rsidR="004068D3" w:rsidRPr="003237C5" w:rsidRDefault="004068D3" w:rsidP="00A959D9">
            <w:pPr>
              <w:ind w:left="34"/>
              <w:rPr>
                <w:sz w:val="20"/>
              </w:rPr>
            </w:pPr>
            <w:r w:rsidRPr="003237C5">
              <w:rPr>
                <w:sz w:val="20"/>
              </w:rPr>
              <w:t xml:space="preserve">    effect</w:t>
            </w:r>
          </w:p>
        </w:tc>
        <w:tc>
          <w:tcPr>
            <w:tcW w:w="3686" w:type="dxa"/>
            <w:shd w:val="clear" w:color="auto" w:fill="auto"/>
          </w:tcPr>
          <w:p w14:paraId="403DD412" w14:textId="77777777" w:rsidR="004068D3" w:rsidRPr="003237C5" w:rsidRDefault="004068D3" w:rsidP="00A959D9">
            <w:pPr>
              <w:spacing w:before="60"/>
              <w:ind w:left="34"/>
              <w:rPr>
                <w:sz w:val="20"/>
              </w:rPr>
            </w:pPr>
            <w:proofErr w:type="spellStart"/>
            <w:r w:rsidRPr="003237C5">
              <w:rPr>
                <w:sz w:val="20"/>
              </w:rPr>
              <w:t>renum</w:t>
            </w:r>
            <w:proofErr w:type="spellEnd"/>
            <w:r w:rsidRPr="003237C5">
              <w:rPr>
                <w:sz w:val="20"/>
              </w:rPr>
              <w:t xml:space="preserve"> = renumbered</w:t>
            </w:r>
          </w:p>
        </w:tc>
      </w:tr>
      <w:tr w:rsidR="004068D3" w:rsidRPr="003237C5" w14:paraId="2B155F44" w14:textId="77777777" w:rsidTr="00A959D9">
        <w:tc>
          <w:tcPr>
            <w:tcW w:w="4253" w:type="dxa"/>
            <w:shd w:val="clear" w:color="auto" w:fill="auto"/>
          </w:tcPr>
          <w:p w14:paraId="7F5C7922" w14:textId="77777777" w:rsidR="004068D3" w:rsidRPr="003237C5" w:rsidRDefault="004068D3" w:rsidP="00A959D9">
            <w:pPr>
              <w:spacing w:before="60"/>
              <w:ind w:left="34"/>
              <w:rPr>
                <w:sz w:val="20"/>
              </w:rPr>
            </w:pPr>
            <w:r w:rsidRPr="003237C5">
              <w:rPr>
                <w:sz w:val="20"/>
              </w:rPr>
              <w:t>F = Federal Register of Legislation</w:t>
            </w:r>
          </w:p>
        </w:tc>
        <w:tc>
          <w:tcPr>
            <w:tcW w:w="3686" w:type="dxa"/>
            <w:shd w:val="clear" w:color="auto" w:fill="auto"/>
          </w:tcPr>
          <w:p w14:paraId="19A00610" w14:textId="77777777" w:rsidR="004068D3" w:rsidRPr="003237C5" w:rsidRDefault="004068D3" w:rsidP="00A959D9">
            <w:pPr>
              <w:spacing w:before="60"/>
              <w:ind w:left="34"/>
              <w:rPr>
                <w:sz w:val="20"/>
              </w:rPr>
            </w:pPr>
            <w:r w:rsidRPr="003237C5">
              <w:rPr>
                <w:sz w:val="20"/>
              </w:rPr>
              <w:t>rep = repealed</w:t>
            </w:r>
          </w:p>
        </w:tc>
      </w:tr>
      <w:tr w:rsidR="004068D3" w:rsidRPr="003237C5" w14:paraId="26ABB102" w14:textId="77777777" w:rsidTr="00A959D9">
        <w:tc>
          <w:tcPr>
            <w:tcW w:w="4253" w:type="dxa"/>
            <w:shd w:val="clear" w:color="auto" w:fill="auto"/>
          </w:tcPr>
          <w:p w14:paraId="6DF48A2B" w14:textId="77777777" w:rsidR="004068D3" w:rsidRPr="003237C5" w:rsidRDefault="004068D3" w:rsidP="00A959D9">
            <w:pPr>
              <w:spacing w:before="60"/>
              <w:ind w:left="34"/>
              <w:rPr>
                <w:sz w:val="20"/>
              </w:rPr>
            </w:pPr>
            <w:proofErr w:type="spellStart"/>
            <w:r w:rsidRPr="003237C5">
              <w:rPr>
                <w:sz w:val="20"/>
              </w:rPr>
              <w:t>gaz</w:t>
            </w:r>
            <w:proofErr w:type="spellEnd"/>
            <w:r w:rsidRPr="003237C5">
              <w:rPr>
                <w:sz w:val="20"/>
              </w:rPr>
              <w:t xml:space="preserve"> = gazette</w:t>
            </w:r>
          </w:p>
        </w:tc>
        <w:tc>
          <w:tcPr>
            <w:tcW w:w="3686" w:type="dxa"/>
            <w:shd w:val="clear" w:color="auto" w:fill="auto"/>
          </w:tcPr>
          <w:p w14:paraId="596584FD" w14:textId="77777777" w:rsidR="004068D3" w:rsidRPr="003237C5" w:rsidRDefault="004068D3" w:rsidP="00A959D9">
            <w:pPr>
              <w:spacing w:before="60"/>
              <w:ind w:left="34"/>
              <w:rPr>
                <w:sz w:val="20"/>
              </w:rPr>
            </w:pPr>
            <w:proofErr w:type="spellStart"/>
            <w:r w:rsidRPr="003237C5">
              <w:rPr>
                <w:sz w:val="20"/>
              </w:rPr>
              <w:t>rs</w:t>
            </w:r>
            <w:proofErr w:type="spellEnd"/>
            <w:r w:rsidRPr="003237C5">
              <w:rPr>
                <w:sz w:val="20"/>
              </w:rPr>
              <w:t xml:space="preserve"> = repealed and substituted</w:t>
            </w:r>
          </w:p>
        </w:tc>
      </w:tr>
      <w:tr w:rsidR="004068D3" w:rsidRPr="003237C5" w14:paraId="0981A01B" w14:textId="77777777" w:rsidTr="00A959D9">
        <w:tc>
          <w:tcPr>
            <w:tcW w:w="4253" w:type="dxa"/>
            <w:shd w:val="clear" w:color="auto" w:fill="auto"/>
          </w:tcPr>
          <w:p w14:paraId="23B25E10" w14:textId="77777777" w:rsidR="004068D3" w:rsidRPr="003237C5" w:rsidRDefault="004068D3" w:rsidP="00A959D9">
            <w:pPr>
              <w:spacing w:before="60"/>
              <w:ind w:left="34"/>
              <w:rPr>
                <w:sz w:val="20"/>
              </w:rPr>
            </w:pPr>
            <w:r w:rsidRPr="003237C5">
              <w:rPr>
                <w:sz w:val="20"/>
              </w:rPr>
              <w:t xml:space="preserve">LA = </w:t>
            </w:r>
            <w:r w:rsidRPr="003237C5">
              <w:rPr>
                <w:i/>
                <w:sz w:val="20"/>
              </w:rPr>
              <w:t>Legislation Act 2003</w:t>
            </w:r>
          </w:p>
        </w:tc>
        <w:tc>
          <w:tcPr>
            <w:tcW w:w="3686" w:type="dxa"/>
            <w:shd w:val="clear" w:color="auto" w:fill="auto"/>
          </w:tcPr>
          <w:p w14:paraId="0CCF5878" w14:textId="77777777" w:rsidR="004068D3" w:rsidRPr="003237C5" w:rsidRDefault="004068D3" w:rsidP="00A959D9">
            <w:pPr>
              <w:spacing w:before="60"/>
              <w:ind w:left="34"/>
              <w:rPr>
                <w:sz w:val="20"/>
              </w:rPr>
            </w:pPr>
            <w:r w:rsidRPr="003237C5">
              <w:rPr>
                <w:sz w:val="20"/>
              </w:rPr>
              <w:t>s = section(s)/subsection(s)</w:t>
            </w:r>
          </w:p>
        </w:tc>
      </w:tr>
      <w:tr w:rsidR="004068D3" w:rsidRPr="003237C5" w14:paraId="29586C19" w14:textId="77777777" w:rsidTr="00A959D9">
        <w:tc>
          <w:tcPr>
            <w:tcW w:w="4253" w:type="dxa"/>
            <w:shd w:val="clear" w:color="auto" w:fill="auto"/>
          </w:tcPr>
          <w:p w14:paraId="4CE7DB3D" w14:textId="77777777" w:rsidR="004068D3" w:rsidRPr="003237C5" w:rsidRDefault="004068D3" w:rsidP="00A959D9">
            <w:pPr>
              <w:spacing w:before="60"/>
              <w:ind w:left="34"/>
              <w:rPr>
                <w:sz w:val="20"/>
              </w:rPr>
            </w:pPr>
            <w:r w:rsidRPr="003237C5">
              <w:rPr>
                <w:sz w:val="20"/>
              </w:rPr>
              <w:t xml:space="preserve">LIA = </w:t>
            </w:r>
            <w:r w:rsidRPr="003237C5">
              <w:rPr>
                <w:i/>
                <w:sz w:val="20"/>
              </w:rPr>
              <w:t>Legislative Instruments Act 2003</w:t>
            </w:r>
          </w:p>
        </w:tc>
        <w:tc>
          <w:tcPr>
            <w:tcW w:w="3686" w:type="dxa"/>
            <w:shd w:val="clear" w:color="auto" w:fill="auto"/>
          </w:tcPr>
          <w:p w14:paraId="75D28C2C" w14:textId="77777777" w:rsidR="004068D3" w:rsidRPr="003237C5" w:rsidRDefault="004068D3" w:rsidP="00A959D9">
            <w:pPr>
              <w:spacing w:before="60"/>
              <w:ind w:left="34"/>
              <w:rPr>
                <w:sz w:val="20"/>
              </w:rPr>
            </w:pPr>
            <w:r w:rsidRPr="003237C5">
              <w:rPr>
                <w:sz w:val="20"/>
              </w:rPr>
              <w:t>Sch = Schedule(s)</w:t>
            </w:r>
          </w:p>
        </w:tc>
      </w:tr>
      <w:tr w:rsidR="004068D3" w:rsidRPr="003237C5" w14:paraId="4D519487" w14:textId="77777777" w:rsidTr="00A959D9">
        <w:tc>
          <w:tcPr>
            <w:tcW w:w="4253" w:type="dxa"/>
            <w:shd w:val="clear" w:color="auto" w:fill="auto"/>
          </w:tcPr>
          <w:p w14:paraId="4037B527" w14:textId="77777777" w:rsidR="004068D3" w:rsidRPr="003237C5" w:rsidRDefault="004068D3" w:rsidP="00A959D9">
            <w:pPr>
              <w:spacing w:before="60"/>
              <w:ind w:left="34"/>
              <w:rPr>
                <w:sz w:val="20"/>
              </w:rPr>
            </w:pPr>
            <w:r w:rsidRPr="003237C5">
              <w:rPr>
                <w:sz w:val="20"/>
              </w:rPr>
              <w:t>(md) = misdescribed amendment can be given</w:t>
            </w:r>
          </w:p>
        </w:tc>
        <w:tc>
          <w:tcPr>
            <w:tcW w:w="3686" w:type="dxa"/>
            <w:shd w:val="clear" w:color="auto" w:fill="auto"/>
          </w:tcPr>
          <w:p w14:paraId="342D6A3E" w14:textId="77777777" w:rsidR="004068D3" w:rsidRPr="003237C5" w:rsidRDefault="004068D3" w:rsidP="00A959D9">
            <w:pPr>
              <w:spacing w:before="60"/>
              <w:ind w:left="34"/>
              <w:rPr>
                <w:sz w:val="20"/>
              </w:rPr>
            </w:pPr>
            <w:proofErr w:type="spellStart"/>
            <w:r w:rsidRPr="003237C5">
              <w:rPr>
                <w:sz w:val="20"/>
              </w:rPr>
              <w:t>Sdiv</w:t>
            </w:r>
            <w:proofErr w:type="spellEnd"/>
            <w:r w:rsidRPr="003237C5">
              <w:rPr>
                <w:sz w:val="20"/>
              </w:rPr>
              <w:t xml:space="preserve"> = Subdivision(s)</w:t>
            </w:r>
          </w:p>
        </w:tc>
      </w:tr>
      <w:tr w:rsidR="004068D3" w:rsidRPr="003237C5" w14:paraId="0C729329" w14:textId="77777777" w:rsidTr="00A959D9">
        <w:tc>
          <w:tcPr>
            <w:tcW w:w="4253" w:type="dxa"/>
            <w:shd w:val="clear" w:color="auto" w:fill="auto"/>
          </w:tcPr>
          <w:p w14:paraId="4DBBEE3C" w14:textId="77777777" w:rsidR="004068D3" w:rsidRPr="003237C5" w:rsidRDefault="004068D3" w:rsidP="00A959D9">
            <w:pPr>
              <w:ind w:left="34"/>
              <w:rPr>
                <w:sz w:val="20"/>
              </w:rPr>
            </w:pPr>
            <w:r w:rsidRPr="003237C5">
              <w:rPr>
                <w:sz w:val="20"/>
              </w:rPr>
              <w:t xml:space="preserve">    effect</w:t>
            </w:r>
          </w:p>
        </w:tc>
        <w:tc>
          <w:tcPr>
            <w:tcW w:w="3686" w:type="dxa"/>
            <w:shd w:val="clear" w:color="auto" w:fill="auto"/>
          </w:tcPr>
          <w:p w14:paraId="3DAF62EA" w14:textId="77777777" w:rsidR="004068D3" w:rsidRPr="003237C5" w:rsidRDefault="004068D3" w:rsidP="00A959D9">
            <w:pPr>
              <w:spacing w:before="60"/>
              <w:ind w:left="34"/>
              <w:rPr>
                <w:sz w:val="20"/>
              </w:rPr>
            </w:pPr>
            <w:r w:rsidRPr="003237C5">
              <w:rPr>
                <w:sz w:val="20"/>
              </w:rPr>
              <w:t>SLI = Select Legislative Instrument</w:t>
            </w:r>
          </w:p>
        </w:tc>
      </w:tr>
      <w:tr w:rsidR="004068D3" w:rsidRPr="003237C5" w14:paraId="2CFE3291" w14:textId="77777777" w:rsidTr="00A959D9">
        <w:tc>
          <w:tcPr>
            <w:tcW w:w="4253" w:type="dxa"/>
            <w:shd w:val="clear" w:color="auto" w:fill="auto"/>
          </w:tcPr>
          <w:p w14:paraId="228451CE" w14:textId="77777777" w:rsidR="004068D3" w:rsidRPr="003237C5" w:rsidRDefault="004068D3" w:rsidP="00A959D9">
            <w:pPr>
              <w:spacing w:before="60"/>
              <w:ind w:left="34"/>
              <w:rPr>
                <w:sz w:val="20"/>
              </w:rPr>
            </w:pPr>
            <w:r w:rsidRPr="003237C5">
              <w:rPr>
                <w:sz w:val="20"/>
              </w:rPr>
              <w:t>(md not incorp) = misdescribed amendment</w:t>
            </w:r>
          </w:p>
        </w:tc>
        <w:tc>
          <w:tcPr>
            <w:tcW w:w="3686" w:type="dxa"/>
            <w:shd w:val="clear" w:color="auto" w:fill="auto"/>
          </w:tcPr>
          <w:p w14:paraId="4943115F" w14:textId="77777777" w:rsidR="004068D3" w:rsidRPr="003237C5" w:rsidRDefault="004068D3" w:rsidP="00A959D9">
            <w:pPr>
              <w:spacing w:before="60"/>
              <w:ind w:left="34"/>
              <w:rPr>
                <w:sz w:val="20"/>
              </w:rPr>
            </w:pPr>
            <w:r w:rsidRPr="003237C5">
              <w:rPr>
                <w:sz w:val="20"/>
              </w:rPr>
              <w:t>SR = Statutory Rules</w:t>
            </w:r>
          </w:p>
        </w:tc>
      </w:tr>
      <w:tr w:rsidR="004068D3" w:rsidRPr="003237C5" w14:paraId="342AAEF0" w14:textId="77777777" w:rsidTr="00A959D9">
        <w:tc>
          <w:tcPr>
            <w:tcW w:w="4253" w:type="dxa"/>
            <w:shd w:val="clear" w:color="auto" w:fill="auto"/>
          </w:tcPr>
          <w:p w14:paraId="2EE6C256" w14:textId="77777777" w:rsidR="004068D3" w:rsidRPr="003237C5" w:rsidRDefault="004068D3" w:rsidP="00A959D9">
            <w:pPr>
              <w:ind w:left="34"/>
              <w:rPr>
                <w:sz w:val="20"/>
              </w:rPr>
            </w:pPr>
            <w:r w:rsidRPr="003237C5">
              <w:rPr>
                <w:sz w:val="20"/>
              </w:rPr>
              <w:t xml:space="preserve">    cannot be given effect</w:t>
            </w:r>
          </w:p>
        </w:tc>
        <w:tc>
          <w:tcPr>
            <w:tcW w:w="3686" w:type="dxa"/>
            <w:shd w:val="clear" w:color="auto" w:fill="auto"/>
          </w:tcPr>
          <w:p w14:paraId="65BA3907" w14:textId="77777777" w:rsidR="004068D3" w:rsidRPr="003237C5" w:rsidRDefault="004068D3" w:rsidP="00A959D9">
            <w:pPr>
              <w:spacing w:before="60"/>
              <w:ind w:left="34"/>
              <w:rPr>
                <w:sz w:val="20"/>
              </w:rPr>
            </w:pPr>
            <w:r w:rsidRPr="003237C5">
              <w:rPr>
                <w:sz w:val="20"/>
              </w:rPr>
              <w:t>Sub</w:t>
            </w:r>
            <w:r w:rsidRPr="003237C5">
              <w:rPr>
                <w:sz w:val="20"/>
              </w:rPr>
              <w:noBreakHyphen/>
              <w:t>Ch = Sub</w:t>
            </w:r>
            <w:r w:rsidRPr="003237C5">
              <w:rPr>
                <w:sz w:val="20"/>
              </w:rPr>
              <w:noBreakHyphen/>
              <w:t>Chapter(s)</w:t>
            </w:r>
          </w:p>
        </w:tc>
      </w:tr>
      <w:tr w:rsidR="004068D3" w:rsidRPr="003237C5" w14:paraId="2AFA9970" w14:textId="77777777" w:rsidTr="00A959D9">
        <w:tc>
          <w:tcPr>
            <w:tcW w:w="4253" w:type="dxa"/>
            <w:shd w:val="clear" w:color="auto" w:fill="auto"/>
          </w:tcPr>
          <w:p w14:paraId="64860E84" w14:textId="77777777" w:rsidR="004068D3" w:rsidRPr="003237C5" w:rsidRDefault="004068D3" w:rsidP="00A959D9">
            <w:pPr>
              <w:spacing w:before="60"/>
              <w:ind w:left="34"/>
              <w:rPr>
                <w:sz w:val="20"/>
              </w:rPr>
            </w:pPr>
            <w:r w:rsidRPr="003237C5">
              <w:rPr>
                <w:sz w:val="20"/>
              </w:rPr>
              <w:t>mod = modified/modification</w:t>
            </w:r>
          </w:p>
        </w:tc>
        <w:tc>
          <w:tcPr>
            <w:tcW w:w="3686" w:type="dxa"/>
            <w:shd w:val="clear" w:color="auto" w:fill="auto"/>
          </w:tcPr>
          <w:p w14:paraId="05E7DC49" w14:textId="77777777" w:rsidR="004068D3" w:rsidRPr="003237C5" w:rsidRDefault="004068D3" w:rsidP="00A959D9">
            <w:pPr>
              <w:spacing w:before="60"/>
              <w:ind w:left="34"/>
              <w:rPr>
                <w:sz w:val="20"/>
              </w:rPr>
            </w:pPr>
            <w:proofErr w:type="spellStart"/>
            <w:r w:rsidRPr="003237C5">
              <w:rPr>
                <w:sz w:val="20"/>
              </w:rPr>
              <w:t>SubPt</w:t>
            </w:r>
            <w:proofErr w:type="spellEnd"/>
            <w:r w:rsidRPr="003237C5">
              <w:rPr>
                <w:sz w:val="20"/>
              </w:rPr>
              <w:t xml:space="preserve"> = Subpart(s)</w:t>
            </w:r>
          </w:p>
        </w:tc>
      </w:tr>
      <w:tr w:rsidR="004068D3" w:rsidRPr="003237C5" w14:paraId="304DBD35" w14:textId="77777777" w:rsidTr="00A959D9">
        <w:tc>
          <w:tcPr>
            <w:tcW w:w="4253" w:type="dxa"/>
            <w:shd w:val="clear" w:color="auto" w:fill="auto"/>
          </w:tcPr>
          <w:p w14:paraId="6ADD2B03" w14:textId="77777777" w:rsidR="004068D3" w:rsidRPr="003237C5" w:rsidRDefault="004068D3" w:rsidP="00A959D9">
            <w:pPr>
              <w:spacing w:before="60"/>
              <w:ind w:left="34"/>
              <w:rPr>
                <w:sz w:val="20"/>
              </w:rPr>
            </w:pPr>
            <w:r w:rsidRPr="003237C5">
              <w:rPr>
                <w:sz w:val="20"/>
              </w:rPr>
              <w:t>No. = Number(s)</w:t>
            </w:r>
          </w:p>
        </w:tc>
        <w:tc>
          <w:tcPr>
            <w:tcW w:w="3686" w:type="dxa"/>
            <w:shd w:val="clear" w:color="auto" w:fill="auto"/>
          </w:tcPr>
          <w:p w14:paraId="41C7FD50" w14:textId="77777777" w:rsidR="004068D3" w:rsidRPr="003237C5" w:rsidRDefault="004068D3" w:rsidP="00A959D9">
            <w:pPr>
              <w:spacing w:before="60"/>
              <w:ind w:left="34"/>
              <w:rPr>
                <w:sz w:val="20"/>
              </w:rPr>
            </w:pPr>
            <w:r w:rsidRPr="003237C5">
              <w:rPr>
                <w:sz w:val="20"/>
                <w:u w:val="single"/>
              </w:rPr>
              <w:t>underlining</w:t>
            </w:r>
            <w:r w:rsidRPr="003237C5">
              <w:rPr>
                <w:sz w:val="20"/>
              </w:rPr>
              <w:t xml:space="preserve"> = whole or part not</w:t>
            </w:r>
          </w:p>
        </w:tc>
      </w:tr>
      <w:tr w:rsidR="004068D3" w:rsidRPr="003237C5" w14:paraId="0E482BD1" w14:textId="77777777" w:rsidTr="00A959D9">
        <w:trPr>
          <w:trHeight w:val="302"/>
        </w:trPr>
        <w:tc>
          <w:tcPr>
            <w:tcW w:w="4253" w:type="dxa"/>
            <w:shd w:val="clear" w:color="auto" w:fill="auto"/>
          </w:tcPr>
          <w:p w14:paraId="3160573F" w14:textId="77777777" w:rsidR="004068D3" w:rsidRPr="003237C5" w:rsidRDefault="004068D3" w:rsidP="00A959D9">
            <w:pPr>
              <w:spacing w:before="60"/>
              <w:ind w:left="34"/>
              <w:rPr>
                <w:sz w:val="20"/>
              </w:rPr>
            </w:pPr>
          </w:p>
        </w:tc>
        <w:tc>
          <w:tcPr>
            <w:tcW w:w="3686" w:type="dxa"/>
            <w:shd w:val="clear" w:color="auto" w:fill="auto"/>
          </w:tcPr>
          <w:p w14:paraId="57FFE02E" w14:textId="77777777" w:rsidR="004068D3" w:rsidRPr="003237C5" w:rsidRDefault="004068D3" w:rsidP="00A959D9">
            <w:pPr>
              <w:ind w:left="34"/>
              <w:rPr>
                <w:sz w:val="20"/>
              </w:rPr>
            </w:pPr>
            <w:r w:rsidRPr="003237C5">
              <w:rPr>
                <w:sz w:val="20"/>
              </w:rPr>
              <w:t xml:space="preserve">    commenced or to be commenced</w:t>
            </w:r>
          </w:p>
        </w:tc>
      </w:tr>
    </w:tbl>
    <w:p w14:paraId="01C5A202" w14:textId="77777777" w:rsidR="004068D3" w:rsidRPr="003237C5" w:rsidRDefault="004068D3" w:rsidP="004068D3">
      <w:pPr>
        <w:pStyle w:val="Tabletext1"/>
      </w:pPr>
    </w:p>
    <w:p w14:paraId="19ADB9DA" w14:textId="38BF9C70" w:rsidR="004068D3" w:rsidRPr="003237C5" w:rsidRDefault="004068D3" w:rsidP="00C104FD">
      <w:pPr>
        <w:pStyle w:val="paragraph"/>
        <w:rPr>
          <w:rFonts w:ascii="Arial" w:hAnsi="Arial" w:cs="Arial"/>
          <w:szCs w:val="22"/>
        </w:rPr>
      </w:pPr>
    </w:p>
    <w:p w14:paraId="0E852607" w14:textId="77777777" w:rsidR="004068D3" w:rsidRPr="003237C5" w:rsidRDefault="004068D3" w:rsidP="00C713FC">
      <w:pPr>
        <w:pStyle w:val="NoteHeading"/>
        <w:sectPr w:rsidR="004068D3" w:rsidRPr="003237C5" w:rsidSect="00FD0920">
          <w:headerReference w:type="first" r:id="rId19"/>
          <w:footerReference w:type="first" r:id="rId20"/>
          <w:pgSz w:w="11907" w:h="16839" w:code="9"/>
          <w:pgMar w:top="1702" w:right="1134" w:bottom="1304" w:left="1134" w:header="454" w:footer="1134" w:gutter="0"/>
          <w:paperSrc w:first="7" w:other="7"/>
          <w:cols w:space="720"/>
          <w:formProt w:val="0"/>
          <w:titlePg/>
          <w:docGrid w:linePitch="326"/>
        </w:sectPr>
      </w:pPr>
    </w:p>
    <w:p w14:paraId="4DECB644" w14:textId="7ACD5663" w:rsidR="004068D3" w:rsidRPr="003237C5" w:rsidRDefault="004068D3" w:rsidP="004068D3">
      <w:pPr>
        <w:pStyle w:val="ENotesHeading2"/>
        <w:pageBreakBefore/>
      </w:pPr>
      <w:bookmarkStart w:id="41" w:name="_Toc93391333"/>
      <w:r w:rsidRPr="003237C5">
        <w:lastRenderedPageBreak/>
        <w:t>Endnote 3—Legislation history</w:t>
      </w:r>
      <w:bookmarkEnd w:id="41"/>
    </w:p>
    <w:p w14:paraId="32781DE9" w14:textId="77777777" w:rsidR="00A31F75" w:rsidRPr="003237C5" w:rsidRDefault="00A31F75" w:rsidP="00DA0ECD"/>
    <w:p w14:paraId="270216AB" w14:textId="4EE45237" w:rsidR="00A31F75" w:rsidRPr="003237C5" w:rsidRDefault="00A31F75" w:rsidP="00A31F75">
      <w:pPr>
        <w:pStyle w:val="TableENotesHeading"/>
      </w:pPr>
    </w:p>
    <w:tbl>
      <w:tblPr>
        <w:tblW w:w="5000" w:type="pct"/>
        <w:jc w:val="center"/>
        <w:tblLook w:val="0000" w:firstRow="0" w:lastRow="0" w:firstColumn="0" w:lastColumn="0" w:noHBand="0" w:noVBand="0"/>
      </w:tblPr>
      <w:tblGrid>
        <w:gridCol w:w="2045"/>
        <w:gridCol w:w="1527"/>
        <w:gridCol w:w="1943"/>
        <w:gridCol w:w="1801"/>
        <w:gridCol w:w="2323"/>
      </w:tblGrid>
      <w:tr w:rsidR="00A31F75" w:rsidRPr="003237C5" w14:paraId="6ADB1E52" w14:textId="77777777" w:rsidTr="00866978">
        <w:trPr>
          <w:cantSplit/>
          <w:jc w:val="center"/>
        </w:trPr>
        <w:tc>
          <w:tcPr>
            <w:tcW w:w="1061" w:type="pct"/>
            <w:tcBorders>
              <w:bottom w:val="single" w:sz="4" w:space="0" w:color="auto"/>
            </w:tcBorders>
          </w:tcPr>
          <w:p w14:paraId="162C5845" w14:textId="77777777" w:rsidR="00A31F75" w:rsidRPr="003237C5" w:rsidRDefault="00A31F75" w:rsidP="0009038E">
            <w:pPr>
              <w:pStyle w:val="TableColHead"/>
            </w:pPr>
            <w:r w:rsidRPr="003237C5">
              <w:t>Title</w:t>
            </w:r>
          </w:p>
        </w:tc>
        <w:tc>
          <w:tcPr>
            <w:tcW w:w="792" w:type="pct"/>
            <w:tcBorders>
              <w:bottom w:val="single" w:sz="4" w:space="0" w:color="auto"/>
            </w:tcBorders>
          </w:tcPr>
          <w:p w14:paraId="3E4300BF" w14:textId="44195AEF" w:rsidR="00A31F75" w:rsidRPr="003237C5" w:rsidRDefault="00767886" w:rsidP="0009038E">
            <w:pPr>
              <w:pStyle w:val="TableColHead"/>
            </w:pPr>
            <w:r w:rsidRPr="003237C5">
              <w:t>R</w:t>
            </w:r>
            <w:r w:rsidR="00A31F75" w:rsidRPr="003237C5">
              <w:t>egistration number</w:t>
            </w:r>
          </w:p>
        </w:tc>
        <w:tc>
          <w:tcPr>
            <w:tcW w:w="1008" w:type="pct"/>
            <w:tcBorders>
              <w:bottom w:val="single" w:sz="4" w:space="0" w:color="auto"/>
            </w:tcBorders>
          </w:tcPr>
          <w:p w14:paraId="2B806346" w14:textId="26686676" w:rsidR="00A31F75" w:rsidRPr="003237C5" w:rsidRDefault="00A31F75" w:rsidP="0009038E">
            <w:pPr>
              <w:pStyle w:val="TableColHead"/>
              <w:rPr>
                <w:i/>
                <w:iCs/>
              </w:rPr>
            </w:pPr>
            <w:r w:rsidRPr="003237C5">
              <w:t>Date of registration</w:t>
            </w:r>
          </w:p>
        </w:tc>
        <w:tc>
          <w:tcPr>
            <w:tcW w:w="934" w:type="pct"/>
            <w:tcBorders>
              <w:bottom w:val="single" w:sz="4" w:space="0" w:color="auto"/>
            </w:tcBorders>
          </w:tcPr>
          <w:p w14:paraId="776D3DA2" w14:textId="77777777" w:rsidR="00A31F75" w:rsidRPr="003237C5" w:rsidRDefault="00A31F75" w:rsidP="0009038E">
            <w:pPr>
              <w:pStyle w:val="TableColHead"/>
            </w:pPr>
            <w:r w:rsidRPr="003237C5">
              <w:t>Date of</w:t>
            </w:r>
            <w:r w:rsidRPr="003237C5">
              <w:br/>
              <w:t>commencement</w:t>
            </w:r>
          </w:p>
        </w:tc>
        <w:tc>
          <w:tcPr>
            <w:tcW w:w="1205" w:type="pct"/>
            <w:tcBorders>
              <w:bottom w:val="single" w:sz="4" w:space="0" w:color="auto"/>
            </w:tcBorders>
          </w:tcPr>
          <w:p w14:paraId="34E25B73" w14:textId="77777777" w:rsidR="00A31F75" w:rsidRPr="003237C5" w:rsidRDefault="00A31F75" w:rsidP="0009038E">
            <w:pPr>
              <w:pStyle w:val="TableColHead"/>
            </w:pPr>
            <w:r w:rsidRPr="003237C5">
              <w:t>Application, saving or</w:t>
            </w:r>
            <w:r w:rsidRPr="003237C5">
              <w:br/>
              <w:t>transitional provisions</w:t>
            </w:r>
          </w:p>
        </w:tc>
      </w:tr>
      <w:tr w:rsidR="00A31F75" w:rsidRPr="003237C5" w14:paraId="140DC1C1" w14:textId="77777777" w:rsidTr="00866978">
        <w:trPr>
          <w:cantSplit/>
          <w:jc w:val="center"/>
        </w:trPr>
        <w:tc>
          <w:tcPr>
            <w:tcW w:w="1061" w:type="pct"/>
            <w:tcBorders>
              <w:top w:val="single" w:sz="4" w:space="0" w:color="auto"/>
            </w:tcBorders>
          </w:tcPr>
          <w:p w14:paraId="73271DEE" w14:textId="77777777" w:rsidR="00A31F75" w:rsidRPr="003237C5" w:rsidRDefault="00A31F75" w:rsidP="0009038E">
            <w:pPr>
              <w:pStyle w:val="TableText0"/>
              <w:rPr>
                <w:i/>
              </w:rPr>
            </w:pPr>
            <w:r w:rsidRPr="003237C5">
              <w:rPr>
                <w:i/>
              </w:rPr>
              <w:t>Higher Education Provider Guidelines 2012</w:t>
            </w:r>
          </w:p>
        </w:tc>
        <w:tc>
          <w:tcPr>
            <w:tcW w:w="792" w:type="pct"/>
            <w:tcBorders>
              <w:top w:val="single" w:sz="4" w:space="0" w:color="auto"/>
            </w:tcBorders>
          </w:tcPr>
          <w:p w14:paraId="3EB43443" w14:textId="77777777" w:rsidR="00A31F75" w:rsidRPr="003237C5" w:rsidRDefault="00A31F75" w:rsidP="0009038E">
            <w:pPr>
              <w:pStyle w:val="TableText0"/>
              <w:rPr>
                <w:b/>
                <w:szCs w:val="22"/>
              </w:rPr>
            </w:pPr>
            <w:r w:rsidRPr="003237C5">
              <w:rPr>
                <w:szCs w:val="22"/>
              </w:rPr>
              <w:t>F2012L02136</w:t>
            </w:r>
          </w:p>
        </w:tc>
        <w:tc>
          <w:tcPr>
            <w:tcW w:w="1008" w:type="pct"/>
            <w:tcBorders>
              <w:top w:val="single" w:sz="4" w:space="0" w:color="auto"/>
            </w:tcBorders>
          </w:tcPr>
          <w:p w14:paraId="2245D179" w14:textId="77777777" w:rsidR="00A31F75" w:rsidRPr="003237C5" w:rsidRDefault="00A31F75" w:rsidP="0009038E">
            <w:pPr>
              <w:pStyle w:val="TableText0"/>
            </w:pPr>
            <w:r w:rsidRPr="003237C5">
              <w:t>1 November 2012</w:t>
            </w:r>
          </w:p>
        </w:tc>
        <w:tc>
          <w:tcPr>
            <w:tcW w:w="934" w:type="pct"/>
            <w:tcBorders>
              <w:top w:val="single" w:sz="4" w:space="0" w:color="auto"/>
            </w:tcBorders>
          </w:tcPr>
          <w:p w14:paraId="6B81CE58" w14:textId="77777777" w:rsidR="00A31F75" w:rsidRPr="003237C5" w:rsidRDefault="00A31F75" w:rsidP="0009038E">
            <w:pPr>
              <w:pStyle w:val="TableText0"/>
            </w:pPr>
            <w:r w:rsidRPr="003237C5">
              <w:t>2 November 2012</w:t>
            </w:r>
          </w:p>
        </w:tc>
        <w:tc>
          <w:tcPr>
            <w:tcW w:w="1205" w:type="pct"/>
            <w:tcBorders>
              <w:top w:val="single" w:sz="4" w:space="0" w:color="auto"/>
            </w:tcBorders>
          </w:tcPr>
          <w:p w14:paraId="6DD5F96E" w14:textId="77777777" w:rsidR="00A31F75" w:rsidRPr="003237C5" w:rsidRDefault="00A31F75" w:rsidP="0009038E">
            <w:pPr>
              <w:keepLines w:val="0"/>
              <w:spacing w:before="100" w:beforeAutospacing="1" w:after="100" w:afterAutospacing="1"/>
              <w:rPr>
                <w:rFonts w:ascii="Times New Roman" w:hAnsi="Times New Roman" w:cs="Times New Roman"/>
                <w:sz w:val="20"/>
                <w:szCs w:val="20"/>
                <w:lang w:eastAsia="en-AU"/>
              </w:rPr>
            </w:pPr>
            <w:r w:rsidRPr="003237C5">
              <w:rPr>
                <w:rFonts w:ascii="Times New Roman" w:hAnsi="Times New Roman" w:cs="Times New Roman"/>
                <w:b/>
                <w:bCs/>
                <w:sz w:val="20"/>
                <w:szCs w:val="20"/>
                <w:lang w:eastAsia="en-AU"/>
              </w:rPr>
              <w:t>TRANSITIONAL ARRANGEMENTS</w:t>
            </w:r>
          </w:p>
          <w:p w14:paraId="44CEEDB7" w14:textId="77777777" w:rsidR="00A31F75" w:rsidRPr="003237C5" w:rsidRDefault="00A31F75" w:rsidP="0009038E">
            <w:pPr>
              <w:keepLines w:val="0"/>
              <w:spacing w:before="100" w:beforeAutospacing="1" w:after="100" w:afterAutospacing="1"/>
              <w:rPr>
                <w:rFonts w:ascii="Times New Roman" w:hAnsi="Times New Roman" w:cs="Times New Roman"/>
                <w:sz w:val="24"/>
                <w:szCs w:val="24"/>
                <w:lang w:eastAsia="en-AU"/>
              </w:rPr>
            </w:pPr>
            <w:r w:rsidRPr="003237C5">
              <w:rPr>
                <w:rFonts w:ascii="Times New Roman" w:hAnsi="Times New Roman" w:cs="Times New Roman"/>
                <w:sz w:val="20"/>
                <w:szCs w:val="20"/>
                <w:lang w:eastAsia="en-AU"/>
              </w:rPr>
              <w:t xml:space="preserve">The revocation of the Former Guidelines does not affect the validity of a payment or decision made under those guidelines. A decision made under the Former Guidelines is taken to continue to have effect as if it were made under the </w:t>
            </w:r>
            <w:r w:rsidRPr="003237C5">
              <w:rPr>
                <w:rFonts w:ascii="Times New Roman" w:hAnsi="Times New Roman" w:cs="Times New Roman"/>
                <w:i/>
                <w:iCs/>
                <w:sz w:val="20"/>
                <w:szCs w:val="20"/>
                <w:lang w:eastAsia="en-AU"/>
              </w:rPr>
              <w:t>Higher Education Provider Guidelines 2012</w:t>
            </w:r>
            <w:r w:rsidRPr="003237C5">
              <w:rPr>
                <w:rFonts w:ascii="Times New Roman" w:hAnsi="Times New Roman" w:cs="Times New Roman"/>
                <w:sz w:val="20"/>
                <w:szCs w:val="20"/>
                <w:lang w:eastAsia="en-AU"/>
              </w:rPr>
              <w:t>.</w:t>
            </w:r>
          </w:p>
          <w:p w14:paraId="51826FF4" w14:textId="77777777" w:rsidR="00A31F75" w:rsidRPr="003237C5" w:rsidRDefault="00A31F75" w:rsidP="0009038E">
            <w:pPr>
              <w:pStyle w:val="TableText0"/>
            </w:pPr>
          </w:p>
        </w:tc>
      </w:tr>
      <w:tr w:rsidR="00A31F75" w:rsidRPr="003237C5" w14:paraId="2E3CE28B" w14:textId="77777777" w:rsidTr="00866978">
        <w:trPr>
          <w:cantSplit/>
          <w:jc w:val="center"/>
        </w:trPr>
        <w:tc>
          <w:tcPr>
            <w:tcW w:w="1061" w:type="pct"/>
          </w:tcPr>
          <w:p w14:paraId="6ECEC1FB" w14:textId="77777777" w:rsidR="00A31F75" w:rsidRPr="003237C5" w:rsidRDefault="00A31F75" w:rsidP="0009038E">
            <w:pPr>
              <w:pStyle w:val="TableText0"/>
              <w:rPr>
                <w:i/>
                <w:szCs w:val="22"/>
              </w:rPr>
            </w:pPr>
            <w:r w:rsidRPr="003237C5">
              <w:rPr>
                <w:i/>
                <w:szCs w:val="22"/>
              </w:rPr>
              <w:t>Amendment No. 1 to the Higher Education Provider Guidelines 2012</w:t>
            </w:r>
          </w:p>
        </w:tc>
        <w:tc>
          <w:tcPr>
            <w:tcW w:w="792" w:type="pct"/>
          </w:tcPr>
          <w:p w14:paraId="0CF4B538" w14:textId="77777777" w:rsidR="00A31F75" w:rsidRPr="003237C5" w:rsidRDefault="00A31F75" w:rsidP="0009038E">
            <w:pPr>
              <w:pStyle w:val="TableText0"/>
              <w:rPr>
                <w:szCs w:val="22"/>
              </w:rPr>
            </w:pPr>
            <w:r w:rsidRPr="003237C5">
              <w:rPr>
                <w:szCs w:val="22"/>
              </w:rPr>
              <w:t>F2013L01508</w:t>
            </w:r>
          </w:p>
        </w:tc>
        <w:tc>
          <w:tcPr>
            <w:tcW w:w="1008" w:type="pct"/>
          </w:tcPr>
          <w:p w14:paraId="22D8E2B6" w14:textId="77777777" w:rsidR="00A31F75" w:rsidRPr="003237C5" w:rsidRDefault="00A31F75" w:rsidP="0009038E">
            <w:pPr>
              <w:pStyle w:val="TableText0"/>
            </w:pPr>
            <w:r w:rsidRPr="003237C5">
              <w:t>5 August 2013</w:t>
            </w:r>
          </w:p>
        </w:tc>
        <w:tc>
          <w:tcPr>
            <w:tcW w:w="934" w:type="pct"/>
          </w:tcPr>
          <w:p w14:paraId="757E30E3" w14:textId="77777777" w:rsidR="00A31F75" w:rsidRPr="003237C5" w:rsidRDefault="00A31F75" w:rsidP="0009038E">
            <w:pPr>
              <w:pStyle w:val="TableText0"/>
            </w:pPr>
            <w:r w:rsidRPr="003237C5">
              <w:t>6 August 2013</w:t>
            </w:r>
          </w:p>
        </w:tc>
        <w:tc>
          <w:tcPr>
            <w:tcW w:w="1205" w:type="pct"/>
          </w:tcPr>
          <w:p w14:paraId="05266D54" w14:textId="77777777" w:rsidR="00A31F75" w:rsidRPr="003237C5" w:rsidRDefault="00A31F75" w:rsidP="0009038E">
            <w:pPr>
              <w:pStyle w:val="TableText0"/>
            </w:pPr>
          </w:p>
        </w:tc>
      </w:tr>
      <w:tr w:rsidR="00A31F75" w:rsidRPr="003237C5" w14:paraId="05075BB1" w14:textId="77777777" w:rsidTr="00866978">
        <w:trPr>
          <w:cantSplit/>
          <w:jc w:val="center"/>
        </w:trPr>
        <w:tc>
          <w:tcPr>
            <w:tcW w:w="1061" w:type="pct"/>
          </w:tcPr>
          <w:p w14:paraId="12AC9027" w14:textId="77777777" w:rsidR="00A31F75" w:rsidRPr="003237C5" w:rsidRDefault="00A31F75" w:rsidP="0009038E">
            <w:pPr>
              <w:pStyle w:val="TableText0"/>
              <w:rPr>
                <w:i/>
                <w:noProof/>
              </w:rPr>
            </w:pPr>
          </w:p>
        </w:tc>
        <w:tc>
          <w:tcPr>
            <w:tcW w:w="792" w:type="pct"/>
          </w:tcPr>
          <w:p w14:paraId="0122D667" w14:textId="77777777" w:rsidR="00A31F75" w:rsidRPr="003237C5" w:rsidRDefault="00A31F75" w:rsidP="0009038E">
            <w:pPr>
              <w:pStyle w:val="TableText0"/>
              <w:rPr>
                <w:szCs w:val="22"/>
              </w:rPr>
            </w:pPr>
          </w:p>
        </w:tc>
        <w:tc>
          <w:tcPr>
            <w:tcW w:w="1008" w:type="pct"/>
          </w:tcPr>
          <w:p w14:paraId="3087E3AB" w14:textId="77777777" w:rsidR="00A31F75" w:rsidRPr="003237C5" w:rsidRDefault="00A31F75" w:rsidP="0009038E">
            <w:pPr>
              <w:pStyle w:val="TableText0"/>
            </w:pPr>
          </w:p>
        </w:tc>
        <w:tc>
          <w:tcPr>
            <w:tcW w:w="934" w:type="pct"/>
          </w:tcPr>
          <w:p w14:paraId="6835DE14" w14:textId="77777777" w:rsidR="00A31F75" w:rsidRPr="003237C5" w:rsidRDefault="00A31F75" w:rsidP="0009038E">
            <w:pPr>
              <w:pStyle w:val="TableText0"/>
            </w:pPr>
          </w:p>
        </w:tc>
        <w:tc>
          <w:tcPr>
            <w:tcW w:w="1205" w:type="pct"/>
          </w:tcPr>
          <w:p w14:paraId="75958B21" w14:textId="77777777" w:rsidR="00A31F75" w:rsidRPr="003237C5" w:rsidRDefault="00A31F75" w:rsidP="0009038E">
            <w:pPr>
              <w:pStyle w:val="TableText0"/>
            </w:pPr>
          </w:p>
        </w:tc>
      </w:tr>
      <w:tr w:rsidR="00A31F75" w:rsidRPr="003237C5" w14:paraId="1EF96254" w14:textId="77777777" w:rsidTr="00866978">
        <w:trPr>
          <w:cantSplit/>
          <w:jc w:val="center"/>
        </w:trPr>
        <w:tc>
          <w:tcPr>
            <w:tcW w:w="1061" w:type="pct"/>
          </w:tcPr>
          <w:p w14:paraId="70CBBCB8" w14:textId="77777777" w:rsidR="00A31F75" w:rsidRPr="003237C5" w:rsidRDefault="00A31F75" w:rsidP="0009038E">
            <w:pPr>
              <w:pStyle w:val="TableText0"/>
              <w:rPr>
                <w:i/>
                <w:szCs w:val="22"/>
              </w:rPr>
            </w:pPr>
            <w:r w:rsidRPr="003237C5">
              <w:rPr>
                <w:i/>
                <w:noProof/>
              </w:rPr>
              <w:t>Higher Education Provider Amendment (Tuition Protection and Other Measures) Guidelines 2019</w:t>
            </w:r>
          </w:p>
        </w:tc>
        <w:tc>
          <w:tcPr>
            <w:tcW w:w="792" w:type="pct"/>
          </w:tcPr>
          <w:p w14:paraId="5313D0F5" w14:textId="77777777" w:rsidR="00A31F75" w:rsidRPr="003237C5" w:rsidRDefault="00A31F75" w:rsidP="0009038E">
            <w:pPr>
              <w:pStyle w:val="TableText0"/>
              <w:rPr>
                <w:szCs w:val="22"/>
              </w:rPr>
            </w:pPr>
            <w:r w:rsidRPr="003237C5">
              <w:rPr>
                <w:szCs w:val="22"/>
              </w:rPr>
              <w:t>F2019L01699</w:t>
            </w:r>
          </w:p>
        </w:tc>
        <w:tc>
          <w:tcPr>
            <w:tcW w:w="1008" w:type="pct"/>
          </w:tcPr>
          <w:p w14:paraId="3A44396C" w14:textId="77777777" w:rsidR="00A31F75" w:rsidRPr="003237C5" w:rsidRDefault="00A31F75" w:rsidP="0009038E">
            <w:pPr>
              <w:pStyle w:val="TableText0"/>
            </w:pPr>
            <w:r w:rsidRPr="003237C5">
              <w:t>23 December 2019</w:t>
            </w:r>
          </w:p>
        </w:tc>
        <w:tc>
          <w:tcPr>
            <w:tcW w:w="934" w:type="pct"/>
          </w:tcPr>
          <w:p w14:paraId="665BA5B8" w14:textId="77777777" w:rsidR="00A31F75" w:rsidRPr="003237C5" w:rsidRDefault="00A31F75" w:rsidP="0009038E">
            <w:pPr>
              <w:pStyle w:val="TableText0"/>
            </w:pPr>
            <w:r w:rsidRPr="003237C5">
              <w:t>Schedule 1 (items 1–3, 5): 24 December 2019 (s 2(1) item 2)</w:t>
            </w:r>
            <w:r w:rsidRPr="003237C5">
              <w:br/>
              <w:t>Schedule 1 (item 4) and Schedule 2: (other than section 2.10 of item 3): 1 January 2020 (s 2(1) items 3, 4)</w:t>
            </w:r>
            <w:r w:rsidRPr="003237C5">
              <w:br/>
              <w:t>Schedule 2 section 2.10 of item 3: 1 January 2020 (s 2(1) item 5)</w:t>
            </w:r>
          </w:p>
        </w:tc>
        <w:tc>
          <w:tcPr>
            <w:tcW w:w="1205" w:type="pct"/>
          </w:tcPr>
          <w:p w14:paraId="64F17A9A" w14:textId="77777777" w:rsidR="00A31F75" w:rsidRPr="003237C5" w:rsidRDefault="00A31F75" w:rsidP="0009038E">
            <w:pPr>
              <w:pStyle w:val="TableText0"/>
            </w:pPr>
            <w:r w:rsidRPr="003237C5">
              <w:t>—</w:t>
            </w:r>
          </w:p>
        </w:tc>
      </w:tr>
      <w:tr w:rsidR="00A31F75" w:rsidRPr="003237C5" w14:paraId="29C89A15" w14:textId="77777777" w:rsidTr="00866978">
        <w:trPr>
          <w:cantSplit/>
          <w:jc w:val="center"/>
        </w:trPr>
        <w:tc>
          <w:tcPr>
            <w:tcW w:w="1061" w:type="pct"/>
          </w:tcPr>
          <w:p w14:paraId="603DF812" w14:textId="77777777" w:rsidR="00A31F75" w:rsidRPr="003237C5" w:rsidRDefault="00A31F75" w:rsidP="0009038E">
            <w:pPr>
              <w:pStyle w:val="TableText0"/>
              <w:rPr>
                <w:i/>
                <w:noProof/>
              </w:rPr>
            </w:pPr>
            <w:r w:rsidRPr="003237C5">
              <w:rPr>
                <w:i/>
                <w:noProof/>
              </w:rPr>
              <w:lastRenderedPageBreak/>
              <w:t>Higher Education Provider Amendment (AAT Review) Guidelines 2020</w:t>
            </w:r>
          </w:p>
        </w:tc>
        <w:tc>
          <w:tcPr>
            <w:tcW w:w="792" w:type="pct"/>
          </w:tcPr>
          <w:p w14:paraId="4462B649" w14:textId="77777777" w:rsidR="00A31F75" w:rsidRPr="003237C5" w:rsidRDefault="00A31F75" w:rsidP="0009038E">
            <w:pPr>
              <w:pStyle w:val="TableText0"/>
              <w:rPr>
                <w:szCs w:val="22"/>
              </w:rPr>
            </w:pPr>
            <w:r w:rsidRPr="003237C5">
              <w:rPr>
                <w:szCs w:val="22"/>
              </w:rPr>
              <w:t>F2020L00754</w:t>
            </w:r>
          </w:p>
        </w:tc>
        <w:tc>
          <w:tcPr>
            <w:tcW w:w="1008" w:type="pct"/>
          </w:tcPr>
          <w:p w14:paraId="19F7F001" w14:textId="77777777" w:rsidR="00A31F75" w:rsidRPr="003237C5" w:rsidRDefault="00A31F75" w:rsidP="0009038E">
            <w:pPr>
              <w:pStyle w:val="TableText0"/>
            </w:pPr>
            <w:r w:rsidRPr="003237C5">
              <w:t>18 June 2020</w:t>
            </w:r>
          </w:p>
        </w:tc>
        <w:tc>
          <w:tcPr>
            <w:tcW w:w="934" w:type="pct"/>
          </w:tcPr>
          <w:p w14:paraId="57BF15E7" w14:textId="77777777" w:rsidR="00A31F75" w:rsidRPr="003237C5" w:rsidRDefault="00A31F75" w:rsidP="0009038E">
            <w:pPr>
              <w:pStyle w:val="TableText0"/>
            </w:pPr>
            <w:r w:rsidRPr="003237C5">
              <w:t>19 June 2020</w:t>
            </w:r>
          </w:p>
        </w:tc>
        <w:tc>
          <w:tcPr>
            <w:tcW w:w="1205" w:type="pct"/>
          </w:tcPr>
          <w:p w14:paraId="58B819F4" w14:textId="77777777" w:rsidR="00A31F75" w:rsidRPr="003237C5" w:rsidRDefault="00A31F75" w:rsidP="0009038E">
            <w:pPr>
              <w:pStyle w:val="TableText0"/>
            </w:pPr>
          </w:p>
        </w:tc>
      </w:tr>
      <w:tr w:rsidR="00A31F75" w:rsidRPr="003237C5" w14:paraId="6D8DD860" w14:textId="77777777" w:rsidTr="00866978">
        <w:trPr>
          <w:cantSplit/>
          <w:jc w:val="center"/>
        </w:trPr>
        <w:tc>
          <w:tcPr>
            <w:tcW w:w="1061" w:type="pct"/>
          </w:tcPr>
          <w:p w14:paraId="13B679B4" w14:textId="77777777" w:rsidR="00A31F75" w:rsidRPr="003237C5" w:rsidRDefault="00A31F75" w:rsidP="0009038E">
            <w:pPr>
              <w:pStyle w:val="TableText0"/>
              <w:rPr>
                <w:i/>
                <w:noProof/>
              </w:rPr>
            </w:pPr>
          </w:p>
        </w:tc>
        <w:tc>
          <w:tcPr>
            <w:tcW w:w="792" w:type="pct"/>
          </w:tcPr>
          <w:p w14:paraId="5A67B87E" w14:textId="77777777" w:rsidR="00A31F75" w:rsidRPr="003237C5" w:rsidRDefault="00A31F75" w:rsidP="0009038E">
            <w:pPr>
              <w:pStyle w:val="TableText0"/>
              <w:rPr>
                <w:szCs w:val="22"/>
              </w:rPr>
            </w:pPr>
          </w:p>
        </w:tc>
        <w:tc>
          <w:tcPr>
            <w:tcW w:w="1008" w:type="pct"/>
          </w:tcPr>
          <w:p w14:paraId="581DAC43" w14:textId="77777777" w:rsidR="00A31F75" w:rsidRPr="003237C5" w:rsidRDefault="00A31F75" w:rsidP="0009038E">
            <w:pPr>
              <w:pStyle w:val="TableText0"/>
            </w:pPr>
          </w:p>
        </w:tc>
        <w:tc>
          <w:tcPr>
            <w:tcW w:w="934" w:type="pct"/>
          </w:tcPr>
          <w:p w14:paraId="0566752A" w14:textId="77777777" w:rsidR="00A31F75" w:rsidRPr="003237C5" w:rsidRDefault="00A31F75" w:rsidP="0009038E">
            <w:pPr>
              <w:pStyle w:val="TableText0"/>
            </w:pPr>
          </w:p>
        </w:tc>
        <w:tc>
          <w:tcPr>
            <w:tcW w:w="1205" w:type="pct"/>
          </w:tcPr>
          <w:p w14:paraId="46A9722C" w14:textId="77777777" w:rsidR="00A31F75" w:rsidRPr="003237C5" w:rsidRDefault="00A31F75" w:rsidP="0009038E">
            <w:pPr>
              <w:pStyle w:val="TableText0"/>
            </w:pPr>
          </w:p>
        </w:tc>
      </w:tr>
      <w:tr w:rsidR="00A31F75" w:rsidRPr="003237C5" w14:paraId="14A8E218" w14:textId="77777777" w:rsidTr="00866978">
        <w:trPr>
          <w:cantSplit/>
          <w:jc w:val="center"/>
        </w:trPr>
        <w:tc>
          <w:tcPr>
            <w:tcW w:w="1061" w:type="pct"/>
          </w:tcPr>
          <w:p w14:paraId="0FCBD573" w14:textId="77777777" w:rsidR="00A31F75" w:rsidRPr="003237C5" w:rsidRDefault="00A31F75" w:rsidP="0009038E">
            <w:pPr>
              <w:pStyle w:val="TableText0"/>
              <w:rPr>
                <w:i/>
                <w:noProof/>
              </w:rPr>
            </w:pPr>
            <w:r w:rsidRPr="003237C5">
              <w:rPr>
                <w:i/>
                <w:noProof/>
              </w:rPr>
              <w:t>Higher Education Provider Amendment (Levy Waiver) Guidelines 2020</w:t>
            </w:r>
          </w:p>
        </w:tc>
        <w:tc>
          <w:tcPr>
            <w:tcW w:w="792" w:type="pct"/>
          </w:tcPr>
          <w:p w14:paraId="19C84AA3" w14:textId="77777777" w:rsidR="00A31F75" w:rsidRPr="003237C5" w:rsidRDefault="00A31F75" w:rsidP="0009038E">
            <w:pPr>
              <w:pStyle w:val="TableText0"/>
              <w:rPr>
                <w:szCs w:val="22"/>
              </w:rPr>
            </w:pPr>
            <w:r w:rsidRPr="003237C5">
              <w:rPr>
                <w:szCs w:val="22"/>
              </w:rPr>
              <w:t>F2020L01332</w:t>
            </w:r>
          </w:p>
        </w:tc>
        <w:tc>
          <w:tcPr>
            <w:tcW w:w="1008" w:type="pct"/>
          </w:tcPr>
          <w:p w14:paraId="33E408FC" w14:textId="77777777" w:rsidR="00A31F75" w:rsidRPr="003237C5" w:rsidRDefault="00A31F75" w:rsidP="0009038E">
            <w:pPr>
              <w:pStyle w:val="TableText0"/>
            </w:pPr>
            <w:r w:rsidRPr="003237C5">
              <w:t>21 October 2020</w:t>
            </w:r>
          </w:p>
        </w:tc>
        <w:tc>
          <w:tcPr>
            <w:tcW w:w="934" w:type="pct"/>
          </w:tcPr>
          <w:p w14:paraId="4E39871C" w14:textId="77777777" w:rsidR="00A31F75" w:rsidRPr="003237C5" w:rsidRDefault="00A31F75" w:rsidP="0009038E">
            <w:pPr>
              <w:pStyle w:val="TableText0"/>
            </w:pPr>
            <w:r w:rsidRPr="003237C5">
              <w:t>22 October 2020</w:t>
            </w:r>
          </w:p>
        </w:tc>
        <w:tc>
          <w:tcPr>
            <w:tcW w:w="1205" w:type="pct"/>
          </w:tcPr>
          <w:p w14:paraId="100115AA" w14:textId="77777777" w:rsidR="00A31F75" w:rsidRPr="003237C5" w:rsidRDefault="00A31F75" w:rsidP="0009038E">
            <w:pPr>
              <w:pStyle w:val="TableText0"/>
            </w:pPr>
          </w:p>
        </w:tc>
      </w:tr>
      <w:tr w:rsidR="00A31F75" w:rsidRPr="003237C5" w14:paraId="51D1DB0D" w14:textId="77777777" w:rsidTr="00866978">
        <w:trPr>
          <w:cantSplit/>
          <w:jc w:val="center"/>
        </w:trPr>
        <w:tc>
          <w:tcPr>
            <w:tcW w:w="1061" w:type="pct"/>
          </w:tcPr>
          <w:p w14:paraId="5F79B8F2" w14:textId="77777777" w:rsidR="00A31F75" w:rsidRPr="003237C5" w:rsidRDefault="00A31F75" w:rsidP="0009038E">
            <w:pPr>
              <w:pStyle w:val="TableText0"/>
              <w:rPr>
                <w:i/>
                <w:noProof/>
              </w:rPr>
            </w:pPr>
          </w:p>
        </w:tc>
        <w:tc>
          <w:tcPr>
            <w:tcW w:w="792" w:type="pct"/>
          </w:tcPr>
          <w:p w14:paraId="5BB9179F" w14:textId="77777777" w:rsidR="00A31F75" w:rsidRPr="003237C5" w:rsidRDefault="00A31F75" w:rsidP="0009038E">
            <w:pPr>
              <w:pStyle w:val="TableText0"/>
              <w:rPr>
                <w:szCs w:val="22"/>
              </w:rPr>
            </w:pPr>
          </w:p>
        </w:tc>
        <w:tc>
          <w:tcPr>
            <w:tcW w:w="1008" w:type="pct"/>
          </w:tcPr>
          <w:p w14:paraId="66CC0454" w14:textId="77777777" w:rsidR="00A31F75" w:rsidRPr="003237C5" w:rsidRDefault="00A31F75" w:rsidP="0009038E">
            <w:pPr>
              <w:pStyle w:val="TableText0"/>
            </w:pPr>
          </w:p>
        </w:tc>
        <w:tc>
          <w:tcPr>
            <w:tcW w:w="934" w:type="pct"/>
          </w:tcPr>
          <w:p w14:paraId="3BCEF4FD" w14:textId="77777777" w:rsidR="00A31F75" w:rsidRPr="003237C5" w:rsidRDefault="00A31F75" w:rsidP="0009038E">
            <w:pPr>
              <w:pStyle w:val="TableText0"/>
            </w:pPr>
          </w:p>
        </w:tc>
        <w:tc>
          <w:tcPr>
            <w:tcW w:w="1205" w:type="pct"/>
          </w:tcPr>
          <w:p w14:paraId="0D996C06" w14:textId="77777777" w:rsidR="00A31F75" w:rsidRPr="003237C5" w:rsidRDefault="00A31F75" w:rsidP="0009038E">
            <w:pPr>
              <w:pStyle w:val="TableText0"/>
            </w:pPr>
          </w:p>
        </w:tc>
      </w:tr>
      <w:tr w:rsidR="00A31F75" w:rsidRPr="003237C5" w14:paraId="10A79CF4" w14:textId="77777777" w:rsidTr="00866978">
        <w:trPr>
          <w:cantSplit/>
          <w:jc w:val="center"/>
        </w:trPr>
        <w:tc>
          <w:tcPr>
            <w:tcW w:w="1061" w:type="pct"/>
          </w:tcPr>
          <w:p w14:paraId="2DF66333" w14:textId="77777777" w:rsidR="00A31F75" w:rsidRPr="003237C5" w:rsidRDefault="00A31F75" w:rsidP="0009038E">
            <w:pPr>
              <w:pStyle w:val="TableText0"/>
              <w:rPr>
                <w:i/>
                <w:noProof/>
              </w:rPr>
            </w:pPr>
            <w:r w:rsidRPr="003237C5">
              <w:rPr>
                <w:i/>
                <w:noProof/>
              </w:rPr>
              <w:t>Higher Education Provider Amendment (Tuition Protection and Other Measures) Guidelines 2020</w:t>
            </w:r>
          </w:p>
        </w:tc>
        <w:tc>
          <w:tcPr>
            <w:tcW w:w="792" w:type="pct"/>
          </w:tcPr>
          <w:p w14:paraId="60486302" w14:textId="77777777" w:rsidR="00A31F75" w:rsidRPr="003237C5" w:rsidRDefault="00A31F75" w:rsidP="0009038E">
            <w:pPr>
              <w:pStyle w:val="TableText0"/>
              <w:rPr>
                <w:szCs w:val="22"/>
              </w:rPr>
            </w:pPr>
            <w:r w:rsidRPr="003237C5">
              <w:rPr>
                <w:szCs w:val="22"/>
              </w:rPr>
              <w:t>F2020L01633</w:t>
            </w:r>
          </w:p>
        </w:tc>
        <w:tc>
          <w:tcPr>
            <w:tcW w:w="1008" w:type="pct"/>
          </w:tcPr>
          <w:p w14:paraId="540B2881" w14:textId="77777777" w:rsidR="00A31F75" w:rsidRPr="003237C5" w:rsidRDefault="00A31F75" w:rsidP="0009038E">
            <w:pPr>
              <w:pStyle w:val="TableText0"/>
            </w:pPr>
            <w:r w:rsidRPr="003237C5">
              <w:t>17 December 2020</w:t>
            </w:r>
          </w:p>
        </w:tc>
        <w:tc>
          <w:tcPr>
            <w:tcW w:w="934" w:type="pct"/>
          </w:tcPr>
          <w:p w14:paraId="4B1DC277" w14:textId="77777777" w:rsidR="00A31F75" w:rsidRPr="003237C5" w:rsidRDefault="00A31F75" w:rsidP="0009038E">
            <w:pPr>
              <w:pStyle w:val="TableText0"/>
            </w:pPr>
            <w:r w:rsidRPr="003237C5">
              <w:t>1 January 2021</w:t>
            </w:r>
          </w:p>
        </w:tc>
        <w:tc>
          <w:tcPr>
            <w:tcW w:w="1205" w:type="pct"/>
          </w:tcPr>
          <w:p w14:paraId="4FBA34C2" w14:textId="77777777" w:rsidR="00A31F75" w:rsidRPr="003237C5" w:rsidRDefault="00A31F75" w:rsidP="0009038E">
            <w:pPr>
              <w:keepLines w:val="0"/>
              <w:spacing w:before="100" w:beforeAutospacing="1" w:after="100" w:afterAutospacing="1"/>
              <w:rPr>
                <w:rFonts w:ascii="Times New Roman" w:hAnsi="Times New Roman" w:cs="Times New Roman"/>
                <w:sz w:val="20"/>
                <w:szCs w:val="20"/>
                <w:lang w:eastAsia="en-AU"/>
              </w:rPr>
            </w:pPr>
            <w:r w:rsidRPr="003237C5">
              <w:rPr>
                <w:rFonts w:ascii="Times New Roman" w:hAnsi="Times New Roman" w:cs="Times New Roman"/>
                <w:b/>
                <w:bCs/>
                <w:sz w:val="20"/>
                <w:szCs w:val="20"/>
                <w:lang w:eastAsia="en-AU"/>
              </w:rPr>
              <w:t>APPLICATION PROVISION</w:t>
            </w:r>
          </w:p>
          <w:p w14:paraId="3586D509" w14:textId="77777777" w:rsidR="00A31F75" w:rsidRPr="003237C5" w:rsidRDefault="00A31F75" w:rsidP="0009038E">
            <w:pPr>
              <w:keepLines w:val="0"/>
              <w:spacing w:before="100" w:beforeAutospacing="1" w:after="100" w:afterAutospacing="1"/>
              <w:rPr>
                <w:sz w:val="20"/>
                <w:szCs w:val="20"/>
              </w:rPr>
            </w:pPr>
            <w:r w:rsidRPr="003237C5">
              <w:rPr>
                <w:rFonts w:ascii="Times New Roman" w:hAnsi="Times New Roman" w:cs="Times New Roman"/>
                <w:sz w:val="20"/>
                <w:szCs w:val="20"/>
                <w:lang w:eastAsia="en-AU"/>
              </w:rPr>
              <w:t xml:space="preserve">The amendments made to repeal the definition of “Affected Student” in paragraph 1.5.10 and the repeal and substitution of Chapter 2 of the </w:t>
            </w:r>
            <w:r w:rsidRPr="003237C5">
              <w:rPr>
                <w:rFonts w:ascii="Times New Roman" w:hAnsi="Times New Roman" w:cs="Times New Roman"/>
                <w:i/>
                <w:iCs/>
                <w:sz w:val="20"/>
                <w:szCs w:val="20"/>
                <w:lang w:eastAsia="en-AU"/>
              </w:rPr>
              <w:t xml:space="preserve">Higher Education Provider Guidelines 2012 </w:t>
            </w:r>
            <w:r w:rsidRPr="003237C5">
              <w:rPr>
                <w:rFonts w:ascii="Times New Roman" w:hAnsi="Times New Roman" w:cs="Times New Roman"/>
                <w:sz w:val="20"/>
                <w:szCs w:val="20"/>
                <w:lang w:eastAsia="en-AU"/>
              </w:rPr>
              <w:t xml:space="preserve">apply in relation to provider defaults that occur on or after the commencement of this instrument. </w:t>
            </w:r>
          </w:p>
        </w:tc>
      </w:tr>
      <w:tr w:rsidR="00866978" w:rsidRPr="003237C5" w14:paraId="0F87B437" w14:textId="77777777" w:rsidTr="00866978">
        <w:trPr>
          <w:cantSplit/>
          <w:jc w:val="center"/>
        </w:trPr>
        <w:tc>
          <w:tcPr>
            <w:tcW w:w="1061" w:type="pct"/>
          </w:tcPr>
          <w:p w14:paraId="0A87BD47" w14:textId="77777777" w:rsidR="00866978" w:rsidRPr="003237C5" w:rsidRDefault="00866978" w:rsidP="0009038E">
            <w:pPr>
              <w:pStyle w:val="TableText0"/>
              <w:rPr>
                <w:i/>
                <w:noProof/>
              </w:rPr>
            </w:pPr>
          </w:p>
        </w:tc>
        <w:tc>
          <w:tcPr>
            <w:tcW w:w="792" w:type="pct"/>
          </w:tcPr>
          <w:p w14:paraId="14750A76" w14:textId="77777777" w:rsidR="00866978" w:rsidRPr="003237C5" w:rsidRDefault="00866978" w:rsidP="0009038E">
            <w:pPr>
              <w:pStyle w:val="TableText0"/>
              <w:rPr>
                <w:szCs w:val="22"/>
              </w:rPr>
            </w:pPr>
          </w:p>
        </w:tc>
        <w:tc>
          <w:tcPr>
            <w:tcW w:w="1008" w:type="pct"/>
          </w:tcPr>
          <w:p w14:paraId="691F1726" w14:textId="77777777" w:rsidR="00866978" w:rsidRPr="003237C5" w:rsidRDefault="00866978" w:rsidP="0009038E">
            <w:pPr>
              <w:pStyle w:val="TableText0"/>
            </w:pPr>
          </w:p>
        </w:tc>
        <w:tc>
          <w:tcPr>
            <w:tcW w:w="934" w:type="pct"/>
          </w:tcPr>
          <w:p w14:paraId="68C7F52D" w14:textId="77777777" w:rsidR="00866978" w:rsidRPr="003237C5" w:rsidRDefault="00866978" w:rsidP="0009038E">
            <w:pPr>
              <w:pStyle w:val="TableText0"/>
            </w:pPr>
          </w:p>
        </w:tc>
        <w:tc>
          <w:tcPr>
            <w:tcW w:w="1205" w:type="pct"/>
          </w:tcPr>
          <w:p w14:paraId="5A15C086" w14:textId="77777777" w:rsidR="00866978" w:rsidRPr="003237C5" w:rsidRDefault="00866978" w:rsidP="00866978">
            <w:pPr>
              <w:spacing w:before="100" w:beforeAutospacing="1" w:after="100" w:afterAutospacing="1"/>
              <w:rPr>
                <w:rFonts w:ascii="Times New Roman" w:hAnsi="Times New Roman" w:cs="Times New Roman"/>
                <w:b/>
                <w:bCs/>
                <w:sz w:val="20"/>
                <w:szCs w:val="20"/>
                <w:lang w:eastAsia="en-AU"/>
              </w:rPr>
            </w:pPr>
          </w:p>
        </w:tc>
      </w:tr>
      <w:tr w:rsidR="00866978" w:rsidRPr="003237C5" w14:paraId="2F87A25F" w14:textId="77777777" w:rsidTr="00866978">
        <w:trPr>
          <w:cantSplit/>
          <w:jc w:val="center"/>
        </w:trPr>
        <w:tc>
          <w:tcPr>
            <w:tcW w:w="1061" w:type="pct"/>
          </w:tcPr>
          <w:p w14:paraId="3C68E9B0" w14:textId="09A8E422" w:rsidR="00866978" w:rsidRPr="003237C5" w:rsidRDefault="00A86961" w:rsidP="0009038E">
            <w:pPr>
              <w:pStyle w:val="TableText0"/>
              <w:rPr>
                <w:i/>
                <w:noProof/>
              </w:rPr>
            </w:pPr>
            <w:r w:rsidRPr="003237C5">
              <w:rPr>
                <w:i/>
                <w:noProof/>
              </w:rPr>
              <w:t>Higher Education Provider Amendment (Levy Waiver) Guidelines 2021</w:t>
            </w:r>
          </w:p>
        </w:tc>
        <w:tc>
          <w:tcPr>
            <w:tcW w:w="792" w:type="pct"/>
          </w:tcPr>
          <w:p w14:paraId="1FD9EBD1" w14:textId="58549FC6" w:rsidR="00866978" w:rsidRPr="003237C5" w:rsidRDefault="004E4312" w:rsidP="0009038E">
            <w:pPr>
              <w:pStyle w:val="TableText0"/>
              <w:rPr>
                <w:szCs w:val="22"/>
              </w:rPr>
            </w:pPr>
            <w:r w:rsidRPr="003237C5">
              <w:rPr>
                <w:szCs w:val="22"/>
              </w:rPr>
              <w:t>F2021L01890</w:t>
            </w:r>
          </w:p>
        </w:tc>
        <w:tc>
          <w:tcPr>
            <w:tcW w:w="1008" w:type="pct"/>
          </w:tcPr>
          <w:p w14:paraId="06387377" w14:textId="09CC4154" w:rsidR="00866978" w:rsidRPr="003237C5" w:rsidRDefault="004E4312" w:rsidP="0009038E">
            <w:pPr>
              <w:pStyle w:val="TableText0"/>
            </w:pPr>
            <w:r w:rsidRPr="003237C5">
              <w:t>23 December 2021</w:t>
            </w:r>
          </w:p>
        </w:tc>
        <w:tc>
          <w:tcPr>
            <w:tcW w:w="934" w:type="pct"/>
          </w:tcPr>
          <w:p w14:paraId="3EB25B19" w14:textId="49AA1A02" w:rsidR="00866978" w:rsidRPr="003237C5" w:rsidRDefault="004E4312" w:rsidP="0009038E">
            <w:pPr>
              <w:pStyle w:val="TableText0"/>
            </w:pPr>
            <w:r w:rsidRPr="003237C5">
              <w:t>24 December 2021</w:t>
            </w:r>
          </w:p>
        </w:tc>
        <w:tc>
          <w:tcPr>
            <w:tcW w:w="1205" w:type="pct"/>
          </w:tcPr>
          <w:p w14:paraId="5B5D90C4" w14:textId="77777777" w:rsidR="00866978" w:rsidRPr="003237C5" w:rsidRDefault="00866978" w:rsidP="00866978">
            <w:pPr>
              <w:spacing w:before="100" w:beforeAutospacing="1" w:after="100" w:afterAutospacing="1"/>
              <w:rPr>
                <w:rFonts w:ascii="Times New Roman" w:hAnsi="Times New Roman" w:cs="Times New Roman"/>
                <w:b/>
                <w:bCs/>
                <w:sz w:val="20"/>
                <w:szCs w:val="20"/>
                <w:lang w:eastAsia="en-AU"/>
              </w:rPr>
            </w:pPr>
          </w:p>
        </w:tc>
      </w:tr>
      <w:tr w:rsidR="00C413C7" w:rsidRPr="003237C5" w14:paraId="0C1290EB" w14:textId="77777777" w:rsidTr="00866978">
        <w:trPr>
          <w:cantSplit/>
          <w:jc w:val="center"/>
        </w:trPr>
        <w:tc>
          <w:tcPr>
            <w:tcW w:w="1061" w:type="pct"/>
          </w:tcPr>
          <w:p w14:paraId="027CA793" w14:textId="14847C28" w:rsidR="00C413C7" w:rsidRPr="003237C5" w:rsidRDefault="00701399" w:rsidP="0009038E">
            <w:pPr>
              <w:pStyle w:val="TableText0"/>
              <w:rPr>
                <w:i/>
                <w:noProof/>
              </w:rPr>
            </w:pPr>
            <w:r w:rsidRPr="003237C5">
              <w:rPr>
                <w:i/>
                <w:noProof/>
              </w:rPr>
              <w:t>Higher Education Provider Amendment (Higher Education Provider Charge and Application Fee) Guidelines 2022</w:t>
            </w:r>
          </w:p>
        </w:tc>
        <w:tc>
          <w:tcPr>
            <w:tcW w:w="792" w:type="pct"/>
          </w:tcPr>
          <w:p w14:paraId="033570F9" w14:textId="5EEE4488" w:rsidR="00C413C7" w:rsidRPr="003237C5" w:rsidRDefault="00701399" w:rsidP="0009038E">
            <w:pPr>
              <w:pStyle w:val="TableText0"/>
              <w:rPr>
                <w:szCs w:val="22"/>
              </w:rPr>
            </w:pPr>
            <w:r w:rsidRPr="003237C5">
              <w:rPr>
                <w:szCs w:val="22"/>
              </w:rPr>
              <w:t>F2022L00345</w:t>
            </w:r>
          </w:p>
        </w:tc>
        <w:tc>
          <w:tcPr>
            <w:tcW w:w="1008" w:type="pct"/>
          </w:tcPr>
          <w:p w14:paraId="343BA746" w14:textId="00EB9111" w:rsidR="00C413C7" w:rsidRPr="003237C5" w:rsidRDefault="005650FD" w:rsidP="0009038E">
            <w:pPr>
              <w:pStyle w:val="TableText0"/>
            </w:pPr>
            <w:r w:rsidRPr="003237C5">
              <w:t>21 March 2022</w:t>
            </w:r>
          </w:p>
        </w:tc>
        <w:tc>
          <w:tcPr>
            <w:tcW w:w="934" w:type="pct"/>
          </w:tcPr>
          <w:p w14:paraId="6F8CF659" w14:textId="450F401D" w:rsidR="00C413C7" w:rsidRPr="003237C5" w:rsidRDefault="005650FD" w:rsidP="0009038E">
            <w:pPr>
              <w:pStyle w:val="TableText0"/>
            </w:pPr>
            <w:r w:rsidRPr="003237C5">
              <w:t>22 March 2022</w:t>
            </w:r>
          </w:p>
        </w:tc>
        <w:tc>
          <w:tcPr>
            <w:tcW w:w="1205" w:type="pct"/>
          </w:tcPr>
          <w:p w14:paraId="0DD3A94C" w14:textId="77777777" w:rsidR="00C413C7" w:rsidRPr="003237C5" w:rsidRDefault="00C413C7" w:rsidP="00866978">
            <w:pPr>
              <w:spacing w:before="100" w:beforeAutospacing="1" w:after="100" w:afterAutospacing="1"/>
              <w:rPr>
                <w:rFonts w:ascii="Times New Roman" w:hAnsi="Times New Roman" w:cs="Times New Roman"/>
                <w:b/>
                <w:bCs/>
                <w:sz w:val="20"/>
                <w:szCs w:val="20"/>
                <w:lang w:eastAsia="en-AU"/>
              </w:rPr>
            </w:pPr>
          </w:p>
        </w:tc>
      </w:tr>
    </w:tbl>
    <w:p w14:paraId="19576647" w14:textId="77777777" w:rsidR="00A31F75" w:rsidRPr="003237C5" w:rsidRDefault="00A31F75" w:rsidP="00DA0ECD"/>
    <w:p w14:paraId="6F465B4A" w14:textId="77777777" w:rsidR="00A31F75" w:rsidRPr="003237C5" w:rsidRDefault="00A31F75" w:rsidP="00C578F6">
      <w:pPr>
        <w:pStyle w:val="NoteHeading"/>
      </w:pPr>
    </w:p>
    <w:p w14:paraId="541AB439" w14:textId="77777777" w:rsidR="00A31F75" w:rsidRPr="003237C5" w:rsidRDefault="00A31F75" w:rsidP="00C578F6">
      <w:pPr>
        <w:pStyle w:val="NoteHeading"/>
        <w:sectPr w:rsidR="00A31F75" w:rsidRPr="003237C5" w:rsidSect="00194840">
          <w:headerReference w:type="first" r:id="rId21"/>
          <w:footerReference w:type="first" r:id="rId22"/>
          <w:pgSz w:w="11907" w:h="16839" w:code="9"/>
          <w:pgMar w:top="1702" w:right="1134" w:bottom="1304" w:left="1134" w:header="454" w:footer="1134" w:gutter="0"/>
          <w:paperSrc w:first="7" w:other="7"/>
          <w:cols w:space="720"/>
          <w:formProt w:val="0"/>
          <w:titlePg/>
          <w:docGrid w:linePitch="326"/>
        </w:sectPr>
      </w:pPr>
    </w:p>
    <w:p w14:paraId="367F5B97" w14:textId="6FDB88C4" w:rsidR="00A31F75" w:rsidRPr="003237C5" w:rsidRDefault="00A31F75" w:rsidP="00C578F6">
      <w:pPr>
        <w:pStyle w:val="NoteHeading"/>
      </w:pPr>
    </w:p>
    <w:p w14:paraId="452A7C94" w14:textId="13D068C6" w:rsidR="00C713FC" w:rsidRPr="003237C5" w:rsidRDefault="00767886" w:rsidP="00C713FC">
      <w:r w:rsidRPr="003237C5">
        <w:rPr>
          <w:rStyle w:val="CharENotesHeading"/>
          <w:sz w:val="28"/>
          <w:szCs w:val="28"/>
        </w:rPr>
        <w:t xml:space="preserve">Endnote 4––Amendment History </w:t>
      </w:r>
    </w:p>
    <w:tbl>
      <w:tblPr>
        <w:tblW w:w="4233" w:type="pct"/>
        <w:tblInd w:w="738" w:type="dxa"/>
        <w:tblLook w:val="0000" w:firstRow="0" w:lastRow="0" w:firstColumn="0" w:lastColumn="0" w:noHBand="0" w:noVBand="0"/>
      </w:tblPr>
      <w:tblGrid>
        <w:gridCol w:w="2603"/>
        <w:gridCol w:w="5557"/>
      </w:tblGrid>
      <w:tr w:rsidR="00075DD8" w:rsidRPr="003237C5" w14:paraId="5ADD26D3" w14:textId="77777777" w:rsidTr="00584BB1">
        <w:trPr>
          <w:cantSplit/>
        </w:trPr>
        <w:tc>
          <w:tcPr>
            <w:tcW w:w="5000" w:type="pct"/>
            <w:gridSpan w:val="2"/>
            <w:tcBorders>
              <w:bottom w:val="single" w:sz="4" w:space="0" w:color="auto"/>
            </w:tcBorders>
            <w:shd w:val="clear" w:color="auto" w:fill="auto"/>
          </w:tcPr>
          <w:p w14:paraId="09FA1AA7" w14:textId="429EF61D" w:rsidR="00075DD8" w:rsidRPr="003237C5" w:rsidRDefault="00075DD8" w:rsidP="00B804B7">
            <w:pPr>
              <w:pStyle w:val="ENoteTableHeading"/>
              <w:tabs>
                <w:tab w:val="center" w:leader="dot" w:pos="2268"/>
              </w:tabs>
            </w:pPr>
          </w:p>
        </w:tc>
      </w:tr>
      <w:tr w:rsidR="00075DD8" w:rsidRPr="003237C5" w14:paraId="1B50C214" w14:textId="77777777" w:rsidTr="00584BB1">
        <w:trPr>
          <w:cantSplit/>
        </w:trPr>
        <w:tc>
          <w:tcPr>
            <w:tcW w:w="1595" w:type="pct"/>
            <w:tcBorders>
              <w:top w:val="single" w:sz="4" w:space="0" w:color="auto"/>
              <w:bottom w:val="single" w:sz="4" w:space="0" w:color="auto"/>
            </w:tcBorders>
            <w:shd w:val="clear" w:color="auto" w:fill="auto"/>
          </w:tcPr>
          <w:p w14:paraId="7127424B" w14:textId="77777777" w:rsidR="00075DD8" w:rsidRPr="003237C5" w:rsidRDefault="00075DD8" w:rsidP="000D7CD2">
            <w:pPr>
              <w:pStyle w:val="ENoteTableHeading"/>
              <w:tabs>
                <w:tab w:val="center" w:leader="dot" w:pos="2268"/>
              </w:tabs>
            </w:pPr>
            <w:r w:rsidRPr="003237C5">
              <w:t>Provision affected</w:t>
            </w:r>
          </w:p>
        </w:tc>
        <w:tc>
          <w:tcPr>
            <w:tcW w:w="3405" w:type="pct"/>
            <w:tcBorders>
              <w:top w:val="single" w:sz="4" w:space="0" w:color="auto"/>
              <w:bottom w:val="single" w:sz="4" w:space="0" w:color="auto"/>
            </w:tcBorders>
            <w:shd w:val="clear" w:color="auto" w:fill="auto"/>
          </w:tcPr>
          <w:p w14:paraId="0A2728B1" w14:textId="77777777" w:rsidR="00075DD8" w:rsidRPr="003237C5" w:rsidRDefault="00075DD8" w:rsidP="000D7CD2">
            <w:pPr>
              <w:pStyle w:val="ENoteTableHeading"/>
              <w:tabs>
                <w:tab w:val="center" w:leader="dot" w:pos="2268"/>
              </w:tabs>
            </w:pPr>
            <w:r w:rsidRPr="003237C5">
              <w:t>How affected</w:t>
            </w:r>
          </w:p>
        </w:tc>
      </w:tr>
      <w:tr w:rsidR="00075DD8" w:rsidRPr="003237C5" w14:paraId="0E5ABD4D" w14:textId="77777777" w:rsidTr="00584BB1">
        <w:trPr>
          <w:cantSplit/>
        </w:trPr>
        <w:tc>
          <w:tcPr>
            <w:tcW w:w="1595" w:type="pct"/>
            <w:tcBorders>
              <w:top w:val="single" w:sz="4" w:space="0" w:color="auto"/>
            </w:tcBorders>
            <w:shd w:val="clear" w:color="auto" w:fill="auto"/>
          </w:tcPr>
          <w:p w14:paraId="146EFDF4" w14:textId="7FAA1C94" w:rsidR="00CE1923" w:rsidRPr="003237C5" w:rsidRDefault="00CE1923" w:rsidP="000D7CD2">
            <w:pPr>
              <w:pStyle w:val="TableOfAmend"/>
              <w:spacing w:line="260" w:lineRule="exact"/>
            </w:pPr>
            <w:r w:rsidRPr="003237C5">
              <w:t>Paragraph (ii)</w:t>
            </w:r>
            <w:r w:rsidRPr="003237C5">
              <w:tab/>
            </w:r>
          </w:p>
          <w:p w14:paraId="04324074" w14:textId="1E03D780" w:rsidR="00075DD8" w:rsidRPr="003237C5" w:rsidRDefault="00075DD8" w:rsidP="000D7CD2">
            <w:pPr>
              <w:pStyle w:val="TableOfAmend"/>
              <w:spacing w:line="260" w:lineRule="exact"/>
            </w:pPr>
            <w:r w:rsidRPr="003237C5">
              <w:t>Paragraph (iii)</w:t>
            </w:r>
            <w:r w:rsidRPr="003237C5">
              <w:tab/>
            </w:r>
          </w:p>
        </w:tc>
        <w:tc>
          <w:tcPr>
            <w:tcW w:w="3405" w:type="pct"/>
            <w:tcBorders>
              <w:top w:val="single" w:sz="4" w:space="0" w:color="auto"/>
            </w:tcBorders>
            <w:shd w:val="clear" w:color="auto" w:fill="auto"/>
          </w:tcPr>
          <w:p w14:paraId="1DF9E715" w14:textId="5AC429F7" w:rsidR="00CE1923" w:rsidRPr="003237C5" w:rsidRDefault="00CE1923" w:rsidP="000D7CD2">
            <w:pPr>
              <w:pStyle w:val="ENoteTableText"/>
              <w:tabs>
                <w:tab w:val="center" w:leader="dot" w:pos="2268"/>
              </w:tabs>
              <w:rPr>
                <w:rFonts w:ascii="Arial" w:hAnsi="Arial" w:cs="Arial"/>
                <w:noProof/>
                <w:sz w:val="18"/>
                <w:szCs w:val="22"/>
              </w:rPr>
            </w:pPr>
            <w:r w:rsidRPr="003237C5">
              <w:rPr>
                <w:rFonts w:ascii="Arial" w:hAnsi="Arial" w:cs="Arial"/>
                <w:noProof/>
                <w:sz w:val="18"/>
                <w:szCs w:val="22"/>
              </w:rPr>
              <w:t>am F2020L01633</w:t>
            </w:r>
          </w:p>
          <w:p w14:paraId="16DF44AF" w14:textId="754CCA4D" w:rsidR="00075DD8" w:rsidRPr="003237C5" w:rsidRDefault="00075DD8" w:rsidP="000D7CD2">
            <w:pPr>
              <w:pStyle w:val="ENoteTableText"/>
              <w:tabs>
                <w:tab w:val="center" w:leader="dot" w:pos="2268"/>
              </w:tabs>
              <w:rPr>
                <w:rFonts w:ascii="Arial" w:hAnsi="Arial" w:cs="Arial"/>
                <w:noProof/>
                <w:sz w:val="18"/>
                <w:szCs w:val="22"/>
              </w:rPr>
            </w:pPr>
            <w:r w:rsidRPr="003237C5">
              <w:rPr>
                <w:rFonts w:ascii="Arial" w:hAnsi="Arial" w:cs="Arial"/>
                <w:noProof/>
                <w:sz w:val="18"/>
                <w:szCs w:val="22"/>
              </w:rPr>
              <w:t>rep LIA s 48D</w:t>
            </w:r>
          </w:p>
        </w:tc>
      </w:tr>
      <w:tr w:rsidR="00075DD8" w:rsidRPr="003237C5" w14:paraId="20DDA54D" w14:textId="77777777" w:rsidTr="00584BB1">
        <w:trPr>
          <w:cantSplit/>
        </w:trPr>
        <w:tc>
          <w:tcPr>
            <w:tcW w:w="1595" w:type="pct"/>
            <w:shd w:val="clear" w:color="auto" w:fill="auto"/>
          </w:tcPr>
          <w:p w14:paraId="4A1CF0A3" w14:textId="77777777" w:rsidR="00075DD8" w:rsidRPr="003237C5" w:rsidRDefault="00075DD8" w:rsidP="000D7CD2">
            <w:pPr>
              <w:pStyle w:val="TableOfAmend"/>
              <w:spacing w:line="260" w:lineRule="exact"/>
            </w:pPr>
            <w:r w:rsidRPr="003237C5">
              <w:t>Paragraph (iv)</w:t>
            </w:r>
            <w:r w:rsidRPr="003237C5">
              <w:tab/>
            </w:r>
          </w:p>
        </w:tc>
        <w:tc>
          <w:tcPr>
            <w:tcW w:w="3405" w:type="pct"/>
            <w:shd w:val="clear" w:color="auto" w:fill="auto"/>
          </w:tcPr>
          <w:p w14:paraId="534889DC" w14:textId="77777777" w:rsidR="00075DD8" w:rsidRPr="003237C5" w:rsidRDefault="00075DD8" w:rsidP="000D7CD2">
            <w:pPr>
              <w:pStyle w:val="ENoteTableText"/>
              <w:rPr>
                <w:rFonts w:ascii="Arial" w:hAnsi="Arial" w:cs="Arial"/>
                <w:noProof/>
                <w:sz w:val="18"/>
                <w:szCs w:val="22"/>
              </w:rPr>
            </w:pPr>
            <w:r w:rsidRPr="003237C5">
              <w:rPr>
                <w:rFonts w:ascii="Arial" w:hAnsi="Arial" w:cs="Arial"/>
                <w:noProof/>
                <w:sz w:val="18"/>
                <w:szCs w:val="22"/>
              </w:rPr>
              <w:t>rep LIA s 48C</w:t>
            </w:r>
          </w:p>
        </w:tc>
      </w:tr>
      <w:tr w:rsidR="00075DD8" w:rsidRPr="003237C5" w14:paraId="7ED74CD1" w14:textId="77777777" w:rsidTr="00584BB1">
        <w:trPr>
          <w:cantSplit/>
        </w:trPr>
        <w:tc>
          <w:tcPr>
            <w:tcW w:w="1595" w:type="pct"/>
            <w:shd w:val="clear" w:color="auto" w:fill="auto"/>
          </w:tcPr>
          <w:p w14:paraId="721B2F6B" w14:textId="77777777" w:rsidR="00075DD8" w:rsidRPr="003237C5" w:rsidRDefault="00075DD8" w:rsidP="000D7CD2">
            <w:pPr>
              <w:pStyle w:val="TableOfAmend"/>
              <w:spacing w:line="260" w:lineRule="exact"/>
              <w:rPr>
                <w:b/>
              </w:rPr>
            </w:pPr>
            <w:r w:rsidRPr="003237C5">
              <w:rPr>
                <w:b/>
              </w:rPr>
              <w:t>Chapter 1</w:t>
            </w:r>
          </w:p>
        </w:tc>
        <w:tc>
          <w:tcPr>
            <w:tcW w:w="3405" w:type="pct"/>
            <w:shd w:val="clear" w:color="auto" w:fill="auto"/>
          </w:tcPr>
          <w:p w14:paraId="17F721C5" w14:textId="77777777" w:rsidR="00075DD8" w:rsidRPr="003237C5" w:rsidRDefault="00075DD8" w:rsidP="000D7CD2">
            <w:pPr>
              <w:pStyle w:val="ENoteTableText"/>
              <w:rPr>
                <w:rFonts w:ascii="Arial" w:hAnsi="Arial" w:cs="Arial"/>
                <w:noProof/>
                <w:sz w:val="18"/>
                <w:szCs w:val="22"/>
              </w:rPr>
            </w:pPr>
          </w:p>
        </w:tc>
      </w:tr>
      <w:tr w:rsidR="00075DD8" w:rsidRPr="003237C5" w14:paraId="6C4FDF32" w14:textId="77777777" w:rsidTr="00584BB1">
        <w:trPr>
          <w:cantSplit/>
        </w:trPr>
        <w:tc>
          <w:tcPr>
            <w:tcW w:w="1595" w:type="pct"/>
            <w:shd w:val="clear" w:color="auto" w:fill="auto"/>
          </w:tcPr>
          <w:p w14:paraId="55560E4F" w14:textId="3383D56B" w:rsidR="007D116A" w:rsidRPr="003237C5" w:rsidRDefault="00A31F75" w:rsidP="000D7CD2">
            <w:pPr>
              <w:pStyle w:val="TableOfAmend"/>
              <w:spacing w:line="260" w:lineRule="exact"/>
            </w:pPr>
            <w:r w:rsidRPr="003237C5">
              <w:t>Section</w:t>
            </w:r>
            <w:r w:rsidR="007D116A" w:rsidRPr="003237C5">
              <w:t xml:space="preserve"> 1.1 </w:t>
            </w:r>
            <w:r w:rsidR="007D116A" w:rsidRPr="003237C5">
              <w:tab/>
            </w:r>
          </w:p>
          <w:p w14:paraId="24AAEE5B" w14:textId="3682DC9C" w:rsidR="00075DD8" w:rsidRPr="003237C5" w:rsidRDefault="00075DD8" w:rsidP="000D7CD2">
            <w:pPr>
              <w:pStyle w:val="TableOfAmend"/>
              <w:spacing w:line="260" w:lineRule="exact"/>
            </w:pPr>
            <w:r w:rsidRPr="003237C5">
              <w:t>Paragraph 1.1.1</w:t>
            </w:r>
            <w:r w:rsidRPr="003237C5">
              <w:tab/>
            </w:r>
          </w:p>
        </w:tc>
        <w:tc>
          <w:tcPr>
            <w:tcW w:w="3405" w:type="pct"/>
            <w:shd w:val="clear" w:color="auto" w:fill="auto"/>
          </w:tcPr>
          <w:p w14:paraId="18CCE60C" w14:textId="7C9714FC" w:rsidR="007D116A" w:rsidRPr="003237C5" w:rsidRDefault="007D116A" w:rsidP="00EC34DF">
            <w:pPr>
              <w:pStyle w:val="ENoteTableText"/>
              <w:rPr>
                <w:rFonts w:ascii="Arial" w:hAnsi="Arial" w:cs="Arial"/>
                <w:noProof/>
                <w:sz w:val="18"/>
                <w:szCs w:val="22"/>
              </w:rPr>
            </w:pPr>
            <w:r w:rsidRPr="003237C5">
              <w:rPr>
                <w:rFonts w:ascii="Arial" w:hAnsi="Arial" w:cs="Arial"/>
                <w:noProof/>
                <w:sz w:val="18"/>
                <w:szCs w:val="22"/>
              </w:rPr>
              <w:t>rep F2020L01633</w:t>
            </w:r>
          </w:p>
          <w:p w14:paraId="4C86D96C" w14:textId="616FCB08" w:rsidR="00075DD8" w:rsidRPr="003237C5" w:rsidRDefault="00075DD8" w:rsidP="00EC34DF">
            <w:pPr>
              <w:pStyle w:val="ENoteTableText"/>
              <w:rPr>
                <w:rFonts w:ascii="Arial" w:hAnsi="Arial" w:cs="Arial"/>
                <w:noProof/>
                <w:sz w:val="18"/>
                <w:szCs w:val="22"/>
              </w:rPr>
            </w:pPr>
            <w:r w:rsidRPr="003237C5">
              <w:rPr>
                <w:rFonts w:ascii="Arial" w:hAnsi="Arial" w:cs="Arial"/>
                <w:noProof/>
                <w:sz w:val="18"/>
                <w:szCs w:val="22"/>
              </w:rPr>
              <w:t>am F2019L01699</w:t>
            </w:r>
          </w:p>
        </w:tc>
      </w:tr>
      <w:tr w:rsidR="00641151" w:rsidRPr="003237C5" w14:paraId="785FFCE1" w14:textId="77777777" w:rsidTr="00584BB1">
        <w:trPr>
          <w:cantSplit/>
        </w:trPr>
        <w:tc>
          <w:tcPr>
            <w:tcW w:w="1595" w:type="pct"/>
            <w:shd w:val="clear" w:color="auto" w:fill="auto"/>
          </w:tcPr>
          <w:p w14:paraId="4F326EA2" w14:textId="77777777" w:rsidR="00641151" w:rsidRPr="003237C5" w:rsidRDefault="00641151" w:rsidP="000D7CD2">
            <w:pPr>
              <w:pStyle w:val="TableOfAmend"/>
              <w:spacing w:line="260" w:lineRule="exact"/>
            </w:pPr>
          </w:p>
        </w:tc>
        <w:tc>
          <w:tcPr>
            <w:tcW w:w="3405" w:type="pct"/>
            <w:shd w:val="clear" w:color="auto" w:fill="auto"/>
          </w:tcPr>
          <w:p w14:paraId="5CCB253A" w14:textId="77777777" w:rsidR="00641151" w:rsidRPr="003237C5" w:rsidRDefault="00641151" w:rsidP="000D7CD2">
            <w:pPr>
              <w:pStyle w:val="ENoteTableText"/>
              <w:rPr>
                <w:rFonts w:ascii="Arial" w:hAnsi="Arial" w:cs="Arial"/>
                <w:noProof/>
                <w:sz w:val="18"/>
                <w:szCs w:val="22"/>
              </w:rPr>
            </w:pPr>
            <w:r w:rsidRPr="003237C5">
              <w:rPr>
                <w:rFonts w:ascii="Arial" w:hAnsi="Arial" w:cs="Arial"/>
                <w:noProof/>
                <w:sz w:val="18"/>
                <w:szCs w:val="22"/>
              </w:rPr>
              <w:t>ed C2</w:t>
            </w:r>
          </w:p>
        </w:tc>
      </w:tr>
      <w:tr w:rsidR="00075DD8" w:rsidRPr="003237C5" w14:paraId="64C921A8" w14:textId="77777777" w:rsidTr="00584BB1">
        <w:trPr>
          <w:cantSplit/>
        </w:trPr>
        <w:tc>
          <w:tcPr>
            <w:tcW w:w="1595" w:type="pct"/>
            <w:shd w:val="clear" w:color="auto" w:fill="auto"/>
          </w:tcPr>
          <w:p w14:paraId="157549A3" w14:textId="735C367A" w:rsidR="00075DD8" w:rsidRPr="003237C5" w:rsidRDefault="00075DD8" w:rsidP="000D7CD2">
            <w:pPr>
              <w:pStyle w:val="TableOfAmend"/>
              <w:spacing w:line="260" w:lineRule="exact"/>
            </w:pPr>
            <w:r w:rsidRPr="003237C5">
              <w:t>S</w:t>
            </w:r>
            <w:r w:rsidR="004D0AB0" w:rsidRPr="003237C5">
              <w:t>ection</w:t>
            </w:r>
            <w:r w:rsidRPr="003237C5">
              <w:t xml:space="preserve"> 1.5</w:t>
            </w:r>
            <w:r w:rsidRPr="003237C5">
              <w:tab/>
            </w:r>
          </w:p>
        </w:tc>
        <w:tc>
          <w:tcPr>
            <w:tcW w:w="3405" w:type="pct"/>
            <w:shd w:val="clear" w:color="auto" w:fill="auto"/>
          </w:tcPr>
          <w:p w14:paraId="4F96BC78" w14:textId="77777777" w:rsidR="00075DD8" w:rsidRPr="003237C5" w:rsidRDefault="00641151" w:rsidP="000D7CD2">
            <w:pPr>
              <w:pStyle w:val="TableOfAmend"/>
              <w:spacing w:line="260" w:lineRule="exact"/>
              <w:ind w:left="0" w:firstLine="0"/>
            </w:pPr>
            <w:r w:rsidRPr="003237C5">
              <w:t>am</w:t>
            </w:r>
            <w:r w:rsidR="00075DD8" w:rsidRPr="003237C5">
              <w:t xml:space="preserve"> F2013L01508</w:t>
            </w:r>
          </w:p>
        </w:tc>
      </w:tr>
      <w:tr w:rsidR="00075DD8" w:rsidRPr="003237C5" w14:paraId="3C9B8B60" w14:textId="77777777" w:rsidTr="00584BB1">
        <w:trPr>
          <w:cantSplit/>
        </w:trPr>
        <w:tc>
          <w:tcPr>
            <w:tcW w:w="1595" w:type="pct"/>
            <w:shd w:val="clear" w:color="auto" w:fill="auto"/>
          </w:tcPr>
          <w:p w14:paraId="131D109C" w14:textId="77777777" w:rsidR="00075DD8" w:rsidRPr="003237C5" w:rsidRDefault="00075DD8" w:rsidP="000D7CD2">
            <w:pPr>
              <w:pStyle w:val="TableOfAmend"/>
              <w:spacing w:line="260" w:lineRule="exact"/>
            </w:pPr>
            <w:r w:rsidRPr="003237C5">
              <w:t>Paragraph 1.5.5</w:t>
            </w:r>
            <w:r w:rsidRPr="003237C5">
              <w:tab/>
            </w:r>
          </w:p>
        </w:tc>
        <w:tc>
          <w:tcPr>
            <w:tcW w:w="3405" w:type="pct"/>
            <w:shd w:val="clear" w:color="auto" w:fill="auto"/>
          </w:tcPr>
          <w:p w14:paraId="5D12FDB2" w14:textId="77777777" w:rsidR="00075DD8" w:rsidRPr="003237C5" w:rsidRDefault="00075DD8" w:rsidP="000D7CD2">
            <w:pPr>
              <w:pStyle w:val="TableOfAmend"/>
              <w:spacing w:line="260" w:lineRule="exact"/>
              <w:ind w:left="0" w:firstLine="0"/>
            </w:pPr>
            <w:r w:rsidRPr="003237C5">
              <w:t xml:space="preserve">am </w:t>
            </w:r>
            <w:r w:rsidRPr="003237C5">
              <w:rPr>
                <w:szCs w:val="22"/>
              </w:rPr>
              <w:t>F2019L01699</w:t>
            </w:r>
          </w:p>
        </w:tc>
      </w:tr>
      <w:tr w:rsidR="00075DD8" w:rsidRPr="003237C5" w14:paraId="328ABC8D" w14:textId="77777777" w:rsidTr="00584BB1">
        <w:trPr>
          <w:cantSplit/>
        </w:trPr>
        <w:tc>
          <w:tcPr>
            <w:tcW w:w="1595" w:type="pct"/>
            <w:shd w:val="clear" w:color="auto" w:fill="auto"/>
          </w:tcPr>
          <w:p w14:paraId="363EC96D" w14:textId="77777777" w:rsidR="00075DD8" w:rsidRPr="003237C5" w:rsidRDefault="00075DD8" w:rsidP="000D7CD2">
            <w:pPr>
              <w:pStyle w:val="TableOfAmend"/>
              <w:spacing w:line="260" w:lineRule="exact"/>
            </w:pPr>
            <w:r w:rsidRPr="003237C5">
              <w:t>Paragraph 1.5.10</w:t>
            </w:r>
            <w:r w:rsidRPr="003237C5">
              <w:tab/>
            </w:r>
          </w:p>
        </w:tc>
        <w:tc>
          <w:tcPr>
            <w:tcW w:w="3405" w:type="pct"/>
            <w:shd w:val="clear" w:color="auto" w:fill="auto"/>
          </w:tcPr>
          <w:p w14:paraId="21C2357D" w14:textId="78790F39" w:rsidR="007D116A" w:rsidRPr="003237C5" w:rsidRDefault="00075DD8" w:rsidP="00EC34DF">
            <w:pPr>
              <w:pStyle w:val="TableOfAmend"/>
              <w:spacing w:line="260" w:lineRule="exact"/>
              <w:ind w:left="0" w:firstLine="0"/>
              <w:rPr>
                <w:szCs w:val="22"/>
              </w:rPr>
            </w:pPr>
            <w:r w:rsidRPr="003237C5">
              <w:t xml:space="preserve">am </w:t>
            </w:r>
            <w:r w:rsidRPr="003237C5">
              <w:rPr>
                <w:szCs w:val="22"/>
              </w:rPr>
              <w:t>F2019L01699</w:t>
            </w:r>
            <w:r w:rsidR="007D116A" w:rsidRPr="003237C5">
              <w:rPr>
                <w:szCs w:val="22"/>
              </w:rPr>
              <w:t>; am F2020L01633</w:t>
            </w:r>
          </w:p>
        </w:tc>
      </w:tr>
      <w:tr w:rsidR="00075DD8" w:rsidRPr="003237C5" w14:paraId="75C5F54C" w14:textId="77777777" w:rsidTr="00584BB1">
        <w:trPr>
          <w:cantSplit/>
        </w:trPr>
        <w:tc>
          <w:tcPr>
            <w:tcW w:w="1595" w:type="pct"/>
            <w:shd w:val="clear" w:color="auto" w:fill="auto"/>
          </w:tcPr>
          <w:p w14:paraId="0F703349" w14:textId="77777777" w:rsidR="00075DD8" w:rsidRPr="003237C5" w:rsidRDefault="00075DD8" w:rsidP="000D7CD2">
            <w:pPr>
              <w:pStyle w:val="TableOfAmend"/>
              <w:spacing w:line="260" w:lineRule="exact"/>
              <w:rPr>
                <w:b/>
              </w:rPr>
            </w:pPr>
            <w:r w:rsidRPr="003237C5">
              <w:rPr>
                <w:b/>
              </w:rPr>
              <w:t>Chapter 2</w:t>
            </w:r>
          </w:p>
        </w:tc>
        <w:tc>
          <w:tcPr>
            <w:tcW w:w="3405" w:type="pct"/>
            <w:shd w:val="clear" w:color="auto" w:fill="auto"/>
          </w:tcPr>
          <w:p w14:paraId="5E6C24A0" w14:textId="77777777" w:rsidR="00075DD8" w:rsidRPr="003237C5" w:rsidRDefault="00075DD8" w:rsidP="000D7CD2">
            <w:pPr>
              <w:pStyle w:val="TableOfAmend"/>
              <w:spacing w:line="260" w:lineRule="exact"/>
              <w:ind w:left="0" w:firstLine="0"/>
            </w:pPr>
          </w:p>
        </w:tc>
      </w:tr>
      <w:tr w:rsidR="00075DD8" w:rsidRPr="003237C5" w14:paraId="4FE87F84" w14:textId="77777777" w:rsidTr="00584BB1">
        <w:trPr>
          <w:cantSplit/>
        </w:trPr>
        <w:tc>
          <w:tcPr>
            <w:tcW w:w="1595" w:type="pct"/>
            <w:shd w:val="clear" w:color="auto" w:fill="auto"/>
          </w:tcPr>
          <w:p w14:paraId="46606962" w14:textId="77777777" w:rsidR="00075DD8" w:rsidRPr="003237C5" w:rsidRDefault="00075DD8" w:rsidP="000D7CD2">
            <w:pPr>
              <w:pStyle w:val="TableOfAmend"/>
              <w:spacing w:line="260" w:lineRule="exact"/>
            </w:pPr>
            <w:r w:rsidRPr="003237C5">
              <w:t>Chapter 2</w:t>
            </w:r>
            <w:r w:rsidRPr="003237C5">
              <w:tab/>
            </w:r>
          </w:p>
        </w:tc>
        <w:tc>
          <w:tcPr>
            <w:tcW w:w="3405" w:type="pct"/>
            <w:shd w:val="clear" w:color="auto" w:fill="auto"/>
          </w:tcPr>
          <w:p w14:paraId="7BB7A958" w14:textId="7A9F85F9"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075DD8" w:rsidRPr="003237C5" w14:paraId="40ECCEA4" w14:textId="77777777" w:rsidTr="00584BB1">
        <w:trPr>
          <w:cantSplit/>
        </w:trPr>
        <w:tc>
          <w:tcPr>
            <w:tcW w:w="1595" w:type="pct"/>
            <w:shd w:val="clear" w:color="auto" w:fill="auto"/>
          </w:tcPr>
          <w:p w14:paraId="2570D02F" w14:textId="5D11C6B3" w:rsidR="00075DD8" w:rsidRPr="003237C5" w:rsidRDefault="00075DD8" w:rsidP="000D7CD2">
            <w:pPr>
              <w:pStyle w:val="TableOfAmend"/>
              <w:spacing w:line="260" w:lineRule="exact"/>
            </w:pPr>
            <w:r w:rsidRPr="003237C5">
              <w:t>S</w:t>
            </w:r>
            <w:r w:rsidR="004D0AB0" w:rsidRPr="003237C5">
              <w:t xml:space="preserve">ection </w:t>
            </w:r>
            <w:r w:rsidRPr="003237C5">
              <w:t>2.1</w:t>
            </w:r>
            <w:r w:rsidRPr="003237C5">
              <w:tab/>
            </w:r>
          </w:p>
        </w:tc>
        <w:tc>
          <w:tcPr>
            <w:tcW w:w="3405" w:type="pct"/>
            <w:shd w:val="clear" w:color="auto" w:fill="auto"/>
          </w:tcPr>
          <w:p w14:paraId="73EF5DC2" w14:textId="6F5271C6"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075DD8" w:rsidRPr="003237C5" w14:paraId="0F3F5C9C" w14:textId="77777777" w:rsidTr="00584BB1">
        <w:trPr>
          <w:cantSplit/>
        </w:trPr>
        <w:tc>
          <w:tcPr>
            <w:tcW w:w="1595" w:type="pct"/>
            <w:shd w:val="clear" w:color="auto" w:fill="auto"/>
          </w:tcPr>
          <w:p w14:paraId="57C04A76" w14:textId="77777777" w:rsidR="00075DD8" w:rsidRPr="003237C5" w:rsidRDefault="00075DD8" w:rsidP="000D7CD2">
            <w:pPr>
              <w:pStyle w:val="TableOfAmend"/>
              <w:spacing w:line="260" w:lineRule="exact"/>
            </w:pPr>
            <w:r w:rsidRPr="003237C5">
              <w:t>Paragraph 2.1.1.</w:t>
            </w:r>
            <w:r w:rsidRPr="003237C5">
              <w:tab/>
            </w:r>
          </w:p>
        </w:tc>
        <w:tc>
          <w:tcPr>
            <w:tcW w:w="3405" w:type="pct"/>
            <w:shd w:val="clear" w:color="auto" w:fill="auto"/>
          </w:tcPr>
          <w:p w14:paraId="06F56564" w14:textId="47EEE08B"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075DD8" w:rsidRPr="003237C5" w14:paraId="5F238444" w14:textId="77777777" w:rsidTr="00584BB1">
        <w:trPr>
          <w:cantSplit/>
        </w:trPr>
        <w:tc>
          <w:tcPr>
            <w:tcW w:w="1595" w:type="pct"/>
            <w:shd w:val="clear" w:color="auto" w:fill="auto"/>
          </w:tcPr>
          <w:p w14:paraId="0CD097C1" w14:textId="77777777" w:rsidR="00075DD8" w:rsidRPr="003237C5" w:rsidRDefault="00075DD8" w:rsidP="000D7CD2">
            <w:pPr>
              <w:pStyle w:val="TableOfAmend"/>
              <w:spacing w:line="260" w:lineRule="exact"/>
            </w:pPr>
            <w:r w:rsidRPr="003237C5">
              <w:t>Paragraph 2.1.5.</w:t>
            </w:r>
            <w:r w:rsidRPr="003237C5">
              <w:tab/>
            </w:r>
          </w:p>
        </w:tc>
        <w:tc>
          <w:tcPr>
            <w:tcW w:w="3405" w:type="pct"/>
            <w:shd w:val="clear" w:color="auto" w:fill="auto"/>
          </w:tcPr>
          <w:p w14:paraId="395A7ABD" w14:textId="65D346B3"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075DD8" w:rsidRPr="003237C5" w14:paraId="2E26D3DD" w14:textId="77777777" w:rsidTr="00584BB1">
        <w:trPr>
          <w:cantSplit/>
        </w:trPr>
        <w:tc>
          <w:tcPr>
            <w:tcW w:w="1595" w:type="pct"/>
            <w:shd w:val="clear" w:color="auto" w:fill="auto"/>
          </w:tcPr>
          <w:p w14:paraId="70961C36" w14:textId="77777777" w:rsidR="00075DD8" w:rsidRPr="003237C5" w:rsidRDefault="00075DD8" w:rsidP="000D7CD2">
            <w:pPr>
              <w:pStyle w:val="TableOfAmend"/>
              <w:spacing w:line="260" w:lineRule="exact"/>
            </w:pPr>
            <w:r w:rsidRPr="003237C5">
              <w:t>Paragraph 2.1.10.</w:t>
            </w:r>
            <w:r w:rsidRPr="003237C5">
              <w:tab/>
            </w:r>
          </w:p>
        </w:tc>
        <w:tc>
          <w:tcPr>
            <w:tcW w:w="3405" w:type="pct"/>
            <w:shd w:val="clear" w:color="auto" w:fill="auto"/>
          </w:tcPr>
          <w:p w14:paraId="49C538F4" w14:textId="13B1F745" w:rsidR="00075DD8" w:rsidRPr="003237C5" w:rsidRDefault="00075DD8" w:rsidP="000D7CD2">
            <w:pPr>
              <w:pStyle w:val="TableOfAmend"/>
              <w:spacing w:line="260" w:lineRule="exact"/>
              <w:ind w:left="0" w:firstLine="0"/>
            </w:pPr>
            <w:r w:rsidRPr="003237C5">
              <w:t>rs F2019L01699</w:t>
            </w:r>
            <w:r w:rsidR="007D116A" w:rsidRPr="003237C5">
              <w:t xml:space="preserve">; rep </w:t>
            </w:r>
            <w:r w:rsidR="007D116A" w:rsidRPr="003237C5">
              <w:rPr>
                <w:szCs w:val="22"/>
              </w:rPr>
              <w:t>F2020L01633</w:t>
            </w:r>
          </w:p>
        </w:tc>
      </w:tr>
      <w:tr w:rsidR="00075DD8" w:rsidRPr="003237C5" w14:paraId="1168CF0C" w14:textId="77777777" w:rsidTr="00584BB1">
        <w:trPr>
          <w:cantSplit/>
        </w:trPr>
        <w:tc>
          <w:tcPr>
            <w:tcW w:w="1595" w:type="pct"/>
            <w:shd w:val="clear" w:color="auto" w:fill="auto"/>
          </w:tcPr>
          <w:p w14:paraId="229A9C5B" w14:textId="77777777" w:rsidR="00075DD8" w:rsidRPr="003237C5" w:rsidRDefault="00075DD8" w:rsidP="000D7CD2">
            <w:pPr>
              <w:pStyle w:val="TableOfAmend"/>
              <w:spacing w:line="260" w:lineRule="exact"/>
            </w:pPr>
            <w:r w:rsidRPr="003237C5">
              <w:t>Paragraph 2.1.15</w:t>
            </w:r>
            <w:r w:rsidRPr="003237C5">
              <w:tab/>
            </w:r>
          </w:p>
        </w:tc>
        <w:tc>
          <w:tcPr>
            <w:tcW w:w="3405" w:type="pct"/>
            <w:shd w:val="clear" w:color="auto" w:fill="auto"/>
          </w:tcPr>
          <w:p w14:paraId="206D0516" w14:textId="77777777" w:rsidR="00075DD8" w:rsidRPr="003237C5" w:rsidRDefault="00075DD8" w:rsidP="000D7CD2">
            <w:pPr>
              <w:pStyle w:val="TableOfAmend"/>
              <w:spacing w:line="260" w:lineRule="exact"/>
              <w:ind w:left="0" w:firstLine="0"/>
            </w:pPr>
            <w:r w:rsidRPr="003237C5">
              <w:t>rep F2019L01699</w:t>
            </w:r>
          </w:p>
        </w:tc>
      </w:tr>
      <w:tr w:rsidR="00075DD8" w:rsidRPr="003237C5" w14:paraId="44551A3E" w14:textId="77777777" w:rsidTr="00584BB1">
        <w:trPr>
          <w:cantSplit/>
        </w:trPr>
        <w:tc>
          <w:tcPr>
            <w:tcW w:w="1595" w:type="pct"/>
            <w:shd w:val="clear" w:color="auto" w:fill="auto"/>
          </w:tcPr>
          <w:p w14:paraId="7CDBBFB8" w14:textId="77777777" w:rsidR="00075DD8" w:rsidRPr="003237C5" w:rsidRDefault="00075DD8" w:rsidP="000D7CD2">
            <w:pPr>
              <w:pStyle w:val="TableOfAmend"/>
              <w:spacing w:line="260" w:lineRule="exact"/>
            </w:pPr>
            <w:r w:rsidRPr="003237C5">
              <w:t>Paragraph 2.1.20.</w:t>
            </w:r>
            <w:r w:rsidRPr="003237C5">
              <w:tab/>
            </w:r>
          </w:p>
        </w:tc>
        <w:tc>
          <w:tcPr>
            <w:tcW w:w="3405" w:type="pct"/>
            <w:shd w:val="clear" w:color="auto" w:fill="auto"/>
          </w:tcPr>
          <w:p w14:paraId="1556F72C" w14:textId="77777777" w:rsidR="00075DD8" w:rsidRPr="003237C5" w:rsidRDefault="00075DD8" w:rsidP="000D7CD2">
            <w:pPr>
              <w:pStyle w:val="TableOfAmend"/>
              <w:spacing w:line="260" w:lineRule="exact"/>
              <w:ind w:left="0" w:firstLine="0"/>
            </w:pPr>
            <w:r w:rsidRPr="003237C5">
              <w:t>rep F2019L01699</w:t>
            </w:r>
          </w:p>
        </w:tc>
      </w:tr>
      <w:tr w:rsidR="00075DD8" w:rsidRPr="003237C5" w14:paraId="5AD7416F" w14:textId="77777777" w:rsidTr="00584BB1">
        <w:trPr>
          <w:cantSplit/>
        </w:trPr>
        <w:tc>
          <w:tcPr>
            <w:tcW w:w="1595" w:type="pct"/>
            <w:shd w:val="clear" w:color="auto" w:fill="auto"/>
          </w:tcPr>
          <w:p w14:paraId="0FDC8C66" w14:textId="77777777" w:rsidR="00075DD8" w:rsidRPr="003237C5" w:rsidRDefault="00075DD8" w:rsidP="000D7CD2">
            <w:pPr>
              <w:pStyle w:val="TableOfAmend"/>
              <w:spacing w:line="260" w:lineRule="exact"/>
            </w:pPr>
            <w:r w:rsidRPr="003237C5">
              <w:t>Paragraph 2.1.25.</w:t>
            </w:r>
            <w:r w:rsidRPr="003237C5">
              <w:tab/>
            </w:r>
          </w:p>
        </w:tc>
        <w:tc>
          <w:tcPr>
            <w:tcW w:w="3405" w:type="pct"/>
            <w:shd w:val="clear" w:color="auto" w:fill="auto"/>
          </w:tcPr>
          <w:p w14:paraId="1B02F0A9" w14:textId="77777777" w:rsidR="00075DD8" w:rsidRPr="003237C5" w:rsidRDefault="00075DD8" w:rsidP="000D7CD2">
            <w:pPr>
              <w:pStyle w:val="TableOfAmend"/>
              <w:spacing w:line="260" w:lineRule="exact"/>
              <w:ind w:left="0" w:firstLine="0"/>
            </w:pPr>
            <w:r w:rsidRPr="003237C5">
              <w:t>rep F2019L01699</w:t>
            </w:r>
          </w:p>
        </w:tc>
      </w:tr>
      <w:tr w:rsidR="00075DD8" w:rsidRPr="003237C5" w14:paraId="3E14B28C" w14:textId="77777777" w:rsidTr="00584BB1">
        <w:trPr>
          <w:cantSplit/>
        </w:trPr>
        <w:tc>
          <w:tcPr>
            <w:tcW w:w="1595" w:type="pct"/>
            <w:shd w:val="clear" w:color="auto" w:fill="auto"/>
          </w:tcPr>
          <w:p w14:paraId="0EF62874" w14:textId="77777777" w:rsidR="00075DD8" w:rsidRPr="003237C5" w:rsidRDefault="00075DD8" w:rsidP="000D7CD2">
            <w:pPr>
              <w:pStyle w:val="TableOfAmend"/>
              <w:spacing w:line="260" w:lineRule="exact"/>
            </w:pPr>
            <w:r w:rsidRPr="003237C5">
              <w:t>Paragraph 2.1.30.</w:t>
            </w:r>
            <w:r w:rsidRPr="003237C5">
              <w:tab/>
            </w:r>
          </w:p>
        </w:tc>
        <w:tc>
          <w:tcPr>
            <w:tcW w:w="3405" w:type="pct"/>
            <w:shd w:val="clear" w:color="auto" w:fill="auto"/>
          </w:tcPr>
          <w:p w14:paraId="147A978D" w14:textId="77777777" w:rsidR="00075DD8" w:rsidRPr="003237C5" w:rsidRDefault="00075DD8" w:rsidP="000D7CD2">
            <w:pPr>
              <w:pStyle w:val="TableOfAmend"/>
              <w:spacing w:line="260" w:lineRule="exact"/>
              <w:ind w:left="0" w:firstLine="0"/>
            </w:pPr>
            <w:r w:rsidRPr="003237C5">
              <w:t>rep F2019L01699</w:t>
            </w:r>
          </w:p>
        </w:tc>
      </w:tr>
      <w:tr w:rsidR="00075DD8" w:rsidRPr="003237C5" w14:paraId="67B569CD" w14:textId="77777777" w:rsidTr="00584BB1">
        <w:trPr>
          <w:cantSplit/>
        </w:trPr>
        <w:tc>
          <w:tcPr>
            <w:tcW w:w="1595" w:type="pct"/>
            <w:shd w:val="clear" w:color="auto" w:fill="auto"/>
          </w:tcPr>
          <w:p w14:paraId="3B1272C9" w14:textId="77777777" w:rsidR="00075DD8" w:rsidRPr="003237C5" w:rsidRDefault="00075DD8" w:rsidP="000D7CD2">
            <w:pPr>
              <w:pStyle w:val="TableOfAmend"/>
              <w:spacing w:line="260" w:lineRule="exact"/>
            </w:pPr>
            <w:r w:rsidRPr="003237C5">
              <w:t>Paragraph 2.1.35</w:t>
            </w:r>
            <w:r w:rsidRPr="003237C5">
              <w:tab/>
            </w:r>
          </w:p>
        </w:tc>
        <w:tc>
          <w:tcPr>
            <w:tcW w:w="3405" w:type="pct"/>
            <w:shd w:val="clear" w:color="auto" w:fill="auto"/>
          </w:tcPr>
          <w:p w14:paraId="4DCA5F43" w14:textId="77777777" w:rsidR="00075DD8" w:rsidRPr="003237C5" w:rsidRDefault="00075DD8" w:rsidP="000D7CD2">
            <w:pPr>
              <w:pStyle w:val="TableOfAmend"/>
              <w:spacing w:line="260" w:lineRule="exact"/>
              <w:ind w:left="0" w:firstLine="0"/>
            </w:pPr>
            <w:r w:rsidRPr="003237C5">
              <w:t>rep F2019L01699</w:t>
            </w:r>
          </w:p>
        </w:tc>
      </w:tr>
      <w:tr w:rsidR="00075DD8" w:rsidRPr="003237C5" w14:paraId="3BAD2699" w14:textId="77777777" w:rsidTr="00584BB1">
        <w:trPr>
          <w:cantSplit/>
        </w:trPr>
        <w:tc>
          <w:tcPr>
            <w:tcW w:w="1595" w:type="pct"/>
            <w:shd w:val="clear" w:color="auto" w:fill="auto"/>
          </w:tcPr>
          <w:p w14:paraId="35A8BCDB" w14:textId="344A1989" w:rsidR="00075DD8" w:rsidRPr="003237C5" w:rsidRDefault="00075DD8" w:rsidP="000D7CD2">
            <w:pPr>
              <w:pStyle w:val="TableOfAmend"/>
              <w:spacing w:line="260" w:lineRule="exact"/>
            </w:pPr>
            <w:r w:rsidRPr="003237C5">
              <w:t>S</w:t>
            </w:r>
            <w:r w:rsidR="004D0AB0" w:rsidRPr="003237C5">
              <w:t>ection</w:t>
            </w:r>
            <w:r w:rsidRPr="003237C5">
              <w:t xml:space="preserve"> 2.5</w:t>
            </w:r>
            <w:r w:rsidRPr="003237C5">
              <w:tab/>
            </w:r>
          </w:p>
        </w:tc>
        <w:tc>
          <w:tcPr>
            <w:tcW w:w="3405" w:type="pct"/>
            <w:shd w:val="clear" w:color="auto" w:fill="auto"/>
          </w:tcPr>
          <w:p w14:paraId="2562002B" w14:textId="62CE9D23"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075DD8" w:rsidRPr="003237C5" w14:paraId="471BC138" w14:textId="77777777" w:rsidTr="00584BB1">
        <w:trPr>
          <w:cantSplit/>
        </w:trPr>
        <w:tc>
          <w:tcPr>
            <w:tcW w:w="1595" w:type="pct"/>
            <w:shd w:val="clear" w:color="auto" w:fill="auto"/>
          </w:tcPr>
          <w:p w14:paraId="7CAE7F2A" w14:textId="77777777" w:rsidR="00075DD8" w:rsidRPr="003237C5" w:rsidRDefault="00075DD8" w:rsidP="000D7CD2">
            <w:pPr>
              <w:pStyle w:val="TableOfAmend"/>
              <w:spacing w:line="260" w:lineRule="exact"/>
            </w:pPr>
            <w:r w:rsidRPr="003237C5">
              <w:t>Paragraph 2.5.1.</w:t>
            </w:r>
            <w:r w:rsidRPr="003237C5">
              <w:tab/>
            </w:r>
          </w:p>
        </w:tc>
        <w:tc>
          <w:tcPr>
            <w:tcW w:w="3405" w:type="pct"/>
            <w:shd w:val="clear" w:color="auto" w:fill="auto"/>
          </w:tcPr>
          <w:p w14:paraId="4D516851" w14:textId="35DB4CC4" w:rsidR="00075DD8" w:rsidRPr="003237C5" w:rsidRDefault="00075DD8" w:rsidP="000D7CD2">
            <w:pPr>
              <w:pStyle w:val="TableOfAmend"/>
              <w:spacing w:line="260" w:lineRule="exact"/>
              <w:ind w:left="0" w:firstLine="0"/>
            </w:pPr>
            <w:r w:rsidRPr="003237C5">
              <w:t>rs F2019L01699</w:t>
            </w:r>
            <w:r w:rsidR="007D116A" w:rsidRPr="003237C5">
              <w:t xml:space="preserve">; rs </w:t>
            </w:r>
            <w:r w:rsidR="007D116A" w:rsidRPr="003237C5">
              <w:rPr>
                <w:szCs w:val="22"/>
              </w:rPr>
              <w:t>F2020L01633</w:t>
            </w:r>
          </w:p>
        </w:tc>
      </w:tr>
      <w:tr w:rsidR="00297845" w:rsidRPr="003237C5" w14:paraId="34EBFCDB" w14:textId="77777777" w:rsidTr="00584BB1">
        <w:trPr>
          <w:cantSplit/>
        </w:trPr>
        <w:tc>
          <w:tcPr>
            <w:tcW w:w="1595" w:type="pct"/>
            <w:shd w:val="clear" w:color="auto" w:fill="auto"/>
          </w:tcPr>
          <w:p w14:paraId="304C98DF" w14:textId="5D8318A1" w:rsidR="00452F93" w:rsidRPr="003237C5" w:rsidRDefault="00452F93" w:rsidP="00452F93">
            <w:pPr>
              <w:pStyle w:val="TableOfAmend"/>
              <w:spacing w:line="260" w:lineRule="exact"/>
            </w:pPr>
            <w:r w:rsidRPr="003237C5">
              <w:t>Paragraph 2.5.5.</w:t>
            </w:r>
            <w:r w:rsidRPr="003237C5">
              <w:tab/>
            </w:r>
          </w:p>
        </w:tc>
        <w:tc>
          <w:tcPr>
            <w:tcW w:w="3405" w:type="pct"/>
            <w:shd w:val="clear" w:color="auto" w:fill="auto"/>
          </w:tcPr>
          <w:p w14:paraId="05915EBC" w14:textId="614B3D81" w:rsidR="00452F93" w:rsidRPr="003237C5" w:rsidRDefault="00452F93" w:rsidP="000D7CD2">
            <w:pPr>
              <w:pStyle w:val="TableOfAmend"/>
              <w:spacing w:line="260" w:lineRule="exact"/>
              <w:ind w:left="0" w:firstLine="0"/>
              <w:rPr>
                <w:szCs w:val="22"/>
              </w:rPr>
            </w:pPr>
            <w:r w:rsidRPr="003237C5">
              <w:t xml:space="preserve">rep F2019L01699; ad </w:t>
            </w:r>
            <w:r w:rsidRPr="003237C5">
              <w:rPr>
                <w:szCs w:val="22"/>
              </w:rPr>
              <w:t>F2020L01633</w:t>
            </w:r>
          </w:p>
        </w:tc>
      </w:tr>
      <w:tr w:rsidR="00452F93" w:rsidRPr="003237C5" w14:paraId="073966D7" w14:textId="77777777" w:rsidTr="00584BB1">
        <w:trPr>
          <w:cantSplit/>
        </w:trPr>
        <w:tc>
          <w:tcPr>
            <w:tcW w:w="1595" w:type="pct"/>
            <w:shd w:val="clear" w:color="auto" w:fill="auto"/>
          </w:tcPr>
          <w:p w14:paraId="30950DAA" w14:textId="7AC77DFD" w:rsidR="00452F93" w:rsidRPr="003237C5" w:rsidRDefault="00452F93" w:rsidP="00452F93">
            <w:pPr>
              <w:pStyle w:val="TableOfAmend"/>
              <w:spacing w:line="260" w:lineRule="exact"/>
            </w:pPr>
            <w:r w:rsidRPr="003237C5">
              <w:t>Paragraph 2.5.10.</w:t>
            </w:r>
            <w:r w:rsidRPr="003237C5">
              <w:tab/>
            </w:r>
          </w:p>
        </w:tc>
        <w:tc>
          <w:tcPr>
            <w:tcW w:w="3405" w:type="pct"/>
            <w:shd w:val="clear" w:color="auto" w:fill="auto"/>
          </w:tcPr>
          <w:p w14:paraId="6139F358" w14:textId="4B558BF1" w:rsidR="00452F93" w:rsidRPr="003237C5" w:rsidRDefault="00452F93" w:rsidP="000D7CD2">
            <w:pPr>
              <w:pStyle w:val="TableOfAmend"/>
              <w:spacing w:line="260" w:lineRule="exact"/>
              <w:ind w:left="0" w:firstLine="0"/>
              <w:rPr>
                <w:szCs w:val="22"/>
              </w:rPr>
            </w:pPr>
            <w:r w:rsidRPr="003237C5">
              <w:rPr>
                <w:szCs w:val="22"/>
              </w:rPr>
              <w:t>ad F2020L01633</w:t>
            </w:r>
          </w:p>
        </w:tc>
      </w:tr>
      <w:tr w:rsidR="00452F93" w:rsidRPr="003237C5" w14:paraId="45E69F23" w14:textId="77777777" w:rsidTr="00584BB1">
        <w:trPr>
          <w:cantSplit/>
        </w:trPr>
        <w:tc>
          <w:tcPr>
            <w:tcW w:w="1595" w:type="pct"/>
            <w:shd w:val="clear" w:color="auto" w:fill="auto"/>
          </w:tcPr>
          <w:p w14:paraId="59AEA341" w14:textId="0C181D91" w:rsidR="00452F93" w:rsidRPr="003237C5" w:rsidRDefault="00452F93" w:rsidP="00452F93">
            <w:pPr>
              <w:pStyle w:val="TableOfAmend"/>
              <w:spacing w:line="260" w:lineRule="exact"/>
            </w:pPr>
            <w:r w:rsidRPr="003237C5">
              <w:t>Paragraph 2.5.15.</w:t>
            </w:r>
            <w:r w:rsidRPr="003237C5">
              <w:tab/>
            </w:r>
          </w:p>
        </w:tc>
        <w:tc>
          <w:tcPr>
            <w:tcW w:w="3405" w:type="pct"/>
            <w:shd w:val="clear" w:color="auto" w:fill="auto"/>
          </w:tcPr>
          <w:p w14:paraId="1BB9E72E" w14:textId="3943E430" w:rsidR="00452F93" w:rsidRPr="003237C5" w:rsidRDefault="00452F93" w:rsidP="000D7CD2">
            <w:pPr>
              <w:pStyle w:val="TableOfAmend"/>
              <w:spacing w:line="260" w:lineRule="exact"/>
              <w:ind w:left="0" w:firstLine="0"/>
              <w:rPr>
                <w:szCs w:val="22"/>
              </w:rPr>
            </w:pPr>
            <w:r w:rsidRPr="003237C5">
              <w:rPr>
                <w:szCs w:val="22"/>
              </w:rPr>
              <w:t>ad F2020L01633</w:t>
            </w:r>
          </w:p>
        </w:tc>
      </w:tr>
      <w:tr w:rsidR="00452F93" w:rsidRPr="003237C5" w14:paraId="33BA248C" w14:textId="77777777" w:rsidTr="00584BB1">
        <w:trPr>
          <w:cantSplit/>
        </w:trPr>
        <w:tc>
          <w:tcPr>
            <w:tcW w:w="1595" w:type="pct"/>
            <w:shd w:val="clear" w:color="auto" w:fill="auto"/>
          </w:tcPr>
          <w:p w14:paraId="78EC272B" w14:textId="1F47E49A" w:rsidR="00452F93" w:rsidRPr="003237C5" w:rsidRDefault="00452F93" w:rsidP="00452F93">
            <w:pPr>
              <w:pStyle w:val="TableOfAmend"/>
              <w:spacing w:line="260" w:lineRule="exact"/>
            </w:pPr>
            <w:r w:rsidRPr="003237C5">
              <w:t>Paragraph 2.5.20.</w:t>
            </w:r>
            <w:r w:rsidRPr="003237C5">
              <w:tab/>
            </w:r>
          </w:p>
        </w:tc>
        <w:tc>
          <w:tcPr>
            <w:tcW w:w="3405" w:type="pct"/>
            <w:shd w:val="clear" w:color="auto" w:fill="auto"/>
          </w:tcPr>
          <w:p w14:paraId="16A78586" w14:textId="64BDCB01" w:rsidR="00452F93" w:rsidRPr="003237C5" w:rsidRDefault="00452F93" w:rsidP="000D7CD2">
            <w:pPr>
              <w:pStyle w:val="TableOfAmend"/>
              <w:spacing w:line="260" w:lineRule="exact"/>
              <w:ind w:left="0" w:firstLine="0"/>
              <w:rPr>
                <w:szCs w:val="22"/>
              </w:rPr>
            </w:pPr>
            <w:r w:rsidRPr="003237C5">
              <w:rPr>
                <w:szCs w:val="22"/>
              </w:rPr>
              <w:t>ad F2020L01633</w:t>
            </w:r>
          </w:p>
        </w:tc>
      </w:tr>
      <w:tr w:rsidR="00452F93" w:rsidRPr="003237C5" w14:paraId="290658D1" w14:textId="77777777" w:rsidTr="00584BB1">
        <w:trPr>
          <w:cantSplit/>
        </w:trPr>
        <w:tc>
          <w:tcPr>
            <w:tcW w:w="1595" w:type="pct"/>
            <w:shd w:val="clear" w:color="auto" w:fill="auto"/>
          </w:tcPr>
          <w:p w14:paraId="4DBE9834" w14:textId="2DC37FCF" w:rsidR="00452F93" w:rsidRPr="003237C5" w:rsidRDefault="00452F93" w:rsidP="00452F93">
            <w:pPr>
              <w:pStyle w:val="TableOfAmend"/>
              <w:spacing w:line="260" w:lineRule="exact"/>
            </w:pPr>
            <w:r w:rsidRPr="003237C5">
              <w:t>Paragraph 2.5.25.</w:t>
            </w:r>
            <w:r w:rsidRPr="003237C5">
              <w:tab/>
            </w:r>
          </w:p>
        </w:tc>
        <w:tc>
          <w:tcPr>
            <w:tcW w:w="3405" w:type="pct"/>
            <w:shd w:val="clear" w:color="auto" w:fill="auto"/>
          </w:tcPr>
          <w:p w14:paraId="23E1D072" w14:textId="72DFACD9" w:rsidR="00452F93" w:rsidRPr="003237C5" w:rsidRDefault="00452F93" w:rsidP="000D7CD2">
            <w:pPr>
              <w:pStyle w:val="TableOfAmend"/>
              <w:spacing w:line="260" w:lineRule="exact"/>
              <w:ind w:left="0" w:firstLine="0"/>
              <w:rPr>
                <w:szCs w:val="22"/>
              </w:rPr>
            </w:pPr>
            <w:r w:rsidRPr="003237C5">
              <w:rPr>
                <w:szCs w:val="22"/>
              </w:rPr>
              <w:t>ad F2020L01633</w:t>
            </w:r>
          </w:p>
        </w:tc>
      </w:tr>
      <w:tr w:rsidR="00452F93" w:rsidRPr="003237C5" w14:paraId="08156D2E" w14:textId="77777777" w:rsidTr="00584BB1">
        <w:trPr>
          <w:cantSplit/>
        </w:trPr>
        <w:tc>
          <w:tcPr>
            <w:tcW w:w="1595" w:type="pct"/>
            <w:shd w:val="clear" w:color="auto" w:fill="auto"/>
          </w:tcPr>
          <w:p w14:paraId="095EC7DB" w14:textId="7968E2E4" w:rsidR="00452F93" w:rsidRPr="003237C5" w:rsidRDefault="00452F93" w:rsidP="00452F93">
            <w:pPr>
              <w:pStyle w:val="TableOfAmend"/>
              <w:spacing w:line="260" w:lineRule="exact"/>
            </w:pPr>
            <w:bookmarkStart w:id="42" w:name="_Hlk93404134"/>
            <w:r w:rsidRPr="003237C5">
              <w:t>Paragraph 2.5.30.</w:t>
            </w:r>
            <w:r w:rsidRPr="003237C5">
              <w:tab/>
            </w:r>
          </w:p>
        </w:tc>
        <w:tc>
          <w:tcPr>
            <w:tcW w:w="3405" w:type="pct"/>
            <w:shd w:val="clear" w:color="auto" w:fill="auto"/>
          </w:tcPr>
          <w:p w14:paraId="1425C579" w14:textId="2244FEBE" w:rsidR="00452F93" w:rsidRPr="003237C5" w:rsidRDefault="00452F93" w:rsidP="000D7CD2">
            <w:pPr>
              <w:pStyle w:val="TableOfAmend"/>
              <w:spacing w:line="260" w:lineRule="exact"/>
              <w:ind w:left="0" w:firstLine="0"/>
              <w:rPr>
                <w:szCs w:val="22"/>
              </w:rPr>
            </w:pPr>
            <w:r w:rsidRPr="003237C5">
              <w:rPr>
                <w:szCs w:val="22"/>
              </w:rPr>
              <w:t>ad F2020L01633</w:t>
            </w:r>
          </w:p>
        </w:tc>
      </w:tr>
      <w:bookmarkEnd w:id="42"/>
      <w:tr w:rsidR="00452F93" w:rsidRPr="003237C5" w14:paraId="52CAD359" w14:textId="77777777" w:rsidTr="00584BB1">
        <w:trPr>
          <w:cantSplit/>
        </w:trPr>
        <w:tc>
          <w:tcPr>
            <w:tcW w:w="1595" w:type="pct"/>
            <w:shd w:val="clear" w:color="auto" w:fill="auto"/>
          </w:tcPr>
          <w:p w14:paraId="00F02605" w14:textId="0179280F" w:rsidR="00452F93" w:rsidRPr="003237C5" w:rsidRDefault="00297845" w:rsidP="00452F93">
            <w:pPr>
              <w:pStyle w:val="TableOfAmend"/>
              <w:spacing w:line="260" w:lineRule="exact"/>
              <w:ind w:left="0" w:firstLine="0"/>
              <w:rPr>
                <w:szCs w:val="22"/>
              </w:rPr>
            </w:pPr>
            <w:r w:rsidRPr="003237C5">
              <w:t>Paragraph 2.5.31</w:t>
            </w:r>
            <w:r w:rsidRPr="003237C5">
              <w:tab/>
            </w:r>
          </w:p>
        </w:tc>
        <w:tc>
          <w:tcPr>
            <w:tcW w:w="3405" w:type="pct"/>
            <w:shd w:val="clear" w:color="auto" w:fill="auto"/>
          </w:tcPr>
          <w:p w14:paraId="17EF4F88" w14:textId="03E82E83" w:rsidR="00452F93" w:rsidRPr="003237C5" w:rsidRDefault="00452F93" w:rsidP="000D7CD2">
            <w:pPr>
              <w:pStyle w:val="TableOfAmend"/>
              <w:spacing w:line="260" w:lineRule="exact"/>
              <w:ind w:left="0" w:firstLine="0"/>
              <w:rPr>
                <w:szCs w:val="22"/>
              </w:rPr>
            </w:pPr>
            <w:r w:rsidRPr="003237C5">
              <w:rPr>
                <w:szCs w:val="22"/>
              </w:rPr>
              <w:t>ad F2021L01890</w:t>
            </w:r>
          </w:p>
        </w:tc>
      </w:tr>
      <w:tr w:rsidR="00297845" w:rsidRPr="003237C5" w14:paraId="1A66AA3E" w14:textId="77777777" w:rsidTr="00584BB1">
        <w:trPr>
          <w:cantSplit/>
        </w:trPr>
        <w:tc>
          <w:tcPr>
            <w:tcW w:w="1595" w:type="pct"/>
            <w:shd w:val="clear" w:color="auto" w:fill="auto"/>
          </w:tcPr>
          <w:p w14:paraId="6DF67055" w14:textId="7D94DE51" w:rsidR="00297845" w:rsidRPr="003237C5" w:rsidRDefault="00297845" w:rsidP="00452F93">
            <w:pPr>
              <w:pStyle w:val="TableOfAmend"/>
              <w:spacing w:line="260" w:lineRule="exact"/>
              <w:ind w:left="0" w:firstLine="0"/>
            </w:pPr>
            <w:r w:rsidRPr="003237C5">
              <w:t>Paragraph 2.5.35.</w:t>
            </w:r>
            <w:r w:rsidRPr="003237C5">
              <w:tab/>
            </w:r>
          </w:p>
        </w:tc>
        <w:tc>
          <w:tcPr>
            <w:tcW w:w="3405" w:type="pct"/>
            <w:shd w:val="clear" w:color="auto" w:fill="auto"/>
          </w:tcPr>
          <w:p w14:paraId="22405E19" w14:textId="1AE853FB"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25119FEF" w14:textId="77777777" w:rsidTr="00584BB1">
        <w:trPr>
          <w:cantSplit/>
        </w:trPr>
        <w:tc>
          <w:tcPr>
            <w:tcW w:w="1595" w:type="pct"/>
            <w:shd w:val="clear" w:color="auto" w:fill="auto"/>
          </w:tcPr>
          <w:p w14:paraId="42BC8385" w14:textId="0E15674E" w:rsidR="00297845" w:rsidRPr="003237C5" w:rsidRDefault="00297845" w:rsidP="00452F93">
            <w:pPr>
              <w:pStyle w:val="TableOfAmend"/>
              <w:spacing w:line="260" w:lineRule="exact"/>
              <w:ind w:left="0" w:firstLine="0"/>
            </w:pPr>
            <w:r w:rsidRPr="003237C5">
              <w:t>Paragraph 2.5.40.</w:t>
            </w:r>
            <w:r w:rsidRPr="003237C5">
              <w:tab/>
            </w:r>
          </w:p>
        </w:tc>
        <w:tc>
          <w:tcPr>
            <w:tcW w:w="3405" w:type="pct"/>
            <w:shd w:val="clear" w:color="auto" w:fill="auto"/>
          </w:tcPr>
          <w:p w14:paraId="550E6A52" w14:textId="075BFB13"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1EF0CD38" w14:textId="77777777" w:rsidTr="00584BB1">
        <w:trPr>
          <w:cantSplit/>
        </w:trPr>
        <w:tc>
          <w:tcPr>
            <w:tcW w:w="1595" w:type="pct"/>
            <w:shd w:val="clear" w:color="auto" w:fill="auto"/>
          </w:tcPr>
          <w:p w14:paraId="6CEA17BE" w14:textId="4E6D493D" w:rsidR="00297845" w:rsidRPr="003237C5" w:rsidRDefault="00297845" w:rsidP="00452F93">
            <w:pPr>
              <w:pStyle w:val="TableOfAmend"/>
              <w:spacing w:line="260" w:lineRule="exact"/>
              <w:ind w:left="0" w:firstLine="0"/>
            </w:pPr>
            <w:r w:rsidRPr="003237C5">
              <w:t>Paragraph 2.5.45.</w:t>
            </w:r>
            <w:r w:rsidRPr="003237C5">
              <w:tab/>
            </w:r>
          </w:p>
        </w:tc>
        <w:tc>
          <w:tcPr>
            <w:tcW w:w="3405" w:type="pct"/>
            <w:shd w:val="clear" w:color="auto" w:fill="auto"/>
          </w:tcPr>
          <w:p w14:paraId="6B9DC739" w14:textId="77BF64C6"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5BC77ECB" w14:textId="77777777" w:rsidTr="00584BB1">
        <w:trPr>
          <w:cantSplit/>
        </w:trPr>
        <w:tc>
          <w:tcPr>
            <w:tcW w:w="1595" w:type="pct"/>
            <w:shd w:val="clear" w:color="auto" w:fill="auto"/>
          </w:tcPr>
          <w:p w14:paraId="62E10038" w14:textId="0707DCA7" w:rsidR="00297845" w:rsidRPr="003237C5" w:rsidRDefault="00297845" w:rsidP="00452F93">
            <w:pPr>
              <w:pStyle w:val="TableOfAmend"/>
              <w:spacing w:line="260" w:lineRule="exact"/>
              <w:ind w:left="0" w:firstLine="0"/>
            </w:pPr>
            <w:r w:rsidRPr="003237C5">
              <w:t>Paragraph 2.5.50.</w:t>
            </w:r>
            <w:r w:rsidRPr="003237C5">
              <w:tab/>
            </w:r>
          </w:p>
        </w:tc>
        <w:tc>
          <w:tcPr>
            <w:tcW w:w="3405" w:type="pct"/>
            <w:shd w:val="clear" w:color="auto" w:fill="auto"/>
          </w:tcPr>
          <w:p w14:paraId="6CD25303" w14:textId="0648A6D6"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0DA9B38C" w14:textId="77777777" w:rsidTr="00584BB1">
        <w:trPr>
          <w:cantSplit/>
        </w:trPr>
        <w:tc>
          <w:tcPr>
            <w:tcW w:w="1595" w:type="pct"/>
            <w:shd w:val="clear" w:color="auto" w:fill="auto"/>
          </w:tcPr>
          <w:p w14:paraId="455097CE" w14:textId="20486A3B" w:rsidR="00297845" w:rsidRPr="003237C5" w:rsidRDefault="00297845" w:rsidP="00452F93">
            <w:pPr>
              <w:pStyle w:val="TableOfAmend"/>
              <w:spacing w:line="260" w:lineRule="exact"/>
              <w:ind w:left="0" w:firstLine="0"/>
            </w:pPr>
            <w:r w:rsidRPr="003237C5">
              <w:t>Paragraph 2.5.55.</w:t>
            </w:r>
            <w:r w:rsidRPr="003237C5">
              <w:tab/>
            </w:r>
          </w:p>
        </w:tc>
        <w:tc>
          <w:tcPr>
            <w:tcW w:w="3405" w:type="pct"/>
            <w:shd w:val="clear" w:color="auto" w:fill="auto"/>
          </w:tcPr>
          <w:p w14:paraId="3FDC9E17" w14:textId="3B330DE0"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5108E2F3" w14:textId="77777777" w:rsidTr="00584BB1">
        <w:trPr>
          <w:cantSplit/>
        </w:trPr>
        <w:tc>
          <w:tcPr>
            <w:tcW w:w="1595" w:type="pct"/>
            <w:shd w:val="clear" w:color="auto" w:fill="auto"/>
          </w:tcPr>
          <w:p w14:paraId="17E730BC" w14:textId="568C129A" w:rsidR="00297845" w:rsidRPr="003237C5" w:rsidRDefault="00297845" w:rsidP="00452F93">
            <w:pPr>
              <w:pStyle w:val="TableOfAmend"/>
              <w:spacing w:line="260" w:lineRule="exact"/>
              <w:ind w:left="0" w:firstLine="0"/>
            </w:pPr>
            <w:r w:rsidRPr="003237C5">
              <w:t>Paragraph 2.5.60.</w:t>
            </w:r>
            <w:r w:rsidRPr="003237C5">
              <w:tab/>
            </w:r>
          </w:p>
        </w:tc>
        <w:tc>
          <w:tcPr>
            <w:tcW w:w="3405" w:type="pct"/>
            <w:shd w:val="clear" w:color="auto" w:fill="auto"/>
          </w:tcPr>
          <w:p w14:paraId="1B456A3A" w14:textId="4A8C2BD4" w:rsidR="00297845" w:rsidRPr="003237C5" w:rsidRDefault="00297845" w:rsidP="000D7CD2">
            <w:pPr>
              <w:pStyle w:val="TableOfAmend"/>
              <w:spacing w:line="260" w:lineRule="exact"/>
              <w:ind w:left="0" w:firstLine="0"/>
              <w:rPr>
                <w:szCs w:val="22"/>
              </w:rPr>
            </w:pPr>
            <w:r w:rsidRPr="003237C5">
              <w:rPr>
                <w:szCs w:val="22"/>
              </w:rPr>
              <w:t>ad F2020L01633</w:t>
            </w:r>
          </w:p>
        </w:tc>
      </w:tr>
      <w:tr w:rsidR="00297845" w:rsidRPr="003237C5" w14:paraId="6A8A8E82" w14:textId="77777777" w:rsidTr="00584BB1">
        <w:trPr>
          <w:cantSplit/>
        </w:trPr>
        <w:tc>
          <w:tcPr>
            <w:tcW w:w="1595" w:type="pct"/>
            <w:shd w:val="clear" w:color="auto" w:fill="auto"/>
          </w:tcPr>
          <w:p w14:paraId="5E6D437B" w14:textId="39063DFD" w:rsidR="00297845" w:rsidRPr="003237C5" w:rsidRDefault="00297845" w:rsidP="00452F93">
            <w:pPr>
              <w:pStyle w:val="TableOfAmend"/>
              <w:spacing w:line="260" w:lineRule="exact"/>
              <w:ind w:left="0" w:firstLine="0"/>
            </w:pPr>
            <w:r w:rsidRPr="003237C5">
              <w:lastRenderedPageBreak/>
              <w:t>Paragraph 2.5.65.</w:t>
            </w:r>
            <w:r w:rsidRPr="003237C5">
              <w:tab/>
            </w:r>
          </w:p>
        </w:tc>
        <w:tc>
          <w:tcPr>
            <w:tcW w:w="3405" w:type="pct"/>
            <w:shd w:val="clear" w:color="auto" w:fill="auto"/>
          </w:tcPr>
          <w:p w14:paraId="20C2C19E" w14:textId="3AFDF569" w:rsidR="00297845" w:rsidRPr="003237C5" w:rsidRDefault="00297845" w:rsidP="000D7CD2">
            <w:pPr>
              <w:pStyle w:val="TableOfAmend"/>
              <w:spacing w:line="260" w:lineRule="exact"/>
              <w:ind w:left="0" w:firstLine="0"/>
              <w:rPr>
                <w:szCs w:val="22"/>
              </w:rPr>
            </w:pPr>
            <w:r w:rsidRPr="003237C5">
              <w:rPr>
                <w:szCs w:val="22"/>
              </w:rPr>
              <w:t>ad F2020L01633</w:t>
            </w:r>
          </w:p>
        </w:tc>
      </w:tr>
      <w:tr w:rsidR="00075DD8" w:rsidRPr="003237C5" w14:paraId="63C40F0C" w14:textId="77777777" w:rsidTr="00584BB1">
        <w:trPr>
          <w:cantSplit/>
        </w:trPr>
        <w:tc>
          <w:tcPr>
            <w:tcW w:w="1595" w:type="pct"/>
            <w:shd w:val="clear" w:color="auto" w:fill="auto"/>
          </w:tcPr>
          <w:p w14:paraId="1EF1494A" w14:textId="2D0578E0" w:rsidR="00075DD8" w:rsidRPr="003237C5" w:rsidRDefault="00075DD8" w:rsidP="000D7CD2">
            <w:pPr>
              <w:pStyle w:val="TableOfAmend"/>
              <w:spacing w:line="260" w:lineRule="exact"/>
            </w:pPr>
            <w:r w:rsidRPr="003237C5">
              <w:t>S</w:t>
            </w:r>
            <w:r w:rsidR="004D0AB0" w:rsidRPr="003237C5">
              <w:t>ection</w:t>
            </w:r>
            <w:r w:rsidRPr="003237C5">
              <w:t xml:space="preserve"> 2.10</w:t>
            </w:r>
            <w:r w:rsidRPr="003237C5">
              <w:tab/>
            </w:r>
          </w:p>
        </w:tc>
        <w:tc>
          <w:tcPr>
            <w:tcW w:w="3405" w:type="pct"/>
            <w:shd w:val="clear" w:color="auto" w:fill="auto"/>
          </w:tcPr>
          <w:p w14:paraId="29956803" w14:textId="170FD125"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1E9D8C8C" w14:textId="77777777" w:rsidTr="00584BB1">
        <w:trPr>
          <w:cantSplit/>
        </w:trPr>
        <w:tc>
          <w:tcPr>
            <w:tcW w:w="1595" w:type="pct"/>
            <w:shd w:val="clear" w:color="auto" w:fill="auto"/>
          </w:tcPr>
          <w:p w14:paraId="73821A48" w14:textId="77777777" w:rsidR="00075DD8" w:rsidRPr="003237C5" w:rsidRDefault="00075DD8" w:rsidP="000D7CD2">
            <w:pPr>
              <w:pStyle w:val="TableOfAmend"/>
              <w:spacing w:line="260" w:lineRule="exact"/>
            </w:pPr>
            <w:r w:rsidRPr="003237C5">
              <w:t>Paragraph 2.10.1.</w:t>
            </w:r>
            <w:r w:rsidRPr="003237C5">
              <w:tab/>
            </w:r>
          </w:p>
        </w:tc>
        <w:tc>
          <w:tcPr>
            <w:tcW w:w="3405" w:type="pct"/>
            <w:shd w:val="clear" w:color="auto" w:fill="auto"/>
          </w:tcPr>
          <w:p w14:paraId="61373949" w14:textId="313ABF25"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080BBC16" w14:textId="77777777" w:rsidTr="00584BB1">
        <w:trPr>
          <w:cantSplit/>
        </w:trPr>
        <w:tc>
          <w:tcPr>
            <w:tcW w:w="1595" w:type="pct"/>
            <w:shd w:val="clear" w:color="auto" w:fill="auto"/>
          </w:tcPr>
          <w:p w14:paraId="1D25A756" w14:textId="77777777" w:rsidR="00075DD8" w:rsidRPr="003237C5" w:rsidRDefault="00075DD8" w:rsidP="000D7CD2">
            <w:pPr>
              <w:pStyle w:val="TableOfAmend"/>
              <w:spacing w:line="260" w:lineRule="exact"/>
            </w:pPr>
            <w:r w:rsidRPr="003237C5">
              <w:t>Paragraph 2.10.5.</w:t>
            </w:r>
            <w:r w:rsidRPr="003237C5">
              <w:tab/>
            </w:r>
          </w:p>
        </w:tc>
        <w:tc>
          <w:tcPr>
            <w:tcW w:w="3405" w:type="pct"/>
            <w:shd w:val="clear" w:color="auto" w:fill="auto"/>
          </w:tcPr>
          <w:p w14:paraId="489144DD" w14:textId="53D884AE"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A31171" w:rsidRPr="003237C5" w14:paraId="26C69D4F" w14:textId="77777777" w:rsidTr="00584BB1">
        <w:trPr>
          <w:cantSplit/>
        </w:trPr>
        <w:tc>
          <w:tcPr>
            <w:tcW w:w="1595" w:type="pct"/>
            <w:shd w:val="clear" w:color="auto" w:fill="auto"/>
          </w:tcPr>
          <w:p w14:paraId="5D0112F8" w14:textId="2323D3C3" w:rsidR="00A31171" w:rsidRPr="003237C5" w:rsidRDefault="00A31171" w:rsidP="000D7CD2">
            <w:pPr>
              <w:pStyle w:val="TableOfAmend"/>
              <w:spacing w:line="260" w:lineRule="exact"/>
            </w:pPr>
            <w:r w:rsidRPr="003237C5">
              <w:t xml:space="preserve">Paragraph 2.10.5A </w:t>
            </w:r>
            <w:r w:rsidRPr="003237C5">
              <w:tab/>
            </w:r>
          </w:p>
        </w:tc>
        <w:tc>
          <w:tcPr>
            <w:tcW w:w="3405" w:type="pct"/>
            <w:shd w:val="clear" w:color="auto" w:fill="auto"/>
          </w:tcPr>
          <w:p w14:paraId="0D418CE3" w14:textId="231F0F34" w:rsidR="00A31171" w:rsidRPr="003237C5" w:rsidRDefault="00A31171" w:rsidP="000D7CD2">
            <w:pPr>
              <w:pStyle w:val="TableOfAmend"/>
              <w:spacing w:line="260" w:lineRule="exact"/>
              <w:ind w:left="0" w:firstLine="0"/>
            </w:pPr>
            <w:r w:rsidRPr="003237C5">
              <w:t>ad F2020L01332</w:t>
            </w:r>
            <w:r w:rsidR="00F273AF" w:rsidRPr="003237C5">
              <w:t xml:space="preserve">; rep </w:t>
            </w:r>
            <w:r w:rsidR="00F273AF" w:rsidRPr="003237C5">
              <w:rPr>
                <w:szCs w:val="22"/>
              </w:rPr>
              <w:t>F2020L01633</w:t>
            </w:r>
          </w:p>
        </w:tc>
      </w:tr>
      <w:tr w:rsidR="00075DD8" w:rsidRPr="003237C5" w14:paraId="39BF536A" w14:textId="77777777" w:rsidTr="00584BB1">
        <w:trPr>
          <w:cantSplit/>
        </w:trPr>
        <w:tc>
          <w:tcPr>
            <w:tcW w:w="1595" w:type="pct"/>
            <w:shd w:val="clear" w:color="auto" w:fill="auto"/>
          </w:tcPr>
          <w:p w14:paraId="453B5DC0" w14:textId="77777777" w:rsidR="00075DD8" w:rsidRPr="003237C5" w:rsidRDefault="00075DD8" w:rsidP="000D7CD2">
            <w:pPr>
              <w:pStyle w:val="TableOfAmend"/>
              <w:spacing w:line="260" w:lineRule="exact"/>
            </w:pPr>
            <w:r w:rsidRPr="003237C5">
              <w:t>Paragraph 2.10.10.</w:t>
            </w:r>
            <w:r w:rsidRPr="003237C5">
              <w:tab/>
            </w:r>
          </w:p>
        </w:tc>
        <w:tc>
          <w:tcPr>
            <w:tcW w:w="3405" w:type="pct"/>
            <w:shd w:val="clear" w:color="auto" w:fill="auto"/>
          </w:tcPr>
          <w:p w14:paraId="11886CB7" w14:textId="031F0416"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075DD8" w:rsidRPr="003237C5" w14:paraId="45B4B858" w14:textId="77777777" w:rsidTr="00584BB1">
        <w:trPr>
          <w:cantSplit/>
        </w:trPr>
        <w:tc>
          <w:tcPr>
            <w:tcW w:w="1595" w:type="pct"/>
            <w:shd w:val="clear" w:color="auto" w:fill="auto"/>
          </w:tcPr>
          <w:p w14:paraId="7BEFE66A" w14:textId="77777777" w:rsidR="00075DD8" w:rsidRPr="003237C5" w:rsidRDefault="00075DD8" w:rsidP="000D7CD2">
            <w:pPr>
              <w:pStyle w:val="TableOfAmend"/>
              <w:spacing w:line="260" w:lineRule="exact"/>
            </w:pPr>
            <w:r w:rsidRPr="003237C5">
              <w:t>Paragraph 2.10.15.</w:t>
            </w:r>
            <w:r w:rsidRPr="003237C5">
              <w:tab/>
            </w:r>
          </w:p>
        </w:tc>
        <w:tc>
          <w:tcPr>
            <w:tcW w:w="3405" w:type="pct"/>
            <w:shd w:val="clear" w:color="auto" w:fill="auto"/>
          </w:tcPr>
          <w:p w14:paraId="3D6779B4" w14:textId="78FF2FAA" w:rsidR="00075DD8" w:rsidRPr="003237C5" w:rsidRDefault="00075DD8" w:rsidP="000D7CD2">
            <w:pPr>
              <w:pStyle w:val="TableOfAmend"/>
              <w:spacing w:line="260" w:lineRule="exact"/>
              <w:ind w:left="0" w:firstLine="0"/>
            </w:pPr>
            <w:r w:rsidRPr="003237C5">
              <w:t>ad F2019L01699</w:t>
            </w:r>
            <w:r w:rsidR="00F273AF" w:rsidRPr="003237C5">
              <w:t xml:space="preserve">; rep </w:t>
            </w:r>
            <w:r w:rsidR="00F273AF" w:rsidRPr="003237C5">
              <w:rPr>
                <w:szCs w:val="22"/>
              </w:rPr>
              <w:t>F2020L01633</w:t>
            </w:r>
          </w:p>
        </w:tc>
      </w:tr>
      <w:tr w:rsidR="00A31171" w:rsidRPr="003237C5" w14:paraId="434C219E" w14:textId="77777777" w:rsidTr="00584BB1">
        <w:trPr>
          <w:cantSplit/>
        </w:trPr>
        <w:tc>
          <w:tcPr>
            <w:tcW w:w="1595" w:type="pct"/>
            <w:shd w:val="clear" w:color="auto" w:fill="auto"/>
          </w:tcPr>
          <w:p w14:paraId="2A53B126" w14:textId="242FF8FC" w:rsidR="00A31171" w:rsidRPr="003237C5" w:rsidRDefault="00A31171" w:rsidP="000D7CD2">
            <w:pPr>
              <w:pStyle w:val="TableOfAmend"/>
              <w:spacing w:line="260" w:lineRule="exact"/>
            </w:pPr>
            <w:r w:rsidRPr="003237C5">
              <w:t xml:space="preserve">Paragraph 2.10.15A </w:t>
            </w:r>
            <w:r w:rsidRPr="003237C5">
              <w:tab/>
            </w:r>
          </w:p>
        </w:tc>
        <w:tc>
          <w:tcPr>
            <w:tcW w:w="3405" w:type="pct"/>
            <w:shd w:val="clear" w:color="auto" w:fill="auto"/>
          </w:tcPr>
          <w:p w14:paraId="67BFC742" w14:textId="767B5A9F" w:rsidR="00A31171" w:rsidRPr="003237C5" w:rsidRDefault="00A31171" w:rsidP="000D7CD2">
            <w:pPr>
              <w:pStyle w:val="TableOfAmend"/>
              <w:spacing w:line="260" w:lineRule="exact"/>
              <w:ind w:left="0" w:firstLine="0"/>
            </w:pPr>
            <w:r w:rsidRPr="003237C5">
              <w:t>ad F2020L01332</w:t>
            </w:r>
            <w:r w:rsidR="00F273AF" w:rsidRPr="003237C5">
              <w:t xml:space="preserve">; rep </w:t>
            </w:r>
            <w:r w:rsidR="00F273AF" w:rsidRPr="003237C5">
              <w:rPr>
                <w:szCs w:val="22"/>
              </w:rPr>
              <w:t>F2020L01633</w:t>
            </w:r>
          </w:p>
        </w:tc>
      </w:tr>
      <w:tr w:rsidR="00075DD8" w:rsidRPr="003237C5" w14:paraId="0091D1C5" w14:textId="77777777" w:rsidTr="00584BB1">
        <w:trPr>
          <w:cantSplit/>
        </w:trPr>
        <w:tc>
          <w:tcPr>
            <w:tcW w:w="1595" w:type="pct"/>
            <w:shd w:val="clear" w:color="auto" w:fill="auto"/>
          </w:tcPr>
          <w:p w14:paraId="4110EC86" w14:textId="77777777" w:rsidR="00075DD8" w:rsidRPr="003237C5" w:rsidRDefault="00075DD8" w:rsidP="000D7CD2">
            <w:pPr>
              <w:pStyle w:val="TableOfAmend"/>
              <w:spacing w:line="260" w:lineRule="exact"/>
            </w:pPr>
            <w:r w:rsidRPr="003237C5">
              <w:t>Paragraph 2.10.20.</w:t>
            </w:r>
            <w:r w:rsidRPr="003237C5">
              <w:tab/>
            </w:r>
          </w:p>
        </w:tc>
        <w:tc>
          <w:tcPr>
            <w:tcW w:w="3405" w:type="pct"/>
            <w:shd w:val="clear" w:color="auto" w:fill="auto"/>
          </w:tcPr>
          <w:p w14:paraId="414EA161" w14:textId="2BBA507A" w:rsidR="00075DD8" w:rsidRPr="003237C5" w:rsidRDefault="00075DD8" w:rsidP="000D7CD2">
            <w:pPr>
              <w:pStyle w:val="TableOfAmend"/>
              <w:spacing w:line="260" w:lineRule="exact"/>
              <w:ind w:left="0" w:firstLine="0"/>
            </w:pPr>
            <w:r w:rsidRPr="003237C5">
              <w:t>ad F2019L01699</w:t>
            </w:r>
            <w:r w:rsidR="00F273AF" w:rsidRPr="003237C5">
              <w:t xml:space="preserve">; rep </w:t>
            </w:r>
            <w:r w:rsidR="00F273AF" w:rsidRPr="003237C5">
              <w:rPr>
                <w:szCs w:val="22"/>
              </w:rPr>
              <w:t>F2020L01633</w:t>
            </w:r>
          </w:p>
        </w:tc>
      </w:tr>
      <w:tr w:rsidR="00075DD8" w:rsidRPr="003237C5" w14:paraId="7AA270CC" w14:textId="77777777" w:rsidTr="00584BB1">
        <w:trPr>
          <w:cantSplit/>
        </w:trPr>
        <w:tc>
          <w:tcPr>
            <w:tcW w:w="1595" w:type="pct"/>
            <w:shd w:val="clear" w:color="auto" w:fill="auto"/>
          </w:tcPr>
          <w:p w14:paraId="752929A3" w14:textId="77777777" w:rsidR="00075DD8" w:rsidRPr="003237C5" w:rsidRDefault="00075DD8" w:rsidP="000D7CD2">
            <w:pPr>
              <w:pStyle w:val="TableOfAmend"/>
              <w:spacing w:line="260" w:lineRule="exact"/>
            </w:pPr>
            <w:r w:rsidRPr="003237C5">
              <w:t>Paragraph 2.10.25.</w:t>
            </w:r>
            <w:r w:rsidRPr="003237C5">
              <w:tab/>
            </w:r>
          </w:p>
        </w:tc>
        <w:tc>
          <w:tcPr>
            <w:tcW w:w="3405" w:type="pct"/>
            <w:shd w:val="clear" w:color="auto" w:fill="auto"/>
          </w:tcPr>
          <w:p w14:paraId="472F3F76" w14:textId="477BD7A8" w:rsidR="00075DD8" w:rsidRPr="003237C5" w:rsidRDefault="00075DD8" w:rsidP="000D7CD2">
            <w:pPr>
              <w:pStyle w:val="TableOfAmend"/>
              <w:spacing w:line="260" w:lineRule="exact"/>
              <w:ind w:left="0" w:firstLine="0"/>
              <w:rPr>
                <w:b/>
                <w:bCs/>
              </w:rPr>
            </w:pPr>
            <w:r w:rsidRPr="003237C5">
              <w:t>ad F2019L01699</w:t>
            </w:r>
            <w:r w:rsidR="00F273AF" w:rsidRPr="003237C5">
              <w:t xml:space="preserve">; rep </w:t>
            </w:r>
            <w:r w:rsidR="00F273AF" w:rsidRPr="003237C5">
              <w:rPr>
                <w:szCs w:val="22"/>
              </w:rPr>
              <w:t>F2020L01633</w:t>
            </w:r>
          </w:p>
        </w:tc>
      </w:tr>
      <w:tr w:rsidR="00075DD8" w:rsidRPr="003237C5" w14:paraId="41F8CBAA" w14:textId="77777777" w:rsidTr="00584BB1">
        <w:trPr>
          <w:cantSplit/>
        </w:trPr>
        <w:tc>
          <w:tcPr>
            <w:tcW w:w="1595" w:type="pct"/>
            <w:shd w:val="clear" w:color="auto" w:fill="auto"/>
          </w:tcPr>
          <w:p w14:paraId="44CE47A2" w14:textId="77777777" w:rsidR="00075DD8" w:rsidRPr="003237C5" w:rsidRDefault="00075DD8" w:rsidP="000D7CD2">
            <w:pPr>
              <w:pStyle w:val="TableOfAmend"/>
              <w:spacing w:line="260" w:lineRule="exact"/>
            </w:pPr>
            <w:r w:rsidRPr="003237C5">
              <w:t>Paragraph 2.10.30.</w:t>
            </w:r>
            <w:r w:rsidRPr="003237C5">
              <w:tab/>
            </w:r>
          </w:p>
        </w:tc>
        <w:tc>
          <w:tcPr>
            <w:tcW w:w="3405" w:type="pct"/>
            <w:shd w:val="clear" w:color="auto" w:fill="auto"/>
          </w:tcPr>
          <w:p w14:paraId="389EDFB4" w14:textId="6BFAFFA7" w:rsidR="00075DD8" w:rsidRPr="003237C5" w:rsidRDefault="00075DD8" w:rsidP="000D7CD2">
            <w:pPr>
              <w:pStyle w:val="TableOfAmend"/>
              <w:spacing w:line="260" w:lineRule="exact"/>
              <w:ind w:left="0" w:firstLine="0"/>
            </w:pPr>
            <w:r w:rsidRPr="003237C5">
              <w:t>ad F2019L01699</w:t>
            </w:r>
            <w:r w:rsidR="00F273AF" w:rsidRPr="003237C5">
              <w:t xml:space="preserve">; rep </w:t>
            </w:r>
            <w:r w:rsidR="00F273AF" w:rsidRPr="003237C5">
              <w:rPr>
                <w:szCs w:val="22"/>
              </w:rPr>
              <w:t>F2020L01633</w:t>
            </w:r>
          </w:p>
        </w:tc>
      </w:tr>
      <w:tr w:rsidR="00075DD8" w:rsidRPr="003237C5" w14:paraId="0D00562B" w14:textId="77777777" w:rsidTr="00584BB1">
        <w:trPr>
          <w:cantSplit/>
        </w:trPr>
        <w:tc>
          <w:tcPr>
            <w:tcW w:w="1595" w:type="pct"/>
            <w:shd w:val="clear" w:color="auto" w:fill="auto"/>
          </w:tcPr>
          <w:p w14:paraId="00AA1958" w14:textId="77777777" w:rsidR="00075DD8" w:rsidRPr="003237C5" w:rsidRDefault="00075DD8" w:rsidP="000D7CD2">
            <w:pPr>
              <w:pStyle w:val="TableOfAmend"/>
              <w:spacing w:line="260" w:lineRule="exact"/>
            </w:pPr>
            <w:r w:rsidRPr="003237C5">
              <w:t>Paragraph 2.10.35.</w:t>
            </w:r>
            <w:r w:rsidRPr="003237C5">
              <w:tab/>
            </w:r>
          </w:p>
        </w:tc>
        <w:tc>
          <w:tcPr>
            <w:tcW w:w="3405" w:type="pct"/>
            <w:shd w:val="clear" w:color="auto" w:fill="auto"/>
          </w:tcPr>
          <w:p w14:paraId="189AFD9E" w14:textId="38A11A99" w:rsidR="00075DD8" w:rsidRPr="003237C5" w:rsidRDefault="00075DD8" w:rsidP="000D7CD2">
            <w:pPr>
              <w:pStyle w:val="TableOfAmend"/>
              <w:spacing w:line="260" w:lineRule="exact"/>
              <w:ind w:left="0" w:firstLine="0"/>
            </w:pPr>
            <w:r w:rsidRPr="003237C5">
              <w:t>ad F2019L01699</w:t>
            </w:r>
            <w:r w:rsidR="00F273AF" w:rsidRPr="003237C5">
              <w:t xml:space="preserve">; rep </w:t>
            </w:r>
            <w:r w:rsidR="00F273AF" w:rsidRPr="003237C5">
              <w:rPr>
                <w:szCs w:val="22"/>
              </w:rPr>
              <w:t>F2020L01633</w:t>
            </w:r>
          </w:p>
        </w:tc>
      </w:tr>
      <w:tr w:rsidR="009A5D92" w:rsidRPr="003237C5" w14:paraId="0012AB8B" w14:textId="77777777" w:rsidTr="00584BB1">
        <w:trPr>
          <w:cantSplit/>
        </w:trPr>
        <w:tc>
          <w:tcPr>
            <w:tcW w:w="1595" w:type="pct"/>
            <w:shd w:val="clear" w:color="auto" w:fill="auto"/>
          </w:tcPr>
          <w:p w14:paraId="38643927" w14:textId="34284954" w:rsidR="009A5D92" w:rsidRPr="003237C5" w:rsidRDefault="009A5D92" w:rsidP="000D7CD2">
            <w:pPr>
              <w:pStyle w:val="TableOfAmend"/>
              <w:spacing w:line="260" w:lineRule="exact"/>
            </w:pPr>
            <w:r w:rsidRPr="003237C5">
              <w:t>Paragraph 2.10.40</w:t>
            </w:r>
          </w:p>
        </w:tc>
        <w:tc>
          <w:tcPr>
            <w:tcW w:w="3405" w:type="pct"/>
            <w:shd w:val="clear" w:color="auto" w:fill="auto"/>
          </w:tcPr>
          <w:p w14:paraId="77F15339" w14:textId="34F59824" w:rsidR="009A5D92" w:rsidRPr="003237C5" w:rsidRDefault="009A5D92" w:rsidP="000D7CD2">
            <w:pPr>
              <w:pStyle w:val="TableOfAmend"/>
              <w:spacing w:line="260" w:lineRule="exact"/>
              <w:ind w:left="0" w:firstLine="0"/>
            </w:pPr>
            <w:r w:rsidRPr="003237C5">
              <w:t>ad F2020L00754</w:t>
            </w:r>
            <w:r w:rsidR="00A31171" w:rsidRPr="003237C5">
              <w:t>; am F2020L01332</w:t>
            </w:r>
            <w:r w:rsidR="00F273AF" w:rsidRPr="003237C5">
              <w:t xml:space="preserve">; rep </w:t>
            </w:r>
            <w:r w:rsidR="00F273AF" w:rsidRPr="003237C5">
              <w:rPr>
                <w:szCs w:val="22"/>
              </w:rPr>
              <w:t>F2020L01633</w:t>
            </w:r>
          </w:p>
        </w:tc>
      </w:tr>
      <w:tr w:rsidR="00075DD8" w:rsidRPr="003237C5" w14:paraId="70A18C7B" w14:textId="77777777" w:rsidTr="00584BB1">
        <w:trPr>
          <w:cantSplit/>
        </w:trPr>
        <w:tc>
          <w:tcPr>
            <w:tcW w:w="1595" w:type="pct"/>
            <w:shd w:val="clear" w:color="auto" w:fill="auto"/>
          </w:tcPr>
          <w:p w14:paraId="60F65E56" w14:textId="77777777" w:rsidR="00075DD8" w:rsidRPr="003237C5" w:rsidRDefault="00075DD8" w:rsidP="000D7CD2">
            <w:pPr>
              <w:pStyle w:val="TableOfAmend"/>
              <w:spacing w:line="260" w:lineRule="exact"/>
            </w:pPr>
            <w:r w:rsidRPr="003237C5">
              <w:t>Paragraph 2.10.40.</w:t>
            </w:r>
            <w:r w:rsidRPr="003237C5">
              <w:tab/>
            </w:r>
          </w:p>
        </w:tc>
        <w:tc>
          <w:tcPr>
            <w:tcW w:w="3405" w:type="pct"/>
            <w:shd w:val="clear" w:color="auto" w:fill="auto"/>
          </w:tcPr>
          <w:p w14:paraId="668DFFF7" w14:textId="459BB0E2" w:rsidR="00DD511B" w:rsidRPr="003237C5" w:rsidRDefault="00075DD8" w:rsidP="008F67F3">
            <w:pPr>
              <w:pStyle w:val="TableOfAmend"/>
              <w:spacing w:line="260" w:lineRule="exact"/>
              <w:ind w:left="0" w:firstLine="0"/>
            </w:pPr>
            <w:r w:rsidRPr="003237C5">
              <w:t>ad F2019L01699</w:t>
            </w:r>
            <w:r w:rsidR="00C516C7" w:rsidRPr="003237C5">
              <w:t xml:space="preserve"> </w:t>
            </w:r>
            <w:r w:rsidR="008F67F3" w:rsidRPr="003237C5">
              <w:t>renum</w:t>
            </w:r>
            <w:r w:rsidR="00C516C7" w:rsidRPr="003237C5">
              <w:t xml:space="preserve"> F2020L00754</w:t>
            </w:r>
            <w:r w:rsidR="00F273AF" w:rsidRPr="003237C5">
              <w:t xml:space="preserve">; rep </w:t>
            </w:r>
            <w:r w:rsidR="00F273AF" w:rsidRPr="003237C5">
              <w:rPr>
                <w:szCs w:val="22"/>
              </w:rPr>
              <w:t>F2020L01633</w:t>
            </w:r>
          </w:p>
        </w:tc>
      </w:tr>
      <w:tr w:rsidR="009A5D92" w:rsidRPr="003237C5" w14:paraId="11D2A0A4" w14:textId="77777777" w:rsidTr="00584BB1">
        <w:trPr>
          <w:cantSplit/>
        </w:trPr>
        <w:tc>
          <w:tcPr>
            <w:tcW w:w="1595" w:type="pct"/>
            <w:shd w:val="clear" w:color="auto" w:fill="auto"/>
          </w:tcPr>
          <w:p w14:paraId="39B904D7" w14:textId="06E96476" w:rsidR="009A5D92" w:rsidRPr="003237C5" w:rsidRDefault="009A5D92" w:rsidP="004F12C5">
            <w:pPr>
              <w:pStyle w:val="TableOfAmend"/>
              <w:spacing w:line="260" w:lineRule="exact"/>
              <w:ind w:left="11" w:hanging="11"/>
            </w:pPr>
            <w:r w:rsidRPr="003237C5">
              <w:t xml:space="preserve">Paragraph 2.10.45 (prev </w:t>
            </w:r>
            <w:r w:rsidR="004F12C5" w:rsidRPr="003237C5">
              <w:t>P</w:t>
            </w:r>
            <w:r w:rsidRPr="003237C5">
              <w:t>aragraph 2.10.40</w:t>
            </w:r>
            <w:r w:rsidR="004F12C5" w:rsidRPr="003237C5">
              <w:t>)</w:t>
            </w:r>
            <w:r w:rsidR="004F12C5" w:rsidRPr="003237C5">
              <w:tab/>
            </w:r>
          </w:p>
        </w:tc>
        <w:tc>
          <w:tcPr>
            <w:tcW w:w="3405" w:type="pct"/>
            <w:shd w:val="clear" w:color="auto" w:fill="auto"/>
          </w:tcPr>
          <w:p w14:paraId="09FB8965" w14:textId="06EA0A8B" w:rsidR="009A5D92" w:rsidRPr="003237C5" w:rsidRDefault="00F273AF" w:rsidP="008F67F3">
            <w:pPr>
              <w:pStyle w:val="TableOfAmend"/>
              <w:spacing w:line="260" w:lineRule="exact"/>
              <w:ind w:left="0" w:firstLine="0"/>
            </w:pPr>
            <w:r w:rsidRPr="003237C5">
              <w:t xml:space="preserve">rep </w:t>
            </w:r>
            <w:r w:rsidRPr="003237C5">
              <w:rPr>
                <w:szCs w:val="22"/>
              </w:rPr>
              <w:t>F2020L01633</w:t>
            </w:r>
          </w:p>
        </w:tc>
      </w:tr>
      <w:tr w:rsidR="00A31171" w:rsidRPr="003237C5" w14:paraId="4E78FCB3" w14:textId="77777777" w:rsidTr="00584BB1">
        <w:trPr>
          <w:cantSplit/>
        </w:trPr>
        <w:tc>
          <w:tcPr>
            <w:tcW w:w="1595" w:type="pct"/>
            <w:shd w:val="clear" w:color="auto" w:fill="auto"/>
          </w:tcPr>
          <w:p w14:paraId="5ECB9493" w14:textId="2A9E3120" w:rsidR="00A31171" w:rsidRPr="003237C5" w:rsidRDefault="00A31171" w:rsidP="004F12C5">
            <w:pPr>
              <w:pStyle w:val="TableOfAmend"/>
              <w:spacing w:line="260" w:lineRule="exact"/>
              <w:ind w:left="11" w:hanging="11"/>
            </w:pPr>
            <w:r w:rsidRPr="003237C5">
              <w:t xml:space="preserve">Paragraph 2.10.45A </w:t>
            </w:r>
            <w:r w:rsidRPr="003237C5">
              <w:tab/>
            </w:r>
          </w:p>
        </w:tc>
        <w:tc>
          <w:tcPr>
            <w:tcW w:w="3405" w:type="pct"/>
            <w:shd w:val="clear" w:color="auto" w:fill="auto"/>
          </w:tcPr>
          <w:p w14:paraId="430FC157" w14:textId="7599857B" w:rsidR="00A31171" w:rsidRPr="003237C5" w:rsidRDefault="00A31171" w:rsidP="008F67F3">
            <w:pPr>
              <w:pStyle w:val="TableOfAmend"/>
              <w:spacing w:line="260" w:lineRule="exact"/>
              <w:ind w:left="0" w:firstLine="0"/>
            </w:pPr>
            <w:r w:rsidRPr="003237C5">
              <w:t>ad F2020L01332</w:t>
            </w:r>
            <w:r w:rsidR="00F273AF" w:rsidRPr="003237C5">
              <w:t xml:space="preserve">; rep </w:t>
            </w:r>
            <w:r w:rsidR="00F273AF" w:rsidRPr="003237C5">
              <w:rPr>
                <w:szCs w:val="22"/>
              </w:rPr>
              <w:t>F2020L01633</w:t>
            </w:r>
          </w:p>
        </w:tc>
      </w:tr>
      <w:tr w:rsidR="00075DD8" w:rsidRPr="003237C5" w14:paraId="12857E91" w14:textId="77777777" w:rsidTr="00584BB1">
        <w:trPr>
          <w:cantSplit/>
        </w:trPr>
        <w:tc>
          <w:tcPr>
            <w:tcW w:w="1595" w:type="pct"/>
            <w:shd w:val="clear" w:color="auto" w:fill="auto"/>
          </w:tcPr>
          <w:p w14:paraId="00973E27" w14:textId="04C12012" w:rsidR="00075DD8" w:rsidRPr="003237C5" w:rsidRDefault="004D0AB0" w:rsidP="000D7CD2">
            <w:pPr>
              <w:pStyle w:val="TableOfAmend"/>
              <w:spacing w:line="260" w:lineRule="exact"/>
            </w:pPr>
            <w:r w:rsidRPr="003237C5">
              <w:t>Section</w:t>
            </w:r>
            <w:r w:rsidR="00075DD8" w:rsidRPr="003237C5">
              <w:t xml:space="preserve"> 2.15</w:t>
            </w:r>
            <w:r w:rsidR="00075DD8" w:rsidRPr="003237C5">
              <w:tab/>
            </w:r>
          </w:p>
        </w:tc>
        <w:tc>
          <w:tcPr>
            <w:tcW w:w="3405" w:type="pct"/>
            <w:shd w:val="clear" w:color="auto" w:fill="auto"/>
          </w:tcPr>
          <w:p w14:paraId="45380E32" w14:textId="1CCF1A9A"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6882AFB3" w14:textId="77777777" w:rsidTr="00584BB1">
        <w:trPr>
          <w:cantSplit/>
        </w:trPr>
        <w:tc>
          <w:tcPr>
            <w:tcW w:w="1595" w:type="pct"/>
            <w:shd w:val="clear" w:color="auto" w:fill="auto"/>
          </w:tcPr>
          <w:p w14:paraId="26553CEC" w14:textId="77777777" w:rsidR="00075DD8" w:rsidRPr="003237C5" w:rsidRDefault="00075DD8" w:rsidP="000D7CD2">
            <w:pPr>
              <w:pStyle w:val="TableOfAmend"/>
              <w:spacing w:line="260" w:lineRule="exact"/>
            </w:pPr>
            <w:r w:rsidRPr="003237C5">
              <w:t>Paragraph 2.15.1.</w:t>
            </w:r>
            <w:r w:rsidRPr="003237C5">
              <w:tab/>
            </w:r>
          </w:p>
        </w:tc>
        <w:tc>
          <w:tcPr>
            <w:tcW w:w="3405" w:type="pct"/>
            <w:shd w:val="clear" w:color="auto" w:fill="auto"/>
          </w:tcPr>
          <w:p w14:paraId="2F0EDEB6" w14:textId="7D557022" w:rsidR="00075DD8" w:rsidRPr="003237C5" w:rsidRDefault="00075DD8" w:rsidP="000D7CD2">
            <w:pPr>
              <w:pStyle w:val="TableOfAmend"/>
              <w:spacing w:line="260" w:lineRule="exact"/>
              <w:ind w:left="0" w:firstLine="0"/>
            </w:pPr>
            <w:r w:rsidRPr="003237C5">
              <w:t>rs F2019L01699</w:t>
            </w:r>
            <w:r w:rsidR="00DD511B" w:rsidRPr="003237C5">
              <w:t>; am F2020L00754</w:t>
            </w:r>
            <w:r w:rsidR="00F273AF" w:rsidRPr="003237C5">
              <w:t xml:space="preserve">; rs </w:t>
            </w:r>
            <w:r w:rsidR="00F273AF" w:rsidRPr="003237C5">
              <w:rPr>
                <w:szCs w:val="22"/>
              </w:rPr>
              <w:t>F2020L01633</w:t>
            </w:r>
          </w:p>
        </w:tc>
      </w:tr>
      <w:tr w:rsidR="00075DD8" w:rsidRPr="003237C5" w14:paraId="5CC8752A" w14:textId="77777777" w:rsidTr="00584BB1">
        <w:trPr>
          <w:cantSplit/>
        </w:trPr>
        <w:tc>
          <w:tcPr>
            <w:tcW w:w="1595" w:type="pct"/>
            <w:shd w:val="clear" w:color="auto" w:fill="auto"/>
          </w:tcPr>
          <w:p w14:paraId="789B6015" w14:textId="77777777" w:rsidR="00075DD8" w:rsidRPr="003237C5" w:rsidRDefault="00075DD8" w:rsidP="000D7CD2">
            <w:pPr>
              <w:pStyle w:val="TableOfAmend"/>
              <w:spacing w:line="260" w:lineRule="exact"/>
            </w:pPr>
            <w:r w:rsidRPr="003237C5">
              <w:t>Paragraph 2.15.5.</w:t>
            </w:r>
            <w:r w:rsidRPr="003237C5">
              <w:tab/>
            </w:r>
          </w:p>
        </w:tc>
        <w:tc>
          <w:tcPr>
            <w:tcW w:w="3405" w:type="pct"/>
            <w:shd w:val="clear" w:color="auto" w:fill="auto"/>
          </w:tcPr>
          <w:p w14:paraId="7BC201B5" w14:textId="5E594E04"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58EBE930" w14:textId="77777777" w:rsidTr="00584BB1">
        <w:trPr>
          <w:cantSplit/>
        </w:trPr>
        <w:tc>
          <w:tcPr>
            <w:tcW w:w="1595" w:type="pct"/>
            <w:shd w:val="clear" w:color="auto" w:fill="auto"/>
          </w:tcPr>
          <w:p w14:paraId="1143A234" w14:textId="77777777" w:rsidR="00075DD8" w:rsidRPr="003237C5" w:rsidRDefault="00075DD8" w:rsidP="000D7CD2">
            <w:pPr>
              <w:pStyle w:val="TableOfAmend"/>
              <w:spacing w:line="260" w:lineRule="exact"/>
            </w:pPr>
            <w:r w:rsidRPr="003237C5">
              <w:t>Paragraph 2.15.10.</w:t>
            </w:r>
            <w:r w:rsidRPr="003237C5">
              <w:tab/>
            </w:r>
          </w:p>
        </w:tc>
        <w:tc>
          <w:tcPr>
            <w:tcW w:w="3405" w:type="pct"/>
            <w:shd w:val="clear" w:color="auto" w:fill="auto"/>
          </w:tcPr>
          <w:p w14:paraId="6AB2657A" w14:textId="2D1ECEEB"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102F7F18" w14:textId="77777777" w:rsidTr="00584BB1">
        <w:trPr>
          <w:cantSplit/>
        </w:trPr>
        <w:tc>
          <w:tcPr>
            <w:tcW w:w="1595" w:type="pct"/>
            <w:shd w:val="clear" w:color="auto" w:fill="auto"/>
          </w:tcPr>
          <w:p w14:paraId="6D5DB78B" w14:textId="77777777" w:rsidR="00075DD8" w:rsidRPr="003237C5" w:rsidRDefault="00075DD8" w:rsidP="000D7CD2">
            <w:pPr>
              <w:pStyle w:val="TableOfAmend"/>
              <w:spacing w:line="260" w:lineRule="exact"/>
            </w:pPr>
            <w:r w:rsidRPr="003237C5">
              <w:t>Paragraph 2.15.15</w:t>
            </w:r>
            <w:r w:rsidRPr="003237C5">
              <w:tab/>
            </w:r>
          </w:p>
        </w:tc>
        <w:tc>
          <w:tcPr>
            <w:tcW w:w="3405" w:type="pct"/>
            <w:shd w:val="clear" w:color="auto" w:fill="auto"/>
          </w:tcPr>
          <w:p w14:paraId="3F5738EC" w14:textId="1F5FF793"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075DD8" w:rsidRPr="003237C5" w14:paraId="33D9F4DD" w14:textId="77777777" w:rsidTr="00584BB1">
        <w:trPr>
          <w:cantSplit/>
        </w:trPr>
        <w:tc>
          <w:tcPr>
            <w:tcW w:w="1595" w:type="pct"/>
            <w:shd w:val="clear" w:color="auto" w:fill="auto"/>
          </w:tcPr>
          <w:p w14:paraId="092B6888" w14:textId="77777777" w:rsidR="00075DD8" w:rsidRPr="003237C5" w:rsidRDefault="00075DD8" w:rsidP="000D7CD2">
            <w:pPr>
              <w:pStyle w:val="TableOfAmend"/>
              <w:spacing w:line="260" w:lineRule="exact"/>
            </w:pPr>
            <w:r w:rsidRPr="003237C5">
              <w:t>Paragraph 2.15.20.</w:t>
            </w:r>
            <w:r w:rsidRPr="003237C5">
              <w:tab/>
            </w:r>
          </w:p>
        </w:tc>
        <w:tc>
          <w:tcPr>
            <w:tcW w:w="3405" w:type="pct"/>
            <w:shd w:val="clear" w:color="auto" w:fill="auto"/>
          </w:tcPr>
          <w:p w14:paraId="6155CE58" w14:textId="4EE0F1C5" w:rsidR="00075DD8" w:rsidRPr="003237C5" w:rsidRDefault="00075DD8" w:rsidP="000D7CD2">
            <w:pPr>
              <w:pStyle w:val="TableOfAmend"/>
              <w:spacing w:line="260" w:lineRule="exact"/>
              <w:ind w:left="0" w:firstLine="0"/>
            </w:pPr>
            <w:r w:rsidRPr="003237C5">
              <w:t>rep F2019L01699</w:t>
            </w:r>
            <w:r w:rsidR="00F273AF" w:rsidRPr="003237C5">
              <w:t xml:space="preserve">; rep </w:t>
            </w:r>
            <w:r w:rsidR="00F273AF" w:rsidRPr="003237C5">
              <w:rPr>
                <w:szCs w:val="22"/>
              </w:rPr>
              <w:t>F2020L01633</w:t>
            </w:r>
          </w:p>
        </w:tc>
      </w:tr>
      <w:tr w:rsidR="00075DD8" w:rsidRPr="003237C5" w14:paraId="5AA95B9F" w14:textId="77777777" w:rsidTr="00584BB1">
        <w:trPr>
          <w:cantSplit/>
        </w:trPr>
        <w:tc>
          <w:tcPr>
            <w:tcW w:w="1595" w:type="pct"/>
            <w:shd w:val="clear" w:color="auto" w:fill="auto"/>
          </w:tcPr>
          <w:p w14:paraId="4B939588" w14:textId="77777777" w:rsidR="00075DD8" w:rsidRPr="003237C5" w:rsidRDefault="00075DD8" w:rsidP="000D7CD2">
            <w:pPr>
              <w:pStyle w:val="TableOfAmend"/>
              <w:spacing w:line="260" w:lineRule="exact"/>
            </w:pPr>
            <w:r w:rsidRPr="003237C5">
              <w:t>Paragraph 2.15.25.</w:t>
            </w:r>
            <w:r w:rsidRPr="003237C5">
              <w:tab/>
            </w:r>
          </w:p>
        </w:tc>
        <w:tc>
          <w:tcPr>
            <w:tcW w:w="3405" w:type="pct"/>
            <w:shd w:val="clear" w:color="auto" w:fill="auto"/>
          </w:tcPr>
          <w:p w14:paraId="77DC54AD" w14:textId="0E98DE2E" w:rsidR="00075DD8" w:rsidRPr="003237C5" w:rsidRDefault="00075DD8" w:rsidP="000D7CD2">
            <w:pPr>
              <w:pStyle w:val="TableOfAmend"/>
              <w:spacing w:line="260" w:lineRule="exact"/>
              <w:ind w:left="0" w:firstLine="0"/>
            </w:pPr>
            <w:r w:rsidRPr="003237C5">
              <w:t>rep F2019L01699</w:t>
            </w:r>
            <w:r w:rsidR="00F273AF" w:rsidRPr="003237C5">
              <w:t xml:space="preserve">; rep </w:t>
            </w:r>
            <w:r w:rsidR="00F273AF" w:rsidRPr="003237C5">
              <w:rPr>
                <w:szCs w:val="22"/>
              </w:rPr>
              <w:t>F2020L01633</w:t>
            </w:r>
          </w:p>
        </w:tc>
      </w:tr>
      <w:tr w:rsidR="00075DD8" w:rsidRPr="003237C5" w14:paraId="048A68C2" w14:textId="77777777" w:rsidTr="00584BB1">
        <w:trPr>
          <w:cantSplit/>
        </w:trPr>
        <w:tc>
          <w:tcPr>
            <w:tcW w:w="1595" w:type="pct"/>
            <w:shd w:val="clear" w:color="auto" w:fill="auto"/>
          </w:tcPr>
          <w:p w14:paraId="2E2CB675" w14:textId="77777777" w:rsidR="00075DD8" w:rsidRPr="003237C5" w:rsidRDefault="00075DD8" w:rsidP="000D7CD2">
            <w:pPr>
              <w:pStyle w:val="TableOfAmend"/>
              <w:spacing w:line="260" w:lineRule="exact"/>
            </w:pPr>
            <w:r w:rsidRPr="003237C5">
              <w:t>Paragraph 2.15.30.</w:t>
            </w:r>
            <w:r w:rsidRPr="003237C5">
              <w:tab/>
            </w:r>
          </w:p>
        </w:tc>
        <w:tc>
          <w:tcPr>
            <w:tcW w:w="3405" w:type="pct"/>
            <w:shd w:val="clear" w:color="auto" w:fill="auto"/>
          </w:tcPr>
          <w:p w14:paraId="04607C3A" w14:textId="5AFCF99A" w:rsidR="00075DD8" w:rsidRPr="003237C5" w:rsidRDefault="00075DD8" w:rsidP="000D7CD2">
            <w:pPr>
              <w:pStyle w:val="TableOfAmend"/>
              <w:spacing w:line="260" w:lineRule="exact"/>
              <w:ind w:left="0" w:firstLine="0"/>
            </w:pPr>
            <w:r w:rsidRPr="003237C5">
              <w:t>rep F2019L01699</w:t>
            </w:r>
            <w:r w:rsidR="00F273AF" w:rsidRPr="003237C5">
              <w:t xml:space="preserve">; rep </w:t>
            </w:r>
            <w:r w:rsidR="00F273AF" w:rsidRPr="003237C5">
              <w:rPr>
                <w:szCs w:val="22"/>
              </w:rPr>
              <w:t>F2020L01633</w:t>
            </w:r>
          </w:p>
        </w:tc>
      </w:tr>
      <w:tr w:rsidR="00075DD8" w:rsidRPr="003237C5" w14:paraId="11323940" w14:textId="77777777" w:rsidTr="00584BB1">
        <w:trPr>
          <w:cantSplit/>
        </w:trPr>
        <w:tc>
          <w:tcPr>
            <w:tcW w:w="1595" w:type="pct"/>
            <w:shd w:val="clear" w:color="auto" w:fill="auto"/>
          </w:tcPr>
          <w:p w14:paraId="4CE189FB" w14:textId="3E936FB7" w:rsidR="00075DD8" w:rsidRPr="003237C5" w:rsidRDefault="00075DD8" w:rsidP="000D7CD2">
            <w:pPr>
              <w:pStyle w:val="TableOfAmend"/>
              <w:spacing w:line="260" w:lineRule="exact"/>
            </w:pPr>
            <w:r w:rsidRPr="003237C5">
              <w:t>S</w:t>
            </w:r>
            <w:r w:rsidR="004D0AB0" w:rsidRPr="003237C5">
              <w:t>ection</w:t>
            </w:r>
            <w:r w:rsidRPr="003237C5">
              <w:t xml:space="preserve"> 2.20</w:t>
            </w:r>
            <w:r w:rsidRPr="003237C5">
              <w:tab/>
            </w:r>
          </w:p>
        </w:tc>
        <w:tc>
          <w:tcPr>
            <w:tcW w:w="3405" w:type="pct"/>
            <w:shd w:val="clear" w:color="auto" w:fill="auto"/>
          </w:tcPr>
          <w:p w14:paraId="0377422C" w14:textId="38E58F77"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2117B5DB" w14:textId="77777777" w:rsidTr="00584BB1">
        <w:trPr>
          <w:cantSplit/>
        </w:trPr>
        <w:tc>
          <w:tcPr>
            <w:tcW w:w="1595" w:type="pct"/>
            <w:shd w:val="clear" w:color="auto" w:fill="auto"/>
          </w:tcPr>
          <w:p w14:paraId="4ECB069E" w14:textId="77777777" w:rsidR="00075DD8" w:rsidRPr="003237C5" w:rsidRDefault="00075DD8" w:rsidP="000D7CD2">
            <w:pPr>
              <w:pStyle w:val="TableOfAmend"/>
              <w:spacing w:line="260" w:lineRule="exact"/>
            </w:pPr>
            <w:r w:rsidRPr="003237C5">
              <w:t>Paragraph 2.20.1.</w:t>
            </w:r>
            <w:r w:rsidRPr="003237C5">
              <w:tab/>
            </w:r>
          </w:p>
        </w:tc>
        <w:tc>
          <w:tcPr>
            <w:tcW w:w="3405" w:type="pct"/>
            <w:shd w:val="clear" w:color="auto" w:fill="auto"/>
          </w:tcPr>
          <w:p w14:paraId="5DC9C858" w14:textId="49C120EB"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72435797" w14:textId="77777777" w:rsidTr="00584BB1">
        <w:trPr>
          <w:cantSplit/>
        </w:trPr>
        <w:tc>
          <w:tcPr>
            <w:tcW w:w="1595" w:type="pct"/>
            <w:shd w:val="clear" w:color="auto" w:fill="auto"/>
          </w:tcPr>
          <w:p w14:paraId="25A85CE4" w14:textId="77777777" w:rsidR="00075DD8" w:rsidRPr="003237C5" w:rsidRDefault="00075DD8" w:rsidP="000D7CD2">
            <w:pPr>
              <w:pStyle w:val="TableOfAmend"/>
              <w:spacing w:line="260" w:lineRule="exact"/>
            </w:pPr>
            <w:r w:rsidRPr="003237C5">
              <w:t>Paragraph 2.20.5.</w:t>
            </w:r>
            <w:r w:rsidRPr="003237C5">
              <w:tab/>
            </w:r>
          </w:p>
        </w:tc>
        <w:tc>
          <w:tcPr>
            <w:tcW w:w="3405" w:type="pct"/>
            <w:shd w:val="clear" w:color="auto" w:fill="auto"/>
          </w:tcPr>
          <w:p w14:paraId="4700517F" w14:textId="6B413648"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7289FDAB" w14:textId="77777777" w:rsidTr="00584BB1">
        <w:trPr>
          <w:cantSplit/>
        </w:trPr>
        <w:tc>
          <w:tcPr>
            <w:tcW w:w="1595" w:type="pct"/>
            <w:shd w:val="clear" w:color="auto" w:fill="auto"/>
          </w:tcPr>
          <w:p w14:paraId="1C842F9F" w14:textId="77777777" w:rsidR="00075DD8" w:rsidRPr="003237C5" w:rsidRDefault="00075DD8" w:rsidP="000D7CD2">
            <w:pPr>
              <w:pStyle w:val="TableOfAmend"/>
              <w:spacing w:line="260" w:lineRule="exact"/>
            </w:pPr>
            <w:r w:rsidRPr="003237C5">
              <w:t>Paragraph 2.20.10.</w:t>
            </w:r>
            <w:r w:rsidRPr="003237C5">
              <w:tab/>
            </w:r>
          </w:p>
        </w:tc>
        <w:tc>
          <w:tcPr>
            <w:tcW w:w="3405" w:type="pct"/>
            <w:shd w:val="clear" w:color="auto" w:fill="auto"/>
          </w:tcPr>
          <w:p w14:paraId="1623B2AB" w14:textId="5D6BA8A5"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075DD8" w:rsidRPr="003237C5" w14:paraId="1568E7AA" w14:textId="77777777" w:rsidTr="00584BB1">
        <w:trPr>
          <w:cantSplit/>
        </w:trPr>
        <w:tc>
          <w:tcPr>
            <w:tcW w:w="1595" w:type="pct"/>
            <w:shd w:val="clear" w:color="auto" w:fill="auto"/>
          </w:tcPr>
          <w:p w14:paraId="32D58820" w14:textId="77777777" w:rsidR="00075DD8" w:rsidRPr="003237C5" w:rsidRDefault="00075DD8" w:rsidP="000D7CD2">
            <w:pPr>
              <w:pStyle w:val="TableOfAmend"/>
              <w:spacing w:line="260" w:lineRule="exact"/>
            </w:pPr>
            <w:r w:rsidRPr="003237C5">
              <w:t>Paragraph 2.20.15</w:t>
            </w:r>
            <w:r w:rsidRPr="003237C5">
              <w:tab/>
            </w:r>
          </w:p>
        </w:tc>
        <w:tc>
          <w:tcPr>
            <w:tcW w:w="3405" w:type="pct"/>
            <w:shd w:val="clear" w:color="auto" w:fill="auto"/>
          </w:tcPr>
          <w:p w14:paraId="44D408F8" w14:textId="5B62673E" w:rsidR="00075DD8" w:rsidRPr="003237C5" w:rsidRDefault="00075DD8" w:rsidP="000D7CD2">
            <w:pPr>
              <w:pStyle w:val="TableOfAmend"/>
              <w:spacing w:line="260" w:lineRule="exact"/>
              <w:ind w:left="0" w:firstLine="0"/>
            </w:pPr>
            <w:r w:rsidRPr="003237C5">
              <w:t>rep F2019L01699</w:t>
            </w:r>
            <w:r w:rsidR="00F273AF" w:rsidRPr="003237C5">
              <w:t xml:space="preserve">; rep </w:t>
            </w:r>
            <w:r w:rsidR="00F273AF" w:rsidRPr="003237C5">
              <w:rPr>
                <w:szCs w:val="22"/>
              </w:rPr>
              <w:t>F2020L01633</w:t>
            </w:r>
          </w:p>
        </w:tc>
      </w:tr>
      <w:tr w:rsidR="00075DD8" w:rsidRPr="003237C5" w14:paraId="278BB3B6" w14:textId="77777777" w:rsidTr="00584BB1">
        <w:trPr>
          <w:cantSplit/>
        </w:trPr>
        <w:tc>
          <w:tcPr>
            <w:tcW w:w="1595" w:type="pct"/>
            <w:shd w:val="clear" w:color="auto" w:fill="auto"/>
          </w:tcPr>
          <w:p w14:paraId="748C28DD" w14:textId="3FC8BBD2" w:rsidR="00075DD8" w:rsidRPr="003237C5" w:rsidRDefault="00075DD8" w:rsidP="000D7CD2">
            <w:pPr>
              <w:pStyle w:val="TableOfAmend"/>
              <w:spacing w:line="260" w:lineRule="exact"/>
            </w:pPr>
            <w:r w:rsidRPr="003237C5">
              <w:t>S</w:t>
            </w:r>
            <w:r w:rsidR="004D0AB0" w:rsidRPr="003237C5">
              <w:t>ection</w:t>
            </w:r>
            <w:r w:rsidRPr="003237C5">
              <w:t xml:space="preserve"> 2.25</w:t>
            </w:r>
            <w:r w:rsidRPr="003237C5">
              <w:tab/>
            </w:r>
          </w:p>
        </w:tc>
        <w:tc>
          <w:tcPr>
            <w:tcW w:w="3405" w:type="pct"/>
            <w:shd w:val="clear" w:color="auto" w:fill="auto"/>
          </w:tcPr>
          <w:p w14:paraId="4008AAC2" w14:textId="5F5021E0"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225079C9" w14:textId="77777777" w:rsidTr="00584BB1">
        <w:trPr>
          <w:cantSplit/>
        </w:trPr>
        <w:tc>
          <w:tcPr>
            <w:tcW w:w="1595" w:type="pct"/>
            <w:shd w:val="clear" w:color="auto" w:fill="auto"/>
          </w:tcPr>
          <w:p w14:paraId="357A21CA" w14:textId="77777777" w:rsidR="00075DD8" w:rsidRPr="003237C5" w:rsidRDefault="00075DD8" w:rsidP="000D7CD2">
            <w:pPr>
              <w:pStyle w:val="TableOfAmend"/>
              <w:spacing w:line="260" w:lineRule="exact"/>
            </w:pPr>
            <w:r w:rsidRPr="003237C5">
              <w:t>Paragraph 2.25.1.</w:t>
            </w:r>
            <w:r w:rsidRPr="003237C5">
              <w:tab/>
            </w:r>
          </w:p>
        </w:tc>
        <w:tc>
          <w:tcPr>
            <w:tcW w:w="3405" w:type="pct"/>
            <w:shd w:val="clear" w:color="auto" w:fill="auto"/>
          </w:tcPr>
          <w:p w14:paraId="296EFF9A" w14:textId="56E4436D" w:rsidR="00075DD8" w:rsidRPr="003237C5" w:rsidRDefault="00075DD8" w:rsidP="000D7CD2">
            <w:pPr>
              <w:pStyle w:val="TableOfAmend"/>
              <w:spacing w:line="260" w:lineRule="exact"/>
              <w:ind w:left="0" w:firstLine="0"/>
            </w:pPr>
            <w:r w:rsidRPr="003237C5">
              <w:t>rs F2019L01699</w:t>
            </w:r>
            <w:r w:rsidR="00F273AF" w:rsidRPr="003237C5">
              <w:t xml:space="preserve">; rs </w:t>
            </w:r>
            <w:r w:rsidR="00F273AF" w:rsidRPr="003237C5">
              <w:rPr>
                <w:szCs w:val="22"/>
              </w:rPr>
              <w:t>F2020L01633</w:t>
            </w:r>
          </w:p>
        </w:tc>
      </w:tr>
      <w:tr w:rsidR="00075DD8" w:rsidRPr="003237C5" w14:paraId="4003E947" w14:textId="77777777" w:rsidTr="00584BB1">
        <w:trPr>
          <w:cantSplit/>
        </w:trPr>
        <w:tc>
          <w:tcPr>
            <w:tcW w:w="1595" w:type="pct"/>
            <w:shd w:val="clear" w:color="auto" w:fill="auto"/>
          </w:tcPr>
          <w:p w14:paraId="045CC866" w14:textId="77777777" w:rsidR="00075DD8" w:rsidRPr="003237C5" w:rsidRDefault="00075DD8" w:rsidP="000D7CD2">
            <w:pPr>
              <w:pStyle w:val="TableOfAmend"/>
              <w:spacing w:line="260" w:lineRule="exact"/>
            </w:pPr>
            <w:r w:rsidRPr="003237C5">
              <w:t>Paragraph 2.25.5.</w:t>
            </w:r>
            <w:r w:rsidRPr="003237C5">
              <w:tab/>
            </w:r>
          </w:p>
        </w:tc>
        <w:tc>
          <w:tcPr>
            <w:tcW w:w="3405" w:type="pct"/>
            <w:shd w:val="clear" w:color="auto" w:fill="auto"/>
          </w:tcPr>
          <w:p w14:paraId="7680A341" w14:textId="1F28A5F3"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075DD8" w:rsidRPr="003237C5" w14:paraId="34257659" w14:textId="77777777" w:rsidTr="00584BB1">
        <w:trPr>
          <w:cantSplit/>
        </w:trPr>
        <w:tc>
          <w:tcPr>
            <w:tcW w:w="1595" w:type="pct"/>
            <w:shd w:val="clear" w:color="auto" w:fill="auto"/>
          </w:tcPr>
          <w:p w14:paraId="71191B96" w14:textId="77777777" w:rsidR="00075DD8" w:rsidRPr="003237C5" w:rsidRDefault="00075DD8" w:rsidP="000D7CD2">
            <w:pPr>
              <w:pStyle w:val="TableOfAmend"/>
              <w:spacing w:line="260" w:lineRule="exact"/>
            </w:pPr>
            <w:r w:rsidRPr="003237C5">
              <w:t>Paragraph 2.25.10.</w:t>
            </w:r>
            <w:r w:rsidRPr="003237C5">
              <w:tab/>
            </w:r>
          </w:p>
        </w:tc>
        <w:tc>
          <w:tcPr>
            <w:tcW w:w="3405" w:type="pct"/>
            <w:shd w:val="clear" w:color="auto" w:fill="auto"/>
          </w:tcPr>
          <w:p w14:paraId="6B443EAD" w14:textId="735A1D84" w:rsidR="00075DD8" w:rsidRPr="003237C5" w:rsidRDefault="00075DD8" w:rsidP="000D7CD2">
            <w:pPr>
              <w:pStyle w:val="TableOfAmend"/>
              <w:spacing w:line="260" w:lineRule="exact"/>
              <w:ind w:left="0" w:firstLine="0"/>
            </w:pPr>
            <w:r w:rsidRPr="003237C5">
              <w:t>rs F2019L01699</w:t>
            </w:r>
            <w:r w:rsidR="00F273AF" w:rsidRPr="003237C5">
              <w:t xml:space="preserve">; rep </w:t>
            </w:r>
            <w:r w:rsidR="00F273AF" w:rsidRPr="003237C5">
              <w:rPr>
                <w:szCs w:val="22"/>
              </w:rPr>
              <w:t>F2020L01633</w:t>
            </w:r>
          </w:p>
        </w:tc>
      </w:tr>
      <w:tr w:rsidR="00075DD8" w:rsidRPr="003237C5" w14:paraId="0BE5D5AC" w14:textId="77777777" w:rsidTr="00584BB1">
        <w:trPr>
          <w:cantSplit/>
        </w:trPr>
        <w:tc>
          <w:tcPr>
            <w:tcW w:w="1595" w:type="pct"/>
            <w:shd w:val="clear" w:color="auto" w:fill="auto"/>
          </w:tcPr>
          <w:p w14:paraId="1C3A05C8" w14:textId="77777777" w:rsidR="00075DD8" w:rsidRPr="003237C5" w:rsidRDefault="00075DD8" w:rsidP="000D7CD2">
            <w:pPr>
              <w:pStyle w:val="TableOfAmend"/>
              <w:spacing w:line="260" w:lineRule="exact"/>
            </w:pPr>
            <w:r w:rsidRPr="003237C5">
              <w:t>Paragraph 2.25.15.</w:t>
            </w:r>
            <w:r w:rsidRPr="003237C5">
              <w:tab/>
            </w:r>
          </w:p>
        </w:tc>
        <w:tc>
          <w:tcPr>
            <w:tcW w:w="3405" w:type="pct"/>
            <w:shd w:val="clear" w:color="auto" w:fill="auto"/>
          </w:tcPr>
          <w:p w14:paraId="78FC8E23" w14:textId="2C102AC0" w:rsidR="00075DD8" w:rsidRPr="003237C5" w:rsidRDefault="00641151" w:rsidP="000D7CD2">
            <w:pPr>
              <w:pStyle w:val="TableOfAmend"/>
              <w:spacing w:line="260" w:lineRule="exact"/>
              <w:ind w:left="0" w:firstLine="0"/>
            </w:pPr>
            <w:r w:rsidRPr="003237C5">
              <w:t>ad</w:t>
            </w:r>
            <w:r w:rsidR="00075DD8" w:rsidRPr="003237C5">
              <w:t xml:space="preserve"> F2019L01699</w:t>
            </w:r>
            <w:r w:rsidR="00F273AF" w:rsidRPr="003237C5">
              <w:t xml:space="preserve">; rep </w:t>
            </w:r>
            <w:r w:rsidR="00F273AF" w:rsidRPr="003237C5">
              <w:rPr>
                <w:szCs w:val="22"/>
              </w:rPr>
              <w:t>F2020L01633</w:t>
            </w:r>
          </w:p>
        </w:tc>
      </w:tr>
      <w:tr w:rsidR="00075DD8" w:rsidRPr="003237C5" w14:paraId="30F4881C" w14:textId="77777777" w:rsidTr="00584BB1">
        <w:trPr>
          <w:cantSplit/>
        </w:trPr>
        <w:tc>
          <w:tcPr>
            <w:tcW w:w="1595" w:type="pct"/>
            <w:shd w:val="clear" w:color="auto" w:fill="auto"/>
          </w:tcPr>
          <w:p w14:paraId="0B42CBD4" w14:textId="3BFD57B8" w:rsidR="00075DD8" w:rsidRPr="003237C5" w:rsidRDefault="00075DD8" w:rsidP="000D7CD2">
            <w:pPr>
              <w:pStyle w:val="TableOfAmend"/>
              <w:spacing w:line="260" w:lineRule="exact"/>
            </w:pPr>
            <w:r w:rsidRPr="003237C5">
              <w:t>S</w:t>
            </w:r>
            <w:r w:rsidR="004D0AB0" w:rsidRPr="003237C5">
              <w:t>ection</w:t>
            </w:r>
            <w:r w:rsidRPr="003237C5">
              <w:t xml:space="preserve"> 2.30</w:t>
            </w:r>
            <w:r w:rsidRPr="003237C5">
              <w:tab/>
            </w:r>
          </w:p>
        </w:tc>
        <w:tc>
          <w:tcPr>
            <w:tcW w:w="3405" w:type="pct"/>
            <w:shd w:val="clear" w:color="auto" w:fill="auto"/>
          </w:tcPr>
          <w:p w14:paraId="1C923B2A" w14:textId="268140D6" w:rsidR="00075DD8" w:rsidRPr="003237C5" w:rsidRDefault="00075DD8" w:rsidP="000D7CD2">
            <w:pPr>
              <w:pStyle w:val="TableOfAmend"/>
              <w:spacing w:line="260" w:lineRule="exact"/>
              <w:ind w:left="0" w:firstLine="0"/>
            </w:pPr>
            <w:r w:rsidRPr="003237C5">
              <w:t>rep F2019L01699</w:t>
            </w:r>
            <w:r w:rsidR="00F273AF" w:rsidRPr="003237C5">
              <w:t xml:space="preserve">; ad </w:t>
            </w:r>
            <w:r w:rsidR="00F273AF" w:rsidRPr="003237C5">
              <w:rPr>
                <w:szCs w:val="22"/>
              </w:rPr>
              <w:t>F2020L01633</w:t>
            </w:r>
          </w:p>
        </w:tc>
      </w:tr>
      <w:tr w:rsidR="00075DD8" w:rsidRPr="003237C5" w14:paraId="0B9087A6" w14:textId="77777777" w:rsidTr="00584BB1">
        <w:trPr>
          <w:cantSplit/>
        </w:trPr>
        <w:tc>
          <w:tcPr>
            <w:tcW w:w="1595" w:type="pct"/>
            <w:shd w:val="clear" w:color="auto" w:fill="auto"/>
          </w:tcPr>
          <w:p w14:paraId="766622C8" w14:textId="77777777" w:rsidR="00075DD8" w:rsidRPr="003237C5" w:rsidRDefault="00075DD8" w:rsidP="000D7CD2">
            <w:pPr>
              <w:pStyle w:val="TableOfAmend"/>
              <w:spacing w:line="260" w:lineRule="exact"/>
            </w:pPr>
            <w:r w:rsidRPr="003237C5">
              <w:t>Paragraph 2.30.1.</w:t>
            </w:r>
            <w:r w:rsidRPr="003237C5">
              <w:tab/>
            </w:r>
          </w:p>
          <w:p w14:paraId="30166973" w14:textId="3B7C9BFE" w:rsidR="00F273AF" w:rsidRPr="003237C5" w:rsidRDefault="00F273AF">
            <w:pPr>
              <w:pStyle w:val="TableOfAmend"/>
              <w:spacing w:line="260" w:lineRule="exact"/>
            </w:pPr>
            <w:r w:rsidRPr="003237C5">
              <w:t>Paragraph 2.30.5.</w:t>
            </w:r>
            <w:r w:rsidRPr="003237C5">
              <w:tab/>
            </w:r>
          </w:p>
        </w:tc>
        <w:tc>
          <w:tcPr>
            <w:tcW w:w="3405" w:type="pct"/>
            <w:shd w:val="clear" w:color="auto" w:fill="auto"/>
          </w:tcPr>
          <w:p w14:paraId="60D37EC3" w14:textId="77777777" w:rsidR="00075DD8" w:rsidRPr="003237C5" w:rsidRDefault="00075DD8" w:rsidP="000D7CD2">
            <w:pPr>
              <w:pStyle w:val="TableOfAmend"/>
              <w:spacing w:line="260" w:lineRule="exact"/>
              <w:ind w:left="0" w:firstLine="0"/>
              <w:rPr>
                <w:szCs w:val="22"/>
              </w:rPr>
            </w:pPr>
            <w:r w:rsidRPr="003237C5">
              <w:t>rep F2019L01699</w:t>
            </w:r>
            <w:r w:rsidR="00F273AF" w:rsidRPr="003237C5">
              <w:t xml:space="preserve">; ad </w:t>
            </w:r>
            <w:r w:rsidR="00F273AF" w:rsidRPr="003237C5">
              <w:rPr>
                <w:szCs w:val="22"/>
              </w:rPr>
              <w:t>F2020L01633</w:t>
            </w:r>
          </w:p>
          <w:p w14:paraId="66D81AFF" w14:textId="745B0689" w:rsidR="00F273AF" w:rsidRPr="003237C5" w:rsidRDefault="00F273AF" w:rsidP="000D7CD2">
            <w:pPr>
              <w:pStyle w:val="TableOfAmend"/>
              <w:spacing w:line="260" w:lineRule="exact"/>
              <w:ind w:left="0" w:firstLine="0"/>
            </w:pPr>
            <w:r w:rsidRPr="003237C5">
              <w:rPr>
                <w:szCs w:val="22"/>
              </w:rPr>
              <w:t>ad F2020L01633</w:t>
            </w:r>
          </w:p>
        </w:tc>
      </w:tr>
      <w:tr w:rsidR="00075DD8" w:rsidRPr="003237C5" w14:paraId="1C0EB5FA" w14:textId="77777777" w:rsidTr="00584BB1">
        <w:trPr>
          <w:cantSplit/>
        </w:trPr>
        <w:tc>
          <w:tcPr>
            <w:tcW w:w="1595" w:type="pct"/>
            <w:shd w:val="clear" w:color="auto" w:fill="auto"/>
          </w:tcPr>
          <w:p w14:paraId="42B0AB12" w14:textId="3F4C48CC" w:rsidR="00075DD8" w:rsidRPr="003237C5" w:rsidRDefault="00075DD8" w:rsidP="000D7CD2">
            <w:pPr>
              <w:pStyle w:val="TableOfAmend"/>
              <w:spacing w:line="260" w:lineRule="exact"/>
            </w:pPr>
            <w:r w:rsidRPr="003237C5">
              <w:t>S</w:t>
            </w:r>
            <w:r w:rsidR="004D0AB0" w:rsidRPr="003237C5">
              <w:t>ection</w:t>
            </w:r>
            <w:r w:rsidRPr="003237C5">
              <w:t xml:space="preserve"> 2.35</w:t>
            </w:r>
            <w:r w:rsidRPr="003237C5">
              <w:tab/>
            </w:r>
          </w:p>
        </w:tc>
        <w:tc>
          <w:tcPr>
            <w:tcW w:w="3405" w:type="pct"/>
            <w:shd w:val="clear" w:color="auto" w:fill="auto"/>
          </w:tcPr>
          <w:p w14:paraId="0E9F9B1F" w14:textId="77777777" w:rsidR="00075DD8" w:rsidRPr="003237C5" w:rsidRDefault="00075DD8" w:rsidP="000D7CD2">
            <w:pPr>
              <w:pStyle w:val="TableOfAmend"/>
              <w:spacing w:line="260" w:lineRule="exact"/>
              <w:ind w:left="0" w:firstLine="0"/>
            </w:pPr>
            <w:r w:rsidRPr="003237C5">
              <w:t>rep F2019L01699</w:t>
            </w:r>
          </w:p>
        </w:tc>
      </w:tr>
      <w:tr w:rsidR="00075DD8" w:rsidRPr="003237C5" w14:paraId="64ECB0E4" w14:textId="77777777" w:rsidTr="00584BB1">
        <w:trPr>
          <w:cantSplit/>
        </w:trPr>
        <w:tc>
          <w:tcPr>
            <w:tcW w:w="1595" w:type="pct"/>
            <w:shd w:val="clear" w:color="auto" w:fill="auto"/>
          </w:tcPr>
          <w:p w14:paraId="15D2283B" w14:textId="77777777" w:rsidR="00075DD8" w:rsidRPr="003237C5" w:rsidRDefault="00075DD8" w:rsidP="000D7CD2">
            <w:pPr>
              <w:pStyle w:val="TableOfAmend"/>
              <w:spacing w:line="260" w:lineRule="exact"/>
            </w:pPr>
            <w:r w:rsidRPr="003237C5">
              <w:lastRenderedPageBreak/>
              <w:t>Paragraph 2.35.1.</w:t>
            </w:r>
            <w:r w:rsidRPr="003237C5">
              <w:tab/>
            </w:r>
          </w:p>
          <w:p w14:paraId="1D83384C" w14:textId="639F2D74" w:rsidR="00F273AF" w:rsidRPr="003237C5" w:rsidRDefault="00A31F75" w:rsidP="000D7CD2">
            <w:pPr>
              <w:pStyle w:val="TableOfAmend"/>
              <w:spacing w:line="260" w:lineRule="exact"/>
            </w:pPr>
            <w:r w:rsidRPr="003237C5">
              <w:t>Section</w:t>
            </w:r>
            <w:r w:rsidR="00F273AF" w:rsidRPr="003237C5">
              <w:t xml:space="preserve"> 2.40</w:t>
            </w:r>
            <w:r w:rsidR="00F273AF" w:rsidRPr="003237C5">
              <w:tab/>
            </w:r>
          </w:p>
          <w:p w14:paraId="754E7264" w14:textId="77777777" w:rsidR="0076173E" w:rsidRPr="003237C5" w:rsidRDefault="0076173E" w:rsidP="00D64B85">
            <w:pPr>
              <w:pStyle w:val="TableOfAmend"/>
              <w:spacing w:line="260" w:lineRule="exact"/>
            </w:pPr>
            <w:r w:rsidRPr="003237C5">
              <w:t>Paragraph 2.40.1.</w:t>
            </w:r>
            <w:r w:rsidRPr="003237C5">
              <w:tab/>
            </w:r>
          </w:p>
          <w:p w14:paraId="6BC3D1A8" w14:textId="3DBA180C" w:rsidR="0076173E" w:rsidRPr="003237C5" w:rsidRDefault="0076173E" w:rsidP="00D64B85">
            <w:pPr>
              <w:pStyle w:val="TableOfAmend"/>
              <w:spacing w:line="260" w:lineRule="exact"/>
            </w:pPr>
            <w:r w:rsidRPr="003237C5">
              <w:t>Paragraph 2.40.5.</w:t>
            </w:r>
            <w:r w:rsidRPr="003237C5">
              <w:tab/>
            </w:r>
          </w:p>
          <w:p w14:paraId="0EB46043" w14:textId="008AE5D4" w:rsidR="0076173E" w:rsidRPr="003237C5" w:rsidRDefault="0076173E" w:rsidP="00D64B85">
            <w:pPr>
              <w:pStyle w:val="TableOfAmend"/>
              <w:spacing w:line="260" w:lineRule="exact"/>
            </w:pPr>
            <w:r w:rsidRPr="003237C5">
              <w:t>Paragraph 2.40.10.</w:t>
            </w:r>
            <w:r w:rsidRPr="003237C5">
              <w:tab/>
            </w:r>
          </w:p>
          <w:p w14:paraId="3A779D32" w14:textId="77777777" w:rsidR="0076173E" w:rsidRPr="003237C5" w:rsidRDefault="0076173E" w:rsidP="00D64B85">
            <w:pPr>
              <w:pStyle w:val="TableOfAmend"/>
              <w:spacing w:line="260" w:lineRule="exact"/>
            </w:pPr>
            <w:r w:rsidRPr="003237C5">
              <w:t>Paragraph 2.40.15.</w:t>
            </w:r>
            <w:r w:rsidRPr="003237C5">
              <w:tab/>
            </w:r>
          </w:p>
          <w:p w14:paraId="7B67F6C2" w14:textId="37B4061C" w:rsidR="0076173E" w:rsidRPr="003237C5" w:rsidRDefault="0076173E" w:rsidP="00EA1920">
            <w:pPr>
              <w:pStyle w:val="TableOfAmend"/>
              <w:spacing w:line="260" w:lineRule="exact"/>
            </w:pPr>
            <w:r w:rsidRPr="003237C5">
              <w:t>Paragraph 2.40.20.</w:t>
            </w:r>
            <w:r w:rsidRPr="003237C5">
              <w:tab/>
            </w:r>
          </w:p>
        </w:tc>
        <w:tc>
          <w:tcPr>
            <w:tcW w:w="3405" w:type="pct"/>
            <w:shd w:val="clear" w:color="auto" w:fill="auto"/>
          </w:tcPr>
          <w:p w14:paraId="0719C03A" w14:textId="77777777" w:rsidR="00075DD8" w:rsidRPr="003237C5" w:rsidRDefault="00075DD8" w:rsidP="000D7CD2">
            <w:pPr>
              <w:pStyle w:val="TableOfAmend"/>
              <w:spacing w:line="260" w:lineRule="exact"/>
              <w:ind w:left="0" w:firstLine="0"/>
            </w:pPr>
            <w:r w:rsidRPr="003237C5">
              <w:t>rep F2019L01699</w:t>
            </w:r>
          </w:p>
          <w:p w14:paraId="6BAAA82A" w14:textId="77777777" w:rsidR="00F273AF" w:rsidRPr="003237C5" w:rsidRDefault="00F273AF" w:rsidP="000D7CD2">
            <w:pPr>
              <w:pStyle w:val="TableOfAmend"/>
              <w:spacing w:line="260" w:lineRule="exact"/>
              <w:ind w:left="0" w:firstLine="0"/>
              <w:rPr>
                <w:szCs w:val="22"/>
              </w:rPr>
            </w:pPr>
            <w:r w:rsidRPr="003237C5">
              <w:t xml:space="preserve">ad </w:t>
            </w:r>
            <w:r w:rsidRPr="003237C5">
              <w:rPr>
                <w:szCs w:val="22"/>
              </w:rPr>
              <w:t>F2020L01633</w:t>
            </w:r>
          </w:p>
          <w:p w14:paraId="2DF0CBAE" w14:textId="77777777" w:rsidR="0076173E" w:rsidRPr="003237C5" w:rsidRDefault="0076173E" w:rsidP="000D7CD2">
            <w:pPr>
              <w:pStyle w:val="TableOfAmend"/>
              <w:spacing w:line="260" w:lineRule="exact"/>
              <w:ind w:left="0" w:firstLine="0"/>
              <w:rPr>
                <w:szCs w:val="22"/>
              </w:rPr>
            </w:pPr>
            <w:r w:rsidRPr="003237C5">
              <w:rPr>
                <w:szCs w:val="22"/>
              </w:rPr>
              <w:t>ad F2020L01633</w:t>
            </w:r>
          </w:p>
          <w:p w14:paraId="235AB397" w14:textId="77777777" w:rsidR="0076173E" w:rsidRPr="003237C5" w:rsidRDefault="0076173E" w:rsidP="000D7CD2">
            <w:pPr>
              <w:pStyle w:val="TableOfAmend"/>
              <w:spacing w:line="260" w:lineRule="exact"/>
              <w:ind w:left="0" w:firstLine="0"/>
              <w:rPr>
                <w:szCs w:val="22"/>
              </w:rPr>
            </w:pPr>
            <w:r w:rsidRPr="003237C5">
              <w:rPr>
                <w:szCs w:val="22"/>
              </w:rPr>
              <w:t>ad F2020L01633</w:t>
            </w:r>
          </w:p>
          <w:p w14:paraId="57BE31E4" w14:textId="77777777" w:rsidR="0076173E" w:rsidRPr="003237C5" w:rsidRDefault="0076173E" w:rsidP="000D7CD2">
            <w:pPr>
              <w:pStyle w:val="TableOfAmend"/>
              <w:spacing w:line="260" w:lineRule="exact"/>
              <w:ind w:left="0" w:firstLine="0"/>
              <w:rPr>
                <w:szCs w:val="22"/>
              </w:rPr>
            </w:pPr>
            <w:r w:rsidRPr="003237C5">
              <w:rPr>
                <w:szCs w:val="22"/>
              </w:rPr>
              <w:t>ad F2020L01633</w:t>
            </w:r>
          </w:p>
          <w:p w14:paraId="173094C7" w14:textId="77777777" w:rsidR="0076173E" w:rsidRPr="003237C5" w:rsidRDefault="0076173E" w:rsidP="000D7CD2">
            <w:pPr>
              <w:pStyle w:val="TableOfAmend"/>
              <w:spacing w:line="260" w:lineRule="exact"/>
              <w:ind w:left="0" w:firstLine="0"/>
              <w:rPr>
                <w:szCs w:val="22"/>
              </w:rPr>
            </w:pPr>
            <w:r w:rsidRPr="003237C5">
              <w:rPr>
                <w:szCs w:val="22"/>
              </w:rPr>
              <w:t>ad F2020L01633</w:t>
            </w:r>
          </w:p>
          <w:p w14:paraId="5E72607E" w14:textId="75F49287" w:rsidR="0076173E" w:rsidRPr="003237C5" w:rsidRDefault="0076173E" w:rsidP="000D7CD2">
            <w:pPr>
              <w:pStyle w:val="TableOfAmend"/>
              <w:spacing w:line="260" w:lineRule="exact"/>
              <w:ind w:left="0" w:firstLine="0"/>
              <w:rPr>
                <w:szCs w:val="22"/>
              </w:rPr>
            </w:pPr>
            <w:r w:rsidRPr="003237C5">
              <w:rPr>
                <w:szCs w:val="22"/>
              </w:rPr>
              <w:t>ad F2020L01633</w:t>
            </w:r>
          </w:p>
        </w:tc>
      </w:tr>
      <w:tr w:rsidR="00075DD8" w:rsidRPr="003237C5" w14:paraId="6F6EE740" w14:textId="77777777" w:rsidTr="00584BB1">
        <w:trPr>
          <w:cantSplit/>
        </w:trPr>
        <w:tc>
          <w:tcPr>
            <w:tcW w:w="1595" w:type="pct"/>
            <w:shd w:val="clear" w:color="auto" w:fill="auto"/>
          </w:tcPr>
          <w:p w14:paraId="674B02FA" w14:textId="77777777" w:rsidR="00075DD8" w:rsidRPr="003237C5" w:rsidRDefault="00075DD8" w:rsidP="000D7CD2">
            <w:pPr>
              <w:pStyle w:val="TableOfAmend"/>
              <w:spacing w:line="260" w:lineRule="exact"/>
              <w:rPr>
                <w:b/>
              </w:rPr>
            </w:pPr>
            <w:r w:rsidRPr="003237C5">
              <w:rPr>
                <w:b/>
              </w:rPr>
              <w:t>Chapter 3</w:t>
            </w:r>
          </w:p>
        </w:tc>
        <w:tc>
          <w:tcPr>
            <w:tcW w:w="3405" w:type="pct"/>
            <w:shd w:val="clear" w:color="auto" w:fill="auto"/>
          </w:tcPr>
          <w:p w14:paraId="43BE1D17" w14:textId="77777777" w:rsidR="00075DD8" w:rsidRPr="003237C5" w:rsidRDefault="00075DD8" w:rsidP="000D7CD2">
            <w:pPr>
              <w:pStyle w:val="TableOfAmend"/>
              <w:spacing w:line="260" w:lineRule="exact"/>
              <w:ind w:left="0" w:firstLine="0"/>
            </w:pPr>
          </w:p>
        </w:tc>
      </w:tr>
      <w:tr w:rsidR="00075DD8" w:rsidRPr="003237C5" w14:paraId="44F6D650" w14:textId="77777777" w:rsidTr="00584BB1">
        <w:trPr>
          <w:cantSplit/>
        </w:trPr>
        <w:tc>
          <w:tcPr>
            <w:tcW w:w="1595" w:type="pct"/>
            <w:shd w:val="clear" w:color="auto" w:fill="auto"/>
          </w:tcPr>
          <w:p w14:paraId="0CAA71AC" w14:textId="77777777" w:rsidR="00075DD8" w:rsidRPr="003237C5" w:rsidRDefault="00075DD8" w:rsidP="000D7CD2">
            <w:pPr>
              <w:pStyle w:val="TableOfAmend"/>
              <w:spacing w:line="260" w:lineRule="exact"/>
            </w:pPr>
            <w:r w:rsidRPr="003237C5">
              <w:t>Chapter 3</w:t>
            </w:r>
            <w:r w:rsidRPr="003237C5">
              <w:tab/>
            </w:r>
          </w:p>
        </w:tc>
        <w:tc>
          <w:tcPr>
            <w:tcW w:w="3405" w:type="pct"/>
            <w:shd w:val="clear" w:color="auto" w:fill="auto"/>
          </w:tcPr>
          <w:p w14:paraId="01D78ADC" w14:textId="77777777" w:rsidR="00075DD8" w:rsidRPr="003237C5" w:rsidRDefault="00075DD8" w:rsidP="000D7CD2">
            <w:pPr>
              <w:pStyle w:val="TableOfAmend"/>
              <w:spacing w:line="260" w:lineRule="exact"/>
              <w:ind w:left="0" w:firstLine="0"/>
            </w:pPr>
            <w:r w:rsidRPr="003237C5">
              <w:t xml:space="preserve">rs </w:t>
            </w:r>
            <w:r w:rsidRPr="003237C5">
              <w:rPr>
                <w:szCs w:val="22"/>
              </w:rPr>
              <w:t>F2019L01699</w:t>
            </w:r>
            <w:r w:rsidRPr="003237C5">
              <w:rPr>
                <w:szCs w:val="22"/>
                <w:u w:val="single"/>
              </w:rPr>
              <w:t xml:space="preserve"> </w:t>
            </w:r>
          </w:p>
        </w:tc>
      </w:tr>
      <w:tr w:rsidR="00075DD8" w:rsidRPr="003237C5" w14:paraId="1E74AF05" w14:textId="77777777" w:rsidTr="00584BB1">
        <w:trPr>
          <w:cantSplit/>
        </w:trPr>
        <w:tc>
          <w:tcPr>
            <w:tcW w:w="1595" w:type="pct"/>
            <w:shd w:val="clear" w:color="auto" w:fill="auto"/>
          </w:tcPr>
          <w:p w14:paraId="4C88A457" w14:textId="4A6A651B" w:rsidR="00075DD8" w:rsidRPr="003237C5" w:rsidRDefault="00075DD8" w:rsidP="000D7CD2">
            <w:pPr>
              <w:pStyle w:val="TableOfAmend"/>
              <w:spacing w:line="260" w:lineRule="exact"/>
            </w:pPr>
            <w:r w:rsidRPr="003237C5">
              <w:t>S</w:t>
            </w:r>
            <w:r w:rsidR="004D0AB0" w:rsidRPr="003237C5">
              <w:t>ection</w:t>
            </w:r>
            <w:r w:rsidRPr="003237C5">
              <w:t xml:space="preserve"> 3.1</w:t>
            </w:r>
            <w:r w:rsidRPr="003237C5">
              <w:tab/>
            </w:r>
          </w:p>
        </w:tc>
        <w:tc>
          <w:tcPr>
            <w:tcW w:w="3405" w:type="pct"/>
            <w:shd w:val="clear" w:color="auto" w:fill="auto"/>
          </w:tcPr>
          <w:p w14:paraId="31156FF4" w14:textId="77777777" w:rsidR="00075DD8" w:rsidRPr="003237C5" w:rsidRDefault="00075DD8" w:rsidP="000D7CD2">
            <w:pPr>
              <w:pStyle w:val="TableOfAmend"/>
              <w:spacing w:line="260" w:lineRule="exact"/>
              <w:ind w:left="0" w:firstLine="0"/>
            </w:pPr>
            <w:r w:rsidRPr="003237C5">
              <w:t xml:space="preserve">rs </w:t>
            </w:r>
            <w:r w:rsidRPr="003237C5">
              <w:rPr>
                <w:szCs w:val="22"/>
              </w:rPr>
              <w:t>F2019L01699</w:t>
            </w:r>
            <w:r w:rsidRPr="003237C5">
              <w:rPr>
                <w:szCs w:val="22"/>
                <w:u w:val="single"/>
              </w:rPr>
              <w:t xml:space="preserve"> </w:t>
            </w:r>
          </w:p>
        </w:tc>
      </w:tr>
      <w:tr w:rsidR="00075DD8" w:rsidRPr="003237C5" w14:paraId="16558FDF" w14:textId="77777777" w:rsidTr="00584BB1">
        <w:trPr>
          <w:cantSplit/>
        </w:trPr>
        <w:tc>
          <w:tcPr>
            <w:tcW w:w="1595" w:type="pct"/>
            <w:shd w:val="clear" w:color="auto" w:fill="auto"/>
          </w:tcPr>
          <w:p w14:paraId="7D6B2250" w14:textId="77777777" w:rsidR="00075DD8" w:rsidRPr="003237C5" w:rsidRDefault="00075DD8" w:rsidP="000D7CD2">
            <w:pPr>
              <w:pStyle w:val="TableOfAmend"/>
              <w:spacing w:line="260" w:lineRule="exact"/>
            </w:pPr>
            <w:r w:rsidRPr="003237C5">
              <w:t>Paragraph 3.1.1.</w:t>
            </w:r>
            <w:r w:rsidRPr="003237C5">
              <w:tab/>
            </w:r>
          </w:p>
        </w:tc>
        <w:tc>
          <w:tcPr>
            <w:tcW w:w="3405" w:type="pct"/>
            <w:shd w:val="clear" w:color="auto" w:fill="auto"/>
          </w:tcPr>
          <w:p w14:paraId="12104C8E" w14:textId="77777777" w:rsidR="00075DD8" w:rsidRPr="003237C5" w:rsidRDefault="00075DD8" w:rsidP="000D7CD2">
            <w:pPr>
              <w:pStyle w:val="TableOfAmend"/>
              <w:spacing w:line="260" w:lineRule="exact"/>
              <w:ind w:left="0" w:firstLine="0"/>
            </w:pPr>
            <w:r w:rsidRPr="003237C5">
              <w:t xml:space="preserve">rs </w:t>
            </w:r>
            <w:r w:rsidRPr="003237C5">
              <w:rPr>
                <w:szCs w:val="22"/>
              </w:rPr>
              <w:t>F2019L01699</w:t>
            </w:r>
            <w:r w:rsidRPr="003237C5">
              <w:rPr>
                <w:szCs w:val="22"/>
                <w:u w:val="single"/>
              </w:rPr>
              <w:t xml:space="preserve"> </w:t>
            </w:r>
          </w:p>
        </w:tc>
      </w:tr>
      <w:tr w:rsidR="00075DD8" w:rsidRPr="003237C5" w14:paraId="296F9B86" w14:textId="77777777" w:rsidTr="00584BB1">
        <w:trPr>
          <w:cantSplit/>
        </w:trPr>
        <w:tc>
          <w:tcPr>
            <w:tcW w:w="1595" w:type="pct"/>
            <w:shd w:val="clear" w:color="auto" w:fill="auto"/>
          </w:tcPr>
          <w:p w14:paraId="6B7D1EE6" w14:textId="1E64CDC5" w:rsidR="00075DD8" w:rsidRPr="003237C5" w:rsidRDefault="00075DD8" w:rsidP="000D7CD2">
            <w:pPr>
              <w:pStyle w:val="TableOfAmend"/>
              <w:spacing w:line="260" w:lineRule="exact"/>
            </w:pPr>
            <w:r w:rsidRPr="003237C5">
              <w:t>S</w:t>
            </w:r>
            <w:r w:rsidR="004D0AB0" w:rsidRPr="003237C5">
              <w:t>ection</w:t>
            </w:r>
            <w:r w:rsidRPr="003237C5">
              <w:t xml:space="preserve"> 3.2</w:t>
            </w:r>
            <w:r w:rsidRPr="003237C5">
              <w:tab/>
            </w:r>
          </w:p>
        </w:tc>
        <w:tc>
          <w:tcPr>
            <w:tcW w:w="3405" w:type="pct"/>
            <w:shd w:val="clear" w:color="auto" w:fill="auto"/>
          </w:tcPr>
          <w:p w14:paraId="3A1742EF"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Pr="003237C5">
              <w:rPr>
                <w:szCs w:val="22"/>
                <w:u w:val="single"/>
              </w:rPr>
              <w:t xml:space="preserve"> </w:t>
            </w:r>
          </w:p>
        </w:tc>
      </w:tr>
      <w:tr w:rsidR="00075DD8" w:rsidRPr="003237C5" w14:paraId="7BC00A2E" w14:textId="77777777" w:rsidTr="00584BB1">
        <w:trPr>
          <w:cantSplit/>
        </w:trPr>
        <w:tc>
          <w:tcPr>
            <w:tcW w:w="1595" w:type="pct"/>
            <w:shd w:val="clear" w:color="auto" w:fill="auto"/>
          </w:tcPr>
          <w:p w14:paraId="39AE2F35" w14:textId="77777777" w:rsidR="00075DD8" w:rsidRPr="003237C5" w:rsidRDefault="00075DD8" w:rsidP="000D7CD2">
            <w:pPr>
              <w:pStyle w:val="TableOfAmend"/>
              <w:spacing w:line="260" w:lineRule="exact"/>
            </w:pPr>
            <w:r w:rsidRPr="003237C5">
              <w:t>Paragraph 3.2.1.</w:t>
            </w:r>
            <w:r w:rsidRPr="003237C5">
              <w:tab/>
            </w:r>
          </w:p>
        </w:tc>
        <w:tc>
          <w:tcPr>
            <w:tcW w:w="3405" w:type="pct"/>
            <w:shd w:val="clear" w:color="auto" w:fill="auto"/>
          </w:tcPr>
          <w:p w14:paraId="6A55E1B0" w14:textId="31979D8E"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5650FD" w:rsidRPr="003237C5">
              <w:rPr>
                <w:szCs w:val="22"/>
              </w:rPr>
              <w:t xml:space="preserve">, rs </w:t>
            </w:r>
            <w:r w:rsidR="00847A3E" w:rsidRPr="003237C5">
              <w:rPr>
                <w:szCs w:val="22"/>
              </w:rPr>
              <w:t>F2022L00345</w:t>
            </w:r>
            <w:r w:rsidRPr="003237C5">
              <w:rPr>
                <w:szCs w:val="22"/>
                <w:u w:val="single"/>
              </w:rPr>
              <w:t xml:space="preserve"> </w:t>
            </w:r>
          </w:p>
        </w:tc>
      </w:tr>
      <w:tr w:rsidR="00075DD8" w:rsidRPr="003237C5" w14:paraId="49F589E0" w14:textId="77777777" w:rsidTr="00584BB1">
        <w:trPr>
          <w:cantSplit/>
        </w:trPr>
        <w:tc>
          <w:tcPr>
            <w:tcW w:w="1595" w:type="pct"/>
            <w:shd w:val="clear" w:color="auto" w:fill="auto"/>
          </w:tcPr>
          <w:p w14:paraId="11538079" w14:textId="4CF333FB" w:rsidR="00075DD8" w:rsidRPr="003237C5" w:rsidRDefault="00075DD8" w:rsidP="000D7CD2">
            <w:pPr>
              <w:pStyle w:val="TableOfAmend"/>
              <w:spacing w:line="260" w:lineRule="exact"/>
            </w:pPr>
            <w:r w:rsidRPr="003237C5">
              <w:t>S</w:t>
            </w:r>
            <w:r w:rsidR="004D0AB0" w:rsidRPr="003237C5">
              <w:t>ection</w:t>
            </w:r>
            <w:r w:rsidRPr="003237C5">
              <w:t xml:space="preserve"> 3.5</w:t>
            </w:r>
            <w:r w:rsidRPr="003237C5">
              <w:tab/>
            </w:r>
          </w:p>
        </w:tc>
        <w:tc>
          <w:tcPr>
            <w:tcW w:w="3405" w:type="pct"/>
            <w:shd w:val="clear" w:color="auto" w:fill="auto"/>
          </w:tcPr>
          <w:p w14:paraId="4B745BE0" w14:textId="77777777" w:rsidR="00075DD8" w:rsidRPr="003237C5" w:rsidRDefault="00075DD8" w:rsidP="000D7CD2">
            <w:pPr>
              <w:pStyle w:val="TableOfAmend"/>
              <w:spacing w:line="260" w:lineRule="exact"/>
              <w:ind w:left="0" w:firstLine="0"/>
            </w:pPr>
            <w:r w:rsidRPr="003237C5">
              <w:t xml:space="preserve">rep </w:t>
            </w:r>
            <w:r w:rsidRPr="003237C5">
              <w:rPr>
                <w:szCs w:val="22"/>
              </w:rPr>
              <w:t>F2019L01699</w:t>
            </w:r>
          </w:p>
        </w:tc>
      </w:tr>
      <w:tr w:rsidR="00075DD8" w:rsidRPr="003237C5" w14:paraId="10161135" w14:textId="77777777" w:rsidTr="00584BB1">
        <w:trPr>
          <w:cantSplit/>
        </w:trPr>
        <w:tc>
          <w:tcPr>
            <w:tcW w:w="1595" w:type="pct"/>
            <w:shd w:val="clear" w:color="auto" w:fill="auto"/>
          </w:tcPr>
          <w:p w14:paraId="6BB7269F" w14:textId="77777777" w:rsidR="00075DD8" w:rsidRPr="003237C5" w:rsidRDefault="00075DD8" w:rsidP="000D7CD2">
            <w:pPr>
              <w:pStyle w:val="TableOfAmend"/>
              <w:spacing w:line="260" w:lineRule="exact"/>
            </w:pPr>
            <w:r w:rsidRPr="003237C5">
              <w:t>Paragraph 3.5.1.</w:t>
            </w:r>
            <w:r w:rsidRPr="003237C5">
              <w:tab/>
            </w:r>
          </w:p>
        </w:tc>
        <w:tc>
          <w:tcPr>
            <w:tcW w:w="3405" w:type="pct"/>
            <w:shd w:val="clear" w:color="auto" w:fill="auto"/>
          </w:tcPr>
          <w:p w14:paraId="6C519034" w14:textId="77777777" w:rsidR="00075DD8" w:rsidRPr="003237C5" w:rsidRDefault="00075DD8" w:rsidP="000D7CD2">
            <w:pPr>
              <w:pStyle w:val="TableOfAmend"/>
              <w:spacing w:line="260" w:lineRule="exact"/>
              <w:ind w:left="0" w:firstLine="0"/>
            </w:pPr>
            <w:r w:rsidRPr="003237C5">
              <w:t xml:space="preserve">rep </w:t>
            </w:r>
            <w:r w:rsidRPr="003237C5">
              <w:rPr>
                <w:szCs w:val="22"/>
              </w:rPr>
              <w:t>F2019L01699</w:t>
            </w:r>
          </w:p>
        </w:tc>
      </w:tr>
      <w:tr w:rsidR="00075DD8" w:rsidRPr="003237C5" w14:paraId="1B7B9232" w14:textId="77777777" w:rsidTr="00584BB1">
        <w:trPr>
          <w:cantSplit/>
        </w:trPr>
        <w:tc>
          <w:tcPr>
            <w:tcW w:w="1595" w:type="pct"/>
            <w:shd w:val="clear" w:color="auto" w:fill="auto"/>
          </w:tcPr>
          <w:p w14:paraId="399ECA8A" w14:textId="50F11764" w:rsidR="00075DD8" w:rsidRPr="003237C5" w:rsidRDefault="00075DD8" w:rsidP="000D7CD2">
            <w:pPr>
              <w:pStyle w:val="TableOfAmend"/>
              <w:spacing w:line="260" w:lineRule="exact"/>
            </w:pPr>
            <w:r w:rsidRPr="003237C5">
              <w:t>S</w:t>
            </w:r>
            <w:r w:rsidR="004D0AB0" w:rsidRPr="003237C5">
              <w:t>ection</w:t>
            </w:r>
            <w:r w:rsidRPr="003237C5">
              <w:t xml:space="preserve"> 3.10</w:t>
            </w:r>
            <w:r w:rsidRPr="003237C5">
              <w:tab/>
            </w:r>
          </w:p>
        </w:tc>
        <w:tc>
          <w:tcPr>
            <w:tcW w:w="3405" w:type="pct"/>
            <w:shd w:val="clear" w:color="auto" w:fill="auto"/>
          </w:tcPr>
          <w:p w14:paraId="1BCCD106" w14:textId="77777777" w:rsidR="00075DD8" w:rsidRPr="003237C5" w:rsidRDefault="00075DD8" w:rsidP="000D7CD2">
            <w:pPr>
              <w:pStyle w:val="TableOfAmend"/>
              <w:spacing w:line="260" w:lineRule="exact"/>
              <w:ind w:left="0" w:firstLine="0"/>
            </w:pPr>
            <w:r w:rsidRPr="003237C5">
              <w:t xml:space="preserve">rep </w:t>
            </w:r>
            <w:r w:rsidRPr="003237C5">
              <w:rPr>
                <w:szCs w:val="22"/>
              </w:rPr>
              <w:t>F2019L01699</w:t>
            </w:r>
          </w:p>
        </w:tc>
      </w:tr>
      <w:tr w:rsidR="00075DD8" w:rsidRPr="003237C5" w14:paraId="392A5C2F" w14:textId="77777777" w:rsidTr="00584BB1">
        <w:trPr>
          <w:cantSplit/>
        </w:trPr>
        <w:tc>
          <w:tcPr>
            <w:tcW w:w="1595" w:type="pct"/>
            <w:shd w:val="clear" w:color="auto" w:fill="auto"/>
          </w:tcPr>
          <w:p w14:paraId="6EA458C9" w14:textId="77777777" w:rsidR="00075DD8" w:rsidRPr="003237C5" w:rsidRDefault="00075DD8" w:rsidP="000D7CD2">
            <w:pPr>
              <w:pStyle w:val="TableOfAmend"/>
              <w:spacing w:line="260" w:lineRule="exact"/>
            </w:pPr>
            <w:r w:rsidRPr="003237C5">
              <w:t>Paragraph 3.10.1.</w:t>
            </w:r>
            <w:r w:rsidRPr="003237C5">
              <w:tab/>
            </w:r>
          </w:p>
        </w:tc>
        <w:tc>
          <w:tcPr>
            <w:tcW w:w="3405" w:type="pct"/>
            <w:shd w:val="clear" w:color="auto" w:fill="auto"/>
          </w:tcPr>
          <w:p w14:paraId="31EF01F2" w14:textId="77777777" w:rsidR="00075DD8" w:rsidRPr="003237C5" w:rsidRDefault="00075DD8" w:rsidP="000D7CD2">
            <w:pPr>
              <w:pStyle w:val="TableOfAmend"/>
              <w:spacing w:line="260" w:lineRule="exact"/>
              <w:ind w:left="0" w:firstLine="0"/>
            </w:pPr>
            <w:r w:rsidRPr="003237C5">
              <w:t xml:space="preserve">rep </w:t>
            </w:r>
            <w:r w:rsidRPr="003237C5">
              <w:rPr>
                <w:szCs w:val="22"/>
              </w:rPr>
              <w:t>F2019L01699</w:t>
            </w:r>
          </w:p>
        </w:tc>
      </w:tr>
      <w:tr w:rsidR="00075DD8" w:rsidRPr="003237C5" w14:paraId="1B5B96A5" w14:textId="77777777" w:rsidTr="00584BB1">
        <w:trPr>
          <w:cantSplit/>
        </w:trPr>
        <w:tc>
          <w:tcPr>
            <w:tcW w:w="1595" w:type="pct"/>
            <w:shd w:val="clear" w:color="auto" w:fill="auto"/>
          </w:tcPr>
          <w:p w14:paraId="291F448D" w14:textId="77777777" w:rsidR="00075DD8" w:rsidRPr="003237C5" w:rsidRDefault="00075DD8" w:rsidP="000D7CD2">
            <w:pPr>
              <w:pStyle w:val="TableOfAmend"/>
              <w:spacing w:line="260" w:lineRule="exact"/>
              <w:rPr>
                <w:b/>
              </w:rPr>
            </w:pPr>
            <w:r w:rsidRPr="003237C5">
              <w:rPr>
                <w:b/>
              </w:rPr>
              <w:t>Chapter 5</w:t>
            </w:r>
          </w:p>
        </w:tc>
        <w:tc>
          <w:tcPr>
            <w:tcW w:w="3405" w:type="pct"/>
            <w:shd w:val="clear" w:color="auto" w:fill="auto"/>
          </w:tcPr>
          <w:p w14:paraId="2F95A805" w14:textId="77777777" w:rsidR="00075DD8" w:rsidRPr="003237C5" w:rsidRDefault="00075DD8" w:rsidP="000D7CD2">
            <w:pPr>
              <w:pStyle w:val="TableOfAmend"/>
              <w:spacing w:line="260" w:lineRule="exact"/>
              <w:ind w:left="0" w:firstLine="0"/>
            </w:pPr>
          </w:p>
        </w:tc>
      </w:tr>
      <w:tr w:rsidR="00075DD8" w:rsidRPr="003237C5" w14:paraId="2DE89613" w14:textId="77777777" w:rsidTr="00584BB1">
        <w:trPr>
          <w:cantSplit/>
        </w:trPr>
        <w:tc>
          <w:tcPr>
            <w:tcW w:w="1595" w:type="pct"/>
            <w:shd w:val="clear" w:color="auto" w:fill="auto"/>
          </w:tcPr>
          <w:p w14:paraId="23AEEEB7" w14:textId="77777777" w:rsidR="00075DD8" w:rsidRPr="003237C5" w:rsidRDefault="00075DD8" w:rsidP="000D7CD2">
            <w:pPr>
              <w:pStyle w:val="TableOfAmend"/>
              <w:spacing w:line="260" w:lineRule="exact"/>
            </w:pPr>
            <w:r w:rsidRPr="003237C5">
              <w:t>Paragraph 5.1.1</w:t>
            </w:r>
            <w:r w:rsidRPr="003237C5">
              <w:tab/>
            </w:r>
          </w:p>
        </w:tc>
        <w:tc>
          <w:tcPr>
            <w:tcW w:w="3405" w:type="pct"/>
            <w:shd w:val="clear" w:color="auto" w:fill="auto"/>
          </w:tcPr>
          <w:p w14:paraId="0908B3DB" w14:textId="77777777" w:rsidR="00075DD8" w:rsidRPr="003237C5" w:rsidRDefault="00641151" w:rsidP="000D7CD2">
            <w:pPr>
              <w:pStyle w:val="TableOfAmend"/>
              <w:spacing w:line="260" w:lineRule="exact"/>
              <w:ind w:left="0" w:firstLine="0"/>
            </w:pPr>
            <w:r w:rsidRPr="003237C5">
              <w:t>am</w:t>
            </w:r>
            <w:r w:rsidR="00075DD8" w:rsidRPr="003237C5">
              <w:t xml:space="preserve"> F2013L01508</w:t>
            </w:r>
          </w:p>
        </w:tc>
      </w:tr>
      <w:tr w:rsidR="00075DD8" w:rsidRPr="003237C5" w14:paraId="7A7BFAF2" w14:textId="77777777" w:rsidTr="00584BB1">
        <w:trPr>
          <w:cantSplit/>
        </w:trPr>
        <w:tc>
          <w:tcPr>
            <w:tcW w:w="1595" w:type="pct"/>
            <w:shd w:val="clear" w:color="auto" w:fill="auto"/>
          </w:tcPr>
          <w:p w14:paraId="4ED2359C" w14:textId="5AD8D6BE" w:rsidR="00075DD8" w:rsidRPr="003237C5" w:rsidRDefault="00641151" w:rsidP="000D7CD2">
            <w:pPr>
              <w:pStyle w:val="TableOfAmend"/>
              <w:spacing w:line="260" w:lineRule="exact"/>
            </w:pPr>
            <w:r w:rsidRPr="003237C5">
              <w:t>S</w:t>
            </w:r>
            <w:r w:rsidR="004D0AB0" w:rsidRPr="003237C5">
              <w:t>ection</w:t>
            </w:r>
            <w:r w:rsidRPr="003237C5">
              <w:t xml:space="preserve"> 5.5</w:t>
            </w:r>
            <w:r w:rsidR="00075DD8" w:rsidRPr="003237C5">
              <w:tab/>
            </w:r>
          </w:p>
        </w:tc>
        <w:tc>
          <w:tcPr>
            <w:tcW w:w="3405" w:type="pct"/>
            <w:shd w:val="clear" w:color="auto" w:fill="auto"/>
          </w:tcPr>
          <w:p w14:paraId="715F9249" w14:textId="77777777" w:rsidR="00075DD8" w:rsidRPr="003237C5" w:rsidRDefault="00641151" w:rsidP="000D7CD2">
            <w:pPr>
              <w:pStyle w:val="TableOfAmend"/>
              <w:spacing w:line="260" w:lineRule="exact"/>
              <w:ind w:left="0" w:firstLine="0"/>
            </w:pPr>
            <w:r w:rsidRPr="003237C5">
              <w:t>am</w:t>
            </w:r>
            <w:r w:rsidR="00075DD8" w:rsidRPr="003237C5">
              <w:t xml:space="preserve"> F2013L01508</w:t>
            </w:r>
          </w:p>
        </w:tc>
      </w:tr>
      <w:tr w:rsidR="00075DD8" w:rsidRPr="003237C5" w14:paraId="4F694D79" w14:textId="77777777" w:rsidTr="00584BB1">
        <w:trPr>
          <w:cantSplit/>
        </w:trPr>
        <w:tc>
          <w:tcPr>
            <w:tcW w:w="1595" w:type="pct"/>
            <w:shd w:val="clear" w:color="auto" w:fill="auto"/>
          </w:tcPr>
          <w:p w14:paraId="0156FCA5" w14:textId="77777777" w:rsidR="00075DD8" w:rsidRPr="003237C5" w:rsidRDefault="00075DD8" w:rsidP="000D7CD2">
            <w:pPr>
              <w:pStyle w:val="TableOfAmend"/>
              <w:spacing w:line="260" w:lineRule="exact"/>
            </w:pPr>
            <w:r w:rsidRPr="003237C5">
              <w:t>Paragraph 5.5.1</w:t>
            </w:r>
            <w:r w:rsidRPr="003237C5">
              <w:tab/>
            </w:r>
          </w:p>
        </w:tc>
        <w:tc>
          <w:tcPr>
            <w:tcW w:w="3405" w:type="pct"/>
            <w:shd w:val="clear" w:color="auto" w:fill="auto"/>
          </w:tcPr>
          <w:p w14:paraId="0126FA9F" w14:textId="77777777" w:rsidR="00075DD8" w:rsidRPr="003237C5" w:rsidRDefault="00641151" w:rsidP="000D7CD2">
            <w:pPr>
              <w:pStyle w:val="TableOfAmend"/>
              <w:spacing w:line="260" w:lineRule="exact"/>
              <w:ind w:left="0" w:firstLine="0"/>
            </w:pPr>
            <w:r w:rsidRPr="003237C5">
              <w:t>rs</w:t>
            </w:r>
            <w:r w:rsidR="00075DD8" w:rsidRPr="003237C5">
              <w:t xml:space="preserve"> F2013L01508</w:t>
            </w:r>
          </w:p>
        </w:tc>
      </w:tr>
      <w:tr w:rsidR="00075DD8" w:rsidRPr="003237C5" w14:paraId="3034E7D0" w14:textId="77777777" w:rsidTr="00584BB1">
        <w:trPr>
          <w:cantSplit/>
        </w:trPr>
        <w:tc>
          <w:tcPr>
            <w:tcW w:w="1595" w:type="pct"/>
            <w:shd w:val="clear" w:color="auto" w:fill="auto"/>
          </w:tcPr>
          <w:p w14:paraId="15CE0AA3" w14:textId="72B721D0" w:rsidR="00075DD8" w:rsidRPr="003237C5" w:rsidRDefault="00075DD8" w:rsidP="000D7CD2">
            <w:pPr>
              <w:pStyle w:val="TableOfAmend"/>
              <w:spacing w:line="260" w:lineRule="exact"/>
            </w:pPr>
            <w:r w:rsidRPr="003237C5">
              <w:t>S</w:t>
            </w:r>
            <w:r w:rsidR="004D0AB0" w:rsidRPr="003237C5">
              <w:t>ection</w:t>
            </w:r>
            <w:r w:rsidRPr="003237C5">
              <w:t xml:space="preserve"> 5.10</w:t>
            </w:r>
            <w:r w:rsidRPr="003237C5">
              <w:tab/>
            </w:r>
          </w:p>
        </w:tc>
        <w:tc>
          <w:tcPr>
            <w:tcW w:w="3405" w:type="pct"/>
            <w:shd w:val="clear" w:color="auto" w:fill="auto"/>
          </w:tcPr>
          <w:p w14:paraId="1C7ADB1F" w14:textId="77777777" w:rsidR="00075DD8" w:rsidRPr="003237C5" w:rsidRDefault="00641151" w:rsidP="000D7CD2">
            <w:pPr>
              <w:pStyle w:val="TableOfAmend"/>
              <w:spacing w:line="260" w:lineRule="exact"/>
              <w:ind w:left="0" w:firstLine="0"/>
            </w:pPr>
            <w:r w:rsidRPr="003237C5">
              <w:t>rs</w:t>
            </w:r>
            <w:r w:rsidR="00075DD8" w:rsidRPr="003237C5">
              <w:t xml:space="preserve"> F2013L01508</w:t>
            </w:r>
          </w:p>
        </w:tc>
      </w:tr>
      <w:tr w:rsidR="00075DD8" w:rsidRPr="003237C5" w14:paraId="7C54BAA4" w14:textId="77777777" w:rsidTr="00584BB1">
        <w:trPr>
          <w:cantSplit/>
        </w:trPr>
        <w:tc>
          <w:tcPr>
            <w:tcW w:w="1595" w:type="pct"/>
            <w:shd w:val="clear" w:color="auto" w:fill="auto"/>
          </w:tcPr>
          <w:p w14:paraId="78ADEF33" w14:textId="26D0BEB1" w:rsidR="00075DD8" w:rsidRPr="003237C5" w:rsidRDefault="00075DD8" w:rsidP="000D7CD2">
            <w:pPr>
              <w:pStyle w:val="TableOfAmend"/>
              <w:spacing w:line="260" w:lineRule="exact"/>
            </w:pPr>
            <w:r w:rsidRPr="003237C5">
              <w:t>S</w:t>
            </w:r>
            <w:r w:rsidR="004D0AB0" w:rsidRPr="003237C5">
              <w:t>ection</w:t>
            </w:r>
            <w:r w:rsidRPr="003237C5">
              <w:t xml:space="preserve"> 5.20</w:t>
            </w:r>
            <w:r w:rsidRPr="003237C5">
              <w:tab/>
            </w:r>
          </w:p>
        </w:tc>
        <w:tc>
          <w:tcPr>
            <w:tcW w:w="3405" w:type="pct"/>
            <w:shd w:val="clear" w:color="auto" w:fill="auto"/>
          </w:tcPr>
          <w:p w14:paraId="43BE7329" w14:textId="77777777" w:rsidR="00075DD8" w:rsidRPr="003237C5" w:rsidRDefault="00641151" w:rsidP="000D7CD2">
            <w:pPr>
              <w:pStyle w:val="TableOfAmend"/>
              <w:spacing w:line="260" w:lineRule="exact"/>
              <w:ind w:left="0" w:firstLine="0"/>
            </w:pPr>
            <w:r w:rsidRPr="003237C5">
              <w:t>rep</w:t>
            </w:r>
            <w:r w:rsidR="00075DD8" w:rsidRPr="003237C5">
              <w:t xml:space="preserve"> F2013L01508</w:t>
            </w:r>
          </w:p>
        </w:tc>
      </w:tr>
      <w:tr w:rsidR="00075DD8" w:rsidRPr="003237C5" w14:paraId="602B5A01" w14:textId="77777777" w:rsidTr="00584BB1">
        <w:trPr>
          <w:cantSplit/>
        </w:trPr>
        <w:tc>
          <w:tcPr>
            <w:tcW w:w="1595" w:type="pct"/>
            <w:shd w:val="clear" w:color="auto" w:fill="auto"/>
          </w:tcPr>
          <w:p w14:paraId="5989221C" w14:textId="698552A6" w:rsidR="00075DD8" w:rsidRPr="003237C5" w:rsidRDefault="00075DD8" w:rsidP="000D7CD2">
            <w:pPr>
              <w:pStyle w:val="TableOfAmend"/>
              <w:spacing w:line="260" w:lineRule="exact"/>
            </w:pPr>
            <w:r w:rsidRPr="003237C5">
              <w:t>S</w:t>
            </w:r>
            <w:r w:rsidR="004D0AB0" w:rsidRPr="003237C5">
              <w:t>ection</w:t>
            </w:r>
            <w:r w:rsidRPr="003237C5">
              <w:t xml:space="preserve"> 5.25</w:t>
            </w:r>
            <w:r w:rsidRPr="003237C5">
              <w:tab/>
            </w:r>
          </w:p>
        </w:tc>
        <w:tc>
          <w:tcPr>
            <w:tcW w:w="3405" w:type="pct"/>
            <w:shd w:val="clear" w:color="auto" w:fill="auto"/>
          </w:tcPr>
          <w:p w14:paraId="7CEE61D0" w14:textId="77777777" w:rsidR="00075DD8" w:rsidRPr="003237C5" w:rsidRDefault="00641151" w:rsidP="000D7CD2">
            <w:pPr>
              <w:pStyle w:val="TableOfAmend"/>
              <w:spacing w:line="260" w:lineRule="exact"/>
              <w:ind w:left="0" w:firstLine="0"/>
            </w:pPr>
            <w:r w:rsidRPr="003237C5">
              <w:t>rs</w:t>
            </w:r>
            <w:r w:rsidR="00075DD8" w:rsidRPr="003237C5">
              <w:t xml:space="preserve"> F2013L01508</w:t>
            </w:r>
          </w:p>
        </w:tc>
      </w:tr>
      <w:tr w:rsidR="00075DD8" w:rsidRPr="003237C5" w14:paraId="7D3E8369" w14:textId="77777777" w:rsidTr="00584BB1">
        <w:trPr>
          <w:cantSplit/>
        </w:trPr>
        <w:tc>
          <w:tcPr>
            <w:tcW w:w="1595" w:type="pct"/>
            <w:shd w:val="clear" w:color="auto" w:fill="auto"/>
          </w:tcPr>
          <w:p w14:paraId="7A28B280" w14:textId="168E4334" w:rsidR="00075DD8" w:rsidRPr="003237C5" w:rsidRDefault="00075DD8" w:rsidP="000D7CD2">
            <w:pPr>
              <w:pStyle w:val="TableOfAmend"/>
              <w:spacing w:line="260" w:lineRule="exact"/>
            </w:pPr>
            <w:r w:rsidRPr="003237C5">
              <w:t>S</w:t>
            </w:r>
            <w:r w:rsidR="004D0AB0" w:rsidRPr="003237C5">
              <w:t>ection</w:t>
            </w:r>
            <w:r w:rsidRPr="003237C5">
              <w:t xml:space="preserve"> 5.35</w:t>
            </w:r>
            <w:r w:rsidRPr="003237C5">
              <w:tab/>
            </w:r>
          </w:p>
        </w:tc>
        <w:tc>
          <w:tcPr>
            <w:tcW w:w="3405" w:type="pct"/>
            <w:shd w:val="clear" w:color="auto" w:fill="auto"/>
          </w:tcPr>
          <w:p w14:paraId="0654C60D" w14:textId="77777777" w:rsidR="00075DD8" w:rsidRPr="003237C5" w:rsidRDefault="00641151" w:rsidP="000D7CD2">
            <w:pPr>
              <w:pStyle w:val="TableOfAmend"/>
              <w:spacing w:line="260" w:lineRule="exact"/>
              <w:ind w:left="0" w:firstLine="0"/>
            </w:pPr>
            <w:r w:rsidRPr="003237C5">
              <w:t>ad</w:t>
            </w:r>
            <w:r w:rsidR="00075DD8" w:rsidRPr="003237C5">
              <w:t xml:space="preserve"> F2013L01508</w:t>
            </w:r>
          </w:p>
        </w:tc>
      </w:tr>
      <w:tr w:rsidR="00075DD8" w:rsidRPr="003237C5" w14:paraId="53768AEB" w14:textId="77777777" w:rsidTr="00584BB1">
        <w:trPr>
          <w:cantSplit/>
        </w:trPr>
        <w:tc>
          <w:tcPr>
            <w:tcW w:w="1595" w:type="pct"/>
            <w:shd w:val="clear" w:color="auto" w:fill="auto"/>
          </w:tcPr>
          <w:p w14:paraId="6244572B" w14:textId="77777777" w:rsidR="00075DD8" w:rsidRPr="003237C5" w:rsidRDefault="00075DD8" w:rsidP="000D7CD2">
            <w:pPr>
              <w:pStyle w:val="TableOfAmend"/>
              <w:spacing w:line="260" w:lineRule="exact"/>
              <w:rPr>
                <w:b/>
              </w:rPr>
            </w:pPr>
            <w:r w:rsidRPr="003237C5">
              <w:rPr>
                <w:b/>
              </w:rPr>
              <w:t>Chapter 8</w:t>
            </w:r>
          </w:p>
        </w:tc>
        <w:tc>
          <w:tcPr>
            <w:tcW w:w="3405" w:type="pct"/>
            <w:shd w:val="clear" w:color="auto" w:fill="auto"/>
          </w:tcPr>
          <w:p w14:paraId="72D0E88E" w14:textId="77777777" w:rsidR="00075DD8" w:rsidRPr="003237C5" w:rsidRDefault="00075DD8" w:rsidP="000D7CD2">
            <w:pPr>
              <w:pStyle w:val="TableOfAmend"/>
              <w:spacing w:line="260" w:lineRule="exact"/>
              <w:ind w:left="0" w:firstLine="0"/>
            </w:pPr>
          </w:p>
        </w:tc>
      </w:tr>
      <w:tr w:rsidR="00075DD8" w:rsidRPr="003237C5" w14:paraId="197E5126" w14:textId="77777777" w:rsidTr="00584BB1">
        <w:trPr>
          <w:cantSplit/>
        </w:trPr>
        <w:tc>
          <w:tcPr>
            <w:tcW w:w="1595" w:type="pct"/>
            <w:shd w:val="clear" w:color="auto" w:fill="auto"/>
          </w:tcPr>
          <w:p w14:paraId="05BC329D" w14:textId="77777777" w:rsidR="00075DD8" w:rsidRPr="003237C5" w:rsidRDefault="00075DD8" w:rsidP="000D7CD2">
            <w:pPr>
              <w:pStyle w:val="TableOfAmend"/>
              <w:spacing w:line="260" w:lineRule="exact"/>
            </w:pPr>
            <w:r w:rsidRPr="003237C5">
              <w:t>Chapter 8</w:t>
            </w:r>
            <w:r w:rsidRPr="003237C5">
              <w:tab/>
            </w:r>
          </w:p>
        </w:tc>
        <w:tc>
          <w:tcPr>
            <w:tcW w:w="3405" w:type="pct"/>
            <w:shd w:val="clear" w:color="auto" w:fill="auto"/>
          </w:tcPr>
          <w:p w14:paraId="1FEE7153" w14:textId="3AA03436"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rs F2020L01633</w:t>
            </w:r>
          </w:p>
        </w:tc>
      </w:tr>
      <w:tr w:rsidR="00075DD8" w:rsidRPr="003237C5" w14:paraId="23B4EEBF" w14:textId="77777777" w:rsidTr="00584BB1">
        <w:trPr>
          <w:cantSplit/>
        </w:trPr>
        <w:tc>
          <w:tcPr>
            <w:tcW w:w="1595" w:type="pct"/>
            <w:shd w:val="clear" w:color="auto" w:fill="auto"/>
          </w:tcPr>
          <w:p w14:paraId="1DFBEA09" w14:textId="74903945" w:rsidR="00075DD8" w:rsidRPr="003237C5" w:rsidRDefault="00075DD8" w:rsidP="000D7CD2">
            <w:pPr>
              <w:pStyle w:val="TableOfAmend"/>
              <w:spacing w:line="260" w:lineRule="exact"/>
            </w:pPr>
            <w:r w:rsidRPr="003237C5">
              <w:t>S</w:t>
            </w:r>
            <w:r w:rsidR="004D0AB0" w:rsidRPr="003237C5">
              <w:t>ection</w:t>
            </w:r>
            <w:r w:rsidRPr="003237C5">
              <w:t xml:space="preserve"> 8.1</w:t>
            </w:r>
            <w:r w:rsidRPr="003237C5">
              <w:tab/>
            </w:r>
          </w:p>
        </w:tc>
        <w:tc>
          <w:tcPr>
            <w:tcW w:w="3405" w:type="pct"/>
            <w:shd w:val="clear" w:color="auto" w:fill="auto"/>
          </w:tcPr>
          <w:p w14:paraId="644E1CD4"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97B5B00" w14:textId="77777777" w:rsidTr="00584BB1">
        <w:trPr>
          <w:cantSplit/>
        </w:trPr>
        <w:tc>
          <w:tcPr>
            <w:tcW w:w="1595" w:type="pct"/>
            <w:shd w:val="clear" w:color="auto" w:fill="auto"/>
          </w:tcPr>
          <w:p w14:paraId="6F37E748" w14:textId="5E65797C" w:rsidR="00075DD8" w:rsidRPr="003237C5" w:rsidRDefault="00075DD8" w:rsidP="000D7CD2">
            <w:pPr>
              <w:pStyle w:val="TableOfAmend"/>
              <w:spacing w:line="260" w:lineRule="exact"/>
            </w:pPr>
            <w:r w:rsidRPr="003237C5">
              <w:t>Par</w:t>
            </w:r>
            <w:r w:rsidR="007D116A" w:rsidRPr="003237C5">
              <w:t>a</w:t>
            </w:r>
            <w:r w:rsidRPr="003237C5">
              <w:t>graph 8.1.1.</w:t>
            </w:r>
            <w:r w:rsidRPr="003237C5">
              <w:tab/>
            </w:r>
          </w:p>
        </w:tc>
        <w:tc>
          <w:tcPr>
            <w:tcW w:w="3405" w:type="pct"/>
            <w:shd w:val="clear" w:color="auto" w:fill="auto"/>
          </w:tcPr>
          <w:p w14:paraId="4EB0A373" w14:textId="0A5178BF"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am F2020L01633</w:t>
            </w:r>
          </w:p>
        </w:tc>
      </w:tr>
      <w:tr w:rsidR="00075DD8" w:rsidRPr="003237C5" w14:paraId="40E7519E" w14:textId="77777777" w:rsidTr="00584BB1">
        <w:trPr>
          <w:cantSplit/>
        </w:trPr>
        <w:tc>
          <w:tcPr>
            <w:tcW w:w="1595" w:type="pct"/>
            <w:shd w:val="clear" w:color="auto" w:fill="auto"/>
          </w:tcPr>
          <w:p w14:paraId="3C5F023E" w14:textId="1236CCB5" w:rsidR="00075DD8" w:rsidRPr="003237C5" w:rsidRDefault="00075DD8" w:rsidP="000D7CD2">
            <w:pPr>
              <w:pStyle w:val="TableOfAmend"/>
              <w:spacing w:line="260" w:lineRule="exact"/>
            </w:pPr>
            <w:r w:rsidRPr="003237C5">
              <w:t>S</w:t>
            </w:r>
            <w:r w:rsidR="004D0AB0" w:rsidRPr="003237C5">
              <w:t>ection</w:t>
            </w:r>
            <w:r w:rsidRPr="003237C5">
              <w:t xml:space="preserve"> 8.2</w:t>
            </w:r>
            <w:r w:rsidRPr="003237C5">
              <w:tab/>
            </w:r>
          </w:p>
        </w:tc>
        <w:tc>
          <w:tcPr>
            <w:tcW w:w="3405" w:type="pct"/>
            <w:shd w:val="clear" w:color="auto" w:fill="auto"/>
          </w:tcPr>
          <w:p w14:paraId="23E5C5F0"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2CC40155" w14:textId="77777777" w:rsidTr="00584BB1">
        <w:trPr>
          <w:cantSplit/>
        </w:trPr>
        <w:tc>
          <w:tcPr>
            <w:tcW w:w="1595" w:type="pct"/>
            <w:shd w:val="clear" w:color="auto" w:fill="auto"/>
          </w:tcPr>
          <w:p w14:paraId="0532F48B" w14:textId="75F284A0" w:rsidR="00075DD8" w:rsidRPr="003237C5" w:rsidRDefault="00075DD8" w:rsidP="000D7CD2">
            <w:pPr>
              <w:pStyle w:val="TableOfAmend"/>
              <w:spacing w:line="260" w:lineRule="exact"/>
            </w:pPr>
            <w:r w:rsidRPr="003237C5">
              <w:t>Par</w:t>
            </w:r>
            <w:r w:rsidR="007D116A" w:rsidRPr="003237C5">
              <w:t>a</w:t>
            </w:r>
            <w:r w:rsidRPr="003237C5">
              <w:t>graph 8.2.1.</w:t>
            </w:r>
            <w:r w:rsidRPr="003237C5">
              <w:tab/>
            </w:r>
          </w:p>
        </w:tc>
        <w:tc>
          <w:tcPr>
            <w:tcW w:w="3405" w:type="pct"/>
            <w:shd w:val="clear" w:color="auto" w:fill="auto"/>
          </w:tcPr>
          <w:p w14:paraId="0EDC1951" w14:textId="4F029E83"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am F2020L01633</w:t>
            </w:r>
          </w:p>
        </w:tc>
      </w:tr>
      <w:tr w:rsidR="00075DD8" w:rsidRPr="003237C5" w14:paraId="38F3E92E" w14:textId="77777777" w:rsidTr="00584BB1">
        <w:trPr>
          <w:cantSplit/>
        </w:trPr>
        <w:tc>
          <w:tcPr>
            <w:tcW w:w="1595" w:type="pct"/>
            <w:shd w:val="clear" w:color="auto" w:fill="auto"/>
          </w:tcPr>
          <w:p w14:paraId="7673E99A" w14:textId="47B68EFA" w:rsidR="00075DD8" w:rsidRPr="003237C5" w:rsidRDefault="00075DD8" w:rsidP="000D7CD2">
            <w:pPr>
              <w:pStyle w:val="TableOfAmend"/>
              <w:spacing w:line="260" w:lineRule="exact"/>
            </w:pPr>
            <w:r w:rsidRPr="003237C5">
              <w:t>Par</w:t>
            </w:r>
            <w:r w:rsidR="004D0AB0" w:rsidRPr="003237C5">
              <w:t>a</w:t>
            </w:r>
            <w:r w:rsidRPr="003237C5">
              <w:t>graph 8.2.5.</w:t>
            </w:r>
            <w:r w:rsidRPr="003237C5">
              <w:tab/>
            </w:r>
          </w:p>
        </w:tc>
        <w:tc>
          <w:tcPr>
            <w:tcW w:w="3405" w:type="pct"/>
            <w:shd w:val="clear" w:color="auto" w:fill="auto"/>
          </w:tcPr>
          <w:p w14:paraId="57D59CF9"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21EBE2E" w14:textId="77777777" w:rsidTr="00584BB1">
        <w:trPr>
          <w:cantSplit/>
        </w:trPr>
        <w:tc>
          <w:tcPr>
            <w:tcW w:w="1595" w:type="pct"/>
            <w:shd w:val="clear" w:color="auto" w:fill="auto"/>
          </w:tcPr>
          <w:p w14:paraId="004552B2" w14:textId="73D6F49E" w:rsidR="00075DD8" w:rsidRPr="003237C5" w:rsidRDefault="00075DD8" w:rsidP="000D7CD2">
            <w:pPr>
              <w:pStyle w:val="TableOfAmend"/>
              <w:spacing w:line="260" w:lineRule="exact"/>
            </w:pPr>
            <w:r w:rsidRPr="003237C5">
              <w:t>Par</w:t>
            </w:r>
            <w:r w:rsidR="007D116A" w:rsidRPr="003237C5">
              <w:t>a</w:t>
            </w:r>
            <w:r w:rsidRPr="003237C5">
              <w:t>graph 8.2.10.</w:t>
            </w:r>
            <w:r w:rsidRPr="003237C5">
              <w:tab/>
            </w:r>
          </w:p>
        </w:tc>
        <w:tc>
          <w:tcPr>
            <w:tcW w:w="3405" w:type="pct"/>
            <w:shd w:val="clear" w:color="auto" w:fill="auto"/>
          </w:tcPr>
          <w:p w14:paraId="7E8226FD"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1C79479A" w14:textId="77777777" w:rsidTr="00584BB1">
        <w:trPr>
          <w:cantSplit/>
        </w:trPr>
        <w:tc>
          <w:tcPr>
            <w:tcW w:w="1595" w:type="pct"/>
            <w:shd w:val="clear" w:color="auto" w:fill="auto"/>
          </w:tcPr>
          <w:p w14:paraId="5072E61E" w14:textId="18735367" w:rsidR="00075DD8" w:rsidRPr="003237C5" w:rsidRDefault="00075DD8" w:rsidP="000D7CD2">
            <w:pPr>
              <w:pStyle w:val="TableOfAmend"/>
              <w:spacing w:line="260" w:lineRule="exact"/>
            </w:pPr>
            <w:r w:rsidRPr="003237C5">
              <w:t>Par</w:t>
            </w:r>
            <w:r w:rsidR="007D116A" w:rsidRPr="003237C5">
              <w:t>a</w:t>
            </w:r>
            <w:r w:rsidRPr="003237C5">
              <w:t>graph 8.2.15.</w:t>
            </w:r>
            <w:r w:rsidRPr="003237C5">
              <w:tab/>
            </w:r>
          </w:p>
        </w:tc>
        <w:tc>
          <w:tcPr>
            <w:tcW w:w="3405" w:type="pct"/>
            <w:shd w:val="clear" w:color="auto" w:fill="auto"/>
          </w:tcPr>
          <w:p w14:paraId="62F2ECF4"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37BE8DB3" w14:textId="77777777" w:rsidTr="00584BB1">
        <w:trPr>
          <w:cantSplit/>
        </w:trPr>
        <w:tc>
          <w:tcPr>
            <w:tcW w:w="1595" w:type="pct"/>
            <w:shd w:val="clear" w:color="auto" w:fill="auto"/>
          </w:tcPr>
          <w:p w14:paraId="73BC9531" w14:textId="1B534F97" w:rsidR="00075DD8" w:rsidRPr="003237C5" w:rsidRDefault="00075DD8" w:rsidP="000D7CD2">
            <w:pPr>
              <w:pStyle w:val="TableOfAmend"/>
              <w:spacing w:line="260" w:lineRule="exact"/>
            </w:pPr>
            <w:r w:rsidRPr="003237C5">
              <w:t>Par</w:t>
            </w:r>
            <w:r w:rsidR="007D116A" w:rsidRPr="003237C5">
              <w:t>a</w:t>
            </w:r>
            <w:r w:rsidRPr="003237C5">
              <w:t>graph 8.2.20.</w:t>
            </w:r>
            <w:r w:rsidRPr="003237C5">
              <w:tab/>
            </w:r>
          </w:p>
        </w:tc>
        <w:tc>
          <w:tcPr>
            <w:tcW w:w="3405" w:type="pct"/>
            <w:shd w:val="clear" w:color="auto" w:fill="auto"/>
          </w:tcPr>
          <w:p w14:paraId="24B46620"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9F2CEBA" w14:textId="77777777" w:rsidTr="00584BB1">
        <w:trPr>
          <w:cantSplit/>
        </w:trPr>
        <w:tc>
          <w:tcPr>
            <w:tcW w:w="1595" w:type="pct"/>
            <w:shd w:val="clear" w:color="auto" w:fill="auto"/>
          </w:tcPr>
          <w:p w14:paraId="244EEF16" w14:textId="623E78D7" w:rsidR="00075DD8" w:rsidRPr="003237C5" w:rsidRDefault="00075DD8" w:rsidP="000D7CD2">
            <w:pPr>
              <w:pStyle w:val="TableOfAmend"/>
              <w:spacing w:line="260" w:lineRule="exact"/>
            </w:pPr>
            <w:r w:rsidRPr="003237C5">
              <w:t>S</w:t>
            </w:r>
            <w:r w:rsidR="004D0AB0" w:rsidRPr="003237C5">
              <w:t>ection</w:t>
            </w:r>
            <w:r w:rsidRPr="003237C5">
              <w:t xml:space="preserve"> 8.3</w:t>
            </w:r>
            <w:r w:rsidRPr="003237C5">
              <w:tab/>
            </w:r>
          </w:p>
        </w:tc>
        <w:tc>
          <w:tcPr>
            <w:tcW w:w="3405" w:type="pct"/>
            <w:shd w:val="clear" w:color="auto" w:fill="auto"/>
          </w:tcPr>
          <w:p w14:paraId="0336D76B"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52AE6951" w14:textId="77777777" w:rsidTr="00584BB1">
        <w:trPr>
          <w:cantSplit/>
        </w:trPr>
        <w:tc>
          <w:tcPr>
            <w:tcW w:w="1595" w:type="pct"/>
            <w:shd w:val="clear" w:color="auto" w:fill="auto"/>
          </w:tcPr>
          <w:p w14:paraId="22F1B1E1" w14:textId="66211E08" w:rsidR="00075DD8" w:rsidRPr="003237C5" w:rsidRDefault="00075DD8" w:rsidP="000D7CD2">
            <w:pPr>
              <w:pStyle w:val="TableOfAmend"/>
              <w:spacing w:line="260" w:lineRule="exact"/>
            </w:pPr>
            <w:r w:rsidRPr="003237C5">
              <w:t>Par</w:t>
            </w:r>
            <w:r w:rsidR="007D116A" w:rsidRPr="003237C5">
              <w:t>a</w:t>
            </w:r>
            <w:r w:rsidRPr="003237C5">
              <w:t>graph 8.3.1.</w:t>
            </w:r>
            <w:r w:rsidRPr="003237C5">
              <w:tab/>
            </w:r>
          </w:p>
        </w:tc>
        <w:tc>
          <w:tcPr>
            <w:tcW w:w="3405" w:type="pct"/>
            <w:shd w:val="clear" w:color="auto" w:fill="auto"/>
          </w:tcPr>
          <w:p w14:paraId="2D41DC55" w14:textId="108C0683"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am F2020L01633</w:t>
            </w:r>
          </w:p>
        </w:tc>
      </w:tr>
      <w:tr w:rsidR="00075DD8" w:rsidRPr="003237C5" w14:paraId="494F5475" w14:textId="77777777" w:rsidTr="00584BB1">
        <w:trPr>
          <w:cantSplit/>
        </w:trPr>
        <w:tc>
          <w:tcPr>
            <w:tcW w:w="1595" w:type="pct"/>
            <w:shd w:val="clear" w:color="auto" w:fill="auto"/>
          </w:tcPr>
          <w:p w14:paraId="080B2A5C" w14:textId="43EDBF18" w:rsidR="00075DD8" w:rsidRPr="003237C5" w:rsidRDefault="00075DD8" w:rsidP="000D7CD2">
            <w:pPr>
              <w:pStyle w:val="TableOfAmend"/>
              <w:spacing w:line="260" w:lineRule="exact"/>
            </w:pPr>
            <w:r w:rsidRPr="003237C5">
              <w:t>S</w:t>
            </w:r>
            <w:r w:rsidR="004D0AB0" w:rsidRPr="003237C5">
              <w:t>ection</w:t>
            </w:r>
            <w:r w:rsidRPr="003237C5">
              <w:t xml:space="preserve"> 8.4</w:t>
            </w:r>
            <w:r w:rsidRPr="003237C5">
              <w:tab/>
            </w:r>
          </w:p>
        </w:tc>
        <w:tc>
          <w:tcPr>
            <w:tcW w:w="3405" w:type="pct"/>
            <w:shd w:val="clear" w:color="auto" w:fill="auto"/>
          </w:tcPr>
          <w:p w14:paraId="2F64CE69"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1630D7DB" w14:textId="77777777" w:rsidTr="00584BB1">
        <w:trPr>
          <w:cantSplit/>
        </w:trPr>
        <w:tc>
          <w:tcPr>
            <w:tcW w:w="1595" w:type="pct"/>
            <w:shd w:val="clear" w:color="auto" w:fill="auto"/>
          </w:tcPr>
          <w:p w14:paraId="0367DCD5" w14:textId="1F8A125E" w:rsidR="00075DD8" w:rsidRPr="003237C5" w:rsidRDefault="00075DD8" w:rsidP="000D7CD2">
            <w:pPr>
              <w:pStyle w:val="TableOfAmend"/>
              <w:spacing w:line="260" w:lineRule="exact"/>
            </w:pPr>
            <w:r w:rsidRPr="003237C5">
              <w:t>Par</w:t>
            </w:r>
            <w:r w:rsidR="007D116A" w:rsidRPr="003237C5">
              <w:t>a</w:t>
            </w:r>
            <w:r w:rsidRPr="003237C5">
              <w:t>graph 8.4.1.</w:t>
            </w:r>
            <w:r w:rsidRPr="003237C5">
              <w:tab/>
            </w:r>
          </w:p>
        </w:tc>
        <w:tc>
          <w:tcPr>
            <w:tcW w:w="3405" w:type="pct"/>
            <w:shd w:val="clear" w:color="auto" w:fill="auto"/>
          </w:tcPr>
          <w:p w14:paraId="428F8011" w14:textId="2C941E96"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am F2020L01633</w:t>
            </w:r>
          </w:p>
        </w:tc>
      </w:tr>
      <w:tr w:rsidR="00075DD8" w:rsidRPr="003237C5" w14:paraId="4EC9A35B" w14:textId="77777777" w:rsidTr="00584BB1">
        <w:trPr>
          <w:cantSplit/>
        </w:trPr>
        <w:tc>
          <w:tcPr>
            <w:tcW w:w="1595" w:type="pct"/>
            <w:shd w:val="clear" w:color="auto" w:fill="auto"/>
          </w:tcPr>
          <w:p w14:paraId="6AD5B191" w14:textId="2A25FA7F" w:rsidR="00075DD8" w:rsidRPr="003237C5" w:rsidRDefault="00075DD8" w:rsidP="000D7CD2">
            <w:pPr>
              <w:pStyle w:val="TableOfAmend"/>
              <w:spacing w:line="260" w:lineRule="exact"/>
            </w:pPr>
            <w:r w:rsidRPr="003237C5">
              <w:t>S</w:t>
            </w:r>
            <w:r w:rsidR="004D0AB0" w:rsidRPr="003237C5">
              <w:t>ection</w:t>
            </w:r>
            <w:r w:rsidRPr="003237C5">
              <w:t xml:space="preserve"> 8.5</w:t>
            </w:r>
            <w:r w:rsidRPr="003237C5">
              <w:tab/>
            </w:r>
          </w:p>
        </w:tc>
        <w:tc>
          <w:tcPr>
            <w:tcW w:w="3405" w:type="pct"/>
            <w:shd w:val="clear" w:color="auto" w:fill="auto"/>
          </w:tcPr>
          <w:p w14:paraId="2309ECAE"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33EE171" w14:textId="77777777" w:rsidTr="00584BB1">
        <w:trPr>
          <w:cantSplit/>
        </w:trPr>
        <w:tc>
          <w:tcPr>
            <w:tcW w:w="1595" w:type="pct"/>
            <w:shd w:val="clear" w:color="auto" w:fill="auto"/>
          </w:tcPr>
          <w:p w14:paraId="288CB33A" w14:textId="0EEF647D" w:rsidR="00075DD8" w:rsidRPr="003237C5" w:rsidRDefault="00075DD8" w:rsidP="000D7CD2">
            <w:pPr>
              <w:pStyle w:val="TableOfAmend"/>
              <w:spacing w:line="260" w:lineRule="exact"/>
            </w:pPr>
            <w:r w:rsidRPr="003237C5">
              <w:lastRenderedPageBreak/>
              <w:t>Par</w:t>
            </w:r>
            <w:r w:rsidR="007D116A" w:rsidRPr="003237C5">
              <w:t>a</w:t>
            </w:r>
            <w:r w:rsidRPr="003237C5">
              <w:t>graph 8.5.1.</w:t>
            </w:r>
            <w:r w:rsidRPr="003237C5">
              <w:tab/>
            </w:r>
          </w:p>
        </w:tc>
        <w:tc>
          <w:tcPr>
            <w:tcW w:w="3405" w:type="pct"/>
            <w:shd w:val="clear" w:color="auto" w:fill="auto"/>
          </w:tcPr>
          <w:p w14:paraId="38C47164"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5C770EED" w14:textId="77777777" w:rsidTr="00584BB1">
        <w:trPr>
          <w:cantSplit/>
        </w:trPr>
        <w:tc>
          <w:tcPr>
            <w:tcW w:w="1595" w:type="pct"/>
            <w:shd w:val="clear" w:color="auto" w:fill="auto"/>
          </w:tcPr>
          <w:p w14:paraId="7E5B9D44" w14:textId="10EEB5B4" w:rsidR="00075DD8" w:rsidRPr="003237C5" w:rsidRDefault="00075DD8" w:rsidP="000D7CD2">
            <w:pPr>
              <w:pStyle w:val="TableOfAmend"/>
              <w:spacing w:line="260" w:lineRule="exact"/>
            </w:pPr>
            <w:r w:rsidRPr="003237C5">
              <w:t>Par</w:t>
            </w:r>
            <w:r w:rsidR="007D116A" w:rsidRPr="003237C5">
              <w:t>a</w:t>
            </w:r>
            <w:r w:rsidRPr="003237C5">
              <w:t>graph 8.5.5.</w:t>
            </w:r>
            <w:r w:rsidRPr="003237C5">
              <w:tab/>
            </w:r>
          </w:p>
        </w:tc>
        <w:tc>
          <w:tcPr>
            <w:tcW w:w="3405" w:type="pct"/>
            <w:shd w:val="clear" w:color="auto" w:fill="auto"/>
          </w:tcPr>
          <w:p w14:paraId="1BAD2527"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369C844C" w14:textId="77777777" w:rsidTr="00584BB1">
        <w:trPr>
          <w:cantSplit/>
        </w:trPr>
        <w:tc>
          <w:tcPr>
            <w:tcW w:w="1595" w:type="pct"/>
            <w:shd w:val="clear" w:color="auto" w:fill="auto"/>
          </w:tcPr>
          <w:p w14:paraId="5E84780E" w14:textId="30BD66E6" w:rsidR="00075DD8" w:rsidRPr="003237C5" w:rsidRDefault="00075DD8" w:rsidP="000D7CD2">
            <w:pPr>
              <w:pStyle w:val="TableOfAmend"/>
              <w:spacing w:line="260" w:lineRule="exact"/>
            </w:pPr>
            <w:r w:rsidRPr="003237C5">
              <w:t>Par</w:t>
            </w:r>
            <w:r w:rsidR="007D116A" w:rsidRPr="003237C5">
              <w:t>a</w:t>
            </w:r>
            <w:r w:rsidRPr="003237C5">
              <w:t>graph 8.5.10.</w:t>
            </w:r>
            <w:r w:rsidRPr="003237C5">
              <w:tab/>
            </w:r>
          </w:p>
        </w:tc>
        <w:tc>
          <w:tcPr>
            <w:tcW w:w="3405" w:type="pct"/>
            <w:shd w:val="clear" w:color="auto" w:fill="auto"/>
          </w:tcPr>
          <w:p w14:paraId="1AFEA8C0"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E37EA0B" w14:textId="77777777" w:rsidTr="00584BB1">
        <w:trPr>
          <w:cantSplit/>
        </w:trPr>
        <w:tc>
          <w:tcPr>
            <w:tcW w:w="1595" w:type="pct"/>
            <w:shd w:val="clear" w:color="auto" w:fill="auto"/>
          </w:tcPr>
          <w:p w14:paraId="2D8C3A71" w14:textId="6D215B58" w:rsidR="00075DD8" w:rsidRPr="003237C5" w:rsidRDefault="00075DD8" w:rsidP="000D7CD2">
            <w:pPr>
              <w:pStyle w:val="TableOfAmend"/>
              <w:spacing w:line="260" w:lineRule="exact"/>
            </w:pPr>
            <w:r w:rsidRPr="003237C5">
              <w:t>Par</w:t>
            </w:r>
            <w:r w:rsidR="007D116A" w:rsidRPr="003237C5">
              <w:t>a</w:t>
            </w:r>
            <w:r w:rsidRPr="003237C5">
              <w:t>graph 8.5.15.</w:t>
            </w:r>
            <w:r w:rsidRPr="003237C5">
              <w:tab/>
            </w:r>
          </w:p>
        </w:tc>
        <w:tc>
          <w:tcPr>
            <w:tcW w:w="3405" w:type="pct"/>
            <w:shd w:val="clear" w:color="auto" w:fill="auto"/>
          </w:tcPr>
          <w:p w14:paraId="77AACAED"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29D8D715" w14:textId="77777777" w:rsidTr="00584BB1">
        <w:trPr>
          <w:cantSplit/>
        </w:trPr>
        <w:tc>
          <w:tcPr>
            <w:tcW w:w="1595" w:type="pct"/>
            <w:shd w:val="clear" w:color="auto" w:fill="auto"/>
          </w:tcPr>
          <w:p w14:paraId="721AA340" w14:textId="402E25BA" w:rsidR="00075DD8" w:rsidRPr="003237C5" w:rsidRDefault="00075DD8" w:rsidP="000D7CD2">
            <w:pPr>
              <w:pStyle w:val="TableOfAmend"/>
              <w:spacing w:line="260" w:lineRule="exact"/>
            </w:pPr>
            <w:r w:rsidRPr="003237C5">
              <w:t>S</w:t>
            </w:r>
            <w:r w:rsidR="004D0AB0" w:rsidRPr="003237C5">
              <w:t>ection</w:t>
            </w:r>
            <w:r w:rsidRPr="003237C5">
              <w:t xml:space="preserve"> 8.6</w:t>
            </w:r>
            <w:r w:rsidRPr="003237C5">
              <w:tab/>
            </w:r>
          </w:p>
        </w:tc>
        <w:tc>
          <w:tcPr>
            <w:tcW w:w="3405" w:type="pct"/>
            <w:shd w:val="clear" w:color="auto" w:fill="auto"/>
          </w:tcPr>
          <w:p w14:paraId="02F5C6D0"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3C3B806A" w14:textId="77777777" w:rsidTr="00584BB1">
        <w:trPr>
          <w:cantSplit/>
        </w:trPr>
        <w:tc>
          <w:tcPr>
            <w:tcW w:w="1595" w:type="pct"/>
            <w:shd w:val="clear" w:color="auto" w:fill="auto"/>
          </w:tcPr>
          <w:p w14:paraId="7EBFF8F9" w14:textId="456A2BD5" w:rsidR="00075DD8" w:rsidRPr="003237C5" w:rsidRDefault="00075DD8" w:rsidP="000D7CD2">
            <w:pPr>
              <w:pStyle w:val="TableOfAmend"/>
              <w:spacing w:line="260" w:lineRule="exact"/>
            </w:pPr>
            <w:r w:rsidRPr="003237C5">
              <w:t>Par</w:t>
            </w:r>
            <w:r w:rsidR="004D0AB0" w:rsidRPr="003237C5">
              <w:t>a</w:t>
            </w:r>
            <w:r w:rsidRPr="003237C5">
              <w:t>graph 8.6.1.</w:t>
            </w:r>
            <w:r w:rsidRPr="003237C5">
              <w:tab/>
            </w:r>
          </w:p>
        </w:tc>
        <w:tc>
          <w:tcPr>
            <w:tcW w:w="3405" w:type="pct"/>
            <w:shd w:val="clear" w:color="auto" w:fill="auto"/>
          </w:tcPr>
          <w:p w14:paraId="25BF7014"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4D20A99B" w14:textId="77777777" w:rsidTr="00584BB1">
        <w:trPr>
          <w:cantSplit/>
        </w:trPr>
        <w:tc>
          <w:tcPr>
            <w:tcW w:w="1595" w:type="pct"/>
            <w:shd w:val="clear" w:color="auto" w:fill="auto"/>
          </w:tcPr>
          <w:p w14:paraId="51BA317B" w14:textId="33BA3E59" w:rsidR="00075DD8" w:rsidRPr="003237C5" w:rsidRDefault="00075DD8" w:rsidP="000D7CD2">
            <w:pPr>
              <w:pStyle w:val="TableOfAmend"/>
              <w:spacing w:line="260" w:lineRule="exact"/>
            </w:pPr>
            <w:r w:rsidRPr="003237C5">
              <w:t>Par</w:t>
            </w:r>
            <w:r w:rsidR="007D116A" w:rsidRPr="003237C5">
              <w:t>a</w:t>
            </w:r>
            <w:r w:rsidRPr="003237C5">
              <w:t>graph 8.6.5.</w:t>
            </w:r>
            <w:r w:rsidRPr="003237C5">
              <w:tab/>
            </w:r>
          </w:p>
        </w:tc>
        <w:tc>
          <w:tcPr>
            <w:tcW w:w="3405" w:type="pct"/>
            <w:shd w:val="clear" w:color="auto" w:fill="auto"/>
          </w:tcPr>
          <w:p w14:paraId="6F0926C1" w14:textId="616E3E58"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76173E" w:rsidRPr="003237C5">
              <w:rPr>
                <w:szCs w:val="22"/>
              </w:rPr>
              <w:t>; am F2020L01633</w:t>
            </w:r>
          </w:p>
        </w:tc>
      </w:tr>
      <w:tr w:rsidR="00075DD8" w:rsidRPr="003237C5" w14:paraId="66A94A1D" w14:textId="77777777" w:rsidTr="00584BB1">
        <w:trPr>
          <w:cantSplit/>
        </w:trPr>
        <w:tc>
          <w:tcPr>
            <w:tcW w:w="1595" w:type="pct"/>
            <w:shd w:val="clear" w:color="auto" w:fill="auto"/>
          </w:tcPr>
          <w:p w14:paraId="791783EF" w14:textId="0AF6AE15" w:rsidR="00075DD8" w:rsidRPr="003237C5" w:rsidRDefault="00075DD8" w:rsidP="000D7CD2">
            <w:pPr>
              <w:pStyle w:val="TableOfAmend"/>
              <w:spacing w:line="260" w:lineRule="exact"/>
            </w:pPr>
            <w:r w:rsidRPr="003237C5">
              <w:t>Par</w:t>
            </w:r>
            <w:r w:rsidR="007D116A" w:rsidRPr="003237C5">
              <w:t>a</w:t>
            </w:r>
            <w:r w:rsidRPr="003237C5">
              <w:t>graph 8.6.10.</w:t>
            </w:r>
            <w:r w:rsidRPr="003237C5">
              <w:tab/>
            </w:r>
          </w:p>
        </w:tc>
        <w:tc>
          <w:tcPr>
            <w:tcW w:w="3405" w:type="pct"/>
            <w:shd w:val="clear" w:color="auto" w:fill="auto"/>
          </w:tcPr>
          <w:p w14:paraId="162D65DB"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7301481D" w14:textId="77777777" w:rsidTr="00584BB1">
        <w:trPr>
          <w:cantSplit/>
        </w:trPr>
        <w:tc>
          <w:tcPr>
            <w:tcW w:w="1595" w:type="pct"/>
            <w:shd w:val="clear" w:color="auto" w:fill="auto"/>
          </w:tcPr>
          <w:p w14:paraId="078D2649" w14:textId="348115A0" w:rsidR="00075DD8" w:rsidRPr="003237C5" w:rsidRDefault="00075DD8" w:rsidP="000D7CD2">
            <w:pPr>
              <w:pStyle w:val="TableOfAmend"/>
              <w:spacing w:line="260" w:lineRule="exact"/>
            </w:pPr>
            <w:r w:rsidRPr="003237C5">
              <w:t>Par</w:t>
            </w:r>
            <w:r w:rsidR="007D116A" w:rsidRPr="003237C5">
              <w:t>a</w:t>
            </w:r>
            <w:r w:rsidRPr="003237C5">
              <w:t>graph 8.6.15.</w:t>
            </w:r>
            <w:r w:rsidRPr="003237C5">
              <w:tab/>
            </w:r>
          </w:p>
        </w:tc>
        <w:tc>
          <w:tcPr>
            <w:tcW w:w="3405" w:type="pct"/>
            <w:shd w:val="clear" w:color="auto" w:fill="auto"/>
          </w:tcPr>
          <w:p w14:paraId="4D0279A3"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46A9A864" w14:textId="77777777" w:rsidTr="00584BB1">
        <w:trPr>
          <w:cantSplit/>
        </w:trPr>
        <w:tc>
          <w:tcPr>
            <w:tcW w:w="1595" w:type="pct"/>
            <w:shd w:val="clear" w:color="auto" w:fill="auto"/>
          </w:tcPr>
          <w:p w14:paraId="133881F0" w14:textId="6DFE169E" w:rsidR="00075DD8" w:rsidRPr="003237C5" w:rsidRDefault="00075DD8" w:rsidP="000D7CD2">
            <w:pPr>
              <w:pStyle w:val="TableOfAmend"/>
              <w:spacing w:line="260" w:lineRule="exact"/>
            </w:pPr>
            <w:r w:rsidRPr="003237C5">
              <w:t>S</w:t>
            </w:r>
            <w:r w:rsidR="004D0AB0" w:rsidRPr="003237C5">
              <w:t xml:space="preserve">ection </w:t>
            </w:r>
            <w:r w:rsidRPr="003237C5">
              <w:t>8.7</w:t>
            </w:r>
            <w:r w:rsidRPr="003237C5">
              <w:tab/>
            </w:r>
          </w:p>
        </w:tc>
        <w:tc>
          <w:tcPr>
            <w:tcW w:w="3405" w:type="pct"/>
            <w:shd w:val="clear" w:color="auto" w:fill="auto"/>
          </w:tcPr>
          <w:p w14:paraId="79DDA256"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E3DC9C9" w14:textId="77777777" w:rsidTr="00584BB1">
        <w:trPr>
          <w:cantSplit/>
        </w:trPr>
        <w:tc>
          <w:tcPr>
            <w:tcW w:w="1595" w:type="pct"/>
            <w:shd w:val="clear" w:color="auto" w:fill="auto"/>
          </w:tcPr>
          <w:p w14:paraId="75ADD493" w14:textId="5727653A" w:rsidR="00075DD8" w:rsidRPr="003237C5" w:rsidRDefault="00075DD8" w:rsidP="000D7CD2">
            <w:pPr>
              <w:pStyle w:val="TableOfAmend"/>
              <w:spacing w:line="260" w:lineRule="exact"/>
            </w:pPr>
            <w:r w:rsidRPr="003237C5">
              <w:t>Par</w:t>
            </w:r>
            <w:r w:rsidR="007D116A" w:rsidRPr="003237C5">
              <w:t>a</w:t>
            </w:r>
            <w:r w:rsidRPr="003237C5">
              <w:t>graph 8.7.1.</w:t>
            </w:r>
            <w:r w:rsidRPr="003237C5">
              <w:tab/>
            </w:r>
          </w:p>
        </w:tc>
        <w:tc>
          <w:tcPr>
            <w:tcW w:w="3405" w:type="pct"/>
            <w:shd w:val="clear" w:color="auto" w:fill="auto"/>
          </w:tcPr>
          <w:p w14:paraId="28C0F9D9"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3E2B6345" w14:textId="77777777" w:rsidTr="00584BB1">
        <w:trPr>
          <w:cantSplit/>
        </w:trPr>
        <w:tc>
          <w:tcPr>
            <w:tcW w:w="1595" w:type="pct"/>
            <w:shd w:val="clear" w:color="auto" w:fill="auto"/>
          </w:tcPr>
          <w:p w14:paraId="7372D039" w14:textId="1D635490" w:rsidR="00075DD8" w:rsidRPr="003237C5" w:rsidRDefault="00075DD8" w:rsidP="000D7CD2">
            <w:pPr>
              <w:pStyle w:val="TableOfAmend"/>
              <w:spacing w:line="260" w:lineRule="exact"/>
            </w:pPr>
            <w:r w:rsidRPr="003237C5">
              <w:t>Par</w:t>
            </w:r>
            <w:r w:rsidR="007D116A" w:rsidRPr="003237C5">
              <w:t>a</w:t>
            </w:r>
            <w:r w:rsidRPr="003237C5">
              <w:t>graph 8.7.5.</w:t>
            </w:r>
            <w:r w:rsidRPr="003237C5">
              <w:tab/>
            </w:r>
          </w:p>
        </w:tc>
        <w:tc>
          <w:tcPr>
            <w:tcW w:w="3405" w:type="pct"/>
            <w:shd w:val="clear" w:color="auto" w:fill="auto"/>
          </w:tcPr>
          <w:p w14:paraId="16AB215B" w14:textId="7F573AF3"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D64B85" w:rsidRPr="003237C5">
              <w:rPr>
                <w:szCs w:val="22"/>
              </w:rPr>
              <w:t>; am F2020L01633</w:t>
            </w:r>
          </w:p>
        </w:tc>
      </w:tr>
      <w:tr w:rsidR="00075DD8" w:rsidRPr="003237C5" w14:paraId="60CDAFDB" w14:textId="77777777" w:rsidTr="00584BB1">
        <w:trPr>
          <w:cantSplit/>
        </w:trPr>
        <w:tc>
          <w:tcPr>
            <w:tcW w:w="1595" w:type="pct"/>
            <w:shd w:val="clear" w:color="auto" w:fill="auto"/>
          </w:tcPr>
          <w:p w14:paraId="218C2549" w14:textId="06AFE0C6" w:rsidR="00075DD8" w:rsidRPr="003237C5" w:rsidRDefault="00075DD8" w:rsidP="000D7CD2">
            <w:pPr>
              <w:pStyle w:val="TableOfAmend"/>
              <w:spacing w:line="260" w:lineRule="exact"/>
            </w:pPr>
            <w:r w:rsidRPr="003237C5">
              <w:t>Par</w:t>
            </w:r>
            <w:r w:rsidR="007D116A" w:rsidRPr="003237C5">
              <w:t>a</w:t>
            </w:r>
            <w:r w:rsidRPr="003237C5">
              <w:t>graph 8.7.10.</w:t>
            </w:r>
            <w:r w:rsidRPr="003237C5">
              <w:tab/>
            </w:r>
          </w:p>
        </w:tc>
        <w:tc>
          <w:tcPr>
            <w:tcW w:w="3405" w:type="pct"/>
            <w:shd w:val="clear" w:color="auto" w:fill="auto"/>
          </w:tcPr>
          <w:p w14:paraId="187F257B"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7B20210F" w14:textId="77777777" w:rsidTr="00584BB1">
        <w:trPr>
          <w:cantSplit/>
        </w:trPr>
        <w:tc>
          <w:tcPr>
            <w:tcW w:w="1595" w:type="pct"/>
            <w:shd w:val="clear" w:color="auto" w:fill="auto"/>
          </w:tcPr>
          <w:p w14:paraId="4DE04C09" w14:textId="244EB1D8" w:rsidR="00075DD8" w:rsidRPr="003237C5" w:rsidRDefault="00075DD8" w:rsidP="000D7CD2">
            <w:pPr>
              <w:pStyle w:val="TableOfAmend"/>
              <w:spacing w:line="260" w:lineRule="exact"/>
            </w:pPr>
            <w:r w:rsidRPr="003237C5">
              <w:t>Par</w:t>
            </w:r>
            <w:r w:rsidR="007D116A" w:rsidRPr="003237C5">
              <w:t>a</w:t>
            </w:r>
            <w:r w:rsidRPr="003237C5">
              <w:t>graph 8.7.15.</w:t>
            </w:r>
            <w:r w:rsidRPr="003237C5">
              <w:tab/>
            </w:r>
          </w:p>
        </w:tc>
        <w:tc>
          <w:tcPr>
            <w:tcW w:w="3405" w:type="pct"/>
            <w:shd w:val="clear" w:color="auto" w:fill="auto"/>
          </w:tcPr>
          <w:p w14:paraId="30D1C931"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BD5F225" w14:textId="77777777" w:rsidTr="00584BB1">
        <w:trPr>
          <w:cantSplit/>
        </w:trPr>
        <w:tc>
          <w:tcPr>
            <w:tcW w:w="1595" w:type="pct"/>
            <w:shd w:val="clear" w:color="auto" w:fill="auto"/>
          </w:tcPr>
          <w:p w14:paraId="1AA12880" w14:textId="6AB23A5F" w:rsidR="00075DD8" w:rsidRPr="003237C5" w:rsidRDefault="00075DD8" w:rsidP="000D7CD2">
            <w:pPr>
              <w:pStyle w:val="TableOfAmend"/>
              <w:spacing w:line="260" w:lineRule="exact"/>
            </w:pPr>
            <w:r w:rsidRPr="003237C5">
              <w:t>S</w:t>
            </w:r>
            <w:r w:rsidR="004D0AB0" w:rsidRPr="003237C5">
              <w:t>ection</w:t>
            </w:r>
            <w:r w:rsidRPr="003237C5">
              <w:t xml:space="preserve"> 8.8</w:t>
            </w:r>
            <w:r w:rsidRPr="003237C5">
              <w:tab/>
            </w:r>
          </w:p>
        </w:tc>
        <w:tc>
          <w:tcPr>
            <w:tcW w:w="3405" w:type="pct"/>
            <w:shd w:val="clear" w:color="auto" w:fill="auto"/>
          </w:tcPr>
          <w:p w14:paraId="339B6748"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77E0064" w14:textId="77777777" w:rsidTr="00584BB1">
        <w:trPr>
          <w:cantSplit/>
        </w:trPr>
        <w:tc>
          <w:tcPr>
            <w:tcW w:w="1595" w:type="pct"/>
            <w:shd w:val="clear" w:color="auto" w:fill="auto"/>
          </w:tcPr>
          <w:p w14:paraId="09B7701A" w14:textId="7A0981DC" w:rsidR="00075DD8" w:rsidRPr="003237C5" w:rsidRDefault="00075DD8" w:rsidP="000D7CD2">
            <w:pPr>
              <w:pStyle w:val="TableOfAmend"/>
              <w:spacing w:line="260" w:lineRule="exact"/>
            </w:pPr>
            <w:r w:rsidRPr="003237C5">
              <w:t>Par</w:t>
            </w:r>
            <w:r w:rsidR="007D116A" w:rsidRPr="003237C5">
              <w:t>a</w:t>
            </w:r>
            <w:r w:rsidRPr="003237C5">
              <w:t>graph 8.8.1.</w:t>
            </w:r>
            <w:r w:rsidRPr="003237C5">
              <w:tab/>
            </w:r>
          </w:p>
        </w:tc>
        <w:tc>
          <w:tcPr>
            <w:tcW w:w="3405" w:type="pct"/>
            <w:shd w:val="clear" w:color="auto" w:fill="auto"/>
          </w:tcPr>
          <w:p w14:paraId="5D545642"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AD08B0E" w14:textId="77777777" w:rsidTr="00584BB1">
        <w:trPr>
          <w:cantSplit/>
        </w:trPr>
        <w:tc>
          <w:tcPr>
            <w:tcW w:w="1595" w:type="pct"/>
            <w:shd w:val="clear" w:color="auto" w:fill="auto"/>
          </w:tcPr>
          <w:p w14:paraId="07E1AAB6" w14:textId="59C7BF52" w:rsidR="00075DD8" w:rsidRPr="003237C5" w:rsidRDefault="00075DD8" w:rsidP="000D7CD2">
            <w:pPr>
              <w:pStyle w:val="TableOfAmend"/>
              <w:spacing w:line="260" w:lineRule="exact"/>
            </w:pPr>
            <w:r w:rsidRPr="003237C5">
              <w:t>Par</w:t>
            </w:r>
            <w:r w:rsidR="007D116A" w:rsidRPr="003237C5">
              <w:t>a</w:t>
            </w:r>
            <w:r w:rsidRPr="003237C5">
              <w:t>graph 8.8.5.</w:t>
            </w:r>
            <w:r w:rsidRPr="003237C5">
              <w:tab/>
            </w:r>
          </w:p>
        </w:tc>
        <w:tc>
          <w:tcPr>
            <w:tcW w:w="3405" w:type="pct"/>
            <w:shd w:val="clear" w:color="auto" w:fill="auto"/>
          </w:tcPr>
          <w:p w14:paraId="775ECC4D"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6587A2F7" w14:textId="77777777" w:rsidTr="00584BB1">
        <w:trPr>
          <w:cantSplit/>
        </w:trPr>
        <w:tc>
          <w:tcPr>
            <w:tcW w:w="1595" w:type="pct"/>
            <w:shd w:val="clear" w:color="auto" w:fill="auto"/>
          </w:tcPr>
          <w:p w14:paraId="7D734CE8" w14:textId="5F0383EE" w:rsidR="00075DD8" w:rsidRPr="003237C5" w:rsidRDefault="00075DD8" w:rsidP="000D7CD2">
            <w:pPr>
              <w:pStyle w:val="TableOfAmend"/>
              <w:spacing w:line="260" w:lineRule="exact"/>
            </w:pPr>
            <w:r w:rsidRPr="003237C5">
              <w:t>Par</w:t>
            </w:r>
            <w:r w:rsidR="007D116A" w:rsidRPr="003237C5">
              <w:t>a</w:t>
            </w:r>
            <w:r w:rsidRPr="003237C5">
              <w:t>graph 8.8.10.</w:t>
            </w:r>
            <w:r w:rsidRPr="003237C5">
              <w:tab/>
            </w:r>
          </w:p>
        </w:tc>
        <w:tc>
          <w:tcPr>
            <w:tcW w:w="3405" w:type="pct"/>
            <w:shd w:val="clear" w:color="auto" w:fill="auto"/>
          </w:tcPr>
          <w:p w14:paraId="4B5A62A8"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2FA75DA2" w14:textId="77777777" w:rsidTr="00584BB1">
        <w:trPr>
          <w:cantSplit/>
        </w:trPr>
        <w:tc>
          <w:tcPr>
            <w:tcW w:w="1595" w:type="pct"/>
            <w:shd w:val="clear" w:color="auto" w:fill="auto"/>
          </w:tcPr>
          <w:p w14:paraId="1F83D911" w14:textId="24E924D1" w:rsidR="00075DD8" w:rsidRPr="003237C5" w:rsidRDefault="00075DD8" w:rsidP="000D7CD2">
            <w:pPr>
              <w:pStyle w:val="TableOfAmend"/>
              <w:spacing w:line="260" w:lineRule="exact"/>
            </w:pPr>
            <w:r w:rsidRPr="003237C5">
              <w:t>Par</w:t>
            </w:r>
            <w:r w:rsidR="007D116A" w:rsidRPr="003237C5">
              <w:t>a</w:t>
            </w:r>
            <w:r w:rsidRPr="003237C5">
              <w:t>graph 8.8.15.</w:t>
            </w:r>
            <w:r w:rsidRPr="003237C5">
              <w:tab/>
            </w:r>
          </w:p>
        </w:tc>
        <w:tc>
          <w:tcPr>
            <w:tcW w:w="3405" w:type="pct"/>
            <w:shd w:val="clear" w:color="auto" w:fill="auto"/>
          </w:tcPr>
          <w:p w14:paraId="202B13E8"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6E6F25A" w14:textId="77777777" w:rsidTr="00584BB1">
        <w:trPr>
          <w:cantSplit/>
        </w:trPr>
        <w:tc>
          <w:tcPr>
            <w:tcW w:w="1595" w:type="pct"/>
            <w:shd w:val="clear" w:color="auto" w:fill="auto"/>
          </w:tcPr>
          <w:p w14:paraId="42BFEC17" w14:textId="77777777" w:rsidR="00075DD8" w:rsidRPr="003237C5" w:rsidRDefault="00075DD8" w:rsidP="000D7CD2">
            <w:pPr>
              <w:pStyle w:val="TableOfAmend"/>
              <w:spacing w:line="260" w:lineRule="exact"/>
              <w:rPr>
                <w:b/>
              </w:rPr>
            </w:pPr>
            <w:r w:rsidRPr="003237C5">
              <w:rPr>
                <w:b/>
              </w:rPr>
              <w:t>Chapter 9</w:t>
            </w:r>
          </w:p>
        </w:tc>
        <w:tc>
          <w:tcPr>
            <w:tcW w:w="3405" w:type="pct"/>
            <w:shd w:val="clear" w:color="auto" w:fill="auto"/>
          </w:tcPr>
          <w:p w14:paraId="57D0F8D5" w14:textId="77777777" w:rsidR="00075DD8" w:rsidRPr="003237C5" w:rsidRDefault="00075DD8" w:rsidP="000D7CD2">
            <w:pPr>
              <w:pStyle w:val="TableOfAmend"/>
              <w:spacing w:line="260" w:lineRule="exact"/>
              <w:ind w:left="0" w:firstLine="0"/>
            </w:pPr>
          </w:p>
        </w:tc>
      </w:tr>
      <w:tr w:rsidR="00075DD8" w:rsidRPr="003237C5" w14:paraId="6CBBA6DF" w14:textId="77777777" w:rsidTr="00584BB1">
        <w:trPr>
          <w:cantSplit/>
        </w:trPr>
        <w:tc>
          <w:tcPr>
            <w:tcW w:w="1595" w:type="pct"/>
            <w:shd w:val="clear" w:color="auto" w:fill="auto"/>
          </w:tcPr>
          <w:p w14:paraId="64EC1A8B" w14:textId="77777777" w:rsidR="00075DD8" w:rsidRPr="003237C5" w:rsidRDefault="00075DD8" w:rsidP="000D7CD2">
            <w:pPr>
              <w:pStyle w:val="TableOfAmend"/>
              <w:spacing w:line="260" w:lineRule="exact"/>
            </w:pPr>
            <w:r w:rsidRPr="003237C5">
              <w:t>Chapter 9</w:t>
            </w:r>
            <w:r w:rsidRPr="003237C5">
              <w:tab/>
            </w:r>
          </w:p>
        </w:tc>
        <w:tc>
          <w:tcPr>
            <w:tcW w:w="3405" w:type="pct"/>
            <w:shd w:val="clear" w:color="auto" w:fill="auto"/>
          </w:tcPr>
          <w:p w14:paraId="50C33B02"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F12AE38" w14:textId="77777777" w:rsidTr="00584BB1">
        <w:trPr>
          <w:cantSplit/>
        </w:trPr>
        <w:tc>
          <w:tcPr>
            <w:tcW w:w="1595" w:type="pct"/>
            <w:shd w:val="clear" w:color="auto" w:fill="auto"/>
          </w:tcPr>
          <w:p w14:paraId="75FDAF78" w14:textId="4D015633" w:rsidR="00075DD8" w:rsidRPr="003237C5" w:rsidRDefault="00075DD8" w:rsidP="000D7CD2">
            <w:pPr>
              <w:pStyle w:val="TableOfAmend"/>
              <w:spacing w:line="260" w:lineRule="exact"/>
            </w:pPr>
            <w:r w:rsidRPr="003237C5">
              <w:t>S</w:t>
            </w:r>
            <w:r w:rsidR="004D0AB0" w:rsidRPr="003237C5">
              <w:t>ection</w:t>
            </w:r>
            <w:r w:rsidRPr="003237C5">
              <w:t xml:space="preserve"> 9.1</w:t>
            </w:r>
            <w:r w:rsidRPr="003237C5">
              <w:tab/>
            </w:r>
          </w:p>
        </w:tc>
        <w:tc>
          <w:tcPr>
            <w:tcW w:w="3405" w:type="pct"/>
            <w:shd w:val="clear" w:color="auto" w:fill="auto"/>
          </w:tcPr>
          <w:p w14:paraId="2041958B"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0DA5FEA9" w14:textId="77777777" w:rsidTr="00584BB1">
        <w:trPr>
          <w:cantSplit/>
        </w:trPr>
        <w:tc>
          <w:tcPr>
            <w:tcW w:w="1595" w:type="pct"/>
            <w:shd w:val="clear" w:color="auto" w:fill="auto"/>
          </w:tcPr>
          <w:p w14:paraId="5AB26113" w14:textId="1F363A39" w:rsidR="00075DD8" w:rsidRPr="003237C5" w:rsidRDefault="00075DD8" w:rsidP="000D7CD2">
            <w:pPr>
              <w:pStyle w:val="TableOfAmend"/>
              <w:spacing w:line="260" w:lineRule="exact"/>
            </w:pPr>
            <w:r w:rsidRPr="003237C5">
              <w:t>Par</w:t>
            </w:r>
            <w:r w:rsidR="007D116A" w:rsidRPr="003237C5">
              <w:t>a</w:t>
            </w:r>
            <w:r w:rsidRPr="003237C5">
              <w:t>graph 9.1.1.</w:t>
            </w:r>
            <w:r w:rsidRPr="003237C5">
              <w:tab/>
            </w:r>
          </w:p>
        </w:tc>
        <w:tc>
          <w:tcPr>
            <w:tcW w:w="3405" w:type="pct"/>
            <w:shd w:val="clear" w:color="auto" w:fill="auto"/>
          </w:tcPr>
          <w:p w14:paraId="084301BA" w14:textId="65A38143"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D64B85" w:rsidRPr="003237C5">
              <w:rPr>
                <w:szCs w:val="22"/>
              </w:rPr>
              <w:t>; am F2020L01633</w:t>
            </w:r>
          </w:p>
        </w:tc>
      </w:tr>
      <w:tr w:rsidR="00075DD8" w:rsidRPr="003237C5" w14:paraId="2AF96360" w14:textId="77777777" w:rsidTr="00D5292E">
        <w:trPr>
          <w:cantSplit/>
        </w:trPr>
        <w:tc>
          <w:tcPr>
            <w:tcW w:w="1595" w:type="pct"/>
            <w:shd w:val="clear" w:color="auto" w:fill="auto"/>
          </w:tcPr>
          <w:p w14:paraId="342754D0" w14:textId="3C47959D" w:rsidR="00075DD8" w:rsidRPr="003237C5" w:rsidRDefault="00075DD8" w:rsidP="000D7CD2">
            <w:pPr>
              <w:pStyle w:val="TableOfAmend"/>
              <w:spacing w:line="260" w:lineRule="exact"/>
            </w:pPr>
            <w:r w:rsidRPr="003237C5">
              <w:t>S</w:t>
            </w:r>
            <w:r w:rsidR="004D0AB0" w:rsidRPr="003237C5">
              <w:t>ection</w:t>
            </w:r>
            <w:r w:rsidRPr="003237C5">
              <w:t xml:space="preserve"> 9.2</w:t>
            </w:r>
            <w:r w:rsidRPr="003237C5">
              <w:tab/>
            </w:r>
          </w:p>
        </w:tc>
        <w:tc>
          <w:tcPr>
            <w:tcW w:w="3405" w:type="pct"/>
            <w:shd w:val="clear" w:color="auto" w:fill="auto"/>
          </w:tcPr>
          <w:p w14:paraId="63ED8AF9" w14:textId="77777777" w:rsidR="00075DD8" w:rsidRPr="003237C5" w:rsidRDefault="00075DD8" w:rsidP="000D7CD2">
            <w:pPr>
              <w:pStyle w:val="TableOfAmend"/>
              <w:spacing w:line="260" w:lineRule="exact"/>
              <w:ind w:left="0" w:firstLine="0"/>
            </w:pPr>
            <w:r w:rsidRPr="003237C5">
              <w:t xml:space="preserve">ad </w:t>
            </w:r>
            <w:r w:rsidRPr="003237C5">
              <w:rPr>
                <w:szCs w:val="22"/>
              </w:rPr>
              <w:t>F2019L01699</w:t>
            </w:r>
          </w:p>
        </w:tc>
      </w:tr>
      <w:tr w:rsidR="00075DD8" w:rsidRPr="003237C5" w14:paraId="5B1B9789" w14:textId="77777777" w:rsidTr="00847A3E">
        <w:trPr>
          <w:cantSplit/>
        </w:trPr>
        <w:tc>
          <w:tcPr>
            <w:tcW w:w="1595" w:type="pct"/>
            <w:shd w:val="clear" w:color="auto" w:fill="auto"/>
          </w:tcPr>
          <w:p w14:paraId="3C662973" w14:textId="7E645D71" w:rsidR="00075DD8" w:rsidRPr="003237C5" w:rsidRDefault="00075DD8" w:rsidP="000D7CD2">
            <w:pPr>
              <w:pStyle w:val="TableOfAmend"/>
              <w:spacing w:line="260" w:lineRule="exact"/>
            </w:pPr>
            <w:r w:rsidRPr="003237C5">
              <w:t>Par</w:t>
            </w:r>
            <w:r w:rsidR="007D116A" w:rsidRPr="003237C5">
              <w:t>a</w:t>
            </w:r>
            <w:r w:rsidRPr="003237C5">
              <w:t>graph 9.2.1.</w:t>
            </w:r>
            <w:r w:rsidRPr="003237C5">
              <w:tab/>
            </w:r>
          </w:p>
        </w:tc>
        <w:tc>
          <w:tcPr>
            <w:tcW w:w="3405" w:type="pct"/>
            <w:shd w:val="clear" w:color="auto" w:fill="auto"/>
          </w:tcPr>
          <w:p w14:paraId="3650F6DF" w14:textId="6B4AD33F" w:rsidR="00075DD8" w:rsidRPr="003237C5" w:rsidRDefault="00075DD8" w:rsidP="000D7CD2">
            <w:pPr>
              <w:pStyle w:val="TableOfAmend"/>
              <w:spacing w:line="260" w:lineRule="exact"/>
              <w:ind w:left="0" w:firstLine="0"/>
            </w:pPr>
            <w:r w:rsidRPr="003237C5">
              <w:t xml:space="preserve">ad </w:t>
            </w:r>
            <w:r w:rsidRPr="003237C5">
              <w:rPr>
                <w:szCs w:val="22"/>
              </w:rPr>
              <w:t>F2019L01699</w:t>
            </w:r>
            <w:r w:rsidR="00D64B85" w:rsidRPr="003237C5">
              <w:rPr>
                <w:szCs w:val="22"/>
              </w:rPr>
              <w:t>; am F2020L01633</w:t>
            </w:r>
          </w:p>
        </w:tc>
      </w:tr>
      <w:tr w:rsidR="00847A3E" w:rsidRPr="003237C5" w14:paraId="794A369F" w14:textId="77777777" w:rsidTr="00847A3E">
        <w:trPr>
          <w:cantSplit/>
        </w:trPr>
        <w:tc>
          <w:tcPr>
            <w:tcW w:w="1595" w:type="pct"/>
            <w:shd w:val="clear" w:color="auto" w:fill="auto"/>
          </w:tcPr>
          <w:p w14:paraId="2B53877A" w14:textId="65F004C7" w:rsidR="00847A3E" w:rsidRPr="003237C5" w:rsidRDefault="00847A3E" w:rsidP="000D7CD2">
            <w:pPr>
              <w:pStyle w:val="TableOfAmend"/>
              <w:spacing w:line="260" w:lineRule="exact"/>
              <w:rPr>
                <w:b/>
              </w:rPr>
            </w:pPr>
            <w:r w:rsidRPr="003237C5">
              <w:rPr>
                <w:b/>
              </w:rPr>
              <w:t xml:space="preserve">Chapter 10 </w:t>
            </w:r>
          </w:p>
        </w:tc>
        <w:tc>
          <w:tcPr>
            <w:tcW w:w="3405" w:type="pct"/>
            <w:shd w:val="clear" w:color="auto" w:fill="auto"/>
          </w:tcPr>
          <w:p w14:paraId="3E811688" w14:textId="77777777" w:rsidR="00847A3E" w:rsidRPr="003237C5" w:rsidRDefault="00847A3E" w:rsidP="000D7CD2">
            <w:pPr>
              <w:pStyle w:val="TableOfAmend"/>
              <w:spacing w:line="260" w:lineRule="exact"/>
              <w:ind w:left="0" w:firstLine="0"/>
            </w:pPr>
          </w:p>
        </w:tc>
      </w:tr>
      <w:tr w:rsidR="00847A3E" w14:paraId="186B1686" w14:textId="77777777" w:rsidTr="00D5292E">
        <w:trPr>
          <w:cantSplit/>
        </w:trPr>
        <w:tc>
          <w:tcPr>
            <w:tcW w:w="1595" w:type="pct"/>
            <w:tcBorders>
              <w:bottom w:val="single" w:sz="4" w:space="0" w:color="auto"/>
            </w:tcBorders>
            <w:shd w:val="clear" w:color="auto" w:fill="auto"/>
          </w:tcPr>
          <w:p w14:paraId="06AFAD91" w14:textId="4016E6F9" w:rsidR="00847A3E" w:rsidRPr="003237C5" w:rsidRDefault="00847A3E" w:rsidP="000D7CD2">
            <w:pPr>
              <w:pStyle w:val="TableOfAmend"/>
              <w:spacing w:line="260" w:lineRule="exact"/>
              <w:rPr>
                <w:b/>
              </w:rPr>
            </w:pPr>
            <w:r w:rsidRPr="003237C5">
              <w:t>Chapter 10</w:t>
            </w:r>
            <w:r w:rsidRPr="003237C5">
              <w:rPr>
                <w:b/>
              </w:rPr>
              <w:t xml:space="preserve"> </w:t>
            </w:r>
            <w:r w:rsidR="006244DA" w:rsidRPr="003237C5">
              <w:rPr>
                <w:bCs/>
              </w:rPr>
              <w:t>………………….</w:t>
            </w:r>
          </w:p>
        </w:tc>
        <w:tc>
          <w:tcPr>
            <w:tcW w:w="3405" w:type="pct"/>
            <w:tcBorders>
              <w:bottom w:val="single" w:sz="4" w:space="0" w:color="auto"/>
            </w:tcBorders>
            <w:shd w:val="clear" w:color="auto" w:fill="auto"/>
          </w:tcPr>
          <w:p w14:paraId="1CA2462E" w14:textId="7F7F55E5" w:rsidR="00847A3E" w:rsidRDefault="006244DA" w:rsidP="000D7CD2">
            <w:pPr>
              <w:pStyle w:val="TableOfAmend"/>
              <w:spacing w:line="260" w:lineRule="exact"/>
              <w:ind w:left="0" w:firstLine="0"/>
            </w:pPr>
            <w:r w:rsidRPr="003237C5">
              <w:t xml:space="preserve">ad </w:t>
            </w:r>
            <w:r w:rsidRPr="003237C5">
              <w:rPr>
                <w:szCs w:val="22"/>
              </w:rPr>
              <w:t>F2022L00345</w:t>
            </w:r>
          </w:p>
        </w:tc>
      </w:tr>
    </w:tbl>
    <w:p w14:paraId="4C914A65" w14:textId="77777777" w:rsidR="002B2703" w:rsidRDefault="002B2703" w:rsidP="00AE4D81">
      <w:pPr>
        <w:keepLines w:val="0"/>
        <w:autoSpaceDE w:val="0"/>
        <w:autoSpaceDN w:val="0"/>
        <w:adjustRightInd w:val="0"/>
      </w:pPr>
    </w:p>
    <w:p w14:paraId="5DD70B6D" w14:textId="77777777" w:rsidR="00075DD8" w:rsidRDefault="00075DD8" w:rsidP="00234864">
      <w:pPr>
        <w:keepLines w:val="0"/>
        <w:autoSpaceDE w:val="0"/>
        <w:autoSpaceDN w:val="0"/>
        <w:adjustRightInd w:val="0"/>
      </w:pPr>
    </w:p>
    <w:sectPr w:rsidR="00075DD8" w:rsidSect="00F27052">
      <w:headerReference w:type="first" r:id="rId23"/>
      <w:pgSz w:w="11907" w:h="16839" w:code="9"/>
      <w:pgMar w:top="1702" w:right="1134" w:bottom="1304" w:left="1134" w:header="454" w:footer="113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771F" w14:textId="77777777" w:rsidR="00EF1643" w:rsidRDefault="00EF1643">
      <w:r>
        <w:separator/>
      </w:r>
    </w:p>
    <w:p w14:paraId="0C6FB42F" w14:textId="77777777" w:rsidR="00EF1643" w:rsidRDefault="00EF1643"/>
  </w:endnote>
  <w:endnote w:type="continuationSeparator" w:id="0">
    <w:p w14:paraId="699E2FEC" w14:textId="77777777" w:rsidR="00EF1643" w:rsidRDefault="00EF1643">
      <w:r>
        <w:continuationSeparator/>
      </w:r>
    </w:p>
    <w:p w14:paraId="74A16E16" w14:textId="77777777" w:rsidR="00EF1643" w:rsidRDefault="00EF1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embedItalic r:id="rId1" w:fontKey="{F29794DD-2045-4406-8FF6-DB61E03FFF6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5384" w14:textId="6C9FB532" w:rsidR="0009038E" w:rsidRDefault="0009038E" w:rsidP="00F56BC1">
    <w:pPr>
      <w:pStyle w:val="Footer"/>
      <w:framePr w:wrap="auto" w:vAnchor="text" w:hAnchor="margin" w:xAlign="right" w:y="1"/>
      <w:rPr>
        <w:rStyle w:val="PageNumber"/>
      </w:rPr>
    </w:pPr>
    <w:r>
      <w:rPr>
        <w:rStyle w:val="PageNumber"/>
      </w:rPr>
      <w:t>2</w:t>
    </w:r>
  </w:p>
  <w:p w14:paraId="6AE6BAB4" w14:textId="77777777" w:rsidR="0009038E" w:rsidRDefault="0009038E" w:rsidP="00F56B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360F" w14:textId="5E999468" w:rsidR="0009038E" w:rsidRDefault="0009038E" w:rsidP="00DA0ECD">
    <w:pPr>
      <w:pStyle w:val="Footer"/>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0BB" w14:textId="45F73B3F" w:rsidR="0009038E" w:rsidRDefault="0009038E" w:rsidP="00F56BC1">
    <w:pPr>
      <w:pStyle w:val="Footer"/>
      <w:framePr w:wrap="auto" w:vAnchor="text" w:hAnchor="margin" w:xAlign="right" w:y="1"/>
      <w:rPr>
        <w:rStyle w:val="PageNumber"/>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1749"/>
      <w:gridCol w:w="1526"/>
      <w:gridCol w:w="2013"/>
    </w:tblGrid>
    <w:tr w:rsidR="0009038E" w14:paraId="1424B1E6" w14:textId="77777777" w:rsidTr="00A959D9">
      <w:tc>
        <w:tcPr>
          <w:tcW w:w="6946" w:type="dxa"/>
          <w:gridSpan w:val="3"/>
        </w:tcPr>
        <w:p w14:paraId="67147790" w14:textId="77777777" w:rsidR="0009038E" w:rsidRDefault="0009038E" w:rsidP="00541299">
          <w:pPr>
            <w:spacing w:line="0" w:lineRule="atLeast"/>
            <w:jc w:val="right"/>
            <w:rPr>
              <w:i/>
            </w:rPr>
          </w:pPr>
          <w:r>
            <w:rPr>
              <w:i/>
            </w:rPr>
            <w:t>Higher Education Provider Guidelines 2012</w:t>
          </w:r>
        </w:p>
        <w:p w14:paraId="173BBECF" w14:textId="3998F7A9" w:rsidR="0009038E" w:rsidRPr="00910EED" w:rsidRDefault="0009038E" w:rsidP="00DC6B8F">
          <w:pPr>
            <w:tabs>
              <w:tab w:val="left" w:pos="4510"/>
              <w:tab w:val="left" w:pos="4845"/>
            </w:tabs>
            <w:spacing w:line="0" w:lineRule="atLeast"/>
            <w:rPr>
              <w:i/>
              <w:sz w:val="18"/>
            </w:rPr>
          </w:pPr>
          <w:r>
            <w:rPr>
              <w:i/>
              <w:sz w:val="18"/>
            </w:rPr>
            <w:tab/>
          </w:r>
          <w:r w:rsidR="00DC6B8F">
            <w:rPr>
              <w:i/>
              <w:sz w:val="18"/>
            </w:rPr>
            <w:tab/>
          </w:r>
        </w:p>
      </w:tc>
      <w:tc>
        <w:tcPr>
          <w:tcW w:w="3539" w:type="dxa"/>
          <w:gridSpan w:val="2"/>
        </w:tcPr>
        <w:p w14:paraId="6A13C976" w14:textId="77777777" w:rsidR="0009038E" w:rsidRDefault="0009038E" w:rsidP="005412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9038E" w:rsidRPr="00130F37" w14:paraId="51C629C4" w14:textId="77777777" w:rsidTr="00A959D9">
      <w:trPr>
        <w:gridAfter w:val="1"/>
        <w:wAfter w:w="2013" w:type="dxa"/>
      </w:trPr>
      <w:tc>
        <w:tcPr>
          <w:tcW w:w="2227" w:type="dxa"/>
        </w:tcPr>
        <w:p w14:paraId="5EC98BF6" w14:textId="3C61DB92" w:rsidR="0009038E" w:rsidRPr="00130F37" w:rsidRDefault="0009038E" w:rsidP="00541299">
          <w:pPr>
            <w:spacing w:before="120"/>
            <w:rPr>
              <w:sz w:val="16"/>
              <w:szCs w:val="16"/>
            </w:rPr>
          </w:pPr>
          <w:r w:rsidRPr="00130F37">
            <w:rPr>
              <w:sz w:val="16"/>
              <w:szCs w:val="16"/>
            </w:rPr>
            <w:t xml:space="preserve">Compilation No. </w:t>
          </w:r>
          <w:r w:rsidR="00230D2A">
            <w:rPr>
              <w:sz w:val="16"/>
              <w:szCs w:val="16"/>
            </w:rPr>
            <w:t>9</w:t>
          </w:r>
        </w:p>
      </w:tc>
      <w:tc>
        <w:tcPr>
          <w:tcW w:w="2970" w:type="dxa"/>
        </w:tcPr>
        <w:p w14:paraId="750B3A2D" w14:textId="77777777" w:rsidR="0009038E" w:rsidRPr="00130F37" w:rsidRDefault="0009038E" w:rsidP="00541299">
          <w:pPr>
            <w:spacing w:before="120"/>
            <w:jc w:val="center"/>
            <w:rPr>
              <w:sz w:val="16"/>
              <w:szCs w:val="16"/>
            </w:rPr>
          </w:pPr>
        </w:p>
      </w:tc>
      <w:tc>
        <w:tcPr>
          <w:tcW w:w="3275" w:type="dxa"/>
          <w:gridSpan w:val="2"/>
        </w:tcPr>
        <w:p w14:paraId="4AC3BA12" w14:textId="0D98B282" w:rsidR="0009038E" w:rsidRPr="00130F37" w:rsidRDefault="0009038E" w:rsidP="00541299">
          <w:pPr>
            <w:spacing w:before="120"/>
            <w:jc w:val="right"/>
            <w:rPr>
              <w:sz w:val="16"/>
              <w:szCs w:val="16"/>
            </w:rPr>
          </w:pPr>
          <w:r w:rsidRPr="00130F37">
            <w:rPr>
              <w:sz w:val="16"/>
              <w:szCs w:val="16"/>
            </w:rPr>
            <w:t xml:space="preserve">Compilation date: </w:t>
          </w:r>
          <w:r>
            <w:rPr>
              <w:sz w:val="16"/>
              <w:szCs w:val="16"/>
            </w:rPr>
            <w:t>2</w:t>
          </w:r>
          <w:r w:rsidR="00230D2A">
            <w:rPr>
              <w:sz w:val="16"/>
              <w:szCs w:val="16"/>
            </w:rPr>
            <w:t>2</w:t>
          </w:r>
          <w:r>
            <w:rPr>
              <w:sz w:val="16"/>
              <w:szCs w:val="16"/>
            </w:rPr>
            <w:t>/</w:t>
          </w:r>
          <w:r w:rsidR="00230D2A">
            <w:rPr>
              <w:sz w:val="16"/>
              <w:szCs w:val="16"/>
            </w:rPr>
            <w:t>03</w:t>
          </w:r>
          <w:r>
            <w:rPr>
              <w:sz w:val="16"/>
              <w:szCs w:val="16"/>
            </w:rPr>
            <w:t>/202</w:t>
          </w:r>
          <w:r w:rsidR="00230D2A">
            <w:rPr>
              <w:sz w:val="16"/>
              <w:szCs w:val="16"/>
            </w:rPr>
            <w:t>2</w:t>
          </w:r>
        </w:p>
      </w:tc>
    </w:tr>
  </w:tbl>
  <w:p w14:paraId="33E1201C" w14:textId="77777777" w:rsidR="0009038E" w:rsidRDefault="0009038E" w:rsidP="00F56BC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1749"/>
      <w:gridCol w:w="1526"/>
      <w:gridCol w:w="2013"/>
    </w:tblGrid>
    <w:tr w:rsidR="0009038E" w14:paraId="38318A3C" w14:textId="77777777" w:rsidTr="00DA0ECD">
      <w:tc>
        <w:tcPr>
          <w:tcW w:w="6946" w:type="dxa"/>
          <w:gridSpan w:val="3"/>
        </w:tcPr>
        <w:p w14:paraId="274E47C7" w14:textId="28045C5E" w:rsidR="0009038E" w:rsidRDefault="0009038E" w:rsidP="00DA0ECD">
          <w:pPr>
            <w:spacing w:line="0" w:lineRule="atLeast"/>
            <w:jc w:val="right"/>
            <w:rPr>
              <w:i/>
            </w:rPr>
          </w:pPr>
          <w:r>
            <w:rPr>
              <w:i/>
            </w:rPr>
            <w:t>Higher Education Provider Guidelines 2012</w:t>
          </w:r>
        </w:p>
        <w:p w14:paraId="0124642E" w14:textId="3B8E66F5" w:rsidR="0009038E" w:rsidRPr="00910EED" w:rsidRDefault="0009038E" w:rsidP="00DA0ECD">
          <w:pPr>
            <w:tabs>
              <w:tab w:val="left" w:pos="2400"/>
              <w:tab w:val="left" w:pos="4845"/>
            </w:tabs>
            <w:spacing w:line="0" w:lineRule="atLeast"/>
            <w:rPr>
              <w:i/>
              <w:sz w:val="18"/>
            </w:rPr>
          </w:pPr>
          <w:r>
            <w:rPr>
              <w:i/>
              <w:sz w:val="18"/>
            </w:rPr>
            <w:tab/>
          </w:r>
          <w:r>
            <w:rPr>
              <w:i/>
              <w:sz w:val="18"/>
            </w:rPr>
            <w:tab/>
          </w:r>
        </w:p>
      </w:tc>
      <w:tc>
        <w:tcPr>
          <w:tcW w:w="3539" w:type="dxa"/>
          <w:gridSpan w:val="2"/>
        </w:tcPr>
        <w:p w14:paraId="6C23E5BE" w14:textId="77777777" w:rsidR="0009038E" w:rsidRDefault="0009038E" w:rsidP="006B41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9038E" w:rsidRPr="00130F37" w14:paraId="3E3EA2B7" w14:textId="77777777" w:rsidTr="00DA0ECD">
      <w:trPr>
        <w:gridAfter w:val="1"/>
        <w:wAfter w:w="2013" w:type="dxa"/>
      </w:trPr>
      <w:tc>
        <w:tcPr>
          <w:tcW w:w="2227" w:type="dxa"/>
        </w:tcPr>
        <w:p w14:paraId="5F90E780" w14:textId="3F945BF7" w:rsidR="0009038E" w:rsidRPr="00130F37" w:rsidRDefault="0009038E" w:rsidP="006B41FD">
          <w:pPr>
            <w:spacing w:before="120"/>
            <w:rPr>
              <w:sz w:val="16"/>
              <w:szCs w:val="16"/>
            </w:rPr>
          </w:pPr>
          <w:r w:rsidRPr="00130F37">
            <w:rPr>
              <w:sz w:val="16"/>
              <w:szCs w:val="16"/>
            </w:rPr>
            <w:t xml:space="preserve">Compilation No. </w:t>
          </w:r>
          <w:r w:rsidR="00230D2A">
            <w:rPr>
              <w:sz w:val="16"/>
              <w:szCs w:val="16"/>
            </w:rPr>
            <w:t>9</w:t>
          </w:r>
        </w:p>
      </w:tc>
      <w:tc>
        <w:tcPr>
          <w:tcW w:w="2970" w:type="dxa"/>
        </w:tcPr>
        <w:p w14:paraId="550E132F" w14:textId="77777777" w:rsidR="0009038E" w:rsidRPr="00130F37" w:rsidRDefault="0009038E" w:rsidP="006B41FD">
          <w:pPr>
            <w:spacing w:before="120"/>
            <w:jc w:val="center"/>
            <w:rPr>
              <w:sz w:val="16"/>
              <w:szCs w:val="16"/>
            </w:rPr>
          </w:pPr>
        </w:p>
      </w:tc>
      <w:tc>
        <w:tcPr>
          <w:tcW w:w="3275" w:type="dxa"/>
          <w:gridSpan w:val="2"/>
        </w:tcPr>
        <w:p w14:paraId="1802CB51" w14:textId="76F6BD7B" w:rsidR="0009038E" w:rsidRPr="00130F37" w:rsidRDefault="0009038E" w:rsidP="006B41FD">
          <w:pPr>
            <w:spacing w:before="120"/>
            <w:jc w:val="right"/>
            <w:rPr>
              <w:sz w:val="16"/>
              <w:szCs w:val="16"/>
            </w:rPr>
          </w:pPr>
          <w:r w:rsidRPr="00130F37">
            <w:rPr>
              <w:sz w:val="16"/>
              <w:szCs w:val="16"/>
            </w:rPr>
            <w:t xml:space="preserve">Compilation date: </w:t>
          </w:r>
          <w:r>
            <w:rPr>
              <w:sz w:val="16"/>
              <w:szCs w:val="16"/>
            </w:rPr>
            <w:t>2</w:t>
          </w:r>
          <w:r w:rsidR="00230D2A">
            <w:rPr>
              <w:sz w:val="16"/>
              <w:szCs w:val="16"/>
            </w:rPr>
            <w:t>2</w:t>
          </w:r>
          <w:r>
            <w:rPr>
              <w:sz w:val="16"/>
              <w:szCs w:val="16"/>
            </w:rPr>
            <w:t>/</w:t>
          </w:r>
          <w:r w:rsidR="00230D2A">
            <w:rPr>
              <w:sz w:val="16"/>
              <w:szCs w:val="16"/>
            </w:rPr>
            <w:t>03</w:t>
          </w:r>
          <w:r>
            <w:rPr>
              <w:sz w:val="16"/>
              <w:szCs w:val="16"/>
            </w:rPr>
            <w:t>/202</w:t>
          </w:r>
          <w:r w:rsidR="00230D2A">
            <w:rPr>
              <w:sz w:val="16"/>
              <w:szCs w:val="16"/>
            </w:rPr>
            <w:t>2</w:t>
          </w:r>
        </w:p>
      </w:tc>
    </w:tr>
  </w:tbl>
  <w:p w14:paraId="03F51A7B" w14:textId="77777777" w:rsidR="0009038E" w:rsidRDefault="000903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1749"/>
      <w:gridCol w:w="1526"/>
      <w:gridCol w:w="2013"/>
    </w:tblGrid>
    <w:tr w:rsidR="0009038E" w14:paraId="30440F29" w14:textId="77777777" w:rsidTr="00A959D9">
      <w:tc>
        <w:tcPr>
          <w:tcW w:w="6946" w:type="dxa"/>
          <w:gridSpan w:val="3"/>
        </w:tcPr>
        <w:p w14:paraId="68D6E800" w14:textId="0001B47D" w:rsidR="0009038E" w:rsidRDefault="0009038E" w:rsidP="00541299">
          <w:pPr>
            <w:spacing w:line="0" w:lineRule="atLeast"/>
            <w:jc w:val="right"/>
            <w:rPr>
              <w:i/>
            </w:rPr>
          </w:pPr>
          <w:r>
            <w:rPr>
              <w:i/>
            </w:rPr>
            <w:t>Higher Education Provider Guidelines 2012</w:t>
          </w:r>
        </w:p>
        <w:p w14:paraId="178F3147" w14:textId="77777777" w:rsidR="0009038E" w:rsidRPr="00910EED" w:rsidRDefault="0009038E" w:rsidP="00541299">
          <w:pPr>
            <w:tabs>
              <w:tab w:val="left" w:pos="4845"/>
            </w:tabs>
            <w:spacing w:line="0" w:lineRule="atLeast"/>
            <w:rPr>
              <w:i/>
              <w:sz w:val="18"/>
            </w:rPr>
          </w:pPr>
          <w:r>
            <w:rPr>
              <w:i/>
              <w:sz w:val="18"/>
            </w:rPr>
            <w:tab/>
          </w:r>
        </w:p>
      </w:tc>
      <w:tc>
        <w:tcPr>
          <w:tcW w:w="3539" w:type="dxa"/>
          <w:gridSpan w:val="2"/>
        </w:tcPr>
        <w:p w14:paraId="6B622C22" w14:textId="38A8B1EF" w:rsidR="0009038E" w:rsidRDefault="0009038E" w:rsidP="00541299">
          <w:pPr>
            <w:spacing w:line="0" w:lineRule="atLeast"/>
            <w:jc w:val="right"/>
            <w:rPr>
              <w:sz w:val="18"/>
            </w:rPr>
          </w:pPr>
          <w:r w:rsidRPr="00A959D9">
            <w:rPr>
              <w:i/>
              <w:sz w:val="18"/>
            </w:rPr>
            <w:fldChar w:fldCharType="begin"/>
          </w:r>
          <w:r w:rsidRPr="00A959D9">
            <w:rPr>
              <w:i/>
              <w:sz w:val="18"/>
            </w:rPr>
            <w:instrText xml:space="preserve"> PAGE   \* MERGEFORMAT </w:instrText>
          </w:r>
          <w:r w:rsidRPr="00A959D9">
            <w:rPr>
              <w:i/>
              <w:sz w:val="18"/>
            </w:rPr>
            <w:fldChar w:fldCharType="separate"/>
          </w:r>
          <w:r w:rsidRPr="00A959D9">
            <w:rPr>
              <w:i/>
              <w:noProof/>
              <w:sz w:val="18"/>
            </w:rPr>
            <w:t>1</w:t>
          </w:r>
          <w:r w:rsidRPr="00A959D9">
            <w:rPr>
              <w:i/>
              <w:noProof/>
              <w:sz w:val="18"/>
            </w:rPr>
            <w:fldChar w:fldCharType="end"/>
          </w:r>
        </w:p>
      </w:tc>
    </w:tr>
    <w:tr w:rsidR="0009038E" w:rsidRPr="00130F37" w14:paraId="3AFDF643" w14:textId="77777777" w:rsidTr="00A959D9">
      <w:trPr>
        <w:gridAfter w:val="1"/>
        <w:wAfter w:w="2013" w:type="dxa"/>
      </w:trPr>
      <w:tc>
        <w:tcPr>
          <w:tcW w:w="2227" w:type="dxa"/>
        </w:tcPr>
        <w:p w14:paraId="3E0666A5" w14:textId="49750B19" w:rsidR="0009038E" w:rsidRPr="00130F37" w:rsidRDefault="0009038E" w:rsidP="00541299">
          <w:pPr>
            <w:spacing w:before="120"/>
            <w:rPr>
              <w:sz w:val="16"/>
              <w:szCs w:val="16"/>
            </w:rPr>
          </w:pPr>
          <w:r w:rsidRPr="00130F37">
            <w:rPr>
              <w:sz w:val="16"/>
              <w:szCs w:val="16"/>
            </w:rPr>
            <w:t xml:space="preserve">Compilation No. </w:t>
          </w:r>
          <w:r w:rsidR="006C63FD">
            <w:rPr>
              <w:sz w:val="16"/>
              <w:szCs w:val="16"/>
            </w:rPr>
            <w:t>9</w:t>
          </w:r>
        </w:p>
      </w:tc>
      <w:tc>
        <w:tcPr>
          <w:tcW w:w="2970" w:type="dxa"/>
        </w:tcPr>
        <w:p w14:paraId="169C9E1D" w14:textId="77777777" w:rsidR="0009038E" w:rsidRPr="00130F37" w:rsidRDefault="0009038E" w:rsidP="00541299">
          <w:pPr>
            <w:spacing w:before="120"/>
            <w:jc w:val="center"/>
            <w:rPr>
              <w:sz w:val="16"/>
              <w:szCs w:val="16"/>
            </w:rPr>
          </w:pPr>
        </w:p>
      </w:tc>
      <w:tc>
        <w:tcPr>
          <w:tcW w:w="3275" w:type="dxa"/>
          <w:gridSpan w:val="2"/>
        </w:tcPr>
        <w:p w14:paraId="116A6DAB" w14:textId="3842298B" w:rsidR="0009038E" w:rsidRPr="00130F37" w:rsidRDefault="0009038E" w:rsidP="00541299">
          <w:pPr>
            <w:spacing w:before="120"/>
            <w:jc w:val="right"/>
            <w:rPr>
              <w:sz w:val="16"/>
              <w:szCs w:val="16"/>
            </w:rPr>
          </w:pPr>
          <w:r w:rsidRPr="00130F37">
            <w:rPr>
              <w:sz w:val="16"/>
              <w:szCs w:val="16"/>
            </w:rPr>
            <w:t xml:space="preserve">Compilation date: </w:t>
          </w:r>
          <w:r>
            <w:rPr>
              <w:sz w:val="16"/>
              <w:szCs w:val="16"/>
            </w:rPr>
            <w:t>2</w:t>
          </w:r>
          <w:r w:rsidR="006C63FD">
            <w:rPr>
              <w:sz w:val="16"/>
              <w:szCs w:val="16"/>
            </w:rPr>
            <w:t>2</w:t>
          </w:r>
          <w:r>
            <w:rPr>
              <w:sz w:val="16"/>
              <w:szCs w:val="16"/>
            </w:rPr>
            <w:t>/</w:t>
          </w:r>
          <w:r w:rsidR="006C63FD">
            <w:rPr>
              <w:sz w:val="16"/>
              <w:szCs w:val="16"/>
            </w:rPr>
            <w:t>03</w:t>
          </w:r>
          <w:r>
            <w:rPr>
              <w:sz w:val="16"/>
              <w:szCs w:val="16"/>
            </w:rPr>
            <w:t>/202</w:t>
          </w:r>
          <w:r w:rsidR="006C63FD">
            <w:rPr>
              <w:sz w:val="16"/>
              <w:szCs w:val="16"/>
            </w:rPr>
            <w:t>2</w:t>
          </w:r>
        </w:p>
      </w:tc>
    </w:tr>
  </w:tbl>
  <w:p w14:paraId="784FC3B7" w14:textId="77777777" w:rsidR="0009038E" w:rsidRDefault="000903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1749"/>
      <w:gridCol w:w="1526"/>
      <w:gridCol w:w="2013"/>
    </w:tblGrid>
    <w:tr w:rsidR="0009038E" w14:paraId="297707C8" w14:textId="77777777" w:rsidTr="00A959D9">
      <w:tc>
        <w:tcPr>
          <w:tcW w:w="6946" w:type="dxa"/>
          <w:gridSpan w:val="3"/>
        </w:tcPr>
        <w:p w14:paraId="7463AACE" w14:textId="77777777" w:rsidR="0009038E" w:rsidRDefault="0009038E" w:rsidP="00541299">
          <w:pPr>
            <w:spacing w:line="0" w:lineRule="atLeast"/>
            <w:jc w:val="right"/>
            <w:rPr>
              <w:i/>
            </w:rPr>
          </w:pPr>
          <w:r>
            <w:rPr>
              <w:i/>
            </w:rPr>
            <w:t>Higher Education Provider Guidelines 2012</w:t>
          </w:r>
        </w:p>
        <w:p w14:paraId="2E9C95F3" w14:textId="77777777" w:rsidR="0009038E" w:rsidRPr="00910EED" w:rsidRDefault="0009038E" w:rsidP="00541299">
          <w:pPr>
            <w:tabs>
              <w:tab w:val="left" w:pos="4845"/>
            </w:tabs>
            <w:spacing w:line="0" w:lineRule="atLeast"/>
            <w:rPr>
              <w:i/>
              <w:sz w:val="18"/>
            </w:rPr>
          </w:pPr>
          <w:r>
            <w:rPr>
              <w:i/>
              <w:sz w:val="18"/>
            </w:rPr>
            <w:tab/>
          </w:r>
        </w:p>
      </w:tc>
      <w:tc>
        <w:tcPr>
          <w:tcW w:w="3539" w:type="dxa"/>
          <w:gridSpan w:val="2"/>
        </w:tcPr>
        <w:p w14:paraId="48316185" w14:textId="3ABEF3B1" w:rsidR="0009038E" w:rsidRDefault="0009038E" w:rsidP="00541299">
          <w:pPr>
            <w:spacing w:line="0" w:lineRule="atLeast"/>
            <w:jc w:val="right"/>
            <w:rPr>
              <w:sz w:val="18"/>
            </w:rPr>
          </w:pPr>
          <w:r w:rsidRPr="00A959D9">
            <w:rPr>
              <w:i/>
              <w:sz w:val="18"/>
            </w:rPr>
            <w:fldChar w:fldCharType="begin"/>
          </w:r>
          <w:r w:rsidRPr="00A959D9">
            <w:rPr>
              <w:i/>
              <w:sz w:val="18"/>
            </w:rPr>
            <w:instrText xml:space="preserve"> PAGE   \* MERGEFORMAT </w:instrText>
          </w:r>
          <w:r w:rsidRPr="00A959D9">
            <w:rPr>
              <w:i/>
              <w:sz w:val="18"/>
            </w:rPr>
            <w:fldChar w:fldCharType="separate"/>
          </w:r>
          <w:r w:rsidRPr="00A959D9">
            <w:rPr>
              <w:i/>
              <w:noProof/>
              <w:sz w:val="18"/>
            </w:rPr>
            <w:t>1</w:t>
          </w:r>
          <w:r w:rsidRPr="00A959D9">
            <w:rPr>
              <w:i/>
              <w:noProof/>
              <w:sz w:val="18"/>
            </w:rPr>
            <w:fldChar w:fldCharType="end"/>
          </w:r>
        </w:p>
      </w:tc>
    </w:tr>
    <w:tr w:rsidR="0009038E" w:rsidRPr="00130F37" w14:paraId="3E900E58" w14:textId="77777777" w:rsidTr="00A959D9">
      <w:trPr>
        <w:gridAfter w:val="1"/>
        <w:wAfter w:w="2013" w:type="dxa"/>
      </w:trPr>
      <w:tc>
        <w:tcPr>
          <w:tcW w:w="2227" w:type="dxa"/>
        </w:tcPr>
        <w:p w14:paraId="56723CAD" w14:textId="5D407A28" w:rsidR="0009038E" w:rsidRPr="00130F37" w:rsidRDefault="0009038E" w:rsidP="00541299">
          <w:pPr>
            <w:spacing w:before="120"/>
            <w:rPr>
              <w:sz w:val="16"/>
              <w:szCs w:val="16"/>
            </w:rPr>
          </w:pPr>
          <w:r w:rsidRPr="00130F37">
            <w:rPr>
              <w:sz w:val="16"/>
              <w:szCs w:val="16"/>
            </w:rPr>
            <w:t xml:space="preserve">Compilation No. </w:t>
          </w:r>
          <w:r w:rsidR="006C63FD">
            <w:rPr>
              <w:sz w:val="16"/>
              <w:szCs w:val="16"/>
            </w:rPr>
            <w:t>9</w:t>
          </w:r>
        </w:p>
      </w:tc>
      <w:tc>
        <w:tcPr>
          <w:tcW w:w="2970" w:type="dxa"/>
        </w:tcPr>
        <w:p w14:paraId="778E9B73" w14:textId="77777777" w:rsidR="0009038E" w:rsidRPr="00130F37" w:rsidRDefault="0009038E" w:rsidP="00541299">
          <w:pPr>
            <w:spacing w:before="120"/>
            <w:jc w:val="center"/>
            <w:rPr>
              <w:sz w:val="16"/>
              <w:szCs w:val="16"/>
            </w:rPr>
          </w:pPr>
        </w:p>
      </w:tc>
      <w:tc>
        <w:tcPr>
          <w:tcW w:w="3275" w:type="dxa"/>
          <w:gridSpan w:val="2"/>
        </w:tcPr>
        <w:p w14:paraId="34EE8C7B" w14:textId="3F440827" w:rsidR="0009038E" w:rsidRPr="00130F37" w:rsidRDefault="0009038E" w:rsidP="00541299">
          <w:pPr>
            <w:spacing w:before="120"/>
            <w:jc w:val="right"/>
            <w:rPr>
              <w:sz w:val="16"/>
              <w:szCs w:val="16"/>
            </w:rPr>
          </w:pPr>
          <w:r w:rsidRPr="00130F37">
            <w:rPr>
              <w:sz w:val="16"/>
              <w:szCs w:val="16"/>
            </w:rPr>
            <w:t xml:space="preserve">Compilation date: </w:t>
          </w:r>
          <w:r>
            <w:rPr>
              <w:sz w:val="16"/>
              <w:szCs w:val="16"/>
            </w:rPr>
            <w:t>2</w:t>
          </w:r>
          <w:r w:rsidR="006C63FD">
            <w:rPr>
              <w:sz w:val="16"/>
              <w:szCs w:val="16"/>
            </w:rPr>
            <w:t>2</w:t>
          </w:r>
          <w:r>
            <w:rPr>
              <w:sz w:val="16"/>
              <w:szCs w:val="16"/>
            </w:rPr>
            <w:t>/</w:t>
          </w:r>
          <w:r w:rsidR="006C63FD">
            <w:rPr>
              <w:sz w:val="16"/>
              <w:szCs w:val="16"/>
            </w:rPr>
            <w:t>03</w:t>
          </w:r>
          <w:r>
            <w:rPr>
              <w:sz w:val="16"/>
              <w:szCs w:val="16"/>
            </w:rPr>
            <w:t>/202</w:t>
          </w:r>
          <w:r w:rsidR="006C63FD">
            <w:rPr>
              <w:sz w:val="16"/>
              <w:szCs w:val="16"/>
            </w:rPr>
            <w:t>2</w:t>
          </w:r>
        </w:p>
      </w:tc>
    </w:tr>
  </w:tbl>
  <w:p w14:paraId="378320A2" w14:textId="77777777" w:rsidR="0009038E" w:rsidRDefault="000903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1749"/>
      <w:gridCol w:w="1526"/>
      <w:gridCol w:w="2013"/>
    </w:tblGrid>
    <w:tr w:rsidR="0009038E" w14:paraId="7B6FC482" w14:textId="77777777" w:rsidTr="00A959D9">
      <w:tc>
        <w:tcPr>
          <w:tcW w:w="6946" w:type="dxa"/>
          <w:gridSpan w:val="3"/>
        </w:tcPr>
        <w:p w14:paraId="7CABFFAD" w14:textId="77777777" w:rsidR="0009038E" w:rsidRDefault="0009038E" w:rsidP="00541299">
          <w:pPr>
            <w:spacing w:line="0" w:lineRule="atLeast"/>
            <w:jc w:val="right"/>
            <w:rPr>
              <w:i/>
            </w:rPr>
          </w:pPr>
          <w:r>
            <w:rPr>
              <w:i/>
            </w:rPr>
            <w:t>Higher Education Provider Guidelines 2012</w:t>
          </w:r>
        </w:p>
        <w:p w14:paraId="6D7C9BF6" w14:textId="77777777" w:rsidR="0009038E" w:rsidRPr="00910EED" w:rsidRDefault="0009038E" w:rsidP="00541299">
          <w:pPr>
            <w:tabs>
              <w:tab w:val="left" w:pos="4845"/>
            </w:tabs>
            <w:spacing w:line="0" w:lineRule="atLeast"/>
            <w:rPr>
              <w:i/>
              <w:sz w:val="18"/>
            </w:rPr>
          </w:pPr>
          <w:r>
            <w:rPr>
              <w:i/>
              <w:sz w:val="18"/>
            </w:rPr>
            <w:tab/>
          </w:r>
        </w:p>
      </w:tc>
      <w:tc>
        <w:tcPr>
          <w:tcW w:w="3539" w:type="dxa"/>
          <w:gridSpan w:val="2"/>
        </w:tcPr>
        <w:p w14:paraId="60781FFB" w14:textId="4A97AD49" w:rsidR="0009038E" w:rsidRDefault="0009038E" w:rsidP="00541299">
          <w:pPr>
            <w:spacing w:line="0" w:lineRule="atLeast"/>
            <w:jc w:val="right"/>
            <w:rPr>
              <w:sz w:val="18"/>
            </w:rPr>
          </w:pPr>
          <w:r w:rsidRPr="00A31F75">
            <w:rPr>
              <w:i/>
              <w:sz w:val="18"/>
            </w:rPr>
            <w:fldChar w:fldCharType="begin"/>
          </w:r>
          <w:r w:rsidRPr="00A31F75">
            <w:rPr>
              <w:i/>
              <w:sz w:val="18"/>
            </w:rPr>
            <w:instrText xml:space="preserve"> PAGE   \* MERGEFORMAT </w:instrText>
          </w:r>
          <w:r w:rsidRPr="00A31F75">
            <w:rPr>
              <w:i/>
              <w:sz w:val="18"/>
            </w:rPr>
            <w:fldChar w:fldCharType="separate"/>
          </w:r>
          <w:r w:rsidRPr="00A31F75">
            <w:rPr>
              <w:i/>
              <w:noProof/>
              <w:sz w:val="18"/>
            </w:rPr>
            <w:t>1</w:t>
          </w:r>
          <w:r w:rsidRPr="00A31F75">
            <w:rPr>
              <w:i/>
              <w:noProof/>
              <w:sz w:val="18"/>
            </w:rPr>
            <w:fldChar w:fldCharType="end"/>
          </w:r>
        </w:p>
      </w:tc>
    </w:tr>
    <w:tr w:rsidR="0009038E" w:rsidRPr="00130F37" w14:paraId="2AA63330" w14:textId="77777777" w:rsidTr="00A959D9">
      <w:trPr>
        <w:gridAfter w:val="1"/>
        <w:wAfter w:w="2013" w:type="dxa"/>
      </w:trPr>
      <w:tc>
        <w:tcPr>
          <w:tcW w:w="2227" w:type="dxa"/>
        </w:tcPr>
        <w:p w14:paraId="09D2B7C0" w14:textId="2FF985ED" w:rsidR="0009038E" w:rsidRPr="00130F37" w:rsidRDefault="0009038E" w:rsidP="00541299">
          <w:pPr>
            <w:spacing w:before="120"/>
            <w:rPr>
              <w:sz w:val="16"/>
              <w:szCs w:val="16"/>
            </w:rPr>
          </w:pPr>
          <w:r w:rsidRPr="00130F37">
            <w:rPr>
              <w:sz w:val="16"/>
              <w:szCs w:val="16"/>
            </w:rPr>
            <w:t xml:space="preserve">Compilation No. </w:t>
          </w:r>
          <w:r w:rsidR="006C63FD">
            <w:rPr>
              <w:sz w:val="16"/>
              <w:szCs w:val="16"/>
            </w:rPr>
            <w:t>9</w:t>
          </w:r>
        </w:p>
      </w:tc>
      <w:tc>
        <w:tcPr>
          <w:tcW w:w="2970" w:type="dxa"/>
        </w:tcPr>
        <w:p w14:paraId="73DFF26D" w14:textId="77777777" w:rsidR="0009038E" w:rsidRPr="00130F37" w:rsidRDefault="0009038E" w:rsidP="00541299">
          <w:pPr>
            <w:spacing w:before="120"/>
            <w:jc w:val="center"/>
            <w:rPr>
              <w:sz w:val="16"/>
              <w:szCs w:val="16"/>
            </w:rPr>
          </w:pPr>
        </w:p>
      </w:tc>
      <w:tc>
        <w:tcPr>
          <w:tcW w:w="3275" w:type="dxa"/>
          <w:gridSpan w:val="2"/>
        </w:tcPr>
        <w:p w14:paraId="716429D8" w14:textId="5A20D74C" w:rsidR="0009038E" w:rsidRPr="00130F37" w:rsidRDefault="0009038E" w:rsidP="00541299">
          <w:pPr>
            <w:spacing w:before="120"/>
            <w:jc w:val="right"/>
            <w:rPr>
              <w:sz w:val="16"/>
              <w:szCs w:val="16"/>
            </w:rPr>
          </w:pPr>
          <w:r w:rsidRPr="00130F37">
            <w:rPr>
              <w:sz w:val="16"/>
              <w:szCs w:val="16"/>
            </w:rPr>
            <w:t xml:space="preserve">Compilation date: </w:t>
          </w:r>
          <w:r>
            <w:rPr>
              <w:sz w:val="16"/>
              <w:szCs w:val="16"/>
            </w:rPr>
            <w:t>2</w:t>
          </w:r>
          <w:r w:rsidR="006C63FD">
            <w:rPr>
              <w:sz w:val="16"/>
              <w:szCs w:val="16"/>
            </w:rPr>
            <w:t>2</w:t>
          </w:r>
          <w:r>
            <w:rPr>
              <w:sz w:val="16"/>
              <w:szCs w:val="16"/>
            </w:rPr>
            <w:t>/</w:t>
          </w:r>
          <w:r w:rsidR="006C63FD">
            <w:rPr>
              <w:sz w:val="16"/>
              <w:szCs w:val="16"/>
            </w:rPr>
            <w:t>03</w:t>
          </w:r>
          <w:r>
            <w:rPr>
              <w:sz w:val="16"/>
              <w:szCs w:val="16"/>
            </w:rPr>
            <w:t>/202</w:t>
          </w:r>
          <w:r w:rsidR="006C63FD">
            <w:rPr>
              <w:sz w:val="16"/>
              <w:szCs w:val="16"/>
            </w:rPr>
            <w:t>2</w:t>
          </w:r>
        </w:p>
      </w:tc>
    </w:tr>
  </w:tbl>
  <w:p w14:paraId="45068BAF" w14:textId="77777777" w:rsidR="0009038E" w:rsidRDefault="0009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8ECD" w14:textId="77777777" w:rsidR="00EF1643" w:rsidRDefault="00EF1643">
      <w:r>
        <w:separator/>
      </w:r>
    </w:p>
    <w:p w14:paraId="144D1E93" w14:textId="77777777" w:rsidR="00EF1643" w:rsidRDefault="00EF1643"/>
  </w:footnote>
  <w:footnote w:type="continuationSeparator" w:id="0">
    <w:p w14:paraId="611A7DE6" w14:textId="77777777" w:rsidR="00EF1643" w:rsidRDefault="00EF1643">
      <w:r>
        <w:continuationSeparator/>
      </w:r>
    </w:p>
    <w:p w14:paraId="505CCAE1" w14:textId="77777777" w:rsidR="00EF1643" w:rsidRDefault="00EF1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F60A" w14:textId="77777777" w:rsidR="0009038E" w:rsidRPr="00965EE7" w:rsidRDefault="0009038E" w:rsidP="00541299">
    <w:pPr>
      <w:jc w:val="right"/>
      <w:rPr>
        <w:b/>
        <w:sz w:val="20"/>
      </w:rPr>
    </w:pPr>
    <w:r w:rsidRPr="00965EE7">
      <w:rPr>
        <w:b/>
        <w:sz w:val="20"/>
      </w:rPr>
      <w:t>Endnotes</w:t>
    </w:r>
  </w:p>
  <w:p w14:paraId="071B85E0" w14:textId="77777777" w:rsidR="0009038E" w:rsidRPr="007A1328" w:rsidRDefault="0009038E" w:rsidP="00541299">
    <w:pPr>
      <w:jc w:val="right"/>
      <w:rPr>
        <w:sz w:val="20"/>
      </w:rPr>
    </w:pPr>
  </w:p>
  <w:p w14:paraId="45EB843E" w14:textId="77777777" w:rsidR="0009038E" w:rsidRPr="007A1328" w:rsidRDefault="0009038E" w:rsidP="00541299">
    <w:pPr>
      <w:jc w:val="right"/>
      <w:rPr>
        <w:b/>
        <w:sz w:val="24"/>
      </w:rPr>
    </w:pPr>
  </w:p>
  <w:p w14:paraId="773D1C41" w14:textId="73C21814" w:rsidR="0009038E" w:rsidRPr="00C4473E" w:rsidRDefault="0009038E" w:rsidP="00541299">
    <w:pPr>
      <w:pBdr>
        <w:bottom w:val="single" w:sz="6" w:space="1" w:color="auto"/>
      </w:pBdr>
      <w:jc w:val="right"/>
    </w:pPr>
    <w:r>
      <w:t>Endnote 1 – About the endnotes</w:t>
    </w:r>
  </w:p>
  <w:p w14:paraId="09C73D7C" w14:textId="77777777" w:rsidR="0009038E" w:rsidRPr="00541299" w:rsidRDefault="0009038E" w:rsidP="00541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7E73" w14:textId="77777777" w:rsidR="0009038E" w:rsidRPr="00965EE7" w:rsidRDefault="0009038E" w:rsidP="00541299">
    <w:pPr>
      <w:jc w:val="right"/>
      <w:rPr>
        <w:b/>
        <w:sz w:val="20"/>
      </w:rPr>
    </w:pPr>
    <w:r w:rsidRPr="00965EE7">
      <w:rPr>
        <w:b/>
        <w:sz w:val="20"/>
      </w:rPr>
      <w:t>Endnotes</w:t>
    </w:r>
  </w:p>
  <w:p w14:paraId="6945C656" w14:textId="77777777" w:rsidR="0009038E" w:rsidRPr="007A1328" w:rsidRDefault="0009038E" w:rsidP="00541299">
    <w:pPr>
      <w:jc w:val="right"/>
      <w:rPr>
        <w:sz w:val="20"/>
      </w:rPr>
    </w:pPr>
  </w:p>
  <w:p w14:paraId="34D6B2CD" w14:textId="77777777" w:rsidR="0009038E" w:rsidRPr="007A1328" w:rsidRDefault="0009038E" w:rsidP="00541299">
    <w:pPr>
      <w:jc w:val="right"/>
      <w:rPr>
        <w:b/>
        <w:sz w:val="24"/>
      </w:rPr>
    </w:pPr>
  </w:p>
  <w:p w14:paraId="2B9628FB" w14:textId="277F4EDE" w:rsidR="0009038E" w:rsidRPr="00C4473E" w:rsidRDefault="0009038E" w:rsidP="00541299">
    <w:pPr>
      <w:pBdr>
        <w:bottom w:val="single" w:sz="6" w:space="1" w:color="auto"/>
      </w:pBdr>
      <w:jc w:val="right"/>
    </w:pPr>
    <w:r>
      <w:t>Endnote 2 – Abbreviation key</w:t>
    </w:r>
  </w:p>
  <w:p w14:paraId="3AAEFC1A" w14:textId="77777777" w:rsidR="0009038E" w:rsidRPr="00541299" w:rsidRDefault="0009038E" w:rsidP="00541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05DD" w14:textId="77777777" w:rsidR="0009038E" w:rsidRPr="00965EE7" w:rsidRDefault="0009038E" w:rsidP="00541299">
    <w:pPr>
      <w:jc w:val="right"/>
      <w:rPr>
        <w:b/>
        <w:sz w:val="20"/>
      </w:rPr>
    </w:pPr>
    <w:r w:rsidRPr="00965EE7">
      <w:rPr>
        <w:b/>
        <w:sz w:val="20"/>
      </w:rPr>
      <w:t>Endnotes</w:t>
    </w:r>
  </w:p>
  <w:p w14:paraId="359FB63E" w14:textId="77777777" w:rsidR="0009038E" w:rsidRPr="007A1328" w:rsidRDefault="0009038E" w:rsidP="00541299">
    <w:pPr>
      <w:jc w:val="right"/>
      <w:rPr>
        <w:sz w:val="20"/>
      </w:rPr>
    </w:pPr>
  </w:p>
  <w:p w14:paraId="4B1F42E3" w14:textId="77777777" w:rsidR="0009038E" w:rsidRPr="007A1328" w:rsidRDefault="0009038E" w:rsidP="00541299">
    <w:pPr>
      <w:jc w:val="right"/>
      <w:rPr>
        <w:b/>
        <w:sz w:val="24"/>
      </w:rPr>
    </w:pPr>
  </w:p>
  <w:p w14:paraId="0955DA8E" w14:textId="108BD707" w:rsidR="0009038E" w:rsidRPr="00C4473E" w:rsidRDefault="0009038E" w:rsidP="00541299">
    <w:pPr>
      <w:pBdr>
        <w:bottom w:val="single" w:sz="6" w:space="1" w:color="auto"/>
      </w:pBdr>
      <w:jc w:val="right"/>
    </w:pPr>
    <w:r>
      <w:t>Endnote 3 – Legislation history</w:t>
    </w:r>
  </w:p>
  <w:p w14:paraId="3DAE3621" w14:textId="77777777" w:rsidR="0009038E" w:rsidRPr="00541299" w:rsidRDefault="0009038E" w:rsidP="00541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8F73" w14:textId="77777777" w:rsidR="0009038E" w:rsidRPr="00965EE7" w:rsidRDefault="0009038E" w:rsidP="00541299">
    <w:pPr>
      <w:jc w:val="right"/>
      <w:rPr>
        <w:b/>
        <w:sz w:val="20"/>
      </w:rPr>
    </w:pPr>
    <w:r w:rsidRPr="00965EE7">
      <w:rPr>
        <w:b/>
        <w:sz w:val="20"/>
      </w:rPr>
      <w:t>Endnotes</w:t>
    </w:r>
  </w:p>
  <w:p w14:paraId="1CFAF690" w14:textId="77777777" w:rsidR="0009038E" w:rsidRPr="007A1328" w:rsidRDefault="0009038E" w:rsidP="00541299">
    <w:pPr>
      <w:jc w:val="right"/>
      <w:rPr>
        <w:sz w:val="20"/>
      </w:rPr>
    </w:pPr>
  </w:p>
  <w:p w14:paraId="62D1A63C" w14:textId="77777777" w:rsidR="0009038E" w:rsidRPr="007A1328" w:rsidRDefault="0009038E" w:rsidP="00541299">
    <w:pPr>
      <w:jc w:val="right"/>
      <w:rPr>
        <w:b/>
        <w:sz w:val="24"/>
      </w:rPr>
    </w:pPr>
  </w:p>
  <w:p w14:paraId="1FE34748" w14:textId="17B6472D" w:rsidR="0009038E" w:rsidRPr="00C4473E" w:rsidRDefault="0009038E" w:rsidP="00541299">
    <w:pPr>
      <w:pBdr>
        <w:bottom w:val="single" w:sz="6" w:space="1" w:color="auto"/>
      </w:pBdr>
      <w:jc w:val="right"/>
    </w:pPr>
    <w:r>
      <w:t>Endnote 4 – Amendment history</w:t>
    </w:r>
  </w:p>
  <w:p w14:paraId="6D3255D1" w14:textId="77777777" w:rsidR="0009038E" w:rsidRPr="00541299" w:rsidRDefault="0009038E" w:rsidP="00541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D2B"/>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 w15:restartNumberingAfterBreak="0">
    <w:nsid w:val="08FF48A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 w15:restartNumberingAfterBreak="0">
    <w:nsid w:val="0921792D"/>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 w15:restartNumberingAfterBreak="0">
    <w:nsid w:val="0AB5729A"/>
    <w:multiLevelType w:val="hybridMultilevel"/>
    <w:tmpl w:val="C2105E42"/>
    <w:lvl w:ilvl="0" w:tplc="FFFFFFFF">
      <w:start w:val="1"/>
      <w:numFmt w:val="lowerLetter"/>
      <w:pStyle w:val="sub-paraxCharChar"/>
      <w:lvlText w:val="(%1)"/>
      <w:lvlJc w:val="left"/>
      <w:pPr>
        <w:tabs>
          <w:tab w:val="num" w:pos="360"/>
        </w:tabs>
        <w:ind w:left="927" w:hanging="567"/>
      </w:pPr>
      <w:rPr>
        <w:rFonts w:hint="default"/>
        <w:b w:val="0"/>
        <w:bCs w:val="0"/>
        <w:i w:val="0"/>
        <w:iCs w:val="0"/>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AC35AC"/>
    <w:multiLevelType w:val="multilevel"/>
    <w:tmpl w:val="B97673D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5" w15:restartNumberingAfterBreak="0">
    <w:nsid w:val="13973D3C"/>
    <w:multiLevelType w:val="multilevel"/>
    <w:tmpl w:val="B8FC248C"/>
    <w:lvl w:ilvl="0">
      <w:start w:val="2"/>
      <w:numFmt w:val="decimal"/>
      <w:lvlText w:val="%1"/>
      <w:lvlJc w:val="left"/>
      <w:pPr>
        <w:ind w:left="420" w:hanging="420"/>
      </w:pPr>
      <w:rPr>
        <w:rFonts w:hint="default"/>
      </w:rPr>
    </w:lvl>
    <w:lvl w:ilvl="1">
      <w:start w:val="4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AE6F2E"/>
    <w:multiLevelType w:val="multilevel"/>
    <w:tmpl w:val="0ECC04E6"/>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72050"/>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9" w15:restartNumberingAfterBreak="0">
    <w:nsid w:val="211973E9"/>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0" w15:restartNumberingAfterBreak="0">
    <w:nsid w:val="255143F6"/>
    <w:multiLevelType w:val="multilevel"/>
    <w:tmpl w:val="CA2ECAEE"/>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F96F67"/>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2" w15:restartNumberingAfterBreak="0">
    <w:nsid w:val="2FCC4FEE"/>
    <w:multiLevelType w:val="multilevel"/>
    <w:tmpl w:val="00AC46D0"/>
    <w:lvl w:ilvl="0">
      <w:start w:val="1"/>
      <w:numFmt w:val="decimal"/>
      <w:pStyle w:val="ClauseLevel3CharCharChar"/>
      <w:lvlText w:val="%1."/>
      <w:lvlJc w:val="left"/>
      <w:pPr>
        <w:tabs>
          <w:tab w:val="num" w:pos="1134"/>
        </w:tabs>
        <w:ind w:left="1134" w:hanging="1134"/>
      </w:pPr>
      <w:rPr>
        <w:rFonts w:hint="default"/>
        <w:sz w:val="20"/>
        <w:szCs w:val="20"/>
      </w:rPr>
    </w:lvl>
    <w:lvl w:ilvl="1">
      <w:start w:val="1"/>
      <w:numFmt w:val="decimal"/>
      <w:lvlText w:val="%1.%2."/>
      <w:lvlJc w:val="left"/>
      <w:pPr>
        <w:tabs>
          <w:tab w:val="num" w:pos="1134"/>
        </w:tabs>
        <w:ind w:left="1134" w:hanging="1134"/>
      </w:pPr>
      <w:rPr>
        <w:rFonts w:hint="default"/>
        <w:sz w:val="20"/>
        <w:szCs w:val="20"/>
      </w:rPr>
    </w:lvl>
    <w:lvl w:ilvl="2">
      <w:start w:val="1"/>
      <w:numFmt w:val="lowerLetter"/>
      <w:pStyle w:val="ClauseLevel4CharChar"/>
      <w:lvlText w:val="%3."/>
      <w:lvlJc w:val="left"/>
      <w:pPr>
        <w:tabs>
          <w:tab w:val="num" w:pos="2225"/>
        </w:tabs>
        <w:ind w:left="2225" w:hanging="425"/>
      </w:pPr>
      <w:rPr>
        <w:rFonts w:hint="default"/>
      </w:rPr>
    </w:lvl>
    <w:lvl w:ilvl="3">
      <w:start w:val="1"/>
      <w:numFmt w:val="lowerRoman"/>
      <w:pStyle w:val="ClauseLevel5"/>
      <w:lvlText w:val="%4."/>
      <w:lvlJc w:val="left"/>
      <w:pPr>
        <w:tabs>
          <w:tab w:val="num" w:pos="850"/>
        </w:tabs>
        <w:ind w:left="850" w:hanging="850"/>
      </w:pPr>
      <w:rPr>
        <w:rFonts w:hint="default"/>
      </w:rPr>
    </w:lvl>
    <w:lvl w:ilvl="4">
      <w:start w:val="1"/>
      <w:numFmt w:val="upperLetter"/>
      <w:pStyle w:val="ClauseLevel6"/>
      <w:lvlText w:val="%5%4."/>
      <w:lvlJc w:val="left"/>
      <w:pPr>
        <w:tabs>
          <w:tab w:val="num" w:pos="-284"/>
        </w:tabs>
        <w:ind w:left="-284" w:hanging="425"/>
      </w:pPr>
      <w:rPr>
        <w:rFonts w:hint="default"/>
      </w:rPr>
    </w:lvl>
    <w:lvl w:ilvl="5">
      <w:start w:val="1"/>
      <w:numFmt w:val="upperLetter"/>
      <w:pStyle w:val="ClauseLevel7"/>
      <w:lvlText w:val="%4."/>
      <w:lvlJc w:val="left"/>
      <w:pPr>
        <w:tabs>
          <w:tab w:val="num" w:pos="-284"/>
        </w:tabs>
        <w:ind w:left="-284" w:hanging="425"/>
      </w:pPr>
      <w:rPr>
        <w:rFonts w:hint="default"/>
      </w:rPr>
    </w:lvl>
    <w:lvl w:ilvl="6">
      <w:start w:val="1"/>
      <w:numFmt w:val="upperLetter"/>
      <w:pStyle w:val="ClauseLevel8"/>
      <w:lvlText w:val="%4."/>
      <w:lvlJc w:val="left"/>
      <w:pPr>
        <w:tabs>
          <w:tab w:val="num" w:pos="-284"/>
        </w:tabs>
        <w:ind w:left="-284" w:hanging="425"/>
      </w:pPr>
      <w:rPr>
        <w:rFonts w:hint="default"/>
      </w:rPr>
    </w:lvl>
    <w:lvl w:ilvl="7">
      <w:start w:val="1"/>
      <w:numFmt w:val="upperLetter"/>
      <w:pStyle w:val="ClauseLevel9"/>
      <w:lvlText w:val="%4."/>
      <w:lvlJc w:val="left"/>
      <w:pPr>
        <w:tabs>
          <w:tab w:val="num" w:pos="-284"/>
        </w:tabs>
        <w:ind w:left="-284" w:hanging="425"/>
      </w:pPr>
      <w:rPr>
        <w:rFonts w:hint="default"/>
      </w:rPr>
    </w:lvl>
    <w:lvl w:ilvl="8">
      <w:start w:val="1"/>
      <w:numFmt w:val="upperLetter"/>
      <w:pStyle w:val="ClauseLevel10"/>
      <w:lvlText w:val="%4."/>
      <w:lvlJc w:val="left"/>
      <w:pPr>
        <w:tabs>
          <w:tab w:val="num" w:pos="-284"/>
        </w:tabs>
        <w:ind w:left="-284" w:hanging="425"/>
      </w:pPr>
      <w:rPr>
        <w:rFonts w:hint="default"/>
      </w:rPr>
    </w:lvl>
  </w:abstractNum>
  <w:abstractNum w:abstractNumId="13" w15:restartNumberingAfterBreak="0">
    <w:nsid w:val="30556CF5"/>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4" w15:restartNumberingAfterBreak="0">
    <w:nsid w:val="31E0130D"/>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5" w15:restartNumberingAfterBreak="0">
    <w:nsid w:val="32F0560E"/>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6" w15:restartNumberingAfterBreak="0">
    <w:nsid w:val="47042530"/>
    <w:multiLevelType w:val="multilevel"/>
    <w:tmpl w:val="8F22755E"/>
    <w:lvl w:ilvl="0">
      <w:start w:val="1"/>
      <w:numFmt w:val="lowerLetter"/>
      <w:lvlText w:val="(%1)"/>
      <w:lvlJc w:val="left"/>
      <w:pPr>
        <w:tabs>
          <w:tab w:val="num" w:pos="1159"/>
        </w:tabs>
        <w:ind w:left="1159" w:hanging="360"/>
      </w:pPr>
      <w:rPr>
        <w:rFonts w:hint="default"/>
        <w:i w:val="0"/>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7" w15:restartNumberingAfterBreak="0">
    <w:nsid w:val="4A3D3D7E"/>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8" w15:restartNumberingAfterBreak="0">
    <w:nsid w:val="4B0B18DE"/>
    <w:multiLevelType w:val="multilevel"/>
    <w:tmpl w:val="705623B2"/>
    <w:lvl w:ilvl="0">
      <w:start w:val="2"/>
      <w:numFmt w:val="decimal"/>
      <w:lvlText w:val="%1"/>
      <w:lvlJc w:val="left"/>
      <w:pPr>
        <w:ind w:left="600" w:hanging="600"/>
      </w:pPr>
      <w:rPr>
        <w:rFonts w:eastAsia="Times New Roman" w:hint="default"/>
      </w:rPr>
    </w:lvl>
    <w:lvl w:ilvl="1">
      <w:start w:val="30"/>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1515E3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0" w15:restartNumberingAfterBreak="0">
    <w:nsid w:val="60E74E83"/>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1" w15:restartNumberingAfterBreak="0">
    <w:nsid w:val="66907B71"/>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2" w15:restartNumberingAfterBreak="0">
    <w:nsid w:val="6CDC15A3"/>
    <w:multiLevelType w:val="multilevel"/>
    <w:tmpl w:val="0C09001F"/>
    <w:styleLink w:val="111111"/>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EB43C83"/>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4" w15:restartNumberingAfterBreak="0">
    <w:nsid w:val="707C1F80"/>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5" w15:restartNumberingAfterBreak="0">
    <w:nsid w:val="740413BC"/>
    <w:multiLevelType w:val="hybridMultilevel"/>
    <w:tmpl w:val="0FD4B27A"/>
    <w:lvl w:ilvl="0" w:tplc="066007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6880D73"/>
    <w:multiLevelType w:val="multilevel"/>
    <w:tmpl w:val="40BE4D2C"/>
    <w:lvl w:ilvl="0">
      <w:start w:val="2"/>
      <w:numFmt w:val="decimal"/>
      <w:lvlText w:val="%1"/>
      <w:lvlJc w:val="left"/>
      <w:pPr>
        <w:ind w:left="600" w:hanging="600"/>
      </w:pPr>
      <w:rPr>
        <w:rFonts w:hint="default"/>
      </w:rPr>
    </w:lvl>
    <w:lvl w:ilvl="1">
      <w:start w:val="40"/>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AA31E0"/>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8" w15:restartNumberingAfterBreak="0">
    <w:nsid w:val="7A3B0CC5"/>
    <w:multiLevelType w:val="multilevel"/>
    <w:tmpl w:val="3252DC8A"/>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30206"/>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num w:numId="1">
    <w:abstractNumId w:val="3"/>
  </w:num>
  <w:num w:numId="2">
    <w:abstractNumId w:val="12"/>
  </w:num>
  <w:num w:numId="3">
    <w:abstractNumId w:val="22"/>
  </w:num>
  <w:num w:numId="4">
    <w:abstractNumId w:val="2"/>
  </w:num>
  <w:num w:numId="5">
    <w:abstractNumId w:val="6"/>
  </w:num>
  <w:num w:numId="6">
    <w:abstractNumId w:val="19"/>
  </w:num>
  <w:num w:numId="7">
    <w:abstractNumId w:val="24"/>
  </w:num>
  <w:num w:numId="8">
    <w:abstractNumId w:val="16"/>
  </w:num>
  <w:num w:numId="9">
    <w:abstractNumId w:val="20"/>
  </w:num>
  <w:num w:numId="10">
    <w:abstractNumId w:val="27"/>
  </w:num>
  <w:num w:numId="11">
    <w:abstractNumId w:val="13"/>
  </w:num>
  <w:num w:numId="12">
    <w:abstractNumId w:val="15"/>
  </w:num>
  <w:num w:numId="13">
    <w:abstractNumId w:val="0"/>
  </w:num>
  <w:num w:numId="14">
    <w:abstractNumId w:val="29"/>
  </w:num>
  <w:num w:numId="15">
    <w:abstractNumId w:val="17"/>
  </w:num>
  <w:num w:numId="16">
    <w:abstractNumId w:val="18"/>
  </w:num>
  <w:num w:numId="17">
    <w:abstractNumId w:val="14"/>
  </w:num>
  <w:num w:numId="18">
    <w:abstractNumId w:val="23"/>
  </w:num>
  <w:num w:numId="19">
    <w:abstractNumId w:val="5"/>
  </w:num>
  <w:num w:numId="20">
    <w:abstractNumId w:val="25"/>
  </w:num>
  <w:num w:numId="21">
    <w:abstractNumId w:val="26"/>
  </w:num>
  <w:num w:numId="22">
    <w:abstractNumId w:val="10"/>
  </w:num>
  <w:num w:numId="23">
    <w:abstractNumId w:val="28"/>
  </w:num>
  <w:num w:numId="24">
    <w:abstractNumId w:val="7"/>
  </w:num>
  <w:num w:numId="25">
    <w:abstractNumId w:val="21"/>
  </w:num>
  <w:num w:numId="26">
    <w:abstractNumId w:val="11"/>
  </w:num>
  <w:num w:numId="27">
    <w:abstractNumId w:val="1"/>
  </w:num>
  <w:num w:numId="28">
    <w:abstractNumId w:val="8"/>
  </w:num>
  <w:num w:numId="29">
    <w:abstractNumId w:val="9"/>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ec5ce39e-a7c1-4daf-91d1-1e87d8a02b3d"/>
    <w:docVar w:name="_AMO_XmlVersion" w:val="Empty"/>
  </w:docVars>
  <w:rsids>
    <w:rsidRoot w:val="00F56BC1"/>
    <w:rsid w:val="00005577"/>
    <w:rsid w:val="000119F7"/>
    <w:rsid w:val="00011A7B"/>
    <w:rsid w:val="00013020"/>
    <w:rsid w:val="00014B0C"/>
    <w:rsid w:val="00016E8C"/>
    <w:rsid w:val="00020192"/>
    <w:rsid w:val="00024870"/>
    <w:rsid w:val="000258E6"/>
    <w:rsid w:val="00032D55"/>
    <w:rsid w:val="00032DC4"/>
    <w:rsid w:val="00033B50"/>
    <w:rsid w:val="000374AB"/>
    <w:rsid w:val="00040949"/>
    <w:rsid w:val="00040CFB"/>
    <w:rsid w:val="000425C4"/>
    <w:rsid w:val="0004728E"/>
    <w:rsid w:val="000502C7"/>
    <w:rsid w:val="000538E2"/>
    <w:rsid w:val="00054DB4"/>
    <w:rsid w:val="000559D8"/>
    <w:rsid w:val="00057334"/>
    <w:rsid w:val="00057BEC"/>
    <w:rsid w:val="00057F8F"/>
    <w:rsid w:val="00063269"/>
    <w:rsid w:val="00064216"/>
    <w:rsid w:val="000674D8"/>
    <w:rsid w:val="000678CF"/>
    <w:rsid w:val="00073491"/>
    <w:rsid w:val="00075CB6"/>
    <w:rsid w:val="00075DD8"/>
    <w:rsid w:val="00076D37"/>
    <w:rsid w:val="00077906"/>
    <w:rsid w:val="000804A2"/>
    <w:rsid w:val="00083333"/>
    <w:rsid w:val="0008581A"/>
    <w:rsid w:val="00085880"/>
    <w:rsid w:val="0009038E"/>
    <w:rsid w:val="000918FE"/>
    <w:rsid w:val="0009601F"/>
    <w:rsid w:val="00096FBF"/>
    <w:rsid w:val="000A3622"/>
    <w:rsid w:val="000A54A3"/>
    <w:rsid w:val="000A6137"/>
    <w:rsid w:val="000B3033"/>
    <w:rsid w:val="000C09EE"/>
    <w:rsid w:val="000C3327"/>
    <w:rsid w:val="000C5AEC"/>
    <w:rsid w:val="000C6DF9"/>
    <w:rsid w:val="000D35A5"/>
    <w:rsid w:val="000D4AA1"/>
    <w:rsid w:val="000D592F"/>
    <w:rsid w:val="000D7CD2"/>
    <w:rsid w:val="000E2090"/>
    <w:rsid w:val="000E3CAB"/>
    <w:rsid w:val="000E57BF"/>
    <w:rsid w:val="000E7281"/>
    <w:rsid w:val="000E7D30"/>
    <w:rsid w:val="000F1838"/>
    <w:rsid w:val="000F2F30"/>
    <w:rsid w:val="000F35DF"/>
    <w:rsid w:val="000F4881"/>
    <w:rsid w:val="000F7F0A"/>
    <w:rsid w:val="00103BA2"/>
    <w:rsid w:val="00104D3C"/>
    <w:rsid w:val="0011058A"/>
    <w:rsid w:val="00110614"/>
    <w:rsid w:val="00110B25"/>
    <w:rsid w:val="00114176"/>
    <w:rsid w:val="0012189A"/>
    <w:rsid w:val="001316E5"/>
    <w:rsid w:val="001325B7"/>
    <w:rsid w:val="001327FA"/>
    <w:rsid w:val="0013596E"/>
    <w:rsid w:val="00135B78"/>
    <w:rsid w:val="00136B65"/>
    <w:rsid w:val="00141B89"/>
    <w:rsid w:val="00142D9A"/>
    <w:rsid w:val="00145145"/>
    <w:rsid w:val="00145965"/>
    <w:rsid w:val="00153331"/>
    <w:rsid w:val="00154654"/>
    <w:rsid w:val="0015692B"/>
    <w:rsid w:val="00157BD6"/>
    <w:rsid w:val="00171AC4"/>
    <w:rsid w:val="001744B8"/>
    <w:rsid w:val="00180568"/>
    <w:rsid w:val="0018176F"/>
    <w:rsid w:val="00182E74"/>
    <w:rsid w:val="00186689"/>
    <w:rsid w:val="001900A7"/>
    <w:rsid w:val="0019061A"/>
    <w:rsid w:val="00190D28"/>
    <w:rsid w:val="00193934"/>
    <w:rsid w:val="0019465C"/>
    <w:rsid w:val="00194840"/>
    <w:rsid w:val="001956D4"/>
    <w:rsid w:val="00197F9E"/>
    <w:rsid w:val="001A5FF8"/>
    <w:rsid w:val="001A6D56"/>
    <w:rsid w:val="001B1078"/>
    <w:rsid w:val="001B3BC0"/>
    <w:rsid w:val="001C208F"/>
    <w:rsid w:val="001C4B73"/>
    <w:rsid w:val="001D05A8"/>
    <w:rsid w:val="001D3104"/>
    <w:rsid w:val="001D722D"/>
    <w:rsid w:val="001E2700"/>
    <w:rsid w:val="001E3E43"/>
    <w:rsid w:val="001E4886"/>
    <w:rsid w:val="001F394A"/>
    <w:rsid w:val="001F6E6F"/>
    <w:rsid w:val="002021F3"/>
    <w:rsid w:val="002039EA"/>
    <w:rsid w:val="00204C71"/>
    <w:rsid w:val="00205AF3"/>
    <w:rsid w:val="00207459"/>
    <w:rsid w:val="00210D0F"/>
    <w:rsid w:val="002135C2"/>
    <w:rsid w:val="00214E54"/>
    <w:rsid w:val="0021541E"/>
    <w:rsid w:val="0021602C"/>
    <w:rsid w:val="002228A9"/>
    <w:rsid w:val="00230D2A"/>
    <w:rsid w:val="00231118"/>
    <w:rsid w:val="002341A3"/>
    <w:rsid w:val="00234864"/>
    <w:rsid w:val="002414DF"/>
    <w:rsid w:val="002433CC"/>
    <w:rsid w:val="00243767"/>
    <w:rsid w:val="0024684B"/>
    <w:rsid w:val="00250E6D"/>
    <w:rsid w:val="00253BA9"/>
    <w:rsid w:val="00254C4D"/>
    <w:rsid w:val="0026287F"/>
    <w:rsid w:val="00263EEA"/>
    <w:rsid w:val="00264367"/>
    <w:rsid w:val="002657FC"/>
    <w:rsid w:val="00265AF9"/>
    <w:rsid w:val="002732F8"/>
    <w:rsid w:val="002735D0"/>
    <w:rsid w:val="002823C9"/>
    <w:rsid w:val="00285CCB"/>
    <w:rsid w:val="00293C93"/>
    <w:rsid w:val="00295683"/>
    <w:rsid w:val="00295B64"/>
    <w:rsid w:val="00297845"/>
    <w:rsid w:val="002A18A4"/>
    <w:rsid w:val="002A2AD1"/>
    <w:rsid w:val="002A2DF9"/>
    <w:rsid w:val="002A3C11"/>
    <w:rsid w:val="002A7052"/>
    <w:rsid w:val="002A7F88"/>
    <w:rsid w:val="002B1E14"/>
    <w:rsid w:val="002B2703"/>
    <w:rsid w:val="002C3648"/>
    <w:rsid w:val="002C57C7"/>
    <w:rsid w:val="002D3FA4"/>
    <w:rsid w:val="002D7BC9"/>
    <w:rsid w:val="002E31FE"/>
    <w:rsid w:val="002E7B9B"/>
    <w:rsid w:val="002F12DF"/>
    <w:rsid w:val="002F2BA8"/>
    <w:rsid w:val="002F427A"/>
    <w:rsid w:val="002F4CA5"/>
    <w:rsid w:val="002F6348"/>
    <w:rsid w:val="00315200"/>
    <w:rsid w:val="00315A6F"/>
    <w:rsid w:val="003237C5"/>
    <w:rsid w:val="00326CDE"/>
    <w:rsid w:val="00331A72"/>
    <w:rsid w:val="0033232C"/>
    <w:rsid w:val="003335F6"/>
    <w:rsid w:val="00334028"/>
    <w:rsid w:val="00334242"/>
    <w:rsid w:val="00337A4B"/>
    <w:rsid w:val="00340A24"/>
    <w:rsid w:val="00341D90"/>
    <w:rsid w:val="003443BE"/>
    <w:rsid w:val="00345611"/>
    <w:rsid w:val="003506CF"/>
    <w:rsid w:val="00350F2E"/>
    <w:rsid w:val="0035766E"/>
    <w:rsid w:val="00364B5C"/>
    <w:rsid w:val="00367F6A"/>
    <w:rsid w:val="003708EF"/>
    <w:rsid w:val="00370BDD"/>
    <w:rsid w:val="003751E9"/>
    <w:rsid w:val="00375AA1"/>
    <w:rsid w:val="003804E2"/>
    <w:rsid w:val="003824EC"/>
    <w:rsid w:val="00395894"/>
    <w:rsid w:val="0039748D"/>
    <w:rsid w:val="003A2F6C"/>
    <w:rsid w:val="003A5D17"/>
    <w:rsid w:val="003A5E66"/>
    <w:rsid w:val="003B0882"/>
    <w:rsid w:val="003B30DC"/>
    <w:rsid w:val="003B71AA"/>
    <w:rsid w:val="003C1091"/>
    <w:rsid w:val="003C13B7"/>
    <w:rsid w:val="003C5D32"/>
    <w:rsid w:val="003C6C4B"/>
    <w:rsid w:val="003C6C7D"/>
    <w:rsid w:val="003D7FB5"/>
    <w:rsid w:val="003E1384"/>
    <w:rsid w:val="003E444F"/>
    <w:rsid w:val="003E5222"/>
    <w:rsid w:val="003E5702"/>
    <w:rsid w:val="003E646A"/>
    <w:rsid w:val="003E759B"/>
    <w:rsid w:val="003F02BD"/>
    <w:rsid w:val="00401ECE"/>
    <w:rsid w:val="004068D3"/>
    <w:rsid w:val="0040756F"/>
    <w:rsid w:val="00414B8E"/>
    <w:rsid w:val="004209E6"/>
    <w:rsid w:val="00421563"/>
    <w:rsid w:val="00425F88"/>
    <w:rsid w:val="004305F8"/>
    <w:rsid w:val="004353A4"/>
    <w:rsid w:val="00444671"/>
    <w:rsid w:val="00450287"/>
    <w:rsid w:val="0045237D"/>
    <w:rsid w:val="00452F93"/>
    <w:rsid w:val="0046036C"/>
    <w:rsid w:val="004639FA"/>
    <w:rsid w:val="00464A99"/>
    <w:rsid w:val="004652C1"/>
    <w:rsid w:val="0049087F"/>
    <w:rsid w:val="004A45C9"/>
    <w:rsid w:val="004A7901"/>
    <w:rsid w:val="004B0CA3"/>
    <w:rsid w:val="004B1D6D"/>
    <w:rsid w:val="004B652F"/>
    <w:rsid w:val="004C0DFE"/>
    <w:rsid w:val="004C193E"/>
    <w:rsid w:val="004C7662"/>
    <w:rsid w:val="004D0AB0"/>
    <w:rsid w:val="004D269D"/>
    <w:rsid w:val="004D2ADF"/>
    <w:rsid w:val="004D2BC0"/>
    <w:rsid w:val="004D3F6F"/>
    <w:rsid w:val="004D795F"/>
    <w:rsid w:val="004E0431"/>
    <w:rsid w:val="004E4312"/>
    <w:rsid w:val="004E6336"/>
    <w:rsid w:val="004E6AE5"/>
    <w:rsid w:val="004F12C5"/>
    <w:rsid w:val="004F2734"/>
    <w:rsid w:val="004F3125"/>
    <w:rsid w:val="004F3C68"/>
    <w:rsid w:val="004F5207"/>
    <w:rsid w:val="004F59AB"/>
    <w:rsid w:val="004F7C4C"/>
    <w:rsid w:val="00506838"/>
    <w:rsid w:val="00514CAE"/>
    <w:rsid w:val="005169DE"/>
    <w:rsid w:val="00535305"/>
    <w:rsid w:val="00541299"/>
    <w:rsid w:val="00542475"/>
    <w:rsid w:val="00543A11"/>
    <w:rsid w:val="005462D9"/>
    <w:rsid w:val="00547145"/>
    <w:rsid w:val="00552A5E"/>
    <w:rsid w:val="00555EB2"/>
    <w:rsid w:val="0056135F"/>
    <w:rsid w:val="005636DC"/>
    <w:rsid w:val="005650FD"/>
    <w:rsid w:val="00567397"/>
    <w:rsid w:val="005715D1"/>
    <w:rsid w:val="0057639A"/>
    <w:rsid w:val="005800E1"/>
    <w:rsid w:val="005805CF"/>
    <w:rsid w:val="00580742"/>
    <w:rsid w:val="005808FA"/>
    <w:rsid w:val="0058210B"/>
    <w:rsid w:val="00584BB1"/>
    <w:rsid w:val="00590CC0"/>
    <w:rsid w:val="00594577"/>
    <w:rsid w:val="00596391"/>
    <w:rsid w:val="005A12F5"/>
    <w:rsid w:val="005A381F"/>
    <w:rsid w:val="005B0012"/>
    <w:rsid w:val="005B0142"/>
    <w:rsid w:val="005B0EFE"/>
    <w:rsid w:val="005B327D"/>
    <w:rsid w:val="005B3C7F"/>
    <w:rsid w:val="005B45F3"/>
    <w:rsid w:val="005B578B"/>
    <w:rsid w:val="005C275A"/>
    <w:rsid w:val="005C44D4"/>
    <w:rsid w:val="005C6CA6"/>
    <w:rsid w:val="005C7B13"/>
    <w:rsid w:val="005D4BB2"/>
    <w:rsid w:val="005D77CC"/>
    <w:rsid w:val="005E2B60"/>
    <w:rsid w:val="005E3CF1"/>
    <w:rsid w:val="005E4E61"/>
    <w:rsid w:val="005E67E9"/>
    <w:rsid w:val="005E7A22"/>
    <w:rsid w:val="005F006E"/>
    <w:rsid w:val="005F395C"/>
    <w:rsid w:val="005F44BF"/>
    <w:rsid w:val="005F4E2A"/>
    <w:rsid w:val="005F6165"/>
    <w:rsid w:val="005F76D7"/>
    <w:rsid w:val="00600B11"/>
    <w:rsid w:val="00602980"/>
    <w:rsid w:val="0060758C"/>
    <w:rsid w:val="0061083A"/>
    <w:rsid w:val="0061141D"/>
    <w:rsid w:val="00611A41"/>
    <w:rsid w:val="00611FB8"/>
    <w:rsid w:val="00623FF5"/>
    <w:rsid w:val="00624025"/>
    <w:rsid w:val="006244DA"/>
    <w:rsid w:val="00627565"/>
    <w:rsid w:val="00630C56"/>
    <w:rsid w:val="00630E39"/>
    <w:rsid w:val="00635475"/>
    <w:rsid w:val="00637265"/>
    <w:rsid w:val="00641151"/>
    <w:rsid w:val="00642979"/>
    <w:rsid w:val="0065507B"/>
    <w:rsid w:val="00655ADE"/>
    <w:rsid w:val="00661CCB"/>
    <w:rsid w:val="006654AC"/>
    <w:rsid w:val="006735E6"/>
    <w:rsid w:val="0067392A"/>
    <w:rsid w:val="00673D27"/>
    <w:rsid w:val="006756FB"/>
    <w:rsid w:val="00680E39"/>
    <w:rsid w:val="0068631B"/>
    <w:rsid w:val="00687B30"/>
    <w:rsid w:val="0069140E"/>
    <w:rsid w:val="006919A9"/>
    <w:rsid w:val="00694B5A"/>
    <w:rsid w:val="006955DD"/>
    <w:rsid w:val="0069744E"/>
    <w:rsid w:val="006A062F"/>
    <w:rsid w:val="006A10BB"/>
    <w:rsid w:val="006A19D8"/>
    <w:rsid w:val="006A4157"/>
    <w:rsid w:val="006A486D"/>
    <w:rsid w:val="006A4FAA"/>
    <w:rsid w:val="006A55D1"/>
    <w:rsid w:val="006B41FD"/>
    <w:rsid w:val="006C2292"/>
    <w:rsid w:val="006C63FD"/>
    <w:rsid w:val="006D0718"/>
    <w:rsid w:val="006D5459"/>
    <w:rsid w:val="006D5EF5"/>
    <w:rsid w:val="006D7588"/>
    <w:rsid w:val="006D797E"/>
    <w:rsid w:val="006D7CB4"/>
    <w:rsid w:val="006E6938"/>
    <w:rsid w:val="006E7283"/>
    <w:rsid w:val="0070043A"/>
    <w:rsid w:val="0070099C"/>
    <w:rsid w:val="00701399"/>
    <w:rsid w:val="0070157D"/>
    <w:rsid w:val="00705B60"/>
    <w:rsid w:val="007113D8"/>
    <w:rsid w:val="00711C83"/>
    <w:rsid w:val="00712E10"/>
    <w:rsid w:val="00712E6A"/>
    <w:rsid w:val="00714D9C"/>
    <w:rsid w:val="007151A1"/>
    <w:rsid w:val="0072171C"/>
    <w:rsid w:val="00722383"/>
    <w:rsid w:val="0072287E"/>
    <w:rsid w:val="00726577"/>
    <w:rsid w:val="00727D5D"/>
    <w:rsid w:val="0073480B"/>
    <w:rsid w:val="0073498A"/>
    <w:rsid w:val="00736296"/>
    <w:rsid w:val="00744AAE"/>
    <w:rsid w:val="00751E6C"/>
    <w:rsid w:val="0075338C"/>
    <w:rsid w:val="0075598A"/>
    <w:rsid w:val="0076173E"/>
    <w:rsid w:val="00765D25"/>
    <w:rsid w:val="00766C47"/>
    <w:rsid w:val="00767886"/>
    <w:rsid w:val="00767A61"/>
    <w:rsid w:val="00772692"/>
    <w:rsid w:val="00777DA9"/>
    <w:rsid w:val="007807FB"/>
    <w:rsid w:val="00783F32"/>
    <w:rsid w:val="00784836"/>
    <w:rsid w:val="0078535E"/>
    <w:rsid w:val="007854A1"/>
    <w:rsid w:val="00787DEB"/>
    <w:rsid w:val="007A18B7"/>
    <w:rsid w:val="007A4208"/>
    <w:rsid w:val="007A6760"/>
    <w:rsid w:val="007C0C52"/>
    <w:rsid w:val="007C4103"/>
    <w:rsid w:val="007C52F3"/>
    <w:rsid w:val="007C626F"/>
    <w:rsid w:val="007D116A"/>
    <w:rsid w:val="007D1FAC"/>
    <w:rsid w:val="007D2637"/>
    <w:rsid w:val="007D2F6C"/>
    <w:rsid w:val="007D31C6"/>
    <w:rsid w:val="007D373D"/>
    <w:rsid w:val="007D37AB"/>
    <w:rsid w:val="007D38D0"/>
    <w:rsid w:val="007D4C13"/>
    <w:rsid w:val="007E02A7"/>
    <w:rsid w:val="007F076C"/>
    <w:rsid w:val="007F481A"/>
    <w:rsid w:val="007F65FC"/>
    <w:rsid w:val="007F7842"/>
    <w:rsid w:val="008020E3"/>
    <w:rsid w:val="00802294"/>
    <w:rsid w:val="008102DF"/>
    <w:rsid w:val="00811D9E"/>
    <w:rsid w:val="00812A5B"/>
    <w:rsid w:val="00813312"/>
    <w:rsid w:val="0081681D"/>
    <w:rsid w:val="00821AB3"/>
    <w:rsid w:val="00825C63"/>
    <w:rsid w:val="00827E4F"/>
    <w:rsid w:val="00830C73"/>
    <w:rsid w:val="00833509"/>
    <w:rsid w:val="008374AC"/>
    <w:rsid w:val="008377C1"/>
    <w:rsid w:val="008431CB"/>
    <w:rsid w:val="00843BEE"/>
    <w:rsid w:val="008451F8"/>
    <w:rsid w:val="00847A3E"/>
    <w:rsid w:val="00855687"/>
    <w:rsid w:val="00855BC0"/>
    <w:rsid w:val="008615EC"/>
    <w:rsid w:val="008627D1"/>
    <w:rsid w:val="00865681"/>
    <w:rsid w:val="008656B8"/>
    <w:rsid w:val="00865DF5"/>
    <w:rsid w:val="00866978"/>
    <w:rsid w:val="008675E3"/>
    <w:rsid w:val="008702AE"/>
    <w:rsid w:val="0087063B"/>
    <w:rsid w:val="00871ECA"/>
    <w:rsid w:val="008724E3"/>
    <w:rsid w:val="0087325A"/>
    <w:rsid w:val="00873650"/>
    <w:rsid w:val="0087692B"/>
    <w:rsid w:val="00880F82"/>
    <w:rsid w:val="0088127B"/>
    <w:rsid w:val="00885B45"/>
    <w:rsid w:val="00886ED8"/>
    <w:rsid w:val="0089233B"/>
    <w:rsid w:val="008A0308"/>
    <w:rsid w:val="008A6225"/>
    <w:rsid w:val="008B03BA"/>
    <w:rsid w:val="008B0B36"/>
    <w:rsid w:val="008B3149"/>
    <w:rsid w:val="008B45E1"/>
    <w:rsid w:val="008C3B7C"/>
    <w:rsid w:val="008C3C4B"/>
    <w:rsid w:val="008C5AD2"/>
    <w:rsid w:val="008D5BBE"/>
    <w:rsid w:val="008D5E1B"/>
    <w:rsid w:val="008D679F"/>
    <w:rsid w:val="008D6ED0"/>
    <w:rsid w:val="008E13BD"/>
    <w:rsid w:val="008E67C2"/>
    <w:rsid w:val="008F1331"/>
    <w:rsid w:val="008F67F3"/>
    <w:rsid w:val="00902254"/>
    <w:rsid w:val="0090306D"/>
    <w:rsid w:val="00903D90"/>
    <w:rsid w:val="00903F7E"/>
    <w:rsid w:val="009054F7"/>
    <w:rsid w:val="00907AAC"/>
    <w:rsid w:val="00910425"/>
    <w:rsid w:val="00910676"/>
    <w:rsid w:val="00912CB5"/>
    <w:rsid w:val="00917640"/>
    <w:rsid w:val="00917CF5"/>
    <w:rsid w:val="00923C0F"/>
    <w:rsid w:val="00924955"/>
    <w:rsid w:val="00925E58"/>
    <w:rsid w:val="00926CB1"/>
    <w:rsid w:val="009275BF"/>
    <w:rsid w:val="00931E7A"/>
    <w:rsid w:val="00933964"/>
    <w:rsid w:val="00935A8B"/>
    <w:rsid w:val="00935DD8"/>
    <w:rsid w:val="0093607B"/>
    <w:rsid w:val="00937D4F"/>
    <w:rsid w:val="009420C0"/>
    <w:rsid w:val="0094475F"/>
    <w:rsid w:val="00945F06"/>
    <w:rsid w:val="0095219C"/>
    <w:rsid w:val="00954A9C"/>
    <w:rsid w:val="009611D2"/>
    <w:rsid w:val="00961715"/>
    <w:rsid w:val="00963541"/>
    <w:rsid w:val="009642C7"/>
    <w:rsid w:val="00964441"/>
    <w:rsid w:val="00966E90"/>
    <w:rsid w:val="009670B9"/>
    <w:rsid w:val="009676D2"/>
    <w:rsid w:val="009679FE"/>
    <w:rsid w:val="00971DA4"/>
    <w:rsid w:val="009724F7"/>
    <w:rsid w:val="0097299B"/>
    <w:rsid w:val="00973705"/>
    <w:rsid w:val="00973B90"/>
    <w:rsid w:val="0097574C"/>
    <w:rsid w:val="009804FE"/>
    <w:rsid w:val="009809E0"/>
    <w:rsid w:val="00987AB6"/>
    <w:rsid w:val="009931BA"/>
    <w:rsid w:val="009933F5"/>
    <w:rsid w:val="009964FC"/>
    <w:rsid w:val="009A3207"/>
    <w:rsid w:val="009A3B88"/>
    <w:rsid w:val="009A4498"/>
    <w:rsid w:val="009A4C9F"/>
    <w:rsid w:val="009A5D92"/>
    <w:rsid w:val="009A63DA"/>
    <w:rsid w:val="009B2494"/>
    <w:rsid w:val="009B2585"/>
    <w:rsid w:val="009B26BE"/>
    <w:rsid w:val="009B454A"/>
    <w:rsid w:val="009B763B"/>
    <w:rsid w:val="009C4719"/>
    <w:rsid w:val="009C5047"/>
    <w:rsid w:val="009C6840"/>
    <w:rsid w:val="009D6B05"/>
    <w:rsid w:val="009D6BDA"/>
    <w:rsid w:val="009E1F50"/>
    <w:rsid w:val="009E1F6F"/>
    <w:rsid w:val="009E41ED"/>
    <w:rsid w:val="009F3AF6"/>
    <w:rsid w:val="009F3BAD"/>
    <w:rsid w:val="009F4646"/>
    <w:rsid w:val="00A012C9"/>
    <w:rsid w:val="00A0133C"/>
    <w:rsid w:val="00A014D0"/>
    <w:rsid w:val="00A02680"/>
    <w:rsid w:val="00A04B00"/>
    <w:rsid w:val="00A10A0E"/>
    <w:rsid w:val="00A1332A"/>
    <w:rsid w:val="00A147D8"/>
    <w:rsid w:val="00A2462D"/>
    <w:rsid w:val="00A260ED"/>
    <w:rsid w:val="00A31171"/>
    <w:rsid w:val="00A317B9"/>
    <w:rsid w:val="00A31F75"/>
    <w:rsid w:val="00A34D10"/>
    <w:rsid w:val="00A446E4"/>
    <w:rsid w:val="00A45362"/>
    <w:rsid w:val="00A50E8F"/>
    <w:rsid w:val="00A52439"/>
    <w:rsid w:val="00A52B14"/>
    <w:rsid w:val="00A54812"/>
    <w:rsid w:val="00A55113"/>
    <w:rsid w:val="00A608BE"/>
    <w:rsid w:val="00A722C9"/>
    <w:rsid w:val="00A72D3D"/>
    <w:rsid w:val="00A8085C"/>
    <w:rsid w:val="00A83774"/>
    <w:rsid w:val="00A84CB1"/>
    <w:rsid w:val="00A86961"/>
    <w:rsid w:val="00A91479"/>
    <w:rsid w:val="00A91900"/>
    <w:rsid w:val="00A93051"/>
    <w:rsid w:val="00A95052"/>
    <w:rsid w:val="00A959D9"/>
    <w:rsid w:val="00A97ACB"/>
    <w:rsid w:val="00A97C62"/>
    <w:rsid w:val="00AA1BFE"/>
    <w:rsid w:val="00AB17E5"/>
    <w:rsid w:val="00AB27EC"/>
    <w:rsid w:val="00AB3023"/>
    <w:rsid w:val="00AB4B9B"/>
    <w:rsid w:val="00AB56A7"/>
    <w:rsid w:val="00AB6BBF"/>
    <w:rsid w:val="00AC2B30"/>
    <w:rsid w:val="00AC6690"/>
    <w:rsid w:val="00AC7F0D"/>
    <w:rsid w:val="00AD367E"/>
    <w:rsid w:val="00AD610C"/>
    <w:rsid w:val="00AE1926"/>
    <w:rsid w:val="00AE30C8"/>
    <w:rsid w:val="00AE4D81"/>
    <w:rsid w:val="00AE5B50"/>
    <w:rsid w:val="00AE7D82"/>
    <w:rsid w:val="00AF6BF7"/>
    <w:rsid w:val="00B01DEF"/>
    <w:rsid w:val="00B04946"/>
    <w:rsid w:val="00B04FA6"/>
    <w:rsid w:val="00B05F12"/>
    <w:rsid w:val="00B102BA"/>
    <w:rsid w:val="00B10353"/>
    <w:rsid w:val="00B12C3D"/>
    <w:rsid w:val="00B157D7"/>
    <w:rsid w:val="00B17766"/>
    <w:rsid w:val="00B27AE0"/>
    <w:rsid w:val="00B365C1"/>
    <w:rsid w:val="00B36ED6"/>
    <w:rsid w:val="00B429D4"/>
    <w:rsid w:val="00B460F3"/>
    <w:rsid w:val="00B469FA"/>
    <w:rsid w:val="00B523B2"/>
    <w:rsid w:val="00B52473"/>
    <w:rsid w:val="00B54B7A"/>
    <w:rsid w:val="00B559EC"/>
    <w:rsid w:val="00B60F5B"/>
    <w:rsid w:val="00B6311C"/>
    <w:rsid w:val="00B6465B"/>
    <w:rsid w:val="00B64677"/>
    <w:rsid w:val="00B665A8"/>
    <w:rsid w:val="00B667DD"/>
    <w:rsid w:val="00B75194"/>
    <w:rsid w:val="00B804B7"/>
    <w:rsid w:val="00B80F72"/>
    <w:rsid w:val="00B82B47"/>
    <w:rsid w:val="00B83995"/>
    <w:rsid w:val="00B8446F"/>
    <w:rsid w:val="00B849CD"/>
    <w:rsid w:val="00B84E8C"/>
    <w:rsid w:val="00B902F6"/>
    <w:rsid w:val="00B92240"/>
    <w:rsid w:val="00B94042"/>
    <w:rsid w:val="00B94F36"/>
    <w:rsid w:val="00BA1513"/>
    <w:rsid w:val="00BA2E23"/>
    <w:rsid w:val="00BA3D32"/>
    <w:rsid w:val="00BA3EE3"/>
    <w:rsid w:val="00BA74C0"/>
    <w:rsid w:val="00BB1B46"/>
    <w:rsid w:val="00BB2121"/>
    <w:rsid w:val="00BB43F9"/>
    <w:rsid w:val="00BC029D"/>
    <w:rsid w:val="00BC4933"/>
    <w:rsid w:val="00BC7386"/>
    <w:rsid w:val="00BE1312"/>
    <w:rsid w:val="00BE3C79"/>
    <w:rsid w:val="00BE69D4"/>
    <w:rsid w:val="00BE6A2B"/>
    <w:rsid w:val="00BF1599"/>
    <w:rsid w:val="00BF2C49"/>
    <w:rsid w:val="00BF442A"/>
    <w:rsid w:val="00BF7C23"/>
    <w:rsid w:val="00C02E43"/>
    <w:rsid w:val="00C06328"/>
    <w:rsid w:val="00C06FF9"/>
    <w:rsid w:val="00C104FD"/>
    <w:rsid w:val="00C13345"/>
    <w:rsid w:val="00C13B58"/>
    <w:rsid w:val="00C142A5"/>
    <w:rsid w:val="00C1470A"/>
    <w:rsid w:val="00C16CB1"/>
    <w:rsid w:val="00C2376F"/>
    <w:rsid w:val="00C302D3"/>
    <w:rsid w:val="00C342CB"/>
    <w:rsid w:val="00C413C7"/>
    <w:rsid w:val="00C442E5"/>
    <w:rsid w:val="00C469C3"/>
    <w:rsid w:val="00C47535"/>
    <w:rsid w:val="00C50B99"/>
    <w:rsid w:val="00C516C7"/>
    <w:rsid w:val="00C52216"/>
    <w:rsid w:val="00C52BEB"/>
    <w:rsid w:val="00C54A19"/>
    <w:rsid w:val="00C55F9B"/>
    <w:rsid w:val="00C578F6"/>
    <w:rsid w:val="00C639F6"/>
    <w:rsid w:val="00C6795E"/>
    <w:rsid w:val="00C6799E"/>
    <w:rsid w:val="00C713FC"/>
    <w:rsid w:val="00C73E2F"/>
    <w:rsid w:val="00C8000B"/>
    <w:rsid w:val="00C81647"/>
    <w:rsid w:val="00C81D8A"/>
    <w:rsid w:val="00C837A8"/>
    <w:rsid w:val="00C8418D"/>
    <w:rsid w:val="00C85BF9"/>
    <w:rsid w:val="00C91EFE"/>
    <w:rsid w:val="00CA473B"/>
    <w:rsid w:val="00CA783D"/>
    <w:rsid w:val="00CA7F4C"/>
    <w:rsid w:val="00CA7FA7"/>
    <w:rsid w:val="00CC12BC"/>
    <w:rsid w:val="00CC2CCE"/>
    <w:rsid w:val="00CC5456"/>
    <w:rsid w:val="00CD67C3"/>
    <w:rsid w:val="00CE1923"/>
    <w:rsid w:val="00CE3C43"/>
    <w:rsid w:val="00CE3F44"/>
    <w:rsid w:val="00CE54BA"/>
    <w:rsid w:val="00CF3B62"/>
    <w:rsid w:val="00CF3CDB"/>
    <w:rsid w:val="00CF45AE"/>
    <w:rsid w:val="00CF63EF"/>
    <w:rsid w:val="00D05F8D"/>
    <w:rsid w:val="00D065A6"/>
    <w:rsid w:val="00D115D3"/>
    <w:rsid w:val="00D11B7F"/>
    <w:rsid w:val="00D12453"/>
    <w:rsid w:val="00D14ACB"/>
    <w:rsid w:val="00D15642"/>
    <w:rsid w:val="00D15BD6"/>
    <w:rsid w:val="00D2292A"/>
    <w:rsid w:val="00D3052E"/>
    <w:rsid w:val="00D30E64"/>
    <w:rsid w:val="00D32A74"/>
    <w:rsid w:val="00D34DC0"/>
    <w:rsid w:val="00D367FE"/>
    <w:rsid w:val="00D37624"/>
    <w:rsid w:val="00D41CA0"/>
    <w:rsid w:val="00D5292E"/>
    <w:rsid w:val="00D53188"/>
    <w:rsid w:val="00D6457A"/>
    <w:rsid w:val="00D64B85"/>
    <w:rsid w:val="00D66B2A"/>
    <w:rsid w:val="00D67823"/>
    <w:rsid w:val="00D8062E"/>
    <w:rsid w:val="00D8338B"/>
    <w:rsid w:val="00D8662E"/>
    <w:rsid w:val="00D86982"/>
    <w:rsid w:val="00D93AB7"/>
    <w:rsid w:val="00D956F6"/>
    <w:rsid w:val="00DA09D4"/>
    <w:rsid w:val="00DA0ECD"/>
    <w:rsid w:val="00DA37F1"/>
    <w:rsid w:val="00DA4582"/>
    <w:rsid w:val="00DA47B1"/>
    <w:rsid w:val="00DA5D41"/>
    <w:rsid w:val="00DB0A70"/>
    <w:rsid w:val="00DB346B"/>
    <w:rsid w:val="00DB62F3"/>
    <w:rsid w:val="00DB6E63"/>
    <w:rsid w:val="00DC2CE1"/>
    <w:rsid w:val="00DC2F84"/>
    <w:rsid w:val="00DC3101"/>
    <w:rsid w:val="00DC4BA2"/>
    <w:rsid w:val="00DC5FAD"/>
    <w:rsid w:val="00DC6B8F"/>
    <w:rsid w:val="00DD2FB9"/>
    <w:rsid w:val="00DD39B6"/>
    <w:rsid w:val="00DD511B"/>
    <w:rsid w:val="00DE5B26"/>
    <w:rsid w:val="00DF201E"/>
    <w:rsid w:val="00DF5A83"/>
    <w:rsid w:val="00E13955"/>
    <w:rsid w:val="00E1694C"/>
    <w:rsid w:val="00E16DD8"/>
    <w:rsid w:val="00E172C1"/>
    <w:rsid w:val="00E21543"/>
    <w:rsid w:val="00E226CA"/>
    <w:rsid w:val="00E2518A"/>
    <w:rsid w:val="00E27219"/>
    <w:rsid w:val="00E27508"/>
    <w:rsid w:val="00E33F9A"/>
    <w:rsid w:val="00E3671C"/>
    <w:rsid w:val="00E410AF"/>
    <w:rsid w:val="00E42A31"/>
    <w:rsid w:val="00E458EE"/>
    <w:rsid w:val="00E45B3B"/>
    <w:rsid w:val="00E521D3"/>
    <w:rsid w:val="00E52CD0"/>
    <w:rsid w:val="00E567DD"/>
    <w:rsid w:val="00E578CE"/>
    <w:rsid w:val="00E60701"/>
    <w:rsid w:val="00E6077C"/>
    <w:rsid w:val="00E616A8"/>
    <w:rsid w:val="00E643DE"/>
    <w:rsid w:val="00E831A4"/>
    <w:rsid w:val="00E85DBA"/>
    <w:rsid w:val="00E909A1"/>
    <w:rsid w:val="00E9121A"/>
    <w:rsid w:val="00E92590"/>
    <w:rsid w:val="00E95FAD"/>
    <w:rsid w:val="00E96448"/>
    <w:rsid w:val="00EA1920"/>
    <w:rsid w:val="00EA479A"/>
    <w:rsid w:val="00EA50A5"/>
    <w:rsid w:val="00EB4DF3"/>
    <w:rsid w:val="00EB5015"/>
    <w:rsid w:val="00EB57F5"/>
    <w:rsid w:val="00EB5ABA"/>
    <w:rsid w:val="00EB7AD3"/>
    <w:rsid w:val="00EC0D33"/>
    <w:rsid w:val="00EC10B9"/>
    <w:rsid w:val="00EC3140"/>
    <w:rsid w:val="00EC34DF"/>
    <w:rsid w:val="00EC5069"/>
    <w:rsid w:val="00EC6F01"/>
    <w:rsid w:val="00ED05F1"/>
    <w:rsid w:val="00ED37D4"/>
    <w:rsid w:val="00ED3B3D"/>
    <w:rsid w:val="00ED5190"/>
    <w:rsid w:val="00ED6047"/>
    <w:rsid w:val="00ED7A5A"/>
    <w:rsid w:val="00ED7D1F"/>
    <w:rsid w:val="00EE0377"/>
    <w:rsid w:val="00EE092E"/>
    <w:rsid w:val="00EE1F45"/>
    <w:rsid w:val="00EE35A0"/>
    <w:rsid w:val="00EE3947"/>
    <w:rsid w:val="00EE6E44"/>
    <w:rsid w:val="00EE78AF"/>
    <w:rsid w:val="00EF1643"/>
    <w:rsid w:val="00F006AA"/>
    <w:rsid w:val="00F03363"/>
    <w:rsid w:val="00F05E3D"/>
    <w:rsid w:val="00F146F7"/>
    <w:rsid w:val="00F148A1"/>
    <w:rsid w:val="00F177A4"/>
    <w:rsid w:val="00F202EC"/>
    <w:rsid w:val="00F2194D"/>
    <w:rsid w:val="00F27052"/>
    <w:rsid w:val="00F273AF"/>
    <w:rsid w:val="00F30FBA"/>
    <w:rsid w:val="00F33F77"/>
    <w:rsid w:val="00F35F4E"/>
    <w:rsid w:val="00F366C6"/>
    <w:rsid w:val="00F41509"/>
    <w:rsid w:val="00F43C1E"/>
    <w:rsid w:val="00F502E6"/>
    <w:rsid w:val="00F50BC0"/>
    <w:rsid w:val="00F550F9"/>
    <w:rsid w:val="00F56BC1"/>
    <w:rsid w:val="00F56CB2"/>
    <w:rsid w:val="00F6097F"/>
    <w:rsid w:val="00F60AE3"/>
    <w:rsid w:val="00F67F55"/>
    <w:rsid w:val="00F70B6C"/>
    <w:rsid w:val="00F72F26"/>
    <w:rsid w:val="00F801F3"/>
    <w:rsid w:val="00F8453D"/>
    <w:rsid w:val="00F862AC"/>
    <w:rsid w:val="00F96A1C"/>
    <w:rsid w:val="00F978AB"/>
    <w:rsid w:val="00FA0B9F"/>
    <w:rsid w:val="00FA25BC"/>
    <w:rsid w:val="00FA45B1"/>
    <w:rsid w:val="00FA4C6F"/>
    <w:rsid w:val="00FA665A"/>
    <w:rsid w:val="00FA7733"/>
    <w:rsid w:val="00FB3550"/>
    <w:rsid w:val="00FB6ACD"/>
    <w:rsid w:val="00FC1770"/>
    <w:rsid w:val="00FC3A56"/>
    <w:rsid w:val="00FC3EB3"/>
    <w:rsid w:val="00FC4DFC"/>
    <w:rsid w:val="00FC62DE"/>
    <w:rsid w:val="00FC6FFA"/>
    <w:rsid w:val="00FD0920"/>
    <w:rsid w:val="00FD1228"/>
    <w:rsid w:val="00FD17A0"/>
    <w:rsid w:val="00FD2717"/>
    <w:rsid w:val="00FD2B06"/>
    <w:rsid w:val="00FD372A"/>
    <w:rsid w:val="00FD4AE3"/>
    <w:rsid w:val="00FD64B9"/>
    <w:rsid w:val="00FD6D35"/>
    <w:rsid w:val="00FD7CD6"/>
    <w:rsid w:val="00FE355D"/>
    <w:rsid w:val="00FE393D"/>
    <w:rsid w:val="00FF2EB3"/>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F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C1"/>
    <w:pPr>
      <w:keepLines/>
    </w:pPr>
    <w:rPr>
      <w:rFonts w:ascii="Arial" w:hAnsi="Arial" w:cs="Arial"/>
      <w:sz w:val="22"/>
      <w:szCs w:val="22"/>
      <w:lang w:eastAsia="en-US"/>
    </w:rPr>
  </w:style>
  <w:style w:type="paragraph" w:styleId="Heading1">
    <w:name w:val="heading 1"/>
    <w:basedOn w:val="Normal"/>
    <w:next w:val="Normal"/>
    <w:qFormat/>
    <w:rsid w:val="00F56BC1"/>
    <w:pPr>
      <w:spacing w:before="240"/>
      <w:outlineLvl w:val="0"/>
    </w:pPr>
    <w:rPr>
      <w:b/>
      <w:bCs/>
      <w:sz w:val="24"/>
      <w:szCs w:val="24"/>
    </w:rPr>
  </w:style>
  <w:style w:type="paragraph" w:styleId="Heading2">
    <w:name w:val="heading 2"/>
    <w:basedOn w:val="Normal"/>
    <w:next w:val="Normal"/>
    <w:qFormat/>
    <w:rsid w:val="00F56BC1"/>
    <w:pPr>
      <w:spacing w:before="120"/>
      <w:outlineLvl w:val="1"/>
    </w:pPr>
    <w:rPr>
      <w:b/>
      <w:bCs/>
    </w:rPr>
  </w:style>
  <w:style w:type="paragraph" w:styleId="Heading3">
    <w:name w:val="heading 3"/>
    <w:basedOn w:val="Normal"/>
    <w:next w:val="NormalIndent"/>
    <w:qFormat/>
    <w:rsid w:val="00F56BC1"/>
    <w:pPr>
      <w:ind w:left="283"/>
      <w:outlineLvl w:val="2"/>
    </w:pPr>
    <w:rPr>
      <w:b/>
      <w:bCs/>
      <w:i/>
      <w:iCs/>
    </w:rPr>
  </w:style>
  <w:style w:type="paragraph" w:styleId="Heading4">
    <w:name w:val="heading 4"/>
    <w:aliases w:val="Map Title"/>
    <w:basedOn w:val="Normal"/>
    <w:next w:val="Normal"/>
    <w:qFormat/>
    <w:rsid w:val="00F56BC1"/>
    <w:pPr>
      <w:keepNext/>
      <w:outlineLvl w:val="3"/>
    </w:pPr>
    <w:rPr>
      <w:rFonts w:ascii="Arial Narrow" w:hAnsi="Arial Narrow" w:cs="Arial Narrow"/>
      <w:color w:val="0000FF"/>
      <w:sz w:val="30"/>
      <w:szCs w:val="30"/>
    </w:rPr>
  </w:style>
  <w:style w:type="paragraph" w:styleId="Heading5">
    <w:name w:val="heading 5"/>
    <w:aliases w:val="Block Label"/>
    <w:basedOn w:val="Normal"/>
    <w:next w:val="Normal"/>
    <w:qFormat/>
    <w:rsid w:val="00F56BC1"/>
    <w:pPr>
      <w:keepNext/>
      <w:framePr w:wrap="auto" w:hAnchor="margin" w:xAlign="center" w:y="-283"/>
      <w:suppressOverlap/>
      <w:outlineLvl w:val="4"/>
    </w:pPr>
    <w:rPr>
      <w:rFonts w:ascii="Arial Narrow" w:hAnsi="Arial Narrow" w:cs="Arial Narrow"/>
      <w:b/>
      <w:bCs/>
      <w:color w:val="000080"/>
      <w:sz w:val="28"/>
      <w:szCs w:val="28"/>
    </w:rPr>
  </w:style>
  <w:style w:type="paragraph" w:styleId="Heading6">
    <w:name w:val="heading 6"/>
    <w:basedOn w:val="Normal"/>
    <w:next w:val="Normal"/>
    <w:qFormat/>
    <w:rsid w:val="00F56BC1"/>
    <w:pPr>
      <w:keepNext/>
      <w:outlineLvl w:val="5"/>
    </w:pPr>
    <w:rPr>
      <w:rFonts w:ascii="Arial Narrow" w:hAnsi="Arial Narrow" w:cs="Arial Narrow"/>
      <w:b/>
      <w:bCs/>
      <w:color w:val="000080"/>
      <w:sz w:val="28"/>
      <w:szCs w:val="28"/>
    </w:rPr>
  </w:style>
  <w:style w:type="paragraph" w:styleId="Heading7">
    <w:name w:val="heading 7"/>
    <w:basedOn w:val="Normal"/>
    <w:next w:val="Normal"/>
    <w:qFormat/>
    <w:rsid w:val="00F56BC1"/>
    <w:pPr>
      <w:keepNext/>
      <w:outlineLvl w:val="6"/>
    </w:pPr>
    <w:rPr>
      <w:rFonts w:ascii="Arial Narrow" w:hAnsi="Arial Narrow" w:cs="Arial Narrow"/>
      <w:b/>
      <w:bCs/>
      <w:color w:val="660066"/>
      <w:sz w:val="30"/>
      <w:szCs w:val="30"/>
    </w:rPr>
  </w:style>
  <w:style w:type="paragraph" w:styleId="Heading8">
    <w:name w:val="heading 8"/>
    <w:basedOn w:val="Normal"/>
    <w:next w:val="Normal"/>
    <w:qFormat/>
    <w:rsid w:val="00F56BC1"/>
    <w:pPr>
      <w:keepNext/>
      <w:outlineLvl w:val="7"/>
    </w:pPr>
    <w:rPr>
      <w:rFonts w:ascii="Arial Narrow" w:hAnsi="Arial Narrow" w:cs="Arial Narrow"/>
      <w:b/>
      <w:bCs/>
      <w:color w:val="003366"/>
      <w:sz w:val="30"/>
      <w:szCs w:val="30"/>
    </w:rPr>
  </w:style>
  <w:style w:type="paragraph" w:styleId="Heading9">
    <w:name w:val="heading 9"/>
    <w:basedOn w:val="Normal"/>
    <w:next w:val="Normal"/>
    <w:qFormat/>
    <w:rsid w:val="00F56BC1"/>
    <w:pPr>
      <w:keepNext/>
      <w:outlineLvl w:val="8"/>
    </w:pPr>
    <w:rPr>
      <w:rFonts w:ascii="Arial Narrow" w:hAnsi="Arial Narrow" w:cs="Arial Narrow"/>
      <w:b/>
      <w:bCs/>
      <w:color w:val="000066"/>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56BC1"/>
    <w:pPr>
      <w:ind w:left="567"/>
    </w:pPr>
  </w:style>
  <w:style w:type="paragraph" w:styleId="Footer">
    <w:name w:val="footer"/>
    <w:basedOn w:val="Normal"/>
    <w:link w:val="FooterChar"/>
    <w:uiPriority w:val="99"/>
    <w:rsid w:val="00F56BC1"/>
    <w:pPr>
      <w:tabs>
        <w:tab w:val="center" w:pos="4820"/>
        <w:tab w:val="right" w:pos="9356"/>
      </w:tabs>
      <w:ind w:right="-1"/>
    </w:pPr>
    <w:rPr>
      <w:sz w:val="16"/>
      <w:szCs w:val="16"/>
    </w:rPr>
  </w:style>
  <w:style w:type="paragraph" w:styleId="Header">
    <w:name w:val="header"/>
    <w:basedOn w:val="Normal"/>
    <w:rsid w:val="00F56BC1"/>
    <w:pPr>
      <w:tabs>
        <w:tab w:val="center" w:pos="4820"/>
        <w:tab w:val="right" w:pos="9923"/>
      </w:tabs>
    </w:pPr>
  </w:style>
  <w:style w:type="character" w:styleId="FootnoteReference">
    <w:name w:val="footnote reference"/>
    <w:semiHidden/>
    <w:rsid w:val="00F56BC1"/>
    <w:rPr>
      <w:position w:val="6"/>
      <w:sz w:val="16"/>
      <w:szCs w:val="16"/>
    </w:rPr>
  </w:style>
  <w:style w:type="paragraph" w:styleId="FootnoteText">
    <w:name w:val="footnote text"/>
    <w:basedOn w:val="Normal"/>
    <w:semiHidden/>
    <w:rsid w:val="00F56BC1"/>
    <w:pPr>
      <w:ind w:left="284" w:hanging="284"/>
    </w:pPr>
    <w:rPr>
      <w:sz w:val="16"/>
      <w:szCs w:val="16"/>
    </w:rPr>
  </w:style>
  <w:style w:type="character" w:styleId="CommentReference">
    <w:name w:val="annotation reference"/>
    <w:semiHidden/>
    <w:rsid w:val="00F56BC1"/>
    <w:rPr>
      <w:sz w:val="16"/>
      <w:szCs w:val="16"/>
    </w:rPr>
  </w:style>
  <w:style w:type="paragraph" w:customStyle="1" w:styleId="Arial10">
    <w:name w:val="Arial10"/>
    <w:basedOn w:val="Normal"/>
    <w:rsid w:val="00F56BC1"/>
    <w:pPr>
      <w:jc w:val="right"/>
    </w:pPr>
    <w:rPr>
      <w:b/>
      <w:bCs/>
      <w:sz w:val="20"/>
      <w:szCs w:val="20"/>
    </w:rPr>
  </w:style>
  <w:style w:type="paragraph" w:customStyle="1" w:styleId="Arial9">
    <w:name w:val="Arial9"/>
    <w:basedOn w:val="Normal"/>
    <w:rsid w:val="00F56BC1"/>
    <w:pPr>
      <w:jc w:val="right"/>
    </w:pPr>
    <w:rPr>
      <w:sz w:val="18"/>
      <w:szCs w:val="18"/>
    </w:rPr>
  </w:style>
  <w:style w:type="paragraph" w:customStyle="1" w:styleId="Arial12">
    <w:name w:val="Arial12"/>
    <w:basedOn w:val="Arial10"/>
    <w:rsid w:val="00F56BC1"/>
    <w:rPr>
      <w:sz w:val="24"/>
      <w:szCs w:val="24"/>
    </w:rPr>
  </w:style>
  <w:style w:type="paragraph" w:styleId="BodyText">
    <w:name w:val="Body Text"/>
    <w:basedOn w:val="Normal"/>
    <w:rsid w:val="00F56BC1"/>
    <w:pPr>
      <w:spacing w:after="120"/>
    </w:pPr>
  </w:style>
  <w:style w:type="paragraph" w:styleId="MacroText">
    <w:name w:val="macro"/>
    <w:basedOn w:val="Normal"/>
    <w:semiHidden/>
    <w:rsid w:val="00F56BC1"/>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F56BC1"/>
  </w:style>
  <w:style w:type="character" w:styleId="Hyperlink">
    <w:name w:val="Hyperlink"/>
    <w:uiPriority w:val="99"/>
    <w:rsid w:val="00F56BC1"/>
    <w:rPr>
      <w:rFonts w:ascii="Arial" w:hAnsi="Arial" w:cs="Arial"/>
      <w:color w:val="0000FF"/>
      <w:sz w:val="20"/>
      <w:szCs w:val="20"/>
      <w:u w:val="single"/>
    </w:rPr>
  </w:style>
  <w:style w:type="paragraph" w:styleId="CommentText">
    <w:name w:val="annotation text"/>
    <w:basedOn w:val="Normal"/>
    <w:semiHidden/>
    <w:rsid w:val="00F56BC1"/>
    <w:rPr>
      <w:sz w:val="20"/>
      <w:szCs w:val="20"/>
    </w:rPr>
  </w:style>
  <w:style w:type="character" w:styleId="FollowedHyperlink">
    <w:name w:val="FollowedHyperlink"/>
    <w:rsid w:val="00F56BC1"/>
    <w:rPr>
      <w:color w:val="800080"/>
      <w:u w:val="single"/>
    </w:rPr>
  </w:style>
  <w:style w:type="table" w:styleId="TableGrid">
    <w:name w:val="Table Grid"/>
    <w:basedOn w:val="TableNormal"/>
    <w:uiPriority w:val="59"/>
    <w:rsid w:val="00F56BC1"/>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56BC1"/>
    <w:pPr>
      <w:spacing w:line="240" w:lineRule="atLeast"/>
    </w:pPr>
    <w:rPr>
      <w:b/>
      <w:bCs/>
      <w:sz w:val="24"/>
      <w:szCs w:val="24"/>
    </w:rPr>
  </w:style>
  <w:style w:type="paragraph" w:customStyle="1" w:styleId="sub-paraxCharChar">
    <w:name w:val="sub-para (x) Char Char"/>
    <w:basedOn w:val="Normal"/>
    <w:rsid w:val="00F56BC1"/>
    <w:pPr>
      <w:numPr>
        <w:numId w:val="1"/>
      </w:numPr>
    </w:pPr>
  </w:style>
  <w:style w:type="paragraph" w:styleId="BlockText">
    <w:name w:val="Block Text"/>
    <w:basedOn w:val="Normal"/>
    <w:rsid w:val="00F56BC1"/>
    <w:pPr>
      <w:keepLines w:val="0"/>
      <w:overflowPunct w:val="0"/>
      <w:autoSpaceDE w:val="0"/>
      <w:autoSpaceDN w:val="0"/>
      <w:adjustRightInd w:val="0"/>
      <w:textAlignment w:val="baseline"/>
    </w:pPr>
    <w:rPr>
      <w:sz w:val="24"/>
      <w:szCs w:val="24"/>
      <w:lang w:val="en-US"/>
    </w:rPr>
  </w:style>
  <w:style w:type="paragraph" w:customStyle="1" w:styleId="BulletText1">
    <w:name w:val="Bullet Text 1"/>
    <w:basedOn w:val="Normal"/>
    <w:rsid w:val="00F56BC1"/>
    <w:pPr>
      <w:keepLines w:val="0"/>
      <w:overflowPunct w:val="0"/>
      <w:autoSpaceDE w:val="0"/>
      <w:autoSpaceDN w:val="0"/>
      <w:adjustRightInd w:val="0"/>
      <w:ind w:left="187" w:hanging="187"/>
      <w:textAlignment w:val="baseline"/>
    </w:pPr>
    <w:rPr>
      <w:sz w:val="24"/>
      <w:szCs w:val="24"/>
      <w:lang w:val="en-US"/>
    </w:rPr>
  </w:style>
  <w:style w:type="paragraph" w:customStyle="1" w:styleId="BlockLine">
    <w:name w:val="Block Line"/>
    <w:basedOn w:val="Normal"/>
    <w:next w:val="Normal"/>
    <w:rsid w:val="00F56BC1"/>
    <w:pPr>
      <w:keepLines w:val="0"/>
      <w:pBdr>
        <w:top w:val="single" w:sz="6" w:space="1" w:color="auto"/>
        <w:between w:val="single" w:sz="6" w:space="1" w:color="auto"/>
      </w:pBdr>
      <w:overflowPunct w:val="0"/>
      <w:autoSpaceDE w:val="0"/>
      <w:autoSpaceDN w:val="0"/>
      <w:adjustRightInd w:val="0"/>
      <w:spacing w:before="240"/>
      <w:ind w:left="1700"/>
      <w:textAlignment w:val="baseline"/>
    </w:pPr>
    <w:rPr>
      <w:sz w:val="24"/>
      <w:szCs w:val="24"/>
      <w:lang w:val="en-US"/>
    </w:rPr>
  </w:style>
  <w:style w:type="paragraph" w:styleId="TOC2">
    <w:name w:val="toc 2"/>
    <w:basedOn w:val="Normal"/>
    <w:autoRedefine/>
    <w:uiPriority w:val="39"/>
    <w:rsid w:val="00F56BC1"/>
    <w:pPr>
      <w:spacing w:before="240"/>
    </w:pPr>
    <w:rPr>
      <w:b/>
      <w:bCs/>
      <w:sz w:val="20"/>
      <w:szCs w:val="20"/>
    </w:rPr>
  </w:style>
  <w:style w:type="paragraph" w:styleId="EndnoteText">
    <w:name w:val="endnote text"/>
    <w:basedOn w:val="Normal"/>
    <w:semiHidden/>
    <w:rsid w:val="00F56BC1"/>
    <w:pPr>
      <w:keepLines w:val="0"/>
    </w:pPr>
    <w:rPr>
      <w:sz w:val="20"/>
      <w:szCs w:val="20"/>
    </w:rPr>
  </w:style>
  <w:style w:type="paragraph" w:customStyle="1" w:styleId="dectablehead">
    <w:name w:val="dec. table head"/>
    <w:basedOn w:val="Normal"/>
    <w:rsid w:val="00F56BC1"/>
    <w:pPr>
      <w:keepLines w:val="0"/>
      <w:spacing w:before="40" w:after="40"/>
    </w:pPr>
    <w:rPr>
      <w:b/>
      <w:bCs/>
      <w:sz w:val="24"/>
      <w:szCs w:val="24"/>
    </w:rPr>
  </w:style>
  <w:style w:type="paragraph" w:customStyle="1" w:styleId="page">
    <w:name w:val="page"/>
    <w:basedOn w:val="Normal"/>
    <w:rsid w:val="00F56BC1"/>
    <w:pPr>
      <w:keepLines w:val="0"/>
      <w:spacing w:before="40" w:after="40"/>
      <w:jc w:val="center"/>
    </w:pPr>
    <w:rPr>
      <w:spacing w:val="-5"/>
      <w:sz w:val="24"/>
      <w:szCs w:val="24"/>
    </w:rPr>
  </w:style>
  <w:style w:type="paragraph" w:customStyle="1" w:styleId="tablehead">
    <w:name w:val="table head"/>
    <w:basedOn w:val="Normal"/>
    <w:rsid w:val="00F56BC1"/>
    <w:pPr>
      <w:keepLines w:val="0"/>
      <w:spacing w:before="40" w:after="40"/>
      <w:jc w:val="center"/>
    </w:pPr>
    <w:rPr>
      <w:b/>
      <w:bCs/>
      <w:sz w:val="24"/>
      <w:szCs w:val="24"/>
    </w:rPr>
  </w:style>
  <w:style w:type="paragraph" w:customStyle="1" w:styleId="tabletext">
    <w:name w:val="table text"/>
    <w:basedOn w:val="Normal"/>
    <w:rsid w:val="00F56BC1"/>
    <w:pPr>
      <w:keepLines w:val="0"/>
      <w:spacing w:before="40" w:after="40"/>
    </w:pPr>
    <w:rPr>
      <w:sz w:val="24"/>
      <w:szCs w:val="24"/>
    </w:rPr>
  </w:style>
  <w:style w:type="paragraph" w:styleId="TOC1">
    <w:name w:val="toc 1"/>
    <w:basedOn w:val="Normal"/>
    <w:next w:val="Normal"/>
    <w:autoRedefine/>
    <w:uiPriority w:val="39"/>
    <w:rsid w:val="00F56BC1"/>
    <w:pPr>
      <w:tabs>
        <w:tab w:val="left" w:pos="1600"/>
        <w:tab w:val="right" w:pos="9629"/>
      </w:tabs>
      <w:spacing w:before="360"/>
      <w:ind w:left="1650" w:hanging="1650"/>
    </w:pPr>
    <w:rPr>
      <w:b/>
      <w:bCs/>
      <w:caps/>
      <w:u w:val="single"/>
    </w:rPr>
  </w:style>
  <w:style w:type="paragraph" w:styleId="NormalWeb">
    <w:name w:val="Normal (Web)"/>
    <w:basedOn w:val="Normal"/>
    <w:rsid w:val="00F56BC1"/>
    <w:pPr>
      <w:keepLines w:val="0"/>
      <w:spacing w:before="100" w:beforeAutospacing="1" w:after="100" w:afterAutospacing="1"/>
    </w:pPr>
    <w:rPr>
      <w:sz w:val="24"/>
      <w:szCs w:val="24"/>
      <w:lang w:eastAsia="en-AU"/>
    </w:rPr>
  </w:style>
  <w:style w:type="paragraph" w:customStyle="1" w:styleId="Style26">
    <w:name w:val="Style26"/>
    <w:rsid w:val="00F56BC1"/>
    <w:pPr>
      <w:autoSpaceDE w:val="0"/>
      <w:autoSpaceDN w:val="0"/>
      <w:adjustRightInd w:val="0"/>
    </w:pPr>
    <w:rPr>
      <w:rFonts w:ascii="Arial" w:hAnsi="Arial" w:cs="Arial"/>
      <w:sz w:val="24"/>
      <w:szCs w:val="24"/>
    </w:rPr>
  </w:style>
  <w:style w:type="paragraph" w:styleId="BalloonText">
    <w:name w:val="Balloon Text"/>
    <w:basedOn w:val="Normal"/>
    <w:semiHidden/>
    <w:rsid w:val="00F56BC1"/>
    <w:pPr>
      <w:keepLines w:val="0"/>
    </w:pPr>
    <w:rPr>
      <w:rFonts w:ascii="Tahoma" w:hAnsi="Tahoma" w:cs="Tahoma"/>
      <w:sz w:val="16"/>
      <w:szCs w:val="16"/>
    </w:rPr>
  </w:style>
  <w:style w:type="paragraph" w:customStyle="1" w:styleId="bullettext10">
    <w:name w:val="bullettext1"/>
    <w:basedOn w:val="Normal"/>
    <w:rsid w:val="00F56BC1"/>
    <w:pPr>
      <w:keepLines w:val="0"/>
      <w:spacing w:before="100" w:beforeAutospacing="1" w:after="100" w:afterAutospacing="1"/>
    </w:pPr>
    <w:rPr>
      <w:sz w:val="24"/>
      <w:szCs w:val="24"/>
      <w:lang w:eastAsia="en-AU"/>
    </w:rPr>
  </w:style>
  <w:style w:type="paragraph" w:customStyle="1" w:styleId="Maptitle">
    <w:name w:val="Map title"/>
    <w:basedOn w:val="Normal"/>
    <w:rsid w:val="00F56BC1"/>
    <w:pPr>
      <w:keepLines w:val="0"/>
    </w:pPr>
    <w:rPr>
      <w:sz w:val="24"/>
      <w:szCs w:val="24"/>
    </w:rPr>
  </w:style>
  <w:style w:type="paragraph" w:customStyle="1" w:styleId="bodytext0">
    <w:name w:val="bodytext"/>
    <w:basedOn w:val="Normal"/>
    <w:rsid w:val="00F56BC1"/>
    <w:pPr>
      <w:keepLines w:val="0"/>
      <w:spacing w:before="100" w:beforeAutospacing="1" w:after="100" w:afterAutospacing="1"/>
    </w:pPr>
    <w:rPr>
      <w:rFonts w:ascii="Verdana" w:hAnsi="Verdana" w:cs="Verdana"/>
      <w:color w:val="000066"/>
      <w:sz w:val="26"/>
      <w:szCs w:val="26"/>
      <w:lang w:eastAsia="en-AU"/>
    </w:rPr>
  </w:style>
  <w:style w:type="paragraph" w:customStyle="1" w:styleId="ClauseLevel1">
    <w:name w:val="Clause Level 1"/>
    <w:next w:val="Normal"/>
    <w:autoRedefine/>
    <w:rsid w:val="00F56BC1"/>
    <w:pPr>
      <w:keepLines/>
      <w:pBdr>
        <w:bottom w:val="single" w:sz="2" w:space="1" w:color="auto"/>
      </w:pBdr>
      <w:tabs>
        <w:tab w:val="num" w:pos="720"/>
        <w:tab w:val="num" w:pos="1134"/>
      </w:tabs>
      <w:spacing w:before="200" w:line="280" w:lineRule="atLeast"/>
      <w:ind w:left="1134" w:hanging="1134"/>
      <w:outlineLvl w:val="0"/>
    </w:pPr>
    <w:rPr>
      <w:rFonts w:ascii="Arial" w:hAnsi="Arial" w:cs="Arial"/>
      <w:b/>
      <w:bCs/>
      <w:sz w:val="22"/>
      <w:szCs w:val="22"/>
    </w:rPr>
  </w:style>
  <w:style w:type="paragraph" w:customStyle="1" w:styleId="ClauseLevel3CharCharChar">
    <w:name w:val="Clause Level 3 Char Char Char"/>
    <w:link w:val="ClauseLevel3CharCharCharChar"/>
    <w:autoRedefine/>
    <w:rsid w:val="00F56BC1"/>
    <w:pPr>
      <w:keepNext/>
      <w:keepLines/>
      <w:numPr>
        <w:numId w:val="2"/>
      </w:numPr>
      <w:tabs>
        <w:tab w:val="clear" w:pos="1134"/>
      </w:tabs>
      <w:spacing w:before="120" w:after="120"/>
      <w:ind w:left="0" w:right="-108" w:firstLine="0"/>
    </w:pPr>
    <w:rPr>
      <w:rFonts w:ascii="Arial Narrow" w:hAnsi="Arial Narrow" w:cs="Arial Narrow"/>
      <w:sz w:val="22"/>
      <w:szCs w:val="22"/>
      <w:lang w:val="en-GB"/>
    </w:rPr>
  </w:style>
  <w:style w:type="character" w:customStyle="1" w:styleId="ClauseLevel3CharCharCharChar">
    <w:name w:val="Clause Level 3 Char Char Char Char"/>
    <w:link w:val="ClauseLevel3CharCharChar"/>
    <w:rsid w:val="00F56BC1"/>
    <w:rPr>
      <w:rFonts w:ascii="Arial Narrow" w:hAnsi="Arial Narrow" w:cs="Arial Narrow"/>
      <w:sz w:val="22"/>
      <w:szCs w:val="22"/>
      <w:lang w:val="en-GB"/>
    </w:rPr>
  </w:style>
  <w:style w:type="paragraph" w:customStyle="1" w:styleId="ClauseLevel4CharChar">
    <w:name w:val="Clause Level 4 Char Char"/>
    <w:basedOn w:val="ClauseLevel3CharCharChar"/>
    <w:autoRedefine/>
    <w:rsid w:val="00F56BC1"/>
    <w:pPr>
      <w:numPr>
        <w:ilvl w:val="2"/>
      </w:numPr>
      <w:tabs>
        <w:tab w:val="left" w:pos="0"/>
        <w:tab w:val="left" w:pos="1260"/>
        <w:tab w:val="num" w:pos="1800"/>
        <w:tab w:val="num" w:pos="2160"/>
      </w:tabs>
      <w:spacing w:before="0"/>
      <w:ind w:left="1260" w:hanging="540"/>
    </w:pPr>
  </w:style>
  <w:style w:type="paragraph" w:customStyle="1" w:styleId="ClauseLevel6">
    <w:name w:val="Clause Level 6"/>
    <w:basedOn w:val="ClauseLevel4CharChar"/>
    <w:next w:val="Normal"/>
    <w:rsid w:val="00F56BC1"/>
    <w:pPr>
      <w:numPr>
        <w:ilvl w:val="4"/>
      </w:numPr>
      <w:tabs>
        <w:tab w:val="num" w:pos="3600"/>
      </w:tabs>
      <w:ind w:left="3600" w:hanging="360"/>
    </w:pPr>
  </w:style>
  <w:style w:type="paragraph" w:customStyle="1" w:styleId="ClauseLevel7">
    <w:name w:val="Clause Level 7"/>
    <w:basedOn w:val="ClauseLevel4CharChar"/>
    <w:next w:val="Normal"/>
    <w:rsid w:val="00F56BC1"/>
    <w:pPr>
      <w:numPr>
        <w:ilvl w:val="5"/>
      </w:numPr>
      <w:tabs>
        <w:tab w:val="num" w:pos="4320"/>
      </w:tabs>
      <w:ind w:left="4320" w:hanging="360"/>
    </w:pPr>
  </w:style>
  <w:style w:type="paragraph" w:customStyle="1" w:styleId="ClauseLevel8">
    <w:name w:val="Clause Level 8"/>
    <w:basedOn w:val="ClauseLevel4CharChar"/>
    <w:next w:val="Normal"/>
    <w:rsid w:val="00F56BC1"/>
    <w:pPr>
      <w:numPr>
        <w:ilvl w:val="6"/>
      </w:numPr>
      <w:tabs>
        <w:tab w:val="num" w:pos="5040"/>
      </w:tabs>
      <w:ind w:left="5040" w:hanging="360"/>
    </w:pPr>
  </w:style>
  <w:style w:type="paragraph" w:customStyle="1" w:styleId="ClauseLevel9">
    <w:name w:val="Clause Level 9"/>
    <w:basedOn w:val="ClauseLevel4CharChar"/>
    <w:next w:val="Normal"/>
    <w:rsid w:val="00F56BC1"/>
    <w:pPr>
      <w:numPr>
        <w:ilvl w:val="7"/>
      </w:numPr>
      <w:tabs>
        <w:tab w:val="num" w:pos="5760"/>
      </w:tabs>
      <w:ind w:left="5760" w:hanging="360"/>
    </w:pPr>
  </w:style>
  <w:style w:type="paragraph" w:customStyle="1" w:styleId="ClauseLevel10">
    <w:name w:val="Clause Level 10"/>
    <w:basedOn w:val="ClauseLevel4CharChar"/>
    <w:next w:val="Normal"/>
    <w:rsid w:val="00F56BC1"/>
    <w:pPr>
      <w:numPr>
        <w:ilvl w:val="8"/>
      </w:numPr>
      <w:tabs>
        <w:tab w:val="num" w:pos="6480"/>
      </w:tabs>
      <w:ind w:left="6480" w:hanging="360"/>
    </w:pPr>
  </w:style>
  <w:style w:type="paragraph" w:customStyle="1" w:styleId="ClauseLevel5">
    <w:name w:val="Clause Level 5"/>
    <w:basedOn w:val="ClauseLevel4CharChar"/>
    <w:autoRedefine/>
    <w:rsid w:val="00F56BC1"/>
    <w:pPr>
      <w:keepNext w:val="0"/>
      <w:keepLines w:val="0"/>
      <w:numPr>
        <w:ilvl w:val="3"/>
      </w:numPr>
      <w:tabs>
        <w:tab w:val="clear" w:pos="0"/>
        <w:tab w:val="clear" w:pos="1260"/>
        <w:tab w:val="left" w:pos="1620"/>
        <w:tab w:val="num" w:pos="2880"/>
      </w:tabs>
      <w:ind w:left="1620" w:hanging="360"/>
    </w:pPr>
  </w:style>
  <w:style w:type="character" w:styleId="Strong">
    <w:name w:val="Strong"/>
    <w:qFormat/>
    <w:rsid w:val="00F56BC1"/>
    <w:rPr>
      <w:b/>
      <w:bCs/>
    </w:rPr>
  </w:style>
  <w:style w:type="paragraph" w:customStyle="1" w:styleId="Head1">
    <w:name w:val="Head1"/>
    <w:basedOn w:val="Normal"/>
    <w:rsid w:val="00F56BC1"/>
    <w:pPr>
      <w:tabs>
        <w:tab w:val="left" w:pos="1620"/>
      </w:tabs>
    </w:pPr>
    <w:rPr>
      <w:b/>
      <w:bCs/>
    </w:rPr>
  </w:style>
  <w:style w:type="paragraph" w:customStyle="1" w:styleId="Head2">
    <w:name w:val="Head2"/>
    <w:basedOn w:val="Normal"/>
    <w:rsid w:val="00F56BC1"/>
    <w:pPr>
      <w:tabs>
        <w:tab w:val="left" w:pos="1620"/>
      </w:tabs>
    </w:pPr>
    <w:rPr>
      <w:b/>
      <w:bCs/>
    </w:rPr>
  </w:style>
  <w:style w:type="paragraph" w:customStyle="1" w:styleId="bullet">
    <w:name w:val="bullet"/>
    <w:basedOn w:val="Header"/>
    <w:rsid w:val="00F56BC1"/>
    <w:pPr>
      <w:tabs>
        <w:tab w:val="clear" w:pos="4820"/>
        <w:tab w:val="clear" w:pos="9923"/>
        <w:tab w:val="num" w:pos="360"/>
      </w:tabs>
      <w:snapToGrid w:val="0"/>
      <w:spacing w:after="120"/>
      <w:ind w:left="1134" w:hanging="567"/>
    </w:pPr>
    <w:rPr>
      <w:color w:val="000000"/>
    </w:rPr>
  </w:style>
  <w:style w:type="paragraph" w:customStyle="1" w:styleId="Style1">
    <w:name w:val="Style1"/>
    <w:basedOn w:val="Normal"/>
    <w:rsid w:val="00F56BC1"/>
    <w:pPr>
      <w:keepLines w:val="0"/>
      <w:ind w:left="1400" w:hanging="800"/>
    </w:pPr>
  </w:style>
  <w:style w:type="character" w:customStyle="1" w:styleId="Italics">
    <w:name w:val="Italics"/>
    <w:rsid w:val="00F56BC1"/>
    <w:rPr>
      <w:i/>
      <w:iCs/>
    </w:rPr>
  </w:style>
  <w:style w:type="character" w:customStyle="1" w:styleId="Bold">
    <w:name w:val="Bold"/>
    <w:rsid w:val="00F56BC1"/>
    <w:rPr>
      <w:b/>
      <w:bCs/>
    </w:rPr>
  </w:style>
  <w:style w:type="paragraph" w:customStyle="1" w:styleId="Interpretation">
    <w:name w:val="Interpretation"/>
    <w:basedOn w:val="Normal"/>
    <w:link w:val="InterpretationChar"/>
    <w:rsid w:val="00F56BC1"/>
    <w:pPr>
      <w:keepLines w:val="0"/>
      <w:widowControl w:val="0"/>
      <w:spacing w:after="120"/>
      <w:ind w:left="567"/>
    </w:pPr>
    <w:rPr>
      <w:rFonts w:ascii="Garamond" w:hAnsi="Garamond" w:cs="Garamond"/>
      <w:color w:val="000000"/>
      <w:sz w:val="24"/>
      <w:szCs w:val="24"/>
    </w:rPr>
  </w:style>
  <w:style w:type="character" w:customStyle="1" w:styleId="InterpretationChar">
    <w:name w:val="Interpretation Char"/>
    <w:link w:val="Interpretation"/>
    <w:rsid w:val="00F56BC1"/>
    <w:rPr>
      <w:rFonts w:ascii="Garamond" w:hAnsi="Garamond" w:cs="Garamond"/>
      <w:color w:val="000000"/>
      <w:sz w:val="24"/>
      <w:szCs w:val="24"/>
      <w:lang w:val="en-AU" w:eastAsia="en-US" w:bidi="ar-SA"/>
    </w:rPr>
  </w:style>
  <w:style w:type="paragraph" w:styleId="CommentSubject">
    <w:name w:val="annotation subject"/>
    <w:basedOn w:val="CommentText"/>
    <w:next w:val="CommentText"/>
    <w:semiHidden/>
    <w:rsid w:val="00F56BC1"/>
    <w:pPr>
      <w:keepLines w:val="0"/>
    </w:pPr>
    <w:rPr>
      <w:b/>
      <w:bCs/>
    </w:rPr>
  </w:style>
  <w:style w:type="character" w:customStyle="1" w:styleId="EmailStyle69">
    <w:name w:val="EmailStyle69"/>
    <w:semiHidden/>
    <w:rsid w:val="00F56BC1"/>
    <w:rPr>
      <w:rFonts w:ascii="Arial" w:hAnsi="Arial" w:cs="Arial"/>
      <w:color w:val="auto"/>
      <w:sz w:val="22"/>
      <w:szCs w:val="22"/>
      <w:u w:val="none"/>
    </w:rPr>
  </w:style>
  <w:style w:type="paragraph" w:customStyle="1" w:styleId="List1">
    <w:name w:val="List1"/>
    <w:basedOn w:val="Normal"/>
    <w:rsid w:val="00F56BC1"/>
    <w:pPr>
      <w:keepLines w:val="0"/>
      <w:tabs>
        <w:tab w:val="left" w:pos="800"/>
      </w:tabs>
    </w:pPr>
    <w:rPr>
      <w:b/>
      <w:bCs/>
      <w:lang w:eastAsia="en-AU"/>
    </w:rPr>
  </w:style>
  <w:style w:type="paragraph" w:customStyle="1" w:styleId="list10">
    <w:name w:val="list1"/>
    <w:basedOn w:val="Normal"/>
    <w:rsid w:val="00F56BC1"/>
    <w:rPr>
      <w:b/>
      <w:bCs/>
    </w:rPr>
  </w:style>
  <w:style w:type="paragraph" w:styleId="BodyTextIndent2">
    <w:name w:val="Body Text Indent 2"/>
    <w:basedOn w:val="Normal"/>
    <w:rsid w:val="00F56BC1"/>
    <w:pPr>
      <w:keepLines w:val="0"/>
      <w:tabs>
        <w:tab w:val="left" w:pos="851"/>
      </w:tabs>
      <w:ind w:left="851" w:hanging="851"/>
    </w:pPr>
  </w:style>
  <w:style w:type="paragraph" w:styleId="BodyTextIndent3">
    <w:name w:val="Body Text Indent 3"/>
    <w:basedOn w:val="Normal"/>
    <w:rsid w:val="00F56BC1"/>
    <w:pPr>
      <w:keepLines w:val="0"/>
      <w:ind w:left="709" w:hanging="709"/>
    </w:pPr>
  </w:style>
  <w:style w:type="character" w:styleId="Emphasis">
    <w:name w:val="Emphasis"/>
    <w:qFormat/>
    <w:rsid w:val="00F56BC1"/>
    <w:rPr>
      <w:i/>
      <w:iCs/>
    </w:rPr>
  </w:style>
  <w:style w:type="paragraph" w:styleId="Title">
    <w:name w:val="Title"/>
    <w:basedOn w:val="Normal"/>
    <w:link w:val="TitleChar"/>
    <w:qFormat/>
    <w:rsid w:val="00F56BC1"/>
    <w:pPr>
      <w:keepLines w:val="0"/>
      <w:spacing w:before="240" w:after="60"/>
    </w:pPr>
    <w:rPr>
      <w:b/>
      <w:bCs/>
      <w:sz w:val="40"/>
      <w:szCs w:val="40"/>
      <w:lang w:eastAsia="en-AU"/>
    </w:rPr>
  </w:style>
  <w:style w:type="paragraph" w:customStyle="1" w:styleId="CoverUpdate">
    <w:name w:val="CoverUpdate"/>
    <w:basedOn w:val="Normal"/>
    <w:rsid w:val="00F56BC1"/>
    <w:pPr>
      <w:keepLines w:val="0"/>
      <w:spacing w:before="240"/>
    </w:pPr>
    <w:rPr>
      <w:sz w:val="24"/>
      <w:szCs w:val="24"/>
      <w:lang w:eastAsia="en-AU"/>
    </w:rPr>
  </w:style>
  <w:style w:type="paragraph" w:customStyle="1" w:styleId="CoverAct">
    <w:name w:val="CoverAct"/>
    <w:basedOn w:val="Normal"/>
    <w:next w:val="CoverUpdate"/>
    <w:rsid w:val="00F56BC1"/>
    <w:pPr>
      <w:keepLines w:val="0"/>
      <w:pBdr>
        <w:bottom w:val="single" w:sz="4" w:space="3" w:color="auto"/>
      </w:pBdr>
    </w:pPr>
    <w:rPr>
      <w:i/>
      <w:iCs/>
      <w:sz w:val="28"/>
      <w:szCs w:val="28"/>
      <w:lang w:eastAsia="en-AU"/>
    </w:rPr>
  </w:style>
  <w:style w:type="paragraph" w:customStyle="1" w:styleId="CoverMade">
    <w:name w:val="CoverMade"/>
    <w:basedOn w:val="Normal"/>
    <w:rsid w:val="00F56BC1"/>
    <w:pPr>
      <w:keepLines w:val="0"/>
      <w:spacing w:before="240" w:after="240"/>
    </w:pPr>
    <w:rPr>
      <w:sz w:val="24"/>
      <w:szCs w:val="24"/>
      <w:lang w:eastAsia="en-AU"/>
    </w:rPr>
  </w:style>
  <w:style w:type="paragraph" w:customStyle="1" w:styleId="CoverStatRule">
    <w:name w:val="CoverStatRule"/>
    <w:basedOn w:val="Normal"/>
    <w:next w:val="Normal"/>
    <w:rsid w:val="00F56BC1"/>
    <w:pPr>
      <w:keepLines w:val="0"/>
      <w:spacing w:before="240"/>
    </w:pPr>
    <w:rPr>
      <w:b/>
      <w:bCs/>
      <w:sz w:val="24"/>
      <w:szCs w:val="24"/>
      <w:lang w:eastAsia="en-AU"/>
    </w:rPr>
  </w:style>
  <w:style w:type="paragraph" w:customStyle="1" w:styleId="TableENotesHeading">
    <w:name w:val="TableENotesHeading"/>
    <w:basedOn w:val="Normal"/>
    <w:rsid w:val="00F56BC1"/>
    <w:pPr>
      <w:keepLines w:val="0"/>
      <w:spacing w:before="240" w:after="240" w:line="300" w:lineRule="exact"/>
      <w:ind w:left="2410" w:hanging="2410"/>
    </w:pPr>
    <w:rPr>
      <w:b/>
      <w:bCs/>
      <w:noProof/>
      <w:sz w:val="28"/>
      <w:szCs w:val="28"/>
      <w:lang w:eastAsia="en-AU"/>
    </w:rPr>
  </w:style>
  <w:style w:type="paragraph" w:customStyle="1" w:styleId="EndNotes">
    <w:name w:val="EndNotes"/>
    <w:basedOn w:val="Normal"/>
    <w:rsid w:val="00F56BC1"/>
    <w:pPr>
      <w:keepLines w:val="0"/>
      <w:spacing w:before="120" w:line="260" w:lineRule="exact"/>
      <w:jc w:val="both"/>
    </w:pPr>
    <w:rPr>
      <w:noProof/>
      <w:sz w:val="24"/>
      <w:szCs w:val="24"/>
      <w:lang w:eastAsia="en-AU"/>
    </w:rPr>
  </w:style>
  <w:style w:type="paragraph" w:customStyle="1" w:styleId="ENoteNo">
    <w:name w:val="ENoteNo"/>
    <w:basedOn w:val="EndNotes"/>
    <w:rsid w:val="00F56BC1"/>
    <w:pPr>
      <w:ind w:left="357" w:hanging="357"/>
    </w:pPr>
    <w:rPr>
      <w:b/>
      <w:bCs/>
    </w:rPr>
  </w:style>
  <w:style w:type="paragraph" w:customStyle="1" w:styleId="TableColHead">
    <w:name w:val="TableColHead"/>
    <w:basedOn w:val="Normal"/>
    <w:rsid w:val="00F56BC1"/>
    <w:pPr>
      <w:keepNext/>
      <w:keepLines w:val="0"/>
      <w:spacing w:before="120" w:after="60" w:line="200" w:lineRule="exact"/>
    </w:pPr>
    <w:rPr>
      <w:b/>
      <w:bCs/>
      <w:noProof/>
      <w:sz w:val="18"/>
      <w:szCs w:val="18"/>
    </w:rPr>
  </w:style>
  <w:style w:type="paragraph" w:styleId="NoteHeading">
    <w:name w:val="Note Heading"/>
    <w:aliases w:val="HN"/>
    <w:basedOn w:val="Normal"/>
    <w:next w:val="Normal"/>
    <w:link w:val="NoteHeadingChar"/>
    <w:rsid w:val="00F56BC1"/>
    <w:pPr>
      <w:keepNext/>
      <w:tabs>
        <w:tab w:val="left" w:pos="1559"/>
      </w:tabs>
      <w:spacing w:before="120" w:line="240" w:lineRule="atLeast"/>
    </w:pPr>
    <w:rPr>
      <w:b/>
      <w:bCs/>
      <w:noProof/>
      <w:sz w:val="32"/>
      <w:szCs w:val="32"/>
      <w:lang w:eastAsia="en-AU"/>
    </w:rPr>
  </w:style>
  <w:style w:type="character" w:customStyle="1" w:styleId="CharENotesHeading">
    <w:name w:val="CharENotesHeading"/>
    <w:basedOn w:val="DefaultParagraphFont"/>
    <w:rsid w:val="00F56BC1"/>
  </w:style>
  <w:style w:type="paragraph" w:customStyle="1" w:styleId="TableOfAmend">
    <w:name w:val="TableOfAmend"/>
    <w:basedOn w:val="Normal"/>
    <w:rsid w:val="00F56BC1"/>
    <w:pPr>
      <w:keepLines w:val="0"/>
      <w:tabs>
        <w:tab w:val="right" w:leader="dot" w:pos="2268"/>
      </w:tabs>
      <w:spacing w:before="60" w:line="200" w:lineRule="exact"/>
      <w:ind w:left="170" w:right="-11" w:hanging="170"/>
    </w:pPr>
    <w:rPr>
      <w:noProof/>
      <w:sz w:val="18"/>
      <w:szCs w:val="18"/>
      <w:lang w:eastAsia="en-AU"/>
    </w:rPr>
  </w:style>
  <w:style w:type="paragraph" w:customStyle="1" w:styleId="TableOfAmendHead">
    <w:name w:val="TableOfAmendHead"/>
    <w:basedOn w:val="TableOfAmend"/>
    <w:next w:val="Normal"/>
    <w:rsid w:val="00F56BC1"/>
    <w:pPr>
      <w:spacing w:after="60"/>
    </w:pPr>
    <w:rPr>
      <w:sz w:val="16"/>
      <w:szCs w:val="16"/>
    </w:rPr>
  </w:style>
  <w:style w:type="paragraph" w:customStyle="1" w:styleId="TableENotesHeadingAmdt">
    <w:name w:val="TableENotesHeadingAmdt"/>
    <w:basedOn w:val="Normal"/>
    <w:next w:val="Normal"/>
    <w:rsid w:val="00F56BC1"/>
    <w:pPr>
      <w:keepLines w:val="0"/>
      <w:pageBreakBefore/>
      <w:spacing w:before="240" w:after="240" w:line="300" w:lineRule="exact"/>
      <w:ind w:left="2410" w:hanging="2410"/>
    </w:pPr>
    <w:rPr>
      <w:b/>
      <w:bCs/>
      <w:noProof/>
      <w:sz w:val="28"/>
      <w:szCs w:val="28"/>
      <w:lang w:eastAsia="en-AU"/>
    </w:rPr>
  </w:style>
  <w:style w:type="paragraph" w:styleId="TOC3">
    <w:name w:val="toc 3"/>
    <w:basedOn w:val="Normal"/>
    <w:next w:val="Normal"/>
    <w:autoRedefine/>
    <w:uiPriority w:val="39"/>
    <w:rsid w:val="00F56BC1"/>
    <w:pPr>
      <w:ind w:left="220"/>
    </w:pPr>
    <w:rPr>
      <w:sz w:val="20"/>
      <w:szCs w:val="20"/>
    </w:rPr>
  </w:style>
  <w:style w:type="paragraph" w:styleId="TOC4">
    <w:name w:val="toc 4"/>
    <w:basedOn w:val="Normal"/>
    <w:next w:val="Normal"/>
    <w:autoRedefine/>
    <w:semiHidden/>
    <w:rsid w:val="00F56BC1"/>
    <w:pPr>
      <w:ind w:left="440"/>
    </w:pPr>
    <w:rPr>
      <w:sz w:val="20"/>
      <w:szCs w:val="20"/>
    </w:rPr>
  </w:style>
  <w:style w:type="paragraph" w:styleId="TOC5">
    <w:name w:val="toc 5"/>
    <w:basedOn w:val="Normal"/>
    <w:next w:val="Normal"/>
    <w:autoRedefine/>
    <w:semiHidden/>
    <w:rsid w:val="00F56BC1"/>
    <w:pPr>
      <w:ind w:left="660"/>
    </w:pPr>
    <w:rPr>
      <w:sz w:val="20"/>
      <w:szCs w:val="20"/>
    </w:rPr>
  </w:style>
  <w:style w:type="paragraph" w:styleId="TOC6">
    <w:name w:val="toc 6"/>
    <w:basedOn w:val="Normal"/>
    <w:next w:val="Normal"/>
    <w:autoRedefine/>
    <w:semiHidden/>
    <w:rsid w:val="00F56BC1"/>
    <w:pPr>
      <w:ind w:left="880"/>
    </w:pPr>
    <w:rPr>
      <w:sz w:val="20"/>
      <w:szCs w:val="20"/>
    </w:rPr>
  </w:style>
  <w:style w:type="paragraph" w:styleId="TOC7">
    <w:name w:val="toc 7"/>
    <w:basedOn w:val="Normal"/>
    <w:next w:val="Normal"/>
    <w:autoRedefine/>
    <w:semiHidden/>
    <w:rsid w:val="00F56BC1"/>
    <w:pPr>
      <w:ind w:left="1100"/>
    </w:pPr>
    <w:rPr>
      <w:sz w:val="20"/>
      <w:szCs w:val="20"/>
    </w:rPr>
  </w:style>
  <w:style w:type="paragraph" w:styleId="TOC8">
    <w:name w:val="toc 8"/>
    <w:basedOn w:val="Normal"/>
    <w:next w:val="Normal"/>
    <w:autoRedefine/>
    <w:semiHidden/>
    <w:rsid w:val="00F56BC1"/>
    <w:pPr>
      <w:ind w:left="1320"/>
    </w:pPr>
    <w:rPr>
      <w:sz w:val="20"/>
      <w:szCs w:val="20"/>
    </w:rPr>
  </w:style>
  <w:style w:type="paragraph" w:styleId="TOC9">
    <w:name w:val="toc 9"/>
    <w:basedOn w:val="Normal"/>
    <w:next w:val="Normal"/>
    <w:autoRedefine/>
    <w:semiHidden/>
    <w:rsid w:val="00F56BC1"/>
    <w:pPr>
      <w:ind w:left="1540"/>
    </w:pPr>
    <w:rPr>
      <w:sz w:val="20"/>
      <w:szCs w:val="20"/>
    </w:rPr>
  </w:style>
  <w:style w:type="paragraph" w:customStyle="1" w:styleId="NormalLeft0cm">
    <w:name w:val="Normal + Left:  0 cm"/>
    <w:aliases w:val="Hanging:  1.41 cm"/>
    <w:basedOn w:val="Heading1"/>
    <w:rsid w:val="00F56BC1"/>
    <w:pPr>
      <w:ind w:left="770" w:hanging="770"/>
    </w:pPr>
    <w:rPr>
      <w:b w:val="0"/>
      <w:bCs w:val="0"/>
      <w:sz w:val="22"/>
      <w:szCs w:val="22"/>
    </w:rPr>
  </w:style>
  <w:style w:type="numbering" w:styleId="111111">
    <w:name w:val="Outline List 2"/>
    <w:basedOn w:val="NoList"/>
    <w:rsid w:val="00F56BC1"/>
    <w:pPr>
      <w:numPr>
        <w:numId w:val="3"/>
      </w:numPr>
    </w:p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8B0B36"/>
    <w:pPr>
      <w:keepLines w:val="0"/>
      <w:ind w:left="720"/>
      <w:contextualSpacing/>
    </w:pPr>
    <w:rPr>
      <w:rFonts w:cs="Times New Roman"/>
      <w:szCs w:val="20"/>
    </w:rPr>
  </w:style>
  <w:style w:type="paragraph" w:customStyle="1" w:styleId="IndentParaLevel1">
    <w:name w:val="IndentParaLevel1"/>
    <w:basedOn w:val="Normal"/>
    <w:rsid w:val="00154654"/>
    <w:pPr>
      <w:keepLines w:val="0"/>
      <w:widowControl w:val="0"/>
      <w:spacing w:after="220"/>
      <w:ind w:left="964"/>
    </w:pPr>
    <w:rPr>
      <w:rFonts w:ascii="Times New Roman" w:hAnsi="Times New Roman" w:cs="Times New Roman"/>
    </w:rPr>
  </w:style>
  <w:style w:type="paragraph" w:customStyle="1" w:styleId="ShortT">
    <w:name w:val="ShortT"/>
    <w:basedOn w:val="Normal"/>
    <w:next w:val="Normal"/>
    <w:link w:val="ShortTChar"/>
    <w:qFormat/>
    <w:rsid w:val="00C52216"/>
    <w:pPr>
      <w:keepLines w:val="0"/>
    </w:pPr>
    <w:rPr>
      <w:rFonts w:ascii="Times New Roman" w:hAnsi="Times New Roman" w:cs="Times New Roman"/>
      <w:b/>
      <w:sz w:val="40"/>
      <w:szCs w:val="20"/>
      <w:lang w:eastAsia="en-AU"/>
    </w:rPr>
  </w:style>
  <w:style w:type="character" w:customStyle="1" w:styleId="ShortTChar">
    <w:name w:val="ShortT Char"/>
    <w:link w:val="ShortT"/>
    <w:rsid w:val="00C52216"/>
    <w:rPr>
      <w:b/>
      <w:sz w:val="40"/>
    </w:rPr>
  </w:style>
  <w:style w:type="paragraph" w:styleId="Revision">
    <w:name w:val="Revision"/>
    <w:hidden/>
    <w:uiPriority w:val="99"/>
    <w:semiHidden/>
    <w:rsid w:val="00CA7F4C"/>
    <w:rPr>
      <w:rFonts w:ascii="Arial" w:hAnsi="Arial" w:cs="Arial"/>
      <w:sz w:val="22"/>
      <w:szCs w:val="22"/>
      <w:lang w:eastAsia="en-US"/>
    </w:rPr>
  </w:style>
  <w:style w:type="character" w:customStyle="1" w:styleId="TitleChar">
    <w:name w:val="Title Char"/>
    <w:link w:val="Title"/>
    <w:rsid w:val="00C713FC"/>
    <w:rPr>
      <w:rFonts w:ascii="Arial" w:hAnsi="Arial" w:cs="Arial"/>
      <w:b/>
      <w:bCs/>
      <w:sz w:val="40"/>
      <w:szCs w:val="40"/>
    </w:rPr>
  </w:style>
  <w:style w:type="paragraph" w:customStyle="1" w:styleId="ActHead3">
    <w:name w:val="ActHead 3"/>
    <w:aliases w:val="d"/>
    <w:basedOn w:val="Normal"/>
    <w:next w:val="Normal"/>
    <w:qFormat/>
    <w:rsid w:val="00C713FC"/>
    <w:pPr>
      <w:keepNext/>
      <w:spacing w:before="240"/>
      <w:ind w:left="1134" w:hanging="1134"/>
      <w:outlineLvl w:val="2"/>
    </w:pPr>
    <w:rPr>
      <w:rFonts w:ascii="Times New Roman" w:hAnsi="Times New Roman" w:cs="Times New Roman"/>
      <w:b/>
      <w:bCs/>
      <w:kern w:val="28"/>
      <w:sz w:val="28"/>
      <w:szCs w:val="32"/>
      <w:lang w:eastAsia="en-AU"/>
    </w:rPr>
  </w:style>
  <w:style w:type="character" w:customStyle="1" w:styleId="NoteHeadingChar">
    <w:name w:val="Note Heading Char"/>
    <w:aliases w:val="HN Char"/>
    <w:link w:val="NoteHeading"/>
    <w:rsid w:val="00C713FC"/>
    <w:rPr>
      <w:rFonts w:ascii="Arial" w:hAnsi="Arial" w:cs="Arial"/>
      <w:b/>
      <w:bCs/>
      <w:noProof/>
      <w:sz w:val="32"/>
      <w:szCs w:val="32"/>
    </w:rPr>
  </w:style>
  <w:style w:type="paragraph" w:customStyle="1" w:styleId="TableText0">
    <w:name w:val="TableText"/>
    <w:basedOn w:val="Normal"/>
    <w:rsid w:val="00C713FC"/>
    <w:pPr>
      <w:keepLines w:val="0"/>
      <w:spacing w:before="60" w:after="60" w:line="240" w:lineRule="exact"/>
    </w:pPr>
    <w:rPr>
      <w:rFonts w:ascii="Times New Roman" w:hAnsi="Times New Roman" w:cs="Times New Roman"/>
      <w:szCs w:val="24"/>
      <w:lang w:eastAsia="en-AU"/>
    </w:rPr>
  </w:style>
  <w:style w:type="character" w:customStyle="1" w:styleId="legsubtitle1">
    <w:name w:val="legsubtitle1"/>
    <w:rsid w:val="00C713FC"/>
    <w:rPr>
      <w:rFonts w:ascii="Arial" w:hAnsi="Arial" w:cs="Arial" w:hint="default"/>
      <w:b/>
      <w:bCs/>
      <w:sz w:val="28"/>
      <w:szCs w:val="28"/>
    </w:rPr>
  </w:style>
  <w:style w:type="paragraph" w:customStyle="1" w:styleId="paragraph">
    <w:name w:val="paragraph"/>
    <w:aliases w:val="a"/>
    <w:basedOn w:val="Normal"/>
    <w:link w:val="paragraphChar"/>
    <w:rsid w:val="00C104FD"/>
    <w:pPr>
      <w:keepLines w:val="0"/>
      <w:tabs>
        <w:tab w:val="right" w:pos="1531"/>
      </w:tabs>
      <w:spacing w:before="40"/>
      <w:ind w:left="1644" w:hanging="1644"/>
    </w:pPr>
    <w:rPr>
      <w:rFonts w:ascii="Times New Roman" w:hAnsi="Times New Roman" w:cs="Times New Roman"/>
      <w:szCs w:val="20"/>
      <w:lang w:eastAsia="en-AU"/>
    </w:rPr>
  </w:style>
  <w:style w:type="character" w:customStyle="1" w:styleId="paragraphChar">
    <w:name w:val="paragraph Char"/>
    <w:aliases w:val="a Char"/>
    <w:basedOn w:val="DefaultParagraphFont"/>
    <w:link w:val="paragraph"/>
    <w:locked/>
    <w:rsid w:val="00C104FD"/>
    <w:rPr>
      <w:sz w:val="22"/>
    </w:rPr>
  </w:style>
  <w:style w:type="paragraph" w:customStyle="1" w:styleId="Definition">
    <w:name w:val="Definition"/>
    <w:aliases w:val="dd"/>
    <w:basedOn w:val="Normal"/>
    <w:rsid w:val="00C104FD"/>
    <w:pPr>
      <w:keepLines w:val="0"/>
      <w:spacing w:before="180"/>
      <w:ind w:left="1134"/>
    </w:pPr>
    <w:rPr>
      <w:rFonts w:ascii="Times New Roman" w:hAnsi="Times New Roman" w:cs="Times New Roman"/>
      <w:szCs w:val="20"/>
      <w:lang w:eastAsia="en-AU"/>
    </w:rPr>
  </w:style>
  <w:style w:type="paragraph" w:customStyle="1" w:styleId="ActHead5">
    <w:name w:val="ActHead 5"/>
    <w:aliases w:val="s"/>
    <w:basedOn w:val="Normal"/>
    <w:next w:val="subsection"/>
    <w:link w:val="ActHead5Char"/>
    <w:qFormat/>
    <w:rsid w:val="00C104FD"/>
    <w:pPr>
      <w:keepNext/>
      <w:spacing w:before="280"/>
      <w:ind w:left="1134" w:hanging="1134"/>
      <w:outlineLvl w:val="4"/>
    </w:pPr>
    <w:rPr>
      <w:rFonts w:ascii="Times New Roman" w:hAnsi="Times New Roman" w:cs="Times New Roman"/>
      <w:b/>
      <w:kern w:val="28"/>
      <w:sz w:val="24"/>
      <w:szCs w:val="20"/>
      <w:lang w:eastAsia="en-AU"/>
    </w:rPr>
  </w:style>
  <w:style w:type="character" w:customStyle="1" w:styleId="CharSectno">
    <w:name w:val="CharSectno"/>
    <w:basedOn w:val="DefaultParagraphFont"/>
    <w:qFormat/>
    <w:rsid w:val="00C104FD"/>
  </w:style>
  <w:style w:type="paragraph" w:customStyle="1" w:styleId="subsection">
    <w:name w:val="subsection"/>
    <w:aliases w:val="ss,Subsection"/>
    <w:basedOn w:val="Normal"/>
    <w:link w:val="subsectionChar"/>
    <w:rsid w:val="00C104FD"/>
    <w:pPr>
      <w:keepLines w:val="0"/>
      <w:tabs>
        <w:tab w:val="right" w:pos="1021"/>
      </w:tabs>
      <w:spacing w:before="180"/>
      <w:ind w:left="1134" w:hanging="1134"/>
    </w:pPr>
    <w:rPr>
      <w:rFonts w:ascii="Times New Roman" w:hAnsi="Times New Roman" w:cs="Times New Roman"/>
      <w:szCs w:val="20"/>
      <w:lang w:eastAsia="en-AU"/>
    </w:rPr>
  </w:style>
  <w:style w:type="paragraph" w:customStyle="1" w:styleId="paragraphsub">
    <w:name w:val="paragraph(sub)"/>
    <w:aliases w:val="aa"/>
    <w:basedOn w:val="Normal"/>
    <w:rsid w:val="00C104FD"/>
    <w:pPr>
      <w:keepLines w:val="0"/>
      <w:tabs>
        <w:tab w:val="right" w:pos="1985"/>
      </w:tabs>
      <w:spacing w:before="40"/>
      <w:ind w:left="2098" w:hanging="2098"/>
    </w:pPr>
    <w:rPr>
      <w:rFonts w:ascii="Times New Roman" w:hAnsi="Times New Roman" w:cs="Times New Roman"/>
      <w:szCs w:val="20"/>
      <w:lang w:eastAsia="en-AU"/>
    </w:rPr>
  </w:style>
  <w:style w:type="paragraph" w:customStyle="1" w:styleId="notetext">
    <w:name w:val="note(text)"/>
    <w:aliases w:val="n"/>
    <w:basedOn w:val="Normal"/>
    <w:link w:val="notetextChar"/>
    <w:rsid w:val="00C104FD"/>
    <w:pPr>
      <w:keepLines w:val="0"/>
      <w:spacing w:before="122"/>
      <w:ind w:left="1985" w:hanging="851"/>
    </w:pPr>
    <w:rPr>
      <w:rFonts w:ascii="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C104FD"/>
    <w:rPr>
      <w:sz w:val="22"/>
    </w:rPr>
  </w:style>
  <w:style w:type="character" w:customStyle="1" w:styleId="notetextChar">
    <w:name w:val="note(text) Char"/>
    <w:aliases w:val="n Char"/>
    <w:basedOn w:val="DefaultParagraphFont"/>
    <w:link w:val="notetext"/>
    <w:rsid w:val="00C104FD"/>
    <w:rPr>
      <w:sz w:val="18"/>
    </w:rPr>
  </w:style>
  <w:style w:type="character" w:customStyle="1" w:styleId="ActHead5Char">
    <w:name w:val="ActHead 5 Char"/>
    <w:aliases w:val="s Char"/>
    <w:link w:val="ActHead5"/>
    <w:rsid w:val="00C104FD"/>
    <w:rPr>
      <w:b/>
      <w:kern w:val="28"/>
      <w:sz w:val="24"/>
    </w:rPr>
  </w:style>
  <w:style w:type="paragraph" w:customStyle="1" w:styleId="ENoteTableHeading">
    <w:name w:val="ENoteTableHeading"/>
    <w:aliases w:val="enth"/>
    <w:basedOn w:val="Normal"/>
    <w:rsid w:val="00075DD8"/>
    <w:pPr>
      <w:keepNext/>
      <w:keepLines w:val="0"/>
      <w:spacing w:before="60" w:line="240" w:lineRule="atLeast"/>
    </w:pPr>
    <w:rPr>
      <w:rFonts w:cs="Times New Roman"/>
      <w:b/>
      <w:sz w:val="16"/>
      <w:szCs w:val="20"/>
      <w:lang w:eastAsia="en-AU"/>
    </w:rPr>
  </w:style>
  <w:style w:type="paragraph" w:customStyle="1" w:styleId="ENoteTableText">
    <w:name w:val="ENoteTableText"/>
    <w:aliases w:val="entt"/>
    <w:basedOn w:val="Normal"/>
    <w:rsid w:val="00075DD8"/>
    <w:pPr>
      <w:keepLines w:val="0"/>
      <w:spacing w:before="60" w:line="240" w:lineRule="atLeast"/>
    </w:pPr>
    <w:rPr>
      <w:rFonts w:ascii="Times New Roman" w:hAnsi="Times New Roman" w:cs="Times New Roman"/>
      <w:sz w:val="16"/>
      <w:szCs w:val="20"/>
      <w:lang w:eastAsia="en-AU"/>
    </w:rPr>
  </w:style>
  <w:style w:type="paragraph" w:customStyle="1" w:styleId="Item">
    <w:name w:val="Item"/>
    <w:aliases w:val="i"/>
    <w:basedOn w:val="Normal"/>
    <w:next w:val="Normal"/>
    <w:rsid w:val="00075DD8"/>
    <w:pPr>
      <w:spacing w:before="80"/>
      <w:ind w:left="709"/>
    </w:pPr>
    <w:rPr>
      <w:rFonts w:ascii="Times New Roman" w:hAnsi="Times New Roman" w:cs="Times New Roman"/>
      <w:szCs w:val="20"/>
      <w:lang w:eastAsia="en-AU"/>
    </w:rPr>
  </w:style>
  <w:style w:type="paragraph" w:customStyle="1" w:styleId="ENotesHeading2">
    <w:name w:val="ENotesHeading 2"/>
    <w:aliases w:val="Enh2,ENh2"/>
    <w:basedOn w:val="Normal"/>
    <w:next w:val="Normal"/>
    <w:rsid w:val="00075DD8"/>
    <w:pPr>
      <w:keepLines w:val="0"/>
      <w:spacing w:before="120" w:after="120" w:line="260" w:lineRule="atLeast"/>
      <w:outlineLvl w:val="2"/>
    </w:pPr>
    <w:rPr>
      <w:rFonts w:ascii="Times New Roman" w:hAnsi="Times New Roman" w:cs="Times New Roman"/>
      <w:b/>
      <w:sz w:val="24"/>
      <w:szCs w:val="28"/>
      <w:lang w:eastAsia="en-AU"/>
    </w:rPr>
  </w:style>
  <w:style w:type="paragraph" w:customStyle="1" w:styleId="ScheduleItem">
    <w:name w:val="Schedule Item"/>
    <w:basedOn w:val="Normal"/>
    <w:link w:val="ScheduleItemChar"/>
    <w:qFormat/>
    <w:rsid w:val="00075DD8"/>
    <w:pPr>
      <w:keepLines w:val="0"/>
      <w:numPr>
        <w:numId w:val="5"/>
      </w:numPr>
      <w:spacing w:before="360"/>
    </w:pPr>
    <w:rPr>
      <w:rFonts w:cs="Times New Roman"/>
      <w:b/>
      <w:kern w:val="28"/>
      <w:sz w:val="24"/>
      <w:szCs w:val="20"/>
      <w:lang w:eastAsia="en-AU"/>
    </w:rPr>
  </w:style>
  <w:style w:type="character" w:customStyle="1" w:styleId="ScheduleItemChar">
    <w:name w:val="Schedule Item Char"/>
    <w:basedOn w:val="DefaultParagraphFont"/>
    <w:link w:val="ScheduleItem"/>
    <w:rsid w:val="00075DD8"/>
    <w:rPr>
      <w:rFonts w:ascii="Arial" w:hAnsi="Arial"/>
      <w:b/>
      <w:kern w:val="28"/>
      <w:sz w:val="24"/>
    </w:rPr>
  </w:style>
  <w:style w:type="paragraph" w:customStyle="1" w:styleId="ItemHead">
    <w:name w:val="ItemHead"/>
    <w:aliases w:val="ih"/>
    <w:basedOn w:val="Normal"/>
    <w:next w:val="Item"/>
    <w:rsid w:val="00145965"/>
    <w:pPr>
      <w:keepNext/>
      <w:spacing w:before="220"/>
      <w:ind w:left="709" w:hanging="709"/>
    </w:pPr>
    <w:rPr>
      <w:rFonts w:cs="Times New Roman"/>
      <w:b/>
      <w:kern w:val="28"/>
      <w:sz w:val="24"/>
      <w:szCs w:val="20"/>
      <w:lang w:eastAsia="en-AU"/>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FC3A56"/>
    <w:rPr>
      <w:rFonts w:ascii="Arial" w:hAnsi="Arial"/>
      <w:sz w:val="22"/>
      <w:lang w:eastAsia="en-US"/>
    </w:rPr>
  </w:style>
  <w:style w:type="paragraph" w:customStyle="1" w:styleId="ENotesHeading1">
    <w:name w:val="ENotesHeading 1"/>
    <w:aliases w:val="Enh1,ENh1"/>
    <w:basedOn w:val="Normal"/>
    <w:next w:val="Normal"/>
    <w:rsid w:val="004068D3"/>
    <w:pPr>
      <w:keepLines w:val="0"/>
      <w:spacing w:before="120" w:line="260" w:lineRule="atLeast"/>
      <w:outlineLvl w:val="1"/>
    </w:pPr>
    <w:rPr>
      <w:rFonts w:ascii="Times New Roman" w:hAnsi="Times New Roman" w:cs="Times New Roman"/>
      <w:b/>
      <w:sz w:val="28"/>
      <w:szCs w:val="28"/>
      <w:lang w:eastAsia="en-AU"/>
    </w:rPr>
  </w:style>
  <w:style w:type="paragraph" w:customStyle="1" w:styleId="Tabletext1">
    <w:name w:val="Tabletext"/>
    <w:aliases w:val="tt"/>
    <w:basedOn w:val="Normal"/>
    <w:rsid w:val="004068D3"/>
    <w:pPr>
      <w:keepLines w:val="0"/>
      <w:spacing w:before="60" w:line="240" w:lineRule="atLeast"/>
    </w:pPr>
    <w:rPr>
      <w:rFonts w:ascii="Times New Roman" w:hAnsi="Times New Roman" w:cs="Times New Roman"/>
      <w:sz w:val="20"/>
      <w:szCs w:val="20"/>
      <w:lang w:eastAsia="en-AU"/>
    </w:rPr>
  </w:style>
  <w:style w:type="character" w:customStyle="1" w:styleId="FooterChar">
    <w:name w:val="Footer Char"/>
    <w:basedOn w:val="DefaultParagraphFont"/>
    <w:link w:val="Footer"/>
    <w:uiPriority w:val="99"/>
    <w:rsid w:val="00FD0920"/>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73919">
      <w:bodyDiv w:val="1"/>
      <w:marLeft w:val="0"/>
      <w:marRight w:val="0"/>
      <w:marTop w:val="0"/>
      <w:marBottom w:val="0"/>
      <w:divBdr>
        <w:top w:val="none" w:sz="0" w:space="0" w:color="auto"/>
        <w:left w:val="none" w:sz="0" w:space="0" w:color="auto"/>
        <w:bottom w:val="none" w:sz="0" w:space="0" w:color="auto"/>
        <w:right w:val="none" w:sz="0" w:space="0" w:color="auto"/>
      </w:divBdr>
    </w:div>
    <w:div w:id="857743221">
      <w:bodyDiv w:val="1"/>
      <w:marLeft w:val="0"/>
      <w:marRight w:val="0"/>
      <w:marTop w:val="0"/>
      <w:marBottom w:val="0"/>
      <w:divBdr>
        <w:top w:val="none" w:sz="0" w:space="0" w:color="auto"/>
        <w:left w:val="none" w:sz="0" w:space="0" w:color="auto"/>
        <w:bottom w:val="none" w:sz="0" w:space="0" w:color="auto"/>
        <w:right w:val="none" w:sz="0" w:space="0" w:color="auto"/>
      </w:divBdr>
    </w:div>
    <w:div w:id="1206716786">
      <w:bodyDiv w:val="1"/>
      <w:marLeft w:val="0"/>
      <w:marRight w:val="0"/>
      <w:marTop w:val="0"/>
      <w:marBottom w:val="0"/>
      <w:divBdr>
        <w:top w:val="none" w:sz="0" w:space="0" w:color="auto"/>
        <w:left w:val="none" w:sz="0" w:space="0" w:color="auto"/>
        <w:bottom w:val="none" w:sz="0" w:space="0" w:color="auto"/>
        <w:right w:val="none" w:sz="0" w:space="0" w:color="auto"/>
      </w:divBdr>
    </w:div>
    <w:div w:id="1485002150">
      <w:bodyDiv w:val="1"/>
      <w:marLeft w:val="0"/>
      <w:marRight w:val="0"/>
      <w:marTop w:val="0"/>
      <w:marBottom w:val="0"/>
      <w:divBdr>
        <w:top w:val="none" w:sz="0" w:space="0" w:color="auto"/>
        <w:left w:val="none" w:sz="0" w:space="0" w:color="auto"/>
        <w:bottom w:val="none" w:sz="0" w:space="0" w:color="auto"/>
        <w:right w:val="none" w:sz="0" w:space="0" w:color="auto"/>
      </w:divBdr>
      <w:divsChild>
        <w:div w:id="343670930">
          <w:marLeft w:val="0"/>
          <w:marRight w:val="0"/>
          <w:marTop w:val="0"/>
          <w:marBottom w:val="0"/>
          <w:divBdr>
            <w:top w:val="none" w:sz="0" w:space="0" w:color="auto"/>
            <w:left w:val="none" w:sz="0" w:space="0" w:color="auto"/>
            <w:bottom w:val="none" w:sz="0" w:space="0" w:color="auto"/>
            <w:right w:val="none" w:sz="0" w:space="0" w:color="auto"/>
          </w:divBdr>
          <w:divsChild>
            <w:div w:id="483471113">
              <w:marLeft w:val="0"/>
              <w:marRight w:val="0"/>
              <w:marTop w:val="0"/>
              <w:marBottom w:val="0"/>
              <w:divBdr>
                <w:top w:val="none" w:sz="0" w:space="0" w:color="auto"/>
                <w:left w:val="none" w:sz="0" w:space="0" w:color="auto"/>
                <w:bottom w:val="none" w:sz="0" w:space="0" w:color="auto"/>
                <w:right w:val="none" w:sz="0" w:space="0" w:color="auto"/>
              </w:divBdr>
              <w:divsChild>
                <w:div w:id="921795373">
                  <w:marLeft w:val="0"/>
                  <w:marRight w:val="0"/>
                  <w:marTop w:val="0"/>
                  <w:marBottom w:val="0"/>
                  <w:divBdr>
                    <w:top w:val="none" w:sz="0" w:space="0" w:color="auto"/>
                    <w:left w:val="none" w:sz="0" w:space="0" w:color="auto"/>
                    <w:bottom w:val="none" w:sz="0" w:space="0" w:color="auto"/>
                    <w:right w:val="none" w:sz="0" w:space="0" w:color="auto"/>
                  </w:divBdr>
                  <w:divsChild>
                    <w:div w:id="1602765003">
                      <w:marLeft w:val="0"/>
                      <w:marRight w:val="0"/>
                      <w:marTop w:val="0"/>
                      <w:marBottom w:val="0"/>
                      <w:divBdr>
                        <w:top w:val="none" w:sz="0" w:space="0" w:color="auto"/>
                        <w:left w:val="none" w:sz="0" w:space="0" w:color="auto"/>
                        <w:bottom w:val="none" w:sz="0" w:space="0" w:color="auto"/>
                        <w:right w:val="none" w:sz="0" w:space="0" w:color="auto"/>
                      </w:divBdr>
                      <w:divsChild>
                        <w:div w:id="1931546681">
                          <w:marLeft w:val="0"/>
                          <w:marRight w:val="0"/>
                          <w:marTop w:val="0"/>
                          <w:marBottom w:val="0"/>
                          <w:divBdr>
                            <w:top w:val="single" w:sz="6" w:space="0" w:color="828282"/>
                            <w:left w:val="single" w:sz="6" w:space="0" w:color="828282"/>
                            <w:bottom w:val="single" w:sz="6" w:space="0" w:color="828282"/>
                            <w:right w:val="single" w:sz="6" w:space="0" w:color="828282"/>
                          </w:divBdr>
                          <w:divsChild>
                            <w:div w:id="1194229191">
                              <w:marLeft w:val="0"/>
                              <w:marRight w:val="0"/>
                              <w:marTop w:val="0"/>
                              <w:marBottom w:val="0"/>
                              <w:divBdr>
                                <w:top w:val="none" w:sz="0" w:space="0" w:color="auto"/>
                                <w:left w:val="none" w:sz="0" w:space="0" w:color="auto"/>
                                <w:bottom w:val="none" w:sz="0" w:space="0" w:color="auto"/>
                                <w:right w:val="none" w:sz="0" w:space="0" w:color="auto"/>
                              </w:divBdr>
                              <w:divsChild>
                                <w:div w:id="167406341">
                                  <w:marLeft w:val="0"/>
                                  <w:marRight w:val="0"/>
                                  <w:marTop w:val="0"/>
                                  <w:marBottom w:val="0"/>
                                  <w:divBdr>
                                    <w:top w:val="none" w:sz="0" w:space="0" w:color="auto"/>
                                    <w:left w:val="none" w:sz="0" w:space="0" w:color="auto"/>
                                    <w:bottom w:val="none" w:sz="0" w:space="0" w:color="auto"/>
                                    <w:right w:val="none" w:sz="0" w:space="0" w:color="auto"/>
                                  </w:divBdr>
                                  <w:divsChild>
                                    <w:div w:id="94130400">
                                      <w:marLeft w:val="0"/>
                                      <w:marRight w:val="0"/>
                                      <w:marTop w:val="0"/>
                                      <w:marBottom w:val="0"/>
                                      <w:divBdr>
                                        <w:top w:val="none" w:sz="0" w:space="0" w:color="auto"/>
                                        <w:left w:val="none" w:sz="0" w:space="0" w:color="auto"/>
                                        <w:bottom w:val="none" w:sz="0" w:space="0" w:color="auto"/>
                                        <w:right w:val="none" w:sz="0" w:space="0" w:color="auto"/>
                                      </w:divBdr>
                                      <w:divsChild>
                                        <w:div w:id="219244675">
                                          <w:marLeft w:val="0"/>
                                          <w:marRight w:val="0"/>
                                          <w:marTop w:val="0"/>
                                          <w:marBottom w:val="0"/>
                                          <w:divBdr>
                                            <w:top w:val="none" w:sz="0" w:space="0" w:color="auto"/>
                                            <w:left w:val="none" w:sz="0" w:space="0" w:color="auto"/>
                                            <w:bottom w:val="none" w:sz="0" w:space="0" w:color="auto"/>
                                            <w:right w:val="none" w:sz="0" w:space="0" w:color="auto"/>
                                          </w:divBdr>
                                          <w:divsChild>
                                            <w:div w:id="77942853">
                                              <w:marLeft w:val="0"/>
                                              <w:marRight w:val="0"/>
                                              <w:marTop w:val="0"/>
                                              <w:marBottom w:val="0"/>
                                              <w:divBdr>
                                                <w:top w:val="none" w:sz="0" w:space="0" w:color="auto"/>
                                                <w:left w:val="none" w:sz="0" w:space="0" w:color="auto"/>
                                                <w:bottom w:val="none" w:sz="0" w:space="0" w:color="auto"/>
                                                <w:right w:val="none" w:sz="0" w:space="0" w:color="auto"/>
                                              </w:divBdr>
                                              <w:divsChild>
                                                <w:div w:id="513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85768D508A24CAD61180A9474A194" ma:contentTypeVersion="12" ma:contentTypeDescription="Create a new document." ma:contentTypeScope="" ma:versionID="8da7bc5dd0e90463da3d2f5b5677d186">
  <xsd:schema xmlns:xsd="http://www.w3.org/2001/XMLSchema" xmlns:xs="http://www.w3.org/2001/XMLSchema" xmlns:p="http://schemas.microsoft.com/office/2006/metadata/properties" xmlns:ns3="272b98d6-e914-4c2e-b163-40650dcd1089" xmlns:ns4="e87da1de-a71a-47c7-a66f-ad472f662479" targetNamespace="http://schemas.microsoft.com/office/2006/metadata/properties" ma:root="true" ma:fieldsID="262411baf0249717d286abf943dabc76" ns3:_="" ns4:_="">
    <xsd:import namespace="272b98d6-e914-4c2e-b163-40650dcd1089"/>
    <xsd:import namespace="e87da1de-a71a-47c7-a66f-ad472f6624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b98d6-e914-4c2e-b163-40650dcd10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da1de-a71a-47c7-a66f-ad472f6624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D05D-8A7D-4C9D-97A7-DB6435DBC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8AACE-DFE3-4ECB-BB3D-B70944DD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b98d6-e914-4c2e-b163-40650dcd1089"/>
    <ds:schemaRef ds:uri="e87da1de-a71a-47c7-a66f-ad472f66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0FF85-31AF-4AC0-BFBF-129E3CFB80E7}">
  <ds:schemaRefs>
    <ds:schemaRef ds:uri="http://schemas.microsoft.com/sharepoint/v3/contenttype/forms"/>
  </ds:schemaRefs>
</ds:datastoreItem>
</file>

<file path=customXml/itemProps4.xml><?xml version="1.0" encoding="utf-8"?>
<ds:datastoreItem xmlns:ds="http://schemas.openxmlformats.org/officeDocument/2006/customXml" ds:itemID="{17470DFF-8CA4-48C4-96A3-ABE77622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37</Pages>
  <Words>10271</Words>
  <Characters>56705</Characters>
  <Application>Microsoft Office Word</Application>
  <DocSecurity>0</DocSecurity>
  <PresentationFormat/>
  <Lines>472</Lines>
  <Paragraphs>133</Paragraphs>
  <ScaleCrop>false</ScaleCrop>
  <HeadingPairs>
    <vt:vector size="2" baseType="variant">
      <vt:variant>
        <vt:lpstr>Title</vt:lpstr>
      </vt:variant>
      <vt:variant>
        <vt:i4>1</vt:i4>
      </vt:variant>
    </vt:vector>
  </HeadingPairs>
  <TitlesOfParts>
    <vt:vector size="1" baseType="lpstr">
      <vt:lpstr>Higher Education Provider Guidelines 2012 (P20PU528)</vt:lpstr>
    </vt:vector>
  </TitlesOfParts>
  <Manager/>
  <Company/>
  <LinksUpToDate>false</LinksUpToDate>
  <CharactersWithSpaces>66843</CharactersWithSpaces>
  <SharedDoc>false</SharedDoc>
  <HyperlinkBase/>
  <HLinks>
    <vt:vector size="48" baseType="variant">
      <vt:variant>
        <vt:i4>6160468</vt:i4>
      </vt:variant>
      <vt:variant>
        <vt:i4>45</vt:i4>
      </vt:variant>
      <vt:variant>
        <vt:i4>0</vt:i4>
      </vt:variant>
      <vt:variant>
        <vt:i4>5</vt:i4>
      </vt:variant>
      <vt:variant>
        <vt:lpwstr>http://www.comlaw.gov.au/</vt:lpwstr>
      </vt:variant>
      <vt:variant>
        <vt:lpwstr/>
      </vt:variant>
      <vt:variant>
        <vt:i4>1572927</vt:i4>
      </vt:variant>
      <vt:variant>
        <vt:i4>38</vt:i4>
      </vt:variant>
      <vt:variant>
        <vt:i4>0</vt:i4>
      </vt:variant>
      <vt:variant>
        <vt:i4>5</vt:i4>
      </vt:variant>
      <vt:variant>
        <vt:lpwstr/>
      </vt:variant>
      <vt:variant>
        <vt:lpwstr>_Toc330982478</vt:lpwstr>
      </vt:variant>
      <vt:variant>
        <vt:i4>1572927</vt:i4>
      </vt:variant>
      <vt:variant>
        <vt:i4>32</vt:i4>
      </vt:variant>
      <vt:variant>
        <vt:i4>0</vt:i4>
      </vt:variant>
      <vt:variant>
        <vt:i4>5</vt:i4>
      </vt:variant>
      <vt:variant>
        <vt:lpwstr/>
      </vt:variant>
      <vt:variant>
        <vt:lpwstr>_Toc330982477</vt:lpwstr>
      </vt:variant>
      <vt:variant>
        <vt:i4>1572927</vt:i4>
      </vt:variant>
      <vt:variant>
        <vt:i4>26</vt:i4>
      </vt:variant>
      <vt:variant>
        <vt:i4>0</vt:i4>
      </vt:variant>
      <vt:variant>
        <vt:i4>5</vt:i4>
      </vt:variant>
      <vt:variant>
        <vt:lpwstr/>
      </vt:variant>
      <vt:variant>
        <vt:lpwstr>_Toc330982476</vt:lpwstr>
      </vt:variant>
      <vt:variant>
        <vt:i4>1572927</vt:i4>
      </vt:variant>
      <vt:variant>
        <vt:i4>20</vt:i4>
      </vt:variant>
      <vt:variant>
        <vt:i4>0</vt:i4>
      </vt:variant>
      <vt:variant>
        <vt:i4>5</vt:i4>
      </vt:variant>
      <vt:variant>
        <vt:lpwstr/>
      </vt:variant>
      <vt:variant>
        <vt:lpwstr>_Toc330982475</vt:lpwstr>
      </vt:variant>
      <vt:variant>
        <vt:i4>1572927</vt:i4>
      </vt:variant>
      <vt:variant>
        <vt:i4>14</vt:i4>
      </vt:variant>
      <vt:variant>
        <vt:i4>0</vt:i4>
      </vt:variant>
      <vt:variant>
        <vt:i4>5</vt:i4>
      </vt:variant>
      <vt:variant>
        <vt:lpwstr/>
      </vt:variant>
      <vt:variant>
        <vt:lpwstr>_Toc330982474</vt:lpwstr>
      </vt:variant>
      <vt:variant>
        <vt:i4>1572927</vt:i4>
      </vt:variant>
      <vt:variant>
        <vt:i4>8</vt:i4>
      </vt:variant>
      <vt:variant>
        <vt:i4>0</vt:i4>
      </vt:variant>
      <vt:variant>
        <vt:i4>5</vt:i4>
      </vt:variant>
      <vt:variant>
        <vt:lpwstr/>
      </vt:variant>
      <vt:variant>
        <vt:lpwstr>_Toc330982473</vt:lpwstr>
      </vt:variant>
      <vt:variant>
        <vt:i4>1572927</vt:i4>
      </vt:variant>
      <vt:variant>
        <vt:i4>2</vt:i4>
      </vt:variant>
      <vt:variant>
        <vt:i4>0</vt:i4>
      </vt:variant>
      <vt:variant>
        <vt:i4>5</vt:i4>
      </vt:variant>
      <vt:variant>
        <vt:lpwstr/>
      </vt:variant>
      <vt:variant>
        <vt:lpwstr>_Toc330982472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Provider Guidelines 2012 (P20PU528)</dc:title>
  <dc:subject/>
  <dc:creator/>
  <cp:keywords/>
  <dc:description/>
  <cp:lastModifiedBy/>
  <cp:revision>1</cp:revision>
  <cp:lastPrinted>2012-09-20T07:02:00Z</cp:lastPrinted>
  <dcterms:created xsi:type="dcterms:W3CDTF">2022-03-23T22:49:00Z</dcterms:created>
  <dcterms:modified xsi:type="dcterms:W3CDTF">2022-04-26T04:39:00Z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verted">
    <vt:bool>false</vt:bool>
  </property>
  <property fmtid="{D5CDD505-2E9C-101B-9397-08002B2CF9AE}" pid="7" name="Classification">
    <vt:lpwstr>UNCLASSIFIED</vt:lpwstr>
  </property>
  <property fmtid="{D5CDD505-2E9C-101B-9397-08002B2CF9AE}" pid="8" name="DLM">
    <vt:lpwstr>No DLM</vt:lpwstr>
  </property>
  <property fmtid="{D5CDD505-2E9C-101B-9397-08002B2CF9AE}" pid="9" name="ShortT">
    <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hangedTitle">
    <vt:lpwstr>Higher Education Provider Guidelines 2012 (P20PU528)</vt:lpwstr>
  </property>
  <property fmtid="{D5CDD505-2E9C-101B-9397-08002B2CF9AE}" pid="15" name="DoNotAsk">
    <vt:lpwstr>1</vt:lpwstr>
  </property>
  <property fmtid="{D5CDD505-2E9C-101B-9397-08002B2CF9AE}" pid="16" name="ContentTypeId">
    <vt:lpwstr>0x010100F8D85768D508A24CAD61180A9474A194</vt:lpwstr>
  </property>
  <property fmtid="{D5CDD505-2E9C-101B-9397-08002B2CF9AE}" pid="17" name="MSIP_Label_79d889eb-932f-4752-8739-64d25806ef64_Enabled">
    <vt:lpwstr>true</vt:lpwstr>
  </property>
  <property fmtid="{D5CDD505-2E9C-101B-9397-08002B2CF9AE}" pid="18" name="MSIP_Label_79d889eb-932f-4752-8739-64d25806ef64_SetDate">
    <vt:lpwstr>2022-04-22T04:53:28Z</vt:lpwstr>
  </property>
  <property fmtid="{D5CDD505-2E9C-101B-9397-08002B2CF9AE}" pid="19" name="MSIP_Label_79d889eb-932f-4752-8739-64d25806ef64_Method">
    <vt:lpwstr>Privileged</vt:lpwstr>
  </property>
  <property fmtid="{D5CDD505-2E9C-101B-9397-08002B2CF9AE}" pid="20" name="MSIP_Label_79d889eb-932f-4752-8739-64d25806ef64_Name">
    <vt:lpwstr>79d889eb-932f-4752-8739-64d25806ef64</vt:lpwstr>
  </property>
  <property fmtid="{D5CDD505-2E9C-101B-9397-08002B2CF9AE}" pid="21" name="MSIP_Label_79d889eb-932f-4752-8739-64d25806ef64_SiteId">
    <vt:lpwstr>dd0cfd15-4558-4b12-8bad-ea26984fc417</vt:lpwstr>
  </property>
  <property fmtid="{D5CDD505-2E9C-101B-9397-08002B2CF9AE}" pid="22" name="MSIP_Label_79d889eb-932f-4752-8739-64d25806ef64_ActionId">
    <vt:lpwstr>c7584149-2905-4682-857d-b6d972abef8c</vt:lpwstr>
  </property>
  <property fmtid="{D5CDD505-2E9C-101B-9397-08002B2CF9AE}" pid="23" name="MSIP_Label_79d889eb-932f-4752-8739-64d25806ef64_ContentBits">
    <vt:lpwstr>0</vt:lpwstr>
  </property>
</Properties>
</file>