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AF" w:rsidRDefault="004732AF" w:rsidP="004732AF">
      <w:pPr>
        <w:pStyle w:val="Heading4"/>
        <w:rPr>
          <w:sz w:val="24"/>
          <w:szCs w:val="24"/>
        </w:rPr>
      </w:pPr>
      <w:r w:rsidRPr="001158E9">
        <w:rPr>
          <w:sz w:val="24"/>
          <w:szCs w:val="24"/>
        </w:rPr>
        <w:t>EXPLANATORY STATEMENT</w:t>
      </w:r>
    </w:p>
    <w:p w:rsidR="006060EB" w:rsidRPr="00E17333" w:rsidRDefault="006060EB" w:rsidP="004732AF">
      <w:pPr>
        <w:pStyle w:val="Heading4"/>
        <w:rPr>
          <w:b w:val="0"/>
          <w:i/>
          <w:sz w:val="24"/>
          <w:szCs w:val="24"/>
        </w:rPr>
      </w:pPr>
      <w:r w:rsidRPr="00E17333">
        <w:rPr>
          <w:b w:val="0"/>
          <w:i/>
          <w:sz w:val="24"/>
          <w:szCs w:val="24"/>
        </w:rPr>
        <w:t>National Health Act 1953</w:t>
      </w:r>
    </w:p>
    <w:p w:rsidR="004732AF" w:rsidRPr="00E17333" w:rsidRDefault="006060EB" w:rsidP="00322E3A">
      <w:pPr>
        <w:pStyle w:val="Heading4"/>
        <w:rPr>
          <w:i/>
          <w:sz w:val="24"/>
          <w:szCs w:val="24"/>
        </w:rPr>
      </w:pPr>
      <w:r w:rsidRPr="00E17333">
        <w:rPr>
          <w:i/>
          <w:sz w:val="24"/>
          <w:szCs w:val="24"/>
        </w:rPr>
        <w:t>National Health (Remote Aboriginal Health Services Program</w:t>
      </w:r>
      <w:r w:rsidR="004732AF" w:rsidRPr="00E17333">
        <w:rPr>
          <w:i/>
          <w:sz w:val="24"/>
          <w:szCs w:val="24"/>
        </w:rPr>
        <w:t xml:space="preserve">) </w:t>
      </w:r>
      <w:r w:rsidRPr="00E17333">
        <w:rPr>
          <w:i/>
          <w:sz w:val="24"/>
          <w:szCs w:val="24"/>
        </w:rPr>
        <w:t>Special Arrangements Amendment Instrument 201</w:t>
      </w:r>
      <w:r w:rsidR="008A0856" w:rsidRPr="00E17333">
        <w:rPr>
          <w:i/>
          <w:sz w:val="24"/>
          <w:szCs w:val="24"/>
        </w:rPr>
        <w:t xml:space="preserve">2 (No. </w:t>
      </w:r>
      <w:r w:rsidR="00AE5D89">
        <w:rPr>
          <w:i/>
          <w:sz w:val="24"/>
          <w:szCs w:val="24"/>
        </w:rPr>
        <w:t>3</w:t>
      </w:r>
      <w:r w:rsidR="004732AF" w:rsidRPr="00E17333">
        <w:rPr>
          <w:i/>
          <w:sz w:val="24"/>
          <w:szCs w:val="24"/>
        </w:rPr>
        <w:t>)</w:t>
      </w:r>
    </w:p>
    <w:p w:rsidR="004732AF" w:rsidRPr="001158E9" w:rsidRDefault="004732AF" w:rsidP="004732AF">
      <w:pPr>
        <w:pStyle w:val="Heading4"/>
        <w:rPr>
          <w:sz w:val="24"/>
          <w:szCs w:val="24"/>
        </w:rPr>
      </w:pPr>
      <w:r w:rsidRPr="001158E9">
        <w:rPr>
          <w:sz w:val="24"/>
          <w:szCs w:val="24"/>
        </w:rPr>
        <w:t>PB </w:t>
      </w:r>
      <w:r w:rsidR="0045043E">
        <w:rPr>
          <w:sz w:val="24"/>
          <w:szCs w:val="24"/>
        </w:rPr>
        <w:t xml:space="preserve">102 </w:t>
      </w:r>
      <w:r w:rsidRPr="001158E9">
        <w:rPr>
          <w:sz w:val="24"/>
          <w:szCs w:val="24"/>
        </w:rPr>
        <w:t>of 20</w:t>
      </w:r>
      <w:r w:rsidR="003D4D89">
        <w:rPr>
          <w:sz w:val="24"/>
          <w:szCs w:val="24"/>
        </w:rPr>
        <w:t>12</w:t>
      </w:r>
    </w:p>
    <w:p w:rsidR="004732AF" w:rsidRDefault="004732AF" w:rsidP="004732AF">
      <w:pPr>
        <w:pStyle w:val="Heading6"/>
        <w:rPr>
          <w:sz w:val="24"/>
          <w:szCs w:val="24"/>
        </w:rPr>
      </w:pPr>
    </w:p>
    <w:p w:rsidR="0063015A" w:rsidRPr="0063015A" w:rsidRDefault="0063015A" w:rsidP="00636512">
      <w:pPr>
        <w:keepNext/>
        <w:keepLines/>
        <w:widowControl/>
        <w:suppressAutoHyphens/>
        <w:spacing w:before="240" w:after="60"/>
        <w:rPr>
          <w:rFonts w:ascii="Times New Roman" w:hAnsi="Times New Roman"/>
          <w:b/>
          <w:snapToGrid/>
          <w:szCs w:val="24"/>
          <w:lang w:val="en-AU" w:eastAsia="en-AU"/>
        </w:rPr>
      </w:pPr>
      <w:r w:rsidRPr="0063015A">
        <w:rPr>
          <w:rFonts w:ascii="Times New Roman" w:hAnsi="Times New Roman"/>
          <w:b/>
          <w:snapToGrid/>
          <w:szCs w:val="24"/>
          <w:lang w:val="en-AU" w:eastAsia="en-AU"/>
        </w:rPr>
        <w:t>Authority</w:t>
      </w:r>
    </w:p>
    <w:p w:rsidR="0063015A" w:rsidRPr="0063015A" w:rsidRDefault="0063015A" w:rsidP="00E17333">
      <w:pPr>
        <w:widowControl/>
        <w:spacing w:after="120"/>
        <w:rPr>
          <w:rFonts w:ascii="Times New Roman" w:hAnsi="Times New Roman"/>
          <w:snapToGrid/>
          <w:szCs w:val="24"/>
          <w:lang w:val="en-AU"/>
        </w:rPr>
      </w:pPr>
      <w:r w:rsidRPr="0063015A">
        <w:rPr>
          <w:rFonts w:ascii="Times New Roman" w:hAnsi="Times New Roman"/>
          <w:snapToGrid/>
          <w:szCs w:val="24"/>
          <w:lang w:val="en-AU"/>
        </w:rPr>
        <w:t>Subsection</w:t>
      </w:r>
      <w:r w:rsidR="00E17333">
        <w:rPr>
          <w:rFonts w:ascii="Times New Roman" w:hAnsi="Times New Roman"/>
          <w:snapToGrid/>
          <w:szCs w:val="24"/>
          <w:lang w:val="en-AU"/>
        </w:rPr>
        <w:t> </w:t>
      </w:r>
      <w:r w:rsidRPr="0063015A">
        <w:rPr>
          <w:rFonts w:ascii="Times New Roman" w:hAnsi="Times New Roman"/>
          <w:snapToGrid/>
          <w:szCs w:val="24"/>
          <w:lang w:val="en-AU"/>
        </w:rPr>
        <w:t xml:space="preserve">100(1) of the </w:t>
      </w:r>
      <w:r w:rsidRPr="0063015A">
        <w:rPr>
          <w:rFonts w:ascii="Times New Roman" w:hAnsi="Times New Roman"/>
          <w:i/>
          <w:snapToGrid/>
          <w:szCs w:val="24"/>
          <w:lang w:val="en-AU"/>
        </w:rPr>
        <w:t>National Health Act 1953</w:t>
      </w:r>
      <w:r w:rsidRPr="0063015A">
        <w:rPr>
          <w:rFonts w:ascii="Times New Roman" w:hAnsi="Times New Roman"/>
          <w:snapToGrid/>
          <w:szCs w:val="24"/>
          <w:lang w:val="en-AU"/>
        </w:rPr>
        <w:t xml:space="preserve"> (the Act) enables the Minister to make special arrangements for the supply of pharmaceutical benefits.</w:t>
      </w:r>
      <w:r w:rsidR="003D4D89">
        <w:rPr>
          <w:rFonts w:ascii="Times New Roman" w:hAnsi="Times New Roman"/>
          <w:snapToGrid/>
          <w:szCs w:val="24"/>
          <w:lang w:val="en-AU"/>
        </w:rPr>
        <w:t xml:space="preserve"> </w:t>
      </w:r>
      <w:r w:rsidRPr="0063015A">
        <w:rPr>
          <w:rFonts w:ascii="Times New Roman" w:hAnsi="Times New Roman"/>
          <w:snapToGrid/>
          <w:szCs w:val="24"/>
          <w:lang w:val="en-AU"/>
        </w:rPr>
        <w:t xml:space="preserve"> Subsection</w:t>
      </w:r>
      <w:r w:rsidR="00E17333">
        <w:rPr>
          <w:rFonts w:ascii="Times New Roman" w:hAnsi="Times New Roman"/>
          <w:snapToGrid/>
          <w:szCs w:val="24"/>
          <w:lang w:val="en-AU"/>
        </w:rPr>
        <w:t> </w:t>
      </w:r>
      <w:r w:rsidRPr="0063015A">
        <w:rPr>
          <w:rFonts w:ascii="Times New Roman" w:hAnsi="Times New Roman"/>
          <w:snapToGrid/>
          <w:szCs w:val="24"/>
          <w:lang w:val="en-AU"/>
        </w:rPr>
        <w:t>100(2) of the Act provides that the Minister may vary or revoke a special arrangement made under subsection</w:t>
      </w:r>
      <w:r w:rsidR="00E17333">
        <w:rPr>
          <w:rFonts w:ascii="Times New Roman" w:hAnsi="Times New Roman"/>
          <w:snapToGrid/>
          <w:szCs w:val="24"/>
          <w:lang w:val="en-AU"/>
        </w:rPr>
        <w:t> </w:t>
      </w:r>
      <w:r w:rsidRPr="0063015A">
        <w:rPr>
          <w:rFonts w:ascii="Times New Roman" w:hAnsi="Times New Roman"/>
          <w:snapToGrid/>
          <w:szCs w:val="24"/>
          <w:lang w:val="en-AU"/>
        </w:rPr>
        <w:t xml:space="preserve">100(1). </w:t>
      </w:r>
    </w:p>
    <w:p w:rsidR="0063015A" w:rsidRPr="0063015A" w:rsidRDefault="0063015A" w:rsidP="008442AE">
      <w:pPr>
        <w:widowControl/>
        <w:spacing w:after="120"/>
        <w:rPr>
          <w:rFonts w:ascii="Times New Roman" w:hAnsi="Times New Roman"/>
          <w:snapToGrid/>
          <w:szCs w:val="24"/>
          <w:lang w:val="en-AU"/>
        </w:rPr>
      </w:pPr>
      <w:r w:rsidRPr="0063015A">
        <w:rPr>
          <w:rFonts w:ascii="Times New Roman" w:hAnsi="Times New Roman"/>
          <w:snapToGrid/>
          <w:szCs w:val="24"/>
          <w:lang w:val="en-AU"/>
        </w:rPr>
        <w:t>Subsection</w:t>
      </w:r>
      <w:r w:rsidR="00E17333">
        <w:rPr>
          <w:rFonts w:ascii="Times New Roman" w:hAnsi="Times New Roman"/>
          <w:snapToGrid/>
          <w:szCs w:val="24"/>
          <w:lang w:val="en-AU"/>
        </w:rPr>
        <w:t> </w:t>
      </w:r>
      <w:r w:rsidRPr="0063015A">
        <w:rPr>
          <w:rFonts w:ascii="Times New Roman" w:hAnsi="Times New Roman"/>
          <w:snapToGrid/>
          <w:szCs w:val="24"/>
          <w:lang w:val="en-AU"/>
        </w:rPr>
        <w:t>100(3) of the Act provides that Part</w:t>
      </w:r>
      <w:r w:rsidR="00E17333">
        <w:rPr>
          <w:rFonts w:ascii="Times New Roman" w:hAnsi="Times New Roman"/>
          <w:snapToGrid/>
          <w:szCs w:val="24"/>
          <w:lang w:val="en-AU"/>
        </w:rPr>
        <w:t> </w:t>
      </w:r>
      <w:r w:rsidRPr="0063015A">
        <w:rPr>
          <w:rFonts w:ascii="Times New Roman" w:hAnsi="Times New Roman"/>
          <w:snapToGrid/>
          <w:szCs w:val="24"/>
          <w:lang w:val="en-AU"/>
        </w:rPr>
        <w:t>VII of the Act, and instruments made for the purposes of Part</w:t>
      </w:r>
      <w:r w:rsidR="00E17333">
        <w:rPr>
          <w:rFonts w:ascii="Times New Roman" w:hAnsi="Times New Roman"/>
          <w:snapToGrid/>
          <w:szCs w:val="24"/>
          <w:lang w:val="en-AU"/>
        </w:rPr>
        <w:t> </w:t>
      </w:r>
      <w:r w:rsidRPr="0063015A">
        <w:rPr>
          <w:rFonts w:ascii="Times New Roman" w:hAnsi="Times New Roman"/>
          <w:snapToGrid/>
          <w:szCs w:val="24"/>
          <w:lang w:val="en-AU"/>
        </w:rPr>
        <w:t>VII of the Act, have effect subject to a special arrangement made under subsection</w:t>
      </w:r>
      <w:r w:rsidR="00E17333">
        <w:rPr>
          <w:rFonts w:ascii="Times New Roman" w:hAnsi="Times New Roman"/>
          <w:snapToGrid/>
          <w:szCs w:val="24"/>
          <w:lang w:val="en-AU"/>
        </w:rPr>
        <w:t> </w:t>
      </w:r>
      <w:r w:rsidRPr="0063015A">
        <w:rPr>
          <w:rFonts w:ascii="Times New Roman" w:hAnsi="Times New Roman"/>
          <w:snapToGrid/>
          <w:szCs w:val="24"/>
          <w:lang w:val="en-AU"/>
        </w:rPr>
        <w:t xml:space="preserve">100(1). </w:t>
      </w:r>
    </w:p>
    <w:p w:rsidR="0063015A" w:rsidRPr="0063015A" w:rsidRDefault="0063015A" w:rsidP="00636512">
      <w:pPr>
        <w:keepNext/>
        <w:keepLines/>
        <w:widowControl/>
        <w:suppressAutoHyphens/>
        <w:spacing w:before="240" w:after="60"/>
        <w:rPr>
          <w:rFonts w:ascii="Times New Roman" w:hAnsi="Times New Roman"/>
          <w:b/>
          <w:snapToGrid/>
          <w:szCs w:val="24"/>
          <w:lang w:val="en-AU" w:eastAsia="en-AU"/>
        </w:rPr>
      </w:pPr>
      <w:r w:rsidRPr="0063015A">
        <w:rPr>
          <w:rFonts w:ascii="Times New Roman" w:hAnsi="Times New Roman"/>
          <w:b/>
          <w:snapToGrid/>
          <w:szCs w:val="24"/>
          <w:lang w:val="en-AU" w:eastAsia="en-AU"/>
        </w:rPr>
        <w:t xml:space="preserve">Purpose </w:t>
      </w:r>
    </w:p>
    <w:p w:rsidR="0045043E" w:rsidRDefault="0063015A" w:rsidP="009F7C60">
      <w:pPr>
        <w:widowControl/>
        <w:spacing w:after="120"/>
        <w:rPr>
          <w:rFonts w:ascii="Times New Roman" w:hAnsi="Times New Roman"/>
          <w:bCs/>
          <w:snapToGrid/>
          <w:szCs w:val="24"/>
          <w:lang w:val="en-AU" w:eastAsia="en-AU"/>
        </w:rPr>
      </w:pPr>
      <w:r w:rsidRPr="00023CE7">
        <w:rPr>
          <w:rFonts w:ascii="Times New Roman" w:hAnsi="Times New Roman"/>
          <w:snapToGrid/>
          <w:szCs w:val="24"/>
          <w:lang w:val="en-AU"/>
        </w:rPr>
        <w:t xml:space="preserve">The </w:t>
      </w:r>
      <w:r w:rsidRPr="00023CE7">
        <w:rPr>
          <w:rFonts w:ascii="Times New Roman" w:hAnsi="Times New Roman"/>
          <w:i/>
        </w:rPr>
        <w:t>National Health (Remote Aboriginal Health Services Program) Special Arrangements Instrument 2010</w:t>
      </w:r>
      <w:r w:rsidRPr="00023CE7">
        <w:rPr>
          <w:rFonts w:ascii="Times New Roman" w:hAnsi="Times New Roman"/>
        </w:rPr>
        <w:t xml:space="preserve"> (PB 65 of 2010)</w:t>
      </w:r>
      <w:r w:rsidRPr="00023CE7">
        <w:rPr>
          <w:rFonts w:ascii="Times New Roman" w:hAnsi="Times New Roman"/>
          <w:snapToGrid/>
          <w:szCs w:val="24"/>
          <w:lang w:val="en-AU"/>
        </w:rPr>
        <w:t xml:space="preserve"> (the Special Arrangement), </w:t>
      </w:r>
      <w:r w:rsidR="001B0EB8" w:rsidRPr="001B0EB8">
        <w:rPr>
          <w:rFonts w:ascii="Times New Roman" w:hAnsi="Times New Roman"/>
          <w:snapToGrid/>
          <w:szCs w:val="24"/>
          <w:lang w:val="en-AU"/>
        </w:rPr>
        <w:t xml:space="preserve">makes special arrangements for the supply </w:t>
      </w:r>
      <w:r w:rsidR="00636512">
        <w:rPr>
          <w:rFonts w:ascii="Times New Roman" w:hAnsi="Times New Roman"/>
          <w:snapToGrid/>
          <w:szCs w:val="24"/>
          <w:lang w:val="en-AU"/>
        </w:rPr>
        <w:t xml:space="preserve">of </w:t>
      </w:r>
      <w:r w:rsidR="001B0EB8" w:rsidRPr="001B0EB8">
        <w:rPr>
          <w:rFonts w:ascii="Times New Roman" w:hAnsi="Times New Roman"/>
          <w:snapToGrid/>
          <w:szCs w:val="24"/>
          <w:lang w:val="en-AU"/>
        </w:rPr>
        <w:t>Pharmaceutical Benefits Scheme (PBS) medicines to remote Aboriginal Health Services</w:t>
      </w:r>
      <w:r w:rsidR="001B0EB8">
        <w:rPr>
          <w:rFonts w:ascii="Times New Roman" w:hAnsi="Times New Roman"/>
          <w:snapToGrid/>
          <w:szCs w:val="24"/>
          <w:lang w:val="en-AU"/>
        </w:rPr>
        <w:t xml:space="preserve">.  </w:t>
      </w:r>
      <w:r w:rsidR="001B0EB8" w:rsidRPr="009F7C60">
        <w:rPr>
          <w:rFonts w:ascii="Times New Roman" w:hAnsi="Times New Roman"/>
          <w:snapToGrid/>
          <w:szCs w:val="24"/>
          <w:lang w:val="en-AU"/>
        </w:rPr>
        <w:t>S</w:t>
      </w:r>
      <w:r w:rsidR="0045043E" w:rsidRPr="009F7C60">
        <w:rPr>
          <w:rFonts w:ascii="Times New Roman" w:hAnsi="Times New Roman"/>
          <w:bCs/>
          <w:snapToGrid/>
          <w:szCs w:val="24"/>
          <w:lang w:val="en-AU" w:eastAsia="en-AU"/>
        </w:rPr>
        <w:t xml:space="preserve">ection 5 </w:t>
      </w:r>
      <w:r w:rsidR="009F7C60">
        <w:rPr>
          <w:rFonts w:ascii="Times New Roman" w:hAnsi="Times New Roman"/>
          <w:bCs/>
          <w:snapToGrid/>
          <w:szCs w:val="24"/>
          <w:lang w:val="en-AU" w:eastAsia="en-AU"/>
        </w:rPr>
        <w:t xml:space="preserve">of PB 65 of 2010 </w:t>
      </w:r>
      <w:r w:rsidR="0045043E" w:rsidRPr="009F7C60">
        <w:rPr>
          <w:rFonts w:ascii="Times New Roman" w:hAnsi="Times New Roman"/>
          <w:bCs/>
          <w:snapToGrid/>
          <w:szCs w:val="24"/>
          <w:lang w:val="en-AU" w:eastAsia="en-AU"/>
        </w:rPr>
        <w:t>sets out the pharmaceutical benefits that are available under the Special Arrangement</w:t>
      </w:r>
      <w:r w:rsidR="009F7C60">
        <w:rPr>
          <w:rFonts w:ascii="Times New Roman" w:hAnsi="Times New Roman"/>
          <w:bCs/>
          <w:snapToGrid/>
          <w:szCs w:val="24"/>
          <w:lang w:val="en-AU" w:eastAsia="en-AU"/>
        </w:rPr>
        <w:t>; s</w:t>
      </w:r>
      <w:r w:rsidR="0045043E" w:rsidRPr="009F7C60">
        <w:rPr>
          <w:rFonts w:ascii="Times New Roman" w:hAnsi="Times New Roman"/>
          <w:bCs/>
          <w:snapToGrid/>
          <w:szCs w:val="24"/>
          <w:lang w:val="en-AU" w:eastAsia="en-AU"/>
        </w:rPr>
        <w:t>ection 9 provides for payments to approved pharmacists and approved hospital authorities who supply pharmaceutical benefits to Aboriginal Health Services under the Special Arrangement.</w:t>
      </w:r>
    </w:p>
    <w:p w:rsidR="00AE5D89" w:rsidRDefault="00AE5D89" w:rsidP="00AE5D89">
      <w:pPr>
        <w:widowControl/>
        <w:spacing w:after="120"/>
        <w:rPr>
          <w:rFonts w:ascii="Times New Roman" w:hAnsi="Times New Roman"/>
          <w:snapToGrid/>
          <w:szCs w:val="24"/>
          <w:lang w:val="en-AU"/>
        </w:rPr>
      </w:pPr>
      <w:r w:rsidRPr="00AE5D89">
        <w:rPr>
          <w:rFonts w:ascii="Times New Roman" w:hAnsi="Times New Roman"/>
          <w:snapToGrid/>
          <w:szCs w:val="24"/>
          <w:lang w:val="en-AU"/>
        </w:rPr>
        <w:t xml:space="preserve">This </w:t>
      </w:r>
      <w:r w:rsidR="009F7C60">
        <w:rPr>
          <w:rFonts w:ascii="Times New Roman" w:hAnsi="Times New Roman"/>
          <w:snapToGrid/>
          <w:szCs w:val="24"/>
          <w:lang w:val="en-AU"/>
        </w:rPr>
        <w:t>Amendment I</w:t>
      </w:r>
      <w:r w:rsidRPr="00AE5D89">
        <w:rPr>
          <w:rFonts w:ascii="Times New Roman" w:hAnsi="Times New Roman"/>
          <w:snapToGrid/>
          <w:szCs w:val="24"/>
          <w:lang w:val="en-AU"/>
        </w:rPr>
        <w:t>nstrument</w:t>
      </w:r>
      <w:r>
        <w:rPr>
          <w:rFonts w:ascii="Times New Roman" w:hAnsi="Times New Roman"/>
          <w:snapToGrid/>
          <w:szCs w:val="24"/>
          <w:lang w:val="en-AU"/>
        </w:rPr>
        <w:t xml:space="preserve"> i</w:t>
      </w:r>
      <w:r w:rsidRPr="00AE5D89">
        <w:rPr>
          <w:rFonts w:ascii="Times New Roman" w:hAnsi="Times New Roman"/>
          <w:snapToGrid/>
          <w:szCs w:val="24"/>
          <w:lang w:val="en-AU"/>
        </w:rPr>
        <w:t xml:space="preserve">nserts </w:t>
      </w:r>
      <w:r>
        <w:rPr>
          <w:rFonts w:ascii="Times New Roman" w:hAnsi="Times New Roman"/>
          <w:snapToGrid/>
          <w:szCs w:val="24"/>
          <w:lang w:val="en-AU"/>
        </w:rPr>
        <w:t xml:space="preserve">headings </w:t>
      </w:r>
      <w:r w:rsidR="00341F98">
        <w:rPr>
          <w:rFonts w:ascii="Times New Roman" w:hAnsi="Times New Roman"/>
          <w:snapToGrid/>
          <w:szCs w:val="24"/>
          <w:lang w:val="en-AU"/>
        </w:rPr>
        <w:t>for s</w:t>
      </w:r>
      <w:r w:rsidRPr="00AE5D89">
        <w:rPr>
          <w:rFonts w:ascii="Times New Roman" w:hAnsi="Times New Roman"/>
          <w:snapToGrid/>
          <w:szCs w:val="24"/>
          <w:lang w:val="en-AU"/>
        </w:rPr>
        <w:t>ection</w:t>
      </w:r>
      <w:r w:rsidR="0045043E">
        <w:rPr>
          <w:rFonts w:ascii="Times New Roman" w:hAnsi="Times New Roman"/>
          <w:snapToGrid/>
          <w:szCs w:val="24"/>
          <w:lang w:val="en-AU"/>
        </w:rPr>
        <w:t> </w:t>
      </w:r>
      <w:r>
        <w:rPr>
          <w:rFonts w:ascii="Times New Roman" w:hAnsi="Times New Roman"/>
          <w:snapToGrid/>
          <w:szCs w:val="24"/>
          <w:lang w:val="en-AU"/>
        </w:rPr>
        <w:t xml:space="preserve">5 </w:t>
      </w:r>
      <w:r w:rsidR="00341F98">
        <w:rPr>
          <w:rFonts w:ascii="Times New Roman" w:hAnsi="Times New Roman"/>
          <w:snapToGrid/>
          <w:szCs w:val="24"/>
          <w:lang w:val="en-AU"/>
        </w:rPr>
        <w:t>and s</w:t>
      </w:r>
      <w:r w:rsidRPr="00AE5D89">
        <w:rPr>
          <w:rFonts w:ascii="Times New Roman" w:hAnsi="Times New Roman"/>
          <w:snapToGrid/>
          <w:szCs w:val="24"/>
          <w:lang w:val="en-AU"/>
        </w:rPr>
        <w:t>ection</w:t>
      </w:r>
      <w:r w:rsidR="0045043E">
        <w:rPr>
          <w:rFonts w:ascii="Times New Roman" w:hAnsi="Times New Roman"/>
          <w:snapToGrid/>
          <w:szCs w:val="24"/>
          <w:lang w:val="en-AU"/>
        </w:rPr>
        <w:t> </w:t>
      </w:r>
      <w:r>
        <w:rPr>
          <w:rFonts w:ascii="Times New Roman" w:hAnsi="Times New Roman"/>
          <w:snapToGrid/>
          <w:szCs w:val="24"/>
          <w:lang w:val="en-AU"/>
        </w:rPr>
        <w:t>9</w:t>
      </w:r>
      <w:r w:rsidRPr="00AE5D89">
        <w:rPr>
          <w:rFonts w:ascii="Times New Roman" w:hAnsi="Times New Roman"/>
          <w:snapToGrid/>
          <w:szCs w:val="24"/>
          <w:lang w:val="en-AU"/>
        </w:rPr>
        <w:t xml:space="preserve"> </w:t>
      </w:r>
      <w:r w:rsidR="0045043E">
        <w:rPr>
          <w:rFonts w:ascii="Times New Roman" w:hAnsi="Times New Roman"/>
          <w:snapToGrid/>
          <w:szCs w:val="24"/>
          <w:lang w:val="en-AU"/>
        </w:rPr>
        <w:t xml:space="preserve">to reinstate the headings as they had appeared prior to being </w:t>
      </w:r>
      <w:r w:rsidRPr="00AE5D89">
        <w:rPr>
          <w:rFonts w:ascii="Times New Roman" w:hAnsi="Times New Roman"/>
          <w:snapToGrid/>
          <w:szCs w:val="24"/>
          <w:lang w:val="en-AU"/>
        </w:rPr>
        <w:t xml:space="preserve">inadvertently omitted </w:t>
      </w:r>
      <w:r w:rsidR="0045043E">
        <w:rPr>
          <w:rFonts w:ascii="Times New Roman" w:hAnsi="Times New Roman"/>
          <w:snapToGrid/>
          <w:szCs w:val="24"/>
          <w:lang w:val="en-AU"/>
        </w:rPr>
        <w:t xml:space="preserve">from PB 65 of 2010 </w:t>
      </w:r>
      <w:r>
        <w:rPr>
          <w:rFonts w:ascii="Times New Roman" w:hAnsi="Times New Roman"/>
          <w:snapToGrid/>
          <w:szCs w:val="24"/>
          <w:lang w:val="en-AU"/>
        </w:rPr>
        <w:t xml:space="preserve">by </w:t>
      </w:r>
      <w:r w:rsidRPr="00AE5D89">
        <w:rPr>
          <w:rFonts w:ascii="Times New Roman" w:hAnsi="Times New Roman"/>
          <w:snapToGrid/>
          <w:szCs w:val="24"/>
          <w:lang w:val="en-AU"/>
        </w:rPr>
        <w:t>amendment instrument No.</w:t>
      </w:r>
      <w:r w:rsidR="0045043E">
        <w:rPr>
          <w:rFonts w:ascii="Times New Roman" w:hAnsi="Times New Roman"/>
          <w:snapToGrid/>
          <w:szCs w:val="24"/>
          <w:lang w:val="en-AU"/>
        </w:rPr>
        <w:t> </w:t>
      </w:r>
      <w:r>
        <w:rPr>
          <w:rFonts w:ascii="Times New Roman" w:hAnsi="Times New Roman"/>
          <w:snapToGrid/>
          <w:szCs w:val="24"/>
          <w:lang w:val="en-AU"/>
        </w:rPr>
        <w:t>2</w:t>
      </w:r>
      <w:r w:rsidR="0045043E">
        <w:rPr>
          <w:rFonts w:ascii="Times New Roman" w:hAnsi="Times New Roman"/>
          <w:snapToGrid/>
          <w:szCs w:val="24"/>
          <w:lang w:val="en-AU"/>
        </w:rPr>
        <w:t> </w:t>
      </w:r>
      <w:r>
        <w:rPr>
          <w:rFonts w:ascii="Times New Roman" w:hAnsi="Times New Roman"/>
          <w:snapToGrid/>
          <w:szCs w:val="24"/>
          <w:lang w:val="en-AU"/>
        </w:rPr>
        <w:t>of</w:t>
      </w:r>
      <w:r w:rsidR="0045043E">
        <w:rPr>
          <w:rFonts w:ascii="Times New Roman" w:hAnsi="Times New Roman"/>
          <w:snapToGrid/>
          <w:szCs w:val="24"/>
          <w:lang w:val="en-AU"/>
        </w:rPr>
        <w:t> </w:t>
      </w:r>
      <w:r>
        <w:rPr>
          <w:rFonts w:ascii="Times New Roman" w:hAnsi="Times New Roman"/>
          <w:snapToGrid/>
          <w:szCs w:val="24"/>
          <w:lang w:val="en-AU"/>
        </w:rPr>
        <w:t xml:space="preserve">2012 </w:t>
      </w:r>
      <w:r w:rsidRPr="00AE5D89">
        <w:rPr>
          <w:rFonts w:ascii="Times New Roman" w:hAnsi="Times New Roman"/>
          <w:snapToGrid/>
          <w:szCs w:val="24"/>
          <w:lang w:val="en-AU"/>
        </w:rPr>
        <w:t>(PB</w:t>
      </w:r>
      <w:r w:rsidR="0045043E">
        <w:rPr>
          <w:rFonts w:ascii="Times New Roman" w:hAnsi="Times New Roman"/>
          <w:snapToGrid/>
          <w:szCs w:val="24"/>
          <w:lang w:val="en-AU"/>
        </w:rPr>
        <w:t> </w:t>
      </w:r>
      <w:r>
        <w:rPr>
          <w:rFonts w:ascii="Times New Roman" w:hAnsi="Times New Roman"/>
          <w:snapToGrid/>
          <w:szCs w:val="24"/>
          <w:lang w:val="en-AU"/>
        </w:rPr>
        <w:t>87</w:t>
      </w:r>
      <w:r w:rsidR="0045043E">
        <w:rPr>
          <w:rFonts w:ascii="Times New Roman" w:hAnsi="Times New Roman"/>
          <w:snapToGrid/>
          <w:szCs w:val="24"/>
          <w:lang w:val="en-AU"/>
        </w:rPr>
        <w:t> </w:t>
      </w:r>
      <w:r w:rsidRPr="00AE5D89">
        <w:rPr>
          <w:rFonts w:ascii="Times New Roman" w:hAnsi="Times New Roman"/>
          <w:snapToGrid/>
          <w:szCs w:val="24"/>
          <w:lang w:val="en-AU"/>
        </w:rPr>
        <w:t>of</w:t>
      </w:r>
      <w:r w:rsidR="0045043E">
        <w:t> </w:t>
      </w:r>
      <w:r w:rsidRPr="00AE5D89">
        <w:rPr>
          <w:rFonts w:ascii="Times New Roman" w:hAnsi="Times New Roman"/>
          <w:snapToGrid/>
          <w:szCs w:val="24"/>
          <w:lang w:val="en-AU"/>
        </w:rPr>
        <w:t>2012) which commenced on 1</w:t>
      </w:r>
      <w:r w:rsidR="0045043E">
        <w:rPr>
          <w:rFonts w:ascii="Times New Roman" w:hAnsi="Times New Roman"/>
          <w:snapToGrid/>
          <w:szCs w:val="24"/>
          <w:lang w:val="en-AU"/>
        </w:rPr>
        <w:t> </w:t>
      </w:r>
      <w:r w:rsidRPr="00AE5D89">
        <w:rPr>
          <w:rFonts w:ascii="Times New Roman" w:hAnsi="Times New Roman"/>
          <w:snapToGrid/>
          <w:szCs w:val="24"/>
          <w:lang w:val="en-AU"/>
        </w:rPr>
        <w:t>October</w:t>
      </w:r>
      <w:r w:rsidR="0045043E">
        <w:rPr>
          <w:rFonts w:ascii="Times New Roman" w:hAnsi="Times New Roman"/>
          <w:snapToGrid/>
          <w:szCs w:val="24"/>
          <w:lang w:val="en-AU"/>
        </w:rPr>
        <w:t> </w:t>
      </w:r>
      <w:r w:rsidRPr="00AE5D89">
        <w:rPr>
          <w:rFonts w:ascii="Times New Roman" w:hAnsi="Times New Roman"/>
          <w:snapToGrid/>
          <w:szCs w:val="24"/>
          <w:lang w:val="en-AU"/>
        </w:rPr>
        <w:t>2012.</w:t>
      </w:r>
    </w:p>
    <w:p w:rsidR="0063015A" w:rsidRPr="0063015A" w:rsidRDefault="0063015A" w:rsidP="00636512">
      <w:pPr>
        <w:keepNext/>
        <w:keepLines/>
        <w:widowControl/>
        <w:suppressAutoHyphens/>
        <w:spacing w:before="240" w:after="60"/>
        <w:rPr>
          <w:rFonts w:ascii="Times New Roman" w:hAnsi="Times New Roman"/>
          <w:b/>
          <w:snapToGrid/>
          <w:szCs w:val="24"/>
          <w:lang w:val="en-AU" w:eastAsia="en-AU"/>
        </w:rPr>
      </w:pPr>
      <w:r w:rsidRPr="0063015A">
        <w:rPr>
          <w:rFonts w:ascii="Times New Roman" w:hAnsi="Times New Roman"/>
          <w:b/>
          <w:snapToGrid/>
          <w:szCs w:val="24"/>
          <w:lang w:val="en-AU" w:eastAsia="en-AU"/>
        </w:rPr>
        <w:t>Consultation</w:t>
      </w:r>
    </w:p>
    <w:p w:rsidR="0063015A" w:rsidRPr="0063015A" w:rsidRDefault="0063015A" w:rsidP="003837A9">
      <w:pPr>
        <w:widowControl/>
        <w:spacing w:after="120"/>
        <w:rPr>
          <w:rFonts w:ascii="Times New Roman" w:hAnsi="Times New Roman"/>
          <w:snapToGrid/>
          <w:szCs w:val="24"/>
          <w:lang w:val="en-AU" w:eastAsia="en-AU"/>
        </w:rPr>
      </w:pPr>
      <w:r w:rsidRPr="0063015A">
        <w:rPr>
          <w:rFonts w:ascii="Times New Roman" w:hAnsi="Times New Roman"/>
          <w:snapToGrid/>
          <w:szCs w:val="24"/>
          <w:lang w:val="en-AU" w:eastAsia="en-AU"/>
        </w:rPr>
        <w:t xml:space="preserve">The changes made by this </w:t>
      </w:r>
      <w:r w:rsidR="009F7C60">
        <w:rPr>
          <w:rFonts w:ascii="Times New Roman" w:hAnsi="Times New Roman"/>
          <w:snapToGrid/>
          <w:szCs w:val="24"/>
          <w:lang w:val="en-AU" w:eastAsia="en-AU"/>
        </w:rPr>
        <w:t>I</w:t>
      </w:r>
      <w:r w:rsidRPr="0063015A">
        <w:rPr>
          <w:rFonts w:ascii="Times New Roman" w:hAnsi="Times New Roman"/>
          <w:snapToGrid/>
          <w:szCs w:val="24"/>
          <w:lang w:val="en-AU" w:eastAsia="en-AU"/>
        </w:rPr>
        <w:t xml:space="preserve">nstrument </w:t>
      </w:r>
      <w:r w:rsidR="001B0EB8">
        <w:rPr>
          <w:rFonts w:ascii="Times New Roman" w:hAnsi="Times New Roman"/>
          <w:snapToGrid/>
          <w:szCs w:val="24"/>
          <w:lang w:val="en-AU" w:eastAsia="en-AU"/>
        </w:rPr>
        <w:t xml:space="preserve">are </w:t>
      </w:r>
      <w:r w:rsidR="001B0EB8" w:rsidRPr="001B0EB8">
        <w:rPr>
          <w:rFonts w:ascii="Times New Roman" w:hAnsi="Times New Roman"/>
          <w:snapToGrid/>
          <w:szCs w:val="24"/>
          <w:lang w:val="en-AU" w:eastAsia="en-AU"/>
        </w:rPr>
        <w:t>minor and m</w:t>
      </w:r>
      <w:r w:rsidR="001B0EB8">
        <w:rPr>
          <w:rFonts w:ascii="Times New Roman" w:hAnsi="Times New Roman"/>
          <w:snapToGrid/>
          <w:szCs w:val="24"/>
          <w:lang w:val="en-AU" w:eastAsia="en-AU"/>
        </w:rPr>
        <w:t>achinery</w:t>
      </w:r>
      <w:r w:rsidR="001B0EB8" w:rsidRPr="001B0EB8">
        <w:rPr>
          <w:rFonts w:ascii="Times New Roman" w:hAnsi="Times New Roman"/>
          <w:snapToGrid/>
          <w:szCs w:val="24"/>
          <w:lang w:val="en-AU" w:eastAsia="en-AU"/>
        </w:rPr>
        <w:t xml:space="preserve"> in nature</w:t>
      </w:r>
      <w:r w:rsidR="001B0EB8">
        <w:rPr>
          <w:rFonts w:ascii="Times New Roman" w:hAnsi="Times New Roman"/>
          <w:snapToGrid/>
          <w:szCs w:val="24"/>
          <w:lang w:val="en-AU" w:eastAsia="en-AU"/>
        </w:rPr>
        <w:t xml:space="preserve">.  </w:t>
      </w:r>
      <w:r w:rsidR="003837A9">
        <w:rPr>
          <w:rFonts w:ascii="Times New Roman" w:hAnsi="Times New Roman"/>
          <w:snapToGrid/>
          <w:szCs w:val="24"/>
          <w:lang w:val="en-AU" w:eastAsia="en-AU"/>
        </w:rPr>
        <w:t>No consultation was undertaken</w:t>
      </w:r>
      <w:r w:rsidRPr="0063015A">
        <w:rPr>
          <w:rFonts w:ascii="Times New Roman" w:hAnsi="Times New Roman"/>
          <w:snapToGrid/>
          <w:szCs w:val="24"/>
          <w:lang w:val="en-AU" w:eastAsia="en-AU"/>
        </w:rPr>
        <w:t>.</w:t>
      </w:r>
    </w:p>
    <w:p w:rsidR="0063015A" w:rsidRPr="0063015A" w:rsidRDefault="0063015A" w:rsidP="00636512">
      <w:pPr>
        <w:widowControl/>
        <w:spacing w:before="240" w:after="120"/>
        <w:rPr>
          <w:rFonts w:ascii="Times New Roman" w:hAnsi="Times New Roman"/>
          <w:snapToGrid/>
          <w:szCs w:val="24"/>
          <w:lang w:val="en-AU"/>
        </w:rPr>
      </w:pPr>
      <w:r w:rsidRPr="0063015A">
        <w:rPr>
          <w:rFonts w:ascii="Times New Roman" w:hAnsi="Times New Roman"/>
          <w:snapToGrid/>
          <w:szCs w:val="24"/>
          <w:lang w:val="en-AU"/>
        </w:rPr>
        <w:t xml:space="preserve">This </w:t>
      </w:r>
      <w:r w:rsidR="009F7C60">
        <w:rPr>
          <w:rFonts w:ascii="Times New Roman" w:hAnsi="Times New Roman"/>
          <w:snapToGrid/>
          <w:szCs w:val="24"/>
          <w:lang w:val="en-AU"/>
        </w:rPr>
        <w:t>I</w:t>
      </w:r>
      <w:r w:rsidRPr="0063015A">
        <w:rPr>
          <w:rFonts w:ascii="Times New Roman" w:hAnsi="Times New Roman"/>
          <w:snapToGrid/>
          <w:szCs w:val="24"/>
          <w:lang w:val="en-AU"/>
        </w:rPr>
        <w:t xml:space="preserve">nstrument commences </w:t>
      </w:r>
      <w:r w:rsidR="001B0EB8">
        <w:rPr>
          <w:rFonts w:ascii="Times New Roman" w:hAnsi="Times New Roman"/>
          <w:snapToGrid/>
          <w:szCs w:val="24"/>
          <w:lang w:val="en-AU"/>
        </w:rPr>
        <w:t>up</w:t>
      </w:r>
      <w:r w:rsidRPr="0063015A">
        <w:rPr>
          <w:rFonts w:ascii="Times New Roman" w:hAnsi="Times New Roman"/>
          <w:snapToGrid/>
          <w:szCs w:val="24"/>
          <w:lang w:val="en-AU"/>
        </w:rPr>
        <w:t xml:space="preserve">on </w:t>
      </w:r>
      <w:r w:rsidR="001B0EB8">
        <w:rPr>
          <w:rFonts w:ascii="Times New Roman" w:hAnsi="Times New Roman"/>
          <w:snapToGrid/>
          <w:szCs w:val="24"/>
          <w:lang w:val="en-AU"/>
        </w:rPr>
        <w:t>registration</w:t>
      </w:r>
      <w:r w:rsidRPr="0063015A">
        <w:rPr>
          <w:rFonts w:ascii="Times New Roman" w:hAnsi="Times New Roman"/>
          <w:snapToGrid/>
          <w:szCs w:val="24"/>
          <w:lang w:val="en-AU"/>
        </w:rPr>
        <w:t>.</w:t>
      </w:r>
    </w:p>
    <w:p w:rsidR="0063015A" w:rsidRPr="0063015A" w:rsidRDefault="0063015A" w:rsidP="003837A9">
      <w:pPr>
        <w:widowControl/>
        <w:spacing w:after="120"/>
        <w:rPr>
          <w:rFonts w:ascii="Times New Roman" w:hAnsi="Times New Roman"/>
          <w:snapToGrid/>
          <w:szCs w:val="24"/>
          <w:lang w:val="en-AU" w:eastAsia="en-AU"/>
        </w:rPr>
      </w:pPr>
      <w:r w:rsidRPr="0063015A">
        <w:rPr>
          <w:rFonts w:ascii="Times New Roman" w:hAnsi="Times New Roman"/>
          <w:snapToGrid/>
          <w:szCs w:val="24"/>
          <w:lang w:val="en-AU" w:eastAsia="en-AU"/>
        </w:rPr>
        <w:t xml:space="preserve">This Instrument is a legislative instrument for the purposes of the </w:t>
      </w:r>
      <w:r w:rsidR="003837A9">
        <w:rPr>
          <w:rFonts w:ascii="Times New Roman" w:hAnsi="Times New Roman"/>
          <w:i/>
          <w:snapToGrid/>
          <w:szCs w:val="24"/>
          <w:lang w:val="en-AU" w:eastAsia="en-AU"/>
        </w:rPr>
        <w:t>Legislative Instruments Act 2</w:t>
      </w:r>
      <w:r w:rsidRPr="0063015A">
        <w:rPr>
          <w:rFonts w:ascii="Times New Roman" w:hAnsi="Times New Roman"/>
          <w:i/>
          <w:snapToGrid/>
          <w:szCs w:val="24"/>
          <w:lang w:val="en-AU" w:eastAsia="en-AU"/>
        </w:rPr>
        <w:t>003</w:t>
      </w:r>
      <w:r w:rsidRPr="0063015A">
        <w:rPr>
          <w:rFonts w:ascii="Times New Roman" w:hAnsi="Times New Roman"/>
          <w:snapToGrid/>
          <w:szCs w:val="24"/>
          <w:lang w:val="en-AU" w:eastAsia="en-AU"/>
        </w:rPr>
        <w:t>.</w:t>
      </w:r>
    </w:p>
    <w:p w:rsidR="0027015C" w:rsidRPr="0027015C" w:rsidRDefault="001A57C2" w:rsidP="00A90EC0">
      <w:pPr>
        <w:spacing w:before="480" w:after="120"/>
        <w:jc w:val="center"/>
        <w:rPr>
          <w:rFonts w:ascii="Times New Roman" w:hAnsi="Times New Roman"/>
          <w:b/>
          <w:szCs w:val="24"/>
        </w:rPr>
      </w:pPr>
      <w:r>
        <w:rPr>
          <w:rFonts w:ascii="Times New Roman" w:hAnsi="Times New Roman"/>
          <w:b/>
          <w:bCs/>
          <w:snapToGrid/>
          <w:szCs w:val="24"/>
          <w:lang w:val="en-AU" w:eastAsia="en-AU"/>
        </w:rPr>
        <w:br w:type="page"/>
      </w:r>
      <w:r w:rsidR="0027015C" w:rsidRPr="0027015C">
        <w:rPr>
          <w:rFonts w:ascii="Times New Roman" w:hAnsi="Times New Roman"/>
          <w:b/>
          <w:szCs w:val="24"/>
        </w:rPr>
        <w:lastRenderedPageBreak/>
        <w:t>Statement of Compatibility with Human Rights</w:t>
      </w:r>
    </w:p>
    <w:p w:rsidR="0027015C" w:rsidRPr="0027015C" w:rsidRDefault="0027015C" w:rsidP="00A90EC0">
      <w:pPr>
        <w:spacing w:after="120"/>
        <w:jc w:val="center"/>
        <w:rPr>
          <w:rFonts w:ascii="Times New Roman" w:hAnsi="Times New Roman"/>
          <w:szCs w:val="24"/>
        </w:rPr>
      </w:pPr>
      <w:r w:rsidRPr="0027015C">
        <w:rPr>
          <w:rFonts w:ascii="Times New Roman" w:hAnsi="Times New Roman"/>
          <w:i/>
          <w:szCs w:val="24"/>
        </w:rPr>
        <w:t>Prepared in accordance with Part 3 of the Human Rights (Parliamentary Scrutiny) Act 2011</w:t>
      </w:r>
    </w:p>
    <w:p w:rsidR="0027015C" w:rsidRDefault="0027015C" w:rsidP="00A90EC0">
      <w:pPr>
        <w:widowControl/>
        <w:spacing w:before="120" w:after="120" w:line="276" w:lineRule="auto"/>
        <w:jc w:val="center"/>
        <w:rPr>
          <w:rFonts w:ascii="Times New Roman" w:hAnsi="Times New Roman"/>
          <w:b/>
          <w:i/>
        </w:rPr>
      </w:pPr>
      <w:r w:rsidRPr="003D4D89">
        <w:rPr>
          <w:rFonts w:ascii="Times New Roman" w:hAnsi="Times New Roman"/>
          <w:b/>
          <w:i/>
        </w:rPr>
        <w:t>National Health (Remote Aboriginal Health Services Program) Special Arrangements</w:t>
      </w:r>
      <w:r w:rsidR="008A0856">
        <w:rPr>
          <w:rFonts w:ascii="Times New Roman" w:hAnsi="Times New Roman"/>
          <w:b/>
          <w:i/>
        </w:rPr>
        <w:t xml:space="preserve"> Amendment Instrument 2012 (No.</w:t>
      </w:r>
      <w:r w:rsidR="00A90EC0">
        <w:rPr>
          <w:rFonts w:ascii="Times New Roman" w:hAnsi="Times New Roman"/>
          <w:b/>
          <w:i/>
        </w:rPr>
        <w:t>3</w:t>
      </w:r>
      <w:r w:rsidRPr="003D4D89">
        <w:rPr>
          <w:rFonts w:ascii="Times New Roman" w:hAnsi="Times New Roman"/>
          <w:b/>
          <w:i/>
        </w:rPr>
        <w:t>)</w:t>
      </w:r>
    </w:p>
    <w:p w:rsidR="0027015C" w:rsidRPr="0027015C" w:rsidRDefault="0027015C" w:rsidP="00A90EC0">
      <w:pPr>
        <w:widowControl/>
        <w:spacing w:before="120" w:after="120" w:line="276" w:lineRule="auto"/>
        <w:jc w:val="center"/>
        <w:rPr>
          <w:rFonts w:ascii="Times New Roman" w:hAnsi="Times New Roman"/>
          <w:b/>
          <w:iCs/>
          <w:szCs w:val="24"/>
        </w:rPr>
      </w:pPr>
      <w:r w:rsidRPr="0027015C">
        <w:rPr>
          <w:rFonts w:ascii="Times New Roman" w:hAnsi="Times New Roman"/>
          <w:b/>
          <w:iCs/>
          <w:szCs w:val="24"/>
        </w:rPr>
        <w:t xml:space="preserve">PB </w:t>
      </w:r>
      <w:r w:rsidR="00A90EC0">
        <w:rPr>
          <w:rFonts w:ascii="Times New Roman" w:hAnsi="Times New Roman"/>
          <w:b/>
          <w:iCs/>
          <w:szCs w:val="24"/>
        </w:rPr>
        <w:t>102</w:t>
      </w:r>
      <w:r w:rsidRPr="0027015C">
        <w:rPr>
          <w:rFonts w:ascii="Times New Roman" w:hAnsi="Times New Roman"/>
          <w:b/>
          <w:iCs/>
          <w:szCs w:val="24"/>
        </w:rPr>
        <w:t xml:space="preserve"> of 2012</w:t>
      </w:r>
    </w:p>
    <w:p w:rsidR="0063015A" w:rsidRPr="0063015A" w:rsidRDefault="0063015A" w:rsidP="0027015C">
      <w:pPr>
        <w:widowControl/>
        <w:spacing w:before="120" w:after="120" w:line="276" w:lineRule="auto"/>
        <w:rPr>
          <w:rFonts w:ascii="Times New Roman" w:hAnsi="Times New Roman"/>
          <w:snapToGrid/>
          <w:szCs w:val="24"/>
          <w:lang w:val="en-AU"/>
        </w:rPr>
      </w:pPr>
      <w:r w:rsidRPr="0063015A">
        <w:rPr>
          <w:rFonts w:ascii="Times New Roman" w:hAnsi="Times New Roman"/>
          <w:snapToGrid/>
          <w:szCs w:val="24"/>
          <w:lang w:val="en-AU"/>
        </w:rPr>
        <w:t xml:space="preserve">This Legislative Instrument is compatible with the human rights and freedoms recognised or declared in the international instruments listed in section 3 of the </w:t>
      </w:r>
      <w:r w:rsidRPr="0063015A">
        <w:rPr>
          <w:rFonts w:ascii="Times New Roman" w:hAnsi="Times New Roman"/>
          <w:i/>
          <w:snapToGrid/>
          <w:szCs w:val="24"/>
          <w:lang w:val="en-AU"/>
        </w:rPr>
        <w:t>Human Rights (Parliamentary Scrutiny) Act 2011</w:t>
      </w:r>
      <w:r w:rsidRPr="0063015A">
        <w:rPr>
          <w:rFonts w:ascii="Times New Roman" w:hAnsi="Times New Roman"/>
          <w:snapToGrid/>
          <w:szCs w:val="24"/>
          <w:lang w:val="en-AU"/>
        </w:rPr>
        <w:t>.</w:t>
      </w:r>
    </w:p>
    <w:p w:rsidR="0063015A" w:rsidRPr="0063015A" w:rsidRDefault="0063015A" w:rsidP="008004C8">
      <w:pPr>
        <w:widowControl/>
        <w:spacing w:before="120" w:line="276" w:lineRule="auto"/>
        <w:jc w:val="both"/>
        <w:rPr>
          <w:rFonts w:ascii="Times New Roman" w:hAnsi="Times New Roman"/>
          <w:b/>
          <w:snapToGrid/>
          <w:szCs w:val="24"/>
          <w:lang w:val="en-AU"/>
        </w:rPr>
      </w:pPr>
      <w:r w:rsidRPr="0063015A">
        <w:rPr>
          <w:rFonts w:ascii="Times New Roman" w:hAnsi="Times New Roman"/>
          <w:b/>
          <w:snapToGrid/>
          <w:szCs w:val="24"/>
          <w:lang w:val="en-AU"/>
        </w:rPr>
        <w:t>Overview of the Legislative Instrument</w:t>
      </w:r>
    </w:p>
    <w:p w:rsidR="0063015A" w:rsidRPr="0063015A" w:rsidRDefault="0027015C" w:rsidP="0063015A">
      <w:pPr>
        <w:widowControl/>
        <w:spacing w:after="200"/>
        <w:rPr>
          <w:rFonts w:ascii="Times New Roman" w:hAnsi="Times New Roman"/>
          <w:snapToGrid/>
          <w:szCs w:val="24"/>
          <w:lang w:val="en-AU"/>
        </w:rPr>
      </w:pPr>
      <w:r w:rsidRPr="00023CE7">
        <w:rPr>
          <w:rFonts w:ascii="Times New Roman" w:hAnsi="Times New Roman"/>
          <w:snapToGrid/>
          <w:szCs w:val="24"/>
          <w:lang w:val="en-AU"/>
        </w:rPr>
        <w:t xml:space="preserve">The purpose of this </w:t>
      </w:r>
      <w:r>
        <w:rPr>
          <w:rFonts w:ascii="Times New Roman" w:hAnsi="Times New Roman"/>
          <w:snapToGrid/>
        </w:rPr>
        <w:t>Legislative Instrument</w:t>
      </w:r>
      <w:r w:rsidRPr="00023CE7">
        <w:rPr>
          <w:rFonts w:ascii="Times New Roman" w:hAnsi="Times New Roman"/>
          <w:snapToGrid/>
          <w:szCs w:val="24"/>
          <w:lang w:val="en-AU"/>
        </w:rPr>
        <w:t>, made under subsections</w:t>
      </w:r>
      <w:r w:rsidR="008004C8">
        <w:rPr>
          <w:rFonts w:ascii="Times New Roman" w:hAnsi="Times New Roman"/>
          <w:snapToGrid/>
          <w:szCs w:val="24"/>
          <w:lang w:val="en-AU"/>
        </w:rPr>
        <w:t> </w:t>
      </w:r>
      <w:r w:rsidRPr="00023CE7">
        <w:rPr>
          <w:rFonts w:ascii="Times New Roman" w:hAnsi="Times New Roman"/>
          <w:snapToGrid/>
          <w:szCs w:val="24"/>
          <w:lang w:val="en-AU"/>
        </w:rPr>
        <w:t>100(1) and</w:t>
      </w:r>
      <w:r w:rsidR="008004C8">
        <w:rPr>
          <w:rFonts w:ascii="Times New Roman" w:hAnsi="Times New Roman"/>
          <w:snapToGrid/>
          <w:szCs w:val="24"/>
          <w:lang w:val="en-AU"/>
        </w:rPr>
        <w:t> </w:t>
      </w:r>
      <w:r w:rsidRPr="00023CE7">
        <w:rPr>
          <w:rFonts w:ascii="Times New Roman" w:hAnsi="Times New Roman"/>
          <w:snapToGrid/>
          <w:szCs w:val="24"/>
          <w:lang w:val="en-AU"/>
        </w:rPr>
        <w:t xml:space="preserve">100(2) of the Act, is to amend the </w:t>
      </w:r>
      <w:r w:rsidRPr="00023CE7">
        <w:rPr>
          <w:rFonts w:ascii="Times New Roman" w:hAnsi="Times New Roman"/>
          <w:i/>
        </w:rPr>
        <w:t>National Health (Remote Aboriginal Health Services Program) Special Arrangements Instrument 2010</w:t>
      </w:r>
      <w:r w:rsidRPr="00023CE7">
        <w:rPr>
          <w:rFonts w:ascii="Times New Roman" w:hAnsi="Times New Roman"/>
        </w:rPr>
        <w:t xml:space="preserve"> (PB 65 of 2010)</w:t>
      </w:r>
      <w:r w:rsidRPr="00023CE7">
        <w:rPr>
          <w:rFonts w:ascii="Times New Roman" w:hAnsi="Times New Roman"/>
          <w:snapToGrid/>
          <w:szCs w:val="24"/>
          <w:lang w:val="en-AU"/>
        </w:rPr>
        <w:t xml:space="preserve"> </w:t>
      </w:r>
      <w:r w:rsidR="0063015A" w:rsidRPr="0063015A">
        <w:rPr>
          <w:rFonts w:ascii="Times New Roman" w:hAnsi="Times New Roman"/>
          <w:snapToGrid/>
          <w:szCs w:val="24"/>
          <w:lang w:val="en-AU"/>
        </w:rPr>
        <w:t>(the Special Arrangement)</w:t>
      </w:r>
      <w:r w:rsidR="00A90EC0">
        <w:rPr>
          <w:rFonts w:ascii="Times New Roman" w:hAnsi="Times New Roman"/>
          <w:snapToGrid/>
          <w:szCs w:val="24"/>
          <w:lang w:val="en-AU"/>
        </w:rPr>
        <w:t>.</w:t>
      </w:r>
    </w:p>
    <w:p w:rsidR="00A90EC0" w:rsidRDefault="0063015A" w:rsidP="00A90EC0">
      <w:pPr>
        <w:widowControl/>
        <w:spacing w:after="120"/>
        <w:rPr>
          <w:rFonts w:ascii="Times New Roman" w:hAnsi="Times New Roman"/>
          <w:snapToGrid/>
          <w:szCs w:val="24"/>
          <w:lang w:val="en-AU"/>
        </w:rPr>
      </w:pPr>
      <w:r w:rsidRPr="0063015A">
        <w:rPr>
          <w:rFonts w:ascii="Times New Roman" w:hAnsi="Times New Roman"/>
          <w:snapToGrid/>
          <w:szCs w:val="24"/>
          <w:lang w:val="en-AU"/>
        </w:rPr>
        <w:t xml:space="preserve">This Instrument amends </w:t>
      </w:r>
      <w:r w:rsidR="00A90EC0" w:rsidRPr="00023CE7">
        <w:rPr>
          <w:rFonts w:ascii="Times New Roman" w:hAnsi="Times New Roman"/>
        </w:rPr>
        <w:t>PB 65 of 2010</w:t>
      </w:r>
      <w:r w:rsidR="00A90EC0">
        <w:rPr>
          <w:rFonts w:ascii="Times New Roman" w:hAnsi="Times New Roman"/>
        </w:rPr>
        <w:t xml:space="preserve"> to reinstate </w:t>
      </w:r>
      <w:r w:rsidR="00A90EC0">
        <w:rPr>
          <w:rFonts w:ascii="Times New Roman" w:hAnsi="Times New Roman"/>
          <w:snapToGrid/>
          <w:szCs w:val="24"/>
          <w:lang w:val="en-AU"/>
        </w:rPr>
        <w:t xml:space="preserve">headings </w:t>
      </w:r>
      <w:r w:rsidR="00341F98">
        <w:rPr>
          <w:rFonts w:ascii="Times New Roman" w:hAnsi="Times New Roman"/>
          <w:snapToGrid/>
          <w:szCs w:val="24"/>
          <w:lang w:val="en-AU"/>
        </w:rPr>
        <w:t>for s</w:t>
      </w:r>
      <w:r w:rsidR="00A90EC0" w:rsidRPr="00AE5D89">
        <w:rPr>
          <w:rFonts w:ascii="Times New Roman" w:hAnsi="Times New Roman"/>
          <w:snapToGrid/>
          <w:szCs w:val="24"/>
          <w:lang w:val="en-AU"/>
        </w:rPr>
        <w:t>ection</w:t>
      </w:r>
      <w:r w:rsidR="00A90EC0">
        <w:rPr>
          <w:rFonts w:ascii="Times New Roman" w:hAnsi="Times New Roman"/>
          <w:snapToGrid/>
          <w:szCs w:val="24"/>
          <w:lang w:val="en-AU"/>
        </w:rPr>
        <w:t xml:space="preserve"> 5 </w:t>
      </w:r>
      <w:r w:rsidR="00341F98">
        <w:rPr>
          <w:rFonts w:ascii="Times New Roman" w:hAnsi="Times New Roman"/>
          <w:snapToGrid/>
          <w:szCs w:val="24"/>
          <w:lang w:val="en-AU"/>
        </w:rPr>
        <w:t>and s</w:t>
      </w:r>
      <w:r w:rsidR="00A90EC0" w:rsidRPr="00AE5D89">
        <w:rPr>
          <w:rFonts w:ascii="Times New Roman" w:hAnsi="Times New Roman"/>
          <w:snapToGrid/>
          <w:szCs w:val="24"/>
          <w:lang w:val="en-AU"/>
        </w:rPr>
        <w:t>ection</w:t>
      </w:r>
      <w:r w:rsidR="00A90EC0">
        <w:rPr>
          <w:rFonts w:ascii="Times New Roman" w:hAnsi="Times New Roman"/>
          <w:snapToGrid/>
          <w:szCs w:val="24"/>
          <w:lang w:val="en-AU"/>
        </w:rPr>
        <w:t> 9</w:t>
      </w:r>
      <w:r w:rsidR="00A90EC0" w:rsidRPr="00AE5D89">
        <w:rPr>
          <w:rFonts w:ascii="Times New Roman" w:hAnsi="Times New Roman"/>
          <w:snapToGrid/>
          <w:szCs w:val="24"/>
          <w:lang w:val="en-AU"/>
        </w:rPr>
        <w:t xml:space="preserve"> </w:t>
      </w:r>
      <w:r w:rsidR="00A90EC0">
        <w:rPr>
          <w:rFonts w:ascii="Times New Roman" w:hAnsi="Times New Roman"/>
          <w:snapToGrid/>
          <w:szCs w:val="24"/>
          <w:lang w:val="en-AU"/>
        </w:rPr>
        <w:t xml:space="preserve">which were </w:t>
      </w:r>
      <w:r w:rsidR="00A90EC0" w:rsidRPr="00AE5D89">
        <w:rPr>
          <w:rFonts w:ascii="Times New Roman" w:hAnsi="Times New Roman"/>
          <w:snapToGrid/>
          <w:szCs w:val="24"/>
          <w:lang w:val="en-AU"/>
        </w:rPr>
        <w:t xml:space="preserve">inadvertently omitted </w:t>
      </w:r>
      <w:r w:rsidR="00A90EC0">
        <w:rPr>
          <w:rFonts w:ascii="Times New Roman" w:hAnsi="Times New Roman"/>
          <w:snapToGrid/>
          <w:szCs w:val="24"/>
          <w:lang w:val="en-AU"/>
        </w:rPr>
        <w:t xml:space="preserve">by </w:t>
      </w:r>
      <w:r w:rsidR="00A90EC0" w:rsidRPr="00AE5D89">
        <w:rPr>
          <w:rFonts w:ascii="Times New Roman" w:hAnsi="Times New Roman"/>
          <w:snapToGrid/>
          <w:szCs w:val="24"/>
          <w:lang w:val="en-AU"/>
        </w:rPr>
        <w:t>amendment instrument No.</w:t>
      </w:r>
      <w:r w:rsidR="00A90EC0">
        <w:rPr>
          <w:rFonts w:ascii="Times New Roman" w:hAnsi="Times New Roman"/>
          <w:snapToGrid/>
          <w:szCs w:val="24"/>
          <w:lang w:val="en-AU"/>
        </w:rPr>
        <w:t xml:space="preserve"> 2 of 2012 </w:t>
      </w:r>
      <w:r w:rsidR="00A90EC0" w:rsidRPr="00AE5D89">
        <w:rPr>
          <w:rFonts w:ascii="Times New Roman" w:hAnsi="Times New Roman"/>
          <w:snapToGrid/>
          <w:szCs w:val="24"/>
          <w:lang w:val="en-AU"/>
        </w:rPr>
        <w:t>(PB</w:t>
      </w:r>
      <w:r w:rsidR="00A90EC0">
        <w:rPr>
          <w:rFonts w:ascii="Times New Roman" w:hAnsi="Times New Roman"/>
          <w:snapToGrid/>
          <w:szCs w:val="24"/>
          <w:lang w:val="en-AU"/>
        </w:rPr>
        <w:t> 87 </w:t>
      </w:r>
      <w:r w:rsidR="00A90EC0" w:rsidRPr="00AE5D89">
        <w:rPr>
          <w:rFonts w:ascii="Times New Roman" w:hAnsi="Times New Roman"/>
          <w:snapToGrid/>
          <w:szCs w:val="24"/>
          <w:lang w:val="en-AU"/>
        </w:rPr>
        <w:t>of</w:t>
      </w:r>
      <w:r w:rsidR="00A90EC0">
        <w:t> </w:t>
      </w:r>
      <w:r w:rsidR="00A90EC0" w:rsidRPr="00AE5D89">
        <w:rPr>
          <w:rFonts w:ascii="Times New Roman" w:hAnsi="Times New Roman"/>
          <w:snapToGrid/>
          <w:szCs w:val="24"/>
          <w:lang w:val="en-AU"/>
        </w:rPr>
        <w:t xml:space="preserve">2012) </w:t>
      </w:r>
      <w:r w:rsidR="00A90EC0">
        <w:rPr>
          <w:rFonts w:ascii="Times New Roman" w:hAnsi="Times New Roman"/>
          <w:snapToGrid/>
          <w:szCs w:val="24"/>
          <w:lang w:val="en-AU"/>
        </w:rPr>
        <w:t xml:space="preserve">from </w:t>
      </w:r>
      <w:r w:rsidR="00A90EC0" w:rsidRPr="00AE5D89">
        <w:rPr>
          <w:rFonts w:ascii="Times New Roman" w:hAnsi="Times New Roman"/>
          <w:snapToGrid/>
          <w:szCs w:val="24"/>
          <w:lang w:val="en-AU"/>
        </w:rPr>
        <w:t>1</w:t>
      </w:r>
      <w:r w:rsidR="00A90EC0">
        <w:rPr>
          <w:rFonts w:ascii="Times New Roman" w:hAnsi="Times New Roman"/>
          <w:snapToGrid/>
          <w:szCs w:val="24"/>
          <w:lang w:val="en-AU"/>
        </w:rPr>
        <w:t> </w:t>
      </w:r>
      <w:r w:rsidR="00A90EC0" w:rsidRPr="00AE5D89">
        <w:rPr>
          <w:rFonts w:ascii="Times New Roman" w:hAnsi="Times New Roman"/>
          <w:snapToGrid/>
          <w:szCs w:val="24"/>
          <w:lang w:val="en-AU"/>
        </w:rPr>
        <w:t>October</w:t>
      </w:r>
      <w:r w:rsidR="00A90EC0">
        <w:rPr>
          <w:rFonts w:ascii="Times New Roman" w:hAnsi="Times New Roman"/>
          <w:snapToGrid/>
          <w:szCs w:val="24"/>
          <w:lang w:val="en-AU"/>
        </w:rPr>
        <w:t> </w:t>
      </w:r>
      <w:r w:rsidR="00A90EC0" w:rsidRPr="00AE5D89">
        <w:rPr>
          <w:rFonts w:ascii="Times New Roman" w:hAnsi="Times New Roman"/>
          <w:snapToGrid/>
          <w:szCs w:val="24"/>
          <w:lang w:val="en-AU"/>
        </w:rPr>
        <w:t>2012.</w:t>
      </w:r>
    </w:p>
    <w:p w:rsidR="0063015A" w:rsidRPr="0063015A" w:rsidRDefault="0063015A" w:rsidP="008004C8">
      <w:pPr>
        <w:widowControl/>
        <w:spacing w:before="120" w:line="276" w:lineRule="auto"/>
        <w:rPr>
          <w:rFonts w:ascii="Times New Roman" w:hAnsi="Times New Roman"/>
          <w:b/>
          <w:snapToGrid/>
          <w:szCs w:val="24"/>
          <w:lang w:val="en-AU"/>
        </w:rPr>
      </w:pPr>
      <w:r w:rsidRPr="0063015A">
        <w:rPr>
          <w:rFonts w:ascii="Times New Roman" w:hAnsi="Times New Roman"/>
          <w:b/>
          <w:snapToGrid/>
          <w:szCs w:val="24"/>
          <w:lang w:val="en-AU"/>
        </w:rPr>
        <w:t>Human rights implications</w:t>
      </w:r>
    </w:p>
    <w:p w:rsidR="0063015A" w:rsidRPr="0063015A" w:rsidRDefault="0063015A" w:rsidP="008004C8">
      <w:pPr>
        <w:widowControl/>
        <w:spacing w:after="120" w:line="276" w:lineRule="auto"/>
        <w:rPr>
          <w:rFonts w:ascii="Times New Roman" w:hAnsi="Times New Roman"/>
          <w:snapToGrid/>
          <w:szCs w:val="24"/>
          <w:lang w:val="en-AU"/>
        </w:rPr>
      </w:pPr>
      <w:r w:rsidRPr="0063015A">
        <w:rPr>
          <w:rFonts w:ascii="Times New Roman" w:hAnsi="Times New Roman"/>
          <w:snapToGrid/>
          <w:szCs w:val="24"/>
          <w:lang w:val="en-AU"/>
        </w:rPr>
        <w:t>This legislative instrument engages Article</w:t>
      </w:r>
      <w:r w:rsidR="008004C8">
        <w:rPr>
          <w:rFonts w:ascii="Times New Roman" w:hAnsi="Times New Roman"/>
          <w:snapToGrid/>
          <w:szCs w:val="24"/>
          <w:lang w:val="en-AU"/>
        </w:rPr>
        <w:t>s</w:t>
      </w:r>
      <w:r w:rsidRPr="0063015A">
        <w:rPr>
          <w:rFonts w:ascii="Times New Roman" w:hAnsi="Times New Roman"/>
          <w:snapToGrid/>
          <w:szCs w:val="24"/>
          <w:lang w:val="en-AU"/>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63015A" w:rsidRPr="0063015A" w:rsidRDefault="0063015A" w:rsidP="0063015A">
      <w:pPr>
        <w:widowControl/>
        <w:spacing w:before="120" w:after="120" w:line="276" w:lineRule="auto"/>
        <w:rPr>
          <w:rFonts w:ascii="Times New Roman" w:hAnsi="Times New Roman"/>
          <w:snapToGrid/>
          <w:szCs w:val="24"/>
          <w:lang w:val="en-AU"/>
        </w:rPr>
      </w:pPr>
      <w:r w:rsidRPr="0063015A">
        <w:rPr>
          <w:rFonts w:ascii="Times New Roman" w:hAnsi="Times New Roman"/>
          <w:snapToGrid/>
          <w:szCs w:val="24"/>
          <w:lang w:val="en-AU"/>
        </w:rPr>
        <w:t xml:space="preserve">The Pharmaceutical Benefits Scheme (PBS) is a benefit scheme which assists with advancement of this human right by providing for subsidised access by patients to medicines. This Special Arrangement ensures more ready and equitable access to PBS medicines for Indigenous Australians and is part of the Australian </w:t>
      </w:r>
      <w:proofErr w:type="gramStart"/>
      <w:r w:rsidRPr="0063015A">
        <w:rPr>
          <w:rFonts w:ascii="Times New Roman" w:hAnsi="Times New Roman"/>
          <w:snapToGrid/>
          <w:szCs w:val="24"/>
          <w:lang w:val="en-AU"/>
        </w:rPr>
        <w:t>Government’s</w:t>
      </w:r>
      <w:r w:rsidR="00341F98">
        <w:rPr>
          <w:rFonts w:ascii="Times New Roman" w:hAnsi="Times New Roman"/>
          <w:snapToGrid/>
          <w:szCs w:val="24"/>
          <w:lang w:val="en-AU"/>
        </w:rPr>
        <w:t xml:space="preserve"> </w:t>
      </w:r>
      <w:bookmarkStart w:id="0" w:name="_GoBack"/>
      <w:bookmarkEnd w:id="0"/>
      <w:r w:rsidRPr="0063015A">
        <w:rPr>
          <w:rFonts w:ascii="Times New Roman" w:hAnsi="Times New Roman"/>
          <w:snapToGrid/>
          <w:szCs w:val="24"/>
          <w:lang w:val="en-AU"/>
        </w:rPr>
        <w:t xml:space="preserve"> Closing</w:t>
      </w:r>
      <w:proofErr w:type="gramEnd"/>
      <w:r w:rsidRPr="0063015A">
        <w:rPr>
          <w:rFonts w:ascii="Times New Roman" w:hAnsi="Times New Roman"/>
          <w:snapToGrid/>
          <w:szCs w:val="24"/>
          <w:lang w:val="en-AU"/>
        </w:rPr>
        <w:t xml:space="preserve"> the Gap reform agenda.  </w:t>
      </w:r>
      <w:r w:rsidRPr="0063015A">
        <w:rPr>
          <w:rFonts w:ascii="Times New Roman" w:hAnsi="Times New Roman"/>
          <w:snapToGrid/>
          <w:szCs w:val="24"/>
          <w:lang w:val="en"/>
        </w:rPr>
        <w:t>Closing the Gap is a commitment by all Australian governments to improve the lives of Indigenous Australians, and in particular provide a better future for Indigenous children.</w:t>
      </w:r>
    </w:p>
    <w:p w:rsidR="0063015A" w:rsidRPr="0063015A" w:rsidRDefault="0063015A" w:rsidP="008004C8">
      <w:pPr>
        <w:widowControl/>
        <w:spacing w:before="120" w:line="276" w:lineRule="auto"/>
        <w:rPr>
          <w:rFonts w:ascii="Times New Roman" w:hAnsi="Times New Roman"/>
          <w:b/>
          <w:snapToGrid/>
          <w:szCs w:val="24"/>
          <w:lang w:val="en-AU"/>
        </w:rPr>
      </w:pPr>
      <w:r w:rsidRPr="0063015A">
        <w:rPr>
          <w:rFonts w:ascii="Times New Roman" w:hAnsi="Times New Roman"/>
          <w:b/>
          <w:snapToGrid/>
          <w:szCs w:val="24"/>
          <w:lang w:val="en-AU"/>
        </w:rPr>
        <w:t>Conclusion</w:t>
      </w:r>
    </w:p>
    <w:p w:rsidR="0063015A" w:rsidRPr="0063015A" w:rsidRDefault="0063015A" w:rsidP="008004C8">
      <w:pPr>
        <w:widowControl/>
        <w:spacing w:after="120" w:line="276" w:lineRule="auto"/>
        <w:rPr>
          <w:rFonts w:ascii="Times New Roman" w:hAnsi="Times New Roman"/>
          <w:snapToGrid/>
          <w:szCs w:val="24"/>
          <w:lang w:val="en-AU"/>
        </w:rPr>
      </w:pPr>
      <w:r w:rsidRPr="0063015A">
        <w:rPr>
          <w:rFonts w:ascii="Times New Roman" w:hAnsi="Times New Roman"/>
          <w:snapToGrid/>
          <w:szCs w:val="24"/>
          <w:lang w:val="en-AU"/>
        </w:rPr>
        <w:t>This Legislative Instrument is compatible with human rights because it advances the protection of human rights.</w:t>
      </w:r>
    </w:p>
    <w:p w:rsidR="003671CE" w:rsidRDefault="003671CE" w:rsidP="003671CE">
      <w:pPr>
        <w:tabs>
          <w:tab w:val="left" w:pos="3119"/>
        </w:tabs>
        <w:spacing w:line="300" w:lineRule="atLeast"/>
        <w:jc w:val="center"/>
        <w:rPr>
          <w:rFonts w:ascii="Times New Roman" w:hAnsi="Times New Roman"/>
          <w:b/>
          <w:snapToGrid/>
          <w:szCs w:val="24"/>
          <w:lang w:val="en-AU"/>
        </w:rPr>
      </w:pPr>
    </w:p>
    <w:p w:rsidR="003671CE" w:rsidRDefault="008004C8" w:rsidP="003671CE">
      <w:pPr>
        <w:tabs>
          <w:tab w:val="left" w:pos="3119"/>
        </w:tabs>
        <w:spacing w:line="300" w:lineRule="atLeast"/>
        <w:jc w:val="center"/>
        <w:rPr>
          <w:rFonts w:ascii="Times New Roman" w:hAnsi="Times New Roman"/>
          <w:b/>
          <w:snapToGrid/>
          <w:szCs w:val="24"/>
          <w:lang w:val="en-AU"/>
        </w:rPr>
      </w:pPr>
      <w:r>
        <w:rPr>
          <w:rFonts w:ascii="Times New Roman" w:hAnsi="Times New Roman"/>
          <w:b/>
          <w:snapToGrid/>
          <w:szCs w:val="24"/>
          <w:lang w:val="en-AU"/>
        </w:rPr>
        <w:t xml:space="preserve">Kim </w:t>
      </w:r>
      <w:proofErr w:type="spellStart"/>
      <w:r>
        <w:rPr>
          <w:rFonts w:ascii="Times New Roman" w:hAnsi="Times New Roman"/>
          <w:b/>
          <w:snapToGrid/>
          <w:szCs w:val="24"/>
          <w:lang w:val="en-AU"/>
        </w:rPr>
        <w:t>Bessell</w:t>
      </w:r>
      <w:proofErr w:type="spellEnd"/>
    </w:p>
    <w:p w:rsidR="003671CE" w:rsidRPr="00C227CA" w:rsidRDefault="0063015A" w:rsidP="003671CE">
      <w:pPr>
        <w:tabs>
          <w:tab w:val="left" w:pos="3119"/>
        </w:tabs>
        <w:spacing w:line="300" w:lineRule="atLeast"/>
        <w:jc w:val="center"/>
        <w:rPr>
          <w:rFonts w:ascii="Times New Roman" w:hAnsi="Times New Roman"/>
          <w:b/>
          <w:snapToGrid/>
          <w:sz w:val="22"/>
          <w:szCs w:val="22"/>
          <w:lang w:val="en-AU"/>
        </w:rPr>
      </w:pPr>
      <w:r w:rsidRPr="00C227CA">
        <w:rPr>
          <w:rFonts w:ascii="Times New Roman" w:hAnsi="Times New Roman"/>
          <w:b/>
          <w:snapToGrid/>
          <w:sz w:val="22"/>
          <w:szCs w:val="22"/>
          <w:lang w:val="en-AU"/>
        </w:rPr>
        <w:t>Assistant Secretary</w:t>
      </w:r>
    </w:p>
    <w:p w:rsidR="00A9317C" w:rsidRPr="00C227CA" w:rsidRDefault="00A9317C" w:rsidP="003671CE">
      <w:pPr>
        <w:tabs>
          <w:tab w:val="left" w:pos="3119"/>
        </w:tabs>
        <w:spacing w:line="300" w:lineRule="atLeast"/>
        <w:jc w:val="center"/>
        <w:rPr>
          <w:rFonts w:ascii="Times New Roman" w:hAnsi="Times New Roman"/>
          <w:b/>
          <w:snapToGrid/>
          <w:sz w:val="22"/>
          <w:szCs w:val="22"/>
          <w:lang w:val="en-AU"/>
        </w:rPr>
      </w:pPr>
      <w:r w:rsidRPr="00C227CA">
        <w:rPr>
          <w:rFonts w:ascii="Times New Roman" w:hAnsi="Times New Roman"/>
          <w:b/>
          <w:snapToGrid/>
          <w:sz w:val="22"/>
          <w:szCs w:val="22"/>
          <w:lang w:val="en-AU"/>
        </w:rPr>
        <w:t>Pharmaceutical Access Branch</w:t>
      </w:r>
    </w:p>
    <w:p w:rsidR="00C227CA" w:rsidRPr="00C227CA" w:rsidRDefault="00C227CA" w:rsidP="003671CE">
      <w:pPr>
        <w:tabs>
          <w:tab w:val="left" w:pos="3119"/>
        </w:tabs>
        <w:spacing w:line="300" w:lineRule="atLeast"/>
        <w:jc w:val="center"/>
        <w:rPr>
          <w:rFonts w:ascii="Times New Roman" w:hAnsi="Times New Roman"/>
          <w:b/>
          <w:snapToGrid/>
          <w:sz w:val="22"/>
          <w:szCs w:val="22"/>
          <w:lang w:val="en-AU"/>
        </w:rPr>
      </w:pPr>
      <w:r w:rsidRPr="00C227CA">
        <w:rPr>
          <w:rFonts w:ascii="Times New Roman" w:hAnsi="Times New Roman"/>
          <w:b/>
          <w:snapToGrid/>
          <w:sz w:val="22"/>
          <w:szCs w:val="22"/>
          <w:lang w:val="en-AU"/>
        </w:rPr>
        <w:t>Principal Pharmacy Advisor</w:t>
      </w:r>
    </w:p>
    <w:p w:rsidR="003671CE" w:rsidRPr="00C227CA" w:rsidRDefault="0063015A" w:rsidP="003671CE">
      <w:pPr>
        <w:tabs>
          <w:tab w:val="left" w:pos="3119"/>
        </w:tabs>
        <w:spacing w:line="300" w:lineRule="atLeast"/>
        <w:jc w:val="center"/>
        <w:rPr>
          <w:rFonts w:ascii="Times New Roman" w:hAnsi="Times New Roman"/>
          <w:b/>
          <w:snapToGrid/>
          <w:sz w:val="22"/>
          <w:szCs w:val="22"/>
          <w:lang w:val="en-AU"/>
        </w:rPr>
      </w:pPr>
      <w:r w:rsidRPr="00C227CA">
        <w:rPr>
          <w:rFonts w:ascii="Times New Roman" w:hAnsi="Times New Roman"/>
          <w:b/>
          <w:snapToGrid/>
          <w:sz w:val="22"/>
          <w:szCs w:val="22"/>
          <w:lang w:val="en-AU"/>
        </w:rPr>
        <w:t>Pharmaceutical Benefits Division</w:t>
      </w:r>
    </w:p>
    <w:p w:rsidR="0063015A" w:rsidRPr="00C227CA" w:rsidRDefault="0063015A" w:rsidP="0027015C">
      <w:pPr>
        <w:tabs>
          <w:tab w:val="left" w:pos="3119"/>
        </w:tabs>
        <w:spacing w:after="200" w:line="300" w:lineRule="atLeast"/>
        <w:jc w:val="center"/>
        <w:rPr>
          <w:rFonts w:ascii="Times New Roman" w:hAnsi="Times New Roman"/>
          <w:b/>
          <w:snapToGrid/>
          <w:sz w:val="22"/>
          <w:szCs w:val="22"/>
          <w:lang w:val="en-AU"/>
        </w:rPr>
      </w:pPr>
      <w:r w:rsidRPr="00C227CA">
        <w:rPr>
          <w:rFonts w:ascii="Times New Roman" w:hAnsi="Times New Roman"/>
          <w:b/>
          <w:snapToGrid/>
          <w:sz w:val="22"/>
          <w:szCs w:val="22"/>
          <w:lang w:val="en-AU"/>
        </w:rPr>
        <w:t>Department of Health and Ageing</w:t>
      </w:r>
    </w:p>
    <w:sectPr w:rsidR="0063015A" w:rsidRPr="00C227CA" w:rsidSect="008004C8">
      <w:headerReference w:type="even" r:id="rId8"/>
      <w:headerReference w:type="default" r:id="rId9"/>
      <w:endnotePr>
        <w:numFmt w:val="decimal"/>
      </w:endnotePr>
      <w:pgSz w:w="11905" w:h="16837" w:code="9"/>
      <w:pgMar w:top="1381" w:right="1440" w:bottom="1191" w:left="1440" w:header="567" w:footer="1134" w:gutter="0"/>
      <w:paperSrc w:first="7" w:other="7"/>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C0" w:rsidRDefault="00A90EC0">
      <w:r>
        <w:separator/>
      </w:r>
    </w:p>
  </w:endnote>
  <w:endnote w:type="continuationSeparator" w:id="0">
    <w:p w:rsidR="00A90EC0" w:rsidRDefault="00A9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C0" w:rsidRDefault="00A90EC0">
      <w:r>
        <w:separator/>
      </w:r>
    </w:p>
  </w:footnote>
  <w:footnote w:type="continuationSeparator" w:id="0">
    <w:p w:rsidR="00A90EC0" w:rsidRDefault="00A90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EC0" w:rsidRDefault="00A90EC0" w:rsidP="004732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0EC0" w:rsidRDefault="00A90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EC0" w:rsidRPr="008004C8" w:rsidRDefault="00A90EC0" w:rsidP="008004C8">
    <w:pPr>
      <w:pStyle w:val="Header"/>
      <w:jc w:val="center"/>
      <w:rPr>
        <w:rFonts w:ascii="Times New Roman" w:hAnsi="Times New Roman"/>
      </w:rPr>
    </w:pPr>
    <w:r w:rsidRPr="008004C8">
      <w:rPr>
        <w:rFonts w:ascii="Times New Roman" w:hAnsi="Times New Roman"/>
      </w:rPr>
      <w:fldChar w:fldCharType="begin"/>
    </w:r>
    <w:r w:rsidRPr="008004C8">
      <w:rPr>
        <w:rFonts w:ascii="Times New Roman" w:hAnsi="Times New Roman"/>
      </w:rPr>
      <w:instrText xml:space="preserve"> PAGE   \* MERGEFORMAT </w:instrText>
    </w:r>
    <w:r w:rsidRPr="008004C8">
      <w:rPr>
        <w:rFonts w:ascii="Times New Roman" w:hAnsi="Times New Roman"/>
      </w:rPr>
      <w:fldChar w:fldCharType="separate"/>
    </w:r>
    <w:r w:rsidR="00341F98">
      <w:rPr>
        <w:rFonts w:ascii="Times New Roman" w:hAnsi="Times New Roman"/>
        <w:noProof/>
      </w:rPr>
      <w:t>2</w:t>
    </w:r>
    <w:r w:rsidRPr="008004C8">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A0C20"/>
    <w:multiLevelType w:val="hybridMultilevel"/>
    <w:tmpl w:val="7180AB66"/>
    <w:lvl w:ilvl="0" w:tplc="AC0A9278">
      <w:start w:val="1"/>
      <w:numFmt w:val="bullet"/>
      <w:lvlText w:val=""/>
      <w:lvlJc w:val="left"/>
      <w:pPr>
        <w:tabs>
          <w:tab w:val="num" w:pos="780"/>
        </w:tabs>
        <w:ind w:left="78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65193341"/>
    <w:multiLevelType w:val="hybridMultilevel"/>
    <w:tmpl w:val="02140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81D4966"/>
    <w:multiLevelType w:val="hybridMultilevel"/>
    <w:tmpl w:val="0F8E13D2"/>
    <w:lvl w:ilvl="0" w:tplc="42A887F2">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923B0A"/>
    <w:multiLevelType w:val="hybridMultilevel"/>
    <w:tmpl w:val="A65CAC4E"/>
    <w:lvl w:ilvl="0" w:tplc="04090001">
      <w:start w:val="1"/>
      <w:numFmt w:val="bullet"/>
      <w:lvlText w:val=""/>
      <w:lvlJc w:val="left"/>
      <w:pPr>
        <w:tabs>
          <w:tab w:val="num" w:pos="720"/>
        </w:tabs>
        <w:ind w:left="720" w:hanging="360"/>
      </w:pPr>
      <w:rPr>
        <w:rFonts w:ascii="Symbol" w:hAnsi="Symbol" w:hint="default"/>
      </w:rPr>
    </w:lvl>
    <w:lvl w:ilvl="1" w:tplc="ADBA5ED0">
      <w:start w:val="1"/>
      <w:numFmt w:val="bullet"/>
      <w:lvlText w:val="o"/>
      <w:lvlJc w:val="left"/>
      <w:pPr>
        <w:tabs>
          <w:tab w:val="num" w:pos="1440"/>
        </w:tabs>
        <w:ind w:left="1440" w:hanging="360"/>
      </w:pPr>
      <w:rPr>
        <w:rFonts w:ascii="Courier New" w:hAnsi="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AF"/>
    <w:rsid w:val="00011598"/>
    <w:rsid w:val="00023CE7"/>
    <w:rsid w:val="000825CB"/>
    <w:rsid w:val="001A57C2"/>
    <w:rsid w:val="001B0EB8"/>
    <w:rsid w:val="001D016B"/>
    <w:rsid w:val="0027015C"/>
    <w:rsid w:val="00322E3A"/>
    <w:rsid w:val="00341F98"/>
    <w:rsid w:val="003671CE"/>
    <w:rsid w:val="003837A9"/>
    <w:rsid w:val="003D4A17"/>
    <w:rsid w:val="003D4D89"/>
    <w:rsid w:val="0044569C"/>
    <w:rsid w:val="0045043E"/>
    <w:rsid w:val="0045308A"/>
    <w:rsid w:val="004732AF"/>
    <w:rsid w:val="004F7ED1"/>
    <w:rsid w:val="006060EB"/>
    <w:rsid w:val="0063015A"/>
    <w:rsid w:val="00634116"/>
    <w:rsid w:val="00636512"/>
    <w:rsid w:val="00723D8E"/>
    <w:rsid w:val="007E5046"/>
    <w:rsid w:val="008004C8"/>
    <w:rsid w:val="008442AE"/>
    <w:rsid w:val="00875A66"/>
    <w:rsid w:val="008A0856"/>
    <w:rsid w:val="008C5870"/>
    <w:rsid w:val="008E404F"/>
    <w:rsid w:val="00992748"/>
    <w:rsid w:val="009F7C60"/>
    <w:rsid w:val="00A90EC0"/>
    <w:rsid w:val="00A9317C"/>
    <w:rsid w:val="00AE5D89"/>
    <w:rsid w:val="00C227CA"/>
    <w:rsid w:val="00C93FE7"/>
    <w:rsid w:val="00D351CB"/>
    <w:rsid w:val="00E17333"/>
    <w:rsid w:val="00FB6DD3"/>
    <w:rsid w:val="00FC6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2AF"/>
    <w:pPr>
      <w:widowControl w:val="0"/>
    </w:pPr>
    <w:rPr>
      <w:rFonts w:ascii="Courier New" w:hAnsi="Courier New"/>
      <w:snapToGrid w:val="0"/>
      <w:sz w:val="24"/>
      <w:lang w:val="en-US" w:eastAsia="en-US"/>
    </w:rPr>
  </w:style>
  <w:style w:type="paragraph" w:styleId="Heading5">
    <w:name w:val="heading 5"/>
    <w:basedOn w:val="Normal"/>
    <w:next w:val="Normal"/>
    <w:qFormat/>
    <w:rsid w:val="004732AF"/>
    <w:pPr>
      <w:keepNext/>
      <w:outlineLvl w:val="4"/>
    </w:pPr>
    <w:rPr>
      <w:rFonts w:ascii="Times New Roman" w:hAnsi="Times New Roman"/>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4732AF"/>
    <w:pPr>
      <w:keepNext/>
      <w:keepLines/>
      <w:widowControl/>
      <w:suppressAutoHyphens/>
      <w:spacing w:after="120"/>
      <w:jc w:val="both"/>
    </w:pPr>
    <w:rPr>
      <w:rFonts w:ascii="Times New Roman" w:hAnsi="Times New Roman"/>
      <w:b/>
      <w:bCs/>
      <w:snapToGrid/>
      <w:sz w:val="20"/>
      <w:lang w:val="en-AU" w:eastAsia="en-AU"/>
    </w:rPr>
  </w:style>
  <w:style w:type="paragraph" w:customStyle="1" w:styleId="Heading4">
    <w:name w:val="Heading4"/>
    <w:basedOn w:val="Normal"/>
    <w:rsid w:val="004732AF"/>
    <w:pPr>
      <w:keepNext/>
      <w:keepLines/>
      <w:widowControl/>
      <w:suppressAutoHyphens/>
      <w:spacing w:after="120"/>
      <w:jc w:val="center"/>
    </w:pPr>
    <w:rPr>
      <w:rFonts w:ascii="Times New Roman" w:hAnsi="Times New Roman"/>
      <w:b/>
      <w:bCs/>
      <w:snapToGrid/>
      <w:sz w:val="20"/>
      <w:lang w:val="en-AU" w:eastAsia="en-AU"/>
    </w:rPr>
  </w:style>
  <w:style w:type="paragraph" w:styleId="Header">
    <w:name w:val="header"/>
    <w:basedOn w:val="Normal"/>
    <w:rsid w:val="004732AF"/>
    <w:pPr>
      <w:tabs>
        <w:tab w:val="center" w:pos="4153"/>
        <w:tab w:val="right" w:pos="8306"/>
      </w:tabs>
    </w:pPr>
  </w:style>
  <w:style w:type="character" w:styleId="PageNumber">
    <w:name w:val="page number"/>
    <w:basedOn w:val="DefaultParagraphFont"/>
    <w:rsid w:val="004732AF"/>
  </w:style>
  <w:style w:type="character" w:customStyle="1" w:styleId="Heading6Char">
    <w:name w:val="Heading6 Char"/>
    <w:link w:val="Heading6"/>
    <w:locked/>
    <w:rsid w:val="0063015A"/>
    <w:rPr>
      <w:b/>
      <w:bCs/>
      <w:lang w:val="en-AU" w:eastAsia="en-AU" w:bidi="ar-SA"/>
    </w:rPr>
  </w:style>
  <w:style w:type="paragraph" w:customStyle="1" w:styleId="list1">
    <w:name w:val="list1"/>
    <w:basedOn w:val="Normal"/>
    <w:rsid w:val="0063015A"/>
    <w:pPr>
      <w:keepLines/>
      <w:widowControl/>
      <w:suppressAutoHyphens/>
      <w:spacing w:before="60" w:after="60"/>
      <w:ind w:left="567" w:hanging="567"/>
      <w:jc w:val="both"/>
    </w:pPr>
    <w:rPr>
      <w:rFonts w:ascii="Times New Roman" w:hAnsi="Times New Roman"/>
      <w:snapToGrid/>
      <w:sz w:val="20"/>
      <w:lang w:val="en-AU" w:eastAsia="en-AU"/>
    </w:rPr>
  </w:style>
  <w:style w:type="paragraph" w:customStyle="1" w:styleId="A1">
    <w:name w:val="A1"/>
    <w:aliases w:val="Heading Amendment,1. Amendment"/>
    <w:basedOn w:val="Normal"/>
    <w:next w:val="Normal"/>
    <w:rsid w:val="003D4D89"/>
    <w:pPr>
      <w:keepNext/>
      <w:widowControl/>
      <w:spacing w:before="480" w:line="260" w:lineRule="exact"/>
      <w:ind w:left="964" w:hanging="964"/>
    </w:pPr>
    <w:rPr>
      <w:rFonts w:ascii="Arial" w:hAnsi="Arial" w:cs="Arial"/>
      <w:b/>
      <w:bCs/>
      <w:snapToGrid/>
      <w:szCs w:val="24"/>
      <w:lang w:val="en-AU" w:eastAsia="en-AU"/>
    </w:rPr>
  </w:style>
  <w:style w:type="paragraph" w:styleId="Footer">
    <w:name w:val="footer"/>
    <w:basedOn w:val="Normal"/>
    <w:link w:val="FooterChar"/>
    <w:rsid w:val="008004C8"/>
    <w:pPr>
      <w:tabs>
        <w:tab w:val="center" w:pos="4513"/>
        <w:tab w:val="right" w:pos="9026"/>
      </w:tabs>
    </w:pPr>
  </w:style>
  <w:style w:type="character" w:customStyle="1" w:styleId="FooterChar">
    <w:name w:val="Footer Char"/>
    <w:link w:val="Footer"/>
    <w:rsid w:val="008004C8"/>
    <w:rPr>
      <w:rFonts w:ascii="Courier New" w:hAnsi="Courier New"/>
      <w:snapToGrid w:val="0"/>
      <w:sz w:val="24"/>
      <w:lang w:val="en-US" w:eastAsia="en-US"/>
    </w:rPr>
  </w:style>
  <w:style w:type="paragraph" w:styleId="BalloonText">
    <w:name w:val="Balloon Text"/>
    <w:basedOn w:val="Normal"/>
    <w:link w:val="BalloonTextChar"/>
    <w:rsid w:val="00636512"/>
    <w:rPr>
      <w:rFonts w:ascii="Tahoma" w:hAnsi="Tahoma" w:cs="Tahoma"/>
      <w:sz w:val="16"/>
      <w:szCs w:val="16"/>
    </w:rPr>
  </w:style>
  <w:style w:type="character" w:customStyle="1" w:styleId="BalloonTextChar">
    <w:name w:val="Balloon Text Char"/>
    <w:basedOn w:val="DefaultParagraphFont"/>
    <w:link w:val="BalloonText"/>
    <w:rsid w:val="00636512"/>
    <w:rPr>
      <w:rFonts w:ascii="Tahoma" w:hAnsi="Tahoma" w:cs="Tahoma"/>
      <w:snapToGrid w:val="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2AF"/>
    <w:pPr>
      <w:widowControl w:val="0"/>
    </w:pPr>
    <w:rPr>
      <w:rFonts w:ascii="Courier New" w:hAnsi="Courier New"/>
      <w:snapToGrid w:val="0"/>
      <w:sz w:val="24"/>
      <w:lang w:val="en-US" w:eastAsia="en-US"/>
    </w:rPr>
  </w:style>
  <w:style w:type="paragraph" w:styleId="Heading5">
    <w:name w:val="heading 5"/>
    <w:basedOn w:val="Normal"/>
    <w:next w:val="Normal"/>
    <w:qFormat/>
    <w:rsid w:val="004732AF"/>
    <w:pPr>
      <w:keepNext/>
      <w:outlineLvl w:val="4"/>
    </w:pPr>
    <w:rPr>
      <w:rFonts w:ascii="Times New Roman" w:hAnsi="Times New Roman"/>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4732AF"/>
    <w:pPr>
      <w:keepNext/>
      <w:keepLines/>
      <w:widowControl/>
      <w:suppressAutoHyphens/>
      <w:spacing w:after="120"/>
      <w:jc w:val="both"/>
    </w:pPr>
    <w:rPr>
      <w:rFonts w:ascii="Times New Roman" w:hAnsi="Times New Roman"/>
      <w:b/>
      <w:bCs/>
      <w:snapToGrid/>
      <w:sz w:val="20"/>
      <w:lang w:val="en-AU" w:eastAsia="en-AU"/>
    </w:rPr>
  </w:style>
  <w:style w:type="paragraph" w:customStyle="1" w:styleId="Heading4">
    <w:name w:val="Heading4"/>
    <w:basedOn w:val="Normal"/>
    <w:rsid w:val="004732AF"/>
    <w:pPr>
      <w:keepNext/>
      <w:keepLines/>
      <w:widowControl/>
      <w:suppressAutoHyphens/>
      <w:spacing w:after="120"/>
      <w:jc w:val="center"/>
    </w:pPr>
    <w:rPr>
      <w:rFonts w:ascii="Times New Roman" w:hAnsi="Times New Roman"/>
      <w:b/>
      <w:bCs/>
      <w:snapToGrid/>
      <w:sz w:val="20"/>
      <w:lang w:val="en-AU" w:eastAsia="en-AU"/>
    </w:rPr>
  </w:style>
  <w:style w:type="paragraph" w:styleId="Header">
    <w:name w:val="header"/>
    <w:basedOn w:val="Normal"/>
    <w:rsid w:val="004732AF"/>
    <w:pPr>
      <w:tabs>
        <w:tab w:val="center" w:pos="4153"/>
        <w:tab w:val="right" w:pos="8306"/>
      </w:tabs>
    </w:pPr>
  </w:style>
  <w:style w:type="character" w:styleId="PageNumber">
    <w:name w:val="page number"/>
    <w:basedOn w:val="DefaultParagraphFont"/>
    <w:rsid w:val="004732AF"/>
  </w:style>
  <w:style w:type="character" w:customStyle="1" w:styleId="Heading6Char">
    <w:name w:val="Heading6 Char"/>
    <w:link w:val="Heading6"/>
    <w:locked/>
    <w:rsid w:val="0063015A"/>
    <w:rPr>
      <w:b/>
      <w:bCs/>
      <w:lang w:val="en-AU" w:eastAsia="en-AU" w:bidi="ar-SA"/>
    </w:rPr>
  </w:style>
  <w:style w:type="paragraph" w:customStyle="1" w:styleId="list1">
    <w:name w:val="list1"/>
    <w:basedOn w:val="Normal"/>
    <w:rsid w:val="0063015A"/>
    <w:pPr>
      <w:keepLines/>
      <w:widowControl/>
      <w:suppressAutoHyphens/>
      <w:spacing w:before="60" w:after="60"/>
      <w:ind w:left="567" w:hanging="567"/>
      <w:jc w:val="both"/>
    </w:pPr>
    <w:rPr>
      <w:rFonts w:ascii="Times New Roman" w:hAnsi="Times New Roman"/>
      <w:snapToGrid/>
      <w:sz w:val="20"/>
      <w:lang w:val="en-AU" w:eastAsia="en-AU"/>
    </w:rPr>
  </w:style>
  <w:style w:type="paragraph" w:customStyle="1" w:styleId="A1">
    <w:name w:val="A1"/>
    <w:aliases w:val="Heading Amendment,1. Amendment"/>
    <w:basedOn w:val="Normal"/>
    <w:next w:val="Normal"/>
    <w:rsid w:val="003D4D89"/>
    <w:pPr>
      <w:keepNext/>
      <w:widowControl/>
      <w:spacing w:before="480" w:line="260" w:lineRule="exact"/>
      <w:ind w:left="964" w:hanging="964"/>
    </w:pPr>
    <w:rPr>
      <w:rFonts w:ascii="Arial" w:hAnsi="Arial" w:cs="Arial"/>
      <w:b/>
      <w:bCs/>
      <w:snapToGrid/>
      <w:szCs w:val="24"/>
      <w:lang w:val="en-AU" w:eastAsia="en-AU"/>
    </w:rPr>
  </w:style>
  <w:style w:type="paragraph" w:styleId="Footer">
    <w:name w:val="footer"/>
    <w:basedOn w:val="Normal"/>
    <w:link w:val="FooterChar"/>
    <w:rsid w:val="008004C8"/>
    <w:pPr>
      <w:tabs>
        <w:tab w:val="center" w:pos="4513"/>
        <w:tab w:val="right" w:pos="9026"/>
      </w:tabs>
    </w:pPr>
  </w:style>
  <w:style w:type="character" w:customStyle="1" w:styleId="FooterChar">
    <w:name w:val="Footer Char"/>
    <w:link w:val="Footer"/>
    <w:rsid w:val="008004C8"/>
    <w:rPr>
      <w:rFonts w:ascii="Courier New" w:hAnsi="Courier New"/>
      <w:snapToGrid w:val="0"/>
      <w:sz w:val="24"/>
      <w:lang w:val="en-US" w:eastAsia="en-US"/>
    </w:rPr>
  </w:style>
  <w:style w:type="paragraph" w:styleId="BalloonText">
    <w:name w:val="Balloon Text"/>
    <w:basedOn w:val="Normal"/>
    <w:link w:val="BalloonTextChar"/>
    <w:rsid w:val="00636512"/>
    <w:rPr>
      <w:rFonts w:ascii="Tahoma" w:hAnsi="Tahoma" w:cs="Tahoma"/>
      <w:sz w:val="16"/>
      <w:szCs w:val="16"/>
    </w:rPr>
  </w:style>
  <w:style w:type="character" w:customStyle="1" w:styleId="BalloonTextChar">
    <w:name w:val="Balloon Text Char"/>
    <w:basedOn w:val="DefaultParagraphFont"/>
    <w:link w:val="BalloonText"/>
    <w:rsid w:val="00636512"/>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hanwyn</dc:creator>
  <cp:lastModifiedBy>Kerry Boyle</cp:lastModifiedBy>
  <cp:revision>3</cp:revision>
  <cp:lastPrinted>2012-11-01T23:28:00Z</cp:lastPrinted>
  <dcterms:created xsi:type="dcterms:W3CDTF">2012-11-05T23:01:00Z</dcterms:created>
  <dcterms:modified xsi:type="dcterms:W3CDTF">2012-11-06T00:27:00Z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