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F70" w:rsidRPr="00F03140" w:rsidRDefault="00910F70" w:rsidP="00910F70">
      <w:pPr>
        <w:pStyle w:val="Heading1"/>
        <w:ind w:right="3"/>
        <w:jc w:val="center"/>
        <w:rPr>
          <w:rFonts w:ascii="Times New Roman" w:hAnsi="Times New Roman"/>
        </w:rPr>
      </w:pPr>
      <w:r w:rsidRPr="00F03140">
        <w:rPr>
          <w:rFonts w:ascii="Times New Roman" w:hAnsi="Times New Roman"/>
        </w:rPr>
        <w:t>EXPLANATORY STATEMENT</w:t>
      </w:r>
    </w:p>
    <w:p w:rsidR="00910F70" w:rsidRPr="00F03140" w:rsidRDefault="00910F70" w:rsidP="00910F70">
      <w:pPr>
        <w:pStyle w:val="Heading2"/>
        <w:jc w:val="center"/>
        <w:rPr>
          <w:rFonts w:ascii="Times New Roman" w:hAnsi="Times New Roman"/>
          <w:b w:val="0"/>
          <w:caps/>
        </w:rPr>
      </w:pPr>
    </w:p>
    <w:p w:rsidR="00910F70" w:rsidRPr="00F03140" w:rsidRDefault="00910F70" w:rsidP="00910F70">
      <w:pPr>
        <w:pStyle w:val="Heading2"/>
        <w:jc w:val="center"/>
        <w:rPr>
          <w:rFonts w:ascii="Times New Roman" w:hAnsi="Times New Roman"/>
          <w:b w:val="0"/>
          <w:caps/>
        </w:rPr>
      </w:pPr>
      <w:r w:rsidRPr="00F03140">
        <w:rPr>
          <w:rFonts w:ascii="Times New Roman" w:hAnsi="Times New Roman"/>
          <w:b w:val="0"/>
          <w:caps/>
        </w:rPr>
        <w:t>Issued by the Authority of the Assistant Treasurer</w:t>
      </w:r>
    </w:p>
    <w:p w:rsidR="00910F70" w:rsidRPr="00F03140" w:rsidRDefault="00910F70" w:rsidP="00910F70">
      <w:pPr>
        <w:rPr>
          <w:rFonts w:ascii="Times New Roman" w:hAnsi="Times New Roman"/>
        </w:rPr>
      </w:pPr>
    </w:p>
    <w:p w:rsidR="00910F70" w:rsidRPr="00F03140" w:rsidRDefault="00910F70" w:rsidP="00910F70">
      <w:pPr>
        <w:ind w:right="3"/>
        <w:jc w:val="center"/>
        <w:rPr>
          <w:rFonts w:ascii="Times New Roman" w:hAnsi="Times New Roman"/>
          <w:i/>
        </w:rPr>
      </w:pPr>
      <w:r w:rsidRPr="00F03140">
        <w:rPr>
          <w:rFonts w:ascii="Times New Roman" w:hAnsi="Times New Roman"/>
          <w:i/>
        </w:rPr>
        <w:t>Competition and Consumer Act 2010</w:t>
      </w:r>
    </w:p>
    <w:p w:rsidR="00910F70" w:rsidRPr="00F03140" w:rsidRDefault="00910F70" w:rsidP="00910F70">
      <w:pPr>
        <w:ind w:right="3"/>
        <w:jc w:val="center"/>
        <w:rPr>
          <w:rFonts w:ascii="Times New Roman" w:hAnsi="Times New Roman"/>
          <w:i/>
        </w:rPr>
      </w:pPr>
    </w:p>
    <w:p w:rsidR="00910F70" w:rsidRPr="00F03140" w:rsidRDefault="00910F70" w:rsidP="00910F70">
      <w:pPr>
        <w:jc w:val="center"/>
        <w:rPr>
          <w:rFonts w:ascii="Times New Roman" w:hAnsi="Times New Roman"/>
          <w:i/>
        </w:rPr>
      </w:pPr>
      <w:r w:rsidRPr="00F03140">
        <w:rPr>
          <w:rFonts w:ascii="Times New Roman" w:hAnsi="Times New Roman"/>
          <w:i/>
        </w:rPr>
        <w:t>Consumer Protection Notice No. 5 of 2012: Imposition of permanent ban on small high powered magnets</w:t>
      </w:r>
    </w:p>
    <w:p w:rsidR="00910F70" w:rsidRPr="00F03140" w:rsidRDefault="00910F70" w:rsidP="00910F70">
      <w:pPr>
        <w:ind w:right="3"/>
        <w:jc w:val="both"/>
        <w:rPr>
          <w:rFonts w:ascii="Times New Roman" w:hAnsi="Times New Roman"/>
          <w:u w:val="single"/>
        </w:rPr>
      </w:pPr>
      <w:r w:rsidRPr="00F03140">
        <w:rPr>
          <w:rFonts w:ascii="Times New Roman" w:hAnsi="Times New Roman"/>
          <w:u w:val="single"/>
        </w:rPr>
        <w:t>Overview</w:t>
      </w:r>
    </w:p>
    <w:p w:rsidR="00910F70" w:rsidRPr="00F03140" w:rsidRDefault="00910F70" w:rsidP="00910F70">
      <w:pPr>
        <w:spacing w:before="120"/>
        <w:ind w:right="3"/>
        <w:jc w:val="both"/>
        <w:rPr>
          <w:rFonts w:ascii="Times New Roman" w:hAnsi="Times New Roman"/>
        </w:rPr>
      </w:pPr>
      <w:r w:rsidRPr="00F03140">
        <w:rPr>
          <w:rFonts w:ascii="Times New Roman" w:hAnsi="Times New Roman"/>
        </w:rPr>
        <w:t>This Legislative Instrument imposes a permanent ban on small high powered magnets sold in multiples of two or more as toys, games, puzzles, construction or modelling kits or as jewellery sold to be worn in or around the mouth or nose.</w:t>
      </w:r>
    </w:p>
    <w:p w:rsidR="00910F70" w:rsidRPr="00F03140" w:rsidRDefault="00910F70" w:rsidP="00910F70">
      <w:pPr>
        <w:spacing w:before="120"/>
        <w:ind w:right="3"/>
        <w:jc w:val="both"/>
        <w:rPr>
          <w:rFonts w:ascii="Times New Roman" w:hAnsi="Times New Roman"/>
        </w:rPr>
      </w:pPr>
      <w:r w:rsidRPr="00F03140">
        <w:rPr>
          <w:rFonts w:ascii="Times New Roman" w:hAnsi="Times New Roman"/>
        </w:rPr>
        <w:t>If a person swallows more than one small high powered magnet, the magnets can be attracted across the walls of the intestine or other digestive tissue.  Progressive tissue injury starts with local inflammation and ulceration, progressing to tissue death, perforation or fistula formation, and can lead to infection, sepsis and death.  The serious nature of the hazard is not self-evident and, even after ingestion, will often not be recognised by either carers or medical staff. Since desk toys consisting of small high powered magnets were introduced into the Australian market in early 2011, there have been 16 known severe cases in Australia – including one death –caused when infants, children and teenagers have swallowed more than one small high powered magnet.</w:t>
      </w:r>
    </w:p>
    <w:p w:rsidR="00910F70" w:rsidRPr="00F03140" w:rsidRDefault="00910F70" w:rsidP="00910F70">
      <w:pPr>
        <w:spacing w:before="120"/>
        <w:ind w:right="3"/>
        <w:jc w:val="both"/>
        <w:rPr>
          <w:rFonts w:ascii="Times New Roman" w:hAnsi="Times New Roman"/>
        </w:rPr>
      </w:pPr>
      <w:r w:rsidRPr="00F03140">
        <w:rPr>
          <w:rFonts w:ascii="Times New Roman" w:hAnsi="Times New Roman"/>
        </w:rPr>
        <w:t>This ban is intended to have a narrow focus by only banning small high powered magnets which are marketed or supplied for use as toys or for one of the other specified uses. It does not ban small high powered magnets used for industrial, commercial or scientific applications. It does not impact upon small high powered magnets which are components in household electronic goods and it does not prevent sets of small high powered magnets being used in educational institutions for teaching purposes.</w:t>
      </w:r>
    </w:p>
    <w:p w:rsidR="00910F70" w:rsidRPr="00F03140" w:rsidRDefault="00910F70" w:rsidP="00910F70">
      <w:pPr>
        <w:spacing w:before="120"/>
        <w:ind w:right="3"/>
        <w:jc w:val="both"/>
        <w:rPr>
          <w:rFonts w:ascii="Times New Roman" w:hAnsi="Times New Roman"/>
        </w:rPr>
      </w:pPr>
      <w:r w:rsidRPr="00F03140">
        <w:rPr>
          <w:rFonts w:ascii="Times New Roman" w:hAnsi="Times New Roman"/>
        </w:rPr>
        <w:t xml:space="preserve">On the basis of advice from an expert on electromagnetism the notation for designating “magnetic flux index” provided in clause 5.31 of Australian / New Zealand Standard, </w:t>
      </w:r>
      <w:r w:rsidRPr="00F03140">
        <w:rPr>
          <w:rFonts w:ascii="Times New Roman" w:hAnsi="Times New Roman"/>
          <w:i/>
        </w:rPr>
        <w:t>Safety of toys – Part 1: Safety aspects related to mechanical and physical properties</w:t>
      </w:r>
      <w:r w:rsidRPr="00F03140">
        <w:rPr>
          <w:rFonts w:ascii="Times New Roman" w:hAnsi="Times New Roman"/>
        </w:rPr>
        <w:t xml:space="preserve"> (AS/NZS ISO 8124.1:2010) has been expressed slightly differently in this Legislative Instrument to add clarity.  The limit in the ban is expressed as 50 (</w:t>
      </w:r>
      <w:proofErr w:type="spellStart"/>
      <w:r w:rsidRPr="00F03140">
        <w:rPr>
          <w:rFonts w:ascii="Times New Roman" w:hAnsi="Times New Roman"/>
        </w:rPr>
        <w:t>kG</w:t>
      </w:r>
      <w:proofErr w:type="spellEnd"/>
      <w:proofErr w:type="gramStart"/>
      <w:r w:rsidRPr="00F03140">
        <w:rPr>
          <w:rFonts w:ascii="Times New Roman" w:hAnsi="Times New Roman"/>
        </w:rPr>
        <w:t>)</w:t>
      </w:r>
      <w:r w:rsidRPr="00F03140">
        <w:rPr>
          <w:rFonts w:ascii="Times New Roman" w:hAnsi="Times New Roman"/>
          <w:vertAlign w:val="superscript"/>
        </w:rPr>
        <w:t>2</w:t>
      </w:r>
      <w:proofErr w:type="gramEnd"/>
      <w:r w:rsidRPr="00F03140">
        <w:rPr>
          <w:rFonts w:ascii="Times New Roman" w:hAnsi="Times New Roman"/>
        </w:rPr>
        <w:t xml:space="preserve"> mm</w:t>
      </w:r>
      <w:r w:rsidRPr="00F03140">
        <w:rPr>
          <w:rFonts w:ascii="Times New Roman" w:hAnsi="Times New Roman"/>
          <w:vertAlign w:val="superscript"/>
        </w:rPr>
        <w:t>2</w:t>
      </w:r>
      <w:r w:rsidRPr="00F03140">
        <w:rPr>
          <w:rFonts w:ascii="Times New Roman" w:hAnsi="Times New Roman"/>
        </w:rPr>
        <w:t xml:space="preserve"> (equivalent to 0.5 T</w:t>
      </w:r>
      <w:r w:rsidRPr="00F03140">
        <w:rPr>
          <w:rFonts w:ascii="Times New Roman" w:hAnsi="Times New Roman"/>
          <w:vertAlign w:val="superscript"/>
        </w:rPr>
        <w:t>2</w:t>
      </w:r>
      <w:r w:rsidRPr="00F03140">
        <w:rPr>
          <w:rFonts w:ascii="Times New Roman" w:hAnsi="Times New Roman"/>
        </w:rPr>
        <w:t>m</w:t>
      </w:r>
      <w:r w:rsidRPr="00F03140">
        <w:rPr>
          <w:rFonts w:ascii="Times New Roman" w:hAnsi="Times New Roman"/>
          <w:vertAlign w:val="superscript"/>
        </w:rPr>
        <w:t>2</w:t>
      </w:r>
      <w:r w:rsidRPr="00F03140">
        <w:rPr>
          <w:rFonts w:ascii="Times New Roman" w:hAnsi="Times New Roman"/>
        </w:rPr>
        <w:t>), instead of 50 kG</w:t>
      </w:r>
      <w:r w:rsidRPr="00F03140">
        <w:rPr>
          <w:rFonts w:ascii="Times New Roman" w:hAnsi="Times New Roman"/>
          <w:vertAlign w:val="superscript"/>
        </w:rPr>
        <w:t>2</w:t>
      </w:r>
      <w:r w:rsidRPr="00F03140">
        <w:rPr>
          <w:rFonts w:ascii="Times New Roman" w:hAnsi="Times New Roman"/>
        </w:rPr>
        <w:t>mm</w:t>
      </w:r>
      <w:r w:rsidRPr="00F03140">
        <w:rPr>
          <w:rFonts w:ascii="Times New Roman" w:hAnsi="Times New Roman"/>
          <w:vertAlign w:val="superscript"/>
        </w:rPr>
        <w:t>2</w:t>
      </w:r>
      <w:r w:rsidRPr="00F03140">
        <w:rPr>
          <w:rFonts w:ascii="Times New Roman" w:hAnsi="Times New Roman"/>
        </w:rPr>
        <w:t>.</w:t>
      </w:r>
    </w:p>
    <w:p w:rsidR="00910F70" w:rsidRDefault="00910F70" w:rsidP="00910F70">
      <w:pPr>
        <w:spacing w:before="120"/>
        <w:ind w:right="3"/>
        <w:jc w:val="both"/>
        <w:rPr>
          <w:rFonts w:ascii="Times New Roman" w:hAnsi="Times New Roman"/>
        </w:rPr>
      </w:pPr>
      <w:r w:rsidRPr="00F03140">
        <w:rPr>
          <w:rFonts w:ascii="Times New Roman" w:hAnsi="Times New Roman"/>
        </w:rPr>
        <w:t>This ban commences on the day after it is registered on the Federal Register of Legislative Instruments.</w:t>
      </w:r>
    </w:p>
    <w:p w:rsidR="00910F70" w:rsidRPr="00F03140" w:rsidRDefault="00910F70" w:rsidP="00910F70">
      <w:pPr>
        <w:spacing w:before="120"/>
        <w:ind w:right="3"/>
        <w:jc w:val="both"/>
        <w:rPr>
          <w:rFonts w:ascii="Times New Roman" w:hAnsi="Times New Roman"/>
        </w:rPr>
      </w:pPr>
    </w:p>
    <w:p w:rsidR="00910F70" w:rsidRPr="00F03140" w:rsidRDefault="00910F70" w:rsidP="00910F70">
      <w:pPr>
        <w:ind w:right="3"/>
        <w:jc w:val="both"/>
        <w:rPr>
          <w:rFonts w:ascii="Times New Roman" w:hAnsi="Times New Roman"/>
          <w:u w:val="single"/>
        </w:rPr>
      </w:pPr>
      <w:r w:rsidRPr="00F03140">
        <w:rPr>
          <w:rFonts w:ascii="Times New Roman" w:hAnsi="Times New Roman"/>
          <w:u w:val="single"/>
        </w:rPr>
        <w:t>Background</w:t>
      </w:r>
    </w:p>
    <w:p w:rsidR="00910F70" w:rsidRPr="00F03140" w:rsidRDefault="00910F70" w:rsidP="00910F70">
      <w:pPr>
        <w:spacing w:before="120"/>
        <w:ind w:right="3"/>
        <w:jc w:val="both"/>
        <w:rPr>
          <w:rFonts w:ascii="Times New Roman" w:hAnsi="Times New Roman"/>
          <w:i/>
        </w:rPr>
      </w:pPr>
      <w:r w:rsidRPr="00F03140">
        <w:rPr>
          <w:rFonts w:ascii="Times New Roman" w:hAnsi="Times New Roman"/>
          <w:i/>
        </w:rPr>
        <w:t>Legislative Power</w:t>
      </w:r>
    </w:p>
    <w:p w:rsidR="00910F70" w:rsidRPr="00F03140" w:rsidRDefault="00910F70" w:rsidP="00910F70">
      <w:pPr>
        <w:spacing w:before="120"/>
        <w:ind w:right="3"/>
        <w:jc w:val="both"/>
        <w:rPr>
          <w:rFonts w:ascii="Times New Roman" w:hAnsi="Times New Roman"/>
        </w:rPr>
      </w:pPr>
      <w:r w:rsidRPr="00F03140">
        <w:rPr>
          <w:rFonts w:ascii="Times New Roman" w:hAnsi="Times New Roman"/>
        </w:rPr>
        <w:t xml:space="preserve">Subsection 114(1) of the Australian Consumer Law (ACL), contained in Schedule 2 of the </w:t>
      </w:r>
      <w:r w:rsidRPr="00F03140">
        <w:rPr>
          <w:rFonts w:ascii="Times New Roman" w:hAnsi="Times New Roman"/>
          <w:i/>
        </w:rPr>
        <w:t>Competition and Consumer Act 2010</w:t>
      </w:r>
      <w:r w:rsidRPr="00F03140">
        <w:rPr>
          <w:rFonts w:ascii="Times New Roman" w:hAnsi="Times New Roman"/>
        </w:rPr>
        <w:t xml:space="preserve"> (CCA) provides that the Commonwealth Minister may, by written notice published on the internet, impose a permanent ban on consumer goods, if it appears to the Minister that a reasonably foreseeable use (including a misuse) will or may cause injury to any person.</w:t>
      </w:r>
    </w:p>
    <w:p w:rsidR="00910F70" w:rsidRPr="00F03140" w:rsidRDefault="00910F70" w:rsidP="00910F70">
      <w:pPr>
        <w:spacing w:before="120"/>
        <w:ind w:right="3"/>
        <w:jc w:val="both"/>
        <w:rPr>
          <w:rFonts w:ascii="Times New Roman" w:hAnsi="Times New Roman"/>
        </w:rPr>
      </w:pPr>
      <w:r w:rsidRPr="00F03140">
        <w:rPr>
          <w:rFonts w:ascii="Times New Roman" w:hAnsi="Times New Roman"/>
        </w:rPr>
        <w:lastRenderedPageBreak/>
        <w:t>Section 132 of the CCA specifies that the Commonwealth Minister must issue a proposed ban notice if the Commonwealth Minister proposes to impose a permanent ban on consumer goods of a particular kind. A proposed ban notice must invite any person who supplies or proposes to supply consumer goods of that kind to notify the Australian Competition and Consumer Commission (ACCC) that they wish for the ACCC to hold a conference in relation to the proposed imposition of the ban.</w:t>
      </w:r>
    </w:p>
    <w:p w:rsidR="00910F70" w:rsidRPr="00F03140" w:rsidRDefault="00910F70" w:rsidP="00910F70">
      <w:pPr>
        <w:spacing w:before="120"/>
        <w:ind w:right="3"/>
        <w:jc w:val="both"/>
        <w:rPr>
          <w:rFonts w:ascii="Times New Roman" w:hAnsi="Times New Roman"/>
        </w:rPr>
      </w:pPr>
      <w:r w:rsidRPr="00F03140">
        <w:rPr>
          <w:rFonts w:ascii="Times New Roman" w:hAnsi="Times New Roman"/>
        </w:rPr>
        <w:t>The Commonwealth Minister issued a proposed ban notice on 22 August 2012. Following notification of a request for a conference from suppliers, the ACCC held a conference with suppliers in relation to the proposed imposition of the ban on 20 September 2012.  Further information on this consultation is outlined below.</w:t>
      </w:r>
    </w:p>
    <w:p w:rsidR="00910F70" w:rsidRPr="00F03140" w:rsidRDefault="00910F70" w:rsidP="00910F70">
      <w:pPr>
        <w:spacing w:before="120"/>
        <w:ind w:right="3"/>
        <w:jc w:val="both"/>
        <w:rPr>
          <w:rFonts w:ascii="Times New Roman" w:hAnsi="Times New Roman"/>
        </w:rPr>
      </w:pPr>
      <w:r w:rsidRPr="00F03140">
        <w:rPr>
          <w:rFonts w:ascii="Times New Roman" w:hAnsi="Times New Roman"/>
        </w:rPr>
        <w:t>As soon as practicable after the conclusion of a conference in relation to the proposed imposition of a permanent ban, the ACCC must recommend that the Commonwealth Minister impose the ban in the same terms as the draft notice, impose the ban with modifications or not impose the ban.</w:t>
      </w:r>
    </w:p>
    <w:p w:rsidR="00910F70" w:rsidRPr="00F03140" w:rsidRDefault="00910F70" w:rsidP="00910F70">
      <w:pPr>
        <w:spacing w:before="120"/>
        <w:ind w:right="3"/>
        <w:jc w:val="both"/>
        <w:rPr>
          <w:rFonts w:ascii="Times New Roman" w:hAnsi="Times New Roman"/>
        </w:rPr>
      </w:pPr>
      <w:r w:rsidRPr="00F03140">
        <w:rPr>
          <w:rFonts w:ascii="Times New Roman" w:hAnsi="Times New Roman"/>
        </w:rPr>
        <w:t>The ACCC recommended to the Commonwealth Minister that a permanent ban with modifications be imposed on 2 November 2012.</w:t>
      </w:r>
    </w:p>
    <w:p w:rsidR="00910F70" w:rsidRPr="00F03140" w:rsidRDefault="00910F70" w:rsidP="00910F70">
      <w:pPr>
        <w:spacing w:before="120"/>
        <w:ind w:right="3"/>
        <w:jc w:val="both"/>
        <w:rPr>
          <w:rFonts w:ascii="Times New Roman" w:hAnsi="Times New Roman"/>
        </w:rPr>
      </w:pPr>
      <w:r w:rsidRPr="00F03140">
        <w:rPr>
          <w:rFonts w:ascii="Times New Roman" w:hAnsi="Times New Roman"/>
        </w:rPr>
        <w:t>The CCA does not specify any further conditions that need to be satisfied before the power to make the Legislative Instrument may be exercised.</w:t>
      </w:r>
    </w:p>
    <w:p w:rsidR="00910F70" w:rsidRPr="00F03140" w:rsidRDefault="00910F70" w:rsidP="00910F70">
      <w:pPr>
        <w:spacing w:before="120"/>
        <w:ind w:right="3"/>
        <w:jc w:val="both"/>
        <w:rPr>
          <w:rFonts w:ascii="Times New Roman" w:hAnsi="Times New Roman"/>
        </w:rPr>
      </w:pPr>
      <w:r w:rsidRPr="00F03140">
        <w:rPr>
          <w:rFonts w:ascii="Times New Roman" w:hAnsi="Times New Roman"/>
        </w:rPr>
        <w:t>Subsection 118(1) of the ACL provides that a person must not, in trade or commerce, supply consumer goods of a particular kind if a permanent ban on consumer goods of that kind is in force.</w:t>
      </w:r>
    </w:p>
    <w:p w:rsidR="00910F70" w:rsidRPr="00F03140" w:rsidRDefault="00910F70" w:rsidP="00910F70">
      <w:pPr>
        <w:spacing w:before="120"/>
        <w:ind w:right="3"/>
        <w:jc w:val="both"/>
        <w:rPr>
          <w:rFonts w:ascii="Times New Roman" w:hAnsi="Times New Roman"/>
          <w:i/>
        </w:rPr>
      </w:pPr>
      <w:r w:rsidRPr="00F03140">
        <w:rPr>
          <w:rFonts w:ascii="Times New Roman" w:hAnsi="Times New Roman"/>
          <w:i/>
        </w:rPr>
        <w:t>Sunset Provisions</w:t>
      </w:r>
    </w:p>
    <w:p w:rsidR="00910F70" w:rsidRPr="00F03140" w:rsidRDefault="00910F70" w:rsidP="00910F70">
      <w:pPr>
        <w:spacing w:before="120"/>
        <w:ind w:right="3"/>
        <w:jc w:val="both"/>
        <w:rPr>
          <w:rFonts w:ascii="Times New Roman" w:hAnsi="Times New Roman"/>
        </w:rPr>
      </w:pPr>
      <w:r w:rsidRPr="00F03140">
        <w:rPr>
          <w:rFonts w:ascii="Times New Roman" w:hAnsi="Times New Roman"/>
        </w:rPr>
        <w:t xml:space="preserve">Under the CCA, a permanent ban is a legislative instrument for the purposes of the </w:t>
      </w:r>
      <w:r w:rsidRPr="00F03140">
        <w:rPr>
          <w:rFonts w:ascii="Times New Roman" w:hAnsi="Times New Roman"/>
          <w:i/>
        </w:rPr>
        <w:t>Legislative Instruments Act 2003</w:t>
      </w:r>
      <w:r w:rsidRPr="00F03140">
        <w:rPr>
          <w:rFonts w:ascii="Times New Roman" w:hAnsi="Times New Roman"/>
        </w:rPr>
        <w:t xml:space="preserve"> (LIA). This instrument is subject to </w:t>
      </w:r>
      <w:proofErr w:type="spellStart"/>
      <w:r w:rsidRPr="00F03140">
        <w:rPr>
          <w:rFonts w:ascii="Times New Roman" w:hAnsi="Times New Roman"/>
        </w:rPr>
        <w:t>sunsetting</w:t>
      </w:r>
      <w:proofErr w:type="spellEnd"/>
      <w:r w:rsidRPr="00F03140">
        <w:rPr>
          <w:rFonts w:ascii="Times New Roman" w:hAnsi="Times New Roman"/>
        </w:rPr>
        <w:t xml:space="preserve"> under Part 6 of the LIA. Unless action is taken to defer or exempt it from </w:t>
      </w:r>
      <w:proofErr w:type="spellStart"/>
      <w:r w:rsidRPr="00F03140">
        <w:rPr>
          <w:rFonts w:ascii="Times New Roman" w:hAnsi="Times New Roman"/>
        </w:rPr>
        <w:t>sunsetting</w:t>
      </w:r>
      <w:proofErr w:type="spellEnd"/>
      <w:r w:rsidRPr="00F03140">
        <w:rPr>
          <w:rFonts w:ascii="Times New Roman" w:hAnsi="Times New Roman"/>
        </w:rPr>
        <w:t xml:space="preserve">, it is expected to sunset on 1 April 2023. This estimate assumes it is registered on or before 31 March 2013. </w:t>
      </w:r>
    </w:p>
    <w:p w:rsidR="00910F70" w:rsidRDefault="00910F70" w:rsidP="00910F70">
      <w:pPr>
        <w:spacing w:after="100" w:afterAutospacing="1"/>
        <w:rPr>
          <w:rFonts w:ascii="Times New Roman" w:hAnsi="Times New Roman"/>
          <w:bCs/>
          <w:szCs w:val="24"/>
          <w:u w:val="single"/>
        </w:rPr>
      </w:pPr>
    </w:p>
    <w:p w:rsidR="00910F70" w:rsidRPr="00F03140" w:rsidRDefault="00910F70" w:rsidP="00910F70">
      <w:pPr>
        <w:spacing w:after="100" w:afterAutospacing="1"/>
        <w:rPr>
          <w:rFonts w:ascii="Times New Roman" w:hAnsi="Times New Roman"/>
          <w:szCs w:val="24"/>
          <w:u w:val="single"/>
        </w:rPr>
      </w:pPr>
      <w:r w:rsidRPr="00F03140">
        <w:rPr>
          <w:rFonts w:ascii="Times New Roman" w:hAnsi="Times New Roman"/>
          <w:bCs/>
          <w:szCs w:val="24"/>
          <w:u w:val="single"/>
        </w:rPr>
        <w:t>Statement of Compatibility with Human Rights</w:t>
      </w:r>
    </w:p>
    <w:p w:rsidR="00910F70" w:rsidRPr="00F03140" w:rsidRDefault="00910F70" w:rsidP="00910F70">
      <w:pPr>
        <w:spacing w:before="120" w:after="100" w:afterAutospacing="1"/>
        <w:rPr>
          <w:rFonts w:ascii="Times New Roman" w:hAnsi="Times New Roman"/>
          <w:szCs w:val="24"/>
        </w:rPr>
      </w:pPr>
      <w:r w:rsidRPr="00F03140">
        <w:rPr>
          <w:rFonts w:ascii="Times New Roman" w:hAnsi="Times New Roman"/>
          <w:i/>
          <w:iCs/>
          <w:szCs w:val="24"/>
        </w:rPr>
        <w:t>Prepared in accordance with Part 3 of the Human Rights (Parliamentary Scrutiny) Act 2011</w:t>
      </w:r>
    </w:p>
    <w:p w:rsidR="00910F70" w:rsidRPr="00F03140" w:rsidRDefault="00910F70" w:rsidP="00910F70">
      <w:pPr>
        <w:spacing w:before="120" w:after="100" w:afterAutospacing="1"/>
        <w:rPr>
          <w:rFonts w:ascii="Times New Roman" w:hAnsi="Times New Roman"/>
          <w:szCs w:val="24"/>
        </w:rPr>
      </w:pPr>
      <w:r w:rsidRPr="00F03140">
        <w:rPr>
          <w:rFonts w:ascii="Times New Roman" w:hAnsi="Times New Roman"/>
          <w:szCs w:val="24"/>
        </w:rPr>
        <w:t xml:space="preserve">This Legislative Instrument is compatible with the human rights and freedoms recognised or declared in the international instruments listed in section 3 of the </w:t>
      </w:r>
      <w:r w:rsidRPr="00F03140">
        <w:rPr>
          <w:rFonts w:ascii="Times New Roman" w:hAnsi="Times New Roman"/>
          <w:i/>
          <w:iCs/>
          <w:szCs w:val="24"/>
        </w:rPr>
        <w:t>Human Rights (Parliamentary Scrutiny) Act 2011</w:t>
      </w:r>
      <w:r w:rsidRPr="00F03140">
        <w:rPr>
          <w:rFonts w:ascii="Times New Roman" w:hAnsi="Times New Roman"/>
          <w:szCs w:val="24"/>
        </w:rPr>
        <w:t>.</w:t>
      </w:r>
    </w:p>
    <w:p w:rsidR="00910F70" w:rsidRPr="00F03140" w:rsidRDefault="00910F70" w:rsidP="00910F70">
      <w:pPr>
        <w:spacing w:before="120"/>
        <w:ind w:right="3"/>
        <w:jc w:val="both"/>
        <w:rPr>
          <w:rFonts w:ascii="Times New Roman" w:hAnsi="Times New Roman"/>
          <w:i/>
        </w:rPr>
      </w:pPr>
      <w:r w:rsidRPr="00F03140">
        <w:rPr>
          <w:rFonts w:ascii="Times New Roman" w:hAnsi="Times New Roman"/>
          <w:i/>
        </w:rPr>
        <w:t xml:space="preserve">Overview of the Legislative Instrument </w:t>
      </w:r>
    </w:p>
    <w:p w:rsidR="00910F70" w:rsidRPr="00F03140" w:rsidRDefault="00910F70" w:rsidP="00910F70">
      <w:pPr>
        <w:spacing w:before="120"/>
        <w:ind w:right="3"/>
        <w:jc w:val="both"/>
        <w:rPr>
          <w:rFonts w:ascii="Times New Roman" w:hAnsi="Times New Roman"/>
        </w:rPr>
      </w:pPr>
      <w:r w:rsidRPr="00F03140">
        <w:rPr>
          <w:rFonts w:ascii="Times New Roman" w:hAnsi="Times New Roman"/>
        </w:rPr>
        <w:t>This Legislative Instrument is a permanent ban which prohibits the supply of a product which has caused death and injury to children.</w:t>
      </w:r>
    </w:p>
    <w:p w:rsidR="00910F70" w:rsidRPr="00F03140" w:rsidRDefault="00910F70" w:rsidP="00910F70">
      <w:pPr>
        <w:spacing w:before="120"/>
        <w:ind w:right="3"/>
        <w:jc w:val="both"/>
        <w:rPr>
          <w:rFonts w:ascii="Times New Roman" w:hAnsi="Times New Roman"/>
          <w:i/>
        </w:rPr>
      </w:pPr>
      <w:r w:rsidRPr="00F03140">
        <w:rPr>
          <w:rFonts w:ascii="Times New Roman" w:hAnsi="Times New Roman"/>
          <w:i/>
        </w:rPr>
        <w:t>Human Rights Implications</w:t>
      </w:r>
    </w:p>
    <w:p w:rsidR="00910F70" w:rsidRPr="00F03140" w:rsidRDefault="00910F70" w:rsidP="00910F70">
      <w:pPr>
        <w:spacing w:before="120"/>
        <w:ind w:right="3"/>
        <w:jc w:val="both"/>
        <w:rPr>
          <w:rFonts w:ascii="Times New Roman" w:hAnsi="Times New Roman"/>
        </w:rPr>
      </w:pPr>
      <w:r w:rsidRPr="00F03140">
        <w:rPr>
          <w:rFonts w:ascii="Times New Roman" w:hAnsi="Times New Roman"/>
        </w:rPr>
        <w:t>The Legislative Instrument engages the right to health and the rights of the child.</w:t>
      </w:r>
    </w:p>
    <w:p w:rsidR="00910F70" w:rsidRPr="00F03140" w:rsidRDefault="00910F70" w:rsidP="00910F70">
      <w:pPr>
        <w:spacing w:before="120"/>
        <w:ind w:right="3"/>
        <w:jc w:val="both"/>
        <w:rPr>
          <w:rFonts w:ascii="Times New Roman" w:hAnsi="Times New Roman"/>
        </w:rPr>
      </w:pPr>
      <w:r w:rsidRPr="00F03140">
        <w:rPr>
          <w:rFonts w:ascii="Times New Roman" w:hAnsi="Times New Roman"/>
        </w:rPr>
        <w:t>The International Covenant on Economic, Social and Cultural Rights recognises the right of everyone to the enjoyment of the highest attainable standard of physical and mental health.</w:t>
      </w:r>
    </w:p>
    <w:p w:rsidR="00910F70" w:rsidRPr="00F03140" w:rsidRDefault="00910F70" w:rsidP="00910F70">
      <w:pPr>
        <w:spacing w:before="120"/>
        <w:ind w:right="3"/>
        <w:jc w:val="both"/>
        <w:rPr>
          <w:rFonts w:ascii="Times New Roman" w:hAnsi="Times New Roman"/>
        </w:rPr>
      </w:pPr>
      <w:r w:rsidRPr="00F03140">
        <w:rPr>
          <w:rFonts w:ascii="Times New Roman" w:hAnsi="Times New Roman"/>
        </w:rPr>
        <w:t>The Convention on the Rights of the Child recognises the right of the child to the enjoyment of the highest attainable standard of health.</w:t>
      </w:r>
    </w:p>
    <w:p w:rsidR="00910F70" w:rsidRPr="00F03140" w:rsidRDefault="00910F70" w:rsidP="00910F70">
      <w:pPr>
        <w:spacing w:before="120"/>
        <w:ind w:right="3"/>
        <w:jc w:val="both"/>
        <w:rPr>
          <w:rFonts w:ascii="Times New Roman" w:hAnsi="Times New Roman"/>
        </w:rPr>
      </w:pPr>
      <w:r w:rsidRPr="00F03140">
        <w:rPr>
          <w:rFonts w:ascii="Times New Roman" w:hAnsi="Times New Roman"/>
        </w:rPr>
        <w:lastRenderedPageBreak/>
        <w:t xml:space="preserve">The Legislative Instrument promotes these rights by banning a product which has caused death and injury to children. </w:t>
      </w:r>
    </w:p>
    <w:p w:rsidR="00910F70" w:rsidRPr="00F03140" w:rsidRDefault="00910F70" w:rsidP="00910F70">
      <w:pPr>
        <w:spacing w:before="120"/>
        <w:ind w:right="3"/>
        <w:jc w:val="both"/>
        <w:rPr>
          <w:rFonts w:ascii="Times New Roman" w:hAnsi="Times New Roman"/>
          <w:i/>
        </w:rPr>
      </w:pPr>
      <w:r w:rsidRPr="00F03140">
        <w:rPr>
          <w:rFonts w:ascii="Times New Roman" w:hAnsi="Times New Roman"/>
          <w:i/>
        </w:rPr>
        <w:t>Conclusion</w:t>
      </w:r>
    </w:p>
    <w:p w:rsidR="00910F70" w:rsidRPr="00F03140" w:rsidRDefault="00910F70" w:rsidP="00910F70">
      <w:pPr>
        <w:spacing w:before="120"/>
        <w:ind w:right="3"/>
        <w:jc w:val="both"/>
        <w:rPr>
          <w:rFonts w:ascii="Times New Roman" w:hAnsi="Times New Roman"/>
        </w:rPr>
      </w:pPr>
      <w:r w:rsidRPr="00F03140">
        <w:rPr>
          <w:rFonts w:ascii="Times New Roman" w:hAnsi="Times New Roman"/>
        </w:rPr>
        <w:t>The Legislative Instrument does not limit human rights and is compatible with human rights because it advances the protection of human rights by removing from the market a product, the foreseeable use or misuse of which, may cause injury to people, particularly children.</w:t>
      </w:r>
    </w:p>
    <w:p w:rsidR="00910F70" w:rsidRDefault="00910F70" w:rsidP="00910F70">
      <w:pPr>
        <w:ind w:right="3"/>
        <w:jc w:val="both"/>
        <w:rPr>
          <w:rFonts w:ascii="Times New Roman" w:hAnsi="Times New Roman"/>
          <w:u w:val="single"/>
        </w:rPr>
      </w:pPr>
    </w:p>
    <w:p w:rsidR="00910F70" w:rsidRPr="00F03140" w:rsidRDefault="00910F70" w:rsidP="00910F70">
      <w:pPr>
        <w:ind w:right="3"/>
        <w:jc w:val="both"/>
        <w:rPr>
          <w:rFonts w:ascii="Times New Roman" w:hAnsi="Times New Roman"/>
          <w:u w:val="single"/>
        </w:rPr>
      </w:pPr>
      <w:r w:rsidRPr="00F03140">
        <w:rPr>
          <w:rFonts w:ascii="Times New Roman" w:hAnsi="Times New Roman"/>
          <w:u w:val="single"/>
        </w:rPr>
        <w:t>Consultation</w:t>
      </w:r>
    </w:p>
    <w:p w:rsidR="00910F70" w:rsidRPr="00F03140" w:rsidRDefault="00910F70" w:rsidP="00910F70">
      <w:pPr>
        <w:spacing w:before="120"/>
        <w:ind w:right="3"/>
        <w:jc w:val="both"/>
        <w:rPr>
          <w:rFonts w:ascii="Times New Roman" w:hAnsi="Times New Roman"/>
        </w:rPr>
      </w:pPr>
      <w:r w:rsidRPr="00F03140">
        <w:rPr>
          <w:rFonts w:ascii="Times New Roman" w:hAnsi="Times New Roman"/>
        </w:rPr>
        <w:t xml:space="preserve">For the purposes of section 17 of the LIA, consultation has been undertaken concerning the permanent ban. </w:t>
      </w:r>
    </w:p>
    <w:p w:rsidR="00910F70" w:rsidRPr="00F03140" w:rsidRDefault="00910F70" w:rsidP="00910F70">
      <w:pPr>
        <w:spacing w:before="120"/>
        <w:ind w:right="3"/>
        <w:jc w:val="both"/>
        <w:rPr>
          <w:rFonts w:ascii="Times New Roman" w:hAnsi="Times New Roman"/>
        </w:rPr>
      </w:pPr>
      <w:r w:rsidRPr="00F03140">
        <w:rPr>
          <w:rFonts w:ascii="Times New Roman" w:hAnsi="Times New Roman"/>
        </w:rPr>
        <w:t>On 22 August 2012, the ACCC published a proposed ban notice that informed suppliers of magnets about the proposed ban and invited them to request a conference, as provided in Part XI of the CCA. Numerous suppliers did request a conference, which was accordingly held pursuant to section 132H of the CCA. The ACCC also accepted written submissions from suppliers before and after the conference. The ACCC’s recommendation to the Assistant Treasurer has been provided to the suppliers which attended the conference, pursuant to section 132D of the CCA.</w:t>
      </w:r>
    </w:p>
    <w:p w:rsidR="00910F70" w:rsidRPr="00F03140" w:rsidRDefault="00910F70" w:rsidP="00910F70">
      <w:pPr>
        <w:spacing w:before="120"/>
        <w:ind w:right="3"/>
        <w:jc w:val="both"/>
        <w:rPr>
          <w:rFonts w:ascii="Times New Roman" w:hAnsi="Times New Roman"/>
        </w:rPr>
      </w:pPr>
      <w:r w:rsidRPr="00F03140">
        <w:rPr>
          <w:rFonts w:ascii="Times New Roman" w:hAnsi="Times New Roman"/>
        </w:rPr>
        <w:t>The proposed ban notice was publicised on the ACCC’s website, which led to industry associations and other members of the public providing submissions on the proposed ban.</w:t>
      </w:r>
    </w:p>
    <w:p w:rsidR="00910F70" w:rsidRPr="00F03140" w:rsidRDefault="00910F70" w:rsidP="00910F70">
      <w:pPr>
        <w:spacing w:before="120"/>
        <w:ind w:right="3"/>
        <w:jc w:val="both"/>
        <w:rPr>
          <w:rFonts w:ascii="Times New Roman" w:hAnsi="Times New Roman"/>
        </w:rPr>
      </w:pPr>
      <w:r w:rsidRPr="00F03140">
        <w:rPr>
          <w:rFonts w:ascii="Times New Roman" w:hAnsi="Times New Roman"/>
        </w:rPr>
        <w:t>The ACCC also consulted a surgeon with expertise in paediatric emergency medicine as well as a physicist with expertise in electromagnetism.</w:t>
      </w:r>
    </w:p>
    <w:p w:rsidR="00910F70" w:rsidRPr="00F03140" w:rsidRDefault="00910F70" w:rsidP="00910F70">
      <w:pPr>
        <w:spacing w:before="120"/>
        <w:ind w:right="3"/>
        <w:jc w:val="both"/>
        <w:rPr>
          <w:rFonts w:ascii="Times New Roman" w:hAnsi="Times New Roman"/>
        </w:rPr>
      </w:pPr>
      <w:r w:rsidRPr="00F03140">
        <w:rPr>
          <w:rFonts w:ascii="Times New Roman" w:hAnsi="Times New Roman"/>
        </w:rPr>
        <w:t xml:space="preserve">State and territory fair trading agencies have been involved in the consultation process. </w:t>
      </w:r>
    </w:p>
    <w:p w:rsidR="00910F70" w:rsidRPr="00F03140" w:rsidRDefault="00910F70" w:rsidP="00910F70">
      <w:pPr>
        <w:spacing w:before="120" w:after="100" w:afterAutospacing="1"/>
        <w:rPr>
          <w:rFonts w:ascii="Times New Roman" w:hAnsi="Times New Roman"/>
          <w:szCs w:val="24"/>
        </w:rPr>
      </w:pPr>
      <w:r w:rsidRPr="00F03140">
        <w:rPr>
          <w:rFonts w:ascii="Times New Roman" w:hAnsi="Times New Roman"/>
          <w:szCs w:val="24"/>
        </w:rPr>
        <w:t xml:space="preserve">Following this consultation, changes were made to the ban to address concerns raised by stakeholders during the consultation process, and to provide greater clarity regarding what products are and are not captured by the ban. </w:t>
      </w:r>
    </w:p>
    <w:p w:rsidR="004E7889" w:rsidRDefault="00910F70"/>
    <w:sectPr w:rsidR="004E7889" w:rsidSect="001F11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characterSpacingControl w:val="doNotCompress"/>
  <w:compat/>
  <w:docVars>
    <w:docVar w:name="currentname" w:val="Document6"/>
  </w:docVars>
  <w:rsids>
    <w:rsidRoot w:val="00910F70"/>
    <w:rsid w:val="000056D1"/>
    <w:rsid w:val="000067FB"/>
    <w:rsid w:val="00012925"/>
    <w:rsid w:val="00040676"/>
    <w:rsid w:val="00043090"/>
    <w:rsid w:val="000519AA"/>
    <w:rsid w:val="00053CBE"/>
    <w:rsid w:val="0006111E"/>
    <w:rsid w:val="000648BE"/>
    <w:rsid w:val="00065A0E"/>
    <w:rsid w:val="000668D6"/>
    <w:rsid w:val="00067887"/>
    <w:rsid w:val="00075195"/>
    <w:rsid w:val="000979E3"/>
    <w:rsid w:val="000A61F7"/>
    <w:rsid w:val="000B72A9"/>
    <w:rsid w:val="000D3217"/>
    <w:rsid w:val="000D56DA"/>
    <w:rsid w:val="0010091B"/>
    <w:rsid w:val="001073CC"/>
    <w:rsid w:val="001105F4"/>
    <w:rsid w:val="00117404"/>
    <w:rsid w:val="00122555"/>
    <w:rsid w:val="00125800"/>
    <w:rsid w:val="00133EEC"/>
    <w:rsid w:val="00134EA4"/>
    <w:rsid w:val="00137158"/>
    <w:rsid w:val="00137185"/>
    <w:rsid w:val="001404C8"/>
    <w:rsid w:val="00141104"/>
    <w:rsid w:val="001445EB"/>
    <w:rsid w:val="001456B9"/>
    <w:rsid w:val="001508E0"/>
    <w:rsid w:val="0015151B"/>
    <w:rsid w:val="001541BC"/>
    <w:rsid w:val="0015745E"/>
    <w:rsid w:val="00170431"/>
    <w:rsid w:val="0017273B"/>
    <w:rsid w:val="001757F7"/>
    <w:rsid w:val="00177101"/>
    <w:rsid w:val="001813C7"/>
    <w:rsid w:val="00181629"/>
    <w:rsid w:val="00181FF0"/>
    <w:rsid w:val="00193508"/>
    <w:rsid w:val="00193533"/>
    <w:rsid w:val="001A7BD8"/>
    <w:rsid w:val="001B3B14"/>
    <w:rsid w:val="001C1E7A"/>
    <w:rsid w:val="001D0907"/>
    <w:rsid w:val="001E12BF"/>
    <w:rsid w:val="001F118C"/>
    <w:rsid w:val="001F43F8"/>
    <w:rsid w:val="00202471"/>
    <w:rsid w:val="002071AC"/>
    <w:rsid w:val="002076FC"/>
    <w:rsid w:val="00211A08"/>
    <w:rsid w:val="002125C0"/>
    <w:rsid w:val="00213107"/>
    <w:rsid w:val="00215831"/>
    <w:rsid w:val="002238A2"/>
    <w:rsid w:val="00232AEF"/>
    <w:rsid w:val="00235CDA"/>
    <w:rsid w:val="0023774C"/>
    <w:rsid w:val="0024250B"/>
    <w:rsid w:val="00254D99"/>
    <w:rsid w:val="00255F22"/>
    <w:rsid w:val="002601B0"/>
    <w:rsid w:val="002701D5"/>
    <w:rsid w:val="0027179B"/>
    <w:rsid w:val="0028643F"/>
    <w:rsid w:val="00287386"/>
    <w:rsid w:val="0029286A"/>
    <w:rsid w:val="002938CB"/>
    <w:rsid w:val="00294007"/>
    <w:rsid w:val="00295292"/>
    <w:rsid w:val="002A46C7"/>
    <w:rsid w:val="002A61E9"/>
    <w:rsid w:val="002B0926"/>
    <w:rsid w:val="002C17D7"/>
    <w:rsid w:val="002D33B2"/>
    <w:rsid w:val="002E57D3"/>
    <w:rsid w:val="002E5A02"/>
    <w:rsid w:val="002F3DA1"/>
    <w:rsid w:val="002F3DA3"/>
    <w:rsid w:val="003214AF"/>
    <w:rsid w:val="00335E28"/>
    <w:rsid w:val="00344014"/>
    <w:rsid w:val="00345799"/>
    <w:rsid w:val="00357E19"/>
    <w:rsid w:val="00364AF4"/>
    <w:rsid w:val="00367844"/>
    <w:rsid w:val="003756E0"/>
    <w:rsid w:val="00382716"/>
    <w:rsid w:val="00386686"/>
    <w:rsid w:val="003A1C79"/>
    <w:rsid w:val="003A6B78"/>
    <w:rsid w:val="003C0E55"/>
    <w:rsid w:val="003E379B"/>
    <w:rsid w:val="003E6BC7"/>
    <w:rsid w:val="0040442D"/>
    <w:rsid w:val="004279E8"/>
    <w:rsid w:val="00435806"/>
    <w:rsid w:val="00435E6D"/>
    <w:rsid w:val="00436247"/>
    <w:rsid w:val="00436396"/>
    <w:rsid w:val="004405EC"/>
    <w:rsid w:val="00443C94"/>
    <w:rsid w:val="004508F5"/>
    <w:rsid w:val="00455E2D"/>
    <w:rsid w:val="00470005"/>
    <w:rsid w:val="0047266C"/>
    <w:rsid w:val="00472D6A"/>
    <w:rsid w:val="00474EB0"/>
    <w:rsid w:val="00494341"/>
    <w:rsid w:val="004C42D9"/>
    <w:rsid w:val="004C4672"/>
    <w:rsid w:val="004C575D"/>
    <w:rsid w:val="004D61AE"/>
    <w:rsid w:val="004D7889"/>
    <w:rsid w:val="00503DA6"/>
    <w:rsid w:val="00510A77"/>
    <w:rsid w:val="0051245D"/>
    <w:rsid w:val="0051603F"/>
    <w:rsid w:val="00520933"/>
    <w:rsid w:val="00532C6D"/>
    <w:rsid w:val="00536E8E"/>
    <w:rsid w:val="00541AF6"/>
    <w:rsid w:val="005454EE"/>
    <w:rsid w:val="00556B4E"/>
    <w:rsid w:val="00556FC6"/>
    <w:rsid w:val="00581283"/>
    <w:rsid w:val="00582E02"/>
    <w:rsid w:val="005872C5"/>
    <w:rsid w:val="0058764E"/>
    <w:rsid w:val="005A134C"/>
    <w:rsid w:val="005A6BC1"/>
    <w:rsid w:val="005B1297"/>
    <w:rsid w:val="005B393C"/>
    <w:rsid w:val="005B4438"/>
    <w:rsid w:val="005B5AD9"/>
    <w:rsid w:val="005B674E"/>
    <w:rsid w:val="005C47D0"/>
    <w:rsid w:val="005D179C"/>
    <w:rsid w:val="005D3537"/>
    <w:rsid w:val="005F0A4B"/>
    <w:rsid w:val="006000DF"/>
    <w:rsid w:val="00606F17"/>
    <w:rsid w:val="00615EFB"/>
    <w:rsid w:val="00616497"/>
    <w:rsid w:val="00621B2D"/>
    <w:rsid w:val="00633455"/>
    <w:rsid w:val="00633F76"/>
    <w:rsid w:val="00640C20"/>
    <w:rsid w:val="00647DE4"/>
    <w:rsid w:val="00652944"/>
    <w:rsid w:val="00653C0E"/>
    <w:rsid w:val="006549FA"/>
    <w:rsid w:val="00655A3E"/>
    <w:rsid w:val="00656CE1"/>
    <w:rsid w:val="00660BFA"/>
    <w:rsid w:val="0066428D"/>
    <w:rsid w:val="00673C12"/>
    <w:rsid w:val="006746DC"/>
    <w:rsid w:val="00680C7E"/>
    <w:rsid w:val="00682C99"/>
    <w:rsid w:val="006839D8"/>
    <w:rsid w:val="00693FDE"/>
    <w:rsid w:val="00696704"/>
    <w:rsid w:val="006A2D09"/>
    <w:rsid w:val="006A52FC"/>
    <w:rsid w:val="006B10B5"/>
    <w:rsid w:val="006B6E64"/>
    <w:rsid w:val="006C6E60"/>
    <w:rsid w:val="006D2E0A"/>
    <w:rsid w:val="006D5B33"/>
    <w:rsid w:val="007005FC"/>
    <w:rsid w:val="00700D51"/>
    <w:rsid w:val="0070442E"/>
    <w:rsid w:val="00714E0F"/>
    <w:rsid w:val="00721D45"/>
    <w:rsid w:val="007358BE"/>
    <w:rsid w:val="007431EE"/>
    <w:rsid w:val="00747C81"/>
    <w:rsid w:val="00750294"/>
    <w:rsid w:val="00755660"/>
    <w:rsid w:val="0075738C"/>
    <w:rsid w:val="007654D6"/>
    <w:rsid w:val="007761BF"/>
    <w:rsid w:val="00796918"/>
    <w:rsid w:val="007A03AA"/>
    <w:rsid w:val="007B1E0A"/>
    <w:rsid w:val="007C2052"/>
    <w:rsid w:val="007D0FE2"/>
    <w:rsid w:val="007D5697"/>
    <w:rsid w:val="007E285F"/>
    <w:rsid w:val="007E2D98"/>
    <w:rsid w:val="007F3508"/>
    <w:rsid w:val="00801CB2"/>
    <w:rsid w:val="00804B92"/>
    <w:rsid w:val="00811BD3"/>
    <w:rsid w:val="00832EDE"/>
    <w:rsid w:val="00837124"/>
    <w:rsid w:val="008409F7"/>
    <w:rsid w:val="008435E5"/>
    <w:rsid w:val="008442F2"/>
    <w:rsid w:val="00844A5C"/>
    <w:rsid w:val="00845A16"/>
    <w:rsid w:val="00851E5D"/>
    <w:rsid w:val="0086159D"/>
    <w:rsid w:val="00877929"/>
    <w:rsid w:val="00884BF4"/>
    <w:rsid w:val="008854DB"/>
    <w:rsid w:val="00885AEB"/>
    <w:rsid w:val="00886A00"/>
    <w:rsid w:val="008A72BC"/>
    <w:rsid w:val="008B2F06"/>
    <w:rsid w:val="008B390A"/>
    <w:rsid w:val="008C0907"/>
    <w:rsid w:val="008C2F56"/>
    <w:rsid w:val="008C54BA"/>
    <w:rsid w:val="008C6E8B"/>
    <w:rsid w:val="008D1596"/>
    <w:rsid w:val="008E391D"/>
    <w:rsid w:val="008E567F"/>
    <w:rsid w:val="008E63CF"/>
    <w:rsid w:val="008F7466"/>
    <w:rsid w:val="009067C5"/>
    <w:rsid w:val="00910F70"/>
    <w:rsid w:val="00911385"/>
    <w:rsid w:val="009161EE"/>
    <w:rsid w:val="0091657D"/>
    <w:rsid w:val="009232FF"/>
    <w:rsid w:val="009317BD"/>
    <w:rsid w:val="009321A6"/>
    <w:rsid w:val="00934045"/>
    <w:rsid w:val="00934991"/>
    <w:rsid w:val="00975F07"/>
    <w:rsid w:val="0098106E"/>
    <w:rsid w:val="00982C46"/>
    <w:rsid w:val="00992AF2"/>
    <w:rsid w:val="009A1838"/>
    <w:rsid w:val="009A2133"/>
    <w:rsid w:val="009B2882"/>
    <w:rsid w:val="009C502E"/>
    <w:rsid w:val="009D4BF0"/>
    <w:rsid w:val="009E16F3"/>
    <w:rsid w:val="009F7C0B"/>
    <w:rsid w:val="00A147F8"/>
    <w:rsid w:val="00A2566A"/>
    <w:rsid w:val="00A45CAD"/>
    <w:rsid w:val="00A47E8F"/>
    <w:rsid w:val="00A5046F"/>
    <w:rsid w:val="00A525B6"/>
    <w:rsid w:val="00A558D1"/>
    <w:rsid w:val="00A7303E"/>
    <w:rsid w:val="00A74D0A"/>
    <w:rsid w:val="00A8039E"/>
    <w:rsid w:val="00A82D6D"/>
    <w:rsid w:val="00A94806"/>
    <w:rsid w:val="00AB19BE"/>
    <w:rsid w:val="00AB39CD"/>
    <w:rsid w:val="00AB3D68"/>
    <w:rsid w:val="00AD173E"/>
    <w:rsid w:val="00AD358F"/>
    <w:rsid w:val="00AD4231"/>
    <w:rsid w:val="00AD4451"/>
    <w:rsid w:val="00AE1B9A"/>
    <w:rsid w:val="00B03196"/>
    <w:rsid w:val="00B03CF6"/>
    <w:rsid w:val="00B07F67"/>
    <w:rsid w:val="00B111A2"/>
    <w:rsid w:val="00B23A0D"/>
    <w:rsid w:val="00B273BF"/>
    <w:rsid w:val="00B31EE7"/>
    <w:rsid w:val="00B41487"/>
    <w:rsid w:val="00B418FD"/>
    <w:rsid w:val="00B45C1D"/>
    <w:rsid w:val="00B53ADB"/>
    <w:rsid w:val="00B61E82"/>
    <w:rsid w:val="00B63810"/>
    <w:rsid w:val="00B65FEA"/>
    <w:rsid w:val="00B73D35"/>
    <w:rsid w:val="00B852BB"/>
    <w:rsid w:val="00B915BC"/>
    <w:rsid w:val="00B93A07"/>
    <w:rsid w:val="00B954B3"/>
    <w:rsid w:val="00BA1056"/>
    <w:rsid w:val="00BA1DB1"/>
    <w:rsid w:val="00BA204C"/>
    <w:rsid w:val="00BA50AF"/>
    <w:rsid w:val="00BA67A7"/>
    <w:rsid w:val="00BA6ED5"/>
    <w:rsid w:val="00BB1DF1"/>
    <w:rsid w:val="00BB54B0"/>
    <w:rsid w:val="00BB6110"/>
    <w:rsid w:val="00BB6F85"/>
    <w:rsid w:val="00BC4C99"/>
    <w:rsid w:val="00BC7662"/>
    <w:rsid w:val="00BD4DAC"/>
    <w:rsid w:val="00BE1302"/>
    <w:rsid w:val="00BE352C"/>
    <w:rsid w:val="00BF1B54"/>
    <w:rsid w:val="00BF31A2"/>
    <w:rsid w:val="00BF34C1"/>
    <w:rsid w:val="00BF3E2C"/>
    <w:rsid w:val="00C00A1A"/>
    <w:rsid w:val="00C04FAF"/>
    <w:rsid w:val="00C1100C"/>
    <w:rsid w:val="00C15048"/>
    <w:rsid w:val="00C360F9"/>
    <w:rsid w:val="00C44614"/>
    <w:rsid w:val="00C50584"/>
    <w:rsid w:val="00C523FC"/>
    <w:rsid w:val="00C52468"/>
    <w:rsid w:val="00C55FAA"/>
    <w:rsid w:val="00C91DF7"/>
    <w:rsid w:val="00C956DF"/>
    <w:rsid w:val="00C96627"/>
    <w:rsid w:val="00CB19B6"/>
    <w:rsid w:val="00CB24C7"/>
    <w:rsid w:val="00CB2C59"/>
    <w:rsid w:val="00CB3F2B"/>
    <w:rsid w:val="00CD7F21"/>
    <w:rsid w:val="00CE1119"/>
    <w:rsid w:val="00CE19C9"/>
    <w:rsid w:val="00D07EDF"/>
    <w:rsid w:val="00D13705"/>
    <w:rsid w:val="00D14B6B"/>
    <w:rsid w:val="00D22D27"/>
    <w:rsid w:val="00D3313D"/>
    <w:rsid w:val="00D42F16"/>
    <w:rsid w:val="00D44DE8"/>
    <w:rsid w:val="00D47918"/>
    <w:rsid w:val="00D56249"/>
    <w:rsid w:val="00D72F6C"/>
    <w:rsid w:val="00D834FE"/>
    <w:rsid w:val="00D90F5E"/>
    <w:rsid w:val="00D92C2E"/>
    <w:rsid w:val="00D96539"/>
    <w:rsid w:val="00DA2E19"/>
    <w:rsid w:val="00DB6F81"/>
    <w:rsid w:val="00DD117A"/>
    <w:rsid w:val="00DD4D8B"/>
    <w:rsid w:val="00DE351C"/>
    <w:rsid w:val="00DE7289"/>
    <w:rsid w:val="00E0183E"/>
    <w:rsid w:val="00E02ED7"/>
    <w:rsid w:val="00E06C31"/>
    <w:rsid w:val="00E0762F"/>
    <w:rsid w:val="00E153F5"/>
    <w:rsid w:val="00E17FAF"/>
    <w:rsid w:val="00E257E7"/>
    <w:rsid w:val="00E259A2"/>
    <w:rsid w:val="00E351F5"/>
    <w:rsid w:val="00E46607"/>
    <w:rsid w:val="00E7081E"/>
    <w:rsid w:val="00E73124"/>
    <w:rsid w:val="00E75D46"/>
    <w:rsid w:val="00E81459"/>
    <w:rsid w:val="00E928AC"/>
    <w:rsid w:val="00E96FDC"/>
    <w:rsid w:val="00EA025E"/>
    <w:rsid w:val="00EA03C7"/>
    <w:rsid w:val="00EB2E94"/>
    <w:rsid w:val="00EB785C"/>
    <w:rsid w:val="00EB7C81"/>
    <w:rsid w:val="00EC2804"/>
    <w:rsid w:val="00EC5C87"/>
    <w:rsid w:val="00EC6AC5"/>
    <w:rsid w:val="00ED610B"/>
    <w:rsid w:val="00ED6206"/>
    <w:rsid w:val="00EE399F"/>
    <w:rsid w:val="00EF2E0D"/>
    <w:rsid w:val="00F16D7A"/>
    <w:rsid w:val="00F3215D"/>
    <w:rsid w:val="00F3276E"/>
    <w:rsid w:val="00F34FD6"/>
    <w:rsid w:val="00F536A7"/>
    <w:rsid w:val="00F53A78"/>
    <w:rsid w:val="00F6524E"/>
    <w:rsid w:val="00F65711"/>
    <w:rsid w:val="00F67A83"/>
    <w:rsid w:val="00F71731"/>
    <w:rsid w:val="00F7187E"/>
    <w:rsid w:val="00F72028"/>
    <w:rsid w:val="00F81A86"/>
    <w:rsid w:val="00F81F71"/>
    <w:rsid w:val="00F85525"/>
    <w:rsid w:val="00FA2907"/>
    <w:rsid w:val="00FA4A9C"/>
    <w:rsid w:val="00FA6538"/>
    <w:rsid w:val="00FC26D8"/>
    <w:rsid w:val="00FC346A"/>
    <w:rsid w:val="00FC4ED9"/>
    <w:rsid w:val="00FC60B6"/>
    <w:rsid w:val="00FE336D"/>
    <w:rsid w:val="00FF24D0"/>
    <w:rsid w:val="00FF6F37"/>
    <w:rsid w:val="00FF7EB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F70"/>
    <w:pPr>
      <w:spacing w:after="0" w:line="240" w:lineRule="auto"/>
    </w:pPr>
    <w:rPr>
      <w:rFonts w:ascii="Arial" w:eastAsia="Times New Roman" w:hAnsi="Arial" w:cs="Times New Roman"/>
      <w:sz w:val="24"/>
      <w:szCs w:val="20"/>
      <w:lang w:val="en-GB" w:eastAsia="en-AU"/>
    </w:rPr>
  </w:style>
  <w:style w:type="paragraph" w:styleId="Heading1">
    <w:name w:val="heading 1"/>
    <w:basedOn w:val="Normal"/>
    <w:next w:val="Normal"/>
    <w:link w:val="Heading1Char"/>
    <w:qFormat/>
    <w:rsid w:val="00910F70"/>
    <w:pPr>
      <w:spacing w:before="240"/>
      <w:outlineLvl w:val="0"/>
    </w:pPr>
    <w:rPr>
      <w:b/>
      <w:u w:val="single"/>
    </w:rPr>
  </w:style>
  <w:style w:type="paragraph" w:styleId="Heading2">
    <w:name w:val="heading 2"/>
    <w:basedOn w:val="Normal"/>
    <w:next w:val="Normal"/>
    <w:link w:val="Heading2Char"/>
    <w:qFormat/>
    <w:rsid w:val="00910F70"/>
    <w:pPr>
      <w:spacing w:before="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0F70"/>
    <w:rPr>
      <w:rFonts w:ascii="Arial" w:eastAsia="Times New Roman" w:hAnsi="Arial" w:cs="Times New Roman"/>
      <w:b/>
      <w:sz w:val="24"/>
      <w:szCs w:val="20"/>
      <w:u w:val="single"/>
      <w:lang w:val="en-GB" w:eastAsia="en-AU"/>
    </w:rPr>
  </w:style>
  <w:style w:type="character" w:customStyle="1" w:styleId="Heading2Char">
    <w:name w:val="Heading 2 Char"/>
    <w:basedOn w:val="DefaultParagraphFont"/>
    <w:link w:val="Heading2"/>
    <w:rsid w:val="00910F70"/>
    <w:rPr>
      <w:rFonts w:ascii="Arial" w:eastAsia="Times New Roman" w:hAnsi="Arial" w:cs="Times New Roman"/>
      <w:b/>
      <w:sz w:val="24"/>
      <w:szCs w:val="20"/>
      <w:lang w:val="en-GB"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1086</Words>
  <Characters>6191</Characters>
  <Application>Microsoft Office Word</Application>
  <DocSecurity>0</DocSecurity>
  <Lines>51</Lines>
  <Paragraphs>14</Paragraphs>
  <ScaleCrop>false</ScaleCrop>
  <Company>ACCC</Company>
  <LinksUpToDate>false</LinksUpToDate>
  <CharactersWithSpaces>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mwilso</dc:creator>
  <cp:keywords/>
  <dc:description/>
  <cp:lastModifiedBy>mwilso</cp:lastModifiedBy>
  <cp:revision>1</cp:revision>
  <dcterms:created xsi:type="dcterms:W3CDTF">2012-11-12T05:08:00Z</dcterms:created>
  <dcterms:modified xsi:type="dcterms:W3CDTF">2012-11-12T05:09:00Z</dcterms:modified>
</cp:coreProperties>
</file>