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F1" w:rsidRPr="00FF4C0D" w:rsidRDefault="002E54E2" w:rsidP="00D056F1">
      <w:r w:rsidRPr="00FF4C0D">
        <w:rPr>
          <w:noProof/>
          <w:lang w:val="en-AU" w:eastAsia="en-AU" w:bidi="ar-SA"/>
        </w:rPr>
        <w:drawing>
          <wp:inline distT="0" distB="0" distL="0" distR="0">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8"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637272" w:rsidRPr="00FF4C0D" w:rsidRDefault="00637272" w:rsidP="00637272"/>
    <w:p w:rsidR="00637272" w:rsidRPr="00FF4C0D" w:rsidRDefault="00637272" w:rsidP="00637272">
      <w:pPr>
        <w:rPr>
          <w:b/>
          <w:sz w:val="28"/>
          <w:szCs w:val="28"/>
        </w:rPr>
      </w:pPr>
    </w:p>
    <w:p w:rsidR="001A68F6" w:rsidRPr="00FF4C0D" w:rsidRDefault="001A68F6" w:rsidP="00637272">
      <w:pPr>
        <w:rPr>
          <w:b/>
          <w:sz w:val="28"/>
          <w:szCs w:val="28"/>
        </w:rPr>
      </w:pPr>
    </w:p>
    <w:p w:rsidR="001A68F6" w:rsidRPr="00FF4C0D" w:rsidRDefault="001A68F6" w:rsidP="00637272"/>
    <w:p w:rsidR="00D056F1" w:rsidRPr="00FF4C0D" w:rsidRDefault="0043787D" w:rsidP="00DB2973">
      <w:pPr>
        <w:pStyle w:val="FSTitle"/>
      </w:pPr>
      <w:r w:rsidRPr="00FF4C0D">
        <w:t>APPLICATION A1038</w:t>
      </w:r>
    </w:p>
    <w:p w:rsidR="00D056F1" w:rsidRPr="00FF4C0D" w:rsidRDefault="0043787D" w:rsidP="00DB2973">
      <w:pPr>
        <w:pStyle w:val="FSTitle"/>
      </w:pPr>
      <w:r w:rsidRPr="00FF4C0D">
        <w:t>IRRADIATION OF PERSIMMONS</w:t>
      </w:r>
    </w:p>
    <w:p w:rsidR="002A0194" w:rsidRPr="00FF4C0D" w:rsidRDefault="001A68F6" w:rsidP="00DB2973">
      <w:pPr>
        <w:pStyle w:val="FSTitle"/>
      </w:pPr>
      <w:r w:rsidRPr="00FF4C0D">
        <w:t>EXPLANATORY STATEMENT</w:t>
      </w:r>
    </w:p>
    <w:p w:rsidR="002A0194" w:rsidRPr="00FF4C0D" w:rsidRDefault="002A0194" w:rsidP="00D056F1">
      <w:pPr>
        <w:pBdr>
          <w:bottom w:val="single" w:sz="12" w:space="1" w:color="auto"/>
        </w:pBdr>
        <w:rPr>
          <w:rFonts w:ascii="Tahoma" w:hAnsi="Tahoma" w:cs="Tahoma"/>
          <w:b/>
          <w:bCs/>
        </w:rPr>
      </w:pPr>
    </w:p>
    <w:p w:rsidR="00D056F1" w:rsidRPr="00FF4C0D" w:rsidRDefault="00D056F1" w:rsidP="002A0194"/>
    <w:p w:rsidR="002A0194" w:rsidRPr="00FF4C0D" w:rsidRDefault="002A0194" w:rsidP="002A0194">
      <w:pPr>
        <w:rPr>
          <w:rFonts w:ascii="Tahoma" w:hAnsi="Tahoma" w:cs="Tahoma"/>
          <w:b/>
          <w:bCs/>
          <w:sz w:val="28"/>
          <w:u w:val="single"/>
        </w:rPr>
      </w:pPr>
      <w:bookmarkStart w:id="0" w:name="_Toc11735626"/>
      <w:bookmarkStart w:id="1" w:name="_Toc29883108"/>
      <w:bookmarkStart w:id="2" w:name="_Toc41906795"/>
      <w:bookmarkStart w:id="3" w:name="_Toc41907543"/>
      <w:bookmarkStart w:id="4" w:name="_Toc120090537"/>
      <w:bookmarkStart w:id="5" w:name="_Toc120358570"/>
      <w:bookmarkStart w:id="6" w:name="_Toc120358612"/>
      <w:r w:rsidRPr="00FF4C0D">
        <w:rPr>
          <w:rFonts w:ascii="Tahoma" w:hAnsi="Tahoma" w:cs="Tahoma"/>
          <w:b/>
          <w:bCs/>
          <w:sz w:val="28"/>
          <w:u w:val="single"/>
        </w:rPr>
        <w:t>Executive Summary</w:t>
      </w:r>
      <w:bookmarkEnd w:id="0"/>
      <w:bookmarkEnd w:id="1"/>
      <w:bookmarkEnd w:id="2"/>
      <w:bookmarkEnd w:id="3"/>
      <w:bookmarkEnd w:id="4"/>
      <w:bookmarkEnd w:id="5"/>
      <w:bookmarkEnd w:id="6"/>
    </w:p>
    <w:p w:rsidR="0056782A" w:rsidRPr="00FF4C0D" w:rsidRDefault="0056782A" w:rsidP="0056782A">
      <w:pPr>
        <w:rPr>
          <w:rFonts w:cs="Arial"/>
          <w:b/>
          <w:bCs/>
        </w:rPr>
      </w:pPr>
    </w:p>
    <w:p w:rsidR="0056782A" w:rsidRPr="00FF4C0D" w:rsidRDefault="0056782A" w:rsidP="0056782A">
      <w:pPr>
        <w:rPr>
          <w:rFonts w:cs="Arial"/>
          <w:b/>
          <w:bCs/>
        </w:rPr>
      </w:pPr>
      <w:r w:rsidRPr="00FF4C0D">
        <w:rPr>
          <w:rFonts w:cs="Arial"/>
          <w:b/>
          <w:bCs/>
        </w:rPr>
        <w:t>Purpose</w:t>
      </w:r>
    </w:p>
    <w:p w:rsidR="0056782A" w:rsidRPr="00FF4C0D" w:rsidRDefault="0056782A" w:rsidP="0056782A">
      <w:pPr>
        <w:rPr>
          <w:rFonts w:cs="Arial"/>
          <w:b/>
          <w:bCs/>
        </w:rPr>
      </w:pPr>
    </w:p>
    <w:p w:rsidR="00415E50" w:rsidRPr="00FF4C0D" w:rsidRDefault="0056782A" w:rsidP="005222C5">
      <w:r w:rsidRPr="00FF4C0D">
        <w:t xml:space="preserve">Application </w:t>
      </w:r>
      <w:r w:rsidR="00B16E89" w:rsidRPr="00FF4C0D">
        <w:t>A1038</w:t>
      </w:r>
      <w:r w:rsidR="001B6482" w:rsidRPr="00FF4C0D">
        <w:t xml:space="preserve"> </w:t>
      </w:r>
      <w:r w:rsidR="00BC649E" w:rsidRPr="00FF4C0D">
        <w:t xml:space="preserve">received </w:t>
      </w:r>
      <w:r w:rsidRPr="00FF4C0D">
        <w:t>from Queensland Primary Industries and Fisheries</w:t>
      </w:r>
      <w:r w:rsidR="003F29B6" w:rsidRPr="00FF4C0D">
        <w:t>,</w:t>
      </w:r>
      <w:r w:rsidRPr="00FF4C0D">
        <w:t xml:space="preserve"> </w:t>
      </w:r>
      <w:r w:rsidR="003F29B6" w:rsidRPr="00FF4C0D">
        <w:t xml:space="preserve">requests amendment of </w:t>
      </w:r>
      <w:r w:rsidRPr="00FF4C0D">
        <w:t>Standard 1.5.3</w:t>
      </w:r>
      <w:r w:rsidR="00C53D9E" w:rsidRPr="00FF4C0D">
        <w:t xml:space="preserve"> – </w:t>
      </w:r>
      <w:r w:rsidRPr="00FF4C0D">
        <w:t>Irradiation</w:t>
      </w:r>
      <w:r w:rsidR="00C53D9E" w:rsidRPr="00FF4C0D">
        <w:t xml:space="preserve"> of Food</w:t>
      </w:r>
      <w:r w:rsidR="005E6965" w:rsidRPr="00FF4C0D">
        <w:t xml:space="preserve"> </w:t>
      </w:r>
      <w:r w:rsidRPr="00FF4C0D">
        <w:t>to permit the irradiation of persimmons as a phytosanitary measure</w:t>
      </w:r>
      <w:r w:rsidRPr="00FF4C0D">
        <w:rPr>
          <w:rStyle w:val="FootnoteReference"/>
        </w:rPr>
        <w:footnoteReference w:id="1"/>
      </w:r>
      <w:r w:rsidR="001C4A71" w:rsidRPr="00FF4C0D">
        <w:t xml:space="preserve">. </w:t>
      </w:r>
      <w:r w:rsidR="00415E50" w:rsidRPr="00FF4C0D">
        <w:rPr>
          <w:rFonts w:cs="Arial"/>
        </w:rPr>
        <w:t xml:space="preserve">The Applicant stated that approval would allow increased domestic and international trade in persimmons as there are rigorous requirements </w:t>
      </w:r>
      <w:r w:rsidR="00B87725" w:rsidRPr="00FF4C0D">
        <w:rPr>
          <w:rFonts w:cs="Arial"/>
        </w:rPr>
        <w:t xml:space="preserve">in place </w:t>
      </w:r>
      <w:r w:rsidR="00415E50" w:rsidRPr="00FF4C0D">
        <w:rPr>
          <w:rFonts w:cs="Arial"/>
        </w:rPr>
        <w:t>for an appropriate and efficacious treatment for fruit fly for quarantine purposes. Irradiation w</w:t>
      </w:r>
      <w:r w:rsidR="00951793" w:rsidRPr="00FF4C0D">
        <w:rPr>
          <w:rFonts w:cs="Arial"/>
        </w:rPr>
        <w:t>ould</w:t>
      </w:r>
      <w:r w:rsidR="00415E50" w:rsidRPr="00FF4C0D">
        <w:rPr>
          <w:rFonts w:cs="Arial"/>
        </w:rPr>
        <w:t xml:space="preserve"> provide persimmon growers with another treatment method for phytosanitary purposes for fruit fly. </w:t>
      </w:r>
    </w:p>
    <w:p w:rsidR="0056782A" w:rsidRPr="00FF4C0D" w:rsidRDefault="0056782A" w:rsidP="0056782A">
      <w:pPr>
        <w:rPr>
          <w:rFonts w:cs="Arial"/>
        </w:rPr>
      </w:pPr>
    </w:p>
    <w:p w:rsidR="0056782A" w:rsidRPr="00FF4C0D" w:rsidRDefault="00951793" w:rsidP="0056782A">
      <w:r w:rsidRPr="00FF4C0D">
        <w:t>Food Standard Australia New Zealand’s (FSANZ</w:t>
      </w:r>
      <w:r w:rsidR="0006341C" w:rsidRPr="00FF4C0D">
        <w:t xml:space="preserve">’s) </w:t>
      </w:r>
      <w:r w:rsidR="0056782A" w:rsidRPr="00FF4C0D">
        <w:t xml:space="preserve">specific objectives </w:t>
      </w:r>
      <w:r w:rsidR="00C33C11" w:rsidRPr="00FF4C0D">
        <w:t>in</w:t>
      </w:r>
      <w:r w:rsidR="00634FD5" w:rsidRPr="00FF4C0D">
        <w:t xml:space="preserve"> considering </w:t>
      </w:r>
      <w:r w:rsidR="00C33C11" w:rsidRPr="00FF4C0D">
        <w:t xml:space="preserve">A1038 </w:t>
      </w:r>
      <w:r w:rsidR="007F6AC6" w:rsidRPr="00FF4C0D">
        <w:t>have been</w:t>
      </w:r>
      <w:r w:rsidR="0056782A" w:rsidRPr="00FF4C0D">
        <w:t xml:space="preserve"> to:</w:t>
      </w:r>
    </w:p>
    <w:p w:rsidR="0056782A" w:rsidRPr="00FF4C0D" w:rsidRDefault="0056782A" w:rsidP="0056782A"/>
    <w:p w:rsidR="0056782A" w:rsidRPr="00FF4C0D" w:rsidRDefault="0040446F" w:rsidP="006F5213">
      <w:pPr>
        <w:pStyle w:val="FSBullet"/>
      </w:pPr>
      <w:r w:rsidRPr="00FF4C0D">
        <w:t>p</w:t>
      </w:r>
      <w:r w:rsidR="0056782A" w:rsidRPr="00FF4C0D">
        <w:t xml:space="preserve">rotect public health and safety in relation to the proposed </w:t>
      </w:r>
      <w:r w:rsidR="00015241" w:rsidRPr="00FF4C0D">
        <w:t>irradiation of persimmons by ensuring that irradiated persimmons are safe and nutritionally adequate to consume</w:t>
      </w:r>
    </w:p>
    <w:p w:rsidR="00015241" w:rsidRPr="00FF4C0D" w:rsidRDefault="00015241" w:rsidP="001617E8">
      <w:pPr>
        <w:rPr>
          <w:lang w:bidi="ar-SA"/>
        </w:rPr>
      </w:pPr>
    </w:p>
    <w:p w:rsidR="00015241" w:rsidRPr="00FF4C0D" w:rsidRDefault="0040446F" w:rsidP="006F5213">
      <w:pPr>
        <w:pStyle w:val="FSBullet"/>
      </w:pPr>
      <w:r w:rsidRPr="00FF4C0D">
        <w:t>e</w:t>
      </w:r>
      <w:r w:rsidR="00015241" w:rsidRPr="00FF4C0D">
        <w:t xml:space="preserve">nsure </w:t>
      </w:r>
      <w:r w:rsidR="00747729" w:rsidRPr="00FF4C0D">
        <w:t xml:space="preserve">that </w:t>
      </w:r>
      <w:r w:rsidR="00015241" w:rsidRPr="00FF4C0D">
        <w:t>there is a technological</w:t>
      </w:r>
      <w:r w:rsidR="00BA6FA8" w:rsidRPr="00FF4C0D">
        <w:t xml:space="preserve"> justification</w:t>
      </w:r>
      <w:r w:rsidR="00015241" w:rsidRPr="00FF4C0D">
        <w:t xml:space="preserve"> to irradiate persimmons for a quarantine purpose</w:t>
      </w:r>
      <w:r w:rsidR="00986D43" w:rsidRPr="00FF4C0D">
        <w:t xml:space="preserve"> and that the </w:t>
      </w:r>
      <w:r w:rsidR="00747729" w:rsidRPr="00FF4C0D">
        <w:t>doses used achieve that technological need</w:t>
      </w:r>
    </w:p>
    <w:p w:rsidR="0056782A" w:rsidRPr="00FF4C0D" w:rsidRDefault="0056782A" w:rsidP="001617E8"/>
    <w:p w:rsidR="0056782A" w:rsidRPr="00FF4C0D" w:rsidRDefault="0040446F" w:rsidP="006F5213">
      <w:pPr>
        <w:pStyle w:val="FSBullet"/>
      </w:pPr>
      <w:r w:rsidRPr="00FF4C0D">
        <w:t>e</w:t>
      </w:r>
      <w:r w:rsidR="004E7264" w:rsidRPr="00FF4C0D">
        <w:t>nsure</w:t>
      </w:r>
      <w:r w:rsidR="0056782A" w:rsidRPr="00FF4C0D">
        <w:t xml:space="preserve"> a</w:t>
      </w:r>
      <w:r w:rsidR="00015241" w:rsidRPr="00FF4C0D">
        <w:t xml:space="preserve">dequate information relating to irradiated persimmons </w:t>
      </w:r>
      <w:r w:rsidR="0056782A" w:rsidRPr="00FF4C0D">
        <w:t>is provided to consumers to enable informed choice</w:t>
      </w:r>
      <w:r w:rsidR="007F6AC6" w:rsidRPr="00FF4C0D">
        <w:t>.</w:t>
      </w:r>
    </w:p>
    <w:p w:rsidR="007618DE" w:rsidRPr="00FF4C0D" w:rsidRDefault="007618DE" w:rsidP="001617E8"/>
    <w:p w:rsidR="00654B37" w:rsidRPr="00FF4C0D" w:rsidRDefault="0056782A" w:rsidP="00203F05">
      <w:r w:rsidRPr="00FF4C0D">
        <w:rPr>
          <w:rFonts w:cs="Arial"/>
        </w:rPr>
        <w:t xml:space="preserve">FSANZ concludes that approval of </w:t>
      </w:r>
      <w:r w:rsidR="003A2F97" w:rsidRPr="00FF4C0D">
        <w:rPr>
          <w:rFonts w:cs="Arial"/>
        </w:rPr>
        <w:t xml:space="preserve">irradiation of persimmons at a minimum dose of 150 </w:t>
      </w:r>
      <w:r w:rsidR="001113DB" w:rsidRPr="00FF4C0D">
        <w:rPr>
          <w:rFonts w:cs="Arial"/>
        </w:rPr>
        <w:t>Gray</w:t>
      </w:r>
      <w:r w:rsidR="003A2F97" w:rsidRPr="00FF4C0D">
        <w:rPr>
          <w:rFonts w:cs="Arial"/>
        </w:rPr>
        <w:t xml:space="preserve"> (Gy) an</w:t>
      </w:r>
      <w:r w:rsidR="001113DB" w:rsidRPr="00FF4C0D">
        <w:rPr>
          <w:rFonts w:cs="Arial"/>
        </w:rPr>
        <w:t>d a maximum of 1 K</w:t>
      </w:r>
      <w:r w:rsidR="00A21512" w:rsidRPr="00FF4C0D">
        <w:rPr>
          <w:rFonts w:cs="Arial"/>
        </w:rPr>
        <w:t xml:space="preserve">ilogray (kGy) does </w:t>
      </w:r>
      <w:r w:rsidR="00A21512" w:rsidRPr="00FF4C0D">
        <w:t>not pose a significant hum</w:t>
      </w:r>
      <w:r w:rsidR="002732A6" w:rsidRPr="00FF4C0D">
        <w:t xml:space="preserve">an health risk for </w:t>
      </w:r>
      <w:r w:rsidRPr="00FF4C0D">
        <w:rPr>
          <w:rFonts w:cs="Arial"/>
        </w:rPr>
        <w:t xml:space="preserve">Australian or New Zealand consumers. </w:t>
      </w:r>
      <w:r w:rsidR="00990C4B" w:rsidRPr="00FF4C0D">
        <w:rPr>
          <w:rFonts w:cs="Arial"/>
        </w:rPr>
        <w:t>I</w:t>
      </w:r>
      <w:r w:rsidR="003A2F97" w:rsidRPr="00FF4C0D">
        <w:rPr>
          <w:rFonts w:cs="Arial"/>
        </w:rPr>
        <w:t xml:space="preserve">rradiation </w:t>
      </w:r>
      <w:r w:rsidRPr="00FF4C0D">
        <w:rPr>
          <w:rFonts w:cs="Arial"/>
        </w:rPr>
        <w:t xml:space="preserve">is technologically justified as </w:t>
      </w:r>
      <w:r w:rsidR="003A2F97" w:rsidRPr="00FF4C0D">
        <w:rPr>
          <w:rFonts w:cs="Arial"/>
        </w:rPr>
        <w:t>it will provide an eff</w:t>
      </w:r>
      <w:r w:rsidR="00A94DA5" w:rsidRPr="00FF4C0D">
        <w:rPr>
          <w:rFonts w:cs="Arial"/>
        </w:rPr>
        <w:t xml:space="preserve">icacious treatment to reduce </w:t>
      </w:r>
      <w:r w:rsidR="003A2F97" w:rsidRPr="00FF4C0D">
        <w:rPr>
          <w:rFonts w:cs="Arial"/>
        </w:rPr>
        <w:t xml:space="preserve">fruit fly </w:t>
      </w:r>
      <w:r w:rsidR="00A94DA5" w:rsidRPr="00FF4C0D">
        <w:rPr>
          <w:rFonts w:cs="Arial"/>
        </w:rPr>
        <w:t xml:space="preserve">infestation </w:t>
      </w:r>
      <w:r w:rsidR="003A2F97" w:rsidRPr="00FF4C0D">
        <w:rPr>
          <w:rFonts w:cs="Arial"/>
        </w:rPr>
        <w:t xml:space="preserve">which </w:t>
      </w:r>
      <w:r w:rsidR="00E84BAB" w:rsidRPr="00FF4C0D">
        <w:rPr>
          <w:rFonts w:cs="Arial"/>
        </w:rPr>
        <w:t>is</w:t>
      </w:r>
      <w:r w:rsidR="003A2F97" w:rsidRPr="00FF4C0D">
        <w:rPr>
          <w:rFonts w:cs="Arial"/>
        </w:rPr>
        <w:t xml:space="preserve"> of quarantine concern. </w:t>
      </w:r>
    </w:p>
    <w:p w:rsidR="00654B37" w:rsidRPr="00FF4C0D" w:rsidRDefault="00654B37" w:rsidP="00687555"/>
    <w:p w:rsidR="00637272" w:rsidRPr="00FF4C0D" w:rsidRDefault="00654B37" w:rsidP="00D946A8">
      <w:r w:rsidRPr="00FF4C0D">
        <w:t>A</w:t>
      </w:r>
      <w:r w:rsidR="007F6AC6" w:rsidRPr="00FF4C0D">
        <w:t>fter</w:t>
      </w:r>
      <w:r w:rsidRPr="00FF4C0D">
        <w:t xml:space="preserve"> </w:t>
      </w:r>
      <w:r w:rsidR="004E422C" w:rsidRPr="00FF4C0D">
        <w:t xml:space="preserve">an </w:t>
      </w:r>
      <w:r w:rsidRPr="00FF4C0D">
        <w:t>evaluation of</w:t>
      </w:r>
      <w:r w:rsidR="00C44198" w:rsidRPr="00FF4C0D">
        <w:t xml:space="preserve"> </w:t>
      </w:r>
      <w:r w:rsidRPr="00FF4C0D">
        <w:t>data published since 2002</w:t>
      </w:r>
      <w:r w:rsidR="00A57815" w:rsidRPr="00FF4C0D">
        <w:t xml:space="preserve">, FSANZ </w:t>
      </w:r>
      <w:r w:rsidR="004E422C" w:rsidRPr="00FF4C0D">
        <w:t xml:space="preserve">has </w:t>
      </w:r>
      <w:r w:rsidR="00A57815" w:rsidRPr="00FF4C0D">
        <w:t>conclude</w:t>
      </w:r>
      <w:r w:rsidR="004E422C" w:rsidRPr="00FF4C0D">
        <w:t>d</w:t>
      </w:r>
      <w:r w:rsidR="00F01448" w:rsidRPr="00FF4C0D">
        <w:t xml:space="preserve"> </w:t>
      </w:r>
      <w:r w:rsidRPr="00FF4C0D">
        <w:t>that there are no safety concerns arising from chemical products produced from irradiated foods</w:t>
      </w:r>
      <w:r w:rsidR="00203F05" w:rsidRPr="00FF4C0D">
        <w:t xml:space="preserve"> or </w:t>
      </w:r>
      <w:r w:rsidR="0028449A" w:rsidRPr="00FF4C0D">
        <w:t xml:space="preserve">changes to the composition of persimmons following irradiation that are likely to cause public health and safety concerns. </w:t>
      </w:r>
      <w:r w:rsidRPr="00FF4C0D">
        <w:t>As persimmons are not widely consumed in Australia and New Zealand</w:t>
      </w:r>
      <w:r w:rsidR="00F01448" w:rsidRPr="00FF4C0D">
        <w:t>,</w:t>
      </w:r>
      <w:r w:rsidRPr="00FF4C0D">
        <w:t xml:space="preserve"> they </w:t>
      </w:r>
      <w:r w:rsidR="00D9396D" w:rsidRPr="00FF4C0D">
        <w:t xml:space="preserve">are minor contributors </w:t>
      </w:r>
      <w:r w:rsidRPr="00FF4C0D">
        <w:t xml:space="preserve">to the total dietary intake of vitamins. </w:t>
      </w:r>
      <w:r w:rsidR="00637272" w:rsidRPr="00FF4C0D">
        <w:br w:type="page"/>
      </w:r>
    </w:p>
    <w:p w:rsidR="0028449A" w:rsidRPr="00FF4C0D" w:rsidRDefault="00654B37" w:rsidP="00D946A8">
      <w:pPr>
        <w:rPr>
          <w:rFonts w:cs="Arial"/>
        </w:rPr>
      </w:pPr>
      <w:r w:rsidRPr="00FF4C0D">
        <w:lastRenderedPageBreak/>
        <w:t>Therefore, there are unlikely to be any nutritional disadvantages for Australian and New Zealand consumers from eating irradiated persimmons.</w:t>
      </w:r>
      <w:r w:rsidR="0028449A" w:rsidRPr="00FF4C0D">
        <w:rPr>
          <w:rFonts w:cs="Arial"/>
        </w:rPr>
        <w:t xml:space="preserve"> </w:t>
      </w:r>
      <w:r w:rsidR="0056782A" w:rsidRPr="00FF4C0D">
        <w:t xml:space="preserve">The key risk assessment findings are detailed in </w:t>
      </w:r>
      <w:r w:rsidR="0056782A" w:rsidRPr="00FF4C0D">
        <w:rPr>
          <w:b/>
        </w:rPr>
        <w:t>Supporting Document 1</w:t>
      </w:r>
      <w:r w:rsidR="000E0FCA" w:rsidRPr="00FF4C0D">
        <w:rPr>
          <w:b/>
        </w:rPr>
        <w:t xml:space="preserve"> (SD1)</w:t>
      </w:r>
      <w:r w:rsidR="0056782A" w:rsidRPr="00FF4C0D">
        <w:t xml:space="preserve">. </w:t>
      </w:r>
    </w:p>
    <w:p w:rsidR="0028449A" w:rsidRPr="00FF4C0D" w:rsidRDefault="0028449A" w:rsidP="00D946A8"/>
    <w:p w:rsidR="00C75E47" w:rsidRPr="00FF4C0D" w:rsidRDefault="00C75E47" w:rsidP="00C75E47">
      <w:pPr>
        <w:widowControl/>
      </w:pPr>
      <w:r w:rsidRPr="00FF4C0D">
        <w:t xml:space="preserve">FSANZ </w:t>
      </w:r>
      <w:r w:rsidR="005F1645" w:rsidRPr="00FF4C0D">
        <w:t>takes a</w:t>
      </w:r>
      <w:r w:rsidRPr="00FF4C0D">
        <w:t xml:space="preserve"> case-by-case approach </w:t>
      </w:r>
      <w:r w:rsidR="002E5598" w:rsidRPr="00FF4C0D">
        <w:t>with a pre-market assessment being completed for each application</w:t>
      </w:r>
      <w:r w:rsidR="005F0968" w:rsidRPr="00FF4C0D">
        <w:t xml:space="preserve"> concerning irradiation of foods. </w:t>
      </w:r>
      <w:r w:rsidR="002E5598" w:rsidRPr="00FF4C0D">
        <w:t xml:space="preserve"> As the Risk </w:t>
      </w:r>
      <w:r w:rsidR="007224B7" w:rsidRPr="00FF4C0D">
        <w:t>Assessment</w:t>
      </w:r>
      <w:r w:rsidR="002E5598" w:rsidRPr="00FF4C0D">
        <w:t xml:space="preserve"> has concluded that there are no </w:t>
      </w:r>
      <w:r w:rsidR="007224B7" w:rsidRPr="00FF4C0D">
        <w:t xml:space="preserve">health, </w:t>
      </w:r>
      <w:r w:rsidR="002E5598" w:rsidRPr="00FF4C0D">
        <w:t xml:space="preserve">safety </w:t>
      </w:r>
      <w:r w:rsidR="007224B7" w:rsidRPr="00FF4C0D">
        <w:t>or nutritional concerns</w:t>
      </w:r>
      <w:r w:rsidR="002E5598" w:rsidRPr="00FF4C0D">
        <w:t>, FSANZ is recommending that this Application be approved</w:t>
      </w:r>
      <w:r w:rsidR="00342754" w:rsidRPr="00FF4C0D">
        <w:t xml:space="preserve"> s</w:t>
      </w:r>
      <w:r w:rsidRPr="00FF4C0D">
        <w:t xml:space="preserve">ubject to fulfilling the following </w:t>
      </w:r>
      <w:r w:rsidR="002E5598" w:rsidRPr="00FF4C0D">
        <w:t>conditions</w:t>
      </w:r>
      <w:r w:rsidR="009E6E1A" w:rsidRPr="00FF4C0D">
        <w:t xml:space="preserve"> </w:t>
      </w:r>
      <w:r w:rsidRPr="00FF4C0D">
        <w:t xml:space="preserve">under </w:t>
      </w:r>
      <w:r w:rsidR="00637272" w:rsidRPr="00FF4C0D">
        <w:t>Standard 1.5.3</w:t>
      </w:r>
      <w:r w:rsidRPr="00FF4C0D">
        <w:t xml:space="preserve">: </w:t>
      </w:r>
    </w:p>
    <w:p w:rsidR="00C75E47" w:rsidRPr="00FF4C0D" w:rsidRDefault="00C75E47" w:rsidP="00C75E47"/>
    <w:p w:rsidR="00C75E47" w:rsidRPr="00FF4C0D" w:rsidRDefault="00C75E47" w:rsidP="00C75E47">
      <w:pPr>
        <w:pStyle w:val="FSBullet"/>
      </w:pPr>
      <w:r w:rsidRPr="00FF4C0D">
        <w:t>irradiation of persimmons only for the purpose</w:t>
      </w:r>
      <w:r w:rsidR="00AD01BA" w:rsidRPr="00FF4C0D">
        <w:t xml:space="preserve">s </w:t>
      </w:r>
      <w:r w:rsidRPr="00FF4C0D">
        <w:t>of pest disinfestation for a phytosanitary objective</w:t>
      </w:r>
    </w:p>
    <w:p w:rsidR="00C75E47" w:rsidRPr="00FF4C0D" w:rsidRDefault="00C75E47" w:rsidP="00C75E47"/>
    <w:p w:rsidR="00762B84" w:rsidRPr="00FF4C0D" w:rsidRDefault="00C75E47" w:rsidP="00203F05">
      <w:pPr>
        <w:pStyle w:val="FSBullet"/>
      </w:pPr>
      <w:r w:rsidRPr="00FF4C0D">
        <w:t>adherence to a minimum dose of 150 Gy and a maximum of 1 kGy</w:t>
      </w:r>
      <w:r w:rsidR="00365C35" w:rsidRPr="00FF4C0D">
        <w:t>.</w:t>
      </w:r>
    </w:p>
    <w:p w:rsidR="00762B84" w:rsidRPr="00FF4C0D" w:rsidRDefault="00762B84" w:rsidP="00762B84"/>
    <w:p w:rsidR="00342754" w:rsidRPr="00FF4C0D" w:rsidRDefault="00AD01BA" w:rsidP="00342754">
      <w:r w:rsidRPr="00FF4C0D">
        <w:t>T</w:t>
      </w:r>
      <w:r w:rsidR="00342754" w:rsidRPr="00FF4C0D">
        <w:t>he current mandatory labelling of irradiated foods and record requirements will apply to irradiated persimmon</w:t>
      </w:r>
      <w:r w:rsidR="009E6E1A" w:rsidRPr="00FF4C0D">
        <w:t>s. B</w:t>
      </w:r>
      <w:r w:rsidR="00342754" w:rsidRPr="00FF4C0D">
        <w:t xml:space="preserve">ased on the risk assessment findings, no additional mandatory labelling requirements are proposed. </w:t>
      </w:r>
    </w:p>
    <w:p w:rsidR="00342754" w:rsidRPr="00FF4C0D" w:rsidRDefault="00342754" w:rsidP="001617E8"/>
    <w:p w:rsidR="00B66EB4" w:rsidRPr="00FF4C0D" w:rsidRDefault="00B66EB4" w:rsidP="001617E8">
      <w:r w:rsidRPr="00FF4C0D">
        <w:t>Australian and New Zealand consumers are generally aware of food irradiation</w:t>
      </w:r>
      <w:r w:rsidR="00365C35" w:rsidRPr="00FF4C0D">
        <w:t>,</w:t>
      </w:r>
      <w:r w:rsidRPr="00FF4C0D">
        <w:t xml:space="preserve"> but </w:t>
      </w:r>
      <w:r w:rsidR="00CD339F" w:rsidRPr="00FF4C0D">
        <w:t xml:space="preserve">some consumers </w:t>
      </w:r>
      <w:r w:rsidRPr="00FF4C0D">
        <w:t xml:space="preserve">also hold concerns about the use of the technology. The </w:t>
      </w:r>
      <w:r w:rsidR="00CD339F" w:rsidRPr="00FF4C0D">
        <w:t xml:space="preserve">consumer </w:t>
      </w:r>
      <w:r w:rsidRPr="00FF4C0D">
        <w:t xml:space="preserve">response to food irradiation is not dissimilar to their response to other new food technologies, where perceived risks and benefits of the technology will inform subsequent decisions made by consumers. While aware of food irradiation, consumers’ understanding </w:t>
      </w:r>
      <w:r w:rsidR="004E422C" w:rsidRPr="00FF4C0D">
        <w:t>of the issue</w:t>
      </w:r>
      <w:r w:rsidRPr="00FF4C0D">
        <w:t xml:space="preserve"> may contribute to a perception of increased risk. Information and education may assist in addressing the information gap.</w:t>
      </w:r>
      <w:r w:rsidRPr="00FF4C0D">
        <w:rPr>
          <w:szCs w:val="20"/>
        </w:rPr>
        <w:t xml:space="preserve"> A </w:t>
      </w:r>
      <w:r w:rsidRPr="00FF4C0D">
        <w:t>Fact Sheet</w:t>
      </w:r>
      <w:r w:rsidR="008514FE" w:rsidRPr="00FF4C0D">
        <w:rPr>
          <w:rStyle w:val="FootnoteReference"/>
          <w:rFonts w:cs="Arial"/>
        </w:rPr>
        <w:footnoteReference w:id="2"/>
      </w:r>
      <w:r w:rsidRPr="00FF4C0D">
        <w:t xml:space="preserve"> on the FSANZ website will serve to assist in providing information on irradiated food to the general public. </w:t>
      </w:r>
    </w:p>
    <w:p w:rsidR="00B66EB4" w:rsidRPr="00FF4C0D" w:rsidRDefault="00B66EB4" w:rsidP="00AF64BA">
      <w:pPr>
        <w:autoSpaceDE w:val="0"/>
        <w:autoSpaceDN w:val="0"/>
        <w:adjustRightInd w:val="0"/>
        <w:rPr>
          <w:rFonts w:cs="Arial"/>
          <w:b/>
        </w:rPr>
      </w:pPr>
    </w:p>
    <w:p w:rsidR="00AF64BA" w:rsidRPr="00FF4C0D" w:rsidRDefault="00AF64BA" w:rsidP="00AF64BA">
      <w:pPr>
        <w:autoSpaceDE w:val="0"/>
        <w:autoSpaceDN w:val="0"/>
        <w:adjustRightInd w:val="0"/>
        <w:rPr>
          <w:rFonts w:cs="Arial"/>
          <w:b/>
        </w:rPr>
      </w:pPr>
      <w:r w:rsidRPr="00FF4C0D">
        <w:rPr>
          <w:rFonts w:cs="Arial"/>
          <w:b/>
        </w:rPr>
        <w:t>Additional Amendments</w:t>
      </w:r>
      <w:r w:rsidR="004517AD" w:rsidRPr="00FF4C0D">
        <w:rPr>
          <w:rFonts w:cs="Arial"/>
          <w:b/>
        </w:rPr>
        <w:t xml:space="preserve"> </w:t>
      </w:r>
    </w:p>
    <w:p w:rsidR="00AF64BA" w:rsidRPr="00FF4C0D" w:rsidRDefault="00AF64BA" w:rsidP="00AF64BA">
      <w:pPr>
        <w:autoSpaceDE w:val="0"/>
        <w:autoSpaceDN w:val="0"/>
        <w:adjustRightInd w:val="0"/>
      </w:pPr>
    </w:p>
    <w:p w:rsidR="00A35B38" w:rsidRPr="00FF4C0D" w:rsidRDefault="00711A7B" w:rsidP="00E64015">
      <w:pPr>
        <w:pStyle w:val="FSBullet"/>
        <w:numPr>
          <w:ilvl w:val="0"/>
          <w:numId w:val="0"/>
        </w:numPr>
      </w:pPr>
      <w:r w:rsidRPr="00FF4C0D">
        <w:rPr>
          <w:bCs/>
          <w:color w:val="000000" w:themeColor="text1"/>
          <w:szCs w:val="22"/>
          <w:lang w:eastAsia="en-GB" w:bidi="ar-SA"/>
        </w:rPr>
        <w:t xml:space="preserve">Additional amendments </w:t>
      </w:r>
      <w:r w:rsidR="00B66EB4" w:rsidRPr="00FF4C0D">
        <w:rPr>
          <w:bCs/>
          <w:color w:val="000000" w:themeColor="text1"/>
          <w:szCs w:val="22"/>
          <w:lang w:eastAsia="en-GB" w:bidi="ar-SA"/>
        </w:rPr>
        <w:t xml:space="preserve">are recommended </w:t>
      </w:r>
      <w:r w:rsidR="00AA36A8" w:rsidRPr="00FF4C0D">
        <w:rPr>
          <w:bCs/>
          <w:color w:val="000000" w:themeColor="text1"/>
          <w:szCs w:val="22"/>
          <w:lang w:eastAsia="en-GB" w:bidi="ar-SA"/>
        </w:rPr>
        <w:t xml:space="preserve">to Standard </w:t>
      </w:r>
      <w:r w:rsidR="008037C3" w:rsidRPr="00FF4C0D">
        <w:rPr>
          <w:bCs/>
          <w:color w:val="000000" w:themeColor="text1"/>
          <w:szCs w:val="22"/>
          <w:lang w:eastAsia="en-GB" w:bidi="ar-SA"/>
        </w:rPr>
        <w:t xml:space="preserve">1.1.1 </w:t>
      </w:r>
      <w:r w:rsidR="008037C3" w:rsidRPr="00FF4C0D">
        <w:t>–</w:t>
      </w:r>
      <w:r w:rsidR="009E025B" w:rsidRPr="00FF4C0D">
        <w:t xml:space="preserve"> Application, Interpretation and General Prohibitions </w:t>
      </w:r>
      <w:r w:rsidR="00AA36A8" w:rsidRPr="00FF4C0D">
        <w:rPr>
          <w:bCs/>
          <w:color w:val="000000" w:themeColor="text1"/>
          <w:szCs w:val="22"/>
          <w:lang w:eastAsia="en-GB" w:bidi="ar-SA"/>
        </w:rPr>
        <w:t xml:space="preserve">and to Standard </w:t>
      </w:r>
      <w:r w:rsidR="009E025B" w:rsidRPr="00FF4C0D">
        <w:rPr>
          <w:bCs/>
          <w:color w:val="000000" w:themeColor="text1"/>
          <w:szCs w:val="22"/>
          <w:lang w:eastAsia="en-GB" w:bidi="ar-SA"/>
        </w:rPr>
        <w:t xml:space="preserve">1.5.3 </w:t>
      </w:r>
      <w:r w:rsidR="00A35B38" w:rsidRPr="00FF4C0D">
        <w:rPr>
          <w:bCs/>
          <w:color w:val="000000" w:themeColor="text1"/>
          <w:szCs w:val="22"/>
          <w:lang w:eastAsia="en-GB" w:bidi="ar-SA"/>
        </w:rPr>
        <w:t>i</w:t>
      </w:r>
      <w:r w:rsidR="00BF2E6F" w:rsidRPr="00FF4C0D">
        <w:rPr>
          <w:bCs/>
          <w:color w:val="000000" w:themeColor="text1"/>
          <w:szCs w:val="22"/>
          <w:lang w:eastAsia="en-GB" w:bidi="ar-SA"/>
        </w:rPr>
        <w:t xml:space="preserve">n order to </w:t>
      </w:r>
      <w:r w:rsidR="0095321B" w:rsidRPr="00FF4C0D">
        <w:rPr>
          <w:bCs/>
          <w:color w:val="000000" w:themeColor="text1"/>
          <w:szCs w:val="22"/>
          <w:lang w:eastAsia="en-GB" w:bidi="ar-SA"/>
        </w:rPr>
        <w:t xml:space="preserve">provide </w:t>
      </w:r>
      <w:r w:rsidR="00CA0393" w:rsidRPr="00FF4C0D">
        <w:rPr>
          <w:bCs/>
          <w:color w:val="000000" w:themeColor="text1"/>
          <w:szCs w:val="22"/>
          <w:lang w:eastAsia="en-GB" w:bidi="ar-SA"/>
        </w:rPr>
        <w:t xml:space="preserve">improved </w:t>
      </w:r>
      <w:r w:rsidR="0095321B" w:rsidRPr="00FF4C0D">
        <w:rPr>
          <w:bCs/>
          <w:color w:val="000000" w:themeColor="text1"/>
          <w:szCs w:val="22"/>
          <w:lang w:eastAsia="en-GB" w:bidi="ar-SA"/>
        </w:rPr>
        <w:t xml:space="preserve">clarity, </w:t>
      </w:r>
      <w:r w:rsidR="0095321B" w:rsidRPr="00FF4C0D">
        <w:t>interp</w:t>
      </w:r>
      <w:r w:rsidR="00D256CE" w:rsidRPr="00FF4C0D">
        <w:t xml:space="preserve">retation, and operation of </w:t>
      </w:r>
      <w:r w:rsidR="00637272" w:rsidRPr="00FF4C0D">
        <w:t>Standard 1.5.3</w:t>
      </w:r>
      <w:r w:rsidR="00CA0393" w:rsidRPr="00FF4C0D">
        <w:t>. Th</w:t>
      </w:r>
      <w:r w:rsidR="0040446F" w:rsidRPr="00FF4C0D">
        <w:t xml:space="preserve">ese do not </w:t>
      </w:r>
      <w:r w:rsidR="0095321B" w:rsidRPr="00FF4C0D">
        <w:t>chang</w:t>
      </w:r>
      <w:r w:rsidR="0040446F" w:rsidRPr="00FF4C0D">
        <w:t>e</w:t>
      </w:r>
      <w:r w:rsidR="0095321B" w:rsidRPr="00FF4C0D">
        <w:t xml:space="preserve"> the intent of </w:t>
      </w:r>
      <w:r w:rsidR="00637272" w:rsidRPr="00FF4C0D">
        <w:t>Standard 1.5.3</w:t>
      </w:r>
      <w:r w:rsidR="00A35B38" w:rsidRPr="00FF4C0D">
        <w:t xml:space="preserve"> to permit the irradiation of food on a case-by-case basis.</w:t>
      </w:r>
      <w:r w:rsidR="00B66EB4" w:rsidRPr="00FF4C0D">
        <w:t xml:space="preserve"> These recommendations include changes made since consultation on the Assessment </w:t>
      </w:r>
      <w:r w:rsidR="00123BAF" w:rsidRPr="00FF4C0D">
        <w:t>R</w:t>
      </w:r>
      <w:r w:rsidR="00B66EB4" w:rsidRPr="00FF4C0D">
        <w:t xml:space="preserve">eport, taking account of </w:t>
      </w:r>
      <w:r w:rsidR="00975F89" w:rsidRPr="00FF4C0D">
        <w:t>submitter’s</w:t>
      </w:r>
      <w:r w:rsidR="00B66EB4" w:rsidRPr="00FF4C0D">
        <w:t xml:space="preserve"> comments.</w:t>
      </w:r>
    </w:p>
    <w:p w:rsidR="00A35B38" w:rsidRPr="00FF4C0D" w:rsidRDefault="00A35B38" w:rsidP="001617E8"/>
    <w:p w:rsidR="00D256CE" w:rsidRPr="00FF4C0D" w:rsidRDefault="00A35B38" w:rsidP="006B3099">
      <w:pPr>
        <w:pStyle w:val="FSBullet"/>
        <w:ind w:left="0" w:firstLine="0"/>
        <w:rPr>
          <w:bCs/>
          <w:iCs/>
          <w:color w:val="000000" w:themeColor="text1"/>
          <w:szCs w:val="22"/>
          <w:lang w:eastAsia="en-GB" w:bidi="ar-SA"/>
        </w:rPr>
      </w:pPr>
      <w:r w:rsidRPr="00FF4C0D">
        <w:t xml:space="preserve">The </w:t>
      </w:r>
      <w:r w:rsidR="00AB0FB8" w:rsidRPr="00FF4C0D">
        <w:rPr>
          <w:bCs/>
          <w:color w:val="000000" w:themeColor="text1"/>
          <w:szCs w:val="22"/>
          <w:lang w:eastAsia="en-GB" w:bidi="ar-SA"/>
        </w:rPr>
        <w:t xml:space="preserve">following </w:t>
      </w:r>
      <w:r w:rsidR="000636E2" w:rsidRPr="00FF4C0D">
        <w:rPr>
          <w:bCs/>
          <w:color w:val="000000" w:themeColor="text1"/>
          <w:szCs w:val="22"/>
          <w:lang w:eastAsia="en-GB" w:bidi="ar-SA"/>
        </w:rPr>
        <w:t>a</w:t>
      </w:r>
      <w:r w:rsidR="00AA36A8" w:rsidRPr="00FF4C0D">
        <w:rPr>
          <w:bCs/>
          <w:iCs/>
          <w:color w:val="000000" w:themeColor="text1"/>
          <w:szCs w:val="22"/>
          <w:lang w:eastAsia="en-GB" w:bidi="ar-SA"/>
        </w:rPr>
        <w:t xml:space="preserve">mendments </w:t>
      </w:r>
      <w:r w:rsidR="00123BAF" w:rsidRPr="00FF4C0D">
        <w:rPr>
          <w:bCs/>
          <w:iCs/>
          <w:color w:val="000000" w:themeColor="text1"/>
          <w:szCs w:val="22"/>
          <w:lang w:eastAsia="en-GB" w:bidi="ar-SA"/>
        </w:rPr>
        <w:t>have been approved</w:t>
      </w:r>
      <w:r w:rsidR="00AB0FB8" w:rsidRPr="00FF4C0D">
        <w:rPr>
          <w:bCs/>
          <w:iCs/>
          <w:color w:val="000000" w:themeColor="text1"/>
          <w:szCs w:val="22"/>
          <w:lang w:eastAsia="en-GB" w:bidi="ar-SA"/>
        </w:rPr>
        <w:t>:</w:t>
      </w:r>
    </w:p>
    <w:p w:rsidR="006B3099" w:rsidRPr="00FF4C0D" w:rsidRDefault="006B3099" w:rsidP="006B3099">
      <w:pPr>
        <w:rPr>
          <w:lang w:eastAsia="en-GB" w:bidi="ar-SA"/>
        </w:rPr>
      </w:pPr>
    </w:p>
    <w:p w:rsidR="0018097B" w:rsidRPr="00FF4C0D" w:rsidRDefault="00BB0B21" w:rsidP="0018097B">
      <w:pPr>
        <w:pStyle w:val="FSBullet"/>
        <w:rPr>
          <w:lang w:eastAsia="en-GB" w:bidi="ar-SA"/>
        </w:rPr>
      </w:pPr>
      <w:r w:rsidRPr="00FF4C0D">
        <w:t>i</w:t>
      </w:r>
      <w:r w:rsidR="00D256CE" w:rsidRPr="00FF4C0D">
        <w:t xml:space="preserve">nsertion of </w:t>
      </w:r>
      <w:r w:rsidR="0018097B" w:rsidRPr="00FF4C0D">
        <w:t>the terms ‘kGy’ and ‘</w:t>
      </w:r>
      <w:r w:rsidR="008D5EF1" w:rsidRPr="00FF4C0D">
        <w:t>kiloGray</w:t>
      </w:r>
      <w:r w:rsidR="0018097B" w:rsidRPr="00FF4C0D">
        <w:t xml:space="preserve">’  </w:t>
      </w:r>
      <w:r w:rsidR="00D256CE" w:rsidRPr="00FF4C0D">
        <w:t xml:space="preserve">in the </w:t>
      </w:r>
      <w:r w:rsidR="0018097B" w:rsidRPr="00FF4C0D">
        <w:t>G</w:t>
      </w:r>
      <w:r w:rsidR="00D256CE" w:rsidRPr="00FF4C0D">
        <w:t>lossary of symbols</w:t>
      </w:r>
      <w:r w:rsidR="0018097B" w:rsidRPr="00FF4C0D">
        <w:t xml:space="preserve"> and units</w:t>
      </w:r>
      <w:r w:rsidR="00D256CE" w:rsidRPr="00FF4C0D">
        <w:t xml:space="preserve"> in </w:t>
      </w:r>
      <w:r w:rsidR="008778CF" w:rsidRPr="00FF4C0D">
        <w:t>c</w:t>
      </w:r>
      <w:r w:rsidR="00D256CE" w:rsidRPr="00FF4C0D">
        <w:t xml:space="preserve">lause 8 of Standard 1.1.1 </w:t>
      </w:r>
      <w:r w:rsidR="00D256CE" w:rsidRPr="00FF4C0D">
        <w:rPr>
          <w:bCs/>
          <w:color w:val="000000" w:themeColor="text1"/>
          <w:szCs w:val="22"/>
          <w:lang w:eastAsia="en-GB" w:bidi="ar-SA"/>
        </w:rPr>
        <w:t>as there is presently no listing for these</w:t>
      </w:r>
    </w:p>
    <w:p w:rsidR="0038331C" w:rsidRPr="00FF4C0D" w:rsidRDefault="0038331C" w:rsidP="002D0B03">
      <w:pPr>
        <w:rPr>
          <w:lang w:eastAsia="en-GB" w:bidi="ar-SA"/>
        </w:rPr>
      </w:pPr>
    </w:p>
    <w:p w:rsidR="00EB1EF3" w:rsidRPr="00FF4C0D" w:rsidRDefault="00562107">
      <w:pPr>
        <w:pStyle w:val="FSBullet"/>
        <w:rPr>
          <w:rStyle w:val="CommentReference"/>
        </w:rPr>
      </w:pPr>
      <w:r w:rsidRPr="00FF4C0D">
        <w:t>the unit ‘Gray’</w:t>
      </w:r>
      <w:r w:rsidR="00190F3A" w:rsidRPr="00FF4C0D">
        <w:t xml:space="preserve"> is inserted into clause </w:t>
      </w:r>
      <w:r w:rsidRPr="00FF4C0D">
        <w:t xml:space="preserve">8 of Standard 1.1.1 </w:t>
      </w:r>
      <w:r w:rsidR="00D22175" w:rsidRPr="00FF4C0D">
        <w:t>to replace ‘G</w:t>
      </w:r>
      <w:r w:rsidRPr="00FF4C0D">
        <w:t>rays’</w:t>
      </w:r>
      <w:r w:rsidRPr="00FF4C0D">
        <w:rPr>
          <w:rStyle w:val="CommentReference"/>
        </w:rPr>
        <w:t xml:space="preserve"> </w:t>
      </w:r>
    </w:p>
    <w:p w:rsidR="0038331C" w:rsidRPr="00FF4C0D" w:rsidRDefault="0038331C" w:rsidP="00D86BDE"/>
    <w:p w:rsidR="007006E6" w:rsidRPr="00FF4C0D" w:rsidRDefault="007006E6" w:rsidP="007006E6">
      <w:pPr>
        <w:pStyle w:val="FSBullet"/>
      </w:pPr>
      <w:r w:rsidRPr="00FF4C0D">
        <w:t>re-s</w:t>
      </w:r>
      <w:r w:rsidR="00254112" w:rsidRPr="00FF4C0D">
        <w:t xml:space="preserve">tructuring and re-ordering </w:t>
      </w:r>
      <w:r w:rsidR="00384C59" w:rsidRPr="00FF4C0D">
        <w:t xml:space="preserve">of </w:t>
      </w:r>
      <w:r w:rsidR="00637272" w:rsidRPr="00FF4C0D">
        <w:t>Standard 1.5.3</w:t>
      </w:r>
      <w:r w:rsidRPr="00FF4C0D">
        <w:t xml:space="preserve"> and inserting new clauses for foods permitted to be irradiated and conditions under which a food can be re-irradiated</w:t>
      </w:r>
    </w:p>
    <w:p w:rsidR="007006E6" w:rsidRPr="00FF4C0D" w:rsidRDefault="007006E6" w:rsidP="007006E6"/>
    <w:p w:rsidR="00987658" w:rsidRPr="00FF4C0D" w:rsidRDefault="00BB0B21" w:rsidP="00987658">
      <w:pPr>
        <w:pStyle w:val="FSBullet"/>
      </w:pPr>
      <w:r w:rsidRPr="00FF4C0D">
        <w:t>r</w:t>
      </w:r>
      <w:r w:rsidR="00ED15B2" w:rsidRPr="00FF4C0D">
        <w:t>emoval of extraneous material and provision of more clarity around the specific purpose of irradiating a food</w:t>
      </w:r>
    </w:p>
    <w:p w:rsidR="007C4682" w:rsidRPr="00FF4C0D" w:rsidRDefault="007C4682" w:rsidP="007C4682"/>
    <w:p w:rsidR="00266FAA" w:rsidRPr="00FF4C0D" w:rsidRDefault="007006E6" w:rsidP="007006E6">
      <w:pPr>
        <w:pStyle w:val="FSBullet"/>
      </w:pPr>
      <w:r w:rsidRPr="00FF4C0D">
        <w:t>insert</w:t>
      </w:r>
      <w:r w:rsidR="00384C59" w:rsidRPr="00FF4C0D">
        <w:t>ing</w:t>
      </w:r>
      <w:r w:rsidRPr="00FF4C0D">
        <w:t xml:space="preserve"> a reference to New Zealand in </w:t>
      </w:r>
      <w:r w:rsidR="004D52DF" w:rsidRPr="00FF4C0D">
        <w:t>the P</w:t>
      </w:r>
      <w:r w:rsidRPr="00FF4C0D">
        <w:t>urpose in relation to laws that govern radiation control, and the operation of irradiation facilities</w:t>
      </w:r>
      <w:r w:rsidR="00266FAA" w:rsidRPr="00FF4C0D">
        <w:br w:type="page"/>
      </w:r>
    </w:p>
    <w:p w:rsidR="00987658" w:rsidRPr="00FF4C0D" w:rsidRDefault="00384C59" w:rsidP="00987658">
      <w:pPr>
        <w:pStyle w:val="FSBullet"/>
        <w:rPr>
          <w:bCs/>
          <w:color w:val="000000" w:themeColor="text1"/>
          <w:szCs w:val="22"/>
          <w:lang w:eastAsia="en-GB" w:bidi="ar-SA"/>
        </w:rPr>
      </w:pPr>
      <w:r w:rsidRPr="00FF4C0D">
        <w:rPr>
          <w:bCs/>
          <w:color w:val="000000" w:themeColor="text1"/>
          <w:szCs w:val="22"/>
          <w:lang w:eastAsia="en-GB" w:bidi="ar-SA"/>
        </w:rPr>
        <w:lastRenderedPageBreak/>
        <w:t>deletion of</w:t>
      </w:r>
      <w:r w:rsidR="00254112" w:rsidRPr="00FF4C0D">
        <w:rPr>
          <w:bCs/>
          <w:color w:val="000000" w:themeColor="text1"/>
          <w:szCs w:val="22"/>
          <w:lang w:eastAsia="en-GB" w:bidi="ar-SA"/>
        </w:rPr>
        <w:t xml:space="preserve"> </w:t>
      </w:r>
      <w:r w:rsidR="009C340E" w:rsidRPr="00FF4C0D">
        <w:rPr>
          <w:bCs/>
          <w:color w:val="000000" w:themeColor="text1"/>
          <w:szCs w:val="22"/>
          <w:lang w:eastAsia="en-GB" w:bidi="ar-SA"/>
        </w:rPr>
        <w:t xml:space="preserve">the definition of a technological need </w:t>
      </w:r>
      <w:r w:rsidR="00D256CE" w:rsidRPr="00FF4C0D">
        <w:rPr>
          <w:bCs/>
          <w:color w:val="000000" w:themeColor="text1"/>
          <w:szCs w:val="22"/>
          <w:lang w:eastAsia="en-GB" w:bidi="ar-SA"/>
        </w:rPr>
        <w:t xml:space="preserve">and </w:t>
      </w:r>
      <w:r w:rsidR="004F5D6C" w:rsidRPr="00FF4C0D">
        <w:rPr>
          <w:bCs/>
          <w:color w:val="000000" w:themeColor="text1"/>
          <w:szCs w:val="22"/>
          <w:lang w:eastAsia="en-GB" w:bidi="ar-SA"/>
        </w:rPr>
        <w:t>re-irradiation</w:t>
      </w:r>
      <w:r w:rsidR="00D55EBC" w:rsidRPr="00FF4C0D">
        <w:rPr>
          <w:bCs/>
          <w:color w:val="000000" w:themeColor="text1"/>
          <w:szCs w:val="22"/>
          <w:lang w:eastAsia="en-GB" w:bidi="ar-SA"/>
        </w:rPr>
        <w:t xml:space="preserve"> as both are</w:t>
      </w:r>
      <w:r w:rsidR="00AA48E5" w:rsidRPr="00FF4C0D">
        <w:rPr>
          <w:bCs/>
          <w:color w:val="000000" w:themeColor="text1"/>
          <w:szCs w:val="22"/>
          <w:lang w:eastAsia="en-GB" w:bidi="ar-SA"/>
        </w:rPr>
        <w:t xml:space="preserve"> covered under other requirements </w:t>
      </w:r>
      <w:r w:rsidR="00D55EBC" w:rsidRPr="00FF4C0D">
        <w:rPr>
          <w:bCs/>
          <w:color w:val="000000" w:themeColor="text1"/>
          <w:szCs w:val="22"/>
          <w:lang w:eastAsia="en-GB" w:bidi="ar-SA"/>
        </w:rPr>
        <w:t xml:space="preserve">in </w:t>
      </w:r>
      <w:r w:rsidR="00637272" w:rsidRPr="00FF4C0D">
        <w:rPr>
          <w:bCs/>
          <w:color w:val="000000" w:themeColor="text1"/>
          <w:szCs w:val="22"/>
          <w:lang w:eastAsia="en-GB" w:bidi="ar-SA"/>
        </w:rPr>
        <w:t>Standard 1.5.3</w:t>
      </w:r>
    </w:p>
    <w:p w:rsidR="007C4682" w:rsidRPr="00FF4C0D" w:rsidRDefault="007C4682" w:rsidP="007C4682">
      <w:pPr>
        <w:rPr>
          <w:lang w:eastAsia="en-GB" w:bidi="ar-SA"/>
        </w:rPr>
      </w:pPr>
    </w:p>
    <w:p w:rsidR="00C62AA2" w:rsidRPr="00FF4C0D" w:rsidRDefault="004D52DF" w:rsidP="00C62AA2">
      <w:pPr>
        <w:pStyle w:val="FSBullet"/>
      </w:pPr>
      <w:r w:rsidRPr="00FF4C0D">
        <w:t>deletion of</w:t>
      </w:r>
      <w:r w:rsidR="00C62AA2" w:rsidRPr="00FF4C0D">
        <w:t xml:space="preserve"> the requirement for a minimum dose as a condition in column 3 of the purpose in the Table to clause 4 to achieve the technological purpose </w:t>
      </w:r>
      <w:r w:rsidR="00F37B51" w:rsidRPr="00FF4C0D">
        <w:t>of irradiating a food</w:t>
      </w:r>
      <w:r w:rsidR="00525DD5" w:rsidRPr="00FF4C0D">
        <w:t>,</w:t>
      </w:r>
      <w:r w:rsidR="00F37B51" w:rsidRPr="00FF4C0D">
        <w:t xml:space="preserve"> </w:t>
      </w:r>
      <w:r w:rsidR="00C62AA2" w:rsidRPr="00FF4C0D">
        <w:t>as the intent is now covered by revised provisions in clause 4</w:t>
      </w:r>
    </w:p>
    <w:p w:rsidR="00C62AA2" w:rsidRPr="00FF4C0D" w:rsidRDefault="00C62AA2" w:rsidP="00C62AA2"/>
    <w:p w:rsidR="009B4A0D" w:rsidRPr="00FF4C0D" w:rsidRDefault="00254112" w:rsidP="005A5F50">
      <w:pPr>
        <w:pStyle w:val="FSBullet"/>
      </w:pPr>
      <w:r w:rsidRPr="00FF4C0D">
        <w:t>delet</w:t>
      </w:r>
      <w:r w:rsidR="00384C59" w:rsidRPr="00FF4C0D">
        <w:t xml:space="preserve">ion of </w:t>
      </w:r>
      <w:r w:rsidR="007006E6" w:rsidRPr="00FF4C0D">
        <w:t xml:space="preserve">all references to good manufacturing practice (GMP) </w:t>
      </w:r>
      <w:r w:rsidRPr="00FF4C0D">
        <w:t xml:space="preserve">in </w:t>
      </w:r>
      <w:r w:rsidR="00637272" w:rsidRPr="00FF4C0D">
        <w:t>Standard 1.5.3</w:t>
      </w:r>
      <w:r w:rsidRPr="00FF4C0D">
        <w:t xml:space="preserve"> </w:t>
      </w:r>
      <w:r w:rsidR="00E32D63" w:rsidRPr="00FF4C0D">
        <w:t>as a condition for handling food before and after irradiation</w:t>
      </w:r>
      <w:r w:rsidR="009A1AAE" w:rsidRPr="00FF4C0D">
        <w:t>. T</w:t>
      </w:r>
      <w:r w:rsidR="00E32D63" w:rsidRPr="00FF4C0D">
        <w:t>his is covered by other provisions</w:t>
      </w:r>
      <w:r w:rsidR="00CE3FF3" w:rsidRPr="00FF4C0D">
        <w:t>,</w:t>
      </w:r>
      <w:r w:rsidR="00E32D63" w:rsidRPr="00FF4C0D">
        <w:t xml:space="preserve"> </w:t>
      </w:r>
      <w:r w:rsidR="009A1AAE" w:rsidRPr="00FF4C0D">
        <w:t>relating to food safety requirements</w:t>
      </w:r>
      <w:r w:rsidR="00CE3FF3" w:rsidRPr="00FF4C0D">
        <w:t>,</w:t>
      </w:r>
      <w:r w:rsidR="009A1AAE" w:rsidRPr="00FF4C0D">
        <w:t xml:space="preserve"> </w:t>
      </w:r>
      <w:r w:rsidR="00E32D63" w:rsidRPr="00FF4C0D">
        <w:t xml:space="preserve">currently in the Code and </w:t>
      </w:r>
      <w:r w:rsidR="006F3CBF" w:rsidRPr="00FF4C0D">
        <w:t>covered in existing New Zealand legislation, including the Food Hygiene Regulations 1974 or under an approved food safety program via the New Zealand Food Act 1981</w:t>
      </w:r>
    </w:p>
    <w:p w:rsidR="006F3CBF" w:rsidRPr="00FF4C0D" w:rsidRDefault="006F3CBF"/>
    <w:p w:rsidR="00254112" w:rsidRPr="00FF4C0D" w:rsidRDefault="00BD78D8" w:rsidP="00254112">
      <w:pPr>
        <w:pStyle w:val="FSBullet"/>
      </w:pPr>
      <w:r w:rsidRPr="00FF4C0D">
        <w:t>d</w:t>
      </w:r>
      <w:r w:rsidR="004D52DF" w:rsidRPr="00FF4C0D">
        <w:t>eletion of</w:t>
      </w:r>
      <w:r w:rsidR="00A110C3" w:rsidRPr="00FF4C0D">
        <w:t xml:space="preserve"> </w:t>
      </w:r>
      <w:r w:rsidR="00D86BDE" w:rsidRPr="00FF4C0D">
        <w:rPr>
          <w:rFonts w:eastAsiaTheme="minorHAnsi"/>
          <w:szCs w:val="22"/>
        </w:rPr>
        <w:t xml:space="preserve">subclause 4(2) </w:t>
      </w:r>
      <w:r w:rsidR="00D86BDE" w:rsidRPr="00FF4C0D">
        <w:t xml:space="preserve">from </w:t>
      </w:r>
      <w:r w:rsidR="00637272" w:rsidRPr="00FF4C0D">
        <w:t>Standard 1.5.3</w:t>
      </w:r>
      <w:r w:rsidR="00AA4BDF" w:rsidRPr="00FF4C0D">
        <w:rPr>
          <w:rFonts w:eastAsiaTheme="minorHAnsi"/>
          <w:szCs w:val="22"/>
        </w:rPr>
        <w:t xml:space="preserve">. The conditions in column 3 of </w:t>
      </w:r>
      <w:r w:rsidR="00AA4BDF" w:rsidRPr="00FF4C0D">
        <w:t>the Table of Foods permitted to be irradiated prescribe a technological purpose to irradiate foods which includes any purpose ass</w:t>
      </w:r>
      <w:r w:rsidR="005076A1" w:rsidRPr="00FF4C0D">
        <w:t xml:space="preserve">ociated with food hygiene (e.g. </w:t>
      </w:r>
      <w:r w:rsidR="00AA4BDF" w:rsidRPr="00FF4C0D">
        <w:t>bacterial decontamination). Therefore, there is no need to retain</w:t>
      </w:r>
      <w:r w:rsidR="00B77376" w:rsidRPr="00FF4C0D">
        <w:t xml:space="preserve"> </w:t>
      </w:r>
      <w:r w:rsidR="00AA4BDF" w:rsidRPr="00FF4C0D">
        <w:t xml:space="preserve">subclause 4(2) in Standard 1.5.3. </w:t>
      </w:r>
    </w:p>
    <w:p w:rsidR="00254112" w:rsidRPr="00FF4C0D" w:rsidRDefault="00254112" w:rsidP="00254112">
      <w:pPr>
        <w:rPr>
          <w:lang w:eastAsia="en-GB" w:bidi="ar-SA"/>
        </w:rPr>
      </w:pPr>
    </w:p>
    <w:p w:rsidR="007006E6" w:rsidRPr="00FF4C0D" w:rsidRDefault="00A70DF3" w:rsidP="00254112">
      <w:pPr>
        <w:pStyle w:val="FSBullet"/>
      </w:pPr>
      <w:r w:rsidRPr="00FF4C0D">
        <w:t>d</w:t>
      </w:r>
      <w:r w:rsidR="00991992" w:rsidRPr="00FF4C0D">
        <w:t xml:space="preserve">eletion of </w:t>
      </w:r>
      <w:r w:rsidR="00254112" w:rsidRPr="00FF4C0D">
        <w:rPr>
          <w:szCs w:val="22"/>
        </w:rPr>
        <w:t xml:space="preserve">the </w:t>
      </w:r>
      <w:r w:rsidR="00991992" w:rsidRPr="00FF4C0D">
        <w:rPr>
          <w:szCs w:val="22"/>
        </w:rPr>
        <w:t xml:space="preserve">second </w:t>
      </w:r>
      <w:r w:rsidR="00254112" w:rsidRPr="00FF4C0D">
        <w:rPr>
          <w:szCs w:val="22"/>
        </w:rPr>
        <w:t>example ‘treated with ionising electrons’</w:t>
      </w:r>
      <w:r w:rsidR="00254112" w:rsidRPr="00FF4C0D">
        <w:t xml:space="preserve"> </w:t>
      </w:r>
      <w:r w:rsidR="00991992" w:rsidRPr="00FF4C0D">
        <w:t xml:space="preserve">in subclause 6 (1) </w:t>
      </w:r>
      <w:r w:rsidR="007006E6" w:rsidRPr="00FF4C0D">
        <w:rPr>
          <w:szCs w:val="22"/>
        </w:rPr>
        <w:t xml:space="preserve">as this is </w:t>
      </w:r>
      <w:r w:rsidR="007006E6" w:rsidRPr="00FF4C0D">
        <w:rPr>
          <w:bCs/>
          <w:color w:val="000000" w:themeColor="text1"/>
          <w:szCs w:val="22"/>
          <w:lang w:eastAsia="en-GB" w:bidi="ar-SA"/>
        </w:rPr>
        <w:t>potentially misleading to consumers</w:t>
      </w:r>
    </w:p>
    <w:p w:rsidR="007006E6" w:rsidRPr="00FF4C0D" w:rsidRDefault="007006E6" w:rsidP="007006E6">
      <w:pPr>
        <w:rPr>
          <w:lang w:eastAsia="en-GB" w:bidi="ar-SA"/>
        </w:rPr>
      </w:pPr>
    </w:p>
    <w:p w:rsidR="007C4682" w:rsidRPr="00FF4C0D" w:rsidRDefault="00384C59" w:rsidP="007C4682">
      <w:pPr>
        <w:pStyle w:val="FSBullet"/>
        <w:rPr>
          <w:bCs/>
          <w:color w:val="000000" w:themeColor="text1"/>
          <w:szCs w:val="22"/>
          <w:lang w:eastAsia="en-GB" w:bidi="ar-SA"/>
        </w:rPr>
      </w:pPr>
      <w:r w:rsidRPr="00FF4C0D">
        <w:t xml:space="preserve">deletion of </w:t>
      </w:r>
      <w:r w:rsidR="00B66EB4" w:rsidRPr="00FF4C0D">
        <w:t xml:space="preserve">the current </w:t>
      </w:r>
      <w:r w:rsidR="00B66EB4" w:rsidRPr="00FF4C0D">
        <w:rPr>
          <w:szCs w:val="22"/>
        </w:rPr>
        <w:t>sub</w:t>
      </w:r>
      <w:r w:rsidR="00AA48E5" w:rsidRPr="00FF4C0D">
        <w:rPr>
          <w:szCs w:val="22"/>
        </w:rPr>
        <w:t>clause</w:t>
      </w:r>
      <w:r w:rsidR="00D55EBC" w:rsidRPr="00FF4C0D">
        <w:rPr>
          <w:szCs w:val="22"/>
        </w:rPr>
        <w:t xml:space="preserve"> </w:t>
      </w:r>
      <w:r w:rsidR="003E6E66" w:rsidRPr="00FF4C0D">
        <w:rPr>
          <w:szCs w:val="22"/>
        </w:rPr>
        <w:t xml:space="preserve">6(4) </w:t>
      </w:r>
      <w:r w:rsidR="00D55EBC" w:rsidRPr="00FF4C0D">
        <w:rPr>
          <w:szCs w:val="22"/>
        </w:rPr>
        <w:t xml:space="preserve">relating to labelling </w:t>
      </w:r>
      <w:r w:rsidR="009A70AF" w:rsidRPr="00FF4C0D">
        <w:rPr>
          <w:szCs w:val="22"/>
        </w:rPr>
        <w:t>of irradiat</w:t>
      </w:r>
      <w:r w:rsidR="00EC521A" w:rsidRPr="00FF4C0D">
        <w:rPr>
          <w:szCs w:val="22"/>
        </w:rPr>
        <w:t>ed foods other than for retail</w:t>
      </w:r>
      <w:r w:rsidR="003E6E66" w:rsidRPr="00FF4C0D">
        <w:rPr>
          <w:szCs w:val="22"/>
        </w:rPr>
        <w:t xml:space="preserve"> as it is repetitive </w:t>
      </w:r>
      <w:r w:rsidR="003E6E66" w:rsidRPr="00FF4C0D">
        <w:rPr>
          <w:bCs/>
          <w:color w:val="000000" w:themeColor="text1"/>
          <w:szCs w:val="22"/>
          <w:lang w:eastAsia="en-GB" w:bidi="ar-SA"/>
        </w:rPr>
        <w:t>and unnecessary and covered by other provisions in the Code</w:t>
      </w:r>
      <w:r w:rsidRPr="00FF4C0D">
        <w:rPr>
          <w:bCs/>
          <w:color w:val="000000" w:themeColor="text1"/>
          <w:szCs w:val="22"/>
          <w:lang w:eastAsia="en-GB" w:bidi="ar-SA"/>
        </w:rPr>
        <w:t>.</w:t>
      </w:r>
    </w:p>
    <w:p w:rsidR="001D3363" w:rsidRPr="00FF4C0D" w:rsidRDefault="001D3363" w:rsidP="001D3363"/>
    <w:p w:rsidR="00ED454C" w:rsidRPr="00FF4C0D" w:rsidRDefault="00ED454C" w:rsidP="00ED454C">
      <w:pPr>
        <w:rPr>
          <w:szCs w:val="22"/>
        </w:rPr>
      </w:pPr>
      <w:r w:rsidRPr="00FF4C0D">
        <w:rPr>
          <w:szCs w:val="22"/>
        </w:rPr>
        <w:t>The approved variations are provided at Attachment 1A</w:t>
      </w:r>
      <w:r w:rsidR="000C447B" w:rsidRPr="00FF4C0D">
        <w:rPr>
          <w:szCs w:val="22"/>
        </w:rPr>
        <w:t xml:space="preserve">. </w:t>
      </w:r>
      <w:r w:rsidRPr="00FF4C0D">
        <w:rPr>
          <w:szCs w:val="22"/>
        </w:rPr>
        <w:t>They include amendments made subsequent to the consultation on the draft variations proposed</w:t>
      </w:r>
      <w:r w:rsidR="005D6020" w:rsidRPr="00FF4C0D">
        <w:rPr>
          <w:szCs w:val="22"/>
        </w:rPr>
        <w:t xml:space="preserve"> at</w:t>
      </w:r>
      <w:r w:rsidR="00E7279B" w:rsidRPr="00FF4C0D">
        <w:rPr>
          <w:szCs w:val="22"/>
        </w:rPr>
        <w:t xml:space="preserve"> </w:t>
      </w:r>
      <w:r w:rsidR="005D6020" w:rsidRPr="00FF4C0D">
        <w:rPr>
          <w:szCs w:val="22"/>
        </w:rPr>
        <w:t>A</w:t>
      </w:r>
      <w:r w:rsidRPr="00FF4C0D">
        <w:rPr>
          <w:szCs w:val="22"/>
        </w:rPr>
        <w:t xml:space="preserve">ssessment (Attachment 1B), taking into account </w:t>
      </w:r>
      <w:r w:rsidR="00E7279B" w:rsidRPr="00FF4C0D">
        <w:rPr>
          <w:szCs w:val="22"/>
        </w:rPr>
        <w:t xml:space="preserve">public </w:t>
      </w:r>
      <w:r w:rsidRPr="00FF4C0D">
        <w:rPr>
          <w:szCs w:val="22"/>
        </w:rPr>
        <w:t>comments received</w:t>
      </w:r>
      <w:r w:rsidR="00453853" w:rsidRPr="00FF4C0D">
        <w:rPr>
          <w:szCs w:val="22"/>
        </w:rPr>
        <w:t xml:space="preserve"> on the terminology of irradiation units, the need for record keeping, the usefulness of the </w:t>
      </w:r>
      <w:r w:rsidR="00205BE6" w:rsidRPr="00FF4C0D">
        <w:rPr>
          <w:szCs w:val="22"/>
        </w:rPr>
        <w:t xml:space="preserve">labelling </w:t>
      </w:r>
      <w:r w:rsidR="00453853" w:rsidRPr="00FF4C0D">
        <w:rPr>
          <w:szCs w:val="22"/>
        </w:rPr>
        <w:t>examples in</w:t>
      </w:r>
      <w:r w:rsidR="00F870FA" w:rsidRPr="00FF4C0D">
        <w:rPr>
          <w:szCs w:val="22"/>
        </w:rPr>
        <w:t xml:space="preserve"> </w:t>
      </w:r>
      <w:r w:rsidR="00686519" w:rsidRPr="00FF4C0D">
        <w:rPr>
          <w:szCs w:val="22"/>
        </w:rPr>
        <w:t xml:space="preserve">the current standard </w:t>
      </w:r>
      <w:r w:rsidR="00453853" w:rsidRPr="00FF4C0D">
        <w:rPr>
          <w:szCs w:val="22"/>
        </w:rPr>
        <w:t>and enforceability issues relating to references to unsuitable and unsafe food</w:t>
      </w:r>
      <w:r w:rsidRPr="00FF4C0D">
        <w:rPr>
          <w:szCs w:val="22"/>
        </w:rPr>
        <w:t xml:space="preserve">. </w:t>
      </w:r>
    </w:p>
    <w:p w:rsidR="00ED454C" w:rsidRPr="00FF4C0D" w:rsidRDefault="00ED454C" w:rsidP="001D3363"/>
    <w:p w:rsidR="00AC438E" w:rsidRPr="00FF4C0D" w:rsidRDefault="00AC438E" w:rsidP="007C4682">
      <w:pPr>
        <w:widowControl/>
        <w:rPr>
          <w:rFonts w:cs="Arial"/>
          <w:b/>
        </w:rPr>
      </w:pPr>
      <w:r w:rsidRPr="00FF4C0D">
        <w:rPr>
          <w:rFonts w:cs="Arial"/>
          <w:b/>
        </w:rPr>
        <w:t>Assessing the Application</w:t>
      </w:r>
    </w:p>
    <w:p w:rsidR="00AC438E" w:rsidRPr="00FF4C0D" w:rsidRDefault="00AC438E" w:rsidP="00AC438E">
      <w:pPr>
        <w:rPr>
          <w:rFonts w:cs="Arial"/>
        </w:rPr>
      </w:pPr>
    </w:p>
    <w:p w:rsidR="00AC438E" w:rsidRPr="00FF4C0D" w:rsidRDefault="00C33C11" w:rsidP="00AC438E">
      <w:pPr>
        <w:rPr>
          <w:rFonts w:cs="Arial"/>
        </w:rPr>
      </w:pPr>
      <w:r w:rsidRPr="00FF4C0D">
        <w:rPr>
          <w:rFonts w:cs="Arial"/>
        </w:rPr>
        <w:t xml:space="preserve">In assessing A1038 </w:t>
      </w:r>
      <w:r w:rsidR="00AC438E" w:rsidRPr="00FF4C0D">
        <w:rPr>
          <w:rFonts w:cs="Arial"/>
        </w:rPr>
        <w:t xml:space="preserve">and the subsequent development of a food regulatory measure, FSANZ has had regard to the following matters as prescribed in section 29 of the </w:t>
      </w:r>
      <w:r w:rsidR="00AC438E" w:rsidRPr="00FF4C0D">
        <w:rPr>
          <w:rFonts w:cs="Arial"/>
          <w:i/>
        </w:rPr>
        <w:t>Food Standards Australia New Zealand Act 1991</w:t>
      </w:r>
      <w:r w:rsidR="00AC438E" w:rsidRPr="00FF4C0D">
        <w:rPr>
          <w:rFonts w:cs="Arial"/>
        </w:rPr>
        <w:t xml:space="preserve"> (FSANZ Act):</w:t>
      </w:r>
    </w:p>
    <w:p w:rsidR="00AC438E" w:rsidRPr="00FF4C0D" w:rsidRDefault="00AC438E" w:rsidP="001617E8"/>
    <w:p w:rsidR="00AC438E" w:rsidRPr="00FF4C0D" w:rsidRDefault="00BB0B21" w:rsidP="009208E5">
      <w:pPr>
        <w:pStyle w:val="FSBullet"/>
      </w:pPr>
      <w:r w:rsidRPr="00FF4C0D">
        <w:t>w</w:t>
      </w:r>
      <w:r w:rsidR="00AC438E" w:rsidRPr="00FF4C0D">
        <w:t>hether costs that would arise from a food regulatory measure developed or varied as a result of the Application outweigh the direct and indirect benefits to the community, Government or industry that would arise from the development or variation of the food regulatory measure</w:t>
      </w:r>
    </w:p>
    <w:p w:rsidR="009208E5" w:rsidRPr="00FF4C0D" w:rsidRDefault="009208E5" w:rsidP="009208E5"/>
    <w:p w:rsidR="00485A2F" w:rsidRPr="00FF4C0D" w:rsidRDefault="00BB0B21" w:rsidP="009208E5">
      <w:pPr>
        <w:pStyle w:val="FSBullet"/>
      </w:pPr>
      <w:r w:rsidRPr="00FF4C0D">
        <w:t>t</w:t>
      </w:r>
      <w:r w:rsidR="00AC438E" w:rsidRPr="00FF4C0D">
        <w:t xml:space="preserve">here are no other measures that would be more cost-effective than </w:t>
      </w:r>
      <w:r w:rsidR="00485A2F" w:rsidRPr="00FF4C0D">
        <w:t xml:space="preserve">a variation to Standard 1.5.3 </w:t>
      </w:r>
      <w:r w:rsidR="00AC438E" w:rsidRPr="00FF4C0D">
        <w:t>that could achieve the same end</w:t>
      </w:r>
    </w:p>
    <w:p w:rsidR="009208E5" w:rsidRPr="00FF4C0D" w:rsidRDefault="009208E5" w:rsidP="009208E5"/>
    <w:p w:rsidR="00AC438E" w:rsidRPr="00FF4C0D" w:rsidRDefault="00BB0B21" w:rsidP="009208E5">
      <w:pPr>
        <w:pStyle w:val="FSBullet"/>
      </w:pPr>
      <w:r w:rsidRPr="00FF4C0D">
        <w:t>a</w:t>
      </w:r>
      <w:r w:rsidR="00AC438E" w:rsidRPr="00FF4C0D">
        <w:t>ny relevant N</w:t>
      </w:r>
      <w:r w:rsidR="00AB2ED9" w:rsidRPr="00FF4C0D">
        <w:t>ew</w:t>
      </w:r>
      <w:r w:rsidR="00AC438E" w:rsidRPr="00FF4C0D">
        <w:t xml:space="preserve"> Zealand standard</w:t>
      </w:r>
    </w:p>
    <w:p w:rsidR="009208E5" w:rsidRPr="00FF4C0D" w:rsidRDefault="009208E5" w:rsidP="009208E5"/>
    <w:p w:rsidR="00AC438E" w:rsidRPr="00FF4C0D" w:rsidRDefault="00BB0B21" w:rsidP="009208E5">
      <w:pPr>
        <w:pStyle w:val="FSBullet"/>
      </w:pPr>
      <w:r w:rsidRPr="00FF4C0D">
        <w:t>a</w:t>
      </w:r>
      <w:r w:rsidR="00AC438E" w:rsidRPr="00FF4C0D">
        <w:t>ny other relevant matters.</w:t>
      </w:r>
    </w:p>
    <w:p w:rsidR="00865E6C" w:rsidRPr="00FF4C0D" w:rsidRDefault="00865E6C" w:rsidP="002A0194">
      <w:pPr>
        <w:rPr>
          <w:rFonts w:cs="Arial"/>
        </w:rPr>
      </w:pPr>
    </w:p>
    <w:p w:rsidR="009B4A0D" w:rsidRPr="00FF4C0D" w:rsidRDefault="00B66EB4" w:rsidP="005A5F50">
      <w:pPr>
        <w:rPr>
          <w:rFonts w:cs="Arial"/>
        </w:rPr>
      </w:pPr>
      <w:r w:rsidRPr="00FF4C0D">
        <w:rPr>
          <w:rFonts w:cs="Arial"/>
        </w:rPr>
        <w:t>A1038 was assessed under the General Procedure with one round of public consultation.</w:t>
      </w:r>
      <w:r w:rsidR="003111F5" w:rsidRPr="00FF4C0D">
        <w:rPr>
          <w:rFonts w:cs="Arial"/>
        </w:rPr>
        <w:br w:type="page"/>
      </w:r>
    </w:p>
    <w:p w:rsidR="002A0194" w:rsidRPr="00FF4C0D" w:rsidRDefault="003016ED" w:rsidP="003213F9">
      <w:pPr>
        <w:pStyle w:val="FSDecisionHeading"/>
      </w:pPr>
      <w:bookmarkStart w:id="7" w:name="_Toc120090540"/>
      <w:bookmarkStart w:id="8" w:name="_Toc120358572"/>
      <w:bookmarkStart w:id="9" w:name="_Toc120358614"/>
      <w:r w:rsidRPr="00FF4C0D">
        <w:lastRenderedPageBreak/>
        <w:t>Decision</w:t>
      </w:r>
      <w:r w:rsidR="002A0194" w:rsidRPr="00FF4C0D">
        <w:t xml:space="preserve"> </w:t>
      </w:r>
      <w:bookmarkEnd w:id="7"/>
      <w:bookmarkEnd w:id="8"/>
      <w:bookmarkEnd w:id="9"/>
    </w:p>
    <w:p w:rsidR="00566A5F" w:rsidRPr="00FF4C0D" w:rsidRDefault="00566A5F" w:rsidP="001A28E9">
      <w:pPr>
        <w:pStyle w:val="FSDecisiontext"/>
      </w:pPr>
    </w:p>
    <w:p w:rsidR="002D3CB7" w:rsidRPr="00FF4C0D" w:rsidRDefault="002D3CB7" w:rsidP="001A28E9">
      <w:pPr>
        <w:pStyle w:val="FSDecisiontext"/>
      </w:pPr>
      <w:r w:rsidRPr="00FF4C0D">
        <w:t>To approve the draft varia</w:t>
      </w:r>
      <w:r w:rsidR="00800037" w:rsidRPr="00FF4C0D">
        <w:t xml:space="preserve">tions, subject </w:t>
      </w:r>
      <w:r w:rsidRPr="00FF4C0D">
        <w:t xml:space="preserve">to </w:t>
      </w:r>
      <w:r w:rsidR="00800037" w:rsidRPr="00FF4C0D">
        <w:t xml:space="preserve">amendment, to </w:t>
      </w:r>
      <w:r w:rsidRPr="00FF4C0D">
        <w:t>Standards 1.1.1– Application, Interpretation and General Prohibitions and 1.5.3 – Irradiation of Foods to permit the use of irradiation of persimmons, including additional amendments to Standard 1.5.3.</w:t>
      </w:r>
    </w:p>
    <w:p w:rsidR="002D3CB7" w:rsidRPr="00FF4C0D" w:rsidRDefault="002D3CB7" w:rsidP="002A0194">
      <w:pPr>
        <w:rPr>
          <w:szCs w:val="22"/>
        </w:rPr>
      </w:pPr>
    </w:p>
    <w:p w:rsidR="00A769E6" w:rsidRPr="00FF4C0D" w:rsidRDefault="00544DD7" w:rsidP="00877AD1">
      <w:pPr>
        <w:widowControl/>
        <w:rPr>
          <w:rFonts w:cs="Arial"/>
          <w:b/>
          <w:bCs/>
        </w:rPr>
      </w:pPr>
      <w:bookmarkStart w:id="10" w:name="_Toc120090541"/>
      <w:bookmarkStart w:id="11" w:name="_Toc120358573"/>
      <w:bookmarkStart w:id="12" w:name="_Toc120358615"/>
      <w:r w:rsidRPr="00FF4C0D">
        <w:rPr>
          <w:rFonts w:cs="Arial"/>
          <w:b/>
          <w:bCs/>
        </w:rPr>
        <w:t>Reasons for Decision</w:t>
      </w:r>
    </w:p>
    <w:p w:rsidR="00A769E6" w:rsidRPr="00FF4C0D" w:rsidRDefault="00A769E6" w:rsidP="002A0194">
      <w:pPr>
        <w:rPr>
          <w:rFonts w:cs="Arial"/>
          <w:b/>
        </w:rPr>
      </w:pPr>
    </w:p>
    <w:p w:rsidR="00A769E6" w:rsidRPr="00FF4C0D" w:rsidRDefault="00AD4B52" w:rsidP="00A769E6">
      <w:pPr>
        <w:tabs>
          <w:tab w:val="left" w:pos="567"/>
        </w:tabs>
        <w:rPr>
          <w:szCs w:val="22"/>
        </w:rPr>
      </w:pPr>
      <w:r w:rsidRPr="00FF4C0D">
        <w:rPr>
          <w:szCs w:val="22"/>
        </w:rPr>
        <w:t xml:space="preserve">FSANZ has approved </w:t>
      </w:r>
      <w:r w:rsidR="009819F4" w:rsidRPr="00FF4C0D">
        <w:rPr>
          <w:szCs w:val="22"/>
        </w:rPr>
        <w:t xml:space="preserve">the sale </w:t>
      </w:r>
      <w:r w:rsidR="00A769E6" w:rsidRPr="00FF4C0D">
        <w:rPr>
          <w:szCs w:val="22"/>
        </w:rPr>
        <w:t>of irradiated persimmons in Austra</w:t>
      </w:r>
      <w:r w:rsidR="00DC5485" w:rsidRPr="00FF4C0D">
        <w:rPr>
          <w:szCs w:val="22"/>
        </w:rPr>
        <w:t xml:space="preserve">lia and New Zealand </w:t>
      </w:r>
      <w:r w:rsidR="00A769E6" w:rsidRPr="00FF4C0D">
        <w:rPr>
          <w:szCs w:val="22"/>
        </w:rPr>
        <w:t xml:space="preserve">on the basis of the available scientific evidence, for the following reasons: </w:t>
      </w:r>
    </w:p>
    <w:p w:rsidR="00A769E6" w:rsidRPr="00FF4C0D" w:rsidRDefault="00A769E6" w:rsidP="00A769E6">
      <w:pPr>
        <w:tabs>
          <w:tab w:val="left" w:pos="567"/>
        </w:tabs>
        <w:rPr>
          <w:szCs w:val="22"/>
        </w:rPr>
      </w:pPr>
    </w:p>
    <w:p w:rsidR="00A769E6" w:rsidRPr="00FF4C0D" w:rsidRDefault="00254112" w:rsidP="00A769E6">
      <w:pPr>
        <w:pStyle w:val="FSBullet"/>
      </w:pPr>
      <w:r w:rsidRPr="00FF4C0D">
        <w:t>T</w:t>
      </w:r>
      <w:r w:rsidR="00A769E6" w:rsidRPr="00FF4C0D">
        <w:t>he safety assessment did not identify any public health and safety concerns</w:t>
      </w:r>
      <w:r w:rsidRPr="00FF4C0D">
        <w:t>.</w:t>
      </w:r>
    </w:p>
    <w:p w:rsidR="00A769E6" w:rsidRPr="00FF4C0D" w:rsidRDefault="00A769E6" w:rsidP="001617E8"/>
    <w:p w:rsidR="00A769E6" w:rsidRPr="00FF4C0D" w:rsidRDefault="00254112" w:rsidP="00A769E6">
      <w:pPr>
        <w:pStyle w:val="FSBullet"/>
      </w:pPr>
      <w:r w:rsidRPr="00FF4C0D">
        <w:t>T</w:t>
      </w:r>
      <w:r w:rsidR="00E92F15" w:rsidRPr="00FF4C0D">
        <w:t>he u</w:t>
      </w:r>
      <w:r w:rsidR="00A769E6" w:rsidRPr="00FF4C0D">
        <w:t>se of irradiation is technologically justified</w:t>
      </w:r>
      <w:r w:rsidRPr="00FF4C0D">
        <w:t>.</w:t>
      </w:r>
    </w:p>
    <w:p w:rsidR="009B646E" w:rsidRPr="00FF4C0D" w:rsidRDefault="009B646E" w:rsidP="005222C5"/>
    <w:p w:rsidR="009B646E" w:rsidRPr="00FF4C0D" w:rsidRDefault="00B75AD1" w:rsidP="009B646E">
      <w:pPr>
        <w:pStyle w:val="FSBullet"/>
      </w:pPr>
      <w:r w:rsidRPr="00FF4C0D">
        <w:t>T</w:t>
      </w:r>
      <w:r w:rsidR="00793234" w:rsidRPr="00FF4C0D">
        <w:t xml:space="preserve">he proposed </w:t>
      </w:r>
      <w:r w:rsidR="007B6BFE" w:rsidRPr="00FF4C0D">
        <w:t xml:space="preserve">additional </w:t>
      </w:r>
      <w:r w:rsidR="00793234" w:rsidRPr="00FF4C0D">
        <w:t>amendments are justified to</w:t>
      </w:r>
      <w:r w:rsidR="00793234" w:rsidRPr="00FF4C0D">
        <w:rPr>
          <w:bCs/>
          <w:color w:val="000000" w:themeColor="text1"/>
          <w:szCs w:val="22"/>
          <w:lang w:eastAsia="en-GB" w:bidi="ar-SA"/>
        </w:rPr>
        <w:t xml:space="preserve"> provide improved clarity, </w:t>
      </w:r>
      <w:r w:rsidR="00793234" w:rsidRPr="00FF4C0D">
        <w:t>interpretation, and operation of Standard 1.5.3</w:t>
      </w:r>
      <w:r w:rsidRPr="00FF4C0D">
        <w:t xml:space="preserve">. </w:t>
      </w:r>
    </w:p>
    <w:p w:rsidR="00A769E6" w:rsidRPr="00FF4C0D" w:rsidRDefault="00A769E6" w:rsidP="001617E8"/>
    <w:p w:rsidR="00A769E6" w:rsidRPr="00FF4C0D" w:rsidRDefault="00B75AD1" w:rsidP="00A769E6">
      <w:pPr>
        <w:pStyle w:val="FSBullet"/>
      </w:pPr>
      <w:r w:rsidRPr="00FF4C0D">
        <w:t>A</w:t>
      </w:r>
      <w:r w:rsidR="00A769E6" w:rsidRPr="00FF4C0D">
        <w:t xml:space="preserve"> regulation impact assessment process has been undertaken that fulfils the requirement in Australia and New Zealand for an assessment of compliance costs. The assessment concluded that </w:t>
      </w:r>
      <w:r w:rsidR="006F135E" w:rsidRPr="00FF4C0D">
        <w:t>the use of irradiation (Option 3</w:t>
      </w:r>
      <w:r w:rsidR="00A769E6" w:rsidRPr="00FF4C0D">
        <w:t>) provides a net benefit</w:t>
      </w:r>
      <w:r w:rsidRPr="00FF4C0D">
        <w:t>.</w:t>
      </w:r>
    </w:p>
    <w:p w:rsidR="00A769E6" w:rsidRPr="00FF4C0D" w:rsidRDefault="00A769E6" w:rsidP="001617E8"/>
    <w:p w:rsidR="00711A7B" w:rsidRPr="00FF4C0D" w:rsidRDefault="00B75AD1" w:rsidP="00711A7B">
      <w:pPr>
        <w:pStyle w:val="FSBullet"/>
      </w:pPr>
      <w:r w:rsidRPr="00FF4C0D">
        <w:t>There</w:t>
      </w:r>
      <w:r w:rsidR="00A769E6" w:rsidRPr="00FF4C0D">
        <w:t xml:space="preserve"> are no other measures that would be more cost-effective than a variation to Standard 1.5.3 that could achieve the same end.</w:t>
      </w:r>
    </w:p>
    <w:bookmarkEnd w:id="10"/>
    <w:bookmarkEnd w:id="11"/>
    <w:bookmarkEnd w:id="12"/>
    <w:p w:rsidR="002A0194" w:rsidRPr="00FF4C0D" w:rsidRDefault="002A0194" w:rsidP="002A0194">
      <w:pPr>
        <w:rPr>
          <w:rFonts w:cs="Arial"/>
        </w:rPr>
      </w:pPr>
    </w:p>
    <w:p w:rsidR="002A0194" w:rsidRPr="00FF4C0D" w:rsidRDefault="002A0194" w:rsidP="002A0194">
      <w:pPr>
        <w:rPr>
          <w:rFonts w:cs="Arial"/>
          <w:b/>
          <w:bCs/>
        </w:rPr>
      </w:pPr>
      <w:bookmarkStart w:id="13" w:name="_Toc120090542"/>
      <w:bookmarkStart w:id="14" w:name="_Toc120358574"/>
      <w:bookmarkStart w:id="15" w:name="_Toc120358616"/>
      <w:r w:rsidRPr="00FF4C0D">
        <w:rPr>
          <w:rFonts w:cs="Arial"/>
          <w:b/>
          <w:bCs/>
        </w:rPr>
        <w:t>Consultation</w:t>
      </w:r>
      <w:bookmarkEnd w:id="13"/>
      <w:bookmarkEnd w:id="14"/>
      <w:bookmarkEnd w:id="15"/>
    </w:p>
    <w:p w:rsidR="00153A92" w:rsidRPr="00FF4C0D" w:rsidRDefault="00153A92" w:rsidP="002A0194">
      <w:pPr>
        <w:rPr>
          <w:rFonts w:cs="Arial"/>
        </w:rPr>
      </w:pPr>
    </w:p>
    <w:p w:rsidR="00544DD7" w:rsidRPr="00FF4C0D" w:rsidRDefault="00544DD7" w:rsidP="00544DD7">
      <w:pPr>
        <w:rPr>
          <w:szCs w:val="22"/>
        </w:rPr>
      </w:pPr>
      <w:r w:rsidRPr="00FF4C0D">
        <w:rPr>
          <w:szCs w:val="22"/>
        </w:rPr>
        <w:t xml:space="preserve">Consultation on the Assessment Report was conducted over a period of six weeks; </w:t>
      </w:r>
      <w:r w:rsidR="004E422C" w:rsidRPr="00FF4C0D">
        <w:rPr>
          <w:szCs w:val="22"/>
        </w:rPr>
        <w:t>75</w:t>
      </w:r>
      <w:r w:rsidR="00944C67" w:rsidRPr="00FF4C0D">
        <w:rPr>
          <w:szCs w:val="22"/>
        </w:rPr>
        <w:t xml:space="preserve"> </w:t>
      </w:r>
      <w:r w:rsidRPr="00FF4C0D">
        <w:rPr>
          <w:szCs w:val="22"/>
        </w:rPr>
        <w:t xml:space="preserve">submissions were received. Summaries of these are in </w:t>
      </w:r>
      <w:r w:rsidR="00AE46A1" w:rsidRPr="00FF4C0D">
        <w:rPr>
          <w:b/>
          <w:szCs w:val="22"/>
        </w:rPr>
        <w:t>Attachment 3</w:t>
      </w:r>
      <w:r w:rsidRPr="00FF4C0D">
        <w:rPr>
          <w:szCs w:val="22"/>
        </w:rPr>
        <w:t xml:space="preserve"> of this report. </w:t>
      </w:r>
    </w:p>
    <w:p w:rsidR="006D75FA" w:rsidRPr="00FF4C0D" w:rsidRDefault="006D75FA" w:rsidP="004E422C">
      <w:pPr>
        <w:rPr>
          <w:szCs w:val="22"/>
        </w:rPr>
      </w:pPr>
    </w:p>
    <w:p w:rsidR="004E422C" w:rsidRPr="00FF4C0D" w:rsidRDefault="004E422C" w:rsidP="004E422C">
      <w:pPr>
        <w:rPr>
          <w:szCs w:val="22"/>
        </w:rPr>
      </w:pPr>
      <w:r w:rsidRPr="00FF4C0D">
        <w:rPr>
          <w:szCs w:val="22"/>
        </w:rPr>
        <w:t>Consultation is an essential part of FSANZ’s standard-development process. We acknowledge the interest in food regulation shown by individuals and organisations through submissions. We are grateful for this community support. Every submission is reviewed by the project team concerned, which identifies the issues involved and prepares responses to each issue</w:t>
      </w:r>
      <w:r w:rsidR="007D65B1" w:rsidRPr="00FF4C0D">
        <w:rPr>
          <w:szCs w:val="22"/>
        </w:rPr>
        <w:t xml:space="preserve"> which are included in this Approval Report</w:t>
      </w:r>
      <w:r w:rsidRPr="00FF4C0D">
        <w:rPr>
          <w:szCs w:val="22"/>
        </w:rPr>
        <w:t>. This consultative process is a cornerstone of standard development.</w:t>
      </w:r>
    </w:p>
    <w:p w:rsidR="004E422C" w:rsidRPr="00FF4C0D" w:rsidRDefault="004E422C" w:rsidP="007651C2">
      <w:pPr>
        <w:rPr>
          <w:szCs w:val="22"/>
        </w:rPr>
      </w:pPr>
    </w:p>
    <w:p w:rsidR="006D75FA" w:rsidRPr="00FF4C0D" w:rsidRDefault="006D75FA" w:rsidP="006D75FA">
      <w:pPr>
        <w:rPr>
          <w:b/>
          <w:szCs w:val="22"/>
        </w:rPr>
      </w:pPr>
      <w:r w:rsidRPr="00FF4C0D">
        <w:rPr>
          <w:b/>
          <w:szCs w:val="22"/>
        </w:rPr>
        <w:t>Amendments following Public Consultation</w:t>
      </w:r>
    </w:p>
    <w:p w:rsidR="006D75FA" w:rsidRPr="00FF4C0D" w:rsidRDefault="006D75FA" w:rsidP="006D75FA">
      <w:pPr>
        <w:rPr>
          <w:szCs w:val="22"/>
        </w:rPr>
      </w:pPr>
    </w:p>
    <w:p w:rsidR="006D75FA" w:rsidRPr="00FF4C0D" w:rsidRDefault="006D75FA" w:rsidP="006D75FA">
      <w:pPr>
        <w:rPr>
          <w:szCs w:val="22"/>
        </w:rPr>
      </w:pPr>
      <w:r w:rsidRPr="00FF4C0D">
        <w:rPr>
          <w:szCs w:val="22"/>
        </w:rPr>
        <w:t>FSANZ sought public comment on the draft variations shown at Attachment 1B. Taking into account comments received, FSANZ amended the draft variations</w:t>
      </w:r>
      <w:r w:rsidR="00151AD5" w:rsidRPr="00FF4C0D">
        <w:rPr>
          <w:szCs w:val="22"/>
        </w:rPr>
        <w:t xml:space="preserve">. </w:t>
      </w:r>
      <w:r w:rsidRPr="00FF4C0D">
        <w:rPr>
          <w:szCs w:val="22"/>
        </w:rPr>
        <w:t xml:space="preserve">The approved </w:t>
      </w:r>
      <w:r w:rsidR="001D64D6" w:rsidRPr="00FF4C0D">
        <w:rPr>
          <w:szCs w:val="22"/>
        </w:rPr>
        <w:t>draft</w:t>
      </w:r>
      <w:r w:rsidR="00AD4B52" w:rsidRPr="00FF4C0D">
        <w:rPr>
          <w:szCs w:val="22"/>
        </w:rPr>
        <w:t xml:space="preserve"> </w:t>
      </w:r>
      <w:r w:rsidRPr="00FF4C0D">
        <w:rPr>
          <w:szCs w:val="22"/>
        </w:rPr>
        <w:t>variations are provided at Attachment 1A.</w:t>
      </w:r>
    </w:p>
    <w:p w:rsidR="006D75FA" w:rsidRPr="00FF4C0D" w:rsidRDefault="006D75FA" w:rsidP="006D75FA">
      <w:pPr>
        <w:rPr>
          <w:szCs w:val="22"/>
        </w:rPr>
      </w:pPr>
    </w:p>
    <w:p w:rsidR="006D75FA" w:rsidRPr="00FF4C0D" w:rsidRDefault="006D75FA" w:rsidP="006D75FA">
      <w:pPr>
        <w:rPr>
          <w:szCs w:val="22"/>
        </w:rPr>
      </w:pPr>
      <w:r w:rsidRPr="00FF4C0D">
        <w:rPr>
          <w:szCs w:val="22"/>
        </w:rPr>
        <w:t xml:space="preserve">The </w:t>
      </w:r>
      <w:r w:rsidR="007B6917" w:rsidRPr="00FF4C0D">
        <w:rPr>
          <w:szCs w:val="22"/>
        </w:rPr>
        <w:t xml:space="preserve">draft </w:t>
      </w:r>
      <w:r w:rsidRPr="00FF4C0D">
        <w:rPr>
          <w:szCs w:val="22"/>
        </w:rPr>
        <w:t>variation</w:t>
      </w:r>
      <w:r w:rsidR="003A6A6A" w:rsidRPr="00FF4C0D">
        <w:rPr>
          <w:szCs w:val="22"/>
        </w:rPr>
        <w:t>s were amended t</w:t>
      </w:r>
      <w:r w:rsidR="00151AD5" w:rsidRPr="00FF4C0D">
        <w:rPr>
          <w:szCs w:val="22"/>
        </w:rPr>
        <w:t>o</w:t>
      </w:r>
      <w:r w:rsidR="00B76AA7" w:rsidRPr="00FF4C0D">
        <w:rPr>
          <w:szCs w:val="22"/>
        </w:rPr>
        <w:t>:</w:t>
      </w:r>
    </w:p>
    <w:p w:rsidR="006D75FA" w:rsidRPr="00FF4C0D" w:rsidRDefault="006D75FA" w:rsidP="006D75FA">
      <w:pPr>
        <w:rPr>
          <w:szCs w:val="22"/>
        </w:rPr>
      </w:pPr>
    </w:p>
    <w:p w:rsidR="00821A97" w:rsidRPr="00FF4C0D" w:rsidRDefault="004E422C" w:rsidP="00821A97">
      <w:pPr>
        <w:pStyle w:val="FSBullet"/>
      </w:pPr>
      <w:r w:rsidRPr="00FF4C0D">
        <w:t>i</w:t>
      </w:r>
      <w:r w:rsidR="00495209" w:rsidRPr="00FF4C0D">
        <w:t xml:space="preserve">nsert the unit ‘Gray’ </w:t>
      </w:r>
      <w:r w:rsidR="00821A97" w:rsidRPr="00FF4C0D">
        <w:t>into clause 8 of Standard 1.1.1 to replace ‘Grays’</w:t>
      </w:r>
    </w:p>
    <w:p w:rsidR="00266FAA" w:rsidRPr="00FF4C0D" w:rsidRDefault="00266FAA" w:rsidP="00266FAA"/>
    <w:p w:rsidR="00A92AB9" w:rsidRPr="00FF4C0D" w:rsidRDefault="004E422C" w:rsidP="003A6A6A">
      <w:pPr>
        <w:pStyle w:val="FSBullet"/>
      </w:pPr>
      <w:r w:rsidRPr="00FF4C0D">
        <w:t>i</w:t>
      </w:r>
      <w:r w:rsidR="00A92AB9" w:rsidRPr="00FF4C0D">
        <w:t xml:space="preserve">nsert a reference to New Zealand in </w:t>
      </w:r>
      <w:r w:rsidR="00515BC1" w:rsidRPr="00FF4C0D">
        <w:t xml:space="preserve">the </w:t>
      </w:r>
      <w:r w:rsidR="00A92AB9" w:rsidRPr="00FF4C0D">
        <w:t>revised purpose</w:t>
      </w:r>
      <w:r w:rsidR="00515BC1" w:rsidRPr="00FF4C0D">
        <w:t xml:space="preserve"> in relation to laws that govern radiation control, and the operation of irradiation facilities</w:t>
      </w:r>
    </w:p>
    <w:p w:rsidR="00266FAA" w:rsidRPr="00FF4C0D" w:rsidRDefault="00266FAA" w:rsidP="00266FAA"/>
    <w:p w:rsidR="00266FAA" w:rsidRPr="00FF4C0D" w:rsidRDefault="004E422C" w:rsidP="00C20129">
      <w:pPr>
        <w:pStyle w:val="FSBullet"/>
        <w:rPr>
          <w:szCs w:val="22"/>
        </w:rPr>
      </w:pPr>
      <w:r w:rsidRPr="00FF4C0D">
        <w:t>r</w:t>
      </w:r>
      <w:r w:rsidR="00A92AB9" w:rsidRPr="00FF4C0D">
        <w:t>e-insert the two examples ‘treated with ionising radiation and ‘irradiated (name of food) into subclause 6 (1</w:t>
      </w:r>
      <w:r w:rsidR="0042622D" w:rsidRPr="00FF4C0D">
        <w:t>)</w:t>
      </w:r>
      <w:r w:rsidR="007057BB" w:rsidRPr="00FF4C0D">
        <w:t xml:space="preserve"> </w:t>
      </w:r>
      <w:r w:rsidR="0042622D" w:rsidRPr="00FF4C0D">
        <w:rPr>
          <w:szCs w:val="22"/>
        </w:rPr>
        <w:t>with the exception of the example ‘treated with ionising electrons’</w:t>
      </w:r>
      <w:r w:rsidR="00266FAA" w:rsidRPr="00FF4C0D">
        <w:rPr>
          <w:szCs w:val="22"/>
        </w:rPr>
        <w:br w:type="page"/>
      </w:r>
    </w:p>
    <w:p w:rsidR="00AD2412" w:rsidRPr="00FF4C0D" w:rsidRDefault="004E422C" w:rsidP="00CE5585">
      <w:pPr>
        <w:pStyle w:val="FSBullet"/>
      </w:pPr>
      <w:r w:rsidRPr="00FF4C0D">
        <w:lastRenderedPageBreak/>
        <w:t>d</w:t>
      </w:r>
      <w:r w:rsidR="00A92AB9" w:rsidRPr="00FF4C0D">
        <w:t xml:space="preserve">elete the reference to </w:t>
      </w:r>
      <w:r w:rsidR="00A92AB9" w:rsidRPr="00FF4C0D">
        <w:rPr>
          <w:rFonts w:eastAsiaTheme="minorHAnsi"/>
          <w:iCs/>
        </w:rPr>
        <w:t>unsafe or unsuitable</w:t>
      </w:r>
      <w:r w:rsidR="00A92AB9" w:rsidRPr="00FF4C0D">
        <w:t xml:space="preserve"> food in the </w:t>
      </w:r>
      <w:r w:rsidR="002D0B03" w:rsidRPr="00FF4C0D">
        <w:t>revised P</w:t>
      </w:r>
      <w:r w:rsidR="00A92AB9" w:rsidRPr="00FF4C0D">
        <w:t xml:space="preserve">urpose and </w:t>
      </w:r>
      <w:r w:rsidR="002D0B03" w:rsidRPr="00FF4C0D">
        <w:t xml:space="preserve">revised </w:t>
      </w:r>
      <w:r w:rsidR="00A92AB9" w:rsidRPr="00FF4C0D">
        <w:t>delete sub-clause 4(</w:t>
      </w:r>
      <w:r w:rsidR="002A4153" w:rsidRPr="00FF4C0D">
        <w:t xml:space="preserve">2) </w:t>
      </w:r>
      <w:r w:rsidR="002D0B03" w:rsidRPr="00FF4C0D">
        <w:t>and in addition, deletion of the</w:t>
      </w:r>
      <w:r w:rsidR="002D0B03" w:rsidRPr="00FF4C0D">
        <w:rPr>
          <w:rFonts w:eastAsiaTheme="minorHAnsi"/>
          <w:szCs w:val="22"/>
        </w:rPr>
        <w:t xml:space="preserve"> current wording in subclause 4(2) </w:t>
      </w:r>
      <w:r w:rsidR="002A4153" w:rsidRPr="00FF4C0D">
        <w:t>from Standard 1.5.3</w:t>
      </w:r>
    </w:p>
    <w:p w:rsidR="00266FAA" w:rsidRPr="00FF4C0D" w:rsidRDefault="00266FAA" w:rsidP="00266FAA"/>
    <w:p w:rsidR="00A92AB9" w:rsidRPr="00FF4C0D" w:rsidRDefault="004E422C" w:rsidP="003A6A6A">
      <w:pPr>
        <w:pStyle w:val="FSBullet"/>
        <w:rPr>
          <w:szCs w:val="22"/>
        </w:rPr>
      </w:pPr>
      <w:r w:rsidRPr="00FF4C0D">
        <w:t>r</w:t>
      </w:r>
      <w:r w:rsidR="00A92AB9" w:rsidRPr="00FF4C0D">
        <w:t xml:space="preserve">einsert </w:t>
      </w:r>
      <w:r w:rsidR="00AD4B52" w:rsidRPr="00FF4C0D">
        <w:t>c</w:t>
      </w:r>
      <w:r w:rsidR="00266FAA" w:rsidRPr="00FF4C0D">
        <w:t>lause 5 r</w:t>
      </w:r>
      <w:r w:rsidR="00A92AB9" w:rsidRPr="00FF4C0D">
        <w:t>ecord keeping requirements</w:t>
      </w:r>
      <w:r w:rsidR="005F0DB0" w:rsidRPr="00FF4C0D">
        <w:t xml:space="preserve"> </w:t>
      </w:r>
      <w:r w:rsidR="00A92AB9" w:rsidRPr="00FF4C0D">
        <w:t xml:space="preserve">in </w:t>
      </w:r>
      <w:r w:rsidR="00637272" w:rsidRPr="00FF4C0D">
        <w:t>Standard 1.5.3</w:t>
      </w:r>
      <w:r w:rsidR="00102D58" w:rsidRPr="00FF4C0D">
        <w:t>.</w:t>
      </w:r>
      <w:r w:rsidR="00A92AB9" w:rsidRPr="00FF4C0D">
        <w:t xml:space="preserve"> </w:t>
      </w:r>
    </w:p>
    <w:p w:rsidR="006D75FA" w:rsidRPr="00FF4C0D" w:rsidRDefault="006D75FA" w:rsidP="006D75FA">
      <w:pPr>
        <w:rPr>
          <w:rFonts w:cs="Arial"/>
          <w:b/>
          <w:sz w:val="28"/>
          <w:szCs w:val="20"/>
        </w:rPr>
      </w:pPr>
      <w:bookmarkStart w:id="16" w:name="_Toc11735627"/>
    </w:p>
    <w:p w:rsidR="006D75FA" w:rsidRPr="00FF4C0D" w:rsidRDefault="006D75FA" w:rsidP="006D75FA">
      <w:pPr>
        <w:sectPr w:rsidR="006D75FA" w:rsidRPr="00FF4C0D" w:rsidSect="006334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fmt="lowerRoman"/>
          <w:cols w:space="708"/>
          <w:docGrid w:linePitch="360"/>
        </w:sectPr>
      </w:pPr>
    </w:p>
    <w:p w:rsidR="003C4969" w:rsidRPr="00FF4C0D" w:rsidRDefault="003C4969">
      <w:pPr>
        <w:pStyle w:val="DivisionHeading"/>
        <w:rPr>
          <w:rFonts w:cs="Arial"/>
        </w:rPr>
      </w:pPr>
      <w:r w:rsidRPr="00FF4C0D">
        <w:rPr>
          <w:rFonts w:cs="Arial"/>
        </w:rPr>
        <w:lastRenderedPageBreak/>
        <w:t>CONTENTS</w:t>
      </w:r>
    </w:p>
    <w:p w:rsidR="003C4969" w:rsidRPr="00FF4C0D" w:rsidRDefault="003C4969">
      <w:pPr>
        <w:rPr>
          <w:rFonts w:cs="Arial"/>
        </w:rPr>
      </w:pPr>
    </w:p>
    <w:bookmarkStart w:id="17" w:name="_Toc29883110"/>
    <w:bookmarkStart w:id="18" w:name="_Toc41906797"/>
    <w:bookmarkStart w:id="19" w:name="_Toc41907544"/>
    <w:bookmarkStart w:id="20" w:name="_Toc120358575"/>
    <w:p w:rsidR="00DB79BE" w:rsidRPr="00FF4C0D" w:rsidRDefault="001D1B96">
      <w:pPr>
        <w:pStyle w:val="TOC1"/>
        <w:tabs>
          <w:tab w:val="right" w:leader="dot" w:pos="9016"/>
        </w:tabs>
        <w:rPr>
          <w:rFonts w:asciiTheme="minorHAnsi" w:eastAsiaTheme="minorEastAsia" w:hAnsiTheme="minorHAnsi" w:cstheme="minorBidi"/>
          <w:b w:val="0"/>
          <w:bCs w:val="0"/>
          <w:caps w:val="0"/>
          <w:noProof/>
          <w:szCs w:val="22"/>
          <w:lang w:val="en-AU" w:eastAsia="en-AU" w:bidi="ar-SA"/>
        </w:rPr>
      </w:pPr>
      <w:r w:rsidRPr="00FF4C0D">
        <w:rPr>
          <w:rFonts w:cs="Arial"/>
        </w:rPr>
        <w:fldChar w:fldCharType="begin"/>
      </w:r>
      <w:r w:rsidR="00335F81" w:rsidRPr="00FF4C0D">
        <w:rPr>
          <w:rFonts w:cs="Arial"/>
        </w:rPr>
        <w:instrText xml:space="preserve"> TOC \o "1-3" \h \z \u </w:instrText>
      </w:r>
      <w:r w:rsidRPr="00FF4C0D">
        <w:rPr>
          <w:rFonts w:cs="Arial"/>
        </w:rPr>
        <w:fldChar w:fldCharType="separate"/>
      </w:r>
      <w:hyperlink w:anchor="_Toc297029083" w:history="1">
        <w:r w:rsidR="00DB79BE" w:rsidRPr="00FF4C0D">
          <w:rPr>
            <w:rStyle w:val="Hyperlink"/>
            <w:noProof/>
          </w:rPr>
          <w:t>Introduction</w:t>
        </w:r>
        <w:r w:rsidR="00DB79BE" w:rsidRPr="00FF4C0D">
          <w:rPr>
            <w:noProof/>
            <w:webHidden/>
          </w:rPr>
          <w:tab/>
        </w:r>
        <w:r w:rsidRPr="00FF4C0D">
          <w:rPr>
            <w:noProof/>
            <w:webHidden/>
          </w:rPr>
          <w:fldChar w:fldCharType="begin"/>
        </w:r>
        <w:r w:rsidR="00DB79BE" w:rsidRPr="00FF4C0D">
          <w:rPr>
            <w:noProof/>
            <w:webHidden/>
          </w:rPr>
          <w:instrText xml:space="preserve"> PAGEREF _Toc297029083 \h </w:instrText>
        </w:r>
        <w:r w:rsidRPr="00FF4C0D">
          <w:rPr>
            <w:noProof/>
            <w:webHidden/>
          </w:rPr>
        </w:r>
        <w:r w:rsidRPr="00FF4C0D">
          <w:rPr>
            <w:noProof/>
            <w:webHidden/>
          </w:rPr>
          <w:fldChar w:fldCharType="separate"/>
        </w:r>
        <w:r w:rsidR="00E22C7C" w:rsidRPr="00FF4C0D">
          <w:rPr>
            <w:noProof/>
            <w:webHidden/>
          </w:rPr>
          <w:t>3</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084" w:history="1">
        <w:r w:rsidR="00DB79BE" w:rsidRPr="00FF4C0D">
          <w:rPr>
            <w:rStyle w:val="Hyperlink"/>
            <w:rFonts w:cs="Arial"/>
            <w:noProof/>
          </w:rPr>
          <w:t>1.</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rFonts w:cs="Arial"/>
            <w:noProof/>
          </w:rPr>
          <w:t>The Issue / Problem</w:t>
        </w:r>
        <w:r w:rsidR="00DB79BE" w:rsidRPr="00FF4C0D">
          <w:rPr>
            <w:noProof/>
            <w:webHidden/>
          </w:rPr>
          <w:tab/>
        </w:r>
        <w:r w:rsidRPr="00FF4C0D">
          <w:rPr>
            <w:noProof/>
            <w:webHidden/>
          </w:rPr>
          <w:fldChar w:fldCharType="begin"/>
        </w:r>
        <w:r w:rsidR="00DB79BE" w:rsidRPr="00FF4C0D">
          <w:rPr>
            <w:noProof/>
            <w:webHidden/>
          </w:rPr>
          <w:instrText xml:space="preserve"> PAGEREF _Toc297029084 \h </w:instrText>
        </w:r>
        <w:r w:rsidRPr="00FF4C0D">
          <w:rPr>
            <w:noProof/>
            <w:webHidden/>
          </w:rPr>
        </w:r>
        <w:r w:rsidRPr="00FF4C0D">
          <w:rPr>
            <w:noProof/>
            <w:webHidden/>
          </w:rPr>
          <w:fldChar w:fldCharType="separate"/>
        </w:r>
        <w:r w:rsidR="00E22C7C" w:rsidRPr="00FF4C0D">
          <w:rPr>
            <w:noProof/>
            <w:webHidden/>
          </w:rPr>
          <w:t>4</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085" w:history="1">
        <w:r w:rsidR="00DB79BE" w:rsidRPr="00FF4C0D">
          <w:rPr>
            <w:rStyle w:val="Hyperlink"/>
            <w:noProof/>
          </w:rPr>
          <w:t>2.</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Current Standard</w:t>
        </w:r>
        <w:r w:rsidR="00DB79BE" w:rsidRPr="00FF4C0D">
          <w:rPr>
            <w:noProof/>
            <w:webHidden/>
          </w:rPr>
          <w:tab/>
        </w:r>
        <w:r w:rsidRPr="00FF4C0D">
          <w:rPr>
            <w:noProof/>
            <w:webHidden/>
          </w:rPr>
          <w:fldChar w:fldCharType="begin"/>
        </w:r>
        <w:r w:rsidR="00DB79BE" w:rsidRPr="00FF4C0D">
          <w:rPr>
            <w:noProof/>
            <w:webHidden/>
          </w:rPr>
          <w:instrText xml:space="preserve"> PAGEREF _Toc297029085 \h </w:instrText>
        </w:r>
        <w:r w:rsidRPr="00FF4C0D">
          <w:rPr>
            <w:noProof/>
            <w:webHidden/>
          </w:rPr>
        </w:r>
        <w:r w:rsidRPr="00FF4C0D">
          <w:rPr>
            <w:noProof/>
            <w:webHidden/>
          </w:rPr>
          <w:fldChar w:fldCharType="separate"/>
        </w:r>
        <w:r w:rsidR="00E22C7C" w:rsidRPr="00FF4C0D">
          <w:rPr>
            <w:noProof/>
            <w:webHidden/>
          </w:rPr>
          <w:t>4</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086" w:history="1">
        <w:r w:rsidR="00DB79BE" w:rsidRPr="00FF4C0D">
          <w:rPr>
            <w:rStyle w:val="Hyperlink"/>
            <w:noProof/>
          </w:rPr>
          <w:t xml:space="preserve">2.1 </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Approval to irradiate foods in other countries</w:t>
        </w:r>
        <w:r w:rsidR="00DB79BE" w:rsidRPr="00FF4C0D">
          <w:rPr>
            <w:noProof/>
            <w:webHidden/>
          </w:rPr>
          <w:tab/>
        </w:r>
        <w:r w:rsidRPr="00FF4C0D">
          <w:rPr>
            <w:noProof/>
            <w:webHidden/>
          </w:rPr>
          <w:fldChar w:fldCharType="begin"/>
        </w:r>
        <w:r w:rsidR="00DB79BE" w:rsidRPr="00FF4C0D">
          <w:rPr>
            <w:noProof/>
            <w:webHidden/>
          </w:rPr>
          <w:instrText xml:space="preserve"> PAGEREF _Toc297029086 \h </w:instrText>
        </w:r>
        <w:r w:rsidRPr="00FF4C0D">
          <w:rPr>
            <w:noProof/>
            <w:webHidden/>
          </w:rPr>
        </w:r>
        <w:r w:rsidRPr="00FF4C0D">
          <w:rPr>
            <w:noProof/>
            <w:webHidden/>
          </w:rPr>
          <w:fldChar w:fldCharType="separate"/>
        </w:r>
        <w:r w:rsidR="00E22C7C" w:rsidRPr="00FF4C0D">
          <w:rPr>
            <w:noProof/>
            <w:webHidden/>
          </w:rPr>
          <w:t>5</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087" w:history="1">
        <w:r w:rsidR="00DB79BE" w:rsidRPr="00FF4C0D">
          <w:rPr>
            <w:rStyle w:val="Hyperlink"/>
            <w:rFonts w:cs="Arial"/>
            <w:noProof/>
          </w:rPr>
          <w:t>3.</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rFonts w:cs="Arial"/>
            <w:noProof/>
          </w:rPr>
          <w:t>Objectives</w:t>
        </w:r>
        <w:r w:rsidR="00DB79BE" w:rsidRPr="00FF4C0D">
          <w:rPr>
            <w:noProof/>
            <w:webHidden/>
          </w:rPr>
          <w:tab/>
        </w:r>
        <w:r w:rsidRPr="00FF4C0D">
          <w:rPr>
            <w:noProof/>
            <w:webHidden/>
          </w:rPr>
          <w:fldChar w:fldCharType="begin"/>
        </w:r>
        <w:r w:rsidR="00DB79BE" w:rsidRPr="00FF4C0D">
          <w:rPr>
            <w:noProof/>
            <w:webHidden/>
          </w:rPr>
          <w:instrText xml:space="preserve"> PAGEREF _Toc297029087 \h </w:instrText>
        </w:r>
        <w:r w:rsidRPr="00FF4C0D">
          <w:rPr>
            <w:noProof/>
            <w:webHidden/>
          </w:rPr>
        </w:r>
        <w:r w:rsidRPr="00FF4C0D">
          <w:rPr>
            <w:noProof/>
            <w:webHidden/>
          </w:rPr>
          <w:fldChar w:fldCharType="separate"/>
        </w:r>
        <w:r w:rsidR="00E22C7C" w:rsidRPr="00FF4C0D">
          <w:rPr>
            <w:noProof/>
            <w:webHidden/>
          </w:rPr>
          <w:t>6</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088" w:history="1">
        <w:r w:rsidR="00DB79BE" w:rsidRPr="00FF4C0D">
          <w:rPr>
            <w:rStyle w:val="Hyperlink"/>
            <w:rFonts w:cs="Arial"/>
            <w:noProof/>
          </w:rPr>
          <w:t>4.</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rFonts w:cs="Arial"/>
            <w:noProof/>
          </w:rPr>
          <w:t>Questions to be answered</w:t>
        </w:r>
        <w:r w:rsidR="00DB79BE" w:rsidRPr="00FF4C0D">
          <w:rPr>
            <w:noProof/>
            <w:webHidden/>
          </w:rPr>
          <w:tab/>
        </w:r>
        <w:r w:rsidRPr="00FF4C0D">
          <w:rPr>
            <w:noProof/>
            <w:webHidden/>
          </w:rPr>
          <w:fldChar w:fldCharType="begin"/>
        </w:r>
        <w:r w:rsidR="00DB79BE" w:rsidRPr="00FF4C0D">
          <w:rPr>
            <w:noProof/>
            <w:webHidden/>
          </w:rPr>
          <w:instrText xml:space="preserve"> PAGEREF _Toc297029088 \h </w:instrText>
        </w:r>
        <w:r w:rsidRPr="00FF4C0D">
          <w:rPr>
            <w:noProof/>
            <w:webHidden/>
          </w:rPr>
        </w:r>
        <w:r w:rsidRPr="00FF4C0D">
          <w:rPr>
            <w:noProof/>
            <w:webHidden/>
          </w:rPr>
          <w:fldChar w:fldCharType="separate"/>
        </w:r>
        <w:r w:rsidR="00E22C7C" w:rsidRPr="00FF4C0D">
          <w:rPr>
            <w:noProof/>
            <w:webHidden/>
          </w:rPr>
          <w:t>6</w:t>
        </w:r>
        <w:r w:rsidRPr="00FF4C0D">
          <w:rPr>
            <w:noProof/>
            <w:webHidden/>
          </w:rPr>
          <w:fldChar w:fldCharType="end"/>
        </w:r>
      </w:hyperlink>
    </w:p>
    <w:p w:rsidR="00DB79BE" w:rsidRPr="00FF4C0D" w:rsidRDefault="001D1B96">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7029089" w:history="1">
        <w:r w:rsidR="00DB79BE" w:rsidRPr="00FF4C0D">
          <w:rPr>
            <w:rStyle w:val="Hyperlink"/>
            <w:noProof/>
          </w:rPr>
          <w:t>RISK ASSESSMENT</w:t>
        </w:r>
        <w:r w:rsidR="00DB79BE" w:rsidRPr="00FF4C0D">
          <w:rPr>
            <w:noProof/>
            <w:webHidden/>
          </w:rPr>
          <w:tab/>
        </w:r>
        <w:r w:rsidRPr="00FF4C0D">
          <w:rPr>
            <w:noProof/>
            <w:webHidden/>
          </w:rPr>
          <w:fldChar w:fldCharType="begin"/>
        </w:r>
        <w:r w:rsidR="00DB79BE" w:rsidRPr="00FF4C0D">
          <w:rPr>
            <w:noProof/>
            <w:webHidden/>
          </w:rPr>
          <w:instrText xml:space="preserve"> PAGEREF _Toc297029089 \h </w:instrText>
        </w:r>
        <w:r w:rsidRPr="00FF4C0D">
          <w:rPr>
            <w:noProof/>
            <w:webHidden/>
          </w:rPr>
        </w:r>
        <w:r w:rsidRPr="00FF4C0D">
          <w:rPr>
            <w:noProof/>
            <w:webHidden/>
          </w:rPr>
          <w:fldChar w:fldCharType="separate"/>
        </w:r>
        <w:r w:rsidR="00E22C7C" w:rsidRPr="00FF4C0D">
          <w:rPr>
            <w:noProof/>
            <w:webHidden/>
          </w:rPr>
          <w:t>7</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090" w:history="1">
        <w:r w:rsidR="00DB79BE" w:rsidRPr="00FF4C0D">
          <w:rPr>
            <w:rStyle w:val="Hyperlink"/>
            <w:noProof/>
          </w:rPr>
          <w:t>5.</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Risk Assessment Summary</w:t>
        </w:r>
        <w:r w:rsidR="00DB79BE" w:rsidRPr="00FF4C0D">
          <w:rPr>
            <w:noProof/>
            <w:webHidden/>
          </w:rPr>
          <w:tab/>
        </w:r>
        <w:r w:rsidRPr="00FF4C0D">
          <w:rPr>
            <w:noProof/>
            <w:webHidden/>
          </w:rPr>
          <w:fldChar w:fldCharType="begin"/>
        </w:r>
        <w:r w:rsidR="00DB79BE" w:rsidRPr="00FF4C0D">
          <w:rPr>
            <w:noProof/>
            <w:webHidden/>
          </w:rPr>
          <w:instrText xml:space="preserve"> PAGEREF _Toc297029090 \h </w:instrText>
        </w:r>
        <w:r w:rsidRPr="00FF4C0D">
          <w:rPr>
            <w:noProof/>
            <w:webHidden/>
          </w:rPr>
        </w:r>
        <w:r w:rsidRPr="00FF4C0D">
          <w:rPr>
            <w:noProof/>
            <w:webHidden/>
          </w:rPr>
          <w:fldChar w:fldCharType="separate"/>
        </w:r>
        <w:r w:rsidR="00E22C7C" w:rsidRPr="00FF4C0D">
          <w:rPr>
            <w:noProof/>
            <w:webHidden/>
          </w:rPr>
          <w:t>7</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1" w:history="1">
        <w:r w:rsidR="00DB79BE" w:rsidRPr="00FF4C0D">
          <w:rPr>
            <w:rStyle w:val="Hyperlink"/>
            <w:noProof/>
          </w:rPr>
          <w:t>5.1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Safety and nutritional adequacy of irradiated foods</w:t>
        </w:r>
        <w:r w:rsidR="00DB79BE" w:rsidRPr="00FF4C0D">
          <w:rPr>
            <w:noProof/>
            <w:webHidden/>
          </w:rPr>
          <w:tab/>
        </w:r>
        <w:r w:rsidRPr="00FF4C0D">
          <w:rPr>
            <w:noProof/>
            <w:webHidden/>
          </w:rPr>
          <w:fldChar w:fldCharType="begin"/>
        </w:r>
        <w:r w:rsidR="00DB79BE" w:rsidRPr="00FF4C0D">
          <w:rPr>
            <w:noProof/>
            <w:webHidden/>
          </w:rPr>
          <w:instrText xml:space="preserve"> PAGEREF _Toc297029091 \h </w:instrText>
        </w:r>
        <w:r w:rsidRPr="00FF4C0D">
          <w:rPr>
            <w:noProof/>
            <w:webHidden/>
          </w:rPr>
        </w:r>
        <w:r w:rsidRPr="00FF4C0D">
          <w:rPr>
            <w:noProof/>
            <w:webHidden/>
          </w:rPr>
          <w:fldChar w:fldCharType="separate"/>
        </w:r>
        <w:r w:rsidR="00E22C7C" w:rsidRPr="00FF4C0D">
          <w:rPr>
            <w:noProof/>
            <w:webHidden/>
          </w:rPr>
          <w:t>7</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2" w:history="1">
        <w:r w:rsidR="00DB79BE" w:rsidRPr="00FF4C0D">
          <w:rPr>
            <w:rStyle w:val="Hyperlink"/>
            <w:noProof/>
          </w:rPr>
          <w:t>5.2</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Issues raised during public consultation on the risk assessment</w:t>
        </w:r>
        <w:r w:rsidR="00DB79BE" w:rsidRPr="00FF4C0D">
          <w:rPr>
            <w:noProof/>
            <w:webHidden/>
          </w:rPr>
          <w:tab/>
        </w:r>
        <w:r w:rsidRPr="00FF4C0D">
          <w:rPr>
            <w:noProof/>
            <w:webHidden/>
          </w:rPr>
          <w:fldChar w:fldCharType="begin"/>
        </w:r>
        <w:r w:rsidR="00DB79BE" w:rsidRPr="00FF4C0D">
          <w:rPr>
            <w:noProof/>
            <w:webHidden/>
          </w:rPr>
          <w:instrText xml:space="preserve"> PAGEREF _Toc297029092 \h </w:instrText>
        </w:r>
        <w:r w:rsidRPr="00FF4C0D">
          <w:rPr>
            <w:noProof/>
            <w:webHidden/>
          </w:rPr>
        </w:r>
        <w:r w:rsidRPr="00FF4C0D">
          <w:rPr>
            <w:noProof/>
            <w:webHidden/>
          </w:rPr>
          <w:fldChar w:fldCharType="separate"/>
        </w:r>
        <w:r w:rsidR="00E22C7C" w:rsidRPr="00FF4C0D">
          <w:rPr>
            <w:noProof/>
            <w:webHidden/>
          </w:rPr>
          <w:t>8</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3" w:history="1">
        <w:r w:rsidR="00DB79BE" w:rsidRPr="00FF4C0D">
          <w:rPr>
            <w:rStyle w:val="Hyperlink"/>
            <w:noProof/>
          </w:rPr>
          <w:t>5.3</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Conclusions</w:t>
        </w:r>
        <w:r w:rsidR="00DB79BE" w:rsidRPr="00FF4C0D">
          <w:rPr>
            <w:noProof/>
            <w:webHidden/>
          </w:rPr>
          <w:tab/>
        </w:r>
        <w:r w:rsidRPr="00FF4C0D">
          <w:rPr>
            <w:noProof/>
            <w:webHidden/>
          </w:rPr>
          <w:fldChar w:fldCharType="begin"/>
        </w:r>
        <w:r w:rsidR="00DB79BE" w:rsidRPr="00FF4C0D">
          <w:rPr>
            <w:noProof/>
            <w:webHidden/>
          </w:rPr>
          <w:instrText xml:space="preserve"> PAGEREF _Toc297029093 \h </w:instrText>
        </w:r>
        <w:r w:rsidRPr="00FF4C0D">
          <w:rPr>
            <w:noProof/>
            <w:webHidden/>
          </w:rPr>
        </w:r>
        <w:r w:rsidRPr="00FF4C0D">
          <w:rPr>
            <w:noProof/>
            <w:webHidden/>
          </w:rPr>
          <w:fldChar w:fldCharType="separate"/>
        </w:r>
        <w:r w:rsidR="00E22C7C" w:rsidRPr="00FF4C0D">
          <w:rPr>
            <w:noProof/>
            <w:webHidden/>
          </w:rPr>
          <w:t>12</w:t>
        </w:r>
        <w:r w:rsidRPr="00FF4C0D">
          <w:rPr>
            <w:noProof/>
            <w:webHidden/>
          </w:rPr>
          <w:fldChar w:fldCharType="end"/>
        </w:r>
      </w:hyperlink>
    </w:p>
    <w:p w:rsidR="00DB79BE" w:rsidRPr="00FF4C0D" w:rsidRDefault="001D1B96">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7029094" w:history="1">
        <w:r w:rsidR="00DB79BE" w:rsidRPr="00FF4C0D">
          <w:rPr>
            <w:rStyle w:val="Hyperlink"/>
            <w:noProof/>
          </w:rPr>
          <w:t>Risk Management</w:t>
        </w:r>
        <w:r w:rsidR="00DB79BE" w:rsidRPr="00FF4C0D">
          <w:rPr>
            <w:noProof/>
            <w:webHidden/>
          </w:rPr>
          <w:tab/>
        </w:r>
        <w:r w:rsidRPr="00FF4C0D">
          <w:rPr>
            <w:noProof/>
            <w:webHidden/>
          </w:rPr>
          <w:fldChar w:fldCharType="begin"/>
        </w:r>
        <w:r w:rsidR="00DB79BE" w:rsidRPr="00FF4C0D">
          <w:rPr>
            <w:noProof/>
            <w:webHidden/>
          </w:rPr>
          <w:instrText xml:space="preserve"> PAGEREF _Toc297029094 \h </w:instrText>
        </w:r>
        <w:r w:rsidRPr="00FF4C0D">
          <w:rPr>
            <w:noProof/>
            <w:webHidden/>
          </w:rPr>
        </w:r>
        <w:r w:rsidRPr="00FF4C0D">
          <w:rPr>
            <w:noProof/>
            <w:webHidden/>
          </w:rPr>
          <w:fldChar w:fldCharType="separate"/>
        </w:r>
        <w:r w:rsidR="00E22C7C" w:rsidRPr="00FF4C0D">
          <w:rPr>
            <w:noProof/>
            <w:webHidden/>
          </w:rPr>
          <w:t>12</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5" w:history="1">
        <w:r w:rsidR="00DB79BE" w:rsidRPr="00FF4C0D">
          <w:rPr>
            <w:rStyle w:val="Hyperlink"/>
            <w:noProof/>
          </w:rPr>
          <w:t>6.1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Technological need and efficacy of the irradiation process</w:t>
        </w:r>
        <w:r w:rsidR="00DB79BE" w:rsidRPr="00FF4C0D">
          <w:rPr>
            <w:noProof/>
            <w:webHidden/>
          </w:rPr>
          <w:tab/>
        </w:r>
        <w:r w:rsidRPr="00FF4C0D">
          <w:rPr>
            <w:noProof/>
            <w:webHidden/>
          </w:rPr>
          <w:fldChar w:fldCharType="begin"/>
        </w:r>
        <w:r w:rsidR="00DB79BE" w:rsidRPr="00FF4C0D">
          <w:rPr>
            <w:noProof/>
            <w:webHidden/>
          </w:rPr>
          <w:instrText xml:space="preserve"> PAGEREF _Toc297029095 \h </w:instrText>
        </w:r>
        <w:r w:rsidRPr="00FF4C0D">
          <w:rPr>
            <w:noProof/>
            <w:webHidden/>
          </w:rPr>
        </w:r>
        <w:r w:rsidRPr="00FF4C0D">
          <w:rPr>
            <w:noProof/>
            <w:webHidden/>
          </w:rPr>
          <w:fldChar w:fldCharType="separate"/>
        </w:r>
        <w:r w:rsidR="00E22C7C" w:rsidRPr="00FF4C0D">
          <w:rPr>
            <w:noProof/>
            <w:webHidden/>
          </w:rPr>
          <w:t>13</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6" w:history="1">
        <w:r w:rsidR="00DB79BE" w:rsidRPr="00FF4C0D">
          <w:rPr>
            <w:rStyle w:val="Hyperlink"/>
            <w:noProof/>
          </w:rPr>
          <w:t>6.2</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Packaging</w:t>
        </w:r>
        <w:r w:rsidR="00DB79BE" w:rsidRPr="00FF4C0D">
          <w:rPr>
            <w:noProof/>
            <w:webHidden/>
          </w:rPr>
          <w:tab/>
        </w:r>
        <w:r w:rsidRPr="00FF4C0D">
          <w:rPr>
            <w:noProof/>
            <w:webHidden/>
          </w:rPr>
          <w:fldChar w:fldCharType="begin"/>
        </w:r>
        <w:r w:rsidR="00DB79BE" w:rsidRPr="00FF4C0D">
          <w:rPr>
            <w:noProof/>
            <w:webHidden/>
          </w:rPr>
          <w:instrText xml:space="preserve"> PAGEREF _Toc297029096 \h </w:instrText>
        </w:r>
        <w:r w:rsidRPr="00FF4C0D">
          <w:rPr>
            <w:noProof/>
            <w:webHidden/>
          </w:rPr>
        </w:r>
        <w:r w:rsidRPr="00FF4C0D">
          <w:rPr>
            <w:noProof/>
            <w:webHidden/>
          </w:rPr>
          <w:fldChar w:fldCharType="separate"/>
        </w:r>
        <w:r w:rsidR="00E22C7C" w:rsidRPr="00FF4C0D">
          <w:rPr>
            <w:noProof/>
            <w:webHidden/>
          </w:rPr>
          <w:t>14</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7" w:history="1">
        <w:r w:rsidR="00DB79BE" w:rsidRPr="00FF4C0D">
          <w:rPr>
            <w:rStyle w:val="Hyperlink"/>
            <w:noProof/>
          </w:rPr>
          <w:t>6.3</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Irradiation facilities and dosimetry</w:t>
        </w:r>
        <w:r w:rsidR="00DB79BE" w:rsidRPr="00FF4C0D">
          <w:rPr>
            <w:noProof/>
            <w:webHidden/>
          </w:rPr>
          <w:tab/>
        </w:r>
        <w:r w:rsidRPr="00FF4C0D">
          <w:rPr>
            <w:noProof/>
            <w:webHidden/>
          </w:rPr>
          <w:fldChar w:fldCharType="begin"/>
        </w:r>
        <w:r w:rsidR="00DB79BE" w:rsidRPr="00FF4C0D">
          <w:rPr>
            <w:noProof/>
            <w:webHidden/>
          </w:rPr>
          <w:instrText xml:space="preserve"> PAGEREF _Toc297029097 \h </w:instrText>
        </w:r>
        <w:r w:rsidRPr="00FF4C0D">
          <w:rPr>
            <w:noProof/>
            <w:webHidden/>
          </w:rPr>
        </w:r>
        <w:r w:rsidRPr="00FF4C0D">
          <w:rPr>
            <w:noProof/>
            <w:webHidden/>
          </w:rPr>
          <w:fldChar w:fldCharType="separate"/>
        </w:r>
        <w:r w:rsidR="00E22C7C" w:rsidRPr="00FF4C0D">
          <w:rPr>
            <w:noProof/>
            <w:webHidden/>
          </w:rPr>
          <w:t>15</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8" w:history="1">
        <w:r w:rsidR="00DB79BE" w:rsidRPr="00FF4C0D">
          <w:rPr>
            <w:rStyle w:val="Hyperlink"/>
            <w:noProof/>
          </w:rPr>
          <w:t>6.4</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Methods of verification for irradiated foods</w:t>
        </w:r>
        <w:r w:rsidR="00DB79BE" w:rsidRPr="00FF4C0D">
          <w:rPr>
            <w:noProof/>
            <w:webHidden/>
          </w:rPr>
          <w:tab/>
        </w:r>
        <w:r w:rsidRPr="00FF4C0D">
          <w:rPr>
            <w:noProof/>
            <w:webHidden/>
          </w:rPr>
          <w:fldChar w:fldCharType="begin"/>
        </w:r>
        <w:r w:rsidR="00DB79BE" w:rsidRPr="00FF4C0D">
          <w:rPr>
            <w:noProof/>
            <w:webHidden/>
          </w:rPr>
          <w:instrText xml:space="preserve"> PAGEREF _Toc297029098 \h </w:instrText>
        </w:r>
        <w:r w:rsidRPr="00FF4C0D">
          <w:rPr>
            <w:noProof/>
            <w:webHidden/>
          </w:rPr>
        </w:r>
        <w:r w:rsidRPr="00FF4C0D">
          <w:rPr>
            <w:noProof/>
            <w:webHidden/>
          </w:rPr>
          <w:fldChar w:fldCharType="separate"/>
        </w:r>
        <w:r w:rsidR="00E22C7C" w:rsidRPr="00FF4C0D">
          <w:rPr>
            <w:noProof/>
            <w:webHidden/>
          </w:rPr>
          <w:t>16</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099" w:history="1">
        <w:r w:rsidR="00DB79BE" w:rsidRPr="00FF4C0D">
          <w:rPr>
            <w:rStyle w:val="Hyperlink"/>
            <w:noProof/>
          </w:rPr>
          <w:t>6.5</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Labelling of irradiated foods</w:t>
        </w:r>
        <w:r w:rsidR="00DB79BE" w:rsidRPr="00FF4C0D">
          <w:rPr>
            <w:noProof/>
            <w:webHidden/>
          </w:rPr>
          <w:tab/>
        </w:r>
        <w:r w:rsidRPr="00FF4C0D">
          <w:rPr>
            <w:noProof/>
            <w:webHidden/>
          </w:rPr>
          <w:fldChar w:fldCharType="begin"/>
        </w:r>
        <w:r w:rsidR="00DB79BE" w:rsidRPr="00FF4C0D">
          <w:rPr>
            <w:noProof/>
            <w:webHidden/>
          </w:rPr>
          <w:instrText xml:space="preserve"> PAGEREF _Toc297029099 \h </w:instrText>
        </w:r>
        <w:r w:rsidRPr="00FF4C0D">
          <w:rPr>
            <w:noProof/>
            <w:webHidden/>
          </w:rPr>
        </w:r>
        <w:r w:rsidRPr="00FF4C0D">
          <w:rPr>
            <w:noProof/>
            <w:webHidden/>
          </w:rPr>
          <w:fldChar w:fldCharType="separate"/>
        </w:r>
        <w:r w:rsidR="00E22C7C" w:rsidRPr="00FF4C0D">
          <w:rPr>
            <w:noProof/>
            <w:webHidden/>
          </w:rPr>
          <w:t>17</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00" w:history="1">
        <w:r w:rsidR="00DB79BE" w:rsidRPr="00FF4C0D">
          <w:rPr>
            <w:rStyle w:val="Hyperlink"/>
            <w:noProof/>
          </w:rPr>
          <w:t>6.6</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Risk Management Strategy</w:t>
        </w:r>
        <w:r w:rsidR="00DB79BE" w:rsidRPr="00FF4C0D">
          <w:rPr>
            <w:noProof/>
            <w:webHidden/>
          </w:rPr>
          <w:tab/>
        </w:r>
        <w:r w:rsidRPr="00FF4C0D">
          <w:rPr>
            <w:noProof/>
            <w:webHidden/>
          </w:rPr>
          <w:fldChar w:fldCharType="begin"/>
        </w:r>
        <w:r w:rsidR="00DB79BE" w:rsidRPr="00FF4C0D">
          <w:rPr>
            <w:noProof/>
            <w:webHidden/>
          </w:rPr>
          <w:instrText xml:space="preserve"> PAGEREF _Toc297029100 \h </w:instrText>
        </w:r>
        <w:r w:rsidRPr="00FF4C0D">
          <w:rPr>
            <w:noProof/>
            <w:webHidden/>
          </w:rPr>
        </w:r>
        <w:r w:rsidRPr="00FF4C0D">
          <w:rPr>
            <w:noProof/>
            <w:webHidden/>
          </w:rPr>
          <w:fldChar w:fldCharType="separate"/>
        </w:r>
        <w:r w:rsidR="00E22C7C" w:rsidRPr="00FF4C0D">
          <w:rPr>
            <w:noProof/>
            <w:webHidden/>
          </w:rPr>
          <w:t>20</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01" w:history="1">
        <w:r w:rsidR="00DB79BE" w:rsidRPr="00FF4C0D">
          <w:rPr>
            <w:rStyle w:val="Hyperlink"/>
            <w:noProof/>
          </w:rPr>
          <w:t>7.</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Recommended amendments to Standard 1.5.3</w:t>
        </w:r>
        <w:r w:rsidR="00DB79BE" w:rsidRPr="00FF4C0D">
          <w:rPr>
            <w:noProof/>
            <w:webHidden/>
          </w:rPr>
          <w:tab/>
        </w:r>
        <w:r w:rsidRPr="00FF4C0D">
          <w:rPr>
            <w:noProof/>
            <w:webHidden/>
          </w:rPr>
          <w:fldChar w:fldCharType="begin"/>
        </w:r>
        <w:r w:rsidR="00DB79BE" w:rsidRPr="00FF4C0D">
          <w:rPr>
            <w:noProof/>
            <w:webHidden/>
          </w:rPr>
          <w:instrText xml:space="preserve"> PAGEREF _Toc297029101 \h </w:instrText>
        </w:r>
        <w:r w:rsidRPr="00FF4C0D">
          <w:rPr>
            <w:noProof/>
            <w:webHidden/>
          </w:rPr>
        </w:r>
        <w:r w:rsidRPr="00FF4C0D">
          <w:rPr>
            <w:noProof/>
            <w:webHidden/>
          </w:rPr>
          <w:fldChar w:fldCharType="separate"/>
        </w:r>
        <w:r w:rsidR="00E22C7C" w:rsidRPr="00FF4C0D">
          <w:rPr>
            <w:noProof/>
            <w:webHidden/>
          </w:rPr>
          <w:t>20</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02" w:history="1">
        <w:r w:rsidR="00DB79BE" w:rsidRPr="00FF4C0D">
          <w:rPr>
            <w:rStyle w:val="Hyperlink"/>
            <w:noProof/>
          </w:rPr>
          <w:t xml:space="preserve">7.1 </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Insertion of new units for dosage in the Glossary of Symbols</w:t>
        </w:r>
        <w:r w:rsidR="00DB79BE" w:rsidRPr="00FF4C0D">
          <w:rPr>
            <w:noProof/>
            <w:webHidden/>
          </w:rPr>
          <w:tab/>
        </w:r>
        <w:r w:rsidRPr="00FF4C0D">
          <w:rPr>
            <w:noProof/>
            <w:webHidden/>
          </w:rPr>
          <w:fldChar w:fldCharType="begin"/>
        </w:r>
        <w:r w:rsidR="00DB79BE" w:rsidRPr="00FF4C0D">
          <w:rPr>
            <w:noProof/>
            <w:webHidden/>
          </w:rPr>
          <w:instrText xml:space="preserve"> PAGEREF _Toc297029102 \h </w:instrText>
        </w:r>
        <w:r w:rsidRPr="00FF4C0D">
          <w:rPr>
            <w:noProof/>
            <w:webHidden/>
          </w:rPr>
        </w:r>
        <w:r w:rsidRPr="00FF4C0D">
          <w:rPr>
            <w:noProof/>
            <w:webHidden/>
          </w:rPr>
          <w:fldChar w:fldCharType="separate"/>
        </w:r>
        <w:r w:rsidR="00E22C7C" w:rsidRPr="00FF4C0D">
          <w:rPr>
            <w:noProof/>
            <w:webHidden/>
          </w:rPr>
          <w:t>21</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03" w:history="1">
        <w:r w:rsidR="00DB79BE" w:rsidRPr="00FF4C0D">
          <w:rPr>
            <w:rStyle w:val="Hyperlink"/>
            <w:noProof/>
          </w:rPr>
          <w:t xml:space="preserve">7.2 </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Amendments to provide clarity to the Purpose and Definitions in Standard 1.5.3</w:t>
        </w:r>
        <w:r w:rsidR="00DB79BE" w:rsidRPr="00FF4C0D">
          <w:rPr>
            <w:noProof/>
            <w:webHidden/>
          </w:rPr>
          <w:tab/>
        </w:r>
        <w:r w:rsidRPr="00FF4C0D">
          <w:rPr>
            <w:noProof/>
            <w:webHidden/>
          </w:rPr>
          <w:fldChar w:fldCharType="begin"/>
        </w:r>
        <w:r w:rsidR="00DB79BE" w:rsidRPr="00FF4C0D">
          <w:rPr>
            <w:noProof/>
            <w:webHidden/>
          </w:rPr>
          <w:instrText xml:space="preserve"> PAGEREF _Toc297029103 \h </w:instrText>
        </w:r>
        <w:r w:rsidRPr="00FF4C0D">
          <w:rPr>
            <w:noProof/>
            <w:webHidden/>
          </w:rPr>
        </w:r>
        <w:r w:rsidRPr="00FF4C0D">
          <w:rPr>
            <w:noProof/>
            <w:webHidden/>
          </w:rPr>
          <w:fldChar w:fldCharType="separate"/>
        </w:r>
        <w:r w:rsidR="00E22C7C" w:rsidRPr="00FF4C0D">
          <w:rPr>
            <w:noProof/>
            <w:webHidden/>
          </w:rPr>
          <w:t>21</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04" w:history="1">
        <w:r w:rsidR="00DB79BE" w:rsidRPr="00FF4C0D">
          <w:rPr>
            <w:rStyle w:val="Hyperlink"/>
            <w:noProof/>
          </w:rPr>
          <w:t>7.3</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Structural changes to Standard 1.5.3 and proposed new clauses</w:t>
        </w:r>
        <w:r w:rsidR="00DB79BE" w:rsidRPr="00FF4C0D">
          <w:rPr>
            <w:noProof/>
            <w:webHidden/>
          </w:rPr>
          <w:tab/>
        </w:r>
        <w:r w:rsidRPr="00FF4C0D">
          <w:rPr>
            <w:noProof/>
            <w:webHidden/>
          </w:rPr>
          <w:fldChar w:fldCharType="begin"/>
        </w:r>
        <w:r w:rsidR="00DB79BE" w:rsidRPr="00FF4C0D">
          <w:rPr>
            <w:noProof/>
            <w:webHidden/>
          </w:rPr>
          <w:instrText xml:space="preserve"> PAGEREF _Toc297029104 \h </w:instrText>
        </w:r>
        <w:r w:rsidRPr="00FF4C0D">
          <w:rPr>
            <w:noProof/>
            <w:webHidden/>
          </w:rPr>
        </w:r>
        <w:r w:rsidRPr="00FF4C0D">
          <w:rPr>
            <w:noProof/>
            <w:webHidden/>
          </w:rPr>
          <w:fldChar w:fldCharType="separate"/>
        </w:r>
        <w:r w:rsidR="00E22C7C" w:rsidRPr="00FF4C0D">
          <w:rPr>
            <w:noProof/>
            <w:webHidden/>
          </w:rPr>
          <w:t>22</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05" w:history="1">
        <w:r w:rsidR="00DB79BE" w:rsidRPr="00FF4C0D">
          <w:rPr>
            <w:rStyle w:val="Hyperlink"/>
            <w:noProof/>
          </w:rPr>
          <w:t>7.4</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Removal of other unnecessary provisions</w:t>
        </w:r>
        <w:r w:rsidR="00DB79BE" w:rsidRPr="00FF4C0D">
          <w:rPr>
            <w:noProof/>
            <w:webHidden/>
          </w:rPr>
          <w:tab/>
        </w:r>
        <w:r w:rsidRPr="00FF4C0D">
          <w:rPr>
            <w:noProof/>
            <w:webHidden/>
          </w:rPr>
          <w:fldChar w:fldCharType="begin"/>
        </w:r>
        <w:r w:rsidR="00DB79BE" w:rsidRPr="00FF4C0D">
          <w:rPr>
            <w:noProof/>
            <w:webHidden/>
          </w:rPr>
          <w:instrText xml:space="preserve"> PAGEREF _Toc297029105 \h </w:instrText>
        </w:r>
        <w:r w:rsidRPr="00FF4C0D">
          <w:rPr>
            <w:noProof/>
            <w:webHidden/>
          </w:rPr>
        </w:r>
        <w:r w:rsidRPr="00FF4C0D">
          <w:rPr>
            <w:noProof/>
            <w:webHidden/>
          </w:rPr>
          <w:fldChar w:fldCharType="separate"/>
        </w:r>
        <w:r w:rsidR="00E22C7C" w:rsidRPr="00FF4C0D">
          <w:rPr>
            <w:noProof/>
            <w:webHidden/>
          </w:rPr>
          <w:t>26</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06" w:history="1">
        <w:r w:rsidR="00DB79BE" w:rsidRPr="00FF4C0D">
          <w:rPr>
            <w:rStyle w:val="Hyperlink"/>
            <w:noProof/>
          </w:rPr>
          <w:t>7.5</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Proposed changes to the labelling of irradiated foods</w:t>
        </w:r>
        <w:r w:rsidR="00DB79BE" w:rsidRPr="00FF4C0D">
          <w:rPr>
            <w:noProof/>
            <w:webHidden/>
          </w:rPr>
          <w:tab/>
        </w:r>
        <w:r w:rsidRPr="00FF4C0D">
          <w:rPr>
            <w:noProof/>
            <w:webHidden/>
          </w:rPr>
          <w:fldChar w:fldCharType="begin"/>
        </w:r>
        <w:r w:rsidR="00DB79BE" w:rsidRPr="00FF4C0D">
          <w:rPr>
            <w:noProof/>
            <w:webHidden/>
          </w:rPr>
          <w:instrText xml:space="preserve"> PAGEREF _Toc297029106 \h </w:instrText>
        </w:r>
        <w:r w:rsidRPr="00FF4C0D">
          <w:rPr>
            <w:noProof/>
            <w:webHidden/>
          </w:rPr>
        </w:r>
        <w:r w:rsidRPr="00FF4C0D">
          <w:rPr>
            <w:noProof/>
            <w:webHidden/>
          </w:rPr>
          <w:fldChar w:fldCharType="separate"/>
        </w:r>
        <w:r w:rsidR="00E22C7C" w:rsidRPr="00FF4C0D">
          <w:rPr>
            <w:noProof/>
            <w:webHidden/>
          </w:rPr>
          <w:t>27</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07" w:history="1">
        <w:r w:rsidR="00DB79BE" w:rsidRPr="00FF4C0D">
          <w:rPr>
            <w:rStyle w:val="Hyperlink"/>
            <w:noProof/>
          </w:rPr>
          <w:t>7.6</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Other issues raised during public consultation</w:t>
        </w:r>
        <w:r w:rsidR="00DB79BE" w:rsidRPr="00FF4C0D">
          <w:rPr>
            <w:noProof/>
            <w:webHidden/>
          </w:rPr>
          <w:tab/>
        </w:r>
        <w:r w:rsidRPr="00FF4C0D">
          <w:rPr>
            <w:noProof/>
            <w:webHidden/>
          </w:rPr>
          <w:fldChar w:fldCharType="begin"/>
        </w:r>
        <w:r w:rsidR="00DB79BE" w:rsidRPr="00FF4C0D">
          <w:rPr>
            <w:noProof/>
            <w:webHidden/>
          </w:rPr>
          <w:instrText xml:space="preserve"> PAGEREF _Toc297029107 \h </w:instrText>
        </w:r>
        <w:r w:rsidRPr="00FF4C0D">
          <w:rPr>
            <w:noProof/>
            <w:webHidden/>
          </w:rPr>
        </w:r>
        <w:r w:rsidRPr="00FF4C0D">
          <w:rPr>
            <w:noProof/>
            <w:webHidden/>
          </w:rPr>
          <w:fldChar w:fldCharType="separate"/>
        </w:r>
        <w:r w:rsidR="00E22C7C" w:rsidRPr="00FF4C0D">
          <w:rPr>
            <w:noProof/>
            <w:webHidden/>
          </w:rPr>
          <w:t>29</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08" w:history="1">
        <w:r w:rsidR="00DB79BE" w:rsidRPr="00FF4C0D">
          <w:rPr>
            <w:rStyle w:val="Hyperlink"/>
            <w:noProof/>
          </w:rPr>
          <w:t>8.</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Options</w:t>
        </w:r>
        <w:r w:rsidR="00DB79BE" w:rsidRPr="00FF4C0D">
          <w:rPr>
            <w:noProof/>
            <w:webHidden/>
          </w:rPr>
          <w:tab/>
        </w:r>
        <w:r w:rsidRPr="00FF4C0D">
          <w:rPr>
            <w:noProof/>
            <w:webHidden/>
          </w:rPr>
          <w:fldChar w:fldCharType="begin"/>
        </w:r>
        <w:r w:rsidR="00DB79BE" w:rsidRPr="00FF4C0D">
          <w:rPr>
            <w:noProof/>
            <w:webHidden/>
          </w:rPr>
          <w:instrText xml:space="preserve"> PAGEREF _Toc297029108 \h </w:instrText>
        </w:r>
        <w:r w:rsidRPr="00FF4C0D">
          <w:rPr>
            <w:noProof/>
            <w:webHidden/>
          </w:rPr>
        </w:r>
        <w:r w:rsidRPr="00FF4C0D">
          <w:rPr>
            <w:noProof/>
            <w:webHidden/>
          </w:rPr>
          <w:fldChar w:fldCharType="separate"/>
        </w:r>
        <w:r w:rsidR="00E22C7C" w:rsidRPr="00FF4C0D">
          <w:rPr>
            <w:noProof/>
            <w:webHidden/>
          </w:rPr>
          <w:t>29</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09" w:history="1">
        <w:r w:rsidR="00DB79BE" w:rsidRPr="00FF4C0D">
          <w:rPr>
            <w:rStyle w:val="Hyperlink"/>
            <w:noProof/>
          </w:rPr>
          <w:t>9.</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Impact Analysis (RIS ID:  12010)</w:t>
        </w:r>
        <w:r w:rsidR="00DB79BE" w:rsidRPr="00FF4C0D">
          <w:rPr>
            <w:noProof/>
            <w:webHidden/>
          </w:rPr>
          <w:tab/>
        </w:r>
        <w:r w:rsidRPr="00FF4C0D">
          <w:rPr>
            <w:noProof/>
            <w:webHidden/>
          </w:rPr>
          <w:fldChar w:fldCharType="begin"/>
        </w:r>
        <w:r w:rsidR="00DB79BE" w:rsidRPr="00FF4C0D">
          <w:rPr>
            <w:noProof/>
            <w:webHidden/>
          </w:rPr>
          <w:instrText xml:space="preserve"> PAGEREF _Toc297029109 \h </w:instrText>
        </w:r>
        <w:r w:rsidRPr="00FF4C0D">
          <w:rPr>
            <w:noProof/>
            <w:webHidden/>
          </w:rPr>
        </w:r>
        <w:r w:rsidRPr="00FF4C0D">
          <w:rPr>
            <w:noProof/>
            <w:webHidden/>
          </w:rPr>
          <w:fldChar w:fldCharType="separate"/>
        </w:r>
        <w:r w:rsidR="00E22C7C" w:rsidRPr="00FF4C0D">
          <w:rPr>
            <w:noProof/>
            <w:webHidden/>
          </w:rPr>
          <w:t>30</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10" w:history="1">
        <w:r w:rsidR="00DB79BE" w:rsidRPr="00FF4C0D">
          <w:rPr>
            <w:rStyle w:val="Hyperlink"/>
            <w:noProof/>
          </w:rPr>
          <w:t>9.1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Affected Parties</w:t>
        </w:r>
        <w:r w:rsidR="00DB79BE" w:rsidRPr="00FF4C0D">
          <w:rPr>
            <w:noProof/>
            <w:webHidden/>
          </w:rPr>
          <w:tab/>
        </w:r>
        <w:r w:rsidRPr="00FF4C0D">
          <w:rPr>
            <w:noProof/>
            <w:webHidden/>
          </w:rPr>
          <w:fldChar w:fldCharType="begin"/>
        </w:r>
        <w:r w:rsidR="00DB79BE" w:rsidRPr="00FF4C0D">
          <w:rPr>
            <w:noProof/>
            <w:webHidden/>
          </w:rPr>
          <w:instrText xml:space="preserve"> PAGEREF _Toc297029110 \h </w:instrText>
        </w:r>
        <w:r w:rsidRPr="00FF4C0D">
          <w:rPr>
            <w:noProof/>
            <w:webHidden/>
          </w:rPr>
        </w:r>
        <w:r w:rsidRPr="00FF4C0D">
          <w:rPr>
            <w:noProof/>
            <w:webHidden/>
          </w:rPr>
          <w:fldChar w:fldCharType="separate"/>
        </w:r>
        <w:r w:rsidR="00E22C7C" w:rsidRPr="00FF4C0D">
          <w:rPr>
            <w:noProof/>
            <w:webHidden/>
          </w:rPr>
          <w:t>30</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11" w:history="1">
        <w:r w:rsidR="00DB79BE" w:rsidRPr="00FF4C0D">
          <w:rPr>
            <w:rStyle w:val="Hyperlink"/>
            <w:noProof/>
          </w:rPr>
          <w:t>9.2</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Benefit Cost Analysis</w:t>
        </w:r>
        <w:r w:rsidR="00DB79BE" w:rsidRPr="00FF4C0D">
          <w:rPr>
            <w:noProof/>
            <w:webHidden/>
          </w:rPr>
          <w:tab/>
        </w:r>
        <w:r w:rsidRPr="00FF4C0D">
          <w:rPr>
            <w:noProof/>
            <w:webHidden/>
          </w:rPr>
          <w:fldChar w:fldCharType="begin"/>
        </w:r>
        <w:r w:rsidR="00DB79BE" w:rsidRPr="00FF4C0D">
          <w:rPr>
            <w:noProof/>
            <w:webHidden/>
          </w:rPr>
          <w:instrText xml:space="preserve"> PAGEREF _Toc297029111 \h </w:instrText>
        </w:r>
        <w:r w:rsidRPr="00FF4C0D">
          <w:rPr>
            <w:noProof/>
            <w:webHidden/>
          </w:rPr>
        </w:r>
        <w:r w:rsidRPr="00FF4C0D">
          <w:rPr>
            <w:noProof/>
            <w:webHidden/>
          </w:rPr>
          <w:fldChar w:fldCharType="separate"/>
        </w:r>
        <w:r w:rsidR="00E22C7C" w:rsidRPr="00FF4C0D">
          <w:rPr>
            <w:noProof/>
            <w:webHidden/>
          </w:rPr>
          <w:t>30</w:t>
        </w:r>
        <w:r w:rsidRPr="00FF4C0D">
          <w:rPr>
            <w:noProof/>
            <w:webHidden/>
          </w:rPr>
          <w:fldChar w:fldCharType="end"/>
        </w:r>
      </w:hyperlink>
    </w:p>
    <w:p w:rsidR="00DB79BE" w:rsidRPr="00FF4C0D" w:rsidRDefault="001D1B96">
      <w:pPr>
        <w:pStyle w:val="TOC3"/>
        <w:tabs>
          <w:tab w:val="left" w:pos="1049"/>
          <w:tab w:val="right" w:leader="dot" w:pos="9016"/>
        </w:tabs>
        <w:rPr>
          <w:rFonts w:asciiTheme="minorHAnsi" w:eastAsiaTheme="minorEastAsia" w:hAnsiTheme="minorHAnsi" w:cstheme="minorBidi"/>
          <w:i w:val="0"/>
          <w:iCs w:val="0"/>
          <w:noProof/>
          <w:szCs w:val="22"/>
          <w:lang w:val="en-AU" w:eastAsia="en-AU" w:bidi="ar-SA"/>
        </w:rPr>
      </w:pPr>
      <w:hyperlink w:anchor="_Toc297029112" w:history="1">
        <w:r w:rsidR="00DB79BE" w:rsidRPr="00FF4C0D">
          <w:rPr>
            <w:rStyle w:val="Hyperlink"/>
            <w:noProof/>
          </w:rPr>
          <w:t>9.3</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Comparison of Options</w:t>
        </w:r>
        <w:r w:rsidR="00DB79BE" w:rsidRPr="00FF4C0D">
          <w:rPr>
            <w:noProof/>
            <w:webHidden/>
          </w:rPr>
          <w:tab/>
        </w:r>
        <w:r w:rsidRPr="00FF4C0D">
          <w:rPr>
            <w:noProof/>
            <w:webHidden/>
          </w:rPr>
          <w:fldChar w:fldCharType="begin"/>
        </w:r>
        <w:r w:rsidR="00DB79BE" w:rsidRPr="00FF4C0D">
          <w:rPr>
            <w:noProof/>
            <w:webHidden/>
          </w:rPr>
          <w:instrText xml:space="preserve"> PAGEREF _Toc297029112 \h </w:instrText>
        </w:r>
        <w:r w:rsidRPr="00FF4C0D">
          <w:rPr>
            <w:noProof/>
            <w:webHidden/>
          </w:rPr>
        </w:r>
        <w:r w:rsidRPr="00FF4C0D">
          <w:rPr>
            <w:noProof/>
            <w:webHidden/>
          </w:rPr>
          <w:fldChar w:fldCharType="separate"/>
        </w:r>
        <w:r w:rsidR="00E22C7C" w:rsidRPr="00FF4C0D">
          <w:rPr>
            <w:noProof/>
            <w:webHidden/>
          </w:rPr>
          <w:t>33</w:t>
        </w:r>
        <w:r w:rsidRPr="00FF4C0D">
          <w:rPr>
            <w:noProof/>
            <w:webHidden/>
          </w:rPr>
          <w:fldChar w:fldCharType="end"/>
        </w:r>
      </w:hyperlink>
    </w:p>
    <w:p w:rsidR="00DB79BE" w:rsidRPr="00FF4C0D" w:rsidRDefault="001D1B96">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7029113" w:history="1">
        <w:r w:rsidR="00DB79BE" w:rsidRPr="00FF4C0D">
          <w:rPr>
            <w:rStyle w:val="Hyperlink"/>
            <w:noProof/>
          </w:rPr>
          <w:t>Risk Communication</w:t>
        </w:r>
        <w:r w:rsidR="00DB79BE" w:rsidRPr="00FF4C0D">
          <w:rPr>
            <w:noProof/>
            <w:webHidden/>
          </w:rPr>
          <w:tab/>
        </w:r>
        <w:r w:rsidRPr="00FF4C0D">
          <w:rPr>
            <w:noProof/>
            <w:webHidden/>
          </w:rPr>
          <w:fldChar w:fldCharType="begin"/>
        </w:r>
        <w:r w:rsidR="00DB79BE" w:rsidRPr="00FF4C0D">
          <w:rPr>
            <w:noProof/>
            <w:webHidden/>
          </w:rPr>
          <w:instrText xml:space="preserve"> PAGEREF _Toc297029113 \h </w:instrText>
        </w:r>
        <w:r w:rsidRPr="00FF4C0D">
          <w:rPr>
            <w:noProof/>
            <w:webHidden/>
          </w:rPr>
        </w:r>
        <w:r w:rsidRPr="00FF4C0D">
          <w:rPr>
            <w:noProof/>
            <w:webHidden/>
          </w:rPr>
          <w:fldChar w:fldCharType="separate"/>
        </w:r>
        <w:r w:rsidR="00E22C7C" w:rsidRPr="00FF4C0D">
          <w:rPr>
            <w:noProof/>
            <w:webHidden/>
          </w:rPr>
          <w:t>33</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14" w:history="1">
        <w:r w:rsidR="00DB79BE" w:rsidRPr="00FF4C0D">
          <w:rPr>
            <w:rStyle w:val="Hyperlink"/>
            <w:noProof/>
          </w:rPr>
          <w:t>10.</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Consultation</w:t>
        </w:r>
        <w:r w:rsidR="00DB79BE" w:rsidRPr="00FF4C0D">
          <w:rPr>
            <w:noProof/>
            <w:webHidden/>
          </w:rPr>
          <w:tab/>
        </w:r>
        <w:r w:rsidRPr="00FF4C0D">
          <w:rPr>
            <w:noProof/>
            <w:webHidden/>
          </w:rPr>
          <w:fldChar w:fldCharType="begin"/>
        </w:r>
        <w:r w:rsidR="00DB79BE" w:rsidRPr="00FF4C0D">
          <w:rPr>
            <w:noProof/>
            <w:webHidden/>
          </w:rPr>
          <w:instrText xml:space="preserve"> PAGEREF _Toc297029114 \h </w:instrText>
        </w:r>
        <w:r w:rsidRPr="00FF4C0D">
          <w:rPr>
            <w:noProof/>
            <w:webHidden/>
          </w:rPr>
        </w:r>
        <w:r w:rsidRPr="00FF4C0D">
          <w:rPr>
            <w:noProof/>
            <w:webHidden/>
          </w:rPr>
          <w:fldChar w:fldCharType="separate"/>
        </w:r>
        <w:r w:rsidR="00E22C7C" w:rsidRPr="00FF4C0D">
          <w:rPr>
            <w:noProof/>
            <w:webHidden/>
          </w:rPr>
          <w:t>34</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15" w:history="1">
        <w:r w:rsidR="00DB79BE" w:rsidRPr="00FF4C0D">
          <w:rPr>
            <w:rStyle w:val="Hyperlink"/>
            <w:noProof/>
          </w:rPr>
          <w:t>10.1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World Trade Organization (WTO)</w:t>
        </w:r>
        <w:r w:rsidR="00DB79BE" w:rsidRPr="00FF4C0D">
          <w:rPr>
            <w:noProof/>
            <w:webHidden/>
          </w:rPr>
          <w:tab/>
        </w:r>
        <w:r w:rsidRPr="00FF4C0D">
          <w:rPr>
            <w:noProof/>
            <w:webHidden/>
          </w:rPr>
          <w:fldChar w:fldCharType="begin"/>
        </w:r>
        <w:r w:rsidR="00DB79BE" w:rsidRPr="00FF4C0D">
          <w:rPr>
            <w:noProof/>
            <w:webHidden/>
          </w:rPr>
          <w:instrText xml:space="preserve"> PAGEREF _Toc297029115 \h </w:instrText>
        </w:r>
        <w:r w:rsidRPr="00FF4C0D">
          <w:rPr>
            <w:noProof/>
            <w:webHidden/>
          </w:rPr>
        </w:r>
        <w:r w:rsidRPr="00FF4C0D">
          <w:rPr>
            <w:noProof/>
            <w:webHidden/>
          </w:rPr>
          <w:fldChar w:fldCharType="separate"/>
        </w:r>
        <w:r w:rsidR="00E22C7C" w:rsidRPr="00FF4C0D">
          <w:rPr>
            <w:noProof/>
            <w:webHidden/>
          </w:rPr>
          <w:t>34</w:t>
        </w:r>
        <w:r w:rsidRPr="00FF4C0D">
          <w:rPr>
            <w:noProof/>
            <w:webHidden/>
          </w:rPr>
          <w:fldChar w:fldCharType="end"/>
        </w:r>
      </w:hyperlink>
    </w:p>
    <w:p w:rsidR="00DB79BE" w:rsidRPr="00FF4C0D" w:rsidRDefault="001D1B96">
      <w:pPr>
        <w:pStyle w:val="TOC1"/>
        <w:tabs>
          <w:tab w:val="right" w:leader="dot" w:pos="9016"/>
        </w:tabs>
        <w:rPr>
          <w:rFonts w:asciiTheme="minorHAnsi" w:eastAsiaTheme="minorEastAsia" w:hAnsiTheme="minorHAnsi" w:cstheme="minorBidi"/>
          <w:b w:val="0"/>
          <w:bCs w:val="0"/>
          <w:caps w:val="0"/>
          <w:noProof/>
          <w:szCs w:val="22"/>
          <w:lang w:val="en-AU" w:eastAsia="en-AU" w:bidi="ar-SA"/>
        </w:rPr>
      </w:pPr>
      <w:hyperlink w:anchor="_Toc297029116" w:history="1">
        <w:r w:rsidR="00DB79BE" w:rsidRPr="00FF4C0D">
          <w:rPr>
            <w:rStyle w:val="Hyperlink"/>
            <w:noProof/>
          </w:rPr>
          <w:t>Addressing FSANZ’s objectives</w:t>
        </w:r>
        <w:r w:rsidR="00DB79BE" w:rsidRPr="00FF4C0D">
          <w:rPr>
            <w:noProof/>
            <w:webHidden/>
          </w:rPr>
          <w:tab/>
        </w:r>
        <w:r w:rsidRPr="00FF4C0D">
          <w:rPr>
            <w:noProof/>
            <w:webHidden/>
          </w:rPr>
          <w:fldChar w:fldCharType="begin"/>
        </w:r>
        <w:r w:rsidR="00DB79BE" w:rsidRPr="00FF4C0D">
          <w:rPr>
            <w:noProof/>
            <w:webHidden/>
          </w:rPr>
          <w:instrText xml:space="preserve"> PAGEREF _Toc297029116 \h </w:instrText>
        </w:r>
        <w:r w:rsidRPr="00FF4C0D">
          <w:rPr>
            <w:noProof/>
            <w:webHidden/>
          </w:rPr>
        </w:r>
        <w:r w:rsidRPr="00FF4C0D">
          <w:rPr>
            <w:noProof/>
            <w:webHidden/>
          </w:rPr>
          <w:fldChar w:fldCharType="separate"/>
        </w:r>
        <w:r w:rsidR="00E22C7C" w:rsidRPr="00FF4C0D">
          <w:rPr>
            <w:noProof/>
            <w:webHidden/>
          </w:rPr>
          <w:t>34</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17" w:history="1">
        <w:r w:rsidR="00DB79BE" w:rsidRPr="00FF4C0D">
          <w:rPr>
            <w:rStyle w:val="Hyperlink"/>
            <w:noProof/>
          </w:rPr>
          <w:t>11.1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Protection of public health and safety</w:t>
        </w:r>
        <w:r w:rsidR="00DB79BE" w:rsidRPr="00FF4C0D">
          <w:rPr>
            <w:noProof/>
            <w:webHidden/>
          </w:rPr>
          <w:tab/>
        </w:r>
        <w:r w:rsidRPr="00FF4C0D">
          <w:rPr>
            <w:noProof/>
            <w:webHidden/>
          </w:rPr>
          <w:fldChar w:fldCharType="begin"/>
        </w:r>
        <w:r w:rsidR="00DB79BE" w:rsidRPr="00FF4C0D">
          <w:rPr>
            <w:noProof/>
            <w:webHidden/>
          </w:rPr>
          <w:instrText xml:space="preserve"> PAGEREF _Toc297029117 \h </w:instrText>
        </w:r>
        <w:r w:rsidRPr="00FF4C0D">
          <w:rPr>
            <w:noProof/>
            <w:webHidden/>
          </w:rPr>
        </w:r>
        <w:r w:rsidRPr="00FF4C0D">
          <w:rPr>
            <w:noProof/>
            <w:webHidden/>
          </w:rPr>
          <w:fldChar w:fldCharType="separate"/>
        </w:r>
        <w:r w:rsidR="00E22C7C" w:rsidRPr="00FF4C0D">
          <w:rPr>
            <w:noProof/>
            <w:webHidden/>
          </w:rPr>
          <w:t>34</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18" w:history="1">
        <w:r w:rsidR="00DB79BE" w:rsidRPr="00FF4C0D">
          <w:rPr>
            <w:rStyle w:val="Hyperlink"/>
            <w:noProof/>
          </w:rPr>
          <w:t>11.2</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 xml:space="preserve">Provision of adequate information relating to food to enable consumers to make informed choices </w:t>
        </w:r>
        <w:r w:rsidR="00DB79BE" w:rsidRPr="00FF4C0D">
          <w:rPr>
            <w:rStyle w:val="Hyperlink"/>
            <w:rFonts w:cs="Arial"/>
            <w:noProof/>
          </w:rPr>
          <w:t>(labelling)</w:t>
        </w:r>
        <w:r w:rsidR="00DB79BE" w:rsidRPr="00FF4C0D">
          <w:rPr>
            <w:noProof/>
            <w:webHidden/>
          </w:rPr>
          <w:tab/>
        </w:r>
        <w:r w:rsidRPr="00FF4C0D">
          <w:rPr>
            <w:noProof/>
            <w:webHidden/>
          </w:rPr>
          <w:fldChar w:fldCharType="begin"/>
        </w:r>
        <w:r w:rsidR="00DB79BE" w:rsidRPr="00FF4C0D">
          <w:rPr>
            <w:noProof/>
            <w:webHidden/>
          </w:rPr>
          <w:instrText xml:space="preserve"> PAGEREF _Toc297029118 \h </w:instrText>
        </w:r>
        <w:r w:rsidRPr="00FF4C0D">
          <w:rPr>
            <w:noProof/>
            <w:webHidden/>
          </w:rPr>
        </w:r>
        <w:r w:rsidRPr="00FF4C0D">
          <w:rPr>
            <w:noProof/>
            <w:webHidden/>
          </w:rPr>
          <w:fldChar w:fldCharType="separate"/>
        </w:r>
        <w:r w:rsidR="00E22C7C" w:rsidRPr="00FF4C0D">
          <w:rPr>
            <w:noProof/>
            <w:webHidden/>
          </w:rPr>
          <w:t>35</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19" w:history="1">
        <w:r w:rsidR="00DB79BE" w:rsidRPr="00FF4C0D">
          <w:rPr>
            <w:rStyle w:val="Hyperlink"/>
            <w:noProof/>
          </w:rPr>
          <w:t>11.3</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Prevention of misleading or deceptive conduct</w:t>
        </w:r>
        <w:r w:rsidR="00DB79BE" w:rsidRPr="00FF4C0D">
          <w:rPr>
            <w:noProof/>
            <w:webHidden/>
          </w:rPr>
          <w:tab/>
        </w:r>
        <w:r w:rsidRPr="00FF4C0D">
          <w:rPr>
            <w:noProof/>
            <w:webHidden/>
          </w:rPr>
          <w:fldChar w:fldCharType="begin"/>
        </w:r>
        <w:r w:rsidR="00DB79BE" w:rsidRPr="00FF4C0D">
          <w:rPr>
            <w:noProof/>
            <w:webHidden/>
          </w:rPr>
          <w:instrText xml:space="preserve"> PAGEREF _Toc297029119 \h </w:instrText>
        </w:r>
        <w:r w:rsidRPr="00FF4C0D">
          <w:rPr>
            <w:noProof/>
            <w:webHidden/>
          </w:rPr>
        </w:r>
        <w:r w:rsidRPr="00FF4C0D">
          <w:rPr>
            <w:noProof/>
            <w:webHidden/>
          </w:rPr>
          <w:fldChar w:fldCharType="separate"/>
        </w:r>
        <w:r w:rsidR="00E22C7C" w:rsidRPr="00FF4C0D">
          <w:rPr>
            <w:noProof/>
            <w:webHidden/>
          </w:rPr>
          <w:t>35</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20" w:history="1">
        <w:r w:rsidR="00DB79BE" w:rsidRPr="00FF4C0D">
          <w:rPr>
            <w:rStyle w:val="Hyperlink"/>
            <w:noProof/>
          </w:rPr>
          <w:t>12.</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Conclusion and Decision</w:t>
        </w:r>
        <w:r w:rsidR="00DB79BE" w:rsidRPr="00FF4C0D">
          <w:rPr>
            <w:noProof/>
            <w:webHidden/>
          </w:rPr>
          <w:tab/>
        </w:r>
        <w:r w:rsidRPr="00FF4C0D">
          <w:rPr>
            <w:noProof/>
            <w:webHidden/>
          </w:rPr>
          <w:fldChar w:fldCharType="begin"/>
        </w:r>
        <w:r w:rsidR="00DB79BE" w:rsidRPr="00FF4C0D">
          <w:rPr>
            <w:noProof/>
            <w:webHidden/>
          </w:rPr>
          <w:instrText xml:space="preserve"> PAGEREF _Toc297029120 \h </w:instrText>
        </w:r>
        <w:r w:rsidRPr="00FF4C0D">
          <w:rPr>
            <w:noProof/>
            <w:webHidden/>
          </w:rPr>
        </w:r>
        <w:r w:rsidRPr="00FF4C0D">
          <w:rPr>
            <w:noProof/>
            <w:webHidden/>
          </w:rPr>
          <w:fldChar w:fldCharType="separate"/>
        </w:r>
        <w:r w:rsidR="00E22C7C" w:rsidRPr="00FF4C0D">
          <w:rPr>
            <w:noProof/>
            <w:webHidden/>
          </w:rPr>
          <w:t>35</w:t>
        </w:r>
        <w:r w:rsidRPr="00FF4C0D">
          <w:rPr>
            <w:noProof/>
            <w:webHidden/>
          </w:rPr>
          <w:fldChar w:fldCharType="end"/>
        </w:r>
      </w:hyperlink>
    </w:p>
    <w:p w:rsidR="00DB79BE" w:rsidRPr="00FF4C0D" w:rsidRDefault="001D1B96">
      <w:pPr>
        <w:pStyle w:val="TOC3"/>
        <w:tabs>
          <w:tab w:val="left" w:pos="1200"/>
          <w:tab w:val="right" w:leader="dot" w:pos="9016"/>
        </w:tabs>
        <w:rPr>
          <w:rFonts w:asciiTheme="minorHAnsi" w:eastAsiaTheme="minorEastAsia" w:hAnsiTheme="minorHAnsi" w:cstheme="minorBidi"/>
          <w:i w:val="0"/>
          <w:iCs w:val="0"/>
          <w:noProof/>
          <w:szCs w:val="22"/>
          <w:lang w:val="en-AU" w:eastAsia="en-AU" w:bidi="ar-SA"/>
        </w:rPr>
      </w:pPr>
      <w:hyperlink w:anchor="_Toc297029121" w:history="1">
        <w:r w:rsidR="00DB79BE" w:rsidRPr="00FF4C0D">
          <w:rPr>
            <w:rStyle w:val="Hyperlink"/>
            <w:noProof/>
          </w:rPr>
          <w:t>12.1</w:t>
        </w:r>
        <w:r w:rsidR="00DB79BE" w:rsidRPr="00FF4C0D">
          <w:rPr>
            <w:rFonts w:asciiTheme="minorHAnsi" w:eastAsiaTheme="minorEastAsia" w:hAnsiTheme="minorHAnsi" w:cstheme="minorBidi"/>
            <w:i w:val="0"/>
            <w:iCs w:val="0"/>
            <w:noProof/>
            <w:szCs w:val="22"/>
            <w:lang w:val="en-AU" w:eastAsia="en-AU" w:bidi="ar-SA"/>
          </w:rPr>
          <w:tab/>
        </w:r>
        <w:r w:rsidR="00DB79BE" w:rsidRPr="00FF4C0D">
          <w:rPr>
            <w:rStyle w:val="Hyperlink"/>
            <w:noProof/>
          </w:rPr>
          <w:t>Reasons for Decision</w:t>
        </w:r>
        <w:r w:rsidR="00DB79BE" w:rsidRPr="00FF4C0D">
          <w:rPr>
            <w:noProof/>
            <w:webHidden/>
          </w:rPr>
          <w:tab/>
        </w:r>
        <w:r w:rsidRPr="00FF4C0D">
          <w:rPr>
            <w:noProof/>
            <w:webHidden/>
          </w:rPr>
          <w:fldChar w:fldCharType="begin"/>
        </w:r>
        <w:r w:rsidR="00DB79BE" w:rsidRPr="00FF4C0D">
          <w:rPr>
            <w:noProof/>
            <w:webHidden/>
          </w:rPr>
          <w:instrText xml:space="preserve"> PAGEREF _Toc297029121 \h </w:instrText>
        </w:r>
        <w:r w:rsidRPr="00FF4C0D">
          <w:rPr>
            <w:noProof/>
            <w:webHidden/>
          </w:rPr>
        </w:r>
        <w:r w:rsidRPr="00FF4C0D">
          <w:rPr>
            <w:noProof/>
            <w:webHidden/>
          </w:rPr>
          <w:fldChar w:fldCharType="separate"/>
        </w:r>
        <w:r w:rsidR="00E22C7C" w:rsidRPr="00FF4C0D">
          <w:rPr>
            <w:noProof/>
            <w:webHidden/>
          </w:rPr>
          <w:t>35</w:t>
        </w:r>
        <w:r w:rsidRPr="00FF4C0D">
          <w:rPr>
            <w:noProof/>
            <w:webHidden/>
          </w:rPr>
          <w:fldChar w:fldCharType="end"/>
        </w:r>
      </w:hyperlink>
    </w:p>
    <w:p w:rsidR="00DB79BE" w:rsidRPr="00FF4C0D" w:rsidRDefault="001D1B96">
      <w:pPr>
        <w:pStyle w:val="TOC2"/>
        <w:tabs>
          <w:tab w:val="left" w:pos="1049"/>
          <w:tab w:val="right" w:leader="dot" w:pos="9016"/>
        </w:tabs>
        <w:rPr>
          <w:rFonts w:asciiTheme="minorHAnsi" w:eastAsiaTheme="minorEastAsia" w:hAnsiTheme="minorHAnsi" w:cstheme="minorBidi"/>
          <w:smallCaps w:val="0"/>
          <w:noProof/>
          <w:szCs w:val="22"/>
          <w:lang w:val="en-AU" w:eastAsia="en-AU" w:bidi="ar-SA"/>
        </w:rPr>
      </w:pPr>
      <w:hyperlink w:anchor="_Toc297029122" w:history="1">
        <w:r w:rsidR="00DB79BE" w:rsidRPr="00FF4C0D">
          <w:rPr>
            <w:rStyle w:val="Hyperlink"/>
            <w:noProof/>
          </w:rPr>
          <w:t>13.</w:t>
        </w:r>
        <w:r w:rsidR="00DB79BE" w:rsidRPr="00FF4C0D">
          <w:rPr>
            <w:rFonts w:asciiTheme="minorHAnsi" w:eastAsiaTheme="minorEastAsia" w:hAnsiTheme="minorHAnsi" w:cstheme="minorBidi"/>
            <w:smallCaps w:val="0"/>
            <w:noProof/>
            <w:szCs w:val="22"/>
            <w:lang w:val="en-AU" w:eastAsia="en-AU" w:bidi="ar-SA"/>
          </w:rPr>
          <w:tab/>
        </w:r>
        <w:r w:rsidR="00DB79BE" w:rsidRPr="00FF4C0D">
          <w:rPr>
            <w:rStyle w:val="Hyperlink"/>
            <w:noProof/>
          </w:rPr>
          <w:t>Implementation and Review</w:t>
        </w:r>
        <w:r w:rsidR="00DB79BE" w:rsidRPr="00FF4C0D">
          <w:rPr>
            <w:noProof/>
            <w:webHidden/>
          </w:rPr>
          <w:tab/>
        </w:r>
        <w:r w:rsidRPr="00FF4C0D">
          <w:rPr>
            <w:noProof/>
            <w:webHidden/>
          </w:rPr>
          <w:fldChar w:fldCharType="begin"/>
        </w:r>
        <w:r w:rsidR="00DB79BE" w:rsidRPr="00FF4C0D">
          <w:rPr>
            <w:noProof/>
            <w:webHidden/>
          </w:rPr>
          <w:instrText xml:space="preserve"> PAGEREF _Toc297029122 \h </w:instrText>
        </w:r>
        <w:r w:rsidRPr="00FF4C0D">
          <w:rPr>
            <w:noProof/>
            <w:webHidden/>
          </w:rPr>
        </w:r>
        <w:r w:rsidRPr="00FF4C0D">
          <w:rPr>
            <w:noProof/>
            <w:webHidden/>
          </w:rPr>
          <w:fldChar w:fldCharType="separate"/>
        </w:r>
        <w:r w:rsidR="00E22C7C" w:rsidRPr="00FF4C0D">
          <w:rPr>
            <w:noProof/>
            <w:webHidden/>
          </w:rPr>
          <w:t>36</w:t>
        </w:r>
        <w:r w:rsidRPr="00FF4C0D">
          <w:rPr>
            <w:noProof/>
            <w:webHidden/>
          </w:rPr>
          <w:fldChar w:fldCharType="end"/>
        </w:r>
      </w:hyperlink>
    </w:p>
    <w:p w:rsidR="00DB79BE" w:rsidRPr="00FF4C0D" w:rsidRDefault="001D1B9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7029123" w:history="1">
        <w:r w:rsidR="00DB79BE" w:rsidRPr="00FF4C0D">
          <w:rPr>
            <w:rStyle w:val="Hyperlink"/>
            <w:noProof/>
          </w:rPr>
          <w:t xml:space="preserve">Attachment 1A - </w:t>
        </w:r>
      </w:hyperlink>
      <w:hyperlink w:anchor="_Toc297029124" w:history="1">
        <w:r w:rsidR="00DB79BE" w:rsidRPr="00FF4C0D">
          <w:rPr>
            <w:rStyle w:val="Hyperlink"/>
            <w:noProof/>
          </w:rPr>
          <w:t xml:space="preserve">Draft variations to the </w:t>
        </w:r>
        <w:r w:rsidR="00DB79BE" w:rsidRPr="00FF4C0D">
          <w:rPr>
            <w:rStyle w:val="Hyperlink"/>
            <w:i/>
            <w:noProof/>
          </w:rPr>
          <w:t>Australia New Zealand Food Standards Code</w:t>
        </w:r>
        <w:r w:rsidR="00DB79BE" w:rsidRPr="00FF4C0D">
          <w:rPr>
            <w:rStyle w:val="Hyperlink"/>
            <w:noProof/>
          </w:rPr>
          <w:t xml:space="preserve"> (Approval)</w:t>
        </w:r>
        <w:r w:rsidR="00DB79BE" w:rsidRPr="00FF4C0D">
          <w:rPr>
            <w:noProof/>
            <w:webHidden/>
          </w:rPr>
          <w:tab/>
        </w:r>
        <w:r w:rsidRPr="00FF4C0D">
          <w:rPr>
            <w:noProof/>
            <w:webHidden/>
          </w:rPr>
          <w:fldChar w:fldCharType="begin"/>
        </w:r>
        <w:r w:rsidR="00DB79BE" w:rsidRPr="00FF4C0D">
          <w:rPr>
            <w:noProof/>
            <w:webHidden/>
          </w:rPr>
          <w:instrText xml:space="preserve"> PAGEREF _Toc297029124 \h </w:instrText>
        </w:r>
        <w:r w:rsidRPr="00FF4C0D">
          <w:rPr>
            <w:noProof/>
            <w:webHidden/>
          </w:rPr>
        </w:r>
        <w:r w:rsidRPr="00FF4C0D">
          <w:rPr>
            <w:noProof/>
            <w:webHidden/>
          </w:rPr>
          <w:fldChar w:fldCharType="separate"/>
        </w:r>
        <w:r w:rsidR="00E22C7C" w:rsidRPr="00FF4C0D">
          <w:rPr>
            <w:noProof/>
            <w:webHidden/>
          </w:rPr>
          <w:t>38</w:t>
        </w:r>
        <w:r w:rsidRPr="00FF4C0D">
          <w:rPr>
            <w:noProof/>
            <w:webHidden/>
          </w:rPr>
          <w:fldChar w:fldCharType="end"/>
        </w:r>
      </w:hyperlink>
    </w:p>
    <w:p w:rsidR="00DB79BE" w:rsidRPr="00FF4C0D" w:rsidRDefault="001D1B9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7029125" w:history="1">
        <w:r w:rsidR="00DB79BE" w:rsidRPr="00FF4C0D">
          <w:rPr>
            <w:rStyle w:val="Hyperlink"/>
            <w:noProof/>
          </w:rPr>
          <w:t xml:space="preserve">Attachment 1B - </w:t>
        </w:r>
      </w:hyperlink>
      <w:hyperlink w:anchor="_Toc297029126" w:history="1">
        <w:r w:rsidR="00DB79BE" w:rsidRPr="00FF4C0D">
          <w:rPr>
            <w:rStyle w:val="Hyperlink"/>
            <w:noProof/>
          </w:rPr>
          <w:t>Draft variations to the</w:t>
        </w:r>
        <w:r w:rsidR="00DB79BE" w:rsidRPr="00FF4C0D">
          <w:rPr>
            <w:rStyle w:val="Hyperlink"/>
            <w:i/>
            <w:noProof/>
          </w:rPr>
          <w:t xml:space="preserve"> Australia New Zealand Food Standards Code</w:t>
        </w:r>
        <w:r w:rsidR="00DB79BE" w:rsidRPr="00FF4C0D">
          <w:rPr>
            <w:rStyle w:val="Hyperlink"/>
            <w:noProof/>
          </w:rPr>
          <w:t xml:space="preserve"> (Assessment)</w:t>
        </w:r>
        <w:r w:rsidR="00DB79BE" w:rsidRPr="00FF4C0D">
          <w:rPr>
            <w:noProof/>
            <w:webHidden/>
          </w:rPr>
          <w:tab/>
        </w:r>
        <w:r w:rsidRPr="00FF4C0D">
          <w:rPr>
            <w:noProof/>
            <w:webHidden/>
          </w:rPr>
          <w:fldChar w:fldCharType="begin"/>
        </w:r>
        <w:r w:rsidR="00DB79BE" w:rsidRPr="00FF4C0D">
          <w:rPr>
            <w:noProof/>
            <w:webHidden/>
          </w:rPr>
          <w:instrText xml:space="preserve"> PAGEREF _Toc297029126 \h </w:instrText>
        </w:r>
        <w:r w:rsidRPr="00FF4C0D">
          <w:rPr>
            <w:noProof/>
            <w:webHidden/>
          </w:rPr>
        </w:r>
        <w:r w:rsidRPr="00FF4C0D">
          <w:rPr>
            <w:noProof/>
            <w:webHidden/>
          </w:rPr>
          <w:fldChar w:fldCharType="separate"/>
        </w:r>
        <w:r w:rsidR="00E22C7C" w:rsidRPr="00FF4C0D">
          <w:rPr>
            <w:noProof/>
            <w:webHidden/>
          </w:rPr>
          <w:t>42</w:t>
        </w:r>
        <w:r w:rsidRPr="00FF4C0D">
          <w:rPr>
            <w:noProof/>
            <w:webHidden/>
          </w:rPr>
          <w:fldChar w:fldCharType="end"/>
        </w:r>
      </w:hyperlink>
    </w:p>
    <w:p w:rsidR="00DB79BE" w:rsidRPr="00FF4C0D" w:rsidRDefault="001D1B9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297029127" w:history="1">
        <w:r w:rsidR="00DB79BE" w:rsidRPr="00FF4C0D">
          <w:rPr>
            <w:rStyle w:val="Hyperlink"/>
            <w:noProof/>
          </w:rPr>
          <w:t xml:space="preserve">Attachment 2 - </w:t>
        </w:r>
      </w:hyperlink>
      <w:hyperlink w:anchor="_Toc297029128" w:history="1">
        <w:r w:rsidR="00DB79BE" w:rsidRPr="00FF4C0D">
          <w:rPr>
            <w:rStyle w:val="Hyperlink"/>
            <w:noProof/>
          </w:rPr>
          <w:t>Explanatory Statement</w:t>
        </w:r>
        <w:r w:rsidR="00DB79BE" w:rsidRPr="00FF4C0D">
          <w:rPr>
            <w:noProof/>
            <w:webHidden/>
          </w:rPr>
          <w:tab/>
        </w:r>
        <w:r w:rsidRPr="00FF4C0D">
          <w:rPr>
            <w:noProof/>
            <w:webHidden/>
          </w:rPr>
          <w:fldChar w:fldCharType="begin"/>
        </w:r>
        <w:r w:rsidR="00DB79BE" w:rsidRPr="00FF4C0D">
          <w:rPr>
            <w:noProof/>
            <w:webHidden/>
          </w:rPr>
          <w:instrText xml:space="preserve"> PAGEREF _Toc297029128 \h </w:instrText>
        </w:r>
        <w:r w:rsidRPr="00FF4C0D">
          <w:rPr>
            <w:noProof/>
            <w:webHidden/>
          </w:rPr>
        </w:r>
        <w:r w:rsidRPr="00FF4C0D">
          <w:rPr>
            <w:noProof/>
            <w:webHidden/>
          </w:rPr>
          <w:fldChar w:fldCharType="separate"/>
        </w:r>
        <w:r w:rsidR="00E22C7C" w:rsidRPr="00FF4C0D">
          <w:rPr>
            <w:noProof/>
            <w:webHidden/>
          </w:rPr>
          <w:t>44</w:t>
        </w:r>
        <w:r w:rsidRPr="00FF4C0D">
          <w:rPr>
            <w:noProof/>
            <w:webHidden/>
          </w:rPr>
          <w:fldChar w:fldCharType="end"/>
        </w:r>
      </w:hyperlink>
    </w:p>
    <w:p w:rsidR="00266FAA" w:rsidRPr="00FF4C0D" w:rsidRDefault="001D1B96" w:rsidP="00DB79BE">
      <w:pPr>
        <w:pStyle w:val="TOC2"/>
        <w:tabs>
          <w:tab w:val="right" w:leader="dot" w:pos="9016"/>
        </w:tabs>
        <w:rPr>
          <w:rFonts w:cs="Arial"/>
        </w:rPr>
      </w:pPr>
      <w:hyperlink w:anchor="_Toc297029129" w:history="1">
        <w:r w:rsidR="00DB79BE" w:rsidRPr="00FF4C0D">
          <w:rPr>
            <w:rStyle w:val="Hyperlink"/>
            <w:noProof/>
          </w:rPr>
          <w:t xml:space="preserve">Attachment 3 - </w:t>
        </w:r>
      </w:hyperlink>
      <w:hyperlink w:anchor="_Toc297029130" w:history="1">
        <w:r w:rsidR="00DB79BE" w:rsidRPr="00FF4C0D">
          <w:rPr>
            <w:rStyle w:val="Hyperlink"/>
            <w:noProof/>
          </w:rPr>
          <w:t>Summary of submissions</w:t>
        </w:r>
        <w:r w:rsidR="00DB79BE" w:rsidRPr="00FF4C0D">
          <w:rPr>
            <w:noProof/>
            <w:webHidden/>
          </w:rPr>
          <w:tab/>
        </w:r>
        <w:r w:rsidRPr="00FF4C0D">
          <w:rPr>
            <w:noProof/>
            <w:webHidden/>
          </w:rPr>
          <w:fldChar w:fldCharType="begin"/>
        </w:r>
        <w:r w:rsidR="00DB79BE" w:rsidRPr="00FF4C0D">
          <w:rPr>
            <w:noProof/>
            <w:webHidden/>
          </w:rPr>
          <w:instrText xml:space="preserve"> PAGEREF _Toc297029130 \h </w:instrText>
        </w:r>
        <w:r w:rsidRPr="00FF4C0D">
          <w:rPr>
            <w:noProof/>
            <w:webHidden/>
          </w:rPr>
        </w:r>
        <w:r w:rsidRPr="00FF4C0D">
          <w:rPr>
            <w:noProof/>
            <w:webHidden/>
          </w:rPr>
          <w:fldChar w:fldCharType="separate"/>
        </w:r>
        <w:r w:rsidR="00E22C7C" w:rsidRPr="00FF4C0D">
          <w:rPr>
            <w:noProof/>
            <w:webHidden/>
          </w:rPr>
          <w:t>46</w:t>
        </w:r>
        <w:r w:rsidRPr="00FF4C0D">
          <w:rPr>
            <w:noProof/>
            <w:webHidden/>
          </w:rPr>
          <w:fldChar w:fldCharType="end"/>
        </w:r>
      </w:hyperlink>
      <w:r w:rsidRPr="00FF4C0D">
        <w:rPr>
          <w:rFonts w:cs="Arial"/>
        </w:rPr>
        <w:fldChar w:fldCharType="end"/>
      </w:r>
      <w:r w:rsidR="00266FAA" w:rsidRPr="00FF4C0D">
        <w:rPr>
          <w:rFonts w:cs="Arial"/>
        </w:rPr>
        <w:br w:type="page"/>
      </w:r>
    </w:p>
    <w:p w:rsidR="00EA2FCF" w:rsidRPr="00FF4C0D" w:rsidRDefault="00EA2FCF" w:rsidP="00777A9A">
      <w:pPr>
        <w:widowControl/>
        <w:rPr>
          <w:rStyle w:val="Hyperlink"/>
          <w:rFonts w:cs="Arial"/>
          <w:u w:val="none"/>
        </w:rPr>
      </w:pPr>
      <w:r w:rsidRPr="00FF4C0D">
        <w:rPr>
          <w:rStyle w:val="Hyperlink"/>
          <w:b/>
        </w:rPr>
        <w:lastRenderedPageBreak/>
        <w:t>SUPPORTING DOCUMEN</w:t>
      </w:r>
      <w:r w:rsidR="00CF5F21" w:rsidRPr="00FF4C0D">
        <w:rPr>
          <w:rStyle w:val="Hyperlink"/>
          <w:b/>
        </w:rPr>
        <w:t>TS</w:t>
      </w:r>
    </w:p>
    <w:p w:rsidR="003707E9" w:rsidRPr="00FF4C0D" w:rsidRDefault="003707E9" w:rsidP="00EA2FCF">
      <w:pPr>
        <w:rPr>
          <w:szCs w:val="22"/>
        </w:rPr>
      </w:pPr>
    </w:p>
    <w:p w:rsidR="00F07AE4" w:rsidRPr="00FF4C0D" w:rsidRDefault="009B4690" w:rsidP="00EA2FCF">
      <w:pPr>
        <w:rPr>
          <w:color w:val="3333FF"/>
          <w:szCs w:val="22"/>
        </w:rPr>
      </w:pPr>
      <w:r w:rsidRPr="00FF4C0D">
        <w:rPr>
          <w:szCs w:val="22"/>
        </w:rPr>
        <w:t>The following material, which was used in the preparation of this A</w:t>
      </w:r>
      <w:r w:rsidR="007B6917" w:rsidRPr="00FF4C0D">
        <w:rPr>
          <w:szCs w:val="22"/>
        </w:rPr>
        <w:t>pproval</w:t>
      </w:r>
      <w:r w:rsidRPr="00FF4C0D">
        <w:rPr>
          <w:szCs w:val="22"/>
        </w:rPr>
        <w:t xml:space="preserve"> Report, is av</w:t>
      </w:r>
      <w:r w:rsidR="009208E5" w:rsidRPr="00FF4C0D">
        <w:rPr>
          <w:szCs w:val="22"/>
        </w:rPr>
        <w:t xml:space="preserve">ailable on the FSANZ website at </w:t>
      </w:r>
      <w:hyperlink r:id="rId15" w:history="1">
        <w:r w:rsidR="00F07AE4" w:rsidRPr="00FF4C0D">
          <w:rPr>
            <w:rStyle w:val="Hyperlink"/>
            <w:color w:val="3333FF"/>
            <w:szCs w:val="22"/>
          </w:rPr>
          <w:t>http://www.foodstandards.gov.au/foodstandards/applications/applicationa1038irra4655.cfm</w:t>
        </w:r>
      </w:hyperlink>
    </w:p>
    <w:p w:rsidR="00F07AE4" w:rsidRPr="00FF4C0D" w:rsidRDefault="00F07AE4" w:rsidP="00EA2FCF">
      <w:pPr>
        <w:rPr>
          <w:szCs w:val="22"/>
        </w:rPr>
      </w:pPr>
    </w:p>
    <w:p w:rsidR="00EA2FCF" w:rsidRPr="00FF4C0D" w:rsidRDefault="00737F75" w:rsidP="00EA2FCF">
      <w:pPr>
        <w:pStyle w:val="FootnoteText"/>
        <w:rPr>
          <w:sz w:val="22"/>
          <w:szCs w:val="22"/>
        </w:rPr>
      </w:pPr>
      <w:r w:rsidRPr="00FF4C0D">
        <w:rPr>
          <w:sz w:val="22"/>
          <w:szCs w:val="22"/>
        </w:rPr>
        <w:t>SD1:</w:t>
      </w:r>
      <w:r w:rsidRPr="00FF4C0D">
        <w:rPr>
          <w:sz w:val="22"/>
          <w:szCs w:val="22"/>
        </w:rPr>
        <w:tab/>
        <w:t>Risk Assessment R</w:t>
      </w:r>
      <w:r w:rsidR="009B4690" w:rsidRPr="00FF4C0D">
        <w:rPr>
          <w:sz w:val="22"/>
          <w:szCs w:val="22"/>
        </w:rPr>
        <w:t>eport</w:t>
      </w:r>
      <w:r w:rsidR="00EA2FCF" w:rsidRPr="00FF4C0D">
        <w:rPr>
          <w:sz w:val="22"/>
          <w:szCs w:val="22"/>
        </w:rPr>
        <w:t xml:space="preserve"> </w:t>
      </w:r>
      <w:r w:rsidR="007B6917" w:rsidRPr="00FF4C0D">
        <w:rPr>
          <w:sz w:val="22"/>
          <w:szCs w:val="22"/>
        </w:rPr>
        <w:t>(Approval)</w:t>
      </w:r>
    </w:p>
    <w:p w:rsidR="00E45531" w:rsidRPr="00FF4C0D" w:rsidRDefault="00E45531" w:rsidP="00E45531">
      <w:pPr>
        <w:pStyle w:val="FootnoteText"/>
        <w:rPr>
          <w:bCs/>
          <w:iCs/>
          <w:sz w:val="22"/>
          <w:szCs w:val="22"/>
        </w:rPr>
      </w:pPr>
      <w:r w:rsidRPr="00FF4C0D">
        <w:rPr>
          <w:sz w:val="22"/>
          <w:szCs w:val="22"/>
        </w:rPr>
        <w:t>SD2:</w:t>
      </w:r>
      <w:r w:rsidRPr="00FF4C0D">
        <w:rPr>
          <w:sz w:val="22"/>
          <w:szCs w:val="22"/>
        </w:rPr>
        <w:tab/>
      </w:r>
      <w:r w:rsidRPr="00FF4C0D">
        <w:rPr>
          <w:bCs/>
          <w:iCs/>
          <w:sz w:val="22"/>
          <w:szCs w:val="22"/>
        </w:rPr>
        <w:t>Overview of the food irradiation process and a glossary of technical terms</w:t>
      </w:r>
      <w:r w:rsidR="007B6917" w:rsidRPr="00FF4C0D">
        <w:rPr>
          <w:bCs/>
          <w:iCs/>
          <w:sz w:val="22"/>
          <w:szCs w:val="22"/>
        </w:rPr>
        <w:t xml:space="preserve"> (Approval)</w:t>
      </w:r>
    </w:p>
    <w:p w:rsidR="00EF7D63" w:rsidRPr="00FF4C0D" w:rsidRDefault="00E45531" w:rsidP="00EF7D63">
      <w:pPr>
        <w:pStyle w:val="FootnoteText"/>
        <w:rPr>
          <w:sz w:val="22"/>
          <w:szCs w:val="22"/>
        </w:rPr>
      </w:pPr>
      <w:r w:rsidRPr="00FF4C0D">
        <w:rPr>
          <w:sz w:val="22"/>
          <w:szCs w:val="22"/>
        </w:rPr>
        <w:t>SD3</w:t>
      </w:r>
      <w:r w:rsidR="00D25D34" w:rsidRPr="00FF4C0D">
        <w:rPr>
          <w:sz w:val="22"/>
          <w:szCs w:val="22"/>
        </w:rPr>
        <w:t>:</w:t>
      </w:r>
      <w:r w:rsidR="00D25D34" w:rsidRPr="00FF4C0D">
        <w:rPr>
          <w:sz w:val="22"/>
          <w:szCs w:val="22"/>
        </w:rPr>
        <w:tab/>
      </w:r>
      <w:r w:rsidR="00EF7D63" w:rsidRPr="00FF4C0D">
        <w:rPr>
          <w:sz w:val="22"/>
          <w:szCs w:val="22"/>
        </w:rPr>
        <w:t xml:space="preserve">Summary of literature on consumers and food irradiation </w:t>
      </w:r>
    </w:p>
    <w:p w:rsidR="00EF7D63" w:rsidRPr="00FF4C0D" w:rsidRDefault="00E45531" w:rsidP="00EF7D63">
      <w:pPr>
        <w:pStyle w:val="FootnoteText"/>
        <w:rPr>
          <w:sz w:val="22"/>
          <w:szCs w:val="22"/>
        </w:rPr>
      </w:pPr>
      <w:r w:rsidRPr="00FF4C0D">
        <w:rPr>
          <w:sz w:val="22"/>
          <w:szCs w:val="22"/>
        </w:rPr>
        <w:t>SD4</w:t>
      </w:r>
      <w:r w:rsidR="00090881" w:rsidRPr="00FF4C0D">
        <w:rPr>
          <w:sz w:val="22"/>
          <w:szCs w:val="22"/>
        </w:rPr>
        <w:t>:</w:t>
      </w:r>
      <w:r w:rsidR="00090881" w:rsidRPr="00FF4C0D">
        <w:rPr>
          <w:sz w:val="22"/>
          <w:szCs w:val="22"/>
        </w:rPr>
        <w:tab/>
      </w:r>
      <w:r w:rsidR="00266FAA" w:rsidRPr="00FF4C0D">
        <w:rPr>
          <w:sz w:val="22"/>
          <w:szCs w:val="22"/>
        </w:rPr>
        <w:t>A</w:t>
      </w:r>
      <w:r w:rsidR="00EF7D63" w:rsidRPr="00FF4C0D">
        <w:rPr>
          <w:sz w:val="22"/>
          <w:szCs w:val="22"/>
        </w:rPr>
        <w:t>mendments</w:t>
      </w:r>
      <w:r w:rsidR="00266FAA" w:rsidRPr="00FF4C0D">
        <w:rPr>
          <w:sz w:val="22"/>
          <w:szCs w:val="22"/>
        </w:rPr>
        <w:t xml:space="preserve"> to Standard 1.5.3 (mark-</w:t>
      </w:r>
      <w:r w:rsidR="00517A48" w:rsidRPr="00FF4C0D">
        <w:rPr>
          <w:sz w:val="22"/>
          <w:szCs w:val="22"/>
        </w:rPr>
        <w:t>up)</w:t>
      </w:r>
      <w:r w:rsidR="007B6917" w:rsidRPr="00FF4C0D">
        <w:rPr>
          <w:sz w:val="22"/>
          <w:szCs w:val="22"/>
        </w:rPr>
        <w:t xml:space="preserve"> (Approval) </w:t>
      </w:r>
    </w:p>
    <w:p w:rsidR="00D25D34" w:rsidRPr="00FF4C0D" w:rsidRDefault="00D25D34" w:rsidP="00D25D34">
      <w:pPr>
        <w:pStyle w:val="FootnoteText"/>
        <w:rPr>
          <w:sz w:val="22"/>
          <w:szCs w:val="22"/>
        </w:rPr>
      </w:pPr>
    </w:p>
    <w:p w:rsidR="002531ED" w:rsidRPr="00FF4C0D" w:rsidRDefault="002531ED" w:rsidP="00EA2FCF">
      <w:pPr>
        <w:pStyle w:val="FootnoteText"/>
        <w:rPr>
          <w:sz w:val="22"/>
          <w:szCs w:val="22"/>
        </w:rPr>
      </w:pPr>
    </w:p>
    <w:p w:rsidR="003C4969" w:rsidRPr="00FF4C0D" w:rsidRDefault="003C4969" w:rsidP="00EA2FCF">
      <w:pPr>
        <w:pStyle w:val="Heading1"/>
        <w:ind w:left="0" w:firstLine="0"/>
      </w:pPr>
      <w:r w:rsidRPr="00FF4C0D">
        <w:br w:type="page"/>
      </w:r>
      <w:bookmarkStart w:id="21" w:name="_Toc297029083"/>
      <w:r w:rsidRPr="00FF4C0D">
        <w:lastRenderedPageBreak/>
        <w:t>Introduction</w:t>
      </w:r>
      <w:bookmarkEnd w:id="16"/>
      <w:bookmarkEnd w:id="17"/>
      <w:bookmarkEnd w:id="18"/>
      <w:bookmarkEnd w:id="19"/>
      <w:bookmarkEnd w:id="20"/>
      <w:bookmarkEnd w:id="21"/>
    </w:p>
    <w:p w:rsidR="00422739" w:rsidRPr="00FF4C0D" w:rsidRDefault="00422739" w:rsidP="005222C5">
      <w:bookmarkStart w:id="22" w:name="_Toc29883109"/>
      <w:bookmarkStart w:id="23" w:name="_Toc41906796"/>
    </w:p>
    <w:p w:rsidR="004921F7" w:rsidRPr="00FF4C0D" w:rsidRDefault="004921F7" w:rsidP="005222C5">
      <w:r w:rsidRPr="00FF4C0D">
        <w:t>Application A1038</w:t>
      </w:r>
      <w:r w:rsidR="003F29B6" w:rsidRPr="00FF4C0D">
        <w:t>,</w:t>
      </w:r>
      <w:r w:rsidRPr="00FF4C0D">
        <w:t xml:space="preserve"> received on 19 November 2009 from Queensland Primary Industries and Fisheries</w:t>
      </w:r>
      <w:r w:rsidR="003F29B6" w:rsidRPr="00FF4C0D">
        <w:t xml:space="preserve">, requests amendment of </w:t>
      </w:r>
      <w:r w:rsidRPr="00FF4C0D">
        <w:t>Standard 1.5.3 – Irradiation of food to permit the irradiation of persimmons as a phytosanitary measure</w:t>
      </w:r>
      <w:r w:rsidRPr="00FF4C0D">
        <w:rPr>
          <w:rStyle w:val="FootnoteReference"/>
        </w:rPr>
        <w:footnoteReference w:id="3"/>
      </w:r>
      <w:r w:rsidRPr="00FF4C0D">
        <w:t xml:space="preserve">. </w:t>
      </w:r>
    </w:p>
    <w:p w:rsidR="004921F7" w:rsidRPr="00FF4C0D" w:rsidRDefault="004921F7" w:rsidP="005222C5"/>
    <w:p w:rsidR="001B207E" w:rsidRPr="00FF4C0D" w:rsidRDefault="001B207E" w:rsidP="005222C5">
      <w:r w:rsidRPr="00FF4C0D">
        <w:t xml:space="preserve">Irradiation is a physical treatment in which food is exposed to a defined dose of </w:t>
      </w:r>
      <w:r w:rsidR="006930E3" w:rsidRPr="00FF4C0D">
        <w:t>ionising</w:t>
      </w:r>
      <w:r w:rsidR="00E13025" w:rsidRPr="00FF4C0D">
        <w:t xml:space="preserve"> </w:t>
      </w:r>
      <w:r w:rsidRPr="00FF4C0D">
        <w:t>radiation</w:t>
      </w:r>
      <w:r w:rsidR="009208E5" w:rsidRPr="00FF4C0D">
        <w:t xml:space="preserve">. </w:t>
      </w:r>
      <w:r w:rsidR="00634533" w:rsidRPr="00FF4C0D">
        <w:t xml:space="preserve">It </w:t>
      </w:r>
      <w:r w:rsidRPr="00FF4C0D">
        <w:t xml:space="preserve">is </w:t>
      </w:r>
      <w:r w:rsidR="00E04BE9" w:rsidRPr="00FF4C0D">
        <w:t xml:space="preserve">used on food </w:t>
      </w:r>
      <w:r w:rsidRPr="00FF4C0D">
        <w:t>in more than 40 countries worldwide. Irradiation of food can control insect infestation, reduce the numbers of pathogenic or spoilage microorganisms, and delay or eliminate natural biological processes such as ripening, germination or sprouting in fresh food. Like all preservation methods, irradiation should supplement rather than replace good food hygiene, handling, and preparation practices (</w:t>
      </w:r>
      <w:r w:rsidR="00361DF0" w:rsidRPr="00FF4C0D">
        <w:rPr>
          <w:szCs w:val="22"/>
        </w:rPr>
        <w:t xml:space="preserve">Arvanitoyannis, 2010). </w:t>
      </w:r>
    </w:p>
    <w:p w:rsidR="001B207E" w:rsidRPr="00FF4C0D" w:rsidRDefault="001B207E" w:rsidP="005222C5"/>
    <w:p w:rsidR="005401AB" w:rsidRPr="00FF4C0D" w:rsidRDefault="005401AB" w:rsidP="005222C5">
      <w:r w:rsidRPr="00FF4C0D">
        <w:t>The intent of A1038 is to have an effective measure</w:t>
      </w:r>
      <w:r w:rsidR="00DD26C6" w:rsidRPr="00FF4C0D">
        <w:t xml:space="preserve"> available</w:t>
      </w:r>
      <w:r w:rsidR="001370AD" w:rsidRPr="00FF4C0D">
        <w:t xml:space="preserve"> </w:t>
      </w:r>
      <w:r w:rsidR="00453853" w:rsidRPr="00FF4C0D">
        <w:t xml:space="preserve">for </w:t>
      </w:r>
      <w:r w:rsidRPr="00FF4C0D">
        <w:t xml:space="preserve">disinfestation of pests of quarantine significance on persimmons. </w:t>
      </w:r>
    </w:p>
    <w:p w:rsidR="005401AB" w:rsidRPr="00FF4C0D" w:rsidRDefault="005401AB" w:rsidP="005222C5"/>
    <w:p w:rsidR="00693371" w:rsidRPr="00FF4C0D" w:rsidRDefault="00693371" w:rsidP="005222C5">
      <w:r w:rsidRPr="00FF4C0D">
        <w:t>Persimmon</w:t>
      </w:r>
      <w:r w:rsidR="0003052D" w:rsidRPr="00FF4C0D">
        <w:t>s</w:t>
      </w:r>
      <w:r w:rsidRPr="00FF4C0D">
        <w:t xml:space="preserve"> are a host </w:t>
      </w:r>
      <w:r w:rsidR="0003052D" w:rsidRPr="00FF4C0D">
        <w:t xml:space="preserve">fruit for </w:t>
      </w:r>
      <w:r w:rsidRPr="00FF4C0D">
        <w:t xml:space="preserve">fruit flies. Because of this, there are quarantine barriers against their trade in </w:t>
      </w:r>
      <w:r w:rsidR="006A52FC" w:rsidRPr="00FF4C0D">
        <w:t xml:space="preserve">the </w:t>
      </w:r>
      <w:r w:rsidRPr="00FF4C0D">
        <w:t xml:space="preserve">southern States of Australia and in some other countries. Successful trade between areas where fruit flies are endemic and areas with </w:t>
      </w:r>
      <w:r w:rsidR="0003052D" w:rsidRPr="00FF4C0D">
        <w:t xml:space="preserve">a fruit fly </w:t>
      </w:r>
      <w:r w:rsidRPr="00FF4C0D">
        <w:t>quarantine barrier require</w:t>
      </w:r>
      <w:r w:rsidR="00AF5164" w:rsidRPr="00FF4C0D">
        <w:t xml:space="preserve">s application of an appropriate </w:t>
      </w:r>
      <w:r w:rsidRPr="00FF4C0D">
        <w:t xml:space="preserve">treatment </w:t>
      </w:r>
      <w:r w:rsidR="00AF5164" w:rsidRPr="00FF4C0D">
        <w:t xml:space="preserve">that </w:t>
      </w:r>
      <w:r w:rsidRPr="00FF4C0D">
        <w:t>is accepted by the interstate market or the importing country.</w:t>
      </w:r>
    </w:p>
    <w:p w:rsidR="00693371" w:rsidRPr="00FF4C0D" w:rsidRDefault="00693371" w:rsidP="005222C5"/>
    <w:p w:rsidR="00596EDE" w:rsidRPr="00FF4C0D" w:rsidRDefault="00693371" w:rsidP="00596EDE">
      <w:pPr>
        <w:tabs>
          <w:tab w:val="left" w:pos="840"/>
        </w:tabs>
      </w:pPr>
      <w:r w:rsidRPr="00FF4C0D">
        <w:rPr>
          <w:rFonts w:cs="Arial"/>
          <w:szCs w:val="22"/>
          <w:lang w:eastAsia="en-GB" w:bidi="ar-SA"/>
        </w:rPr>
        <w:t xml:space="preserve">The minimum dose requested by the Applicant for the purpose of a phytosanitary treatment is 150 </w:t>
      </w:r>
      <w:r w:rsidR="00453853" w:rsidRPr="00FF4C0D">
        <w:rPr>
          <w:rFonts w:cs="Arial"/>
          <w:szCs w:val="22"/>
          <w:lang w:eastAsia="en-GB" w:bidi="ar-SA"/>
        </w:rPr>
        <w:t>G</w:t>
      </w:r>
      <w:r w:rsidRPr="00FF4C0D">
        <w:rPr>
          <w:rFonts w:cs="Arial"/>
          <w:szCs w:val="22"/>
          <w:lang w:eastAsia="en-GB" w:bidi="ar-SA"/>
        </w:rPr>
        <w:t>ray (Gy)</w:t>
      </w:r>
      <w:r w:rsidRPr="00FF4C0D">
        <w:rPr>
          <w:rStyle w:val="FootnoteReference"/>
          <w:rFonts w:cs="Arial"/>
          <w:szCs w:val="22"/>
          <w:lang w:eastAsia="en-GB" w:bidi="ar-SA"/>
        </w:rPr>
        <w:footnoteReference w:id="4"/>
      </w:r>
      <w:r w:rsidRPr="00FF4C0D">
        <w:rPr>
          <w:rFonts w:cs="Arial"/>
          <w:szCs w:val="22"/>
          <w:lang w:eastAsia="en-GB" w:bidi="ar-SA"/>
        </w:rPr>
        <w:t xml:space="preserve"> and the maximum dose requested is 1000 Gy (1kilogray (kGy)). </w:t>
      </w:r>
      <w:r w:rsidRPr="00FF4C0D">
        <w:rPr>
          <w:rFonts w:cs="Arial"/>
          <w:szCs w:val="22"/>
        </w:rPr>
        <w:t xml:space="preserve">Letters of support were provided from Horticulture Australia Limited (HAL), </w:t>
      </w:r>
      <w:r w:rsidR="00453853" w:rsidRPr="00FF4C0D">
        <w:rPr>
          <w:rFonts w:cs="Arial"/>
          <w:szCs w:val="22"/>
        </w:rPr>
        <w:t xml:space="preserve">the </w:t>
      </w:r>
      <w:r w:rsidRPr="00FF4C0D">
        <w:rPr>
          <w:rFonts w:cs="Arial"/>
          <w:szCs w:val="22"/>
        </w:rPr>
        <w:t>Persimmons Industry Association Inc., the Australian Persimmon Export Company and the Domestic Quarantine and Market Access Working Group (DQMAWG)</w:t>
      </w:r>
      <w:r w:rsidRPr="00FF4C0D">
        <w:rPr>
          <w:rStyle w:val="FootnoteReference"/>
          <w:rFonts w:cs="Arial"/>
          <w:szCs w:val="22"/>
        </w:rPr>
        <w:footnoteReference w:id="5"/>
      </w:r>
      <w:r w:rsidRPr="00FF4C0D">
        <w:rPr>
          <w:rFonts w:cs="Arial"/>
          <w:szCs w:val="22"/>
        </w:rPr>
        <w:t xml:space="preserve">. </w:t>
      </w:r>
    </w:p>
    <w:p w:rsidR="00596EDE" w:rsidRPr="00FF4C0D" w:rsidRDefault="00596EDE" w:rsidP="00596EDE">
      <w:pPr>
        <w:tabs>
          <w:tab w:val="left" w:pos="840"/>
        </w:tabs>
      </w:pPr>
    </w:p>
    <w:p w:rsidR="009F789E" w:rsidRPr="00FF4C0D" w:rsidRDefault="009F789E" w:rsidP="00FD5047">
      <w:pPr>
        <w:rPr>
          <w:rFonts w:cs="Arial"/>
        </w:rPr>
      </w:pPr>
      <w:r w:rsidRPr="00FF4C0D">
        <w:rPr>
          <w:rFonts w:cs="Arial"/>
        </w:rPr>
        <w:t xml:space="preserve">Irradiation will provide persimmon growers with another treatment method for phytosanitary purposes for the fruit fly host. Other possible treatments (e.g. cold, heat, </w:t>
      </w:r>
      <w:r w:rsidR="00FB0204" w:rsidRPr="00FF4C0D">
        <w:rPr>
          <w:rFonts w:cs="Arial"/>
        </w:rPr>
        <w:t xml:space="preserve">methyl bromide </w:t>
      </w:r>
      <w:r w:rsidR="00FE5063" w:rsidRPr="00FF4C0D">
        <w:rPr>
          <w:rFonts w:cs="Arial"/>
        </w:rPr>
        <w:t xml:space="preserve">fumigation) </w:t>
      </w:r>
      <w:r w:rsidRPr="00FF4C0D">
        <w:rPr>
          <w:rFonts w:cs="Arial"/>
        </w:rPr>
        <w:t xml:space="preserve">can cause significant product losses, </w:t>
      </w:r>
      <w:r w:rsidR="001B5D67" w:rsidRPr="00FF4C0D">
        <w:rPr>
          <w:rFonts w:cs="Arial"/>
        </w:rPr>
        <w:t>they are expensive</w:t>
      </w:r>
      <w:r w:rsidRPr="00FF4C0D">
        <w:rPr>
          <w:rFonts w:cs="Arial"/>
        </w:rPr>
        <w:t xml:space="preserve"> and </w:t>
      </w:r>
      <w:r w:rsidR="001B5D67" w:rsidRPr="00FF4C0D">
        <w:rPr>
          <w:rFonts w:cs="Arial"/>
        </w:rPr>
        <w:t xml:space="preserve">they </w:t>
      </w:r>
      <w:r w:rsidRPr="00FF4C0D">
        <w:rPr>
          <w:rFonts w:cs="Arial"/>
        </w:rPr>
        <w:t xml:space="preserve">may not meet quarantine requirements of other countries. </w:t>
      </w:r>
      <w:r w:rsidR="00FB0204" w:rsidRPr="00FF4C0D">
        <w:rPr>
          <w:rFonts w:cs="Arial"/>
        </w:rPr>
        <w:t>In addition, t</w:t>
      </w:r>
      <w:r w:rsidRPr="00FF4C0D">
        <w:rPr>
          <w:rFonts w:cs="Arial"/>
        </w:rPr>
        <w:t xml:space="preserve">here is a potential loss of current </w:t>
      </w:r>
      <w:r w:rsidR="00FF7A05" w:rsidRPr="00FF4C0D">
        <w:rPr>
          <w:rFonts w:cs="Arial"/>
        </w:rPr>
        <w:t xml:space="preserve">chemical </w:t>
      </w:r>
      <w:r w:rsidRPr="00FF4C0D">
        <w:rPr>
          <w:rFonts w:cs="Arial"/>
        </w:rPr>
        <w:t xml:space="preserve">disinfestation treatments (fenthion, dimethoate and methyl bromide) for fruits flies due to the phasing out of these chemicals. Therefore, approval of irradiation could allow another alternative treatment to be available to treat the fruit fly host. </w:t>
      </w:r>
      <w:r w:rsidR="00AF5164" w:rsidRPr="00FF4C0D">
        <w:rPr>
          <w:rFonts w:cs="Arial"/>
        </w:rPr>
        <w:t>In summary, the Applicant has stated that approval could facilitate domestic and international trade in persimmons as irradiation meets the requirements for an appropriate and efficacious treatment for fruit fly for quarantine purposes.</w:t>
      </w:r>
    </w:p>
    <w:p w:rsidR="007D2CB7" w:rsidRPr="00FF4C0D" w:rsidRDefault="007D2CB7" w:rsidP="00FD5047">
      <w:pPr>
        <w:rPr>
          <w:rFonts w:cs="Arial"/>
        </w:rPr>
      </w:pPr>
    </w:p>
    <w:p w:rsidR="00E97EE9" w:rsidRPr="00FF4C0D" w:rsidRDefault="00E97EE9" w:rsidP="00E97EE9">
      <w:pPr>
        <w:widowControl/>
      </w:pPr>
      <w:r w:rsidRPr="00FF4C0D">
        <w:t xml:space="preserve">The relevant quarantine agencies, Biosecurity Australia (BA) and the </w:t>
      </w:r>
      <w:r w:rsidRPr="00FF4C0D">
        <w:rPr>
          <w:rFonts w:cs="Arial"/>
          <w:szCs w:val="22"/>
        </w:rPr>
        <w:t xml:space="preserve">New Zealand Ministry of Agriculture and Forestry (NZMAF) </w:t>
      </w:r>
      <w:r w:rsidRPr="00FF4C0D">
        <w:t xml:space="preserve">will still need to independently perform an import risk assessment (for quarantine purposes) on irradiation of persimmons, specifically for food imported into Australia and/or New Zealand. These assessments are separate from the FSANZ and the Australia and New Zealand Food Regulation Ministerial Council (Ministerial Council) approval process. </w:t>
      </w:r>
    </w:p>
    <w:p w:rsidR="00E97EE9" w:rsidRPr="00FF4C0D" w:rsidRDefault="00E97EE9" w:rsidP="00FD5047">
      <w:pPr>
        <w:rPr>
          <w:rFonts w:cs="Arial"/>
        </w:rPr>
      </w:pPr>
    </w:p>
    <w:p w:rsidR="007D2CB7" w:rsidRPr="00FF4C0D" w:rsidRDefault="00277D85" w:rsidP="00FD5047">
      <w:pPr>
        <w:rPr>
          <w:rFonts w:cs="Arial"/>
          <w:b/>
        </w:rPr>
      </w:pPr>
      <w:r w:rsidRPr="00FF4C0D">
        <w:rPr>
          <w:rFonts w:cs="Arial"/>
        </w:rPr>
        <w:t xml:space="preserve">For a glossary </w:t>
      </w:r>
      <w:r w:rsidR="007D2CB7" w:rsidRPr="00FF4C0D">
        <w:rPr>
          <w:rFonts w:cs="Arial"/>
        </w:rPr>
        <w:t>of technical terms in relation to f</w:t>
      </w:r>
      <w:r w:rsidRPr="00FF4C0D">
        <w:rPr>
          <w:rFonts w:cs="Arial"/>
        </w:rPr>
        <w:t xml:space="preserve">ood irradiation </w:t>
      </w:r>
      <w:r w:rsidR="00B67F6B" w:rsidRPr="00FF4C0D">
        <w:rPr>
          <w:rFonts w:cs="Arial"/>
        </w:rPr>
        <w:t>see</w:t>
      </w:r>
      <w:r w:rsidR="007D2CB7" w:rsidRPr="00FF4C0D">
        <w:rPr>
          <w:rFonts w:cs="Arial"/>
        </w:rPr>
        <w:t xml:space="preserve"> </w:t>
      </w:r>
      <w:r w:rsidR="00790D61" w:rsidRPr="00FF4C0D">
        <w:rPr>
          <w:rFonts w:cs="Arial"/>
          <w:b/>
        </w:rPr>
        <w:t>Supporting Document 2</w:t>
      </w:r>
      <w:r w:rsidR="007D2CB7" w:rsidRPr="00FF4C0D">
        <w:rPr>
          <w:rFonts w:cs="Arial"/>
          <w:b/>
        </w:rPr>
        <w:t xml:space="preserve">. </w:t>
      </w:r>
    </w:p>
    <w:bookmarkEnd w:id="22"/>
    <w:bookmarkEnd w:id="23"/>
    <w:p w:rsidR="003433AC" w:rsidRPr="00FF4C0D" w:rsidRDefault="003433AC" w:rsidP="00807559">
      <w:pPr>
        <w:rPr>
          <w:rFonts w:cs="Arial"/>
        </w:rPr>
      </w:pPr>
      <w:r w:rsidRPr="00FF4C0D">
        <w:rPr>
          <w:rFonts w:cs="Arial"/>
        </w:rPr>
        <w:br w:type="page"/>
      </w:r>
    </w:p>
    <w:p w:rsidR="003C4969" w:rsidRPr="00FF4C0D" w:rsidRDefault="00807559">
      <w:pPr>
        <w:pStyle w:val="Heading2"/>
        <w:rPr>
          <w:rFonts w:cs="Arial"/>
        </w:rPr>
      </w:pPr>
      <w:bookmarkStart w:id="24" w:name="_Toc297029084"/>
      <w:r w:rsidRPr="00FF4C0D">
        <w:rPr>
          <w:rFonts w:cs="Arial"/>
        </w:rPr>
        <w:lastRenderedPageBreak/>
        <w:t>1</w:t>
      </w:r>
      <w:r w:rsidR="003C4969" w:rsidRPr="00FF4C0D">
        <w:rPr>
          <w:rFonts w:cs="Arial"/>
        </w:rPr>
        <w:t>.</w:t>
      </w:r>
      <w:r w:rsidR="003C4969" w:rsidRPr="00FF4C0D">
        <w:rPr>
          <w:rFonts w:cs="Arial"/>
        </w:rPr>
        <w:tab/>
        <w:t>The Issue / Problem</w:t>
      </w:r>
      <w:bookmarkEnd w:id="24"/>
    </w:p>
    <w:p w:rsidR="007602AA" w:rsidRPr="00FF4C0D" w:rsidRDefault="007602AA" w:rsidP="007602AA"/>
    <w:p w:rsidR="009909DC" w:rsidRPr="00FF4C0D" w:rsidRDefault="00637272" w:rsidP="009909DC">
      <w:r w:rsidRPr="00FF4C0D">
        <w:t>Standard 1.5.3</w:t>
      </w:r>
      <w:r w:rsidR="00EA6A0F" w:rsidRPr="00FF4C0D">
        <w:t xml:space="preserve"> </w:t>
      </w:r>
      <w:r w:rsidR="00917F93" w:rsidRPr="00FF4C0D">
        <w:t>prohibits the sale of irradiated foods</w:t>
      </w:r>
      <w:r w:rsidR="005A4E63" w:rsidRPr="00FF4C0D">
        <w:t xml:space="preserve"> </w:t>
      </w:r>
      <w:r w:rsidR="00917F93" w:rsidRPr="00FF4C0D">
        <w:t xml:space="preserve">unless the food is listed in the Table to clause 4 in </w:t>
      </w:r>
      <w:r w:rsidRPr="00FF4C0D">
        <w:t>Standard 1.5.3</w:t>
      </w:r>
      <w:r w:rsidR="00917F93" w:rsidRPr="00FF4C0D">
        <w:t xml:space="preserve">, </w:t>
      </w:r>
      <w:r w:rsidR="003433AC" w:rsidRPr="00FF4C0D">
        <w:t xml:space="preserve">and as such, </w:t>
      </w:r>
      <w:r w:rsidR="00914640" w:rsidRPr="00FF4C0D">
        <w:t xml:space="preserve">a pre-market assessment </w:t>
      </w:r>
      <w:r w:rsidR="00517F50" w:rsidRPr="00FF4C0D">
        <w:t xml:space="preserve">is required </w:t>
      </w:r>
      <w:r w:rsidR="00914640" w:rsidRPr="00FF4C0D">
        <w:t xml:space="preserve">before </w:t>
      </w:r>
      <w:r w:rsidR="00917F93" w:rsidRPr="00FF4C0D">
        <w:t xml:space="preserve">irradiated persimmons </w:t>
      </w:r>
      <w:r w:rsidR="00914640" w:rsidRPr="00FF4C0D">
        <w:t>can be sold in Australia or New Zealand</w:t>
      </w:r>
      <w:r w:rsidR="00917F93" w:rsidRPr="00FF4C0D">
        <w:t>.</w:t>
      </w:r>
      <w:r w:rsidR="00914640" w:rsidRPr="00FF4C0D">
        <w:t xml:space="preserve"> </w:t>
      </w:r>
    </w:p>
    <w:p w:rsidR="009A197C" w:rsidRPr="00FF4C0D" w:rsidRDefault="009A197C" w:rsidP="009909DC"/>
    <w:p w:rsidR="009909DC" w:rsidRPr="00FF4C0D" w:rsidRDefault="009909DC" w:rsidP="009909DC">
      <w:r w:rsidRPr="00FF4C0D">
        <w:t xml:space="preserve">The purpose of this Application </w:t>
      </w:r>
      <w:r w:rsidR="00580F0A" w:rsidRPr="00FF4C0D">
        <w:t>wa</w:t>
      </w:r>
      <w:r w:rsidRPr="00FF4C0D">
        <w:t xml:space="preserve">s for FSANZ to consider whether there </w:t>
      </w:r>
      <w:r w:rsidR="00580F0A" w:rsidRPr="00FF4C0D">
        <w:t>wa</w:t>
      </w:r>
      <w:r w:rsidRPr="00FF4C0D">
        <w:t xml:space="preserve">s justification in providing approval to irradiate persimmons under the requirements of </w:t>
      </w:r>
      <w:r w:rsidR="00637272" w:rsidRPr="00FF4C0D">
        <w:t>Standard 1.5.3</w:t>
      </w:r>
      <w:r w:rsidRPr="00FF4C0D">
        <w:t xml:space="preserve">. </w:t>
      </w:r>
    </w:p>
    <w:p w:rsidR="003C4969" w:rsidRPr="00FF4C0D" w:rsidRDefault="009909DC">
      <w:r w:rsidRPr="00FF4C0D">
        <w:t xml:space="preserve"> </w:t>
      </w:r>
    </w:p>
    <w:p w:rsidR="00807559" w:rsidRPr="00FF4C0D" w:rsidRDefault="00807559" w:rsidP="00FE5F50">
      <w:pPr>
        <w:pStyle w:val="Heading2"/>
      </w:pPr>
      <w:bookmarkStart w:id="25" w:name="_Toc11735630"/>
      <w:bookmarkStart w:id="26" w:name="_Toc29883114"/>
      <w:bookmarkStart w:id="27" w:name="_Toc41906801"/>
      <w:bookmarkStart w:id="28" w:name="_Toc41907548"/>
      <w:bookmarkStart w:id="29" w:name="_Toc120358578"/>
      <w:bookmarkStart w:id="30" w:name="_Toc297029085"/>
      <w:r w:rsidRPr="00FF4C0D">
        <w:t>2.</w:t>
      </w:r>
      <w:r w:rsidRPr="00FF4C0D">
        <w:tab/>
      </w:r>
      <w:bookmarkEnd w:id="25"/>
      <w:bookmarkEnd w:id="26"/>
      <w:bookmarkEnd w:id="27"/>
      <w:bookmarkEnd w:id="28"/>
      <w:bookmarkEnd w:id="29"/>
      <w:r w:rsidRPr="00FF4C0D">
        <w:t>Current Standard</w:t>
      </w:r>
      <w:bookmarkEnd w:id="30"/>
    </w:p>
    <w:p w:rsidR="00FE5F50" w:rsidRPr="00FF4C0D" w:rsidRDefault="00FE5F50" w:rsidP="00FE5F50"/>
    <w:p w:rsidR="001262E7" w:rsidRPr="00FF4C0D" w:rsidRDefault="00226491" w:rsidP="00226491">
      <w:pPr>
        <w:rPr>
          <w:rFonts w:cs="Arial"/>
        </w:rPr>
      </w:pPr>
      <w:r w:rsidRPr="00FF4C0D">
        <w:rPr>
          <w:rFonts w:cs="Arial"/>
          <w:szCs w:val="22"/>
        </w:rPr>
        <w:t xml:space="preserve">Permission to irradiate foods is considered on a </w:t>
      </w:r>
      <w:r w:rsidR="00E775E3" w:rsidRPr="00FF4C0D">
        <w:rPr>
          <w:rFonts w:cs="Arial"/>
          <w:szCs w:val="22"/>
        </w:rPr>
        <w:t>case-by-case</w:t>
      </w:r>
      <w:r w:rsidRPr="00FF4C0D">
        <w:rPr>
          <w:rFonts w:cs="Arial"/>
          <w:szCs w:val="22"/>
        </w:rPr>
        <w:t xml:space="preserve"> basis and approved when the food has been assessed as safe</w:t>
      </w:r>
      <w:r w:rsidR="004B76A7" w:rsidRPr="00FF4C0D">
        <w:rPr>
          <w:rFonts w:cs="Arial"/>
          <w:szCs w:val="22"/>
        </w:rPr>
        <w:t>, nutritionally adequate</w:t>
      </w:r>
      <w:r w:rsidRPr="00FF4C0D">
        <w:rPr>
          <w:rFonts w:cs="Arial"/>
          <w:szCs w:val="22"/>
        </w:rPr>
        <w:t xml:space="preserve"> and where </w:t>
      </w:r>
      <w:r w:rsidRPr="00FF4C0D">
        <w:rPr>
          <w:rFonts w:cs="Arial"/>
          <w:bCs/>
          <w:szCs w:val="22"/>
        </w:rPr>
        <w:t xml:space="preserve">there is a strong technological justification. </w:t>
      </w:r>
    </w:p>
    <w:p w:rsidR="001262E7" w:rsidRPr="00FF4C0D" w:rsidRDefault="001262E7" w:rsidP="00226491">
      <w:pPr>
        <w:rPr>
          <w:rFonts w:cs="Arial"/>
          <w:bCs/>
          <w:szCs w:val="22"/>
        </w:rPr>
      </w:pPr>
    </w:p>
    <w:p w:rsidR="00385F3F" w:rsidRPr="00FF4C0D" w:rsidRDefault="00385F3F" w:rsidP="005222C5">
      <w:r w:rsidRPr="00FF4C0D">
        <w:t xml:space="preserve">To date, FSANZ has considered, and subsequently approved, two Applications which sought permission to irradiate foods, namely (i) Irradiation of herbs, spices and herbal infusions (Application A413) and (ii) Irradiation of a range of tropical fruits (mango, breadfruit, carambola, custard apple, litchi, longan, mangosteen, papaya and rambutan) (Application A443). </w:t>
      </w:r>
    </w:p>
    <w:p w:rsidR="00385F3F" w:rsidRPr="00FF4C0D" w:rsidRDefault="00385F3F" w:rsidP="00254637"/>
    <w:p w:rsidR="00254637" w:rsidRPr="00FF4C0D" w:rsidRDefault="00637272" w:rsidP="00254637">
      <w:r w:rsidRPr="00FF4C0D">
        <w:t>Standard 1.5.3</w:t>
      </w:r>
      <w:r w:rsidR="00DA25F2" w:rsidRPr="00FF4C0D">
        <w:t xml:space="preserve"> </w:t>
      </w:r>
      <w:r w:rsidR="00254637" w:rsidRPr="00FF4C0D">
        <w:t>allows the use of gamma rays from the radionuclide cobalt 60</w:t>
      </w:r>
      <w:r w:rsidR="00134235" w:rsidRPr="00FF4C0D">
        <w:t xml:space="preserve">, </w:t>
      </w:r>
      <w:r w:rsidR="00254637" w:rsidRPr="00FF4C0D">
        <w:t>x-rays generated by or from machine sources operated at an energy level not exceeding 5 mega-electronvolts</w:t>
      </w:r>
      <w:r w:rsidR="00A96FF9" w:rsidRPr="00FF4C0D">
        <w:rPr>
          <w:rStyle w:val="FootnoteReference"/>
        </w:rPr>
        <w:footnoteReference w:id="6"/>
      </w:r>
      <w:r w:rsidR="00254637" w:rsidRPr="00FF4C0D">
        <w:t>; or electrons generated by or from machine sources operated at an energy level not exceeding 10 mega-electron</w:t>
      </w:r>
      <w:r w:rsidR="001B5D67" w:rsidRPr="00FF4C0D">
        <w:t xml:space="preserve"> </w:t>
      </w:r>
      <w:r w:rsidR="00254637" w:rsidRPr="00FF4C0D">
        <w:t>volts</w:t>
      </w:r>
      <w:r w:rsidR="006F5213" w:rsidRPr="00FF4C0D">
        <w:t xml:space="preserve">. </w:t>
      </w:r>
      <w:r w:rsidR="00254637" w:rsidRPr="00FF4C0D">
        <w:t xml:space="preserve">The </w:t>
      </w:r>
      <w:r w:rsidR="004B0B0C" w:rsidRPr="00FF4C0D">
        <w:t xml:space="preserve">former Australia New Zealand Food Standards Council (composed of Health Ministers from </w:t>
      </w:r>
      <w:r w:rsidR="00E3775B" w:rsidRPr="00FF4C0D">
        <w:t xml:space="preserve">the Commonwealth, States and </w:t>
      </w:r>
      <w:r w:rsidR="004B0B0C" w:rsidRPr="00FF4C0D">
        <w:t xml:space="preserve">Territories and New Zealand) </w:t>
      </w:r>
      <w:r w:rsidR="00254637" w:rsidRPr="00FF4C0D">
        <w:t xml:space="preserve">approved these sources of radiation for use on food </w:t>
      </w:r>
      <w:r w:rsidR="00930078" w:rsidRPr="00FF4C0D">
        <w:t xml:space="preserve">and </w:t>
      </w:r>
      <w:r w:rsidRPr="00FF4C0D">
        <w:t>Standard 1.5.3</w:t>
      </w:r>
      <w:r w:rsidR="00930078" w:rsidRPr="00FF4C0D">
        <w:t xml:space="preserve"> was subsequently gazetted </w:t>
      </w:r>
      <w:r w:rsidR="00254637" w:rsidRPr="00FF4C0D">
        <w:t>on 2 September 1999.</w:t>
      </w:r>
    </w:p>
    <w:p w:rsidR="00272128" w:rsidRPr="00FF4C0D" w:rsidRDefault="00272128" w:rsidP="00254637"/>
    <w:p w:rsidR="00272128" w:rsidRPr="00FF4C0D" w:rsidRDefault="00272128" w:rsidP="00272128">
      <w:r w:rsidRPr="00FF4C0D">
        <w:t xml:space="preserve">Where foods have been irradiated or contain irradiated ingredients or components and are available for retail sale in Australia and/or New Zealand, the label must carry a statement to the effect that the food or the particular ingredient(s) or component(s) it contains has been treated with ionising radiation. Subclause 6(2) of </w:t>
      </w:r>
      <w:r w:rsidR="00637272" w:rsidRPr="00FF4C0D">
        <w:t>Standard 1.5.3</w:t>
      </w:r>
      <w:r w:rsidRPr="00FF4C0D">
        <w:t xml:space="preserve"> requires this statement to appear in the ingredient list or elsewhere on the label. These provisions apply only to foods permitted to be irradiated and listed in the Table to clause 4 of Standard </w:t>
      </w:r>
      <w:r w:rsidR="00637272" w:rsidRPr="00FF4C0D">
        <w:t>1.5.3</w:t>
      </w:r>
      <w:r w:rsidRPr="00FF4C0D">
        <w:t>, for example herbs and spices and selected tropical fruits.</w:t>
      </w:r>
    </w:p>
    <w:p w:rsidR="00272128" w:rsidRPr="00FF4C0D" w:rsidRDefault="00272128" w:rsidP="00272128">
      <w:pPr>
        <w:widowControl/>
      </w:pPr>
    </w:p>
    <w:p w:rsidR="00272128" w:rsidRPr="00FF4C0D" w:rsidRDefault="00637272" w:rsidP="00272128">
      <w:pPr>
        <w:widowControl/>
      </w:pPr>
      <w:r w:rsidRPr="00FF4C0D">
        <w:t>Standard 1.5.3</w:t>
      </w:r>
      <w:r w:rsidR="00272128" w:rsidRPr="00FF4C0D">
        <w:t xml:space="preserve"> </w:t>
      </w:r>
      <w:r w:rsidR="00272128" w:rsidRPr="00FF4C0D">
        <w:rPr>
          <w:bCs/>
        </w:rPr>
        <w:t xml:space="preserve">also requires that irradiated food or food containing irradiated ingredients or components that are exempt from bearing a label, and which are displayed for sale, must have a written statement that the food, ingredient or component of the food has been treated with ionising radiation. This requires irradiated food sold unpackaged and displayed for sale, including ready to eat foods, to be accompanied by a written statement advising consumers of the treatment of the food with ionising radiation. </w:t>
      </w:r>
    </w:p>
    <w:p w:rsidR="00272128" w:rsidRPr="00FF4C0D" w:rsidRDefault="00272128" w:rsidP="00272128"/>
    <w:p w:rsidR="00272128" w:rsidRPr="00FF4C0D" w:rsidRDefault="00272128" w:rsidP="00272128">
      <w:r w:rsidRPr="00FF4C0D">
        <w:t xml:space="preserve">While </w:t>
      </w:r>
      <w:r w:rsidR="00637272" w:rsidRPr="00FF4C0D">
        <w:t>Standard 1.5.3</w:t>
      </w:r>
      <w:r w:rsidRPr="00FF4C0D">
        <w:t xml:space="preserve"> mandates the use of a label statement, it does not prescribe the wording. Three examples are provided: ‘</w:t>
      </w:r>
      <w:r w:rsidRPr="00FF4C0D">
        <w:rPr>
          <w:i/>
        </w:rPr>
        <w:t>Treated with ionising radiation’</w:t>
      </w:r>
      <w:r w:rsidRPr="00FF4C0D">
        <w:t xml:space="preserve">, </w:t>
      </w:r>
      <w:r w:rsidRPr="00FF4C0D">
        <w:rPr>
          <w:i/>
        </w:rPr>
        <w:t>‘Treated with ionising electrons’</w:t>
      </w:r>
      <w:r w:rsidRPr="00FF4C0D">
        <w:t xml:space="preserve"> and ‘</w:t>
      </w:r>
      <w:r w:rsidRPr="00FF4C0D">
        <w:rPr>
          <w:i/>
        </w:rPr>
        <w:t>Irradiated (name of food)</w:t>
      </w:r>
      <w:r w:rsidRPr="00FF4C0D">
        <w:t xml:space="preserve">’. </w:t>
      </w:r>
    </w:p>
    <w:p w:rsidR="00272128" w:rsidRPr="00FF4C0D" w:rsidRDefault="00272128" w:rsidP="00272128">
      <w:pPr>
        <w:widowControl/>
      </w:pPr>
    </w:p>
    <w:p w:rsidR="003433AC" w:rsidRPr="00FF4C0D" w:rsidRDefault="00272128" w:rsidP="00272128">
      <w:pPr>
        <w:widowControl/>
      </w:pPr>
      <w:r w:rsidRPr="00FF4C0D">
        <w:t>While the use of a labelling statement is mandatory for irradiated food, FSANZ notes that the use of the international Radura symbol</w:t>
      </w:r>
      <w:r w:rsidRPr="00FF4C0D">
        <w:rPr>
          <w:rStyle w:val="FootnoteReference"/>
        </w:rPr>
        <w:footnoteReference w:id="7"/>
      </w:r>
      <w:r w:rsidRPr="00FF4C0D">
        <w:t xml:space="preserve"> (below) </w:t>
      </w:r>
      <w:r w:rsidR="00E3775B" w:rsidRPr="00FF4C0D">
        <w:t>c</w:t>
      </w:r>
      <w:r w:rsidRPr="00FF4C0D">
        <w:t xml:space="preserve">ould </w:t>
      </w:r>
      <w:r w:rsidR="00E3775B" w:rsidRPr="00FF4C0D">
        <w:t xml:space="preserve">also </w:t>
      </w:r>
      <w:r w:rsidRPr="00FF4C0D">
        <w:t>b</w:t>
      </w:r>
      <w:r w:rsidR="00E3775B" w:rsidRPr="00FF4C0D">
        <w:t xml:space="preserve">e used in addition to the mandatory labelling requirements. </w:t>
      </w:r>
      <w:r w:rsidR="003433AC" w:rsidRPr="00FF4C0D">
        <w:br w:type="page"/>
      </w:r>
    </w:p>
    <w:p w:rsidR="00272128" w:rsidRPr="00FF4C0D" w:rsidRDefault="00272128" w:rsidP="003433AC">
      <w:pPr>
        <w:widowControl/>
        <w:jc w:val="center"/>
      </w:pPr>
      <w:r w:rsidRPr="00FF4C0D">
        <w:rPr>
          <w:noProof/>
          <w:lang w:val="en-AU" w:eastAsia="en-AU" w:bidi="ar-SA"/>
        </w:rPr>
        <w:lastRenderedPageBreak/>
        <w:drawing>
          <wp:anchor distT="0" distB="0" distL="114300" distR="114300" simplePos="0" relativeHeight="251662848" behindDoc="0" locked="0" layoutInCell="1" allowOverlap="1">
            <wp:simplePos x="0" y="0"/>
            <wp:positionH relativeFrom="column">
              <wp:posOffset>2416810</wp:posOffset>
            </wp:positionH>
            <wp:positionV relativeFrom="paragraph">
              <wp:posOffset>14605</wp:posOffset>
            </wp:positionV>
            <wp:extent cx="1266190" cy="1189355"/>
            <wp:effectExtent l="0" t="0" r="0" b="0"/>
            <wp:wrapSquare wrapText="bothSides"/>
            <wp:docPr id="3" name="Picture 1" descr="http://upload.wikimedia.org/wikipedia/en/thumb/0/0c/Radura_international.svg/150px-Radura_international.sv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6"/>
                    </pic:cNvPr>
                    <pic:cNvPicPr>
                      <a:picLocks noChangeAspect="1" noChangeArrowheads="1"/>
                    </pic:cNvPicPr>
                  </pic:nvPicPr>
                  <pic:blipFill>
                    <a:blip r:embed="rId17" cstate="print"/>
                    <a:srcRect/>
                    <a:stretch>
                      <a:fillRect/>
                    </a:stretch>
                  </pic:blipFill>
                  <pic:spPr bwMode="auto">
                    <a:xfrm>
                      <a:off x="0" y="0"/>
                      <a:ext cx="1266190" cy="1189355"/>
                    </a:xfrm>
                    <a:prstGeom prst="rect">
                      <a:avLst/>
                    </a:prstGeom>
                    <a:noFill/>
                    <a:ln w="9525">
                      <a:noFill/>
                      <a:miter lim="800000"/>
                      <a:headEnd/>
                      <a:tailEnd/>
                    </a:ln>
                  </pic:spPr>
                </pic:pic>
              </a:graphicData>
            </a:graphic>
          </wp:anchor>
        </w:drawing>
      </w:r>
    </w:p>
    <w:p w:rsidR="00272128" w:rsidRPr="00FF4C0D" w:rsidRDefault="00272128" w:rsidP="003433AC">
      <w:pPr>
        <w:widowControl/>
        <w:jc w:val="center"/>
      </w:pPr>
    </w:p>
    <w:p w:rsidR="00272128" w:rsidRPr="00FF4C0D" w:rsidRDefault="00272128" w:rsidP="003433AC">
      <w:pPr>
        <w:widowControl/>
        <w:jc w:val="center"/>
      </w:pPr>
    </w:p>
    <w:p w:rsidR="00272128" w:rsidRPr="00FF4C0D" w:rsidRDefault="00272128" w:rsidP="003433AC">
      <w:pPr>
        <w:widowControl/>
        <w:jc w:val="center"/>
      </w:pPr>
    </w:p>
    <w:p w:rsidR="00272128" w:rsidRPr="00FF4C0D" w:rsidRDefault="00272128" w:rsidP="003433AC">
      <w:pPr>
        <w:jc w:val="center"/>
      </w:pPr>
    </w:p>
    <w:p w:rsidR="00272128" w:rsidRPr="00FF4C0D" w:rsidRDefault="00272128" w:rsidP="003433AC">
      <w:pPr>
        <w:jc w:val="center"/>
      </w:pPr>
    </w:p>
    <w:p w:rsidR="00272128" w:rsidRPr="00FF4C0D" w:rsidRDefault="00272128" w:rsidP="003433AC">
      <w:pPr>
        <w:jc w:val="center"/>
      </w:pPr>
    </w:p>
    <w:p w:rsidR="00272128" w:rsidRPr="00FF4C0D" w:rsidRDefault="00272128" w:rsidP="003433AC">
      <w:pPr>
        <w:jc w:val="center"/>
      </w:pPr>
    </w:p>
    <w:p w:rsidR="002D554E" w:rsidRPr="00FF4C0D" w:rsidRDefault="002D554E" w:rsidP="003433AC">
      <w:pPr>
        <w:jc w:val="center"/>
      </w:pPr>
    </w:p>
    <w:p w:rsidR="009B4A0D" w:rsidRPr="00FF4C0D" w:rsidRDefault="00D37F81" w:rsidP="002D3CB7">
      <w:pPr>
        <w:pStyle w:val="Heading3"/>
      </w:pPr>
      <w:bookmarkStart w:id="31" w:name="_Toc297029086"/>
      <w:r w:rsidRPr="00FF4C0D">
        <w:t xml:space="preserve">2.1 </w:t>
      </w:r>
      <w:r w:rsidR="00C7292D" w:rsidRPr="00FF4C0D">
        <w:tab/>
        <w:t>Approval to irradiate foods in other countries</w:t>
      </w:r>
      <w:bookmarkEnd w:id="31"/>
      <w:r w:rsidR="00C7292D" w:rsidRPr="00FF4C0D">
        <w:t xml:space="preserve"> </w:t>
      </w:r>
    </w:p>
    <w:p w:rsidR="00C7292D" w:rsidRPr="00FF4C0D" w:rsidRDefault="00C7292D" w:rsidP="00C7292D">
      <w:pPr>
        <w:rPr>
          <w:rFonts w:cs="Arial"/>
          <w:szCs w:val="22"/>
        </w:rPr>
      </w:pPr>
    </w:p>
    <w:p w:rsidR="00E539B0" w:rsidRPr="00FF4C0D" w:rsidRDefault="00E539B0" w:rsidP="00E539B0">
      <w:pPr>
        <w:rPr>
          <w:rFonts w:cs="Arial"/>
          <w:szCs w:val="22"/>
        </w:rPr>
      </w:pPr>
      <w:r w:rsidRPr="00FF4C0D">
        <w:rPr>
          <w:rFonts w:cs="Arial"/>
          <w:szCs w:val="22"/>
        </w:rPr>
        <w:t xml:space="preserve">Permissions to irradiate a food vary considerably in different parts of the world and </w:t>
      </w:r>
      <w:r w:rsidR="00BE5926" w:rsidRPr="00FF4C0D">
        <w:rPr>
          <w:rFonts w:cs="Arial"/>
          <w:szCs w:val="22"/>
        </w:rPr>
        <w:t xml:space="preserve">either </w:t>
      </w:r>
      <w:r w:rsidR="000205E0" w:rsidRPr="00FF4C0D">
        <w:rPr>
          <w:rFonts w:cs="Arial"/>
          <w:szCs w:val="22"/>
        </w:rPr>
        <w:t xml:space="preserve">are based on a </w:t>
      </w:r>
      <w:r w:rsidRPr="00FF4C0D">
        <w:rPr>
          <w:rFonts w:cs="Arial"/>
          <w:szCs w:val="22"/>
        </w:rPr>
        <w:t>case-by-case or a generic approach (without any foods specifically listed) as adopted by Codex (</w:t>
      </w:r>
      <w:r w:rsidRPr="00FF4C0D">
        <w:rPr>
          <w:rFonts w:cs="Arial"/>
          <w:b/>
          <w:szCs w:val="22"/>
        </w:rPr>
        <w:t>see Table 1</w:t>
      </w:r>
      <w:r w:rsidRPr="00FF4C0D">
        <w:rPr>
          <w:rFonts w:cs="Arial"/>
          <w:szCs w:val="22"/>
        </w:rPr>
        <w:t xml:space="preserve">). </w:t>
      </w:r>
    </w:p>
    <w:p w:rsidR="00E539B0" w:rsidRPr="00FF4C0D" w:rsidRDefault="00E539B0" w:rsidP="00E539B0">
      <w:pPr>
        <w:rPr>
          <w:rFonts w:cs="Arial"/>
          <w:szCs w:val="22"/>
        </w:rPr>
      </w:pPr>
    </w:p>
    <w:p w:rsidR="002365DC" w:rsidRPr="00FF4C0D" w:rsidRDefault="002365DC" w:rsidP="00453853">
      <w:pPr>
        <w:widowControl/>
        <w:rPr>
          <w:rFonts w:eastAsia="Arial Unicode MS"/>
          <w:bCs/>
        </w:rPr>
      </w:pPr>
      <w:r w:rsidRPr="00FF4C0D">
        <w:rPr>
          <w:rFonts w:eastAsia="Arial Unicode MS"/>
          <w:bCs/>
          <w:szCs w:val="22"/>
        </w:rPr>
        <w:t xml:space="preserve">The 1983 Codex standard for irradiated foods </w:t>
      </w:r>
      <w:r w:rsidR="00BE5229" w:rsidRPr="00FF4C0D">
        <w:rPr>
          <w:rFonts w:eastAsia="Arial Unicode MS"/>
          <w:bCs/>
          <w:szCs w:val="22"/>
        </w:rPr>
        <w:t>(revised 2003) requires that</w:t>
      </w:r>
      <w:r w:rsidR="00CE7B3F" w:rsidRPr="00FF4C0D">
        <w:rPr>
          <w:rFonts w:eastAsia="Calibri" w:cs="Arial"/>
          <w:szCs w:val="22"/>
        </w:rPr>
        <w:t xml:space="preserve"> </w:t>
      </w:r>
      <w:r w:rsidR="00CE7B3F" w:rsidRPr="00FF4C0D">
        <w:rPr>
          <w:rFonts w:eastAsia="Arial Unicode MS"/>
          <w:bCs/>
          <w:szCs w:val="22"/>
        </w:rPr>
        <w:t>the maximum absorbed dose to a food should not exceed 10</w:t>
      </w:r>
      <w:r w:rsidR="000B3F9B" w:rsidRPr="00FF4C0D">
        <w:rPr>
          <w:rFonts w:eastAsia="Arial Unicode MS"/>
          <w:bCs/>
          <w:szCs w:val="22"/>
        </w:rPr>
        <w:t xml:space="preserve"> </w:t>
      </w:r>
      <w:r w:rsidR="00CE7B3F" w:rsidRPr="00FF4C0D">
        <w:rPr>
          <w:rFonts w:eastAsia="Arial Unicode MS"/>
          <w:bCs/>
          <w:szCs w:val="22"/>
        </w:rPr>
        <w:t>kGy, except when necessary to achieve a legitimate technological purpose</w:t>
      </w:r>
      <w:r w:rsidR="00256EE0" w:rsidRPr="00FF4C0D">
        <w:rPr>
          <w:rStyle w:val="FootnoteReference"/>
          <w:rFonts w:eastAsia="Arial Unicode MS"/>
          <w:bCs/>
          <w:szCs w:val="22"/>
        </w:rPr>
        <w:footnoteReference w:id="8"/>
      </w:r>
      <w:r w:rsidR="000C447B" w:rsidRPr="00FF4C0D">
        <w:rPr>
          <w:rFonts w:eastAsia="Arial Unicode MS"/>
          <w:bCs/>
          <w:szCs w:val="22"/>
        </w:rPr>
        <w:t xml:space="preserve">. </w:t>
      </w:r>
      <w:r w:rsidRPr="00FF4C0D">
        <w:rPr>
          <w:rFonts w:eastAsia="Arial Unicode MS"/>
          <w:bCs/>
        </w:rPr>
        <w:t xml:space="preserve">No specific foods are mentioned, although </w:t>
      </w:r>
      <w:r w:rsidR="00637272" w:rsidRPr="00FF4C0D">
        <w:rPr>
          <w:rFonts w:eastAsia="Arial Unicode MS"/>
          <w:bCs/>
        </w:rPr>
        <w:t>Standard 1.5.3</w:t>
      </w:r>
      <w:r w:rsidRPr="00FF4C0D">
        <w:rPr>
          <w:rFonts w:eastAsia="Arial Unicode MS"/>
          <w:bCs/>
        </w:rPr>
        <w:t xml:space="preserve"> states:</w:t>
      </w:r>
    </w:p>
    <w:p w:rsidR="002365DC" w:rsidRPr="00FF4C0D" w:rsidRDefault="002365DC" w:rsidP="002365DC">
      <w:pPr>
        <w:rPr>
          <w:rFonts w:eastAsia="Arial Unicode MS"/>
          <w:bCs/>
        </w:rPr>
      </w:pPr>
    </w:p>
    <w:p w:rsidR="002365DC" w:rsidRPr="00FF4C0D" w:rsidRDefault="002365DC" w:rsidP="00453853">
      <w:pPr>
        <w:pStyle w:val="FSBullet"/>
        <w:ind w:left="0" w:firstLine="0"/>
        <w:rPr>
          <w:rFonts w:eastAsia="Arial Unicode MS"/>
        </w:rPr>
      </w:pPr>
      <w:r w:rsidRPr="00FF4C0D">
        <w:rPr>
          <w:rFonts w:eastAsia="Arial Unicode MS"/>
        </w:rPr>
        <w:t>The irradiation of food is justified only where it fulfils a technological need or where it serves a food hygiene purpose and should not be used as a substitute for good manufacturing practices.</w:t>
      </w:r>
    </w:p>
    <w:p w:rsidR="002365DC" w:rsidRPr="00FF4C0D" w:rsidRDefault="002365DC" w:rsidP="00C7292D">
      <w:pPr>
        <w:rPr>
          <w:rFonts w:cs="Arial"/>
          <w:szCs w:val="22"/>
        </w:rPr>
      </w:pPr>
    </w:p>
    <w:p w:rsidR="00DF70AA" w:rsidRPr="00FF4C0D" w:rsidRDefault="00C7292D" w:rsidP="00030B18">
      <w:pPr>
        <w:widowControl/>
        <w:rPr>
          <w:b/>
          <w:bCs/>
          <w:i/>
          <w:szCs w:val="28"/>
        </w:rPr>
      </w:pPr>
      <w:r w:rsidRPr="00FF4C0D">
        <w:rPr>
          <w:b/>
        </w:rPr>
        <w:t>Table 1</w:t>
      </w:r>
      <w:r w:rsidR="003433AC" w:rsidRPr="00FF4C0D">
        <w:rPr>
          <w:b/>
        </w:rPr>
        <w:t xml:space="preserve">: </w:t>
      </w:r>
      <w:r w:rsidR="00DF70AA" w:rsidRPr="00FF4C0D">
        <w:rPr>
          <w:b/>
        </w:rPr>
        <w:t xml:space="preserve"> Summary of permissions for irradiated foods </w:t>
      </w:r>
    </w:p>
    <w:p w:rsidR="00DF70AA" w:rsidRPr="00FF4C0D" w:rsidRDefault="00DF70AA" w:rsidP="00DF70AA">
      <w:pPr>
        <w:rPr>
          <w:rFonts w:eastAsia="Arial Unicode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8"/>
        <w:gridCol w:w="5600"/>
        <w:gridCol w:w="1836"/>
      </w:tblGrid>
      <w:tr w:rsidR="00C7292D" w:rsidRPr="00FF4C0D" w:rsidTr="00930078">
        <w:trPr>
          <w:tblHeader/>
        </w:trPr>
        <w:tc>
          <w:tcPr>
            <w:tcW w:w="1738" w:type="dxa"/>
            <w:shd w:val="clear" w:color="auto" w:fill="D6E3BC" w:themeFill="accent3" w:themeFillTint="66"/>
            <w:vAlign w:val="center"/>
          </w:tcPr>
          <w:p w:rsidR="00C7292D" w:rsidRPr="00FF4C0D" w:rsidRDefault="00C7292D" w:rsidP="00F364EA">
            <w:pPr>
              <w:rPr>
                <w:rFonts w:eastAsia="Arial Unicode MS" w:cs="Arial"/>
                <w:b/>
                <w:sz w:val="20"/>
                <w:szCs w:val="20"/>
              </w:rPr>
            </w:pPr>
            <w:r w:rsidRPr="00FF4C0D">
              <w:rPr>
                <w:rFonts w:eastAsia="Arial Unicode MS" w:cs="Arial"/>
                <w:b/>
                <w:sz w:val="20"/>
                <w:szCs w:val="20"/>
              </w:rPr>
              <w:t>Country</w:t>
            </w:r>
          </w:p>
        </w:tc>
        <w:tc>
          <w:tcPr>
            <w:tcW w:w="5600" w:type="dxa"/>
            <w:shd w:val="clear" w:color="auto" w:fill="D6E3BC" w:themeFill="accent3" w:themeFillTint="66"/>
            <w:vAlign w:val="center"/>
          </w:tcPr>
          <w:p w:rsidR="00C7292D" w:rsidRPr="00FF4C0D" w:rsidRDefault="00C7292D" w:rsidP="00F364EA">
            <w:pPr>
              <w:rPr>
                <w:rFonts w:eastAsia="Arial Unicode MS" w:cs="Arial"/>
                <w:b/>
                <w:sz w:val="20"/>
                <w:szCs w:val="20"/>
              </w:rPr>
            </w:pPr>
            <w:r w:rsidRPr="00FF4C0D">
              <w:rPr>
                <w:rFonts w:eastAsia="Arial Unicode MS" w:cs="Arial"/>
                <w:b/>
                <w:sz w:val="20"/>
                <w:szCs w:val="20"/>
              </w:rPr>
              <w:t>Food</w:t>
            </w:r>
          </w:p>
        </w:tc>
        <w:tc>
          <w:tcPr>
            <w:tcW w:w="1836" w:type="dxa"/>
            <w:shd w:val="clear" w:color="auto" w:fill="D6E3BC" w:themeFill="accent3" w:themeFillTint="66"/>
            <w:vAlign w:val="center"/>
          </w:tcPr>
          <w:p w:rsidR="00C7292D" w:rsidRPr="00FF4C0D" w:rsidRDefault="00C7292D" w:rsidP="00F364EA">
            <w:pPr>
              <w:rPr>
                <w:rFonts w:eastAsia="Arial Unicode MS" w:cs="Arial"/>
                <w:b/>
                <w:sz w:val="20"/>
                <w:szCs w:val="20"/>
              </w:rPr>
            </w:pPr>
            <w:r w:rsidRPr="00FF4C0D">
              <w:rPr>
                <w:rFonts w:eastAsia="Arial Unicode MS" w:cs="Arial"/>
                <w:b/>
                <w:sz w:val="20"/>
                <w:szCs w:val="20"/>
              </w:rPr>
              <w:t>Dose</w:t>
            </w:r>
            <w:r w:rsidR="00295067" w:rsidRPr="00FF4C0D">
              <w:rPr>
                <w:rFonts w:eastAsia="Arial Unicode MS" w:cs="Arial"/>
                <w:b/>
                <w:sz w:val="20"/>
                <w:szCs w:val="20"/>
              </w:rPr>
              <w:t xml:space="preserve"> range</w:t>
            </w:r>
            <w:r w:rsidRPr="00FF4C0D">
              <w:rPr>
                <w:rFonts w:eastAsia="Arial Unicode MS" w:cs="Arial"/>
                <w:b/>
                <w:sz w:val="20"/>
                <w:szCs w:val="20"/>
              </w:rPr>
              <w:t xml:space="preserve"> (kGy)</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European Union</w:t>
            </w:r>
          </w:p>
        </w:tc>
        <w:tc>
          <w:tcPr>
            <w:tcW w:w="5600" w:type="dxa"/>
          </w:tcPr>
          <w:p w:rsidR="00C7292D" w:rsidRPr="00FF4C0D" w:rsidRDefault="00C7292D" w:rsidP="00377183">
            <w:pPr>
              <w:rPr>
                <w:rFonts w:eastAsia="Arial Unicode MS" w:cs="Arial"/>
                <w:sz w:val="18"/>
                <w:szCs w:val="18"/>
              </w:rPr>
            </w:pPr>
            <w:r w:rsidRPr="00FF4C0D">
              <w:rPr>
                <w:rFonts w:eastAsia="Arial Unicode MS" w:cs="Arial"/>
                <w:sz w:val="18"/>
                <w:szCs w:val="18"/>
              </w:rPr>
              <w:t>Dried aromatic herbs, spices and vegetable seasonings</w:t>
            </w:r>
          </w:p>
        </w:tc>
        <w:tc>
          <w:tcPr>
            <w:tcW w:w="1836" w:type="dxa"/>
          </w:tcPr>
          <w:p w:rsidR="00C7292D" w:rsidRPr="00FF4C0D" w:rsidRDefault="00C7292D" w:rsidP="00377183">
            <w:pPr>
              <w:rPr>
                <w:rFonts w:eastAsia="Arial Unicode MS" w:cs="Arial"/>
                <w:sz w:val="18"/>
                <w:szCs w:val="18"/>
              </w:rPr>
            </w:pPr>
            <w:r w:rsidRPr="00FF4C0D">
              <w:rPr>
                <w:rFonts w:eastAsia="Arial Unicode MS" w:cs="Arial"/>
                <w:sz w:val="18"/>
                <w:szCs w:val="18"/>
              </w:rPr>
              <w:t xml:space="preserve">10 </w:t>
            </w:r>
          </w:p>
        </w:tc>
      </w:tr>
      <w:tr w:rsidR="00C7292D" w:rsidRPr="00FF4C0D" w:rsidTr="003433AC">
        <w:trPr>
          <w:cantSplit/>
        </w:trPr>
        <w:tc>
          <w:tcPr>
            <w:tcW w:w="1738" w:type="dxa"/>
          </w:tcPr>
          <w:p w:rsidR="002D2567" w:rsidRPr="00FF4C0D" w:rsidRDefault="00FE2A64" w:rsidP="002D2567">
            <w:pPr>
              <w:rPr>
                <w:rFonts w:cs="Arial"/>
                <w:sz w:val="18"/>
                <w:szCs w:val="18"/>
              </w:rPr>
            </w:pPr>
            <w:r w:rsidRPr="00FF4C0D">
              <w:rPr>
                <w:rFonts w:eastAsia="Arial Unicode MS" w:cs="Arial"/>
                <w:sz w:val="18"/>
                <w:szCs w:val="18"/>
              </w:rPr>
              <w:t>Canada</w:t>
            </w:r>
            <w:r w:rsidR="002D2567" w:rsidRPr="00FF4C0D">
              <w:rPr>
                <w:rStyle w:val="FootnoteReference"/>
                <w:rFonts w:cs="Arial"/>
                <w:sz w:val="18"/>
                <w:szCs w:val="18"/>
              </w:rPr>
              <w:footnoteReference w:id="9"/>
            </w:r>
          </w:p>
          <w:p w:rsidR="00C7292D" w:rsidRPr="00FF4C0D" w:rsidRDefault="00C7292D" w:rsidP="00377183">
            <w:pPr>
              <w:rPr>
                <w:rFonts w:eastAsia="Arial Unicode MS" w:cs="Arial"/>
                <w:sz w:val="18"/>
                <w:szCs w:val="18"/>
              </w:rPr>
            </w:pPr>
          </w:p>
        </w:tc>
        <w:tc>
          <w:tcPr>
            <w:tcW w:w="5600" w:type="dxa"/>
          </w:tcPr>
          <w:p w:rsidR="00F2003E" w:rsidRPr="00FF4C0D" w:rsidRDefault="00FE2A64" w:rsidP="00377183">
            <w:pPr>
              <w:rPr>
                <w:rFonts w:cs="Arial"/>
                <w:sz w:val="18"/>
                <w:szCs w:val="18"/>
              </w:rPr>
            </w:pPr>
            <w:r w:rsidRPr="00FF4C0D">
              <w:rPr>
                <w:rFonts w:cs="Arial"/>
                <w:sz w:val="18"/>
                <w:szCs w:val="18"/>
              </w:rPr>
              <w:t>Onions</w:t>
            </w:r>
          </w:p>
          <w:p w:rsidR="008D1506" w:rsidRPr="00FF4C0D" w:rsidRDefault="00FE2A64" w:rsidP="00377183">
            <w:pPr>
              <w:rPr>
                <w:rFonts w:cs="Arial"/>
                <w:sz w:val="18"/>
                <w:szCs w:val="18"/>
              </w:rPr>
            </w:pPr>
            <w:r w:rsidRPr="00FF4C0D">
              <w:rPr>
                <w:rFonts w:cs="Arial"/>
                <w:sz w:val="18"/>
                <w:szCs w:val="18"/>
              </w:rPr>
              <w:t>Potatoes</w:t>
            </w:r>
          </w:p>
          <w:p w:rsidR="008D1506" w:rsidRPr="00FF4C0D" w:rsidRDefault="00FE2A64" w:rsidP="00377183">
            <w:pPr>
              <w:rPr>
                <w:rFonts w:cs="Arial"/>
                <w:sz w:val="18"/>
                <w:szCs w:val="18"/>
              </w:rPr>
            </w:pPr>
            <w:r w:rsidRPr="00FF4C0D">
              <w:rPr>
                <w:rFonts w:cs="Arial"/>
                <w:sz w:val="18"/>
                <w:szCs w:val="18"/>
              </w:rPr>
              <w:t>Wheat, flour, whole wheat flour</w:t>
            </w:r>
          </w:p>
          <w:p w:rsidR="00C7292D" w:rsidRPr="00FF4C0D" w:rsidRDefault="00FE2A64" w:rsidP="00377183">
            <w:pPr>
              <w:rPr>
                <w:rFonts w:cs="Arial"/>
                <w:sz w:val="18"/>
                <w:szCs w:val="18"/>
              </w:rPr>
            </w:pPr>
            <w:r w:rsidRPr="00FF4C0D">
              <w:rPr>
                <w:rFonts w:cs="Arial"/>
                <w:sz w:val="18"/>
                <w:szCs w:val="18"/>
              </w:rPr>
              <w:t>Whole or ground spices and dehydrated seasonings</w:t>
            </w:r>
          </w:p>
          <w:p w:rsidR="00C7292D" w:rsidRPr="00FF4C0D" w:rsidRDefault="00E775E3" w:rsidP="00377183">
            <w:pPr>
              <w:rPr>
                <w:rFonts w:cs="Arial"/>
                <w:sz w:val="18"/>
                <w:szCs w:val="18"/>
              </w:rPr>
            </w:pPr>
            <w:r w:rsidRPr="00FF4C0D">
              <w:rPr>
                <w:rFonts w:cs="Arial"/>
                <w:sz w:val="18"/>
                <w:szCs w:val="18"/>
              </w:rPr>
              <w:t>Fresh Beef to control microbial decontamination</w:t>
            </w:r>
          </w:p>
          <w:p w:rsidR="00C7292D" w:rsidRPr="00FF4C0D" w:rsidRDefault="00FE2A64" w:rsidP="00377183">
            <w:pPr>
              <w:rPr>
                <w:rFonts w:cs="Arial"/>
                <w:sz w:val="18"/>
                <w:szCs w:val="18"/>
              </w:rPr>
            </w:pPr>
            <w:r w:rsidRPr="00FF4C0D">
              <w:rPr>
                <w:rFonts w:cs="Arial"/>
                <w:sz w:val="18"/>
                <w:szCs w:val="18"/>
              </w:rPr>
              <w:t>Frozen ground beef to control microbial decontamination</w:t>
            </w:r>
          </w:p>
          <w:p w:rsidR="00C7292D" w:rsidRPr="00FF4C0D" w:rsidRDefault="00FE2A64" w:rsidP="00377183">
            <w:pPr>
              <w:rPr>
                <w:rFonts w:cs="Arial"/>
                <w:sz w:val="18"/>
                <w:szCs w:val="18"/>
              </w:rPr>
            </w:pPr>
            <w:r w:rsidRPr="00FF4C0D">
              <w:rPr>
                <w:rFonts w:cs="Arial"/>
                <w:sz w:val="18"/>
                <w:szCs w:val="18"/>
              </w:rPr>
              <w:t>Poultry to control microbial decontamination</w:t>
            </w:r>
          </w:p>
          <w:p w:rsidR="00C7292D" w:rsidRPr="00FF4C0D" w:rsidRDefault="00FE2A64" w:rsidP="00377183">
            <w:pPr>
              <w:rPr>
                <w:rFonts w:cs="Arial"/>
                <w:sz w:val="18"/>
                <w:szCs w:val="18"/>
              </w:rPr>
            </w:pPr>
            <w:r w:rsidRPr="00FF4C0D">
              <w:rPr>
                <w:rFonts w:cs="Arial"/>
                <w:sz w:val="18"/>
                <w:szCs w:val="18"/>
              </w:rPr>
              <w:t>Shrimp and Prawns to control microbial decontamination</w:t>
            </w:r>
          </w:p>
          <w:p w:rsidR="00C7292D" w:rsidRPr="00FF4C0D" w:rsidRDefault="00FE2A64" w:rsidP="00377183">
            <w:pPr>
              <w:rPr>
                <w:rFonts w:cs="Arial"/>
                <w:sz w:val="18"/>
                <w:szCs w:val="18"/>
              </w:rPr>
            </w:pPr>
            <w:r w:rsidRPr="00FF4C0D">
              <w:rPr>
                <w:rFonts w:cs="Arial"/>
                <w:sz w:val="18"/>
                <w:szCs w:val="18"/>
              </w:rPr>
              <w:t>Mangoes (Disinfestation)</w:t>
            </w:r>
          </w:p>
        </w:tc>
        <w:tc>
          <w:tcPr>
            <w:tcW w:w="1836" w:type="dxa"/>
          </w:tcPr>
          <w:p w:rsidR="00C7292D" w:rsidRPr="00FF4C0D" w:rsidRDefault="00FE2A64" w:rsidP="00377183">
            <w:pPr>
              <w:rPr>
                <w:rFonts w:eastAsia="Arial Unicode MS" w:cs="Arial"/>
                <w:sz w:val="18"/>
                <w:szCs w:val="18"/>
              </w:rPr>
            </w:pPr>
            <w:r w:rsidRPr="00FF4C0D">
              <w:rPr>
                <w:rFonts w:eastAsia="Arial Unicode MS" w:cs="Arial"/>
                <w:sz w:val="18"/>
                <w:szCs w:val="18"/>
              </w:rPr>
              <w:t>0.15</w:t>
            </w:r>
          </w:p>
          <w:p w:rsidR="00C7292D" w:rsidRPr="00FF4C0D" w:rsidRDefault="00000DA7" w:rsidP="00377183">
            <w:pPr>
              <w:rPr>
                <w:rFonts w:eastAsia="Arial Unicode MS" w:cs="Arial"/>
                <w:sz w:val="18"/>
                <w:szCs w:val="18"/>
              </w:rPr>
            </w:pPr>
            <w:r w:rsidRPr="00FF4C0D">
              <w:rPr>
                <w:rFonts w:eastAsia="Arial Unicode MS" w:cs="Arial"/>
                <w:sz w:val="18"/>
                <w:szCs w:val="18"/>
              </w:rPr>
              <w:t>0.</w:t>
            </w:r>
            <w:r w:rsidR="004C0EF3" w:rsidRPr="00FF4C0D">
              <w:rPr>
                <w:rFonts w:eastAsia="Arial Unicode MS" w:cs="Arial"/>
                <w:sz w:val="18"/>
                <w:szCs w:val="18"/>
              </w:rPr>
              <w:t>15</w:t>
            </w:r>
          </w:p>
          <w:p w:rsidR="008D1506" w:rsidRPr="00FF4C0D" w:rsidRDefault="004C0EF3" w:rsidP="00377183">
            <w:pPr>
              <w:rPr>
                <w:rFonts w:eastAsia="Arial Unicode MS" w:cs="Arial"/>
                <w:sz w:val="18"/>
                <w:szCs w:val="18"/>
              </w:rPr>
            </w:pPr>
            <w:r w:rsidRPr="00FF4C0D">
              <w:rPr>
                <w:rFonts w:eastAsia="Arial Unicode MS" w:cs="Arial"/>
                <w:sz w:val="18"/>
                <w:szCs w:val="18"/>
              </w:rPr>
              <w:t>0.75</w:t>
            </w:r>
          </w:p>
          <w:p w:rsidR="00C7292D" w:rsidRPr="00FF4C0D" w:rsidRDefault="003D62A8" w:rsidP="00377183">
            <w:pPr>
              <w:rPr>
                <w:rFonts w:eastAsia="Arial Unicode MS" w:cs="Arial"/>
                <w:sz w:val="18"/>
                <w:szCs w:val="18"/>
              </w:rPr>
            </w:pPr>
            <w:r w:rsidRPr="00FF4C0D">
              <w:rPr>
                <w:rFonts w:eastAsia="Arial Unicode MS" w:cs="Arial"/>
                <w:sz w:val="18"/>
                <w:szCs w:val="18"/>
              </w:rPr>
              <w:t>10</w:t>
            </w:r>
          </w:p>
          <w:p w:rsidR="00C7292D" w:rsidRPr="00FF4C0D" w:rsidRDefault="00FE2A64" w:rsidP="00377183">
            <w:pPr>
              <w:rPr>
                <w:rFonts w:eastAsia="Arial Unicode MS" w:cs="Arial"/>
                <w:sz w:val="18"/>
                <w:szCs w:val="18"/>
              </w:rPr>
            </w:pPr>
            <w:r w:rsidRPr="00FF4C0D">
              <w:rPr>
                <w:rFonts w:eastAsia="Arial Unicode MS" w:cs="Arial"/>
                <w:sz w:val="18"/>
                <w:szCs w:val="18"/>
              </w:rPr>
              <w:t>1.5 to 4.5</w:t>
            </w:r>
          </w:p>
          <w:p w:rsidR="00C7292D" w:rsidRPr="00FF4C0D" w:rsidRDefault="00FE2A64" w:rsidP="00377183">
            <w:pPr>
              <w:rPr>
                <w:rFonts w:eastAsia="Arial Unicode MS" w:cs="Arial"/>
                <w:sz w:val="18"/>
                <w:szCs w:val="18"/>
              </w:rPr>
            </w:pPr>
            <w:r w:rsidRPr="00FF4C0D">
              <w:rPr>
                <w:rFonts w:eastAsia="Arial Unicode MS" w:cs="Arial"/>
                <w:sz w:val="18"/>
                <w:szCs w:val="18"/>
              </w:rPr>
              <w:t>2.0 to 7</w:t>
            </w:r>
          </w:p>
          <w:p w:rsidR="00C7292D" w:rsidRPr="00FF4C0D" w:rsidRDefault="00FE2A64" w:rsidP="00377183">
            <w:pPr>
              <w:rPr>
                <w:rFonts w:eastAsia="Arial Unicode MS" w:cs="Arial"/>
                <w:sz w:val="18"/>
                <w:szCs w:val="18"/>
              </w:rPr>
            </w:pPr>
            <w:r w:rsidRPr="00FF4C0D">
              <w:rPr>
                <w:rFonts w:eastAsia="Arial Unicode MS" w:cs="Arial"/>
                <w:sz w:val="18"/>
                <w:szCs w:val="18"/>
              </w:rPr>
              <w:t>1.5 to 3</w:t>
            </w:r>
          </w:p>
          <w:p w:rsidR="00C7292D" w:rsidRPr="00FF4C0D" w:rsidRDefault="00FE2A64" w:rsidP="00377183">
            <w:pPr>
              <w:rPr>
                <w:rFonts w:eastAsia="Arial Unicode MS" w:cs="Arial"/>
                <w:sz w:val="18"/>
                <w:szCs w:val="18"/>
              </w:rPr>
            </w:pPr>
            <w:r w:rsidRPr="00FF4C0D">
              <w:rPr>
                <w:rFonts w:eastAsia="Arial Unicode MS" w:cs="Arial"/>
                <w:sz w:val="18"/>
                <w:szCs w:val="18"/>
              </w:rPr>
              <w:t>1.5 to 5</w:t>
            </w:r>
          </w:p>
          <w:p w:rsidR="00C7292D" w:rsidRPr="00FF4C0D" w:rsidRDefault="00FE2A64" w:rsidP="00377183">
            <w:pPr>
              <w:rPr>
                <w:rFonts w:eastAsia="Arial Unicode MS" w:cs="Arial"/>
                <w:sz w:val="18"/>
                <w:szCs w:val="18"/>
              </w:rPr>
            </w:pPr>
            <w:r w:rsidRPr="00FF4C0D">
              <w:rPr>
                <w:rFonts w:eastAsia="Arial Unicode MS" w:cs="Arial"/>
                <w:sz w:val="18"/>
                <w:szCs w:val="18"/>
              </w:rPr>
              <w:t>0.15 to 1</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USA</w:t>
            </w:r>
            <w:r w:rsidR="00D3161D" w:rsidRPr="00FF4C0D">
              <w:rPr>
                <w:rStyle w:val="FootnoteReference"/>
                <w:rFonts w:eastAsia="Arial Unicode MS" w:cs="Arial"/>
                <w:sz w:val="18"/>
                <w:szCs w:val="18"/>
              </w:rPr>
              <w:footnoteReference w:id="10"/>
            </w:r>
          </w:p>
        </w:tc>
        <w:tc>
          <w:tcPr>
            <w:tcW w:w="5600" w:type="dxa"/>
          </w:tcPr>
          <w:p w:rsidR="00C7292D" w:rsidRPr="00FF4C0D" w:rsidRDefault="00C7292D" w:rsidP="00377183">
            <w:pPr>
              <w:rPr>
                <w:rFonts w:cs="Arial"/>
                <w:sz w:val="18"/>
                <w:szCs w:val="18"/>
              </w:rPr>
            </w:pPr>
            <w:r w:rsidRPr="00FF4C0D">
              <w:rPr>
                <w:rFonts w:eastAsia="Arial Unicode MS" w:cs="Arial"/>
                <w:sz w:val="18"/>
                <w:szCs w:val="18"/>
              </w:rPr>
              <w:t>Fruit and vegetables (</w:t>
            </w:r>
            <w:r w:rsidRPr="00FF4C0D">
              <w:rPr>
                <w:rFonts w:cs="Arial"/>
                <w:sz w:val="18"/>
                <w:szCs w:val="18"/>
              </w:rPr>
              <w:t>to control insects and other arthropods and to inhibit maturation (</w:t>
            </w:r>
            <w:r w:rsidRPr="00FF4C0D">
              <w:rPr>
                <w:rFonts w:cs="Arial"/>
                <w:i/>
                <w:iCs/>
                <w:sz w:val="18"/>
                <w:szCs w:val="18"/>
              </w:rPr>
              <w:t>e.g.</w:t>
            </w:r>
            <w:r w:rsidRPr="00FF4C0D">
              <w:rPr>
                <w:rFonts w:cs="Arial"/>
                <w:sz w:val="18"/>
                <w:szCs w:val="18"/>
              </w:rPr>
              <w:t>, ripening or sprouting)</w:t>
            </w:r>
          </w:p>
          <w:p w:rsidR="00C7292D" w:rsidRPr="00FF4C0D" w:rsidRDefault="00A36432" w:rsidP="00377183">
            <w:pPr>
              <w:rPr>
                <w:rFonts w:cs="Arial"/>
                <w:sz w:val="18"/>
                <w:szCs w:val="18"/>
              </w:rPr>
            </w:pPr>
            <w:r w:rsidRPr="00FF4C0D">
              <w:rPr>
                <w:rFonts w:cs="Arial"/>
                <w:sz w:val="18"/>
                <w:szCs w:val="18"/>
              </w:rPr>
              <w:t>Poultry to control f</w:t>
            </w:r>
            <w:r w:rsidR="00C7292D" w:rsidRPr="00FF4C0D">
              <w:rPr>
                <w:rFonts w:cs="Arial"/>
                <w:sz w:val="18"/>
                <w:szCs w:val="18"/>
              </w:rPr>
              <w:t>oodborne pathogens</w:t>
            </w:r>
          </w:p>
          <w:p w:rsidR="00C7292D" w:rsidRPr="00FF4C0D" w:rsidRDefault="00C7292D" w:rsidP="00377183">
            <w:pPr>
              <w:rPr>
                <w:rFonts w:cs="Arial"/>
                <w:sz w:val="18"/>
                <w:szCs w:val="18"/>
              </w:rPr>
            </w:pPr>
            <w:r w:rsidRPr="00FF4C0D">
              <w:rPr>
                <w:rFonts w:cs="Arial"/>
                <w:sz w:val="18"/>
                <w:szCs w:val="18"/>
              </w:rPr>
              <w:t>Beef (Refrigerated) to control microbial decontamination</w:t>
            </w:r>
          </w:p>
          <w:p w:rsidR="00C7292D" w:rsidRPr="00FF4C0D" w:rsidRDefault="00C7292D" w:rsidP="00377183">
            <w:pPr>
              <w:rPr>
                <w:rFonts w:cs="Arial"/>
                <w:sz w:val="18"/>
                <w:szCs w:val="18"/>
              </w:rPr>
            </w:pPr>
            <w:r w:rsidRPr="00FF4C0D">
              <w:rPr>
                <w:rFonts w:cs="Arial"/>
                <w:sz w:val="18"/>
                <w:szCs w:val="18"/>
              </w:rPr>
              <w:t>Beef (Frozen) to control microbial decontamination</w:t>
            </w:r>
          </w:p>
          <w:p w:rsidR="00C7292D" w:rsidRPr="00FF4C0D" w:rsidRDefault="00C7292D" w:rsidP="00377183">
            <w:pPr>
              <w:rPr>
                <w:rFonts w:cs="Arial"/>
                <w:sz w:val="18"/>
                <w:szCs w:val="18"/>
              </w:rPr>
            </w:pPr>
            <w:r w:rsidRPr="00FF4C0D">
              <w:rPr>
                <w:rFonts w:cs="Arial"/>
                <w:sz w:val="18"/>
                <w:szCs w:val="18"/>
              </w:rPr>
              <w:t>Dry or dehydrated aromatic substances (</w:t>
            </w:r>
            <w:r w:rsidRPr="00FF4C0D">
              <w:rPr>
                <w:rFonts w:cs="Arial"/>
                <w:i/>
                <w:iCs/>
                <w:sz w:val="18"/>
                <w:szCs w:val="18"/>
              </w:rPr>
              <w:t>e.g.</w:t>
            </w:r>
            <w:r w:rsidRPr="00FF4C0D">
              <w:rPr>
                <w:rFonts w:cs="Arial"/>
                <w:sz w:val="18"/>
                <w:szCs w:val="18"/>
              </w:rPr>
              <w:t>, spices and seasonings) to control microorganisms</w:t>
            </w:r>
          </w:p>
          <w:p w:rsidR="00C7292D" w:rsidRPr="00FF4C0D" w:rsidRDefault="00C7292D" w:rsidP="00377183">
            <w:pPr>
              <w:rPr>
                <w:rFonts w:cs="Arial"/>
                <w:sz w:val="18"/>
                <w:szCs w:val="18"/>
              </w:rPr>
            </w:pPr>
            <w:r w:rsidRPr="00FF4C0D">
              <w:rPr>
                <w:rFonts w:cs="Arial"/>
                <w:sz w:val="18"/>
                <w:szCs w:val="18"/>
              </w:rPr>
              <w:t>Fresh foods to control microorganisms</w:t>
            </w:r>
          </w:p>
          <w:p w:rsidR="00C7292D" w:rsidRPr="00FF4C0D" w:rsidRDefault="00C7292D" w:rsidP="00377183">
            <w:pPr>
              <w:rPr>
                <w:rFonts w:cs="Arial"/>
                <w:sz w:val="18"/>
                <w:szCs w:val="18"/>
              </w:rPr>
            </w:pPr>
            <w:r w:rsidRPr="00FF4C0D">
              <w:rPr>
                <w:rFonts w:cs="Arial"/>
                <w:sz w:val="18"/>
                <w:szCs w:val="18"/>
              </w:rPr>
              <w:t>Eggs for control of salmonella</w:t>
            </w:r>
          </w:p>
        </w:tc>
        <w:tc>
          <w:tcPr>
            <w:tcW w:w="1836" w:type="dxa"/>
          </w:tcPr>
          <w:p w:rsidR="00C7292D" w:rsidRPr="00FF4C0D" w:rsidRDefault="00C7292D" w:rsidP="00377183">
            <w:pPr>
              <w:rPr>
                <w:rFonts w:eastAsia="Arial Unicode MS" w:cs="Arial"/>
                <w:sz w:val="18"/>
                <w:szCs w:val="18"/>
              </w:rPr>
            </w:pPr>
          </w:p>
          <w:p w:rsidR="00C7292D" w:rsidRPr="00FF4C0D" w:rsidRDefault="004545C8" w:rsidP="00377183">
            <w:pPr>
              <w:rPr>
                <w:rFonts w:eastAsia="Arial Unicode MS" w:cs="Arial"/>
                <w:sz w:val="18"/>
                <w:szCs w:val="18"/>
              </w:rPr>
            </w:pPr>
            <w:r w:rsidRPr="00FF4C0D">
              <w:rPr>
                <w:rFonts w:eastAsia="Arial Unicode MS" w:cs="Arial"/>
                <w:sz w:val="18"/>
                <w:szCs w:val="18"/>
              </w:rPr>
              <w:t>1</w:t>
            </w:r>
          </w:p>
          <w:p w:rsidR="00C7292D" w:rsidRPr="00FF4C0D" w:rsidRDefault="00C7292D" w:rsidP="00377183">
            <w:pPr>
              <w:rPr>
                <w:rFonts w:eastAsia="Arial Unicode MS" w:cs="Arial"/>
                <w:sz w:val="18"/>
                <w:szCs w:val="18"/>
              </w:rPr>
            </w:pPr>
            <w:r w:rsidRPr="00FF4C0D">
              <w:rPr>
                <w:rFonts w:eastAsia="Arial Unicode MS" w:cs="Arial"/>
                <w:sz w:val="18"/>
                <w:szCs w:val="18"/>
              </w:rPr>
              <w:t>3</w:t>
            </w:r>
          </w:p>
          <w:p w:rsidR="00C7292D" w:rsidRPr="00FF4C0D" w:rsidRDefault="00C7292D" w:rsidP="00377183">
            <w:pPr>
              <w:rPr>
                <w:rFonts w:eastAsia="Arial Unicode MS" w:cs="Arial"/>
                <w:sz w:val="18"/>
                <w:szCs w:val="18"/>
              </w:rPr>
            </w:pPr>
            <w:r w:rsidRPr="00FF4C0D">
              <w:rPr>
                <w:rFonts w:eastAsia="Arial Unicode MS" w:cs="Arial"/>
                <w:sz w:val="18"/>
                <w:szCs w:val="18"/>
              </w:rPr>
              <w:t>4.5</w:t>
            </w:r>
          </w:p>
          <w:p w:rsidR="00A36432" w:rsidRPr="00FF4C0D" w:rsidRDefault="00C7292D" w:rsidP="00377183">
            <w:pPr>
              <w:rPr>
                <w:rFonts w:eastAsia="Arial Unicode MS" w:cs="Arial"/>
                <w:sz w:val="18"/>
                <w:szCs w:val="18"/>
              </w:rPr>
            </w:pPr>
            <w:r w:rsidRPr="00FF4C0D">
              <w:rPr>
                <w:rFonts w:eastAsia="Arial Unicode MS" w:cs="Arial"/>
                <w:sz w:val="18"/>
                <w:szCs w:val="18"/>
              </w:rPr>
              <w:t>7</w:t>
            </w:r>
          </w:p>
          <w:p w:rsidR="00C7292D" w:rsidRPr="00FF4C0D" w:rsidRDefault="00C7292D" w:rsidP="00377183">
            <w:pPr>
              <w:rPr>
                <w:rFonts w:eastAsia="Arial Unicode MS" w:cs="Arial"/>
                <w:sz w:val="18"/>
                <w:szCs w:val="18"/>
              </w:rPr>
            </w:pPr>
            <w:r w:rsidRPr="00FF4C0D">
              <w:rPr>
                <w:rFonts w:eastAsia="Arial Unicode MS" w:cs="Arial"/>
                <w:sz w:val="18"/>
                <w:szCs w:val="18"/>
              </w:rPr>
              <w:t xml:space="preserve"> </w:t>
            </w:r>
          </w:p>
          <w:p w:rsidR="00C7292D" w:rsidRPr="00FF4C0D" w:rsidRDefault="004545C8" w:rsidP="00377183">
            <w:pPr>
              <w:rPr>
                <w:rFonts w:eastAsia="Arial Unicode MS" w:cs="Arial"/>
                <w:sz w:val="18"/>
                <w:szCs w:val="18"/>
              </w:rPr>
            </w:pPr>
            <w:r w:rsidRPr="00FF4C0D">
              <w:rPr>
                <w:rFonts w:eastAsia="Arial Unicode MS" w:cs="Arial"/>
                <w:sz w:val="18"/>
                <w:szCs w:val="18"/>
              </w:rPr>
              <w:t>30</w:t>
            </w:r>
          </w:p>
          <w:p w:rsidR="00C7292D" w:rsidRPr="00FF4C0D" w:rsidRDefault="00C7292D" w:rsidP="00377183">
            <w:pPr>
              <w:rPr>
                <w:rFonts w:eastAsia="Arial Unicode MS" w:cs="Arial"/>
                <w:sz w:val="18"/>
                <w:szCs w:val="18"/>
              </w:rPr>
            </w:pPr>
            <w:r w:rsidRPr="00FF4C0D">
              <w:rPr>
                <w:rFonts w:eastAsia="Arial Unicode MS" w:cs="Arial"/>
                <w:sz w:val="18"/>
                <w:szCs w:val="18"/>
              </w:rPr>
              <w:t>1</w:t>
            </w:r>
          </w:p>
          <w:p w:rsidR="00C7292D" w:rsidRPr="00FF4C0D" w:rsidRDefault="00C7292D" w:rsidP="00377183">
            <w:pPr>
              <w:rPr>
                <w:rFonts w:eastAsia="Arial Unicode MS" w:cs="Arial"/>
                <w:sz w:val="18"/>
                <w:szCs w:val="18"/>
              </w:rPr>
            </w:pPr>
            <w:r w:rsidRPr="00FF4C0D">
              <w:rPr>
                <w:rFonts w:eastAsia="Arial Unicode MS" w:cs="Arial"/>
                <w:sz w:val="18"/>
                <w:szCs w:val="18"/>
              </w:rPr>
              <w:t>3.0</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Australia/New Zealand</w:t>
            </w:r>
          </w:p>
        </w:tc>
        <w:tc>
          <w:tcPr>
            <w:tcW w:w="5600" w:type="dxa"/>
          </w:tcPr>
          <w:p w:rsidR="00C7292D" w:rsidRPr="00FF4C0D" w:rsidRDefault="00C7292D" w:rsidP="00377183">
            <w:pPr>
              <w:rPr>
                <w:rFonts w:cs="Arial"/>
                <w:sz w:val="18"/>
                <w:szCs w:val="18"/>
              </w:rPr>
            </w:pPr>
            <w:r w:rsidRPr="00FF4C0D">
              <w:rPr>
                <w:rFonts w:cs="Arial"/>
                <w:sz w:val="18"/>
                <w:szCs w:val="18"/>
              </w:rPr>
              <w:t>Herbs, spices and herbal infusions (Disinfestation or decontamination)</w:t>
            </w:r>
          </w:p>
          <w:p w:rsidR="00C7292D" w:rsidRPr="00FF4C0D" w:rsidRDefault="00C7292D" w:rsidP="00377183">
            <w:pPr>
              <w:rPr>
                <w:rFonts w:cs="Arial"/>
                <w:sz w:val="18"/>
                <w:szCs w:val="18"/>
              </w:rPr>
            </w:pPr>
            <w:r w:rsidRPr="00FF4C0D">
              <w:rPr>
                <w:rFonts w:cs="Arial"/>
                <w:sz w:val="18"/>
                <w:szCs w:val="18"/>
              </w:rPr>
              <w:t>Tropical fruits (mango, breadfruit, carambola, custard apple, litchi, longan, mangosteen, papaya and rambutan) to control pests of quarantine concern</w:t>
            </w:r>
          </w:p>
        </w:tc>
        <w:tc>
          <w:tcPr>
            <w:tcW w:w="1836" w:type="dxa"/>
          </w:tcPr>
          <w:p w:rsidR="004545C8" w:rsidRPr="00FF4C0D" w:rsidRDefault="004545C8" w:rsidP="00377183">
            <w:pPr>
              <w:rPr>
                <w:rFonts w:eastAsia="Arial Unicode MS" w:cs="Arial"/>
                <w:sz w:val="18"/>
                <w:szCs w:val="18"/>
              </w:rPr>
            </w:pPr>
          </w:p>
          <w:p w:rsidR="00C7292D" w:rsidRPr="00FF4C0D" w:rsidRDefault="00C7292D" w:rsidP="00377183">
            <w:pPr>
              <w:rPr>
                <w:rFonts w:eastAsia="Arial Unicode MS" w:cs="Arial"/>
                <w:sz w:val="18"/>
                <w:szCs w:val="18"/>
              </w:rPr>
            </w:pPr>
            <w:r w:rsidRPr="00FF4C0D">
              <w:rPr>
                <w:rFonts w:eastAsia="Arial Unicode MS" w:cs="Arial"/>
                <w:sz w:val="18"/>
                <w:szCs w:val="18"/>
              </w:rPr>
              <w:t>6 to 30</w:t>
            </w:r>
          </w:p>
          <w:p w:rsidR="00C7292D" w:rsidRPr="00FF4C0D" w:rsidRDefault="00C7292D" w:rsidP="00377183">
            <w:pPr>
              <w:rPr>
                <w:rFonts w:eastAsia="Arial Unicode MS" w:cs="Arial"/>
                <w:sz w:val="18"/>
                <w:szCs w:val="18"/>
              </w:rPr>
            </w:pPr>
          </w:p>
          <w:p w:rsidR="004545C8" w:rsidRPr="00FF4C0D" w:rsidRDefault="004545C8" w:rsidP="00377183">
            <w:pPr>
              <w:rPr>
                <w:rFonts w:eastAsia="Arial Unicode MS" w:cs="Arial"/>
                <w:sz w:val="18"/>
                <w:szCs w:val="18"/>
              </w:rPr>
            </w:pPr>
          </w:p>
          <w:p w:rsidR="00C7292D" w:rsidRPr="00FF4C0D" w:rsidRDefault="00414C79" w:rsidP="00377183">
            <w:pPr>
              <w:rPr>
                <w:rFonts w:eastAsia="Arial Unicode MS" w:cs="Arial"/>
                <w:sz w:val="18"/>
                <w:szCs w:val="18"/>
              </w:rPr>
            </w:pPr>
            <w:r w:rsidRPr="00FF4C0D">
              <w:rPr>
                <w:rFonts w:eastAsia="Arial Unicode MS" w:cs="Arial"/>
                <w:sz w:val="18"/>
                <w:szCs w:val="18"/>
              </w:rPr>
              <w:t>0.15</w:t>
            </w:r>
            <w:r w:rsidR="00C7292D" w:rsidRPr="00FF4C0D">
              <w:rPr>
                <w:rFonts w:eastAsia="Arial Unicode MS" w:cs="Arial"/>
                <w:sz w:val="18"/>
                <w:szCs w:val="18"/>
              </w:rPr>
              <w:t xml:space="preserve"> to 1</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Thailand</w:t>
            </w:r>
          </w:p>
        </w:tc>
        <w:tc>
          <w:tcPr>
            <w:tcW w:w="5600" w:type="dxa"/>
          </w:tcPr>
          <w:p w:rsidR="00C7292D" w:rsidRPr="00FF4C0D" w:rsidRDefault="00C7292D" w:rsidP="00377183">
            <w:pPr>
              <w:rPr>
                <w:rFonts w:cs="Arial"/>
                <w:sz w:val="18"/>
                <w:szCs w:val="18"/>
              </w:rPr>
            </w:pPr>
            <w:r w:rsidRPr="00FF4C0D">
              <w:rPr>
                <w:rFonts w:cs="Arial"/>
                <w:sz w:val="18"/>
                <w:szCs w:val="18"/>
              </w:rPr>
              <w:t>Selected tropical fruits (mango, mangosteen, lychee, longan, rambutan and pineapple for disinfestation</w:t>
            </w:r>
          </w:p>
        </w:tc>
        <w:tc>
          <w:tcPr>
            <w:tcW w:w="1836" w:type="dxa"/>
          </w:tcPr>
          <w:p w:rsidR="004545C8" w:rsidRPr="00FF4C0D" w:rsidRDefault="004545C8" w:rsidP="00377183">
            <w:pPr>
              <w:rPr>
                <w:rFonts w:eastAsia="Arial Unicode MS" w:cs="Arial"/>
                <w:sz w:val="18"/>
                <w:szCs w:val="18"/>
              </w:rPr>
            </w:pPr>
          </w:p>
          <w:p w:rsidR="00C7292D" w:rsidRPr="00FF4C0D" w:rsidRDefault="00C7292D" w:rsidP="00377183">
            <w:pPr>
              <w:rPr>
                <w:rFonts w:eastAsia="Arial Unicode MS" w:cs="Arial"/>
                <w:sz w:val="18"/>
                <w:szCs w:val="18"/>
              </w:rPr>
            </w:pPr>
            <w:r w:rsidRPr="00FF4C0D">
              <w:rPr>
                <w:rFonts w:eastAsia="Arial Unicode MS" w:cs="Arial"/>
                <w:sz w:val="18"/>
                <w:szCs w:val="18"/>
              </w:rPr>
              <w:t>0.4</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lastRenderedPageBreak/>
              <w:t>Philippines</w:t>
            </w:r>
          </w:p>
        </w:tc>
        <w:tc>
          <w:tcPr>
            <w:tcW w:w="5600" w:type="dxa"/>
          </w:tcPr>
          <w:p w:rsidR="00C7292D" w:rsidRPr="00FF4C0D" w:rsidRDefault="00C7292D" w:rsidP="00377183">
            <w:pPr>
              <w:rPr>
                <w:rFonts w:cs="Arial"/>
                <w:sz w:val="18"/>
                <w:szCs w:val="18"/>
              </w:rPr>
            </w:pPr>
            <w:r w:rsidRPr="00FF4C0D">
              <w:rPr>
                <w:rFonts w:cs="Arial"/>
                <w:sz w:val="18"/>
                <w:szCs w:val="18"/>
              </w:rPr>
              <w:t>Mangoes for disinfestation</w:t>
            </w:r>
          </w:p>
          <w:p w:rsidR="00C7292D" w:rsidRPr="00FF4C0D" w:rsidRDefault="00C7292D" w:rsidP="00377183">
            <w:pPr>
              <w:rPr>
                <w:rFonts w:cs="Arial"/>
                <w:sz w:val="18"/>
                <w:szCs w:val="18"/>
              </w:rPr>
            </w:pPr>
            <w:r w:rsidRPr="00FF4C0D">
              <w:rPr>
                <w:rFonts w:cs="Arial"/>
                <w:sz w:val="18"/>
                <w:szCs w:val="18"/>
              </w:rPr>
              <w:t>Onions for sprout inhibition</w:t>
            </w:r>
          </w:p>
          <w:p w:rsidR="00C7292D" w:rsidRPr="00FF4C0D" w:rsidRDefault="00C7292D" w:rsidP="00377183">
            <w:pPr>
              <w:rPr>
                <w:rFonts w:cs="Arial"/>
                <w:sz w:val="18"/>
                <w:szCs w:val="18"/>
              </w:rPr>
            </w:pPr>
            <w:r w:rsidRPr="00FF4C0D">
              <w:rPr>
                <w:rFonts w:cs="Arial"/>
                <w:sz w:val="18"/>
                <w:szCs w:val="18"/>
              </w:rPr>
              <w:t>Garlic for disinfestation</w:t>
            </w:r>
          </w:p>
        </w:tc>
        <w:tc>
          <w:tcPr>
            <w:tcW w:w="1836" w:type="dxa"/>
          </w:tcPr>
          <w:p w:rsidR="00C7292D" w:rsidRPr="00FF4C0D" w:rsidRDefault="00C7292D" w:rsidP="00377183">
            <w:pPr>
              <w:rPr>
                <w:rFonts w:eastAsia="Arial Unicode MS" w:cs="Arial"/>
                <w:sz w:val="18"/>
                <w:szCs w:val="18"/>
              </w:rPr>
            </w:pPr>
            <w:r w:rsidRPr="00FF4C0D">
              <w:rPr>
                <w:rFonts w:eastAsia="Arial Unicode MS" w:cs="Arial"/>
                <w:sz w:val="18"/>
                <w:szCs w:val="18"/>
              </w:rPr>
              <w:t xml:space="preserve">1 </w:t>
            </w:r>
          </w:p>
          <w:p w:rsidR="00C7292D" w:rsidRPr="00FF4C0D" w:rsidRDefault="00C7292D" w:rsidP="00377183">
            <w:pPr>
              <w:rPr>
                <w:rFonts w:eastAsia="Arial Unicode MS" w:cs="Arial"/>
                <w:sz w:val="18"/>
                <w:szCs w:val="18"/>
              </w:rPr>
            </w:pPr>
            <w:r w:rsidRPr="00FF4C0D">
              <w:rPr>
                <w:rFonts w:eastAsia="Arial Unicode MS" w:cs="Arial"/>
                <w:sz w:val="18"/>
                <w:szCs w:val="18"/>
              </w:rPr>
              <w:t>0.3 to 1</w:t>
            </w:r>
          </w:p>
          <w:p w:rsidR="00C7292D" w:rsidRPr="00FF4C0D" w:rsidRDefault="00C7292D" w:rsidP="00377183">
            <w:pPr>
              <w:rPr>
                <w:rFonts w:eastAsia="Arial Unicode MS" w:cs="Arial"/>
                <w:sz w:val="18"/>
                <w:szCs w:val="18"/>
              </w:rPr>
            </w:pPr>
            <w:r w:rsidRPr="00FF4C0D">
              <w:rPr>
                <w:rFonts w:eastAsia="Arial Unicode MS" w:cs="Arial"/>
                <w:sz w:val="18"/>
                <w:szCs w:val="18"/>
              </w:rPr>
              <w:t>.3 to 1</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Vietnam</w:t>
            </w:r>
          </w:p>
        </w:tc>
        <w:tc>
          <w:tcPr>
            <w:tcW w:w="5600" w:type="dxa"/>
          </w:tcPr>
          <w:p w:rsidR="00C7292D" w:rsidRPr="00FF4C0D" w:rsidRDefault="00C7292D" w:rsidP="00377183">
            <w:pPr>
              <w:rPr>
                <w:rFonts w:cs="Arial"/>
                <w:sz w:val="18"/>
                <w:szCs w:val="18"/>
              </w:rPr>
            </w:pPr>
            <w:r w:rsidRPr="00FF4C0D">
              <w:rPr>
                <w:rFonts w:cs="Arial"/>
                <w:sz w:val="18"/>
                <w:szCs w:val="18"/>
              </w:rPr>
              <w:t xml:space="preserve">Seafood for decontamination </w:t>
            </w:r>
          </w:p>
          <w:p w:rsidR="00C7292D" w:rsidRPr="00FF4C0D" w:rsidRDefault="00C7292D" w:rsidP="00377183">
            <w:pPr>
              <w:rPr>
                <w:rFonts w:cs="Arial"/>
                <w:sz w:val="18"/>
                <w:szCs w:val="18"/>
              </w:rPr>
            </w:pPr>
            <w:r w:rsidRPr="00FF4C0D">
              <w:rPr>
                <w:rFonts w:cs="Arial"/>
                <w:sz w:val="18"/>
                <w:szCs w:val="18"/>
              </w:rPr>
              <w:t>Frozen Fruits for decontamination</w:t>
            </w:r>
          </w:p>
          <w:p w:rsidR="00C7292D" w:rsidRPr="00FF4C0D" w:rsidRDefault="00C7292D" w:rsidP="00377183">
            <w:pPr>
              <w:rPr>
                <w:rFonts w:cs="Arial"/>
                <w:sz w:val="18"/>
                <w:szCs w:val="18"/>
              </w:rPr>
            </w:pPr>
            <w:r w:rsidRPr="00FF4C0D">
              <w:rPr>
                <w:rFonts w:cs="Arial"/>
                <w:sz w:val="18"/>
                <w:szCs w:val="18"/>
              </w:rPr>
              <w:t>Dragon fruits to control pests</w:t>
            </w:r>
          </w:p>
        </w:tc>
        <w:tc>
          <w:tcPr>
            <w:tcW w:w="1836" w:type="dxa"/>
          </w:tcPr>
          <w:p w:rsidR="00C7292D" w:rsidRPr="00FF4C0D" w:rsidRDefault="00C7292D" w:rsidP="00377183">
            <w:pPr>
              <w:rPr>
                <w:rFonts w:eastAsia="Arial Unicode MS" w:cs="Arial"/>
                <w:sz w:val="18"/>
                <w:szCs w:val="18"/>
              </w:rPr>
            </w:pPr>
            <w:r w:rsidRPr="00FF4C0D">
              <w:rPr>
                <w:rFonts w:eastAsia="Arial Unicode MS" w:cs="Arial"/>
                <w:sz w:val="18"/>
                <w:szCs w:val="18"/>
              </w:rPr>
              <w:t>2 to 7.5</w:t>
            </w:r>
          </w:p>
          <w:p w:rsidR="00C7292D" w:rsidRPr="00FF4C0D" w:rsidRDefault="00C7292D" w:rsidP="00377183">
            <w:pPr>
              <w:rPr>
                <w:rFonts w:eastAsia="Arial Unicode MS" w:cs="Arial"/>
                <w:sz w:val="18"/>
                <w:szCs w:val="18"/>
              </w:rPr>
            </w:pPr>
            <w:r w:rsidRPr="00FF4C0D">
              <w:rPr>
                <w:rFonts w:eastAsia="Arial Unicode MS" w:cs="Arial"/>
                <w:sz w:val="18"/>
                <w:szCs w:val="18"/>
              </w:rPr>
              <w:t>2 to 3</w:t>
            </w:r>
          </w:p>
          <w:p w:rsidR="00C7292D" w:rsidRPr="00FF4C0D" w:rsidRDefault="00C7292D" w:rsidP="00377183">
            <w:pPr>
              <w:rPr>
                <w:rFonts w:eastAsia="Arial Unicode MS" w:cs="Arial"/>
                <w:sz w:val="18"/>
                <w:szCs w:val="18"/>
              </w:rPr>
            </w:pPr>
            <w:r w:rsidRPr="00FF4C0D">
              <w:rPr>
                <w:rFonts w:eastAsia="Arial Unicode MS" w:cs="Arial"/>
                <w:sz w:val="18"/>
                <w:szCs w:val="18"/>
              </w:rPr>
              <w:t>1</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Indonesia</w:t>
            </w:r>
          </w:p>
          <w:p w:rsidR="00F862C6" w:rsidRPr="00FF4C0D" w:rsidRDefault="00F862C6" w:rsidP="00377183">
            <w:pPr>
              <w:rPr>
                <w:rFonts w:eastAsia="Arial Unicode MS" w:cs="Arial"/>
                <w:sz w:val="18"/>
                <w:szCs w:val="18"/>
              </w:rPr>
            </w:pPr>
          </w:p>
        </w:tc>
        <w:tc>
          <w:tcPr>
            <w:tcW w:w="5600" w:type="dxa"/>
          </w:tcPr>
          <w:p w:rsidR="00C7292D" w:rsidRPr="00FF4C0D" w:rsidRDefault="00C7292D" w:rsidP="00377183">
            <w:pPr>
              <w:rPr>
                <w:rFonts w:cs="Arial"/>
                <w:sz w:val="18"/>
                <w:szCs w:val="18"/>
              </w:rPr>
            </w:pPr>
            <w:r w:rsidRPr="00FF4C0D">
              <w:rPr>
                <w:rFonts w:cs="Arial"/>
                <w:sz w:val="18"/>
                <w:szCs w:val="18"/>
              </w:rPr>
              <w:t>Mango to control insects</w:t>
            </w:r>
          </w:p>
          <w:p w:rsidR="00C7292D" w:rsidRPr="00FF4C0D" w:rsidRDefault="00C7292D" w:rsidP="00377183">
            <w:pPr>
              <w:rPr>
                <w:rFonts w:cs="Arial"/>
                <w:sz w:val="18"/>
                <w:szCs w:val="18"/>
              </w:rPr>
            </w:pPr>
            <w:r w:rsidRPr="00FF4C0D">
              <w:rPr>
                <w:rFonts w:cs="Arial"/>
                <w:sz w:val="18"/>
                <w:szCs w:val="18"/>
              </w:rPr>
              <w:t>Papaya, mushroom, tomatoes, bananas and broccoli for shelf-life extension</w:t>
            </w:r>
          </w:p>
          <w:p w:rsidR="00C7292D" w:rsidRPr="00FF4C0D" w:rsidRDefault="00C7292D" w:rsidP="00377183">
            <w:pPr>
              <w:rPr>
                <w:rFonts w:cs="Arial"/>
                <w:sz w:val="18"/>
                <w:szCs w:val="18"/>
              </w:rPr>
            </w:pPr>
            <w:r w:rsidRPr="00FF4C0D">
              <w:rPr>
                <w:rFonts w:cs="Arial"/>
                <w:sz w:val="18"/>
                <w:szCs w:val="18"/>
              </w:rPr>
              <w:t>Fresh meat and chicken for decontamination of pathogens</w:t>
            </w:r>
          </w:p>
        </w:tc>
        <w:tc>
          <w:tcPr>
            <w:tcW w:w="1836" w:type="dxa"/>
          </w:tcPr>
          <w:p w:rsidR="00C7292D" w:rsidRPr="00FF4C0D" w:rsidRDefault="00C7292D" w:rsidP="00377183">
            <w:pPr>
              <w:rPr>
                <w:rFonts w:eastAsia="Arial Unicode MS" w:cs="Arial"/>
                <w:sz w:val="18"/>
                <w:szCs w:val="18"/>
              </w:rPr>
            </w:pPr>
            <w:r w:rsidRPr="00FF4C0D">
              <w:rPr>
                <w:rFonts w:eastAsia="Arial Unicode MS" w:cs="Arial"/>
                <w:sz w:val="18"/>
                <w:szCs w:val="18"/>
              </w:rPr>
              <w:t>0.75</w:t>
            </w:r>
          </w:p>
          <w:p w:rsidR="004545C8" w:rsidRPr="00FF4C0D" w:rsidRDefault="004545C8" w:rsidP="00377183">
            <w:pPr>
              <w:rPr>
                <w:rFonts w:eastAsia="Arial Unicode MS" w:cs="Arial"/>
                <w:sz w:val="18"/>
                <w:szCs w:val="18"/>
              </w:rPr>
            </w:pPr>
          </w:p>
          <w:p w:rsidR="00C7292D" w:rsidRPr="00FF4C0D" w:rsidRDefault="00C7292D" w:rsidP="00377183">
            <w:pPr>
              <w:rPr>
                <w:rFonts w:eastAsia="Arial Unicode MS" w:cs="Arial"/>
                <w:sz w:val="18"/>
                <w:szCs w:val="18"/>
              </w:rPr>
            </w:pPr>
            <w:r w:rsidRPr="00FF4C0D">
              <w:rPr>
                <w:rFonts w:eastAsia="Arial Unicode MS" w:cs="Arial"/>
                <w:sz w:val="18"/>
                <w:szCs w:val="18"/>
              </w:rPr>
              <w:t>1-2</w:t>
            </w:r>
          </w:p>
          <w:p w:rsidR="00C7292D" w:rsidRPr="00FF4C0D" w:rsidRDefault="00C7292D" w:rsidP="00377183">
            <w:pPr>
              <w:rPr>
                <w:rFonts w:eastAsia="Arial Unicode MS" w:cs="Arial"/>
                <w:sz w:val="18"/>
                <w:szCs w:val="18"/>
              </w:rPr>
            </w:pPr>
            <w:r w:rsidRPr="00FF4C0D">
              <w:rPr>
                <w:rFonts w:eastAsia="Arial Unicode MS" w:cs="Arial"/>
                <w:sz w:val="18"/>
                <w:szCs w:val="18"/>
              </w:rPr>
              <w:t>5-7</w:t>
            </w:r>
          </w:p>
        </w:tc>
      </w:tr>
      <w:tr w:rsidR="00C7292D" w:rsidRPr="00FF4C0D" w:rsidTr="003433AC">
        <w:trPr>
          <w:cantSplit/>
        </w:trPr>
        <w:tc>
          <w:tcPr>
            <w:tcW w:w="1738" w:type="dxa"/>
          </w:tcPr>
          <w:p w:rsidR="00C7292D" w:rsidRPr="00FF4C0D" w:rsidRDefault="00C7292D" w:rsidP="00377183">
            <w:pPr>
              <w:rPr>
                <w:rFonts w:eastAsia="Arial Unicode MS" w:cs="Arial"/>
                <w:sz w:val="18"/>
                <w:szCs w:val="18"/>
              </w:rPr>
            </w:pPr>
            <w:r w:rsidRPr="00FF4C0D">
              <w:rPr>
                <w:rFonts w:eastAsia="Arial Unicode MS" w:cs="Arial"/>
                <w:sz w:val="18"/>
                <w:szCs w:val="18"/>
              </w:rPr>
              <w:t>India</w:t>
            </w:r>
          </w:p>
        </w:tc>
        <w:tc>
          <w:tcPr>
            <w:tcW w:w="5600" w:type="dxa"/>
          </w:tcPr>
          <w:p w:rsidR="00C7292D" w:rsidRPr="00FF4C0D" w:rsidRDefault="00C7292D" w:rsidP="00377183">
            <w:pPr>
              <w:rPr>
                <w:rFonts w:cs="Arial"/>
                <w:sz w:val="18"/>
                <w:szCs w:val="18"/>
              </w:rPr>
            </w:pPr>
            <w:r w:rsidRPr="00FF4C0D">
              <w:rPr>
                <w:rFonts w:cs="Arial"/>
                <w:sz w:val="18"/>
                <w:szCs w:val="18"/>
              </w:rPr>
              <w:t>Mangoes to control insects</w:t>
            </w:r>
          </w:p>
          <w:p w:rsidR="00C7292D" w:rsidRPr="00FF4C0D" w:rsidRDefault="00C7292D" w:rsidP="00377183">
            <w:pPr>
              <w:rPr>
                <w:rFonts w:cs="Arial"/>
                <w:sz w:val="18"/>
                <w:szCs w:val="18"/>
              </w:rPr>
            </w:pPr>
            <w:r w:rsidRPr="00FF4C0D">
              <w:rPr>
                <w:rFonts w:cs="Arial"/>
                <w:sz w:val="18"/>
                <w:szCs w:val="18"/>
              </w:rPr>
              <w:t>Fresh meat and chicken for decontamination of pathogens</w:t>
            </w:r>
          </w:p>
          <w:p w:rsidR="00C7292D" w:rsidRPr="00FF4C0D" w:rsidRDefault="00C7292D" w:rsidP="00377183">
            <w:pPr>
              <w:rPr>
                <w:rFonts w:cs="Arial"/>
                <w:sz w:val="18"/>
                <w:szCs w:val="18"/>
              </w:rPr>
            </w:pPr>
            <w:r w:rsidRPr="00FF4C0D">
              <w:rPr>
                <w:rFonts w:cs="Arial"/>
                <w:sz w:val="18"/>
                <w:szCs w:val="18"/>
              </w:rPr>
              <w:t>Spices for decontamination</w:t>
            </w:r>
          </w:p>
          <w:p w:rsidR="00C7292D" w:rsidRPr="00FF4C0D" w:rsidRDefault="00C7292D" w:rsidP="00377183">
            <w:pPr>
              <w:rPr>
                <w:rFonts w:cs="Arial"/>
                <w:sz w:val="18"/>
                <w:szCs w:val="18"/>
              </w:rPr>
            </w:pPr>
            <w:r w:rsidRPr="00FF4C0D">
              <w:rPr>
                <w:rFonts w:cs="Arial"/>
                <w:bCs/>
                <w:sz w:val="18"/>
                <w:szCs w:val="18"/>
              </w:rPr>
              <w:t>Raisins, figs and dried dates</w:t>
            </w:r>
            <w:r w:rsidRPr="00FF4C0D">
              <w:rPr>
                <w:rFonts w:cs="Arial"/>
                <w:sz w:val="18"/>
                <w:szCs w:val="18"/>
              </w:rPr>
              <w:t xml:space="preserve"> to control insects</w:t>
            </w:r>
          </w:p>
          <w:p w:rsidR="00C7292D" w:rsidRPr="00FF4C0D" w:rsidRDefault="00C7292D" w:rsidP="00377183">
            <w:pPr>
              <w:rPr>
                <w:rFonts w:cs="Arial"/>
                <w:sz w:val="18"/>
                <w:szCs w:val="18"/>
              </w:rPr>
            </w:pPr>
            <w:r w:rsidRPr="00FF4C0D">
              <w:rPr>
                <w:rFonts w:cs="Arial"/>
                <w:sz w:val="18"/>
                <w:szCs w:val="18"/>
              </w:rPr>
              <w:t>Fresh seafoods for shelf-life extension</w:t>
            </w:r>
          </w:p>
        </w:tc>
        <w:tc>
          <w:tcPr>
            <w:tcW w:w="1836" w:type="dxa"/>
          </w:tcPr>
          <w:p w:rsidR="00C7292D" w:rsidRPr="00FF4C0D" w:rsidRDefault="00C7292D" w:rsidP="00377183">
            <w:pPr>
              <w:rPr>
                <w:rFonts w:eastAsia="Arial Unicode MS" w:cs="Arial"/>
                <w:sz w:val="18"/>
                <w:szCs w:val="18"/>
              </w:rPr>
            </w:pPr>
            <w:r w:rsidRPr="00FF4C0D">
              <w:rPr>
                <w:rFonts w:eastAsia="Arial Unicode MS" w:cs="Arial"/>
                <w:sz w:val="18"/>
                <w:szCs w:val="18"/>
              </w:rPr>
              <w:t>0.25 to 0.75</w:t>
            </w:r>
          </w:p>
          <w:p w:rsidR="00C7292D" w:rsidRPr="00FF4C0D" w:rsidRDefault="00C7292D" w:rsidP="00377183">
            <w:pPr>
              <w:rPr>
                <w:rFonts w:eastAsia="Arial Unicode MS" w:cs="Arial"/>
                <w:sz w:val="18"/>
                <w:szCs w:val="18"/>
              </w:rPr>
            </w:pPr>
            <w:r w:rsidRPr="00FF4C0D">
              <w:rPr>
                <w:rFonts w:eastAsia="Arial Unicode MS" w:cs="Arial"/>
                <w:sz w:val="18"/>
                <w:szCs w:val="18"/>
              </w:rPr>
              <w:t>2.5 to 4</w:t>
            </w:r>
          </w:p>
          <w:p w:rsidR="00C7292D" w:rsidRPr="00FF4C0D" w:rsidRDefault="00C7292D" w:rsidP="00377183">
            <w:pPr>
              <w:rPr>
                <w:rFonts w:eastAsia="Arial Unicode MS" w:cs="Arial"/>
                <w:sz w:val="18"/>
                <w:szCs w:val="18"/>
              </w:rPr>
            </w:pPr>
            <w:r w:rsidRPr="00FF4C0D">
              <w:rPr>
                <w:rFonts w:eastAsia="Arial Unicode MS" w:cs="Arial"/>
                <w:sz w:val="18"/>
                <w:szCs w:val="18"/>
              </w:rPr>
              <w:t>6.0 to 14</w:t>
            </w:r>
          </w:p>
          <w:p w:rsidR="00C7292D" w:rsidRPr="00FF4C0D" w:rsidRDefault="00C7292D" w:rsidP="00377183">
            <w:pPr>
              <w:rPr>
                <w:rFonts w:eastAsia="Arial Unicode MS" w:cs="Arial"/>
                <w:sz w:val="18"/>
                <w:szCs w:val="18"/>
              </w:rPr>
            </w:pPr>
            <w:r w:rsidRPr="00FF4C0D">
              <w:rPr>
                <w:rFonts w:eastAsia="Arial Unicode MS" w:cs="Arial"/>
                <w:sz w:val="18"/>
                <w:szCs w:val="18"/>
              </w:rPr>
              <w:t>0.25 to 0.75</w:t>
            </w:r>
          </w:p>
          <w:p w:rsidR="00C7292D" w:rsidRPr="00FF4C0D" w:rsidRDefault="00C7292D" w:rsidP="00377183">
            <w:pPr>
              <w:rPr>
                <w:rFonts w:eastAsia="Arial Unicode MS" w:cs="Arial"/>
                <w:sz w:val="18"/>
                <w:szCs w:val="18"/>
              </w:rPr>
            </w:pPr>
            <w:r w:rsidRPr="00FF4C0D">
              <w:rPr>
                <w:rFonts w:eastAsia="Arial Unicode MS" w:cs="Arial"/>
                <w:sz w:val="18"/>
                <w:szCs w:val="18"/>
              </w:rPr>
              <w:t>1 to 3</w:t>
            </w:r>
          </w:p>
        </w:tc>
      </w:tr>
    </w:tbl>
    <w:p w:rsidR="00636EAF" w:rsidRPr="00FF4C0D" w:rsidRDefault="00636EAF" w:rsidP="006D6618">
      <w:pPr>
        <w:rPr>
          <w:rFonts w:cs="Arial"/>
          <w:bCs/>
          <w:sz w:val="18"/>
          <w:szCs w:val="18"/>
        </w:rPr>
      </w:pPr>
    </w:p>
    <w:p w:rsidR="006D6618" w:rsidRPr="00FF4C0D" w:rsidRDefault="00123DBD" w:rsidP="00E264ED">
      <w:pPr>
        <w:widowControl/>
        <w:rPr>
          <w:rFonts w:cs="Arial"/>
        </w:rPr>
      </w:pPr>
      <w:r w:rsidRPr="00FF4C0D">
        <w:rPr>
          <w:rFonts w:cs="Arial"/>
        </w:rPr>
        <w:t>International Standards for Phytosanitary Measures 18 (</w:t>
      </w:r>
      <w:r w:rsidRPr="00FF4C0D">
        <w:rPr>
          <w:rFonts w:cs="Arial"/>
          <w:i/>
          <w:iCs/>
        </w:rPr>
        <w:t>ISPM No. 18</w:t>
      </w:r>
      <w:r w:rsidRPr="00FF4C0D">
        <w:rPr>
          <w:rFonts w:cs="Arial"/>
        </w:rPr>
        <w:t xml:space="preserve">) – </w:t>
      </w:r>
      <w:r w:rsidRPr="00FF4C0D">
        <w:rPr>
          <w:rFonts w:cs="Arial"/>
          <w:i/>
          <w:iCs/>
        </w:rPr>
        <w:t>Guidelines for the Use of Irradiation as a Phytosanitary Measure</w:t>
      </w:r>
      <w:r w:rsidRPr="00FF4C0D">
        <w:rPr>
          <w:rFonts w:cs="Arial"/>
        </w:rPr>
        <w:t>, International Plant Protection Convention, 2003 (ISPM, 2003) provides technical guidance on the specific procedures for the application of ionising radiation as a phytosanitary treatment for pests or articles.</w:t>
      </w:r>
    </w:p>
    <w:p w:rsidR="006D6618" w:rsidRPr="00FF4C0D" w:rsidRDefault="006D6618" w:rsidP="00123DBD"/>
    <w:p w:rsidR="004E00C8" w:rsidRPr="00FF4C0D" w:rsidRDefault="006D6618" w:rsidP="006D6618">
      <w:pPr>
        <w:rPr>
          <w:rFonts w:cs="Arial"/>
        </w:rPr>
      </w:pPr>
      <w:r w:rsidRPr="00FF4C0D">
        <w:rPr>
          <w:rFonts w:cs="Arial"/>
        </w:rPr>
        <w:t xml:space="preserve">The American Society for Testing and Materials, </w:t>
      </w:r>
      <w:r w:rsidRPr="00FF4C0D">
        <w:rPr>
          <w:rFonts w:cs="Arial"/>
          <w:i/>
          <w:iCs/>
        </w:rPr>
        <w:t>ASTM F1355</w:t>
      </w:r>
      <w:r w:rsidR="005518D4" w:rsidRPr="00FF4C0D">
        <w:t>-</w:t>
      </w:r>
      <w:r w:rsidRPr="00FF4C0D">
        <w:rPr>
          <w:rFonts w:cs="Arial"/>
          <w:i/>
          <w:iCs/>
        </w:rPr>
        <w:t>06 Standard Guide for</w:t>
      </w:r>
      <w:r w:rsidR="005518D4" w:rsidRPr="00FF4C0D">
        <w:rPr>
          <w:rFonts w:cs="Arial"/>
          <w:i/>
          <w:iCs/>
        </w:rPr>
        <w:t xml:space="preserve"> </w:t>
      </w:r>
      <w:r w:rsidRPr="00FF4C0D">
        <w:rPr>
          <w:rFonts w:cs="Arial"/>
          <w:i/>
          <w:iCs/>
        </w:rPr>
        <w:t xml:space="preserve">Irradiation of Fresh Agricultural Produce as a Phytosanitary Treatment </w:t>
      </w:r>
      <w:r w:rsidRPr="00FF4C0D">
        <w:rPr>
          <w:rFonts w:cs="Arial"/>
        </w:rPr>
        <w:t xml:space="preserve">(ASTM, 2006) </w:t>
      </w:r>
      <w:r w:rsidR="00BC2B6E" w:rsidRPr="00FF4C0D">
        <w:rPr>
          <w:rFonts w:cs="Arial"/>
        </w:rPr>
        <w:t xml:space="preserve">also </w:t>
      </w:r>
      <w:r w:rsidRPr="00FF4C0D">
        <w:rPr>
          <w:rFonts w:cs="Arial"/>
        </w:rPr>
        <w:t>provides for procedures for the radiation disinfestation of fresh fruits as a quarantine treatment.</w:t>
      </w:r>
    </w:p>
    <w:p w:rsidR="001A3F19" w:rsidRPr="00FF4C0D" w:rsidRDefault="001A3F19">
      <w:pPr>
        <w:rPr>
          <w:rFonts w:cs="Arial"/>
        </w:rPr>
      </w:pPr>
    </w:p>
    <w:p w:rsidR="003C4969" w:rsidRPr="00FF4C0D" w:rsidRDefault="00D37F81">
      <w:pPr>
        <w:pStyle w:val="Heading2"/>
        <w:rPr>
          <w:rFonts w:cs="Arial"/>
        </w:rPr>
      </w:pPr>
      <w:bookmarkStart w:id="32" w:name="_Toc120358585"/>
      <w:bookmarkStart w:id="33" w:name="_Toc297029087"/>
      <w:r w:rsidRPr="00FF4C0D">
        <w:rPr>
          <w:rFonts w:cs="Arial"/>
        </w:rPr>
        <w:t>3</w:t>
      </w:r>
      <w:r w:rsidR="003C4969" w:rsidRPr="00FF4C0D">
        <w:rPr>
          <w:rFonts w:cs="Arial"/>
        </w:rPr>
        <w:t>.</w:t>
      </w:r>
      <w:r w:rsidR="003C4969" w:rsidRPr="00FF4C0D">
        <w:rPr>
          <w:rFonts w:cs="Arial"/>
        </w:rPr>
        <w:tab/>
        <w:t>Objectives</w:t>
      </w:r>
      <w:bookmarkEnd w:id="32"/>
      <w:bookmarkEnd w:id="33"/>
    </w:p>
    <w:p w:rsidR="003C4969" w:rsidRPr="00FF4C0D" w:rsidRDefault="003C4969">
      <w:pPr>
        <w:rPr>
          <w:rFonts w:cs="Arial"/>
        </w:rPr>
      </w:pPr>
    </w:p>
    <w:p w:rsidR="003C4969" w:rsidRPr="00FF4C0D" w:rsidRDefault="003C4969">
      <w:pPr>
        <w:rPr>
          <w:rFonts w:cs="Arial"/>
        </w:rPr>
      </w:pPr>
      <w:r w:rsidRPr="00FF4C0D">
        <w:rPr>
          <w:rFonts w:cs="Arial"/>
        </w:rPr>
        <w:t>In developing or varying a food standard, FSANZ is required by its legislation to meet three primary objectives</w:t>
      </w:r>
      <w:r w:rsidR="005D72E1" w:rsidRPr="00FF4C0D">
        <w:rPr>
          <w:rFonts w:cs="Arial"/>
        </w:rPr>
        <w:t xml:space="preserve"> which are set out in section 18</w:t>
      </w:r>
      <w:r w:rsidRPr="00FF4C0D">
        <w:rPr>
          <w:rFonts w:cs="Arial"/>
        </w:rPr>
        <w:t xml:space="preserve"> of the FSANZ Act</w:t>
      </w:r>
      <w:r w:rsidR="006F5213" w:rsidRPr="00FF4C0D">
        <w:rPr>
          <w:rFonts w:cs="Arial"/>
        </w:rPr>
        <w:t xml:space="preserve">. </w:t>
      </w:r>
      <w:r w:rsidRPr="00FF4C0D">
        <w:rPr>
          <w:rFonts w:cs="Arial"/>
        </w:rPr>
        <w:t>These are:</w:t>
      </w:r>
    </w:p>
    <w:p w:rsidR="003C4969" w:rsidRPr="00FF4C0D" w:rsidRDefault="003C4969">
      <w:pPr>
        <w:rPr>
          <w:rFonts w:cs="Arial"/>
        </w:rPr>
      </w:pPr>
    </w:p>
    <w:p w:rsidR="003C4969" w:rsidRPr="00FF4C0D" w:rsidRDefault="003C4969" w:rsidP="00DB2973">
      <w:pPr>
        <w:pStyle w:val="FSBullet"/>
      </w:pPr>
      <w:r w:rsidRPr="00FF4C0D">
        <w:t>the protection of public health and safety;</w:t>
      </w:r>
      <w:r w:rsidR="0000469B" w:rsidRPr="00FF4C0D">
        <w:t xml:space="preserve"> and</w:t>
      </w:r>
    </w:p>
    <w:p w:rsidR="003C4969" w:rsidRPr="00FF4C0D" w:rsidRDefault="003C4969" w:rsidP="006A48A7"/>
    <w:p w:rsidR="003C4969" w:rsidRPr="00FF4C0D" w:rsidRDefault="003C4969" w:rsidP="00DB2973">
      <w:pPr>
        <w:pStyle w:val="FSBullet"/>
      </w:pPr>
      <w:r w:rsidRPr="00FF4C0D">
        <w:t>the provision of adequate information relating to food to enable consumers to make informed choices; and</w:t>
      </w:r>
    </w:p>
    <w:p w:rsidR="003C4969" w:rsidRPr="00FF4C0D" w:rsidRDefault="003C4969" w:rsidP="006A48A7"/>
    <w:p w:rsidR="003C4969" w:rsidRPr="00FF4C0D" w:rsidRDefault="003C4969" w:rsidP="00DB2973">
      <w:pPr>
        <w:pStyle w:val="FSBullet"/>
      </w:pPr>
      <w:r w:rsidRPr="00FF4C0D">
        <w:t>the prevention of misleading or deceptive conduct.</w:t>
      </w:r>
    </w:p>
    <w:p w:rsidR="003C4969" w:rsidRPr="00FF4C0D" w:rsidRDefault="003C4969">
      <w:pPr>
        <w:rPr>
          <w:rFonts w:cs="Arial"/>
        </w:rPr>
      </w:pPr>
    </w:p>
    <w:p w:rsidR="003C4969" w:rsidRPr="00FF4C0D" w:rsidRDefault="003C4969" w:rsidP="00441AA8">
      <w:pPr>
        <w:widowControl/>
        <w:rPr>
          <w:rFonts w:cs="Arial"/>
        </w:rPr>
      </w:pPr>
      <w:r w:rsidRPr="00FF4C0D">
        <w:rPr>
          <w:rFonts w:cs="Arial"/>
        </w:rPr>
        <w:t>In developing and varying standards, FSANZ must also have regard to:</w:t>
      </w:r>
    </w:p>
    <w:p w:rsidR="003C4969" w:rsidRPr="00FF4C0D" w:rsidRDefault="003C4969">
      <w:pPr>
        <w:rPr>
          <w:rFonts w:cs="Arial"/>
        </w:rPr>
      </w:pPr>
    </w:p>
    <w:p w:rsidR="003C4969" w:rsidRPr="00FF4C0D" w:rsidRDefault="003C4969" w:rsidP="00DB2973">
      <w:pPr>
        <w:pStyle w:val="FSBullet"/>
      </w:pPr>
      <w:r w:rsidRPr="00FF4C0D">
        <w:t>the need for standards to be based on risk analysis using the best available scientific evidence;</w:t>
      </w:r>
    </w:p>
    <w:p w:rsidR="003C4969" w:rsidRPr="00FF4C0D" w:rsidRDefault="003C4969" w:rsidP="006A48A7"/>
    <w:p w:rsidR="003C4969" w:rsidRPr="00FF4C0D" w:rsidRDefault="003C4969" w:rsidP="00DB2973">
      <w:pPr>
        <w:pStyle w:val="FSBullet"/>
      </w:pPr>
      <w:r w:rsidRPr="00FF4C0D">
        <w:t>the promotion of consistency between domestic and international food standards;</w:t>
      </w:r>
    </w:p>
    <w:p w:rsidR="003C4969" w:rsidRPr="00FF4C0D" w:rsidRDefault="003C4969" w:rsidP="006A48A7"/>
    <w:p w:rsidR="00030B18" w:rsidRPr="00FF4C0D" w:rsidRDefault="003C4969" w:rsidP="00030B18">
      <w:pPr>
        <w:pStyle w:val="FSBullet"/>
      </w:pPr>
      <w:r w:rsidRPr="00FF4C0D">
        <w:t>the desirability of an efficient and internationally competitive food industry;</w:t>
      </w:r>
    </w:p>
    <w:p w:rsidR="003C4969" w:rsidRPr="00FF4C0D" w:rsidRDefault="003C4969" w:rsidP="006A48A7"/>
    <w:p w:rsidR="003C4969" w:rsidRPr="00FF4C0D" w:rsidRDefault="003C4969" w:rsidP="00DB2973">
      <w:pPr>
        <w:pStyle w:val="FSBullet"/>
      </w:pPr>
      <w:r w:rsidRPr="00FF4C0D">
        <w:t>the promotion of fair trading in food; and</w:t>
      </w:r>
    </w:p>
    <w:p w:rsidR="003C4969" w:rsidRPr="00FF4C0D" w:rsidRDefault="003C4969" w:rsidP="006A48A7"/>
    <w:p w:rsidR="003C4969" w:rsidRPr="00FF4C0D" w:rsidRDefault="003C4969" w:rsidP="00DB2973">
      <w:pPr>
        <w:pStyle w:val="FSBullet"/>
      </w:pPr>
      <w:r w:rsidRPr="00FF4C0D">
        <w:t>any written policy guidelines formulated by the Ministerial Council.</w:t>
      </w:r>
    </w:p>
    <w:p w:rsidR="00807559" w:rsidRPr="00FF4C0D" w:rsidRDefault="00807559">
      <w:pPr>
        <w:rPr>
          <w:rFonts w:cs="Arial"/>
        </w:rPr>
      </w:pPr>
    </w:p>
    <w:p w:rsidR="00D51A95" w:rsidRPr="00FF4C0D" w:rsidRDefault="00D37F81" w:rsidP="00D51A95">
      <w:pPr>
        <w:pStyle w:val="Heading2"/>
        <w:rPr>
          <w:rFonts w:cs="Arial"/>
        </w:rPr>
      </w:pPr>
      <w:bookmarkStart w:id="34" w:name="_Toc297029088"/>
      <w:r w:rsidRPr="00FF4C0D">
        <w:rPr>
          <w:rFonts w:cs="Arial"/>
        </w:rPr>
        <w:t>4</w:t>
      </w:r>
      <w:r w:rsidR="00D51A95" w:rsidRPr="00FF4C0D">
        <w:rPr>
          <w:rFonts w:cs="Arial"/>
        </w:rPr>
        <w:t>.</w:t>
      </w:r>
      <w:r w:rsidR="00D51A95" w:rsidRPr="00FF4C0D">
        <w:rPr>
          <w:rFonts w:cs="Arial"/>
        </w:rPr>
        <w:tab/>
        <w:t>Questions</w:t>
      </w:r>
      <w:r w:rsidR="000E3DBC" w:rsidRPr="00FF4C0D">
        <w:rPr>
          <w:rFonts w:cs="Arial"/>
        </w:rPr>
        <w:t xml:space="preserve"> to be answered</w:t>
      </w:r>
      <w:bookmarkEnd w:id="34"/>
    </w:p>
    <w:p w:rsidR="001A3F19" w:rsidRPr="00FF4C0D" w:rsidRDefault="001A3F19" w:rsidP="00D51A95">
      <w:pPr>
        <w:rPr>
          <w:rFonts w:cs="Arial"/>
        </w:rPr>
      </w:pPr>
    </w:p>
    <w:p w:rsidR="003433AC" w:rsidRPr="00FF4C0D" w:rsidRDefault="00896B23" w:rsidP="00896B23">
      <w:r w:rsidRPr="00FF4C0D">
        <w:t>The key questions which FSANZ has considered as part of this assessment are:</w:t>
      </w:r>
      <w:r w:rsidR="003433AC" w:rsidRPr="00FF4C0D">
        <w:br w:type="page"/>
      </w:r>
    </w:p>
    <w:p w:rsidR="00896B23" w:rsidRPr="00FF4C0D" w:rsidRDefault="004A7C6C" w:rsidP="00896B23">
      <w:pPr>
        <w:pStyle w:val="FSBullet"/>
      </w:pPr>
      <w:r w:rsidRPr="00FF4C0D">
        <w:lastRenderedPageBreak/>
        <w:t>Has</w:t>
      </w:r>
      <w:r w:rsidR="00896B23" w:rsidRPr="00FF4C0D">
        <w:t xml:space="preserve"> the technological purpose for using irradiation as a quarantine measure for persimmons been established?</w:t>
      </w:r>
    </w:p>
    <w:p w:rsidR="00BC08E0" w:rsidRPr="00FF4C0D" w:rsidRDefault="00BC08E0" w:rsidP="00BC08E0"/>
    <w:p w:rsidR="00896B23" w:rsidRPr="00FF4C0D" w:rsidRDefault="004A7C6C" w:rsidP="00896B23">
      <w:pPr>
        <w:pStyle w:val="FSBullet"/>
      </w:pPr>
      <w:r w:rsidRPr="00FF4C0D">
        <w:t>Will</w:t>
      </w:r>
      <w:r w:rsidR="00896B23" w:rsidRPr="00FF4C0D">
        <w:t xml:space="preserve"> the dose used achieve the technological function of use of irradiation as a quarantine measure?</w:t>
      </w:r>
    </w:p>
    <w:p w:rsidR="00BC08E0" w:rsidRPr="00FF4C0D" w:rsidRDefault="00BC08E0" w:rsidP="00BC08E0"/>
    <w:p w:rsidR="009C665E" w:rsidRPr="00FF4C0D" w:rsidRDefault="004A7C6C" w:rsidP="009C665E">
      <w:pPr>
        <w:pStyle w:val="FSBullet"/>
      </w:pPr>
      <w:r w:rsidRPr="00FF4C0D">
        <w:t>When</w:t>
      </w:r>
      <w:r w:rsidR="00896B23" w:rsidRPr="00FF4C0D">
        <w:t xml:space="preserve"> persimmons are irradiated, are there any new compounds formed that may impa</w:t>
      </w:r>
      <w:r w:rsidR="009C665E" w:rsidRPr="00FF4C0D">
        <w:t>ct on public health and safety?</w:t>
      </w:r>
    </w:p>
    <w:p w:rsidR="00BC08E0" w:rsidRPr="00FF4C0D" w:rsidRDefault="00BC08E0" w:rsidP="00BC08E0"/>
    <w:p w:rsidR="00C94D09" w:rsidRPr="00FF4C0D" w:rsidRDefault="004A7C6C" w:rsidP="00C94D09">
      <w:pPr>
        <w:pStyle w:val="FSBullet"/>
      </w:pPr>
      <w:r w:rsidRPr="00FF4C0D">
        <w:t>As</w:t>
      </w:r>
      <w:r w:rsidR="009C665E" w:rsidRPr="00FF4C0D">
        <w:t xml:space="preserve"> a form of food processing, what is the impact from irradiation on the nutrient composition of persimmons?</w:t>
      </w:r>
    </w:p>
    <w:p w:rsidR="00C94D09" w:rsidRPr="00FF4C0D" w:rsidRDefault="00C94D09" w:rsidP="00C94D09"/>
    <w:p w:rsidR="009C665E" w:rsidRPr="00FF4C0D" w:rsidRDefault="004A7C6C" w:rsidP="00C94D09">
      <w:pPr>
        <w:pStyle w:val="FSBullet"/>
      </w:pPr>
      <w:r w:rsidRPr="00FF4C0D">
        <w:t>Would</w:t>
      </w:r>
      <w:r w:rsidR="009C665E" w:rsidRPr="00FF4C0D">
        <w:t xml:space="preserve"> a change in the nutrient composition of persimmons from irradiation affect the nutritional adequacy of Australian and New Zealand diets containing persimmons? </w:t>
      </w:r>
    </w:p>
    <w:p w:rsidR="009C665E" w:rsidRPr="00FF4C0D" w:rsidRDefault="009C665E" w:rsidP="0085245D">
      <w:pPr>
        <w:rPr>
          <w:rFonts w:cs="Arial"/>
        </w:rPr>
      </w:pPr>
    </w:p>
    <w:p w:rsidR="003C4969" w:rsidRPr="00FF4C0D" w:rsidRDefault="00807559" w:rsidP="00030B18">
      <w:pPr>
        <w:pStyle w:val="Heading1"/>
      </w:pPr>
      <w:bookmarkStart w:id="35" w:name="_Toc297029089"/>
      <w:r w:rsidRPr="00FF4C0D">
        <w:t>RISK ASSESSMENT</w:t>
      </w:r>
      <w:bookmarkEnd w:id="35"/>
    </w:p>
    <w:p w:rsidR="003C4969" w:rsidRPr="00FF4C0D" w:rsidRDefault="003C4969">
      <w:pPr>
        <w:rPr>
          <w:rFonts w:cs="Arial"/>
        </w:rPr>
      </w:pPr>
      <w:bookmarkStart w:id="36" w:name="_Toc11735632"/>
      <w:bookmarkStart w:id="37" w:name="_Toc29883116"/>
      <w:bookmarkStart w:id="38" w:name="_Toc41906803"/>
      <w:bookmarkStart w:id="39" w:name="_Toc41907550"/>
      <w:bookmarkStart w:id="40" w:name="_Toc120358581"/>
    </w:p>
    <w:p w:rsidR="003C4969" w:rsidRPr="00FF4C0D" w:rsidRDefault="00D37F81" w:rsidP="001C27A3">
      <w:pPr>
        <w:pStyle w:val="Heading2"/>
      </w:pPr>
      <w:bookmarkStart w:id="41" w:name="_Toc120358583"/>
      <w:bookmarkStart w:id="42" w:name="_Toc297029090"/>
      <w:bookmarkEnd w:id="36"/>
      <w:bookmarkEnd w:id="37"/>
      <w:bookmarkEnd w:id="38"/>
      <w:bookmarkEnd w:id="39"/>
      <w:bookmarkEnd w:id="40"/>
      <w:r w:rsidRPr="00FF4C0D">
        <w:t>5</w:t>
      </w:r>
      <w:r w:rsidR="001C27A3" w:rsidRPr="00FF4C0D">
        <w:t>.</w:t>
      </w:r>
      <w:r w:rsidR="003C4969" w:rsidRPr="00FF4C0D">
        <w:tab/>
        <w:t>Risk Assessment Summary</w:t>
      </w:r>
      <w:bookmarkEnd w:id="41"/>
      <w:bookmarkEnd w:id="42"/>
    </w:p>
    <w:p w:rsidR="008510A9" w:rsidRPr="00FF4C0D" w:rsidRDefault="008510A9">
      <w:pPr>
        <w:rPr>
          <w:rFonts w:cs="Arial"/>
        </w:rPr>
      </w:pPr>
    </w:p>
    <w:p w:rsidR="001F4A46" w:rsidRPr="00FF4C0D" w:rsidRDefault="001F4A46">
      <w:pPr>
        <w:rPr>
          <w:rFonts w:cs="Arial"/>
        </w:rPr>
      </w:pPr>
      <w:r w:rsidRPr="00FF4C0D">
        <w:rPr>
          <w:rFonts w:cs="Arial"/>
        </w:rPr>
        <w:t xml:space="preserve">Full details of the risk assessment prepared in relation to this application are provided in </w:t>
      </w:r>
      <w:r w:rsidRPr="00FF4C0D">
        <w:rPr>
          <w:rFonts w:cs="Arial"/>
          <w:b/>
        </w:rPr>
        <w:t>SD1</w:t>
      </w:r>
      <w:r w:rsidRPr="00FF4C0D">
        <w:rPr>
          <w:rFonts w:cs="Arial"/>
        </w:rPr>
        <w:t>. A summary of this risk assessment follows.</w:t>
      </w:r>
    </w:p>
    <w:p w:rsidR="001F4A46" w:rsidRPr="00FF4C0D" w:rsidRDefault="001F4A46">
      <w:pPr>
        <w:rPr>
          <w:rFonts w:cs="Arial"/>
        </w:rPr>
      </w:pPr>
    </w:p>
    <w:p w:rsidR="000C6DC7" w:rsidRPr="00FF4C0D" w:rsidRDefault="00D37F81" w:rsidP="000C6DC7">
      <w:pPr>
        <w:pStyle w:val="Heading3"/>
      </w:pPr>
      <w:bookmarkStart w:id="43" w:name="_Toc297029091"/>
      <w:r w:rsidRPr="00FF4C0D">
        <w:t>5</w:t>
      </w:r>
      <w:r w:rsidR="000C6DC7" w:rsidRPr="00FF4C0D">
        <w:t>.1</w:t>
      </w:r>
      <w:r w:rsidR="000C6DC7" w:rsidRPr="00FF4C0D">
        <w:tab/>
        <w:t xml:space="preserve">Safety </w:t>
      </w:r>
      <w:r w:rsidR="00CF3A3C" w:rsidRPr="00FF4C0D">
        <w:t xml:space="preserve">and nutritional adequacy </w:t>
      </w:r>
      <w:r w:rsidR="000C6DC7" w:rsidRPr="00FF4C0D">
        <w:t>of irradiated foods</w:t>
      </w:r>
      <w:bookmarkEnd w:id="43"/>
    </w:p>
    <w:p w:rsidR="000C6DC7" w:rsidRPr="00FF4C0D" w:rsidRDefault="000C6DC7">
      <w:pPr>
        <w:rPr>
          <w:rFonts w:cs="Arial"/>
        </w:rPr>
      </w:pPr>
    </w:p>
    <w:p w:rsidR="000514E5" w:rsidRPr="00FF4C0D" w:rsidRDefault="00BD3AA7" w:rsidP="00BD3AA7">
      <w:pPr>
        <w:widowControl/>
        <w:rPr>
          <w:rFonts w:cs="Arial"/>
        </w:rPr>
      </w:pPr>
      <w:r w:rsidRPr="00FF4C0D">
        <w:rPr>
          <w:rFonts w:cs="Arial"/>
        </w:rPr>
        <w:t>FSANZ has previously assessed the safety and nutritional adequacy of various irradiated tropical fruits</w:t>
      </w:r>
      <w:r w:rsidR="00CB604F" w:rsidRPr="00FF4C0D">
        <w:rPr>
          <w:rFonts w:cs="Arial"/>
        </w:rPr>
        <w:t>.</w:t>
      </w:r>
      <w:r w:rsidR="00016395" w:rsidRPr="00FF4C0D">
        <w:rPr>
          <w:rFonts w:cs="Arial"/>
        </w:rPr>
        <w:t xml:space="preserve"> </w:t>
      </w:r>
      <w:r w:rsidR="00CB604F" w:rsidRPr="00FF4C0D">
        <w:rPr>
          <w:rFonts w:cs="Arial"/>
        </w:rPr>
        <w:t>T</w:t>
      </w:r>
      <w:r w:rsidR="00016395" w:rsidRPr="00FF4C0D">
        <w:rPr>
          <w:rFonts w:cs="Arial"/>
        </w:rPr>
        <w:t>his assessment was conducted</w:t>
      </w:r>
      <w:r w:rsidR="000514E5" w:rsidRPr="00FF4C0D">
        <w:rPr>
          <w:rFonts w:cs="Arial"/>
        </w:rPr>
        <w:t xml:space="preserve"> in 2002</w:t>
      </w:r>
      <w:r w:rsidR="00016395" w:rsidRPr="00FF4C0D">
        <w:rPr>
          <w:rStyle w:val="FootnoteReference"/>
          <w:rFonts w:cs="Arial"/>
        </w:rPr>
        <w:footnoteReference w:id="11"/>
      </w:r>
      <w:r w:rsidR="00F01B70" w:rsidRPr="00FF4C0D">
        <w:rPr>
          <w:rFonts w:cs="Arial"/>
        </w:rPr>
        <w:t xml:space="preserve">. </w:t>
      </w:r>
      <w:r w:rsidR="000514E5" w:rsidRPr="00FF4C0D">
        <w:rPr>
          <w:rFonts w:cs="Arial"/>
        </w:rPr>
        <w:t xml:space="preserve">At that time, </w:t>
      </w:r>
      <w:r w:rsidR="00016395" w:rsidRPr="00FF4C0D">
        <w:rPr>
          <w:rFonts w:cs="Arial"/>
        </w:rPr>
        <w:t xml:space="preserve">FSANZ </w:t>
      </w:r>
      <w:r w:rsidRPr="00FF4C0D">
        <w:rPr>
          <w:rFonts w:cs="Arial"/>
        </w:rPr>
        <w:t xml:space="preserve">concluded that there </w:t>
      </w:r>
      <w:r w:rsidR="00A57815" w:rsidRPr="00FF4C0D">
        <w:rPr>
          <w:rFonts w:cs="Arial"/>
        </w:rPr>
        <w:t>were</w:t>
      </w:r>
      <w:r w:rsidRPr="00FF4C0D">
        <w:rPr>
          <w:rFonts w:cs="Arial"/>
        </w:rPr>
        <w:t xml:space="preserve"> no public health </w:t>
      </w:r>
      <w:r w:rsidR="00E23D9A" w:rsidRPr="00FF4C0D">
        <w:rPr>
          <w:rFonts w:cs="Arial"/>
        </w:rPr>
        <w:t>or</w:t>
      </w:r>
      <w:r w:rsidRPr="00FF4C0D">
        <w:rPr>
          <w:rFonts w:cs="Arial"/>
        </w:rPr>
        <w:t xml:space="preserve"> safety issues associated with their consumption when irradiated up to a maximum dose of 1 kGy. </w:t>
      </w:r>
    </w:p>
    <w:p w:rsidR="000514E5" w:rsidRPr="00FF4C0D" w:rsidRDefault="000514E5" w:rsidP="00BD3AA7">
      <w:pPr>
        <w:widowControl/>
        <w:rPr>
          <w:rFonts w:cs="Arial"/>
        </w:rPr>
      </w:pPr>
    </w:p>
    <w:p w:rsidR="00BD3AA7" w:rsidRPr="00FF4C0D" w:rsidRDefault="00BD3AA7" w:rsidP="00BD3AA7">
      <w:pPr>
        <w:widowControl/>
        <w:rPr>
          <w:rFonts w:cs="Arial"/>
        </w:rPr>
      </w:pPr>
      <w:r w:rsidRPr="00FF4C0D">
        <w:rPr>
          <w:rFonts w:cs="Arial"/>
        </w:rPr>
        <w:t xml:space="preserve">The current </w:t>
      </w:r>
      <w:r w:rsidR="00A57815" w:rsidRPr="00FF4C0D">
        <w:rPr>
          <w:rFonts w:cs="Arial"/>
        </w:rPr>
        <w:t>A</w:t>
      </w:r>
      <w:r w:rsidRPr="00FF4C0D">
        <w:rPr>
          <w:rFonts w:cs="Arial"/>
        </w:rPr>
        <w:t>pplication seeks to extend the existing permission for the irradiation of tropical fruits to include persimmons</w:t>
      </w:r>
      <w:r w:rsidR="009208E5" w:rsidRPr="00FF4C0D">
        <w:rPr>
          <w:rFonts w:cs="Arial"/>
        </w:rPr>
        <w:t xml:space="preserve">. </w:t>
      </w:r>
      <w:r w:rsidR="005401AB" w:rsidRPr="00FF4C0D">
        <w:rPr>
          <w:rFonts w:cs="Arial"/>
        </w:rPr>
        <w:t xml:space="preserve">The purpose of the risk assessment was to determine whether persimmons irradiated up to a maximum dose of 1 kGy are as safe as non-irradiated persimmons. </w:t>
      </w:r>
      <w:r w:rsidR="00CB604F" w:rsidRPr="00FF4C0D">
        <w:rPr>
          <w:rFonts w:cs="Arial"/>
        </w:rPr>
        <w:t>The risk assessment takes account of the previous consideration</w:t>
      </w:r>
      <w:r w:rsidR="00016395" w:rsidRPr="00FF4C0D">
        <w:rPr>
          <w:rFonts w:cs="Arial"/>
        </w:rPr>
        <w:t xml:space="preserve"> and includes a</w:t>
      </w:r>
      <w:r w:rsidR="00CB604F" w:rsidRPr="00FF4C0D">
        <w:rPr>
          <w:rFonts w:cs="Arial"/>
        </w:rPr>
        <w:t>n</w:t>
      </w:r>
      <w:r w:rsidR="00016395" w:rsidRPr="00FF4C0D">
        <w:rPr>
          <w:rFonts w:cs="Arial"/>
        </w:rPr>
        <w:t xml:space="preserve"> assessment </w:t>
      </w:r>
      <w:r w:rsidR="00CE658F" w:rsidRPr="00FF4C0D">
        <w:rPr>
          <w:rFonts w:cs="Arial"/>
        </w:rPr>
        <w:t xml:space="preserve">of </w:t>
      </w:r>
      <w:r w:rsidR="00CB604F" w:rsidRPr="00FF4C0D">
        <w:rPr>
          <w:rFonts w:cs="Arial"/>
        </w:rPr>
        <w:t xml:space="preserve">further </w:t>
      </w:r>
      <w:r w:rsidR="00016395" w:rsidRPr="00FF4C0D">
        <w:rPr>
          <w:rFonts w:cs="Arial"/>
        </w:rPr>
        <w:t xml:space="preserve">data </w:t>
      </w:r>
      <w:r w:rsidR="00686329" w:rsidRPr="00FF4C0D">
        <w:rPr>
          <w:rFonts w:cs="Arial"/>
        </w:rPr>
        <w:t xml:space="preserve">on </w:t>
      </w:r>
      <w:r w:rsidR="003E0B71" w:rsidRPr="00FF4C0D">
        <w:rPr>
          <w:rFonts w:cs="Arial"/>
        </w:rPr>
        <w:t>the safety of irradiated foods that</w:t>
      </w:r>
      <w:r w:rsidR="00686329" w:rsidRPr="00FF4C0D">
        <w:rPr>
          <w:rFonts w:cs="Arial"/>
        </w:rPr>
        <w:t xml:space="preserve"> has become </w:t>
      </w:r>
      <w:r w:rsidR="00CB604F" w:rsidRPr="00FF4C0D">
        <w:rPr>
          <w:rFonts w:cs="Arial"/>
        </w:rPr>
        <w:t xml:space="preserve">available </w:t>
      </w:r>
      <w:r w:rsidR="00016395" w:rsidRPr="00FF4C0D">
        <w:rPr>
          <w:rFonts w:cs="Arial"/>
        </w:rPr>
        <w:t xml:space="preserve">since the assessment </w:t>
      </w:r>
      <w:r w:rsidR="00CB604F" w:rsidRPr="00FF4C0D">
        <w:rPr>
          <w:rFonts w:cs="Arial"/>
        </w:rPr>
        <w:t xml:space="preserve">conducted </w:t>
      </w:r>
      <w:r w:rsidR="00016395" w:rsidRPr="00FF4C0D">
        <w:rPr>
          <w:rFonts w:cs="Arial"/>
        </w:rPr>
        <w:t>in 2002</w:t>
      </w:r>
      <w:r w:rsidRPr="00FF4C0D">
        <w:rPr>
          <w:rFonts w:cs="Arial"/>
        </w:rPr>
        <w:t xml:space="preserve">. </w:t>
      </w:r>
      <w:r w:rsidR="00453853" w:rsidRPr="00FF4C0D">
        <w:rPr>
          <w:rFonts w:cs="Arial"/>
        </w:rPr>
        <w:t>T</w:t>
      </w:r>
      <w:r w:rsidR="005A27D1" w:rsidRPr="00FF4C0D">
        <w:rPr>
          <w:rFonts w:cs="Arial"/>
        </w:rPr>
        <w:t xml:space="preserve">he </w:t>
      </w:r>
      <w:r w:rsidRPr="00FF4C0D">
        <w:rPr>
          <w:rFonts w:cs="Arial"/>
        </w:rPr>
        <w:t>compositional data on irradiated persimmons and the level of consumption of persimmons in Australian and New Zealand</w:t>
      </w:r>
      <w:r w:rsidR="005A27D1" w:rsidRPr="00FF4C0D">
        <w:rPr>
          <w:rFonts w:cs="Arial"/>
        </w:rPr>
        <w:t xml:space="preserve"> were </w:t>
      </w:r>
      <w:r w:rsidR="00453853" w:rsidRPr="00FF4C0D">
        <w:rPr>
          <w:rFonts w:cs="Arial"/>
        </w:rPr>
        <w:t xml:space="preserve">also </w:t>
      </w:r>
      <w:r w:rsidR="005A27D1" w:rsidRPr="00FF4C0D">
        <w:rPr>
          <w:rFonts w:cs="Arial"/>
        </w:rPr>
        <w:t>taken into consideration</w:t>
      </w:r>
      <w:r w:rsidRPr="00FF4C0D">
        <w:rPr>
          <w:rFonts w:cs="Arial"/>
        </w:rPr>
        <w:t>.</w:t>
      </w:r>
    </w:p>
    <w:p w:rsidR="00BD3AA7" w:rsidRPr="00FF4C0D" w:rsidRDefault="00BD3AA7" w:rsidP="00BD3AA7">
      <w:pPr>
        <w:widowControl/>
        <w:rPr>
          <w:rFonts w:cs="Arial"/>
        </w:rPr>
      </w:pPr>
    </w:p>
    <w:p w:rsidR="00190510" w:rsidRPr="00FF4C0D" w:rsidRDefault="00A57815" w:rsidP="00BD3AA7">
      <w:pPr>
        <w:rPr>
          <w:rFonts w:cs="Arial"/>
        </w:rPr>
      </w:pPr>
      <w:r w:rsidRPr="00FF4C0D">
        <w:rPr>
          <w:rFonts w:cs="Arial"/>
        </w:rPr>
        <w:t xml:space="preserve">FSANZ concludes </w:t>
      </w:r>
      <w:r w:rsidR="00BD3AA7" w:rsidRPr="00FF4C0D">
        <w:rPr>
          <w:rFonts w:cs="Arial"/>
        </w:rPr>
        <w:t>that there are no public health</w:t>
      </w:r>
      <w:r w:rsidR="004850CF" w:rsidRPr="00FF4C0D">
        <w:rPr>
          <w:rFonts w:cs="Arial"/>
        </w:rPr>
        <w:t xml:space="preserve"> or</w:t>
      </w:r>
      <w:r w:rsidR="00546771" w:rsidRPr="00FF4C0D">
        <w:rPr>
          <w:rFonts w:cs="Arial"/>
        </w:rPr>
        <w:t xml:space="preserve"> </w:t>
      </w:r>
      <w:r w:rsidR="00BD3AA7" w:rsidRPr="00FF4C0D">
        <w:rPr>
          <w:rFonts w:cs="Arial"/>
        </w:rPr>
        <w:t xml:space="preserve">safety issues associated with the consumption of persimmons, which have been irradiated up to a maximum dose of 1 kGy. </w:t>
      </w:r>
    </w:p>
    <w:p w:rsidR="008A4BAB" w:rsidRPr="00FF4C0D" w:rsidRDefault="008A4BAB">
      <w:pPr>
        <w:widowControl/>
        <w:rPr>
          <w:rFonts w:cs="Arial"/>
        </w:rPr>
      </w:pPr>
    </w:p>
    <w:p w:rsidR="00C04F76" w:rsidRPr="00FF4C0D" w:rsidRDefault="00BD3AA7">
      <w:pPr>
        <w:widowControl/>
        <w:rPr>
          <w:rFonts w:cs="Arial"/>
        </w:rPr>
      </w:pPr>
      <w:r w:rsidRPr="00FF4C0D">
        <w:rPr>
          <w:rFonts w:cs="Arial"/>
        </w:rPr>
        <w:t>This conclusion is based on the following considerations:</w:t>
      </w:r>
    </w:p>
    <w:p w:rsidR="008A4BAB" w:rsidRPr="00FF4C0D" w:rsidRDefault="008A4BAB">
      <w:pPr>
        <w:widowControl/>
        <w:rPr>
          <w:rFonts w:cs="Arial"/>
        </w:rPr>
      </w:pPr>
    </w:p>
    <w:p w:rsidR="008D49BF" w:rsidRPr="00FF4C0D" w:rsidRDefault="008D49BF" w:rsidP="0078179D">
      <w:pPr>
        <w:pStyle w:val="FSBullet"/>
      </w:pPr>
      <w:r w:rsidRPr="00FF4C0D">
        <w:t xml:space="preserve">The safety of irradiated food has been extensively assessed by national regulators and international scientific bodies and there have been no identified public health or safety concerns. </w:t>
      </w:r>
    </w:p>
    <w:p w:rsidR="0078179D" w:rsidRPr="00FF4C0D" w:rsidRDefault="0078179D" w:rsidP="0078179D">
      <w:bookmarkStart w:id="44" w:name="_GoBack"/>
      <w:bookmarkEnd w:id="44"/>
    </w:p>
    <w:p w:rsidR="008D49BF" w:rsidRPr="00FF4C0D" w:rsidRDefault="008D49BF" w:rsidP="003433AC">
      <w:pPr>
        <w:pStyle w:val="FSBullet"/>
      </w:pPr>
      <w:r w:rsidRPr="00FF4C0D">
        <w:t>There is a history of safe consumption of irradiated food in many countries.</w:t>
      </w:r>
    </w:p>
    <w:p w:rsidR="003433AC" w:rsidRPr="00FF4C0D" w:rsidRDefault="003433AC" w:rsidP="003433AC"/>
    <w:p w:rsidR="003433AC" w:rsidRPr="00FF4C0D" w:rsidRDefault="005A27D1" w:rsidP="003433AC">
      <w:pPr>
        <w:pStyle w:val="FSBullet"/>
      </w:pPr>
      <w:r w:rsidRPr="00FF4C0D">
        <w:t>A</w:t>
      </w:r>
      <w:r w:rsidR="00772DE3" w:rsidRPr="00FF4C0D">
        <w:t>vailable data indicate that the carbohydrate, fat, protein and mineral content of foods are unaffected by irradiation at doses up to 1 kGy. Therefore, irradiation is unlikely to affect the presence of macronutrients and minerals in persimmons</w:t>
      </w:r>
      <w:r w:rsidRPr="00FF4C0D">
        <w:t>.</w:t>
      </w:r>
      <w:r w:rsidR="003433AC" w:rsidRPr="00FF4C0D">
        <w:br w:type="page"/>
      </w:r>
    </w:p>
    <w:p w:rsidR="008A4BAB" w:rsidRPr="00FF4C0D" w:rsidRDefault="005A27D1" w:rsidP="008A4BAB">
      <w:pPr>
        <w:pStyle w:val="FSBullet"/>
      </w:pPr>
      <w:r w:rsidRPr="00FF4C0D">
        <w:lastRenderedPageBreak/>
        <w:t>T</w:t>
      </w:r>
      <w:r w:rsidR="00772DE3" w:rsidRPr="00FF4C0D">
        <w:t>he concentrations of certain vitamins may be decreased as a result of the irradiation process</w:t>
      </w:r>
      <w:r w:rsidR="009208E5" w:rsidRPr="00FF4C0D">
        <w:t xml:space="preserve">. </w:t>
      </w:r>
      <w:r w:rsidR="001E59F5" w:rsidRPr="00FF4C0D">
        <w:t xml:space="preserve">However persimmons are not widely consumed in Australia and New Zealand and they contribute minimally to the total dietary intake of </w:t>
      </w:r>
      <w:r w:rsidR="00320428" w:rsidRPr="00FF4C0D">
        <w:t xml:space="preserve">these </w:t>
      </w:r>
      <w:r w:rsidR="001E59F5" w:rsidRPr="00FF4C0D">
        <w:t xml:space="preserve">vitamins. Therefore, there are unlikely to be any nutritional disadvantages for Australian and New Zealand consumers from eating irradiated persimmons. </w:t>
      </w:r>
    </w:p>
    <w:p w:rsidR="008A4BAB" w:rsidRPr="00FF4C0D" w:rsidRDefault="008A4BAB" w:rsidP="008A4BAB"/>
    <w:p w:rsidR="009B4A0D" w:rsidRPr="00FF4C0D" w:rsidRDefault="005A27D1" w:rsidP="005A5F50">
      <w:pPr>
        <w:pStyle w:val="FSBullet"/>
      </w:pPr>
      <w:r w:rsidRPr="00FF4C0D">
        <w:t>T</w:t>
      </w:r>
      <w:r w:rsidR="00BD3AA7" w:rsidRPr="00FF4C0D">
        <w:t>he irradiation of several tropical fruits</w:t>
      </w:r>
      <w:r w:rsidR="00181EB0" w:rsidRPr="00FF4C0D">
        <w:t xml:space="preserve"> </w:t>
      </w:r>
      <w:r w:rsidR="00010CD2" w:rsidRPr="00FF4C0D">
        <w:t xml:space="preserve">is </w:t>
      </w:r>
      <w:r w:rsidR="00BD3AA7" w:rsidRPr="00FF4C0D">
        <w:t>already permitted in Australia and New Zealand. FSANZ has not previously identified any public health</w:t>
      </w:r>
      <w:r w:rsidR="00635AC1" w:rsidRPr="00FF4C0D">
        <w:t xml:space="preserve"> or</w:t>
      </w:r>
      <w:r w:rsidR="00546771" w:rsidRPr="00FF4C0D">
        <w:t xml:space="preserve"> </w:t>
      </w:r>
      <w:r w:rsidR="00BD3AA7" w:rsidRPr="00FF4C0D">
        <w:t xml:space="preserve">safety issues associated with the consumption of these or other </w:t>
      </w:r>
      <w:r w:rsidR="0046559B" w:rsidRPr="00FF4C0D">
        <w:t xml:space="preserve">permitted </w:t>
      </w:r>
      <w:r w:rsidR="00BD3AA7" w:rsidRPr="00FF4C0D">
        <w:t>irra</w:t>
      </w:r>
      <w:r w:rsidR="00190510" w:rsidRPr="00FF4C0D">
        <w:t>diated foods</w:t>
      </w:r>
      <w:r w:rsidRPr="00FF4C0D">
        <w:t>.</w:t>
      </w:r>
    </w:p>
    <w:p w:rsidR="008D49BF" w:rsidRPr="00FF4C0D" w:rsidRDefault="008D49BF"/>
    <w:p w:rsidR="009B4A0D" w:rsidRPr="00FF4C0D" w:rsidRDefault="008D49BF" w:rsidP="005A5F50">
      <w:pPr>
        <w:pStyle w:val="FSBullet"/>
      </w:pPr>
      <w:r w:rsidRPr="00FF4C0D">
        <w:t xml:space="preserve">There </w:t>
      </w:r>
      <w:r w:rsidR="002E20FB" w:rsidRPr="00FF4C0D">
        <w:t>is</w:t>
      </w:r>
      <w:r w:rsidRPr="00FF4C0D">
        <w:t xml:space="preserve"> no safety concerns arising from chemical products (e.g. alkylcyclobutanones</w:t>
      </w:r>
      <w:r w:rsidRPr="00FF4C0D">
        <w:rPr>
          <w:rStyle w:val="FootnoteReference"/>
        </w:rPr>
        <w:footnoteReference w:id="12"/>
      </w:r>
      <w:r w:rsidRPr="00FF4C0D">
        <w:t xml:space="preserve">  (2-ACBs)) produced from irradiated foods. Supplementary data published since 2002 have confirmed that 2-ACBs are not genotoxic. New data indicate that 2-ACBs previously considered to be uniquely formed during food irradiation are actually present in some non-irradiated foods.</w:t>
      </w:r>
    </w:p>
    <w:p w:rsidR="002B666C" w:rsidRPr="00FF4C0D" w:rsidRDefault="002B666C" w:rsidP="002B666C">
      <w:pPr>
        <w:rPr>
          <w:rFonts w:cs="Arial"/>
          <w:szCs w:val="22"/>
        </w:rPr>
      </w:pPr>
    </w:p>
    <w:p w:rsidR="002E120C" w:rsidRPr="00FF4C0D" w:rsidRDefault="00BD74F3" w:rsidP="00317F70">
      <w:pPr>
        <w:pStyle w:val="Heading3"/>
      </w:pPr>
      <w:bookmarkStart w:id="45" w:name="_Toc297029092"/>
      <w:r w:rsidRPr="00FF4C0D">
        <w:t>5</w:t>
      </w:r>
      <w:r w:rsidR="002E120C" w:rsidRPr="00FF4C0D">
        <w:t>.2</w:t>
      </w:r>
      <w:r w:rsidR="00317F70" w:rsidRPr="00FF4C0D">
        <w:tab/>
      </w:r>
      <w:r w:rsidR="00A642F7" w:rsidRPr="00FF4C0D">
        <w:t>I</w:t>
      </w:r>
      <w:r w:rsidR="002E120C" w:rsidRPr="00FF4C0D">
        <w:t>ssues ra</w:t>
      </w:r>
      <w:r w:rsidR="00C16D32" w:rsidRPr="00FF4C0D">
        <w:t>ised during public consultation</w:t>
      </w:r>
      <w:r w:rsidR="005401AB" w:rsidRPr="00FF4C0D">
        <w:t xml:space="preserve"> on the risk assessment</w:t>
      </w:r>
      <w:bookmarkEnd w:id="45"/>
      <w:r w:rsidR="00BF6ABE" w:rsidRPr="00FF4C0D">
        <w:t xml:space="preserve">  </w:t>
      </w:r>
    </w:p>
    <w:p w:rsidR="00C4722E" w:rsidRPr="00FF4C0D" w:rsidRDefault="00C4722E" w:rsidP="00317F70"/>
    <w:p w:rsidR="00C4722E" w:rsidRPr="00FF4C0D" w:rsidRDefault="00C4722E" w:rsidP="00317F70">
      <w:r w:rsidRPr="00FF4C0D">
        <w:t>The issues raised by submitters are summar</w:t>
      </w:r>
      <w:r w:rsidR="001159AB" w:rsidRPr="00FF4C0D">
        <w:t xml:space="preserve">ised in </w:t>
      </w:r>
      <w:r w:rsidR="00AE46A1" w:rsidRPr="00FF4C0D">
        <w:t>Attachment 3</w:t>
      </w:r>
      <w:r w:rsidRPr="00FF4C0D">
        <w:t xml:space="preserve"> and addressed below. </w:t>
      </w:r>
    </w:p>
    <w:p w:rsidR="00317F70" w:rsidRPr="00FF4C0D" w:rsidRDefault="00317F70" w:rsidP="00317F70">
      <w:pPr>
        <w:widowControl/>
      </w:pPr>
    </w:p>
    <w:p w:rsidR="00317F70" w:rsidRPr="00FF4C0D" w:rsidRDefault="00BD74F3" w:rsidP="00317F70">
      <w:pPr>
        <w:pStyle w:val="Heading4"/>
      </w:pPr>
      <w:r w:rsidRPr="00FF4C0D">
        <w:t>5</w:t>
      </w:r>
      <w:r w:rsidR="00317F70" w:rsidRPr="00FF4C0D">
        <w:t>.2.1</w:t>
      </w:r>
      <w:r w:rsidR="001929F6" w:rsidRPr="00FF4C0D">
        <w:tab/>
      </w:r>
      <w:r w:rsidR="00880D4A" w:rsidRPr="00FF4C0D">
        <w:t>G</w:t>
      </w:r>
      <w:r w:rsidR="005401AB" w:rsidRPr="00FF4C0D">
        <w:t xml:space="preserve">eneral comments on </w:t>
      </w:r>
      <w:r w:rsidR="00317F70" w:rsidRPr="00FF4C0D">
        <w:t xml:space="preserve">FSANZ’s risk assessment </w:t>
      </w:r>
    </w:p>
    <w:p w:rsidR="00317F70" w:rsidRPr="00FF4C0D" w:rsidRDefault="00317F70" w:rsidP="00317F70"/>
    <w:p w:rsidR="008A4BAB" w:rsidRPr="00FF4C0D" w:rsidRDefault="008A4BAB" w:rsidP="00C4722E">
      <w:r w:rsidRPr="00FF4C0D">
        <w:t>Some submitters believed that FSANZ had not performed</w:t>
      </w:r>
      <w:r w:rsidR="00C4722E" w:rsidRPr="00FF4C0D">
        <w:t xml:space="preserve"> a rigorous risk assessment, </w:t>
      </w:r>
      <w:r w:rsidRPr="00FF4C0D">
        <w:t>had been selective in its citing of the literature on the safety of irradiated persimmons</w:t>
      </w:r>
      <w:r w:rsidR="00C4722E" w:rsidRPr="00FF4C0D">
        <w:t xml:space="preserve"> and that numerous scientific studies have revealed the potential harmful effects of food irradiation. </w:t>
      </w:r>
    </w:p>
    <w:p w:rsidR="008A4BAB" w:rsidRPr="00FF4C0D" w:rsidRDefault="008A4BAB" w:rsidP="00317F70">
      <w:pPr>
        <w:rPr>
          <w:szCs w:val="22"/>
        </w:rPr>
      </w:pPr>
    </w:p>
    <w:p w:rsidR="008A4BAB" w:rsidRPr="00FF4C0D" w:rsidRDefault="00BD74F3" w:rsidP="00751255">
      <w:pPr>
        <w:pStyle w:val="Heading5"/>
      </w:pPr>
      <w:r w:rsidRPr="00FF4C0D">
        <w:t>5</w:t>
      </w:r>
      <w:r w:rsidR="001929F6" w:rsidRPr="00FF4C0D">
        <w:t>.2.1.1</w:t>
      </w:r>
      <w:r w:rsidR="001929F6" w:rsidRPr="00FF4C0D">
        <w:tab/>
      </w:r>
      <w:r w:rsidR="00C4722E" w:rsidRPr="00FF4C0D">
        <w:t>FSANZ Response</w:t>
      </w:r>
    </w:p>
    <w:p w:rsidR="008A4BAB" w:rsidRPr="00FF4C0D" w:rsidRDefault="008A4BAB" w:rsidP="00317F70"/>
    <w:p w:rsidR="00C4722E" w:rsidRPr="00FF4C0D" w:rsidRDefault="00317F70" w:rsidP="00C4722E">
      <w:r w:rsidRPr="00FF4C0D">
        <w:t>FSANZ undertakes risk assessments in accordance with the most up-to-date international risk assessment procedures</w:t>
      </w:r>
      <w:r w:rsidRPr="00FF4C0D">
        <w:rPr>
          <w:rStyle w:val="FootnoteReference"/>
        </w:rPr>
        <w:footnoteReference w:id="13"/>
      </w:r>
      <w:r w:rsidRPr="00FF4C0D">
        <w:t xml:space="preserve">. </w:t>
      </w:r>
      <w:r w:rsidR="004F4BA9" w:rsidRPr="00FF4C0D">
        <w:t xml:space="preserve">The </w:t>
      </w:r>
      <w:r w:rsidRPr="00FF4C0D">
        <w:t xml:space="preserve">available studies indicate that irradiation of persimmons </w:t>
      </w:r>
      <w:r w:rsidRPr="00FF4C0D">
        <w:rPr>
          <w:rFonts w:cs="Arial"/>
        </w:rPr>
        <w:t xml:space="preserve">does </w:t>
      </w:r>
      <w:r w:rsidRPr="00FF4C0D">
        <w:t xml:space="preserve">not pose a significant human health risk for </w:t>
      </w:r>
      <w:r w:rsidRPr="00FF4C0D">
        <w:rPr>
          <w:rFonts w:cs="Arial"/>
        </w:rPr>
        <w:t xml:space="preserve">Australian or New Zealand consumers. </w:t>
      </w:r>
      <w:r w:rsidRPr="00FF4C0D">
        <w:t xml:space="preserve">FSANZ’s conclusions on the safety of irradiated foods are </w:t>
      </w:r>
      <w:r w:rsidR="00453853" w:rsidRPr="00FF4C0D">
        <w:t xml:space="preserve">consistent </w:t>
      </w:r>
      <w:r w:rsidRPr="00FF4C0D">
        <w:t>with a recent review by the European Food Safety Authority (EFSA)</w:t>
      </w:r>
      <w:r w:rsidRPr="00FF4C0D">
        <w:rPr>
          <w:rStyle w:val="FootnoteReference"/>
        </w:rPr>
        <w:footnoteReference w:id="14"/>
      </w:r>
      <w:r w:rsidR="00C4722E" w:rsidRPr="00FF4C0D">
        <w:t xml:space="preserve">. </w:t>
      </w:r>
    </w:p>
    <w:p w:rsidR="00C4722E" w:rsidRPr="00FF4C0D" w:rsidRDefault="00C4722E" w:rsidP="00C4722E"/>
    <w:p w:rsidR="00317F70" w:rsidRPr="00FF4C0D" w:rsidRDefault="00317F70" w:rsidP="00C4722E">
      <w:r w:rsidRPr="00FF4C0D">
        <w:t xml:space="preserve">FSANZ’s comprehensive search of the scientific literature undertaken as part of the current assessment process did not identify </w:t>
      </w:r>
      <w:r w:rsidR="004B4FA1" w:rsidRPr="00FF4C0D">
        <w:t xml:space="preserve">any studies </w:t>
      </w:r>
      <w:r w:rsidR="00EC16F7" w:rsidRPr="00FF4C0D">
        <w:t>which revealed potential harmful effects</w:t>
      </w:r>
      <w:r w:rsidR="004B4FA1" w:rsidRPr="00FF4C0D">
        <w:t xml:space="preserve"> from irradiated foods</w:t>
      </w:r>
      <w:r w:rsidR="00BD74F3" w:rsidRPr="00FF4C0D">
        <w:t>. T</w:t>
      </w:r>
      <w:r w:rsidRPr="00FF4C0D">
        <w:t xml:space="preserve">he weight-of-evidence indicates </w:t>
      </w:r>
      <w:r w:rsidR="00936A7D" w:rsidRPr="00FF4C0D">
        <w:t>that food</w:t>
      </w:r>
      <w:r w:rsidRPr="00FF4C0D">
        <w:t xml:space="preserve"> is safe when irradiated at doses necessary to achieve the intended technological function and in accordance with good radiation practice.</w:t>
      </w:r>
    </w:p>
    <w:p w:rsidR="00317F70" w:rsidRPr="00FF4C0D" w:rsidRDefault="00317F70" w:rsidP="00317F70"/>
    <w:p w:rsidR="00317F70" w:rsidRPr="00FF4C0D" w:rsidRDefault="00A73F95" w:rsidP="00317F70">
      <w:r w:rsidRPr="00FF4C0D">
        <w:t>FSANZ undertook</w:t>
      </w:r>
      <w:r w:rsidR="00317F70" w:rsidRPr="00FF4C0D">
        <w:t xml:space="preserve"> a comprehensive literature search and included studies on the metabolism, genotoxicity and carcinogenicity of radiolytic compounds in addition to the analysis of radiolytic compounds in various irradiated foods. The weight-of-evidence of the existing database</w:t>
      </w:r>
      <w:r w:rsidR="002743BE" w:rsidRPr="00FF4C0D">
        <w:t>,</w:t>
      </w:r>
      <w:r w:rsidR="00317F70" w:rsidRPr="00FF4C0D">
        <w:t xml:space="preserve"> plus </w:t>
      </w:r>
      <w:r w:rsidR="00C308A0" w:rsidRPr="00FF4C0D">
        <w:rPr>
          <w:rFonts w:cs="Arial"/>
        </w:rPr>
        <w:t>data on the safety of irradiated foods that has become available since the assessment conducted in 2002,</w:t>
      </w:r>
      <w:r w:rsidR="00317F70" w:rsidRPr="00FF4C0D">
        <w:t xml:space="preserve"> indicated that </w:t>
      </w:r>
      <w:r w:rsidR="0004330A" w:rsidRPr="00FF4C0D">
        <w:t xml:space="preserve">there </w:t>
      </w:r>
      <w:r w:rsidR="00936A7D" w:rsidRPr="00FF4C0D">
        <w:t>were no</w:t>
      </w:r>
      <w:r w:rsidR="00317F70" w:rsidRPr="00FF4C0D">
        <w:t xml:space="preserve"> new public health </w:t>
      </w:r>
      <w:r w:rsidRPr="00FF4C0D">
        <w:t>or</w:t>
      </w:r>
      <w:r w:rsidR="00317F70" w:rsidRPr="00FF4C0D">
        <w:t xml:space="preserve"> safety considerations that need to be addressed as part of the current </w:t>
      </w:r>
      <w:r w:rsidRPr="00FF4C0D">
        <w:t>A</w:t>
      </w:r>
      <w:r w:rsidR="00317F70" w:rsidRPr="00FF4C0D">
        <w:t>pplication.</w:t>
      </w:r>
    </w:p>
    <w:p w:rsidR="00C4722E" w:rsidRPr="00FF4C0D" w:rsidRDefault="00C4722E" w:rsidP="00317F70"/>
    <w:p w:rsidR="003433AC" w:rsidRPr="00FF4C0D" w:rsidRDefault="003433AC" w:rsidP="00317F70">
      <w:r w:rsidRPr="00FF4C0D">
        <w:br w:type="page"/>
      </w:r>
    </w:p>
    <w:p w:rsidR="00317F70" w:rsidRPr="00FF4C0D" w:rsidRDefault="00317F70" w:rsidP="00317F70">
      <w:r w:rsidRPr="00FF4C0D">
        <w:lastRenderedPageBreak/>
        <w:t>FSANZ has not assumed that irradiated persimmons are safe to eat on the basis of the existing permission for irradiated of tropical fruits. FSANZ considers that the generic data previously considered in relation to the safety of irradiated tropical fruits are a relevant and necessary inclusion in the current assessment. On this basis, the existing permission for the irradiated tropical fruits provides a useful platform on which to evaluate the safety of irradiated persimmons. This platform has been supplemented with new published data on the toxicity of irradiated foods or 2-ACBs, in addition to persimmon-specific compositional, nutritional and consumption data.</w:t>
      </w:r>
    </w:p>
    <w:p w:rsidR="00317F70" w:rsidRPr="00FF4C0D" w:rsidRDefault="00317F70" w:rsidP="00317F70"/>
    <w:p w:rsidR="00317F70" w:rsidRPr="00FF4C0D" w:rsidRDefault="00D734B6" w:rsidP="00030B18">
      <w:pPr>
        <w:pStyle w:val="Heading4"/>
      </w:pPr>
      <w:r w:rsidRPr="00FF4C0D">
        <w:t>5</w:t>
      </w:r>
      <w:r w:rsidR="00317F70" w:rsidRPr="00FF4C0D">
        <w:t>.2.2</w:t>
      </w:r>
      <w:r w:rsidR="00317F70" w:rsidRPr="00FF4C0D">
        <w:tab/>
        <w:t>Irradiated cat food</w:t>
      </w:r>
    </w:p>
    <w:p w:rsidR="00317F70" w:rsidRPr="00FF4C0D" w:rsidRDefault="00317F70" w:rsidP="00317F70"/>
    <w:p w:rsidR="00C4722E" w:rsidRPr="00FF4C0D" w:rsidRDefault="003900B5" w:rsidP="00317F70">
      <w:r w:rsidRPr="00FF4C0D">
        <w:t>A number of submitters questioned FSANZ’s apparent lac</w:t>
      </w:r>
      <w:r w:rsidR="00932DE5" w:rsidRPr="00FF4C0D">
        <w:t xml:space="preserve">k of consideration of the recent studies in cats. </w:t>
      </w:r>
      <w:r w:rsidR="00041550" w:rsidRPr="00FF4C0D">
        <w:t>These comments refer to the association of certain imported cat food that had been irradiated with neurological symptoms and the death of several cats. Several published studies seemingly replicated the neurological effect in germ-free cats fed a diet of highly irradiated pet food.</w:t>
      </w:r>
    </w:p>
    <w:p w:rsidR="00C4722E" w:rsidRPr="00FF4C0D" w:rsidRDefault="00C4722E" w:rsidP="00317F70"/>
    <w:p w:rsidR="00C4722E" w:rsidRPr="00FF4C0D" w:rsidRDefault="00D734B6" w:rsidP="00751255">
      <w:pPr>
        <w:pStyle w:val="Heading5"/>
      </w:pPr>
      <w:r w:rsidRPr="00FF4C0D">
        <w:t>5</w:t>
      </w:r>
      <w:r w:rsidR="00041550" w:rsidRPr="00FF4C0D">
        <w:t>.2.2.1</w:t>
      </w:r>
      <w:r w:rsidR="00041550" w:rsidRPr="00FF4C0D">
        <w:tab/>
      </w:r>
      <w:r w:rsidR="00C4722E" w:rsidRPr="00FF4C0D">
        <w:t>FSANZ Response</w:t>
      </w:r>
    </w:p>
    <w:p w:rsidR="00C4722E" w:rsidRPr="00FF4C0D" w:rsidRDefault="00C4722E" w:rsidP="00317F70"/>
    <w:p w:rsidR="00647253" w:rsidRPr="00FF4C0D" w:rsidRDefault="00637747" w:rsidP="00647253">
      <w:r w:rsidRPr="00FF4C0D">
        <w:t>T</w:t>
      </w:r>
      <w:r w:rsidR="00317F70" w:rsidRPr="00FF4C0D">
        <w:t>here is a body of evidence associating high-dose irradiation of dried pet food and the development of a chronic neurological syndrome in cats. While the precise mechanism of this neurological syndrome remains to be defined, it has been hypothesised to be due to the loss of certain vitamins and/or the generation of peroxides</w:t>
      </w:r>
      <w:r w:rsidR="00F27FCB" w:rsidRPr="00FF4C0D">
        <w:t xml:space="preserve"> (Caulfield et al 2009). </w:t>
      </w:r>
      <w:r w:rsidR="00317F70" w:rsidRPr="00FF4C0D">
        <w:t>FSANZ, along with veterinary experts in government and the private sector, consider</w:t>
      </w:r>
      <w:r w:rsidR="00647253" w:rsidRPr="00FF4C0D">
        <w:t>s</w:t>
      </w:r>
      <w:r w:rsidR="00317F70" w:rsidRPr="00FF4C0D">
        <w:t xml:space="preserve"> that these neurological effects were cat-specific. FSANZ has concluded that the observations in cats are not relevant to humans.</w:t>
      </w:r>
      <w:r w:rsidR="00647253" w:rsidRPr="00FF4C0D">
        <w:t xml:space="preserve"> FSANZ had assessed the recent studies in cats prior to the Assessment Report being publicly available, but did not include it in the Risk Assessment Report at the Assessment stage</w:t>
      </w:r>
      <w:r w:rsidR="007D65B1" w:rsidRPr="00FF4C0D">
        <w:t>,</w:t>
      </w:r>
      <w:r w:rsidR="00647253" w:rsidRPr="00FF4C0D">
        <w:t xml:space="preserve"> because it was considered to be a cat</w:t>
      </w:r>
      <w:r w:rsidR="007D65B1" w:rsidRPr="00FF4C0D">
        <w:t>-</w:t>
      </w:r>
      <w:r w:rsidR="00647253" w:rsidRPr="00FF4C0D">
        <w:t xml:space="preserve">specific effect. </w:t>
      </w:r>
    </w:p>
    <w:p w:rsidR="00317F70" w:rsidRPr="00FF4C0D" w:rsidRDefault="00317F70" w:rsidP="00317F70"/>
    <w:p w:rsidR="00317F70" w:rsidRPr="00FF4C0D" w:rsidRDefault="00317F70" w:rsidP="00317F70">
      <w:r w:rsidRPr="00FF4C0D">
        <w:t>FSANZ notes the assessment of the cat studies by</w:t>
      </w:r>
      <w:r w:rsidR="00641B24" w:rsidRPr="00FF4C0D">
        <w:t xml:space="preserve"> </w:t>
      </w:r>
      <w:r w:rsidR="00D017C8" w:rsidRPr="00FF4C0D">
        <w:t xml:space="preserve">EFSA </w:t>
      </w:r>
      <w:r w:rsidRPr="00FF4C0D">
        <w:t xml:space="preserve">in 2009 as part of </w:t>
      </w:r>
      <w:r w:rsidR="009E68CF" w:rsidRPr="00FF4C0D">
        <w:t xml:space="preserve">its </w:t>
      </w:r>
      <w:r w:rsidRPr="00FF4C0D">
        <w:t>updated hazard assessment on the safety of irradiated foods. While EFSA expressed some uncertainty about the relevance of the observations in cats to humans and the need for additional data, it noted the lack of a similar effect in dogs fed the same irradiated diet or from observations in rodents or humans. EFSA’s overall conclusion was that at this point in time it was safe for humans to consume irradiated food.</w:t>
      </w:r>
    </w:p>
    <w:p w:rsidR="00317F70" w:rsidRPr="00FF4C0D" w:rsidRDefault="00317F70" w:rsidP="00317F70"/>
    <w:p w:rsidR="002E364B" w:rsidRPr="00FF4C0D" w:rsidRDefault="00317F70" w:rsidP="002E364B">
      <w:r w:rsidRPr="00FF4C0D">
        <w:t xml:space="preserve">FSANZ will continue to monitor any developments in </w:t>
      </w:r>
      <w:r w:rsidR="007D65B1" w:rsidRPr="00FF4C0D">
        <w:t>this area</w:t>
      </w:r>
      <w:r w:rsidRPr="00FF4C0D">
        <w:t xml:space="preserve"> and consider any related issues for irradiation of food for human consumption.</w:t>
      </w:r>
    </w:p>
    <w:p w:rsidR="002E364B" w:rsidRPr="00FF4C0D" w:rsidRDefault="002E364B" w:rsidP="002E364B"/>
    <w:p w:rsidR="00317F70" w:rsidRPr="00FF4C0D" w:rsidRDefault="00D734B6">
      <w:pPr>
        <w:pStyle w:val="Heading4"/>
      </w:pPr>
      <w:r w:rsidRPr="00FF4C0D">
        <w:t>5</w:t>
      </w:r>
      <w:r w:rsidR="00317F70" w:rsidRPr="00FF4C0D">
        <w:t xml:space="preserve">.2.3 </w:t>
      </w:r>
      <w:r w:rsidR="00317F70" w:rsidRPr="00FF4C0D">
        <w:tab/>
        <w:t xml:space="preserve">Production of </w:t>
      </w:r>
      <w:r w:rsidR="001E7145" w:rsidRPr="00FF4C0D">
        <w:t xml:space="preserve">harmful </w:t>
      </w:r>
      <w:r w:rsidR="00317F70" w:rsidRPr="00FF4C0D">
        <w:t xml:space="preserve">chemical products in irradiated foods </w:t>
      </w:r>
    </w:p>
    <w:p w:rsidR="00317F70" w:rsidRPr="00FF4C0D" w:rsidRDefault="00317F70" w:rsidP="00317F70"/>
    <w:p w:rsidR="00301209" w:rsidRPr="00FF4C0D" w:rsidRDefault="00374D7A" w:rsidP="00301209">
      <w:r w:rsidRPr="00FF4C0D">
        <w:t xml:space="preserve">A number of submitters raised concerns over the potential </w:t>
      </w:r>
      <w:r w:rsidR="0056221F" w:rsidRPr="00FF4C0D">
        <w:t>for irradiation to</w:t>
      </w:r>
      <w:r w:rsidRPr="00FF4C0D">
        <w:t xml:space="preserve"> produce chemical products in foods that may have adverse effects for humans and create toxic radiolytic substances which do not exist natural</w:t>
      </w:r>
      <w:r w:rsidR="00637747" w:rsidRPr="00FF4C0D">
        <w:t>ly.</w:t>
      </w:r>
      <w:r w:rsidRPr="00FF4C0D">
        <w:t xml:space="preserve"> </w:t>
      </w:r>
      <w:r w:rsidR="000D55A3" w:rsidRPr="00FF4C0D">
        <w:t xml:space="preserve">Concerns were expressed over the genotoxic potential of 2-ACBs in light of a small proportion of </w:t>
      </w:r>
      <w:r w:rsidR="000D55A3" w:rsidRPr="00FF4C0D">
        <w:rPr>
          <w:i/>
        </w:rPr>
        <w:t>in vitro</w:t>
      </w:r>
      <w:r w:rsidR="000D55A3" w:rsidRPr="00FF4C0D">
        <w:t xml:space="preserve"> genotoxicity studies which reported that certain 2-ACBs damaged genetic material. </w:t>
      </w:r>
      <w:r w:rsidR="009E68CF" w:rsidRPr="00FF4C0D">
        <w:t>T</w:t>
      </w:r>
      <w:r w:rsidR="0056221F" w:rsidRPr="00FF4C0D">
        <w:t xml:space="preserve">he submitters </w:t>
      </w:r>
      <w:r w:rsidR="007D65B1" w:rsidRPr="00FF4C0D">
        <w:t>indicated</w:t>
      </w:r>
      <w:r w:rsidR="00637747" w:rsidRPr="00FF4C0D">
        <w:t xml:space="preserve"> </w:t>
      </w:r>
      <w:r w:rsidRPr="00FF4C0D">
        <w:t xml:space="preserve">that there </w:t>
      </w:r>
      <w:r w:rsidR="007D65B1" w:rsidRPr="00FF4C0D">
        <w:t>wa</w:t>
      </w:r>
      <w:r w:rsidRPr="00FF4C0D">
        <w:t xml:space="preserve">s extensive evidence that these compounds </w:t>
      </w:r>
      <w:r w:rsidR="007D65B1" w:rsidRPr="00FF4C0D">
        <w:t>we</w:t>
      </w:r>
      <w:r w:rsidRPr="00FF4C0D">
        <w:t xml:space="preserve">re </w:t>
      </w:r>
      <w:r w:rsidR="00D017C8" w:rsidRPr="00FF4C0D">
        <w:t>harmful to human health and</w:t>
      </w:r>
      <w:r w:rsidR="007D65B1" w:rsidRPr="00FF4C0D">
        <w:t xml:space="preserve"> that</w:t>
      </w:r>
      <w:r w:rsidR="00D017C8" w:rsidRPr="00FF4C0D">
        <w:t xml:space="preserve"> EFSA </w:t>
      </w:r>
      <w:r w:rsidRPr="00FF4C0D">
        <w:t>ha</w:t>
      </w:r>
      <w:r w:rsidR="007D65B1" w:rsidRPr="00FF4C0D">
        <w:t>d</w:t>
      </w:r>
      <w:r w:rsidRPr="00FF4C0D">
        <w:t xml:space="preserve"> concluded that these compounds </w:t>
      </w:r>
      <w:r w:rsidR="007D65B1" w:rsidRPr="00FF4C0D">
        <w:t>we</w:t>
      </w:r>
      <w:r w:rsidRPr="00FF4C0D">
        <w:t xml:space="preserve">re genotoxic. </w:t>
      </w:r>
      <w:r w:rsidR="00301209" w:rsidRPr="00FF4C0D">
        <w:t xml:space="preserve">One submitter suggested that FSANZ had made a very narrow assessment of potential adverse effects by making an assessment only at a macronutrient level. As irradiation may have different effects on the individual fatty acids present in foods, as a minimum, the fatty acid profile of persimmons should have been included in the Report. </w:t>
      </w:r>
    </w:p>
    <w:p w:rsidR="00801C84" w:rsidRPr="00FF4C0D" w:rsidRDefault="00801C84" w:rsidP="00801C84">
      <w:pPr>
        <w:rPr>
          <w:snapToGrid w:val="0"/>
          <w:sz w:val="20"/>
          <w:lang w:eastAsia="de-DE"/>
        </w:rPr>
      </w:pPr>
    </w:p>
    <w:p w:rsidR="003433AC" w:rsidRPr="00FF4C0D" w:rsidRDefault="003433AC" w:rsidP="00751255">
      <w:pPr>
        <w:pStyle w:val="Heading5"/>
      </w:pPr>
      <w:r w:rsidRPr="00FF4C0D">
        <w:br w:type="page"/>
      </w:r>
    </w:p>
    <w:p w:rsidR="00374D7A" w:rsidRPr="00FF4C0D" w:rsidRDefault="00D734B6" w:rsidP="00751255">
      <w:pPr>
        <w:pStyle w:val="Heading5"/>
      </w:pPr>
      <w:r w:rsidRPr="00FF4C0D">
        <w:lastRenderedPageBreak/>
        <w:t>5</w:t>
      </w:r>
      <w:r w:rsidR="007A230F" w:rsidRPr="00FF4C0D">
        <w:t>.2.3.1</w:t>
      </w:r>
      <w:r w:rsidR="007A230F" w:rsidRPr="00FF4C0D">
        <w:tab/>
      </w:r>
      <w:r w:rsidR="00374D7A" w:rsidRPr="00FF4C0D">
        <w:t>FSANZ Response</w:t>
      </w:r>
    </w:p>
    <w:p w:rsidR="009E68CF" w:rsidRPr="00FF4C0D" w:rsidRDefault="009E68CF" w:rsidP="00317F70"/>
    <w:p w:rsidR="00317F70" w:rsidRPr="00FF4C0D" w:rsidRDefault="000D55A3" w:rsidP="00317F70">
      <w:r w:rsidRPr="00FF4C0D">
        <w:t>FSANZ has considered t</w:t>
      </w:r>
      <w:r w:rsidR="00317F70" w:rsidRPr="00FF4C0D">
        <w:t xml:space="preserve">he toxicity of radiolytic compounds formed following food </w:t>
      </w:r>
      <w:r w:rsidR="00936A7D" w:rsidRPr="00FF4C0D">
        <w:t>irradiation as</w:t>
      </w:r>
      <w:r w:rsidR="00317F70" w:rsidRPr="00FF4C0D">
        <w:t xml:space="preserve"> part of the current </w:t>
      </w:r>
      <w:r w:rsidRPr="00FF4C0D">
        <w:t>A</w:t>
      </w:r>
      <w:r w:rsidR="00317F70" w:rsidRPr="00FF4C0D">
        <w:t xml:space="preserve">pplication (see Section 2.1.3 of </w:t>
      </w:r>
      <w:r w:rsidR="00B978D9" w:rsidRPr="00FF4C0D">
        <w:t xml:space="preserve">SD1). </w:t>
      </w:r>
      <w:r w:rsidR="000D62F7" w:rsidRPr="00FF4C0D">
        <w:t>The majority of r</w:t>
      </w:r>
      <w:r w:rsidR="00317F70" w:rsidRPr="00FF4C0D">
        <w:t>adiolytic compounds ar</w:t>
      </w:r>
      <w:r w:rsidR="000D62F7" w:rsidRPr="00FF4C0D">
        <w:t xml:space="preserve">e not unique to irradiated foods. </w:t>
      </w:r>
      <w:r w:rsidR="00804DF2" w:rsidRPr="00FF4C0D">
        <w:t xml:space="preserve">They </w:t>
      </w:r>
      <w:r w:rsidR="001E7145" w:rsidRPr="00FF4C0D">
        <w:t xml:space="preserve">occur in some unprocessed </w:t>
      </w:r>
      <w:r w:rsidR="00317F70" w:rsidRPr="00FF4C0D">
        <w:t xml:space="preserve">foods and are </w:t>
      </w:r>
      <w:r w:rsidR="009E68CF" w:rsidRPr="00FF4C0D">
        <w:t xml:space="preserve">sometimes </w:t>
      </w:r>
      <w:r w:rsidR="00317F70" w:rsidRPr="00FF4C0D">
        <w:t>formed by conventional food processing techniques (e.g. thermal processing). While one class of radiolytic compou</w:t>
      </w:r>
      <w:r w:rsidR="004275F7" w:rsidRPr="00FF4C0D">
        <w:t>nds, the 2-ACBs</w:t>
      </w:r>
      <w:r w:rsidR="00317F70" w:rsidRPr="00FF4C0D">
        <w:t xml:space="preserve">, has been considered unique to irradiated food, new data </w:t>
      </w:r>
      <w:r w:rsidR="00ED65BF" w:rsidRPr="00FF4C0D">
        <w:t>suggests</w:t>
      </w:r>
      <w:r w:rsidR="0056221F" w:rsidRPr="00FF4C0D">
        <w:t xml:space="preserve"> </w:t>
      </w:r>
      <w:r w:rsidR="00317F70" w:rsidRPr="00FF4C0D">
        <w:t>that these compounds are present in some non-irradiated foods, such as cashew nuts and nutmeg. The inclusion of th</w:t>
      </w:r>
      <w:r w:rsidR="0056221F" w:rsidRPr="00FF4C0D">
        <w:t>is</w:t>
      </w:r>
      <w:r w:rsidR="00317F70" w:rsidRPr="00FF4C0D">
        <w:t xml:space="preserve"> data in the risk assessment was intended to illustrate that</w:t>
      </w:r>
      <w:r w:rsidR="0056221F" w:rsidRPr="00FF4C0D">
        <w:t>,</w:t>
      </w:r>
      <w:r w:rsidR="00317F70" w:rsidRPr="00FF4C0D">
        <w:t xml:space="preserve"> </w:t>
      </w:r>
      <w:r w:rsidR="00804DF2" w:rsidRPr="00FF4C0D">
        <w:t>qualitatively;</w:t>
      </w:r>
      <w:r w:rsidR="00317F70" w:rsidRPr="00FF4C0D">
        <w:t xml:space="preserve"> humans may not be uniquely exposed to these substances </w:t>
      </w:r>
      <w:r w:rsidR="00ED65BF" w:rsidRPr="00FF4C0D">
        <w:t xml:space="preserve">from </w:t>
      </w:r>
      <w:r w:rsidR="00317F70" w:rsidRPr="00FF4C0D">
        <w:t xml:space="preserve">irradiated food as has been the prevailing view. </w:t>
      </w:r>
    </w:p>
    <w:p w:rsidR="00317F70" w:rsidRPr="00FF4C0D" w:rsidRDefault="00317F70" w:rsidP="00317F70"/>
    <w:p w:rsidR="000D62F7" w:rsidRPr="00FF4C0D" w:rsidRDefault="00B44AC3" w:rsidP="00720486">
      <w:r w:rsidRPr="00FF4C0D">
        <w:t>FSANZ evaluated t</w:t>
      </w:r>
      <w:r w:rsidR="00317F70" w:rsidRPr="00FF4C0D">
        <w:t xml:space="preserve">hese studies </w:t>
      </w:r>
      <w:r w:rsidR="008D142F" w:rsidRPr="00FF4C0D">
        <w:t>(</w:t>
      </w:r>
      <w:r w:rsidR="007C01D0" w:rsidRPr="00FF4C0D">
        <w:t>refer to</w:t>
      </w:r>
      <w:r w:rsidR="008D142F" w:rsidRPr="00FF4C0D">
        <w:t xml:space="preserve"> </w:t>
      </w:r>
      <w:r w:rsidR="00317F70" w:rsidRPr="00FF4C0D">
        <w:t>S</w:t>
      </w:r>
      <w:r w:rsidRPr="00FF4C0D">
        <w:t>D</w:t>
      </w:r>
      <w:r w:rsidR="00317F70" w:rsidRPr="00FF4C0D">
        <w:t>1</w:t>
      </w:r>
      <w:r w:rsidR="008D142F" w:rsidRPr="00FF4C0D">
        <w:t>)</w:t>
      </w:r>
      <w:r w:rsidR="00317F70" w:rsidRPr="00FF4C0D">
        <w:t>.</w:t>
      </w:r>
      <w:r w:rsidR="007D65B1" w:rsidRPr="00FF4C0D">
        <w:t xml:space="preserve"> </w:t>
      </w:r>
      <w:r w:rsidR="00637747" w:rsidRPr="00FF4C0D">
        <w:t>T</w:t>
      </w:r>
      <w:r w:rsidR="005502B1" w:rsidRPr="00FF4C0D">
        <w:t>he</w:t>
      </w:r>
      <w:r w:rsidR="00790D5F" w:rsidRPr="00FF4C0D">
        <w:t xml:space="preserve"> genotoxicity studies which reported positive effects </w:t>
      </w:r>
      <w:r w:rsidR="005502B1" w:rsidRPr="00FF4C0D">
        <w:t xml:space="preserve">were non-standard studies </w:t>
      </w:r>
      <w:r w:rsidR="004E7D34" w:rsidRPr="00FF4C0D">
        <w:t xml:space="preserve">and the overall weight of evidence </w:t>
      </w:r>
      <w:r w:rsidR="0056221F" w:rsidRPr="00FF4C0D">
        <w:t>indicates</w:t>
      </w:r>
      <w:r w:rsidR="004E7D34" w:rsidRPr="00FF4C0D">
        <w:t xml:space="preserve"> that there is no genotoxicity potential. </w:t>
      </w:r>
      <w:r w:rsidR="002A65B7" w:rsidRPr="00FF4C0D">
        <w:t>E</w:t>
      </w:r>
      <w:r w:rsidR="00317F70" w:rsidRPr="00FF4C0D">
        <w:t>FSA has recently published an updated hazard assessment on the safety of irradiated foods</w:t>
      </w:r>
      <w:r w:rsidR="00317F70" w:rsidRPr="00FF4C0D">
        <w:rPr>
          <w:rStyle w:val="FootnoteReference"/>
        </w:rPr>
        <w:footnoteReference w:id="15"/>
      </w:r>
      <w:r w:rsidR="00317F70" w:rsidRPr="00FF4C0D">
        <w:t xml:space="preserve">, concluding that some 2-ACBs may induce DNA damage </w:t>
      </w:r>
      <w:r w:rsidR="00317F70" w:rsidRPr="00FF4C0D">
        <w:rPr>
          <w:i/>
        </w:rPr>
        <w:t>in vitro</w:t>
      </w:r>
      <w:r w:rsidR="00317F70" w:rsidRPr="00FF4C0D">
        <w:t xml:space="preserve">. However, EFSA noted that the majority of genotoxicity assays on 2-ACBs or irradiated foods, including over sixty </w:t>
      </w:r>
      <w:r w:rsidR="00317F70" w:rsidRPr="00FF4C0D">
        <w:rPr>
          <w:i/>
        </w:rPr>
        <w:t>in vitro</w:t>
      </w:r>
      <w:r w:rsidR="00317F70" w:rsidRPr="00FF4C0D">
        <w:t xml:space="preserve"> and </w:t>
      </w:r>
      <w:r w:rsidR="00317F70" w:rsidRPr="00FF4C0D">
        <w:rPr>
          <w:i/>
        </w:rPr>
        <w:t>in vivo</w:t>
      </w:r>
      <w:r w:rsidR="00317F70" w:rsidRPr="00FF4C0D">
        <w:t xml:space="preserve"> mutagenicity studies, have shown no effect. EFSA concluded that a genotoxic risk for 2-ACBs i</w:t>
      </w:r>
      <w:r w:rsidR="00720486" w:rsidRPr="00FF4C0D">
        <w:t>n humans is unlikely</w:t>
      </w:r>
      <w:r w:rsidR="000D62F7" w:rsidRPr="00FF4C0D">
        <w:t>.</w:t>
      </w:r>
    </w:p>
    <w:p w:rsidR="00801C84" w:rsidRPr="00FF4C0D" w:rsidRDefault="00801C84" w:rsidP="00317F70"/>
    <w:p w:rsidR="00801C84" w:rsidRPr="00FF4C0D" w:rsidRDefault="00C20129" w:rsidP="00801C84">
      <w:r w:rsidRPr="00FF4C0D">
        <w:t>S</w:t>
      </w:r>
      <w:r w:rsidR="00801C84" w:rsidRPr="00FF4C0D">
        <w:t xml:space="preserve">everal 2-ACBs are used as markers to detect irradiated foods (Stevenson </w:t>
      </w:r>
      <w:r w:rsidR="00801C84" w:rsidRPr="00FF4C0D">
        <w:rPr>
          <w:i/>
          <w:iCs/>
        </w:rPr>
        <w:t>et al</w:t>
      </w:r>
      <w:r w:rsidR="00801C84" w:rsidRPr="00FF4C0D">
        <w:t xml:space="preserve">, 1990) and a European Standard (EN 1758) to detect 2-ACBs in fat-containing irradiated </w:t>
      </w:r>
      <w:r w:rsidR="001A39D6" w:rsidRPr="00FF4C0D">
        <w:t xml:space="preserve">food is available (see section </w:t>
      </w:r>
      <w:r w:rsidR="00C451D8" w:rsidRPr="00FF4C0D">
        <w:t>6</w:t>
      </w:r>
      <w:r w:rsidR="00801C84" w:rsidRPr="00FF4C0D">
        <w:t>.4). 2-ACBs have been found to be markers for detection of irrad</w:t>
      </w:r>
      <w:r w:rsidR="00F14E72" w:rsidRPr="00FF4C0D">
        <w:t xml:space="preserve">iated mango and papaya </w:t>
      </w:r>
      <w:r w:rsidR="00365DDB" w:rsidRPr="00FF4C0D">
        <w:t xml:space="preserve">with the </w:t>
      </w:r>
      <w:r w:rsidR="00801C84" w:rsidRPr="00FF4C0D">
        <w:t>relative perc</w:t>
      </w:r>
      <w:r w:rsidR="002E2761" w:rsidRPr="00FF4C0D">
        <w:t xml:space="preserve">entage of fatty acids and type </w:t>
      </w:r>
      <w:r w:rsidR="00365DDB" w:rsidRPr="00FF4C0D">
        <w:t>determining the</w:t>
      </w:r>
      <w:r w:rsidR="00801C84" w:rsidRPr="00FF4C0D">
        <w:t xml:space="preserve"> presence of the specific 2-ACBs (Stewart </w:t>
      </w:r>
      <w:r w:rsidR="00801C84" w:rsidRPr="00FF4C0D">
        <w:rPr>
          <w:i/>
          <w:iCs/>
        </w:rPr>
        <w:t>et al</w:t>
      </w:r>
      <w:r w:rsidR="00801C84" w:rsidRPr="00FF4C0D">
        <w:t>, 2000)</w:t>
      </w:r>
      <w:r w:rsidR="000C447B" w:rsidRPr="00FF4C0D">
        <w:t xml:space="preserve">. </w:t>
      </w:r>
      <w:r w:rsidR="00C451D8" w:rsidRPr="00FF4C0D">
        <w:t>FSANZ notes that 2-ACBs can be formed from fatty acids in fat-containing irradiated foods. Table 2.1 in section 2.1.3 of SD1 summarises the different types of 2-ACBs that may be formed and the fatty acids from which they are derived. The types and concentrations of 2-ACBs in irradiated food depend on the lipid content and composition of the non-irradiated food in addition to the irradiation dose.</w:t>
      </w:r>
    </w:p>
    <w:p w:rsidR="00801C84" w:rsidRPr="00FF4C0D" w:rsidRDefault="00801C84" w:rsidP="00801C84"/>
    <w:p w:rsidR="008D0FC5" w:rsidRPr="00FF4C0D" w:rsidRDefault="008109F6" w:rsidP="008109F6">
      <w:pPr>
        <w:widowControl/>
      </w:pPr>
      <w:r w:rsidRPr="00FF4C0D">
        <w:t>T</w:t>
      </w:r>
      <w:r w:rsidR="00801C84" w:rsidRPr="00FF4C0D">
        <w:t xml:space="preserve">able </w:t>
      </w:r>
      <w:r w:rsidR="003433AC" w:rsidRPr="00FF4C0D">
        <w:t>2</w:t>
      </w:r>
      <w:r w:rsidRPr="00FF4C0D">
        <w:t xml:space="preserve"> </w:t>
      </w:r>
      <w:r w:rsidR="00FC5258" w:rsidRPr="00FF4C0D">
        <w:t xml:space="preserve">(below) </w:t>
      </w:r>
      <w:r w:rsidR="00801C84" w:rsidRPr="00FF4C0D">
        <w:t>outlines the fatty acid composition of persimmons based on analysis from three countries and indicates that the concentration of total and individual fatty acids is very low (</w:t>
      </w:r>
      <w:r w:rsidR="00801C84" w:rsidRPr="00FF4C0D">
        <w:rPr>
          <w:rFonts w:cs="Arial"/>
        </w:rPr>
        <w:t xml:space="preserve">≤ </w:t>
      </w:r>
      <w:r w:rsidRPr="00FF4C0D">
        <w:t xml:space="preserve">0.2%). </w:t>
      </w:r>
      <w:r w:rsidR="008D0FC5" w:rsidRPr="00FF4C0D">
        <w:rPr>
          <w:snapToGrid w:val="0"/>
          <w:szCs w:val="22"/>
          <w:lang w:eastAsia="de-DE"/>
        </w:rPr>
        <w:t xml:space="preserve">Therefore, </w:t>
      </w:r>
      <w:r w:rsidR="0056221F" w:rsidRPr="00FF4C0D">
        <w:rPr>
          <w:snapToGrid w:val="0"/>
          <w:szCs w:val="22"/>
          <w:lang w:eastAsia="de-DE"/>
        </w:rPr>
        <w:t xml:space="preserve">although </w:t>
      </w:r>
      <w:r w:rsidR="008D0FC5" w:rsidRPr="00FF4C0D">
        <w:rPr>
          <w:snapToGrid w:val="0"/>
          <w:szCs w:val="22"/>
          <w:lang w:eastAsia="de-DE"/>
        </w:rPr>
        <w:t>there is a potential for production of 2-ACBS in high fat-containing foods</w:t>
      </w:r>
      <w:r w:rsidR="0056221F" w:rsidRPr="00FF4C0D">
        <w:rPr>
          <w:snapToGrid w:val="0"/>
          <w:szCs w:val="22"/>
          <w:lang w:eastAsia="de-DE"/>
        </w:rPr>
        <w:t>, given</w:t>
      </w:r>
      <w:r w:rsidR="008D0FC5" w:rsidRPr="00FF4C0D">
        <w:rPr>
          <w:snapToGrid w:val="0"/>
          <w:szCs w:val="22"/>
          <w:lang w:eastAsia="de-DE"/>
        </w:rPr>
        <w:t xml:space="preserve"> the low </w:t>
      </w:r>
      <w:r w:rsidR="008D0FC5" w:rsidRPr="00FF4C0D">
        <w:t xml:space="preserve">concentration of total and individual fatty acids in persimmons, FSANZ concludes that there are no safety issues for consumers. </w:t>
      </w:r>
    </w:p>
    <w:p w:rsidR="003433AC" w:rsidRPr="00FF4C0D" w:rsidRDefault="003433AC" w:rsidP="008109F6">
      <w:pPr>
        <w:widowControl/>
      </w:pPr>
    </w:p>
    <w:p w:rsidR="00801C84" w:rsidRPr="00FF4C0D" w:rsidRDefault="003433AC" w:rsidP="005222C5">
      <w:pPr>
        <w:keepNext/>
        <w:widowControl/>
        <w:rPr>
          <w:rFonts w:cs="Arial"/>
          <w:b/>
          <w:szCs w:val="22"/>
        </w:rPr>
      </w:pPr>
      <w:r w:rsidRPr="00FF4C0D">
        <w:rPr>
          <w:rFonts w:cs="Arial"/>
          <w:b/>
          <w:szCs w:val="22"/>
        </w:rPr>
        <w:t>Table 2</w:t>
      </w:r>
      <w:r w:rsidR="00A65D96" w:rsidRPr="00FF4C0D">
        <w:rPr>
          <w:rFonts w:cs="Arial"/>
          <w:b/>
          <w:szCs w:val="22"/>
        </w:rPr>
        <w:t>:</w:t>
      </w:r>
      <w:r w:rsidRPr="00FF4C0D">
        <w:rPr>
          <w:rFonts w:cs="Arial"/>
          <w:b/>
          <w:szCs w:val="22"/>
        </w:rPr>
        <w:t xml:space="preserve"> </w:t>
      </w:r>
      <w:r w:rsidR="00A65D96" w:rsidRPr="00FF4C0D">
        <w:rPr>
          <w:rFonts w:cs="Arial"/>
          <w:b/>
          <w:szCs w:val="22"/>
        </w:rPr>
        <w:t xml:space="preserve"> Fatty acid composition of raw persimmon (</w:t>
      </w:r>
      <w:r w:rsidR="00A65D96" w:rsidRPr="00FF4C0D">
        <w:rPr>
          <w:rFonts w:cs="Arial"/>
          <w:b/>
          <w:i/>
          <w:szCs w:val="22"/>
        </w:rPr>
        <w:t>Diospyros kaki</w:t>
      </w:r>
      <w:r w:rsidR="00A65D96" w:rsidRPr="00FF4C0D">
        <w:rPr>
          <w:rFonts w:cs="Arial"/>
          <w:b/>
          <w:szCs w:val="22"/>
        </w:rPr>
        <w:t>) per 100g edible portion as assessed in Australia, New Zealand and the USA</w:t>
      </w:r>
    </w:p>
    <w:p w:rsidR="005222C5" w:rsidRPr="00FF4C0D" w:rsidRDefault="005222C5" w:rsidP="005222C5">
      <w:pPr>
        <w:keepNext/>
        <w:widowControl/>
        <w:rPr>
          <w:rFonts w:cs="Arial"/>
          <w:b/>
          <w:szCs w:val="22"/>
        </w:rPr>
      </w:pPr>
    </w:p>
    <w:tbl>
      <w:tblPr>
        <w:tblW w:w="9072" w:type="dxa"/>
        <w:tblLook w:val="04A0"/>
      </w:tblPr>
      <w:tblGrid>
        <w:gridCol w:w="3824"/>
        <w:gridCol w:w="1735"/>
        <w:gridCol w:w="2386"/>
        <w:gridCol w:w="1127"/>
      </w:tblGrid>
      <w:tr w:rsidR="00801C84" w:rsidRPr="00FF4C0D" w:rsidTr="003433AC">
        <w:trPr>
          <w:cantSplit/>
          <w:tblHeader/>
        </w:trPr>
        <w:tc>
          <w:tcPr>
            <w:tcW w:w="0" w:type="auto"/>
            <w:tcBorders>
              <w:bottom w:val="single" w:sz="8" w:space="0" w:color="000000" w:themeColor="text1"/>
            </w:tcBorders>
            <w:shd w:val="clear" w:color="auto" w:fill="EEECE1" w:themeFill="background2"/>
          </w:tcPr>
          <w:p w:rsidR="00801C84" w:rsidRPr="00FF4C0D" w:rsidRDefault="00A65D96" w:rsidP="005222C5">
            <w:pPr>
              <w:keepNext/>
              <w:widowControl/>
              <w:rPr>
                <w:rFonts w:cs="Arial"/>
                <w:sz w:val="20"/>
                <w:szCs w:val="20"/>
              </w:rPr>
            </w:pPr>
            <w:r w:rsidRPr="00FF4C0D">
              <w:rPr>
                <w:rFonts w:cs="Arial"/>
                <w:sz w:val="20"/>
                <w:szCs w:val="20"/>
              </w:rPr>
              <w:t>Fatty acid</w:t>
            </w:r>
          </w:p>
          <w:p w:rsidR="005222C5" w:rsidRPr="00FF4C0D" w:rsidRDefault="005222C5" w:rsidP="005222C5">
            <w:pPr>
              <w:keepNext/>
              <w:widowControl/>
              <w:rPr>
                <w:rFonts w:cs="Arial"/>
                <w:sz w:val="20"/>
                <w:szCs w:val="20"/>
              </w:rPr>
            </w:pPr>
          </w:p>
        </w:tc>
        <w:tc>
          <w:tcPr>
            <w:tcW w:w="0" w:type="auto"/>
            <w:tcBorders>
              <w:bottom w:val="single" w:sz="8" w:space="0" w:color="000000" w:themeColor="text1"/>
            </w:tcBorders>
            <w:shd w:val="clear" w:color="auto" w:fill="EEECE1" w:themeFill="background2"/>
          </w:tcPr>
          <w:p w:rsidR="00801C84" w:rsidRPr="00FF4C0D" w:rsidRDefault="00A65D96" w:rsidP="005222C5">
            <w:pPr>
              <w:keepNext/>
              <w:widowControl/>
              <w:jc w:val="center"/>
              <w:rPr>
                <w:rFonts w:cs="Arial"/>
                <w:sz w:val="20"/>
                <w:szCs w:val="20"/>
                <w:vertAlign w:val="superscript"/>
              </w:rPr>
            </w:pPr>
            <w:proofErr w:type="spellStart"/>
            <w:r w:rsidRPr="00FF4C0D">
              <w:rPr>
                <w:rFonts w:cs="Arial"/>
                <w:sz w:val="20"/>
                <w:szCs w:val="20"/>
              </w:rPr>
              <w:t>Australia</w:t>
            </w:r>
            <w:r w:rsidRPr="00FF4C0D">
              <w:rPr>
                <w:rFonts w:cs="Arial"/>
                <w:sz w:val="20"/>
                <w:szCs w:val="20"/>
                <w:vertAlign w:val="superscript"/>
              </w:rPr>
              <w:t>a</w:t>
            </w:r>
            <w:proofErr w:type="spellEnd"/>
          </w:p>
        </w:tc>
        <w:tc>
          <w:tcPr>
            <w:tcW w:w="0" w:type="auto"/>
            <w:tcBorders>
              <w:bottom w:val="single" w:sz="8" w:space="0" w:color="000000" w:themeColor="text1"/>
            </w:tcBorders>
            <w:shd w:val="clear" w:color="auto" w:fill="EEECE1" w:themeFill="background2"/>
          </w:tcPr>
          <w:p w:rsidR="00801C84" w:rsidRPr="00FF4C0D" w:rsidRDefault="00A65D96" w:rsidP="005222C5">
            <w:pPr>
              <w:keepNext/>
              <w:widowControl/>
              <w:jc w:val="center"/>
              <w:rPr>
                <w:rFonts w:cs="Arial"/>
                <w:sz w:val="20"/>
                <w:szCs w:val="20"/>
                <w:vertAlign w:val="superscript"/>
              </w:rPr>
            </w:pPr>
            <w:r w:rsidRPr="00FF4C0D">
              <w:rPr>
                <w:rFonts w:cs="Arial"/>
                <w:sz w:val="20"/>
                <w:szCs w:val="20"/>
              </w:rPr>
              <w:t xml:space="preserve">New </w:t>
            </w:r>
            <w:proofErr w:type="spellStart"/>
            <w:r w:rsidRPr="00FF4C0D">
              <w:rPr>
                <w:rFonts w:cs="Arial"/>
                <w:sz w:val="20"/>
                <w:szCs w:val="20"/>
              </w:rPr>
              <w:t>Zealand</w:t>
            </w:r>
            <w:r w:rsidRPr="00FF4C0D">
              <w:rPr>
                <w:rFonts w:cs="Arial"/>
                <w:sz w:val="20"/>
                <w:szCs w:val="20"/>
                <w:vertAlign w:val="superscript"/>
              </w:rPr>
              <w:t>b</w:t>
            </w:r>
            <w:proofErr w:type="spellEnd"/>
          </w:p>
        </w:tc>
        <w:tc>
          <w:tcPr>
            <w:tcW w:w="0" w:type="auto"/>
            <w:tcBorders>
              <w:bottom w:val="single" w:sz="8" w:space="0" w:color="000000" w:themeColor="text1"/>
            </w:tcBorders>
            <w:shd w:val="clear" w:color="auto" w:fill="EEECE1" w:themeFill="background2"/>
          </w:tcPr>
          <w:p w:rsidR="00801C84" w:rsidRPr="00FF4C0D" w:rsidRDefault="00A65D96" w:rsidP="005222C5">
            <w:pPr>
              <w:keepNext/>
              <w:widowControl/>
              <w:jc w:val="center"/>
              <w:rPr>
                <w:rFonts w:cs="Arial"/>
                <w:sz w:val="20"/>
                <w:szCs w:val="20"/>
                <w:vertAlign w:val="superscript"/>
              </w:rPr>
            </w:pPr>
            <w:proofErr w:type="spellStart"/>
            <w:r w:rsidRPr="00FF4C0D">
              <w:rPr>
                <w:rFonts w:cs="Arial"/>
                <w:sz w:val="20"/>
                <w:szCs w:val="20"/>
              </w:rPr>
              <w:t>USA</w:t>
            </w:r>
            <w:r w:rsidRPr="00FF4C0D">
              <w:rPr>
                <w:rFonts w:cs="Arial"/>
                <w:sz w:val="20"/>
                <w:szCs w:val="20"/>
                <w:vertAlign w:val="superscript"/>
              </w:rPr>
              <w:t>c</w:t>
            </w:r>
            <w:proofErr w:type="spellEnd"/>
          </w:p>
        </w:tc>
      </w:tr>
      <w:tr w:rsidR="00801C84" w:rsidRPr="00FF4C0D" w:rsidTr="00345562">
        <w:trPr>
          <w:cantSplit/>
          <w:trHeight w:hRule="exact" w:val="454"/>
        </w:trPr>
        <w:tc>
          <w:tcPr>
            <w:tcW w:w="0" w:type="auto"/>
            <w:tcBorders>
              <w:top w:val="nil"/>
              <w:bottom w:val="nil"/>
              <w:right w:val="nil"/>
            </w:tcBorders>
            <w:vAlign w:val="center"/>
          </w:tcPr>
          <w:p w:rsidR="00801C84" w:rsidRPr="00FF4C0D" w:rsidRDefault="00A65D96" w:rsidP="00345562">
            <w:pPr>
              <w:rPr>
                <w:sz w:val="20"/>
                <w:szCs w:val="20"/>
              </w:rPr>
            </w:pPr>
            <w:r w:rsidRPr="00FF4C0D">
              <w:rPr>
                <w:sz w:val="20"/>
                <w:szCs w:val="20"/>
              </w:rPr>
              <w:t>Total fat (g)</w:t>
            </w:r>
          </w:p>
        </w:tc>
        <w:tc>
          <w:tcPr>
            <w:tcW w:w="0" w:type="auto"/>
            <w:tcBorders>
              <w:top w:val="nil"/>
              <w:left w:val="nil"/>
              <w:bottom w:val="nil"/>
              <w:right w:val="nil"/>
            </w:tcBorders>
            <w:vAlign w:val="center"/>
          </w:tcPr>
          <w:p w:rsidR="00801C84" w:rsidRPr="00FF4C0D" w:rsidRDefault="00A65D96" w:rsidP="00345562">
            <w:pPr>
              <w:tabs>
                <w:tab w:val="left" w:pos="825"/>
              </w:tabs>
              <w:jc w:val="center"/>
              <w:rPr>
                <w:sz w:val="20"/>
                <w:szCs w:val="20"/>
              </w:rPr>
            </w:pPr>
            <w:r w:rsidRPr="00FF4C0D">
              <w:rPr>
                <w:sz w:val="20"/>
                <w:szCs w:val="20"/>
              </w:rPr>
              <w:t>0.2</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0.2</w:t>
            </w:r>
          </w:p>
        </w:tc>
        <w:tc>
          <w:tcPr>
            <w:tcW w:w="0" w:type="auto"/>
            <w:tcBorders>
              <w:top w:val="nil"/>
              <w:left w:val="nil"/>
              <w:bottom w:val="nil"/>
            </w:tcBorders>
            <w:vAlign w:val="center"/>
          </w:tcPr>
          <w:p w:rsidR="00801C84" w:rsidRPr="00FF4C0D" w:rsidRDefault="00A65D96" w:rsidP="00345562">
            <w:pPr>
              <w:jc w:val="center"/>
              <w:rPr>
                <w:sz w:val="20"/>
                <w:szCs w:val="20"/>
              </w:rPr>
            </w:pPr>
            <w:r w:rsidRPr="00FF4C0D">
              <w:rPr>
                <w:sz w:val="20"/>
                <w:szCs w:val="20"/>
              </w:rPr>
              <w:t>0.2</w:t>
            </w:r>
          </w:p>
        </w:tc>
      </w:tr>
      <w:tr w:rsidR="00801C84" w:rsidRPr="00FF4C0D" w:rsidTr="00345562">
        <w:trPr>
          <w:cantSplit/>
          <w:trHeight w:hRule="exact" w:val="454"/>
        </w:trPr>
        <w:tc>
          <w:tcPr>
            <w:tcW w:w="0" w:type="auto"/>
            <w:tcBorders>
              <w:top w:val="nil"/>
              <w:bottom w:val="nil"/>
              <w:right w:val="nil"/>
            </w:tcBorders>
            <w:vAlign w:val="center"/>
          </w:tcPr>
          <w:p w:rsidR="00801C84" w:rsidRPr="00FF4C0D" w:rsidRDefault="00A65D96" w:rsidP="00345562">
            <w:pPr>
              <w:rPr>
                <w:sz w:val="20"/>
                <w:szCs w:val="20"/>
              </w:rPr>
            </w:pPr>
            <w:r w:rsidRPr="00FF4C0D">
              <w:rPr>
                <w:sz w:val="20"/>
                <w:szCs w:val="20"/>
              </w:rPr>
              <w:t>Saturated fat (g)</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Trace</w:t>
            </w:r>
          </w:p>
        </w:tc>
        <w:tc>
          <w:tcPr>
            <w:tcW w:w="0" w:type="auto"/>
            <w:tcBorders>
              <w:top w:val="nil"/>
              <w:left w:val="nil"/>
              <w:bottom w:val="nil"/>
            </w:tcBorders>
            <w:vAlign w:val="center"/>
          </w:tcPr>
          <w:p w:rsidR="00801C84" w:rsidRPr="00FF4C0D" w:rsidRDefault="00A65D96" w:rsidP="00345562">
            <w:pPr>
              <w:jc w:val="center"/>
              <w:rPr>
                <w:sz w:val="20"/>
                <w:szCs w:val="20"/>
              </w:rPr>
            </w:pPr>
            <w:r w:rsidRPr="00FF4C0D">
              <w:rPr>
                <w:sz w:val="20"/>
                <w:szCs w:val="20"/>
              </w:rPr>
              <w:t>&lt;0.1</w:t>
            </w:r>
          </w:p>
        </w:tc>
      </w:tr>
      <w:tr w:rsidR="00801C84" w:rsidRPr="00FF4C0D" w:rsidTr="00345562">
        <w:trPr>
          <w:cantSplit/>
          <w:trHeight w:hRule="exact" w:val="454"/>
        </w:trPr>
        <w:tc>
          <w:tcPr>
            <w:tcW w:w="0" w:type="auto"/>
            <w:tcBorders>
              <w:top w:val="nil"/>
              <w:bottom w:val="nil"/>
              <w:right w:val="nil"/>
            </w:tcBorders>
            <w:vAlign w:val="center"/>
          </w:tcPr>
          <w:p w:rsidR="00801C84" w:rsidRPr="00FF4C0D" w:rsidRDefault="00A65D96" w:rsidP="00345562">
            <w:pPr>
              <w:rPr>
                <w:sz w:val="20"/>
                <w:szCs w:val="20"/>
              </w:rPr>
            </w:pPr>
            <w:r w:rsidRPr="00FF4C0D">
              <w:rPr>
                <w:sz w:val="20"/>
                <w:szCs w:val="20"/>
              </w:rPr>
              <w:t>Monounsaturated fat (g)</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0.1</w:t>
            </w:r>
          </w:p>
        </w:tc>
        <w:tc>
          <w:tcPr>
            <w:tcW w:w="0" w:type="auto"/>
            <w:tcBorders>
              <w:top w:val="nil"/>
              <w:left w:val="nil"/>
              <w:bottom w:val="nil"/>
            </w:tcBorders>
            <w:vAlign w:val="center"/>
          </w:tcPr>
          <w:p w:rsidR="00801C84" w:rsidRPr="00FF4C0D" w:rsidRDefault="00A65D96" w:rsidP="00345562">
            <w:pPr>
              <w:jc w:val="center"/>
              <w:rPr>
                <w:sz w:val="20"/>
                <w:szCs w:val="20"/>
              </w:rPr>
            </w:pPr>
            <w:r w:rsidRPr="00FF4C0D">
              <w:rPr>
                <w:sz w:val="20"/>
                <w:szCs w:val="20"/>
              </w:rPr>
              <w:t>&lt;0.1</w:t>
            </w:r>
          </w:p>
        </w:tc>
      </w:tr>
      <w:tr w:rsidR="00801C84" w:rsidRPr="00FF4C0D" w:rsidTr="00345562">
        <w:trPr>
          <w:cantSplit/>
          <w:trHeight w:hRule="exact" w:val="454"/>
        </w:trPr>
        <w:tc>
          <w:tcPr>
            <w:tcW w:w="0" w:type="auto"/>
            <w:tcBorders>
              <w:top w:val="nil"/>
              <w:bottom w:val="nil"/>
              <w:right w:val="nil"/>
            </w:tcBorders>
            <w:vAlign w:val="center"/>
          </w:tcPr>
          <w:p w:rsidR="00801C84" w:rsidRPr="00FF4C0D" w:rsidRDefault="00A65D96" w:rsidP="00345562">
            <w:pPr>
              <w:rPr>
                <w:sz w:val="20"/>
                <w:szCs w:val="20"/>
              </w:rPr>
            </w:pPr>
            <w:r w:rsidRPr="00FF4C0D">
              <w:rPr>
                <w:sz w:val="20"/>
                <w:szCs w:val="20"/>
              </w:rPr>
              <w:t>Polyunsaturated fat (g)</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0.1</w:t>
            </w:r>
          </w:p>
        </w:tc>
        <w:tc>
          <w:tcPr>
            <w:tcW w:w="0" w:type="auto"/>
            <w:tcBorders>
              <w:top w:val="nil"/>
              <w:left w:val="nil"/>
              <w:bottom w:val="nil"/>
            </w:tcBorders>
            <w:vAlign w:val="center"/>
          </w:tcPr>
          <w:p w:rsidR="00801C84" w:rsidRPr="00FF4C0D" w:rsidRDefault="00A65D96" w:rsidP="00345562">
            <w:pPr>
              <w:jc w:val="center"/>
              <w:rPr>
                <w:sz w:val="20"/>
                <w:szCs w:val="20"/>
              </w:rPr>
            </w:pPr>
            <w:r w:rsidRPr="00FF4C0D">
              <w:rPr>
                <w:sz w:val="20"/>
                <w:szCs w:val="20"/>
              </w:rPr>
              <w:t>&lt;0.1</w:t>
            </w:r>
          </w:p>
        </w:tc>
      </w:tr>
      <w:tr w:rsidR="00801C84" w:rsidRPr="00FF4C0D" w:rsidTr="00345562">
        <w:trPr>
          <w:cantSplit/>
          <w:trHeight w:hRule="exact" w:val="454"/>
        </w:trPr>
        <w:tc>
          <w:tcPr>
            <w:tcW w:w="0" w:type="auto"/>
            <w:tcBorders>
              <w:top w:val="nil"/>
              <w:bottom w:val="nil"/>
              <w:right w:val="nil"/>
            </w:tcBorders>
            <w:vAlign w:val="center"/>
          </w:tcPr>
          <w:p w:rsidR="00801C84" w:rsidRPr="00FF4C0D" w:rsidRDefault="00A65D96" w:rsidP="00345562">
            <w:pPr>
              <w:rPr>
                <w:sz w:val="20"/>
                <w:szCs w:val="20"/>
              </w:rPr>
            </w:pPr>
            <w:r w:rsidRPr="00FF4C0D">
              <w:rPr>
                <w:sz w:val="20"/>
                <w:szCs w:val="20"/>
              </w:rPr>
              <w:t>Omega 3 (g)</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nil"/>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nil"/>
            </w:tcBorders>
            <w:vAlign w:val="center"/>
          </w:tcPr>
          <w:p w:rsidR="00801C84" w:rsidRPr="00FF4C0D" w:rsidRDefault="00A65D96" w:rsidP="00345562">
            <w:pPr>
              <w:jc w:val="center"/>
              <w:rPr>
                <w:sz w:val="20"/>
                <w:szCs w:val="20"/>
              </w:rPr>
            </w:pPr>
            <w:r w:rsidRPr="00FF4C0D">
              <w:rPr>
                <w:sz w:val="20"/>
                <w:szCs w:val="20"/>
              </w:rPr>
              <w:t>0.0</w:t>
            </w:r>
          </w:p>
        </w:tc>
      </w:tr>
      <w:tr w:rsidR="00801C84" w:rsidRPr="00FF4C0D" w:rsidTr="00345562">
        <w:trPr>
          <w:cantSplit/>
          <w:trHeight w:hRule="exact" w:val="454"/>
        </w:trPr>
        <w:tc>
          <w:tcPr>
            <w:tcW w:w="0" w:type="auto"/>
            <w:tcBorders>
              <w:top w:val="nil"/>
              <w:bottom w:val="single" w:sz="4" w:space="0" w:color="auto"/>
              <w:right w:val="nil"/>
            </w:tcBorders>
            <w:vAlign w:val="center"/>
          </w:tcPr>
          <w:p w:rsidR="00801C84" w:rsidRPr="00FF4C0D" w:rsidRDefault="00A65D96" w:rsidP="00345562">
            <w:pPr>
              <w:keepNext/>
              <w:rPr>
                <w:sz w:val="20"/>
                <w:szCs w:val="20"/>
              </w:rPr>
            </w:pPr>
            <w:r w:rsidRPr="00FF4C0D">
              <w:rPr>
                <w:sz w:val="20"/>
                <w:szCs w:val="20"/>
              </w:rPr>
              <w:lastRenderedPageBreak/>
              <w:t>Omega 6 (g)</w:t>
            </w:r>
          </w:p>
        </w:tc>
        <w:tc>
          <w:tcPr>
            <w:tcW w:w="0" w:type="auto"/>
            <w:tcBorders>
              <w:top w:val="nil"/>
              <w:left w:val="nil"/>
              <w:bottom w:val="single" w:sz="4" w:space="0" w:color="auto"/>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single" w:sz="4" w:space="0" w:color="auto"/>
              <w:right w:val="nil"/>
            </w:tcBorders>
            <w:vAlign w:val="center"/>
          </w:tcPr>
          <w:p w:rsidR="00801C84" w:rsidRPr="00FF4C0D" w:rsidRDefault="00A65D96" w:rsidP="00345562">
            <w:pPr>
              <w:jc w:val="center"/>
              <w:rPr>
                <w:sz w:val="20"/>
                <w:szCs w:val="20"/>
              </w:rPr>
            </w:pPr>
            <w:r w:rsidRPr="00FF4C0D">
              <w:rPr>
                <w:sz w:val="20"/>
                <w:szCs w:val="20"/>
              </w:rPr>
              <w:t>0.0</w:t>
            </w:r>
          </w:p>
        </w:tc>
        <w:tc>
          <w:tcPr>
            <w:tcW w:w="0" w:type="auto"/>
            <w:tcBorders>
              <w:top w:val="nil"/>
              <w:left w:val="nil"/>
              <w:bottom w:val="single" w:sz="4" w:space="0" w:color="auto"/>
            </w:tcBorders>
            <w:vAlign w:val="center"/>
          </w:tcPr>
          <w:p w:rsidR="00801C84" w:rsidRPr="00FF4C0D" w:rsidRDefault="00A65D96" w:rsidP="00345562">
            <w:pPr>
              <w:jc w:val="center"/>
              <w:rPr>
                <w:sz w:val="20"/>
                <w:szCs w:val="20"/>
              </w:rPr>
            </w:pPr>
            <w:r w:rsidRPr="00FF4C0D">
              <w:rPr>
                <w:sz w:val="20"/>
                <w:szCs w:val="20"/>
              </w:rPr>
              <w:t>NA</w:t>
            </w:r>
          </w:p>
        </w:tc>
      </w:tr>
    </w:tbl>
    <w:p w:rsidR="00801C84" w:rsidRPr="00FF4C0D" w:rsidRDefault="00801C84" w:rsidP="00801C84">
      <w:pPr>
        <w:keepNext/>
        <w:widowControl/>
        <w:rPr>
          <w:rFonts w:cs="Arial"/>
          <w:sz w:val="18"/>
          <w:szCs w:val="18"/>
        </w:rPr>
      </w:pPr>
      <w:r w:rsidRPr="00FF4C0D">
        <w:rPr>
          <w:rFonts w:cs="Arial"/>
          <w:sz w:val="18"/>
          <w:szCs w:val="18"/>
          <w:vertAlign w:val="superscript"/>
        </w:rPr>
        <w:t xml:space="preserve">a </w:t>
      </w:r>
      <w:r w:rsidRPr="00FF4C0D">
        <w:rPr>
          <w:rFonts w:cs="Arial"/>
          <w:sz w:val="18"/>
          <w:szCs w:val="18"/>
        </w:rPr>
        <w:t>Data from NUTTAB 2006 online version (</w:t>
      </w:r>
      <w:hyperlink r:id="rId18" w:history="1">
        <w:r w:rsidRPr="00FF4C0D">
          <w:rPr>
            <w:rStyle w:val="Hyperlink"/>
            <w:rFonts w:cs="Arial"/>
            <w:color w:val="0000FF"/>
            <w:sz w:val="18"/>
            <w:szCs w:val="18"/>
          </w:rPr>
          <w:t>http://www.foodstandards.gov.au/consumerinformation/nuttab2006/onlineversionintroduction/onlineversion.cfm?&amp;action=getFood&amp;foodID=06D10208</w:t>
        </w:r>
      </w:hyperlink>
      <w:r w:rsidRPr="00FF4C0D">
        <w:rPr>
          <w:rFonts w:cs="Arial"/>
          <w:sz w:val="18"/>
          <w:szCs w:val="18"/>
        </w:rPr>
        <w:t>)</w:t>
      </w:r>
    </w:p>
    <w:p w:rsidR="00801C84" w:rsidRPr="00FF4C0D" w:rsidRDefault="00801C84" w:rsidP="00801C84">
      <w:pPr>
        <w:keepNext/>
        <w:widowControl/>
        <w:rPr>
          <w:rFonts w:cs="Arial"/>
          <w:sz w:val="18"/>
          <w:szCs w:val="18"/>
        </w:rPr>
      </w:pPr>
      <w:r w:rsidRPr="00FF4C0D">
        <w:rPr>
          <w:rFonts w:cs="Arial"/>
          <w:sz w:val="18"/>
          <w:szCs w:val="18"/>
          <w:vertAlign w:val="superscript"/>
        </w:rPr>
        <w:t xml:space="preserve">b </w:t>
      </w:r>
      <w:r w:rsidRPr="00FF4C0D">
        <w:rPr>
          <w:rFonts w:cs="Arial"/>
          <w:sz w:val="18"/>
          <w:szCs w:val="18"/>
        </w:rPr>
        <w:t>Data from The Concise New Zealand Food Composition Tables (2009) (</w:t>
      </w:r>
      <w:r w:rsidRPr="00FF4C0D">
        <w:rPr>
          <w:sz w:val="18"/>
          <w:szCs w:val="18"/>
        </w:rPr>
        <w:t>http://www.crop.cri.nz/home/products-services/nutrition/foodcompdata/fcd-products/Concise_8_Edition.pdf)</w:t>
      </w:r>
      <w:r w:rsidRPr="00FF4C0D">
        <w:rPr>
          <w:rFonts w:cs="Arial"/>
          <w:sz w:val="18"/>
          <w:szCs w:val="18"/>
        </w:rPr>
        <w:t>), species of persimmon not specified</w:t>
      </w:r>
    </w:p>
    <w:p w:rsidR="00801C84" w:rsidRPr="00FF4C0D" w:rsidRDefault="00801C84" w:rsidP="00801C84">
      <w:pPr>
        <w:keepNext/>
        <w:widowControl/>
        <w:rPr>
          <w:sz w:val="18"/>
          <w:szCs w:val="18"/>
        </w:rPr>
      </w:pPr>
      <w:r w:rsidRPr="00FF4C0D">
        <w:rPr>
          <w:rFonts w:cs="Arial"/>
          <w:sz w:val="18"/>
          <w:szCs w:val="18"/>
          <w:vertAlign w:val="superscript"/>
        </w:rPr>
        <w:t xml:space="preserve">c </w:t>
      </w:r>
      <w:r w:rsidRPr="00FF4C0D">
        <w:rPr>
          <w:rFonts w:cs="Arial"/>
          <w:sz w:val="18"/>
          <w:szCs w:val="18"/>
        </w:rPr>
        <w:t xml:space="preserve">Data from USDA National Nutrient Database </w:t>
      </w:r>
      <w:hyperlink r:id="rId19" w:history="1">
        <w:r w:rsidRPr="00FF4C0D">
          <w:rPr>
            <w:rStyle w:val="Hyperlink"/>
            <w:rFonts w:cs="Arial"/>
            <w:color w:val="0000FF"/>
            <w:sz w:val="18"/>
            <w:szCs w:val="18"/>
          </w:rPr>
          <w:t>(http://www.nal.usda.gov/fnic/foodcomp/cgi-bin/list_nut_edit.pl</w:t>
        </w:r>
        <w:r w:rsidRPr="00FF4C0D">
          <w:rPr>
            <w:rStyle w:val="Hyperlink"/>
            <w:rFonts w:cs="Arial"/>
            <w:sz w:val="18"/>
            <w:szCs w:val="18"/>
          </w:rPr>
          <w:t>)</w:t>
        </w:r>
      </w:hyperlink>
    </w:p>
    <w:p w:rsidR="00801C84" w:rsidRPr="00FF4C0D" w:rsidRDefault="00801C84" w:rsidP="00801C84">
      <w:pPr>
        <w:keepNext/>
        <w:widowControl/>
        <w:rPr>
          <w:rFonts w:cs="Arial"/>
          <w:sz w:val="18"/>
          <w:szCs w:val="18"/>
        </w:rPr>
      </w:pPr>
      <w:r w:rsidRPr="00FF4C0D">
        <w:rPr>
          <w:sz w:val="18"/>
          <w:szCs w:val="18"/>
        </w:rPr>
        <w:t>NA, not assessed</w:t>
      </w:r>
    </w:p>
    <w:p w:rsidR="003E17B7" w:rsidRPr="00FF4C0D" w:rsidRDefault="003E17B7" w:rsidP="003433AC"/>
    <w:p w:rsidR="00317F70" w:rsidRPr="00FF4C0D" w:rsidRDefault="00D734B6" w:rsidP="008109F6">
      <w:pPr>
        <w:pStyle w:val="Heading4"/>
      </w:pPr>
      <w:r w:rsidRPr="00FF4C0D">
        <w:t>5</w:t>
      </w:r>
      <w:r w:rsidR="00317F70" w:rsidRPr="00FF4C0D">
        <w:t>.2.4</w:t>
      </w:r>
      <w:r w:rsidR="00317F70" w:rsidRPr="00FF4C0D">
        <w:tab/>
        <w:t>Effe</w:t>
      </w:r>
      <w:r w:rsidR="001257D7" w:rsidRPr="00FF4C0D">
        <w:t>cts on nutrition of irradiated foods</w:t>
      </w:r>
    </w:p>
    <w:p w:rsidR="00317F70" w:rsidRPr="00FF4C0D" w:rsidRDefault="00317F70" w:rsidP="00317F70"/>
    <w:p w:rsidR="00374D7A" w:rsidRPr="00FF4C0D" w:rsidRDefault="006741D0" w:rsidP="00422FE1">
      <w:r w:rsidRPr="00FF4C0D">
        <w:rPr>
          <w:szCs w:val="22"/>
        </w:rPr>
        <w:t xml:space="preserve">Many submitters raised issues </w:t>
      </w:r>
      <w:r w:rsidR="00F41BF2" w:rsidRPr="00FF4C0D">
        <w:rPr>
          <w:szCs w:val="22"/>
        </w:rPr>
        <w:t xml:space="preserve">relating to </w:t>
      </w:r>
      <w:r w:rsidRPr="00FF4C0D">
        <w:rPr>
          <w:szCs w:val="22"/>
        </w:rPr>
        <w:t xml:space="preserve">the </w:t>
      </w:r>
      <w:r w:rsidR="00422FE1" w:rsidRPr="00FF4C0D">
        <w:t>possible adverse cumulative effects</w:t>
      </w:r>
      <w:r w:rsidR="00374D7A" w:rsidRPr="00FF4C0D">
        <w:t xml:space="preserve"> on nutrition of eating a number of irradiated foods</w:t>
      </w:r>
      <w:r w:rsidRPr="00FF4C0D">
        <w:t xml:space="preserve">. </w:t>
      </w:r>
    </w:p>
    <w:p w:rsidR="006741D0" w:rsidRPr="00FF4C0D" w:rsidRDefault="006741D0" w:rsidP="00422FE1">
      <w:pPr>
        <w:rPr>
          <w:szCs w:val="22"/>
        </w:rPr>
      </w:pPr>
    </w:p>
    <w:p w:rsidR="006741D0" w:rsidRPr="00FF4C0D" w:rsidRDefault="00D734B6" w:rsidP="00751255">
      <w:pPr>
        <w:pStyle w:val="Heading5"/>
      </w:pPr>
      <w:r w:rsidRPr="00FF4C0D">
        <w:t>5</w:t>
      </w:r>
      <w:r w:rsidR="00A73A79" w:rsidRPr="00FF4C0D">
        <w:t>.2.4.1</w:t>
      </w:r>
      <w:r w:rsidR="00A73A79" w:rsidRPr="00FF4C0D">
        <w:tab/>
      </w:r>
      <w:r w:rsidR="006741D0" w:rsidRPr="00FF4C0D">
        <w:t>FSANZ Response</w:t>
      </w:r>
    </w:p>
    <w:p w:rsidR="00374D7A" w:rsidRPr="00FF4C0D" w:rsidRDefault="00374D7A" w:rsidP="005222C5"/>
    <w:p w:rsidR="00422FE1" w:rsidRPr="00FF4C0D" w:rsidRDefault="00422FE1" w:rsidP="005222C5">
      <w:r w:rsidRPr="00FF4C0D">
        <w:t>FSANZ acknowledges the importance of assessing the aggregate effect of all existing irradiation permissions on the total diet of Australian and New Zealand consumers.</w:t>
      </w:r>
    </w:p>
    <w:p w:rsidR="00422FE1" w:rsidRPr="00FF4C0D" w:rsidRDefault="00422FE1" w:rsidP="005222C5"/>
    <w:p w:rsidR="00422FE1" w:rsidRPr="00FF4C0D" w:rsidRDefault="00422FE1" w:rsidP="00422FE1">
      <w:r w:rsidRPr="00FF4C0D">
        <w:t xml:space="preserve">FSANZ has treated the previous two irradiation </w:t>
      </w:r>
      <w:r w:rsidR="00A73A79" w:rsidRPr="00FF4C0D">
        <w:t>A</w:t>
      </w:r>
      <w:r w:rsidRPr="00FF4C0D">
        <w:t xml:space="preserve">pplications separately in assessing the impact of irradiation on the nutrient intake of the Australian and New Zealand populations. The assessment of </w:t>
      </w:r>
      <w:r w:rsidR="00A73A79" w:rsidRPr="00FF4C0D">
        <w:t xml:space="preserve">Application </w:t>
      </w:r>
      <w:r w:rsidRPr="00FF4C0D">
        <w:t xml:space="preserve">A413 concluded that herbs, spices and herbal infusions were insignificant sources of radiation sensitive nutrients including vitamin A, vitamin C, vitamin E, thiamin and folate. </w:t>
      </w:r>
    </w:p>
    <w:p w:rsidR="00422FE1" w:rsidRPr="00FF4C0D" w:rsidRDefault="00422FE1" w:rsidP="00422FE1"/>
    <w:p w:rsidR="00422FE1" w:rsidRPr="00FF4C0D" w:rsidRDefault="00422FE1" w:rsidP="00422FE1">
      <w:r w:rsidRPr="00FF4C0D">
        <w:t>The aggregate effect of irradiation of all tropical fruits</w:t>
      </w:r>
      <w:r w:rsidR="00F43BCF" w:rsidRPr="00FF4C0D">
        <w:t xml:space="preserve"> </w:t>
      </w:r>
      <w:r w:rsidRPr="00FF4C0D">
        <w:t xml:space="preserve">was considered in </w:t>
      </w:r>
      <w:r w:rsidR="00A73A79" w:rsidRPr="00FF4C0D">
        <w:t xml:space="preserve">Application </w:t>
      </w:r>
      <w:r w:rsidRPr="00FF4C0D">
        <w:t>A443 using a conservative ‘worst case’ scenario</w:t>
      </w:r>
      <w:r w:rsidR="000C447B" w:rsidRPr="00FF4C0D">
        <w:t xml:space="preserve">. </w:t>
      </w:r>
      <w:r w:rsidRPr="00FF4C0D">
        <w:t>The contribution of the entire ‘other tropical fruit’ group and ‘other fruits’ group (which includes persimmons) to specific nutrient intakes was estimated for the Australian and New Zealand populations</w:t>
      </w:r>
      <w:r w:rsidR="000C447B" w:rsidRPr="00FF4C0D">
        <w:t xml:space="preserve">. </w:t>
      </w:r>
      <w:r w:rsidR="00A73A79" w:rsidRPr="00FF4C0D">
        <w:t>FSANZ</w:t>
      </w:r>
      <w:r w:rsidR="00EB7569" w:rsidRPr="00FF4C0D">
        <w:t xml:space="preserve"> </w:t>
      </w:r>
      <w:r w:rsidRPr="00FF4C0D">
        <w:t>concluded that these broad fruit categories were minor sources of irradiation</w:t>
      </w:r>
      <w:r w:rsidR="00722C4D" w:rsidRPr="00FF4C0D">
        <w:t>-</w:t>
      </w:r>
      <w:r w:rsidRPr="00FF4C0D">
        <w:t>sensitive nutrients β-carotene, folate, vitamin C and thiamin and vitamin E for the Australian and New Zealand populations.</w:t>
      </w:r>
    </w:p>
    <w:p w:rsidR="00422FE1" w:rsidRPr="00FF4C0D" w:rsidRDefault="00422FE1" w:rsidP="00422FE1"/>
    <w:p w:rsidR="003E160B" w:rsidRPr="00FF4C0D" w:rsidRDefault="00422FE1" w:rsidP="003E160B">
      <w:r w:rsidRPr="00FF4C0D">
        <w:t xml:space="preserve">The nutrition assessment for A1038 </w:t>
      </w:r>
      <w:r w:rsidR="007A3C2C" w:rsidRPr="00FF4C0D">
        <w:t xml:space="preserve">has </w:t>
      </w:r>
      <w:r w:rsidRPr="00FF4C0D">
        <w:t xml:space="preserve">considered consumption data from the most recent national nutrition surveys in Australia and New Zealand from 1995–2007. This indicated that persimmons were consumed by less than 1% of the population. </w:t>
      </w:r>
    </w:p>
    <w:p w:rsidR="00EB7569" w:rsidRPr="00FF4C0D" w:rsidRDefault="00EB7569" w:rsidP="00751255">
      <w:pPr>
        <w:widowControl/>
      </w:pPr>
    </w:p>
    <w:p w:rsidR="00422FE1" w:rsidRPr="00FF4C0D" w:rsidRDefault="007A3C2C" w:rsidP="00751255">
      <w:pPr>
        <w:widowControl/>
      </w:pPr>
      <w:r w:rsidRPr="00FF4C0D">
        <w:t xml:space="preserve">FSANZ has conducted conservative modelling in the past which has found that the irradiation of persimmons and all existing foods permitted for irradiation under </w:t>
      </w:r>
      <w:r w:rsidR="00637272" w:rsidRPr="00FF4C0D">
        <w:t>Standard 1.5.3</w:t>
      </w:r>
      <w:r w:rsidRPr="00FF4C0D">
        <w:t xml:space="preserve"> are unlikely to affect the nutritional adequacy of the diet in Australia and New Zealand. Assessment of future applications to irradiate food will include consideration of the aggregate effect of all existing irradiation permissions on the total diet of Australian and New Zealand consumers. FSANZ </w:t>
      </w:r>
      <w:r w:rsidR="00422FE1" w:rsidRPr="00FF4C0D">
        <w:t>conclude</w:t>
      </w:r>
      <w:r w:rsidRPr="00FF4C0D">
        <w:t>s that</w:t>
      </w:r>
      <w:r w:rsidR="00D734B6" w:rsidRPr="00FF4C0D">
        <w:t xml:space="preserve"> </w:t>
      </w:r>
      <w:r w:rsidR="00422FE1" w:rsidRPr="00FF4C0D">
        <w:t xml:space="preserve">irradiation at doses less than 1 kGy would have little effect on the nutrient profile of either tropical fruits or persimmons compared to traditional forms of food processing. </w:t>
      </w:r>
    </w:p>
    <w:p w:rsidR="00422FE1" w:rsidRPr="00FF4C0D" w:rsidRDefault="00422FE1" w:rsidP="00422FE1"/>
    <w:p w:rsidR="00345562" w:rsidRPr="00FF4C0D" w:rsidRDefault="008D0FC5" w:rsidP="00825DF4">
      <w:r w:rsidRPr="00FF4C0D">
        <w:t xml:space="preserve">Some </w:t>
      </w:r>
      <w:r w:rsidR="006741D0" w:rsidRPr="00FF4C0D">
        <w:t xml:space="preserve">submitters </w:t>
      </w:r>
      <w:r w:rsidR="002762D2" w:rsidRPr="00FF4C0D">
        <w:t>stated</w:t>
      </w:r>
      <w:r w:rsidR="006741D0" w:rsidRPr="00FF4C0D">
        <w:t xml:space="preserve"> that </w:t>
      </w:r>
      <w:r w:rsidR="00522AA3" w:rsidRPr="00FF4C0D">
        <w:t>FSANZ had</w:t>
      </w:r>
      <w:r w:rsidR="00825DF4" w:rsidRPr="00FF4C0D">
        <w:t xml:space="preserve"> not considered the health impacts on overseas consumers of irradiated foods exported from Australia.</w:t>
      </w:r>
      <w:r w:rsidRPr="00FF4C0D">
        <w:t xml:space="preserve"> </w:t>
      </w:r>
      <w:r w:rsidR="00825DF4" w:rsidRPr="00FF4C0D">
        <w:t xml:space="preserve">FSANZ, in consultation with its food regulatory partners, is responsible for protecting the public health and safety of Australian and New Zealand consumers through maintaining and amending food regulations set out in the Code. </w:t>
      </w:r>
      <w:r w:rsidR="00B77102" w:rsidRPr="00FF4C0D">
        <w:t>FSANZ</w:t>
      </w:r>
      <w:r w:rsidR="004D6928" w:rsidRPr="00FF4C0D">
        <w:t xml:space="preserve"> does not have any powers in relation to food for export</w:t>
      </w:r>
      <w:r w:rsidR="00F1050E" w:rsidRPr="00FF4C0D">
        <w:t xml:space="preserve"> and </w:t>
      </w:r>
      <w:r w:rsidR="00B77102" w:rsidRPr="00FF4C0D">
        <w:t xml:space="preserve">is not </w:t>
      </w:r>
      <w:r w:rsidR="004D6928" w:rsidRPr="00FF4C0D">
        <w:t xml:space="preserve">obligated </w:t>
      </w:r>
      <w:r w:rsidR="00B77102" w:rsidRPr="00FF4C0D">
        <w:t>to consider any potential dietary impact on overseas consumers of persimmons or other irradiated foods exported from Australia</w:t>
      </w:r>
      <w:r w:rsidR="00F1417C" w:rsidRPr="00FF4C0D">
        <w:t xml:space="preserve">. </w:t>
      </w:r>
      <w:r w:rsidR="00345562" w:rsidRPr="00FF4C0D">
        <w:br w:type="page"/>
      </w:r>
    </w:p>
    <w:p w:rsidR="00825DF4" w:rsidRPr="00FF4C0D" w:rsidRDefault="004D6928" w:rsidP="00825DF4">
      <w:r w:rsidRPr="00FF4C0D">
        <w:lastRenderedPageBreak/>
        <w:t xml:space="preserve">Measures in the Code apply to food produced or imported into Australia and </w:t>
      </w:r>
      <w:r w:rsidR="00F1050E" w:rsidRPr="00FF4C0D">
        <w:t>FSANZ would</w:t>
      </w:r>
      <w:r w:rsidR="00F06788" w:rsidRPr="00FF4C0D">
        <w:t xml:space="preserve"> not expect that consumers in countries </w:t>
      </w:r>
      <w:r w:rsidR="00722C4D" w:rsidRPr="00FF4C0D">
        <w:t>to which</w:t>
      </w:r>
      <w:r w:rsidR="00F06788" w:rsidRPr="00FF4C0D">
        <w:t xml:space="preserve"> persimmons</w:t>
      </w:r>
      <w:r w:rsidR="0084023F" w:rsidRPr="00FF4C0D">
        <w:t xml:space="preserve"> may</w:t>
      </w:r>
      <w:r w:rsidR="00A7162E" w:rsidRPr="00FF4C0D">
        <w:t xml:space="preserve"> </w:t>
      </w:r>
      <w:r w:rsidR="00F06788" w:rsidRPr="00FF4C0D">
        <w:t xml:space="preserve">be exported, would experience adverse nutritional effects from eating irradiated persimmons. </w:t>
      </w:r>
    </w:p>
    <w:p w:rsidR="00374D7A" w:rsidRPr="00FF4C0D" w:rsidRDefault="00374D7A" w:rsidP="00374D7A"/>
    <w:p w:rsidR="00825DF4" w:rsidRPr="00FF4C0D" w:rsidRDefault="008D0FC5" w:rsidP="00825DF4">
      <w:pPr>
        <w:rPr>
          <w:rFonts w:cs="Arial"/>
          <w:sz w:val="18"/>
          <w:szCs w:val="18"/>
        </w:rPr>
      </w:pPr>
      <w:r w:rsidRPr="00FF4C0D">
        <w:t xml:space="preserve">Another issue raised by </w:t>
      </w:r>
      <w:r w:rsidR="008B703C" w:rsidRPr="00FF4C0D">
        <w:t>submitter</w:t>
      </w:r>
      <w:r w:rsidR="00CF1623" w:rsidRPr="00FF4C0D">
        <w:t>s</w:t>
      </w:r>
      <w:r w:rsidR="008B703C" w:rsidRPr="00FF4C0D">
        <w:t xml:space="preserve"> </w:t>
      </w:r>
      <w:r w:rsidRPr="00FF4C0D">
        <w:t>related to</w:t>
      </w:r>
      <w:r w:rsidR="00374D7A" w:rsidRPr="00FF4C0D">
        <w:t xml:space="preserve"> greater vitamin losses </w:t>
      </w:r>
      <w:r w:rsidR="00F37185" w:rsidRPr="00FF4C0D">
        <w:t xml:space="preserve">for </w:t>
      </w:r>
      <w:r w:rsidR="00374D7A" w:rsidRPr="00FF4C0D">
        <w:t xml:space="preserve">irradiated foods </w:t>
      </w:r>
      <w:r w:rsidR="00F37185" w:rsidRPr="00FF4C0D">
        <w:t xml:space="preserve">when </w:t>
      </w:r>
      <w:r w:rsidR="00374D7A" w:rsidRPr="00FF4C0D">
        <w:t>compared</w:t>
      </w:r>
      <w:r w:rsidR="00F37185" w:rsidRPr="00FF4C0D">
        <w:t xml:space="preserve"> with</w:t>
      </w:r>
      <w:r w:rsidR="00374D7A" w:rsidRPr="00FF4C0D">
        <w:t xml:space="preserve"> non-irradiated foods</w:t>
      </w:r>
      <w:r w:rsidR="008B703C" w:rsidRPr="00FF4C0D">
        <w:t>.</w:t>
      </w:r>
      <w:r w:rsidRPr="00FF4C0D">
        <w:t xml:space="preserve"> </w:t>
      </w:r>
      <w:r w:rsidR="00825DF4" w:rsidRPr="00FF4C0D">
        <w:t xml:space="preserve">FSANZ acknowledges that in some studies it has been shown that the vitamin C content of certain irradiated fruit (for example, mango, late season grapefruit, carambola, </w:t>
      </w:r>
      <w:r w:rsidR="001113DB" w:rsidRPr="00FF4C0D">
        <w:t>and Imperial</w:t>
      </w:r>
      <w:r w:rsidR="00825DF4" w:rsidRPr="00FF4C0D">
        <w:t xml:space="preserve"> mandarin) is significantly lower than for non-irradiated fruit during storage </w:t>
      </w:r>
      <w:r w:rsidR="001D1B96" w:rsidRPr="00FF4C0D">
        <w:fldChar w:fldCharType="begin">
          <w:fldData xml:space="preserve">PFJlZm1hbj48Q2l0ZT48QXV0aG9yPkxhY3JvaXg8L0F1dGhvcj48WWVhcj4xOTkwPC9ZZWFyPjxS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==
</w:fldData>
        </w:fldChar>
      </w:r>
      <w:r w:rsidR="00825DF4" w:rsidRPr="00FF4C0D">
        <w:instrText xml:space="preserve"> ADDIN REFMGR.CITE </w:instrText>
      </w:r>
      <w:r w:rsidR="001D1B96" w:rsidRPr="00FF4C0D">
        <w:fldChar w:fldCharType="begin">
          <w:fldData xml:space="preserve">PFJlZm1hbj48Q2l0ZT48QXV0aG9yPkxhY3JvaXg8L0F1dGhvcj48WWVhcj4xOTkwPC9ZZWFyPjxS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==
</w:fldData>
        </w:fldChar>
      </w:r>
      <w:r w:rsidR="00825DF4" w:rsidRPr="00FF4C0D">
        <w:instrText xml:space="preserve"> ADDIN EN.CITE.DATA </w:instrText>
      </w:r>
      <w:r w:rsidR="001D1B96" w:rsidRPr="00FF4C0D">
        <w:fldChar w:fldCharType="end"/>
      </w:r>
      <w:r w:rsidR="001D1B96" w:rsidRPr="00FF4C0D">
        <w:fldChar w:fldCharType="separate"/>
      </w:r>
      <w:r w:rsidR="00825DF4" w:rsidRPr="00FF4C0D">
        <w:rPr>
          <w:noProof/>
        </w:rPr>
        <w:t xml:space="preserve">(Lacroix </w:t>
      </w:r>
      <w:r w:rsidR="00825DF4" w:rsidRPr="00FF4C0D">
        <w:rPr>
          <w:i/>
          <w:noProof/>
        </w:rPr>
        <w:t>et al</w:t>
      </w:r>
      <w:r w:rsidR="00825DF4" w:rsidRPr="00FF4C0D">
        <w:rPr>
          <w:noProof/>
        </w:rPr>
        <w:t xml:space="preserve">., 1990; Mitchell </w:t>
      </w:r>
      <w:r w:rsidR="00825DF4" w:rsidRPr="00FF4C0D">
        <w:rPr>
          <w:i/>
          <w:noProof/>
        </w:rPr>
        <w:t>et al</w:t>
      </w:r>
      <w:r w:rsidR="00825DF4" w:rsidRPr="00FF4C0D">
        <w:rPr>
          <w:noProof/>
        </w:rPr>
        <w:t xml:space="preserve">., 1992; Moy and Wong, 2002; Patil </w:t>
      </w:r>
      <w:r w:rsidR="00825DF4" w:rsidRPr="00FF4C0D">
        <w:rPr>
          <w:i/>
          <w:noProof/>
        </w:rPr>
        <w:t>et al</w:t>
      </w:r>
      <w:r w:rsidR="00825DF4" w:rsidRPr="00FF4C0D">
        <w:rPr>
          <w:noProof/>
        </w:rPr>
        <w:t xml:space="preserve">., 2004; Youssef </w:t>
      </w:r>
      <w:r w:rsidR="00825DF4" w:rsidRPr="00FF4C0D">
        <w:rPr>
          <w:i/>
          <w:noProof/>
        </w:rPr>
        <w:t>et al</w:t>
      </w:r>
      <w:r w:rsidR="00825DF4" w:rsidRPr="00FF4C0D">
        <w:rPr>
          <w:noProof/>
        </w:rPr>
        <w:t>., 2002)</w:t>
      </w:r>
      <w:r w:rsidR="001D1B96" w:rsidRPr="00FF4C0D">
        <w:fldChar w:fldCharType="end"/>
      </w:r>
      <w:r w:rsidR="00825DF4" w:rsidRPr="00FF4C0D">
        <w:t xml:space="preserve">. </w:t>
      </w:r>
      <w:r w:rsidR="004D6928" w:rsidRPr="00FF4C0D">
        <w:t>A</w:t>
      </w:r>
      <w:r w:rsidR="00825DF4" w:rsidRPr="00FF4C0D">
        <w:t>s the number of consumers of persimmons in Australia and New Zealand is relatively low and fruit consumption is seasonal, it is likely that persimmons are very minor contributors to the total dietary intake of vitamin C</w:t>
      </w:r>
      <w:r w:rsidR="00AC6186" w:rsidRPr="00FF4C0D">
        <w:t xml:space="preserve"> (and vitamins E, β-carotene, and certain B vitamins)</w:t>
      </w:r>
      <w:r w:rsidR="00825DF4" w:rsidRPr="00FF4C0D">
        <w:t xml:space="preserve"> when considered within the context of the overall diet. </w:t>
      </w:r>
      <w:r w:rsidR="00862C87" w:rsidRPr="00FF4C0D">
        <w:t xml:space="preserve">Furthermore, </w:t>
      </w:r>
      <w:r w:rsidR="00D773C9" w:rsidRPr="00FF4C0D">
        <w:t xml:space="preserve">dietary intakes of vitamin C in Australia and New Zealand are adequate. </w:t>
      </w:r>
      <w:r w:rsidR="00825DF4" w:rsidRPr="00FF4C0D">
        <w:t xml:space="preserve">Therefore the irradiation of persimmons is unlikely to </w:t>
      </w:r>
      <w:r w:rsidR="00722C4D" w:rsidRPr="00FF4C0D">
        <w:t>decrease</w:t>
      </w:r>
      <w:r w:rsidR="00825DF4" w:rsidRPr="00FF4C0D">
        <w:t xml:space="preserve"> the </w:t>
      </w:r>
      <w:r w:rsidR="00722C4D" w:rsidRPr="00FF4C0D">
        <w:t xml:space="preserve">adequacy of the </w:t>
      </w:r>
      <w:r w:rsidR="00825DF4" w:rsidRPr="00FF4C0D">
        <w:t>dietary intake of vitamin C by the Australian and New Zealand populations.</w:t>
      </w:r>
    </w:p>
    <w:p w:rsidR="00825DF4" w:rsidRPr="00FF4C0D" w:rsidRDefault="00825DF4" w:rsidP="005222C5"/>
    <w:p w:rsidR="00317F70" w:rsidRPr="00FF4C0D" w:rsidRDefault="00871662" w:rsidP="005222C5">
      <w:r w:rsidRPr="00FF4C0D">
        <w:t>A</w:t>
      </w:r>
      <w:r w:rsidR="008D0FC5" w:rsidRPr="00FF4C0D">
        <w:t xml:space="preserve"> submitter </w:t>
      </w:r>
      <w:r w:rsidR="002867C7" w:rsidRPr="00FF4C0D">
        <w:t xml:space="preserve">requested clarification of </w:t>
      </w:r>
      <w:r w:rsidR="00374D7A" w:rsidRPr="00FF4C0D">
        <w:t xml:space="preserve">the term ‘compositionally </w:t>
      </w:r>
      <w:r w:rsidR="00936A7D" w:rsidRPr="00FF4C0D">
        <w:t>similar</w:t>
      </w:r>
      <w:r w:rsidR="00194E00" w:rsidRPr="00FF4C0D">
        <w:t>’</w:t>
      </w:r>
      <w:r w:rsidR="00936A7D" w:rsidRPr="00FF4C0D">
        <w:t xml:space="preserve"> in</w:t>
      </w:r>
      <w:r w:rsidR="006B1BD0" w:rsidRPr="00FF4C0D">
        <w:t xml:space="preserve"> the Risk Assessment Report. </w:t>
      </w:r>
      <w:r w:rsidR="00317F70" w:rsidRPr="00FF4C0D">
        <w:t>The use of the term ‘fruit of similar composition’ refers to the fruit included in the risk assessment</w:t>
      </w:r>
      <w:r w:rsidR="000C447B" w:rsidRPr="00FF4C0D">
        <w:t xml:space="preserve">. </w:t>
      </w:r>
      <w:r w:rsidR="002867C7" w:rsidRPr="00FF4C0D">
        <w:t>FSANZ</w:t>
      </w:r>
      <w:r w:rsidR="00936A7D" w:rsidRPr="00FF4C0D">
        <w:t xml:space="preserve"> </w:t>
      </w:r>
      <w:r w:rsidR="00317F70" w:rsidRPr="00FF4C0D">
        <w:t xml:space="preserve">agreed that this term </w:t>
      </w:r>
      <w:r w:rsidR="00194E00" w:rsidRPr="00FF4C0D">
        <w:t>wa</w:t>
      </w:r>
      <w:r w:rsidR="00317F70" w:rsidRPr="00FF4C0D">
        <w:t>s not clear and</w:t>
      </w:r>
      <w:r w:rsidR="00194E00" w:rsidRPr="00FF4C0D">
        <w:t xml:space="preserve"> it</w:t>
      </w:r>
      <w:r w:rsidR="00317F70" w:rsidRPr="00FF4C0D">
        <w:t xml:space="preserve"> has </w:t>
      </w:r>
      <w:r w:rsidR="00CE7774" w:rsidRPr="00FF4C0D">
        <w:t xml:space="preserve">amended </w:t>
      </w:r>
      <w:r w:rsidR="002867C7" w:rsidRPr="00FF4C0D">
        <w:t xml:space="preserve">the </w:t>
      </w:r>
      <w:r w:rsidR="00CE7774" w:rsidRPr="00FF4C0D">
        <w:t xml:space="preserve">Risk Assessment Report. </w:t>
      </w:r>
    </w:p>
    <w:p w:rsidR="006B1BD0" w:rsidRPr="00FF4C0D" w:rsidRDefault="006B1BD0" w:rsidP="005222C5"/>
    <w:p w:rsidR="00141257" w:rsidRPr="00FF4C0D" w:rsidRDefault="006B1BD0" w:rsidP="005222C5">
      <w:pPr>
        <w:rPr>
          <w:szCs w:val="22"/>
        </w:rPr>
      </w:pPr>
      <w:r w:rsidRPr="00FF4C0D">
        <w:rPr>
          <w:szCs w:val="22"/>
        </w:rPr>
        <w:t>One submitter suggested that a</w:t>
      </w:r>
      <w:r w:rsidR="00317F70" w:rsidRPr="00FF4C0D">
        <w:rPr>
          <w:szCs w:val="22"/>
        </w:rPr>
        <w:t xml:space="preserve"> lack of primary, specific and recent data on the effect of irradiatio</w:t>
      </w:r>
      <w:r w:rsidRPr="00FF4C0D">
        <w:rPr>
          <w:szCs w:val="22"/>
        </w:rPr>
        <w:t xml:space="preserve">n on persimmons was a </w:t>
      </w:r>
      <w:r w:rsidR="00317F70" w:rsidRPr="00FF4C0D">
        <w:rPr>
          <w:szCs w:val="22"/>
        </w:rPr>
        <w:t>concern</w:t>
      </w:r>
      <w:r w:rsidR="000C447B" w:rsidRPr="00FF4C0D">
        <w:rPr>
          <w:szCs w:val="22"/>
        </w:rPr>
        <w:t xml:space="preserve">. </w:t>
      </w:r>
      <w:r w:rsidR="00317F70" w:rsidRPr="00FF4C0D">
        <w:rPr>
          <w:szCs w:val="22"/>
        </w:rPr>
        <w:t>FSANZ acknowledges that there is only one study included in the r</w:t>
      </w:r>
      <w:r w:rsidR="00E32D63" w:rsidRPr="00FF4C0D">
        <w:rPr>
          <w:szCs w:val="22"/>
        </w:rPr>
        <w:t xml:space="preserve">isk assessment investigating the specific effects of irradiation on the nutrient composition of persimmons </w:t>
      </w:r>
      <w:r w:rsidR="001D1B96" w:rsidRPr="00FF4C0D">
        <w:rPr>
          <w:szCs w:val="22"/>
        </w:rPr>
        <w:fldChar w:fldCharType="begin"/>
      </w:r>
      <w:r w:rsidR="00E32D63" w:rsidRPr="00FF4C0D">
        <w:rPr>
          <w:szCs w:val="22"/>
        </w:rPr>
        <w:instrText xml:space="preserve"> ADDIN REFMGR.CITE &lt;Refman&gt;&lt;Cite&gt;&lt;Author&gt;Mitchell&lt;/Author&gt;&lt;Year&gt;1992&lt;/Year&gt;&lt;RecNum&gt;15&lt;/RecNum&gt;&lt;IDText&gt;Effect of low dose irradiation on composition of tropical fruits and vegetables&lt;/IDText&gt;&lt;MDL Ref_Type="Journal"&gt;&lt;Ref_Type&gt;Journal&lt;/Ref_Type&gt;&lt;Ref_ID&gt;15&lt;/Ref_ID&gt;&lt;Title_Primary&gt;Effect of low dose irradiation on composition of tropical fruits and vegetables&lt;/Title_Primary&gt;&lt;Authors_Primary&gt;Mitchell,G.E.&lt;/Authors_Primary&gt;&lt;Authors_Primary&gt;McLauchlan,R.L.&lt;/Authors_Primary&gt;&lt;Authors_Primary&gt;Isaacs,A.R.&lt;/Authors_Primary&gt;&lt;Authors_Primary&gt;Williams,D.J.&lt;/Authors_Primary&gt;&lt;Authors_Primary&gt;Nottingham,S.M.&lt;/Authors_Primary&gt;&lt;Date_Primary&gt;1992&lt;/Date_Primary&gt;&lt;Keywords&gt;Fruit&lt;/Keywords&gt;&lt;Keywords&gt;Vegetables&lt;/Keywords&gt;&lt;Reprint&gt;Not in File&lt;/Reprint&gt;&lt;Start_Page&gt;291&lt;/Start_Page&gt;&lt;End_Page&gt;311&lt;/End_Page&gt;&lt;Periodical&gt;Journal of Food Composition and Analysis&lt;/Periodical&gt;&lt;Volume&gt;5&lt;/Volume&gt;&lt;ZZ_JournalFull&gt;&lt;f name="System"&gt;Journal of Food Composition and Analysis&lt;/f&gt;&lt;/ZZ_JournalFull&gt;&lt;ZZ_WorkformID&gt;1&lt;/ZZ_WorkformID&gt;&lt;/MDL&gt;&lt;/Cite&gt;&lt;/Refman&gt;</w:instrText>
      </w:r>
      <w:r w:rsidR="001D1B96" w:rsidRPr="00FF4C0D">
        <w:rPr>
          <w:szCs w:val="22"/>
        </w:rPr>
        <w:fldChar w:fldCharType="separate"/>
      </w:r>
      <w:r w:rsidR="00317F70" w:rsidRPr="00FF4C0D">
        <w:rPr>
          <w:noProof/>
          <w:szCs w:val="22"/>
        </w:rPr>
        <w:t>(Mitchell et al., 1992)</w:t>
      </w:r>
      <w:r w:rsidR="001D1B96" w:rsidRPr="00FF4C0D">
        <w:rPr>
          <w:szCs w:val="22"/>
        </w:rPr>
        <w:fldChar w:fldCharType="end"/>
      </w:r>
      <w:r w:rsidR="000C447B" w:rsidRPr="00FF4C0D">
        <w:rPr>
          <w:szCs w:val="22"/>
        </w:rPr>
        <w:t xml:space="preserve">. </w:t>
      </w:r>
      <w:r w:rsidR="00881831" w:rsidRPr="00FF4C0D">
        <w:rPr>
          <w:szCs w:val="22"/>
        </w:rPr>
        <w:t>However, t</w:t>
      </w:r>
      <w:r w:rsidR="00141257" w:rsidRPr="00FF4C0D">
        <w:rPr>
          <w:szCs w:val="22"/>
        </w:rPr>
        <w:t xml:space="preserve">he available data indicate that the carbohydrate, fat, protein and mineral content of </w:t>
      </w:r>
      <w:r w:rsidR="004D6928" w:rsidRPr="00FF4C0D">
        <w:rPr>
          <w:szCs w:val="22"/>
        </w:rPr>
        <w:t xml:space="preserve">other </w:t>
      </w:r>
      <w:r w:rsidR="00141257" w:rsidRPr="00FF4C0D">
        <w:rPr>
          <w:szCs w:val="22"/>
        </w:rPr>
        <w:t xml:space="preserve">foods </w:t>
      </w:r>
      <w:r w:rsidR="009A2C07" w:rsidRPr="00FF4C0D">
        <w:rPr>
          <w:szCs w:val="22"/>
        </w:rPr>
        <w:t xml:space="preserve">(including fruit) </w:t>
      </w:r>
      <w:r w:rsidR="00141257" w:rsidRPr="00FF4C0D">
        <w:rPr>
          <w:szCs w:val="22"/>
        </w:rPr>
        <w:t xml:space="preserve">are not affected by irradiation at doses up to 1 kGy. Therefore, irradiation is unlikely to affect the presence of macronutrients and minerals in persimmons. </w:t>
      </w:r>
    </w:p>
    <w:p w:rsidR="00141257" w:rsidRPr="00FF4C0D" w:rsidRDefault="00141257" w:rsidP="005222C5">
      <w:pPr>
        <w:rPr>
          <w:szCs w:val="22"/>
        </w:rPr>
      </w:pPr>
    </w:p>
    <w:p w:rsidR="0071763F" w:rsidRPr="00FF4C0D" w:rsidRDefault="00821111" w:rsidP="005222C5">
      <w:pPr>
        <w:rPr>
          <w:szCs w:val="22"/>
        </w:rPr>
      </w:pPr>
      <w:r w:rsidRPr="00FF4C0D">
        <w:rPr>
          <w:szCs w:val="22"/>
        </w:rPr>
        <w:t xml:space="preserve">As </w:t>
      </w:r>
      <w:r w:rsidR="00AC6186" w:rsidRPr="00FF4C0D">
        <w:rPr>
          <w:szCs w:val="22"/>
        </w:rPr>
        <w:t xml:space="preserve">well as </w:t>
      </w:r>
      <w:r w:rsidR="00E32D63" w:rsidRPr="00FF4C0D">
        <w:rPr>
          <w:szCs w:val="22"/>
        </w:rPr>
        <w:t xml:space="preserve">specific data on persimmons, published studies of the effect of irradiation on fruit as a commodity group was considered in totality and FSANZ did not require the Applicant to supply additional specific data on persimmons. </w:t>
      </w:r>
    </w:p>
    <w:p w:rsidR="00317F70" w:rsidRPr="00FF4C0D" w:rsidRDefault="00317F70" w:rsidP="005222C5"/>
    <w:p w:rsidR="009B4A0D" w:rsidRPr="00FF4C0D" w:rsidRDefault="000C54B4" w:rsidP="002D3CB7">
      <w:pPr>
        <w:pStyle w:val="Heading3"/>
      </w:pPr>
      <w:bookmarkStart w:id="46" w:name="_Toc297029093"/>
      <w:r w:rsidRPr="00FF4C0D">
        <w:t>5</w:t>
      </w:r>
      <w:r w:rsidR="00480E07" w:rsidRPr="00FF4C0D">
        <w:t>.</w:t>
      </w:r>
      <w:r w:rsidR="009A2C07" w:rsidRPr="00FF4C0D">
        <w:t>3</w:t>
      </w:r>
      <w:r w:rsidR="00480E07" w:rsidRPr="00FF4C0D">
        <w:tab/>
        <w:t>Conclusions</w:t>
      </w:r>
      <w:bookmarkEnd w:id="46"/>
    </w:p>
    <w:p w:rsidR="00480E07" w:rsidRPr="00FF4C0D" w:rsidRDefault="00480E07" w:rsidP="005222C5"/>
    <w:p w:rsidR="00480E07" w:rsidRPr="00FF4C0D" w:rsidRDefault="00480E07" w:rsidP="005222C5">
      <w:r w:rsidRPr="00FF4C0D">
        <w:t xml:space="preserve">Taking into account the </w:t>
      </w:r>
      <w:r w:rsidR="004408E4" w:rsidRPr="00FF4C0D">
        <w:t xml:space="preserve">issues raised in </w:t>
      </w:r>
      <w:r w:rsidRPr="00FF4C0D">
        <w:t>public subm</w:t>
      </w:r>
      <w:r w:rsidR="007C77D3" w:rsidRPr="00FF4C0D">
        <w:t>issions</w:t>
      </w:r>
      <w:r w:rsidR="004408E4" w:rsidRPr="00FF4C0D">
        <w:t xml:space="preserve">, </w:t>
      </w:r>
      <w:r w:rsidRPr="00FF4C0D">
        <w:t xml:space="preserve">FSANZ </w:t>
      </w:r>
      <w:r w:rsidR="00194E00" w:rsidRPr="00FF4C0D">
        <w:t xml:space="preserve">has </w:t>
      </w:r>
      <w:r w:rsidR="00806C7B" w:rsidRPr="00FF4C0D">
        <w:t>conclude</w:t>
      </w:r>
      <w:r w:rsidR="00194E00" w:rsidRPr="00FF4C0D">
        <w:t>d</w:t>
      </w:r>
      <w:r w:rsidR="00C8099E" w:rsidRPr="00FF4C0D">
        <w:t xml:space="preserve"> </w:t>
      </w:r>
      <w:r w:rsidRPr="00FF4C0D">
        <w:t xml:space="preserve">that </w:t>
      </w:r>
      <w:r w:rsidR="00C8099E" w:rsidRPr="00FF4C0D">
        <w:t>t</w:t>
      </w:r>
      <w:r w:rsidRPr="00FF4C0D">
        <w:t xml:space="preserve">he available studies indicate that irradiation of persimmons </w:t>
      </w:r>
      <w:r w:rsidRPr="00FF4C0D">
        <w:rPr>
          <w:rFonts w:cs="Arial"/>
        </w:rPr>
        <w:t xml:space="preserve">does </w:t>
      </w:r>
      <w:r w:rsidRPr="00FF4C0D">
        <w:t xml:space="preserve">not pose a significant human health risk for </w:t>
      </w:r>
      <w:r w:rsidRPr="00FF4C0D">
        <w:rPr>
          <w:rFonts w:cs="Arial"/>
        </w:rPr>
        <w:t xml:space="preserve">Australian or New Zealand consumers. </w:t>
      </w:r>
      <w:r w:rsidRPr="00FF4C0D">
        <w:t>There are no changes to the composition of persimmons following irradiation that are likely to cause public health and safety concerns. Irradiation of persimmons up to a maximum dose of 1 kGy employing proper irradiation practices is considered safe for Australian and New Zealand consumers.</w:t>
      </w:r>
    </w:p>
    <w:p w:rsidR="00480E07" w:rsidRPr="00FF4C0D" w:rsidRDefault="00480E07" w:rsidP="005222C5"/>
    <w:p w:rsidR="00480E07" w:rsidRPr="00FF4C0D" w:rsidRDefault="00480E07" w:rsidP="005222C5">
      <w:r w:rsidRPr="00FF4C0D">
        <w:t xml:space="preserve">As with other forms of food processing, irradiation will have some impacts on the nutrient </w:t>
      </w:r>
      <w:r w:rsidR="002A205F" w:rsidRPr="00FF4C0D">
        <w:t>composition</w:t>
      </w:r>
      <w:r w:rsidRPr="00FF4C0D">
        <w:t xml:space="preserve"> of persimmons; however, there are few indications that these impacts are any greater than other forms of food processing, especially for irradiation doses up to a maximum of 1 kGy. </w:t>
      </w:r>
    </w:p>
    <w:p w:rsidR="00317F70" w:rsidRPr="00FF4C0D" w:rsidRDefault="00317F70" w:rsidP="005222C5"/>
    <w:p w:rsidR="001C44D7" w:rsidRPr="00FF4C0D" w:rsidRDefault="00807559">
      <w:pPr>
        <w:pStyle w:val="Heading1"/>
        <w:ind w:left="0" w:firstLine="0"/>
      </w:pPr>
      <w:bookmarkStart w:id="47" w:name="_Toc297029094"/>
      <w:r w:rsidRPr="00FF4C0D">
        <w:t>Risk M</w:t>
      </w:r>
      <w:r w:rsidR="003C4969" w:rsidRPr="00FF4C0D">
        <w:t>anagement</w:t>
      </w:r>
      <w:bookmarkEnd w:id="47"/>
    </w:p>
    <w:p w:rsidR="00610379" w:rsidRPr="00FF4C0D" w:rsidRDefault="00610379" w:rsidP="00D60568">
      <w:pPr>
        <w:rPr>
          <w:rFonts w:cs="Arial"/>
        </w:rPr>
      </w:pPr>
    </w:p>
    <w:p w:rsidR="00345562" w:rsidRPr="00FF4C0D" w:rsidRDefault="00CB1A1C" w:rsidP="00345562">
      <w:r w:rsidRPr="00FF4C0D">
        <w:t xml:space="preserve">FSANZ’s regulatory approach </w:t>
      </w:r>
      <w:r w:rsidR="003F0A11" w:rsidRPr="00FF4C0D">
        <w:t xml:space="preserve">varies </w:t>
      </w:r>
      <w:r w:rsidRPr="00FF4C0D">
        <w:t>depending on the nature of the risks identified and there are a number of approaches used to manage identified risks</w:t>
      </w:r>
      <w:r w:rsidR="006F5213" w:rsidRPr="00FF4C0D">
        <w:t xml:space="preserve">. </w:t>
      </w:r>
      <w:r w:rsidRPr="00FF4C0D">
        <w:t xml:space="preserve">These </w:t>
      </w:r>
      <w:r w:rsidR="003F0A11" w:rsidRPr="00FF4C0D">
        <w:t xml:space="preserve">can </w:t>
      </w:r>
      <w:r w:rsidRPr="00FF4C0D">
        <w:t xml:space="preserve">include </w:t>
      </w:r>
      <w:r w:rsidR="00381741" w:rsidRPr="00FF4C0D">
        <w:t xml:space="preserve">establishing </w:t>
      </w:r>
      <w:r w:rsidRPr="00FF4C0D">
        <w:t>specification</w:t>
      </w:r>
      <w:r w:rsidR="008D6656" w:rsidRPr="00FF4C0D">
        <w:t>s</w:t>
      </w:r>
      <w:r w:rsidRPr="00FF4C0D">
        <w:t>, compositional and/or labelling requirements and where necessary, restriction or prohibition</w:t>
      </w:r>
      <w:r w:rsidR="006F5213" w:rsidRPr="00FF4C0D">
        <w:t xml:space="preserve">. </w:t>
      </w:r>
      <w:r w:rsidR="00345562" w:rsidRPr="00FF4C0D">
        <w:br w:type="page"/>
      </w:r>
    </w:p>
    <w:p w:rsidR="00610379" w:rsidRPr="00FF4C0D" w:rsidRDefault="00CB1A1C" w:rsidP="00345562">
      <w:pPr>
        <w:rPr>
          <w:rFonts w:cs="Arial"/>
          <w:szCs w:val="22"/>
          <w:lang w:eastAsia="en-GB"/>
        </w:rPr>
      </w:pPr>
      <w:r w:rsidRPr="00FF4C0D">
        <w:rPr>
          <w:rFonts w:cs="Arial"/>
          <w:szCs w:val="22"/>
          <w:lang w:eastAsia="en-GB"/>
        </w:rPr>
        <w:lastRenderedPageBreak/>
        <w:t xml:space="preserve">Drawing on the conclusions from the risk assessment, the following sections discuss </w:t>
      </w:r>
      <w:r w:rsidR="00381741" w:rsidRPr="00FF4C0D">
        <w:rPr>
          <w:rFonts w:cs="Arial"/>
          <w:szCs w:val="22"/>
          <w:lang w:eastAsia="en-GB"/>
        </w:rPr>
        <w:t>other broader issues including technological need</w:t>
      </w:r>
      <w:r w:rsidR="00FA3AA3" w:rsidRPr="00FF4C0D">
        <w:rPr>
          <w:rFonts w:cs="Arial"/>
          <w:szCs w:val="22"/>
          <w:lang w:eastAsia="en-GB"/>
        </w:rPr>
        <w:t xml:space="preserve">, packaging, irradiation facilities and dosimetry, methods of verification and labelling of irradiated foods </w:t>
      </w:r>
      <w:r w:rsidR="00381741" w:rsidRPr="00FF4C0D">
        <w:rPr>
          <w:rFonts w:cs="Arial"/>
          <w:szCs w:val="22"/>
          <w:lang w:eastAsia="en-GB"/>
        </w:rPr>
        <w:t xml:space="preserve">that require </w:t>
      </w:r>
      <w:r w:rsidRPr="00FF4C0D">
        <w:rPr>
          <w:rFonts w:cs="Arial"/>
          <w:szCs w:val="22"/>
          <w:lang w:eastAsia="en-GB"/>
        </w:rPr>
        <w:t>consideration in th</w:t>
      </w:r>
      <w:r w:rsidR="00F30579" w:rsidRPr="00FF4C0D">
        <w:rPr>
          <w:rFonts w:cs="Arial"/>
          <w:szCs w:val="22"/>
          <w:lang w:eastAsia="en-GB"/>
        </w:rPr>
        <w:t xml:space="preserve">e development of regulations </w:t>
      </w:r>
      <w:r w:rsidR="00260218" w:rsidRPr="00FF4C0D">
        <w:rPr>
          <w:rFonts w:cs="Arial"/>
          <w:szCs w:val="22"/>
          <w:lang w:eastAsia="en-GB"/>
        </w:rPr>
        <w:t>for</w:t>
      </w:r>
      <w:r w:rsidR="00F30579" w:rsidRPr="00FF4C0D">
        <w:rPr>
          <w:rFonts w:cs="Arial"/>
          <w:szCs w:val="22"/>
          <w:lang w:eastAsia="en-GB"/>
        </w:rPr>
        <w:t xml:space="preserve"> irradiation of persimmons. </w:t>
      </w:r>
    </w:p>
    <w:p w:rsidR="004F202C" w:rsidRPr="00FF4C0D" w:rsidRDefault="004F202C" w:rsidP="00D60568">
      <w:pPr>
        <w:rPr>
          <w:rFonts w:cs="Arial"/>
        </w:rPr>
      </w:pPr>
    </w:p>
    <w:p w:rsidR="00161B99" w:rsidRPr="00FF4C0D" w:rsidRDefault="00513EE8">
      <w:pPr>
        <w:pStyle w:val="Heading3"/>
      </w:pPr>
      <w:bookmarkStart w:id="48" w:name="_Toc297029095"/>
      <w:bookmarkStart w:id="49" w:name="_Toc11058392"/>
      <w:r w:rsidRPr="00FF4C0D">
        <w:t>6</w:t>
      </w:r>
      <w:r w:rsidR="00BA14CE" w:rsidRPr="00FF4C0D">
        <w:t>.1</w:t>
      </w:r>
      <w:r w:rsidR="003C40A8" w:rsidRPr="00FF4C0D">
        <w:tab/>
        <w:t xml:space="preserve">Technological need and efficacy of the </w:t>
      </w:r>
      <w:r w:rsidR="008D0FC5" w:rsidRPr="00FF4C0D">
        <w:t>i</w:t>
      </w:r>
      <w:r w:rsidR="003C40A8" w:rsidRPr="00FF4C0D">
        <w:t xml:space="preserve">rradiation </w:t>
      </w:r>
      <w:r w:rsidR="008D0FC5" w:rsidRPr="00FF4C0D">
        <w:t>p</w:t>
      </w:r>
      <w:r w:rsidR="003C40A8" w:rsidRPr="00FF4C0D">
        <w:t>rocess</w:t>
      </w:r>
      <w:bookmarkEnd w:id="48"/>
    </w:p>
    <w:p w:rsidR="003C40A8" w:rsidRPr="00FF4C0D" w:rsidRDefault="003C40A8" w:rsidP="003C40A8">
      <w:pPr>
        <w:rPr>
          <w:rFonts w:cs="Arial"/>
          <w:szCs w:val="22"/>
          <w:lang w:eastAsia="en-GB" w:bidi="ar-SA"/>
        </w:rPr>
      </w:pPr>
    </w:p>
    <w:p w:rsidR="00480E07" w:rsidRPr="00FF4C0D" w:rsidRDefault="003C40A8" w:rsidP="00480E07">
      <w:pPr>
        <w:widowControl/>
      </w:pPr>
      <w:r w:rsidRPr="00FF4C0D">
        <w:t xml:space="preserve">To date, FSANZ has </w:t>
      </w:r>
      <w:r w:rsidR="004E6A45" w:rsidRPr="00FF4C0D">
        <w:t>approved the i</w:t>
      </w:r>
      <w:r w:rsidRPr="00FF4C0D">
        <w:t xml:space="preserve">rradiation of herbs, spices and herbal infusions and </w:t>
      </w:r>
      <w:r w:rsidR="00A57140" w:rsidRPr="00FF4C0D">
        <w:t>irradiation</w:t>
      </w:r>
      <w:r w:rsidRPr="00FF4C0D">
        <w:t xml:space="preserve"> of a range of tropical fruits (mango, breadfruit, carambola, custard apple, litchi, longan, mangosteen, papaya and rambutan)  </w:t>
      </w:r>
    </w:p>
    <w:p w:rsidR="00480E07" w:rsidRPr="00FF4C0D" w:rsidRDefault="00480E07" w:rsidP="00480E07">
      <w:pPr>
        <w:widowControl/>
      </w:pPr>
    </w:p>
    <w:p w:rsidR="002E20FB" w:rsidRPr="00FF4C0D" w:rsidRDefault="003C40A8" w:rsidP="003E160B">
      <w:pPr>
        <w:widowControl/>
      </w:pPr>
      <w:r w:rsidRPr="00FF4C0D">
        <w:t xml:space="preserve">Specific advice on technological need and appropriate dose ranges for </w:t>
      </w:r>
      <w:r w:rsidR="00CC48FD" w:rsidRPr="00FF4C0D">
        <w:t xml:space="preserve">phytosanitary purposes for both applications </w:t>
      </w:r>
      <w:r w:rsidRPr="00FF4C0D">
        <w:t>was sought at that time fro</w:t>
      </w:r>
      <w:r w:rsidR="00330F19" w:rsidRPr="00FF4C0D">
        <w:t xml:space="preserve">m Biosecurity Australia </w:t>
      </w:r>
      <w:r w:rsidR="00CA2D4D" w:rsidRPr="00FF4C0D">
        <w:t xml:space="preserve">(BA) </w:t>
      </w:r>
      <w:r w:rsidR="00330F19" w:rsidRPr="00FF4C0D">
        <w:t xml:space="preserve">and </w:t>
      </w:r>
      <w:r w:rsidR="00AB3E1A" w:rsidRPr="00FF4C0D">
        <w:t xml:space="preserve">Biosecurity </w:t>
      </w:r>
      <w:r w:rsidR="00B0607D" w:rsidRPr="00FF4C0D">
        <w:t xml:space="preserve">New Zealand </w:t>
      </w:r>
      <w:r w:rsidR="00625A4A" w:rsidRPr="00FF4C0D">
        <w:t xml:space="preserve">(now </w:t>
      </w:r>
      <w:r w:rsidR="007651C2" w:rsidRPr="00FF4C0D">
        <w:t>part of</w:t>
      </w:r>
      <w:r w:rsidR="00625A4A" w:rsidRPr="00FF4C0D">
        <w:t xml:space="preserve"> the </w:t>
      </w:r>
      <w:r w:rsidRPr="00FF4C0D">
        <w:t>New Zealand Ministry of Agriculture and Fisheries</w:t>
      </w:r>
      <w:r w:rsidR="008C7407" w:rsidRPr="00FF4C0D">
        <w:t xml:space="preserve"> (</w:t>
      </w:r>
      <w:r w:rsidR="00304CCE" w:rsidRPr="00FF4C0D">
        <w:t>NZMAF</w:t>
      </w:r>
      <w:r w:rsidR="00AB3E1A" w:rsidRPr="00FF4C0D">
        <w:t>)</w:t>
      </w:r>
      <w:r w:rsidR="008C7407" w:rsidRPr="00FF4C0D">
        <w:t>)</w:t>
      </w:r>
      <w:r w:rsidRPr="00FF4C0D">
        <w:t xml:space="preserve">. </w:t>
      </w:r>
      <w:r w:rsidR="00C5345B" w:rsidRPr="00FF4C0D">
        <w:t>FSANZ has</w:t>
      </w:r>
      <w:r w:rsidRPr="00FF4C0D">
        <w:t xml:space="preserve"> view</w:t>
      </w:r>
      <w:r w:rsidR="009E025B" w:rsidRPr="00FF4C0D">
        <w:t>ed</w:t>
      </w:r>
      <w:r w:rsidRPr="00FF4C0D">
        <w:t xml:space="preserve"> the current Application as an extension of use of irradiation into other fruit, commensurate with previous approvals of tropical fruits</w:t>
      </w:r>
      <w:r w:rsidR="003E160B" w:rsidRPr="00FF4C0D">
        <w:t xml:space="preserve">. </w:t>
      </w:r>
    </w:p>
    <w:p w:rsidR="00345562" w:rsidRPr="00FF4C0D" w:rsidRDefault="00345562" w:rsidP="003E160B">
      <w:pPr>
        <w:widowControl/>
      </w:pPr>
    </w:p>
    <w:p w:rsidR="00E15F28" w:rsidRPr="00FF4C0D" w:rsidRDefault="00E15F28" w:rsidP="003E160B">
      <w:pPr>
        <w:widowControl/>
      </w:pPr>
      <w:r w:rsidRPr="00FF4C0D">
        <w:rPr>
          <w:rFonts w:cs="Arial"/>
          <w:szCs w:val="22"/>
          <w:lang w:eastAsia="en-GB"/>
        </w:rPr>
        <w:t xml:space="preserve">Examples of recent approvals by BA and </w:t>
      </w:r>
      <w:r w:rsidR="00304CCE" w:rsidRPr="00FF4C0D">
        <w:rPr>
          <w:rFonts w:cs="Arial"/>
          <w:szCs w:val="22"/>
        </w:rPr>
        <w:t>NZMAF</w:t>
      </w:r>
      <w:r w:rsidRPr="00FF4C0D">
        <w:rPr>
          <w:rFonts w:cs="Arial"/>
          <w:szCs w:val="22"/>
        </w:rPr>
        <w:t xml:space="preserve"> </w:t>
      </w:r>
      <w:r w:rsidRPr="00FF4C0D">
        <w:rPr>
          <w:rFonts w:cs="Arial"/>
          <w:szCs w:val="22"/>
          <w:lang w:eastAsia="en-GB"/>
        </w:rPr>
        <w:t>for quarantine purposes are as follows:</w:t>
      </w:r>
    </w:p>
    <w:p w:rsidR="00C17D2C" w:rsidRPr="00FF4C0D" w:rsidRDefault="00C17D2C" w:rsidP="003E160B">
      <w:pPr>
        <w:widowControl/>
      </w:pPr>
    </w:p>
    <w:tbl>
      <w:tblPr>
        <w:tblW w:w="9072" w:type="dxa"/>
        <w:tblLayout w:type="fixed"/>
        <w:tblLook w:val="04A0"/>
      </w:tblPr>
      <w:tblGrid>
        <w:gridCol w:w="2446"/>
        <w:gridCol w:w="1656"/>
        <w:gridCol w:w="2982"/>
        <w:gridCol w:w="1988"/>
      </w:tblGrid>
      <w:tr w:rsidR="00E15F28" w:rsidRPr="00FF4C0D" w:rsidTr="00345562">
        <w:trPr>
          <w:trHeight w:val="347"/>
        </w:trPr>
        <w:tc>
          <w:tcPr>
            <w:tcW w:w="2093" w:type="dxa"/>
            <w:shd w:val="clear" w:color="auto" w:fill="D6E3BC" w:themeFill="accent3" w:themeFillTint="66"/>
            <w:vAlign w:val="center"/>
          </w:tcPr>
          <w:p w:rsidR="00E15F28" w:rsidRPr="00FF4C0D" w:rsidRDefault="00E15F28" w:rsidP="00F364EA">
            <w:pPr>
              <w:rPr>
                <w:rFonts w:cs="Arial"/>
                <w:b/>
                <w:sz w:val="20"/>
                <w:szCs w:val="20"/>
                <w:lang w:eastAsia="en-GB" w:bidi="ar-SA"/>
              </w:rPr>
            </w:pPr>
            <w:r w:rsidRPr="00FF4C0D">
              <w:rPr>
                <w:rFonts w:cs="Arial"/>
                <w:b/>
                <w:sz w:val="20"/>
                <w:szCs w:val="20"/>
                <w:lang w:eastAsia="en-GB" w:bidi="ar-SA"/>
              </w:rPr>
              <w:t>Commodity</w:t>
            </w:r>
          </w:p>
        </w:tc>
        <w:tc>
          <w:tcPr>
            <w:tcW w:w="1417" w:type="dxa"/>
            <w:shd w:val="clear" w:color="auto" w:fill="D6E3BC" w:themeFill="accent3" w:themeFillTint="66"/>
            <w:vAlign w:val="center"/>
          </w:tcPr>
          <w:p w:rsidR="00E15F28" w:rsidRPr="00FF4C0D" w:rsidRDefault="00E32D63" w:rsidP="00F364EA">
            <w:pPr>
              <w:rPr>
                <w:rFonts w:cs="Arial"/>
                <w:b/>
                <w:sz w:val="20"/>
                <w:szCs w:val="20"/>
                <w:lang w:eastAsia="en-GB" w:bidi="ar-SA"/>
              </w:rPr>
            </w:pPr>
            <w:r w:rsidRPr="00FF4C0D">
              <w:rPr>
                <w:rFonts w:cs="Arial"/>
                <w:b/>
                <w:sz w:val="20"/>
                <w:szCs w:val="20"/>
                <w:lang w:eastAsia="en-GB" w:bidi="ar-SA"/>
              </w:rPr>
              <w:t>Date</w:t>
            </w:r>
          </w:p>
        </w:tc>
        <w:tc>
          <w:tcPr>
            <w:tcW w:w="2552" w:type="dxa"/>
            <w:shd w:val="clear" w:color="auto" w:fill="D6E3BC" w:themeFill="accent3" w:themeFillTint="66"/>
            <w:vAlign w:val="center"/>
          </w:tcPr>
          <w:p w:rsidR="00E15F28" w:rsidRPr="00FF4C0D" w:rsidRDefault="00E32D63" w:rsidP="00F364EA">
            <w:pPr>
              <w:rPr>
                <w:rFonts w:cs="Arial"/>
                <w:b/>
                <w:sz w:val="20"/>
                <w:szCs w:val="20"/>
                <w:lang w:eastAsia="en-GB" w:bidi="ar-SA"/>
              </w:rPr>
            </w:pPr>
            <w:r w:rsidRPr="00FF4C0D">
              <w:rPr>
                <w:rFonts w:cs="Arial"/>
                <w:b/>
                <w:sz w:val="20"/>
                <w:szCs w:val="20"/>
                <w:lang w:eastAsia="en-GB" w:bidi="ar-SA"/>
              </w:rPr>
              <w:t>Purpose</w:t>
            </w:r>
          </w:p>
        </w:tc>
        <w:tc>
          <w:tcPr>
            <w:tcW w:w="1701" w:type="dxa"/>
            <w:shd w:val="clear" w:color="auto" w:fill="D6E3BC" w:themeFill="accent3" w:themeFillTint="66"/>
            <w:vAlign w:val="center"/>
          </w:tcPr>
          <w:p w:rsidR="00E15F28" w:rsidRPr="00FF4C0D" w:rsidRDefault="00E32D63" w:rsidP="00F364EA">
            <w:pPr>
              <w:rPr>
                <w:rFonts w:cs="Arial"/>
                <w:b/>
                <w:sz w:val="20"/>
                <w:szCs w:val="20"/>
                <w:lang w:eastAsia="en-GB" w:bidi="ar-SA"/>
              </w:rPr>
            </w:pPr>
            <w:r w:rsidRPr="00FF4C0D">
              <w:rPr>
                <w:rFonts w:cs="Arial"/>
                <w:b/>
                <w:sz w:val="20"/>
                <w:szCs w:val="20"/>
                <w:lang w:eastAsia="en-GB" w:bidi="ar-SA"/>
              </w:rPr>
              <w:t>Dose</w:t>
            </w:r>
          </w:p>
        </w:tc>
      </w:tr>
      <w:tr w:rsidR="00E15F28" w:rsidRPr="00FF4C0D" w:rsidTr="00345562">
        <w:tc>
          <w:tcPr>
            <w:tcW w:w="2093" w:type="dxa"/>
          </w:tcPr>
          <w:p w:rsidR="00E15F28" w:rsidRPr="00FF4C0D" w:rsidRDefault="00E32D63" w:rsidP="00345562">
            <w:pPr>
              <w:rPr>
                <w:sz w:val="20"/>
                <w:szCs w:val="20"/>
                <w:lang w:eastAsia="en-GB" w:bidi="ar-SA"/>
              </w:rPr>
            </w:pPr>
            <w:r w:rsidRPr="00FF4C0D">
              <w:rPr>
                <w:sz w:val="20"/>
                <w:szCs w:val="20"/>
                <w:lang w:eastAsia="en-GB" w:bidi="ar-SA"/>
              </w:rPr>
              <w:t>Fresh mangoes imported from India (BA)</w:t>
            </w:r>
            <w:r w:rsidRPr="00FF4C0D">
              <w:rPr>
                <w:rStyle w:val="FootnoteReference"/>
                <w:rFonts w:cs="Arial"/>
                <w:sz w:val="20"/>
                <w:szCs w:val="20"/>
                <w:lang w:eastAsia="en-GB" w:bidi="ar-SA"/>
              </w:rPr>
              <w:footnoteReference w:id="16"/>
            </w:r>
          </w:p>
        </w:tc>
        <w:tc>
          <w:tcPr>
            <w:tcW w:w="1417" w:type="dxa"/>
          </w:tcPr>
          <w:p w:rsidR="00E15F28" w:rsidRPr="00FF4C0D" w:rsidRDefault="00E32D63" w:rsidP="00345562">
            <w:pPr>
              <w:rPr>
                <w:sz w:val="20"/>
                <w:szCs w:val="20"/>
                <w:lang w:eastAsia="en-GB" w:bidi="ar-SA"/>
              </w:rPr>
            </w:pPr>
            <w:r w:rsidRPr="00FF4C0D">
              <w:rPr>
                <w:sz w:val="20"/>
                <w:szCs w:val="20"/>
                <w:lang w:eastAsia="en-GB" w:bidi="ar-SA"/>
              </w:rPr>
              <w:t>August 2008</w:t>
            </w:r>
          </w:p>
        </w:tc>
        <w:tc>
          <w:tcPr>
            <w:tcW w:w="2552" w:type="dxa"/>
          </w:tcPr>
          <w:p w:rsidR="00E15F28" w:rsidRPr="00FF4C0D" w:rsidRDefault="00E32D63" w:rsidP="00345562">
            <w:pPr>
              <w:rPr>
                <w:sz w:val="20"/>
                <w:szCs w:val="20"/>
                <w:lang w:eastAsia="en-GB" w:bidi="ar-SA"/>
              </w:rPr>
            </w:pPr>
            <w:r w:rsidRPr="00FF4C0D">
              <w:rPr>
                <w:sz w:val="20"/>
                <w:szCs w:val="20"/>
                <w:lang w:eastAsia="en-GB" w:bidi="ar-SA"/>
              </w:rPr>
              <w:t>Phytosanitary need for control of fruit flies, mealy bugs, red-banded mango caterpillar and mango weevils</w:t>
            </w:r>
          </w:p>
        </w:tc>
        <w:tc>
          <w:tcPr>
            <w:tcW w:w="1701" w:type="dxa"/>
          </w:tcPr>
          <w:p w:rsidR="00E15F28" w:rsidRPr="00FF4C0D" w:rsidRDefault="00E32D63" w:rsidP="00345562">
            <w:pPr>
              <w:rPr>
                <w:sz w:val="20"/>
                <w:szCs w:val="20"/>
                <w:lang w:eastAsia="en-GB" w:bidi="ar-SA"/>
              </w:rPr>
            </w:pPr>
            <w:r w:rsidRPr="00FF4C0D">
              <w:rPr>
                <w:sz w:val="20"/>
                <w:szCs w:val="20"/>
                <w:lang w:eastAsia="en-GB" w:bidi="ar-SA"/>
              </w:rPr>
              <w:t>400 Gy</w:t>
            </w:r>
          </w:p>
        </w:tc>
      </w:tr>
      <w:tr w:rsidR="00E15F28" w:rsidRPr="00FF4C0D" w:rsidTr="00345562">
        <w:tc>
          <w:tcPr>
            <w:tcW w:w="2093" w:type="dxa"/>
          </w:tcPr>
          <w:p w:rsidR="00E15F28" w:rsidRPr="00FF4C0D" w:rsidRDefault="00E32D63" w:rsidP="00345562">
            <w:pPr>
              <w:rPr>
                <w:sz w:val="20"/>
                <w:szCs w:val="20"/>
                <w:lang w:eastAsia="en-GB" w:bidi="ar-SA"/>
              </w:rPr>
            </w:pPr>
            <w:r w:rsidRPr="00FF4C0D">
              <w:rPr>
                <w:sz w:val="20"/>
                <w:szCs w:val="20"/>
                <w:lang w:eastAsia="en-GB" w:bidi="ar-SA"/>
              </w:rPr>
              <w:t>Litchis exported from Australia (Biosecurity NZ</w:t>
            </w:r>
            <w:r w:rsidRPr="00FF4C0D">
              <w:rPr>
                <w:rStyle w:val="FootnoteReference"/>
                <w:rFonts w:cs="Arial"/>
                <w:sz w:val="20"/>
                <w:szCs w:val="20"/>
                <w:lang w:eastAsia="en-GB" w:bidi="ar-SA"/>
              </w:rPr>
              <w:footnoteReference w:id="17"/>
            </w:r>
            <w:r w:rsidRPr="00FF4C0D">
              <w:rPr>
                <w:sz w:val="20"/>
                <w:szCs w:val="20"/>
                <w:lang w:eastAsia="en-GB" w:bidi="ar-SA"/>
              </w:rPr>
              <w:t>)</w:t>
            </w:r>
          </w:p>
        </w:tc>
        <w:tc>
          <w:tcPr>
            <w:tcW w:w="1417" w:type="dxa"/>
          </w:tcPr>
          <w:p w:rsidR="00E15F28" w:rsidRPr="00FF4C0D" w:rsidRDefault="00E32D63" w:rsidP="00345562">
            <w:pPr>
              <w:rPr>
                <w:sz w:val="20"/>
                <w:szCs w:val="20"/>
                <w:lang w:eastAsia="en-GB" w:bidi="ar-SA"/>
              </w:rPr>
            </w:pPr>
            <w:r w:rsidRPr="00FF4C0D">
              <w:rPr>
                <w:sz w:val="20"/>
                <w:szCs w:val="20"/>
                <w:lang w:eastAsia="en-GB" w:bidi="ar-SA"/>
              </w:rPr>
              <w:t>September 2008</w:t>
            </w:r>
          </w:p>
        </w:tc>
        <w:tc>
          <w:tcPr>
            <w:tcW w:w="2552" w:type="dxa"/>
          </w:tcPr>
          <w:p w:rsidR="00E15F28" w:rsidRPr="00FF4C0D" w:rsidRDefault="00E32D63" w:rsidP="00345562">
            <w:pPr>
              <w:rPr>
                <w:sz w:val="20"/>
                <w:szCs w:val="20"/>
                <w:lang w:eastAsia="en-GB" w:bidi="ar-SA"/>
              </w:rPr>
            </w:pPr>
            <w:r w:rsidRPr="00FF4C0D">
              <w:rPr>
                <w:sz w:val="20"/>
                <w:szCs w:val="20"/>
                <w:lang w:eastAsia="en-GB" w:bidi="ar-SA"/>
              </w:rPr>
              <w:t>Control of Fruit fly and Hemiptera (bugs)</w:t>
            </w:r>
          </w:p>
        </w:tc>
        <w:tc>
          <w:tcPr>
            <w:tcW w:w="1701" w:type="dxa"/>
          </w:tcPr>
          <w:p w:rsidR="00E15F28" w:rsidRPr="00FF4C0D" w:rsidRDefault="00E32D63" w:rsidP="00345562">
            <w:pPr>
              <w:rPr>
                <w:sz w:val="20"/>
                <w:szCs w:val="20"/>
                <w:lang w:eastAsia="en-GB" w:bidi="ar-SA"/>
              </w:rPr>
            </w:pPr>
            <w:r w:rsidRPr="00FF4C0D">
              <w:rPr>
                <w:sz w:val="20"/>
                <w:szCs w:val="20"/>
                <w:lang w:eastAsia="en-GB" w:bidi="ar-SA"/>
              </w:rPr>
              <w:t>Minimum of 250 Gy</w:t>
            </w:r>
          </w:p>
        </w:tc>
      </w:tr>
      <w:tr w:rsidR="00E15F28" w:rsidRPr="00FF4C0D" w:rsidTr="00345562">
        <w:tc>
          <w:tcPr>
            <w:tcW w:w="2093" w:type="dxa"/>
          </w:tcPr>
          <w:p w:rsidR="00E15F28" w:rsidRPr="00FF4C0D" w:rsidRDefault="00E32D63" w:rsidP="00345562">
            <w:pPr>
              <w:rPr>
                <w:sz w:val="20"/>
                <w:szCs w:val="20"/>
                <w:lang w:eastAsia="en-GB" w:bidi="ar-SA"/>
              </w:rPr>
            </w:pPr>
            <w:r w:rsidRPr="00FF4C0D">
              <w:rPr>
                <w:sz w:val="20"/>
                <w:szCs w:val="20"/>
                <w:lang w:eastAsia="en-GB" w:bidi="ar-SA"/>
              </w:rPr>
              <w:t>Mangoes and Papaya exported from Australia (Biosecurity NZ</w:t>
            </w:r>
            <w:r w:rsidRPr="00FF4C0D">
              <w:rPr>
                <w:rStyle w:val="FootnoteReference"/>
                <w:rFonts w:cs="Arial"/>
                <w:sz w:val="20"/>
                <w:szCs w:val="20"/>
                <w:lang w:eastAsia="en-GB" w:bidi="ar-SA"/>
              </w:rPr>
              <w:footnoteReference w:id="18"/>
            </w:r>
            <w:r w:rsidRPr="00FF4C0D">
              <w:rPr>
                <w:sz w:val="20"/>
                <w:szCs w:val="20"/>
                <w:lang w:eastAsia="en-GB" w:bidi="ar-SA"/>
              </w:rPr>
              <w:t>)</w:t>
            </w:r>
          </w:p>
        </w:tc>
        <w:tc>
          <w:tcPr>
            <w:tcW w:w="1417" w:type="dxa"/>
          </w:tcPr>
          <w:p w:rsidR="00E15F28" w:rsidRPr="00FF4C0D" w:rsidRDefault="00E32D63" w:rsidP="00345562">
            <w:pPr>
              <w:rPr>
                <w:sz w:val="20"/>
                <w:szCs w:val="20"/>
                <w:lang w:eastAsia="en-GB" w:bidi="ar-SA"/>
              </w:rPr>
            </w:pPr>
            <w:r w:rsidRPr="00FF4C0D">
              <w:rPr>
                <w:sz w:val="20"/>
                <w:szCs w:val="20"/>
                <w:lang w:eastAsia="en-GB" w:bidi="ar-SA"/>
              </w:rPr>
              <w:t>2004 and 2006, respectively</w:t>
            </w:r>
          </w:p>
        </w:tc>
        <w:tc>
          <w:tcPr>
            <w:tcW w:w="2552" w:type="dxa"/>
          </w:tcPr>
          <w:p w:rsidR="00E15F28" w:rsidRPr="00FF4C0D" w:rsidRDefault="00E32D63" w:rsidP="00345562">
            <w:pPr>
              <w:rPr>
                <w:sz w:val="20"/>
                <w:szCs w:val="20"/>
                <w:lang w:eastAsia="en-GB" w:bidi="ar-SA"/>
              </w:rPr>
            </w:pPr>
            <w:r w:rsidRPr="00FF4C0D">
              <w:rPr>
                <w:sz w:val="20"/>
                <w:szCs w:val="20"/>
                <w:lang w:eastAsia="en-GB" w:bidi="ar-SA"/>
              </w:rPr>
              <w:t>Control of Fruit fly and other insect pests</w:t>
            </w:r>
          </w:p>
        </w:tc>
        <w:tc>
          <w:tcPr>
            <w:tcW w:w="1701" w:type="dxa"/>
          </w:tcPr>
          <w:p w:rsidR="00E15F28" w:rsidRPr="00FF4C0D" w:rsidRDefault="00E32D63" w:rsidP="00345562">
            <w:pPr>
              <w:rPr>
                <w:sz w:val="20"/>
                <w:szCs w:val="20"/>
                <w:lang w:eastAsia="en-GB" w:bidi="ar-SA"/>
              </w:rPr>
            </w:pPr>
            <w:r w:rsidRPr="00FF4C0D">
              <w:rPr>
                <w:sz w:val="20"/>
                <w:szCs w:val="20"/>
                <w:lang w:eastAsia="en-GB" w:bidi="ar-SA"/>
              </w:rPr>
              <w:t>250 Gy</w:t>
            </w:r>
          </w:p>
        </w:tc>
      </w:tr>
    </w:tbl>
    <w:p w:rsidR="008309E5" w:rsidRPr="00FF4C0D" w:rsidRDefault="008309E5" w:rsidP="009147FD">
      <w:pPr>
        <w:rPr>
          <w:rFonts w:cs="Arial"/>
          <w:sz w:val="20"/>
          <w:szCs w:val="20"/>
          <w:lang w:eastAsia="en-GB" w:bidi="ar-SA"/>
        </w:rPr>
      </w:pPr>
    </w:p>
    <w:p w:rsidR="009B4A0D" w:rsidRPr="00FF4C0D" w:rsidRDefault="003C40A8" w:rsidP="002D3CB7">
      <w:pPr>
        <w:widowControl/>
        <w:rPr>
          <w:rFonts w:cs="Arial"/>
          <w:szCs w:val="22"/>
          <w:lang w:eastAsia="en-GB" w:bidi="ar-SA"/>
        </w:rPr>
      </w:pPr>
      <w:r w:rsidRPr="00FF4C0D">
        <w:rPr>
          <w:rFonts w:cs="Arial"/>
          <w:szCs w:val="22"/>
          <w:lang w:eastAsia="en-GB" w:bidi="ar-SA"/>
        </w:rPr>
        <w:t>Irradiation is an approved phytosanitary treatment for fruits and vegetables in other countries (</w:t>
      </w:r>
      <w:r w:rsidR="00B67F6B" w:rsidRPr="00FF4C0D">
        <w:rPr>
          <w:rFonts w:cs="Arial"/>
          <w:b/>
          <w:szCs w:val="22"/>
          <w:lang w:eastAsia="en-GB" w:bidi="ar-SA"/>
        </w:rPr>
        <w:t>see</w:t>
      </w:r>
      <w:r w:rsidRPr="00FF4C0D">
        <w:rPr>
          <w:rFonts w:cs="Arial"/>
          <w:b/>
          <w:szCs w:val="22"/>
          <w:lang w:eastAsia="en-GB" w:bidi="ar-SA"/>
        </w:rPr>
        <w:t xml:space="preserve"> Table 1</w:t>
      </w:r>
      <w:r w:rsidR="00296C48" w:rsidRPr="00FF4C0D">
        <w:rPr>
          <w:rFonts w:cs="Arial"/>
          <w:b/>
          <w:szCs w:val="22"/>
          <w:lang w:eastAsia="en-GB" w:bidi="ar-SA"/>
        </w:rPr>
        <w:t xml:space="preserve"> in section 2.</w:t>
      </w:r>
      <w:r w:rsidR="00513EE8" w:rsidRPr="00FF4C0D">
        <w:rPr>
          <w:rFonts w:cs="Arial"/>
          <w:b/>
          <w:szCs w:val="22"/>
          <w:lang w:eastAsia="en-GB" w:bidi="ar-SA"/>
        </w:rPr>
        <w:t>1</w:t>
      </w:r>
      <w:r w:rsidRPr="00FF4C0D">
        <w:rPr>
          <w:rFonts w:cs="Arial"/>
          <w:szCs w:val="22"/>
          <w:lang w:eastAsia="en-GB" w:bidi="ar-SA"/>
        </w:rPr>
        <w:t>). Irradiation is also a known eff</w:t>
      </w:r>
      <w:r w:rsidR="000577F4" w:rsidRPr="00FF4C0D">
        <w:rPr>
          <w:rFonts w:cs="Arial"/>
          <w:szCs w:val="22"/>
          <w:lang w:eastAsia="en-GB" w:bidi="ar-SA"/>
        </w:rPr>
        <w:t>ective treatment for fruit fly infestation</w:t>
      </w:r>
      <w:r w:rsidRPr="00FF4C0D">
        <w:rPr>
          <w:rFonts w:cs="Arial"/>
          <w:szCs w:val="22"/>
          <w:lang w:eastAsia="en-GB" w:bidi="ar-SA"/>
        </w:rPr>
        <w:t xml:space="preserve">. </w:t>
      </w:r>
      <w:r w:rsidRPr="00FF4C0D">
        <w:t xml:space="preserve">For fruits and vegetables that are hosts </w:t>
      </w:r>
      <w:r w:rsidR="003F0A11" w:rsidRPr="00FF4C0D">
        <w:t xml:space="preserve">to the </w:t>
      </w:r>
      <w:r w:rsidRPr="00FF4C0D">
        <w:t xml:space="preserve">fruit </w:t>
      </w:r>
      <w:r w:rsidR="003F0A11" w:rsidRPr="00FF4C0D">
        <w:t xml:space="preserve">fly </w:t>
      </w:r>
      <w:r w:rsidRPr="00FF4C0D">
        <w:t xml:space="preserve">the required treatment is applied in accordance with international requirements (under ISPM 18; 2003). The required treatment </w:t>
      </w:r>
      <w:r w:rsidR="00165E05" w:rsidRPr="00FF4C0D">
        <w:t>would specifically</w:t>
      </w:r>
      <w:r w:rsidRPr="00FF4C0D">
        <w:t xml:space="preserve"> comply with </w:t>
      </w:r>
      <w:r w:rsidRPr="00FF4C0D">
        <w:rPr>
          <w:i/>
          <w:iCs/>
        </w:rPr>
        <w:t xml:space="preserve">ISPM 28, Irradiation Treatment for Fruit Flies of the Family Tephritidae </w:t>
      </w:r>
      <w:r w:rsidRPr="00FF4C0D">
        <w:t>(2007) within the dose range of 150</w:t>
      </w:r>
      <w:r w:rsidR="004E6A45" w:rsidRPr="00FF4C0D">
        <w:t>Gy</w:t>
      </w:r>
      <w:r w:rsidRPr="00FF4C0D">
        <w:t xml:space="preserve"> to 1</w:t>
      </w:r>
      <w:r w:rsidR="004E6A45" w:rsidRPr="00FF4C0D">
        <w:t>k</w:t>
      </w:r>
      <w:r w:rsidRPr="00FF4C0D">
        <w:t xml:space="preserve">Gy for prevention of the emergence of adult fruit flies for all fruits and vegetables. </w:t>
      </w:r>
      <w:r w:rsidR="009147FD" w:rsidRPr="00FF4C0D">
        <w:t>Further support for the efficacy of irradiation as a phytosanitary</w:t>
      </w:r>
      <w:r w:rsidR="009147FD" w:rsidRPr="00FF4C0D">
        <w:rPr>
          <w:rFonts w:cs="Arial"/>
          <w:szCs w:val="22"/>
          <w:lang w:eastAsia="en-GB" w:bidi="ar-SA"/>
        </w:rPr>
        <w:t xml:space="preserve"> treatment for fruit fly exists in the US. In </w:t>
      </w:r>
      <w:r w:rsidRPr="00FF4C0D">
        <w:rPr>
          <w:rFonts w:cs="Arial"/>
          <w:szCs w:val="22"/>
          <w:lang w:eastAsia="en-GB" w:bidi="ar-SA"/>
        </w:rPr>
        <w:t xml:space="preserve">2006, the US Animal and Plant Health Inspection Service (APHIS) approved generic irradiation doses of 150 Gy </w:t>
      </w:r>
      <w:r w:rsidR="0081329A" w:rsidRPr="00FF4C0D">
        <w:rPr>
          <w:rFonts w:cs="Arial"/>
          <w:szCs w:val="22"/>
          <w:lang w:eastAsia="en-GB" w:bidi="ar-SA"/>
        </w:rPr>
        <w:t xml:space="preserve">to reduce fruit fly infestation on specific fruits. </w:t>
      </w:r>
    </w:p>
    <w:p w:rsidR="003C40A8" w:rsidRPr="00FF4C0D" w:rsidRDefault="003C40A8" w:rsidP="003C40A8">
      <w:pPr>
        <w:rPr>
          <w:rFonts w:cs="Arial"/>
          <w:szCs w:val="22"/>
          <w:lang w:eastAsia="en-GB" w:bidi="ar-SA"/>
        </w:rPr>
      </w:pPr>
    </w:p>
    <w:p w:rsidR="00161B99" w:rsidRPr="00FF4C0D" w:rsidRDefault="003C40A8" w:rsidP="009147FD">
      <w:pPr>
        <w:rPr>
          <w:rFonts w:cs="Arial"/>
          <w:szCs w:val="22"/>
          <w:lang w:eastAsia="en-GB" w:bidi="ar-SA"/>
        </w:rPr>
      </w:pPr>
      <w:r w:rsidRPr="00FF4C0D">
        <w:rPr>
          <w:rFonts w:cs="Arial"/>
          <w:szCs w:val="22"/>
          <w:lang w:eastAsia="en-GB" w:bidi="ar-SA"/>
        </w:rPr>
        <w:t xml:space="preserve">The Applicant has also confirmed with BA and </w:t>
      </w:r>
      <w:r w:rsidR="00304CCE" w:rsidRPr="00FF4C0D">
        <w:rPr>
          <w:rFonts w:cs="Arial"/>
          <w:szCs w:val="22"/>
        </w:rPr>
        <w:t>NZMAF</w:t>
      </w:r>
      <w:r w:rsidRPr="00FF4C0D">
        <w:rPr>
          <w:rFonts w:cs="Arial"/>
          <w:szCs w:val="22"/>
        </w:rPr>
        <w:t xml:space="preserve"> </w:t>
      </w:r>
      <w:r w:rsidRPr="00FF4C0D">
        <w:rPr>
          <w:rFonts w:cs="Arial"/>
          <w:szCs w:val="22"/>
          <w:lang w:eastAsia="en-GB" w:bidi="ar-SA"/>
        </w:rPr>
        <w:t xml:space="preserve">that the minimum dose of 150 Gy and the maximum of 1 kGy </w:t>
      </w:r>
      <w:r w:rsidRPr="00FF4C0D">
        <w:rPr>
          <w:rFonts w:cs="Arial"/>
          <w:iCs/>
          <w:szCs w:val="22"/>
          <w:lang w:eastAsia="en-GB" w:bidi="ar-SA"/>
        </w:rPr>
        <w:t>approved for use on tropical fruits for treatment of fruit fly under Application A443</w:t>
      </w:r>
      <w:r w:rsidRPr="00FF4C0D">
        <w:rPr>
          <w:rStyle w:val="FootnoteReference"/>
          <w:rFonts w:cs="Arial"/>
          <w:iCs/>
          <w:szCs w:val="22"/>
          <w:lang w:eastAsia="en-GB" w:bidi="ar-SA"/>
        </w:rPr>
        <w:footnoteReference w:id="19"/>
      </w:r>
      <w:r w:rsidRPr="00FF4C0D">
        <w:rPr>
          <w:rFonts w:cs="Arial"/>
          <w:iCs/>
          <w:szCs w:val="22"/>
          <w:lang w:eastAsia="en-GB" w:bidi="ar-SA"/>
        </w:rPr>
        <w:t xml:space="preserve"> </w:t>
      </w:r>
      <w:r w:rsidRPr="00FF4C0D">
        <w:rPr>
          <w:rFonts w:cs="Arial"/>
          <w:szCs w:val="22"/>
          <w:lang w:eastAsia="en-GB" w:bidi="ar-SA"/>
        </w:rPr>
        <w:t>is also an appropriate and efficacious dose</w:t>
      </w:r>
      <w:r w:rsidR="009147FD" w:rsidRPr="00FF4C0D">
        <w:rPr>
          <w:rFonts w:cs="Arial"/>
          <w:szCs w:val="22"/>
          <w:lang w:eastAsia="en-GB" w:bidi="ar-SA"/>
        </w:rPr>
        <w:t xml:space="preserve"> for irradiation of persimmons. </w:t>
      </w:r>
      <w:r w:rsidR="00EB1F95" w:rsidRPr="00FF4C0D">
        <w:t xml:space="preserve">Both </w:t>
      </w:r>
      <w:r w:rsidRPr="00FF4C0D">
        <w:rPr>
          <w:rFonts w:cs="Arial"/>
          <w:szCs w:val="22"/>
          <w:lang w:eastAsia="en-GB" w:bidi="ar-SA"/>
        </w:rPr>
        <w:t xml:space="preserve">BA </w:t>
      </w:r>
      <w:r w:rsidR="00AB2D5B" w:rsidRPr="00FF4C0D">
        <w:rPr>
          <w:rFonts w:cs="Arial"/>
          <w:szCs w:val="22"/>
          <w:lang w:eastAsia="en-GB" w:bidi="ar-SA"/>
        </w:rPr>
        <w:t xml:space="preserve">and </w:t>
      </w:r>
      <w:r w:rsidR="00304CCE" w:rsidRPr="00FF4C0D">
        <w:rPr>
          <w:rFonts w:cs="Arial"/>
          <w:szCs w:val="22"/>
        </w:rPr>
        <w:t>NZMAF</w:t>
      </w:r>
      <w:r w:rsidR="00AB2D5B" w:rsidRPr="00FF4C0D">
        <w:rPr>
          <w:rFonts w:cs="Arial"/>
          <w:szCs w:val="22"/>
        </w:rPr>
        <w:t xml:space="preserve"> </w:t>
      </w:r>
      <w:r w:rsidRPr="00FF4C0D">
        <w:rPr>
          <w:rFonts w:cs="Arial"/>
          <w:szCs w:val="22"/>
        </w:rPr>
        <w:t xml:space="preserve">have </w:t>
      </w:r>
      <w:r w:rsidR="00AB2D5B" w:rsidRPr="00FF4C0D">
        <w:t xml:space="preserve">provided </w:t>
      </w:r>
      <w:r w:rsidRPr="00FF4C0D">
        <w:t>letter</w:t>
      </w:r>
      <w:r w:rsidR="00AB2D5B" w:rsidRPr="00FF4C0D">
        <w:t>s</w:t>
      </w:r>
      <w:r w:rsidRPr="00FF4C0D">
        <w:t xml:space="preserve"> to FSANZ recommending that </w:t>
      </w:r>
      <w:r w:rsidR="00AB2D5B" w:rsidRPr="00FF4C0D">
        <w:t>irradiation is an effective quarantine treatment for fruit fly and other pests</w:t>
      </w:r>
      <w:r w:rsidRPr="00FF4C0D">
        <w:t xml:space="preserve"> which are of quarantine concern to Australia</w:t>
      </w:r>
      <w:r w:rsidR="00AB2D5B" w:rsidRPr="00FF4C0D">
        <w:t xml:space="preserve"> and New Zealand</w:t>
      </w:r>
      <w:r w:rsidRPr="00FF4C0D">
        <w:t xml:space="preserve">. </w:t>
      </w:r>
    </w:p>
    <w:p w:rsidR="00345562" w:rsidRPr="00FF4C0D" w:rsidRDefault="00345562" w:rsidP="00480E07">
      <w:pPr>
        <w:widowControl/>
        <w:rPr>
          <w:rFonts w:cs="Arial"/>
          <w:szCs w:val="22"/>
        </w:rPr>
      </w:pPr>
      <w:r w:rsidRPr="00FF4C0D">
        <w:rPr>
          <w:rFonts w:cs="Arial"/>
          <w:szCs w:val="22"/>
        </w:rPr>
        <w:br w:type="page"/>
      </w:r>
    </w:p>
    <w:p w:rsidR="00A642F7" w:rsidRPr="00FF4C0D" w:rsidRDefault="000C54B4" w:rsidP="00A642F7">
      <w:pPr>
        <w:pStyle w:val="Heading4"/>
      </w:pPr>
      <w:r w:rsidRPr="00FF4C0D">
        <w:lastRenderedPageBreak/>
        <w:t>6</w:t>
      </w:r>
      <w:r w:rsidR="00BA14CE" w:rsidRPr="00FF4C0D">
        <w:t>.1</w:t>
      </w:r>
      <w:r w:rsidR="00A642F7" w:rsidRPr="00FF4C0D">
        <w:t>.1</w:t>
      </w:r>
      <w:r w:rsidR="00A642F7" w:rsidRPr="00FF4C0D">
        <w:tab/>
        <w:t xml:space="preserve">Issues raised during public consultation </w:t>
      </w:r>
    </w:p>
    <w:p w:rsidR="00A642F7" w:rsidRPr="00FF4C0D" w:rsidRDefault="00A642F7" w:rsidP="00A642F7">
      <w:pPr>
        <w:rPr>
          <w:szCs w:val="22"/>
        </w:rPr>
      </w:pPr>
    </w:p>
    <w:p w:rsidR="00A642F7" w:rsidRPr="00FF4C0D" w:rsidRDefault="00A642F7" w:rsidP="00A642F7">
      <w:pPr>
        <w:rPr>
          <w:szCs w:val="22"/>
        </w:rPr>
      </w:pPr>
      <w:r w:rsidRPr="00FF4C0D">
        <w:rPr>
          <w:szCs w:val="22"/>
        </w:rPr>
        <w:t xml:space="preserve">A number of submitters suggested that </w:t>
      </w:r>
      <w:r w:rsidR="00304CCE" w:rsidRPr="00FF4C0D">
        <w:rPr>
          <w:szCs w:val="22"/>
        </w:rPr>
        <w:t>no</w:t>
      </w:r>
      <w:r w:rsidRPr="00FF4C0D">
        <w:rPr>
          <w:szCs w:val="22"/>
        </w:rPr>
        <w:t xml:space="preserve"> technological </w:t>
      </w:r>
      <w:r w:rsidR="003B2ADC" w:rsidRPr="00FF4C0D">
        <w:rPr>
          <w:szCs w:val="22"/>
        </w:rPr>
        <w:t xml:space="preserve">purpose </w:t>
      </w:r>
      <w:r w:rsidRPr="00FF4C0D">
        <w:rPr>
          <w:szCs w:val="22"/>
        </w:rPr>
        <w:t>to irradiate persimmons</w:t>
      </w:r>
      <w:r w:rsidR="000F40F5" w:rsidRPr="00FF4C0D">
        <w:rPr>
          <w:szCs w:val="22"/>
        </w:rPr>
        <w:t xml:space="preserve"> </w:t>
      </w:r>
      <w:r w:rsidR="009E025B" w:rsidRPr="00FF4C0D">
        <w:rPr>
          <w:szCs w:val="22"/>
        </w:rPr>
        <w:t xml:space="preserve">had been established </w:t>
      </w:r>
      <w:r w:rsidR="00DE0EB0" w:rsidRPr="00FF4C0D">
        <w:rPr>
          <w:szCs w:val="22"/>
        </w:rPr>
        <w:t xml:space="preserve">and that there </w:t>
      </w:r>
      <w:r w:rsidR="00304CCE" w:rsidRPr="00FF4C0D">
        <w:rPr>
          <w:szCs w:val="22"/>
        </w:rPr>
        <w:t>were</w:t>
      </w:r>
      <w:r w:rsidR="00DE0EB0" w:rsidRPr="00FF4C0D">
        <w:rPr>
          <w:szCs w:val="22"/>
        </w:rPr>
        <w:t xml:space="preserve"> a number of </w:t>
      </w:r>
      <w:r w:rsidR="000E00B6" w:rsidRPr="00FF4C0D">
        <w:rPr>
          <w:szCs w:val="22"/>
        </w:rPr>
        <w:t xml:space="preserve">other equally effective </w:t>
      </w:r>
      <w:r w:rsidR="00DE0EB0" w:rsidRPr="00FF4C0D">
        <w:rPr>
          <w:szCs w:val="22"/>
        </w:rPr>
        <w:t>a</w:t>
      </w:r>
      <w:r w:rsidR="00E36AC5" w:rsidRPr="00FF4C0D">
        <w:rPr>
          <w:szCs w:val="22"/>
        </w:rPr>
        <w:t xml:space="preserve">lternative treatments available. </w:t>
      </w:r>
    </w:p>
    <w:p w:rsidR="005228E8" w:rsidRPr="00FF4C0D" w:rsidRDefault="005228E8" w:rsidP="00A642F7">
      <w:pPr>
        <w:rPr>
          <w:rFonts w:cs="Arial"/>
          <w:szCs w:val="22"/>
        </w:rPr>
      </w:pPr>
    </w:p>
    <w:p w:rsidR="00304CCE" w:rsidRPr="00FF4C0D" w:rsidRDefault="000C54B4" w:rsidP="00751255">
      <w:pPr>
        <w:pStyle w:val="Heading5"/>
      </w:pPr>
      <w:r w:rsidRPr="00FF4C0D">
        <w:t>6</w:t>
      </w:r>
      <w:r w:rsidR="00304CCE" w:rsidRPr="00FF4C0D">
        <w:t>.1.1.1</w:t>
      </w:r>
      <w:r w:rsidR="00304CCE" w:rsidRPr="00FF4C0D">
        <w:tab/>
        <w:t>FSANZ Response</w:t>
      </w:r>
    </w:p>
    <w:p w:rsidR="00304CCE" w:rsidRPr="00FF4C0D" w:rsidRDefault="00304CCE" w:rsidP="00A642F7">
      <w:pPr>
        <w:rPr>
          <w:rFonts w:cs="Arial"/>
          <w:szCs w:val="22"/>
        </w:rPr>
      </w:pPr>
    </w:p>
    <w:p w:rsidR="00A642F7" w:rsidRPr="00FF4C0D" w:rsidRDefault="00A642F7" w:rsidP="00A642F7">
      <w:r w:rsidRPr="00FF4C0D">
        <w:rPr>
          <w:rFonts w:cs="Arial"/>
          <w:szCs w:val="22"/>
        </w:rPr>
        <w:t xml:space="preserve">FSANZ </w:t>
      </w:r>
      <w:r w:rsidR="00EE3143" w:rsidRPr="00FF4C0D">
        <w:rPr>
          <w:rFonts w:cs="Arial"/>
          <w:szCs w:val="22"/>
        </w:rPr>
        <w:t xml:space="preserve">does not compare the effectiveness of irradiation against other treatments such as chemicals; heat/cold etc. </w:t>
      </w:r>
      <w:r w:rsidR="00E36AC5" w:rsidRPr="00FF4C0D">
        <w:rPr>
          <w:rFonts w:cs="Arial"/>
          <w:szCs w:val="22"/>
        </w:rPr>
        <w:t>A</w:t>
      </w:r>
      <w:r w:rsidRPr="00FF4C0D">
        <w:t>dvice received by FSANZ from the relevant quarantine authorities are that irradiation of persimmons for the purpose of pest disinfestation would provide an effective alternative to currently used disinfestation methods. The proposed minimum dose of 150 Gy and maximum dose of 1 kGy will provide a dose range in order for quarantine agencies to consider irradiation as a treatment for pest disinfestation of persimmons. FSANZ understands that irradiation is viewed as an important pest reduction protocol for acceptance of Australian produce for interstate trade and in other countries. Recently, the Plant Biosecurity and Product Integrity Group of the Queensland Government produced an interstate Certification Assurance arrangement for irradiated foods</w:t>
      </w:r>
      <w:r w:rsidRPr="00FF4C0D">
        <w:rPr>
          <w:rStyle w:val="FootnoteReference"/>
        </w:rPr>
        <w:footnoteReference w:id="20"/>
      </w:r>
      <w:r w:rsidRPr="00FF4C0D">
        <w:t xml:space="preserve">. This is additional recognition of the established technological need to irradiate foods for interstate trade. </w:t>
      </w:r>
    </w:p>
    <w:p w:rsidR="00480E07" w:rsidRPr="00FF4C0D" w:rsidRDefault="00480E07" w:rsidP="00480E07">
      <w:pPr>
        <w:widowControl/>
      </w:pPr>
    </w:p>
    <w:p w:rsidR="009F6DE0" w:rsidRPr="00FF4C0D" w:rsidRDefault="008D3C45" w:rsidP="00DE0EB0">
      <w:r w:rsidRPr="00FF4C0D">
        <w:t>In conclusion, d</w:t>
      </w:r>
      <w:r w:rsidR="00116B7B" w:rsidRPr="00FF4C0D">
        <w:t>isinfestation of persimmons by irradiation is a valid treatment for quarantine purposes and meets the requirements of a technological need (pest dis</w:t>
      </w:r>
      <w:r w:rsidR="007E21CF" w:rsidRPr="00FF4C0D">
        <w:t xml:space="preserve">infestation) under </w:t>
      </w:r>
      <w:r w:rsidR="00637272" w:rsidRPr="00FF4C0D">
        <w:t>Standard 1.5.3</w:t>
      </w:r>
      <w:r w:rsidR="00116B7B" w:rsidRPr="00FF4C0D">
        <w:t>. Insect pests of quarantine sign</w:t>
      </w:r>
      <w:r w:rsidR="00DE0EB0" w:rsidRPr="00FF4C0D">
        <w:t xml:space="preserve">ificance </w:t>
      </w:r>
      <w:r w:rsidR="00116B7B" w:rsidRPr="00FF4C0D">
        <w:t xml:space="preserve">represent a major barrier in gaining access to some markets. </w:t>
      </w:r>
      <w:r w:rsidR="00DE0EB0" w:rsidRPr="00FF4C0D">
        <w:t xml:space="preserve">Irradiation is </w:t>
      </w:r>
      <w:r w:rsidR="00116B7B" w:rsidRPr="00FF4C0D">
        <w:t xml:space="preserve">considered </w:t>
      </w:r>
      <w:r w:rsidR="00DE0EB0" w:rsidRPr="00FF4C0D">
        <w:t>an efficacious treatment on persimmons</w:t>
      </w:r>
      <w:r w:rsidR="000C447B" w:rsidRPr="00FF4C0D">
        <w:t xml:space="preserve">. </w:t>
      </w:r>
    </w:p>
    <w:p w:rsidR="009F6DE0" w:rsidRPr="00FF4C0D" w:rsidRDefault="009F6DE0" w:rsidP="00DE0EB0"/>
    <w:p w:rsidR="00480E07" w:rsidRPr="00FF4C0D" w:rsidRDefault="00DE0EB0" w:rsidP="00DE0EB0">
      <w:r w:rsidRPr="00FF4C0D">
        <w:rPr>
          <w:rFonts w:cs="Arial"/>
          <w:szCs w:val="22"/>
          <w:lang w:eastAsia="en-GB" w:bidi="ar-SA"/>
        </w:rPr>
        <w:t>The i</w:t>
      </w:r>
      <w:r w:rsidR="00BE2B32" w:rsidRPr="00FF4C0D">
        <w:rPr>
          <w:rFonts w:cs="Arial"/>
          <w:szCs w:val="22"/>
        </w:rPr>
        <w:t>nternational Plant Protection Convention (IPPC), Codex Alimentarius, quarantine agencies in Australia, New Zealand and the USA endorse irradiation as a legi</w:t>
      </w:r>
      <w:r w:rsidR="00937CD7" w:rsidRPr="00FF4C0D">
        <w:rPr>
          <w:rFonts w:cs="Arial"/>
          <w:szCs w:val="22"/>
        </w:rPr>
        <w:t>timate phytosanitary treatment.</w:t>
      </w:r>
    </w:p>
    <w:p w:rsidR="003C40A8" w:rsidRPr="00FF4C0D" w:rsidRDefault="003C40A8" w:rsidP="00EC5427">
      <w:pPr>
        <w:pStyle w:val="Heading3"/>
      </w:pPr>
    </w:p>
    <w:p w:rsidR="00971A79" w:rsidRPr="00FF4C0D" w:rsidRDefault="000C54B4">
      <w:pPr>
        <w:pStyle w:val="Heading3"/>
      </w:pPr>
      <w:bookmarkStart w:id="50" w:name="_Toc297029096"/>
      <w:r w:rsidRPr="00FF4C0D">
        <w:t>6</w:t>
      </w:r>
      <w:r w:rsidR="00971A79" w:rsidRPr="00FF4C0D">
        <w:t>.</w:t>
      </w:r>
      <w:r w:rsidR="00BA14CE" w:rsidRPr="00FF4C0D">
        <w:t>2</w:t>
      </w:r>
      <w:r w:rsidR="00971A79" w:rsidRPr="00FF4C0D">
        <w:tab/>
        <w:t>Packaging</w:t>
      </w:r>
      <w:bookmarkEnd w:id="49"/>
      <w:bookmarkEnd w:id="50"/>
    </w:p>
    <w:p w:rsidR="00971A79" w:rsidRPr="00FF4C0D" w:rsidRDefault="00971A79" w:rsidP="001359F5"/>
    <w:p w:rsidR="00DD07E1" w:rsidRPr="00FF4C0D" w:rsidRDefault="00D50AC1" w:rsidP="00DD07E1">
      <w:pPr>
        <w:widowControl/>
        <w:rPr>
          <w:rFonts w:cs="Arial"/>
          <w:szCs w:val="22"/>
        </w:rPr>
      </w:pPr>
      <w:r w:rsidRPr="00FF4C0D">
        <w:t>T</w:t>
      </w:r>
      <w:r w:rsidR="00DD07E1" w:rsidRPr="00FF4C0D">
        <w:t>here are potential risks from chemicals</w:t>
      </w:r>
      <w:r w:rsidR="00C16070" w:rsidRPr="00FF4C0D">
        <w:t>,</w:t>
      </w:r>
      <w:r w:rsidR="00DD07E1" w:rsidRPr="00FF4C0D">
        <w:t xml:space="preserve"> inherent in packaging</w:t>
      </w:r>
      <w:r w:rsidR="00C16070" w:rsidRPr="00FF4C0D">
        <w:t>,</w:t>
      </w:r>
      <w:r w:rsidR="00DD07E1" w:rsidRPr="00FF4C0D">
        <w:t xml:space="preserve"> migrating into persimmons following irradiation. </w:t>
      </w:r>
      <w:r w:rsidR="00DD07E1" w:rsidRPr="00FF4C0D">
        <w:rPr>
          <w:rFonts w:cs="Arial"/>
          <w:szCs w:val="22"/>
        </w:rPr>
        <w:t>At a low maximum dose of 1 kGy, packaging material in contact with persimmons would not undergo significant alteration of its functional properties or yield materials which could transfer to the food as a result of irradiation at phytosanitary doses, which would be a public health or safety issue. The following paragraphs</w:t>
      </w:r>
      <w:r w:rsidRPr="00FF4C0D">
        <w:rPr>
          <w:rFonts w:cs="Arial"/>
          <w:szCs w:val="22"/>
        </w:rPr>
        <w:t xml:space="preserve"> discuss how any potential</w:t>
      </w:r>
      <w:r w:rsidR="00DD07E1" w:rsidRPr="00FF4C0D">
        <w:rPr>
          <w:rFonts w:cs="Arial"/>
          <w:szCs w:val="22"/>
        </w:rPr>
        <w:t xml:space="preserve"> risk is managed</w:t>
      </w:r>
      <w:r w:rsidRPr="00FF4C0D">
        <w:rPr>
          <w:rFonts w:cs="Arial"/>
          <w:szCs w:val="22"/>
        </w:rPr>
        <w:t xml:space="preserve"> in relation to the packaging of irradiated persimmons. </w:t>
      </w:r>
    </w:p>
    <w:p w:rsidR="00DD07E1" w:rsidRPr="00FF4C0D" w:rsidRDefault="00DD07E1" w:rsidP="00DD07E1">
      <w:pPr>
        <w:widowControl/>
      </w:pPr>
    </w:p>
    <w:p w:rsidR="009B4A0D" w:rsidRPr="00FF4C0D" w:rsidRDefault="00E13EDE" w:rsidP="005A5F50">
      <w:pPr>
        <w:widowControl/>
        <w:rPr>
          <w:rFonts w:cs="Arial"/>
          <w:szCs w:val="22"/>
          <w:lang w:eastAsia="en-GB" w:bidi="ar-SA"/>
        </w:rPr>
      </w:pPr>
      <w:r w:rsidRPr="00FF4C0D">
        <w:t xml:space="preserve">Irradiation of persimmons will </w:t>
      </w:r>
      <w:r w:rsidR="005C301B" w:rsidRPr="00FF4C0D">
        <w:t>be undertaken after packaging</w:t>
      </w:r>
      <w:r w:rsidR="00A05936" w:rsidRPr="00FF4C0D">
        <w:t xml:space="preserve"> of the fruits</w:t>
      </w:r>
      <w:r w:rsidR="005C301B" w:rsidRPr="00FF4C0D">
        <w:t xml:space="preserve">. </w:t>
      </w:r>
      <w:r w:rsidR="00DD07E1" w:rsidRPr="00FF4C0D">
        <w:rPr>
          <w:rFonts w:cs="Arial"/>
          <w:szCs w:val="22"/>
        </w:rPr>
        <w:t xml:space="preserve">The </w:t>
      </w:r>
      <w:r w:rsidR="00DD07E1" w:rsidRPr="00FF4C0D">
        <w:rPr>
          <w:rFonts w:cs="Arial"/>
          <w:szCs w:val="22"/>
          <w:lang w:eastAsia="en-GB" w:bidi="ar-SA"/>
        </w:rPr>
        <w:t>standard fruit packages used for packing fresh</w:t>
      </w:r>
      <w:r w:rsidR="00DD07E1" w:rsidRPr="00FF4C0D">
        <w:rPr>
          <w:rFonts w:cs="Arial"/>
          <w:szCs w:val="22"/>
        </w:rPr>
        <w:t xml:space="preserve"> </w:t>
      </w:r>
      <w:r w:rsidR="00DD07E1" w:rsidRPr="00FF4C0D">
        <w:rPr>
          <w:rFonts w:cs="Arial"/>
          <w:szCs w:val="22"/>
          <w:lang w:eastAsia="en-GB" w:bidi="ar-SA"/>
        </w:rPr>
        <w:t>persimmon fruits are the same as those currently used for packing mango, papaya and</w:t>
      </w:r>
      <w:r w:rsidR="00DD07E1" w:rsidRPr="00FF4C0D">
        <w:rPr>
          <w:rFonts w:cs="Arial"/>
          <w:szCs w:val="22"/>
        </w:rPr>
        <w:t xml:space="preserve"> </w:t>
      </w:r>
      <w:r w:rsidR="00DD07E1" w:rsidRPr="00FF4C0D">
        <w:rPr>
          <w:rFonts w:cs="Arial"/>
          <w:szCs w:val="22"/>
          <w:lang w:eastAsia="en-GB" w:bidi="ar-SA"/>
        </w:rPr>
        <w:t>litchi currently destined for irradiation, albeit with specific dimensions to suit the particular fruit</w:t>
      </w:r>
      <w:r w:rsidR="00DD07E1" w:rsidRPr="00FF4C0D">
        <w:rPr>
          <w:rFonts w:cs="Arial"/>
          <w:szCs w:val="22"/>
        </w:rPr>
        <w:t xml:space="preserve"> </w:t>
      </w:r>
      <w:r w:rsidR="00DD07E1" w:rsidRPr="00FF4C0D">
        <w:rPr>
          <w:rFonts w:cs="Arial"/>
          <w:szCs w:val="22"/>
          <w:lang w:eastAsia="en-GB" w:bidi="ar-SA"/>
        </w:rPr>
        <w:t xml:space="preserve">type. </w:t>
      </w:r>
      <w:r w:rsidR="005C301B" w:rsidRPr="00FF4C0D">
        <w:t>T</w:t>
      </w:r>
      <w:r w:rsidRPr="00FF4C0D">
        <w:t>herefore</w:t>
      </w:r>
      <w:r w:rsidR="00293F1A" w:rsidRPr="00FF4C0D">
        <w:t>,</w:t>
      </w:r>
      <w:r w:rsidR="005C301B" w:rsidRPr="00FF4C0D">
        <w:t xml:space="preserve"> f</w:t>
      </w:r>
      <w:r w:rsidR="00F727D2" w:rsidRPr="00FF4C0D">
        <w:t xml:space="preserve">ood to be processed by irradiation, and the packages and packing materials used or intended for use in connection with food so processed, must be of suitable quality and in an acceptable hygienic condition, appropriate for the purpose of such processing. </w:t>
      </w:r>
      <w:r w:rsidR="00735878" w:rsidRPr="00FF4C0D">
        <w:t>It is the responsibility of Australian and New Zealand food manufacturers and retailers to ensure that their products are safe and that they comply with all relevant legislation.</w:t>
      </w:r>
    </w:p>
    <w:p w:rsidR="00735878" w:rsidRPr="00FF4C0D" w:rsidRDefault="00735878" w:rsidP="00F727D2"/>
    <w:p w:rsidR="00345562" w:rsidRPr="00FF4C0D" w:rsidRDefault="00345562" w:rsidP="00F727D2">
      <w:r w:rsidRPr="00FF4C0D">
        <w:br w:type="page"/>
      </w:r>
    </w:p>
    <w:p w:rsidR="00F727D2" w:rsidRPr="00FF4C0D" w:rsidRDefault="00735878" w:rsidP="00F727D2">
      <w:r w:rsidRPr="00FF4C0D">
        <w:lastRenderedPageBreak/>
        <w:t>Standard 1.4.3 – Articles and Materials in Contact with Food regulates food packaging materials in general terms, but does not specify individual packaging materials for food contact or how they should be produced or used</w:t>
      </w:r>
      <w:r w:rsidR="006F5213" w:rsidRPr="00FF4C0D">
        <w:t xml:space="preserve">. </w:t>
      </w:r>
      <w:r w:rsidRPr="00FF4C0D">
        <w:t>Standards Australia has developed an Australian Standard for Plastics Materials for Food Contact Use (AS2070-1999) which details standards for plastic materials for food contact use</w:t>
      </w:r>
      <w:r w:rsidR="006F5213" w:rsidRPr="00FF4C0D">
        <w:t xml:space="preserve">. </w:t>
      </w:r>
      <w:r w:rsidRPr="00FF4C0D">
        <w:t>AS2070 refers to the USA Code of Federal Regulations and the EU Directives on plastics suitable for use on irradiated foods</w:t>
      </w:r>
      <w:r w:rsidR="006F5213" w:rsidRPr="00FF4C0D">
        <w:t xml:space="preserve">. </w:t>
      </w:r>
    </w:p>
    <w:p w:rsidR="00735878" w:rsidRPr="00FF4C0D" w:rsidRDefault="00735878" w:rsidP="00F727D2"/>
    <w:p w:rsidR="00735878" w:rsidRPr="00FF4C0D" w:rsidRDefault="009E025B" w:rsidP="005518D4">
      <w:pPr>
        <w:widowControl/>
      </w:pPr>
      <w:r w:rsidRPr="00FF4C0D">
        <w:rPr>
          <w:iCs/>
        </w:rPr>
        <w:t xml:space="preserve">The </w:t>
      </w:r>
      <w:r w:rsidR="00D117F9" w:rsidRPr="00FF4C0D">
        <w:rPr>
          <w:i/>
          <w:iCs/>
        </w:rPr>
        <w:t>ASTM Standard Guide F1640</w:t>
      </w:r>
      <w:r w:rsidR="005518D4" w:rsidRPr="00FF4C0D">
        <w:rPr>
          <w:i/>
          <w:iCs/>
        </w:rPr>
        <w:t>-</w:t>
      </w:r>
      <w:r w:rsidR="00D117F9" w:rsidRPr="00FF4C0D">
        <w:rPr>
          <w:rFonts w:cs="Arial"/>
          <w:i/>
          <w:iCs/>
        </w:rPr>
        <w:t>09 Standard Guide for Packaging Materials for F</w:t>
      </w:r>
      <w:r w:rsidR="00D117F9" w:rsidRPr="00FF4C0D">
        <w:rPr>
          <w:i/>
          <w:iCs/>
        </w:rPr>
        <w:t>oods to Be</w:t>
      </w:r>
      <w:r w:rsidR="005518D4" w:rsidRPr="00FF4C0D">
        <w:rPr>
          <w:i/>
          <w:iCs/>
        </w:rPr>
        <w:t xml:space="preserve"> </w:t>
      </w:r>
      <w:r w:rsidR="00D117F9" w:rsidRPr="00FF4C0D">
        <w:rPr>
          <w:i/>
          <w:iCs/>
        </w:rPr>
        <w:t xml:space="preserve">Irradiated </w:t>
      </w:r>
      <w:r w:rsidR="00AD50BC" w:rsidRPr="00FF4C0D">
        <w:t xml:space="preserve">(2009), formulated </w:t>
      </w:r>
      <w:r w:rsidR="00D117F9" w:rsidRPr="00FF4C0D">
        <w:t>by the American Society for Testing and Materials (ASTM)</w:t>
      </w:r>
      <w:r w:rsidR="005518D4" w:rsidRPr="00FF4C0D">
        <w:t xml:space="preserve"> </w:t>
      </w:r>
      <w:r w:rsidR="007E06C4" w:rsidRPr="00FF4C0D">
        <w:t xml:space="preserve">Subcommittee </w:t>
      </w:r>
      <w:r w:rsidR="00D117F9" w:rsidRPr="00FF4C0D">
        <w:t xml:space="preserve">on </w:t>
      </w:r>
      <w:r w:rsidR="00DD0A9F" w:rsidRPr="00FF4C0D">
        <w:t xml:space="preserve">Food Irradiation Processing and </w:t>
      </w:r>
      <w:r w:rsidR="006E09EC" w:rsidRPr="00FF4C0D">
        <w:t>Packaging</w:t>
      </w:r>
      <w:r w:rsidR="00AD50BC" w:rsidRPr="00FF4C0D">
        <w:t xml:space="preserve"> </w:t>
      </w:r>
      <w:r w:rsidR="00D117F9" w:rsidRPr="00FF4C0D">
        <w:t>addresses issues in the selection and use of packaging materials for food and agricultural products to be irradiated</w:t>
      </w:r>
      <w:r w:rsidR="00586793" w:rsidRPr="00FF4C0D">
        <w:t xml:space="preserve">. </w:t>
      </w:r>
    </w:p>
    <w:p w:rsidR="001D04E2" w:rsidRPr="00FF4C0D" w:rsidRDefault="00304CCE" w:rsidP="001D04E2">
      <w:pPr>
        <w:widowControl/>
      </w:pPr>
      <w:r w:rsidRPr="00FF4C0D">
        <w:t>T</w:t>
      </w:r>
      <w:r w:rsidR="00653AB8" w:rsidRPr="00FF4C0D">
        <w:t xml:space="preserve">he Applicant </w:t>
      </w:r>
      <w:r w:rsidRPr="00FF4C0D">
        <w:t>advise</w:t>
      </w:r>
      <w:r w:rsidR="009E025B" w:rsidRPr="00FF4C0D">
        <w:t>d</w:t>
      </w:r>
      <w:r w:rsidR="000D15E5" w:rsidRPr="00FF4C0D">
        <w:t xml:space="preserve"> </w:t>
      </w:r>
      <w:r w:rsidR="00653AB8" w:rsidRPr="00FF4C0D">
        <w:t xml:space="preserve">that </w:t>
      </w:r>
      <w:r w:rsidR="00722070" w:rsidRPr="00FF4C0D">
        <w:t xml:space="preserve">corrugated or fibre board fruit boxes used </w:t>
      </w:r>
      <w:r w:rsidR="007768F6" w:rsidRPr="00FF4C0D">
        <w:t>for</w:t>
      </w:r>
      <w:r w:rsidR="00722070" w:rsidRPr="00FF4C0D">
        <w:t xml:space="preserve"> packaging persimmons </w:t>
      </w:r>
      <w:r w:rsidR="009E025B" w:rsidRPr="00FF4C0D">
        <w:t>we</w:t>
      </w:r>
      <w:r w:rsidR="00722070" w:rsidRPr="00FF4C0D">
        <w:t xml:space="preserve">re made from components consisting of </w:t>
      </w:r>
      <w:r w:rsidR="00A54120" w:rsidRPr="00FF4C0D">
        <w:t>k</w:t>
      </w:r>
      <w:r w:rsidR="007768F6" w:rsidRPr="00FF4C0D">
        <w:t>raft</w:t>
      </w:r>
      <w:r w:rsidR="00722070" w:rsidRPr="00FF4C0D">
        <w:t xml:space="preserve"> </w:t>
      </w:r>
      <w:r w:rsidR="007701A0" w:rsidRPr="00FF4C0D">
        <w:t xml:space="preserve">(manufactured from a blend of pine and eucalypt fibre) </w:t>
      </w:r>
      <w:r w:rsidR="00722070" w:rsidRPr="00FF4C0D">
        <w:t>and recycled papers</w:t>
      </w:r>
      <w:r w:rsidR="007701A0" w:rsidRPr="00FF4C0D">
        <w:t xml:space="preserve"> (manufactured from various sources of paper stock)</w:t>
      </w:r>
      <w:r w:rsidR="00722070" w:rsidRPr="00FF4C0D">
        <w:t xml:space="preserve">, inks, adhesives and various coatings. </w:t>
      </w:r>
      <w:r w:rsidR="007701A0" w:rsidRPr="00FF4C0D">
        <w:t>Amcor</w:t>
      </w:r>
      <w:r w:rsidR="00C167E4" w:rsidRPr="00FF4C0D">
        <w:t>, Carter Holt Harvey and Visy ar</w:t>
      </w:r>
      <w:r w:rsidR="007701A0" w:rsidRPr="00FF4C0D">
        <w:t xml:space="preserve">e the main manufacturers and suppliers of the fibre board fruit and produce packages in Australia. </w:t>
      </w:r>
      <w:r w:rsidR="004B62ED" w:rsidRPr="00FF4C0D">
        <w:t>The materials used in manufacturing the fibre board packages and the plastic inserts are</w:t>
      </w:r>
      <w:r w:rsidR="002E20FB" w:rsidRPr="00FF4C0D">
        <w:t xml:space="preserve"> </w:t>
      </w:r>
      <w:r w:rsidR="00A54120" w:rsidRPr="00FF4C0D">
        <w:t xml:space="preserve">appropriate </w:t>
      </w:r>
      <w:r w:rsidR="004B62ED" w:rsidRPr="00FF4C0D">
        <w:rPr>
          <w:rFonts w:cs="Arial"/>
        </w:rPr>
        <w:t>and are currently</w:t>
      </w:r>
      <w:r w:rsidR="004B62ED" w:rsidRPr="00FF4C0D">
        <w:t xml:space="preserve"> approved for use in irradiating fruits and vegetables</w:t>
      </w:r>
      <w:r w:rsidR="00C16070" w:rsidRPr="00FF4C0D">
        <w:rPr>
          <w:rFonts w:cs="Arial"/>
        </w:rPr>
        <w:t xml:space="preserve"> at the disinfestation dose applied (150 Gy–1 kGy)</w:t>
      </w:r>
      <w:r w:rsidR="004B62ED" w:rsidRPr="00FF4C0D">
        <w:t>,</w:t>
      </w:r>
      <w:r w:rsidR="00C16070" w:rsidRPr="00FF4C0D">
        <w:t xml:space="preserve"> </w:t>
      </w:r>
      <w:r w:rsidR="004B62ED" w:rsidRPr="00FF4C0D">
        <w:t xml:space="preserve">under </w:t>
      </w:r>
      <w:r w:rsidR="005919BB" w:rsidRPr="00FF4C0D">
        <w:t>the US</w:t>
      </w:r>
      <w:r w:rsidR="00AE2BE8" w:rsidRPr="00FF4C0D">
        <w:t>A</w:t>
      </w:r>
      <w:r w:rsidR="005919BB" w:rsidRPr="00FF4C0D">
        <w:t xml:space="preserve"> Code of F</w:t>
      </w:r>
      <w:r w:rsidR="004B62ED" w:rsidRPr="00FF4C0D">
        <w:t xml:space="preserve">ederal Regulations. </w:t>
      </w:r>
    </w:p>
    <w:p w:rsidR="001D04E2" w:rsidRPr="00FF4C0D" w:rsidRDefault="001D04E2" w:rsidP="001D04E2">
      <w:pPr>
        <w:widowControl/>
      </w:pPr>
    </w:p>
    <w:p w:rsidR="009B4A0D" w:rsidRPr="00FF4C0D" w:rsidRDefault="000C54B4" w:rsidP="005A5F50">
      <w:pPr>
        <w:rPr>
          <w:szCs w:val="22"/>
        </w:rPr>
      </w:pPr>
      <w:r w:rsidRPr="00FF4C0D">
        <w:t xml:space="preserve">The Purpose of </w:t>
      </w:r>
      <w:r w:rsidR="00637272" w:rsidRPr="00FF4C0D">
        <w:t>Standard 1.5.3</w:t>
      </w:r>
      <w:r w:rsidRPr="00FF4C0D">
        <w:t xml:space="preserve"> currently has a reference to packages and packing materials used or intended for use in connection with irradiated food being of a suitable quality, in an acceptable hygienic condition, and appropriate for the purpose of such processing. However, FSANZ has removed t</w:t>
      </w:r>
      <w:r w:rsidRPr="00FF4C0D">
        <w:rPr>
          <w:szCs w:val="22"/>
        </w:rPr>
        <w:t xml:space="preserve">he reference to packages and packaging materials as this reference is not appropriately considered to be a ‘purpose’ for </w:t>
      </w:r>
      <w:r w:rsidR="00637272" w:rsidRPr="00FF4C0D">
        <w:rPr>
          <w:szCs w:val="22"/>
        </w:rPr>
        <w:t>Standard 1.5.3</w:t>
      </w:r>
      <w:r w:rsidRPr="00FF4C0D">
        <w:rPr>
          <w:szCs w:val="22"/>
        </w:rPr>
        <w:t xml:space="preserve">. In addition, the provisions in Standard 1.4.3 also apply to packaging used for irradiation. </w:t>
      </w:r>
    </w:p>
    <w:p w:rsidR="001E1DB9" w:rsidRPr="00FF4C0D" w:rsidRDefault="001E1DB9" w:rsidP="000D5F1D">
      <w:pPr>
        <w:rPr>
          <w:rFonts w:cs="Arial"/>
        </w:rPr>
      </w:pPr>
    </w:p>
    <w:p w:rsidR="00AB1F5D" w:rsidRPr="00FF4C0D" w:rsidRDefault="000C54B4" w:rsidP="002D5C52">
      <w:pPr>
        <w:pStyle w:val="Heading3"/>
      </w:pPr>
      <w:bookmarkStart w:id="51" w:name="_Toc297029097"/>
      <w:r w:rsidRPr="00FF4C0D">
        <w:t>6</w:t>
      </w:r>
      <w:r w:rsidR="00307FD9" w:rsidRPr="00FF4C0D">
        <w:t>.</w:t>
      </w:r>
      <w:r w:rsidR="00BA14CE" w:rsidRPr="00FF4C0D">
        <w:t>3</w:t>
      </w:r>
      <w:r w:rsidR="00307FD9" w:rsidRPr="00FF4C0D">
        <w:tab/>
      </w:r>
      <w:r w:rsidR="00D90C01" w:rsidRPr="00FF4C0D">
        <w:t>Irradiation facilities and d</w:t>
      </w:r>
      <w:r w:rsidR="00307FD9" w:rsidRPr="00FF4C0D">
        <w:t>osimetry</w:t>
      </w:r>
      <w:bookmarkEnd w:id="51"/>
    </w:p>
    <w:p w:rsidR="00307FD9" w:rsidRPr="00FF4C0D" w:rsidRDefault="00307FD9" w:rsidP="00307FD9">
      <w:pPr>
        <w:pStyle w:val="Heading3"/>
      </w:pPr>
    </w:p>
    <w:p w:rsidR="008B5531" w:rsidRPr="00FF4C0D" w:rsidRDefault="00C55363" w:rsidP="001421B7">
      <w:r w:rsidRPr="00FF4C0D">
        <w:t xml:space="preserve">It is mandatory that </w:t>
      </w:r>
      <w:r w:rsidR="00FC1A6B" w:rsidRPr="00FF4C0D">
        <w:t>an</w:t>
      </w:r>
      <w:r w:rsidR="002C3906" w:rsidRPr="00FF4C0D">
        <w:t>y</w:t>
      </w:r>
      <w:r w:rsidR="00FC1A6B" w:rsidRPr="00FF4C0D">
        <w:t xml:space="preserve"> food permitted to be irradiated is treated in </w:t>
      </w:r>
      <w:r w:rsidR="00487B18" w:rsidRPr="00FF4C0D">
        <w:t xml:space="preserve">a licensed radiation facility. </w:t>
      </w:r>
      <w:r w:rsidR="001421B7" w:rsidRPr="00FF4C0D">
        <w:t>There are currently three commercial irradiation facilities operating in Australia. All three irradiation facilities</w:t>
      </w:r>
      <w:r w:rsidR="006E36CF" w:rsidRPr="00FF4C0D">
        <w:t xml:space="preserve"> use </w:t>
      </w:r>
      <w:r w:rsidR="001421B7" w:rsidRPr="00FF4C0D">
        <w:t>gamma radiation from radioactive Cobalt</w:t>
      </w:r>
      <w:r w:rsidR="001421B7" w:rsidRPr="00FF4C0D">
        <w:rPr>
          <w:rFonts w:ascii="Cambria Math" w:hAnsi="Cambria Math" w:cs="Cambria Math"/>
        </w:rPr>
        <w:t>‐</w:t>
      </w:r>
      <w:r w:rsidR="001421B7" w:rsidRPr="00FF4C0D">
        <w:rPr>
          <w:rFonts w:cs="Arial"/>
        </w:rPr>
        <w:t xml:space="preserve">60. </w:t>
      </w:r>
      <w:r w:rsidR="001421B7" w:rsidRPr="00FF4C0D">
        <w:t xml:space="preserve">There is an Australian Quarantine and Inspection Service (AQIS) approved treatment facility in New Zealand – Schering Plough Animal Health Upper Hutt, New Zealand. </w:t>
      </w:r>
    </w:p>
    <w:p w:rsidR="008037C3" w:rsidRPr="00FF4C0D" w:rsidRDefault="008037C3" w:rsidP="004E2FD8">
      <w:pPr>
        <w:widowControl/>
      </w:pPr>
    </w:p>
    <w:p w:rsidR="009B4A0D" w:rsidRPr="00FF4C0D" w:rsidRDefault="00487B18" w:rsidP="005A5F50">
      <w:r w:rsidRPr="00FF4C0D">
        <w:t>The Australian</w:t>
      </w:r>
      <w:r w:rsidR="00C55363" w:rsidRPr="00FF4C0D">
        <w:t xml:space="preserve"> </w:t>
      </w:r>
      <w:r w:rsidRPr="00FF4C0D">
        <w:t xml:space="preserve">Radiation Protection and </w:t>
      </w:r>
      <w:r w:rsidR="00A379B0" w:rsidRPr="00FF4C0D">
        <w:t>Nuclear Safety Agency (ARPANSA</w:t>
      </w:r>
      <w:r w:rsidR="00101551" w:rsidRPr="00FF4C0D">
        <w:rPr>
          <w:rStyle w:val="FootnoteReference"/>
        </w:rPr>
        <w:footnoteReference w:id="21"/>
      </w:r>
      <w:r w:rsidR="00A379B0" w:rsidRPr="00FF4C0D">
        <w:t xml:space="preserve">) </w:t>
      </w:r>
      <w:r w:rsidR="008B5531" w:rsidRPr="00FF4C0D">
        <w:t>regulate</w:t>
      </w:r>
      <w:r w:rsidR="00EA059E" w:rsidRPr="00FF4C0D">
        <w:t>s</w:t>
      </w:r>
      <w:r w:rsidR="00101551" w:rsidRPr="00FF4C0D">
        <w:t xml:space="preserve"> </w:t>
      </w:r>
      <w:r w:rsidRPr="00FF4C0D">
        <w:t>Australian</w:t>
      </w:r>
      <w:r w:rsidR="00C55363" w:rsidRPr="00FF4C0D">
        <w:t xml:space="preserve"> </w:t>
      </w:r>
      <w:r w:rsidR="00101551" w:rsidRPr="00FF4C0D">
        <w:t>Government entities</w:t>
      </w:r>
      <w:r w:rsidR="00757964" w:rsidRPr="00FF4C0D">
        <w:t>,</w:t>
      </w:r>
      <w:r w:rsidR="00101551" w:rsidRPr="00FF4C0D">
        <w:t xml:space="preserve"> whereas </w:t>
      </w:r>
      <w:r w:rsidRPr="00FF4C0D">
        <w:t>the activities of non</w:t>
      </w:r>
      <w:r w:rsidRPr="00FF4C0D">
        <w:rPr>
          <w:rFonts w:ascii="Cambria Math" w:hAnsi="Cambria Math" w:cs="Cambria Math"/>
        </w:rPr>
        <w:t>‐</w:t>
      </w:r>
      <w:r w:rsidRPr="00FF4C0D">
        <w:rPr>
          <w:rFonts w:cs="Arial"/>
        </w:rPr>
        <w:t>Australian Government entities are</w:t>
      </w:r>
      <w:r w:rsidR="009C7DB3" w:rsidRPr="00FF4C0D">
        <w:t xml:space="preserve"> </w:t>
      </w:r>
      <w:r w:rsidR="00101551" w:rsidRPr="00FF4C0D">
        <w:t xml:space="preserve">regulated by </w:t>
      </w:r>
      <w:r w:rsidR="009E025B" w:rsidRPr="00FF4C0D">
        <w:t xml:space="preserve">relevant </w:t>
      </w:r>
      <w:r w:rsidR="00101551" w:rsidRPr="00FF4C0D">
        <w:t>State and T</w:t>
      </w:r>
      <w:r w:rsidRPr="00FF4C0D">
        <w:t>erritory authorities.</w:t>
      </w:r>
      <w:r w:rsidR="006C7EDD" w:rsidRPr="00FF4C0D">
        <w:t xml:space="preserve"> </w:t>
      </w:r>
    </w:p>
    <w:p w:rsidR="000F40F5" w:rsidRPr="00FF4C0D" w:rsidRDefault="000F40F5" w:rsidP="004E2FD8">
      <w:pPr>
        <w:widowControl/>
      </w:pPr>
    </w:p>
    <w:p w:rsidR="00487B18" w:rsidRPr="00FF4C0D" w:rsidRDefault="00487B18" w:rsidP="004E2FD8">
      <w:pPr>
        <w:widowControl/>
      </w:pPr>
      <w:r w:rsidRPr="00FF4C0D">
        <w:t>The radiation facilities are licensed in accordan</w:t>
      </w:r>
      <w:r w:rsidR="00F909F6" w:rsidRPr="00FF4C0D">
        <w:t xml:space="preserve">ce with any relevant State, </w:t>
      </w:r>
      <w:r w:rsidRPr="00FF4C0D">
        <w:t>Territory</w:t>
      </w:r>
      <w:r w:rsidR="006C7EDD" w:rsidRPr="00FF4C0D">
        <w:t xml:space="preserve"> </w:t>
      </w:r>
      <w:r w:rsidRPr="00FF4C0D">
        <w:t xml:space="preserve">and New Zealand law governing radiation control and operation. </w:t>
      </w:r>
      <w:r w:rsidR="000D15E5" w:rsidRPr="00FF4C0D">
        <w:t>I</w:t>
      </w:r>
      <w:r w:rsidRPr="00FF4C0D">
        <w:t>n Australia,</w:t>
      </w:r>
      <w:r w:rsidR="006C7EDD" w:rsidRPr="00FF4C0D">
        <w:t xml:space="preserve"> </w:t>
      </w:r>
      <w:r w:rsidRPr="00FF4C0D">
        <w:t>this responsibility is under th</w:t>
      </w:r>
      <w:r w:rsidR="00804D3B" w:rsidRPr="00FF4C0D">
        <w:t>e jurisdiction of the following S</w:t>
      </w:r>
      <w:r w:rsidRPr="00FF4C0D">
        <w:t>tate</w:t>
      </w:r>
      <w:r w:rsidR="00804D3B" w:rsidRPr="00FF4C0D">
        <w:t>/Territory D</w:t>
      </w:r>
      <w:r w:rsidRPr="00FF4C0D">
        <w:t>epartments:</w:t>
      </w:r>
    </w:p>
    <w:p w:rsidR="00487B18" w:rsidRPr="00FF4C0D" w:rsidRDefault="00487B18" w:rsidP="00487B18"/>
    <w:p w:rsidR="00487B18" w:rsidRPr="00FF4C0D" w:rsidRDefault="00487B18" w:rsidP="0051507D">
      <w:pPr>
        <w:pStyle w:val="FSBullet"/>
      </w:pPr>
      <w:r w:rsidRPr="00FF4C0D">
        <w:t>ACT Health, Radiation Safety Section</w:t>
      </w:r>
    </w:p>
    <w:p w:rsidR="00487B18" w:rsidRPr="00FF4C0D" w:rsidRDefault="00487B18" w:rsidP="0051507D">
      <w:pPr>
        <w:pStyle w:val="FSBullet"/>
      </w:pPr>
      <w:r w:rsidRPr="00FF4C0D">
        <w:t>NSW Department of Environment and Climate Change</w:t>
      </w:r>
    </w:p>
    <w:p w:rsidR="00487B18" w:rsidRPr="00FF4C0D" w:rsidRDefault="0049448C" w:rsidP="0051507D">
      <w:pPr>
        <w:pStyle w:val="FSBullet"/>
      </w:pPr>
      <w:r w:rsidRPr="00FF4C0D">
        <w:t xml:space="preserve">Northern </w:t>
      </w:r>
      <w:r w:rsidR="00487B18" w:rsidRPr="00FF4C0D">
        <w:t>T</w:t>
      </w:r>
      <w:r w:rsidRPr="00FF4C0D">
        <w:t>erritory</w:t>
      </w:r>
      <w:r w:rsidR="00487B18" w:rsidRPr="00FF4C0D">
        <w:t xml:space="preserve"> Department of Health and Community Services </w:t>
      </w:r>
    </w:p>
    <w:p w:rsidR="00487B18" w:rsidRPr="00FF4C0D" w:rsidRDefault="00487B18" w:rsidP="0051507D">
      <w:pPr>
        <w:pStyle w:val="FSBullet"/>
      </w:pPr>
      <w:r w:rsidRPr="00FF4C0D">
        <w:t>Q</w:t>
      </w:r>
      <w:r w:rsidR="00331A0F" w:rsidRPr="00FF4C0D">
        <w:t xml:space="preserve">ueensland </w:t>
      </w:r>
      <w:r w:rsidRPr="00FF4C0D">
        <w:t>Department of Health</w:t>
      </w:r>
    </w:p>
    <w:p w:rsidR="00487B18" w:rsidRPr="00FF4C0D" w:rsidRDefault="00E40F13" w:rsidP="0051507D">
      <w:pPr>
        <w:pStyle w:val="FSBullet"/>
      </w:pPr>
      <w:r w:rsidRPr="00FF4C0D">
        <w:t>South</w:t>
      </w:r>
      <w:r w:rsidR="0049448C" w:rsidRPr="00FF4C0D">
        <w:t xml:space="preserve"> </w:t>
      </w:r>
      <w:r w:rsidR="00487B18" w:rsidRPr="00FF4C0D">
        <w:t>A</w:t>
      </w:r>
      <w:r w:rsidR="0049448C" w:rsidRPr="00FF4C0D">
        <w:t>ustralia</w:t>
      </w:r>
      <w:r w:rsidR="00487B18" w:rsidRPr="00FF4C0D">
        <w:t xml:space="preserve"> Environment Protection Authority</w:t>
      </w:r>
    </w:p>
    <w:p w:rsidR="00487B18" w:rsidRPr="00FF4C0D" w:rsidRDefault="00487B18" w:rsidP="0051507D">
      <w:pPr>
        <w:pStyle w:val="FSBullet"/>
      </w:pPr>
      <w:r w:rsidRPr="00FF4C0D">
        <w:t>Tas</w:t>
      </w:r>
      <w:r w:rsidR="0049448C" w:rsidRPr="00FF4C0D">
        <w:t>manian</w:t>
      </w:r>
      <w:r w:rsidRPr="00FF4C0D">
        <w:t xml:space="preserve"> </w:t>
      </w:r>
      <w:r w:rsidR="00331A0F" w:rsidRPr="00FF4C0D">
        <w:t>Department</w:t>
      </w:r>
      <w:r w:rsidRPr="00FF4C0D">
        <w:t xml:space="preserve"> of Health and Human Services</w:t>
      </w:r>
    </w:p>
    <w:p w:rsidR="00487B18" w:rsidRPr="00FF4C0D" w:rsidRDefault="00487B18" w:rsidP="0051507D">
      <w:pPr>
        <w:pStyle w:val="FSBullet"/>
      </w:pPr>
      <w:r w:rsidRPr="00FF4C0D">
        <w:t>Vic</w:t>
      </w:r>
      <w:r w:rsidR="00027554" w:rsidRPr="00FF4C0D">
        <w:t>torian</w:t>
      </w:r>
      <w:r w:rsidRPr="00FF4C0D">
        <w:t xml:space="preserve"> Department of Human Services</w:t>
      </w:r>
    </w:p>
    <w:p w:rsidR="00487B18" w:rsidRPr="00FF4C0D" w:rsidRDefault="00487B18" w:rsidP="0051507D">
      <w:pPr>
        <w:pStyle w:val="FSBullet"/>
      </w:pPr>
      <w:r w:rsidRPr="00FF4C0D">
        <w:t>W</w:t>
      </w:r>
      <w:r w:rsidR="0049448C" w:rsidRPr="00FF4C0D">
        <w:t xml:space="preserve">estern </w:t>
      </w:r>
      <w:r w:rsidRPr="00FF4C0D">
        <w:t>A</w:t>
      </w:r>
      <w:r w:rsidR="0049448C" w:rsidRPr="00FF4C0D">
        <w:t>ustralia</w:t>
      </w:r>
      <w:r w:rsidRPr="00FF4C0D">
        <w:t xml:space="preserve"> Radiological Council, Department of Health.</w:t>
      </w:r>
    </w:p>
    <w:p w:rsidR="00345562" w:rsidRPr="00FF4C0D" w:rsidRDefault="00345562" w:rsidP="00487B18">
      <w:r w:rsidRPr="00FF4C0D">
        <w:br w:type="page"/>
      </w:r>
    </w:p>
    <w:p w:rsidR="00304CCE" w:rsidRPr="00FF4C0D" w:rsidRDefault="00304CCE" w:rsidP="005F562E">
      <w:r w:rsidRPr="00FF4C0D">
        <w:lastRenderedPageBreak/>
        <w:t xml:space="preserve">All matters including occupational health, safety and welfare regulations are regulated by the relevant regulatory authorities, i.e. all national, state, territory and local government Authorities. </w:t>
      </w:r>
    </w:p>
    <w:p w:rsidR="00304CCE" w:rsidRPr="00FF4C0D" w:rsidRDefault="00304CCE" w:rsidP="005F562E"/>
    <w:p w:rsidR="005F562E" w:rsidRPr="00FF4C0D" w:rsidRDefault="00CC5A96" w:rsidP="005F562E">
      <w:pPr>
        <w:rPr>
          <w:rFonts w:cs="Arial"/>
          <w:szCs w:val="22"/>
        </w:rPr>
      </w:pPr>
      <w:r w:rsidRPr="00FF4C0D">
        <w:t>In New Zealand, t</w:t>
      </w:r>
      <w:r w:rsidR="005F562E" w:rsidRPr="00FF4C0D">
        <w:t>he National Radiation Laboratory (NRL) under delegated authority from the Ministry of Health regulates all radiation facilities and radioactive substances and apparatus</w:t>
      </w:r>
      <w:r w:rsidR="00304CCE" w:rsidRPr="00FF4C0D">
        <w:t>.</w:t>
      </w:r>
      <w:r w:rsidR="005F562E" w:rsidRPr="00FF4C0D">
        <w:t xml:space="preserve"> </w:t>
      </w:r>
      <w:r w:rsidR="005F562E" w:rsidRPr="00FF4C0D">
        <w:rPr>
          <w:rFonts w:cs="Arial"/>
          <w:szCs w:val="22"/>
        </w:rPr>
        <w:t xml:space="preserve">The NRL </w:t>
      </w:r>
      <w:r w:rsidR="006A63A3" w:rsidRPr="00FF4C0D">
        <w:rPr>
          <w:rFonts w:cs="Arial"/>
          <w:szCs w:val="22"/>
        </w:rPr>
        <w:t xml:space="preserve">administers the </w:t>
      </w:r>
      <w:hyperlink r:id="rId20" w:history="1">
        <w:r w:rsidR="006A63A3" w:rsidRPr="00FF4C0D">
          <w:rPr>
            <w:rStyle w:val="Hyperlink"/>
            <w:rFonts w:cs="Arial"/>
            <w:szCs w:val="22"/>
            <w:u w:val="none"/>
          </w:rPr>
          <w:t>Radiation Protection Act 1965</w:t>
        </w:r>
      </w:hyperlink>
      <w:r w:rsidR="006A63A3" w:rsidRPr="00FF4C0D">
        <w:rPr>
          <w:rFonts w:cs="Arial"/>
          <w:szCs w:val="22"/>
        </w:rPr>
        <w:t xml:space="preserve"> and the </w:t>
      </w:r>
      <w:hyperlink r:id="rId21" w:history="1">
        <w:r w:rsidR="006A63A3" w:rsidRPr="00FF4C0D">
          <w:rPr>
            <w:rStyle w:val="Hyperlink"/>
            <w:rFonts w:cs="Arial"/>
            <w:szCs w:val="22"/>
            <w:u w:val="none"/>
          </w:rPr>
          <w:t>Radiation Protection Regulations 1982</w:t>
        </w:r>
      </w:hyperlink>
      <w:r w:rsidR="00304CCE" w:rsidRPr="00FF4C0D">
        <w:rPr>
          <w:rStyle w:val="Hyperlink"/>
          <w:rFonts w:cs="Arial"/>
          <w:szCs w:val="22"/>
          <w:u w:val="none"/>
        </w:rPr>
        <w:t xml:space="preserve">. </w:t>
      </w:r>
      <w:r w:rsidR="006A63A3" w:rsidRPr="00FF4C0D">
        <w:rPr>
          <w:rFonts w:cs="Arial"/>
          <w:szCs w:val="22"/>
        </w:rPr>
        <w:t xml:space="preserve"> </w:t>
      </w:r>
    </w:p>
    <w:p w:rsidR="00695CF5" w:rsidRPr="00FF4C0D" w:rsidRDefault="00695CF5" w:rsidP="004C3E10">
      <w:pPr>
        <w:widowControl/>
        <w:rPr>
          <w:rFonts w:cs="Arial"/>
          <w:szCs w:val="22"/>
        </w:rPr>
      </w:pPr>
    </w:p>
    <w:p w:rsidR="006A63A3" w:rsidRPr="00FF4C0D" w:rsidRDefault="006A63A3" w:rsidP="004C3E10">
      <w:pPr>
        <w:widowControl/>
        <w:rPr>
          <w:rFonts w:cs="Arial"/>
          <w:szCs w:val="22"/>
        </w:rPr>
      </w:pPr>
      <w:r w:rsidRPr="00FF4C0D">
        <w:rPr>
          <w:rFonts w:cs="Arial"/>
          <w:szCs w:val="22"/>
        </w:rPr>
        <w:t>The</w:t>
      </w:r>
      <w:r w:rsidR="00D716F8" w:rsidRPr="00FF4C0D">
        <w:rPr>
          <w:rFonts w:cs="Arial"/>
          <w:szCs w:val="22"/>
        </w:rPr>
        <w:t xml:space="preserve"> N</w:t>
      </w:r>
      <w:r w:rsidR="009B3087" w:rsidRPr="00FF4C0D">
        <w:rPr>
          <w:rFonts w:cs="Arial"/>
          <w:szCs w:val="22"/>
        </w:rPr>
        <w:t xml:space="preserve">ew </w:t>
      </w:r>
      <w:r w:rsidR="00D716F8" w:rsidRPr="00FF4C0D">
        <w:rPr>
          <w:rFonts w:cs="Arial"/>
          <w:szCs w:val="22"/>
        </w:rPr>
        <w:t>Z</w:t>
      </w:r>
      <w:r w:rsidR="009B3087" w:rsidRPr="00FF4C0D">
        <w:rPr>
          <w:rFonts w:cs="Arial"/>
          <w:szCs w:val="22"/>
        </w:rPr>
        <w:t>ealand</w:t>
      </w:r>
      <w:r w:rsidRPr="00FF4C0D">
        <w:rPr>
          <w:rFonts w:cs="Arial"/>
          <w:szCs w:val="22"/>
        </w:rPr>
        <w:t xml:space="preserve"> legislation controls the use of ionising radiation and requires: </w:t>
      </w:r>
    </w:p>
    <w:p w:rsidR="005F562E" w:rsidRPr="00FF4C0D" w:rsidRDefault="005F562E" w:rsidP="005F562E"/>
    <w:p w:rsidR="006A63A3" w:rsidRPr="00FF4C0D" w:rsidRDefault="005F562E" w:rsidP="005F562E">
      <w:pPr>
        <w:pStyle w:val="FSBullet"/>
      </w:pPr>
      <w:r w:rsidRPr="00FF4C0D">
        <w:rPr>
          <w:bCs/>
        </w:rPr>
        <w:t>u</w:t>
      </w:r>
      <w:r w:rsidR="006A63A3" w:rsidRPr="00FF4C0D">
        <w:rPr>
          <w:bCs/>
        </w:rPr>
        <w:t>sers</w:t>
      </w:r>
      <w:r w:rsidR="006A63A3" w:rsidRPr="00FF4C0D">
        <w:t xml:space="preserve"> of radioactive materials or irradiating apparatus to hold a </w:t>
      </w:r>
      <w:hyperlink r:id="rId22" w:history="1">
        <w:r w:rsidR="006A63A3" w:rsidRPr="00FF4C0D">
          <w:rPr>
            <w:rStyle w:val="Hyperlink"/>
            <w:szCs w:val="22"/>
            <w:u w:val="none"/>
          </w:rPr>
          <w:t>licence</w:t>
        </w:r>
      </w:hyperlink>
      <w:r w:rsidR="006A63A3" w:rsidRPr="00FF4C0D">
        <w:t xml:space="preserve"> (users will also normally be required to comply with a </w:t>
      </w:r>
      <w:hyperlink r:id="rId23" w:history="1">
        <w:r w:rsidR="006A63A3" w:rsidRPr="00FF4C0D">
          <w:rPr>
            <w:rStyle w:val="Hyperlink"/>
            <w:szCs w:val="22"/>
            <w:u w:val="none"/>
          </w:rPr>
          <w:t xml:space="preserve">Code of </w:t>
        </w:r>
        <w:r w:rsidR="00FC1A6B" w:rsidRPr="00FF4C0D">
          <w:rPr>
            <w:rStyle w:val="Hyperlink"/>
            <w:szCs w:val="22"/>
            <w:u w:val="none"/>
          </w:rPr>
          <w:t>S</w:t>
        </w:r>
        <w:r w:rsidR="006A63A3" w:rsidRPr="00FF4C0D">
          <w:rPr>
            <w:rStyle w:val="Hyperlink"/>
            <w:szCs w:val="22"/>
            <w:u w:val="none"/>
          </w:rPr>
          <w:t xml:space="preserve">afe </w:t>
        </w:r>
        <w:r w:rsidR="00FC1A6B" w:rsidRPr="00FF4C0D">
          <w:rPr>
            <w:rStyle w:val="Hyperlink"/>
            <w:szCs w:val="22"/>
            <w:u w:val="none"/>
          </w:rPr>
          <w:t>P</w:t>
        </w:r>
        <w:r w:rsidR="006A63A3" w:rsidRPr="00FF4C0D">
          <w:rPr>
            <w:rStyle w:val="Hyperlink"/>
            <w:szCs w:val="22"/>
            <w:u w:val="none"/>
          </w:rPr>
          <w:t>ractice</w:t>
        </w:r>
      </w:hyperlink>
      <w:r w:rsidR="006A63A3" w:rsidRPr="00FF4C0D">
        <w:t xml:space="preserve">) </w:t>
      </w:r>
    </w:p>
    <w:p w:rsidR="006A63A3" w:rsidRPr="00FF4C0D" w:rsidRDefault="005F562E" w:rsidP="005F562E">
      <w:pPr>
        <w:pStyle w:val="FSBullet"/>
      </w:pPr>
      <w:r w:rsidRPr="00FF4C0D">
        <w:rPr>
          <w:bCs/>
        </w:rPr>
        <w:t>i</w:t>
      </w:r>
      <w:r w:rsidR="006A63A3" w:rsidRPr="00FF4C0D">
        <w:rPr>
          <w:bCs/>
        </w:rPr>
        <w:t>mporters, exporters and dealers</w:t>
      </w:r>
      <w:r w:rsidR="006A63A3" w:rsidRPr="00FF4C0D">
        <w:t xml:space="preserve"> of radioactive material to obtain a </w:t>
      </w:r>
      <w:hyperlink r:id="rId24" w:history="1">
        <w:r w:rsidR="006A63A3" w:rsidRPr="00FF4C0D">
          <w:rPr>
            <w:rStyle w:val="Hyperlink"/>
            <w:szCs w:val="22"/>
            <w:u w:val="none"/>
          </w:rPr>
          <w:t>consent</w:t>
        </w:r>
      </w:hyperlink>
      <w:r w:rsidR="006A63A3" w:rsidRPr="00FF4C0D">
        <w:t xml:space="preserve"> </w:t>
      </w:r>
    </w:p>
    <w:p w:rsidR="006A63A3" w:rsidRPr="00FF4C0D" w:rsidRDefault="005F562E" w:rsidP="005F562E">
      <w:pPr>
        <w:pStyle w:val="FSBullet"/>
      </w:pPr>
      <w:r w:rsidRPr="00FF4C0D">
        <w:rPr>
          <w:bCs/>
        </w:rPr>
        <w:t>v</w:t>
      </w:r>
      <w:r w:rsidR="006A63A3" w:rsidRPr="00FF4C0D">
        <w:rPr>
          <w:bCs/>
        </w:rPr>
        <w:t>endors and purchasers</w:t>
      </w:r>
      <w:r w:rsidR="006A63A3" w:rsidRPr="00FF4C0D">
        <w:t xml:space="preserve"> of irradiating apparatus to </w:t>
      </w:r>
      <w:hyperlink r:id="rId25" w:history="1">
        <w:r w:rsidR="006A63A3" w:rsidRPr="00FF4C0D">
          <w:rPr>
            <w:rStyle w:val="Hyperlink"/>
            <w:szCs w:val="22"/>
            <w:u w:val="none"/>
          </w:rPr>
          <w:t>notify</w:t>
        </w:r>
      </w:hyperlink>
      <w:r w:rsidR="006A63A3" w:rsidRPr="00FF4C0D">
        <w:t xml:space="preserve"> all transactions </w:t>
      </w:r>
    </w:p>
    <w:p w:rsidR="006A63A3" w:rsidRPr="00FF4C0D" w:rsidRDefault="005F562E" w:rsidP="005F562E">
      <w:pPr>
        <w:pStyle w:val="FSBullet"/>
      </w:pPr>
      <w:r w:rsidRPr="00FF4C0D">
        <w:rPr>
          <w:bCs/>
        </w:rPr>
        <w:t>t</w:t>
      </w:r>
      <w:r w:rsidR="006A63A3" w:rsidRPr="00FF4C0D">
        <w:rPr>
          <w:bCs/>
        </w:rPr>
        <w:t>ransporters</w:t>
      </w:r>
      <w:r w:rsidR="006A63A3" w:rsidRPr="00FF4C0D">
        <w:t xml:space="preserve"> of radioactive material to comply with </w:t>
      </w:r>
      <w:hyperlink r:id="rId26" w:history="1">
        <w:r w:rsidR="006A63A3" w:rsidRPr="00FF4C0D">
          <w:rPr>
            <w:rStyle w:val="Hyperlink"/>
            <w:szCs w:val="22"/>
            <w:u w:val="none"/>
          </w:rPr>
          <w:t>transport regulations</w:t>
        </w:r>
      </w:hyperlink>
    </w:p>
    <w:p w:rsidR="005F562E" w:rsidRPr="00FF4C0D" w:rsidRDefault="005F562E" w:rsidP="00E82C09"/>
    <w:p w:rsidR="00892AFC" w:rsidRPr="00FF4C0D" w:rsidRDefault="00570727" w:rsidP="00C52977">
      <w:r w:rsidRPr="00FF4C0D">
        <w:t>The Applicant has provided FSANZ with extensive details of the procedure undertaken to</w:t>
      </w:r>
      <w:r w:rsidR="000923D3" w:rsidRPr="00FF4C0D">
        <w:t xml:space="preserve"> ensure proper </w:t>
      </w:r>
      <w:r w:rsidRPr="00FF4C0D">
        <w:t>dosimetry</w:t>
      </w:r>
      <w:r w:rsidR="00A333A0" w:rsidRPr="00FF4C0D">
        <w:t>. This</w:t>
      </w:r>
      <w:r w:rsidR="00D146A9" w:rsidRPr="00FF4C0D">
        <w:t xml:space="preserve"> </w:t>
      </w:r>
      <w:r w:rsidR="00E82C09" w:rsidRPr="00FF4C0D">
        <w:t>will ensure compliance in accordance with the desired dose for</w:t>
      </w:r>
      <w:r w:rsidR="006C7EDD" w:rsidRPr="00FF4C0D">
        <w:t xml:space="preserve"> </w:t>
      </w:r>
      <w:r w:rsidR="00E82C09" w:rsidRPr="00FF4C0D">
        <w:t>each treatment that is required for approval by regulatory agencies and for developing</w:t>
      </w:r>
      <w:r w:rsidR="00B82784" w:rsidRPr="00FF4C0D">
        <w:t xml:space="preserve"> </w:t>
      </w:r>
      <w:r w:rsidR="00E82C09" w:rsidRPr="00FF4C0D">
        <w:t>quality control p</w:t>
      </w:r>
      <w:r w:rsidR="00AC0074" w:rsidRPr="00FF4C0D">
        <w:t xml:space="preserve">rocedures. </w:t>
      </w:r>
    </w:p>
    <w:p w:rsidR="000F40F5" w:rsidRPr="00FF4C0D" w:rsidRDefault="000F40F5" w:rsidP="00C52977"/>
    <w:p w:rsidR="000F40F5" w:rsidRPr="00FF4C0D" w:rsidRDefault="000C54B4" w:rsidP="000F40F5">
      <w:pPr>
        <w:pStyle w:val="Heading4"/>
      </w:pPr>
      <w:r w:rsidRPr="00FF4C0D">
        <w:t>6</w:t>
      </w:r>
      <w:r w:rsidR="00BA14CE" w:rsidRPr="00FF4C0D">
        <w:t>.3</w:t>
      </w:r>
      <w:r w:rsidR="000F40F5" w:rsidRPr="00FF4C0D">
        <w:t>.1</w:t>
      </w:r>
      <w:r w:rsidR="000F40F5" w:rsidRPr="00FF4C0D">
        <w:tab/>
        <w:t xml:space="preserve">Issues raised during public consultation </w:t>
      </w:r>
    </w:p>
    <w:p w:rsidR="000F40F5" w:rsidRPr="00FF4C0D" w:rsidRDefault="000F40F5" w:rsidP="00C52977">
      <w:pPr>
        <w:rPr>
          <w:szCs w:val="22"/>
        </w:rPr>
      </w:pPr>
    </w:p>
    <w:p w:rsidR="00990A05" w:rsidRPr="00FF4C0D" w:rsidRDefault="000F40F5" w:rsidP="00990A05">
      <w:pPr>
        <w:rPr>
          <w:szCs w:val="22"/>
        </w:rPr>
      </w:pPr>
      <w:r w:rsidRPr="00FF4C0D">
        <w:rPr>
          <w:szCs w:val="22"/>
        </w:rPr>
        <w:t xml:space="preserve">Some submitters </w:t>
      </w:r>
      <w:r w:rsidR="00936A7D" w:rsidRPr="00FF4C0D">
        <w:rPr>
          <w:szCs w:val="22"/>
        </w:rPr>
        <w:t>had concerns</w:t>
      </w:r>
      <w:r w:rsidRPr="00FF4C0D">
        <w:rPr>
          <w:szCs w:val="22"/>
        </w:rPr>
        <w:t xml:space="preserve"> </w:t>
      </w:r>
      <w:r w:rsidR="008C4220" w:rsidRPr="00FF4C0D">
        <w:rPr>
          <w:szCs w:val="22"/>
        </w:rPr>
        <w:t>with</w:t>
      </w:r>
      <w:r w:rsidRPr="00FF4C0D">
        <w:rPr>
          <w:szCs w:val="22"/>
        </w:rPr>
        <w:t xml:space="preserve"> the safety of irradiation facilities and of the transpor</w:t>
      </w:r>
      <w:r w:rsidR="001159AB" w:rsidRPr="00FF4C0D">
        <w:rPr>
          <w:szCs w:val="22"/>
        </w:rPr>
        <w:t>t of radioisotopes (</w:t>
      </w:r>
      <w:r w:rsidR="00AE46A1" w:rsidRPr="00FF4C0D">
        <w:rPr>
          <w:szCs w:val="22"/>
        </w:rPr>
        <w:t>Attachment 3</w:t>
      </w:r>
      <w:r w:rsidRPr="00FF4C0D">
        <w:rPr>
          <w:szCs w:val="22"/>
        </w:rPr>
        <w:t xml:space="preserve">). </w:t>
      </w:r>
      <w:r w:rsidR="00990A05" w:rsidRPr="00FF4C0D">
        <w:rPr>
          <w:szCs w:val="22"/>
        </w:rPr>
        <w:t xml:space="preserve">However, </w:t>
      </w:r>
      <w:r w:rsidR="00990A05" w:rsidRPr="00FF4C0D">
        <w:t xml:space="preserve">these matters are not addressed by the Code, but are regulated by relevant State/Territory authorities under their radiation protection legislation as detailed above. </w:t>
      </w:r>
    </w:p>
    <w:p w:rsidR="001D04E2" w:rsidRPr="00FF4C0D" w:rsidRDefault="001D04E2" w:rsidP="00C52977"/>
    <w:p w:rsidR="00EB6213" w:rsidRPr="00FF4C0D" w:rsidRDefault="000C54B4" w:rsidP="00EB6213">
      <w:pPr>
        <w:pStyle w:val="Heading3"/>
      </w:pPr>
      <w:bookmarkStart w:id="52" w:name="_Toc297029098"/>
      <w:r w:rsidRPr="00FF4C0D">
        <w:t>6</w:t>
      </w:r>
      <w:r w:rsidR="00EB6213" w:rsidRPr="00FF4C0D">
        <w:t>.</w:t>
      </w:r>
      <w:r w:rsidR="00BA14CE" w:rsidRPr="00FF4C0D">
        <w:t>4</w:t>
      </w:r>
      <w:r w:rsidR="00EB6213" w:rsidRPr="00FF4C0D">
        <w:tab/>
        <w:t>Methods of verification for irradiated foods</w:t>
      </w:r>
      <w:bookmarkEnd w:id="52"/>
      <w:r w:rsidR="00EB6213" w:rsidRPr="00FF4C0D">
        <w:t xml:space="preserve"> </w:t>
      </w:r>
    </w:p>
    <w:p w:rsidR="00EB6213" w:rsidRPr="00FF4C0D" w:rsidRDefault="00EB6213" w:rsidP="00EB6213">
      <w:pPr>
        <w:pStyle w:val="Heading3"/>
      </w:pPr>
    </w:p>
    <w:p w:rsidR="00EB6213" w:rsidRPr="00FF4C0D" w:rsidRDefault="00EB6213" w:rsidP="00EB6213">
      <w:pPr>
        <w:autoSpaceDE w:val="0"/>
        <w:autoSpaceDN w:val="0"/>
        <w:adjustRightInd w:val="0"/>
      </w:pPr>
      <w:r w:rsidRPr="00FF4C0D">
        <w:t xml:space="preserve">Current detection methods for irradiated food </w:t>
      </w:r>
      <w:r w:rsidR="002C3906" w:rsidRPr="00FF4C0D">
        <w:t xml:space="preserve">are able to </w:t>
      </w:r>
      <w:r w:rsidR="006C4FAB" w:rsidRPr="00FF4C0D">
        <w:t>detect whether</w:t>
      </w:r>
      <w:r w:rsidRPr="00FF4C0D">
        <w:t xml:space="preserve"> a food has been irradiated or not</w:t>
      </w:r>
      <w:r w:rsidR="008C4220" w:rsidRPr="00FF4C0D">
        <w:t>,</w:t>
      </w:r>
      <w:r w:rsidRPr="00FF4C0D">
        <w:t xml:space="preserve"> </w:t>
      </w:r>
      <w:r w:rsidR="002D5C52" w:rsidRPr="00FF4C0D">
        <w:t>but</w:t>
      </w:r>
      <w:r w:rsidR="006C4FAB" w:rsidRPr="00FF4C0D">
        <w:t xml:space="preserve"> </w:t>
      </w:r>
      <w:r w:rsidR="008C4220" w:rsidRPr="00FF4C0D">
        <w:t>cannot</w:t>
      </w:r>
      <w:r w:rsidRPr="00FF4C0D">
        <w:t xml:space="preserve"> accurately measure absorbed doses. </w:t>
      </w:r>
      <w:r w:rsidR="001421B7" w:rsidRPr="00FF4C0D">
        <w:t>The control</w:t>
      </w:r>
      <w:r w:rsidRPr="00FF4C0D">
        <w:t xml:space="preserve"> of the dose is managed by proper validation of the process prior to routine processing and is established and controlled by accurate dosimet</w:t>
      </w:r>
      <w:r w:rsidR="00EE2400" w:rsidRPr="00FF4C0D">
        <w:t>ry</w:t>
      </w:r>
      <w:r w:rsidRPr="00FF4C0D">
        <w:t xml:space="preserve"> and maintenance of records by irradiation facilities under the existing State/Territory or New Zealand irradiation licensing </w:t>
      </w:r>
      <w:r w:rsidR="007E7CA5" w:rsidRPr="00FF4C0D">
        <w:t>requirements</w:t>
      </w:r>
      <w:r w:rsidRPr="00FF4C0D">
        <w:t xml:space="preserve">. </w:t>
      </w:r>
    </w:p>
    <w:p w:rsidR="008B5531" w:rsidRPr="00FF4C0D" w:rsidRDefault="008B5531" w:rsidP="00F9134A">
      <w:pPr>
        <w:widowControl/>
      </w:pPr>
    </w:p>
    <w:p w:rsidR="00F9134A" w:rsidRPr="00FF4C0D" w:rsidRDefault="00EB6213" w:rsidP="00F9134A">
      <w:pPr>
        <w:widowControl/>
        <w:rPr>
          <w:rFonts w:cs="Arial"/>
        </w:rPr>
      </w:pPr>
      <w:r w:rsidRPr="00FF4C0D">
        <w:t xml:space="preserve">The currently available techniques </w:t>
      </w:r>
      <w:r w:rsidRPr="00FF4C0D">
        <w:rPr>
          <w:rFonts w:cs="Arial"/>
        </w:rPr>
        <w:t xml:space="preserve">are limited to foods </w:t>
      </w:r>
      <w:r w:rsidRPr="00FF4C0D">
        <w:t>containing bone, fat</w:t>
      </w:r>
      <w:r w:rsidRPr="00FF4C0D">
        <w:rPr>
          <w:rFonts w:ascii="Cambria Math" w:hAnsi="Cambria Math" w:cs="Cambria Math"/>
        </w:rPr>
        <w:t>‐</w:t>
      </w:r>
      <w:r w:rsidRPr="00FF4C0D">
        <w:rPr>
          <w:rFonts w:cs="Arial"/>
        </w:rPr>
        <w:t>containing foods or light emission</w:t>
      </w:r>
      <w:r w:rsidRPr="00FF4C0D">
        <w:rPr>
          <w:rStyle w:val="FootnoteReference"/>
          <w:rFonts w:cs="Arial"/>
        </w:rPr>
        <w:footnoteReference w:id="22"/>
      </w:r>
      <w:r w:rsidRPr="00FF4C0D">
        <w:rPr>
          <w:rFonts w:cs="Arial"/>
        </w:rPr>
        <w:t>:</w:t>
      </w:r>
    </w:p>
    <w:p w:rsidR="00F9134A" w:rsidRPr="00FF4C0D" w:rsidRDefault="00F9134A" w:rsidP="00F9134A">
      <w:pPr>
        <w:widowControl/>
        <w:rPr>
          <w:rFonts w:cs="Arial"/>
        </w:rPr>
      </w:pPr>
    </w:p>
    <w:p w:rsidR="00EB6213" w:rsidRPr="00FF4C0D" w:rsidRDefault="00EB6213" w:rsidP="00F9134A">
      <w:pPr>
        <w:pStyle w:val="FSBullet"/>
      </w:pPr>
      <w:r w:rsidRPr="00FF4C0D">
        <w:rPr>
          <w:lang w:eastAsia="en-GB"/>
        </w:rPr>
        <w:t xml:space="preserve">EN 1784:2003 Detection of irradiated food containing fat </w:t>
      </w:r>
      <w:r w:rsidRPr="00FF4C0D">
        <w:rPr>
          <w:rFonts w:ascii="Cambria Math" w:hAnsi="Cambria Math"/>
          <w:lang w:eastAsia="en-GB"/>
        </w:rPr>
        <w:t>‐</w:t>
      </w:r>
      <w:r w:rsidRPr="00FF4C0D">
        <w:rPr>
          <w:lang w:eastAsia="en-GB"/>
        </w:rPr>
        <w:t xml:space="preserve"> Gas chromatographic analysis of Hydrocarbons</w:t>
      </w:r>
    </w:p>
    <w:p w:rsidR="00EB6213" w:rsidRPr="00FF4C0D" w:rsidRDefault="00EB6213" w:rsidP="001617E8">
      <w:pPr>
        <w:pStyle w:val="FSBullet"/>
        <w:rPr>
          <w:lang w:eastAsia="en-GB"/>
        </w:rPr>
      </w:pPr>
      <w:r w:rsidRPr="00FF4C0D">
        <w:rPr>
          <w:lang w:eastAsia="en-GB"/>
        </w:rPr>
        <w:t xml:space="preserve">EN 1785:2003 Detection of irradiated food containing fat </w:t>
      </w:r>
      <w:r w:rsidRPr="00FF4C0D">
        <w:rPr>
          <w:rFonts w:ascii="Cambria Math" w:hAnsi="Cambria Math"/>
          <w:lang w:eastAsia="en-GB"/>
        </w:rPr>
        <w:t>‐</w:t>
      </w:r>
      <w:r w:rsidRPr="00FF4C0D">
        <w:rPr>
          <w:lang w:eastAsia="en-GB"/>
        </w:rPr>
        <w:t xml:space="preserve"> Gas chromatographic/mass</w:t>
      </w:r>
      <w:r w:rsidR="001617E8" w:rsidRPr="00FF4C0D">
        <w:rPr>
          <w:lang w:eastAsia="en-GB"/>
        </w:rPr>
        <w:t xml:space="preserve"> </w:t>
      </w:r>
      <w:r w:rsidRPr="00FF4C0D">
        <w:rPr>
          <w:lang w:eastAsia="en-GB"/>
        </w:rPr>
        <w:t>spectrometric analysis of 2</w:t>
      </w:r>
      <w:r w:rsidRPr="00FF4C0D">
        <w:rPr>
          <w:rFonts w:ascii="Cambria Math" w:hAnsi="Cambria Math"/>
          <w:lang w:eastAsia="en-GB"/>
        </w:rPr>
        <w:t>‐</w:t>
      </w:r>
      <w:r w:rsidRPr="00FF4C0D">
        <w:rPr>
          <w:lang w:eastAsia="en-GB"/>
        </w:rPr>
        <w:t>alkylcyclobutanones</w:t>
      </w:r>
    </w:p>
    <w:p w:rsidR="00EB6213" w:rsidRPr="00FF4C0D" w:rsidRDefault="00EB6213" w:rsidP="00EB6213">
      <w:pPr>
        <w:pStyle w:val="FSBullet"/>
        <w:rPr>
          <w:lang w:eastAsia="en-GB"/>
        </w:rPr>
      </w:pPr>
      <w:r w:rsidRPr="00FF4C0D">
        <w:rPr>
          <w:lang w:eastAsia="en-GB"/>
        </w:rPr>
        <w:t xml:space="preserve">EN 1786:1996 Detection of irradiated food containing bone </w:t>
      </w:r>
      <w:r w:rsidRPr="00FF4C0D">
        <w:rPr>
          <w:rFonts w:ascii="Cambria Math" w:hAnsi="Cambria Math"/>
          <w:lang w:eastAsia="en-GB"/>
        </w:rPr>
        <w:t>‐</w:t>
      </w:r>
      <w:r w:rsidRPr="00FF4C0D">
        <w:rPr>
          <w:lang w:eastAsia="en-GB"/>
        </w:rPr>
        <w:t xml:space="preserve"> Method by (electron spin resonance) ESR spectroscopy</w:t>
      </w:r>
    </w:p>
    <w:p w:rsidR="00EB6213" w:rsidRPr="00FF4C0D" w:rsidRDefault="00EB6213" w:rsidP="00EB6213">
      <w:pPr>
        <w:pStyle w:val="FSBullet"/>
        <w:rPr>
          <w:lang w:eastAsia="en-GB"/>
        </w:rPr>
      </w:pPr>
      <w:r w:rsidRPr="00FF4C0D">
        <w:rPr>
          <w:lang w:eastAsia="en-GB"/>
        </w:rPr>
        <w:t>EN 1787:2000 Detection of irradiated food containing cellulose by ESR spectroscopy</w:t>
      </w:r>
    </w:p>
    <w:p w:rsidR="00EB6213" w:rsidRPr="00FF4C0D" w:rsidRDefault="00EB6213" w:rsidP="00EB6213">
      <w:pPr>
        <w:pStyle w:val="FSBullet"/>
        <w:rPr>
          <w:lang w:eastAsia="en-GB"/>
        </w:rPr>
      </w:pPr>
      <w:r w:rsidRPr="00FF4C0D">
        <w:rPr>
          <w:lang w:eastAsia="en-GB"/>
        </w:rPr>
        <w:t>EN 1788:2001 Thermoluminescence detection of irradiated food from which silicate</w:t>
      </w:r>
    </w:p>
    <w:p w:rsidR="00EB6213" w:rsidRPr="00FF4C0D" w:rsidRDefault="00EB6213" w:rsidP="00EB6213">
      <w:pPr>
        <w:pStyle w:val="FSBullet"/>
        <w:rPr>
          <w:lang w:eastAsia="en-GB"/>
        </w:rPr>
      </w:pPr>
      <w:r w:rsidRPr="00FF4C0D">
        <w:rPr>
          <w:lang w:eastAsia="en-GB"/>
        </w:rPr>
        <w:t>minerals can be isolated</w:t>
      </w:r>
    </w:p>
    <w:p w:rsidR="00EB6213" w:rsidRPr="00FF4C0D" w:rsidRDefault="00EB6213" w:rsidP="00EB6213">
      <w:pPr>
        <w:pStyle w:val="FSBullet"/>
        <w:rPr>
          <w:lang w:eastAsia="en-GB"/>
        </w:rPr>
      </w:pPr>
      <w:r w:rsidRPr="00FF4C0D">
        <w:rPr>
          <w:lang w:eastAsia="en-GB"/>
        </w:rPr>
        <w:t>EN 13708:2001 Detection of irradiated food containing crystalline sugar by ESR spectroscopy</w:t>
      </w:r>
    </w:p>
    <w:p w:rsidR="00345562" w:rsidRPr="00FF4C0D" w:rsidRDefault="00EB6213" w:rsidP="00EB6213">
      <w:pPr>
        <w:pStyle w:val="FSBullet"/>
        <w:rPr>
          <w:lang w:eastAsia="en-GB"/>
        </w:rPr>
      </w:pPr>
      <w:r w:rsidRPr="00FF4C0D">
        <w:rPr>
          <w:lang w:eastAsia="en-GB"/>
        </w:rPr>
        <w:t>EN 13751:2002 Detection of irradiated food using photostimulated luminescence</w:t>
      </w:r>
      <w:r w:rsidR="00345562" w:rsidRPr="00FF4C0D">
        <w:rPr>
          <w:lang w:eastAsia="en-GB"/>
        </w:rPr>
        <w:br w:type="page"/>
      </w:r>
    </w:p>
    <w:p w:rsidR="00EB6213" w:rsidRPr="00FF4C0D" w:rsidRDefault="00EB6213" w:rsidP="00EB6213">
      <w:pPr>
        <w:pStyle w:val="FSBullet"/>
        <w:rPr>
          <w:lang w:eastAsia="en-GB"/>
        </w:rPr>
      </w:pPr>
      <w:r w:rsidRPr="00FF4C0D">
        <w:rPr>
          <w:lang w:eastAsia="en-GB"/>
        </w:rPr>
        <w:lastRenderedPageBreak/>
        <w:t xml:space="preserve">EN 13783:2001 Detection of irradiated food using Direct Epifluorescent Filter Technique/Aerobic Plate Count (DEFT/APC) </w:t>
      </w:r>
      <w:r w:rsidRPr="00FF4C0D">
        <w:rPr>
          <w:rFonts w:ascii="Cambria Math" w:hAnsi="Cambria Math"/>
          <w:lang w:eastAsia="en-GB"/>
        </w:rPr>
        <w:t>‐</w:t>
      </w:r>
      <w:r w:rsidRPr="00FF4C0D">
        <w:rPr>
          <w:lang w:eastAsia="en-GB"/>
        </w:rPr>
        <w:t xml:space="preserve"> Screening method</w:t>
      </w:r>
    </w:p>
    <w:p w:rsidR="00EB6213" w:rsidRPr="00FF4C0D" w:rsidRDefault="00EB6213" w:rsidP="00EB6213">
      <w:pPr>
        <w:pStyle w:val="FSBullet"/>
        <w:rPr>
          <w:lang w:eastAsia="en-GB"/>
        </w:rPr>
      </w:pPr>
      <w:r w:rsidRPr="00FF4C0D">
        <w:rPr>
          <w:lang w:eastAsia="en-GB"/>
        </w:rPr>
        <w:t xml:space="preserve">EN 13784:2001 DNA comet assay for the detection of irradiated foodstuffs </w:t>
      </w:r>
      <w:r w:rsidRPr="00FF4C0D">
        <w:rPr>
          <w:rFonts w:ascii="Cambria Math" w:hAnsi="Cambria Math"/>
          <w:lang w:eastAsia="en-GB"/>
        </w:rPr>
        <w:t>‐</w:t>
      </w:r>
      <w:r w:rsidRPr="00FF4C0D">
        <w:rPr>
          <w:lang w:eastAsia="en-GB"/>
        </w:rPr>
        <w:t xml:space="preserve"> Screening method</w:t>
      </w:r>
    </w:p>
    <w:p w:rsidR="00EB6213" w:rsidRPr="00FF4C0D" w:rsidRDefault="00EB6213" w:rsidP="00EB6213">
      <w:pPr>
        <w:pStyle w:val="FSBullet"/>
        <w:rPr>
          <w:lang w:eastAsia="en-GB"/>
        </w:rPr>
      </w:pPr>
      <w:r w:rsidRPr="00FF4C0D">
        <w:rPr>
          <w:lang w:eastAsia="en-GB"/>
        </w:rPr>
        <w:t>EN 14569:2004 Microbiological screening for irradiated food using LAL/GNB procedures</w:t>
      </w:r>
    </w:p>
    <w:p w:rsidR="00EB6213" w:rsidRPr="00FF4C0D" w:rsidRDefault="00EB6213" w:rsidP="001617E8"/>
    <w:p w:rsidR="00307FD9" w:rsidRPr="00FF4C0D" w:rsidRDefault="00EB6213" w:rsidP="00307FD9">
      <w:r w:rsidRPr="00FF4C0D">
        <w:t>Detection of irradiated food containing cellulose by ESR spectroscopy (</w:t>
      </w:r>
      <w:r w:rsidRPr="00FF4C0D">
        <w:rPr>
          <w:i/>
          <w:iCs/>
        </w:rPr>
        <w:t>EN 1787:2000</w:t>
      </w:r>
      <w:r w:rsidRPr="00FF4C0D">
        <w:t>) may have practical application in fruit and vegetables</w:t>
      </w:r>
      <w:r w:rsidR="00345562" w:rsidRPr="00FF4C0D">
        <w:t>. H</w:t>
      </w:r>
      <w:r w:rsidRPr="00FF4C0D">
        <w:t xml:space="preserve">owever, the technique is limited to detection of irradiated fruits for up to three weeks after treatment. </w:t>
      </w:r>
      <w:r w:rsidR="00757964" w:rsidRPr="00FF4C0D">
        <w:t>However</w:t>
      </w:r>
      <w:r w:rsidR="00EA059E" w:rsidRPr="00FF4C0D">
        <w:t>,</w:t>
      </w:r>
      <w:r w:rsidR="00757964" w:rsidRPr="00FF4C0D">
        <w:t xml:space="preserve"> d</w:t>
      </w:r>
      <w:r w:rsidRPr="00FF4C0D">
        <w:t xml:space="preserve">etection tests can assist to enforce labelling requirements </w:t>
      </w:r>
      <w:r w:rsidR="00757964" w:rsidRPr="00FF4C0D">
        <w:t>by</w:t>
      </w:r>
      <w:r w:rsidRPr="00FF4C0D">
        <w:t xml:space="preserve"> identifying irradiated fruit.</w:t>
      </w:r>
    </w:p>
    <w:p w:rsidR="00990A05" w:rsidRPr="00FF4C0D" w:rsidRDefault="00990A05" w:rsidP="00307FD9"/>
    <w:p w:rsidR="00990A05" w:rsidRPr="00FF4C0D" w:rsidRDefault="000C54B4" w:rsidP="00990A05">
      <w:pPr>
        <w:pStyle w:val="Heading4"/>
      </w:pPr>
      <w:r w:rsidRPr="00FF4C0D">
        <w:t>6</w:t>
      </w:r>
      <w:r w:rsidR="00BA14CE" w:rsidRPr="00FF4C0D">
        <w:t>.4</w:t>
      </w:r>
      <w:r w:rsidR="00990A05" w:rsidRPr="00FF4C0D">
        <w:t>.1</w:t>
      </w:r>
      <w:r w:rsidR="00990A05" w:rsidRPr="00FF4C0D">
        <w:tab/>
        <w:t xml:space="preserve">Issues raised during public consultation </w:t>
      </w:r>
    </w:p>
    <w:p w:rsidR="00990A05" w:rsidRPr="00FF4C0D" w:rsidRDefault="00990A05" w:rsidP="00990A05">
      <w:pPr>
        <w:rPr>
          <w:szCs w:val="22"/>
        </w:rPr>
      </w:pPr>
    </w:p>
    <w:p w:rsidR="00E36AC5" w:rsidRPr="00FF4C0D" w:rsidRDefault="00990A05" w:rsidP="00990A05">
      <w:r w:rsidRPr="00FF4C0D">
        <w:rPr>
          <w:szCs w:val="22"/>
        </w:rPr>
        <w:t xml:space="preserve">One submitter </w:t>
      </w:r>
      <w:r w:rsidR="008C4220" w:rsidRPr="00FF4C0D">
        <w:rPr>
          <w:szCs w:val="22"/>
        </w:rPr>
        <w:t xml:space="preserve">was concerned </w:t>
      </w:r>
      <w:r w:rsidR="009E025B" w:rsidRPr="00FF4C0D">
        <w:rPr>
          <w:szCs w:val="22"/>
        </w:rPr>
        <w:t xml:space="preserve">there was a </w:t>
      </w:r>
      <w:r w:rsidRPr="00FF4C0D">
        <w:rPr>
          <w:szCs w:val="22"/>
        </w:rPr>
        <w:t>lack of methods of detection fo</w:t>
      </w:r>
      <w:r w:rsidR="001159AB" w:rsidRPr="00FF4C0D">
        <w:rPr>
          <w:szCs w:val="22"/>
        </w:rPr>
        <w:t>r irradiated foods</w:t>
      </w:r>
      <w:r w:rsidRPr="00FF4C0D">
        <w:rPr>
          <w:szCs w:val="22"/>
        </w:rPr>
        <w:t xml:space="preserve">. </w:t>
      </w:r>
      <w:r w:rsidR="006F2637" w:rsidRPr="00FF4C0D">
        <w:t xml:space="preserve">It is correct that there is no internationally recognised single method of detection for irradiated foods; rather there are various methods. </w:t>
      </w:r>
      <w:r w:rsidR="00CC47A2" w:rsidRPr="00FF4C0D">
        <w:t>N</w:t>
      </w:r>
      <w:r w:rsidR="006F2637" w:rsidRPr="00FF4C0D">
        <w:t xml:space="preserve">o method of detection is absolutely specific in measurement of the actual dose applied as the changes that irradiation induces in foods is minimal. </w:t>
      </w:r>
      <w:r w:rsidR="0018713D" w:rsidRPr="00FF4C0D">
        <w:rPr>
          <w:szCs w:val="22"/>
        </w:rPr>
        <w:t xml:space="preserve">However, </w:t>
      </w:r>
      <w:r w:rsidR="006F2637" w:rsidRPr="00FF4C0D">
        <w:t>c</w:t>
      </w:r>
      <w:r w:rsidR="0018713D" w:rsidRPr="00FF4C0D">
        <w:t xml:space="preserve">ontrol of dose is </w:t>
      </w:r>
      <w:r w:rsidR="002F1ADF" w:rsidRPr="00FF4C0D">
        <w:t xml:space="preserve">also </w:t>
      </w:r>
      <w:r w:rsidR="0018713D" w:rsidRPr="00FF4C0D">
        <w:t>managed by accurate dosimetry and maintenance of records under the</w:t>
      </w:r>
      <w:r w:rsidR="00842304" w:rsidRPr="00FF4C0D">
        <w:t xml:space="preserve"> requirements of </w:t>
      </w:r>
      <w:r w:rsidR="00637272" w:rsidRPr="00FF4C0D">
        <w:t>Standard 1.5.3</w:t>
      </w:r>
      <w:r w:rsidR="00842304" w:rsidRPr="00FF4C0D">
        <w:t xml:space="preserve">. </w:t>
      </w:r>
    </w:p>
    <w:p w:rsidR="00030B18" w:rsidRPr="00FF4C0D" w:rsidRDefault="00030B18">
      <w:pPr>
        <w:widowControl/>
      </w:pPr>
    </w:p>
    <w:p w:rsidR="00030B18" w:rsidRPr="00FF4C0D" w:rsidRDefault="000C54B4" w:rsidP="00030B18">
      <w:pPr>
        <w:pStyle w:val="Heading3"/>
      </w:pPr>
      <w:bookmarkStart w:id="53" w:name="_Toc297029099"/>
      <w:r w:rsidRPr="00FF4C0D">
        <w:t>6</w:t>
      </w:r>
      <w:r w:rsidR="00030B18" w:rsidRPr="00FF4C0D">
        <w:t>.5</w:t>
      </w:r>
      <w:r w:rsidR="00030B18" w:rsidRPr="00FF4C0D">
        <w:tab/>
        <w:t>Labelling of irradiated foods</w:t>
      </w:r>
      <w:bookmarkEnd w:id="53"/>
      <w:r w:rsidR="00030B18" w:rsidRPr="00FF4C0D">
        <w:t xml:space="preserve"> </w:t>
      </w:r>
    </w:p>
    <w:p w:rsidR="001359F5" w:rsidRPr="00FF4C0D" w:rsidRDefault="001359F5" w:rsidP="001359F5"/>
    <w:p w:rsidR="00777A9A" w:rsidRPr="00FF4C0D" w:rsidRDefault="00272128" w:rsidP="00777A9A">
      <w:pPr>
        <w:widowControl/>
      </w:pPr>
      <w:r w:rsidRPr="00FF4C0D">
        <w:t>There is a mandatory requirement to label irradiated foods and FSANZ is not proposing any changes to those labelling requirements</w:t>
      </w:r>
      <w:r w:rsidR="00480B7B" w:rsidRPr="00FF4C0D">
        <w:t xml:space="preserve"> (refer to section 2)</w:t>
      </w:r>
      <w:r w:rsidRPr="00FF4C0D">
        <w:t xml:space="preserve">. </w:t>
      </w:r>
      <w:r w:rsidR="00C43E1E" w:rsidRPr="00FF4C0D">
        <w:t xml:space="preserve">However, FSANZ </w:t>
      </w:r>
      <w:r w:rsidR="00C16070" w:rsidRPr="00FF4C0D">
        <w:t xml:space="preserve">is </w:t>
      </w:r>
      <w:r w:rsidR="00C43E1E" w:rsidRPr="00FF4C0D">
        <w:t>recommend</w:t>
      </w:r>
      <w:r w:rsidR="00C16070" w:rsidRPr="00FF4C0D">
        <w:t xml:space="preserve">ing </w:t>
      </w:r>
      <w:r w:rsidR="00C43E1E" w:rsidRPr="00FF4C0D">
        <w:t>some minor changes</w:t>
      </w:r>
      <w:r w:rsidRPr="00FF4C0D">
        <w:t xml:space="preserve"> to specific labelling requirements</w:t>
      </w:r>
      <w:r w:rsidR="00C43E1E" w:rsidRPr="00FF4C0D">
        <w:t xml:space="preserve">. The first of these is deletion of </w:t>
      </w:r>
      <w:r w:rsidR="00302407" w:rsidRPr="00FF4C0D">
        <w:t xml:space="preserve">the statement </w:t>
      </w:r>
      <w:r w:rsidRPr="00FF4C0D">
        <w:rPr>
          <w:szCs w:val="22"/>
        </w:rPr>
        <w:t>‘treated with ionising electrons’</w:t>
      </w:r>
      <w:r w:rsidR="00345562" w:rsidRPr="00FF4C0D">
        <w:t xml:space="preserve"> in subclause 6</w:t>
      </w:r>
      <w:r w:rsidRPr="00FF4C0D">
        <w:t xml:space="preserve">(1) </w:t>
      </w:r>
      <w:r w:rsidR="00302407" w:rsidRPr="00FF4C0D">
        <w:t xml:space="preserve">of </w:t>
      </w:r>
      <w:r w:rsidR="00637272" w:rsidRPr="00FF4C0D">
        <w:t>Standard 1.5.3</w:t>
      </w:r>
      <w:r w:rsidR="00302407" w:rsidRPr="00FF4C0D">
        <w:t xml:space="preserve"> </w:t>
      </w:r>
      <w:r w:rsidR="00C43E1E" w:rsidRPr="00FF4C0D">
        <w:t>as this may be misleading for consumers. I</w:t>
      </w:r>
      <w:r w:rsidR="00302407" w:rsidRPr="00FF4C0D">
        <w:t>n addition</w:t>
      </w:r>
      <w:r w:rsidR="00C43E1E" w:rsidRPr="00FF4C0D">
        <w:t xml:space="preserve">, FSANZ also recommends </w:t>
      </w:r>
      <w:r w:rsidR="00302407" w:rsidRPr="00FF4C0D">
        <w:t xml:space="preserve">deletion </w:t>
      </w:r>
      <w:r w:rsidR="00C43E1E" w:rsidRPr="00FF4C0D">
        <w:t xml:space="preserve">of </w:t>
      </w:r>
      <w:r w:rsidRPr="00FF4C0D">
        <w:rPr>
          <w:szCs w:val="22"/>
        </w:rPr>
        <w:t>subclause 6(4) relating to labelling of irradiated foods other than for retail</w:t>
      </w:r>
      <w:r w:rsidR="00C43E1E" w:rsidRPr="00FF4C0D">
        <w:rPr>
          <w:szCs w:val="22"/>
        </w:rPr>
        <w:t>,</w:t>
      </w:r>
      <w:r w:rsidRPr="00FF4C0D">
        <w:rPr>
          <w:szCs w:val="22"/>
        </w:rPr>
        <w:t xml:space="preserve"> as it is repetitive </w:t>
      </w:r>
      <w:r w:rsidRPr="00FF4C0D">
        <w:t>and unnecessary and covered by other provisions in the Code</w:t>
      </w:r>
      <w:r w:rsidR="00E64933" w:rsidRPr="00FF4C0D">
        <w:t xml:space="preserve">. For a fuller discussion of these issues </w:t>
      </w:r>
      <w:r w:rsidR="00302407" w:rsidRPr="00FF4C0D">
        <w:t>see</w:t>
      </w:r>
      <w:r w:rsidR="00030B18" w:rsidRPr="00FF4C0D">
        <w:t xml:space="preserve"> </w:t>
      </w:r>
      <w:r w:rsidR="008037C3" w:rsidRPr="00FF4C0D">
        <w:t>7</w:t>
      </w:r>
      <w:r w:rsidR="00302407" w:rsidRPr="00FF4C0D">
        <w:t>.5 below</w:t>
      </w:r>
      <w:r w:rsidR="008C4220" w:rsidRPr="00FF4C0D">
        <w:t xml:space="preserve">. The following issues were </w:t>
      </w:r>
      <w:r w:rsidR="00936A7D" w:rsidRPr="00FF4C0D">
        <w:t>raised</w:t>
      </w:r>
      <w:r w:rsidR="008C4220" w:rsidRPr="00FF4C0D">
        <w:t xml:space="preserve"> during public consultation. </w:t>
      </w:r>
    </w:p>
    <w:p w:rsidR="009372B9" w:rsidRPr="00FF4C0D" w:rsidRDefault="009372B9" w:rsidP="009372B9"/>
    <w:p w:rsidR="00F84B81" w:rsidRPr="00FF4C0D" w:rsidRDefault="00A56AFC" w:rsidP="0068357C">
      <w:pPr>
        <w:pStyle w:val="Heading4"/>
      </w:pPr>
      <w:bookmarkStart w:id="54" w:name="_Toc11058402"/>
      <w:r w:rsidRPr="00FF4C0D">
        <w:t>6</w:t>
      </w:r>
      <w:r w:rsidR="00E32D63" w:rsidRPr="00FF4C0D">
        <w:t>.5.1</w:t>
      </w:r>
      <w:r w:rsidR="00E32D63" w:rsidRPr="00FF4C0D">
        <w:tab/>
        <w:t>Adequacy and legibility of current labelling requirements</w:t>
      </w:r>
    </w:p>
    <w:p w:rsidR="00F84B81" w:rsidRPr="00FF4C0D" w:rsidRDefault="00F84B81" w:rsidP="00F84B81"/>
    <w:p w:rsidR="00A25EF9" w:rsidRPr="00FF4C0D" w:rsidRDefault="007614D2" w:rsidP="00751255">
      <w:r w:rsidRPr="00FF4C0D">
        <w:t xml:space="preserve">Some submitters raised </w:t>
      </w:r>
      <w:r w:rsidR="003E6DD9" w:rsidRPr="00FF4C0D">
        <w:t>concerns around the adequacy and legibility of current labelling requirements for irradiated foods</w:t>
      </w:r>
      <w:r w:rsidR="008A23E0" w:rsidRPr="00FF4C0D">
        <w:t xml:space="preserve">. </w:t>
      </w:r>
      <w:r w:rsidR="00CC76D1" w:rsidRPr="00FF4C0D">
        <w:t xml:space="preserve">Other submitters were concerned that labelling would be removed as a requirement in </w:t>
      </w:r>
      <w:r w:rsidR="00637272" w:rsidRPr="00FF4C0D">
        <w:t>Standard 1.5.3</w:t>
      </w:r>
      <w:r w:rsidR="00264FDB" w:rsidRPr="00FF4C0D">
        <w:t xml:space="preserve"> </w:t>
      </w:r>
      <w:r w:rsidR="00CC76D1" w:rsidRPr="00FF4C0D">
        <w:t xml:space="preserve">(either in the current </w:t>
      </w:r>
      <w:r w:rsidR="00480B7B" w:rsidRPr="00FF4C0D">
        <w:t>A</w:t>
      </w:r>
      <w:r w:rsidR="00C44DD1" w:rsidRPr="00FF4C0D">
        <w:t>pplication</w:t>
      </w:r>
      <w:r w:rsidR="009C2ED1" w:rsidRPr="00FF4C0D">
        <w:t xml:space="preserve"> </w:t>
      </w:r>
      <w:r w:rsidR="00CC76D1" w:rsidRPr="00FF4C0D">
        <w:t>or under the Review of Food Labelling Law and Policy</w:t>
      </w:r>
      <w:r w:rsidR="00C44DD1" w:rsidRPr="00FF4C0D">
        <w:t>)</w:t>
      </w:r>
      <w:r w:rsidR="00CC76D1" w:rsidRPr="00FF4C0D">
        <w:t>.</w:t>
      </w:r>
      <w:r w:rsidR="009713F2" w:rsidRPr="00FF4C0D">
        <w:t xml:space="preserve"> S</w:t>
      </w:r>
      <w:r w:rsidR="00A25EF9" w:rsidRPr="00FF4C0D">
        <w:t xml:space="preserve">ubmitters </w:t>
      </w:r>
      <w:r w:rsidR="00480B7B" w:rsidRPr="00FF4C0D">
        <w:t xml:space="preserve">were </w:t>
      </w:r>
      <w:r w:rsidR="00A25EF9" w:rsidRPr="00FF4C0D">
        <w:t>concern</w:t>
      </w:r>
      <w:r w:rsidR="00480B7B" w:rsidRPr="00FF4C0D">
        <w:t>ed</w:t>
      </w:r>
      <w:r w:rsidR="00A25EF9" w:rsidRPr="00FF4C0D">
        <w:t xml:space="preserve"> that individual fruits </w:t>
      </w:r>
      <w:r w:rsidR="00480B7B" w:rsidRPr="00FF4C0D">
        <w:t xml:space="preserve">would </w:t>
      </w:r>
      <w:r w:rsidR="00A25EF9" w:rsidRPr="00FF4C0D">
        <w:t xml:space="preserve">not </w:t>
      </w:r>
      <w:r w:rsidR="00A56AFC" w:rsidRPr="00FF4C0D">
        <w:t xml:space="preserve">be </w:t>
      </w:r>
      <w:r w:rsidR="00A25EF9" w:rsidRPr="00FF4C0D">
        <w:t xml:space="preserve">labelled and were of the view that labelling should be mandated. It was thought that accompanying signage was not sufficient as a sign </w:t>
      </w:r>
      <w:r w:rsidR="00480B7B" w:rsidRPr="00FF4C0D">
        <w:t>would</w:t>
      </w:r>
      <w:r w:rsidR="00A25EF9" w:rsidRPr="00FF4C0D">
        <w:t xml:space="preserve"> not offer the same degree of </w:t>
      </w:r>
      <w:r w:rsidR="00A56AFC" w:rsidRPr="00FF4C0D">
        <w:t>information</w:t>
      </w:r>
      <w:r w:rsidR="00A25EF9" w:rsidRPr="00FF4C0D">
        <w:t xml:space="preserve"> at the point of consumption. </w:t>
      </w:r>
    </w:p>
    <w:p w:rsidR="00A25EF9" w:rsidRPr="00FF4C0D" w:rsidRDefault="00A25EF9" w:rsidP="00FD5C7B">
      <w:pPr>
        <w:rPr>
          <w:u w:val="single"/>
        </w:rPr>
      </w:pPr>
    </w:p>
    <w:p w:rsidR="00FD5C7B" w:rsidRPr="00FF4C0D" w:rsidRDefault="00A56AFC" w:rsidP="00751255">
      <w:pPr>
        <w:pStyle w:val="Heading5"/>
      </w:pPr>
      <w:r w:rsidRPr="00FF4C0D">
        <w:t>6</w:t>
      </w:r>
      <w:r w:rsidR="00480B7B" w:rsidRPr="00FF4C0D">
        <w:t>.5.1.1</w:t>
      </w:r>
      <w:r w:rsidR="00480B7B" w:rsidRPr="00FF4C0D">
        <w:tab/>
      </w:r>
      <w:r w:rsidR="00FD5C7B" w:rsidRPr="00FF4C0D">
        <w:t>FSANZ Response</w:t>
      </w:r>
    </w:p>
    <w:p w:rsidR="00FD5C7B" w:rsidRPr="00FF4C0D" w:rsidRDefault="00FD5C7B" w:rsidP="00F84B81"/>
    <w:p w:rsidR="00F84B81" w:rsidRPr="00FF4C0D" w:rsidRDefault="00F84B81" w:rsidP="00F84B81">
      <w:r w:rsidRPr="00FF4C0D">
        <w:t xml:space="preserve">In the absence of a </w:t>
      </w:r>
      <w:r w:rsidR="00C16070" w:rsidRPr="00FF4C0D">
        <w:t xml:space="preserve">food product </w:t>
      </w:r>
      <w:r w:rsidRPr="00FF4C0D">
        <w:t>label, the mandatory labelling statement must be displayed in close proximity to the food. These requirements reflect the status quo and FSANZ is not recommending a relaxation of labelling requirements for irradiation of approved foods.</w:t>
      </w:r>
    </w:p>
    <w:p w:rsidR="003E6DD9" w:rsidRPr="00FF4C0D" w:rsidRDefault="003E6DD9" w:rsidP="005222C5"/>
    <w:p w:rsidR="003E6DD9" w:rsidRPr="00FF4C0D" w:rsidRDefault="00C16070" w:rsidP="005222C5">
      <w:r w:rsidRPr="00FF4C0D">
        <w:t>A</w:t>
      </w:r>
      <w:r w:rsidR="003E6DD9" w:rsidRPr="00FF4C0D">
        <w:t>ny information required on a food label must comply with the legibility requirements in Standard 1.2.9 – Legibility Requirements. Standard 1.2.9 requires that all food labels present information so that it is legible, prominent (such as to afford a distinct contrast to the background), and in English. Non-compliance with the Code would be a matter for enforcement agencies.</w:t>
      </w:r>
    </w:p>
    <w:p w:rsidR="00345562" w:rsidRPr="00FF4C0D" w:rsidRDefault="00345562" w:rsidP="005222C5">
      <w:r w:rsidRPr="00FF4C0D">
        <w:br w:type="page"/>
      </w:r>
    </w:p>
    <w:p w:rsidR="008A23E0" w:rsidRPr="00FF4C0D" w:rsidRDefault="00342754" w:rsidP="005222C5">
      <w:r w:rsidRPr="00FF4C0D">
        <w:lastRenderedPageBreak/>
        <w:t>T</w:t>
      </w:r>
      <w:r w:rsidR="00260721" w:rsidRPr="00FF4C0D">
        <w:t>he recommendations made for drafting changes at Assessment were for clarification purposes</w:t>
      </w:r>
      <w:r w:rsidR="000C2AA1" w:rsidRPr="00FF4C0D">
        <w:t>,</w:t>
      </w:r>
      <w:r w:rsidR="00260721" w:rsidRPr="00FF4C0D">
        <w:t xml:space="preserve"> rather than a change to existing requirements. </w:t>
      </w:r>
      <w:r w:rsidR="00C44DD1" w:rsidRPr="00FF4C0D">
        <w:t>Subc</w:t>
      </w:r>
      <w:r w:rsidR="00260721" w:rsidRPr="00FF4C0D">
        <w:t xml:space="preserve">lause 6(3) of the </w:t>
      </w:r>
      <w:r w:rsidR="008A23E0" w:rsidRPr="00FF4C0D">
        <w:t>c</w:t>
      </w:r>
      <w:r w:rsidR="00260721" w:rsidRPr="00FF4C0D">
        <w:t>urrent Standard permits the information to be displayed on or in connection with the display of the food</w:t>
      </w:r>
      <w:r w:rsidR="008A23E0" w:rsidRPr="00FF4C0D">
        <w:t xml:space="preserve">, which is consistent with similar provisions in the Code (for example, labelling of genetically modified food). </w:t>
      </w:r>
    </w:p>
    <w:p w:rsidR="008A23E0" w:rsidRPr="00FF4C0D" w:rsidRDefault="008A23E0" w:rsidP="005222C5"/>
    <w:p w:rsidR="00260721" w:rsidRPr="00FF4C0D" w:rsidRDefault="00260721" w:rsidP="005222C5">
      <w:pPr>
        <w:rPr>
          <w:i/>
        </w:rPr>
      </w:pPr>
      <w:r w:rsidRPr="00FF4C0D">
        <w:t xml:space="preserve">The term ‘label’ is defined in clause 2 of Standard 1.1.1 to mean </w:t>
      </w:r>
      <w:r w:rsidRPr="00FF4C0D">
        <w:rPr>
          <w:i/>
        </w:rPr>
        <w:t>any tag, brand, mark or statement in writing or any representation or design or descriptive matter on or attached to or used in connection with or accompanying any food or package.</w:t>
      </w:r>
    </w:p>
    <w:p w:rsidR="00260721" w:rsidRPr="00FF4C0D" w:rsidRDefault="00260721" w:rsidP="00260721"/>
    <w:p w:rsidR="00156098" w:rsidRPr="00FF4C0D" w:rsidRDefault="00260721" w:rsidP="00342754">
      <w:r w:rsidRPr="00FF4C0D">
        <w:t xml:space="preserve">FSANZ has recently viewed </w:t>
      </w:r>
      <w:r w:rsidR="00CC76D1" w:rsidRPr="00FF4C0D">
        <w:t xml:space="preserve">some </w:t>
      </w:r>
      <w:r w:rsidRPr="00FF4C0D">
        <w:t>examples of labell</w:t>
      </w:r>
      <w:r w:rsidR="00CC76D1" w:rsidRPr="00FF4C0D">
        <w:t>ed stickers</w:t>
      </w:r>
      <w:r w:rsidRPr="00FF4C0D">
        <w:t xml:space="preserve"> </w:t>
      </w:r>
      <w:r w:rsidR="00FD5C7B" w:rsidRPr="00FF4C0D">
        <w:t xml:space="preserve">collected from supermarkets and </w:t>
      </w:r>
      <w:r w:rsidRPr="00FF4C0D">
        <w:t xml:space="preserve">provided by industry on </w:t>
      </w:r>
      <w:r w:rsidR="00E86FCD" w:rsidRPr="00FF4C0D">
        <w:t xml:space="preserve">individual </w:t>
      </w:r>
      <w:r w:rsidRPr="00FF4C0D">
        <w:t xml:space="preserve">fruits. This demonstrates that industry </w:t>
      </w:r>
      <w:r w:rsidR="00936A7D" w:rsidRPr="00FF4C0D">
        <w:t>is voluntarily</w:t>
      </w:r>
      <w:r w:rsidRPr="00FF4C0D">
        <w:t xml:space="preserve"> labelling individual tropical fruits (e.g. mangoes) when exported to New Zealand</w:t>
      </w:r>
      <w:r w:rsidR="008A23E0" w:rsidRPr="00FF4C0D">
        <w:t xml:space="preserve">. </w:t>
      </w:r>
      <w:r w:rsidRPr="00FF4C0D">
        <w:t>In some circumstances</w:t>
      </w:r>
      <w:r w:rsidR="000C2AA1" w:rsidRPr="00FF4C0D">
        <w:t>,</w:t>
      </w:r>
      <w:r w:rsidR="00CC76D1" w:rsidRPr="00FF4C0D">
        <w:t xml:space="preserve"> labelling on the stickers </w:t>
      </w:r>
      <w:r w:rsidRPr="00FF4C0D">
        <w:t>also include</w:t>
      </w:r>
      <w:r w:rsidR="00E86FCD" w:rsidRPr="00FF4C0D">
        <w:t>s</w:t>
      </w:r>
      <w:r w:rsidRPr="00FF4C0D">
        <w:t xml:space="preserve"> the optional Radura symbol. </w:t>
      </w:r>
    </w:p>
    <w:p w:rsidR="00156098" w:rsidRPr="00FF4C0D" w:rsidRDefault="00156098" w:rsidP="005222C5"/>
    <w:p w:rsidR="00544039" w:rsidRPr="00FF4C0D" w:rsidRDefault="00544039" w:rsidP="00260721">
      <w:r w:rsidRPr="00FF4C0D">
        <w:rPr>
          <w:rFonts w:eastAsia="Calibri" w:cs="Arial"/>
          <w:iCs/>
          <w:szCs w:val="22"/>
        </w:rPr>
        <w:t>In response to submitter concerns about recommendations made in the final Report of the Review of Food Labelling Law and Policy</w:t>
      </w:r>
      <w:r w:rsidRPr="00FF4C0D">
        <w:rPr>
          <w:rStyle w:val="FootnoteReference"/>
          <w:rFonts w:eastAsia="Calibri" w:cs="Arial"/>
          <w:iCs/>
          <w:szCs w:val="22"/>
        </w:rPr>
        <w:footnoteReference w:id="23"/>
      </w:r>
      <w:r w:rsidRPr="00FF4C0D">
        <w:rPr>
          <w:rFonts w:eastAsia="Calibri" w:cs="Arial"/>
          <w:iCs/>
          <w:szCs w:val="22"/>
        </w:rPr>
        <w:t xml:space="preserve">, the Report includes the recommendation that the requirement for mandatory labelling of irradiated food be reviewed (Recommendation 34). </w:t>
      </w:r>
      <w:r w:rsidR="00DF162C" w:rsidRPr="00FF4C0D">
        <w:rPr>
          <w:rFonts w:eastAsia="Calibri" w:cs="Arial"/>
          <w:iCs/>
          <w:szCs w:val="22"/>
        </w:rPr>
        <w:t>A</w:t>
      </w:r>
      <w:r w:rsidRPr="00FF4C0D">
        <w:rPr>
          <w:rFonts w:eastAsia="Calibri" w:cs="Arial"/>
          <w:iCs/>
          <w:szCs w:val="22"/>
        </w:rPr>
        <w:t xml:space="preserve"> whole-of-government response </w:t>
      </w:r>
      <w:r w:rsidR="00DF162C" w:rsidRPr="00FF4C0D">
        <w:rPr>
          <w:rFonts w:eastAsia="Calibri" w:cs="Arial"/>
          <w:iCs/>
          <w:szCs w:val="22"/>
        </w:rPr>
        <w:t xml:space="preserve">is being prepared </w:t>
      </w:r>
      <w:r w:rsidRPr="00FF4C0D">
        <w:rPr>
          <w:rFonts w:eastAsia="Calibri" w:cs="Arial"/>
          <w:iCs/>
          <w:szCs w:val="22"/>
        </w:rPr>
        <w:t xml:space="preserve">to </w:t>
      </w:r>
      <w:r w:rsidR="00DF162C" w:rsidRPr="00FF4C0D">
        <w:rPr>
          <w:rFonts w:eastAsia="Calibri" w:cs="Arial"/>
          <w:iCs/>
          <w:szCs w:val="22"/>
        </w:rPr>
        <w:t xml:space="preserve">the </w:t>
      </w:r>
      <w:r w:rsidRPr="00FF4C0D">
        <w:rPr>
          <w:rFonts w:eastAsia="Calibri" w:cs="Arial"/>
          <w:iCs/>
          <w:szCs w:val="22"/>
        </w:rPr>
        <w:t>recommendations</w:t>
      </w:r>
      <w:r w:rsidR="00DF162C" w:rsidRPr="00FF4C0D">
        <w:rPr>
          <w:rFonts w:eastAsia="Calibri" w:cs="Arial"/>
          <w:iCs/>
          <w:szCs w:val="22"/>
        </w:rPr>
        <w:t xml:space="preserve">, and </w:t>
      </w:r>
      <w:r w:rsidR="00EA059E" w:rsidRPr="00FF4C0D">
        <w:rPr>
          <w:rFonts w:eastAsia="Calibri" w:cs="Arial"/>
          <w:iCs/>
          <w:szCs w:val="22"/>
        </w:rPr>
        <w:t xml:space="preserve">is expected </w:t>
      </w:r>
      <w:r w:rsidR="00C963D4" w:rsidRPr="00FF4C0D">
        <w:rPr>
          <w:rFonts w:eastAsia="Calibri" w:cs="Arial"/>
          <w:iCs/>
          <w:szCs w:val="22"/>
        </w:rPr>
        <w:t>to be</w:t>
      </w:r>
      <w:r w:rsidR="00DF162C" w:rsidRPr="00FF4C0D">
        <w:rPr>
          <w:rFonts w:eastAsia="Calibri" w:cs="Arial"/>
          <w:iCs/>
          <w:szCs w:val="22"/>
        </w:rPr>
        <w:t xml:space="preserve"> considered by Ministers </w:t>
      </w:r>
      <w:r w:rsidRPr="00FF4C0D">
        <w:rPr>
          <w:rFonts w:eastAsia="Calibri" w:cs="Arial"/>
          <w:iCs/>
          <w:szCs w:val="22"/>
        </w:rPr>
        <w:t xml:space="preserve">in December 2011. FSANZ will respond to any requests from Ministers to review the issue of mandatory labelling of irradiated food, should this occur. </w:t>
      </w:r>
    </w:p>
    <w:p w:rsidR="00260721" w:rsidRPr="00FF4C0D" w:rsidRDefault="00260721" w:rsidP="005222C5"/>
    <w:p w:rsidR="00260721" w:rsidRPr="00FF4C0D" w:rsidRDefault="00342754" w:rsidP="00751255">
      <w:pPr>
        <w:pStyle w:val="Heading4"/>
      </w:pPr>
      <w:r w:rsidRPr="00FF4C0D">
        <w:t>6</w:t>
      </w:r>
      <w:r w:rsidR="000C2AA1" w:rsidRPr="00FF4C0D">
        <w:t>.5.2</w:t>
      </w:r>
      <w:r w:rsidR="000C2AA1" w:rsidRPr="00FF4C0D">
        <w:tab/>
      </w:r>
      <w:r w:rsidR="00A749DC" w:rsidRPr="00FF4C0D">
        <w:t>Wording of labelling statements</w:t>
      </w:r>
    </w:p>
    <w:p w:rsidR="00260721" w:rsidRPr="00FF4C0D" w:rsidRDefault="00260721" w:rsidP="005222C5"/>
    <w:p w:rsidR="005700B2" w:rsidRPr="00FF4C0D" w:rsidRDefault="00FF4741" w:rsidP="005222C5">
      <w:r w:rsidRPr="00FF4C0D">
        <w:t xml:space="preserve">Some </w:t>
      </w:r>
      <w:r w:rsidR="005700B2" w:rsidRPr="00FF4C0D">
        <w:t>s</w:t>
      </w:r>
      <w:r w:rsidR="00A749DC" w:rsidRPr="00FF4C0D">
        <w:t xml:space="preserve">ubmitters believed that FSANZ should prescribe </w:t>
      </w:r>
      <w:r w:rsidR="00E86FCD" w:rsidRPr="00FF4C0D">
        <w:t>a labelling statement, for example</w:t>
      </w:r>
      <w:r w:rsidR="00A749DC" w:rsidRPr="00FF4C0D" w:rsidDel="000F65A6">
        <w:t xml:space="preserve"> ‘Irradiated’, ‘Treated with radiation’, ‘Treated with (or by) irradiation’, ‘Irradiated with electrons’ or ‘Irradiated with X-rays’</w:t>
      </w:r>
      <w:r w:rsidR="008A23E0" w:rsidRPr="00FF4C0D">
        <w:t xml:space="preserve">. </w:t>
      </w:r>
    </w:p>
    <w:p w:rsidR="005700B2" w:rsidRPr="00FF4C0D" w:rsidRDefault="005700B2" w:rsidP="005222C5"/>
    <w:p w:rsidR="005700B2" w:rsidRPr="00FF4C0D" w:rsidRDefault="005700B2" w:rsidP="005222C5">
      <w:r w:rsidRPr="00FF4C0D">
        <w:t>Two submitters proposed that certain labelling statements be prohibited</w:t>
      </w:r>
      <w:r w:rsidR="00D73B21" w:rsidRPr="00FF4C0D">
        <w:t xml:space="preserve"> as they </w:t>
      </w:r>
      <w:r w:rsidR="00E86FCD" w:rsidRPr="00FF4C0D">
        <w:t xml:space="preserve">considered them to be </w:t>
      </w:r>
      <w:r w:rsidR="00D73B21" w:rsidRPr="00FF4C0D">
        <w:t>potentially misleading</w:t>
      </w:r>
      <w:r w:rsidRPr="00FF4C0D">
        <w:t>, for example ‘Cold pasteurisation’, ‘Picowaved’, and ‘Electronically treated’</w:t>
      </w:r>
      <w:r w:rsidR="008A23E0" w:rsidRPr="00FF4C0D">
        <w:t xml:space="preserve">. </w:t>
      </w:r>
    </w:p>
    <w:p w:rsidR="005700B2" w:rsidRPr="00FF4C0D" w:rsidRDefault="005700B2" w:rsidP="005222C5"/>
    <w:p w:rsidR="00A749DC" w:rsidRPr="00FF4C0D" w:rsidRDefault="005700B2" w:rsidP="00A749DC">
      <w:pPr>
        <w:pStyle w:val="FSBullet"/>
        <w:ind w:left="0" w:firstLine="0"/>
      </w:pPr>
      <w:r w:rsidRPr="00FF4C0D">
        <w:t>Two submitters supported the removal of the current example ‘Treated with ionising electrons’.</w:t>
      </w:r>
      <w:r w:rsidR="00E86FCD" w:rsidRPr="00FF4C0D">
        <w:t xml:space="preserve"> One submitter suggested that positive statements be prohibited, for example ‘Treated with irradiation – to protect New Zealand’s environment’. In their view, the use of a positive statement about</w:t>
      </w:r>
      <w:r w:rsidR="00501542" w:rsidRPr="00FF4C0D">
        <w:t xml:space="preserve"> </w:t>
      </w:r>
      <w:r w:rsidR="00E86FCD" w:rsidRPr="00FF4C0D">
        <w:t>without</w:t>
      </w:r>
      <w:r w:rsidR="00501542" w:rsidRPr="00FF4C0D">
        <w:t xml:space="preserve"> a </w:t>
      </w:r>
      <w:r w:rsidR="00E86FCD" w:rsidRPr="00FF4C0D">
        <w:t>requirement</w:t>
      </w:r>
      <w:r w:rsidR="00501542" w:rsidRPr="00FF4C0D">
        <w:t xml:space="preserve"> to state </w:t>
      </w:r>
      <w:r w:rsidR="00E86FCD" w:rsidRPr="00FF4C0D">
        <w:t>negative impacts</w:t>
      </w:r>
      <w:r w:rsidR="00501542" w:rsidRPr="00FF4C0D">
        <w:t xml:space="preserve"> was </w:t>
      </w:r>
      <w:r w:rsidR="00E86FCD" w:rsidRPr="00FF4C0D">
        <w:t>biased and inappropriate for fair consumer education.</w:t>
      </w:r>
    </w:p>
    <w:p w:rsidR="00A749DC" w:rsidRPr="00FF4C0D" w:rsidDel="000F65A6" w:rsidRDefault="00A749DC" w:rsidP="00A749DC">
      <w:pPr>
        <w:pStyle w:val="FSBullet"/>
        <w:ind w:left="0" w:firstLine="0"/>
      </w:pPr>
    </w:p>
    <w:p w:rsidR="00FD5C7B" w:rsidRPr="00FF4C0D" w:rsidRDefault="00342754" w:rsidP="00751255">
      <w:pPr>
        <w:pStyle w:val="Heading5"/>
      </w:pPr>
      <w:r w:rsidRPr="00FF4C0D">
        <w:t>6</w:t>
      </w:r>
      <w:r w:rsidR="001A6BC8" w:rsidRPr="00FF4C0D">
        <w:t>.5.2.1</w:t>
      </w:r>
      <w:r w:rsidR="001A6BC8" w:rsidRPr="00FF4C0D">
        <w:tab/>
      </w:r>
      <w:r w:rsidR="00FD5C7B" w:rsidRPr="00FF4C0D">
        <w:t>FSANZ Response</w:t>
      </w:r>
    </w:p>
    <w:p w:rsidR="00FD5C7B" w:rsidRPr="00FF4C0D" w:rsidRDefault="00FD5C7B" w:rsidP="005222C5"/>
    <w:p w:rsidR="00E86FCD" w:rsidRPr="00FF4C0D" w:rsidRDefault="00D73B21" w:rsidP="005222C5">
      <w:r w:rsidRPr="00FF4C0D">
        <w:t>F</w:t>
      </w:r>
      <w:r w:rsidR="00F84B81" w:rsidRPr="00FF4C0D">
        <w:t>SANZ acknowledges the new labelling statements proposed by submitters</w:t>
      </w:r>
      <w:r w:rsidR="005700B2" w:rsidRPr="00FF4C0D">
        <w:t xml:space="preserve"> and suggestions from others to prohibit the use of certain statements</w:t>
      </w:r>
      <w:r w:rsidR="008A23E0" w:rsidRPr="00FF4C0D">
        <w:t xml:space="preserve">. </w:t>
      </w:r>
      <w:r w:rsidRPr="00FF4C0D">
        <w:t xml:space="preserve">However, </w:t>
      </w:r>
      <w:r w:rsidR="00C44DD1" w:rsidRPr="00FF4C0D">
        <w:t>sub</w:t>
      </w:r>
      <w:r w:rsidR="00F84B81" w:rsidRPr="00FF4C0D">
        <w:t xml:space="preserve">clause 6(1) of </w:t>
      </w:r>
      <w:r w:rsidR="00637272" w:rsidRPr="00FF4C0D">
        <w:t>Standard 1.5.3</w:t>
      </w:r>
      <w:r w:rsidR="00264FDB" w:rsidRPr="00FF4C0D">
        <w:t xml:space="preserve"> </w:t>
      </w:r>
      <w:r w:rsidR="0029620C" w:rsidRPr="00FF4C0D">
        <w:t>does not prescribe wording to be used to identify irradiated foods</w:t>
      </w:r>
      <w:r w:rsidR="008A23E0" w:rsidRPr="00FF4C0D">
        <w:t xml:space="preserve">. </w:t>
      </w:r>
      <w:r w:rsidR="00DF162C" w:rsidRPr="00FF4C0D">
        <w:t xml:space="preserve">As noted earlier, FSANZ will respond to any requests from Ministers to review the issue of mandatory labelling of irradiated food, should this occur. </w:t>
      </w:r>
      <w:r w:rsidR="00E86FCD" w:rsidRPr="00FF4C0D">
        <w:t xml:space="preserve">An indication of the purpose of food irradiation (e.g. a positive statement such as ‘Treated with irradiation </w:t>
      </w:r>
      <w:r w:rsidR="009E025B" w:rsidRPr="00FF4C0D">
        <w:t>–</w:t>
      </w:r>
      <w:r w:rsidR="00E86FCD" w:rsidRPr="00FF4C0D">
        <w:t xml:space="preserve"> to protect the New Zealand environment’) would not be prohibited from being placed on the label provided that is was not false, misleading or deceptive or likely to mislead or deceive.</w:t>
      </w:r>
    </w:p>
    <w:p w:rsidR="00E86FCD" w:rsidRPr="00FF4C0D" w:rsidRDefault="00E86FCD" w:rsidP="00A749DC">
      <w:pPr>
        <w:pStyle w:val="Heading4"/>
        <w:rPr>
          <w:i w:val="0"/>
          <w:u w:val="single"/>
        </w:rPr>
      </w:pPr>
    </w:p>
    <w:p w:rsidR="00345562" w:rsidRPr="00FF4C0D" w:rsidRDefault="00345562" w:rsidP="00751255">
      <w:pPr>
        <w:pStyle w:val="Heading4"/>
      </w:pPr>
      <w:r w:rsidRPr="00FF4C0D">
        <w:br w:type="page"/>
      </w:r>
    </w:p>
    <w:p w:rsidR="00F84B81" w:rsidRPr="00FF4C0D" w:rsidRDefault="00342754" w:rsidP="00751255">
      <w:pPr>
        <w:pStyle w:val="Heading4"/>
      </w:pPr>
      <w:r w:rsidRPr="00FF4C0D">
        <w:lastRenderedPageBreak/>
        <w:t>6</w:t>
      </w:r>
      <w:r w:rsidR="00422BCF" w:rsidRPr="00FF4C0D">
        <w:t>.5.3</w:t>
      </w:r>
      <w:r w:rsidR="00422BCF" w:rsidRPr="00FF4C0D">
        <w:tab/>
      </w:r>
      <w:r w:rsidR="00A749DC" w:rsidRPr="00FF4C0D">
        <w:t>Enforcement issues</w:t>
      </w:r>
    </w:p>
    <w:p w:rsidR="00A749DC" w:rsidRPr="00FF4C0D" w:rsidRDefault="00A749DC" w:rsidP="00F84B81"/>
    <w:p w:rsidR="00A749DC" w:rsidRPr="00FF4C0D" w:rsidRDefault="00A749DC" w:rsidP="001617E8">
      <w:r w:rsidRPr="00FF4C0D">
        <w:t>Some submitters were of the view that the</w:t>
      </w:r>
      <w:r w:rsidR="00203A7E" w:rsidRPr="00FF4C0D">
        <w:t xml:space="preserve">re is a </w:t>
      </w:r>
      <w:r w:rsidRPr="00FF4C0D">
        <w:t xml:space="preserve">lack of enforcement </w:t>
      </w:r>
      <w:r w:rsidR="00E86FCD" w:rsidRPr="00FF4C0D">
        <w:t>activity in relation to l</w:t>
      </w:r>
      <w:r w:rsidRPr="00FF4C0D">
        <w:t>abelling of irradiated foods.</w:t>
      </w:r>
    </w:p>
    <w:p w:rsidR="00D73B21" w:rsidRPr="00FF4C0D" w:rsidRDefault="00D73B21" w:rsidP="00FD5C7B">
      <w:pPr>
        <w:rPr>
          <w:u w:val="single"/>
        </w:rPr>
      </w:pPr>
    </w:p>
    <w:p w:rsidR="00FD5C7B" w:rsidRPr="00FF4C0D" w:rsidRDefault="00342754" w:rsidP="00751255">
      <w:pPr>
        <w:pStyle w:val="Heading5"/>
      </w:pPr>
      <w:r w:rsidRPr="00FF4C0D">
        <w:t>6</w:t>
      </w:r>
      <w:r w:rsidR="00422BCF" w:rsidRPr="00FF4C0D">
        <w:t>.5.3.1</w:t>
      </w:r>
      <w:r w:rsidR="00422BCF" w:rsidRPr="00FF4C0D">
        <w:tab/>
      </w:r>
      <w:r w:rsidR="00FD5C7B" w:rsidRPr="00FF4C0D">
        <w:t>FSANZ Response</w:t>
      </w:r>
    </w:p>
    <w:p w:rsidR="00FD5C7B" w:rsidRPr="00FF4C0D" w:rsidRDefault="00FD5C7B" w:rsidP="00F84B81"/>
    <w:p w:rsidR="00272339" w:rsidRPr="00FF4C0D" w:rsidRDefault="00272339" w:rsidP="00272339">
      <w:r w:rsidRPr="00FF4C0D">
        <w:t xml:space="preserve">While FSANZ is responsible for considering the enforceability of a provision during standards development, the adequacy of enforcement activity is outside our objectives in </w:t>
      </w:r>
      <w:r w:rsidR="00597E28" w:rsidRPr="00FF4C0D">
        <w:t>developing</w:t>
      </w:r>
      <w:r w:rsidRPr="00FF4C0D">
        <w:t xml:space="preserve"> a food standard and is the responsibility of the states and territories in Australia, and </w:t>
      </w:r>
      <w:r w:rsidR="00304CCE" w:rsidRPr="00FF4C0D">
        <w:t>NZMAF</w:t>
      </w:r>
      <w:r w:rsidRPr="00FF4C0D">
        <w:t xml:space="preserve"> in New Zealand. </w:t>
      </w:r>
    </w:p>
    <w:p w:rsidR="00272339" w:rsidRPr="00FF4C0D" w:rsidRDefault="00272339" w:rsidP="00271A08">
      <w:pPr>
        <w:rPr>
          <w:i/>
          <w:u w:val="single"/>
        </w:rPr>
      </w:pPr>
    </w:p>
    <w:p w:rsidR="00F84B81" w:rsidRPr="00FF4C0D" w:rsidRDefault="00342754" w:rsidP="00751255">
      <w:pPr>
        <w:pStyle w:val="Heading4"/>
      </w:pPr>
      <w:r w:rsidRPr="00FF4C0D">
        <w:t>6</w:t>
      </w:r>
      <w:r w:rsidR="00422BCF" w:rsidRPr="00FF4C0D">
        <w:t>.5.4</w:t>
      </w:r>
      <w:r w:rsidR="00422BCF" w:rsidRPr="00FF4C0D">
        <w:tab/>
      </w:r>
      <w:r w:rsidR="00F84B81" w:rsidRPr="00FF4C0D">
        <w:t>Radura symbol</w:t>
      </w:r>
    </w:p>
    <w:p w:rsidR="00A749DC" w:rsidRPr="00FF4C0D" w:rsidRDefault="00A749DC" w:rsidP="001A5041">
      <w:pPr>
        <w:rPr>
          <w:rFonts w:eastAsia="Calibri" w:cs="Arial"/>
          <w:i/>
          <w:iCs/>
          <w:szCs w:val="22"/>
        </w:rPr>
      </w:pPr>
    </w:p>
    <w:p w:rsidR="00A749DC" w:rsidRPr="00FF4C0D" w:rsidRDefault="00D73B21" w:rsidP="00A749DC">
      <w:pPr>
        <w:pStyle w:val="FSBullet"/>
        <w:ind w:left="0" w:firstLine="0"/>
      </w:pPr>
      <w:r w:rsidRPr="00FF4C0D">
        <w:rPr>
          <w:szCs w:val="22"/>
          <w:lang w:eastAsia="en-AU" w:bidi="ar-SA"/>
        </w:rPr>
        <w:t xml:space="preserve">Two </w:t>
      </w:r>
      <w:r w:rsidR="00A749DC" w:rsidRPr="00FF4C0D">
        <w:rPr>
          <w:szCs w:val="22"/>
          <w:lang w:eastAsia="en-AU" w:bidi="ar-SA"/>
        </w:rPr>
        <w:t xml:space="preserve">submitters suggested </w:t>
      </w:r>
      <w:r w:rsidRPr="00FF4C0D">
        <w:rPr>
          <w:szCs w:val="22"/>
          <w:lang w:eastAsia="en-AU" w:bidi="ar-SA"/>
        </w:rPr>
        <w:t xml:space="preserve">that the </w:t>
      </w:r>
      <w:r w:rsidR="00A749DC" w:rsidRPr="00FF4C0D">
        <w:t xml:space="preserve">Radura symbol </w:t>
      </w:r>
      <w:r w:rsidRPr="00FF4C0D">
        <w:t>be prohibited</w:t>
      </w:r>
      <w:r w:rsidR="008A23E0" w:rsidRPr="00FF4C0D">
        <w:t xml:space="preserve">. </w:t>
      </w:r>
      <w:r w:rsidRPr="00FF4C0D">
        <w:t xml:space="preserve">One of these submitters was of the view that the symbol was </w:t>
      </w:r>
      <w:r w:rsidR="00A749DC" w:rsidRPr="00FF4C0D">
        <w:t>designed to lead consumers to believe that irradiation is clean and green</w:t>
      </w:r>
      <w:r w:rsidR="008A23E0" w:rsidRPr="00FF4C0D">
        <w:t xml:space="preserve">. </w:t>
      </w:r>
      <w:r w:rsidRPr="00FF4C0D">
        <w:t>The other submitter was concerned that it appeared more like an endorsement for a health foundation than a warning sign</w:t>
      </w:r>
      <w:r w:rsidR="008A23E0" w:rsidRPr="00FF4C0D">
        <w:t xml:space="preserve">. </w:t>
      </w:r>
    </w:p>
    <w:p w:rsidR="00D73B21" w:rsidRPr="00FF4C0D" w:rsidRDefault="00D73B21" w:rsidP="00D73B21"/>
    <w:p w:rsidR="00D73B21" w:rsidRPr="00FF4C0D" w:rsidRDefault="00D73B21" w:rsidP="00D73B21">
      <w:r w:rsidRPr="00FF4C0D">
        <w:t>One submitter support</w:t>
      </w:r>
      <w:r w:rsidR="00422BCF" w:rsidRPr="00FF4C0D">
        <w:t>ed</w:t>
      </w:r>
      <w:r w:rsidRPr="00FF4C0D">
        <w:t xml:space="preserve"> the use of the Radura symbol</w:t>
      </w:r>
      <w:r w:rsidR="008A23E0" w:rsidRPr="00FF4C0D">
        <w:t xml:space="preserve">. </w:t>
      </w:r>
      <w:r w:rsidRPr="00FF4C0D">
        <w:t xml:space="preserve">They also </w:t>
      </w:r>
      <w:r w:rsidRPr="00FF4C0D">
        <w:rPr>
          <w:rFonts w:cs="Arial"/>
          <w:szCs w:val="22"/>
          <w:lang w:eastAsia="en-AU" w:bidi="ar-SA"/>
        </w:rPr>
        <w:t>suggested that industry have the option to add a phrase in conjunction with the symbol that adequately depict</w:t>
      </w:r>
      <w:r w:rsidR="007651C2" w:rsidRPr="00FF4C0D">
        <w:rPr>
          <w:rFonts w:cs="Arial"/>
          <w:szCs w:val="22"/>
          <w:lang w:eastAsia="en-AU" w:bidi="ar-SA"/>
        </w:rPr>
        <w:t>ed</w:t>
      </w:r>
      <w:r w:rsidRPr="00FF4C0D">
        <w:rPr>
          <w:rFonts w:cs="Arial"/>
          <w:szCs w:val="22"/>
          <w:lang w:eastAsia="en-AU" w:bidi="ar-SA"/>
        </w:rPr>
        <w:t xml:space="preserve"> the reason for the treatment.</w:t>
      </w:r>
    </w:p>
    <w:p w:rsidR="00FD5C7B" w:rsidRPr="00FF4C0D" w:rsidRDefault="00FD5C7B" w:rsidP="00FD5C7B">
      <w:pPr>
        <w:rPr>
          <w:u w:val="single"/>
        </w:rPr>
      </w:pPr>
    </w:p>
    <w:p w:rsidR="009B4A0D" w:rsidRPr="00FF4C0D" w:rsidRDefault="00342754">
      <w:pPr>
        <w:pStyle w:val="Heading5"/>
      </w:pPr>
      <w:r w:rsidRPr="00FF4C0D">
        <w:t>6</w:t>
      </w:r>
      <w:r w:rsidR="00422BCF" w:rsidRPr="00FF4C0D">
        <w:t>.5.4.1</w:t>
      </w:r>
      <w:r w:rsidR="00422BCF" w:rsidRPr="00FF4C0D">
        <w:tab/>
      </w:r>
      <w:r w:rsidR="00FD5C7B" w:rsidRPr="00FF4C0D">
        <w:t>FSANZ Response</w:t>
      </w:r>
    </w:p>
    <w:p w:rsidR="009B4A0D" w:rsidRPr="00FF4C0D" w:rsidRDefault="009B4A0D" w:rsidP="002D3CB7"/>
    <w:p w:rsidR="009B4A0D" w:rsidRPr="00FF4C0D" w:rsidRDefault="00F84B81" w:rsidP="002D3CB7">
      <w:r w:rsidRPr="00FF4C0D">
        <w:rPr>
          <w:lang w:eastAsia="en-AU" w:bidi="ar-SA"/>
        </w:rPr>
        <w:t xml:space="preserve">The </w:t>
      </w:r>
      <w:r w:rsidRPr="00FF4C0D">
        <w:rPr>
          <w:bCs/>
          <w:lang w:eastAsia="en-AU" w:bidi="ar-SA"/>
        </w:rPr>
        <w:t>Radura</w:t>
      </w:r>
      <w:r w:rsidRPr="00FF4C0D">
        <w:rPr>
          <w:lang w:eastAsia="en-AU" w:bidi="ar-SA"/>
        </w:rPr>
        <w:t xml:space="preserve"> is the international symbol indicating a food product has been irradiated. The Radura is usually green and resembles a plant in a circle. The top half of the circle is dashed. Graphical details and colours vary between countries</w:t>
      </w:r>
      <w:r w:rsidRPr="00FF4C0D">
        <w:rPr>
          <w:rStyle w:val="FootnoteReference"/>
          <w:rFonts w:cs="Arial"/>
          <w:szCs w:val="22"/>
          <w:lang w:eastAsia="en-AU" w:bidi="ar-SA"/>
        </w:rPr>
        <w:footnoteReference w:id="24"/>
      </w:r>
      <w:r w:rsidR="008A23E0" w:rsidRPr="00FF4C0D">
        <w:rPr>
          <w:lang w:eastAsia="en-AU" w:bidi="ar-SA"/>
        </w:rPr>
        <w:t xml:space="preserve">. </w:t>
      </w:r>
      <w:r w:rsidR="00D4213D" w:rsidRPr="00FF4C0D">
        <w:rPr>
          <w:lang w:eastAsia="en-AU" w:bidi="ar-SA"/>
        </w:rPr>
        <w:t xml:space="preserve">While </w:t>
      </w:r>
      <w:r w:rsidR="00637272" w:rsidRPr="00FF4C0D">
        <w:rPr>
          <w:lang w:eastAsia="en-AU" w:bidi="ar-SA"/>
        </w:rPr>
        <w:t>Standard 1.5.3</w:t>
      </w:r>
      <w:r w:rsidRPr="00FF4C0D">
        <w:t xml:space="preserve"> </w:t>
      </w:r>
      <w:r w:rsidR="00D4213D" w:rsidRPr="00FF4C0D">
        <w:t xml:space="preserve">does not mandate its use, it does not prohibit the voluntary </w:t>
      </w:r>
      <w:r w:rsidR="00950B98" w:rsidRPr="00FF4C0D">
        <w:t xml:space="preserve">addition </w:t>
      </w:r>
      <w:r w:rsidR="00D4213D" w:rsidRPr="00FF4C0D">
        <w:t>of the symbol</w:t>
      </w:r>
      <w:r w:rsidR="00422BCF" w:rsidRPr="00FF4C0D">
        <w:t>,</w:t>
      </w:r>
      <w:r w:rsidR="00950B98" w:rsidRPr="00FF4C0D">
        <w:t xml:space="preserve"> as long as the mandatory labelling statement is </w:t>
      </w:r>
      <w:r w:rsidR="00E86FCD" w:rsidRPr="00FF4C0D">
        <w:t xml:space="preserve">also </w:t>
      </w:r>
      <w:r w:rsidR="00950B98" w:rsidRPr="00FF4C0D">
        <w:t>present</w:t>
      </w:r>
      <w:r w:rsidR="008A23E0" w:rsidRPr="00FF4C0D">
        <w:t xml:space="preserve">. </w:t>
      </w:r>
    </w:p>
    <w:p w:rsidR="009B4A0D" w:rsidRPr="00FF4C0D" w:rsidRDefault="009B4A0D" w:rsidP="002D3CB7">
      <w:pPr>
        <w:rPr>
          <w:lang w:eastAsia="en-AU" w:bidi="ar-SA"/>
        </w:rPr>
      </w:pPr>
    </w:p>
    <w:p w:rsidR="009B4A0D" w:rsidRPr="00FF4C0D" w:rsidRDefault="00F84B81" w:rsidP="00AD4A01">
      <w:pPr>
        <w:rPr>
          <w:lang w:eastAsia="en-AU" w:bidi="ar-SA"/>
        </w:rPr>
      </w:pPr>
      <w:r w:rsidRPr="00FF4C0D">
        <w:rPr>
          <w:lang w:eastAsia="en-AU" w:bidi="ar-SA"/>
        </w:rPr>
        <w:t xml:space="preserve">The European </w:t>
      </w:r>
      <w:r w:rsidR="007651C2" w:rsidRPr="00FF4C0D">
        <w:rPr>
          <w:lang w:eastAsia="en-AU" w:bidi="ar-SA"/>
        </w:rPr>
        <w:t xml:space="preserve">Union </w:t>
      </w:r>
      <w:r w:rsidRPr="00FF4C0D">
        <w:rPr>
          <w:lang w:eastAsia="en-AU" w:bidi="ar-SA"/>
        </w:rPr>
        <w:t>regulations do not provide for the use of the Radura logo and rel</w:t>
      </w:r>
      <w:r w:rsidR="00EA6E76" w:rsidRPr="00FF4C0D">
        <w:rPr>
          <w:lang w:eastAsia="en-AU" w:bidi="ar-SA"/>
        </w:rPr>
        <w:t>y</w:t>
      </w:r>
      <w:r w:rsidRPr="00FF4C0D">
        <w:rPr>
          <w:lang w:eastAsia="en-AU" w:bidi="ar-SA"/>
        </w:rPr>
        <w:t xml:space="preserve"> exclusively on labelling in the respective languages of the Member States. The </w:t>
      </w:r>
      <w:r w:rsidR="00936A7D" w:rsidRPr="00FF4C0D">
        <w:rPr>
          <w:lang w:eastAsia="en-AU" w:bidi="ar-SA"/>
        </w:rPr>
        <w:t>US Food</w:t>
      </w:r>
      <w:r w:rsidRPr="00FF4C0D">
        <w:rPr>
          <w:lang w:eastAsia="en-AU" w:bidi="ar-SA"/>
        </w:rPr>
        <w:t xml:space="preserve"> and Drug Administration (</w:t>
      </w:r>
      <w:r w:rsidR="007651C2" w:rsidRPr="00FF4C0D">
        <w:rPr>
          <w:lang w:eastAsia="en-AU" w:bidi="ar-SA"/>
        </w:rPr>
        <w:t>US</w:t>
      </w:r>
      <w:r w:rsidRPr="00FF4C0D">
        <w:rPr>
          <w:lang w:eastAsia="en-AU" w:bidi="ar-SA"/>
        </w:rPr>
        <w:t xml:space="preserve">FDA) </w:t>
      </w:r>
      <w:r w:rsidR="00342754" w:rsidRPr="00FF4C0D">
        <w:rPr>
          <w:lang w:eastAsia="en-AU" w:bidi="ar-SA"/>
        </w:rPr>
        <w:t>requires</w:t>
      </w:r>
      <w:r w:rsidRPr="00FF4C0D">
        <w:rPr>
          <w:lang w:eastAsia="en-AU" w:bidi="ar-SA"/>
        </w:rPr>
        <w:t xml:space="preserve"> </w:t>
      </w:r>
      <w:r w:rsidR="00DF162C" w:rsidRPr="00FF4C0D">
        <w:rPr>
          <w:lang w:eastAsia="en-AU" w:bidi="ar-SA"/>
        </w:rPr>
        <w:t xml:space="preserve">that </w:t>
      </w:r>
      <w:r w:rsidRPr="00FF4C0D">
        <w:rPr>
          <w:lang w:eastAsia="en-AU" w:bidi="ar-SA"/>
        </w:rPr>
        <w:t xml:space="preserve">irradiated foods </w:t>
      </w:r>
      <w:r w:rsidR="00EA6E76" w:rsidRPr="00FF4C0D">
        <w:rPr>
          <w:lang w:eastAsia="en-AU" w:bidi="ar-SA"/>
        </w:rPr>
        <w:t>be</w:t>
      </w:r>
      <w:r w:rsidRPr="00FF4C0D">
        <w:rPr>
          <w:lang w:eastAsia="en-AU" w:bidi="ar-SA"/>
        </w:rPr>
        <w:t xml:space="preserve"> labelled </w:t>
      </w:r>
      <w:r w:rsidR="00CE2CA8" w:rsidRPr="00FF4C0D">
        <w:rPr>
          <w:lang w:eastAsia="en-AU" w:bidi="ar-SA"/>
        </w:rPr>
        <w:t>a</w:t>
      </w:r>
      <w:r w:rsidR="003C5C65" w:rsidRPr="00FF4C0D">
        <w:rPr>
          <w:lang w:eastAsia="en-AU" w:bidi="ar-SA"/>
        </w:rPr>
        <w:t>nd</w:t>
      </w:r>
      <w:r w:rsidR="00342754" w:rsidRPr="00FF4C0D">
        <w:rPr>
          <w:lang w:eastAsia="en-AU" w:bidi="ar-SA"/>
        </w:rPr>
        <w:t xml:space="preserve"> </w:t>
      </w:r>
      <w:r w:rsidR="00DF162C" w:rsidRPr="00FF4C0D">
        <w:rPr>
          <w:lang w:eastAsia="en-AU" w:bidi="ar-SA"/>
        </w:rPr>
        <w:t xml:space="preserve">that the </w:t>
      </w:r>
      <w:r w:rsidRPr="00FF4C0D">
        <w:rPr>
          <w:lang w:eastAsia="en-AU" w:bidi="ar-SA"/>
        </w:rPr>
        <w:t>Radura symbol</w:t>
      </w:r>
      <w:r w:rsidR="00CE2CA8" w:rsidRPr="00FF4C0D">
        <w:rPr>
          <w:lang w:eastAsia="en-AU" w:bidi="ar-SA"/>
        </w:rPr>
        <w:t xml:space="preserve"> </w:t>
      </w:r>
      <w:r w:rsidR="00DF162C" w:rsidRPr="00FF4C0D">
        <w:rPr>
          <w:lang w:eastAsia="en-AU" w:bidi="ar-SA"/>
        </w:rPr>
        <w:t xml:space="preserve">is included </w:t>
      </w:r>
      <w:r w:rsidR="00CE2CA8" w:rsidRPr="00FF4C0D">
        <w:rPr>
          <w:lang w:eastAsia="en-AU" w:bidi="ar-SA"/>
        </w:rPr>
        <w:t>on the label</w:t>
      </w:r>
      <w:r w:rsidRPr="00FF4C0D">
        <w:rPr>
          <w:lang w:eastAsia="en-AU" w:bidi="ar-SA"/>
        </w:rPr>
        <w:t>.</w:t>
      </w:r>
    </w:p>
    <w:p w:rsidR="009B4A0D" w:rsidRPr="00FF4C0D" w:rsidRDefault="009B4A0D" w:rsidP="002D3CB7">
      <w:pPr>
        <w:rPr>
          <w:lang w:eastAsia="en-AU" w:bidi="ar-SA"/>
        </w:rPr>
      </w:pPr>
    </w:p>
    <w:p w:rsidR="009B4A0D" w:rsidRPr="00FF4C0D" w:rsidRDefault="00F84B81" w:rsidP="002D3CB7">
      <w:pPr>
        <w:widowControl/>
        <w:rPr>
          <w:lang w:eastAsia="en-AU" w:bidi="ar-SA"/>
        </w:rPr>
      </w:pPr>
      <w:r w:rsidRPr="00FF4C0D">
        <w:rPr>
          <w:lang w:eastAsia="en-AU" w:bidi="ar-SA"/>
        </w:rPr>
        <w:t xml:space="preserve">FSANZ stated </w:t>
      </w:r>
      <w:r w:rsidR="00E86FCD" w:rsidRPr="00FF4C0D">
        <w:rPr>
          <w:lang w:eastAsia="en-AU" w:bidi="ar-SA"/>
        </w:rPr>
        <w:t>i</w:t>
      </w:r>
      <w:r w:rsidR="00097B1E" w:rsidRPr="00FF4C0D">
        <w:rPr>
          <w:lang w:eastAsia="en-AU" w:bidi="ar-SA"/>
        </w:rPr>
        <w:t xml:space="preserve">n the </w:t>
      </w:r>
      <w:r w:rsidR="006D72E9" w:rsidRPr="00FF4C0D">
        <w:rPr>
          <w:lang w:eastAsia="en-AU" w:bidi="ar-SA"/>
        </w:rPr>
        <w:t xml:space="preserve">Final </w:t>
      </w:r>
      <w:r w:rsidR="00097B1E" w:rsidRPr="00FF4C0D">
        <w:rPr>
          <w:lang w:eastAsia="en-AU" w:bidi="ar-SA"/>
        </w:rPr>
        <w:t>Assessment Report to Application</w:t>
      </w:r>
      <w:r w:rsidR="00E32D63" w:rsidRPr="00FF4C0D">
        <w:t xml:space="preserve"> </w:t>
      </w:r>
      <w:r w:rsidR="006D72E9" w:rsidRPr="00FF4C0D">
        <w:rPr>
          <w:lang w:eastAsia="en-AU" w:bidi="ar-SA"/>
        </w:rPr>
        <w:t xml:space="preserve">A443 </w:t>
      </w:r>
      <w:r w:rsidRPr="00FF4C0D">
        <w:rPr>
          <w:lang w:eastAsia="en-AU" w:bidi="ar-SA"/>
        </w:rPr>
        <w:t xml:space="preserve">that the optional use of the </w:t>
      </w:r>
      <w:r w:rsidR="0000778E" w:rsidRPr="00FF4C0D">
        <w:rPr>
          <w:lang w:eastAsia="en-AU" w:bidi="ar-SA"/>
        </w:rPr>
        <w:t>R</w:t>
      </w:r>
      <w:r w:rsidRPr="00FF4C0D">
        <w:rPr>
          <w:lang w:eastAsia="en-AU" w:bidi="ar-SA"/>
        </w:rPr>
        <w:t>adura symbol on irradiated foods would be permitted in conjunction with mandatory labelling requirements</w:t>
      </w:r>
      <w:r w:rsidR="008A23E0" w:rsidRPr="00FF4C0D">
        <w:rPr>
          <w:lang w:eastAsia="en-AU" w:bidi="ar-SA"/>
        </w:rPr>
        <w:t xml:space="preserve">. </w:t>
      </w:r>
      <w:r w:rsidRPr="00FF4C0D">
        <w:rPr>
          <w:lang w:eastAsia="en-AU" w:bidi="ar-SA"/>
        </w:rPr>
        <w:t>This is consistent with the current International Codex Standard for Labelling of Pre-Packaged Foods</w:t>
      </w:r>
      <w:r w:rsidR="005B3F9D" w:rsidRPr="00FF4C0D">
        <w:rPr>
          <w:lang w:eastAsia="en-AU" w:bidi="ar-SA"/>
        </w:rPr>
        <w:t xml:space="preserve"> </w:t>
      </w:r>
      <w:r w:rsidRPr="00FF4C0D">
        <w:rPr>
          <w:lang w:eastAsia="en-AU" w:bidi="ar-SA"/>
        </w:rPr>
        <w:t xml:space="preserve">(CODEX STAN 1-1985). </w:t>
      </w:r>
    </w:p>
    <w:p w:rsidR="009B4A0D" w:rsidRPr="00FF4C0D" w:rsidRDefault="009B4A0D" w:rsidP="002D3CB7">
      <w:pPr>
        <w:rPr>
          <w:lang w:eastAsia="en-AU" w:bidi="ar-SA"/>
        </w:rPr>
      </w:pPr>
    </w:p>
    <w:p w:rsidR="009B4A0D" w:rsidRPr="00FF4C0D" w:rsidRDefault="00D73B21" w:rsidP="002D3CB7">
      <w:pPr>
        <w:rPr>
          <w:lang w:eastAsia="en-AU" w:bidi="ar-SA"/>
        </w:rPr>
      </w:pPr>
      <w:r w:rsidRPr="00FF4C0D">
        <w:rPr>
          <w:lang w:eastAsia="en-AU" w:bidi="ar-SA"/>
        </w:rPr>
        <w:t xml:space="preserve">In response to the </w:t>
      </w:r>
      <w:r w:rsidR="00D4213D" w:rsidRPr="00FF4C0D">
        <w:rPr>
          <w:lang w:eastAsia="en-AU" w:bidi="ar-SA"/>
        </w:rPr>
        <w:t xml:space="preserve">submitter </w:t>
      </w:r>
      <w:r w:rsidRPr="00FF4C0D">
        <w:rPr>
          <w:lang w:eastAsia="en-AU" w:bidi="ar-SA"/>
        </w:rPr>
        <w:t xml:space="preserve">suggestion to add a </w:t>
      </w:r>
      <w:r w:rsidR="00F84B81" w:rsidRPr="00FF4C0D">
        <w:rPr>
          <w:lang w:eastAsia="en-AU" w:bidi="ar-SA"/>
        </w:rPr>
        <w:t>phrase</w:t>
      </w:r>
      <w:r w:rsidRPr="00FF4C0D">
        <w:rPr>
          <w:lang w:eastAsia="en-AU" w:bidi="ar-SA"/>
        </w:rPr>
        <w:t xml:space="preserve"> that adequately depicts the reason for treatment, </w:t>
      </w:r>
      <w:r w:rsidR="00F84B81" w:rsidRPr="00FF4C0D">
        <w:rPr>
          <w:lang w:eastAsia="en-AU" w:bidi="ar-SA"/>
        </w:rPr>
        <w:t xml:space="preserve">FSANZ notes that, subject to the mandatory labelling requirements being met, there is nothing to prevent industry from </w:t>
      </w:r>
      <w:r w:rsidR="008A6CDF" w:rsidRPr="00FF4C0D">
        <w:rPr>
          <w:lang w:eastAsia="en-AU" w:bidi="ar-SA"/>
        </w:rPr>
        <w:t xml:space="preserve">voluntarily </w:t>
      </w:r>
      <w:r w:rsidR="00F84B81" w:rsidRPr="00FF4C0D">
        <w:rPr>
          <w:lang w:eastAsia="en-AU" w:bidi="ar-SA"/>
        </w:rPr>
        <w:t xml:space="preserve">adding </w:t>
      </w:r>
      <w:r w:rsidR="008A6CDF" w:rsidRPr="00FF4C0D">
        <w:rPr>
          <w:lang w:eastAsia="en-AU" w:bidi="ar-SA"/>
        </w:rPr>
        <w:t xml:space="preserve">this type of </w:t>
      </w:r>
      <w:r w:rsidR="00F84B81" w:rsidRPr="00FF4C0D">
        <w:rPr>
          <w:lang w:eastAsia="en-AU" w:bidi="ar-SA"/>
        </w:rPr>
        <w:t>phrase or statement</w:t>
      </w:r>
      <w:r w:rsidR="008A6CDF" w:rsidRPr="00FF4C0D">
        <w:rPr>
          <w:lang w:eastAsia="en-AU" w:bidi="ar-SA"/>
        </w:rPr>
        <w:t xml:space="preserve"> to the label.</w:t>
      </w:r>
      <w:bookmarkEnd w:id="54"/>
    </w:p>
    <w:p w:rsidR="009B4A0D" w:rsidRPr="00FF4C0D" w:rsidRDefault="009B4A0D" w:rsidP="002D3CB7">
      <w:pPr>
        <w:rPr>
          <w:lang w:eastAsia="en-AU" w:bidi="ar-SA"/>
        </w:rPr>
      </w:pPr>
    </w:p>
    <w:p w:rsidR="00156098" w:rsidRPr="00FF4C0D" w:rsidRDefault="00E32D63" w:rsidP="00342754">
      <w:pPr>
        <w:pStyle w:val="Heading4"/>
      </w:pPr>
      <w:r w:rsidRPr="00FF4C0D">
        <w:t>6.</w:t>
      </w:r>
      <w:r w:rsidR="00342754" w:rsidRPr="00FF4C0D">
        <w:t>5.5</w:t>
      </w:r>
      <w:r w:rsidRPr="00FF4C0D">
        <w:tab/>
        <w:t>Conclusions - Labelling of irradiated foods</w:t>
      </w:r>
    </w:p>
    <w:p w:rsidR="009B4A0D" w:rsidRPr="00FF4C0D" w:rsidRDefault="009B4A0D" w:rsidP="002D3CB7">
      <w:pPr>
        <w:rPr>
          <w:lang w:eastAsia="en-AU" w:bidi="ar-SA"/>
        </w:rPr>
      </w:pPr>
    </w:p>
    <w:p w:rsidR="00345562" w:rsidRPr="00FF4C0D" w:rsidRDefault="00365D62" w:rsidP="00AD4A01">
      <w:pPr>
        <w:rPr>
          <w:lang w:eastAsia="en-AU" w:bidi="ar-SA"/>
        </w:rPr>
      </w:pPr>
      <w:r w:rsidRPr="00FF4C0D">
        <w:rPr>
          <w:lang w:eastAsia="en-AU" w:bidi="ar-SA"/>
        </w:rPr>
        <w:t xml:space="preserve">FSANZ has considered </w:t>
      </w:r>
      <w:r w:rsidR="00067A12" w:rsidRPr="00FF4C0D">
        <w:rPr>
          <w:lang w:eastAsia="en-AU" w:bidi="ar-SA"/>
        </w:rPr>
        <w:t>submitters’ comments</w:t>
      </w:r>
      <w:r w:rsidRPr="00FF4C0D">
        <w:rPr>
          <w:lang w:eastAsia="en-AU" w:bidi="ar-SA"/>
        </w:rPr>
        <w:t xml:space="preserve"> as discussed above</w:t>
      </w:r>
      <w:r w:rsidR="00632540" w:rsidRPr="00FF4C0D">
        <w:rPr>
          <w:lang w:eastAsia="en-AU" w:bidi="ar-SA"/>
        </w:rPr>
        <w:t xml:space="preserve"> and </w:t>
      </w:r>
      <w:r w:rsidR="00FA768B" w:rsidRPr="00FF4C0D">
        <w:rPr>
          <w:lang w:eastAsia="en-AU" w:bidi="ar-SA"/>
        </w:rPr>
        <w:t xml:space="preserve">has decided not to </w:t>
      </w:r>
      <w:r w:rsidR="00067A12" w:rsidRPr="00FF4C0D">
        <w:rPr>
          <w:lang w:eastAsia="en-AU" w:bidi="ar-SA"/>
        </w:rPr>
        <w:t xml:space="preserve">change the </w:t>
      </w:r>
      <w:r w:rsidRPr="00FF4C0D">
        <w:rPr>
          <w:lang w:eastAsia="en-AU" w:bidi="ar-SA"/>
        </w:rPr>
        <w:t>current labelling requirements</w:t>
      </w:r>
      <w:r w:rsidR="00342754" w:rsidRPr="00FF4C0D">
        <w:rPr>
          <w:lang w:eastAsia="en-AU" w:bidi="ar-SA"/>
        </w:rPr>
        <w:t xml:space="preserve"> as there are no new considerations that indicate that the current mandatory label</w:t>
      </w:r>
      <w:r w:rsidR="00345562" w:rsidRPr="00FF4C0D">
        <w:rPr>
          <w:lang w:eastAsia="en-AU" w:bidi="ar-SA"/>
        </w:rPr>
        <w:t>ling requirements need changing</w:t>
      </w:r>
      <w:r w:rsidRPr="00FF4C0D">
        <w:rPr>
          <w:lang w:eastAsia="en-AU" w:bidi="ar-SA"/>
        </w:rPr>
        <w:t xml:space="preserve">. Submitters’ comments on the changes to </w:t>
      </w:r>
      <w:r w:rsidR="00637272" w:rsidRPr="00FF4C0D">
        <w:rPr>
          <w:lang w:eastAsia="en-AU" w:bidi="ar-SA"/>
        </w:rPr>
        <w:t>Standard 1.5.3</w:t>
      </w:r>
      <w:r w:rsidRPr="00FF4C0D">
        <w:rPr>
          <w:lang w:eastAsia="en-AU" w:bidi="ar-SA"/>
        </w:rPr>
        <w:t>, including the</w:t>
      </w:r>
      <w:r w:rsidR="00632540" w:rsidRPr="00FF4C0D">
        <w:rPr>
          <w:lang w:eastAsia="en-AU" w:bidi="ar-SA"/>
        </w:rPr>
        <w:t xml:space="preserve"> </w:t>
      </w:r>
      <w:r w:rsidRPr="00FF4C0D">
        <w:rPr>
          <w:lang w:eastAsia="en-AU" w:bidi="ar-SA"/>
        </w:rPr>
        <w:t xml:space="preserve">amendments to </w:t>
      </w:r>
      <w:r w:rsidR="00FA768B" w:rsidRPr="00FF4C0D">
        <w:rPr>
          <w:lang w:eastAsia="en-AU" w:bidi="ar-SA"/>
        </w:rPr>
        <w:t>specific</w:t>
      </w:r>
      <w:r w:rsidRPr="00FF4C0D">
        <w:rPr>
          <w:lang w:eastAsia="en-AU" w:bidi="ar-SA"/>
        </w:rPr>
        <w:t xml:space="preserve"> labelling </w:t>
      </w:r>
      <w:r w:rsidR="00632540" w:rsidRPr="00FF4C0D">
        <w:rPr>
          <w:lang w:eastAsia="en-AU" w:bidi="ar-SA"/>
        </w:rPr>
        <w:t>clauses</w:t>
      </w:r>
      <w:r w:rsidRPr="00FF4C0D">
        <w:rPr>
          <w:lang w:eastAsia="en-AU" w:bidi="ar-SA"/>
        </w:rPr>
        <w:t xml:space="preserve">, are discussed further in Section </w:t>
      </w:r>
      <w:r w:rsidR="00342754" w:rsidRPr="00FF4C0D">
        <w:rPr>
          <w:lang w:eastAsia="en-AU" w:bidi="ar-SA"/>
        </w:rPr>
        <w:t>7</w:t>
      </w:r>
      <w:r w:rsidR="00044AE8" w:rsidRPr="00FF4C0D">
        <w:rPr>
          <w:lang w:eastAsia="en-AU" w:bidi="ar-SA"/>
        </w:rPr>
        <w:t xml:space="preserve">.5. </w:t>
      </w:r>
      <w:r w:rsidR="00345562" w:rsidRPr="00FF4C0D">
        <w:rPr>
          <w:lang w:eastAsia="en-AU" w:bidi="ar-SA"/>
        </w:rPr>
        <w:br w:type="page"/>
      </w:r>
    </w:p>
    <w:p w:rsidR="009B4A0D" w:rsidRPr="00FF4C0D" w:rsidRDefault="00345562" w:rsidP="00AD4A01">
      <w:pPr>
        <w:rPr>
          <w:lang w:eastAsia="en-AU" w:bidi="ar-SA"/>
        </w:rPr>
      </w:pPr>
      <w:r w:rsidRPr="00FF4C0D">
        <w:rPr>
          <w:lang w:eastAsia="en-AU" w:bidi="ar-SA"/>
        </w:rPr>
        <w:lastRenderedPageBreak/>
        <w:t>T</w:t>
      </w:r>
      <w:r w:rsidR="00632540" w:rsidRPr="00FF4C0D">
        <w:rPr>
          <w:lang w:eastAsia="en-AU" w:bidi="ar-SA"/>
        </w:rPr>
        <w:t>hese changes do not alter the provisions – they are intended to provide clarity and reduce repetition.</w:t>
      </w:r>
    </w:p>
    <w:p w:rsidR="009B4A0D" w:rsidRPr="00FF4C0D" w:rsidRDefault="009B4A0D" w:rsidP="002D3CB7">
      <w:pPr>
        <w:rPr>
          <w:lang w:eastAsia="en-AU" w:bidi="ar-SA"/>
        </w:rPr>
      </w:pPr>
    </w:p>
    <w:p w:rsidR="004B2AF6" w:rsidRPr="00FF4C0D" w:rsidRDefault="00342754">
      <w:pPr>
        <w:pStyle w:val="Heading3"/>
      </w:pPr>
      <w:bookmarkStart w:id="55" w:name="_Toc297029100"/>
      <w:r w:rsidRPr="00FF4C0D">
        <w:t>6</w:t>
      </w:r>
      <w:r w:rsidR="009126C4" w:rsidRPr="00FF4C0D">
        <w:t>.</w:t>
      </w:r>
      <w:r w:rsidRPr="00FF4C0D">
        <w:t>6</w:t>
      </w:r>
      <w:r w:rsidR="001C27A3" w:rsidRPr="00FF4C0D">
        <w:tab/>
      </w:r>
      <w:r w:rsidR="00D60568" w:rsidRPr="00FF4C0D">
        <w:t>Risk Management Strategy</w:t>
      </w:r>
      <w:bookmarkEnd w:id="55"/>
    </w:p>
    <w:p w:rsidR="00192F9A" w:rsidRPr="00FF4C0D" w:rsidRDefault="00192F9A" w:rsidP="00192F9A"/>
    <w:p w:rsidR="00817AB4" w:rsidRPr="00FF4C0D" w:rsidRDefault="00817AB4" w:rsidP="00817AB4">
      <w:pPr>
        <w:rPr>
          <w:rFonts w:cs="Arial"/>
        </w:rPr>
      </w:pPr>
      <w:r w:rsidRPr="00FF4C0D">
        <w:rPr>
          <w:rFonts w:cs="Arial"/>
        </w:rPr>
        <w:t>FSANZ concludes that approval of irradiation of persimmons</w:t>
      </w:r>
      <w:r w:rsidR="008373FA" w:rsidRPr="00FF4C0D">
        <w:rPr>
          <w:rFonts w:cs="Arial"/>
        </w:rPr>
        <w:t xml:space="preserve"> at a minimum dose of 150 Gy and a maximum of </w:t>
      </w:r>
      <w:r w:rsidR="00123DBD" w:rsidRPr="00FF4C0D">
        <w:rPr>
          <w:rFonts w:cs="Arial"/>
        </w:rPr>
        <w:t>1 kGy</w:t>
      </w:r>
      <w:r w:rsidR="008373FA" w:rsidRPr="00FF4C0D">
        <w:rPr>
          <w:rFonts w:cs="Arial"/>
        </w:rPr>
        <w:t xml:space="preserve"> </w:t>
      </w:r>
      <w:r w:rsidRPr="00FF4C0D">
        <w:rPr>
          <w:rFonts w:cs="Arial"/>
        </w:rPr>
        <w:t xml:space="preserve">poses no </w:t>
      </w:r>
      <w:r w:rsidR="00B44646" w:rsidRPr="00FF4C0D">
        <w:rPr>
          <w:rFonts w:cs="Arial"/>
        </w:rPr>
        <w:t xml:space="preserve">significant </w:t>
      </w:r>
      <w:r w:rsidRPr="00FF4C0D">
        <w:rPr>
          <w:rFonts w:cs="Arial"/>
        </w:rPr>
        <w:t xml:space="preserve">risk to public health and safety for Australian or New Zealand consumers. </w:t>
      </w:r>
      <w:r w:rsidR="00E84BAB" w:rsidRPr="00FF4C0D">
        <w:rPr>
          <w:rFonts w:cs="Arial"/>
        </w:rPr>
        <w:t>Irradiation is technologically justified as it will provide an efficacious treatment to reduce fruit fly infestation which is of quarantine concern.</w:t>
      </w:r>
      <w:r w:rsidR="00E84BAB" w:rsidRPr="00FF4C0D" w:rsidDel="00E84BAB">
        <w:rPr>
          <w:rFonts w:cs="Arial"/>
        </w:rPr>
        <w:t xml:space="preserve"> </w:t>
      </w:r>
    </w:p>
    <w:p w:rsidR="00314B1A" w:rsidRPr="00FF4C0D" w:rsidRDefault="00314B1A" w:rsidP="00155059"/>
    <w:p w:rsidR="00E540B0" w:rsidRPr="00FF4C0D" w:rsidRDefault="00314B1A" w:rsidP="00751255">
      <w:r w:rsidRPr="00FF4C0D">
        <w:t>In determining the most appropriate risk management strategy</w:t>
      </w:r>
      <w:r w:rsidR="00F84048" w:rsidRPr="00FF4C0D">
        <w:t>, FSANZ’s mandate</w:t>
      </w:r>
      <w:r w:rsidR="00B67CED" w:rsidRPr="00FF4C0D">
        <w:t xml:space="preserve"> is confined to </w:t>
      </w:r>
      <w:r w:rsidR="00155059" w:rsidRPr="00FF4C0D">
        <w:t xml:space="preserve">the </w:t>
      </w:r>
      <w:r w:rsidR="00345562" w:rsidRPr="00FF4C0D">
        <w:t>s</w:t>
      </w:r>
      <w:r w:rsidR="00155059" w:rsidRPr="00FF4C0D">
        <w:t>ection 18 objectives of the FSANZ Act (</w:t>
      </w:r>
      <w:r w:rsidR="00B67F6B" w:rsidRPr="00FF4C0D">
        <w:rPr>
          <w:b/>
        </w:rPr>
        <w:t>see</w:t>
      </w:r>
      <w:r w:rsidR="00155059" w:rsidRPr="00FF4C0D">
        <w:rPr>
          <w:b/>
        </w:rPr>
        <w:t xml:space="preserve"> section</w:t>
      </w:r>
      <w:r w:rsidR="00E64933" w:rsidRPr="00FF4C0D">
        <w:rPr>
          <w:b/>
        </w:rPr>
        <w:t>s</w:t>
      </w:r>
      <w:r w:rsidR="00BC17D8" w:rsidRPr="00FF4C0D">
        <w:rPr>
          <w:b/>
        </w:rPr>
        <w:t xml:space="preserve"> </w:t>
      </w:r>
      <w:r w:rsidR="00155059" w:rsidRPr="00FF4C0D">
        <w:rPr>
          <w:b/>
        </w:rPr>
        <w:t>3</w:t>
      </w:r>
      <w:r w:rsidR="005D12BE" w:rsidRPr="00FF4C0D">
        <w:rPr>
          <w:b/>
        </w:rPr>
        <w:t xml:space="preserve"> and</w:t>
      </w:r>
      <w:r w:rsidR="00030B18" w:rsidRPr="00FF4C0D">
        <w:rPr>
          <w:b/>
        </w:rPr>
        <w:t xml:space="preserve"> 1</w:t>
      </w:r>
      <w:r w:rsidR="00E64933" w:rsidRPr="00FF4C0D">
        <w:rPr>
          <w:b/>
        </w:rPr>
        <w:t>2</w:t>
      </w:r>
      <w:r w:rsidR="00155059" w:rsidRPr="00FF4C0D">
        <w:t xml:space="preserve">). </w:t>
      </w:r>
      <w:r w:rsidR="00540869" w:rsidRPr="00FF4C0D">
        <w:t>On the basis of the risk assessment</w:t>
      </w:r>
      <w:r w:rsidR="005D12BE" w:rsidRPr="00FF4C0D">
        <w:t>,</w:t>
      </w:r>
      <w:r w:rsidR="00540869" w:rsidRPr="00FF4C0D">
        <w:t xml:space="preserve"> FSANZ </w:t>
      </w:r>
      <w:r w:rsidR="00B07136" w:rsidRPr="00FF4C0D">
        <w:t xml:space="preserve">approves irradiation of </w:t>
      </w:r>
      <w:r w:rsidR="00540869" w:rsidRPr="00FF4C0D">
        <w:t xml:space="preserve">persimmons </w:t>
      </w:r>
      <w:r w:rsidR="00817AB4" w:rsidRPr="00FF4C0D">
        <w:t xml:space="preserve">subject to fulfilling the </w:t>
      </w:r>
      <w:r w:rsidR="007C6EE1" w:rsidRPr="00FF4C0D">
        <w:t>following</w:t>
      </w:r>
      <w:r w:rsidR="00817AB4" w:rsidRPr="00FF4C0D">
        <w:t xml:space="preserve"> requirements under </w:t>
      </w:r>
      <w:r w:rsidR="00637272" w:rsidRPr="00FF4C0D">
        <w:t>Standard 1.5.3</w:t>
      </w:r>
      <w:r w:rsidR="00817AB4" w:rsidRPr="00FF4C0D">
        <w:t xml:space="preserve">: </w:t>
      </w:r>
    </w:p>
    <w:p w:rsidR="00817AB4" w:rsidRPr="00FF4C0D" w:rsidRDefault="00817AB4" w:rsidP="00817AB4"/>
    <w:p w:rsidR="00762B84" w:rsidRPr="00FF4C0D" w:rsidRDefault="00762B84" w:rsidP="00762B84">
      <w:pPr>
        <w:pStyle w:val="FSBullet"/>
      </w:pPr>
      <w:bookmarkStart w:id="56" w:name="_Toc11735636"/>
      <w:bookmarkStart w:id="57" w:name="_Toc29883121"/>
      <w:bookmarkStart w:id="58" w:name="_Toc41906808"/>
      <w:bookmarkStart w:id="59" w:name="_Toc41907555"/>
      <w:bookmarkStart w:id="60" w:name="_Toc120358586"/>
      <w:r w:rsidRPr="00FF4C0D">
        <w:t>irradiation of persimmons only for the purposes of pest disinfestation for a phytosanitary objective</w:t>
      </w:r>
    </w:p>
    <w:p w:rsidR="00762B84" w:rsidRPr="00FF4C0D" w:rsidRDefault="00762B84" w:rsidP="00762B84"/>
    <w:p w:rsidR="00762B84" w:rsidRPr="00FF4C0D" w:rsidRDefault="00762B84" w:rsidP="0054214D">
      <w:pPr>
        <w:pStyle w:val="FSBullet"/>
      </w:pPr>
      <w:r w:rsidRPr="00FF4C0D">
        <w:t>adherence to a minimum dose of 150 Gy and a maximum of 1 kGy</w:t>
      </w:r>
    </w:p>
    <w:p w:rsidR="00762B84" w:rsidRPr="00FF4C0D" w:rsidRDefault="00762B84" w:rsidP="00762B84"/>
    <w:p w:rsidR="00762B84" w:rsidRPr="00FF4C0D" w:rsidRDefault="00365D62" w:rsidP="00365D62">
      <w:pPr>
        <w:pStyle w:val="FSBullet"/>
        <w:ind w:left="0" w:firstLine="0"/>
      </w:pPr>
      <w:r w:rsidRPr="00FF4C0D">
        <w:t>A</w:t>
      </w:r>
      <w:r w:rsidR="00597E28" w:rsidRPr="00FF4C0D">
        <w:t>dditionally</w:t>
      </w:r>
      <w:r w:rsidR="00762B84" w:rsidRPr="00FF4C0D">
        <w:t xml:space="preserve"> the current mandatory labelling of irradiated foods</w:t>
      </w:r>
      <w:r w:rsidR="003C5C65" w:rsidRPr="00FF4C0D">
        <w:t xml:space="preserve"> and record </w:t>
      </w:r>
      <w:r w:rsidR="00DF162C" w:rsidRPr="00FF4C0D">
        <w:t xml:space="preserve">keeping </w:t>
      </w:r>
      <w:r w:rsidR="003C5C65" w:rsidRPr="00FF4C0D">
        <w:t>requirements</w:t>
      </w:r>
      <w:r w:rsidR="00342754" w:rsidRPr="00FF4C0D">
        <w:t xml:space="preserve"> </w:t>
      </w:r>
      <w:r w:rsidR="00762B84" w:rsidRPr="00FF4C0D">
        <w:t>will apply to irradiated persimmons.</w:t>
      </w:r>
      <w:r w:rsidR="00135151" w:rsidRPr="00FF4C0D">
        <w:t xml:space="preserve"> </w:t>
      </w:r>
    </w:p>
    <w:p w:rsidR="00655B64" w:rsidRPr="00FF4C0D" w:rsidRDefault="00655B64" w:rsidP="001617E8"/>
    <w:p w:rsidR="009B4A0D" w:rsidRPr="00FF4C0D" w:rsidRDefault="00540869" w:rsidP="002D3CB7">
      <w:pPr>
        <w:widowControl/>
      </w:pPr>
      <w:r w:rsidRPr="00FF4C0D">
        <w:t>Other matters</w:t>
      </w:r>
      <w:r w:rsidR="00B07136" w:rsidRPr="00FF4C0D">
        <w:t>,</w:t>
      </w:r>
      <w:r w:rsidRPr="00FF4C0D">
        <w:t xml:space="preserve"> such as general exposure to radiation, damage to the environment and occupational health issues for workers are outside</w:t>
      </w:r>
      <w:r w:rsidR="00B07136" w:rsidRPr="00FF4C0D">
        <w:t xml:space="preserve"> FSANZ’s</w:t>
      </w:r>
      <w:r w:rsidR="00936A7D" w:rsidRPr="00FF4C0D">
        <w:t xml:space="preserve"> </w:t>
      </w:r>
      <w:r w:rsidRPr="00FF4C0D">
        <w:t>mandate and are covered by other risk management measures</w:t>
      </w:r>
      <w:r w:rsidR="007651C2" w:rsidRPr="00FF4C0D">
        <w:t>,</w:t>
      </w:r>
      <w:r w:rsidRPr="00FF4C0D">
        <w:t xml:space="preserve"> such as controls imposed by the assessment of radiation licence applications. </w:t>
      </w:r>
    </w:p>
    <w:p w:rsidR="004135EC" w:rsidRPr="00FF4C0D" w:rsidRDefault="004135EC" w:rsidP="00444B2A"/>
    <w:p w:rsidR="00565B7B" w:rsidRPr="00FF4C0D" w:rsidRDefault="00180E22" w:rsidP="00655B64">
      <w:pPr>
        <w:pStyle w:val="Heading2"/>
      </w:pPr>
      <w:bookmarkStart w:id="61" w:name="_Toc297029101"/>
      <w:r w:rsidRPr="00FF4C0D">
        <w:t>7</w:t>
      </w:r>
      <w:r w:rsidR="00565B7B" w:rsidRPr="00FF4C0D">
        <w:t>.</w:t>
      </w:r>
      <w:r w:rsidR="00565B7B" w:rsidRPr="00FF4C0D">
        <w:tab/>
      </w:r>
      <w:r w:rsidR="00142429" w:rsidRPr="00FF4C0D">
        <w:t>Recommended</w:t>
      </w:r>
      <w:r w:rsidR="00565B7B" w:rsidRPr="00FF4C0D">
        <w:t xml:space="preserve"> amendments to Standard 1.5.3</w:t>
      </w:r>
      <w:bookmarkEnd w:id="61"/>
      <w:r w:rsidR="00565B7B" w:rsidRPr="00FF4C0D">
        <w:t xml:space="preserve"> </w:t>
      </w:r>
    </w:p>
    <w:p w:rsidR="00565B7B" w:rsidRPr="00FF4C0D" w:rsidRDefault="00565B7B" w:rsidP="00565B7B"/>
    <w:p w:rsidR="00EE1402" w:rsidRPr="00FF4C0D" w:rsidRDefault="00107086" w:rsidP="00751255">
      <w:r w:rsidRPr="00FF4C0D">
        <w:rPr>
          <w:lang w:eastAsia="en-GB" w:bidi="ar-SA"/>
        </w:rPr>
        <w:t>FSANZ recently engaged the Office of Legislative Drafting and Publishing (OLDP) to conduct a legislative audit of the Code, to identify areas in the Code which are unclear and to ensure that the Code reflects best practice drafting technique</w:t>
      </w:r>
      <w:r w:rsidR="009208E5" w:rsidRPr="00FF4C0D">
        <w:rPr>
          <w:lang w:eastAsia="en-GB" w:bidi="ar-SA"/>
        </w:rPr>
        <w:t xml:space="preserve">. </w:t>
      </w:r>
      <w:r w:rsidR="00540869" w:rsidRPr="00FF4C0D">
        <w:rPr>
          <w:lang w:eastAsia="en-GB" w:bidi="ar-SA"/>
        </w:rPr>
        <w:t>A</w:t>
      </w:r>
      <w:r w:rsidR="008C3341" w:rsidRPr="00FF4C0D">
        <w:rPr>
          <w:lang w:eastAsia="en-GB" w:bidi="ar-SA"/>
        </w:rPr>
        <w:t xml:space="preserve">lthough the OLDP did not make any specific recommendations about </w:t>
      </w:r>
      <w:r w:rsidR="00637272" w:rsidRPr="00FF4C0D">
        <w:t>Standard 1.5.3</w:t>
      </w:r>
      <w:r w:rsidR="008C3341" w:rsidRPr="00FF4C0D">
        <w:rPr>
          <w:lang w:eastAsia="en-GB" w:bidi="ar-SA"/>
        </w:rPr>
        <w:t xml:space="preserve">, </w:t>
      </w:r>
      <w:r w:rsidR="008C18B4" w:rsidRPr="00FF4C0D">
        <w:rPr>
          <w:lang w:eastAsia="en-GB" w:bidi="ar-SA"/>
        </w:rPr>
        <w:t xml:space="preserve">FSANZ identified </w:t>
      </w:r>
      <w:r w:rsidR="00540869" w:rsidRPr="00FF4C0D">
        <w:rPr>
          <w:lang w:eastAsia="en-GB" w:bidi="ar-SA"/>
        </w:rPr>
        <w:t xml:space="preserve">changes </w:t>
      </w:r>
      <w:r w:rsidR="002C3906" w:rsidRPr="00FF4C0D">
        <w:rPr>
          <w:lang w:eastAsia="en-GB" w:bidi="ar-SA"/>
        </w:rPr>
        <w:t xml:space="preserve">which </w:t>
      </w:r>
      <w:r w:rsidR="007651C2" w:rsidRPr="00FF4C0D">
        <w:rPr>
          <w:lang w:eastAsia="en-GB" w:bidi="ar-SA"/>
        </w:rPr>
        <w:t>could be</w:t>
      </w:r>
      <w:r w:rsidR="002C3906" w:rsidRPr="00FF4C0D">
        <w:rPr>
          <w:lang w:eastAsia="en-GB" w:bidi="ar-SA"/>
        </w:rPr>
        <w:t xml:space="preserve"> </w:t>
      </w:r>
      <w:r w:rsidR="00540869" w:rsidRPr="00FF4C0D">
        <w:rPr>
          <w:lang w:eastAsia="en-GB" w:bidi="ar-SA"/>
        </w:rPr>
        <w:t xml:space="preserve">made concurrently </w:t>
      </w:r>
      <w:r w:rsidR="00B03DCA" w:rsidRPr="00FF4C0D">
        <w:rPr>
          <w:lang w:eastAsia="en-GB" w:bidi="ar-SA"/>
        </w:rPr>
        <w:t xml:space="preserve">with the assessment </w:t>
      </w:r>
      <w:r w:rsidR="00B023D6" w:rsidRPr="00FF4C0D">
        <w:rPr>
          <w:lang w:eastAsia="en-GB" w:bidi="ar-SA"/>
        </w:rPr>
        <w:t>of A1038</w:t>
      </w:r>
      <w:r w:rsidR="00DC21C1" w:rsidRPr="00FF4C0D">
        <w:rPr>
          <w:lang w:eastAsia="en-GB" w:bidi="ar-SA"/>
        </w:rPr>
        <w:t>. Th</w:t>
      </w:r>
      <w:r w:rsidR="00540869" w:rsidRPr="00FF4C0D">
        <w:rPr>
          <w:lang w:eastAsia="en-GB" w:bidi="ar-SA"/>
        </w:rPr>
        <w:t>ese changes</w:t>
      </w:r>
      <w:r w:rsidR="00DC21C1" w:rsidRPr="00FF4C0D">
        <w:rPr>
          <w:lang w:eastAsia="en-GB" w:bidi="ar-SA"/>
        </w:rPr>
        <w:t xml:space="preserve"> would </w:t>
      </w:r>
      <w:r w:rsidR="008C18B4" w:rsidRPr="00FF4C0D">
        <w:rPr>
          <w:lang w:eastAsia="en-GB" w:bidi="ar-SA"/>
        </w:rPr>
        <w:t xml:space="preserve">provide </w:t>
      </w:r>
      <w:r w:rsidR="008C18B4" w:rsidRPr="00FF4C0D">
        <w:t xml:space="preserve">clarity around interpretation and operation of </w:t>
      </w:r>
      <w:r w:rsidR="00637272" w:rsidRPr="00FF4C0D">
        <w:t>Standard 1.5.3</w:t>
      </w:r>
      <w:r w:rsidR="008C18B4" w:rsidRPr="00FF4C0D">
        <w:t xml:space="preserve"> with</w:t>
      </w:r>
      <w:r w:rsidR="00637272" w:rsidRPr="00FF4C0D">
        <w:t>out changing the intent of the S</w:t>
      </w:r>
      <w:r w:rsidR="008C18B4" w:rsidRPr="00FF4C0D">
        <w:t xml:space="preserve">tandard to maintain an overall prohibition of the irradiation of food, unless permitted on a case-by-case basis. </w:t>
      </w:r>
      <w:bookmarkStart w:id="62" w:name="_Toc284492486"/>
    </w:p>
    <w:p w:rsidR="008037C3" w:rsidRPr="00FF4C0D" w:rsidRDefault="008037C3" w:rsidP="00751255">
      <w:pPr>
        <w:rPr>
          <w:lang w:eastAsia="en-GB" w:bidi="ar-SA"/>
        </w:rPr>
      </w:pPr>
    </w:p>
    <w:p w:rsidR="00492D43" w:rsidRPr="00FF4C0D" w:rsidRDefault="00540869" w:rsidP="00751255">
      <w:pPr>
        <w:rPr>
          <w:lang w:eastAsia="en-GB" w:bidi="ar-SA"/>
        </w:rPr>
      </w:pPr>
      <w:r w:rsidRPr="00FF4C0D">
        <w:rPr>
          <w:lang w:eastAsia="en-GB" w:bidi="ar-SA"/>
        </w:rPr>
        <w:t xml:space="preserve">FSANZ liaised with the Applicant who was in full agreement with the proposed additional amendments to </w:t>
      </w:r>
      <w:r w:rsidR="00637272" w:rsidRPr="00FF4C0D">
        <w:rPr>
          <w:lang w:eastAsia="en-GB" w:bidi="ar-SA"/>
        </w:rPr>
        <w:t>Standard 1.5.3</w:t>
      </w:r>
      <w:r w:rsidR="00952374" w:rsidRPr="00FF4C0D">
        <w:rPr>
          <w:lang w:eastAsia="en-GB" w:bidi="ar-SA"/>
        </w:rPr>
        <w:t xml:space="preserve">. </w:t>
      </w:r>
    </w:p>
    <w:p w:rsidR="00492D43" w:rsidRPr="00FF4C0D" w:rsidRDefault="00492D43" w:rsidP="00492D43"/>
    <w:p w:rsidR="005A6458" w:rsidRPr="00FF4C0D" w:rsidRDefault="00492D43">
      <w:pPr>
        <w:rPr>
          <w:b/>
          <w:lang w:eastAsia="en-GB" w:bidi="ar-SA"/>
        </w:rPr>
      </w:pPr>
      <w:r w:rsidRPr="00FF4C0D">
        <w:t xml:space="preserve">To assist in understanding the proposed amendments refer to </w:t>
      </w:r>
      <w:r w:rsidR="00E32D63" w:rsidRPr="00FF4C0D">
        <w:rPr>
          <w:b/>
        </w:rPr>
        <w:t xml:space="preserve">Attachment </w:t>
      </w:r>
      <w:r w:rsidR="00CE3FF3" w:rsidRPr="00FF4C0D">
        <w:rPr>
          <w:b/>
        </w:rPr>
        <w:t>2</w:t>
      </w:r>
      <w:r w:rsidR="003F4910" w:rsidRPr="00FF4C0D">
        <w:t xml:space="preserve"> and </w:t>
      </w:r>
      <w:r w:rsidRPr="00FF4C0D">
        <w:t xml:space="preserve">a revised (tracked changes) version of </w:t>
      </w:r>
      <w:r w:rsidR="00637272" w:rsidRPr="00FF4C0D">
        <w:t>the Standard</w:t>
      </w:r>
      <w:r w:rsidRPr="00FF4C0D">
        <w:t xml:space="preserve"> in </w:t>
      </w:r>
      <w:r w:rsidRPr="00FF4C0D">
        <w:rPr>
          <w:b/>
        </w:rPr>
        <w:t xml:space="preserve">Supporting Document 4. </w:t>
      </w:r>
    </w:p>
    <w:p w:rsidR="00C01E0A" w:rsidRPr="00FF4C0D" w:rsidRDefault="00C01E0A"/>
    <w:p w:rsidR="00E41E25" w:rsidRPr="00FF4C0D" w:rsidRDefault="00E41E25" w:rsidP="00E41E25">
      <w:r w:rsidRPr="00FF4C0D">
        <w:t>The proposed amendments at Assessment, issues raised by submitters with regard to the amendments during the public consultation period and FSANZ’s res</w:t>
      </w:r>
      <w:r w:rsidR="00030B18" w:rsidRPr="00FF4C0D">
        <w:t xml:space="preserve">ponse are detailed in sections </w:t>
      </w:r>
      <w:r w:rsidR="00EE1402" w:rsidRPr="00FF4C0D">
        <w:t>7</w:t>
      </w:r>
      <w:r w:rsidRPr="00FF4C0D">
        <w:t>.1 t</w:t>
      </w:r>
      <w:r w:rsidR="00030B18" w:rsidRPr="00FF4C0D">
        <w:t xml:space="preserve">o </w:t>
      </w:r>
      <w:r w:rsidR="00EE1402" w:rsidRPr="00FF4C0D">
        <w:t>7</w:t>
      </w:r>
      <w:r w:rsidR="00030B18" w:rsidRPr="00FF4C0D">
        <w:t xml:space="preserve">.5. </w:t>
      </w:r>
    </w:p>
    <w:p w:rsidR="00E41E25" w:rsidRPr="00FF4C0D" w:rsidRDefault="00E41E25"/>
    <w:p w:rsidR="00345562" w:rsidRPr="00FF4C0D" w:rsidRDefault="00C01E0A" w:rsidP="00C01E0A">
      <w:r w:rsidRPr="00FF4C0D">
        <w:t xml:space="preserve">A number of submitters questioned why FSANZ chose to propose additional amendments to </w:t>
      </w:r>
      <w:r w:rsidR="00D21315" w:rsidRPr="00FF4C0D">
        <w:t xml:space="preserve">the Standard </w:t>
      </w:r>
      <w:r w:rsidRPr="00FF4C0D">
        <w:t>which were not being specifically requested by the Applicant</w:t>
      </w:r>
      <w:r w:rsidR="000C447B" w:rsidRPr="00FF4C0D">
        <w:t xml:space="preserve">. </w:t>
      </w:r>
      <w:r w:rsidR="00B30DF5" w:rsidRPr="00FF4C0D">
        <w:t>A</w:t>
      </w:r>
      <w:r w:rsidRPr="00FF4C0D">
        <w:t xml:space="preserve">lthough agreeing with FSANZ’s approach, </w:t>
      </w:r>
      <w:r w:rsidR="00B30DF5" w:rsidRPr="00FF4C0D">
        <w:t xml:space="preserve">NZMAF </w:t>
      </w:r>
      <w:r w:rsidRPr="00FF4C0D">
        <w:t>suggested that for transparency</w:t>
      </w:r>
      <w:r w:rsidR="007651C2" w:rsidRPr="00FF4C0D">
        <w:t>,</w:t>
      </w:r>
      <w:r w:rsidRPr="00FF4C0D">
        <w:t xml:space="preserve"> the amendments should be communicated in the title of the </w:t>
      </w:r>
      <w:r w:rsidR="00930450" w:rsidRPr="00FF4C0D">
        <w:t>consultation</w:t>
      </w:r>
      <w:r w:rsidRPr="00FF4C0D">
        <w:t xml:space="preserve"> to indicate to stakeholders the additional reforms proposed to </w:t>
      </w:r>
      <w:r w:rsidR="000B7355" w:rsidRPr="00FF4C0D">
        <w:t>the S</w:t>
      </w:r>
      <w:r w:rsidRPr="00FF4C0D">
        <w:t xml:space="preserve">tandard in Application A1038. </w:t>
      </w:r>
      <w:r w:rsidR="00345562" w:rsidRPr="00FF4C0D">
        <w:br w:type="page"/>
      </w:r>
    </w:p>
    <w:p w:rsidR="005863DA" w:rsidRPr="00FF4C0D" w:rsidRDefault="005863DA" w:rsidP="005863DA">
      <w:pPr>
        <w:rPr>
          <w:lang w:eastAsia="en-GB"/>
        </w:rPr>
      </w:pPr>
      <w:r w:rsidRPr="00FF4C0D">
        <w:rPr>
          <w:lang w:eastAsia="en-GB"/>
        </w:rPr>
        <w:lastRenderedPageBreak/>
        <w:t>FSANZ felt that it was timely and convenient to address these issues in this Application, where FSANZ ha</w:t>
      </w:r>
      <w:r w:rsidR="00B07136" w:rsidRPr="00FF4C0D">
        <w:rPr>
          <w:lang w:eastAsia="en-GB"/>
        </w:rPr>
        <w:t>d</w:t>
      </w:r>
      <w:r w:rsidRPr="00FF4C0D">
        <w:rPr>
          <w:lang w:eastAsia="en-GB"/>
        </w:rPr>
        <w:t xml:space="preserve"> identified areas in </w:t>
      </w:r>
      <w:r w:rsidR="00637272" w:rsidRPr="00FF4C0D">
        <w:rPr>
          <w:lang w:eastAsia="en-GB"/>
        </w:rPr>
        <w:t>Standard 1.5.3</w:t>
      </w:r>
      <w:r w:rsidRPr="00FF4C0D">
        <w:rPr>
          <w:lang w:eastAsia="en-GB"/>
        </w:rPr>
        <w:t xml:space="preserve"> which m</w:t>
      </w:r>
      <w:r w:rsidR="00B07136" w:rsidRPr="00FF4C0D">
        <w:rPr>
          <w:lang w:eastAsia="en-GB"/>
        </w:rPr>
        <w:t>ight</w:t>
      </w:r>
      <w:r w:rsidRPr="00FF4C0D">
        <w:rPr>
          <w:lang w:eastAsia="en-GB"/>
        </w:rPr>
        <w:t xml:space="preserve"> be improved concurrently</w:t>
      </w:r>
      <w:r w:rsidR="00271A08" w:rsidRPr="00FF4C0D">
        <w:rPr>
          <w:lang w:eastAsia="en-GB"/>
        </w:rPr>
        <w:t xml:space="preserve"> within the assessment of A1038. </w:t>
      </w:r>
      <w:r w:rsidRPr="00FF4C0D">
        <w:rPr>
          <w:lang w:eastAsia="en-GB"/>
        </w:rPr>
        <w:t xml:space="preserve">This approach is in line with previous changes within other standards arising from applications e.g. the GM Standard. Inclusion of these changes was done with the support of the Applicant. </w:t>
      </w:r>
    </w:p>
    <w:p w:rsidR="005863DA" w:rsidRPr="00FF4C0D" w:rsidRDefault="005863DA" w:rsidP="005863DA">
      <w:pPr>
        <w:rPr>
          <w:lang w:eastAsia="en-GB"/>
        </w:rPr>
      </w:pPr>
    </w:p>
    <w:p w:rsidR="005863DA" w:rsidRPr="00FF4C0D" w:rsidRDefault="00081940" w:rsidP="005863DA">
      <w:pPr>
        <w:rPr>
          <w:lang w:eastAsia="en-GB"/>
        </w:rPr>
      </w:pPr>
      <w:r w:rsidRPr="00FF4C0D">
        <w:rPr>
          <w:lang w:eastAsia="en-GB"/>
        </w:rPr>
        <w:t xml:space="preserve">FSANZ </w:t>
      </w:r>
      <w:r w:rsidR="00345562" w:rsidRPr="00FF4C0D">
        <w:rPr>
          <w:lang w:eastAsia="en-GB"/>
        </w:rPr>
        <w:t>has</w:t>
      </w:r>
      <w:r w:rsidRPr="00FF4C0D">
        <w:rPr>
          <w:lang w:eastAsia="en-GB"/>
        </w:rPr>
        <w:t xml:space="preserve"> amend</w:t>
      </w:r>
      <w:r w:rsidR="00345562" w:rsidRPr="00FF4C0D">
        <w:rPr>
          <w:lang w:eastAsia="en-GB"/>
        </w:rPr>
        <w:t>ed</w:t>
      </w:r>
      <w:r w:rsidRPr="00FF4C0D">
        <w:rPr>
          <w:lang w:eastAsia="en-GB"/>
        </w:rPr>
        <w:t xml:space="preserve"> </w:t>
      </w:r>
      <w:r w:rsidR="005863DA" w:rsidRPr="00FF4C0D">
        <w:rPr>
          <w:lang w:eastAsia="en-GB"/>
        </w:rPr>
        <w:t xml:space="preserve">the description of the Application in the Work Plan and </w:t>
      </w:r>
      <w:r w:rsidR="00345562" w:rsidRPr="00FF4C0D">
        <w:rPr>
          <w:lang w:eastAsia="en-GB"/>
        </w:rPr>
        <w:t xml:space="preserve">for </w:t>
      </w:r>
      <w:r w:rsidR="005863DA" w:rsidRPr="00FF4C0D">
        <w:rPr>
          <w:lang w:eastAsia="en-GB"/>
        </w:rPr>
        <w:t>any future</w:t>
      </w:r>
      <w:r w:rsidR="00EF041A" w:rsidRPr="00FF4C0D">
        <w:rPr>
          <w:lang w:eastAsia="en-GB"/>
        </w:rPr>
        <w:t xml:space="preserve"> references to the description/purpose of</w:t>
      </w:r>
      <w:r w:rsidR="005863DA" w:rsidRPr="00FF4C0D">
        <w:rPr>
          <w:lang w:eastAsia="en-GB"/>
        </w:rPr>
        <w:t xml:space="preserve"> this Application</w:t>
      </w:r>
      <w:r w:rsidR="000C447B" w:rsidRPr="00FF4C0D">
        <w:rPr>
          <w:lang w:eastAsia="en-GB"/>
        </w:rPr>
        <w:t xml:space="preserve">. </w:t>
      </w:r>
    </w:p>
    <w:p w:rsidR="00186670" w:rsidRPr="00FF4C0D" w:rsidRDefault="00186670" w:rsidP="00751255">
      <w:pPr>
        <w:widowControl/>
        <w:rPr>
          <w:lang w:eastAsia="en-GB" w:bidi="ar-SA"/>
        </w:rPr>
      </w:pPr>
    </w:p>
    <w:p w:rsidR="004B2AF6" w:rsidRPr="00FF4C0D" w:rsidRDefault="00602E98">
      <w:pPr>
        <w:pStyle w:val="Heading3"/>
      </w:pPr>
      <w:bookmarkStart w:id="63" w:name="_Toc297029102"/>
      <w:r w:rsidRPr="00FF4C0D">
        <w:t>7</w:t>
      </w:r>
      <w:r w:rsidR="00565B7B" w:rsidRPr="00FF4C0D">
        <w:t xml:space="preserve">.1 </w:t>
      </w:r>
      <w:r w:rsidR="00565B7B" w:rsidRPr="00FF4C0D">
        <w:tab/>
        <w:t>Insertion of new units for dosage in the Glossary of Symbols</w:t>
      </w:r>
      <w:bookmarkEnd w:id="62"/>
      <w:bookmarkEnd w:id="63"/>
      <w:r w:rsidR="00485A3F" w:rsidRPr="00FF4C0D">
        <w:t xml:space="preserve"> </w:t>
      </w:r>
    </w:p>
    <w:p w:rsidR="00565B7B" w:rsidRPr="00FF4C0D" w:rsidRDefault="00565B7B" w:rsidP="00565B7B">
      <w:pPr>
        <w:rPr>
          <w:rFonts w:eastAsia="Calibri" w:cs="Arial"/>
          <w:iCs/>
          <w:szCs w:val="22"/>
        </w:rPr>
      </w:pPr>
    </w:p>
    <w:p w:rsidR="00565B7B" w:rsidRPr="00FF4C0D" w:rsidRDefault="007651C2" w:rsidP="00565B7B">
      <w:r w:rsidRPr="00FF4C0D">
        <w:t xml:space="preserve">At Assessment, </w:t>
      </w:r>
      <w:r w:rsidR="00E4059D" w:rsidRPr="00FF4C0D">
        <w:t>FSANZ</w:t>
      </w:r>
      <w:r w:rsidR="00565B7B" w:rsidRPr="00FF4C0D">
        <w:t xml:space="preserve"> proposed to include ‘kGy’ and ‘kiloGrays’</w:t>
      </w:r>
      <w:r w:rsidR="008778CF" w:rsidRPr="00FF4C0D">
        <w:t xml:space="preserve"> in the Glossary of symbols in c</w:t>
      </w:r>
      <w:r w:rsidR="00565B7B" w:rsidRPr="00FF4C0D">
        <w:t xml:space="preserve">lause 8 of Standard 1.1.1 as there </w:t>
      </w:r>
      <w:r w:rsidR="00FD789E" w:rsidRPr="00FF4C0D">
        <w:t>are</w:t>
      </w:r>
      <w:r w:rsidR="00565B7B" w:rsidRPr="00FF4C0D">
        <w:t xml:space="preserve"> presently no listing for these in the Glossary of symbols and units. </w:t>
      </w:r>
    </w:p>
    <w:p w:rsidR="00015DDE" w:rsidRPr="00FF4C0D" w:rsidRDefault="00015DDE" w:rsidP="00015DDE"/>
    <w:p w:rsidR="001A5041" w:rsidRPr="00FF4C0D" w:rsidRDefault="00D27891" w:rsidP="00E56D5F">
      <w:pPr>
        <w:widowControl/>
      </w:pPr>
      <w:r w:rsidRPr="00FF4C0D">
        <w:t>N</w:t>
      </w:r>
      <w:r w:rsidR="007D17F8" w:rsidRPr="00FF4C0D">
        <w:t>Z</w:t>
      </w:r>
      <w:r w:rsidRPr="00FF4C0D">
        <w:t xml:space="preserve">MAF </w:t>
      </w:r>
      <w:r w:rsidR="00015DDE" w:rsidRPr="00FF4C0D">
        <w:t>suggested that</w:t>
      </w:r>
      <w:r w:rsidR="008E7939" w:rsidRPr="00FF4C0D">
        <w:t xml:space="preserve"> </w:t>
      </w:r>
      <w:r w:rsidR="00015DDE" w:rsidRPr="00FF4C0D">
        <w:rPr>
          <w:bCs/>
        </w:rPr>
        <w:t>the unit ‘Gray’ should be singular</w:t>
      </w:r>
      <w:r w:rsidR="007651C2" w:rsidRPr="00FF4C0D">
        <w:rPr>
          <w:bCs/>
        </w:rPr>
        <w:t>,</w:t>
      </w:r>
      <w:r w:rsidR="00015DDE" w:rsidRPr="00FF4C0D">
        <w:rPr>
          <w:bCs/>
        </w:rPr>
        <w:t xml:space="preserve"> rather than </w:t>
      </w:r>
      <w:r w:rsidR="00FD789E" w:rsidRPr="00FF4C0D">
        <w:rPr>
          <w:bCs/>
        </w:rPr>
        <w:t xml:space="preserve">the </w:t>
      </w:r>
      <w:r w:rsidR="00015DDE" w:rsidRPr="00FF4C0D">
        <w:rPr>
          <w:bCs/>
        </w:rPr>
        <w:t>plural ‘grays’</w:t>
      </w:r>
      <w:r w:rsidR="00CE6D84" w:rsidRPr="00FF4C0D">
        <w:rPr>
          <w:bCs/>
        </w:rPr>
        <w:t xml:space="preserve"> </w:t>
      </w:r>
      <w:r w:rsidR="001C41EF" w:rsidRPr="00FF4C0D">
        <w:rPr>
          <w:bCs/>
        </w:rPr>
        <w:t xml:space="preserve">as currently defined in </w:t>
      </w:r>
      <w:r w:rsidR="007651C2" w:rsidRPr="00FF4C0D">
        <w:rPr>
          <w:bCs/>
        </w:rPr>
        <w:t>c</w:t>
      </w:r>
      <w:r w:rsidR="001C41EF" w:rsidRPr="00FF4C0D">
        <w:rPr>
          <w:bCs/>
        </w:rPr>
        <w:t>lause 8 of Standard 1.1.1</w:t>
      </w:r>
      <w:r w:rsidR="00B30DF5" w:rsidRPr="00FF4C0D">
        <w:rPr>
          <w:bCs/>
        </w:rPr>
        <w:t xml:space="preserve">. </w:t>
      </w:r>
    </w:p>
    <w:p w:rsidR="00B30DF5" w:rsidRPr="00FF4C0D" w:rsidRDefault="00B30DF5" w:rsidP="00565B7B">
      <w:pPr>
        <w:rPr>
          <w:bCs/>
        </w:rPr>
      </w:pPr>
    </w:p>
    <w:p w:rsidR="00B30DF5" w:rsidRPr="00FF4C0D" w:rsidRDefault="00B30DF5" w:rsidP="00B30DF5">
      <w:r w:rsidRPr="00FF4C0D">
        <w:t>FSANZ agree</w:t>
      </w:r>
      <w:r w:rsidR="00FD789E" w:rsidRPr="00FF4C0D">
        <w:t>d</w:t>
      </w:r>
      <w:r w:rsidRPr="00FF4C0D">
        <w:t xml:space="preserve"> with this suggestion and </w:t>
      </w:r>
      <w:r w:rsidR="00FD789E" w:rsidRPr="00FF4C0D">
        <w:t xml:space="preserve">has amended </w:t>
      </w:r>
      <w:r w:rsidRPr="00FF4C0D">
        <w:t>the draft variation</w:t>
      </w:r>
      <w:r w:rsidR="007651C2" w:rsidRPr="00FF4C0D">
        <w:t xml:space="preserve"> accordingly.</w:t>
      </w:r>
      <w:r w:rsidRPr="00FF4C0D">
        <w:t xml:space="preserve"> </w:t>
      </w:r>
    </w:p>
    <w:p w:rsidR="0085372F" w:rsidRPr="00FF4C0D" w:rsidRDefault="0085372F" w:rsidP="00B30DF5"/>
    <w:p w:rsidR="00485A3F" w:rsidRPr="00FF4C0D" w:rsidRDefault="00602E98" w:rsidP="00485A3F">
      <w:pPr>
        <w:pStyle w:val="Heading3"/>
      </w:pPr>
      <w:bookmarkStart w:id="64" w:name="_Toc284492487"/>
      <w:bookmarkStart w:id="65" w:name="_Toc297029103"/>
      <w:r w:rsidRPr="00FF4C0D">
        <w:t>7</w:t>
      </w:r>
      <w:r w:rsidR="00565B7B" w:rsidRPr="00FF4C0D">
        <w:t xml:space="preserve">.2 </w:t>
      </w:r>
      <w:r w:rsidR="00565B7B" w:rsidRPr="00FF4C0D">
        <w:tab/>
        <w:t xml:space="preserve">Amendments to provide clarity to the </w:t>
      </w:r>
      <w:r w:rsidR="00E41E25" w:rsidRPr="00FF4C0D">
        <w:t>P</w:t>
      </w:r>
      <w:r w:rsidR="00565B7B" w:rsidRPr="00FF4C0D">
        <w:t xml:space="preserve">urpose and </w:t>
      </w:r>
      <w:r w:rsidR="00E41E25" w:rsidRPr="00FF4C0D">
        <w:t>D</w:t>
      </w:r>
      <w:r w:rsidR="00565B7B" w:rsidRPr="00FF4C0D">
        <w:t xml:space="preserve">efinitions </w:t>
      </w:r>
      <w:r w:rsidR="00E41E25" w:rsidRPr="00FF4C0D">
        <w:t>in</w:t>
      </w:r>
      <w:r w:rsidR="00565B7B" w:rsidRPr="00FF4C0D">
        <w:t xml:space="preserve"> </w:t>
      </w:r>
      <w:r w:rsidR="00B03DCA" w:rsidRPr="00FF4C0D">
        <w:t>S</w:t>
      </w:r>
      <w:r w:rsidR="00565B7B" w:rsidRPr="00FF4C0D">
        <w:t>tandard 1.5.3</w:t>
      </w:r>
      <w:bookmarkEnd w:id="64"/>
      <w:bookmarkEnd w:id="65"/>
      <w:r w:rsidR="00485A3F" w:rsidRPr="00FF4C0D">
        <w:t xml:space="preserve"> </w:t>
      </w:r>
    </w:p>
    <w:p w:rsidR="00565B7B" w:rsidRPr="00FF4C0D" w:rsidRDefault="00565B7B" w:rsidP="001D04E2">
      <w:pPr>
        <w:pStyle w:val="Heading3"/>
        <w:rPr>
          <w:rFonts w:eastAsia="Calibri" w:cs="Arial"/>
          <w:iCs/>
          <w:szCs w:val="22"/>
        </w:rPr>
      </w:pPr>
    </w:p>
    <w:p w:rsidR="00873C99" w:rsidRPr="00FF4C0D" w:rsidRDefault="00565B7B" w:rsidP="00565B7B">
      <w:r w:rsidRPr="00FF4C0D">
        <w:t>The Pur</w:t>
      </w:r>
      <w:r w:rsidR="00A977F4" w:rsidRPr="00FF4C0D">
        <w:t xml:space="preserve">pose was </w:t>
      </w:r>
      <w:r w:rsidRPr="00FF4C0D">
        <w:t>revised to remove extraneous material and provide more clarity around the purpose</w:t>
      </w:r>
      <w:r w:rsidR="00873C99" w:rsidRPr="00FF4C0D">
        <w:t xml:space="preserve"> of irradiating a food. The </w:t>
      </w:r>
      <w:r w:rsidR="00E41E25" w:rsidRPr="00FF4C0D">
        <w:t>P</w:t>
      </w:r>
      <w:r w:rsidR="00873C99" w:rsidRPr="00FF4C0D">
        <w:t xml:space="preserve">urpose now reflects </w:t>
      </w:r>
      <w:r w:rsidRPr="00FF4C0D">
        <w:t xml:space="preserve">that foods </w:t>
      </w:r>
      <w:r w:rsidR="00602FD9" w:rsidRPr="00FF4C0D">
        <w:t>should not be irradiated</w:t>
      </w:r>
      <w:r w:rsidR="00FD789E" w:rsidRPr="00FF4C0D">
        <w:t>,</w:t>
      </w:r>
      <w:r w:rsidR="00602FD9" w:rsidRPr="00FF4C0D">
        <w:t xml:space="preserve"> unless a specific permission is given, dosage requirements are adhered to, and the irradiation is undertaken for a </w:t>
      </w:r>
      <w:r w:rsidR="00E27832" w:rsidRPr="00FF4C0D">
        <w:t>specific</w:t>
      </w:r>
      <w:r w:rsidR="00602FD9" w:rsidRPr="00FF4C0D">
        <w:t xml:space="preserve"> purpose. </w:t>
      </w:r>
    </w:p>
    <w:p w:rsidR="00873C99" w:rsidRPr="00FF4C0D" w:rsidRDefault="00873C99" w:rsidP="00565B7B"/>
    <w:p w:rsidR="00565B7B" w:rsidRPr="00FF4C0D" w:rsidRDefault="00FD789E" w:rsidP="00565B7B">
      <w:pPr>
        <w:rPr>
          <w:szCs w:val="22"/>
        </w:rPr>
      </w:pPr>
      <w:r w:rsidRPr="00FF4C0D">
        <w:t>T</w:t>
      </w:r>
      <w:r w:rsidR="00565B7B" w:rsidRPr="00FF4C0D">
        <w:t xml:space="preserve">he </w:t>
      </w:r>
      <w:r w:rsidR="00B03DCA" w:rsidRPr="00FF4C0D">
        <w:t>P</w:t>
      </w:r>
      <w:r w:rsidR="00565B7B" w:rsidRPr="00FF4C0D">
        <w:t xml:space="preserve">urpose </w:t>
      </w:r>
      <w:r w:rsidRPr="00FF4C0D">
        <w:t xml:space="preserve">currently </w:t>
      </w:r>
      <w:r w:rsidR="00B03DCA" w:rsidRPr="00FF4C0D">
        <w:t xml:space="preserve">has </w:t>
      </w:r>
      <w:r w:rsidR="00565B7B" w:rsidRPr="00FF4C0D">
        <w:t xml:space="preserve">a reference to packages and packing materials used or intended for use in connection with irradiated food being of a suitable </w:t>
      </w:r>
      <w:r w:rsidR="00936A7D" w:rsidRPr="00FF4C0D">
        <w:t>quality, in</w:t>
      </w:r>
      <w:r w:rsidR="00565B7B" w:rsidRPr="00FF4C0D">
        <w:t xml:space="preserve"> an acceptable hygienic condition, </w:t>
      </w:r>
      <w:r w:rsidR="007651C2" w:rsidRPr="00FF4C0D">
        <w:t xml:space="preserve">and </w:t>
      </w:r>
      <w:r w:rsidR="00565B7B" w:rsidRPr="00FF4C0D">
        <w:t xml:space="preserve">appropriate for the purpose of such processing. However, </w:t>
      </w:r>
      <w:r w:rsidRPr="00FF4C0D">
        <w:t>FSANZ has</w:t>
      </w:r>
      <w:r w:rsidR="00565B7B" w:rsidRPr="00FF4C0D">
        <w:t xml:space="preserve"> remove</w:t>
      </w:r>
      <w:r w:rsidRPr="00FF4C0D">
        <w:t>d</w:t>
      </w:r>
      <w:r w:rsidR="00565B7B" w:rsidRPr="00FF4C0D">
        <w:t xml:space="preserve"> t</w:t>
      </w:r>
      <w:r w:rsidR="00565B7B" w:rsidRPr="00FF4C0D">
        <w:rPr>
          <w:szCs w:val="22"/>
        </w:rPr>
        <w:t xml:space="preserve">he reference to packages and packaging materials as this reference is not appropriately considered to be a ‘purpose’ for the </w:t>
      </w:r>
      <w:r w:rsidRPr="00FF4C0D">
        <w:rPr>
          <w:szCs w:val="22"/>
        </w:rPr>
        <w:t>S</w:t>
      </w:r>
      <w:r w:rsidR="00565B7B" w:rsidRPr="00FF4C0D">
        <w:rPr>
          <w:szCs w:val="22"/>
        </w:rPr>
        <w:t>tandard</w:t>
      </w:r>
      <w:r w:rsidR="007651C2" w:rsidRPr="00FF4C0D">
        <w:rPr>
          <w:szCs w:val="22"/>
        </w:rPr>
        <w:t xml:space="preserve">. In addition, </w:t>
      </w:r>
      <w:r w:rsidR="00565B7B" w:rsidRPr="00FF4C0D">
        <w:rPr>
          <w:szCs w:val="22"/>
        </w:rPr>
        <w:t xml:space="preserve">the provisions in </w:t>
      </w:r>
      <w:r w:rsidR="00E540B0" w:rsidRPr="00FF4C0D">
        <w:rPr>
          <w:szCs w:val="22"/>
        </w:rPr>
        <w:t>S</w:t>
      </w:r>
      <w:r w:rsidR="001E6992" w:rsidRPr="00FF4C0D">
        <w:rPr>
          <w:szCs w:val="22"/>
        </w:rPr>
        <w:t xml:space="preserve">tandard </w:t>
      </w:r>
      <w:r w:rsidR="00565B7B" w:rsidRPr="00FF4C0D">
        <w:rPr>
          <w:szCs w:val="22"/>
        </w:rPr>
        <w:t xml:space="preserve">1.4.3 </w:t>
      </w:r>
      <w:r w:rsidRPr="00FF4C0D">
        <w:rPr>
          <w:szCs w:val="22"/>
        </w:rPr>
        <w:t xml:space="preserve">also </w:t>
      </w:r>
      <w:r w:rsidR="00565B7B" w:rsidRPr="00FF4C0D">
        <w:rPr>
          <w:szCs w:val="22"/>
        </w:rPr>
        <w:t>apply to packaging used for irradiation (</w:t>
      </w:r>
      <w:r w:rsidR="00565B7B" w:rsidRPr="00FF4C0D">
        <w:rPr>
          <w:b/>
          <w:szCs w:val="22"/>
        </w:rPr>
        <w:t>see</w:t>
      </w:r>
      <w:r w:rsidR="0093769A" w:rsidRPr="00FF4C0D">
        <w:rPr>
          <w:b/>
          <w:szCs w:val="22"/>
        </w:rPr>
        <w:t xml:space="preserve"> section </w:t>
      </w:r>
      <w:r w:rsidR="00602E98" w:rsidRPr="00FF4C0D">
        <w:rPr>
          <w:b/>
          <w:szCs w:val="22"/>
        </w:rPr>
        <w:t>6</w:t>
      </w:r>
      <w:r w:rsidR="00D27891" w:rsidRPr="00FF4C0D">
        <w:rPr>
          <w:b/>
          <w:szCs w:val="22"/>
        </w:rPr>
        <w:t>.2</w:t>
      </w:r>
      <w:r w:rsidR="00873C99" w:rsidRPr="00FF4C0D">
        <w:rPr>
          <w:b/>
          <w:szCs w:val="22"/>
        </w:rPr>
        <w:t xml:space="preserve"> </w:t>
      </w:r>
      <w:r w:rsidR="00565B7B" w:rsidRPr="00FF4C0D">
        <w:rPr>
          <w:b/>
          <w:szCs w:val="22"/>
        </w:rPr>
        <w:t>above</w:t>
      </w:r>
      <w:r w:rsidR="00565B7B" w:rsidRPr="00FF4C0D">
        <w:rPr>
          <w:szCs w:val="22"/>
        </w:rPr>
        <w:t>).</w:t>
      </w:r>
    </w:p>
    <w:p w:rsidR="00565B7B" w:rsidRPr="00FF4C0D" w:rsidRDefault="00565B7B" w:rsidP="00565B7B">
      <w:pPr>
        <w:rPr>
          <w:szCs w:val="22"/>
        </w:rPr>
      </w:pPr>
    </w:p>
    <w:p w:rsidR="009B4A0D" w:rsidRPr="00FF4C0D" w:rsidRDefault="00565B7B" w:rsidP="002D3CB7">
      <w:pPr>
        <w:widowControl/>
        <w:rPr>
          <w:rFonts w:eastAsia="Calibri"/>
          <w:bCs/>
          <w:szCs w:val="22"/>
        </w:rPr>
      </w:pPr>
      <w:r w:rsidRPr="00FF4C0D">
        <w:rPr>
          <w:rFonts w:eastAsia="Calibri"/>
          <w:bCs/>
          <w:szCs w:val="22"/>
        </w:rPr>
        <w:t xml:space="preserve">The current text in the </w:t>
      </w:r>
      <w:r w:rsidR="00E41E25" w:rsidRPr="00FF4C0D">
        <w:rPr>
          <w:rFonts w:eastAsia="Calibri"/>
          <w:bCs/>
          <w:szCs w:val="22"/>
        </w:rPr>
        <w:t>P</w:t>
      </w:r>
      <w:r w:rsidRPr="00FF4C0D">
        <w:rPr>
          <w:rFonts w:eastAsia="Calibri"/>
          <w:bCs/>
          <w:szCs w:val="22"/>
        </w:rPr>
        <w:t>urpose</w:t>
      </w:r>
      <w:r w:rsidR="00A02B82" w:rsidRPr="00FF4C0D">
        <w:rPr>
          <w:rFonts w:eastAsia="Calibri"/>
          <w:bCs/>
          <w:szCs w:val="22"/>
        </w:rPr>
        <w:t>,</w:t>
      </w:r>
      <w:r w:rsidRPr="00FF4C0D">
        <w:rPr>
          <w:rFonts w:eastAsia="Calibri"/>
          <w:bCs/>
          <w:szCs w:val="22"/>
        </w:rPr>
        <w:t xml:space="preserve"> pertaining to irradiation facilities and Codes of Practice for irradiated foods</w:t>
      </w:r>
      <w:r w:rsidR="00A02B82" w:rsidRPr="00FF4C0D">
        <w:rPr>
          <w:rFonts w:eastAsia="Calibri"/>
          <w:bCs/>
          <w:szCs w:val="22"/>
        </w:rPr>
        <w:t>,</w:t>
      </w:r>
      <w:r w:rsidRPr="00FF4C0D">
        <w:rPr>
          <w:rFonts w:eastAsia="Calibri"/>
          <w:bCs/>
          <w:szCs w:val="22"/>
        </w:rPr>
        <w:t xml:space="preserve"> has been </w:t>
      </w:r>
      <w:r w:rsidR="00E41E25" w:rsidRPr="00FF4C0D">
        <w:rPr>
          <w:rFonts w:eastAsia="Calibri"/>
          <w:bCs/>
          <w:szCs w:val="22"/>
        </w:rPr>
        <w:t xml:space="preserve">amended as </w:t>
      </w:r>
      <w:r w:rsidR="00FE61BE" w:rsidRPr="00FF4C0D">
        <w:rPr>
          <w:rFonts w:eastAsia="Calibri"/>
          <w:bCs/>
          <w:szCs w:val="22"/>
        </w:rPr>
        <w:t>follow</w:t>
      </w:r>
      <w:r w:rsidR="00E41E25" w:rsidRPr="00FF4C0D">
        <w:rPr>
          <w:rFonts w:eastAsia="Calibri"/>
          <w:bCs/>
          <w:szCs w:val="22"/>
        </w:rPr>
        <w:t>s</w:t>
      </w:r>
      <w:r w:rsidR="00FE61BE" w:rsidRPr="00FF4C0D">
        <w:rPr>
          <w:rFonts w:eastAsia="Calibri"/>
          <w:bCs/>
          <w:szCs w:val="22"/>
        </w:rPr>
        <w:t>:</w:t>
      </w:r>
    </w:p>
    <w:p w:rsidR="00FE61BE" w:rsidRPr="00FF4C0D" w:rsidRDefault="00FE61BE" w:rsidP="00565B7B">
      <w:pPr>
        <w:rPr>
          <w:rFonts w:eastAsia="Calibri"/>
          <w:bCs/>
          <w:szCs w:val="22"/>
        </w:rPr>
      </w:pPr>
    </w:p>
    <w:p w:rsidR="00936A77" w:rsidRPr="00FF4C0D" w:rsidRDefault="00E41E25">
      <w:pPr>
        <w:pStyle w:val="FSBullet"/>
      </w:pPr>
      <w:r w:rsidRPr="00FF4C0D">
        <w:rPr>
          <w:rFonts w:eastAsia="Calibri"/>
        </w:rPr>
        <w:t>I</w:t>
      </w:r>
      <w:r w:rsidR="00565B7B" w:rsidRPr="00FF4C0D">
        <w:rPr>
          <w:rFonts w:eastAsia="Calibri"/>
        </w:rPr>
        <w:t>rradiation of foods must be carried out in facilities that are appropriately licensed and registered for the purpose of irradiation</w:t>
      </w:r>
      <w:r w:rsidR="00FF0561" w:rsidRPr="00FF4C0D">
        <w:rPr>
          <w:rFonts w:eastAsia="Calibri"/>
        </w:rPr>
        <w:t>.</w:t>
      </w:r>
    </w:p>
    <w:p w:rsidR="00266D63" w:rsidRPr="00FF4C0D" w:rsidRDefault="00266D63" w:rsidP="00266D63">
      <w:pPr>
        <w:widowControl/>
        <w:rPr>
          <w:rFonts w:eastAsia="Calibri"/>
        </w:rPr>
      </w:pPr>
    </w:p>
    <w:p w:rsidR="00936A77" w:rsidRPr="00FF4C0D" w:rsidRDefault="00E41E25" w:rsidP="00266D63">
      <w:pPr>
        <w:pStyle w:val="FSBullet"/>
        <w:rPr>
          <w:rFonts w:eastAsia="Calibri"/>
        </w:rPr>
      </w:pPr>
      <w:r w:rsidRPr="00FF4C0D">
        <w:rPr>
          <w:rFonts w:eastAsia="Calibri"/>
        </w:rPr>
        <w:t>A</w:t>
      </w:r>
      <w:r w:rsidR="00565B7B" w:rsidRPr="00FF4C0D">
        <w:rPr>
          <w:rFonts w:eastAsia="Calibri"/>
        </w:rPr>
        <w:t>n additional reference to international laws governing radiation control</w:t>
      </w:r>
      <w:r w:rsidRPr="00FF4C0D">
        <w:rPr>
          <w:rFonts w:eastAsia="Calibri"/>
        </w:rPr>
        <w:t xml:space="preserve"> has been in</w:t>
      </w:r>
      <w:r w:rsidR="00C01F92" w:rsidRPr="00FF4C0D">
        <w:rPr>
          <w:rFonts w:eastAsia="Calibri"/>
        </w:rPr>
        <w:t>cluded</w:t>
      </w:r>
      <w:r w:rsidR="0043627B" w:rsidRPr="00FF4C0D">
        <w:rPr>
          <w:rFonts w:eastAsia="Calibri"/>
        </w:rPr>
        <w:t>,</w:t>
      </w:r>
      <w:r w:rsidR="00565B7B" w:rsidRPr="00FF4C0D">
        <w:rPr>
          <w:rFonts w:eastAsia="Calibri"/>
        </w:rPr>
        <w:t xml:space="preserve"> to cover foods that may be imported. </w:t>
      </w:r>
    </w:p>
    <w:p w:rsidR="00565B7B" w:rsidRPr="00FF4C0D" w:rsidRDefault="00565B7B" w:rsidP="00565B7B"/>
    <w:p w:rsidR="00565B7B" w:rsidRPr="00FF4C0D" w:rsidRDefault="00565B7B" w:rsidP="00565B7B">
      <w:r w:rsidRPr="00FF4C0D">
        <w:t xml:space="preserve">The definition of technological need </w:t>
      </w:r>
      <w:r w:rsidR="00E41E25" w:rsidRPr="00FF4C0D">
        <w:t>has been</w:t>
      </w:r>
      <w:r w:rsidRPr="00FF4C0D">
        <w:t xml:space="preserve"> deleted because the </w:t>
      </w:r>
      <w:r w:rsidR="002E2AAA" w:rsidRPr="00FF4C0D">
        <w:t>specific</w:t>
      </w:r>
      <w:r w:rsidR="00561129" w:rsidRPr="00FF4C0D">
        <w:t xml:space="preserve"> </w:t>
      </w:r>
      <w:r w:rsidRPr="00FF4C0D">
        <w:t>purpose of irradiati</w:t>
      </w:r>
      <w:r w:rsidR="00561129" w:rsidRPr="00FF4C0D">
        <w:t xml:space="preserve">ng a food is a mandatory requirement </w:t>
      </w:r>
      <w:r w:rsidR="00301BE4" w:rsidRPr="00FF4C0D">
        <w:t>specified</w:t>
      </w:r>
      <w:r w:rsidRPr="00FF4C0D">
        <w:t xml:space="preserve"> in Column 3 of the </w:t>
      </w:r>
      <w:r w:rsidR="002E2AAA" w:rsidRPr="00FF4C0D">
        <w:t>T</w:t>
      </w:r>
      <w:r w:rsidRPr="00FF4C0D">
        <w:t xml:space="preserve">able of foods permitted to be irradiated. Therefore, there is </w:t>
      </w:r>
      <w:r w:rsidR="00C10207" w:rsidRPr="00FF4C0D">
        <w:t xml:space="preserve">now </w:t>
      </w:r>
      <w:r w:rsidRPr="00FF4C0D">
        <w:t xml:space="preserve">no need for a specific definition of technological need. </w:t>
      </w:r>
    </w:p>
    <w:p w:rsidR="00565B7B" w:rsidRPr="00FF4C0D" w:rsidRDefault="00565B7B" w:rsidP="00565B7B"/>
    <w:p w:rsidR="00C01F92" w:rsidRPr="00FF4C0D" w:rsidRDefault="00601B3B" w:rsidP="00565B7B">
      <w:r w:rsidRPr="00FF4C0D">
        <w:t xml:space="preserve">The definition of re-irradiation </w:t>
      </w:r>
      <w:r w:rsidR="00597E28" w:rsidRPr="00FF4C0D">
        <w:t xml:space="preserve">has been </w:t>
      </w:r>
      <w:r w:rsidRPr="00FF4C0D">
        <w:t xml:space="preserve">deleted as </w:t>
      </w:r>
      <w:r w:rsidR="00565B7B" w:rsidRPr="00FF4C0D">
        <w:t xml:space="preserve">it is proposed to create a new clause </w:t>
      </w:r>
      <w:r w:rsidRPr="00FF4C0D">
        <w:t>(see clause 5 of Attachment 1</w:t>
      </w:r>
      <w:r w:rsidR="00485A3F" w:rsidRPr="00FF4C0D">
        <w:t>A</w:t>
      </w:r>
      <w:r w:rsidR="00597E28" w:rsidRPr="00FF4C0D">
        <w:t>) which</w:t>
      </w:r>
      <w:r w:rsidRPr="00FF4C0D">
        <w:t xml:space="preserve"> </w:t>
      </w:r>
      <w:r w:rsidR="00565B7B" w:rsidRPr="00FF4C0D">
        <w:t>specif</w:t>
      </w:r>
      <w:r w:rsidR="006930E1" w:rsidRPr="00FF4C0D">
        <w:t>ies</w:t>
      </w:r>
      <w:r w:rsidR="00565B7B" w:rsidRPr="00FF4C0D">
        <w:t xml:space="preserve"> conditions under which a food can be </w:t>
      </w:r>
    </w:p>
    <w:p w:rsidR="00565B7B" w:rsidRPr="00FF4C0D" w:rsidRDefault="00565B7B" w:rsidP="00565B7B">
      <w:r w:rsidRPr="00FF4C0D">
        <w:t xml:space="preserve">re-irradiated. </w:t>
      </w:r>
    </w:p>
    <w:p w:rsidR="00A56926" w:rsidRPr="00FF4C0D" w:rsidRDefault="00A56926" w:rsidP="00565B7B"/>
    <w:p w:rsidR="00345562" w:rsidRPr="00FF4C0D" w:rsidRDefault="00345562">
      <w:pPr>
        <w:pStyle w:val="Heading4"/>
      </w:pPr>
      <w:r w:rsidRPr="00FF4C0D">
        <w:br w:type="page"/>
      </w:r>
    </w:p>
    <w:p w:rsidR="00EE0916" w:rsidRPr="00FF4C0D" w:rsidRDefault="00253E49">
      <w:pPr>
        <w:pStyle w:val="Heading4"/>
      </w:pPr>
      <w:r w:rsidRPr="00FF4C0D">
        <w:lastRenderedPageBreak/>
        <w:t>7</w:t>
      </w:r>
      <w:r w:rsidR="00376FD7" w:rsidRPr="00FF4C0D">
        <w:t>.2.1</w:t>
      </w:r>
      <w:r w:rsidR="00E338B9" w:rsidRPr="00FF4C0D">
        <w:tab/>
      </w:r>
      <w:r w:rsidR="00376FD7" w:rsidRPr="00FF4C0D">
        <w:t xml:space="preserve">Issues raised during public consultation </w:t>
      </w:r>
    </w:p>
    <w:p w:rsidR="00EE0916" w:rsidRPr="00FF4C0D" w:rsidRDefault="00EE0916" w:rsidP="00D27891">
      <w:pPr>
        <w:widowControl/>
        <w:rPr>
          <w:bCs/>
        </w:rPr>
      </w:pPr>
    </w:p>
    <w:p w:rsidR="007C4DF5" w:rsidRPr="00FF4C0D" w:rsidRDefault="00D27891" w:rsidP="00751255">
      <w:pPr>
        <w:widowControl/>
      </w:pPr>
      <w:r w:rsidRPr="00FF4C0D">
        <w:rPr>
          <w:bCs/>
        </w:rPr>
        <w:t xml:space="preserve">NZMAF suggested an amendment </w:t>
      </w:r>
      <w:r w:rsidR="000D7BD5" w:rsidRPr="00FF4C0D">
        <w:rPr>
          <w:bCs/>
        </w:rPr>
        <w:t xml:space="preserve">to </w:t>
      </w:r>
      <w:r w:rsidRPr="00FF4C0D">
        <w:rPr>
          <w:bCs/>
        </w:rPr>
        <w:t xml:space="preserve">the </w:t>
      </w:r>
      <w:r w:rsidR="000D7BD5" w:rsidRPr="00FF4C0D">
        <w:rPr>
          <w:bCs/>
        </w:rPr>
        <w:t>P</w:t>
      </w:r>
      <w:r w:rsidRPr="00FF4C0D">
        <w:rPr>
          <w:bCs/>
        </w:rPr>
        <w:t>urpose</w:t>
      </w:r>
      <w:r w:rsidR="000D7BD5" w:rsidRPr="00FF4C0D">
        <w:rPr>
          <w:bCs/>
        </w:rPr>
        <w:t xml:space="preserve"> section</w:t>
      </w:r>
      <w:r w:rsidRPr="00FF4C0D">
        <w:rPr>
          <w:bCs/>
        </w:rPr>
        <w:t xml:space="preserve"> </w:t>
      </w:r>
      <w:r w:rsidR="00E338B9" w:rsidRPr="00FF4C0D">
        <w:rPr>
          <w:bCs/>
        </w:rPr>
        <w:t xml:space="preserve">in relation to </w:t>
      </w:r>
      <w:r w:rsidR="008F1140" w:rsidRPr="00FF4C0D">
        <w:rPr>
          <w:rFonts w:eastAsia="Calibri"/>
          <w:bCs/>
          <w:szCs w:val="22"/>
        </w:rPr>
        <w:t>irradiation facilities and Codes of Practice for irradiated foods</w:t>
      </w:r>
      <w:r w:rsidR="008F1140" w:rsidRPr="00FF4C0D">
        <w:rPr>
          <w:bCs/>
        </w:rPr>
        <w:t xml:space="preserve"> </w:t>
      </w:r>
      <w:r w:rsidR="00B30DF5" w:rsidRPr="00FF4C0D">
        <w:rPr>
          <w:bCs/>
        </w:rPr>
        <w:t xml:space="preserve">as proposed at Assessment </w:t>
      </w:r>
      <w:r w:rsidRPr="00FF4C0D">
        <w:rPr>
          <w:bCs/>
        </w:rPr>
        <w:t xml:space="preserve">to include </w:t>
      </w:r>
      <w:r w:rsidR="00E338B9" w:rsidRPr="00FF4C0D">
        <w:rPr>
          <w:bCs/>
        </w:rPr>
        <w:t xml:space="preserve">a reference to </w:t>
      </w:r>
      <w:r w:rsidRPr="00FF4C0D">
        <w:rPr>
          <w:bCs/>
        </w:rPr>
        <w:t>New Zealand</w:t>
      </w:r>
      <w:r w:rsidR="00E338B9" w:rsidRPr="00FF4C0D">
        <w:rPr>
          <w:bCs/>
        </w:rPr>
        <w:t xml:space="preserve">. </w:t>
      </w:r>
      <w:r w:rsidRPr="00FF4C0D">
        <w:rPr>
          <w:bCs/>
        </w:rPr>
        <w:t xml:space="preserve"> </w:t>
      </w:r>
    </w:p>
    <w:p w:rsidR="00B30DF5" w:rsidRPr="00FF4C0D" w:rsidRDefault="00B30DF5" w:rsidP="005222C5"/>
    <w:p w:rsidR="00B30DF5" w:rsidRPr="00FF4C0D" w:rsidRDefault="00B30DF5" w:rsidP="00B30DF5">
      <w:r w:rsidRPr="00FF4C0D">
        <w:t xml:space="preserve">FSANZ </w:t>
      </w:r>
      <w:r w:rsidR="00E338B9" w:rsidRPr="00FF4C0D">
        <w:t xml:space="preserve">has </w:t>
      </w:r>
      <w:r w:rsidR="00253E49" w:rsidRPr="00FF4C0D">
        <w:t>corrected</w:t>
      </w:r>
      <w:r w:rsidR="00E338B9" w:rsidRPr="00FF4C0D">
        <w:t xml:space="preserve"> the accidental deletion of this reference. </w:t>
      </w:r>
    </w:p>
    <w:p w:rsidR="00B30DF5" w:rsidRPr="00FF4C0D" w:rsidRDefault="00B30DF5" w:rsidP="0093769A"/>
    <w:p w:rsidR="00565B7B" w:rsidRPr="00FF4C0D" w:rsidRDefault="00253E49" w:rsidP="00B206A0">
      <w:pPr>
        <w:pStyle w:val="Heading3"/>
      </w:pPr>
      <w:bookmarkStart w:id="66" w:name="_Toc284492488"/>
      <w:bookmarkStart w:id="67" w:name="_Toc297029104"/>
      <w:r w:rsidRPr="00FF4C0D">
        <w:t>7</w:t>
      </w:r>
      <w:r w:rsidR="00565B7B" w:rsidRPr="00FF4C0D">
        <w:t>.3</w:t>
      </w:r>
      <w:r w:rsidR="002F02D4" w:rsidRPr="00FF4C0D">
        <w:tab/>
      </w:r>
      <w:r w:rsidR="00565B7B" w:rsidRPr="00FF4C0D">
        <w:t>Structural changes to Standard 1.5.3 and proposed new clauses</w:t>
      </w:r>
      <w:bookmarkEnd w:id="66"/>
      <w:bookmarkEnd w:id="67"/>
    </w:p>
    <w:p w:rsidR="00565B7B" w:rsidRPr="00FF4C0D" w:rsidRDefault="00565B7B" w:rsidP="00565B7B">
      <w:pPr>
        <w:pStyle w:val="FSBullet"/>
        <w:ind w:left="0" w:firstLine="0"/>
      </w:pPr>
    </w:p>
    <w:p w:rsidR="00B30DF5" w:rsidRPr="00FF4C0D" w:rsidRDefault="00D30513" w:rsidP="00565B7B">
      <w:r w:rsidRPr="00FF4C0D">
        <w:t>At Assessment the foll</w:t>
      </w:r>
      <w:r w:rsidR="00B30DF5" w:rsidRPr="00FF4C0D">
        <w:t>o</w:t>
      </w:r>
      <w:r w:rsidRPr="00FF4C0D">
        <w:t>w</w:t>
      </w:r>
      <w:r w:rsidR="00B30DF5" w:rsidRPr="00FF4C0D">
        <w:t>i</w:t>
      </w:r>
      <w:r w:rsidRPr="00FF4C0D">
        <w:t>n</w:t>
      </w:r>
      <w:r w:rsidR="00B30DF5" w:rsidRPr="00FF4C0D">
        <w:t>g changes were proposed:</w:t>
      </w:r>
    </w:p>
    <w:p w:rsidR="00B30DF5" w:rsidRPr="00FF4C0D" w:rsidRDefault="00B30DF5" w:rsidP="00565B7B"/>
    <w:p w:rsidR="00565B7B" w:rsidRPr="00FF4C0D" w:rsidRDefault="00B30DF5" w:rsidP="00751255">
      <w:pPr>
        <w:pStyle w:val="FSBullet"/>
      </w:pPr>
      <w:r w:rsidRPr="00FF4C0D">
        <w:t xml:space="preserve">Amendment and re-ordering of </w:t>
      </w:r>
      <w:r w:rsidR="007651C2" w:rsidRPr="00FF4C0D">
        <w:t>t</w:t>
      </w:r>
      <w:r w:rsidR="00565B7B" w:rsidRPr="00FF4C0D">
        <w:t xml:space="preserve">he Table of </w:t>
      </w:r>
      <w:r w:rsidR="00597E28" w:rsidRPr="00FF4C0D">
        <w:t>Provisions to</w:t>
      </w:r>
      <w:r w:rsidR="00565B7B" w:rsidRPr="00FF4C0D">
        <w:t xml:space="preserve"> reflect the variations. </w:t>
      </w:r>
    </w:p>
    <w:p w:rsidR="009B4A0D" w:rsidRPr="00FF4C0D" w:rsidRDefault="009B4A0D" w:rsidP="002D3CB7"/>
    <w:p w:rsidR="00CD02CE" w:rsidRPr="00FF4C0D" w:rsidRDefault="00D30513" w:rsidP="00751255">
      <w:pPr>
        <w:pStyle w:val="FSBullet"/>
      </w:pPr>
      <w:r w:rsidRPr="00FF4C0D">
        <w:t xml:space="preserve">Amendment and relocation of </w:t>
      </w:r>
      <w:r w:rsidR="00480895" w:rsidRPr="00FF4C0D">
        <w:t>c</w:t>
      </w:r>
      <w:r w:rsidR="00282855" w:rsidRPr="00FF4C0D">
        <w:t xml:space="preserve">lause 2(2) referring to re-irradiation of a food to </w:t>
      </w:r>
      <w:r w:rsidR="002E2AAA" w:rsidRPr="00FF4C0D">
        <w:t>a</w:t>
      </w:r>
      <w:r w:rsidR="00282855" w:rsidRPr="00FF4C0D">
        <w:t xml:space="preserve"> new clause 5</w:t>
      </w:r>
      <w:r w:rsidR="0096122E" w:rsidRPr="00FF4C0D">
        <w:t xml:space="preserve"> </w:t>
      </w:r>
      <w:r w:rsidR="00C6506E" w:rsidRPr="00FF4C0D">
        <w:t xml:space="preserve">(see below) </w:t>
      </w:r>
      <w:r w:rsidR="0096122E" w:rsidRPr="00FF4C0D">
        <w:t xml:space="preserve">in order to </w:t>
      </w:r>
      <w:r w:rsidR="00565B7B" w:rsidRPr="00FF4C0D">
        <w:t xml:space="preserve">clarify </w:t>
      </w:r>
      <w:r w:rsidR="00282855" w:rsidRPr="00FF4C0D">
        <w:t xml:space="preserve">the intent of these provisions. </w:t>
      </w:r>
    </w:p>
    <w:p w:rsidR="00345562" w:rsidRPr="00FF4C0D" w:rsidRDefault="00345562" w:rsidP="002D3CB7">
      <w:pPr>
        <w:widowControl/>
      </w:pPr>
    </w:p>
    <w:p w:rsidR="00C21093" w:rsidRPr="00FF4C0D" w:rsidRDefault="00D30513" w:rsidP="00751255">
      <w:pPr>
        <w:pStyle w:val="FSBullet"/>
      </w:pPr>
      <w:r w:rsidRPr="00FF4C0D">
        <w:t xml:space="preserve">Amendment of </w:t>
      </w:r>
      <w:r w:rsidR="007651C2" w:rsidRPr="00FF4C0D">
        <w:t>c</w:t>
      </w:r>
      <w:r w:rsidR="0096122E" w:rsidRPr="00FF4C0D">
        <w:t xml:space="preserve">lause 4 </w:t>
      </w:r>
      <w:r w:rsidR="00B03DCA" w:rsidRPr="00FF4C0D">
        <w:t>as</w:t>
      </w:r>
      <w:r w:rsidR="00F15383" w:rsidRPr="00FF4C0D">
        <w:t xml:space="preserve"> follow</w:t>
      </w:r>
      <w:r w:rsidR="00B03DCA" w:rsidRPr="00FF4C0D">
        <w:t>s</w:t>
      </w:r>
      <w:r w:rsidR="00F15383" w:rsidRPr="00FF4C0D">
        <w:t>:</w:t>
      </w:r>
    </w:p>
    <w:p w:rsidR="00F15383" w:rsidRPr="00FF4C0D" w:rsidRDefault="00F15383" w:rsidP="001617E8"/>
    <w:p w:rsidR="009B4A0D" w:rsidRPr="00FF4C0D" w:rsidRDefault="00B03DCA" w:rsidP="002D3CB7">
      <w:pPr>
        <w:pStyle w:val="FSDash"/>
        <w:rPr>
          <w:lang w:eastAsia="en-GB" w:bidi="ar-SA"/>
        </w:rPr>
      </w:pPr>
      <w:r w:rsidRPr="00FF4C0D">
        <w:rPr>
          <w:lang w:eastAsia="en-GB" w:bidi="ar-SA"/>
        </w:rPr>
        <w:t>i</w:t>
      </w:r>
      <w:r w:rsidR="00F15383" w:rsidRPr="00FF4C0D">
        <w:rPr>
          <w:lang w:eastAsia="en-GB" w:bidi="ar-SA"/>
        </w:rPr>
        <w:t>nsert</w:t>
      </w:r>
      <w:r w:rsidRPr="00FF4C0D">
        <w:rPr>
          <w:lang w:eastAsia="en-GB" w:bidi="ar-SA"/>
        </w:rPr>
        <w:t xml:space="preserve">ion of </w:t>
      </w:r>
      <w:r w:rsidR="006930E1" w:rsidRPr="00FF4C0D">
        <w:rPr>
          <w:lang w:eastAsia="en-GB" w:bidi="ar-SA"/>
        </w:rPr>
        <w:t>a</w:t>
      </w:r>
      <w:r w:rsidR="00F15383" w:rsidRPr="00FF4C0D">
        <w:rPr>
          <w:lang w:eastAsia="en-GB" w:bidi="ar-SA"/>
        </w:rPr>
        <w:t xml:space="preserve"> per</w:t>
      </w:r>
      <w:r w:rsidR="00C10207" w:rsidRPr="00FF4C0D">
        <w:rPr>
          <w:lang w:eastAsia="en-GB" w:bidi="ar-SA"/>
        </w:rPr>
        <w:t>mission</w:t>
      </w:r>
      <w:r w:rsidR="00F15383" w:rsidRPr="00FF4C0D">
        <w:rPr>
          <w:lang w:eastAsia="en-GB" w:bidi="ar-SA"/>
        </w:rPr>
        <w:t xml:space="preserve"> to irradiate persimmons with accompanying minimum and maximum doses and a condition that persimmons may only be irradiated for the purposes of pest disinfestation for a phytosanitary objective</w:t>
      </w:r>
    </w:p>
    <w:p w:rsidR="0043394B" w:rsidRPr="00FF4C0D" w:rsidRDefault="0043394B" w:rsidP="0068357C">
      <w:pPr>
        <w:pStyle w:val="FSDash"/>
      </w:pPr>
      <w:r w:rsidRPr="00FF4C0D">
        <w:t xml:space="preserve">deletion of all references to good manufacturing practice (GMP) in </w:t>
      </w:r>
      <w:r w:rsidR="00637272" w:rsidRPr="00FF4C0D">
        <w:t>Standard 1.5.3</w:t>
      </w:r>
      <w:r w:rsidRPr="00FF4C0D">
        <w:t xml:space="preserve"> as a condition for handling food before and after irradiation, as this is covered by other provisions</w:t>
      </w:r>
      <w:r w:rsidR="00CE3FF3" w:rsidRPr="00FF4C0D">
        <w:t>, relating to food safety requirements,</w:t>
      </w:r>
      <w:r w:rsidRPr="00FF4C0D">
        <w:t xml:space="preserve"> currently in the Code and covered in existing New Zealand legislation, including the Food Hygiene Regulations 1974 or under an approved food safety program via the New Zealand Food Act 1981</w:t>
      </w:r>
    </w:p>
    <w:p w:rsidR="009B4A0D" w:rsidRPr="00FF4C0D" w:rsidRDefault="00B30DF5" w:rsidP="002D3CB7">
      <w:pPr>
        <w:pStyle w:val="FSDash"/>
      </w:pPr>
      <w:r w:rsidRPr="00FF4C0D">
        <w:t xml:space="preserve">deletion of </w:t>
      </w:r>
      <w:r w:rsidR="00F15383" w:rsidRPr="00FF4C0D">
        <w:t xml:space="preserve">the </w:t>
      </w:r>
      <w:r w:rsidR="006930E1" w:rsidRPr="00FF4C0D">
        <w:t xml:space="preserve">condition that the </w:t>
      </w:r>
      <w:r w:rsidR="00F15383" w:rsidRPr="00FF4C0D">
        <w:t>minimum dose</w:t>
      </w:r>
      <w:r w:rsidR="006930E1" w:rsidRPr="00FF4C0D">
        <w:t xml:space="preserve"> of irradiation</w:t>
      </w:r>
      <w:r w:rsidR="00F15383" w:rsidRPr="00FF4C0D">
        <w:t xml:space="preserve"> </w:t>
      </w:r>
      <w:r w:rsidR="006930E1" w:rsidRPr="00FF4C0D">
        <w:t xml:space="preserve">necessary to achieve the </w:t>
      </w:r>
      <w:r w:rsidR="003263C1" w:rsidRPr="00FF4C0D">
        <w:t xml:space="preserve">technological purpose be used </w:t>
      </w:r>
      <w:r w:rsidR="006930E1" w:rsidRPr="00FF4C0D">
        <w:t>because a minimum dose is already specified in Column 2 of the Table to clause 4</w:t>
      </w:r>
    </w:p>
    <w:p w:rsidR="009B4A0D" w:rsidRPr="00FF4C0D" w:rsidRDefault="00B30DF5" w:rsidP="002D3CB7">
      <w:pPr>
        <w:pStyle w:val="FSDash"/>
      </w:pPr>
      <w:r w:rsidRPr="00FF4C0D">
        <w:t xml:space="preserve">insertion of </w:t>
      </w:r>
      <w:r w:rsidR="006930E1" w:rsidRPr="00FF4C0D">
        <w:t>a new prohibition on irradiating</w:t>
      </w:r>
      <w:r w:rsidR="008D1A94" w:rsidRPr="00FF4C0D">
        <w:t xml:space="preserve"> food that is either unsafe or unsuitable</w:t>
      </w:r>
      <w:r w:rsidR="00D513A7" w:rsidRPr="00FF4C0D">
        <w:t xml:space="preserve"> </w:t>
      </w:r>
      <w:r w:rsidR="006930E1" w:rsidRPr="00FF4C0D">
        <w:t>to more accurately and clearly reflect the intention that irradiation is only to be used for the specified purpose, and not to clean up food which is unsafe or unsuitable.</w:t>
      </w:r>
      <w:r w:rsidR="008D1A94" w:rsidRPr="00FF4C0D">
        <w:t xml:space="preserve"> </w:t>
      </w:r>
    </w:p>
    <w:p w:rsidR="00A21B0C" w:rsidRPr="00FF4C0D" w:rsidRDefault="00A21B0C" w:rsidP="00D30513"/>
    <w:p w:rsidR="004C49D7" w:rsidRPr="00FF4C0D" w:rsidRDefault="00D606A7" w:rsidP="00751255">
      <w:pPr>
        <w:pStyle w:val="FSBullet"/>
      </w:pPr>
      <w:r w:rsidRPr="00FF4C0D">
        <w:t>Insertion</w:t>
      </w:r>
      <w:r w:rsidR="00D30513" w:rsidRPr="00FF4C0D">
        <w:t xml:space="preserve"> of a</w:t>
      </w:r>
      <w:r w:rsidR="008D1A94" w:rsidRPr="00FF4C0D">
        <w:t xml:space="preserve"> </w:t>
      </w:r>
      <w:r w:rsidR="00A21B0C" w:rsidRPr="00FF4C0D">
        <w:t xml:space="preserve">new clause </w:t>
      </w:r>
      <w:r w:rsidR="008778CF" w:rsidRPr="00FF4C0D">
        <w:t>5</w:t>
      </w:r>
      <w:r w:rsidR="00A21B0C" w:rsidRPr="00FF4C0D">
        <w:t xml:space="preserve"> specifying conditions under whi</w:t>
      </w:r>
      <w:r w:rsidR="00EB644A" w:rsidRPr="00FF4C0D">
        <w:t xml:space="preserve">ch a food can be re-irradiated. </w:t>
      </w:r>
      <w:r w:rsidR="00587BE2" w:rsidRPr="00FF4C0D">
        <w:t xml:space="preserve">This clarifies and incorporates the previous existing exemptions for the re-irradiation of food. </w:t>
      </w:r>
    </w:p>
    <w:p w:rsidR="008E3116" w:rsidRPr="00FF4C0D" w:rsidRDefault="008E3116" w:rsidP="00D30513">
      <w:pPr>
        <w:widowControl/>
      </w:pPr>
    </w:p>
    <w:p w:rsidR="004B7DCC" w:rsidRPr="00FF4C0D" w:rsidRDefault="00253E49">
      <w:pPr>
        <w:pStyle w:val="Heading4"/>
      </w:pPr>
      <w:r w:rsidRPr="00FF4C0D">
        <w:t>7</w:t>
      </w:r>
      <w:r w:rsidR="004B7DCC" w:rsidRPr="00FF4C0D">
        <w:t>.3.1</w:t>
      </w:r>
      <w:r w:rsidR="00444283" w:rsidRPr="00FF4C0D">
        <w:tab/>
      </w:r>
      <w:r w:rsidR="004B7DCC" w:rsidRPr="00FF4C0D">
        <w:t xml:space="preserve">Issues raised </w:t>
      </w:r>
      <w:r w:rsidR="000B43B5" w:rsidRPr="00FF4C0D">
        <w:t>during</w:t>
      </w:r>
      <w:r w:rsidR="004B7DCC" w:rsidRPr="00FF4C0D">
        <w:t xml:space="preserve"> public consultation </w:t>
      </w:r>
    </w:p>
    <w:p w:rsidR="004B7DCC" w:rsidRPr="00FF4C0D" w:rsidRDefault="004B7DCC" w:rsidP="00CE61F2">
      <w:pPr>
        <w:widowControl/>
        <w:rPr>
          <w:u w:val="single"/>
        </w:rPr>
      </w:pPr>
    </w:p>
    <w:p w:rsidR="004B7DCC" w:rsidRPr="00FF4C0D" w:rsidRDefault="00253E49" w:rsidP="00751255">
      <w:pPr>
        <w:pStyle w:val="Heading5"/>
      </w:pPr>
      <w:r w:rsidRPr="00FF4C0D">
        <w:t>7</w:t>
      </w:r>
      <w:r w:rsidR="00444283" w:rsidRPr="00FF4C0D">
        <w:t>.3.1.1</w:t>
      </w:r>
      <w:r w:rsidR="00444283" w:rsidRPr="00FF4C0D">
        <w:tab/>
      </w:r>
      <w:r w:rsidR="00AC786A" w:rsidRPr="00FF4C0D">
        <w:t>P</w:t>
      </w:r>
      <w:r w:rsidR="004B7DCC" w:rsidRPr="00FF4C0D">
        <w:t xml:space="preserve">rohibition on irradiating food that is unsafe or unsuitable </w:t>
      </w:r>
    </w:p>
    <w:p w:rsidR="004B7DCC" w:rsidRPr="00FF4C0D" w:rsidRDefault="004B7DCC" w:rsidP="00CE61F2">
      <w:pPr>
        <w:widowControl/>
      </w:pPr>
    </w:p>
    <w:p w:rsidR="003E160B" w:rsidRPr="00FF4C0D" w:rsidRDefault="00CE61F2" w:rsidP="00CE61F2">
      <w:pPr>
        <w:widowControl/>
        <w:rPr>
          <w:szCs w:val="22"/>
        </w:rPr>
      </w:pPr>
      <w:r w:rsidRPr="00FF4C0D">
        <w:t xml:space="preserve">At Assessment, </w:t>
      </w:r>
      <w:r w:rsidRPr="00FF4C0D">
        <w:rPr>
          <w:bCs/>
        </w:rPr>
        <w:t xml:space="preserve">FSANZ noted that the Model Food Provisions in the State/Territory Food Acts contain a definition of unsafe and unsuitable food. </w:t>
      </w:r>
      <w:r w:rsidRPr="00FF4C0D">
        <w:rPr>
          <w:szCs w:val="22"/>
        </w:rPr>
        <w:t xml:space="preserve">However, there are no such definitions in the Code or in the New Zealand Food Act. </w:t>
      </w:r>
    </w:p>
    <w:p w:rsidR="00316030" w:rsidRPr="00FF4C0D" w:rsidRDefault="00316030" w:rsidP="00CE61F2">
      <w:pPr>
        <w:widowControl/>
        <w:rPr>
          <w:szCs w:val="22"/>
        </w:rPr>
      </w:pPr>
    </w:p>
    <w:p w:rsidR="00CE61F2" w:rsidRPr="00FF4C0D" w:rsidRDefault="00CE61F2" w:rsidP="00CE61F2">
      <w:pPr>
        <w:widowControl/>
        <w:rPr>
          <w:szCs w:val="22"/>
        </w:rPr>
      </w:pPr>
      <w:r w:rsidRPr="00FF4C0D">
        <w:rPr>
          <w:szCs w:val="22"/>
        </w:rPr>
        <w:t>Therefore, FSANZ specifically invited comments on the impacts on New Zealand of this reference to unsafe or unsuitable food in the drafting</w:t>
      </w:r>
      <w:r w:rsidR="00C01F92" w:rsidRPr="00FF4C0D">
        <w:rPr>
          <w:szCs w:val="22"/>
        </w:rPr>
        <w:t xml:space="preserve"> at Assessment</w:t>
      </w:r>
      <w:r w:rsidRPr="00FF4C0D">
        <w:rPr>
          <w:szCs w:val="22"/>
        </w:rPr>
        <w:t>.</w:t>
      </w:r>
    </w:p>
    <w:p w:rsidR="00CE61F2" w:rsidRPr="00FF4C0D" w:rsidRDefault="00CE61F2" w:rsidP="00CE61F2">
      <w:pPr>
        <w:widowControl/>
        <w:rPr>
          <w:bCs/>
        </w:rPr>
      </w:pPr>
    </w:p>
    <w:p w:rsidR="00345562" w:rsidRPr="00FF4C0D" w:rsidRDefault="00345562" w:rsidP="00CE61F2">
      <w:pPr>
        <w:widowControl/>
        <w:rPr>
          <w:bCs/>
        </w:rPr>
      </w:pPr>
      <w:r w:rsidRPr="00FF4C0D">
        <w:rPr>
          <w:bCs/>
        </w:rPr>
        <w:br w:type="page"/>
      </w:r>
    </w:p>
    <w:p w:rsidR="00CE61F2" w:rsidRPr="00FF4C0D" w:rsidRDefault="00304CCE" w:rsidP="00CE61F2">
      <w:pPr>
        <w:widowControl/>
        <w:rPr>
          <w:bCs/>
        </w:rPr>
      </w:pPr>
      <w:r w:rsidRPr="00FF4C0D">
        <w:rPr>
          <w:bCs/>
        </w:rPr>
        <w:lastRenderedPageBreak/>
        <w:t>NZMAF</w:t>
      </w:r>
      <w:r w:rsidR="00EE0916" w:rsidRPr="00FF4C0D">
        <w:rPr>
          <w:bCs/>
        </w:rPr>
        <w:t xml:space="preserve"> suggested a preference for a definition of unsafe or unsuitable food to</w:t>
      </w:r>
      <w:r w:rsidR="00B321D3" w:rsidRPr="00FF4C0D">
        <w:rPr>
          <w:bCs/>
        </w:rPr>
        <w:t xml:space="preserve"> be included in </w:t>
      </w:r>
      <w:r w:rsidR="00637272" w:rsidRPr="00FF4C0D">
        <w:rPr>
          <w:bCs/>
        </w:rPr>
        <w:t>Standard 1.5.3</w:t>
      </w:r>
      <w:r w:rsidR="00C12CE3" w:rsidRPr="00FF4C0D">
        <w:rPr>
          <w:bCs/>
        </w:rPr>
        <w:t xml:space="preserve">. </w:t>
      </w:r>
      <w:r w:rsidR="007C25C7" w:rsidRPr="00FF4C0D">
        <w:rPr>
          <w:bCs/>
        </w:rPr>
        <w:t>South Australia (</w:t>
      </w:r>
      <w:r w:rsidR="00CE61F2" w:rsidRPr="00FF4C0D">
        <w:rPr>
          <w:bCs/>
        </w:rPr>
        <w:t>SA</w:t>
      </w:r>
      <w:r w:rsidR="007C25C7" w:rsidRPr="00FF4C0D">
        <w:rPr>
          <w:bCs/>
        </w:rPr>
        <w:t>)</w:t>
      </w:r>
      <w:r w:rsidR="00CE61F2" w:rsidRPr="00FF4C0D">
        <w:rPr>
          <w:bCs/>
        </w:rPr>
        <w:t xml:space="preserve"> Health commented that while the intent proposed by FSANZ </w:t>
      </w:r>
      <w:r w:rsidR="00444283" w:rsidRPr="00FF4C0D">
        <w:rPr>
          <w:bCs/>
        </w:rPr>
        <w:t>wa</w:t>
      </w:r>
      <w:r w:rsidR="00CE61F2" w:rsidRPr="00FF4C0D">
        <w:rPr>
          <w:bCs/>
        </w:rPr>
        <w:t xml:space="preserve">s understood, it would be difficult for enforcement agencies to </w:t>
      </w:r>
      <w:r w:rsidR="00444283" w:rsidRPr="00FF4C0D">
        <w:rPr>
          <w:bCs/>
        </w:rPr>
        <w:t>determine</w:t>
      </w:r>
      <w:r w:rsidR="00CE61F2" w:rsidRPr="00FF4C0D">
        <w:rPr>
          <w:bCs/>
        </w:rPr>
        <w:t xml:space="preserve"> if a food was unsafe or unsuitable</w:t>
      </w:r>
      <w:r w:rsidR="00444283" w:rsidRPr="00FF4C0D">
        <w:rPr>
          <w:bCs/>
        </w:rPr>
        <w:t>,</w:t>
      </w:r>
      <w:r w:rsidR="00CE61F2" w:rsidRPr="00FF4C0D">
        <w:rPr>
          <w:bCs/>
        </w:rPr>
        <w:t xml:space="preserve"> before it was irradiated. They suggested that either the drafting be revised</w:t>
      </w:r>
      <w:r w:rsidR="00444283" w:rsidRPr="00FF4C0D">
        <w:rPr>
          <w:bCs/>
        </w:rPr>
        <w:t>,</w:t>
      </w:r>
      <w:r w:rsidR="00CE61F2" w:rsidRPr="00FF4C0D">
        <w:rPr>
          <w:bCs/>
        </w:rPr>
        <w:t xml:space="preserve"> or the original words be reinstated</w:t>
      </w:r>
      <w:r w:rsidR="00444283" w:rsidRPr="00FF4C0D">
        <w:rPr>
          <w:bCs/>
        </w:rPr>
        <w:t>,</w:t>
      </w:r>
      <w:r w:rsidR="00CE61F2" w:rsidRPr="00FF4C0D">
        <w:rPr>
          <w:bCs/>
        </w:rPr>
        <w:t xml:space="preserve"> in order to make it clear that irradiating a food w</w:t>
      </w:r>
      <w:r w:rsidR="00444283" w:rsidRPr="00FF4C0D">
        <w:rPr>
          <w:bCs/>
        </w:rPr>
        <w:t>ould</w:t>
      </w:r>
      <w:r w:rsidR="00CE61F2" w:rsidRPr="00FF4C0D">
        <w:rPr>
          <w:bCs/>
        </w:rPr>
        <w:t xml:space="preserve"> require a demonstration of technological need and that it must be associated with</w:t>
      </w:r>
      <w:r w:rsidR="00830B29" w:rsidRPr="00FF4C0D">
        <w:rPr>
          <w:bCs/>
        </w:rPr>
        <w:t xml:space="preserve"> a</w:t>
      </w:r>
      <w:r w:rsidR="00CE61F2" w:rsidRPr="00FF4C0D">
        <w:rPr>
          <w:bCs/>
        </w:rPr>
        <w:t xml:space="preserve"> food hygiene</w:t>
      </w:r>
      <w:r w:rsidR="00830B29" w:rsidRPr="00FF4C0D">
        <w:rPr>
          <w:bCs/>
        </w:rPr>
        <w:t xml:space="preserve"> purpose</w:t>
      </w:r>
      <w:r w:rsidR="00CE61F2" w:rsidRPr="00FF4C0D">
        <w:rPr>
          <w:bCs/>
        </w:rPr>
        <w:t xml:space="preserve">. </w:t>
      </w:r>
    </w:p>
    <w:p w:rsidR="00CE61F2" w:rsidRPr="00FF4C0D" w:rsidRDefault="00CE61F2" w:rsidP="00CE61F2">
      <w:pPr>
        <w:widowControl/>
        <w:rPr>
          <w:bCs/>
        </w:rPr>
      </w:pPr>
    </w:p>
    <w:p w:rsidR="00CE61F2" w:rsidRPr="00FF4C0D" w:rsidRDefault="00CE61F2" w:rsidP="001617E8">
      <w:pPr>
        <w:widowControl/>
        <w:ind w:right="-330"/>
        <w:rPr>
          <w:bCs/>
        </w:rPr>
      </w:pPr>
      <w:r w:rsidRPr="00FF4C0D">
        <w:rPr>
          <w:bCs/>
        </w:rPr>
        <w:t xml:space="preserve">The </w:t>
      </w:r>
      <w:r w:rsidR="006A5A30" w:rsidRPr="00FF4C0D">
        <w:rPr>
          <w:bCs/>
        </w:rPr>
        <w:t>New Zealand Food and Grocery Council (</w:t>
      </w:r>
      <w:r w:rsidRPr="00FF4C0D">
        <w:rPr>
          <w:bCs/>
        </w:rPr>
        <w:t>NZFGC</w:t>
      </w:r>
      <w:r w:rsidR="006A5A30" w:rsidRPr="00FF4C0D">
        <w:rPr>
          <w:bCs/>
        </w:rPr>
        <w:t>)</w:t>
      </w:r>
      <w:r w:rsidRPr="00FF4C0D">
        <w:rPr>
          <w:bCs/>
        </w:rPr>
        <w:t xml:space="preserve"> commented that </w:t>
      </w:r>
      <w:r w:rsidR="000D7BD5" w:rsidRPr="00FF4C0D">
        <w:t>i</w:t>
      </w:r>
      <w:r w:rsidRPr="00FF4C0D">
        <w:t>rradiation may</w:t>
      </w:r>
      <w:r w:rsidR="00444283" w:rsidRPr="00FF4C0D">
        <w:t>,</w:t>
      </w:r>
      <w:r w:rsidRPr="00FF4C0D">
        <w:t xml:space="preserve"> in the future</w:t>
      </w:r>
      <w:r w:rsidR="00444283" w:rsidRPr="00FF4C0D">
        <w:t>,</w:t>
      </w:r>
      <w:r w:rsidRPr="00FF4C0D">
        <w:t xml:space="preserve"> have particular application to the provision of foods that are ‘super safe’ for immun</w:t>
      </w:r>
      <w:r w:rsidR="00444283" w:rsidRPr="00FF4C0D">
        <w:t>o</w:t>
      </w:r>
      <w:r w:rsidRPr="00FF4C0D">
        <w:t xml:space="preserve">-compromised, young, elderly or pregnant people. In those specific </w:t>
      </w:r>
      <w:r w:rsidR="00B206A0" w:rsidRPr="00FF4C0D">
        <w:t xml:space="preserve">populations </w:t>
      </w:r>
      <w:r w:rsidRPr="00FF4C0D">
        <w:t>some foods may be unsafe because of the presence of particular pathogens at certain levels, but entirely acceptable for the general population. The reference to unsafe or unsuitable food does not differentiate between these specific populations and the general population.</w:t>
      </w:r>
    </w:p>
    <w:p w:rsidR="00EA4E0D" w:rsidRPr="00FF4C0D" w:rsidRDefault="00EA4E0D" w:rsidP="00CE61F2">
      <w:pPr>
        <w:widowControl/>
        <w:rPr>
          <w:bCs/>
        </w:rPr>
      </w:pPr>
    </w:p>
    <w:p w:rsidR="00CE61F2" w:rsidRPr="00FF4C0D" w:rsidRDefault="00CE61F2" w:rsidP="00CE61F2">
      <w:pPr>
        <w:widowControl/>
        <w:rPr>
          <w:bCs/>
        </w:rPr>
      </w:pPr>
      <w:r w:rsidRPr="00FF4C0D">
        <w:rPr>
          <w:bCs/>
        </w:rPr>
        <w:t xml:space="preserve">FSANZ has considered </w:t>
      </w:r>
      <w:r w:rsidR="006A5A30" w:rsidRPr="00FF4C0D">
        <w:rPr>
          <w:bCs/>
        </w:rPr>
        <w:t xml:space="preserve">the following </w:t>
      </w:r>
      <w:r w:rsidR="00097F2C" w:rsidRPr="00FF4C0D">
        <w:rPr>
          <w:bCs/>
        </w:rPr>
        <w:t>four</w:t>
      </w:r>
      <w:r w:rsidRPr="00FF4C0D">
        <w:rPr>
          <w:bCs/>
        </w:rPr>
        <w:t xml:space="preserve"> </w:t>
      </w:r>
      <w:r w:rsidR="00097F2C" w:rsidRPr="00FF4C0D">
        <w:rPr>
          <w:bCs/>
        </w:rPr>
        <w:t>O</w:t>
      </w:r>
      <w:r w:rsidR="00EE0916" w:rsidRPr="00FF4C0D">
        <w:rPr>
          <w:bCs/>
        </w:rPr>
        <w:t>ptions in relation to the</w:t>
      </w:r>
      <w:r w:rsidR="001864A0" w:rsidRPr="00FF4C0D">
        <w:rPr>
          <w:bCs/>
        </w:rPr>
        <w:t>se</w:t>
      </w:r>
      <w:r w:rsidR="00EE0916" w:rsidRPr="00FF4C0D">
        <w:rPr>
          <w:bCs/>
        </w:rPr>
        <w:t xml:space="preserve"> issues</w:t>
      </w:r>
      <w:r w:rsidR="001864A0" w:rsidRPr="00FF4C0D">
        <w:rPr>
          <w:bCs/>
        </w:rPr>
        <w:t xml:space="preserve">: </w:t>
      </w:r>
    </w:p>
    <w:p w:rsidR="00CE61F2" w:rsidRPr="00FF4C0D" w:rsidRDefault="00CE61F2" w:rsidP="00CE61F2">
      <w:pPr>
        <w:widowControl/>
        <w:rPr>
          <w:bCs/>
        </w:rPr>
      </w:pPr>
    </w:p>
    <w:p w:rsidR="00CE61F2" w:rsidRPr="00FF4C0D" w:rsidRDefault="00C8015D" w:rsidP="00CE61F2">
      <w:pPr>
        <w:pStyle w:val="FSBullet"/>
      </w:pPr>
      <w:r w:rsidRPr="00FF4C0D">
        <w:t>Option 1.</w:t>
      </w:r>
      <w:r w:rsidRPr="00FF4C0D">
        <w:rPr>
          <w:i/>
        </w:rPr>
        <w:t xml:space="preserve"> </w:t>
      </w:r>
      <w:r w:rsidR="00480895" w:rsidRPr="00FF4C0D">
        <w:t>R</w:t>
      </w:r>
      <w:r w:rsidR="00CE61F2" w:rsidRPr="00FF4C0D">
        <w:t>et</w:t>
      </w:r>
      <w:r w:rsidR="00B321D3" w:rsidRPr="00FF4C0D">
        <w:t xml:space="preserve">ain the words currently in </w:t>
      </w:r>
      <w:r w:rsidR="00637272" w:rsidRPr="00FF4C0D">
        <w:t>Standard 1.5.3</w:t>
      </w:r>
      <w:r w:rsidR="00CE61F2" w:rsidRPr="00FF4C0D">
        <w:t>.</w:t>
      </w:r>
    </w:p>
    <w:p w:rsidR="00CE61F2" w:rsidRPr="00FF4C0D" w:rsidRDefault="00CE61F2" w:rsidP="00CE61F2"/>
    <w:p w:rsidR="00CE61F2" w:rsidRPr="00FF4C0D" w:rsidRDefault="00DD3B4F" w:rsidP="00CE61F2">
      <w:pPr>
        <w:pStyle w:val="FSBullet"/>
        <w:widowControl/>
      </w:pPr>
      <w:r w:rsidRPr="00FF4C0D">
        <w:t xml:space="preserve">Option 2. Proceed </w:t>
      </w:r>
      <w:r w:rsidR="00C8015D" w:rsidRPr="00FF4C0D">
        <w:t xml:space="preserve">with the </w:t>
      </w:r>
      <w:r w:rsidR="007629E1" w:rsidRPr="00FF4C0D">
        <w:t xml:space="preserve">revised </w:t>
      </w:r>
      <w:r w:rsidR="005863DA" w:rsidRPr="00FF4C0D">
        <w:t xml:space="preserve">Purpose and revised </w:t>
      </w:r>
      <w:r w:rsidR="00C8015D" w:rsidRPr="00FF4C0D">
        <w:t xml:space="preserve">subclause </w:t>
      </w:r>
      <w:r w:rsidRPr="00FF4C0D">
        <w:t xml:space="preserve">4(2) and </w:t>
      </w:r>
      <w:r w:rsidR="00C8015D" w:rsidRPr="00FF4C0D">
        <w:t>consider</w:t>
      </w:r>
      <w:r w:rsidR="00D95E2E" w:rsidRPr="00FF4C0D">
        <w:t xml:space="preserve"> </w:t>
      </w:r>
      <w:r w:rsidR="00CE61F2" w:rsidRPr="00FF4C0D">
        <w:t>definitions</w:t>
      </w:r>
      <w:r w:rsidR="00D95E2E" w:rsidRPr="00FF4C0D">
        <w:t xml:space="preserve"> for </w:t>
      </w:r>
      <w:r w:rsidR="00CE61F2" w:rsidRPr="00FF4C0D">
        <w:t>unsafe or unsuitable food</w:t>
      </w:r>
      <w:r w:rsidR="00D95E2E" w:rsidRPr="00FF4C0D">
        <w:t xml:space="preserve"> </w:t>
      </w:r>
      <w:r w:rsidR="001864A0" w:rsidRPr="00FF4C0D">
        <w:t>for inclusion</w:t>
      </w:r>
      <w:r w:rsidR="00D95E2E" w:rsidRPr="00FF4C0D">
        <w:t xml:space="preserve"> </w:t>
      </w:r>
      <w:r w:rsidR="00CE61F2" w:rsidRPr="00FF4C0D">
        <w:t xml:space="preserve">in a separate process. </w:t>
      </w:r>
    </w:p>
    <w:p w:rsidR="00CE61F2" w:rsidRPr="00FF4C0D" w:rsidRDefault="00CE61F2" w:rsidP="00CE61F2"/>
    <w:p w:rsidR="00E23662" w:rsidRPr="00FF4C0D" w:rsidRDefault="00C8015D" w:rsidP="00BB7EE7">
      <w:pPr>
        <w:pStyle w:val="FSBullet"/>
        <w:widowControl/>
        <w:rPr>
          <w:rFonts w:eastAsiaTheme="minorHAnsi"/>
        </w:rPr>
      </w:pPr>
      <w:r w:rsidRPr="00FF4C0D">
        <w:rPr>
          <w:rFonts w:eastAsiaTheme="minorHAnsi"/>
        </w:rPr>
        <w:t xml:space="preserve">Option 3. </w:t>
      </w:r>
      <w:r w:rsidR="006A5A30" w:rsidRPr="00FF4C0D">
        <w:rPr>
          <w:rFonts w:eastAsiaTheme="minorHAnsi"/>
        </w:rPr>
        <w:t xml:space="preserve">Insert definitions </w:t>
      </w:r>
      <w:r w:rsidR="00CE61F2" w:rsidRPr="00FF4C0D">
        <w:rPr>
          <w:rFonts w:eastAsiaTheme="minorHAnsi"/>
        </w:rPr>
        <w:t xml:space="preserve">of safe and suitable into </w:t>
      </w:r>
      <w:r w:rsidR="00637272" w:rsidRPr="00FF4C0D">
        <w:rPr>
          <w:rFonts w:eastAsiaTheme="minorHAnsi"/>
        </w:rPr>
        <w:t>Standard 1.5.3</w:t>
      </w:r>
      <w:r w:rsidR="00CE61F2" w:rsidRPr="00FF4C0D">
        <w:rPr>
          <w:rFonts w:eastAsiaTheme="minorHAnsi"/>
        </w:rPr>
        <w:t xml:space="preserve"> </w:t>
      </w:r>
      <w:r w:rsidR="00D95E2E" w:rsidRPr="00FF4C0D">
        <w:rPr>
          <w:rFonts w:eastAsiaTheme="minorHAnsi"/>
        </w:rPr>
        <w:t xml:space="preserve">similar to those </w:t>
      </w:r>
      <w:r w:rsidR="00CE61F2" w:rsidRPr="00FF4C0D">
        <w:rPr>
          <w:rFonts w:eastAsiaTheme="minorHAnsi"/>
        </w:rPr>
        <w:t xml:space="preserve">proposed in the new draft </w:t>
      </w:r>
      <w:r w:rsidR="001864A0" w:rsidRPr="00FF4C0D">
        <w:rPr>
          <w:rFonts w:eastAsiaTheme="minorHAnsi"/>
        </w:rPr>
        <w:t>F</w:t>
      </w:r>
      <w:r w:rsidR="00CE61F2" w:rsidRPr="00FF4C0D">
        <w:rPr>
          <w:rFonts w:eastAsiaTheme="minorHAnsi"/>
        </w:rPr>
        <w:t xml:space="preserve">ood </w:t>
      </w:r>
      <w:r w:rsidR="001864A0" w:rsidRPr="00FF4C0D">
        <w:rPr>
          <w:rFonts w:eastAsiaTheme="minorHAnsi"/>
        </w:rPr>
        <w:t>B</w:t>
      </w:r>
      <w:r w:rsidR="00CE61F2" w:rsidRPr="00FF4C0D">
        <w:rPr>
          <w:rFonts w:eastAsiaTheme="minorHAnsi"/>
        </w:rPr>
        <w:t xml:space="preserve">ill being progressed in New Zealand. </w:t>
      </w:r>
    </w:p>
    <w:p w:rsidR="00E23662" w:rsidRPr="00FF4C0D" w:rsidRDefault="00E23662" w:rsidP="00E23662">
      <w:pPr>
        <w:rPr>
          <w:rFonts w:eastAsiaTheme="minorHAnsi"/>
        </w:rPr>
      </w:pPr>
    </w:p>
    <w:p w:rsidR="009744F5" w:rsidRPr="00FF4C0D" w:rsidRDefault="009744F5" w:rsidP="00A74DA6">
      <w:pPr>
        <w:pStyle w:val="FSBullet"/>
      </w:pPr>
      <w:r w:rsidRPr="00FF4C0D">
        <w:rPr>
          <w:rFonts w:eastAsiaTheme="minorHAnsi"/>
        </w:rPr>
        <w:t xml:space="preserve">Option 4. Delete the statement relating to unsafe and unsuitable food in the revised Purpose and revised subclause 4(2) and the current wording in subclause 4(2) from </w:t>
      </w:r>
      <w:r w:rsidR="00637272" w:rsidRPr="00FF4C0D">
        <w:rPr>
          <w:rFonts w:eastAsiaTheme="minorHAnsi"/>
        </w:rPr>
        <w:t>Standard 1.5.3</w:t>
      </w:r>
      <w:r w:rsidR="00480895" w:rsidRPr="00FF4C0D">
        <w:rPr>
          <w:rFonts w:eastAsiaTheme="minorHAnsi"/>
        </w:rPr>
        <w:t xml:space="preserve">. This </w:t>
      </w:r>
      <w:r w:rsidR="00A74DA6" w:rsidRPr="00FF4C0D">
        <w:rPr>
          <w:rFonts w:eastAsiaTheme="minorHAnsi"/>
        </w:rPr>
        <w:t xml:space="preserve">removes the existing redundancy of the provision without introducing new terminology or definitions. </w:t>
      </w:r>
    </w:p>
    <w:p w:rsidR="00E23662" w:rsidRPr="00FF4C0D" w:rsidRDefault="00E23662" w:rsidP="001617E8">
      <w:pPr>
        <w:rPr>
          <w:rFonts w:eastAsiaTheme="minorHAnsi"/>
        </w:rPr>
      </w:pPr>
    </w:p>
    <w:p w:rsidR="00030B18" w:rsidRPr="00FF4C0D" w:rsidRDefault="009744F5" w:rsidP="001617E8">
      <w:pPr>
        <w:rPr>
          <w:rFonts w:eastAsiaTheme="minorHAnsi"/>
        </w:rPr>
      </w:pPr>
      <w:r w:rsidRPr="00FF4C0D">
        <w:rPr>
          <w:rFonts w:eastAsiaTheme="minorHAnsi"/>
          <w:szCs w:val="22"/>
        </w:rPr>
        <w:t xml:space="preserve">The conditions in Column 3 of </w:t>
      </w:r>
      <w:r w:rsidRPr="00FF4C0D">
        <w:t>the Table of Foods permitted to be irradiated prescribe a technological purpose to irradiate foods which includes any purpose associated with food hygiene (</w:t>
      </w:r>
      <w:r w:rsidR="00597E28" w:rsidRPr="00FF4C0D">
        <w:t>e.g.</w:t>
      </w:r>
      <w:r w:rsidRPr="00FF4C0D">
        <w:t xml:space="preserve"> bacterial decontamination). Therefore, there is no need to retain the current subclause in </w:t>
      </w:r>
      <w:r w:rsidR="00637272" w:rsidRPr="00FF4C0D">
        <w:rPr>
          <w:rFonts w:eastAsiaTheme="minorHAnsi"/>
        </w:rPr>
        <w:t>Standard 1.5.3</w:t>
      </w:r>
      <w:r w:rsidRPr="00FF4C0D">
        <w:rPr>
          <w:rFonts w:eastAsiaTheme="minorHAnsi"/>
        </w:rPr>
        <w:t xml:space="preserve"> and Option 1 is not supported</w:t>
      </w:r>
      <w:r w:rsidRPr="00FF4C0D">
        <w:t>. However</w:t>
      </w:r>
      <w:r w:rsidR="001864A0" w:rsidRPr="00FF4C0D">
        <w:t>,</w:t>
      </w:r>
      <w:r w:rsidRPr="00FF4C0D">
        <w:t xml:space="preserve"> FSANZ notes the concerns raised in relation to inserting the wording of ‘unsafe and unsuitable’ food and therefore proposes that the approach taken at Assessment is not supported (Option 2). A</w:t>
      </w:r>
      <w:r w:rsidRPr="00FF4C0D">
        <w:rPr>
          <w:rFonts w:eastAsiaTheme="minorHAnsi"/>
          <w:szCs w:val="22"/>
        </w:rPr>
        <w:t>n</w:t>
      </w:r>
      <w:r w:rsidR="008C403E" w:rsidRPr="00FF4C0D">
        <w:rPr>
          <w:rFonts w:eastAsiaTheme="minorHAnsi"/>
          <w:szCs w:val="22"/>
        </w:rPr>
        <w:t xml:space="preserve">y proposed definitions </w:t>
      </w:r>
      <w:r w:rsidRPr="00FF4C0D">
        <w:rPr>
          <w:rFonts w:eastAsiaTheme="minorHAnsi"/>
          <w:szCs w:val="22"/>
        </w:rPr>
        <w:t>should be the subject of public consultation and there will be no further oppor</w:t>
      </w:r>
      <w:r w:rsidRPr="00FF4C0D">
        <w:rPr>
          <w:rFonts w:eastAsiaTheme="minorHAnsi"/>
        </w:rPr>
        <w:t>tunity to se</w:t>
      </w:r>
      <w:r w:rsidRPr="00FF4C0D">
        <w:rPr>
          <w:rFonts w:eastAsiaTheme="minorHAnsi"/>
          <w:szCs w:val="22"/>
        </w:rPr>
        <w:t>ek public commen</w:t>
      </w:r>
      <w:r w:rsidRPr="00FF4C0D">
        <w:rPr>
          <w:rFonts w:eastAsiaTheme="minorHAnsi"/>
        </w:rPr>
        <w:t xml:space="preserve">t and impacts for other jurisdictions and industry on Option 3. </w:t>
      </w:r>
    </w:p>
    <w:p w:rsidR="00030B18" w:rsidRPr="00FF4C0D" w:rsidRDefault="00030B18" w:rsidP="001617E8">
      <w:pPr>
        <w:rPr>
          <w:rFonts w:eastAsiaTheme="minorHAnsi"/>
        </w:rPr>
      </w:pPr>
    </w:p>
    <w:p w:rsidR="009744F5" w:rsidRPr="00FF4C0D" w:rsidRDefault="009744F5" w:rsidP="001617E8">
      <w:r w:rsidRPr="00FF4C0D">
        <w:t xml:space="preserve">Therefore FSANZ </w:t>
      </w:r>
      <w:r w:rsidR="00345562" w:rsidRPr="00FF4C0D">
        <w:t>has decided that</w:t>
      </w:r>
      <w:r w:rsidR="00073CEC" w:rsidRPr="00FF4C0D">
        <w:t xml:space="preserve"> </w:t>
      </w:r>
      <w:r w:rsidRPr="00FF4C0D">
        <w:rPr>
          <w:rFonts w:eastAsiaTheme="minorHAnsi"/>
          <w:szCs w:val="22"/>
        </w:rPr>
        <w:t xml:space="preserve">Option 4 </w:t>
      </w:r>
      <w:r w:rsidR="00345562" w:rsidRPr="00FF4C0D">
        <w:rPr>
          <w:rFonts w:eastAsiaTheme="minorHAnsi"/>
          <w:szCs w:val="22"/>
        </w:rPr>
        <w:t>i</w:t>
      </w:r>
      <w:r w:rsidR="00A74DA6" w:rsidRPr="00FF4C0D">
        <w:rPr>
          <w:rFonts w:eastAsiaTheme="minorHAnsi"/>
          <w:szCs w:val="22"/>
        </w:rPr>
        <w:t xml:space="preserve">s the best approach. </w:t>
      </w:r>
    </w:p>
    <w:p w:rsidR="00E86FCD" w:rsidRPr="00FF4C0D" w:rsidRDefault="00E86FCD">
      <w:pPr>
        <w:rPr>
          <w:rFonts w:eastAsiaTheme="minorHAnsi"/>
          <w:szCs w:val="22"/>
        </w:rPr>
      </w:pPr>
    </w:p>
    <w:p w:rsidR="009B4A0D" w:rsidRPr="00FF4C0D" w:rsidRDefault="00253E49" w:rsidP="002D3CB7">
      <w:pPr>
        <w:pStyle w:val="Heading5"/>
        <w:ind w:left="0" w:firstLine="0"/>
      </w:pPr>
      <w:r w:rsidRPr="00FF4C0D">
        <w:t>7</w:t>
      </w:r>
      <w:r w:rsidR="001864A0" w:rsidRPr="00FF4C0D">
        <w:t>.3.1.2</w:t>
      </w:r>
      <w:r w:rsidR="001864A0" w:rsidRPr="00FF4C0D">
        <w:tab/>
      </w:r>
      <w:r w:rsidR="00676688" w:rsidRPr="00FF4C0D">
        <w:t>Deletion of all references to good manufacturing practice (GMP)</w:t>
      </w:r>
    </w:p>
    <w:p w:rsidR="004B7DCC" w:rsidRPr="00FF4C0D" w:rsidRDefault="004B7DCC" w:rsidP="00737723"/>
    <w:p w:rsidR="003E160B" w:rsidRPr="00FF4C0D" w:rsidRDefault="00737723" w:rsidP="00737723">
      <w:pPr>
        <w:widowControl/>
      </w:pPr>
      <w:r w:rsidRPr="00FF4C0D">
        <w:t>At Assessment</w:t>
      </w:r>
      <w:r w:rsidR="001864A0" w:rsidRPr="00FF4C0D">
        <w:t>,</w:t>
      </w:r>
      <w:r w:rsidRPr="00FF4C0D">
        <w:t xml:space="preserve"> FSANZ proposed to delete all references to GMP as a condition for irradiating foods</w:t>
      </w:r>
      <w:r w:rsidR="004621A8" w:rsidRPr="00FF4C0D">
        <w:t xml:space="preserve">. </w:t>
      </w:r>
      <w:r w:rsidRPr="00FF4C0D">
        <w:t>Radiation Advisory Services suggested that references to GMP should be retained and that the amendment to exclude irradiation of unsafe or unsuitable food shou</w:t>
      </w:r>
      <w:r w:rsidR="008826A3" w:rsidRPr="00FF4C0D">
        <w:t xml:space="preserve">ld not proceed as they are </w:t>
      </w:r>
      <w:r w:rsidRPr="00FF4C0D">
        <w:t xml:space="preserve">linked to each other. </w:t>
      </w:r>
    </w:p>
    <w:p w:rsidR="00806B64" w:rsidRPr="00FF4C0D" w:rsidRDefault="00806B64" w:rsidP="00737723">
      <w:pPr>
        <w:widowControl/>
      </w:pPr>
    </w:p>
    <w:p w:rsidR="00345562" w:rsidRPr="00FF4C0D" w:rsidRDefault="00636B8B" w:rsidP="00636B8B">
      <w:r w:rsidRPr="00FF4C0D">
        <w:t>Standard 1.5.3 does not operate in isolation to other standards in the Code</w:t>
      </w:r>
      <w:r w:rsidR="00153D30" w:rsidRPr="00FF4C0D">
        <w:t xml:space="preserve">. </w:t>
      </w:r>
      <w:r w:rsidRPr="00FF4C0D">
        <w:t xml:space="preserve">FSANZ maintains that use of the term GMP in </w:t>
      </w:r>
      <w:r w:rsidR="00637272" w:rsidRPr="00FF4C0D">
        <w:t>Standard 1.5.3</w:t>
      </w:r>
      <w:r w:rsidRPr="00FF4C0D">
        <w:t xml:space="preserve"> </w:t>
      </w:r>
      <w:r w:rsidR="00153D30" w:rsidRPr="00FF4C0D">
        <w:t xml:space="preserve">as a condition for handling food before and after irradiating foods </w:t>
      </w:r>
      <w:r w:rsidRPr="00FF4C0D">
        <w:t xml:space="preserve">is </w:t>
      </w:r>
      <w:r w:rsidR="00491212" w:rsidRPr="00FF4C0D">
        <w:t xml:space="preserve">covered by other provisions, relating to food safety requirements, </w:t>
      </w:r>
      <w:r w:rsidRPr="00FF4C0D">
        <w:t xml:space="preserve">currently in the Code, e.g. Standards 3.2.2 and 3.2.3 in relation to food safety practices and food premises and equipment. </w:t>
      </w:r>
      <w:r w:rsidR="00345562" w:rsidRPr="00FF4C0D">
        <w:br w:type="page"/>
      </w:r>
    </w:p>
    <w:p w:rsidR="00636B8B" w:rsidRPr="00FF4C0D" w:rsidRDefault="00636B8B" w:rsidP="00636B8B">
      <w:r w:rsidRPr="00FF4C0D">
        <w:lastRenderedPageBreak/>
        <w:t xml:space="preserve">However, Chapter 3 of the Code does not apply in New Zealand. Food handling and hygiene requirements in New Zealand are already covered in existing New Zealand legislation, including the Food Hygiene Regulations 1974 </w:t>
      </w:r>
      <w:hyperlink r:id="rId27" w:history="1">
        <w:r w:rsidRPr="00FF4C0D">
          <w:rPr>
            <w:rStyle w:val="Hyperlink"/>
            <w:color w:val="3333FF"/>
          </w:rPr>
          <w:t>http://www.legislation.govt.nz/regulation/public/1974/0169/latest/DLM42658.html?search=ts_regulation_food_resel&amp;p=1&amp;sr=1</w:t>
        </w:r>
      </w:hyperlink>
      <w:r w:rsidR="00153D30" w:rsidRPr="00FF4C0D">
        <w:t xml:space="preserve"> or under </w:t>
      </w:r>
      <w:r w:rsidR="00983660" w:rsidRPr="00FF4C0D">
        <w:t>an approved food</w:t>
      </w:r>
      <w:r w:rsidR="00153D30" w:rsidRPr="00FF4C0D">
        <w:t xml:space="preserve"> safety program via </w:t>
      </w:r>
      <w:r w:rsidR="00983660" w:rsidRPr="00FF4C0D">
        <w:t xml:space="preserve">the </w:t>
      </w:r>
      <w:r w:rsidR="00983660" w:rsidRPr="00FF4C0D">
        <w:rPr>
          <w:i/>
        </w:rPr>
        <w:t>F</w:t>
      </w:r>
      <w:r w:rsidR="00153D30" w:rsidRPr="00FF4C0D">
        <w:rPr>
          <w:i/>
        </w:rPr>
        <w:t>ood Act 1981</w:t>
      </w:r>
      <w:r w:rsidR="00153D30" w:rsidRPr="00FF4C0D">
        <w:t xml:space="preserve"> </w:t>
      </w:r>
      <w:hyperlink r:id="rId28" w:history="1">
        <w:r w:rsidR="00153D30" w:rsidRPr="00FF4C0D">
          <w:rPr>
            <w:rStyle w:val="Hyperlink"/>
            <w:color w:val="3333FF"/>
          </w:rPr>
          <w:t>http://www.legislation.govt.nz/act/public/1981/0045/latest/DLM48687.html</w:t>
        </w:r>
      </w:hyperlink>
      <w:r w:rsidR="00153D30" w:rsidRPr="00FF4C0D">
        <w:t>.</w:t>
      </w:r>
    </w:p>
    <w:p w:rsidR="00153D30" w:rsidRPr="00FF4C0D" w:rsidRDefault="00153D30" w:rsidP="00636B8B"/>
    <w:p w:rsidR="00AC786A" w:rsidRPr="00FF4C0D" w:rsidRDefault="00A65D96" w:rsidP="00737723">
      <w:pPr>
        <w:widowControl/>
      </w:pPr>
      <w:r w:rsidRPr="00FF4C0D">
        <w:t xml:space="preserve">FSANZ </w:t>
      </w:r>
      <w:r w:rsidR="00636B8B" w:rsidRPr="00FF4C0D">
        <w:t xml:space="preserve">also </w:t>
      </w:r>
      <w:r w:rsidRPr="00FF4C0D">
        <w:t xml:space="preserve">notes that the conditions in column 3 of the Table of Foods permitted to be irradiated determine the technological purpose. The retention of GMP within </w:t>
      </w:r>
      <w:r w:rsidR="00637272" w:rsidRPr="00FF4C0D">
        <w:rPr>
          <w:rFonts w:eastAsiaTheme="minorHAnsi"/>
        </w:rPr>
        <w:t>Standard 1.5.3</w:t>
      </w:r>
      <w:r w:rsidRPr="00FF4C0D">
        <w:rPr>
          <w:rFonts w:eastAsiaTheme="minorHAnsi"/>
        </w:rPr>
        <w:t xml:space="preserve"> </w:t>
      </w:r>
      <w:r w:rsidRPr="00FF4C0D">
        <w:t>is therefore unnecessary.</w:t>
      </w:r>
      <w:r w:rsidR="00632540" w:rsidRPr="00FF4C0D">
        <w:t xml:space="preserve"> </w:t>
      </w:r>
    </w:p>
    <w:p w:rsidR="00EB46F8" w:rsidRPr="00FF4C0D" w:rsidRDefault="00EB46F8" w:rsidP="00737723">
      <w:pPr>
        <w:widowControl/>
      </w:pPr>
    </w:p>
    <w:p w:rsidR="00AC786A" w:rsidRPr="00FF4C0D" w:rsidRDefault="00C32918" w:rsidP="00737723">
      <w:pPr>
        <w:widowControl/>
      </w:pPr>
      <w:r w:rsidRPr="00FF4C0D">
        <w:t xml:space="preserve">FSANZ </w:t>
      </w:r>
      <w:r w:rsidR="00345562" w:rsidRPr="00FF4C0D">
        <w:t>has decided</w:t>
      </w:r>
      <w:r w:rsidR="00CE3FF3" w:rsidRPr="00FF4C0D">
        <w:t xml:space="preserve"> that</w:t>
      </w:r>
      <w:r w:rsidRPr="00FF4C0D">
        <w:t xml:space="preserve"> the draft variation</w:t>
      </w:r>
      <w:r w:rsidR="00CE3FF3" w:rsidRPr="00FF4C0D">
        <w:t xml:space="preserve"> be retained</w:t>
      </w:r>
      <w:r w:rsidRPr="00FF4C0D">
        <w:t>.</w:t>
      </w:r>
    </w:p>
    <w:p w:rsidR="00AC786A" w:rsidRPr="00FF4C0D" w:rsidRDefault="00AC786A" w:rsidP="00737723">
      <w:pPr>
        <w:widowControl/>
      </w:pPr>
    </w:p>
    <w:p w:rsidR="00737723" w:rsidRPr="00FF4C0D" w:rsidRDefault="00253E49" w:rsidP="00751255">
      <w:pPr>
        <w:pStyle w:val="Heading5"/>
      </w:pPr>
      <w:r w:rsidRPr="00FF4C0D">
        <w:t>7</w:t>
      </w:r>
      <w:r w:rsidR="007464AD" w:rsidRPr="00FF4C0D">
        <w:t>.3.1.3</w:t>
      </w:r>
      <w:r w:rsidR="007464AD" w:rsidRPr="00FF4C0D">
        <w:tab/>
      </w:r>
      <w:r w:rsidR="004A509C" w:rsidRPr="00FF4C0D">
        <w:t>Deletion of the</w:t>
      </w:r>
      <w:r w:rsidR="00647E11" w:rsidRPr="00FF4C0D">
        <w:t xml:space="preserve"> definition of technological need and a m</w:t>
      </w:r>
      <w:r w:rsidR="00737723" w:rsidRPr="00FF4C0D">
        <w:t xml:space="preserve">inimum </w:t>
      </w:r>
      <w:r w:rsidR="00F54EBE" w:rsidRPr="00FF4C0D">
        <w:t>dose</w:t>
      </w:r>
      <w:r w:rsidR="00376FD7" w:rsidRPr="00FF4C0D">
        <w:t xml:space="preserve"> to achieve the technological </w:t>
      </w:r>
      <w:r w:rsidR="00737723" w:rsidRPr="00FF4C0D">
        <w:t>purpose</w:t>
      </w:r>
    </w:p>
    <w:p w:rsidR="00737723" w:rsidRPr="00FF4C0D" w:rsidRDefault="00737723" w:rsidP="00737723"/>
    <w:p w:rsidR="00CD02CE" w:rsidRPr="00FF4C0D" w:rsidRDefault="007464AD" w:rsidP="007464AD">
      <w:r w:rsidRPr="00FF4C0D">
        <w:rPr>
          <w:szCs w:val="22"/>
        </w:rPr>
        <w:t>At Assessment</w:t>
      </w:r>
      <w:r w:rsidR="00AF0DFC" w:rsidRPr="00FF4C0D">
        <w:rPr>
          <w:szCs w:val="22"/>
        </w:rPr>
        <w:t>,</w:t>
      </w:r>
      <w:r w:rsidRPr="00FF4C0D">
        <w:rPr>
          <w:szCs w:val="22"/>
        </w:rPr>
        <w:t xml:space="preserve"> FSANZ proposed that </w:t>
      </w:r>
      <w:r w:rsidRPr="00FF4C0D">
        <w:t xml:space="preserve">the definition of technological need be deleted because the specific purpose of irradiating a food is a mandatory requirement specified in Column 3 of the Table of foods permitted to be irradiated. Therefore, there was no need for a specific definition of technological need. </w:t>
      </w:r>
    </w:p>
    <w:p w:rsidR="009B4A0D" w:rsidRPr="00FF4C0D" w:rsidRDefault="009B4A0D" w:rsidP="002D3CB7">
      <w:pPr>
        <w:widowControl/>
      </w:pPr>
    </w:p>
    <w:p w:rsidR="009B4A0D" w:rsidRPr="00FF4C0D" w:rsidRDefault="007464AD" w:rsidP="002D3CB7">
      <w:pPr>
        <w:widowControl/>
      </w:pPr>
      <w:r w:rsidRPr="00FF4C0D">
        <w:rPr>
          <w:szCs w:val="22"/>
        </w:rPr>
        <w:t xml:space="preserve">The reference to a minimum dose </w:t>
      </w:r>
      <w:r w:rsidRPr="00FF4C0D">
        <w:t>could also be deleted in Column 3 because a minimum dose is already specified in Column 2 of the Table to clause 4.</w:t>
      </w:r>
    </w:p>
    <w:p w:rsidR="007464AD" w:rsidRPr="00FF4C0D" w:rsidRDefault="007464AD" w:rsidP="00435B8D"/>
    <w:p w:rsidR="00421290" w:rsidRPr="00FF4C0D" w:rsidRDefault="00737723" w:rsidP="00435B8D">
      <w:pPr>
        <w:rPr>
          <w:szCs w:val="22"/>
        </w:rPr>
      </w:pPr>
      <w:r w:rsidRPr="00FF4C0D">
        <w:rPr>
          <w:szCs w:val="22"/>
        </w:rPr>
        <w:t>SA Health proposed</w:t>
      </w:r>
      <w:r w:rsidR="00671589" w:rsidRPr="00FF4C0D">
        <w:rPr>
          <w:szCs w:val="22"/>
        </w:rPr>
        <w:t xml:space="preserve"> </w:t>
      </w:r>
      <w:r w:rsidRPr="00FF4C0D">
        <w:rPr>
          <w:szCs w:val="22"/>
        </w:rPr>
        <w:t xml:space="preserve">that the </w:t>
      </w:r>
      <w:r w:rsidR="00435B8D" w:rsidRPr="00FF4C0D">
        <w:rPr>
          <w:szCs w:val="22"/>
        </w:rPr>
        <w:t>definitio</w:t>
      </w:r>
      <w:r w:rsidR="003D6BDE" w:rsidRPr="00FF4C0D">
        <w:rPr>
          <w:szCs w:val="22"/>
        </w:rPr>
        <w:t xml:space="preserve">n of technological need and reference to use of </w:t>
      </w:r>
      <w:r w:rsidRPr="00FF4C0D">
        <w:rPr>
          <w:szCs w:val="22"/>
        </w:rPr>
        <w:t xml:space="preserve">a minimum dose </w:t>
      </w:r>
      <w:r w:rsidR="003D6BDE" w:rsidRPr="00FF4C0D">
        <w:rPr>
          <w:szCs w:val="22"/>
        </w:rPr>
        <w:t xml:space="preserve">(in Column 3 of the Table to </w:t>
      </w:r>
      <w:r w:rsidR="007464AD" w:rsidRPr="00FF4C0D">
        <w:rPr>
          <w:szCs w:val="22"/>
        </w:rPr>
        <w:t>c</w:t>
      </w:r>
      <w:r w:rsidR="003D6BDE" w:rsidRPr="00FF4C0D">
        <w:rPr>
          <w:szCs w:val="22"/>
        </w:rPr>
        <w:t xml:space="preserve">lause 4) </w:t>
      </w:r>
      <w:r w:rsidRPr="00FF4C0D">
        <w:rPr>
          <w:szCs w:val="22"/>
        </w:rPr>
        <w:t>to achieve the p</w:t>
      </w:r>
      <w:r w:rsidR="00671589" w:rsidRPr="00FF4C0D">
        <w:rPr>
          <w:szCs w:val="22"/>
        </w:rPr>
        <w:t>urpose of irradiating a food</w:t>
      </w:r>
      <w:r w:rsidR="00C95EE7" w:rsidRPr="00FF4C0D">
        <w:rPr>
          <w:szCs w:val="22"/>
        </w:rPr>
        <w:t xml:space="preserve"> </w:t>
      </w:r>
      <w:r w:rsidR="00671589" w:rsidRPr="00FF4C0D">
        <w:rPr>
          <w:szCs w:val="22"/>
        </w:rPr>
        <w:t>should be retai</w:t>
      </w:r>
      <w:r w:rsidR="000E2C08" w:rsidRPr="00FF4C0D">
        <w:rPr>
          <w:szCs w:val="22"/>
        </w:rPr>
        <w:t xml:space="preserve">ned </w:t>
      </w:r>
      <w:r w:rsidR="002C0D48" w:rsidRPr="00FF4C0D">
        <w:rPr>
          <w:szCs w:val="22"/>
        </w:rPr>
        <w:t xml:space="preserve">as a condition </w:t>
      </w:r>
      <w:r w:rsidR="000E2C08" w:rsidRPr="00FF4C0D">
        <w:rPr>
          <w:szCs w:val="22"/>
        </w:rPr>
        <w:t xml:space="preserve">in </w:t>
      </w:r>
      <w:r w:rsidR="00637272" w:rsidRPr="00FF4C0D">
        <w:rPr>
          <w:rFonts w:eastAsiaTheme="minorHAnsi"/>
        </w:rPr>
        <w:t>Standard 1.5.3</w:t>
      </w:r>
      <w:r w:rsidR="000E4B0A" w:rsidRPr="00FF4C0D">
        <w:rPr>
          <w:szCs w:val="22"/>
        </w:rPr>
        <w:t>. They suggested that</w:t>
      </w:r>
      <w:r w:rsidR="007674A3" w:rsidRPr="00FF4C0D">
        <w:rPr>
          <w:szCs w:val="22"/>
        </w:rPr>
        <w:t xml:space="preserve"> </w:t>
      </w:r>
      <w:r w:rsidR="00421290" w:rsidRPr="00FF4C0D">
        <w:t xml:space="preserve">both terms are related and have the intent of providing a clear requirement that only </w:t>
      </w:r>
      <w:r w:rsidR="000E4B0A" w:rsidRPr="00FF4C0D">
        <w:t xml:space="preserve">the lowest dose necessary should </w:t>
      </w:r>
      <w:r w:rsidR="004A509C" w:rsidRPr="00FF4C0D">
        <w:t xml:space="preserve">be used when </w:t>
      </w:r>
      <w:r w:rsidR="00421290" w:rsidRPr="00FF4C0D">
        <w:t xml:space="preserve">irradiating a food. </w:t>
      </w:r>
    </w:p>
    <w:p w:rsidR="00435B8D" w:rsidRPr="00FF4C0D" w:rsidRDefault="00435B8D" w:rsidP="00435B8D">
      <w:pPr>
        <w:rPr>
          <w:szCs w:val="22"/>
        </w:rPr>
      </w:pPr>
    </w:p>
    <w:p w:rsidR="00085997" w:rsidRPr="00FF4C0D" w:rsidRDefault="00821A97" w:rsidP="00821A97">
      <w:pPr>
        <w:rPr>
          <w:rFonts w:eastAsiaTheme="minorHAnsi"/>
        </w:rPr>
      </w:pPr>
      <w:r w:rsidRPr="00FF4C0D">
        <w:rPr>
          <w:rFonts w:eastAsiaTheme="minorHAnsi"/>
        </w:rPr>
        <w:t xml:space="preserve">FSANZ notes that the </w:t>
      </w:r>
      <w:r w:rsidR="00F7190A" w:rsidRPr="00FF4C0D">
        <w:rPr>
          <w:rFonts w:eastAsiaTheme="minorHAnsi"/>
        </w:rPr>
        <w:t>intent of the Standard was that</w:t>
      </w:r>
      <w:r w:rsidRPr="00FF4C0D">
        <w:rPr>
          <w:rFonts w:eastAsiaTheme="minorHAnsi"/>
        </w:rPr>
        <w:t xml:space="preserve"> both a mini</w:t>
      </w:r>
      <w:r w:rsidR="00AE1E34" w:rsidRPr="00FF4C0D">
        <w:rPr>
          <w:rFonts w:eastAsiaTheme="minorHAnsi"/>
        </w:rPr>
        <w:t>m</w:t>
      </w:r>
      <w:r w:rsidRPr="00FF4C0D">
        <w:rPr>
          <w:rFonts w:eastAsiaTheme="minorHAnsi"/>
        </w:rPr>
        <w:t>um and maximum dose</w:t>
      </w:r>
      <w:r w:rsidR="00AE1E34" w:rsidRPr="00FF4C0D">
        <w:rPr>
          <w:rFonts w:eastAsiaTheme="minorHAnsi"/>
        </w:rPr>
        <w:t xml:space="preserve"> was </w:t>
      </w:r>
      <w:r w:rsidRPr="00FF4C0D">
        <w:rPr>
          <w:rFonts w:eastAsiaTheme="minorHAnsi"/>
        </w:rPr>
        <w:t>listed for the fo</w:t>
      </w:r>
      <w:r w:rsidR="00F7190A" w:rsidRPr="00FF4C0D">
        <w:rPr>
          <w:rFonts w:eastAsiaTheme="minorHAnsi"/>
        </w:rPr>
        <w:t>o</w:t>
      </w:r>
      <w:r w:rsidRPr="00FF4C0D">
        <w:rPr>
          <w:rFonts w:eastAsiaTheme="minorHAnsi"/>
        </w:rPr>
        <w:t>ds permitte</w:t>
      </w:r>
      <w:r w:rsidR="00220B18" w:rsidRPr="00FF4C0D">
        <w:rPr>
          <w:rFonts w:eastAsiaTheme="minorHAnsi"/>
        </w:rPr>
        <w:t xml:space="preserve">d to be irradiated in the Table </w:t>
      </w:r>
      <w:r w:rsidRPr="00FF4C0D">
        <w:rPr>
          <w:rFonts w:eastAsiaTheme="minorHAnsi"/>
        </w:rPr>
        <w:t xml:space="preserve">to </w:t>
      </w:r>
      <w:r w:rsidR="00480895" w:rsidRPr="00FF4C0D">
        <w:rPr>
          <w:rFonts w:eastAsiaTheme="minorHAnsi"/>
        </w:rPr>
        <w:t>c</w:t>
      </w:r>
      <w:r w:rsidRPr="00FF4C0D">
        <w:rPr>
          <w:rFonts w:eastAsiaTheme="minorHAnsi"/>
        </w:rPr>
        <w:t xml:space="preserve">lause 4. </w:t>
      </w:r>
      <w:r w:rsidR="00954D81" w:rsidRPr="00FF4C0D">
        <w:rPr>
          <w:rFonts w:eastAsiaTheme="minorHAnsi"/>
        </w:rPr>
        <w:t xml:space="preserve">FSANZ has </w:t>
      </w:r>
      <w:r w:rsidR="002B2565" w:rsidRPr="00FF4C0D">
        <w:rPr>
          <w:rFonts w:eastAsiaTheme="minorHAnsi"/>
        </w:rPr>
        <w:t xml:space="preserve">now </w:t>
      </w:r>
      <w:r w:rsidR="007464AD" w:rsidRPr="00FF4C0D">
        <w:rPr>
          <w:rFonts w:eastAsiaTheme="minorHAnsi"/>
        </w:rPr>
        <w:t xml:space="preserve">discovered </w:t>
      </w:r>
      <w:r w:rsidR="005E1A1C" w:rsidRPr="00FF4C0D">
        <w:rPr>
          <w:rFonts w:eastAsiaTheme="minorHAnsi"/>
        </w:rPr>
        <w:t>a</w:t>
      </w:r>
      <w:r w:rsidR="00946A6A" w:rsidRPr="00FF4C0D">
        <w:rPr>
          <w:rFonts w:eastAsiaTheme="minorHAnsi"/>
        </w:rPr>
        <w:t>n</w:t>
      </w:r>
      <w:r w:rsidR="00CB4BF8" w:rsidRPr="00FF4C0D">
        <w:rPr>
          <w:rFonts w:eastAsiaTheme="minorHAnsi"/>
        </w:rPr>
        <w:t xml:space="preserve"> inconsistency with regard to </w:t>
      </w:r>
      <w:r w:rsidR="00085997" w:rsidRPr="00FF4C0D">
        <w:rPr>
          <w:rFonts w:eastAsiaTheme="minorHAnsi"/>
        </w:rPr>
        <w:t>the lack of reference to use of a minimum dose</w:t>
      </w:r>
      <w:r w:rsidR="00AE1E34" w:rsidRPr="00FF4C0D">
        <w:rPr>
          <w:rFonts w:eastAsiaTheme="minorHAnsi"/>
        </w:rPr>
        <w:t xml:space="preserve"> (</w:t>
      </w:r>
      <w:r w:rsidR="00954D81" w:rsidRPr="00FF4C0D">
        <w:rPr>
          <w:rFonts w:eastAsiaTheme="minorHAnsi"/>
        </w:rPr>
        <w:t xml:space="preserve">in Column 3) if </w:t>
      </w:r>
      <w:r w:rsidR="00085997" w:rsidRPr="00FF4C0D">
        <w:rPr>
          <w:rFonts w:eastAsiaTheme="minorHAnsi"/>
        </w:rPr>
        <w:t xml:space="preserve">irradiating a food for </w:t>
      </w:r>
      <w:r w:rsidR="008D2D7D" w:rsidRPr="00FF4C0D">
        <w:rPr>
          <w:rFonts w:eastAsiaTheme="minorHAnsi"/>
        </w:rPr>
        <w:t xml:space="preserve">the purpose of </w:t>
      </w:r>
      <w:r w:rsidR="00085997" w:rsidRPr="00FF4C0D">
        <w:rPr>
          <w:rFonts w:eastAsiaTheme="minorHAnsi"/>
        </w:rPr>
        <w:t xml:space="preserve">bacterial decontamination. </w:t>
      </w:r>
    </w:p>
    <w:p w:rsidR="00C94D79" w:rsidRPr="00FF4C0D" w:rsidRDefault="00C94D79" w:rsidP="00CB4BF8">
      <w:pPr>
        <w:rPr>
          <w:rFonts w:eastAsiaTheme="minorHAnsi"/>
        </w:rPr>
      </w:pPr>
    </w:p>
    <w:p w:rsidR="00CB4BF8" w:rsidRPr="00FF4C0D" w:rsidRDefault="00085997" w:rsidP="00CB4BF8">
      <w:r w:rsidRPr="00FF4C0D">
        <w:rPr>
          <w:rFonts w:eastAsiaTheme="minorHAnsi"/>
        </w:rPr>
        <w:t xml:space="preserve">FSANZ </w:t>
      </w:r>
      <w:r w:rsidR="00827BDF" w:rsidRPr="00FF4C0D">
        <w:rPr>
          <w:rFonts w:eastAsiaTheme="minorHAnsi"/>
        </w:rPr>
        <w:t xml:space="preserve">proposes </w:t>
      </w:r>
      <w:r w:rsidRPr="00FF4C0D">
        <w:rPr>
          <w:rFonts w:eastAsiaTheme="minorHAnsi"/>
        </w:rPr>
        <w:t xml:space="preserve">to revisit whether </w:t>
      </w:r>
      <w:r w:rsidR="002B2565" w:rsidRPr="00FF4C0D">
        <w:rPr>
          <w:rFonts w:eastAsiaTheme="minorHAnsi"/>
        </w:rPr>
        <w:t>or not a minimum dose is</w:t>
      </w:r>
      <w:r w:rsidR="00A030CD" w:rsidRPr="00FF4C0D">
        <w:rPr>
          <w:rFonts w:eastAsiaTheme="minorHAnsi"/>
        </w:rPr>
        <w:t xml:space="preserve"> necessary </w:t>
      </w:r>
      <w:r w:rsidRPr="00FF4C0D">
        <w:rPr>
          <w:rFonts w:eastAsiaTheme="minorHAnsi"/>
        </w:rPr>
        <w:t xml:space="preserve">to be listed </w:t>
      </w:r>
      <w:r w:rsidR="00A030CD" w:rsidRPr="00FF4C0D">
        <w:rPr>
          <w:rFonts w:eastAsiaTheme="minorHAnsi"/>
        </w:rPr>
        <w:t xml:space="preserve">in </w:t>
      </w:r>
      <w:r w:rsidR="00637272" w:rsidRPr="00FF4C0D">
        <w:rPr>
          <w:rFonts w:eastAsiaTheme="minorHAnsi"/>
        </w:rPr>
        <w:t>Standard 1.5.3</w:t>
      </w:r>
      <w:r w:rsidR="000C447B" w:rsidRPr="00FF4C0D">
        <w:rPr>
          <w:rFonts w:eastAsiaTheme="minorHAnsi"/>
        </w:rPr>
        <w:t xml:space="preserve">. </w:t>
      </w:r>
      <w:r w:rsidR="00C857C6" w:rsidRPr="00FF4C0D">
        <w:rPr>
          <w:rFonts w:eastAsiaTheme="minorHAnsi"/>
        </w:rPr>
        <w:t xml:space="preserve">Recently BA </w:t>
      </w:r>
      <w:r w:rsidRPr="00FF4C0D">
        <w:rPr>
          <w:rFonts w:eastAsiaTheme="minorHAnsi"/>
        </w:rPr>
        <w:t xml:space="preserve">advised FSANZ that a lower dose </w:t>
      </w:r>
      <w:r w:rsidR="00C857C6" w:rsidRPr="00FF4C0D">
        <w:rPr>
          <w:rFonts w:eastAsiaTheme="minorHAnsi"/>
        </w:rPr>
        <w:t xml:space="preserve">of 70 Gy </w:t>
      </w:r>
      <w:r w:rsidRPr="00FF4C0D">
        <w:rPr>
          <w:rFonts w:eastAsiaTheme="minorHAnsi"/>
        </w:rPr>
        <w:t>may now be efficacious fo</w:t>
      </w:r>
      <w:r w:rsidR="00C857C6" w:rsidRPr="00FF4C0D">
        <w:rPr>
          <w:rFonts w:eastAsiaTheme="minorHAnsi"/>
        </w:rPr>
        <w:t xml:space="preserve">r </w:t>
      </w:r>
      <w:r w:rsidR="00597E28" w:rsidRPr="00FF4C0D">
        <w:rPr>
          <w:rFonts w:eastAsiaTheme="minorHAnsi"/>
        </w:rPr>
        <w:t>specific</w:t>
      </w:r>
      <w:r w:rsidR="00C857C6" w:rsidRPr="00FF4C0D">
        <w:rPr>
          <w:rFonts w:eastAsiaTheme="minorHAnsi"/>
        </w:rPr>
        <w:t xml:space="preserve"> </w:t>
      </w:r>
      <w:r w:rsidRPr="00FF4C0D">
        <w:rPr>
          <w:rFonts w:eastAsiaTheme="minorHAnsi"/>
        </w:rPr>
        <w:t>fruit fly</w:t>
      </w:r>
      <w:r w:rsidR="00946A6A" w:rsidRPr="00FF4C0D">
        <w:rPr>
          <w:rFonts w:eastAsiaTheme="minorHAnsi"/>
        </w:rPr>
        <w:t xml:space="preserve"> species</w:t>
      </w:r>
      <w:r w:rsidRPr="00FF4C0D">
        <w:rPr>
          <w:rFonts w:eastAsiaTheme="minorHAnsi"/>
        </w:rPr>
        <w:t xml:space="preserve">. </w:t>
      </w:r>
      <w:r w:rsidR="00C857C6" w:rsidRPr="00FF4C0D">
        <w:rPr>
          <w:rFonts w:eastAsiaTheme="minorHAnsi"/>
        </w:rPr>
        <w:t>Therefore, FSANZ considers that to achi</w:t>
      </w:r>
      <w:r w:rsidR="00954D81" w:rsidRPr="00FF4C0D">
        <w:rPr>
          <w:rFonts w:eastAsiaTheme="minorHAnsi"/>
        </w:rPr>
        <w:t>e</w:t>
      </w:r>
      <w:r w:rsidR="00C857C6" w:rsidRPr="00FF4C0D">
        <w:rPr>
          <w:rFonts w:eastAsiaTheme="minorHAnsi"/>
        </w:rPr>
        <w:t>ve the intent of a</w:t>
      </w:r>
      <w:r w:rsidR="009269B1" w:rsidRPr="00FF4C0D">
        <w:rPr>
          <w:rFonts w:eastAsiaTheme="minorHAnsi"/>
        </w:rPr>
        <w:t xml:space="preserve">lways using a minimum effective dose, </w:t>
      </w:r>
      <w:r w:rsidR="00C857C6" w:rsidRPr="00FF4C0D">
        <w:rPr>
          <w:rFonts w:eastAsiaTheme="minorHAnsi"/>
        </w:rPr>
        <w:t>FSANZ would consider not listing a minimum dose</w:t>
      </w:r>
      <w:r w:rsidR="00954D81" w:rsidRPr="00FF4C0D">
        <w:rPr>
          <w:rFonts w:eastAsiaTheme="minorHAnsi"/>
        </w:rPr>
        <w:t xml:space="preserve">, but rely </w:t>
      </w:r>
      <w:r w:rsidR="00C857C6" w:rsidRPr="00FF4C0D">
        <w:rPr>
          <w:rFonts w:eastAsiaTheme="minorHAnsi"/>
        </w:rPr>
        <w:t>on advice from the relevant quara</w:t>
      </w:r>
      <w:r w:rsidR="005E1A1C" w:rsidRPr="00FF4C0D">
        <w:rPr>
          <w:rFonts w:eastAsiaTheme="minorHAnsi"/>
        </w:rPr>
        <w:t xml:space="preserve">ntine agencies to set the minimum </w:t>
      </w:r>
      <w:r w:rsidR="004E3F00" w:rsidRPr="00FF4C0D">
        <w:rPr>
          <w:rFonts w:eastAsiaTheme="minorHAnsi"/>
        </w:rPr>
        <w:t xml:space="preserve">dose. </w:t>
      </w:r>
      <w:r w:rsidR="008C1700" w:rsidRPr="00FF4C0D">
        <w:t xml:space="preserve">In addition, </w:t>
      </w:r>
      <w:r w:rsidR="005E1A1C" w:rsidRPr="00FF4C0D">
        <w:t xml:space="preserve">FSANZ notes that </w:t>
      </w:r>
      <w:r w:rsidR="008C1700" w:rsidRPr="00FF4C0D">
        <w:t xml:space="preserve">the Code does not currently </w:t>
      </w:r>
      <w:r w:rsidR="00EF041A" w:rsidRPr="00FF4C0D">
        <w:rPr>
          <w:szCs w:val="22"/>
        </w:rPr>
        <w:t xml:space="preserve">specify a minimum </w:t>
      </w:r>
      <w:r w:rsidR="005E1A1C" w:rsidRPr="00FF4C0D">
        <w:rPr>
          <w:szCs w:val="22"/>
        </w:rPr>
        <w:t xml:space="preserve">effective </w:t>
      </w:r>
      <w:r w:rsidR="00597E28" w:rsidRPr="00FF4C0D">
        <w:rPr>
          <w:szCs w:val="22"/>
        </w:rPr>
        <w:t>level for</w:t>
      </w:r>
      <w:r w:rsidR="00EF041A" w:rsidRPr="00FF4C0D">
        <w:rPr>
          <w:szCs w:val="22"/>
        </w:rPr>
        <w:t xml:space="preserve"> anti-microbial food additives</w:t>
      </w:r>
      <w:r w:rsidR="004E3F00" w:rsidRPr="00FF4C0D">
        <w:rPr>
          <w:szCs w:val="22"/>
        </w:rPr>
        <w:t>;</w:t>
      </w:r>
      <w:r w:rsidR="00EF041A" w:rsidRPr="00FF4C0D">
        <w:rPr>
          <w:szCs w:val="22"/>
        </w:rPr>
        <w:t xml:space="preserve"> therefore, there may be no reason to specify</w:t>
      </w:r>
      <w:r w:rsidR="003F129B" w:rsidRPr="00FF4C0D">
        <w:rPr>
          <w:szCs w:val="22"/>
        </w:rPr>
        <w:t xml:space="preserve"> a </w:t>
      </w:r>
      <w:r w:rsidR="005E1A1C" w:rsidRPr="00FF4C0D">
        <w:rPr>
          <w:szCs w:val="22"/>
        </w:rPr>
        <w:t>minimum dose</w:t>
      </w:r>
      <w:r w:rsidR="00EF041A" w:rsidRPr="00FF4C0D">
        <w:rPr>
          <w:szCs w:val="22"/>
        </w:rPr>
        <w:t xml:space="preserve"> for </w:t>
      </w:r>
      <w:r w:rsidR="00B77474" w:rsidRPr="00FF4C0D">
        <w:rPr>
          <w:szCs w:val="22"/>
        </w:rPr>
        <w:t xml:space="preserve">the purpose of </w:t>
      </w:r>
      <w:r w:rsidR="005E1A1C" w:rsidRPr="00FF4C0D">
        <w:rPr>
          <w:szCs w:val="22"/>
        </w:rPr>
        <w:t xml:space="preserve">irradiating a food for </w:t>
      </w:r>
      <w:r w:rsidR="00B77474" w:rsidRPr="00FF4C0D">
        <w:rPr>
          <w:szCs w:val="22"/>
        </w:rPr>
        <w:t>bacterial decontamination</w:t>
      </w:r>
      <w:r w:rsidR="004E3F00" w:rsidRPr="00FF4C0D">
        <w:rPr>
          <w:szCs w:val="22"/>
        </w:rPr>
        <w:t xml:space="preserve"> in Standard 1.5.3. </w:t>
      </w:r>
    </w:p>
    <w:p w:rsidR="00821A97" w:rsidRPr="00FF4C0D" w:rsidRDefault="00821A97" w:rsidP="00821A97"/>
    <w:p w:rsidR="0038331C" w:rsidRPr="00FF4C0D" w:rsidRDefault="008C1700" w:rsidP="00C9166A">
      <w:pPr>
        <w:rPr>
          <w:rFonts w:eastAsiaTheme="minorHAnsi"/>
        </w:rPr>
      </w:pPr>
      <w:r w:rsidRPr="00FF4C0D">
        <w:t xml:space="preserve">In conclusion, </w:t>
      </w:r>
      <w:r w:rsidR="00CB4BF8" w:rsidRPr="00FF4C0D">
        <w:t>FSANZ has considered this</w:t>
      </w:r>
      <w:r w:rsidR="00DA26EC" w:rsidRPr="00FF4C0D">
        <w:t xml:space="preserve"> issue and acknowledges that</w:t>
      </w:r>
      <w:r w:rsidR="00CB4BF8" w:rsidRPr="00FF4C0D">
        <w:t xml:space="preserve"> further amendments should be the subject of public consultation</w:t>
      </w:r>
      <w:r w:rsidRPr="00FF4C0D">
        <w:t xml:space="preserve">. </w:t>
      </w:r>
      <w:r w:rsidR="00821A97" w:rsidRPr="00FF4C0D">
        <w:t>A</w:t>
      </w:r>
      <w:r w:rsidR="00821A97" w:rsidRPr="00FF4C0D">
        <w:rPr>
          <w:rFonts w:eastAsiaTheme="minorHAnsi"/>
        </w:rPr>
        <w:t>s there is no further opportunity to seek public comment and impa</w:t>
      </w:r>
      <w:r w:rsidR="00DA26EC" w:rsidRPr="00FF4C0D">
        <w:rPr>
          <w:rFonts w:eastAsiaTheme="minorHAnsi"/>
        </w:rPr>
        <w:t xml:space="preserve">cts for other jurisdictions, </w:t>
      </w:r>
      <w:r w:rsidR="00821A97" w:rsidRPr="00FF4C0D">
        <w:rPr>
          <w:rFonts w:eastAsiaTheme="minorHAnsi"/>
        </w:rPr>
        <w:t xml:space="preserve">industry </w:t>
      </w:r>
      <w:r w:rsidR="00DA26EC" w:rsidRPr="00FF4C0D">
        <w:rPr>
          <w:rFonts w:eastAsiaTheme="minorHAnsi"/>
        </w:rPr>
        <w:t>and consumers</w:t>
      </w:r>
      <w:r w:rsidR="00EA059E" w:rsidRPr="00FF4C0D">
        <w:rPr>
          <w:rFonts w:eastAsiaTheme="minorHAnsi"/>
        </w:rPr>
        <w:t>,</w:t>
      </w:r>
      <w:r w:rsidR="00DA26EC" w:rsidRPr="00FF4C0D">
        <w:rPr>
          <w:rFonts w:eastAsiaTheme="minorHAnsi"/>
        </w:rPr>
        <w:t xml:space="preserve"> </w:t>
      </w:r>
      <w:r w:rsidR="00821A97" w:rsidRPr="00FF4C0D">
        <w:rPr>
          <w:rFonts w:eastAsiaTheme="minorHAnsi"/>
        </w:rPr>
        <w:t xml:space="preserve">FSANZ will address </w:t>
      </w:r>
      <w:r w:rsidR="00B77474" w:rsidRPr="00FF4C0D">
        <w:rPr>
          <w:rFonts w:eastAsiaTheme="minorHAnsi"/>
        </w:rPr>
        <w:t xml:space="preserve">these </w:t>
      </w:r>
      <w:r w:rsidR="00821A97" w:rsidRPr="00FF4C0D">
        <w:rPr>
          <w:rFonts w:eastAsiaTheme="minorHAnsi"/>
        </w:rPr>
        <w:t>issue</w:t>
      </w:r>
      <w:r w:rsidR="00B77474" w:rsidRPr="00FF4C0D">
        <w:rPr>
          <w:rFonts w:eastAsiaTheme="minorHAnsi"/>
        </w:rPr>
        <w:t>s</w:t>
      </w:r>
      <w:r w:rsidR="000F20CF" w:rsidRPr="00FF4C0D">
        <w:rPr>
          <w:rFonts w:eastAsiaTheme="minorHAnsi"/>
        </w:rPr>
        <w:t xml:space="preserve"> in a future Application </w:t>
      </w:r>
      <w:r w:rsidR="00AD179F" w:rsidRPr="00FF4C0D">
        <w:rPr>
          <w:rFonts w:eastAsiaTheme="minorHAnsi"/>
        </w:rPr>
        <w:t>or Proposal</w:t>
      </w:r>
      <w:r w:rsidR="000C447B" w:rsidRPr="00FF4C0D">
        <w:rPr>
          <w:rFonts w:eastAsiaTheme="minorHAnsi"/>
        </w:rPr>
        <w:t xml:space="preserve">. </w:t>
      </w:r>
    </w:p>
    <w:p w:rsidR="00C32918" w:rsidRPr="00FF4C0D" w:rsidRDefault="00C32918" w:rsidP="00C9166A">
      <w:pPr>
        <w:rPr>
          <w:rFonts w:eastAsiaTheme="minorHAnsi"/>
        </w:rPr>
      </w:pPr>
    </w:p>
    <w:p w:rsidR="00C32918" w:rsidRPr="00FF4C0D" w:rsidRDefault="00C32918" w:rsidP="00C32918">
      <w:r w:rsidRPr="00FF4C0D">
        <w:t xml:space="preserve">FSANZ </w:t>
      </w:r>
      <w:r w:rsidR="00345562" w:rsidRPr="00FF4C0D">
        <w:t xml:space="preserve">has decided that there be </w:t>
      </w:r>
      <w:r w:rsidRPr="00FF4C0D">
        <w:t xml:space="preserve">no change to the draft variation at Approval. </w:t>
      </w:r>
    </w:p>
    <w:p w:rsidR="0048408E" w:rsidRPr="00FF4C0D" w:rsidRDefault="0048408E" w:rsidP="00EF6DD1">
      <w:pPr>
        <w:widowControl/>
        <w:rPr>
          <w:u w:val="single"/>
        </w:rPr>
      </w:pPr>
    </w:p>
    <w:p w:rsidR="00345562" w:rsidRPr="00FF4C0D" w:rsidRDefault="00345562" w:rsidP="00345562">
      <w:pPr>
        <w:pStyle w:val="Heading5"/>
      </w:pPr>
      <w:r w:rsidRPr="00FF4C0D">
        <w:br w:type="page"/>
      </w:r>
    </w:p>
    <w:p w:rsidR="00737723" w:rsidRPr="00FF4C0D" w:rsidRDefault="00883C0B" w:rsidP="00345562">
      <w:pPr>
        <w:pStyle w:val="Heading5"/>
      </w:pPr>
      <w:r w:rsidRPr="00FF4C0D">
        <w:lastRenderedPageBreak/>
        <w:t>7</w:t>
      </w:r>
      <w:r w:rsidR="007464AD" w:rsidRPr="00FF4C0D">
        <w:t>.3.1.4</w:t>
      </w:r>
      <w:r w:rsidR="007464AD" w:rsidRPr="00FF4C0D">
        <w:tab/>
      </w:r>
      <w:r w:rsidR="00737723" w:rsidRPr="00FF4C0D">
        <w:t>Amendment to the minimum dose for irradiation of herbs and spices</w:t>
      </w:r>
    </w:p>
    <w:p w:rsidR="00737723" w:rsidRPr="00FF4C0D" w:rsidRDefault="00737723" w:rsidP="00737723">
      <w:pPr>
        <w:rPr>
          <w:bCs/>
        </w:rPr>
      </w:pPr>
    </w:p>
    <w:p w:rsidR="00737723" w:rsidRPr="00FF4C0D" w:rsidRDefault="00737723" w:rsidP="00737723">
      <w:pPr>
        <w:rPr>
          <w:bCs/>
        </w:rPr>
      </w:pPr>
      <w:r w:rsidRPr="00FF4C0D">
        <w:rPr>
          <w:bCs/>
        </w:rPr>
        <w:t xml:space="preserve">SA Health was concerned that the </w:t>
      </w:r>
      <w:r w:rsidR="007464AD" w:rsidRPr="00FF4C0D">
        <w:rPr>
          <w:bCs/>
        </w:rPr>
        <w:t xml:space="preserve">draft amendments to the </w:t>
      </w:r>
      <w:r w:rsidRPr="00FF4C0D">
        <w:rPr>
          <w:bCs/>
        </w:rPr>
        <w:t xml:space="preserve">Table to </w:t>
      </w:r>
      <w:r w:rsidR="007464AD" w:rsidRPr="00FF4C0D">
        <w:rPr>
          <w:bCs/>
        </w:rPr>
        <w:t>c</w:t>
      </w:r>
      <w:r w:rsidRPr="00FF4C0D">
        <w:rPr>
          <w:bCs/>
        </w:rPr>
        <w:t xml:space="preserve">lause 4 </w:t>
      </w:r>
      <w:r w:rsidR="007464AD" w:rsidRPr="00FF4C0D">
        <w:rPr>
          <w:bCs/>
        </w:rPr>
        <w:t>meant</w:t>
      </w:r>
      <w:r w:rsidRPr="00FF4C0D">
        <w:rPr>
          <w:bCs/>
        </w:rPr>
        <w:t xml:space="preserve"> that there </w:t>
      </w:r>
      <w:r w:rsidR="007464AD" w:rsidRPr="00FF4C0D">
        <w:rPr>
          <w:bCs/>
        </w:rPr>
        <w:t>would be</w:t>
      </w:r>
      <w:r w:rsidRPr="00FF4C0D">
        <w:rPr>
          <w:bCs/>
        </w:rPr>
        <w:t xml:space="preserve"> no minimum dose specified in Column 2 for irradiation of herbs and spices and no condition in column 3 for a minimum dose to achieve the technological purpose. They were concerned that there was no explanation provided as to why this change was proposed by FSANZ.</w:t>
      </w:r>
    </w:p>
    <w:p w:rsidR="00EF037B" w:rsidRPr="00FF4C0D" w:rsidRDefault="00EF037B" w:rsidP="00EF037B">
      <w:pPr>
        <w:widowControl/>
      </w:pPr>
    </w:p>
    <w:p w:rsidR="00AD179F" w:rsidRPr="00FF4C0D" w:rsidRDefault="00AD179F" w:rsidP="00AD179F">
      <w:pPr>
        <w:widowControl/>
      </w:pPr>
      <w:r w:rsidRPr="00FF4C0D">
        <w:t>The final report for Application A413 (refer to p 27)</w:t>
      </w:r>
      <w:r w:rsidRPr="00FF4C0D">
        <w:rPr>
          <w:rStyle w:val="FootnoteReference"/>
        </w:rPr>
        <w:footnoteReference w:id="25"/>
      </w:r>
      <w:r w:rsidRPr="00FF4C0D">
        <w:t xml:space="preserve"> recommended that the minimum dose for the control of sprouting and pest disinfestation, including control of weeds, based on advice from quarantine agencies, should not be specified</w:t>
      </w:r>
      <w:r w:rsidR="007464AD" w:rsidRPr="00FF4C0D">
        <w:t>,</w:t>
      </w:r>
      <w:r w:rsidRPr="00FF4C0D">
        <w:t xml:space="preserve"> but be based on the appropriate level of protection to be determined by relevant quarantine agencies. Therefore, no minimum dose was listed</w:t>
      </w:r>
      <w:r w:rsidR="007464AD" w:rsidRPr="00FF4C0D">
        <w:t>. H</w:t>
      </w:r>
      <w:r w:rsidRPr="00FF4C0D">
        <w:t xml:space="preserve">owever, a maximum dose of 6 kGy was set in Column 2. </w:t>
      </w:r>
    </w:p>
    <w:p w:rsidR="00C32918" w:rsidRPr="00FF4C0D" w:rsidRDefault="00C32918" w:rsidP="00E45C99">
      <w:pPr>
        <w:widowControl/>
      </w:pPr>
    </w:p>
    <w:p w:rsidR="00C32918" w:rsidRPr="00FF4C0D" w:rsidRDefault="00C32918" w:rsidP="00C32918">
      <w:r w:rsidRPr="00FF4C0D">
        <w:t xml:space="preserve">FSANZ </w:t>
      </w:r>
      <w:r w:rsidR="007464AD" w:rsidRPr="00FF4C0D">
        <w:t xml:space="preserve">has decided </w:t>
      </w:r>
      <w:r w:rsidR="00480895" w:rsidRPr="00FF4C0D">
        <w:t xml:space="preserve">not </w:t>
      </w:r>
      <w:r w:rsidR="007464AD" w:rsidRPr="00FF4C0D">
        <w:t xml:space="preserve">to </w:t>
      </w:r>
      <w:r w:rsidRPr="00FF4C0D">
        <w:t>change the draft variation, as minimum doses have never been listed in relation to the technological needs (control of sprouting and pest disinfestation, including control of weeds) for herbs and spices in the Table to clause 4</w:t>
      </w:r>
      <w:r w:rsidR="000C447B" w:rsidRPr="00FF4C0D">
        <w:t xml:space="preserve">. </w:t>
      </w:r>
    </w:p>
    <w:p w:rsidR="00C32918" w:rsidRPr="00FF4C0D" w:rsidRDefault="00C32918" w:rsidP="00E45C99">
      <w:pPr>
        <w:widowControl/>
      </w:pPr>
    </w:p>
    <w:p w:rsidR="00737723" w:rsidRPr="00FF4C0D" w:rsidRDefault="00883C0B" w:rsidP="00751255">
      <w:pPr>
        <w:pStyle w:val="Heading5"/>
      </w:pPr>
      <w:r w:rsidRPr="00FF4C0D">
        <w:t>7</w:t>
      </w:r>
      <w:r w:rsidR="007464AD" w:rsidRPr="00FF4C0D">
        <w:t>.3.1.5</w:t>
      </w:r>
      <w:r w:rsidR="007464AD" w:rsidRPr="00FF4C0D">
        <w:tab/>
      </w:r>
      <w:r w:rsidR="00737723" w:rsidRPr="00FF4C0D">
        <w:t xml:space="preserve">Table to </w:t>
      </w:r>
      <w:r w:rsidR="00480895" w:rsidRPr="00FF4C0D">
        <w:t>c</w:t>
      </w:r>
      <w:r w:rsidR="00737723" w:rsidRPr="00FF4C0D">
        <w:t xml:space="preserve">lause 4 </w:t>
      </w:r>
    </w:p>
    <w:p w:rsidR="00737723" w:rsidRPr="00FF4C0D" w:rsidRDefault="00737723" w:rsidP="00737723"/>
    <w:p w:rsidR="00AD179F" w:rsidRPr="00FF4C0D" w:rsidRDefault="00AD179F" w:rsidP="00AD179F">
      <w:r w:rsidRPr="00FF4C0D">
        <w:rPr>
          <w:bCs/>
          <w:szCs w:val="22"/>
        </w:rPr>
        <w:t xml:space="preserve">FSANZ </w:t>
      </w:r>
      <w:r w:rsidR="00210D03" w:rsidRPr="00FF4C0D">
        <w:rPr>
          <w:bCs/>
          <w:szCs w:val="22"/>
        </w:rPr>
        <w:t xml:space="preserve">received an enquiry </w:t>
      </w:r>
      <w:r w:rsidRPr="00FF4C0D">
        <w:rPr>
          <w:bCs/>
          <w:szCs w:val="22"/>
        </w:rPr>
        <w:t xml:space="preserve">(which was not part of a submission) </w:t>
      </w:r>
      <w:r w:rsidR="00210D03" w:rsidRPr="00FF4C0D">
        <w:rPr>
          <w:bCs/>
          <w:szCs w:val="22"/>
        </w:rPr>
        <w:t xml:space="preserve">as to </w:t>
      </w:r>
      <w:r w:rsidRPr="00FF4C0D">
        <w:rPr>
          <w:bCs/>
          <w:szCs w:val="22"/>
        </w:rPr>
        <w:t xml:space="preserve">why </w:t>
      </w:r>
      <w:r w:rsidRPr="00FF4C0D">
        <w:t xml:space="preserve">FSANZ proposed to replace the purpose for irradiating herbs and spices and herbal infusions from ‘decontamination’ as a condition in Column 3 of the Table to </w:t>
      </w:r>
      <w:r w:rsidR="00210D03" w:rsidRPr="00FF4C0D">
        <w:t>c</w:t>
      </w:r>
      <w:r w:rsidRPr="00FF4C0D">
        <w:t xml:space="preserve">lause 4 to the term ‘bacterial decontamination. The enquirer pointed out that </w:t>
      </w:r>
      <w:r w:rsidRPr="00FF4C0D">
        <w:rPr>
          <w:rFonts w:cs="Arial"/>
          <w:iCs/>
        </w:rPr>
        <w:t>the Final Assessment Report for A413 state</w:t>
      </w:r>
      <w:r w:rsidR="00210D03" w:rsidRPr="00FF4C0D">
        <w:rPr>
          <w:rFonts w:cs="Arial"/>
          <w:iCs/>
        </w:rPr>
        <w:t>d</w:t>
      </w:r>
      <w:r w:rsidRPr="00FF4C0D">
        <w:rPr>
          <w:rFonts w:cs="Arial"/>
          <w:iCs/>
        </w:rPr>
        <w:t xml:space="preserve"> that most of the microbes present on herbs and spices </w:t>
      </w:r>
      <w:r w:rsidR="00210D03" w:rsidRPr="00FF4C0D">
        <w:rPr>
          <w:rFonts w:cs="Arial"/>
          <w:iCs/>
        </w:rPr>
        <w:t>were</w:t>
      </w:r>
      <w:r w:rsidRPr="00FF4C0D">
        <w:rPr>
          <w:rFonts w:cs="Arial"/>
          <w:iCs/>
        </w:rPr>
        <w:t xml:space="preserve"> aerobic spore</w:t>
      </w:r>
      <w:r w:rsidR="00480895" w:rsidRPr="00FF4C0D">
        <w:rPr>
          <w:rFonts w:cs="Arial"/>
          <w:iCs/>
        </w:rPr>
        <w:t>-</w:t>
      </w:r>
      <w:r w:rsidRPr="00FF4C0D">
        <w:rPr>
          <w:rFonts w:cs="Arial"/>
          <w:iCs/>
        </w:rPr>
        <w:t xml:space="preserve">forming bacteria, predominantly </w:t>
      </w:r>
      <w:r w:rsidRPr="00FF4C0D">
        <w:rPr>
          <w:rFonts w:cs="Arial"/>
          <w:i/>
          <w:iCs/>
        </w:rPr>
        <w:t xml:space="preserve">Bacillus </w:t>
      </w:r>
      <w:r w:rsidRPr="00FF4C0D">
        <w:rPr>
          <w:rFonts w:cs="Arial"/>
          <w:iCs/>
        </w:rPr>
        <w:t>species although a wide variety of non-sporing bacteria</w:t>
      </w:r>
      <w:r w:rsidR="000F20CF" w:rsidRPr="00FF4C0D">
        <w:rPr>
          <w:rFonts w:cs="Arial"/>
          <w:iCs/>
        </w:rPr>
        <w:t xml:space="preserve"> and fungi m</w:t>
      </w:r>
      <w:r w:rsidR="00210D03" w:rsidRPr="00FF4C0D">
        <w:rPr>
          <w:rFonts w:cs="Arial"/>
          <w:iCs/>
        </w:rPr>
        <w:t>ight</w:t>
      </w:r>
      <w:r w:rsidR="000F20CF" w:rsidRPr="00FF4C0D">
        <w:rPr>
          <w:rFonts w:cs="Arial"/>
          <w:iCs/>
        </w:rPr>
        <w:t xml:space="preserve"> also be present. </w:t>
      </w:r>
      <w:r w:rsidR="00210D03" w:rsidRPr="00FF4C0D">
        <w:rPr>
          <w:rFonts w:cs="Arial"/>
          <w:iCs/>
        </w:rPr>
        <w:t xml:space="preserve">The enquirer </w:t>
      </w:r>
      <w:r w:rsidR="00210D03" w:rsidRPr="00FF4C0D">
        <w:t>advised FSANZ</w:t>
      </w:r>
      <w:r w:rsidRPr="00FF4C0D">
        <w:t xml:space="preserve"> that both Canada and the USA use the term ‘</w:t>
      </w:r>
      <w:r w:rsidRPr="00FF4C0D">
        <w:rPr>
          <w:iCs/>
        </w:rPr>
        <w:t>microbial decontamination’</w:t>
      </w:r>
      <w:r w:rsidRPr="00FF4C0D">
        <w:t>.</w:t>
      </w:r>
    </w:p>
    <w:p w:rsidR="00AD179F" w:rsidRPr="00FF4C0D" w:rsidRDefault="00AD179F" w:rsidP="00AD179F">
      <w:pPr>
        <w:rPr>
          <w:szCs w:val="22"/>
        </w:rPr>
      </w:pPr>
    </w:p>
    <w:p w:rsidR="00AD179F" w:rsidRPr="00FF4C0D" w:rsidRDefault="00205EBA" w:rsidP="00AD179F">
      <w:pPr>
        <w:rPr>
          <w:rFonts w:cs="Arial"/>
        </w:rPr>
      </w:pPr>
      <w:r w:rsidRPr="00FF4C0D">
        <w:rPr>
          <w:rFonts w:cs="Arial"/>
        </w:rPr>
        <w:t>Since</w:t>
      </w:r>
      <w:r w:rsidR="00AD179F" w:rsidRPr="00FF4C0D">
        <w:rPr>
          <w:rFonts w:cs="Arial"/>
        </w:rPr>
        <w:t xml:space="preserve"> </w:t>
      </w:r>
      <w:r w:rsidR="00637272" w:rsidRPr="00FF4C0D">
        <w:rPr>
          <w:rFonts w:cs="Arial"/>
        </w:rPr>
        <w:t>Standard 1.5.3</w:t>
      </w:r>
      <w:r w:rsidR="00AD179F" w:rsidRPr="00FF4C0D">
        <w:rPr>
          <w:rFonts w:cs="Arial"/>
        </w:rPr>
        <w:t xml:space="preserve"> </w:t>
      </w:r>
      <w:r w:rsidR="001E7EB5" w:rsidRPr="00FF4C0D">
        <w:rPr>
          <w:rFonts w:cs="Arial"/>
        </w:rPr>
        <w:t>was established</w:t>
      </w:r>
      <w:r w:rsidR="00AD179F" w:rsidRPr="00FF4C0D">
        <w:rPr>
          <w:rFonts w:cs="Arial"/>
        </w:rPr>
        <w:t xml:space="preserve">, there have been several instances where FSANZ has been requested to interpret what the term ‘decontamination’ refers to for herbs and spices in the Table to </w:t>
      </w:r>
      <w:r w:rsidRPr="00FF4C0D">
        <w:rPr>
          <w:rFonts w:cs="Arial"/>
        </w:rPr>
        <w:t>c</w:t>
      </w:r>
      <w:r w:rsidR="00AD179F" w:rsidRPr="00FF4C0D">
        <w:rPr>
          <w:rFonts w:cs="Arial"/>
        </w:rPr>
        <w:t xml:space="preserve">lause 4. That is, does it cover quarantine treatment, rather than a treatment against microbes? Therefore, considering that FSANZ assessed the efficacy of irradiation for herbs and spices on bacteria, supported by data provided by the Applicant and did not assess its efficacy for quarantine purposes, it was proposed at Assessment for this </w:t>
      </w:r>
      <w:r w:rsidR="005A7319" w:rsidRPr="00FF4C0D">
        <w:rPr>
          <w:rFonts w:cs="Arial"/>
        </w:rPr>
        <w:t>Application that</w:t>
      </w:r>
      <w:r w:rsidR="00AD179F" w:rsidRPr="00FF4C0D">
        <w:rPr>
          <w:rFonts w:cs="Arial"/>
        </w:rPr>
        <w:t xml:space="preserve"> the term ‘bacterial’ decontamination be referred to in Column 3</w:t>
      </w:r>
      <w:r w:rsidRPr="00FF4C0D">
        <w:rPr>
          <w:rFonts w:cs="Arial"/>
        </w:rPr>
        <w:t>,</w:t>
      </w:r>
      <w:r w:rsidR="00AD179F" w:rsidRPr="00FF4C0D">
        <w:rPr>
          <w:rFonts w:cs="Arial"/>
        </w:rPr>
        <w:t xml:space="preserve"> rather than the original term ‘decontamination’. </w:t>
      </w:r>
    </w:p>
    <w:p w:rsidR="00AD179F" w:rsidRPr="00FF4C0D" w:rsidRDefault="00AD179F" w:rsidP="00AD179F">
      <w:pPr>
        <w:rPr>
          <w:rFonts w:cs="Arial"/>
        </w:rPr>
      </w:pPr>
    </w:p>
    <w:p w:rsidR="00AD179F" w:rsidRPr="00FF4C0D" w:rsidRDefault="00AD179F" w:rsidP="005222C5">
      <w:pPr>
        <w:rPr>
          <w:szCs w:val="22"/>
        </w:rPr>
      </w:pPr>
      <w:r w:rsidRPr="00FF4C0D">
        <w:t xml:space="preserve">FSANZ acknowledges that the </w:t>
      </w:r>
      <w:r w:rsidR="00476F56" w:rsidRPr="00FF4C0D">
        <w:t xml:space="preserve">Final </w:t>
      </w:r>
      <w:r w:rsidRPr="00FF4C0D">
        <w:t xml:space="preserve">Assessment </w:t>
      </w:r>
      <w:r w:rsidR="00480895" w:rsidRPr="00FF4C0D">
        <w:t>R</w:t>
      </w:r>
      <w:r w:rsidRPr="00FF4C0D">
        <w:t xml:space="preserve">eport for </w:t>
      </w:r>
      <w:r w:rsidRPr="00FF4C0D">
        <w:rPr>
          <w:szCs w:val="22"/>
        </w:rPr>
        <w:t>Application A413</w:t>
      </w:r>
      <w:r w:rsidR="005A7319" w:rsidRPr="00FF4C0D">
        <w:rPr>
          <w:szCs w:val="22"/>
        </w:rPr>
        <w:t xml:space="preserve"> </w:t>
      </w:r>
      <w:r w:rsidRPr="00FF4C0D">
        <w:rPr>
          <w:szCs w:val="22"/>
        </w:rPr>
        <w:t xml:space="preserve">refers </w:t>
      </w:r>
      <w:r w:rsidRPr="00FF4C0D">
        <w:t>(on p</w:t>
      </w:r>
      <w:r w:rsidR="005222C5" w:rsidRPr="00FF4C0D">
        <w:t>age</w:t>
      </w:r>
      <w:r w:rsidRPr="00FF4C0D">
        <w:t xml:space="preserve"> 56) to a wide variety of non-sporing bacteria and fungi that m</w:t>
      </w:r>
      <w:r w:rsidR="00476F56" w:rsidRPr="00FF4C0D">
        <w:t>ight</w:t>
      </w:r>
      <w:r w:rsidRPr="00FF4C0D">
        <w:t xml:space="preserve"> also be present on herbs and spices. </w:t>
      </w:r>
      <w:r w:rsidRPr="00FF4C0D">
        <w:rPr>
          <w:szCs w:val="22"/>
        </w:rPr>
        <w:t xml:space="preserve">This assessment of the efficacy of irradiation on </w:t>
      </w:r>
      <w:r w:rsidRPr="00FF4C0D">
        <w:t>herbs and spices and herbal infusions</w:t>
      </w:r>
      <w:r w:rsidRPr="00FF4C0D">
        <w:rPr>
          <w:szCs w:val="22"/>
        </w:rPr>
        <w:t xml:space="preserve"> focused on the pathogens identified as commonly present in herbs and spices, and therefore likely to pose a public health and safety issue for consumers. These consisted of </w:t>
      </w:r>
      <w:r w:rsidRPr="00FF4C0D">
        <w:rPr>
          <w:i/>
          <w:szCs w:val="22"/>
        </w:rPr>
        <w:t>Salmonella</w:t>
      </w:r>
      <w:r w:rsidRPr="00FF4C0D">
        <w:rPr>
          <w:szCs w:val="22"/>
        </w:rPr>
        <w:t xml:space="preserve">, </w:t>
      </w:r>
      <w:r w:rsidRPr="00FF4C0D">
        <w:rPr>
          <w:i/>
          <w:szCs w:val="22"/>
        </w:rPr>
        <w:t>Escherichia coli</w:t>
      </w:r>
      <w:r w:rsidRPr="00FF4C0D">
        <w:rPr>
          <w:szCs w:val="22"/>
        </w:rPr>
        <w:t xml:space="preserve">, </w:t>
      </w:r>
      <w:r w:rsidRPr="00FF4C0D">
        <w:rPr>
          <w:i/>
          <w:szCs w:val="22"/>
        </w:rPr>
        <w:t>Bacillus cereus</w:t>
      </w:r>
      <w:r w:rsidRPr="00FF4C0D">
        <w:rPr>
          <w:szCs w:val="22"/>
        </w:rPr>
        <w:t xml:space="preserve">, and </w:t>
      </w:r>
      <w:r w:rsidRPr="00FF4C0D">
        <w:rPr>
          <w:i/>
          <w:szCs w:val="22"/>
        </w:rPr>
        <w:t>Clostridium perfringens</w:t>
      </w:r>
      <w:r w:rsidRPr="00FF4C0D">
        <w:rPr>
          <w:szCs w:val="22"/>
        </w:rPr>
        <w:t xml:space="preserve"> with </w:t>
      </w:r>
      <w:r w:rsidRPr="00FF4C0D">
        <w:rPr>
          <w:i/>
          <w:szCs w:val="22"/>
        </w:rPr>
        <w:t>Salmonella</w:t>
      </w:r>
      <w:r w:rsidRPr="00FF4C0D">
        <w:rPr>
          <w:szCs w:val="22"/>
        </w:rPr>
        <w:t xml:space="preserve"> found infrequently, but in a wide variety of spices. Hence, FSANZ considered it necessary to amend </w:t>
      </w:r>
      <w:r w:rsidR="00637272" w:rsidRPr="00FF4C0D">
        <w:rPr>
          <w:szCs w:val="22"/>
        </w:rPr>
        <w:t>Standard 1.5.3</w:t>
      </w:r>
      <w:r w:rsidRPr="00FF4C0D">
        <w:rPr>
          <w:szCs w:val="22"/>
        </w:rPr>
        <w:t xml:space="preserve"> to refer to ‘bacterial decontamination’ in order to reflect that the approval for irradiation of herbs and spices </w:t>
      </w:r>
      <w:r w:rsidR="00476F56" w:rsidRPr="00FF4C0D">
        <w:rPr>
          <w:szCs w:val="22"/>
        </w:rPr>
        <w:t>wa</w:t>
      </w:r>
      <w:r w:rsidRPr="00FF4C0D">
        <w:rPr>
          <w:szCs w:val="22"/>
        </w:rPr>
        <w:t>s based on evidence of its efficacy against a range of pathogenic bacterial species and is not intended to encompass decontamination of other organisms</w:t>
      </w:r>
      <w:r w:rsidR="000C447B" w:rsidRPr="00FF4C0D">
        <w:rPr>
          <w:szCs w:val="22"/>
        </w:rPr>
        <w:t xml:space="preserve">. </w:t>
      </w:r>
    </w:p>
    <w:p w:rsidR="00C32918" w:rsidRPr="00FF4C0D" w:rsidRDefault="00C32918" w:rsidP="00F602B7">
      <w:pPr>
        <w:rPr>
          <w:szCs w:val="22"/>
        </w:rPr>
      </w:pPr>
    </w:p>
    <w:p w:rsidR="00B00BE4" w:rsidRPr="00FF4C0D" w:rsidRDefault="00C32918" w:rsidP="00737723">
      <w:pPr>
        <w:rPr>
          <w:szCs w:val="22"/>
        </w:rPr>
      </w:pPr>
      <w:r w:rsidRPr="00FF4C0D">
        <w:t xml:space="preserve">FSANZ </w:t>
      </w:r>
      <w:r w:rsidR="00476F56" w:rsidRPr="00FF4C0D">
        <w:t xml:space="preserve">has determined </w:t>
      </w:r>
      <w:r w:rsidR="001E7EB5" w:rsidRPr="00FF4C0D">
        <w:t xml:space="preserve">that </w:t>
      </w:r>
      <w:r w:rsidRPr="00FF4C0D">
        <w:t xml:space="preserve">there is no </w:t>
      </w:r>
      <w:r w:rsidR="00476F56" w:rsidRPr="00FF4C0D">
        <w:t xml:space="preserve">need to </w:t>
      </w:r>
      <w:r w:rsidRPr="00FF4C0D">
        <w:t xml:space="preserve">change the draft variation. </w:t>
      </w:r>
      <w:r w:rsidRPr="00FF4C0D">
        <w:rPr>
          <w:szCs w:val="22"/>
        </w:rPr>
        <w:t xml:space="preserve">FSANZ proposes to retain the term ‘bacterial decontamination as a condition in Column 3 of the Table to </w:t>
      </w:r>
      <w:r w:rsidR="00476F56" w:rsidRPr="00FF4C0D">
        <w:rPr>
          <w:szCs w:val="22"/>
        </w:rPr>
        <w:t>c</w:t>
      </w:r>
      <w:r w:rsidRPr="00FF4C0D">
        <w:rPr>
          <w:szCs w:val="22"/>
        </w:rPr>
        <w:t>lause 4 for foods that are irradiated for the purpose of bacterial decontamination</w:t>
      </w:r>
      <w:r w:rsidR="000C447B" w:rsidRPr="00FF4C0D">
        <w:rPr>
          <w:szCs w:val="22"/>
        </w:rPr>
        <w:t xml:space="preserve">. </w:t>
      </w:r>
      <w:r w:rsidR="00B00BE4" w:rsidRPr="00FF4C0D">
        <w:rPr>
          <w:szCs w:val="22"/>
        </w:rPr>
        <w:br w:type="page"/>
      </w:r>
    </w:p>
    <w:p w:rsidR="00772B29" w:rsidRPr="00FF4C0D" w:rsidRDefault="00AC5D9E">
      <w:pPr>
        <w:pStyle w:val="Heading3"/>
      </w:pPr>
      <w:bookmarkStart w:id="68" w:name="_Toc284492489"/>
      <w:bookmarkStart w:id="69" w:name="_Toc297029105"/>
      <w:r w:rsidRPr="00FF4C0D">
        <w:lastRenderedPageBreak/>
        <w:t>7</w:t>
      </w:r>
      <w:r w:rsidR="00A21B0C" w:rsidRPr="00FF4C0D">
        <w:t>.4</w:t>
      </w:r>
      <w:r w:rsidR="002F02D4" w:rsidRPr="00FF4C0D">
        <w:tab/>
      </w:r>
      <w:r w:rsidR="00A21B0C" w:rsidRPr="00FF4C0D">
        <w:t>Removal of other unnecessary provisions</w:t>
      </w:r>
      <w:bookmarkEnd w:id="68"/>
      <w:bookmarkEnd w:id="69"/>
      <w:r w:rsidR="00772B29" w:rsidRPr="00FF4C0D">
        <w:t xml:space="preserve"> </w:t>
      </w:r>
    </w:p>
    <w:p w:rsidR="00565B7B" w:rsidRPr="00FF4C0D" w:rsidRDefault="00565B7B" w:rsidP="00565B7B">
      <w:pPr>
        <w:rPr>
          <w:rFonts w:eastAsia="Calibri" w:cs="Arial"/>
          <w:bCs/>
          <w:szCs w:val="22"/>
        </w:rPr>
      </w:pPr>
    </w:p>
    <w:p w:rsidR="00565B7B" w:rsidRPr="00FF4C0D" w:rsidRDefault="00AC5D9E" w:rsidP="008D1A94">
      <w:pPr>
        <w:pStyle w:val="Heading4"/>
      </w:pPr>
      <w:r w:rsidRPr="00FF4C0D">
        <w:t>7</w:t>
      </w:r>
      <w:r w:rsidR="00565B7B" w:rsidRPr="00FF4C0D">
        <w:t>.4.1</w:t>
      </w:r>
      <w:r w:rsidR="002F02D4" w:rsidRPr="00FF4C0D">
        <w:tab/>
      </w:r>
      <w:r w:rsidR="00565B7B" w:rsidRPr="00FF4C0D">
        <w:t>Deletion of the clause relating to records for food irradiation</w:t>
      </w:r>
    </w:p>
    <w:p w:rsidR="009215AE" w:rsidRPr="00FF4C0D" w:rsidRDefault="009215AE" w:rsidP="00565B7B">
      <w:pPr>
        <w:rPr>
          <w:rFonts w:cs="Arial"/>
          <w:szCs w:val="22"/>
        </w:rPr>
      </w:pPr>
    </w:p>
    <w:p w:rsidR="00565B7B" w:rsidRPr="00FF4C0D" w:rsidRDefault="00565B7B" w:rsidP="00565B7B">
      <w:pPr>
        <w:rPr>
          <w:rFonts w:cs="Arial"/>
          <w:szCs w:val="22"/>
        </w:rPr>
      </w:pPr>
      <w:r w:rsidRPr="00FF4C0D">
        <w:rPr>
          <w:rFonts w:cs="Arial"/>
          <w:szCs w:val="22"/>
        </w:rPr>
        <w:t>Clause 5 of</w:t>
      </w:r>
      <w:r w:rsidR="00A44A52" w:rsidRPr="00FF4C0D">
        <w:rPr>
          <w:rFonts w:cs="Arial"/>
          <w:szCs w:val="22"/>
        </w:rPr>
        <w:t xml:space="preserve"> </w:t>
      </w:r>
      <w:r w:rsidR="00637272" w:rsidRPr="00FF4C0D">
        <w:rPr>
          <w:rFonts w:eastAsiaTheme="minorHAnsi"/>
        </w:rPr>
        <w:t>Standard 1.5.3</w:t>
      </w:r>
      <w:r w:rsidR="00D97CB8" w:rsidRPr="00FF4C0D">
        <w:rPr>
          <w:rFonts w:eastAsiaTheme="minorHAnsi"/>
        </w:rPr>
        <w:t xml:space="preserve"> </w:t>
      </w:r>
      <w:r w:rsidR="00A44A52" w:rsidRPr="00FF4C0D">
        <w:rPr>
          <w:rFonts w:cs="Arial"/>
          <w:szCs w:val="22"/>
        </w:rPr>
        <w:t>currently has the following provisions that require</w:t>
      </w:r>
      <w:r w:rsidRPr="00FF4C0D">
        <w:rPr>
          <w:rFonts w:cs="Arial"/>
          <w:szCs w:val="22"/>
        </w:rPr>
        <w:t xml:space="preserve"> the keeping of certain records in relat</w:t>
      </w:r>
      <w:r w:rsidR="00A44A52" w:rsidRPr="00FF4C0D">
        <w:rPr>
          <w:rFonts w:cs="Arial"/>
          <w:szCs w:val="22"/>
        </w:rPr>
        <w:t>ion to the irradiation of food:</w:t>
      </w:r>
    </w:p>
    <w:p w:rsidR="00565B7B" w:rsidRPr="00FF4C0D" w:rsidRDefault="00565B7B" w:rsidP="00565B7B">
      <w:pPr>
        <w:rPr>
          <w:rFonts w:cs="Arial"/>
          <w:szCs w:val="22"/>
        </w:rPr>
      </w:pPr>
    </w:p>
    <w:p w:rsidR="00565B7B" w:rsidRPr="00FF4C0D" w:rsidRDefault="00565B7B" w:rsidP="00565B7B">
      <w:pPr>
        <w:rPr>
          <w:rFonts w:cs="Arial"/>
          <w:i/>
          <w:sz w:val="20"/>
          <w:szCs w:val="20"/>
        </w:rPr>
      </w:pPr>
      <w:r w:rsidRPr="00FF4C0D">
        <w:rPr>
          <w:rFonts w:cs="Arial"/>
          <w:i/>
          <w:sz w:val="20"/>
          <w:szCs w:val="20"/>
        </w:rPr>
        <w:t>(1)</w:t>
      </w:r>
      <w:r w:rsidRPr="00FF4C0D">
        <w:rPr>
          <w:rFonts w:cs="Arial"/>
          <w:i/>
          <w:sz w:val="20"/>
          <w:szCs w:val="20"/>
        </w:rPr>
        <w:tab/>
        <w:t xml:space="preserve">Records must be kept at a facility where food is irradiated in relation to </w:t>
      </w:r>
      <w:r w:rsidR="00930078" w:rsidRPr="00FF4C0D">
        <w:rPr>
          <w:rFonts w:cs="Arial"/>
          <w:i/>
          <w:sz w:val="20"/>
          <w:szCs w:val="20"/>
        </w:rPr>
        <w:t>–</w:t>
      </w:r>
    </w:p>
    <w:p w:rsidR="00565B7B" w:rsidRPr="00FF4C0D" w:rsidRDefault="00565B7B" w:rsidP="00565B7B">
      <w:pPr>
        <w:rPr>
          <w:rFonts w:cs="Arial"/>
          <w:i/>
          <w:sz w:val="20"/>
          <w:szCs w:val="20"/>
        </w:rPr>
      </w:pPr>
    </w:p>
    <w:p w:rsidR="00565B7B" w:rsidRPr="00FF4C0D" w:rsidRDefault="00565B7B" w:rsidP="00930078">
      <w:pPr>
        <w:ind w:left="1134" w:hanging="567"/>
        <w:rPr>
          <w:rFonts w:cs="Arial"/>
          <w:i/>
          <w:sz w:val="20"/>
          <w:szCs w:val="20"/>
        </w:rPr>
      </w:pPr>
      <w:r w:rsidRPr="00FF4C0D">
        <w:rPr>
          <w:rFonts w:cs="Arial"/>
          <w:i/>
          <w:sz w:val="20"/>
          <w:szCs w:val="20"/>
        </w:rPr>
        <w:t>(a)</w:t>
      </w:r>
      <w:r w:rsidRPr="00FF4C0D">
        <w:rPr>
          <w:rFonts w:cs="Arial"/>
          <w:i/>
          <w:sz w:val="20"/>
          <w:szCs w:val="20"/>
        </w:rPr>
        <w:tab/>
        <w:t>the nature and quantity of the food treated;</w:t>
      </w:r>
    </w:p>
    <w:p w:rsidR="00565B7B" w:rsidRPr="00FF4C0D" w:rsidRDefault="00565B7B" w:rsidP="00930078">
      <w:pPr>
        <w:ind w:left="1134" w:hanging="567"/>
        <w:rPr>
          <w:rFonts w:cs="Arial"/>
          <w:i/>
          <w:sz w:val="20"/>
          <w:szCs w:val="20"/>
        </w:rPr>
      </w:pPr>
      <w:r w:rsidRPr="00FF4C0D">
        <w:rPr>
          <w:rFonts w:cs="Arial"/>
          <w:i/>
          <w:sz w:val="20"/>
          <w:szCs w:val="20"/>
        </w:rPr>
        <w:t>(b)</w:t>
      </w:r>
      <w:r w:rsidRPr="00FF4C0D">
        <w:rPr>
          <w:rFonts w:cs="Arial"/>
          <w:i/>
          <w:sz w:val="20"/>
          <w:szCs w:val="20"/>
        </w:rPr>
        <w:tab/>
        <w:t>lot identification;</w:t>
      </w:r>
    </w:p>
    <w:p w:rsidR="00565B7B" w:rsidRPr="00FF4C0D" w:rsidRDefault="00565B7B" w:rsidP="00930078">
      <w:pPr>
        <w:ind w:left="1134" w:hanging="567"/>
        <w:rPr>
          <w:rFonts w:cs="Arial"/>
          <w:i/>
          <w:sz w:val="20"/>
          <w:szCs w:val="20"/>
        </w:rPr>
      </w:pPr>
      <w:r w:rsidRPr="00FF4C0D">
        <w:rPr>
          <w:rFonts w:cs="Arial"/>
          <w:i/>
          <w:sz w:val="20"/>
          <w:szCs w:val="20"/>
        </w:rPr>
        <w:t>(c)</w:t>
      </w:r>
      <w:r w:rsidRPr="00FF4C0D">
        <w:rPr>
          <w:rFonts w:cs="Arial"/>
          <w:i/>
          <w:sz w:val="20"/>
          <w:szCs w:val="20"/>
        </w:rPr>
        <w:tab/>
        <w:t>the minimum durable life of the food treated;</w:t>
      </w:r>
    </w:p>
    <w:p w:rsidR="00565B7B" w:rsidRPr="00FF4C0D" w:rsidRDefault="00565B7B" w:rsidP="00930078">
      <w:pPr>
        <w:ind w:left="1134" w:hanging="567"/>
        <w:rPr>
          <w:rFonts w:cs="Arial"/>
          <w:i/>
          <w:sz w:val="20"/>
          <w:szCs w:val="20"/>
        </w:rPr>
      </w:pPr>
      <w:r w:rsidRPr="00FF4C0D">
        <w:rPr>
          <w:rFonts w:cs="Arial"/>
          <w:i/>
          <w:sz w:val="20"/>
          <w:szCs w:val="20"/>
        </w:rPr>
        <w:t>(d)</w:t>
      </w:r>
      <w:r w:rsidRPr="00FF4C0D">
        <w:rPr>
          <w:rFonts w:cs="Arial"/>
          <w:i/>
          <w:sz w:val="20"/>
          <w:szCs w:val="20"/>
        </w:rPr>
        <w:tab/>
        <w:t>the process used;</w:t>
      </w:r>
    </w:p>
    <w:p w:rsidR="00565B7B" w:rsidRPr="00FF4C0D" w:rsidRDefault="00565B7B" w:rsidP="00930078">
      <w:pPr>
        <w:ind w:left="1134" w:hanging="567"/>
        <w:rPr>
          <w:rFonts w:cs="Arial"/>
          <w:i/>
          <w:sz w:val="20"/>
          <w:szCs w:val="20"/>
        </w:rPr>
      </w:pPr>
      <w:r w:rsidRPr="00FF4C0D">
        <w:rPr>
          <w:rFonts w:cs="Arial"/>
          <w:i/>
          <w:sz w:val="20"/>
          <w:szCs w:val="20"/>
        </w:rPr>
        <w:t>(e)</w:t>
      </w:r>
      <w:r w:rsidRPr="00FF4C0D">
        <w:rPr>
          <w:rFonts w:cs="Arial"/>
          <w:i/>
          <w:sz w:val="20"/>
          <w:szCs w:val="20"/>
        </w:rPr>
        <w:tab/>
        <w:t>compliance with the process used;</w:t>
      </w:r>
    </w:p>
    <w:p w:rsidR="00565B7B" w:rsidRPr="00FF4C0D" w:rsidRDefault="00565B7B" w:rsidP="00930078">
      <w:pPr>
        <w:ind w:left="1134" w:hanging="567"/>
        <w:rPr>
          <w:rFonts w:cs="Arial"/>
          <w:i/>
          <w:sz w:val="20"/>
          <w:szCs w:val="20"/>
        </w:rPr>
      </w:pPr>
      <w:r w:rsidRPr="00FF4C0D">
        <w:rPr>
          <w:rFonts w:cs="Arial"/>
          <w:i/>
          <w:sz w:val="20"/>
          <w:szCs w:val="20"/>
        </w:rPr>
        <w:t>(f)</w:t>
      </w:r>
      <w:r w:rsidRPr="00FF4C0D">
        <w:rPr>
          <w:rFonts w:cs="Arial"/>
          <w:i/>
          <w:sz w:val="20"/>
          <w:szCs w:val="20"/>
        </w:rPr>
        <w:tab/>
        <w:t>the minimum and maximum dose absorbed by the food;</w:t>
      </w:r>
    </w:p>
    <w:p w:rsidR="00565B7B" w:rsidRPr="00FF4C0D" w:rsidRDefault="00565B7B" w:rsidP="00930078">
      <w:pPr>
        <w:ind w:left="1134" w:hanging="567"/>
        <w:rPr>
          <w:rFonts w:cs="Arial"/>
          <w:i/>
          <w:sz w:val="20"/>
          <w:szCs w:val="20"/>
        </w:rPr>
      </w:pPr>
      <w:r w:rsidRPr="00FF4C0D">
        <w:rPr>
          <w:rFonts w:cs="Arial"/>
          <w:i/>
          <w:sz w:val="20"/>
          <w:szCs w:val="20"/>
        </w:rPr>
        <w:t>(g)</w:t>
      </w:r>
      <w:r w:rsidRPr="00FF4C0D">
        <w:rPr>
          <w:rFonts w:cs="Arial"/>
          <w:i/>
          <w:sz w:val="20"/>
          <w:szCs w:val="20"/>
        </w:rPr>
        <w:tab/>
        <w:t>an indication whether or not the product has been irradiated previously and if so, details of such treatment;</w:t>
      </w:r>
    </w:p>
    <w:p w:rsidR="00565B7B" w:rsidRPr="00FF4C0D" w:rsidRDefault="00565B7B" w:rsidP="00930078">
      <w:pPr>
        <w:ind w:left="1134" w:hanging="567"/>
        <w:rPr>
          <w:rFonts w:cs="Arial"/>
          <w:i/>
          <w:sz w:val="20"/>
          <w:szCs w:val="20"/>
        </w:rPr>
      </w:pPr>
      <w:r w:rsidRPr="00FF4C0D">
        <w:rPr>
          <w:rFonts w:cs="Arial"/>
          <w:i/>
          <w:sz w:val="20"/>
          <w:szCs w:val="20"/>
        </w:rPr>
        <w:t>(h)</w:t>
      </w:r>
      <w:r w:rsidRPr="00FF4C0D">
        <w:rPr>
          <w:rFonts w:cs="Arial"/>
          <w:i/>
          <w:sz w:val="20"/>
          <w:szCs w:val="20"/>
        </w:rPr>
        <w:tab/>
        <w:t>date of irradiation.</w:t>
      </w:r>
    </w:p>
    <w:p w:rsidR="00565B7B" w:rsidRPr="00FF4C0D" w:rsidRDefault="00565B7B" w:rsidP="00565B7B">
      <w:pPr>
        <w:rPr>
          <w:rFonts w:cs="Arial"/>
          <w:sz w:val="20"/>
          <w:szCs w:val="20"/>
        </w:rPr>
      </w:pPr>
    </w:p>
    <w:p w:rsidR="00565B7B" w:rsidRPr="00FF4C0D" w:rsidRDefault="00BA2C65" w:rsidP="00565B7B">
      <w:pPr>
        <w:rPr>
          <w:rFonts w:cs="Arial"/>
          <w:i/>
          <w:sz w:val="20"/>
          <w:szCs w:val="20"/>
        </w:rPr>
      </w:pPr>
      <w:r w:rsidRPr="00FF4C0D">
        <w:rPr>
          <w:rFonts w:cs="Arial"/>
          <w:i/>
          <w:sz w:val="20"/>
          <w:szCs w:val="20"/>
        </w:rPr>
        <w:t>(2)</w:t>
      </w:r>
      <w:r w:rsidRPr="00FF4C0D">
        <w:rPr>
          <w:rFonts w:cs="Arial"/>
          <w:i/>
          <w:sz w:val="20"/>
          <w:szCs w:val="20"/>
        </w:rPr>
        <w:tab/>
        <w:t>The records required to be kept by subclause (1) must be kept for a period of time that exceeds the minimum durable life of the irradiated food by 1 year.</w:t>
      </w:r>
    </w:p>
    <w:p w:rsidR="00565B7B" w:rsidRPr="00FF4C0D" w:rsidRDefault="00565B7B" w:rsidP="00565B7B">
      <w:pPr>
        <w:rPr>
          <w:rFonts w:cs="Arial"/>
          <w:szCs w:val="22"/>
        </w:rPr>
      </w:pPr>
    </w:p>
    <w:p w:rsidR="00565B7B" w:rsidRPr="00FF4C0D" w:rsidRDefault="00772B29" w:rsidP="00565B7B">
      <w:pPr>
        <w:rPr>
          <w:rFonts w:cs="Arial"/>
          <w:szCs w:val="22"/>
        </w:rPr>
      </w:pPr>
      <w:r w:rsidRPr="00FF4C0D">
        <w:rPr>
          <w:rFonts w:cs="Arial"/>
          <w:szCs w:val="22"/>
        </w:rPr>
        <w:t xml:space="preserve">FSANZ </w:t>
      </w:r>
      <w:r w:rsidR="000B43B5" w:rsidRPr="00FF4C0D">
        <w:rPr>
          <w:rFonts w:cs="Arial"/>
          <w:szCs w:val="22"/>
        </w:rPr>
        <w:t>believed</w:t>
      </w:r>
      <w:r w:rsidR="00565B7B" w:rsidRPr="00FF4C0D">
        <w:rPr>
          <w:rFonts w:cs="Arial"/>
          <w:szCs w:val="22"/>
        </w:rPr>
        <w:t xml:space="preserve"> that detailed records </w:t>
      </w:r>
      <w:r w:rsidR="00356C92" w:rsidRPr="00FF4C0D">
        <w:rPr>
          <w:rFonts w:cs="Arial"/>
          <w:szCs w:val="22"/>
        </w:rPr>
        <w:t xml:space="preserve">which cover the above requirements </w:t>
      </w:r>
      <w:r w:rsidR="000B43B5" w:rsidRPr="00FF4C0D">
        <w:rPr>
          <w:rFonts w:cs="Arial"/>
          <w:szCs w:val="22"/>
        </w:rPr>
        <w:t>were</w:t>
      </w:r>
      <w:r w:rsidR="00565B7B" w:rsidRPr="00FF4C0D">
        <w:rPr>
          <w:rFonts w:cs="Arial"/>
          <w:szCs w:val="22"/>
        </w:rPr>
        <w:t xml:space="preserve"> also a requirement of licensing authorities </w:t>
      </w:r>
      <w:r w:rsidR="00597E28" w:rsidRPr="00FF4C0D">
        <w:rPr>
          <w:rFonts w:cs="Arial"/>
          <w:szCs w:val="22"/>
        </w:rPr>
        <w:t>and</w:t>
      </w:r>
      <w:r w:rsidR="00565B7B" w:rsidRPr="00FF4C0D">
        <w:rPr>
          <w:rFonts w:cs="Arial"/>
          <w:szCs w:val="22"/>
        </w:rPr>
        <w:t xml:space="preserve"> </w:t>
      </w:r>
      <w:r w:rsidR="000B43B5" w:rsidRPr="00FF4C0D">
        <w:rPr>
          <w:rFonts w:cs="Arial"/>
          <w:szCs w:val="22"/>
        </w:rPr>
        <w:t>were</w:t>
      </w:r>
      <w:r w:rsidR="00565B7B" w:rsidRPr="00FF4C0D">
        <w:rPr>
          <w:rFonts w:cs="Arial"/>
          <w:szCs w:val="22"/>
        </w:rPr>
        <w:t xml:space="preserve"> fully documented by </w:t>
      </w:r>
      <w:r w:rsidR="00981B16" w:rsidRPr="00FF4C0D">
        <w:rPr>
          <w:rFonts w:cs="Arial"/>
          <w:szCs w:val="22"/>
        </w:rPr>
        <w:t>licensed irradiation facilities (</w:t>
      </w:r>
      <w:r w:rsidR="00981B16" w:rsidRPr="00FF4C0D">
        <w:rPr>
          <w:rFonts w:cs="Arial"/>
          <w:b/>
          <w:szCs w:val="22"/>
        </w:rPr>
        <w:t xml:space="preserve">see section </w:t>
      </w:r>
      <w:r w:rsidR="00B923F2" w:rsidRPr="00FF4C0D">
        <w:rPr>
          <w:rFonts w:cs="Arial"/>
          <w:b/>
          <w:szCs w:val="22"/>
        </w:rPr>
        <w:t>6</w:t>
      </w:r>
      <w:r w:rsidR="00981B16" w:rsidRPr="00FF4C0D">
        <w:rPr>
          <w:rFonts w:cs="Arial"/>
          <w:b/>
          <w:szCs w:val="22"/>
        </w:rPr>
        <w:t>.3</w:t>
      </w:r>
      <w:r w:rsidR="00981B16" w:rsidRPr="00FF4C0D">
        <w:rPr>
          <w:rFonts w:cs="Arial"/>
          <w:szCs w:val="22"/>
        </w:rPr>
        <w:t>).</w:t>
      </w:r>
    </w:p>
    <w:p w:rsidR="00565B7B" w:rsidRPr="00FF4C0D" w:rsidRDefault="00565B7B" w:rsidP="00565B7B">
      <w:pPr>
        <w:rPr>
          <w:rFonts w:cs="Arial"/>
          <w:szCs w:val="22"/>
        </w:rPr>
      </w:pPr>
    </w:p>
    <w:p w:rsidR="00565B7B" w:rsidRPr="00FF4C0D" w:rsidRDefault="00565B7B" w:rsidP="00565B7B">
      <w:pPr>
        <w:rPr>
          <w:rFonts w:cs="Arial"/>
          <w:szCs w:val="22"/>
        </w:rPr>
      </w:pPr>
      <w:r w:rsidRPr="00FF4C0D">
        <w:rPr>
          <w:rFonts w:cs="Arial"/>
          <w:szCs w:val="22"/>
        </w:rPr>
        <w:t xml:space="preserve">For example, </w:t>
      </w:r>
      <w:r w:rsidR="00B00BE4" w:rsidRPr="00FF4C0D">
        <w:rPr>
          <w:rFonts w:cs="Arial"/>
          <w:szCs w:val="22"/>
        </w:rPr>
        <w:t>AQIS</w:t>
      </w:r>
      <w:r w:rsidRPr="00FF4C0D">
        <w:rPr>
          <w:rFonts w:cs="Arial"/>
          <w:szCs w:val="22"/>
        </w:rPr>
        <w:t xml:space="preserve"> ha</w:t>
      </w:r>
      <w:r w:rsidR="000B43B5" w:rsidRPr="00FF4C0D">
        <w:rPr>
          <w:rFonts w:cs="Arial"/>
          <w:szCs w:val="22"/>
        </w:rPr>
        <w:t>s</w:t>
      </w:r>
      <w:r w:rsidRPr="00FF4C0D">
        <w:rPr>
          <w:rFonts w:cs="Arial"/>
          <w:szCs w:val="22"/>
        </w:rPr>
        <w:t xml:space="preserve"> specific documents that refer to the maintenance of records for irradiated goods:</w:t>
      </w:r>
    </w:p>
    <w:p w:rsidR="00565B7B" w:rsidRPr="00FF4C0D" w:rsidRDefault="00565B7B" w:rsidP="00565B7B">
      <w:pPr>
        <w:rPr>
          <w:rFonts w:cs="Arial"/>
          <w:szCs w:val="22"/>
        </w:rPr>
      </w:pPr>
    </w:p>
    <w:p w:rsidR="00565B7B" w:rsidRPr="00FF4C0D" w:rsidRDefault="00480895" w:rsidP="00565B7B">
      <w:pPr>
        <w:pStyle w:val="FSBullet"/>
        <w:rPr>
          <w:rStyle w:val="Hyperlink"/>
          <w:color w:val="3333FF"/>
          <w:szCs w:val="22"/>
        </w:rPr>
      </w:pPr>
      <w:r w:rsidRPr="00FF4C0D">
        <w:t>a</w:t>
      </w:r>
      <w:r w:rsidR="00565B7B" w:rsidRPr="00FF4C0D">
        <w:t xml:space="preserve"> copy of a Gamma Irradiation certificate from the AQIS website </w:t>
      </w:r>
      <w:hyperlink r:id="rId29" w:history="1">
        <w:r w:rsidR="00565B7B" w:rsidRPr="00FF4C0D">
          <w:rPr>
            <w:rStyle w:val="Hyperlink"/>
            <w:color w:val="3333FF"/>
            <w:szCs w:val="22"/>
          </w:rPr>
          <w:t>http://www.daff.gov.au/__data/assets/pdf_file/0009/1177515/gamma-cert.pdf</w:t>
        </w:r>
      </w:hyperlink>
    </w:p>
    <w:p w:rsidR="00B00BE4" w:rsidRPr="00FF4C0D" w:rsidRDefault="00B00BE4" w:rsidP="00B00BE4"/>
    <w:p w:rsidR="00565B7B" w:rsidRPr="00FF4C0D" w:rsidRDefault="00565B7B" w:rsidP="00565B7B">
      <w:pPr>
        <w:pStyle w:val="FSBullet"/>
        <w:rPr>
          <w:szCs w:val="22"/>
        </w:rPr>
      </w:pPr>
      <w:r w:rsidRPr="00FF4C0D">
        <w:t xml:space="preserve">Class 4.2 Quarantine Approved Premises Criteria for premises utilised for gamma irradiation treatment of goods and packaging, as required by AQIS. </w:t>
      </w:r>
      <w:hyperlink r:id="rId30" w:history="1">
        <w:r w:rsidRPr="00FF4C0D">
          <w:rPr>
            <w:rStyle w:val="Hyperlink"/>
            <w:color w:val="3333FF"/>
          </w:rPr>
          <w:t>http://www.daff.gov.au/aqis/import/general-info/qap/class4/quarantine_approved_premises_criteria_4.2</w:t>
        </w:r>
      </w:hyperlink>
      <w:r w:rsidR="001615BB" w:rsidRPr="00FF4C0D">
        <w:t>.</w:t>
      </w:r>
    </w:p>
    <w:p w:rsidR="00565B7B" w:rsidRPr="00FF4C0D" w:rsidRDefault="00565B7B" w:rsidP="005222C5"/>
    <w:p w:rsidR="00676688" w:rsidRPr="00FF4C0D" w:rsidRDefault="00565B7B" w:rsidP="005222C5">
      <w:pPr>
        <w:rPr>
          <w:rFonts w:eastAsiaTheme="minorHAnsi"/>
        </w:rPr>
      </w:pPr>
      <w:r w:rsidRPr="00FF4C0D">
        <w:rPr>
          <w:rFonts w:cs="Arial"/>
          <w:szCs w:val="22"/>
        </w:rPr>
        <w:t xml:space="preserve">FSANZ received </w:t>
      </w:r>
      <w:r w:rsidR="00B079C2" w:rsidRPr="00FF4C0D">
        <w:rPr>
          <w:rFonts w:cs="Arial"/>
          <w:szCs w:val="22"/>
        </w:rPr>
        <w:t xml:space="preserve">advice </w:t>
      </w:r>
      <w:r w:rsidRPr="00FF4C0D">
        <w:rPr>
          <w:rFonts w:cs="Arial"/>
          <w:szCs w:val="22"/>
        </w:rPr>
        <w:t>from industry that the records kept in relation to irradiated articles are basically the same</w:t>
      </w:r>
      <w:r w:rsidR="000B43B5" w:rsidRPr="00FF4C0D">
        <w:rPr>
          <w:rFonts w:cs="Arial"/>
          <w:szCs w:val="22"/>
        </w:rPr>
        <w:t>,</w:t>
      </w:r>
      <w:r w:rsidRPr="00FF4C0D">
        <w:rPr>
          <w:rFonts w:cs="Arial"/>
          <w:szCs w:val="22"/>
        </w:rPr>
        <w:t xml:space="preserve"> whether or not </w:t>
      </w:r>
      <w:r w:rsidR="00B079C2" w:rsidRPr="00FF4C0D">
        <w:rPr>
          <w:rFonts w:cs="Arial"/>
          <w:szCs w:val="22"/>
        </w:rPr>
        <w:t xml:space="preserve">they are </w:t>
      </w:r>
      <w:r w:rsidRPr="00FF4C0D">
        <w:rPr>
          <w:rFonts w:cs="Arial"/>
          <w:szCs w:val="22"/>
        </w:rPr>
        <w:t xml:space="preserve">food </w:t>
      </w:r>
      <w:r w:rsidR="00B079C2" w:rsidRPr="00FF4C0D">
        <w:rPr>
          <w:rFonts w:cs="Arial"/>
          <w:szCs w:val="22"/>
        </w:rPr>
        <w:t xml:space="preserve">for quarantine purposes </w:t>
      </w:r>
      <w:r w:rsidRPr="00FF4C0D">
        <w:rPr>
          <w:rFonts w:cs="Arial"/>
          <w:szCs w:val="22"/>
        </w:rPr>
        <w:t xml:space="preserve">or medical </w:t>
      </w:r>
      <w:r w:rsidR="00B079C2" w:rsidRPr="00FF4C0D">
        <w:rPr>
          <w:rFonts w:cs="Arial"/>
          <w:szCs w:val="22"/>
        </w:rPr>
        <w:t>goods.</w:t>
      </w:r>
      <w:r w:rsidRPr="00FF4C0D">
        <w:rPr>
          <w:rFonts w:cs="Arial"/>
          <w:szCs w:val="22"/>
        </w:rPr>
        <w:t xml:space="preserve"> In relation to food, there is always a record of the commodities </w:t>
      </w:r>
      <w:r w:rsidR="008C3341" w:rsidRPr="00FF4C0D">
        <w:rPr>
          <w:rFonts w:cs="Arial"/>
          <w:szCs w:val="22"/>
        </w:rPr>
        <w:t>irradiated</w:t>
      </w:r>
      <w:r w:rsidRPr="00FF4C0D">
        <w:rPr>
          <w:rFonts w:cs="Arial"/>
          <w:szCs w:val="22"/>
        </w:rPr>
        <w:t>, the dose they receive, date of treatment and a process for ensuring compliance with the process.</w:t>
      </w:r>
      <w:r w:rsidR="00034C67" w:rsidRPr="00FF4C0D">
        <w:rPr>
          <w:rFonts w:cs="Arial"/>
          <w:szCs w:val="22"/>
        </w:rPr>
        <w:t xml:space="preserve"> </w:t>
      </w:r>
      <w:r w:rsidR="00034C67" w:rsidRPr="00FF4C0D">
        <w:rPr>
          <w:rFonts w:eastAsia="Calibri" w:cs="Arial"/>
          <w:iCs/>
          <w:szCs w:val="22"/>
        </w:rPr>
        <w:t xml:space="preserve">FSANZ also noted that clauses 4 and 6 of Standard </w:t>
      </w:r>
      <w:r w:rsidR="009A2D4D" w:rsidRPr="00FF4C0D">
        <w:rPr>
          <w:rFonts w:eastAsia="Calibri" w:cs="Arial"/>
          <w:iCs/>
          <w:szCs w:val="22"/>
        </w:rPr>
        <w:t xml:space="preserve">1.2.1 </w:t>
      </w:r>
      <w:r w:rsidR="009A2D4D" w:rsidRPr="00FF4C0D">
        <w:t>–</w:t>
      </w:r>
      <w:r w:rsidR="00072077" w:rsidRPr="00FF4C0D">
        <w:t xml:space="preserve"> Application of Labelling and Other Information Requirements </w:t>
      </w:r>
      <w:r w:rsidR="00034C67" w:rsidRPr="00FF4C0D">
        <w:rPr>
          <w:rFonts w:eastAsia="Calibri" w:cs="Arial"/>
          <w:iCs/>
          <w:szCs w:val="22"/>
        </w:rPr>
        <w:t xml:space="preserve">could require the provision of information about the irradiation of a food, where a purchaser or relevant authority has requested this information. </w:t>
      </w:r>
      <w:r w:rsidR="00B079C2" w:rsidRPr="00FF4C0D">
        <w:rPr>
          <w:rFonts w:cs="Arial"/>
          <w:szCs w:val="22"/>
        </w:rPr>
        <w:t>Therefore</w:t>
      </w:r>
      <w:r w:rsidR="00EA059E" w:rsidRPr="00FF4C0D">
        <w:rPr>
          <w:rFonts w:cs="Arial"/>
          <w:szCs w:val="22"/>
        </w:rPr>
        <w:t>,</w:t>
      </w:r>
      <w:r w:rsidR="00B079C2" w:rsidRPr="00FF4C0D">
        <w:rPr>
          <w:rFonts w:cs="Arial"/>
          <w:szCs w:val="22"/>
        </w:rPr>
        <w:t xml:space="preserve"> </w:t>
      </w:r>
      <w:r w:rsidR="00D0738E" w:rsidRPr="00FF4C0D">
        <w:rPr>
          <w:rFonts w:cs="Arial"/>
          <w:szCs w:val="22"/>
        </w:rPr>
        <w:t>FSANZ ques</w:t>
      </w:r>
      <w:r w:rsidR="00772B29" w:rsidRPr="00FF4C0D">
        <w:rPr>
          <w:rFonts w:cs="Arial"/>
          <w:szCs w:val="22"/>
        </w:rPr>
        <w:t>tioned</w:t>
      </w:r>
      <w:r w:rsidRPr="00FF4C0D">
        <w:rPr>
          <w:rFonts w:cs="Arial"/>
          <w:szCs w:val="22"/>
        </w:rPr>
        <w:t xml:space="preserve"> whether </w:t>
      </w:r>
      <w:r w:rsidR="00930078" w:rsidRPr="00FF4C0D">
        <w:rPr>
          <w:rFonts w:cs="Arial"/>
          <w:szCs w:val="22"/>
        </w:rPr>
        <w:t>c</w:t>
      </w:r>
      <w:r w:rsidR="00D0738E" w:rsidRPr="00FF4C0D">
        <w:rPr>
          <w:rFonts w:cs="Arial"/>
          <w:szCs w:val="22"/>
        </w:rPr>
        <w:t>lause 5</w:t>
      </w:r>
      <w:r w:rsidRPr="00FF4C0D">
        <w:rPr>
          <w:rFonts w:cs="Arial"/>
          <w:szCs w:val="22"/>
        </w:rPr>
        <w:t xml:space="preserve"> provide</w:t>
      </w:r>
      <w:r w:rsidR="000B43B5" w:rsidRPr="00FF4C0D">
        <w:rPr>
          <w:rFonts w:cs="Arial"/>
          <w:szCs w:val="22"/>
        </w:rPr>
        <w:t>d</w:t>
      </w:r>
      <w:r w:rsidRPr="00FF4C0D">
        <w:rPr>
          <w:rFonts w:cs="Arial"/>
          <w:szCs w:val="22"/>
        </w:rPr>
        <w:t xml:space="preserve"> any additional value </w:t>
      </w:r>
      <w:r w:rsidR="009A1FDE" w:rsidRPr="00FF4C0D">
        <w:rPr>
          <w:rFonts w:cs="Arial"/>
          <w:szCs w:val="22"/>
        </w:rPr>
        <w:t xml:space="preserve">in </w:t>
      </w:r>
      <w:r w:rsidR="00637272" w:rsidRPr="00FF4C0D">
        <w:rPr>
          <w:rFonts w:eastAsiaTheme="minorHAnsi"/>
        </w:rPr>
        <w:t>Standard 1.5.3</w:t>
      </w:r>
      <w:r w:rsidR="00AD179F" w:rsidRPr="00FF4C0D">
        <w:rPr>
          <w:rFonts w:eastAsiaTheme="minorHAnsi"/>
        </w:rPr>
        <w:t xml:space="preserve"> and recommended deletion </w:t>
      </w:r>
      <w:r w:rsidR="00E276A9" w:rsidRPr="00FF4C0D">
        <w:rPr>
          <w:rFonts w:eastAsiaTheme="minorHAnsi"/>
        </w:rPr>
        <w:t>of this provision at Assessment.</w:t>
      </w:r>
    </w:p>
    <w:p w:rsidR="00F15949" w:rsidRPr="00FF4C0D" w:rsidRDefault="00F15949" w:rsidP="005222C5">
      <w:pPr>
        <w:rPr>
          <w:szCs w:val="22"/>
        </w:rPr>
      </w:pPr>
    </w:p>
    <w:p w:rsidR="00676688" w:rsidRPr="00FF4C0D" w:rsidRDefault="00AC5D9E" w:rsidP="00751255">
      <w:pPr>
        <w:pStyle w:val="Heading4"/>
      </w:pPr>
      <w:r w:rsidRPr="00FF4C0D">
        <w:t>7</w:t>
      </w:r>
      <w:r w:rsidR="000B43B5" w:rsidRPr="00FF4C0D">
        <w:t>.4.2</w:t>
      </w:r>
      <w:r w:rsidR="000B43B5" w:rsidRPr="00FF4C0D">
        <w:tab/>
      </w:r>
      <w:r w:rsidR="00676688" w:rsidRPr="00FF4C0D">
        <w:t xml:space="preserve">Issues raised </w:t>
      </w:r>
      <w:r w:rsidR="000B43B5" w:rsidRPr="00FF4C0D">
        <w:t>during</w:t>
      </w:r>
      <w:r w:rsidR="00676688" w:rsidRPr="00FF4C0D">
        <w:t xml:space="preserve"> public consultation </w:t>
      </w:r>
    </w:p>
    <w:p w:rsidR="00676688" w:rsidRPr="00FF4C0D" w:rsidRDefault="00676688" w:rsidP="00CE61F2">
      <w:pPr>
        <w:widowControl/>
        <w:rPr>
          <w:szCs w:val="22"/>
        </w:rPr>
      </w:pPr>
    </w:p>
    <w:p w:rsidR="00184147" w:rsidRPr="00FF4C0D" w:rsidRDefault="00CE61F2" w:rsidP="00CE61F2">
      <w:pPr>
        <w:widowControl/>
      </w:pPr>
      <w:r w:rsidRPr="00FF4C0D">
        <w:rPr>
          <w:bCs/>
        </w:rPr>
        <w:t xml:space="preserve">NZMAF and </w:t>
      </w:r>
      <w:r w:rsidRPr="00FF4C0D">
        <w:t xml:space="preserve">Radiation Advisory Services </w:t>
      </w:r>
      <w:r w:rsidRPr="00FF4C0D">
        <w:rPr>
          <w:bCs/>
        </w:rPr>
        <w:t xml:space="preserve">were of the view that </w:t>
      </w:r>
      <w:r w:rsidR="00E56EC9" w:rsidRPr="00FF4C0D">
        <w:rPr>
          <w:bCs/>
        </w:rPr>
        <w:t>c</w:t>
      </w:r>
      <w:r w:rsidRPr="00FF4C0D">
        <w:rPr>
          <w:bCs/>
        </w:rPr>
        <w:t xml:space="preserve">lause 5 should be retained, as currently in New Zealand </w:t>
      </w:r>
      <w:r w:rsidRPr="00FF4C0D">
        <w:t>the legislative and record-keeping and traceability requirements for licensed irradiation facilities do not cover the curre</w:t>
      </w:r>
      <w:r w:rsidR="00D95DE7" w:rsidRPr="00FF4C0D">
        <w:t xml:space="preserve">nt requirements in </w:t>
      </w:r>
      <w:r w:rsidR="00E56EC9" w:rsidRPr="00FF4C0D">
        <w:t>c</w:t>
      </w:r>
      <w:r w:rsidR="00D95DE7" w:rsidRPr="00FF4C0D">
        <w:t xml:space="preserve">lause 5. </w:t>
      </w:r>
    </w:p>
    <w:p w:rsidR="00BC113F" w:rsidRPr="00FF4C0D" w:rsidRDefault="00BC113F" w:rsidP="00CE61F2">
      <w:pPr>
        <w:widowControl/>
      </w:pPr>
    </w:p>
    <w:p w:rsidR="00B00BE4" w:rsidRPr="00FF4C0D" w:rsidRDefault="00D95DE7" w:rsidP="00CE61F2">
      <w:pPr>
        <w:widowControl/>
      </w:pPr>
      <w:r w:rsidRPr="00FF4C0D">
        <w:t xml:space="preserve">In addition, they suggested that </w:t>
      </w:r>
      <w:r w:rsidR="00B214EF" w:rsidRPr="00FF4C0D">
        <w:t xml:space="preserve">without the record keeping requirements in </w:t>
      </w:r>
      <w:r w:rsidR="00E56EC9" w:rsidRPr="00FF4C0D">
        <w:t>c</w:t>
      </w:r>
      <w:r w:rsidR="00B214EF" w:rsidRPr="00FF4C0D">
        <w:t xml:space="preserve">lause 5, NZMAF would not be able to ensure that an irradiation facility is keeping the necessary records </w:t>
      </w:r>
      <w:r w:rsidR="00CE61F2" w:rsidRPr="00FF4C0D">
        <w:t xml:space="preserve">and </w:t>
      </w:r>
      <w:r w:rsidR="00872950" w:rsidRPr="00FF4C0D">
        <w:t xml:space="preserve">could not </w:t>
      </w:r>
      <w:r w:rsidR="00CE61F2" w:rsidRPr="00FF4C0D">
        <w:t>take enforcement action, if necessary.</w:t>
      </w:r>
      <w:r w:rsidR="00B00BE4" w:rsidRPr="00FF4C0D">
        <w:br w:type="page"/>
      </w:r>
    </w:p>
    <w:p w:rsidR="00C32918" w:rsidRPr="00FF4C0D" w:rsidRDefault="00034C67" w:rsidP="008E7939">
      <w:r w:rsidRPr="00FF4C0D">
        <w:lastRenderedPageBreak/>
        <w:t>Therefore in order to maintain</w:t>
      </w:r>
      <w:r w:rsidR="00924805" w:rsidRPr="00FF4C0D">
        <w:t xml:space="preserve"> </w:t>
      </w:r>
      <w:r w:rsidRPr="00FF4C0D">
        <w:t>the enforceability of the Code in New Zealand</w:t>
      </w:r>
      <w:r w:rsidR="0048624D" w:rsidRPr="00FF4C0D">
        <w:t>,</w:t>
      </w:r>
      <w:r w:rsidRPr="00FF4C0D">
        <w:t xml:space="preserve"> </w:t>
      </w:r>
      <w:r w:rsidR="00F14FC2" w:rsidRPr="00FF4C0D">
        <w:t xml:space="preserve">FSANZ </w:t>
      </w:r>
      <w:r w:rsidR="00E56EC9" w:rsidRPr="00FF4C0D">
        <w:t>will</w:t>
      </w:r>
      <w:r w:rsidR="005D4B07" w:rsidRPr="00FF4C0D">
        <w:t xml:space="preserve"> </w:t>
      </w:r>
      <w:r w:rsidR="00F14FC2" w:rsidRPr="00FF4C0D">
        <w:t>retain the current record</w:t>
      </w:r>
      <w:r w:rsidR="00480895" w:rsidRPr="00FF4C0D">
        <w:t>-</w:t>
      </w:r>
      <w:r w:rsidR="0037775B" w:rsidRPr="00FF4C0D">
        <w:t>keeping</w:t>
      </w:r>
      <w:r w:rsidR="00F14FC2" w:rsidRPr="00FF4C0D">
        <w:t xml:space="preserve"> requirements in </w:t>
      </w:r>
      <w:r w:rsidR="00637272" w:rsidRPr="00FF4C0D">
        <w:rPr>
          <w:rFonts w:eastAsiaTheme="minorHAnsi"/>
        </w:rPr>
        <w:t>Standard 1.5.3</w:t>
      </w:r>
      <w:r w:rsidR="00060041" w:rsidRPr="00FF4C0D">
        <w:t xml:space="preserve">. </w:t>
      </w:r>
    </w:p>
    <w:p w:rsidR="00C32918" w:rsidRPr="00FF4C0D" w:rsidRDefault="00C32918" w:rsidP="008E7939"/>
    <w:p w:rsidR="00565B7B" w:rsidRPr="00FF4C0D" w:rsidRDefault="00AC5D9E" w:rsidP="00030B18">
      <w:pPr>
        <w:pStyle w:val="Heading3"/>
      </w:pPr>
      <w:bookmarkStart w:id="70" w:name="_Toc297029106"/>
      <w:r w:rsidRPr="00FF4C0D">
        <w:t>7</w:t>
      </w:r>
      <w:r w:rsidR="00030B18" w:rsidRPr="00FF4C0D">
        <w:t>.5</w:t>
      </w:r>
      <w:r w:rsidR="002F02D4" w:rsidRPr="00FF4C0D">
        <w:tab/>
      </w:r>
      <w:r w:rsidR="00565B7B" w:rsidRPr="00FF4C0D">
        <w:t>Proposed changes to the labelling of irradiated foods</w:t>
      </w:r>
      <w:bookmarkEnd w:id="70"/>
      <w:r w:rsidR="00565B7B" w:rsidRPr="00FF4C0D">
        <w:t xml:space="preserve"> </w:t>
      </w:r>
    </w:p>
    <w:p w:rsidR="00565B7B" w:rsidRPr="00FF4C0D" w:rsidRDefault="00565B7B" w:rsidP="00565B7B">
      <w:pPr>
        <w:rPr>
          <w:rFonts w:eastAsia="Calibri" w:cs="Arial"/>
          <w:iCs/>
          <w:szCs w:val="22"/>
        </w:rPr>
      </w:pPr>
    </w:p>
    <w:p w:rsidR="002366CE" w:rsidRPr="00FF4C0D" w:rsidRDefault="002366CE" w:rsidP="00FF2F05">
      <w:pPr>
        <w:rPr>
          <w:rFonts w:eastAsia="Calibri" w:cs="Arial"/>
          <w:iCs/>
          <w:szCs w:val="22"/>
        </w:rPr>
      </w:pPr>
      <w:r w:rsidRPr="00FF4C0D">
        <w:rPr>
          <w:rFonts w:eastAsia="Calibri" w:cs="Arial"/>
          <w:iCs/>
          <w:szCs w:val="22"/>
        </w:rPr>
        <w:t>With</w:t>
      </w:r>
      <w:r w:rsidR="003D42BD" w:rsidRPr="00FF4C0D">
        <w:rPr>
          <w:rFonts w:eastAsia="Calibri" w:cs="Arial"/>
          <w:iCs/>
          <w:szCs w:val="22"/>
        </w:rPr>
        <w:t xml:space="preserve"> respect </w:t>
      </w:r>
      <w:r w:rsidRPr="00FF4C0D">
        <w:rPr>
          <w:rFonts w:eastAsia="Calibri" w:cs="Arial"/>
          <w:iCs/>
          <w:szCs w:val="22"/>
        </w:rPr>
        <w:t>to</w:t>
      </w:r>
      <w:r w:rsidR="003D42BD" w:rsidRPr="00FF4C0D">
        <w:rPr>
          <w:rFonts w:eastAsia="Calibri" w:cs="Arial"/>
          <w:iCs/>
          <w:szCs w:val="22"/>
        </w:rPr>
        <w:t xml:space="preserve"> the current provisions for the labelling of irradiated foods</w:t>
      </w:r>
      <w:r w:rsidRPr="00FF4C0D">
        <w:rPr>
          <w:rFonts w:eastAsia="Calibri" w:cs="Arial"/>
          <w:iCs/>
          <w:szCs w:val="22"/>
        </w:rPr>
        <w:t>,</w:t>
      </w:r>
      <w:r w:rsidR="003D42BD" w:rsidRPr="00FF4C0D">
        <w:rPr>
          <w:rFonts w:eastAsia="Calibri" w:cs="Arial"/>
          <w:iCs/>
          <w:szCs w:val="22"/>
        </w:rPr>
        <w:t xml:space="preserve"> and for clarity of interpretation of these provisions, FSANZ </w:t>
      </w:r>
      <w:r w:rsidR="00F66B72" w:rsidRPr="00FF4C0D">
        <w:rPr>
          <w:rFonts w:eastAsia="Calibri" w:cs="Arial"/>
          <w:iCs/>
          <w:szCs w:val="22"/>
        </w:rPr>
        <w:t xml:space="preserve">has </w:t>
      </w:r>
      <w:r w:rsidR="000F1E5C" w:rsidRPr="00FF4C0D">
        <w:rPr>
          <w:rFonts w:eastAsia="Calibri" w:cs="Arial"/>
          <w:iCs/>
          <w:szCs w:val="22"/>
        </w:rPr>
        <w:t xml:space="preserve">clarified and reformed specific </w:t>
      </w:r>
      <w:r w:rsidR="003D42BD" w:rsidRPr="00FF4C0D">
        <w:rPr>
          <w:rFonts w:eastAsia="Calibri" w:cs="Arial"/>
          <w:iCs/>
          <w:szCs w:val="22"/>
        </w:rPr>
        <w:t xml:space="preserve">labelling requirements in </w:t>
      </w:r>
      <w:r w:rsidR="00637272" w:rsidRPr="00FF4C0D">
        <w:rPr>
          <w:rFonts w:eastAsiaTheme="minorHAnsi"/>
        </w:rPr>
        <w:t>Standard 1.5.3</w:t>
      </w:r>
      <w:r w:rsidR="00030B18" w:rsidRPr="00FF4C0D">
        <w:rPr>
          <w:rFonts w:eastAsia="Calibri" w:cs="Arial"/>
          <w:iCs/>
          <w:szCs w:val="22"/>
        </w:rPr>
        <w:t>.</w:t>
      </w:r>
    </w:p>
    <w:p w:rsidR="00030B18" w:rsidRPr="00FF4C0D" w:rsidRDefault="00030B18" w:rsidP="00FF2F05"/>
    <w:p w:rsidR="00565B7B" w:rsidRPr="00FF4C0D" w:rsidRDefault="00AC5D9E" w:rsidP="00030B18">
      <w:pPr>
        <w:pStyle w:val="Heading4"/>
      </w:pPr>
      <w:r w:rsidRPr="00FF4C0D">
        <w:t>7</w:t>
      </w:r>
      <w:r w:rsidR="00030B18" w:rsidRPr="00FF4C0D">
        <w:t>.5.1</w:t>
      </w:r>
      <w:r w:rsidR="002F02D4" w:rsidRPr="00FF4C0D">
        <w:tab/>
      </w:r>
      <w:r w:rsidR="00565B7B" w:rsidRPr="00FF4C0D">
        <w:t xml:space="preserve">Removal of all examples of labelling of irradiated foods from Standard 1.5.3 </w:t>
      </w:r>
    </w:p>
    <w:p w:rsidR="00565B7B" w:rsidRPr="00FF4C0D" w:rsidRDefault="00565B7B" w:rsidP="00030B18">
      <w:pPr>
        <w:pStyle w:val="Heading3"/>
        <w:rPr>
          <w:rFonts w:eastAsia="Calibri" w:cs="Arial"/>
          <w:iCs/>
          <w:szCs w:val="22"/>
        </w:rPr>
      </w:pPr>
    </w:p>
    <w:p w:rsidR="00565B7B" w:rsidRPr="00FF4C0D" w:rsidRDefault="008F1D90" w:rsidP="00565B7B">
      <w:r w:rsidRPr="00FF4C0D">
        <w:t>S</w:t>
      </w:r>
      <w:r w:rsidR="00565B7B" w:rsidRPr="00FF4C0D">
        <w:t xml:space="preserve">ubclause 6(1) </w:t>
      </w:r>
      <w:r w:rsidR="00D74F01" w:rsidRPr="00FF4C0D">
        <w:t xml:space="preserve">contains the following </w:t>
      </w:r>
      <w:r w:rsidR="00DF5AC3" w:rsidRPr="00FF4C0D">
        <w:t xml:space="preserve">boxed </w:t>
      </w:r>
      <w:r w:rsidR="00D74F01" w:rsidRPr="00FF4C0D">
        <w:t>examples of statements for irradiated foods:</w:t>
      </w:r>
    </w:p>
    <w:p w:rsidR="003D3C04" w:rsidRPr="00FF4C0D" w:rsidRDefault="003D3C04" w:rsidP="00565B7B"/>
    <w:p w:rsidR="00D74F01" w:rsidRPr="00FF4C0D" w:rsidRDefault="00D74F01" w:rsidP="005518D4">
      <w:r w:rsidRPr="00FF4C0D">
        <w:t>‘TREATED WITH IONISING RADIATION’</w:t>
      </w:r>
    </w:p>
    <w:p w:rsidR="00D74F01" w:rsidRPr="00FF4C0D" w:rsidRDefault="00D74F01" w:rsidP="005518D4">
      <w:r w:rsidRPr="00FF4C0D">
        <w:t>‘TREATED WITH IONISING ELECTRONS’</w:t>
      </w:r>
    </w:p>
    <w:p w:rsidR="00D74F01" w:rsidRPr="00FF4C0D" w:rsidRDefault="00D74F01" w:rsidP="00D74F01">
      <w:r w:rsidRPr="00FF4C0D">
        <w:t>‘IRRADIATED (name of food)’</w:t>
      </w:r>
    </w:p>
    <w:p w:rsidR="00D74F01" w:rsidRPr="00FF4C0D" w:rsidRDefault="00D74F01" w:rsidP="00565B7B"/>
    <w:p w:rsidR="00565B7B" w:rsidRPr="00FF4C0D" w:rsidRDefault="002366CE" w:rsidP="00565B7B">
      <w:r w:rsidRPr="00FF4C0D">
        <w:t>FSANZ considers t</w:t>
      </w:r>
      <w:r w:rsidR="00565B7B" w:rsidRPr="00FF4C0D">
        <w:t>he example statement ‘</w:t>
      </w:r>
      <w:r w:rsidR="00565B7B" w:rsidRPr="00FF4C0D">
        <w:rPr>
          <w:i/>
        </w:rPr>
        <w:t>Treated with ionising electrons’</w:t>
      </w:r>
      <w:r w:rsidR="00565B7B" w:rsidRPr="00FF4C0D">
        <w:t xml:space="preserve"> is potentially misleading to consumers in that they may not understand that it indicates the food has</w:t>
      </w:r>
      <w:r w:rsidR="00772B29" w:rsidRPr="00FF4C0D">
        <w:t xml:space="preserve"> been irradiated. FSANZ proposed</w:t>
      </w:r>
      <w:r w:rsidRPr="00FF4C0D">
        <w:t xml:space="preserve"> in the Assessment Report</w:t>
      </w:r>
      <w:r w:rsidR="00565B7B" w:rsidRPr="00FF4C0D">
        <w:t xml:space="preserve"> that the Example box be deleted and the</w:t>
      </w:r>
      <w:r w:rsidR="002438CF" w:rsidRPr="00FF4C0D">
        <w:t xml:space="preserve"> </w:t>
      </w:r>
      <w:r w:rsidR="00565B7B" w:rsidRPr="00FF4C0D">
        <w:t xml:space="preserve">remaining examples </w:t>
      </w:r>
      <w:r w:rsidR="00D36813" w:rsidRPr="00FF4C0D">
        <w:t xml:space="preserve">be </w:t>
      </w:r>
      <w:r w:rsidR="00565B7B" w:rsidRPr="00FF4C0D">
        <w:t xml:space="preserve">relocated </w:t>
      </w:r>
      <w:r w:rsidR="00D36813" w:rsidRPr="00FF4C0D">
        <w:t xml:space="preserve">to </w:t>
      </w:r>
      <w:r w:rsidR="00565B7B" w:rsidRPr="00FF4C0D">
        <w:t>a future ‘guidance’ document.</w:t>
      </w:r>
      <w:r w:rsidR="00D36813" w:rsidRPr="00FF4C0D">
        <w:t xml:space="preserve"> </w:t>
      </w:r>
      <w:r w:rsidR="00772B29" w:rsidRPr="00FF4C0D">
        <w:t xml:space="preserve">FSANZ </w:t>
      </w:r>
      <w:r w:rsidRPr="00FF4C0D">
        <w:t xml:space="preserve">also </w:t>
      </w:r>
      <w:r w:rsidR="00772B29" w:rsidRPr="00FF4C0D">
        <w:t xml:space="preserve">proposed that </w:t>
      </w:r>
      <w:r w:rsidR="00D36813" w:rsidRPr="00FF4C0D">
        <w:t xml:space="preserve">the </w:t>
      </w:r>
      <w:r w:rsidR="00565B7B" w:rsidRPr="00FF4C0D">
        <w:t xml:space="preserve">‘guidance’ document could also provide information on the voluntary use of the International Radura symbol on the label, in addition to the mandatory statement required by the Code. </w:t>
      </w:r>
    </w:p>
    <w:p w:rsidR="00676688" w:rsidRPr="00FF4C0D" w:rsidRDefault="00676688" w:rsidP="00565B7B"/>
    <w:p w:rsidR="0031775C" w:rsidRPr="00FF4C0D" w:rsidRDefault="00AC5D9E" w:rsidP="00751255">
      <w:pPr>
        <w:pStyle w:val="Heading5"/>
      </w:pPr>
      <w:r w:rsidRPr="00FF4C0D">
        <w:t>7</w:t>
      </w:r>
      <w:r w:rsidR="008F1D90" w:rsidRPr="00FF4C0D">
        <w:t>.5.1.1</w:t>
      </w:r>
      <w:r w:rsidR="008F1D90" w:rsidRPr="00FF4C0D">
        <w:tab/>
      </w:r>
      <w:r w:rsidR="0031775C" w:rsidRPr="00FF4C0D">
        <w:t xml:space="preserve">Issues raised </w:t>
      </w:r>
      <w:r w:rsidR="008F1D90" w:rsidRPr="00FF4C0D">
        <w:t>during</w:t>
      </w:r>
      <w:r w:rsidR="0031775C" w:rsidRPr="00FF4C0D">
        <w:t xml:space="preserve"> public consultation </w:t>
      </w:r>
    </w:p>
    <w:p w:rsidR="001A5041" w:rsidRPr="00FF4C0D" w:rsidRDefault="001A5041" w:rsidP="0031775C">
      <w:pPr>
        <w:widowControl/>
      </w:pPr>
    </w:p>
    <w:p w:rsidR="0031775C" w:rsidRPr="00FF4C0D" w:rsidRDefault="00791979" w:rsidP="0031775C">
      <w:pPr>
        <w:widowControl/>
      </w:pPr>
      <w:r w:rsidRPr="00FF4C0D">
        <w:t xml:space="preserve">Food Irradiation Watch supported the retention of the labelling examples in </w:t>
      </w:r>
      <w:r w:rsidR="00637272" w:rsidRPr="00FF4C0D">
        <w:rPr>
          <w:rFonts w:eastAsiaTheme="minorHAnsi"/>
        </w:rPr>
        <w:t>Standard 1.5.3</w:t>
      </w:r>
      <w:r w:rsidRPr="00FF4C0D">
        <w:t xml:space="preserve">. Radiation Advisory Services supported the preparation of a guidance document on labelling if the current labelling examples are removed, and </w:t>
      </w:r>
      <w:r w:rsidR="00304CCE" w:rsidRPr="00FF4C0D">
        <w:t>NZMAF</w:t>
      </w:r>
      <w:r w:rsidRPr="00FF4C0D">
        <w:t xml:space="preserve"> requested clarification in regard to the scope and timing of the future guidance document on the labelling of irradiated foods.</w:t>
      </w:r>
    </w:p>
    <w:p w:rsidR="00717091" w:rsidRPr="00FF4C0D" w:rsidRDefault="00717091" w:rsidP="0031775C">
      <w:pPr>
        <w:widowControl/>
      </w:pPr>
    </w:p>
    <w:p w:rsidR="007D7774" w:rsidRPr="00FF4C0D" w:rsidRDefault="00717091" w:rsidP="00F017B6">
      <w:pPr>
        <w:rPr>
          <w:szCs w:val="22"/>
        </w:rPr>
      </w:pPr>
      <w:r w:rsidRPr="00FF4C0D">
        <w:rPr>
          <w:szCs w:val="22"/>
        </w:rPr>
        <w:t xml:space="preserve">FSANZ has revisited this </w:t>
      </w:r>
      <w:r w:rsidR="007D7774" w:rsidRPr="00FF4C0D">
        <w:rPr>
          <w:szCs w:val="22"/>
        </w:rPr>
        <w:t>issue and agrees that these examples do serve a purpose to assist industry and consumers with examples of statements that may be used on irradiated foods</w:t>
      </w:r>
      <w:r w:rsidRPr="00FF4C0D">
        <w:rPr>
          <w:szCs w:val="22"/>
        </w:rPr>
        <w:t>.</w:t>
      </w:r>
      <w:r w:rsidR="007D7774" w:rsidRPr="00FF4C0D">
        <w:rPr>
          <w:szCs w:val="22"/>
        </w:rPr>
        <w:t xml:space="preserve"> </w:t>
      </w:r>
    </w:p>
    <w:p w:rsidR="007D7774" w:rsidRPr="00FF4C0D" w:rsidRDefault="007D7774" w:rsidP="00F017B6">
      <w:pPr>
        <w:rPr>
          <w:szCs w:val="22"/>
        </w:rPr>
      </w:pPr>
    </w:p>
    <w:p w:rsidR="00C8665A" w:rsidRPr="00FF4C0D" w:rsidRDefault="00DB3960" w:rsidP="00990CBB">
      <w:pPr>
        <w:rPr>
          <w:bCs/>
          <w:szCs w:val="22"/>
        </w:rPr>
      </w:pPr>
      <w:r w:rsidRPr="00FF4C0D">
        <w:rPr>
          <w:szCs w:val="22"/>
        </w:rPr>
        <w:t>Given the recommendation is to retain two of the three examples in subclause 6(1)</w:t>
      </w:r>
      <w:r w:rsidR="009A2D4D" w:rsidRPr="00FF4C0D">
        <w:rPr>
          <w:szCs w:val="22"/>
        </w:rPr>
        <w:t>;</w:t>
      </w:r>
      <w:r w:rsidRPr="00FF4C0D">
        <w:rPr>
          <w:szCs w:val="22"/>
        </w:rPr>
        <w:t xml:space="preserve"> </w:t>
      </w:r>
      <w:r w:rsidRPr="00FF4C0D">
        <w:rPr>
          <w:bCs/>
          <w:szCs w:val="22"/>
        </w:rPr>
        <w:t xml:space="preserve">FSANZ is </w:t>
      </w:r>
      <w:r w:rsidR="00F017B6" w:rsidRPr="00FF4C0D">
        <w:rPr>
          <w:bCs/>
          <w:szCs w:val="22"/>
        </w:rPr>
        <w:t>of the view that a guidance document on labelli</w:t>
      </w:r>
      <w:r w:rsidR="007D7774" w:rsidRPr="00FF4C0D">
        <w:rPr>
          <w:bCs/>
          <w:szCs w:val="22"/>
        </w:rPr>
        <w:t xml:space="preserve">ng examples is </w:t>
      </w:r>
      <w:r w:rsidRPr="00FF4C0D">
        <w:rPr>
          <w:bCs/>
          <w:szCs w:val="22"/>
        </w:rPr>
        <w:t>no longer warranted</w:t>
      </w:r>
      <w:r w:rsidR="000C447B" w:rsidRPr="00FF4C0D">
        <w:rPr>
          <w:bCs/>
          <w:szCs w:val="22"/>
        </w:rPr>
        <w:t xml:space="preserve">. </w:t>
      </w:r>
      <w:r w:rsidR="00F017B6" w:rsidRPr="00FF4C0D">
        <w:rPr>
          <w:bCs/>
          <w:szCs w:val="22"/>
        </w:rPr>
        <w:t xml:space="preserve">FSANZ also considers that the current Fact Sheet contains adequate information around the labelling of irradiated foods, examples and the </w:t>
      </w:r>
      <w:r w:rsidR="00E567E2" w:rsidRPr="00FF4C0D">
        <w:rPr>
          <w:bCs/>
          <w:szCs w:val="22"/>
        </w:rPr>
        <w:t>R</w:t>
      </w:r>
      <w:r w:rsidR="00F017B6" w:rsidRPr="00FF4C0D">
        <w:rPr>
          <w:bCs/>
          <w:szCs w:val="22"/>
        </w:rPr>
        <w:t>adura symbol</w:t>
      </w:r>
      <w:r w:rsidR="00D36813" w:rsidRPr="00FF4C0D">
        <w:rPr>
          <w:bCs/>
          <w:szCs w:val="22"/>
        </w:rPr>
        <w:t xml:space="preserve"> to provide guidance to consumers and industry</w:t>
      </w:r>
      <w:r w:rsidR="00F017B6" w:rsidRPr="00FF4C0D">
        <w:rPr>
          <w:bCs/>
          <w:szCs w:val="22"/>
        </w:rPr>
        <w:t xml:space="preserve">. </w:t>
      </w:r>
    </w:p>
    <w:p w:rsidR="00C32918" w:rsidRPr="00FF4C0D" w:rsidRDefault="00C32918" w:rsidP="00990CBB">
      <w:pPr>
        <w:rPr>
          <w:bCs/>
          <w:szCs w:val="22"/>
        </w:rPr>
      </w:pPr>
    </w:p>
    <w:p w:rsidR="00C32918" w:rsidRPr="00FF4C0D" w:rsidRDefault="00C32918" w:rsidP="00C32918">
      <w:r w:rsidRPr="00FF4C0D">
        <w:t xml:space="preserve">FSANZ </w:t>
      </w:r>
      <w:r w:rsidR="008F1D90" w:rsidRPr="00FF4C0D">
        <w:t xml:space="preserve">has decided to </w:t>
      </w:r>
      <w:r w:rsidRPr="00FF4C0D">
        <w:t>retain the two examples ‘</w:t>
      </w:r>
      <w:r w:rsidRPr="00FF4C0D">
        <w:rPr>
          <w:i/>
        </w:rPr>
        <w:t>Treated with ionising radiation’</w:t>
      </w:r>
      <w:r w:rsidRPr="00FF4C0D">
        <w:t xml:space="preserve"> and ‘</w:t>
      </w:r>
      <w:r w:rsidRPr="00FF4C0D">
        <w:rPr>
          <w:i/>
        </w:rPr>
        <w:t>Irradiated (name of food</w:t>
      </w:r>
      <w:r w:rsidRPr="00FF4C0D">
        <w:t>)’ in clause 6(1)</w:t>
      </w:r>
      <w:r w:rsidR="000C447B" w:rsidRPr="00FF4C0D">
        <w:t xml:space="preserve">. </w:t>
      </w:r>
      <w:r w:rsidRPr="00FF4C0D">
        <w:t>The example ‘</w:t>
      </w:r>
      <w:r w:rsidRPr="00FF4C0D">
        <w:rPr>
          <w:i/>
        </w:rPr>
        <w:t>Treated with ionising electrons’</w:t>
      </w:r>
      <w:r w:rsidRPr="00FF4C0D">
        <w:t xml:space="preserve"> will be removed.</w:t>
      </w:r>
    </w:p>
    <w:p w:rsidR="00C32918" w:rsidRPr="00FF4C0D" w:rsidRDefault="00C32918" w:rsidP="00990CBB">
      <w:pPr>
        <w:rPr>
          <w:bCs/>
          <w:szCs w:val="22"/>
        </w:rPr>
      </w:pPr>
    </w:p>
    <w:p w:rsidR="00161B99" w:rsidRPr="00FF4C0D" w:rsidRDefault="00AC5D9E" w:rsidP="0068357C">
      <w:pPr>
        <w:pStyle w:val="Heading4"/>
        <w:rPr>
          <w:rFonts w:eastAsia="Calibri"/>
        </w:rPr>
      </w:pPr>
      <w:r w:rsidRPr="00FF4C0D">
        <w:rPr>
          <w:rFonts w:eastAsia="Calibri"/>
        </w:rPr>
        <w:t>7</w:t>
      </w:r>
      <w:r w:rsidR="00E32D63" w:rsidRPr="00FF4C0D">
        <w:rPr>
          <w:rFonts w:eastAsia="Calibri"/>
        </w:rPr>
        <w:t>.5.2</w:t>
      </w:r>
      <w:r w:rsidR="00E32D63" w:rsidRPr="00FF4C0D">
        <w:rPr>
          <w:rFonts w:eastAsia="Calibri"/>
        </w:rPr>
        <w:tab/>
        <w:t>Clarification of the cross reference in subclause 6(3)</w:t>
      </w:r>
    </w:p>
    <w:p w:rsidR="00565B7B" w:rsidRPr="00FF4C0D" w:rsidRDefault="00565B7B" w:rsidP="00565B7B">
      <w:pPr>
        <w:rPr>
          <w:rFonts w:eastAsia="Calibri" w:cs="Arial"/>
          <w:iCs/>
          <w:szCs w:val="22"/>
        </w:rPr>
      </w:pPr>
    </w:p>
    <w:p w:rsidR="001F76B5" w:rsidRPr="00FF4C0D" w:rsidRDefault="005441A9" w:rsidP="00565B7B">
      <w:pPr>
        <w:rPr>
          <w:rFonts w:eastAsia="Calibri" w:cs="Arial"/>
          <w:iCs/>
          <w:szCs w:val="22"/>
        </w:rPr>
      </w:pPr>
      <w:r w:rsidRPr="00FF4C0D">
        <w:rPr>
          <w:rFonts w:eastAsia="Calibri" w:cs="Arial"/>
          <w:iCs/>
          <w:szCs w:val="22"/>
        </w:rPr>
        <w:t>S</w:t>
      </w:r>
      <w:r w:rsidR="00565B7B" w:rsidRPr="00FF4C0D">
        <w:rPr>
          <w:rFonts w:eastAsia="Calibri" w:cs="Arial"/>
          <w:iCs/>
          <w:szCs w:val="22"/>
        </w:rPr>
        <w:t xml:space="preserve">ubclause 6(3) </w:t>
      </w:r>
      <w:r w:rsidR="00F72623" w:rsidRPr="00FF4C0D">
        <w:rPr>
          <w:rFonts w:eastAsia="Calibri" w:cs="Arial"/>
          <w:iCs/>
          <w:szCs w:val="22"/>
        </w:rPr>
        <w:t>states the following</w:t>
      </w:r>
      <w:r w:rsidR="001F76B5" w:rsidRPr="00FF4C0D">
        <w:rPr>
          <w:rFonts w:eastAsia="Calibri" w:cs="Arial"/>
          <w:iCs/>
          <w:szCs w:val="22"/>
        </w:rPr>
        <w:t>:</w:t>
      </w:r>
    </w:p>
    <w:p w:rsidR="001F76B5" w:rsidRPr="00FF4C0D" w:rsidRDefault="001F76B5" w:rsidP="00565B7B">
      <w:pPr>
        <w:rPr>
          <w:rFonts w:eastAsia="Calibri" w:cs="Arial"/>
          <w:iCs/>
          <w:szCs w:val="22"/>
        </w:rPr>
      </w:pPr>
    </w:p>
    <w:p w:rsidR="00156098" w:rsidRPr="00FF4C0D" w:rsidRDefault="00A65D96" w:rsidP="00AC5D9E">
      <w:pPr>
        <w:ind w:left="567"/>
        <w:rPr>
          <w:rFonts w:eastAsia="Calibri"/>
          <w:i/>
          <w:iCs/>
        </w:rPr>
      </w:pPr>
      <w:r w:rsidRPr="00FF4C0D">
        <w:rPr>
          <w:rFonts w:eastAsia="Calibri"/>
          <w:i/>
        </w:rPr>
        <w:t>Where an irradiated food, or a food containing an irradiated food as an ingredient or component, is not required to bear a label pursuant to clause 2 of Standard 1.2.1, there must be displayed on or in connection with the display of food a statement that the food has been treated with ionising radiation, or that it contains an ingredient or component that has been treated with ionising radiation, as the case may be.</w:t>
      </w:r>
    </w:p>
    <w:p w:rsidR="00B00BE4" w:rsidRPr="00FF4C0D" w:rsidRDefault="00B00BE4" w:rsidP="00037F64">
      <w:pPr>
        <w:rPr>
          <w:rFonts w:eastAsia="Calibri" w:cs="Arial"/>
          <w:iCs/>
          <w:szCs w:val="22"/>
        </w:rPr>
      </w:pPr>
      <w:r w:rsidRPr="00FF4C0D">
        <w:rPr>
          <w:rFonts w:eastAsia="Calibri" w:cs="Arial"/>
          <w:iCs/>
          <w:szCs w:val="22"/>
        </w:rPr>
        <w:br w:type="page"/>
      </w:r>
    </w:p>
    <w:p w:rsidR="00037F64" w:rsidRPr="00FF4C0D" w:rsidRDefault="00037F64" w:rsidP="00037F64">
      <w:pPr>
        <w:rPr>
          <w:rFonts w:eastAsia="Calibri" w:cs="Arial"/>
          <w:iCs/>
          <w:szCs w:val="22"/>
        </w:rPr>
      </w:pPr>
      <w:r w:rsidRPr="00FF4C0D">
        <w:rPr>
          <w:rFonts w:eastAsia="Calibri" w:cs="Arial"/>
          <w:iCs/>
          <w:szCs w:val="22"/>
        </w:rPr>
        <w:lastRenderedPageBreak/>
        <w:t xml:space="preserve">To improve the clarity of subclause 6(3), </w:t>
      </w:r>
      <w:r w:rsidR="005441A9" w:rsidRPr="00FF4C0D">
        <w:rPr>
          <w:rFonts w:eastAsia="Calibri" w:cs="Arial"/>
          <w:iCs/>
          <w:szCs w:val="22"/>
        </w:rPr>
        <w:t xml:space="preserve">at Assessment </w:t>
      </w:r>
      <w:r w:rsidRPr="00FF4C0D">
        <w:rPr>
          <w:rFonts w:eastAsia="Calibri" w:cs="Arial"/>
          <w:iCs/>
          <w:szCs w:val="22"/>
        </w:rPr>
        <w:t>FSANZ proposed to amend the cross</w:t>
      </w:r>
      <w:r w:rsidR="00072077" w:rsidRPr="00FF4C0D">
        <w:rPr>
          <w:rFonts w:eastAsia="Calibri" w:cs="Arial"/>
          <w:iCs/>
          <w:szCs w:val="22"/>
        </w:rPr>
        <w:t>-</w:t>
      </w:r>
      <w:r w:rsidRPr="00FF4C0D">
        <w:rPr>
          <w:rFonts w:eastAsia="Calibri" w:cs="Arial"/>
          <w:iCs/>
          <w:szCs w:val="22"/>
        </w:rPr>
        <w:t>reference to clause 2 in Standard 1.2.1 to subclause 2(1).</w:t>
      </w:r>
    </w:p>
    <w:p w:rsidR="00565B7B" w:rsidRPr="00FF4C0D" w:rsidRDefault="00565B7B" w:rsidP="00565B7B">
      <w:pPr>
        <w:rPr>
          <w:rFonts w:eastAsia="Calibri" w:cs="Arial"/>
          <w:iCs/>
          <w:szCs w:val="22"/>
        </w:rPr>
      </w:pPr>
    </w:p>
    <w:p w:rsidR="00EB1EF3" w:rsidRPr="00FF4C0D" w:rsidRDefault="00EB1EF3" w:rsidP="00EB1EF3">
      <w:pPr>
        <w:rPr>
          <w:rFonts w:eastAsia="Calibri" w:cs="Arial"/>
          <w:iCs/>
          <w:szCs w:val="22"/>
        </w:rPr>
      </w:pPr>
      <w:r w:rsidRPr="00FF4C0D">
        <w:rPr>
          <w:rFonts w:eastAsia="Calibri" w:cs="Arial"/>
          <w:iCs/>
          <w:szCs w:val="22"/>
        </w:rPr>
        <w:t>There were no submitter comments on this issue</w:t>
      </w:r>
      <w:r w:rsidR="005441A9" w:rsidRPr="00FF4C0D">
        <w:rPr>
          <w:rFonts w:eastAsia="Calibri" w:cs="Arial"/>
          <w:iCs/>
          <w:szCs w:val="22"/>
        </w:rPr>
        <w:t>, so the drafting at Assessment remains unchanged</w:t>
      </w:r>
      <w:r w:rsidRPr="00FF4C0D">
        <w:rPr>
          <w:rFonts w:eastAsia="Calibri" w:cs="Arial"/>
          <w:iCs/>
          <w:szCs w:val="22"/>
        </w:rPr>
        <w:t>.</w:t>
      </w:r>
    </w:p>
    <w:p w:rsidR="00C32918" w:rsidRPr="00FF4C0D" w:rsidRDefault="00C32918" w:rsidP="00EB1EF3">
      <w:pPr>
        <w:rPr>
          <w:rFonts w:eastAsia="Calibri" w:cs="Arial"/>
          <w:iCs/>
          <w:szCs w:val="22"/>
        </w:rPr>
      </w:pPr>
    </w:p>
    <w:p w:rsidR="00565B7B" w:rsidRPr="00FF4C0D" w:rsidRDefault="00AC5D9E" w:rsidP="00E56D5F">
      <w:pPr>
        <w:pStyle w:val="Heading4"/>
      </w:pPr>
      <w:r w:rsidRPr="00FF4C0D">
        <w:t>7</w:t>
      </w:r>
      <w:r w:rsidR="00BA369F" w:rsidRPr="00FF4C0D">
        <w:t xml:space="preserve">.5.3 </w:t>
      </w:r>
      <w:r w:rsidR="00565B7B" w:rsidRPr="00FF4C0D">
        <w:tab/>
        <w:t xml:space="preserve">Deletion of subclause 6(4) </w:t>
      </w:r>
    </w:p>
    <w:p w:rsidR="00565B7B" w:rsidRPr="00FF4C0D" w:rsidRDefault="00565B7B" w:rsidP="00565B7B">
      <w:pPr>
        <w:rPr>
          <w:rFonts w:eastAsia="Calibri" w:cs="Arial"/>
          <w:b/>
          <w:iCs/>
          <w:szCs w:val="22"/>
        </w:rPr>
      </w:pPr>
    </w:p>
    <w:p w:rsidR="00F72623" w:rsidRPr="00FF4C0D" w:rsidRDefault="00F334CB" w:rsidP="00F72623">
      <w:pPr>
        <w:rPr>
          <w:rFonts w:eastAsia="Calibri" w:cs="Arial"/>
          <w:iCs/>
          <w:szCs w:val="22"/>
        </w:rPr>
      </w:pPr>
      <w:r w:rsidRPr="00FF4C0D">
        <w:rPr>
          <w:rFonts w:eastAsia="Calibri" w:cs="Arial"/>
          <w:iCs/>
          <w:szCs w:val="22"/>
        </w:rPr>
        <w:t>S</w:t>
      </w:r>
      <w:r w:rsidR="00F72623" w:rsidRPr="00FF4C0D">
        <w:rPr>
          <w:rFonts w:eastAsia="Calibri" w:cs="Arial"/>
          <w:iCs/>
          <w:szCs w:val="22"/>
        </w:rPr>
        <w:t xml:space="preserve">ubclause 6(4) states the following: </w:t>
      </w:r>
    </w:p>
    <w:p w:rsidR="001F76B5" w:rsidRPr="00FF4C0D" w:rsidRDefault="001F76B5" w:rsidP="00F72623">
      <w:pPr>
        <w:rPr>
          <w:rFonts w:eastAsia="Calibri" w:cs="Arial"/>
          <w:iCs/>
          <w:szCs w:val="22"/>
        </w:rPr>
      </w:pPr>
    </w:p>
    <w:p w:rsidR="001F76B5" w:rsidRPr="00FF4C0D" w:rsidRDefault="001F76B5" w:rsidP="001617E8">
      <w:pPr>
        <w:pStyle w:val="FSBullet"/>
        <w:numPr>
          <w:ilvl w:val="0"/>
          <w:numId w:val="0"/>
        </w:numPr>
        <w:rPr>
          <w:rFonts w:eastAsia="Calibri"/>
          <w:i/>
        </w:rPr>
      </w:pPr>
      <w:r w:rsidRPr="00FF4C0D">
        <w:rPr>
          <w:rFonts w:eastAsia="Calibri"/>
          <w:i/>
        </w:rPr>
        <w:t>Notwithstanding clause 3 of Standard 1.2.1, the label on a package of irradiated food which is sold other than for retail sale must include –</w:t>
      </w:r>
    </w:p>
    <w:p w:rsidR="003D3C04" w:rsidRPr="00FF4C0D" w:rsidRDefault="003D3C04" w:rsidP="003D3C04">
      <w:pPr>
        <w:rPr>
          <w:rFonts w:eastAsia="Calibri"/>
        </w:rPr>
      </w:pPr>
    </w:p>
    <w:p w:rsidR="001F76B5" w:rsidRPr="00FF4C0D" w:rsidRDefault="00123DBD" w:rsidP="00123DBD">
      <w:pPr>
        <w:ind w:left="567"/>
        <w:rPr>
          <w:rFonts w:eastAsia="Calibri" w:cs="Arial"/>
          <w:i/>
          <w:iCs/>
          <w:szCs w:val="22"/>
        </w:rPr>
      </w:pPr>
      <w:r w:rsidRPr="00FF4C0D">
        <w:rPr>
          <w:rFonts w:eastAsia="Calibri" w:cs="Arial"/>
          <w:i/>
          <w:iCs/>
          <w:szCs w:val="22"/>
        </w:rPr>
        <w:t>(a)</w:t>
      </w:r>
      <w:r w:rsidRPr="00FF4C0D">
        <w:rPr>
          <w:rFonts w:eastAsia="Calibri" w:cs="Arial"/>
          <w:i/>
          <w:iCs/>
          <w:szCs w:val="22"/>
        </w:rPr>
        <w:tab/>
      </w:r>
      <w:r w:rsidR="001F76B5" w:rsidRPr="00FF4C0D">
        <w:rPr>
          <w:rFonts w:eastAsia="Calibri" w:cs="Arial"/>
          <w:i/>
          <w:iCs/>
          <w:szCs w:val="22"/>
        </w:rPr>
        <w:t>a statement that the food has been irradiated; and</w:t>
      </w:r>
    </w:p>
    <w:p w:rsidR="001F76B5" w:rsidRPr="00FF4C0D" w:rsidRDefault="00123DBD" w:rsidP="00123DBD">
      <w:pPr>
        <w:ind w:left="567"/>
        <w:rPr>
          <w:rFonts w:eastAsia="Calibri" w:cs="Arial"/>
          <w:i/>
          <w:iCs/>
          <w:szCs w:val="22"/>
        </w:rPr>
      </w:pPr>
      <w:r w:rsidRPr="00FF4C0D">
        <w:rPr>
          <w:rFonts w:eastAsia="Calibri" w:cs="Arial"/>
          <w:i/>
          <w:iCs/>
          <w:szCs w:val="22"/>
        </w:rPr>
        <w:t>(b)</w:t>
      </w:r>
      <w:r w:rsidRPr="00FF4C0D">
        <w:rPr>
          <w:rFonts w:eastAsia="Calibri" w:cs="Arial"/>
          <w:i/>
          <w:iCs/>
          <w:szCs w:val="22"/>
        </w:rPr>
        <w:tab/>
      </w:r>
      <w:r w:rsidR="001F76B5" w:rsidRPr="00FF4C0D">
        <w:rPr>
          <w:rFonts w:eastAsia="Calibri" w:cs="Arial"/>
          <w:i/>
          <w:iCs/>
          <w:szCs w:val="22"/>
        </w:rPr>
        <w:t>the minimum and maximum dose of the irradiation; and</w:t>
      </w:r>
    </w:p>
    <w:p w:rsidR="001F76B5" w:rsidRPr="00FF4C0D" w:rsidRDefault="00123DBD" w:rsidP="00123DBD">
      <w:pPr>
        <w:ind w:left="567"/>
        <w:rPr>
          <w:rFonts w:eastAsia="Calibri" w:cs="Arial"/>
          <w:i/>
          <w:iCs/>
          <w:szCs w:val="22"/>
        </w:rPr>
      </w:pPr>
      <w:r w:rsidRPr="00FF4C0D">
        <w:rPr>
          <w:rFonts w:eastAsia="Calibri" w:cs="Arial"/>
          <w:i/>
          <w:iCs/>
          <w:szCs w:val="22"/>
        </w:rPr>
        <w:t>(c)</w:t>
      </w:r>
      <w:r w:rsidRPr="00FF4C0D">
        <w:rPr>
          <w:rFonts w:eastAsia="Calibri" w:cs="Arial"/>
          <w:i/>
          <w:iCs/>
          <w:szCs w:val="22"/>
        </w:rPr>
        <w:tab/>
      </w:r>
      <w:r w:rsidR="001F76B5" w:rsidRPr="00FF4C0D">
        <w:rPr>
          <w:rFonts w:eastAsia="Calibri" w:cs="Arial"/>
          <w:i/>
          <w:iCs/>
          <w:szCs w:val="22"/>
        </w:rPr>
        <w:t xml:space="preserve">the identity of the facility where the food was irradiated; and </w:t>
      </w:r>
    </w:p>
    <w:p w:rsidR="001F76B5" w:rsidRPr="00FF4C0D" w:rsidRDefault="00123DBD" w:rsidP="00123DBD">
      <w:pPr>
        <w:ind w:left="567"/>
        <w:rPr>
          <w:rFonts w:eastAsia="Calibri" w:cs="Arial"/>
          <w:i/>
          <w:iCs/>
          <w:szCs w:val="22"/>
        </w:rPr>
      </w:pPr>
      <w:r w:rsidRPr="00FF4C0D">
        <w:rPr>
          <w:rFonts w:eastAsia="Calibri" w:cs="Arial"/>
          <w:i/>
          <w:iCs/>
          <w:szCs w:val="22"/>
        </w:rPr>
        <w:t>(d)</w:t>
      </w:r>
      <w:r w:rsidRPr="00FF4C0D">
        <w:rPr>
          <w:rFonts w:eastAsia="Calibri" w:cs="Arial"/>
          <w:i/>
          <w:iCs/>
          <w:szCs w:val="22"/>
        </w:rPr>
        <w:tab/>
      </w:r>
      <w:r w:rsidR="001F76B5" w:rsidRPr="00FF4C0D">
        <w:rPr>
          <w:rFonts w:eastAsia="Calibri" w:cs="Arial"/>
          <w:i/>
          <w:iCs/>
          <w:szCs w:val="22"/>
        </w:rPr>
        <w:t>the date or dates of irradiation.</w:t>
      </w:r>
    </w:p>
    <w:p w:rsidR="00565B7B" w:rsidRPr="00FF4C0D" w:rsidRDefault="00565B7B" w:rsidP="00565B7B">
      <w:pPr>
        <w:rPr>
          <w:rFonts w:eastAsia="Calibri" w:cs="Arial"/>
          <w:iCs/>
          <w:szCs w:val="22"/>
        </w:rPr>
      </w:pPr>
    </w:p>
    <w:p w:rsidR="00E21392" w:rsidRPr="00FF4C0D" w:rsidRDefault="00565B7B" w:rsidP="00565B7B">
      <w:pPr>
        <w:rPr>
          <w:rFonts w:eastAsia="Calibri" w:cs="Arial"/>
          <w:iCs/>
          <w:szCs w:val="22"/>
        </w:rPr>
      </w:pPr>
      <w:r w:rsidRPr="00FF4C0D">
        <w:t xml:space="preserve">Subclause 6(4) is unusual in that there are no similar provisions in other </w:t>
      </w:r>
      <w:r w:rsidR="00072077" w:rsidRPr="00FF4C0D">
        <w:t>S</w:t>
      </w:r>
      <w:r w:rsidRPr="00FF4C0D">
        <w:t xml:space="preserve">tandards in the Code </w:t>
      </w:r>
      <w:r w:rsidR="003D3C04" w:rsidRPr="00FF4C0D">
        <w:t xml:space="preserve">(e.g. Standard 1.5.2 – Food </w:t>
      </w:r>
      <w:r w:rsidR="00072077" w:rsidRPr="00FF4C0D">
        <w:t>p</w:t>
      </w:r>
      <w:r w:rsidRPr="00FF4C0D">
        <w:t xml:space="preserve">roduced using Gene Technology) that include specific labelling requirements for food not for retail sale. Therefore, </w:t>
      </w:r>
      <w:r w:rsidRPr="00FF4C0D">
        <w:rPr>
          <w:rFonts w:eastAsia="Calibri" w:cs="Arial"/>
          <w:iCs/>
          <w:szCs w:val="22"/>
        </w:rPr>
        <w:t xml:space="preserve">it </w:t>
      </w:r>
      <w:r w:rsidR="002366CE" w:rsidRPr="00FF4C0D">
        <w:rPr>
          <w:rFonts w:eastAsia="Calibri" w:cs="Arial"/>
          <w:iCs/>
          <w:szCs w:val="22"/>
        </w:rPr>
        <w:t>was</w:t>
      </w:r>
      <w:r w:rsidRPr="00FF4C0D">
        <w:rPr>
          <w:rFonts w:eastAsia="Calibri" w:cs="Arial"/>
          <w:iCs/>
          <w:szCs w:val="22"/>
        </w:rPr>
        <w:t xml:space="preserve"> proposed</w:t>
      </w:r>
      <w:r w:rsidR="002366CE" w:rsidRPr="00FF4C0D">
        <w:rPr>
          <w:rFonts w:eastAsia="Calibri" w:cs="Arial"/>
          <w:iCs/>
          <w:szCs w:val="22"/>
        </w:rPr>
        <w:t xml:space="preserve"> at Assessment</w:t>
      </w:r>
      <w:r w:rsidR="00037F64" w:rsidRPr="00FF4C0D">
        <w:rPr>
          <w:rFonts w:eastAsia="Calibri" w:cs="Arial"/>
          <w:iCs/>
          <w:szCs w:val="22"/>
        </w:rPr>
        <w:t xml:space="preserve"> to delete sub</w:t>
      </w:r>
      <w:r w:rsidRPr="00FF4C0D">
        <w:rPr>
          <w:rFonts w:eastAsia="Calibri" w:cs="Arial"/>
          <w:iCs/>
          <w:szCs w:val="22"/>
        </w:rPr>
        <w:t xml:space="preserve">clause 6(4) as it </w:t>
      </w:r>
      <w:r w:rsidR="00F334CB" w:rsidRPr="00FF4C0D">
        <w:rPr>
          <w:rFonts w:eastAsia="Calibri" w:cs="Arial"/>
          <w:iCs/>
          <w:szCs w:val="22"/>
        </w:rPr>
        <w:t>wa</w:t>
      </w:r>
      <w:r w:rsidRPr="00FF4C0D">
        <w:rPr>
          <w:rFonts w:eastAsia="Calibri" w:cs="Arial"/>
          <w:iCs/>
          <w:szCs w:val="22"/>
        </w:rPr>
        <w:t xml:space="preserve">s repetitive and </w:t>
      </w:r>
      <w:r w:rsidR="00F334CB" w:rsidRPr="00FF4C0D">
        <w:rPr>
          <w:rFonts w:eastAsia="Calibri" w:cs="Arial"/>
          <w:iCs/>
          <w:szCs w:val="22"/>
        </w:rPr>
        <w:t>wa</w:t>
      </w:r>
      <w:r w:rsidRPr="00FF4C0D">
        <w:rPr>
          <w:rFonts w:eastAsia="Calibri" w:cs="Arial"/>
          <w:iCs/>
          <w:szCs w:val="22"/>
        </w:rPr>
        <w:t>s adequately covered under other provisions in the Code</w:t>
      </w:r>
      <w:r w:rsidR="00F334CB" w:rsidRPr="00FF4C0D">
        <w:rPr>
          <w:rFonts w:eastAsia="Calibri" w:cs="Arial"/>
          <w:iCs/>
          <w:szCs w:val="22"/>
        </w:rPr>
        <w:t xml:space="preserve">. </w:t>
      </w:r>
      <w:r w:rsidRPr="00FF4C0D">
        <w:rPr>
          <w:rFonts w:eastAsia="Calibri" w:cs="Arial"/>
          <w:iCs/>
          <w:szCs w:val="22"/>
        </w:rPr>
        <w:t xml:space="preserve"> </w:t>
      </w:r>
    </w:p>
    <w:p w:rsidR="00DE4C77" w:rsidRPr="00FF4C0D" w:rsidRDefault="00DE4C77" w:rsidP="00565B7B">
      <w:pPr>
        <w:rPr>
          <w:rFonts w:eastAsia="Calibri" w:cs="Arial"/>
          <w:iCs/>
          <w:szCs w:val="22"/>
        </w:rPr>
      </w:pPr>
    </w:p>
    <w:p w:rsidR="00565B7B" w:rsidRPr="00FF4C0D" w:rsidRDefault="00565B7B" w:rsidP="00565B7B">
      <w:pPr>
        <w:rPr>
          <w:rFonts w:eastAsia="Calibri" w:cs="Arial"/>
          <w:iCs/>
          <w:szCs w:val="22"/>
        </w:rPr>
      </w:pPr>
      <w:r w:rsidRPr="00FF4C0D">
        <w:rPr>
          <w:rFonts w:eastAsia="Calibri" w:cs="Arial"/>
          <w:iCs/>
          <w:szCs w:val="22"/>
        </w:rPr>
        <w:t xml:space="preserve">For example, </w:t>
      </w:r>
      <w:r w:rsidR="003D3C04" w:rsidRPr="00FF4C0D">
        <w:rPr>
          <w:rFonts w:eastAsia="Calibri" w:cs="Arial"/>
          <w:iCs/>
          <w:szCs w:val="22"/>
        </w:rPr>
        <w:t>c</w:t>
      </w:r>
      <w:r w:rsidRPr="00FF4C0D">
        <w:t xml:space="preserve">lause 4 of Standard 1.2.1 </w:t>
      </w:r>
      <w:r w:rsidR="00275AAA" w:rsidRPr="00FF4C0D">
        <w:t xml:space="preserve">provides </w:t>
      </w:r>
      <w:r w:rsidRPr="00FF4C0D">
        <w:t>that where a purchaser or relevant authority has so requested, a package of food (not for retail sale) must be accompanied with sufficient information to enable the purchaser to comply with the labelling or other declaration requirements of the Code. This would include mandatory labelling requirements that reside in other standards (e.g. ‘irradiated food’; ‘genetically modified’ statement; food identification requirements in Standard 1.2.2</w:t>
      </w:r>
      <w:r w:rsidR="00E540B0" w:rsidRPr="00FF4C0D">
        <w:t xml:space="preserve"> –</w:t>
      </w:r>
      <w:r w:rsidRPr="00FF4C0D">
        <w:t xml:space="preserve"> </w:t>
      </w:r>
      <w:r w:rsidR="00E540B0" w:rsidRPr="00FF4C0D">
        <w:t>F</w:t>
      </w:r>
      <w:r w:rsidRPr="00FF4C0D">
        <w:t>ood Identification Requirements).</w:t>
      </w:r>
    </w:p>
    <w:p w:rsidR="00A56926" w:rsidRPr="00FF4C0D" w:rsidRDefault="00A56926" w:rsidP="00565B7B"/>
    <w:bookmarkEnd w:id="56"/>
    <w:bookmarkEnd w:id="57"/>
    <w:bookmarkEnd w:id="58"/>
    <w:bookmarkEnd w:id="59"/>
    <w:bookmarkEnd w:id="60"/>
    <w:p w:rsidR="00791979" w:rsidRPr="00FF4C0D" w:rsidRDefault="00AC5D9E" w:rsidP="00751255">
      <w:pPr>
        <w:pStyle w:val="Heading5"/>
      </w:pPr>
      <w:r w:rsidRPr="00FF4C0D">
        <w:t>7</w:t>
      </w:r>
      <w:r w:rsidR="00F334CB" w:rsidRPr="00FF4C0D">
        <w:t>.5.3.1</w:t>
      </w:r>
      <w:r w:rsidR="00F334CB" w:rsidRPr="00FF4C0D">
        <w:tab/>
      </w:r>
      <w:r w:rsidR="00791979" w:rsidRPr="00FF4C0D">
        <w:t xml:space="preserve">Issues raised </w:t>
      </w:r>
      <w:r w:rsidR="00012AFC" w:rsidRPr="00FF4C0D">
        <w:t xml:space="preserve">during </w:t>
      </w:r>
      <w:r w:rsidR="00791979" w:rsidRPr="00FF4C0D">
        <w:t xml:space="preserve">public consultation </w:t>
      </w:r>
    </w:p>
    <w:p w:rsidR="00791979" w:rsidRPr="00FF4C0D" w:rsidRDefault="00791979" w:rsidP="00A56926">
      <w:pPr>
        <w:widowControl/>
        <w:rPr>
          <w:bCs/>
        </w:rPr>
      </w:pPr>
    </w:p>
    <w:p w:rsidR="00A56926" w:rsidRPr="00FF4C0D" w:rsidRDefault="00304CCE" w:rsidP="00A56926">
      <w:pPr>
        <w:widowControl/>
      </w:pPr>
      <w:r w:rsidRPr="00FF4C0D">
        <w:rPr>
          <w:bCs/>
        </w:rPr>
        <w:t>NZMAF</w:t>
      </w:r>
      <w:r w:rsidR="00A56926" w:rsidRPr="00FF4C0D">
        <w:rPr>
          <w:bCs/>
        </w:rPr>
        <w:t xml:space="preserve"> requested that FSANZ specify the other provisions in the Code that require this information to be held. </w:t>
      </w:r>
    </w:p>
    <w:p w:rsidR="00A56926" w:rsidRPr="00FF4C0D" w:rsidRDefault="00A56926" w:rsidP="00A56926">
      <w:pPr>
        <w:widowControl/>
      </w:pPr>
    </w:p>
    <w:p w:rsidR="00E22ACF" w:rsidRPr="00FF4C0D" w:rsidRDefault="007C623F" w:rsidP="00E56A6C">
      <w:pPr>
        <w:widowControl/>
      </w:pPr>
      <w:r w:rsidRPr="00FF4C0D">
        <w:t xml:space="preserve">FSANZ notes that </w:t>
      </w:r>
      <w:r w:rsidR="00A56926" w:rsidRPr="00FF4C0D">
        <w:t xml:space="preserve">the requirement for food not for retail sale to include a statement that the food has been irradiated </w:t>
      </w:r>
      <w:r w:rsidR="00B90123" w:rsidRPr="00FF4C0D">
        <w:t>(paragraph 6(4</w:t>
      </w:r>
      <w:r w:rsidR="00597E28" w:rsidRPr="00FF4C0D">
        <w:t>) (</w:t>
      </w:r>
      <w:r w:rsidR="00B90123" w:rsidRPr="00FF4C0D">
        <w:t xml:space="preserve">a)) </w:t>
      </w:r>
      <w:r w:rsidR="00A56926" w:rsidRPr="00FF4C0D">
        <w:t>is already captured by clause 4 of Standard 1.2.1</w:t>
      </w:r>
      <w:r w:rsidR="000C447B" w:rsidRPr="00FF4C0D">
        <w:t xml:space="preserve">. </w:t>
      </w:r>
      <w:r w:rsidR="00E22ACF" w:rsidRPr="00FF4C0D">
        <w:t>It is the responsibility of the purchaser of the food to request the information that enables them to comply with the labelling or other declaration requirements of the Code</w:t>
      </w:r>
      <w:r w:rsidR="000C447B" w:rsidRPr="00FF4C0D">
        <w:t xml:space="preserve">. </w:t>
      </w:r>
      <w:r w:rsidR="00E22ACF" w:rsidRPr="00FF4C0D">
        <w:t>The supplier must have the information in order to respond to the request.</w:t>
      </w:r>
      <w:r w:rsidR="00B90123" w:rsidRPr="00FF4C0D">
        <w:t xml:space="preserve"> Therefore, when </w:t>
      </w:r>
      <w:r w:rsidR="00A56926" w:rsidRPr="00FF4C0D">
        <w:t xml:space="preserve">food not for retail sale is </w:t>
      </w:r>
      <w:r w:rsidR="00DB3960" w:rsidRPr="00FF4C0D">
        <w:t xml:space="preserve">irradiated and then </w:t>
      </w:r>
      <w:r w:rsidR="00A56926" w:rsidRPr="00FF4C0D">
        <w:t xml:space="preserve">purchased and later sold for retail sale, mandatory labelling requirements in clause 6 of </w:t>
      </w:r>
      <w:r w:rsidR="00637272" w:rsidRPr="00FF4C0D">
        <w:rPr>
          <w:rFonts w:eastAsiaTheme="minorHAnsi"/>
        </w:rPr>
        <w:t>Standard 1.5.3</w:t>
      </w:r>
      <w:r w:rsidR="00C850B8" w:rsidRPr="00FF4C0D">
        <w:rPr>
          <w:rFonts w:eastAsiaTheme="minorHAnsi"/>
        </w:rPr>
        <w:t xml:space="preserve"> </w:t>
      </w:r>
      <w:r w:rsidR="00E22ACF" w:rsidRPr="00FF4C0D">
        <w:t>can be met</w:t>
      </w:r>
      <w:r w:rsidR="00B90123" w:rsidRPr="00FF4C0D">
        <w:t xml:space="preserve"> by the retailer</w:t>
      </w:r>
      <w:r w:rsidR="000C447B" w:rsidRPr="00FF4C0D">
        <w:t xml:space="preserve">. </w:t>
      </w:r>
      <w:r w:rsidRPr="00FF4C0D">
        <w:t xml:space="preserve">FSANZ also notes that it is not intended for </w:t>
      </w:r>
      <w:r w:rsidR="00D33490" w:rsidRPr="00FF4C0D">
        <w:t xml:space="preserve">the information required in </w:t>
      </w:r>
      <w:r w:rsidRPr="00FF4C0D">
        <w:t xml:space="preserve">paragraph </w:t>
      </w:r>
      <w:r w:rsidR="00D33490" w:rsidRPr="00FF4C0D">
        <w:t>6(4)(b)–(</w:t>
      </w:r>
      <w:r w:rsidRPr="00FF4C0D">
        <w:t xml:space="preserve">d) to appear on the label of </w:t>
      </w:r>
      <w:r w:rsidR="00B90123" w:rsidRPr="00FF4C0D">
        <w:t xml:space="preserve">irradiated </w:t>
      </w:r>
      <w:r w:rsidRPr="00FF4C0D">
        <w:t>food for retail sale</w:t>
      </w:r>
      <w:r w:rsidR="00B90123" w:rsidRPr="00FF4C0D">
        <w:t>, or in displayed in close p</w:t>
      </w:r>
      <w:r w:rsidR="00E21392" w:rsidRPr="00FF4C0D">
        <w:t xml:space="preserve">roximity to the unpackaged food. </w:t>
      </w:r>
    </w:p>
    <w:p w:rsidR="00E22ACF" w:rsidRPr="00FF4C0D" w:rsidRDefault="00E22ACF" w:rsidP="00E56A6C">
      <w:pPr>
        <w:widowControl/>
      </w:pPr>
    </w:p>
    <w:p w:rsidR="007C623F" w:rsidRPr="00FF4C0D" w:rsidRDefault="00D33490" w:rsidP="00E56A6C">
      <w:pPr>
        <w:widowControl/>
      </w:pPr>
      <w:r w:rsidRPr="00FF4C0D">
        <w:t xml:space="preserve">FSANZ notes that the information currently required in </w:t>
      </w:r>
      <w:r w:rsidR="007C623F" w:rsidRPr="00FF4C0D">
        <w:t xml:space="preserve">paragraph </w:t>
      </w:r>
      <w:r w:rsidRPr="00FF4C0D">
        <w:t xml:space="preserve">6(4)(b)–(d) would be kept by the licenced facility where the food was irradiated, as mandated under clause </w:t>
      </w:r>
      <w:r w:rsidR="00FB16C4" w:rsidRPr="00FF4C0D">
        <w:t>7</w:t>
      </w:r>
      <w:r w:rsidRPr="00FF4C0D">
        <w:t xml:space="preserve">. </w:t>
      </w:r>
      <w:r w:rsidR="007C623F" w:rsidRPr="00FF4C0D">
        <w:t>This information is of benefit to enforcement agencies that wish to monitor compliance with Code requirements</w:t>
      </w:r>
      <w:r w:rsidR="000C447B" w:rsidRPr="00FF4C0D">
        <w:t xml:space="preserve">. </w:t>
      </w:r>
      <w:r w:rsidR="007C623F" w:rsidRPr="00FF4C0D">
        <w:t xml:space="preserve">Enforcement agencies are able to refer to the </w:t>
      </w:r>
      <w:r w:rsidRPr="00FF4C0D">
        <w:t>name and address of the supplier of the food</w:t>
      </w:r>
      <w:r w:rsidR="007C623F" w:rsidRPr="00FF4C0D">
        <w:t xml:space="preserve">, which </w:t>
      </w:r>
      <w:r w:rsidRPr="00FF4C0D">
        <w:t xml:space="preserve">is required to </w:t>
      </w:r>
      <w:r w:rsidR="00B01984" w:rsidRPr="00FF4C0D">
        <w:t xml:space="preserve">be </w:t>
      </w:r>
      <w:r w:rsidRPr="00FF4C0D">
        <w:t>on the label or in documentation accompanying that food</w:t>
      </w:r>
      <w:r w:rsidR="000C447B" w:rsidRPr="00FF4C0D">
        <w:t xml:space="preserve">. </w:t>
      </w:r>
      <w:r w:rsidR="007C623F" w:rsidRPr="00FF4C0D">
        <w:t xml:space="preserve">The </w:t>
      </w:r>
      <w:r w:rsidR="00BB1FE4" w:rsidRPr="00FF4C0D">
        <w:t xml:space="preserve">supplier </w:t>
      </w:r>
      <w:r w:rsidR="007C623F" w:rsidRPr="00FF4C0D">
        <w:t>of the food</w:t>
      </w:r>
      <w:r w:rsidR="00B90123" w:rsidRPr="00FF4C0D">
        <w:t xml:space="preserve"> that is eith</w:t>
      </w:r>
      <w:r w:rsidR="00BB1FE4" w:rsidRPr="00FF4C0D">
        <w:t xml:space="preserve">er packaged or unpackaged </w:t>
      </w:r>
      <w:r w:rsidR="007C623F" w:rsidRPr="00FF4C0D">
        <w:t>must keep adequate records about the food they provide</w:t>
      </w:r>
      <w:r w:rsidR="000C447B" w:rsidRPr="00FF4C0D">
        <w:t xml:space="preserve">. </w:t>
      </w:r>
      <w:r w:rsidRPr="00FF4C0D">
        <w:t xml:space="preserve"> </w:t>
      </w:r>
    </w:p>
    <w:p w:rsidR="00B00BE4" w:rsidRPr="00FF4C0D" w:rsidRDefault="00B00BE4" w:rsidP="00E56A6C">
      <w:pPr>
        <w:widowControl/>
      </w:pPr>
      <w:r w:rsidRPr="00FF4C0D">
        <w:br w:type="page"/>
      </w:r>
    </w:p>
    <w:p w:rsidR="00012AFC" w:rsidRPr="00FF4C0D" w:rsidRDefault="00C51867" w:rsidP="00751255">
      <w:pPr>
        <w:widowControl/>
      </w:pPr>
      <w:r w:rsidRPr="00FF4C0D">
        <w:lastRenderedPageBreak/>
        <w:t xml:space="preserve">FSANZ </w:t>
      </w:r>
      <w:r w:rsidR="00B00BE4" w:rsidRPr="00FF4C0D">
        <w:t>has concluded</w:t>
      </w:r>
      <w:r w:rsidRPr="00FF4C0D">
        <w:t xml:space="preserve"> that the information currently required under </w:t>
      </w:r>
      <w:r w:rsidR="00EB1EF3" w:rsidRPr="00FF4C0D">
        <w:t>sub</w:t>
      </w:r>
      <w:r w:rsidRPr="00FF4C0D">
        <w:t>clause 6(4) i</w:t>
      </w:r>
      <w:r w:rsidR="00E56D5F" w:rsidRPr="00FF4C0D">
        <w:t xml:space="preserve">s redundant and can be deleted </w:t>
      </w:r>
      <w:r w:rsidR="00D929C6" w:rsidRPr="00FF4C0D">
        <w:t xml:space="preserve">as proposed at Assessment. </w:t>
      </w:r>
    </w:p>
    <w:p w:rsidR="009342E4" w:rsidRPr="00FF4C0D" w:rsidRDefault="009342E4" w:rsidP="00751255">
      <w:pPr>
        <w:widowControl/>
      </w:pPr>
    </w:p>
    <w:p w:rsidR="009342E4" w:rsidRPr="00FF4C0D" w:rsidRDefault="007869D9" w:rsidP="009342E4">
      <w:pPr>
        <w:pStyle w:val="Heading3"/>
      </w:pPr>
      <w:bookmarkStart w:id="71" w:name="_Toc297029107"/>
      <w:r w:rsidRPr="00FF4C0D">
        <w:t>7.6</w:t>
      </w:r>
      <w:r w:rsidR="009342E4" w:rsidRPr="00FF4C0D">
        <w:tab/>
        <w:t>Other issues raised during public consultation</w:t>
      </w:r>
      <w:bookmarkEnd w:id="71"/>
      <w:r w:rsidR="009342E4" w:rsidRPr="00FF4C0D">
        <w:t xml:space="preserve"> </w:t>
      </w:r>
    </w:p>
    <w:p w:rsidR="009342E4" w:rsidRPr="00FF4C0D" w:rsidRDefault="009342E4" w:rsidP="009342E4">
      <w:pPr>
        <w:widowControl/>
      </w:pPr>
    </w:p>
    <w:p w:rsidR="009342E4" w:rsidRPr="00FF4C0D" w:rsidRDefault="009342E4" w:rsidP="009342E4">
      <w:pPr>
        <w:widowControl/>
      </w:pPr>
      <w:r w:rsidRPr="00FF4C0D">
        <w:t>Some submitters were of the view that approval to irradiate persimmons may damage Australia’s reputation as a producer of clean, healthy and pure foods. FSANZ’s position is that food irradiation is another option for pest control compared to other currently available practices including chemical treatments. Irradiation may be used to destroy the unwanted pests that can accompany food when it is traded regionally or imported from other countries.</w:t>
      </w:r>
    </w:p>
    <w:p w:rsidR="009342E4" w:rsidRPr="00FF4C0D" w:rsidRDefault="009342E4" w:rsidP="009342E4">
      <w:pPr>
        <w:widowControl/>
      </w:pPr>
    </w:p>
    <w:p w:rsidR="009342E4" w:rsidRPr="00FF4C0D" w:rsidRDefault="009342E4" w:rsidP="00751255">
      <w:pPr>
        <w:widowControl/>
      </w:pPr>
      <w:r w:rsidRPr="00FF4C0D">
        <w:t xml:space="preserve">Some submitters suggested that FSANZ should reconsider its case-by-case approvals and approve fresh fruit and vegetables as a group for pest disinfestation. FSANZ’s view is that the overall basis and intent of Standard 1.5.3 is to allow applications to be made to FSANZ on a case-by-case basis. </w:t>
      </w:r>
      <w:r w:rsidR="00B00BE4" w:rsidRPr="00FF4C0D">
        <w:t>Health Ministers agreed to this</w:t>
      </w:r>
      <w:r w:rsidRPr="00FF4C0D">
        <w:t xml:space="preserve"> as an appropriate approach in 1999 and any departure from this would require a change to this agreed approach.</w:t>
      </w:r>
    </w:p>
    <w:p w:rsidR="00E56D5F" w:rsidRPr="00FF4C0D" w:rsidRDefault="00E56D5F" w:rsidP="00751255">
      <w:pPr>
        <w:widowControl/>
      </w:pPr>
    </w:p>
    <w:p w:rsidR="00412AA9" w:rsidRPr="00FF4C0D" w:rsidRDefault="00B01984" w:rsidP="00412AA9">
      <w:pPr>
        <w:pStyle w:val="Heading2"/>
      </w:pPr>
      <w:bookmarkStart w:id="72" w:name="_Toc297029108"/>
      <w:r w:rsidRPr="00FF4C0D">
        <w:t>8</w:t>
      </w:r>
      <w:r w:rsidR="00412AA9" w:rsidRPr="00FF4C0D">
        <w:t>.</w:t>
      </w:r>
      <w:r w:rsidR="00412AA9" w:rsidRPr="00FF4C0D">
        <w:tab/>
        <w:t>Options</w:t>
      </w:r>
      <w:bookmarkEnd w:id="72"/>
      <w:r w:rsidR="00412AA9" w:rsidRPr="00FF4C0D">
        <w:t xml:space="preserve"> </w:t>
      </w:r>
    </w:p>
    <w:p w:rsidR="00412AA9" w:rsidRPr="00FF4C0D" w:rsidRDefault="00412AA9" w:rsidP="00412AA9">
      <w:pPr>
        <w:rPr>
          <w:rFonts w:cs="Arial"/>
        </w:rPr>
      </w:pPr>
    </w:p>
    <w:p w:rsidR="00412AA9" w:rsidRPr="00FF4C0D" w:rsidRDefault="00412AA9" w:rsidP="00412AA9">
      <w:pPr>
        <w:rPr>
          <w:rFonts w:cs="Arial"/>
        </w:rPr>
      </w:pPr>
      <w:r w:rsidRPr="00FF4C0D">
        <w:rPr>
          <w:rFonts w:cs="Arial"/>
        </w:rPr>
        <w:t xml:space="preserve">FSANZ is required to consider the impact of various regulatory (and non-regulatory) options on all sectors of the community, which includes consumers, food industries and governments in Australia and New Zealand. </w:t>
      </w:r>
    </w:p>
    <w:p w:rsidR="00412AA9" w:rsidRPr="00FF4C0D" w:rsidRDefault="00412AA9" w:rsidP="00412AA9">
      <w:pPr>
        <w:widowControl/>
      </w:pPr>
    </w:p>
    <w:p w:rsidR="00412AA9" w:rsidRPr="00FF4C0D" w:rsidRDefault="00412AA9" w:rsidP="00412AA9">
      <w:r w:rsidRPr="00FF4C0D">
        <w:t xml:space="preserve">Irradiated foods are required to be listed in the Table to clause 4 of Standard 1.5.3. As they require a pre-market approval under </w:t>
      </w:r>
      <w:r w:rsidR="00B00BE4" w:rsidRPr="00FF4C0D">
        <w:t xml:space="preserve">the </w:t>
      </w:r>
      <w:r w:rsidR="00637272" w:rsidRPr="00FF4C0D">
        <w:rPr>
          <w:rFonts w:eastAsiaTheme="minorHAnsi"/>
        </w:rPr>
        <w:t>Standard</w:t>
      </w:r>
      <w:r w:rsidR="00B00BE4" w:rsidRPr="00FF4C0D">
        <w:rPr>
          <w:rFonts w:eastAsiaTheme="minorHAnsi"/>
        </w:rPr>
        <w:t>,</w:t>
      </w:r>
      <w:r w:rsidRPr="00FF4C0D">
        <w:t xml:space="preserve"> it is not appropriate to consider non-regulatory options to address this Application.</w:t>
      </w:r>
    </w:p>
    <w:p w:rsidR="00412AA9" w:rsidRPr="00FF4C0D" w:rsidRDefault="00412AA9" w:rsidP="00412AA9">
      <w:pPr>
        <w:rPr>
          <w:rFonts w:cs="Arial"/>
        </w:rPr>
      </w:pPr>
    </w:p>
    <w:p w:rsidR="00412AA9" w:rsidRPr="00FF4C0D" w:rsidRDefault="00412AA9" w:rsidP="00412AA9">
      <w:pPr>
        <w:keepNext/>
        <w:keepLines/>
        <w:rPr>
          <w:rFonts w:cs="Arial"/>
        </w:rPr>
      </w:pPr>
      <w:r w:rsidRPr="00FF4C0D">
        <w:rPr>
          <w:rFonts w:cs="Arial"/>
        </w:rPr>
        <w:t xml:space="preserve">Three regulatory options </w:t>
      </w:r>
      <w:r w:rsidR="001F6DB8" w:rsidRPr="00FF4C0D">
        <w:rPr>
          <w:rFonts w:cs="Arial"/>
        </w:rPr>
        <w:t>were</w:t>
      </w:r>
      <w:r w:rsidRPr="00FF4C0D">
        <w:rPr>
          <w:rFonts w:cs="Arial"/>
        </w:rPr>
        <w:t xml:space="preserve"> identified for this Application: </w:t>
      </w:r>
    </w:p>
    <w:p w:rsidR="00412AA9" w:rsidRPr="00FF4C0D" w:rsidRDefault="00412AA9" w:rsidP="00412AA9">
      <w:pPr>
        <w:keepNext/>
        <w:keepLines/>
        <w:rPr>
          <w:rFonts w:cs="Arial"/>
        </w:rPr>
      </w:pPr>
    </w:p>
    <w:p w:rsidR="00412AA9" w:rsidRPr="00FF4C0D" w:rsidRDefault="00412AA9" w:rsidP="00B00BE4">
      <w:pPr>
        <w:keepNext/>
        <w:keepLines/>
        <w:rPr>
          <w:rFonts w:cs="Arial"/>
        </w:rPr>
      </w:pPr>
      <w:r w:rsidRPr="00FF4C0D">
        <w:rPr>
          <w:rFonts w:cs="Arial"/>
          <w:b/>
        </w:rPr>
        <w:t>Option 1:</w:t>
      </w:r>
      <w:r w:rsidRPr="00FF4C0D">
        <w:rPr>
          <w:rFonts w:cs="Arial"/>
        </w:rPr>
        <w:t xml:space="preserve"> Reject the </w:t>
      </w:r>
      <w:r w:rsidR="00B00BE4" w:rsidRPr="00FF4C0D">
        <w:rPr>
          <w:rFonts w:cs="Arial"/>
        </w:rPr>
        <w:t>draft variations</w:t>
      </w:r>
      <w:r w:rsidRPr="00FF4C0D">
        <w:rPr>
          <w:rFonts w:cs="Arial"/>
        </w:rPr>
        <w:t>, thus not approving the use of irradiation on persimmons</w:t>
      </w:r>
      <w:r w:rsidR="006F135E" w:rsidRPr="00FF4C0D">
        <w:rPr>
          <w:rFonts w:cs="Arial"/>
        </w:rPr>
        <w:t>.</w:t>
      </w:r>
    </w:p>
    <w:p w:rsidR="00412AA9" w:rsidRPr="00FF4C0D" w:rsidRDefault="00412AA9" w:rsidP="00412AA9">
      <w:pPr>
        <w:keepNext/>
        <w:keepLines/>
        <w:ind w:left="567" w:hanging="567"/>
        <w:rPr>
          <w:rFonts w:cs="Arial"/>
        </w:rPr>
      </w:pPr>
    </w:p>
    <w:p w:rsidR="00412AA9" w:rsidRPr="00FF4C0D" w:rsidRDefault="00412AA9" w:rsidP="00412AA9">
      <w:r w:rsidRPr="00FF4C0D">
        <w:t xml:space="preserve">This </w:t>
      </w:r>
      <w:r w:rsidR="0037775B" w:rsidRPr="00FF4C0D">
        <w:t>O</w:t>
      </w:r>
      <w:r w:rsidRPr="00FF4C0D">
        <w:t xml:space="preserve">ption maintains the </w:t>
      </w:r>
      <w:r w:rsidRPr="00FF4C0D">
        <w:rPr>
          <w:i/>
        </w:rPr>
        <w:t>status quo</w:t>
      </w:r>
      <w:r w:rsidRPr="00FF4C0D">
        <w:t xml:space="preserve"> by not permitting the irradiation of persimmons in Standard 1.5.3. </w:t>
      </w:r>
    </w:p>
    <w:p w:rsidR="00412AA9" w:rsidRPr="00FF4C0D" w:rsidRDefault="00412AA9" w:rsidP="00412AA9">
      <w:pPr>
        <w:keepNext/>
        <w:keepLines/>
        <w:ind w:left="567" w:hanging="567"/>
        <w:rPr>
          <w:rFonts w:cs="Arial"/>
        </w:rPr>
      </w:pPr>
    </w:p>
    <w:p w:rsidR="00412AA9" w:rsidRPr="00FF4C0D" w:rsidRDefault="00412AA9" w:rsidP="00412AA9">
      <w:pPr>
        <w:widowControl/>
        <w:rPr>
          <w:rFonts w:cs="Arial"/>
        </w:rPr>
      </w:pPr>
      <w:r w:rsidRPr="00FF4C0D">
        <w:rPr>
          <w:rFonts w:cs="Arial"/>
          <w:b/>
        </w:rPr>
        <w:t>Option 2:</w:t>
      </w:r>
      <w:r w:rsidRPr="00FF4C0D">
        <w:rPr>
          <w:rFonts w:cs="Arial"/>
        </w:rPr>
        <w:t xml:space="preserve"> Approve </w:t>
      </w:r>
      <w:r w:rsidR="00213699" w:rsidRPr="00FF4C0D">
        <w:rPr>
          <w:rFonts w:cs="Arial"/>
        </w:rPr>
        <w:t xml:space="preserve">the </w:t>
      </w:r>
      <w:r w:rsidRPr="00FF4C0D">
        <w:rPr>
          <w:rFonts w:cs="Arial"/>
        </w:rPr>
        <w:t>draft variation</w:t>
      </w:r>
      <w:r w:rsidR="009238F7" w:rsidRPr="00FF4C0D">
        <w:rPr>
          <w:rFonts w:cs="Arial"/>
        </w:rPr>
        <w:t>s</w:t>
      </w:r>
      <w:r w:rsidR="00012AFC" w:rsidRPr="00FF4C0D">
        <w:rPr>
          <w:rFonts w:cs="Arial"/>
        </w:rPr>
        <w:t xml:space="preserve"> </w:t>
      </w:r>
      <w:r w:rsidR="00072077" w:rsidRPr="00FF4C0D">
        <w:rPr>
          <w:rFonts w:cs="Arial"/>
        </w:rPr>
        <w:t xml:space="preserve">as </w:t>
      </w:r>
      <w:r w:rsidR="001F6DB8" w:rsidRPr="00FF4C0D">
        <w:rPr>
          <w:rFonts w:cs="Arial"/>
        </w:rPr>
        <w:t xml:space="preserve">proposed </w:t>
      </w:r>
      <w:r w:rsidR="00E17EB7" w:rsidRPr="00FF4C0D">
        <w:rPr>
          <w:rFonts w:cs="Arial"/>
        </w:rPr>
        <w:t xml:space="preserve">at Assessment </w:t>
      </w:r>
      <w:r w:rsidR="00872950" w:rsidRPr="00FF4C0D">
        <w:rPr>
          <w:rFonts w:cs="Arial"/>
        </w:rPr>
        <w:t xml:space="preserve">(Attachment 1B) </w:t>
      </w:r>
      <w:r w:rsidRPr="00FF4C0D">
        <w:rPr>
          <w:rFonts w:cs="Arial"/>
        </w:rPr>
        <w:t>to permit the use of irradiation on persimmons under Standard 1.5.3</w:t>
      </w:r>
      <w:r w:rsidR="00182D18" w:rsidRPr="00FF4C0D">
        <w:rPr>
          <w:rFonts w:cs="Arial"/>
        </w:rPr>
        <w:t xml:space="preserve"> and </w:t>
      </w:r>
      <w:r w:rsidR="00597E28" w:rsidRPr="00FF4C0D">
        <w:rPr>
          <w:rFonts w:cs="Arial"/>
        </w:rPr>
        <w:t>additional</w:t>
      </w:r>
      <w:r w:rsidR="00182D18" w:rsidRPr="00FF4C0D">
        <w:rPr>
          <w:rFonts w:cs="Arial"/>
        </w:rPr>
        <w:t xml:space="preserve"> amendments to </w:t>
      </w:r>
      <w:r w:rsidR="004835AA" w:rsidRPr="00FF4C0D">
        <w:rPr>
          <w:rFonts w:eastAsiaTheme="minorHAnsi"/>
        </w:rPr>
        <w:t xml:space="preserve">the Standard </w:t>
      </w:r>
      <w:r w:rsidR="006F5589" w:rsidRPr="00FF4C0D">
        <w:rPr>
          <w:rFonts w:cs="Arial"/>
        </w:rPr>
        <w:t>as proposed at Assessment</w:t>
      </w:r>
      <w:r w:rsidR="006F135E" w:rsidRPr="00FF4C0D">
        <w:rPr>
          <w:rFonts w:cs="Arial"/>
        </w:rPr>
        <w:t>.</w:t>
      </w:r>
    </w:p>
    <w:p w:rsidR="00412AA9" w:rsidRPr="00FF4C0D" w:rsidRDefault="00412AA9" w:rsidP="00412AA9">
      <w:pPr>
        <w:rPr>
          <w:rFonts w:cs="Arial"/>
        </w:rPr>
      </w:pPr>
    </w:p>
    <w:p w:rsidR="00412AA9" w:rsidRPr="00FF4C0D" w:rsidRDefault="00412AA9" w:rsidP="001617E8">
      <w:r w:rsidRPr="00FF4C0D">
        <w:t xml:space="preserve">This </w:t>
      </w:r>
      <w:r w:rsidR="0037775B" w:rsidRPr="00FF4C0D">
        <w:t>O</w:t>
      </w:r>
      <w:r w:rsidRPr="00FF4C0D">
        <w:t xml:space="preserve">ption will result in an amendment to the Table to clause 4 of </w:t>
      </w:r>
      <w:r w:rsidR="00637272" w:rsidRPr="00FF4C0D">
        <w:rPr>
          <w:rFonts w:eastAsiaTheme="minorHAnsi"/>
        </w:rPr>
        <w:t>Standard 1.5.3</w:t>
      </w:r>
      <w:r w:rsidR="004835AA" w:rsidRPr="00FF4C0D">
        <w:rPr>
          <w:rFonts w:eastAsiaTheme="minorHAnsi"/>
        </w:rPr>
        <w:t xml:space="preserve"> </w:t>
      </w:r>
      <w:r w:rsidRPr="00FF4C0D">
        <w:t xml:space="preserve">to permit the use of irradiation as a phytosanitary measure on persimmons at a minimum dose of </w:t>
      </w:r>
    </w:p>
    <w:p w:rsidR="00ED454C" w:rsidRPr="00FF4C0D" w:rsidRDefault="00412AA9" w:rsidP="001617E8">
      <w:r w:rsidRPr="00FF4C0D">
        <w:t xml:space="preserve">150 Gy and a maximum of 1 kGy. </w:t>
      </w:r>
      <w:r w:rsidR="00872950" w:rsidRPr="00FF4C0D">
        <w:t>A</w:t>
      </w:r>
      <w:r w:rsidRPr="00FF4C0D">
        <w:t xml:space="preserve">mendments are proposed </w:t>
      </w:r>
      <w:r w:rsidRPr="00FF4C0D">
        <w:rPr>
          <w:bCs/>
          <w:color w:val="000000" w:themeColor="text1"/>
          <w:szCs w:val="22"/>
          <w:lang w:eastAsia="en-GB" w:bidi="ar-SA"/>
        </w:rPr>
        <w:t xml:space="preserve">to </w:t>
      </w:r>
      <w:r w:rsidR="004835AA" w:rsidRPr="00FF4C0D">
        <w:rPr>
          <w:rFonts w:eastAsiaTheme="minorHAnsi"/>
        </w:rPr>
        <w:t xml:space="preserve">the Standard </w:t>
      </w:r>
      <w:r w:rsidRPr="00FF4C0D">
        <w:rPr>
          <w:bCs/>
          <w:color w:val="000000" w:themeColor="text1"/>
          <w:szCs w:val="22"/>
          <w:lang w:eastAsia="en-GB" w:bidi="ar-SA"/>
        </w:rPr>
        <w:t xml:space="preserve">in order to provide improved clarity, </w:t>
      </w:r>
      <w:r w:rsidRPr="00FF4C0D">
        <w:t xml:space="preserve">interpretation, and operation of </w:t>
      </w:r>
      <w:r w:rsidR="004835AA" w:rsidRPr="00FF4C0D">
        <w:rPr>
          <w:rFonts w:eastAsiaTheme="minorHAnsi"/>
        </w:rPr>
        <w:t>the Standard</w:t>
      </w:r>
      <w:r w:rsidRPr="00FF4C0D">
        <w:t>. These do not change the intent of the Standard to permit the irradiation of food on a case-by-case basis</w:t>
      </w:r>
      <w:r w:rsidR="00872950" w:rsidRPr="00FF4C0D">
        <w:t xml:space="preserve"> or the labelling provisions. </w:t>
      </w:r>
    </w:p>
    <w:p w:rsidR="001E1DA1" w:rsidRPr="00FF4C0D" w:rsidRDefault="001E1DA1" w:rsidP="00412AA9">
      <w:pPr>
        <w:widowControl/>
      </w:pPr>
      <w:bookmarkStart w:id="73" w:name="_Toc11735637"/>
      <w:bookmarkStart w:id="74" w:name="_Toc29883122"/>
      <w:bookmarkStart w:id="75" w:name="_Toc41906809"/>
      <w:bookmarkStart w:id="76" w:name="_Toc41907556"/>
      <w:bookmarkStart w:id="77" w:name="_Toc120358587"/>
    </w:p>
    <w:p w:rsidR="00213699" w:rsidRPr="00FF4C0D" w:rsidRDefault="00412AA9" w:rsidP="00FB7443">
      <w:pPr>
        <w:widowControl/>
        <w:rPr>
          <w:rFonts w:cs="Arial"/>
        </w:rPr>
      </w:pPr>
      <w:r w:rsidRPr="00FF4C0D">
        <w:rPr>
          <w:rFonts w:cs="Arial"/>
          <w:b/>
        </w:rPr>
        <w:t>Option 3:</w:t>
      </w:r>
      <w:r w:rsidRPr="00FF4C0D">
        <w:rPr>
          <w:rFonts w:cs="Arial"/>
        </w:rPr>
        <w:t xml:space="preserve"> Approve </w:t>
      </w:r>
      <w:r w:rsidR="00213699" w:rsidRPr="00FF4C0D">
        <w:rPr>
          <w:rFonts w:cs="Arial"/>
        </w:rPr>
        <w:t xml:space="preserve">the </w:t>
      </w:r>
      <w:r w:rsidRPr="00FF4C0D">
        <w:rPr>
          <w:rFonts w:cs="Arial"/>
        </w:rPr>
        <w:t>draft variations</w:t>
      </w:r>
      <w:r w:rsidR="0044151E" w:rsidRPr="00FF4C0D">
        <w:rPr>
          <w:rFonts w:cs="Arial"/>
        </w:rPr>
        <w:t xml:space="preserve"> as proposed at Assessment, </w:t>
      </w:r>
      <w:r w:rsidRPr="00FF4C0D">
        <w:rPr>
          <w:rFonts w:cs="Arial"/>
        </w:rPr>
        <w:t>to permit the use of irradiation on persimmons under Standard 1.</w:t>
      </w:r>
      <w:r w:rsidR="00213699" w:rsidRPr="00FF4C0D">
        <w:rPr>
          <w:rFonts w:cs="Arial"/>
        </w:rPr>
        <w:t>5.3</w:t>
      </w:r>
      <w:r w:rsidR="0044151E" w:rsidRPr="00FF4C0D">
        <w:t xml:space="preserve"> </w:t>
      </w:r>
      <w:r w:rsidR="0044151E" w:rsidRPr="00FF4C0D">
        <w:rPr>
          <w:rFonts w:cs="Arial"/>
        </w:rPr>
        <w:t xml:space="preserve">and additional amendments to </w:t>
      </w:r>
      <w:r w:rsidR="00637272" w:rsidRPr="00FF4C0D">
        <w:rPr>
          <w:rFonts w:cs="Arial"/>
        </w:rPr>
        <w:t>Standard 1.5.3</w:t>
      </w:r>
      <w:r w:rsidR="0044151E" w:rsidRPr="00FF4C0D">
        <w:rPr>
          <w:rFonts w:cs="Arial"/>
        </w:rPr>
        <w:t xml:space="preserve">, subject to amendment (Attachment 1A). </w:t>
      </w:r>
    </w:p>
    <w:p w:rsidR="00412AA9" w:rsidRPr="00FF4C0D" w:rsidRDefault="00412AA9" w:rsidP="00B00BE4"/>
    <w:p w:rsidR="00B00BE4" w:rsidRPr="00FF4C0D" w:rsidRDefault="00B00BE4">
      <w:pPr>
        <w:pStyle w:val="Heading2"/>
      </w:pPr>
      <w:r w:rsidRPr="00FF4C0D">
        <w:br w:type="page"/>
      </w:r>
    </w:p>
    <w:p w:rsidR="00412AA9" w:rsidRPr="00FF4C0D" w:rsidRDefault="00903EDD">
      <w:pPr>
        <w:pStyle w:val="Heading2"/>
      </w:pPr>
      <w:bookmarkStart w:id="78" w:name="_Toc297029109"/>
      <w:r w:rsidRPr="00FF4C0D">
        <w:lastRenderedPageBreak/>
        <w:t>9</w:t>
      </w:r>
      <w:r w:rsidR="00412AA9" w:rsidRPr="00FF4C0D">
        <w:t>.</w:t>
      </w:r>
      <w:r w:rsidR="00412AA9" w:rsidRPr="00FF4C0D">
        <w:tab/>
        <w:t>Impact Analysis</w:t>
      </w:r>
      <w:bookmarkEnd w:id="73"/>
      <w:bookmarkEnd w:id="74"/>
      <w:bookmarkEnd w:id="75"/>
      <w:bookmarkEnd w:id="76"/>
      <w:bookmarkEnd w:id="77"/>
      <w:r w:rsidR="00412AA9" w:rsidRPr="00FF4C0D">
        <w:t xml:space="preserve"> (RIS ID:  12010)</w:t>
      </w:r>
      <w:bookmarkEnd w:id="78"/>
    </w:p>
    <w:p w:rsidR="00412AA9" w:rsidRPr="00FF4C0D" w:rsidRDefault="00412AA9" w:rsidP="00412AA9">
      <w:pPr>
        <w:rPr>
          <w:rFonts w:cs="Arial"/>
        </w:rPr>
      </w:pPr>
    </w:p>
    <w:p w:rsidR="00412AA9" w:rsidRPr="00FF4C0D" w:rsidRDefault="00903EDD" w:rsidP="00412AA9">
      <w:pPr>
        <w:pStyle w:val="Heading3"/>
      </w:pPr>
      <w:bookmarkStart w:id="79" w:name="_Toc120358588"/>
      <w:bookmarkStart w:id="80" w:name="_Toc297029110"/>
      <w:r w:rsidRPr="00FF4C0D">
        <w:t>9</w:t>
      </w:r>
      <w:r w:rsidR="00412AA9" w:rsidRPr="00FF4C0D">
        <w:t>.1</w:t>
      </w:r>
      <w:r w:rsidR="00412AA9" w:rsidRPr="00FF4C0D">
        <w:tab/>
        <w:t>Affected Parties</w:t>
      </w:r>
      <w:bookmarkEnd w:id="79"/>
      <w:bookmarkEnd w:id="80"/>
    </w:p>
    <w:p w:rsidR="00412AA9" w:rsidRPr="00FF4C0D" w:rsidRDefault="00412AA9" w:rsidP="005222C5">
      <w:bookmarkStart w:id="81" w:name="_Toc11735638"/>
      <w:bookmarkStart w:id="82" w:name="_Toc29883123"/>
      <w:bookmarkStart w:id="83" w:name="_Toc41906810"/>
      <w:bookmarkStart w:id="84" w:name="_Toc41907557"/>
      <w:bookmarkStart w:id="85" w:name="_Toc120358589"/>
    </w:p>
    <w:p w:rsidR="00412AA9" w:rsidRPr="00FF4C0D" w:rsidRDefault="00412AA9" w:rsidP="005222C5">
      <w:r w:rsidRPr="00FF4C0D">
        <w:t>Approval to irradiate persimmons has the potential to impact on consumers, industry and governments.</w:t>
      </w:r>
    </w:p>
    <w:p w:rsidR="00412AA9" w:rsidRPr="00FF4C0D" w:rsidRDefault="00412AA9" w:rsidP="005222C5"/>
    <w:p w:rsidR="00412AA9" w:rsidRPr="00FF4C0D" w:rsidRDefault="002637EA" w:rsidP="003E160B">
      <w:pPr>
        <w:widowControl/>
        <w:rPr>
          <w:bCs/>
        </w:rPr>
      </w:pPr>
      <w:r w:rsidRPr="00FF4C0D">
        <w:rPr>
          <w:bCs/>
        </w:rPr>
        <w:t>The p</w:t>
      </w:r>
      <w:r w:rsidR="00412AA9" w:rsidRPr="00FF4C0D">
        <w:rPr>
          <w:bCs/>
        </w:rPr>
        <w:t xml:space="preserve">arties affected </w:t>
      </w:r>
      <w:r w:rsidRPr="00FF4C0D">
        <w:rPr>
          <w:bCs/>
        </w:rPr>
        <w:t>by this application</w:t>
      </w:r>
      <w:r w:rsidR="00412AA9" w:rsidRPr="00FF4C0D">
        <w:rPr>
          <w:bCs/>
        </w:rPr>
        <w:t xml:space="preserve"> are:</w:t>
      </w:r>
    </w:p>
    <w:p w:rsidR="00412AA9" w:rsidRPr="00FF4C0D" w:rsidRDefault="00412AA9" w:rsidP="00412AA9"/>
    <w:p w:rsidR="005863DA" w:rsidRPr="00FF4C0D" w:rsidRDefault="00412AA9" w:rsidP="005863DA">
      <w:pPr>
        <w:pStyle w:val="FSBullet"/>
      </w:pPr>
      <w:r w:rsidRPr="00FF4C0D">
        <w:t>those sectors of the food industry wishing to use irradiation as a phytosanitary treatment for persimmons and operators of irradiation facilities and exporters</w:t>
      </w:r>
    </w:p>
    <w:p w:rsidR="009260CD" w:rsidRPr="00FF4C0D" w:rsidRDefault="00486475" w:rsidP="005863DA">
      <w:pPr>
        <w:pStyle w:val="FSBullet"/>
      </w:pPr>
      <w:r w:rsidRPr="00FF4C0D">
        <w:t xml:space="preserve">retailers who sell irradiated persimmons to consumers </w:t>
      </w:r>
    </w:p>
    <w:p w:rsidR="00412AA9" w:rsidRPr="00FF4C0D" w:rsidRDefault="00412AA9" w:rsidP="00412AA9">
      <w:pPr>
        <w:pStyle w:val="FSBullet"/>
      </w:pPr>
      <w:r w:rsidRPr="00FF4C0D">
        <w:t xml:space="preserve">consumers who may wish to purchase irradiated fruits in order to avoid chemical residues in fruit or conversely, consumers who wish to avoid </w:t>
      </w:r>
      <w:r w:rsidR="00872950" w:rsidRPr="00FF4C0D">
        <w:t xml:space="preserve">the </w:t>
      </w:r>
      <w:r w:rsidRPr="00FF4C0D">
        <w:t>purchase of irradiated foods</w:t>
      </w:r>
    </w:p>
    <w:p w:rsidR="00412AA9" w:rsidRPr="00FF4C0D" w:rsidRDefault="00412AA9" w:rsidP="00412AA9">
      <w:pPr>
        <w:pStyle w:val="FSBullet"/>
      </w:pPr>
      <w:r w:rsidRPr="00FF4C0D">
        <w:t>government agencies enforcing the food regulations.</w:t>
      </w:r>
    </w:p>
    <w:p w:rsidR="00412AA9" w:rsidRPr="00FF4C0D" w:rsidRDefault="00412AA9" w:rsidP="005222C5"/>
    <w:p w:rsidR="00B50ACD" w:rsidRPr="00FF4C0D" w:rsidRDefault="00412AA9" w:rsidP="005222C5">
      <w:pPr>
        <w:rPr>
          <w:bCs/>
        </w:rPr>
      </w:pPr>
      <w:r w:rsidRPr="00FF4C0D">
        <w:rPr>
          <w:bCs/>
        </w:rPr>
        <w:t xml:space="preserve">The Applicant presented a case that the use of irradiation </w:t>
      </w:r>
      <w:r w:rsidR="009238F7" w:rsidRPr="00FF4C0D">
        <w:rPr>
          <w:bCs/>
        </w:rPr>
        <w:t>was</w:t>
      </w:r>
      <w:r w:rsidRPr="00FF4C0D">
        <w:rPr>
          <w:bCs/>
        </w:rPr>
        <w:t xml:space="preserve"> technologically justified and </w:t>
      </w:r>
      <w:r w:rsidR="009238F7" w:rsidRPr="00FF4C0D">
        <w:rPr>
          <w:bCs/>
        </w:rPr>
        <w:t xml:space="preserve">an </w:t>
      </w:r>
      <w:r w:rsidRPr="00FF4C0D">
        <w:rPr>
          <w:bCs/>
        </w:rPr>
        <w:t>efficacious treatment and w</w:t>
      </w:r>
      <w:r w:rsidR="009238F7" w:rsidRPr="00FF4C0D">
        <w:rPr>
          <w:bCs/>
        </w:rPr>
        <w:t>ould</w:t>
      </w:r>
      <w:r w:rsidRPr="00FF4C0D">
        <w:rPr>
          <w:bCs/>
        </w:rPr>
        <w:t xml:space="preserve"> provide access to new markets for Australian persimmon growers. </w:t>
      </w:r>
    </w:p>
    <w:p w:rsidR="00E56D5F" w:rsidRPr="00FF4C0D" w:rsidRDefault="00E56D5F" w:rsidP="005222C5">
      <w:pPr>
        <w:rPr>
          <w:bCs/>
        </w:rPr>
      </w:pPr>
    </w:p>
    <w:p w:rsidR="00412AA9" w:rsidRPr="00FF4C0D" w:rsidRDefault="00412AA9" w:rsidP="005222C5">
      <w:pPr>
        <w:rPr>
          <w:bCs/>
        </w:rPr>
      </w:pPr>
      <w:r w:rsidRPr="00FF4C0D">
        <w:rPr>
          <w:bCs/>
        </w:rPr>
        <w:t>The Applicant also state</w:t>
      </w:r>
      <w:r w:rsidR="009238F7" w:rsidRPr="00FF4C0D">
        <w:rPr>
          <w:bCs/>
        </w:rPr>
        <w:t>d</w:t>
      </w:r>
      <w:r w:rsidRPr="00FF4C0D">
        <w:rPr>
          <w:bCs/>
        </w:rPr>
        <w:t xml:space="preserve"> that this alternative treatment </w:t>
      </w:r>
      <w:r w:rsidR="009238F7" w:rsidRPr="00FF4C0D">
        <w:rPr>
          <w:bCs/>
        </w:rPr>
        <w:t xml:space="preserve">would </w:t>
      </w:r>
      <w:r w:rsidRPr="00FF4C0D">
        <w:rPr>
          <w:bCs/>
        </w:rPr>
        <w:t>provide the persimmon industry with an option to use irradiation as a phytosanitary measure</w:t>
      </w:r>
      <w:r w:rsidR="002637EA" w:rsidRPr="00FF4C0D">
        <w:rPr>
          <w:bCs/>
        </w:rPr>
        <w:t xml:space="preserve"> if </w:t>
      </w:r>
      <w:r w:rsidRPr="00FF4C0D">
        <w:rPr>
          <w:bCs/>
        </w:rPr>
        <w:t>current chemical treatments</w:t>
      </w:r>
      <w:r w:rsidR="00B206A0" w:rsidRPr="00FF4C0D">
        <w:rPr>
          <w:bCs/>
        </w:rPr>
        <w:t xml:space="preserve"> </w:t>
      </w:r>
      <w:r w:rsidR="009238F7" w:rsidRPr="00FF4C0D">
        <w:rPr>
          <w:bCs/>
        </w:rPr>
        <w:t xml:space="preserve">were </w:t>
      </w:r>
      <w:r w:rsidRPr="00FF4C0D">
        <w:rPr>
          <w:bCs/>
        </w:rPr>
        <w:t xml:space="preserve">withdrawn from use. The Applicant describes this technology as simple, safe </w:t>
      </w:r>
      <w:r w:rsidR="009238F7" w:rsidRPr="00FF4C0D">
        <w:rPr>
          <w:bCs/>
        </w:rPr>
        <w:t xml:space="preserve">and </w:t>
      </w:r>
      <w:r w:rsidRPr="00FF4C0D">
        <w:rPr>
          <w:bCs/>
        </w:rPr>
        <w:t>versatile</w:t>
      </w:r>
      <w:r w:rsidR="009238F7" w:rsidRPr="00FF4C0D">
        <w:rPr>
          <w:bCs/>
        </w:rPr>
        <w:t xml:space="preserve">. </w:t>
      </w:r>
      <w:r w:rsidRPr="00FF4C0D">
        <w:rPr>
          <w:bCs/>
        </w:rPr>
        <w:t xml:space="preserve"> </w:t>
      </w:r>
    </w:p>
    <w:p w:rsidR="00412AA9" w:rsidRPr="00FF4C0D" w:rsidRDefault="00412AA9" w:rsidP="005222C5">
      <w:pPr>
        <w:rPr>
          <w:bCs/>
        </w:rPr>
      </w:pPr>
    </w:p>
    <w:p w:rsidR="00412AA9" w:rsidRPr="00FF4C0D" w:rsidRDefault="00412AA9" w:rsidP="005222C5">
      <w:r w:rsidRPr="00FF4C0D">
        <w:t>The costs and benefits to the affected parties are further expanded below under the t</w:t>
      </w:r>
      <w:r w:rsidR="00A81125" w:rsidRPr="00FF4C0D">
        <w:t>hree</w:t>
      </w:r>
      <w:r w:rsidRPr="00FF4C0D">
        <w:t xml:space="preserve"> proposed </w:t>
      </w:r>
      <w:r w:rsidR="00A81125" w:rsidRPr="00FF4C0D">
        <w:t>O</w:t>
      </w:r>
      <w:r w:rsidRPr="00FF4C0D">
        <w:t>ptions.</w:t>
      </w:r>
    </w:p>
    <w:p w:rsidR="00412AA9" w:rsidRPr="00FF4C0D" w:rsidRDefault="00412AA9" w:rsidP="005222C5"/>
    <w:p w:rsidR="00412AA9" w:rsidRPr="00FF4C0D" w:rsidRDefault="00903EDD" w:rsidP="00412AA9">
      <w:pPr>
        <w:pStyle w:val="Heading3"/>
      </w:pPr>
      <w:bookmarkStart w:id="86" w:name="_Toc297029111"/>
      <w:r w:rsidRPr="00FF4C0D">
        <w:t>9</w:t>
      </w:r>
      <w:r w:rsidR="00412AA9" w:rsidRPr="00FF4C0D">
        <w:t>.2</w:t>
      </w:r>
      <w:r w:rsidR="00412AA9" w:rsidRPr="00FF4C0D">
        <w:tab/>
        <w:t>Benefit Cost Analysis</w:t>
      </w:r>
      <w:bookmarkEnd w:id="81"/>
      <w:bookmarkEnd w:id="82"/>
      <w:bookmarkEnd w:id="83"/>
      <w:bookmarkEnd w:id="84"/>
      <w:bookmarkEnd w:id="85"/>
      <w:bookmarkEnd w:id="86"/>
      <w:r w:rsidR="00412AA9" w:rsidRPr="00FF4C0D">
        <w:t xml:space="preserve"> </w:t>
      </w:r>
    </w:p>
    <w:p w:rsidR="00412AA9" w:rsidRPr="00FF4C0D" w:rsidRDefault="00412AA9" w:rsidP="00412AA9">
      <w:bookmarkStart w:id="87" w:name="_Toc22533435"/>
      <w:bookmarkStart w:id="88" w:name="_Toc23906897"/>
      <w:bookmarkStart w:id="89" w:name="_Toc25394513"/>
      <w:bookmarkStart w:id="90" w:name="_Toc25394698"/>
    </w:p>
    <w:p w:rsidR="00412AA9" w:rsidRPr="00FF4C0D" w:rsidRDefault="00412AA9" w:rsidP="00412AA9">
      <w:pPr>
        <w:rPr>
          <w:rFonts w:cs="Arial"/>
          <w:szCs w:val="22"/>
        </w:rPr>
      </w:pPr>
      <w:r w:rsidRPr="00FF4C0D">
        <w:rPr>
          <w:rFonts w:cs="Arial"/>
          <w:szCs w:val="22"/>
        </w:rPr>
        <w:t>FSANZ is required to consider the impact of various regulatory and non-regulatory options on all sectors of the community, especially relevant stakeholders who may be affected by this Application. The benefits and costs associated with the proposed amendment to the Code have been analysed using regulatory impact principles.</w:t>
      </w:r>
    </w:p>
    <w:p w:rsidR="00412AA9" w:rsidRPr="00FF4C0D" w:rsidRDefault="00412AA9" w:rsidP="00412AA9">
      <w:pPr>
        <w:rPr>
          <w:rFonts w:cs="Arial"/>
          <w:szCs w:val="22"/>
          <w:lang w:eastAsia="en-AU"/>
        </w:rPr>
      </w:pPr>
    </w:p>
    <w:p w:rsidR="00D81558" w:rsidRPr="00FF4C0D" w:rsidRDefault="00D81558" w:rsidP="00D81558">
      <w:pPr>
        <w:rPr>
          <w:rFonts w:cs="Arial"/>
          <w:szCs w:val="22"/>
          <w:lang w:val="en-AU" w:eastAsia="en-AU"/>
        </w:rPr>
      </w:pPr>
      <w:r w:rsidRPr="00FF4C0D">
        <w:rPr>
          <w:rFonts w:cs="Arial"/>
          <w:szCs w:val="22"/>
          <w:lang w:val="en-AU" w:eastAsia="en-AU"/>
        </w:rPr>
        <w:t xml:space="preserve">Some submitters stated that the commercial and economic benefits of irradiated persimmons were unsubstantiated. </w:t>
      </w:r>
    </w:p>
    <w:p w:rsidR="00D81558" w:rsidRPr="00FF4C0D" w:rsidRDefault="00D81558" w:rsidP="00412AA9">
      <w:pPr>
        <w:rPr>
          <w:rFonts w:cs="Arial"/>
          <w:szCs w:val="22"/>
          <w:lang w:eastAsia="en-AU"/>
        </w:rPr>
      </w:pPr>
    </w:p>
    <w:p w:rsidR="00412AA9" w:rsidRPr="00FF4C0D" w:rsidRDefault="00412AA9" w:rsidP="00412AA9">
      <w:r w:rsidRPr="00FF4C0D">
        <w:rPr>
          <w:rFonts w:cs="Arial"/>
          <w:szCs w:val="22"/>
          <w:lang w:eastAsia="en-AU"/>
        </w:rPr>
        <w:t xml:space="preserve">In accordance with the Best Practice Regulation Guidelines, completion of a preliminary assessment for this application indicated a low or negligible impact. The Office of Best Practice Regulation advised that the </w:t>
      </w:r>
      <w:r w:rsidR="009238F7" w:rsidRPr="00FF4C0D">
        <w:rPr>
          <w:rFonts w:cs="Arial"/>
          <w:szCs w:val="22"/>
          <w:lang w:eastAsia="en-AU"/>
        </w:rPr>
        <w:t>A</w:t>
      </w:r>
      <w:r w:rsidRPr="00FF4C0D">
        <w:rPr>
          <w:rFonts w:cs="Arial"/>
          <w:szCs w:val="22"/>
          <w:lang w:eastAsia="en-AU"/>
        </w:rPr>
        <w:t>pplication appear</w:t>
      </w:r>
      <w:r w:rsidR="009238F7" w:rsidRPr="00FF4C0D">
        <w:rPr>
          <w:rFonts w:cs="Arial"/>
          <w:szCs w:val="22"/>
          <w:lang w:eastAsia="en-AU"/>
        </w:rPr>
        <w:t>ed</w:t>
      </w:r>
      <w:r w:rsidRPr="00FF4C0D">
        <w:rPr>
          <w:rFonts w:cs="Arial"/>
          <w:szCs w:val="22"/>
          <w:lang w:eastAsia="en-AU"/>
        </w:rPr>
        <w:t xml:space="preserve"> to be of a minor or machinery nature; notified approval of the preliminary assessment </w:t>
      </w:r>
      <w:r w:rsidRPr="00FF4C0D">
        <w:t xml:space="preserve">and further advised that a Regulatory Impact Statement (RIS) </w:t>
      </w:r>
      <w:r w:rsidR="009238F7" w:rsidRPr="00FF4C0D">
        <w:t>wa</w:t>
      </w:r>
      <w:r w:rsidRPr="00FF4C0D">
        <w:t>s not required.</w:t>
      </w:r>
    </w:p>
    <w:p w:rsidR="00D81558" w:rsidRPr="00FF4C0D" w:rsidRDefault="00D81558" w:rsidP="00D81558">
      <w:pPr>
        <w:rPr>
          <w:rFonts w:cs="Arial"/>
          <w:szCs w:val="22"/>
          <w:lang w:val="en-AU" w:eastAsia="en-AU"/>
        </w:rPr>
      </w:pPr>
    </w:p>
    <w:p w:rsidR="00D81558" w:rsidRPr="00FF4C0D" w:rsidRDefault="00D81558" w:rsidP="00412AA9">
      <w:r w:rsidRPr="00FF4C0D">
        <w:rPr>
          <w:rFonts w:cs="Arial"/>
          <w:szCs w:val="22"/>
        </w:rPr>
        <w:t>FSANZ received letters of support from Horticulture Australia Limited (HAL), Persimmons Industry Association Inc., the Australian Persimmon Export Company and the Domestic Quarantine and Market Access Working Group (DQMAWG) who all believe that there are commercial and economic benefits in approval of irradiation on persimmons</w:t>
      </w:r>
    </w:p>
    <w:p w:rsidR="00412AA9" w:rsidRPr="00FF4C0D" w:rsidRDefault="00412AA9" w:rsidP="00412AA9">
      <w:pPr>
        <w:rPr>
          <w:rFonts w:cs="Arial"/>
        </w:rPr>
      </w:pPr>
    </w:p>
    <w:p w:rsidR="00B00BE4" w:rsidRPr="00FF4C0D" w:rsidRDefault="00B00BE4" w:rsidP="00903EDD">
      <w:pPr>
        <w:pStyle w:val="Heading4"/>
      </w:pPr>
      <w:r w:rsidRPr="00FF4C0D">
        <w:br w:type="page"/>
      </w:r>
    </w:p>
    <w:p w:rsidR="00412AA9" w:rsidRPr="00FF4C0D" w:rsidRDefault="00903EDD" w:rsidP="00903EDD">
      <w:pPr>
        <w:pStyle w:val="Heading4"/>
      </w:pPr>
      <w:r w:rsidRPr="00FF4C0D">
        <w:lastRenderedPageBreak/>
        <w:t>9</w:t>
      </w:r>
      <w:r w:rsidR="00E32D63" w:rsidRPr="00FF4C0D">
        <w:t>.2.1</w:t>
      </w:r>
      <w:r w:rsidR="00E32D63" w:rsidRPr="00FF4C0D">
        <w:tab/>
        <w:t>Option 1</w:t>
      </w:r>
      <w:r w:rsidR="00412AA9" w:rsidRPr="00FF4C0D">
        <w:t xml:space="preserve">: Reject the </w:t>
      </w:r>
      <w:r w:rsidR="00B00BE4" w:rsidRPr="00FF4C0D">
        <w:t>draft variations</w:t>
      </w:r>
    </w:p>
    <w:p w:rsidR="00412AA9" w:rsidRPr="00FF4C0D" w:rsidRDefault="00412AA9" w:rsidP="00B00BE4"/>
    <w:p w:rsidR="00412AA9" w:rsidRPr="00FF4C0D" w:rsidRDefault="00B00BE4" w:rsidP="00B00BE4">
      <w:pPr>
        <w:pStyle w:val="Heading5"/>
      </w:pPr>
      <w:r w:rsidRPr="00FF4C0D">
        <w:t>9.2.1.1</w:t>
      </w:r>
      <w:r w:rsidRPr="00FF4C0D">
        <w:tab/>
      </w:r>
      <w:r w:rsidR="00E32D63" w:rsidRPr="00FF4C0D">
        <w:t>Consumers</w:t>
      </w:r>
    </w:p>
    <w:p w:rsidR="009B4A0D" w:rsidRPr="00FF4C0D" w:rsidRDefault="009B4A0D" w:rsidP="002D3CB7"/>
    <w:bookmarkEnd w:id="87"/>
    <w:bookmarkEnd w:id="88"/>
    <w:bookmarkEnd w:id="89"/>
    <w:bookmarkEnd w:id="90"/>
    <w:p w:rsidR="009B4A0D" w:rsidRPr="00FF4C0D" w:rsidRDefault="00412AA9" w:rsidP="002D3CB7">
      <w:r w:rsidRPr="00FF4C0D">
        <w:t xml:space="preserve">There </w:t>
      </w:r>
      <w:r w:rsidR="002637EA" w:rsidRPr="00FF4C0D">
        <w:t>c</w:t>
      </w:r>
      <w:r w:rsidRPr="00FF4C0D">
        <w:t>ould be a benefit to consumers who prefer not to consume irradiated foods, due to a belief that such foods are potentially unsafe a</w:t>
      </w:r>
      <w:r w:rsidR="0055162A" w:rsidRPr="00FF4C0D">
        <w:t xml:space="preserve">nd/or nutritionally inadequate or that there is no technological justification to irradiate foods. </w:t>
      </w:r>
    </w:p>
    <w:p w:rsidR="009B4A0D" w:rsidRPr="00FF4C0D" w:rsidRDefault="009B4A0D" w:rsidP="002D3CB7"/>
    <w:p w:rsidR="009B4A0D" w:rsidRPr="00FF4C0D" w:rsidRDefault="00D75509" w:rsidP="002D3CB7">
      <w:r w:rsidRPr="00FF4C0D">
        <w:t xml:space="preserve">A potential cost to consumers was identified as the possible limitation </w:t>
      </w:r>
      <w:r w:rsidR="00597E28" w:rsidRPr="00FF4C0D">
        <w:t>of the</w:t>
      </w:r>
      <w:r w:rsidRPr="00FF4C0D">
        <w:t xml:space="preserve"> supply of persimmons</w:t>
      </w:r>
      <w:r w:rsidR="00BB7EE7" w:rsidRPr="00FF4C0D">
        <w:t xml:space="preserve"> </w:t>
      </w:r>
      <w:r w:rsidRPr="00FF4C0D">
        <w:t xml:space="preserve">due to the possible phase out of chemicals that normally reduce fruit fly disinfestation if there was not an efficacious alternative treatment. This </w:t>
      </w:r>
      <w:r w:rsidR="009238F7" w:rsidRPr="00FF4C0D">
        <w:t>wa</w:t>
      </w:r>
      <w:r w:rsidRPr="00FF4C0D">
        <w:t xml:space="preserve">s expected to be a minor cost to consumers. </w:t>
      </w:r>
    </w:p>
    <w:p w:rsidR="00A84729" w:rsidRPr="00FF4C0D" w:rsidRDefault="00A84729" w:rsidP="00072077">
      <w:pPr>
        <w:ind w:left="1701" w:hanging="1701"/>
        <w:rPr>
          <w:sz w:val="24"/>
          <w:u w:val="single"/>
        </w:rPr>
      </w:pPr>
    </w:p>
    <w:p w:rsidR="00412AA9" w:rsidRPr="00FF4C0D" w:rsidRDefault="00B00BE4" w:rsidP="00B00BE4">
      <w:pPr>
        <w:pStyle w:val="Heading5"/>
      </w:pPr>
      <w:r w:rsidRPr="00FF4C0D">
        <w:t>9.2.1.2</w:t>
      </w:r>
      <w:r w:rsidRPr="00FF4C0D">
        <w:tab/>
      </w:r>
      <w:r w:rsidR="00412AA9" w:rsidRPr="00FF4C0D">
        <w:t>Industry</w:t>
      </w:r>
    </w:p>
    <w:p w:rsidR="00412AA9" w:rsidRPr="00FF4C0D" w:rsidRDefault="00412AA9" w:rsidP="00412AA9"/>
    <w:p w:rsidR="00203A3C" w:rsidRPr="00FF4C0D" w:rsidRDefault="00412AA9" w:rsidP="00412AA9">
      <w:pPr>
        <w:rPr>
          <w:szCs w:val="22"/>
        </w:rPr>
      </w:pPr>
      <w:r w:rsidRPr="00FF4C0D">
        <w:rPr>
          <w:szCs w:val="22"/>
        </w:rPr>
        <w:t xml:space="preserve">No benefits to industry were identified. </w:t>
      </w:r>
    </w:p>
    <w:p w:rsidR="00203A3C" w:rsidRPr="00FF4C0D" w:rsidRDefault="00203A3C" w:rsidP="00412AA9">
      <w:pPr>
        <w:rPr>
          <w:szCs w:val="22"/>
        </w:rPr>
      </w:pPr>
    </w:p>
    <w:p w:rsidR="00203A3C" w:rsidRPr="00FF4C0D" w:rsidRDefault="00203A3C" w:rsidP="00203A3C">
      <w:r w:rsidRPr="00FF4C0D">
        <w:t>The following were identified as costs for industry:</w:t>
      </w:r>
    </w:p>
    <w:p w:rsidR="00203A3C" w:rsidRPr="00FF4C0D" w:rsidRDefault="00203A3C" w:rsidP="00412AA9">
      <w:pPr>
        <w:rPr>
          <w:szCs w:val="22"/>
        </w:rPr>
      </w:pPr>
    </w:p>
    <w:p w:rsidR="009B4A0D" w:rsidRPr="00FF4C0D" w:rsidRDefault="0068357C" w:rsidP="002D3CB7">
      <w:pPr>
        <w:pStyle w:val="FSBullet"/>
      </w:pPr>
      <w:r w:rsidRPr="00FF4C0D">
        <w:t>L</w:t>
      </w:r>
      <w:r w:rsidR="00412AA9" w:rsidRPr="00FF4C0D">
        <w:t>oss of trade opportunities and access to markets where current disinfestation methods are not accepted</w:t>
      </w:r>
      <w:r w:rsidRPr="00FF4C0D">
        <w:t>.</w:t>
      </w:r>
    </w:p>
    <w:p w:rsidR="009B4A0D" w:rsidRPr="00FF4C0D" w:rsidRDefault="0068357C" w:rsidP="002D3CB7">
      <w:pPr>
        <w:pStyle w:val="FSBullet"/>
      </w:pPr>
      <w:r w:rsidRPr="00FF4C0D">
        <w:t>Costs</w:t>
      </w:r>
      <w:r w:rsidR="00412AA9" w:rsidRPr="00FF4C0D">
        <w:t xml:space="preserve"> in research and development incurred in an attempt to identify alternative treatments as existing chemical or other treatments are phased out.</w:t>
      </w:r>
    </w:p>
    <w:p w:rsidR="00412AA9" w:rsidRPr="00FF4C0D" w:rsidRDefault="00412AA9" w:rsidP="00412AA9">
      <w:pPr>
        <w:rPr>
          <w:szCs w:val="22"/>
        </w:rPr>
      </w:pPr>
    </w:p>
    <w:p w:rsidR="00412AA9" w:rsidRPr="00FF4C0D" w:rsidRDefault="00B00BE4" w:rsidP="00B00BE4">
      <w:pPr>
        <w:pStyle w:val="Heading5"/>
      </w:pPr>
      <w:r w:rsidRPr="00FF4C0D">
        <w:t>9.2.1.3</w:t>
      </w:r>
      <w:r w:rsidRPr="00FF4C0D">
        <w:tab/>
      </w:r>
      <w:r w:rsidR="00412AA9" w:rsidRPr="00FF4C0D">
        <w:t>Government</w:t>
      </w:r>
    </w:p>
    <w:p w:rsidR="00412AA9" w:rsidRPr="00FF4C0D" w:rsidRDefault="00412AA9" w:rsidP="00412AA9">
      <w:pPr>
        <w:rPr>
          <w:sz w:val="24"/>
        </w:rPr>
      </w:pPr>
    </w:p>
    <w:p w:rsidR="00412AA9" w:rsidRPr="00FF4C0D" w:rsidRDefault="00412AA9" w:rsidP="00412AA9">
      <w:r w:rsidRPr="00FF4C0D">
        <w:t>There are no benefits to Governments in maintaining a prohibition</w:t>
      </w:r>
      <w:r w:rsidR="002637EA" w:rsidRPr="00FF4C0D">
        <w:t>.</w:t>
      </w:r>
    </w:p>
    <w:p w:rsidR="00412AA9" w:rsidRPr="00FF4C0D" w:rsidRDefault="00412AA9" w:rsidP="00412AA9"/>
    <w:p w:rsidR="00412AA9" w:rsidRPr="00FF4C0D" w:rsidRDefault="00412AA9" w:rsidP="00412AA9">
      <w:r w:rsidRPr="00FF4C0D">
        <w:t>No costs were identified</w:t>
      </w:r>
      <w:r w:rsidR="00485031" w:rsidRPr="00FF4C0D">
        <w:t xml:space="preserve">, although lack of approval may be regarded as unnecessarily trade restrictive. </w:t>
      </w:r>
    </w:p>
    <w:p w:rsidR="00412AA9" w:rsidRPr="00FF4C0D" w:rsidRDefault="00412AA9" w:rsidP="00412AA9">
      <w:pPr>
        <w:widowControl/>
      </w:pPr>
    </w:p>
    <w:p w:rsidR="00412AA9" w:rsidRPr="00FF4C0D" w:rsidRDefault="00903EDD" w:rsidP="009C1093">
      <w:pPr>
        <w:pStyle w:val="Heading4"/>
      </w:pPr>
      <w:r w:rsidRPr="00FF4C0D">
        <w:t>9</w:t>
      </w:r>
      <w:r w:rsidR="00E32D63" w:rsidRPr="00FF4C0D">
        <w:t>.2.2</w:t>
      </w:r>
      <w:r w:rsidR="00E32D63" w:rsidRPr="00FF4C0D">
        <w:tab/>
        <w:t>Option 2</w:t>
      </w:r>
      <w:r w:rsidR="00412AA9" w:rsidRPr="00FF4C0D">
        <w:t xml:space="preserve">: </w:t>
      </w:r>
      <w:r w:rsidR="009238F7" w:rsidRPr="00FF4C0D">
        <w:t xml:space="preserve">Approve the </w:t>
      </w:r>
      <w:r w:rsidR="00412AA9" w:rsidRPr="00FF4C0D">
        <w:t xml:space="preserve">draft variations </w:t>
      </w:r>
      <w:r w:rsidR="00072077" w:rsidRPr="00FF4C0D">
        <w:t xml:space="preserve">as </w:t>
      </w:r>
      <w:r w:rsidR="009238F7" w:rsidRPr="00FF4C0D">
        <w:t xml:space="preserve">proposed at Assessment.  </w:t>
      </w:r>
    </w:p>
    <w:p w:rsidR="00412AA9" w:rsidRPr="00FF4C0D" w:rsidRDefault="00412AA9" w:rsidP="00412AA9"/>
    <w:p w:rsidR="00412AA9" w:rsidRPr="00FF4C0D" w:rsidRDefault="00B00BE4" w:rsidP="00B00BE4">
      <w:pPr>
        <w:pStyle w:val="Heading5"/>
      </w:pPr>
      <w:r w:rsidRPr="00FF4C0D">
        <w:t>9.2.2.1</w:t>
      </w:r>
      <w:r w:rsidRPr="00FF4C0D">
        <w:tab/>
      </w:r>
      <w:r w:rsidR="00412AA9" w:rsidRPr="00FF4C0D">
        <w:t>Consumers</w:t>
      </w:r>
    </w:p>
    <w:p w:rsidR="00412AA9" w:rsidRPr="00FF4C0D" w:rsidRDefault="00412AA9" w:rsidP="00412AA9">
      <w:pPr>
        <w:rPr>
          <w:szCs w:val="22"/>
        </w:rPr>
      </w:pPr>
    </w:p>
    <w:p w:rsidR="00412AA9" w:rsidRPr="00FF4C0D" w:rsidRDefault="00412AA9" w:rsidP="00412AA9">
      <w:r w:rsidRPr="00FF4C0D">
        <w:t xml:space="preserve">The following </w:t>
      </w:r>
      <w:r w:rsidR="003B633A" w:rsidRPr="00FF4C0D">
        <w:t xml:space="preserve">were </w:t>
      </w:r>
      <w:r w:rsidRPr="00FF4C0D">
        <w:t>identified as benefits for consumers:</w:t>
      </w:r>
    </w:p>
    <w:p w:rsidR="00A875C1" w:rsidRPr="00FF4C0D" w:rsidRDefault="00A875C1" w:rsidP="00412AA9"/>
    <w:p w:rsidR="00412AA9" w:rsidRPr="00FF4C0D" w:rsidRDefault="00620406" w:rsidP="00412AA9">
      <w:pPr>
        <w:pStyle w:val="FSBullet"/>
        <w:rPr>
          <w:szCs w:val="22"/>
        </w:rPr>
      </w:pPr>
      <w:r w:rsidRPr="00FF4C0D">
        <w:rPr>
          <w:szCs w:val="22"/>
        </w:rPr>
        <w:t>T</w:t>
      </w:r>
      <w:r w:rsidR="00412AA9" w:rsidRPr="00FF4C0D">
        <w:rPr>
          <w:szCs w:val="22"/>
        </w:rPr>
        <w:t xml:space="preserve">here may be </w:t>
      </w:r>
      <w:r w:rsidR="00A82284" w:rsidRPr="00FF4C0D">
        <w:rPr>
          <w:szCs w:val="22"/>
        </w:rPr>
        <w:t xml:space="preserve">greater </w:t>
      </w:r>
      <w:r w:rsidR="00412AA9" w:rsidRPr="00FF4C0D">
        <w:rPr>
          <w:szCs w:val="22"/>
        </w:rPr>
        <w:t>availability of persimmons in some markets/regions in Australia and New Zealand</w:t>
      </w:r>
      <w:r w:rsidR="0089294A" w:rsidRPr="00FF4C0D">
        <w:rPr>
          <w:szCs w:val="22"/>
        </w:rPr>
        <w:t>.</w:t>
      </w:r>
    </w:p>
    <w:p w:rsidR="00203A3C" w:rsidRPr="00FF4C0D" w:rsidRDefault="00620406">
      <w:pPr>
        <w:pStyle w:val="FSBullet"/>
        <w:rPr>
          <w:szCs w:val="22"/>
        </w:rPr>
      </w:pPr>
      <w:r w:rsidRPr="00FF4C0D">
        <w:rPr>
          <w:szCs w:val="22"/>
        </w:rPr>
        <w:t>I</w:t>
      </w:r>
      <w:r w:rsidR="00412AA9" w:rsidRPr="00FF4C0D">
        <w:rPr>
          <w:szCs w:val="22"/>
        </w:rPr>
        <w:t>rradiation may result in better quality fruit for the consumer depending on the dose of irradiation, as heat and cold treatments</w:t>
      </w:r>
      <w:r w:rsidR="00203A3C" w:rsidRPr="00FF4C0D">
        <w:rPr>
          <w:szCs w:val="22"/>
        </w:rPr>
        <w:t xml:space="preserve"> can affect</w:t>
      </w:r>
      <w:r w:rsidR="00412AA9" w:rsidRPr="00FF4C0D">
        <w:rPr>
          <w:szCs w:val="22"/>
        </w:rPr>
        <w:t xml:space="preserve"> fruit quality</w:t>
      </w:r>
      <w:r w:rsidR="0068357C" w:rsidRPr="00FF4C0D">
        <w:rPr>
          <w:szCs w:val="22"/>
        </w:rPr>
        <w:t>.</w:t>
      </w:r>
    </w:p>
    <w:p w:rsidR="00095D41" w:rsidRPr="00FF4C0D" w:rsidRDefault="00203A3C">
      <w:pPr>
        <w:pStyle w:val="FSBullet"/>
        <w:rPr>
          <w:szCs w:val="22"/>
        </w:rPr>
      </w:pPr>
      <w:r w:rsidRPr="00FF4C0D">
        <w:rPr>
          <w:szCs w:val="22"/>
        </w:rPr>
        <w:t>F</w:t>
      </w:r>
      <w:r w:rsidR="00412AA9" w:rsidRPr="00FF4C0D">
        <w:rPr>
          <w:szCs w:val="22"/>
        </w:rPr>
        <w:t>ruit may be able to be transported for longer periods while maintaining desirable sensory qualities for consumers</w:t>
      </w:r>
      <w:r w:rsidR="00620406" w:rsidRPr="00FF4C0D">
        <w:rPr>
          <w:szCs w:val="22"/>
        </w:rPr>
        <w:t>.</w:t>
      </w:r>
    </w:p>
    <w:p w:rsidR="00CD339F" w:rsidRPr="00FF4C0D" w:rsidRDefault="00095D41">
      <w:pPr>
        <w:pStyle w:val="FSBullet"/>
        <w:rPr>
          <w:szCs w:val="22"/>
        </w:rPr>
      </w:pPr>
      <w:r w:rsidRPr="00FF4C0D">
        <w:t xml:space="preserve">Provides choice to consumers who wish to avoid </w:t>
      </w:r>
      <w:r w:rsidR="00903EDD" w:rsidRPr="00FF4C0D">
        <w:t>exposure to other treatments such as chemicals.</w:t>
      </w:r>
    </w:p>
    <w:p w:rsidR="00412AA9" w:rsidRPr="00FF4C0D" w:rsidRDefault="00620406" w:rsidP="00412AA9">
      <w:pPr>
        <w:pStyle w:val="FSBullet"/>
        <w:rPr>
          <w:bCs/>
          <w:szCs w:val="22"/>
        </w:rPr>
      </w:pPr>
      <w:r w:rsidRPr="00FF4C0D">
        <w:rPr>
          <w:bCs/>
          <w:szCs w:val="22"/>
        </w:rPr>
        <w:t>A</w:t>
      </w:r>
      <w:r w:rsidR="00412AA9" w:rsidRPr="00FF4C0D">
        <w:rPr>
          <w:bCs/>
          <w:szCs w:val="22"/>
        </w:rPr>
        <w:t>pproval of irradiated persimmons may increase competition in the marketplace, improve selection and seasonal availability and increase price competition</w:t>
      </w:r>
      <w:r w:rsidR="0089294A" w:rsidRPr="00FF4C0D">
        <w:rPr>
          <w:bCs/>
          <w:szCs w:val="22"/>
        </w:rPr>
        <w:t>.</w:t>
      </w:r>
    </w:p>
    <w:p w:rsidR="00412AA9" w:rsidRPr="00FF4C0D" w:rsidRDefault="0089294A" w:rsidP="00412AA9">
      <w:pPr>
        <w:pStyle w:val="FSBullet"/>
        <w:rPr>
          <w:bCs/>
          <w:szCs w:val="22"/>
        </w:rPr>
      </w:pPr>
      <w:r w:rsidRPr="00FF4C0D">
        <w:rPr>
          <w:bCs/>
          <w:szCs w:val="22"/>
        </w:rPr>
        <w:t>M</w:t>
      </w:r>
      <w:r w:rsidR="00412AA9" w:rsidRPr="00FF4C0D">
        <w:rPr>
          <w:bCs/>
          <w:szCs w:val="22"/>
        </w:rPr>
        <w:t>andatory labelling will ensure that consumers who wish to avoid irradiated fruits can do so</w:t>
      </w:r>
      <w:r w:rsidR="00620406" w:rsidRPr="00FF4C0D">
        <w:rPr>
          <w:bCs/>
          <w:szCs w:val="22"/>
        </w:rPr>
        <w:t>.</w:t>
      </w:r>
    </w:p>
    <w:p w:rsidR="00A84729" w:rsidRPr="00FF4C0D" w:rsidRDefault="00A84729" w:rsidP="00412AA9">
      <w:pPr>
        <w:rPr>
          <w:szCs w:val="22"/>
        </w:rPr>
      </w:pPr>
    </w:p>
    <w:p w:rsidR="000E0EAF" w:rsidRPr="00FF4C0D" w:rsidRDefault="000E0EAF" w:rsidP="000E0EAF">
      <w:r w:rsidRPr="00FF4C0D">
        <w:t>The following were identified as costs for consumers:</w:t>
      </w:r>
    </w:p>
    <w:p w:rsidR="000E0EAF" w:rsidRPr="00FF4C0D" w:rsidRDefault="000E0EAF" w:rsidP="001E1DA1">
      <w:pPr>
        <w:widowControl/>
      </w:pPr>
    </w:p>
    <w:p w:rsidR="00B00BE4" w:rsidRPr="00FF4C0D" w:rsidRDefault="00B00BE4" w:rsidP="002D3CB7">
      <w:pPr>
        <w:pStyle w:val="FSBullet"/>
      </w:pPr>
      <w:r w:rsidRPr="00FF4C0D">
        <w:br w:type="page"/>
      </w:r>
    </w:p>
    <w:p w:rsidR="009B4A0D" w:rsidRPr="00FF4C0D" w:rsidRDefault="000E0EAF" w:rsidP="002D3CB7">
      <w:pPr>
        <w:pStyle w:val="FSBullet"/>
      </w:pPr>
      <w:r w:rsidRPr="00FF4C0D">
        <w:lastRenderedPageBreak/>
        <w:t>T</w:t>
      </w:r>
      <w:r w:rsidR="00412AA9" w:rsidRPr="00FF4C0D">
        <w:t xml:space="preserve">here may be a </w:t>
      </w:r>
      <w:r w:rsidR="002637EA" w:rsidRPr="00FF4C0D">
        <w:t>restriction of choice for</w:t>
      </w:r>
      <w:r w:rsidR="00412AA9" w:rsidRPr="00FF4C0D">
        <w:t xml:space="preserve"> consumers who believe that irradiated foods may be nutritionally </w:t>
      </w:r>
      <w:r w:rsidR="002637EA" w:rsidRPr="00FF4C0D">
        <w:t xml:space="preserve">inferior or less safe than </w:t>
      </w:r>
      <w:r w:rsidR="00412AA9" w:rsidRPr="00FF4C0D">
        <w:t>non-irradiated foods</w:t>
      </w:r>
      <w:r w:rsidR="002637EA" w:rsidRPr="00FF4C0D">
        <w:t xml:space="preserve"> and who therefore seek to avoid consuming such foods</w:t>
      </w:r>
      <w:r w:rsidRPr="00FF4C0D">
        <w:t>.</w:t>
      </w:r>
    </w:p>
    <w:p w:rsidR="009B4A0D" w:rsidRPr="00FF4C0D" w:rsidRDefault="000E0EAF" w:rsidP="002D3CB7">
      <w:pPr>
        <w:pStyle w:val="FSBullet"/>
        <w:rPr>
          <w:u w:val="single"/>
        </w:rPr>
      </w:pPr>
      <w:r w:rsidRPr="00FF4C0D">
        <w:t xml:space="preserve">A </w:t>
      </w:r>
      <w:r w:rsidR="00412AA9" w:rsidRPr="00FF4C0D">
        <w:t xml:space="preserve">transient increase in price of irradiated persimmons as a result of the cost of establishment of any new equipment that may be needed to effectively irradiate persimmons. </w:t>
      </w:r>
    </w:p>
    <w:p w:rsidR="0043394B" w:rsidRPr="00FF4C0D" w:rsidRDefault="0043394B"/>
    <w:p w:rsidR="00412AA9" w:rsidRPr="00FF4C0D" w:rsidRDefault="00B00BE4" w:rsidP="00B00BE4">
      <w:pPr>
        <w:pStyle w:val="Heading5"/>
      </w:pPr>
      <w:r w:rsidRPr="00FF4C0D">
        <w:t>9.2.2.2</w:t>
      </w:r>
      <w:r w:rsidRPr="00FF4C0D">
        <w:tab/>
      </w:r>
      <w:r w:rsidR="00412AA9" w:rsidRPr="00FF4C0D">
        <w:t>Industry</w:t>
      </w:r>
    </w:p>
    <w:p w:rsidR="00412AA9" w:rsidRPr="00FF4C0D" w:rsidRDefault="00412AA9" w:rsidP="00412AA9"/>
    <w:p w:rsidR="00412AA9" w:rsidRPr="00FF4C0D" w:rsidRDefault="00412AA9" w:rsidP="00412AA9">
      <w:r w:rsidRPr="00FF4C0D">
        <w:t xml:space="preserve">The following </w:t>
      </w:r>
      <w:r w:rsidR="00936A7D" w:rsidRPr="00FF4C0D">
        <w:t>w</w:t>
      </w:r>
      <w:r w:rsidR="00903EDD" w:rsidRPr="00FF4C0D">
        <w:t>ere</w:t>
      </w:r>
      <w:r w:rsidR="00936A7D" w:rsidRPr="00FF4C0D">
        <w:t xml:space="preserve"> identified</w:t>
      </w:r>
      <w:r w:rsidRPr="00FF4C0D">
        <w:t xml:space="preserve"> as benefits for industry:</w:t>
      </w:r>
    </w:p>
    <w:p w:rsidR="00412AA9" w:rsidRPr="00FF4C0D" w:rsidRDefault="00412AA9" w:rsidP="00412AA9"/>
    <w:p w:rsidR="009B4A0D" w:rsidRPr="00FF4C0D" w:rsidRDefault="00470E45" w:rsidP="002D3CB7">
      <w:pPr>
        <w:pStyle w:val="FSBullet"/>
      </w:pPr>
      <w:r w:rsidRPr="00FF4C0D">
        <w:t>A</w:t>
      </w:r>
      <w:r w:rsidR="00412AA9" w:rsidRPr="00FF4C0D">
        <w:t>n alternative phytosanitary measure if the current treatments are restricted</w:t>
      </w:r>
      <w:r w:rsidRPr="00FF4C0D">
        <w:t>.</w:t>
      </w:r>
    </w:p>
    <w:p w:rsidR="009B4A0D" w:rsidRPr="00FF4C0D" w:rsidRDefault="00470E45" w:rsidP="002D3CB7">
      <w:pPr>
        <w:pStyle w:val="FSBullet"/>
      </w:pPr>
      <w:r w:rsidRPr="00FF4C0D">
        <w:t>A</w:t>
      </w:r>
      <w:r w:rsidR="007343D3" w:rsidRPr="00FF4C0D">
        <w:t>n increased shelf life and quality of fruit</w:t>
      </w:r>
      <w:r w:rsidRPr="00FF4C0D">
        <w:t>.</w:t>
      </w:r>
    </w:p>
    <w:p w:rsidR="009B4A0D" w:rsidRPr="00FF4C0D" w:rsidRDefault="00470E45" w:rsidP="002D3CB7">
      <w:pPr>
        <w:pStyle w:val="FSBullet"/>
      </w:pPr>
      <w:r w:rsidRPr="00FF4C0D">
        <w:t>Increased</w:t>
      </w:r>
      <w:r w:rsidR="00D75509" w:rsidRPr="00FF4C0D">
        <w:t xml:space="preserve"> trade opportunities and increased markets available to persimmon growers due to </w:t>
      </w:r>
      <w:r w:rsidR="00A82284" w:rsidRPr="00FF4C0D">
        <w:t xml:space="preserve">an alternative treatment being available to meet </w:t>
      </w:r>
      <w:r w:rsidR="00D75509" w:rsidRPr="00FF4C0D">
        <w:t>quarantine requirements. Permission to irradiate could facilitate market access to New Zealand and Southeast Asia (namely, Singapore, Thailand, Hong Kong and Malaysia)</w:t>
      </w:r>
      <w:r w:rsidRPr="00FF4C0D">
        <w:t>.</w:t>
      </w:r>
    </w:p>
    <w:p w:rsidR="009B4A0D" w:rsidRPr="00FF4C0D" w:rsidRDefault="00470E45" w:rsidP="002D3CB7">
      <w:pPr>
        <w:pStyle w:val="FSBullet"/>
      </w:pPr>
      <w:r w:rsidRPr="00FF4C0D">
        <w:t>Possible</w:t>
      </w:r>
      <w:r w:rsidR="00412AA9" w:rsidRPr="00FF4C0D">
        <w:t xml:space="preserve"> boost to the State of Queensland’s economy, ensuring the livelihood of local growers. Australian </w:t>
      </w:r>
      <w:r w:rsidR="007529A9" w:rsidRPr="00FF4C0D">
        <w:t xml:space="preserve">persimmon </w:t>
      </w:r>
      <w:r w:rsidR="00412AA9" w:rsidRPr="00FF4C0D">
        <w:t xml:space="preserve">production </w:t>
      </w:r>
      <w:r w:rsidR="00C963D4" w:rsidRPr="00FF4C0D">
        <w:t>represents a</w:t>
      </w:r>
      <w:r w:rsidR="00412AA9" w:rsidRPr="00FF4C0D">
        <w:t xml:space="preserve"> gross value of $8-10 million dollars with Queensland accounting for approximately 40% of the Australian industry</w:t>
      </w:r>
      <w:r w:rsidRPr="00FF4C0D">
        <w:t>.</w:t>
      </w:r>
      <w:r w:rsidR="00412AA9" w:rsidRPr="00FF4C0D">
        <w:t xml:space="preserve"> </w:t>
      </w:r>
    </w:p>
    <w:p w:rsidR="00412AA9" w:rsidRPr="00FF4C0D" w:rsidRDefault="00470E45" w:rsidP="003E160B">
      <w:pPr>
        <w:pStyle w:val="FSBullet"/>
      </w:pPr>
      <w:r w:rsidRPr="00FF4C0D">
        <w:t>Possible</w:t>
      </w:r>
      <w:r w:rsidR="00412AA9" w:rsidRPr="00FF4C0D">
        <w:t xml:space="preserve"> benefit to industry by being a cost-</w:t>
      </w:r>
      <w:r w:rsidR="00597E28" w:rsidRPr="00FF4C0D">
        <w:t>effective technology</w:t>
      </w:r>
      <w:r w:rsidR="00412AA9" w:rsidRPr="00FF4C0D">
        <w:t xml:space="preserve"> in </w:t>
      </w:r>
      <w:r w:rsidR="00597E28" w:rsidRPr="00FF4C0D">
        <w:t>relation to</w:t>
      </w:r>
      <w:r w:rsidR="00412AA9" w:rsidRPr="00FF4C0D">
        <w:t xml:space="preserve"> other alternative treatments (hot water, vapour heat treatment, cold or heat treatment) without some of the inherent quality issues that alternative treatments may cause in fruits. </w:t>
      </w:r>
    </w:p>
    <w:p w:rsidR="009C1093" w:rsidRPr="00FF4C0D" w:rsidRDefault="009C1093">
      <w:pPr>
        <w:widowControl/>
      </w:pPr>
    </w:p>
    <w:p w:rsidR="00A155DF" w:rsidRPr="00FF4C0D" w:rsidRDefault="00A155DF" w:rsidP="00A155DF">
      <w:r w:rsidRPr="00FF4C0D">
        <w:t>The following were identified as costs for industry:</w:t>
      </w:r>
    </w:p>
    <w:p w:rsidR="00A155DF" w:rsidRPr="00FF4C0D" w:rsidRDefault="00A155DF" w:rsidP="00412AA9"/>
    <w:p w:rsidR="009B4A0D" w:rsidRPr="00FF4C0D" w:rsidRDefault="00470E45" w:rsidP="002D3CB7">
      <w:pPr>
        <w:pStyle w:val="FSBullet"/>
      </w:pPr>
      <w:r w:rsidRPr="00FF4C0D">
        <w:t>T</w:t>
      </w:r>
      <w:r w:rsidR="00072077" w:rsidRPr="00FF4C0D">
        <w:t xml:space="preserve">he </w:t>
      </w:r>
      <w:r w:rsidR="007529A9" w:rsidRPr="00FF4C0D">
        <w:t>initial set</w:t>
      </w:r>
      <w:r w:rsidR="00072077" w:rsidRPr="00FF4C0D">
        <w:t>-</w:t>
      </w:r>
      <w:r w:rsidR="007529A9" w:rsidRPr="00FF4C0D">
        <w:t>up costs in establishing an irradiation facility</w:t>
      </w:r>
      <w:r w:rsidR="007529A9" w:rsidRPr="00FF4C0D" w:rsidDel="003B0D1A">
        <w:t xml:space="preserve"> </w:t>
      </w:r>
      <w:r w:rsidR="007529A9" w:rsidRPr="00FF4C0D">
        <w:t xml:space="preserve">including building and capital may be significant. </w:t>
      </w:r>
    </w:p>
    <w:p w:rsidR="009B4A0D" w:rsidRPr="00FF4C0D" w:rsidRDefault="00470E45" w:rsidP="002D3CB7">
      <w:pPr>
        <w:pStyle w:val="FSBullet"/>
      </w:pPr>
      <w:r w:rsidRPr="00FF4C0D">
        <w:t>T</w:t>
      </w:r>
      <w:r w:rsidR="00412AA9" w:rsidRPr="00FF4C0D">
        <w:t>here are likely to be voluntary costs to industry of treatment of the fruit, transport, labelling irradiated foods</w:t>
      </w:r>
      <w:r w:rsidR="00A155DF" w:rsidRPr="00FF4C0D">
        <w:t>.</w:t>
      </w:r>
    </w:p>
    <w:p w:rsidR="009B4A0D" w:rsidRPr="00FF4C0D" w:rsidRDefault="00470E45" w:rsidP="002D3CB7">
      <w:pPr>
        <w:pStyle w:val="FSBullet"/>
      </w:pPr>
      <w:r w:rsidRPr="00FF4C0D">
        <w:t>T</w:t>
      </w:r>
      <w:r w:rsidR="00412AA9" w:rsidRPr="00FF4C0D">
        <w:t xml:space="preserve">here </w:t>
      </w:r>
      <w:r w:rsidR="007529A9" w:rsidRPr="00FF4C0D">
        <w:t>could</w:t>
      </w:r>
      <w:r w:rsidR="00412AA9" w:rsidRPr="00FF4C0D">
        <w:t xml:space="preserve"> be a cost in ascertaining consumer acceptance of irradiated persimmons. </w:t>
      </w:r>
    </w:p>
    <w:p w:rsidR="00412AA9" w:rsidRPr="00FF4C0D" w:rsidRDefault="00412AA9" w:rsidP="00412AA9">
      <w:pPr>
        <w:rPr>
          <w:szCs w:val="22"/>
        </w:rPr>
      </w:pPr>
    </w:p>
    <w:p w:rsidR="00BE60C7" w:rsidRPr="00FF4C0D" w:rsidRDefault="00A155DF" w:rsidP="00E56D5F">
      <w:pPr>
        <w:widowControl/>
        <w:rPr>
          <w:szCs w:val="22"/>
        </w:rPr>
      </w:pPr>
      <w:r w:rsidRPr="00FF4C0D">
        <w:rPr>
          <w:szCs w:val="22"/>
        </w:rPr>
        <w:t>However, b</w:t>
      </w:r>
      <w:r w:rsidR="00412AA9" w:rsidRPr="00FF4C0D">
        <w:rPr>
          <w:szCs w:val="22"/>
        </w:rPr>
        <w:t>usiness entities wishing to make use of the permission will decide to do so, on the basis of the commercial gains they hope to create e.g. by reducing their cost or extending market access.</w:t>
      </w:r>
    </w:p>
    <w:p w:rsidR="00990CBB" w:rsidRPr="00FF4C0D" w:rsidRDefault="00990CBB" w:rsidP="00143D33">
      <w:pPr>
        <w:rPr>
          <w:u w:val="single"/>
        </w:rPr>
      </w:pPr>
    </w:p>
    <w:p w:rsidR="00412AA9" w:rsidRPr="00FF4C0D" w:rsidRDefault="00B00BE4" w:rsidP="00B00BE4">
      <w:pPr>
        <w:pStyle w:val="Heading5"/>
      </w:pPr>
      <w:r w:rsidRPr="00FF4C0D">
        <w:t>9.2.2.3</w:t>
      </w:r>
      <w:r w:rsidRPr="00FF4C0D">
        <w:tab/>
      </w:r>
      <w:r w:rsidR="00412AA9" w:rsidRPr="00FF4C0D">
        <w:t>Government</w:t>
      </w:r>
    </w:p>
    <w:p w:rsidR="00412AA9" w:rsidRPr="00FF4C0D" w:rsidRDefault="00412AA9" w:rsidP="00412AA9"/>
    <w:p w:rsidR="00412AA9" w:rsidRPr="00FF4C0D" w:rsidRDefault="00412AA9" w:rsidP="00412AA9">
      <w:r w:rsidRPr="00FF4C0D">
        <w:t xml:space="preserve">The following </w:t>
      </w:r>
      <w:r w:rsidR="009238F7" w:rsidRPr="00FF4C0D">
        <w:t>w</w:t>
      </w:r>
      <w:r w:rsidR="00652DD4" w:rsidRPr="00FF4C0D">
        <w:t>ere</w:t>
      </w:r>
      <w:r w:rsidRPr="00FF4C0D">
        <w:t xml:space="preserve"> identified as benefits for Government:</w:t>
      </w:r>
    </w:p>
    <w:p w:rsidR="00412AA9" w:rsidRPr="00FF4C0D" w:rsidRDefault="00412AA9" w:rsidP="00412AA9">
      <w:pPr>
        <w:rPr>
          <w:szCs w:val="22"/>
        </w:rPr>
      </w:pPr>
    </w:p>
    <w:p w:rsidR="009B4A0D" w:rsidRPr="00FF4C0D" w:rsidRDefault="00470E45" w:rsidP="002D3CB7">
      <w:pPr>
        <w:pStyle w:val="FSBullet"/>
      </w:pPr>
      <w:r w:rsidRPr="00FF4C0D">
        <w:t>A</w:t>
      </w:r>
      <w:r w:rsidR="00412AA9" w:rsidRPr="00FF4C0D">
        <w:t>n additional pest disinfestation treatment at a time when some methods are not accepted or are being phased out (e.g. some chemical treatments). This may facilitate trade</w:t>
      </w:r>
      <w:r w:rsidRPr="00FF4C0D">
        <w:t>.</w:t>
      </w:r>
    </w:p>
    <w:p w:rsidR="009B4A0D" w:rsidRPr="00FF4C0D" w:rsidRDefault="00470E45" w:rsidP="002D3CB7">
      <w:pPr>
        <w:pStyle w:val="FSBullet"/>
      </w:pPr>
      <w:r w:rsidRPr="00FF4C0D">
        <w:t>P</w:t>
      </w:r>
      <w:r w:rsidR="00412AA9" w:rsidRPr="00FF4C0D">
        <w:t>ossible enhanced economic development in rural and regional Australia</w:t>
      </w:r>
      <w:r w:rsidRPr="00FF4C0D">
        <w:t>.</w:t>
      </w:r>
    </w:p>
    <w:p w:rsidR="009B4A0D" w:rsidRPr="00FF4C0D" w:rsidRDefault="00470E45" w:rsidP="002D3CB7">
      <w:pPr>
        <w:pStyle w:val="FSBullet"/>
      </w:pPr>
      <w:r w:rsidRPr="00FF4C0D">
        <w:t>A</w:t>
      </w:r>
      <w:r w:rsidR="00E32D63" w:rsidRPr="00FF4C0D">
        <w:t xml:space="preserve">mendments to </w:t>
      </w:r>
      <w:r w:rsidR="00637272" w:rsidRPr="00FF4C0D">
        <w:rPr>
          <w:rFonts w:eastAsiaTheme="minorHAnsi"/>
        </w:rPr>
        <w:t>Standard 1.5.3</w:t>
      </w:r>
      <w:r w:rsidR="00E32D63" w:rsidRPr="00FF4C0D">
        <w:rPr>
          <w:rFonts w:eastAsiaTheme="minorHAnsi"/>
        </w:rPr>
        <w:t xml:space="preserve"> </w:t>
      </w:r>
      <w:r w:rsidR="00E32D63" w:rsidRPr="00FF4C0D">
        <w:t xml:space="preserve">should benefit State/Territory/New Zealand enforcement agencies with regard to the interpretation of the Standard. </w:t>
      </w:r>
    </w:p>
    <w:p w:rsidR="009606D4" w:rsidRPr="00FF4C0D" w:rsidRDefault="009606D4" w:rsidP="001617E8"/>
    <w:p w:rsidR="009B4A0D" w:rsidRPr="00FF4C0D" w:rsidRDefault="00095D41" w:rsidP="002D3CB7">
      <w:pPr>
        <w:widowControl/>
      </w:pPr>
      <w:r w:rsidRPr="00FF4C0D">
        <w:t>The following were identified as costs for Government:</w:t>
      </w:r>
    </w:p>
    <w:p w:rsidR="00095D41" w:rsidRPr="00FF4C0D" w:rsidRDefault="00095D41" w:rsidP="001617E8"/>
    <w:p w:rsidR="009B4A0D" w:rsidRPr="00FF4C0D" w:rsidRDefault="00412AA9" w:rsidP="002D3CB7">
      <w:pPr>
        <w:pStyle w:val="FSBullet"/>
      </w:pPr>
      <w:r w:rsidRPr="00FF4C0D">
        <w:t xml:space="preserve">Australian and New Zealand quarantine agencies </w:t>
      </w:r>
      <w:r w:rsidR="00A82284" w:rsidRPr="00FF4C0D">
        <w:t xml:space="preserve">may incur costs in order </w:t>
      </w:r>
      <w:r w:rsidR="00665731" w:rsidRPr="00FF4C0D">
        <w:t xml:space="preserve">to </w:t>
      </w:r>
      <w:r w:rsidR="00BF7B91" w:rsidRPr="00FF4C0D">
        <w:t>assess</w:t>
      </w:r>
      <w:r w:rsidR="00665731" w:rsidRPr="00FF4C0D">
        <w:t xml:space="preserve"> </w:t>
      </w:r>
      <w:r w:rsidRPr="00FF4C0D">
        <w:t xml:space="preserve">irradiation treatments for specific pests to meet relevant quarantine import requirements for persimmons. </w:t>
      </w:r>
    </w:p>
    <w:p w:rsidR="001617E8" w:rsidRPr="00FF4C0D" w:rsidRDefault="001617E8" w:rsidP="002D3CB7">
      <w:pPr>
        <w:pStyle w:val="FSBullet"/>
      </w:pPr>
      <w:r w:rsidRPr="00FF4C0D">
        <w:br w:type="page"/>
      </w:r>
    </w:p>
    <w:p w:rsidR="009B4A0D" w:rsidRPr="00FF4C0D" w:rsidRDefault="0068357C" w:rsidP="002D3CB7">
      <w:pPr>
        <w:pStyle w:val="FSBullet"/>
        <w:rPr>
          <w:szCs w:val="22"/>
        </w:rPr>
      </w:pPr>
      <w:r w:rsidRPr="00FF4C0D">
        <w:lastRenderedPageBreak/>
        <w:t>The</w:t>
      </w:r>
      <w:r w:rsidR="00665731" w:rsidRPr="00FF4C0D">
        <w:t xml:space="preserve"> cost involved in </w:t>
      </w:r>
      <w:r w:rsidR="009B4453" w:rsidRPr="00FF4C0D">
        <w:t xml:space="preserve">enforcing the record keeping requirements in </w:t>
      </w:r>
      <w:r w:rsidR="00637272" w:rsidRPr="00FF4C0D">
        <w:rPr>
          <w:rFonts w:eastAsiaTheme="minorHAnsi"/>
        </w:rPr>
        <w:t>Standard 1.5.3</w:t>
      </w:r>
      <w:r w:rsidR="0032408D" w:rsidRPr="00FF4C0D">
        <w:rPr>
          <w:rFonts w:eastAsiaTheme="minorHAnsi"/>
        </w:rPr>
        <w:t xml:space="preserve"> </w:t>
      </w:r>
      <w:r w:rsidR="00E32D63" w:rsidRPr="00FF4C0D">
        <w:rPr>
          <w:rFonts w:eastAsiaTheme="minorHAnsi"/>
        </w:rPr>
        <w:t xml:space="preserve">which </w:t>
      </w:r>
      <w:r w:rsidR="00E32D63" w:rsidRPr="00FF4C0D">
        <w:rPr>
          <w:szCs w:val="22"/>
        </w:rPr>
        <w:t xml:space="preserve">were also required </w:t>
      </w:r>
      <w:r w:rsidRPr="00FF4C0D">
        <w:rPr>
          <w:szCs w:val="22"/>
        </w:rPr>
        <w:t xml:space="preserve">and enforced </w:t>
      </w:r>
      <w:r w:rsidR="0032408D" w:rsidRPr="00FF4C0D">
        <w:rPr>
          <w:szCs w:val="22"/>
        </w:rPr>
        <w:t xml:space="preserve">by </w:t>
      </w:r>
      <w:r w:rsidR="000B2AE0" w:rsidRPr="00FF4C0D">
        <w:rPr>
          <w:szCs w:val="22"/>
        </w:rPr>
        <w:t xml:space="preserve">radiation </w:t>
      </w:r>
      <w:r w:rsidR="00FD1023" w:rsidRPr="00FF4C0D">
        <w:rPr>
          <w:szCs w:val="22"/>
        </w:rPr>
        <w:t>licensing authorities</w:t>
      </w:r>
      <w:r w:rsidR="00E32D63" w:rsidRPr="00FF4C0D">
        <w:rPr>
          <w:szCs w:val="22"/>
        </w:rPr>
        <w:t xml:space="preserve">.  </w:t>
      </w:r>
    </w:p>
    <w:p w:rsidR="0032408D" w:rsidRPr="00FF4C0D" w:rsidRDefault="0032408D"/>
    <w:p w:rsidR="006F135E" w:rsidRPr="00FF4C0D" w:rsidRDefault="00B00BE4" w:rsidP="00751255">
      <w:pPr>
        <w:pStyle w:val="Heading4"/>
      </w:pPr>
      <w:r w:rsidRPr="00FF4C0D">
        <w:t>9</w:t>
      </w:r>
      <w:r w:rsidR="00E32D63" w:rsidRPr="00FF4C0D">
        <w:t>.2.3</w:t>
      </w:r>
      <w:r w:rsidR="00E32D63" w:rsidRPr="00FF4C0D">
        <w:tab/>
        <w:t>Option 3</w:t>
      </w:r>
      <w:r w:rsidR="006F135E" w:rsidRPr="00FF4C0D">
        <w:t xml:space="preserve">: </w:t>
      </w:r>
      <w:r w:rsidR="00D544B3" w:rsidRPr="00FF4C0D">
        <w:t xml:space="preserve">Approve </w:t>
      </w:r>
      <w:r w:rsidR="00F30D47" w:rsidRPr="00FF4C0D">
        <w:t xml:space="preserve">the </w:t>
      </w:r>
      <w:r w:rsidR="00D544B3" w:rsidRPr="00FF4C0D">
        <w:t>draft variation</w:t>
      </w:r>
      <w:r w:rsidR="00F30D47" w:rsidRPr="00FF4C0D">
        <w:t xml:space="preserve">s </w:t>
      </w:r>
      <w:r w:rsidR="00D544B3" w:rsidRPr="00FF4C0D">
        <w:t xml:space="preserve">proposed </w:t>
      </w:r>
      <w:r w:rsidR="0044151E" w:rsidRPr="00FF4C0D">
        <w:rPr>
          <w:rFonts w:cs="Arial"/>
        </w:rPr>
        <w:t>at Assessment, subject to amendment.</w:t>
      </w:r>
    </w:p>
    <w:p w:rsidR="006F135E" w:rsidRPr="00FF4C0D" w:rsidRDefault="006F135E" w:rsidP="00143D33"/>
    <w:p w:rsidR="00953E5D" w:rsidRPr="00FF4C0D" w:rsidRDefault="006F135E" w:rsidP="00786B03">
      <w:r w:rsidRPr="00FF4C0D">
        <w:rPr>
          <w:lang w:eastAsia="en-GB" w:bidi="ar-SA"/>
        </w:rPr>
        <w:t xml:space="preserve">This </w:t>
      </w:r>
      <w:r w:rsidR="00A81125" w:rsidRPr="00FF4C0D">
        <w:rPr>
          <w:lang w:eastAsia="en-GB" w:bidi="ar-SA"/>
        </w:rPr>
        <w:t>O</w:t>
      </w:r>
      <w:r w:rsidRPr="00FF4C0D">
        <w:rPr>
          <w:lang w:eastAsia="en-GB" w:bidi="ar-SA"/>
        </w:rPr>
        <w:t xml:space="preserve">ption provides similar costs and benefits as Option 2. </w:t>
      </w:r>
      <w:r w:rsidR="00D83267" w:rsidRPr="00FF4C0D">
        <w:rPr>
          <w:lang w:eastAsia="en-GB" w:bidi="ar-SA"/>
        </w:rPr>
        <w:t xml:space="preserve">However, </w:t>
      </w:r>
      <w:r w:rsidR="00D83267" w:rsidRPr="00FF4C0D">
        <w:t xml:space="preserve">FSANZ considered the comments received </w:t>
      </w:r>
      <w:r w:rsidR="00D370FE" w:rsidRPr="00FF4C0D">
        <w:t>during the public consul</w:t>
      </w:r>
      <w:r w:rsidR="00963372" w:rsidRPr="00FF4C0D">
        <w:t>t</w:t>
      </w:r>
      <w:r w:rsidR="00D370FE" w:rsidRPr="00FF4C0D">
        <w:t xml:space="preserve">ation period </w:t>
      </w:r>
      <w:r w:rsidR="00D83267" w:rsidRPr="00FF4C0D">
        <w:t>an</w:t>
      </w:r>
      <w:r w:rsidR="003D6081" w:rsidRPr="00FF4C0D">
        <w:t>d amended the draft variations</w:t>
      </w:r>
      <w:r w:rsidR="007343D3" w:rsidRPr="00FF4C0D">
        <w:t xml:space="preserve"> in order to provide further clarity and enforceability of </w:t>
      </w:r>
      <w:r w:rsidR="00637272" w:rsidRPr="00FF4C0D">
        <w:rPr>
          <w:rFonts w:eastAsiaTheme="minorHAnsi"/>
        </w:rPr>
        <w:t>Standard 1.5.3</w:t>
      </w:r>
      <w:r w:rsidR="000C447B" w:rsidRPr="00FF4C0D">
        <w:t xml:space="preserve">. </w:t>
      </w:r>
      <w:r w:rsidR="003B2542" w:rsidRPr="00FF4C0D">
        <w:t xml:space="preserve">The benefits of this option were improved enforceability in </w:t>
      </w:r>
      <w:r w:rsidR="00053B61" w:rsidRPr="00FF4C0D">
        <w:t xml:space="preserve">regard to </w:t>
      </w:r>
      <w:r w:rsidR="003B2542" w:rsidRPr="00FF4C0D">
        <w:t xml:space="preserve">interpretation of the Standard. </w:t>
      </w:r>
    </w:p>
    <w:p w:rsidR="00953E5D" w:rsidRPr="00FF4C0D" w:rsidRDefault="00953E5D" w:rsidP="003151AB"/>
    <w:p w:rsidR="00412AA9" w:rsidRPr="00FF4C0D" w:rsidRDefault="00B00BE4" w:rsidP="00412AA9">
      <w:pPr>
        <w:pStyle w:val="Heading3"/>
      </w:pPr>
      <w:bookmarkStart w:id="91" w:name="_Toc120358590"/>
      <w:bookmarkStart w:id="92" w:name="_Toc297029112"/>
      <w:r w:rsidRPr="00FF4C0D">
        <w:t>9</w:t>
      </w:r>
      <w:r w:rsidR="00412AA9" w:rsidRPr="00FF4C0D">
        <w:t>.3</w:t>
      </w:r>
      <w:r w:rsidR="00412AA9" w:rsidRPr="00FF4C0D">
        <w:tab/>
        <w:t>Comparison of Options</w:t>
      </w:r>
      <w:bookmarkEnd w:id="91"/>
      <w:bookmarkEnd w:id="92"/>
    </w:p>
    <w:p w:rsidR="00412AA9" w:rsidRPr="00FF4C0D" w:rsidRDefault="00412AA9" w:rsidP="00412AA9">
      <w:pPr>
        <w:rPr>
          <w:rFonts w:cs="Arial"/>
        </w:rPr>
      </w:pPr>
    </w:p>
    <w:p w:rsidR="00412AA9" w:rsidRPr="00FF4C0D" w:rsidRDefault="00412AA9" w:rsidP="00412AA9">
      <w:pPr>
        <w:rPr>
          <w:rFonts w:cs="Arial"/>
        </w:rPr>
      </w:pPr>
      <w:r w:rsidRPr="00FF4C0D">
        <w:rPr>
          <w:rFonts w:cs="Arial"/>
          <w:b/>
          <w:bCs/>
        </w:rPr>
        <w:t>Option 1</w:t>
      </w:r>
      <w:r w:rsidRPr="00FF4C0D">
        <w:rPr>
          <w:rFonts w:cs="Arial"/>
        </w:rPr>
        <w:t xml:space="preserve"> would not allow the use of irradiation on persimmons. It </w:t>
      </w:r>
      <w:r w:rsidR="007529A9" w:rsidRPr="00FF4C0D">
        <w:rPr>
          <w:rFonts w:cs="Arial"/>
        </w:rPr>
        <w:t xml:space="preserve">may </w:t>
      </w:r>
      <w:r w:rsidRPr="00FF4C0D">
        <w:rPr>
          <w:rFonts w:cs="Arial"/>
        </w:rPr>
        <w:t xml:space="preserve">impose costs on consumers by </w:t>
      </w:r>
      <w:r w:rsidR="007529A9" w:rsidRPr="00FF4C0D">
        <w:rPr>
          <w:rFonts w:cs="Arial"/>
        </w:rPr>
        <w:t>reducing availability of persimmons if permission</w:t>
      </w:r>
      <w:r w:rsidR="008D4E2B" w:rsidRPr="00FF4C0D">
        <w:rPr>
          <w:rFonts w:cs="Arial"/>
        </w:rPr>
        <w:t>s</w:t>
      </w:r>
      <w:r w:rsidR="007529A9" w:rsidRPr="00FF4C0D">
        <w:rPr>
          <w:rFonts w:cs="Arial"/>
        </w:rPr>
        <w:t xml:space="preserve"> for current chemical treatments are removed. </w:t>
      </w:r>
      <w:r w:rsidRPr="00FF4C0D">
        <w:rPr>
          <w:rFonts w:cs="Arial"/>
        </w:rPr>
        <w:t>It may deny Australian persimmon growers access to new markets and may hinder regional development.</w:t>
      </w:r>
    </w:p>
    <w:p w:rsidR="00412AA9" w:rsidRPr="00FF4C0D" w:rsidRDefault="00412AA9" w:rsidP="00412AA9">
      <w:pPr>
        <w:rPr>
          <w:rFonts w:cs="Arial"/>
          <w:b/>
          <w:bCs/>
        </w:rPr>
      </w:pPr>
    </w:p>
    <w:p w:rsidR="00D75509" w:rsidRPr="00FF4C0D" w:rsidRDefault="00D75509" w:rsidP="00D75509">
      <w:pPr>
        <w:tabs>
          <w:tab w:val="left" w:pos="840"/>
        </w:tabs>
        <w:rPr>
          <w:rFonts w:cs="Arial"/>
        </w:rPr>
      </w:pPr>
      <w:r w:rsidRPr="00FF4C0D">
        <w:rPr>
          <w:rFonts w:cs="Arial"/>
          <w:b/>
          <w:bCs/>
        </w:rPr>
        <w:t>Option 2</w:t>
      </w:r>
      <w:r w:rsidRPr="00FF4C0D">
        <w:rPr>
          <w:rFonts w:cs="Arial"/>
        </w:rPr>
        <w:t xml:space="preserve"> allows the use of irradiation, which has been determined to be safe for pest </w:t>
      </w:r>
      <w:r w:rsidR="0072168C" w:rsidRPr="00FF4C0D">
        <w:rPr>
          <w:rFonts w:cs="Arial"/>
        </w:rPr>
        <w:t>disinfestation, it is supported by the scientific risk assessment, it most clearly achieves the objectives of providing assurance of the safety of consuming irradiated fruits, providing labelling information to consumers that serve to give them informed choice, and may allow persimmon growers to access new markets</w:t>
      </w:r>
      <w:r w:rsidRPr="00FF4C0D">
        <w:rPr>
          <w:rFonts w:cs="Arial"/>
        </w:rPr>
        <w:t xml:space="preserve">. This is likely to be a net benefit for industry but changes to </w:t>
      </w:r>
      <w:r w:rsidR="00637272" w:rsidRPr="00FF4C0D">
        <w:rPr>
          <w:rFonts w:cs="Arial"/>
        </w:rPr>
        <w:t>Standard 1.5.3</w:t>
      </w:r>
      <w:r w:rsidRPr="00FF4C0D">
        <w:rPr>
          <w:rFonts w:cs="Arial"/>
        </w:rPr>
        <w:t xml:space="preserve"> as indicated by submitters may have some adverse impacts on jurisdictions and consumers</w:t>
      </w:r>
      <w:r w:rsidR="000C447B" w:rsidRPr="00FF4C0D">
        <w:rPr>
          <w:rFonts w:cs="Arial"/>
        </w:rPr>
        <w:t xml:space="preserve">. </w:t>
      </w:r>
      <w:r w:rsidRPr="00FF4C0D">
        <w:rPr>
          <w:rFonts w:cs="Arial"/>
        </w:rPr>
        <w:t xml:space="preserve">  </w:t>
      </w:r>
    </w:p>
    <w:p w:rsidR="00D75509" w:rsidRPr="00FF4C0D" w:rsidRDefault="00D75509" w:rsidP="00D75509">
      <w:pPr>
        <w:tabs>
          <w:tab w:val="left" w:pos="840"/>
        </w:tabs>
        <w:rPr>
          <w:rFonts w:cs="Arial"/>
        </w:rPr>
      </w:pPr>
    </w:p>
    <w:p w:rsidR="00B113B7" w:rsidRPr="00FF4C0D" w:rsidRDefault="00D75509" w:rsidP="00D75509">
      <w:pPr>
        <w:tabs>
          <w:tab w:val="left" w:pos="840"/>
        </w:tabs>
        <w:rPr>
          <w:rFonts w:cs="Arial"/>
        </w:rPr>
      </w:pPr>
      <w:r w:rsidRPr="00FF4C0D">
        <w:rPr>
          <w:rFonts w:cs="Arial"/>
          <w:b/>
        </w:rPr>
        <w:t xml:space="preserve">Option 3 </w:t>
      </w:r>
      <w:r w:rsidRPr="00FF4C0D">
        <w:rPr>
          <w:rFonts w:cs="Arial"/>
        </w:rPr>
        <w:t xml:space="preserve">is preferred because, </w:t>
      </w:r>
      <w:r w:rsidR="0072168C" w:rsidRPr="00FF4C0D">
        <w:rPr>
          <w:rFonts w:cs="Arial"/>
        </w:rPr>
        <w:t xml:space="preserve">it deliver similar outcomes to </w:t>
      </w:r>
      <w:r w:rsidRPr="00FF4C0D">
        <w:rPr>
          <w:rFonts w:cs="Arial"/>
        </w:rPr>
        <w:t>Option 2,</w:t>
      </w:r>
      <w:r w:rsidR="0072168C" w:rsidRPr="00FF4C0D">
        <w:rPr>
          <w:rFonts w:cs="Arial"/>
        </w:rPr>
        <w:t xml:space="preserve">and avoids the potential negative impacts identified by submitters in relation to amendments to other elements of </w:t>
      </w:r>
      <w:r w:rsidR="00637272" w:rsidRPr="00FF4C0D">
        <w:rPr>
          <w:rFonts w:cs="Arial"/>
        </w:rPr>
        <w:t>Standard 1.5.3</w:t>
      </w:r>
      <w:r w:rsidR="0072168C" w:rsidRPr="00FF4C0D">
        <w:rPr>
          <w:rFonts w:cs="Arial"/>
        </w:rPr>
        <w:t xml:space="preserve">. </w:t>
      </w:r>
      <w:r w:rsidR="000C447B" w:rsidRPr="00FF4C0D">
        <w:rPr>
          <w:rFonts w:cs="Arial"/>
        </w:rPr>
        <w:t xml:space="preserve">. </w:t>
      </w:r>
      <w:r w:rsidRPr="00FF4C0D">
        <w:rPr>
          <w:rFonts w:cs="Arial"/>
        </w:rPr>
        <w:t xml:space="preserve">It also meets Australia and New Zealand’s requirements under the World Trade Organization (WTO) by virtue of consistency with other international regulations on irradiated fruits. </w:t>
      </w:r>
    </w:p>
    <w:p w:rsidR="009B4A0D" w:rsidRPr="00FF4C0D" w:rsidRDefault="009B4A0D" w:rsidP="002D3CB7">
      <w:pPr>
        <w:widowControl/>
        <w:rPr>
          <w:rFonts w:cs="Arial"/>
        </w:rPr>
      </w:pPr>
    </w:p>
    <w:p w:rsidR="009B4A0D" w:rsidRPr="00FF4C0D" w:rsidRDefault="00D75509" w:rsidP="002D3CB7">
      <w:pPr>
        <w:widowControl/>
        <w:rPr>
          <w:rFonts w:cs="Arial"/>
        </w:rPr>
      </w:pPr>
      <w:r w:rsidRPr="00FF4C0D">
        <w:rPr>
          <w:rFonts w:cs="Arial"/>
        </w:rPr>
        <w:t xml:space="preserve">This Option inserts additional words to provide more clarity in Standard 1.5.3 and re-inserts specific clauses where they are still needed for enforcement purposes or for information for consumers. </w:t>
      </w:r>
    </w:p>
    <w:p w:rsidR="001E1DA1" w:rsidRPr="00FF4C0D" w:rsidRDefault="001E1DA1" w:rsidP="001E1DA1">
      <w:pPr>
        <w:rPr>
          <w:rFonts w:eastAsiaTheme="minorHAnsi"/>
          <w:sz w:val="18"/>
          <w:szCs w:val="18"/>
        </w:rPr>
      </w:pPr>
    </w:p>
    <w:p w:rsidR="009126C4" w:rsidRPr="00FF4C0D" w:rsidRDefault="009126C4" w:rsidP="009126C4">
      <w:pPr>
        <w:pStyle w:val="Heading1"/>
      </w:pPr>
      <w:bookmarkStart w:id="93" w:name="_Toc297029113"/>
      <w:bookmarkStart w:id="94" w:name="_Toc11735640"/>
      <w:bookmarkStart w:id="95" w:name="_Toc29883125"/>
      <w:bookmarkStart w:id="96" w:name="_Toc41906812"/>
      <w:bookmarkStart w:id="97" w:name="_Toc41907559"/>
      <w:bookmarkStart w:id="98" w:name="_Toc120358593"/>
      <w:r w:rsidRPr="00FF4C0D">
        <w:t>Risk Communication</w:t>
      </w:r>
      <w:bookmarkEnd w:id="93"/>
      <w:r w:rsidRPr="00FF4C0D">
        <w:t xml:space="preserve"> </w:t>
      </w:r>
    </w:p>
    <w:p w:rsidR="009126C4" w:rsidRPr="00FF4C0D" w:rsidRDefault="009126C4" w:rsidP="009126C4"/>
    <w:p w:rsidR="009126C4" w:rsidRPr="00FF4C0D" w:rsidRDefault="009126C4" w:rsidP="009126C4">
      <w:r w:rsidRPr="00FF4C0D">
        <w:t xml:space="preserve">The types of concerns identified by Australians and New Zealanders include: exposure to radiation, reduction in nutrition and wholesomeness of foods, damage to the environment, and occupational health issues for workers and the use of irradiation as a substitute for safe food production (Gamble et al 2002). </w:t>
      </w:r>
    </w:p>
    <w:p w:rsidR="009126C4" w:rsidRPr="00FF4C0D" w:rsidRDefault="009126C4" w:rsidP="009126C4"/>
    <w:p w:rsidR="009126C4" w:rsidRPr="00FF4C0D" w:rsidRDefault="009126C4" w:rsidP="009126C4">
      <w:r w:rsidRPr="00FF4C0D">
        <w:t xml:space="preserve">A summary of the relevant research related to consumer awareness, understanding and acceptance of food irradiation is given in </w:t>
      </w:r>
      <w:r w:rsidRPr="00FF4C0D">
        <w:rPr>
          <w:b/>
        </w:rPr>
        <w:t>Supporting Document 3</w:t>
      </w:r>
      <w:r w:rsidRPr="00FF4C0D">
        <w:t>. As demonstrated by markets in various nations</w:t>
      </w:r>
      <w:r w:rsidR="00631265" w:rsidRPr="00FF4C0D">
        <w:t>,</w:t>
      </w:r>
      <w:r w:rsidRPr="00FF4C0D">
        <w:t xml:space="preserve"> consumers are willing to purchase food that has been irradiated (Bruhn 1995; International Consultative Group on Food Irradiation 1999). Australian and New Zealand consumers are generally aware of food irradiation but also hold concerns about the use of the technology. </w:t>
      </w:r>
      <w:r w:rsidRPr="00FF4C0D">
        <w:rPr>
          <w:rFonts w:cs="Arial"/>
        </w:rPr>
        <w:t>The response to food irradiation is not dissimilar to their</w:t>
      </w:r>
      <w:r w:rsidR="00A84729" w:rsidRPr="00FF4C0D">
        <w:rPr>
          <w:rFonts w:cs="Arial"/>
        </w:rPr>
        <w:t xml:space="preserve"> </w:t>
      </w:r>
      <w:r w:rsidRPr="00FF4C0D">
        <w:rPr>
          <w:rFonts w:cs="Arial"/>
        </w:rPr>
        <w:t xml:space="preserve">response to other new food technologies, where perceived risks and benefits of the technology will inform subsequent decisions made by consumers. While aware of food irradiation, consumers’ understanding is limited and this may contribute to perception of increased risk. </w:t>
      </w:r>
      <w:r w:rsidRPr="00FF4C0D">
        <w:t>Information and education may assist in addressing the information gap.</w:t>
      </w:r>
    </w:p>
    <w:p w:rsidR="00B00BE4" w:rsidRPr="00FF4C0D" w:rsidRDefault="00B00BE4" w:rsidP="009126C4">
      <w:r w:rsidRPr="00FF4C0D">
        <w:br w:type="page"/>
      </w:r>
    </w:p>
    <w:p w:rsidR="009126C4" w:rsidRPr="00FF4C0D" w:rsidDel="00203A7E" w:rsidRDefault="009126C4" w:rsidP="009126C4">
      <w:r w:rsidRPr="00FF4C0D">
        <w:lastRenderedPageBreak/>
        <w:t xml:space="preserve">It is evident that a significant information gap exists in relation to consumers’ knowledge about food irradiation. FSANZ can play a role in terms of providing factual information in relation to the Application, and education material such as a fact sheet on irradiation to facilitate increasing consumer awareness of irradiation. However, other agencies and bodies can also play a role in providing relevant information to consumers in relation to this technology. </w:t>
      </w:r>
    </w:p>
    <w:p w:rsidR="009126C4" w:rsidRPr="00FF4C0D" w:rsidRDefault="009126C4" w:rsidP="009126C4"/>
    <w:p w:rsidR="009126C4" w:rsidRPr="00FF4C0D" w:rsidRDefault="009126C4" w:rsidP="00B206A0">
      <w:r w:rsidRPr="00FF4C0D">
        <w:t>For example, industry can specify the purpose of the irradiation process, such as ‘disinfestation to control critical quarantine pests’. Other relevant authorities, such as departments of agriculture also have a role to play in providing information on the Biosecurity aspects of the technology and the benefits to both the economy as a whole and industry in general.</w:t>
      </w:r>
    </w:p>
    <w:p w:rsidR="00E56D5F" w:rsidRPr="00FF4C0D" w:rsidRDefault="00E56D5F" w:rsidP="00B206A0"/>
    <w:p w:rsidR="00B519DF" w:rsidRPr="00FF4C0D" w:rsidRDefault="007A44B4" w:rsidP="00B00BE4">
      <w:pPr>
        <w:pStyle w:val="Heading2"/>
      </w:pPr>
      <w:bookmarkStart w:id="99" w:name="_Toc297029114"/>
      <w:r w:rsidRPr="00FF4C0D">
        <w:t>1</w:t>
      </w:r>
      <w:r w:rsidR="00B00BE4" w:rsidRPr="00FF4C0D">
        <w:t>0</w:t>
      </w:r>
      <w:r w:rsidRPr="00FF4C0D">
        <w:t>.</w:t>
      </w:r>
      <w:r w:rsidR="003C4969" w:rsidRPr="00FF4C0D">
        <w:tab/>
        <w:t>Consultation</w:t>
      </w:r>
      <w:bookmarkEnd w:id="94"/>
      <w:bookmarkEnd w:id="95"/>
      <w:bookmarkEnd w:id="96"/>
      <w:bookmarkEnd w:id="97"/>
      <w:bookmarkEnd w:id="98"/>
      <w:bookmarkEnd w:id="99"/>
    </w:p>
    <w:p w:rsidR="00125E51" w:rsidRPr="00FF4C0D" w:rsidRDefault="00125E51" w:rsidP="00125E51"/>
    <w:p w:rsidR="00125E51" w:rsidRPr="00FF4C0D" w:rsidRDefault="00125E51" w:rsidP="009342E4">
      <w:r w:rsidRPr="00FF4C0D">
        <w:rPr>
          <w:szCs w:val="22"/>
        </w:rPr>
        <w:t xml:space="preserve">Consultation on the Assessment </w:t>
      </w:r>
      <w:r w:rsidR="00D81558" w:rsidRPr="00FF4C0D">
        <w:rPr>
          <w:szCs w:val="22"/>
        </w:rPr>
        <w:t>R</w:t>
      </w:r>
      <w:r w:rsidRPr="00FF4C0D">
        <w:rPr>
          <w:szCs w:val="22"/>
        </w:rPr>
        <w:t>eport was conducted over a period of six weeks. Seventy</w:t>
      </w:r>
      <w:r w:rsidR="00072077" w:rsidRPr="00FF4C0D">
        <w:rPr>
          <w:szCs w:val="22"/>
        </w:rPr>
        <w:t>-</w:t>
      </w:r>
      <w:r w:rsidRPr="00FF4C0D">
        <w:rPr>
          <w:szCs w:val="22"/>
        </w:rPr>
        <w:t xml:space="preserve">five submissions were received of which 66 were opposed to food irradiation and </w:t>
      </w:r>
      <w:r w:rsidR="0037775B" w:rsidRPr="00FF4C0D">
        <w:rPr>
          <w:szCs w:val="22"/>
        </w:rPr>
        <w:t>nine</w:t>
      </w:r>
      <w:r w:rsidRPr="00FF4C0D">
        <w:rPr>
          <w:szCs w:val="22"/>
        </w:rPr>
        <w:t xml:space="preserve"> were in support of the Application (</w:t>
      </w:r>
      <w:r w:rsidR="00AE46A1" w:rsidRPr="00FF4C0D">
        <w:rPr>
          <w:b/>
          <w:szCs w:val="22"/>
        </w:rPr>
        <w:t>Attachment 3</w:t>
      </w:r>
      <w:r w:rsidRPr="00FF4C0D">
        <w:rPr>
          <w:szCs w:val="22"/>
        </w:rPr>
        <w:t>). FSANZ has taken all submitters’ comments into consideration in completing the Approval Report</w:t>
      </w:r>
      <w:r w:rsidR="00B50ACD" w:rsidRPr="00FF4C0D">
        <w:rPr>
          <w:szCs w:val="22"/>
        </w:rPr>
        <w:t xml:space="preserve"> </w:t>
      </w:r>
      <w:r w:rsidR="00632540" w:rsidRPr="00FF4C0D">
        <w:rPr>
          <w:szCs w:val="22"/>
        </w:rPr>
        <w:t xml:space="preserve">and </w:t>
      </w:r>
      <w:r w:rsidR="00936A7D" w:rsidRPr="00FF4C0D">
        <w:rPr>
          <w:szCs w:val="22"/>
        </w:rPr>
        <w:t xml:space="preserve">those </w:t>
      </w:r>
      <w:r w:rsidR="00632540" w:rsidRPr="00FF4C0D">
        <w:rPr>
          <w:szCs w:val="22"/>
        </w:rPr>
        <w:t xml:space="preserve">related to the risk assessment and risk management of the approval of persimmons and the proposed amendments to </w:t>
      </w:r>
      <w:r w:rsidR="00637272" w:rsidRPr="00FF4C0D">
        <w:rPr>
          <w:szCs w:val="22"/>
        </w:rPr>
        <w:t>Standard 1.5.3</w:t>
      </w:r>
      <w:r w:rsidR="00632540" w:rsidRPr="00FF4C0D">
        <w:rPr>
          <w:szCs w:val="22"/>
        </w:rPr>
        <w:t xml:space="preserve"> are addressed in </w:t>
      </w:r>
      <w:r w:rsidR="00B50ACD" w:rsidRPr="00FF4C0D">
        <w:rPr>
          <w:szCs w:val="22"/>
        </w:rPr>
        <w:t>Sections 5 to 8</w:t>
      </w:r>
      <w:r w:rsidRPr="00FF4C0D">
        <w:rPr>
          <w:szCs w:val="22"/>
        </w:rPr>
        <w:t xml:space="preserve">. </w:t>
      </w:r>
    </w:p>
    <w:p w:rsidR="00B519DF" w:rsidRPr="00FF4C0D" w:rsidRDefault="00B519DF">
      <w:pPr>
        <w:rPr>
          <w:rFonts w:cs="Arial"/>
        </w:rPr>
      </w:pPr>
    </w:p>
    <w:p w:rsidR="003C4969" w:rsidRPr="00FF4C0D" w:rsidRDefault="007A44B4" w:rsidP="007A44B4">
      <w:pPr>
        <w:pStyle w:val="Heading3"/>
      </w:pPr>
      <w:bookmarkStart w:id="100" w:name="_Toc15456903"/>
      <w:bookmarkStart w:id="101" w:name="_Toc20727764"/>
      <w:bookmarkStart w:id="102" w:name="_Toc29727729"/>
      <w:bookmarkStart w:id="103" w:name="_Toc29883126"/>
      <w:bookmarkStart w:id="104" w:name="_Toc41906813"/>
      <w:bookmarkStart w:id="105" w:name="_Toc41907560"/>
      <w:bookmarkStart w:id="106" w:name="_Toc120358594"/>
      <w:bookmarkStart w:id="107" w:name="_Toc297029115"/>
      <w:r w:rsidRPr="00FF4C0D">
        <w:t>1</w:t>
      </w:r>
      <w:r w:rsidR="00B00BE4" w:rsidRPr="00FF4C0D">
        <w:t>0</w:t>
      </w:r>
      <w:r w:rsidR="00985B8D" w:rsidRPr="00FF4C0D">
        <w:t>.1</w:t>
      </w:r>
      <w:r w:rsidR="003C4969" w:rsidRPr="00FF4C0D">
        <w:tab/>
        <w:t>World Trade Organization (WTO)</w:t>
      </w:r>
      <w:bookmarkEnd w:id="100"/>
      <w:bookmarkEnd w:id="101"/>
      <w:bookmarkEnd w:id="102"/>
      <w:bookmarkEnd w:id="103"/>
      <w:bookmarkEnd w:id="104"/>
      <w:bookmarkEnd w:id="105"/>
      <w:bookmarkEnd w:id="106"/>
      <w:bookmarkEnd w:id="107"/>
    </w:p>
    <w:p w:rsidR="00B519DF" w:rsidRPr="00FF4C0D" w:rsidRDefault="00B519DF">
      <w:pPr>
        <w:rPr>
          <w:rFonts w:cs="Arial"/>
        </w:rPr>
      </w:pPr>
    </w:p>
    <w:p w:rsidR="002268F2" w:rsidRPr="00FF4C0D" w:rsidRDefault="002268F2" w:rsidP="002268F2">
      <w:pPr>
        <w:rPr>
          <w:rFonts w:cs="Arial"/>
        </w:rPr>
      </w:pPr>
      <w:r w:rsidRPr="00FF4C0D">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2268F2" w:rsidRPr="00FF4C0D" w:rsidRDefault="002268F2" w:rsidP="002268F2">
      <w:pPr>
        <w:tabs>
          <w:tab w:val="left" w:pos="1560"/>
        </w:tabs>
        <w:rPr>
          <w:szCs w:val="22"/>
        </w:rPr>
      </w:pPr>
    </w:p>
    <w:p w:rsidR="002268F2" w:rsidRPr="00FF4C0D" w:rsidRDefault="002268F2" w:rsidP="002268F2">
      <w:pPr>
        <w:tabs>
          <w:tab w:val="left" w:pos="1560"/>
        </w:tabs>
        <w:rPr>
          <w:szCs w:val="22"/>
        </w:rPr>
      </w:pPr>
      <w:r w:rsidRPr="00FF4C0D">
        <w:rPr>
          <w:szCs w:val="22"/>
        </w:rPr>
        <w:t>The inclusion of permissions to irradiate persimmons would have a trade enabling effect as it would permit irradiated persimmons to be sold in Australia and New Zealand and also allow imports into Australia and New Zealand and sold, where currently they would be prohibited</w:t>
      </w:r>
      <w:r w:rsidR="006F5213" w:rsidRPr="00FF4C0D">
        <w:rPr>
          <w:szCs w:val="22"/>
        </w:rPr>
        <w:t xml:space="preserve">. </w:t>
      </w:r>
    </w:p>
    <w:p w:rsidR="002268F2" w:rsidRPr="00FF4C0D" w:rsidRDefault="002268F2" w:rsidP="002268F2">
      <w:pPr>
        <w:tabs>
          <w:tab w:val="left" w:pos="1560"/>
        </w:tabs>
        <w:rPr>
          <w:szCs w:val="22"/>
        </w:rPr>
      </w:pPr>
    </w:p>
    <w:p w:rsidR="002268F2" w:rsidRPr="00FF4C0D" w:rsidRDefault="002268F2" w:rsidP="002268F2">
      <w:pPr>
        <w:tabs>
          <w:tab w:val="left" w:pos="1560"/>
        </w:tabs>
        <w:rPr>
          <w:szCs w:val="22"/>
        </w:rPr>
      </w:pPr>
      <w:r w:rsidRPr="00FF4C0D">
        <w:rPr>
          <w:szCs w:val="21"/>
        </w:rPr>
        <w:t xml:space="preserve">For this reason, there was no need to notify this Application under the Sanitary or Phytosanitary Measures (SPS) Agreement. </w:t>
      </w:r>
    </w:p>
    <w:p w:rsidR="003C4969" w:rsidRPr="00FF4C0D" w:rsidRDefault="003C4969">
      <w:pPr>
        <w:rPr>
          <w:rFonts w:cs="Arial"/>
        </w:rPr>
      </w:pPr>
    </w:p>
    <w:p w:rsidR="00473A4D" w:rsidRPr="00FF4C0D" w:rsidRDefault="00C11034" w:rsidP="0068357C">
      <w:pPr>
        <w:pStyle w:val="Heading1"/>
      </w:pPr>
      <w:bookmarkStart w:id="108" w:name="_Toc289938357"/>
      <w:bookmarkStart w:id="109" w:name="_Toc290980589"/>
      <w:bookmarkStart w:id="110" w:name="_Toc294249836"/>
      <w:bookmarkStart w:id="111" w:name="_Toc297029116"/>
      <w:r w:rsidRPr="00FF4C0D">
        <w:t xml:space="preserve">Addressing </w:t>
      </w:r>
      <w:r w:rsidR="00473A4D" w:rsidRPr="00FF4C0D">
        <w:t>FSANZ’s objectives</w:t>
      </w:r>
      <w:bookmarkEnd w:id="108"/>
      <w:bookmarkEnd w:id="109"/>
      <w:bookmarkEnd w:id="110"/>
      <w:bookmarkEnd w:id="111"/>
    </w:p>
    <w:p w:rsidR="00473A4D" w:rsidRPr="00FF4C0D" w:rsidRDefault="00473A4D" w:rsidP="00473A4D"/>
    <w:p w:rsidR="00473A4D" w:rsidRPr="00FF4C0D" w:rsidRDefault="00473A4D" w:rsidP="00473A4D">
      <w:pPr>
        <w:rPr>
          <w:rFonts w:cs="Arial"/>
        </w:rPr>
      </w:pPr>
      <w:r w:rsidRPr="00FF4C0D">
        <w:t xml:space="preserve">The legislative objectives that FSANZ is required to meet when developing or varying a food standard are noted in section 3. FSANZ </w:t>
      </w:r>
      <w:r w:rsidR="00955702" w:rsidRPr="00FF4C0D">
        <w:t xml:space="preserve">has </w:t>
      </w:r>
      <w:r w:rsidRPr="00FF4C0D">
        <w:t>consider</w:t>
      </w:r>
      <w:r w:rsidR="00955702" w:rsidRPr="00FF4C0D">
        <w:t>ed that</w:t>
      </w:r>
      <w:r w:rsidRPr="00FF4C0D">
        <w:t xml:space="preserve"> the primary objectives of most relevance to this Application is the protection of public health and safety and the provision of adequate information relating to food to enable consumers to make informed choices </w:t>
      </w:r>
      <w:r w:rsidRPr="00FF4C0D">
        <w:rPr>
          <w:rFonts w:cs="Arial"/>
        </w:rPr>
        <w:t xml:space="preserve"> (labelling) . With regard to the third objective, the prevention of misleading and deceptive conduct, FSANZ considers it is of less direct relevance although it was also taken into consideration</w:t>
      </w:r>
      <w:r w:rsidRPr="00FF4C0D">
        <w:t>.</w:t>
      </w:r>
    </w:p>
    <w:p w:rsidR="00473A4D" w:rsidRPr="00FF4C0D" w:rsidRDefault="00473A4D" w:rsidP="00473A4D">
      <w:pPr>
        <w:rPr>
          <w:rFonts w:cs="Arial"/>
        </w:rPr>
      </w:pPr>
    </w:p>
    <w:p w:rsidR="00473A4D" w:rsidRPr="00FF4C0D" w:rsidRDefault="00B00BE4" w:rsidP="00DB79BE">
      <w:pPr>
        <w:pStyle w:val="Heading3"/>
      </w:pPr>
      <w:bookmarkStart w:id="112" w:name="_Toc297029117"/>
      <w:r w:rsidRPr="00FF4C0D">
        <w:t>11</w:t>
      </w:r>
      <w:r w:rsidR="00955702" w:rsidRPr="00FF4C0D">
        <w:t>.1</w:t>
      </w:r>
      <w:r w:rsidR="00955702" w:rsidRPr="00FF4C0D">
        <w:tab/>
      </w:r>
      <w:r w:rsidR="00473A4D" w:rsidRPr="00FF4C0D">
        <w:t>Protection of public health and safety</w:t>
      </w:r>
      <w:bookmarkEnd w:id="112"/>
      <w:r w:rsidR="00473A4D" w:rsidRPr="00FF4C0D">
        <w:t xml:space="preserve"> </w:t>
      </w:r>
    </w:p>
    <w:p w:rsidR="00473A4D" w:rsidRPr="00FF4C0D" w:rsidRDefault="00473A4D" w:rsidP="00473A4D">
      <w:pPr>
        <w:rPr>
          <w:rFonts w:cs="Arial"/>
          <w:u w:val="single"/>
        </w:rPr>
      </w:pPr>
    </w:p>
    <w:p w:rsidR="00473A4D" w:rsidRPr="00FF4C0D" w:rsidRDefault="00473A4D" w:rsidP="00473A4D">
      <w:pPr>
        <w:rPr>
          <w:rFonts w:cs="Arial"/>
        </w:rPr>
      </w:pPr>
      <w:r w:rsidRPr="00FF4C0D">
        <w:rPr>
          <w:rFonts w:cs="Arial"/>
        </w:rPr>
        <w:t xml:space="preserve">FSANZ concludes that approval of irradiation of persimmons at a minimum dose of </w:t>
      </w:r>
    </w:p>
    <w:p w:rsidR="00473A4D" w:rsidRPr="00FF4C0D" w:rsidRDefault="00473A4D" w:rsidP="00473A4D">
      <w:pPr>
        <w:rPr>
          <w:rFonts w:cs="Arial"/>
        </w:rPr>
      </w:pPr>
      <w:r w:rsidRPr="00FF4C0D">
        <w:rPr>
          <w:rFonts w:cs="Arial"/>
        </w:rPr>
        <w:t xml:space="preserve">150 </w:t>
      </w:r>
      <w:r w:rsidR="00597E28" w:rsidRPr="00FF4C0D">
        <w:rPr>
          <w:rFonts w:cs="Arial"/>
        </w:rPr>
        <w:t>Gray (Gy) and a maximum of 1 K</w:t>
      </w:r>
      <w:r w:rsidRPr="00FF4C0D">
        <w:rPr>
          <w:rFonts w:cs="Arial"/>
        </w:rPr>
        <w:t xml:space="preserve">ilogray (kGy) does </w:t>
      </w:r>
      <w:r w:rsidRPr="00FF4C0D">
        <w:t xml:space="preserve">not pose a significant human health risk for </w:t>
      </w:r>
      <w:r w:rsidRPr="00FF4C0D">
        <w:rPr>
          <w:rFonts w:cs="Arial"/>
        </w:rPr>
        <w:t xml:space="preserve">Australian or New Zealand consumers (see Section 6). </w:t>
      </w:r>
    </w:p>
    <w:p w:rsidR="00B00BE4" w:rsidRPr="00FF4C0D" w:rsidRDefault="00B00BE4" w:rsidP="00473A4D">
      <w:pPr>
        <w:rPr>
          <w:rFonts w:cs="Arial"/>
          <w:u w:val="single"/>
        </w:rPr>
      </w:pPr>
      <w:r w:rsidRPr="00FF4C0D">
        <w:rPr>
          <w:rFonts w:cs="Arial"/>
          <w:u w:val="single"/>
        </w:rPr>
        <w:br w:type="page"/>
      </w:r>
    </w:p>
    <w:p w:rsidR="00473A4D" w:rsidRPr="00FF4C0D" w:rsidRDefault="00B00BE4" w:rsidP="00DB79BE">
      <w:pPr>
        <w:pStyle w:val="Heading3"/>
        <w:rPr>
          <w:rFonts w:cs="Arial"/>
        </w:rPr>
      </w:pPr>
      <w:bookmarkStart w:id="113" w:name="_Toc297029118"/>
      <w:r w:rsidRPr="00FF4C0D">
        <w:lastRenderedPageBreak/>
        <w:t>11</w:t>
      </w:r>
      <w:r w:rsidR="00955702" w:rsidRPr="00FF4C0D">
        <w:t>.2</w:t>
      </w:r>
      <w:r w:rsidR="00955702" w:rsidRPr="00FF4C0D">
        <w:tab/>
      </w:r>
      <w:r w:rsidR="00473A4D" w:rsidRPr="00FF4C0D">
        <w:t xml:space="preserve">Provision of adequate information relating to food to enable consumers to make informed </w:t>
      </w:r>
      <w:r w:rsidR="00597E28" w:rsidRPr="00FF4C0D">
        <w:t xml:space="preserve">choices </w:t>
      </w:r>
      <w:r w:rsidR="00597E28" w:rsidRPr="00FF4C0D">
        <w:rPr>
          <w:rFonts w:cs="Arial"/>
        </w:rPr>
        <w:t>(</w:t>
      </w:r>
      <w:r w:rsidR="00473A4D" w:rsidRPr="00FF4C0D">
        <w:rPr>
          <w:rFonts w:cs="Arial"/>
        </w:rPr>
        <w:t>labelling)</w:t>
      </w:r>
      <w:bookmarkEnd w:id="113"/>
      <w:r w:rsidR="00473A4D" w:rsidRPr="00FF4C0D">
        <w:rPr>
          <w:rFonts w:cs="Arial"/>
        </w:rPr>
        <w:t xml:space="preserve"> </w:t>
      </w:r>
    </w:p>
    <w:p w:rsidR="00473A4D" w:rsidRPr="00FF4C0D" w:rsidRDefault="00473A4D" w:rsidP="00473A4D">
      <w:pPr>
        <w:rPr>
          <w:rFonts w:cs="Arial"/>
          <w:u w:val="single"/>
        </w:rPr>
      </w:pPr>
    </w:p>
    <w:p w:rsidR="00473A4D" w:rsidRPr="00FF4C0D" w:rsidRDefault="00473A4D" w:rsidP="00473A4D">
      <w:pPr>
        <w:rPr>
          <w:rFonts w:cs="Arial"/>
        </w:rPr>
      </w:pPr>
      <w:r w:rsidRPr="00FF4C0D">
        <w:t xml:space="preserve">The mandatory requirements under </w:t>
      </w:r>
      <w:r w:rsidR="00637272" w:rsidRPr="00FF4C0D">
        <w:t>Standard 1.5.3</w:t>
      </w:r>
      <w:r w:rsidRPr="00FF4C0D">
        <w:t xml:space="preserve"> to label irradiated foods will provide adequate information for consumers to make informed purchase decisions. Based on the risk assessment findings, no additional mandatory labelling requirements are proposed (see Section 7.5). </w:t>
      </w:r>
    </w:p>
    <w:p w:rsidR="00473A4D" w:rsidRPr="00FF4C0D" w:rsidRDefault="00473A4D" w:rsidP="00473A4D">
      <w:pPr>
        <w:rPr>
          <w:rFonts w:cs="Arial"/>
          <w:u w:val="single"/>
        </w:rPr>
      </w:pPr>
    </w:p>
    <w:p w:rsidR="00473A4D" w:rsidRPr="00FF4C0D" w:rsidRDefault="00B00BE4" w:rsidP="00B00BE4">
      <w:pPr>
        <w:pStyle w:val="Heading3"/>
      </w:pPr>
      <w:bookmarkStart w:id="114" w:name="_Toc297029119"/>
      <w:r w:rsidRPr="00FF4C0D">
        <w:t>11</w:t>
      </w:r>
      <w:r w:rsidR="00955702" w:rsidRPr="00FF4C0D">
        <w:t>.3</w:t>
      </w:r>
      <w:r w:rsidR="00955702" w:rsidRPr="00FF4C0D">
        <w:tab/>
      </w:r>
      <w:r w:rsidR="00473A4D" w:rsidRPr="00FF4C0D">
        <w:t>Prevention of misleading or deceptive conduct</w:t>
      </w:r>
      <w:bookmarkEnd w:id="114"/>
    </w:p>
    <w:p w:rsidR="00473A4D" w:rsidRPr="00FF4C0D" w:rsidRDefault="00473A4D" w:rsidP="00473A4D">
      <w:pPr>
        <w:rPr>
          <w:rFonts w:cs="Arial"/>
          <w:szCs w:val="22"/>
          <w:lang w:eastAsia="en-GB"/>
        </w:rPr>
      </w:pPr>
    </w:p>
    <w:p w:rsidR="009B4A0D" w:rsidRPr="00FF4C0D" w:rsidRDefault="00473A4D" w:rsidP="00654C56">
      <w:pPr>
        <w:rPr>
          <w:rFonts w:cs="Arial"/>
        </w:rPr>
      </w:pPr>
      <w:r w:rsidRPr="00FF4C0D">
        <w:rPr>
          <w:rFonts w:cs="Arial"/>
        </w:rPr>
        <w:t xml:space="preserve">FSANZ has considered this objective and concludes there </w:t>
      </w:r>
      <w:r w:rsidR="00CE5585" w:rsidRPr="00FF4C0D">
        <w:rPr>
          <w:rFonts w:cs="Arial"/>
        </w:rPr>
        <w:t>is one potential</w:t>
      </w:r>
      <w:r w:rsidR="002E56F8" w:rsidRPr="00FF4C0D">
        <w:rPr>
          <w:rFonts w:cs="Arial"/>
        </w:rPr>
        <w:t>ly</w:t>
      </w:r>
      <w:r w:rsidR="00CE5585" w:rsidRPr="00FF4C0D">
        <w:rPr>
          <w:rFonts w:cs="Arial"/>
        </w:rPr>
        <w:t xml:space="preserve"> </w:t>
      </w:r>
      <w:r w:rsidRPr="00FF4C0D">
        <w:rPr>
          <w:rFonts w:cs="Arial"/>
        </w:rPr>
        <w:t>misleading</w:t>
      </w:r>
      <w:r w:rsidR="00CE5585" w:rsidRPr="00FF4C0D">
        <w:rPr>
          <w:rFonts w:cs="Arial"/>
        </w:rPr>
        <w:t xml:space="preserve"> aspect to this Application in regard to </w:t>
      </w:r>
      <w:r w:rsidR="00CE5585" w:rsidRPr="00FF4C0D">
        <w:t xml:space="preserve">the second example ‘treated with ionising electrons’ </w:t>
      </w:r>
      <w:r w:rsidR="002E56F8" w:rsidRPr="00FF4C0D">
        <w:t>in subclause 6 (1). T</w:t>
      </w:r>
      <w:r w:rsidR="00CE5585" w:rsidRPr="00FF4C0D">
        <w:t xml:space="preserve">his </w:t>
      </w:r>
      <w:r w:rsidR="002E56F8" w:rsidRPr="00FF4C0D">
        <w:t xml:space="preserve">statement </w:t>
      </w:r>
      <w:r w:rsidR="00CE5585" w:rsidRPr="00FF4C0D">
        <w:t xml:space="preserve">is potentially misleading to consumers. Therefore, FSANZ concluded that this example be deleted from </w:t>
      </w:r>
      <w:r w:rsidR="00637272" w:rsidRPr="00FF4C0D">
        <w:t>Standard 1.5.3</w:t>
      </w:r>
      <w:r w:rsidR="00CE5585" w:rsidRPr="00FF4C0D">
        <w:t>. However, n</w:t>
      </w:r>
      <w:r w:rsidR="00CE5585" w:rsidRPr="00FF4C0D">
        <w:rPr>
          <w:rFonts w:cs="Arial"/>
        </w:rPr>
        <w:t xml:space="preserve">o </w:t>
      </w:r>
      <w:r w:rsidR="002E56F8" w:rsidRPr="00FF4C0D">
        <w:rPr>
          <w:rFonts w:cs="Arial"/>
        </w:rPr>
        <w:t>d</w:t>
      </w:r>
      <w:r w:rsidRPr="00FF4C0D">
        <w:rPr>
          <w:rFonts w:cs="Arial"/>
        </w:rPr>
        <w:t>eceptive conduct aspects to this assessment</w:t>
      </w:r>
      <w:r w:rsidR="00CE5585" w:rsidRPr="00FF4C0D">
        <w:rPr>
          <w:rFonts w:cs="Arial"/>
        </w:rPr>
        <w:t xml:space="preserve"> were identified</w:t>
      </w:r>
      <w:r w:rsidRPr="00FF4C0D">
        <w:rPr>
          <w:rFonts w:cs="Arial"/>
        </w:rPr>
        <w:t>.</w:t>
      </w:r>
    </w:p>
    <w:p w:rsidR="009B4A0D" w:rsidRPr="00FF4C0D" w:rsidRDefault="009B4A0D" w:rsidP="00654C56"/>
    <w:p w:rsidR="005F7342" w:rsidRPr="00FF4C0D" w:rsidRDefault="007A44B4" w:rsidP="006A48A7">
      <w:pPr>
        <w:pStyle w:val="Heading2"/>
      </w:pPr>
      <w:bookmarkStart w:id="115" w:name="_Toc297029120"/>
      <w:r w:rsidRPr="00FF4C0D">
        <w:t>1</w:t>
      </w:r>
      <w:r w:rsidR="00B00BE4" w:rsidRPr="00FF4C0D">
        <w:t>2</w:t>
      </w:r>
      <w:r w:rsidR="005F7342" w:rsidRPr="00FF4C0D">
        <w:t>.</w:t>
      </w:r>
      <w:r w:rsidR="005F7342" w:rsidRPr="00FF4C0D">
        <w:tab/>
        <w:t>Conclusio</w:t>
      </w:r>
      <w:r w:rsidR="00B178C4" w:rsidRPr="00FF4C0D">
        <w:t>n and Decision</w:t>
      </w:r>
      <w:bookmarkEnd w:id="115"/>
    </w:p>
    <w:p w:rsidR="00956760" w:rsidRPr="00FF4C0D" w:rsidRDefault="00956760" w:rsidP="00956760"/>
    <w:p w:rsidR="00956760" w:rsidRPr="00FF4C0D" w:rsidRDefault="00955702" w:rsidP="00956760">
      <w:pPr>
        <w:rPr>
          <w:rFonts w:cs="Arial"/>
        </w:rPr>
      </w:pPr>
      <w:r w:rsidRPr="00FF4C0D">
        <w:rPr>
          <w:rFonts w:cs="Arial"/>
        </w:rPr>
        <w:t xml:space="preserve">FSANZ has </w:t>
      </w:r>
      <w:r w:rsidR="00956760" w:rsidRPr="00FF4C0D">
        <w:rPr>
          <w:rFonts w:cs="Arial"/>
        </w:rPr>
        <w:t xml:space="preserve">concluded that approval for the use of irradiation for persimmons does not </w:t>
      </w:r>
      <w:r w:rsidR="00EF5856" w:rsidRPr="00FF4C0D">
        <w:rPr>
          <w:rFonts w:cs="Arial"/>
        </w:rPr>
        <w:t xml:space="preserve">pose </w:t>
      </w:r>
      <w:r w:rsidR="00A21512" w:rsidRPr="00FF4C0D">
        <w:t xml:space="preserve">a significant human health risk for any age group </w:t>
      </w:r>
      <w:r w:rsidR="00956760" w:rsidRPr="00FF4C0D">
        <w:rPr>
          <w:rFonts w:cs="Arial"/>
        </w:rPr>
        <w:t xml:space="preserve">and satisfies the requirements in the FSANZ Act. </w:t>
      </w:r>
    </w:p>
    <w:p w:rsidR="00FB10F5" w:rsidRPr="00FF4C0D" w:rsidRDefault="00FB10F5" w:rsidP="00956760">
      <w:pPr>
        <w:rPr>
          <w:rFonts w:cs="Arial"/>
        </w:rPr>
      </w:pPr>
    </w:p>
    <w:p w:rsidR="008A23BB" w:rsidRPr="00FF4C0D" w:rsidRDefault="00FB10F5" w:rsidP="00FB10F5">
      <w:r w:rsidRPr="00FF4C0D">
        <w:t xml:space="preserve">FSANZ has considered the primary objective of protection of public health and safety and has concluded that safety assessment did not identify any public health concerns. </w:t>
      </w:r>
    </w:p>
    <w:p w:rsidR="007179D6" w:rsidRPr="00FF4C0D" w:rsidRDefault="007179D6" w:rsidP="007179D6">
      <w:pPr>
        <w:widowControl/>
      </w:pPr>
    </w:p>
    <w:p w:rsidR="00FB10F5" w:rsidRPr="00FF4C0D" w:rsidRDefault="00FB10F5" w:rsidP="007179D6">
      <w:pPr>
        <w:widowControl/>
        <w:rPr>
          <w:rFonts w:cs="Arial"/>
        </w:rPr>
      </w:pPr>
      <w:r w:rsidRPr="00FF4C0D">
        <w:t>FSANZ considers that current labelling requirements meet the</w:t>
      </w:r>
      <w:r w:rsidRPr="00FF4C0D">
        <w:rPr>
          <w:rFonts w:cs="Arial"/>
        </w:rPr>
        <w:t xml:space="preserve"> objective of providing adequate information to enable informed choice, and that prevention of misleading and deceptive conduct is not directly relevant to this application. </w:t>
      </w:r>
    </w:p>
    <w:p w:rsidR="00B50ACD" w:rsidRPr="00FF4C0D" w:rsidRDefault="00B50ACD" w:rsidP="001321EC">
      <w:pPr>
        <w:rPr>
          <w:rFonts w:cs="Arial"/>
        </w:rPr>
      </w:pPr>
    </w:p>
    <w:p w:rsidR="00D871D8" w:rsidRPr="00FF4C0D" w:rsidRDefault="00D871D8" w:rsidP="00D871D8">
      <w:pPr>
        <w:pStyle w:val="FSDecisionHeading"/>
      </w:pPr>
      <w:r w:rsidRPr="00FF4C0D">
        <w:t xml:space="preserve">Decision </w:t>
      </w:r>
    </w:p>
    <w:p w:rsidR="00D871D8" w:rsidRPr="00FF4C0D" w:rsidRDefault="00D871D8" w:rsidP="00D871D8">
      <w:pPr>
        <w:pStyle w:val="FSDecisiontext"/>
      </w:pPr>
    </w:p>
    <w:p w:rsidR="0006293D" w:rsidRPr="00FF4C0D" w:rsidRDefault="0006293D" w:rsidP="0006293D">
      <w:pPr>
        <w:pStyle w:val="FSDecisiontext"/>
      </w:pPr>
      <w:r w:rsidRPr="00FF4C0D">
        <w:t>To approve the draft variations, subject to amendment, to Standards 1.1.1– Application, Interpretation and General Prohibitions and 1.5.3 – Irradiation of Foods to permit the use of irradiation of persimmons, including additional amendments to Standard 1.5.3.</w:t>
      </w:r>
    </w:p>
    <w:p w:rsidR="009342E4" w:rsidRPr="00FF4C0D" w:rsidRDefault="009342E4" w:rsidP="001321EC">
      <w:pPr>
        <w:rPr>
          <w:rFonts w:cs="Arial"/>
        </w:rPr>
      </w:pPr>
    </w:p>
    <w:p w:rsidR="001321EC" w:rsidRPr="00FF4C0D" w:rsidRDefault="00B00BE4" w:rsidP="00B00BE4">
      <w:pPr>
        <w:pStyle w:val="Heading3"/>
      </w:pPr>
      <w:bookmarkStart w:id="116" w:name="_Toc297029121"/>
      <w:r w:rsidRPr="00FF4C0D">
        <w:t>12.1</w:t>
      </w:r>
      <w:r w:rsidRPr="00FF4C0D">
        <w:tab/>
      </w:r>
      <w:r w:rsidR="001321EC" w:rsidRPr="00FF4C0D">
        <w:t>Reasons for Decision</w:t>
      </w:r>
      <w:bookmarkEnd w:id="116"/>
    </w:p>
    <w:p w:rsidR="001321EC" w:rsidRPr="00FF4C0D" w:rsidRDefault="001321EC" w:rsidP="001321EC">
      <w:pPr>
        <w:rPr>
          <w:rFonts w:cs="Arial"/>
          <w:b/>
        </w:rPr>
      </w:pPr>
    </w:p>
    <w:p w:rsidR="00955702" w:rsidRPr="00FF4C0D" w:rsidRDefault="00955702" w:rsidP="00955702">
      <w:pPr>
        <w:tabs>
          <w:tab w:val="left" w:pos="567"/>
        </w:tabs>
        <w:rPr>
          <w:szCs w:val="22"/>
        </w:rPr>
      </w:pPr>
      <w:r w:rsidRPr="00FF4C0D">
        <w:rPr>
          <w:szCs w:val="22"/>
        </w:rPr>
        <w:t xml:space="preserve">FSANZ has approved the sale of irradiated persimmons in Australia and New Zealand on the basis of the available scientific evidence, for the following reasons: </w:t>
      </w:r>
    </w:p>
    <w:p w:rsidR="00955702" w:rsidRPr="00FF4C0D" w:rsidRDefault="00955702" w:rsidP="00955702">
      <w:pPr>
        <w:tabs>
          <w:tab w:val="left" w:pos="567"/>
        </w:tabs>
        <w:rPr>
          <w:szCs w:val="22"/>
        </w:rPr>
      </w:pPr>
    </w:p>
    <w:p w:rsidR="00955702" w:rsidRPr="00FF4C0D" w:rsidRDefault="00955702" w:rsidP="00955702">
      <w:pPr>
        <w:pStyle w:val="FSBullet"/>
      </w:pPr>
      <w:r w:rsidRPr="00FF4C0D">
        <w:t>The safety assessment did not identify any public health and safety concerns.</w:t>
      </w:r>
    </w:p>
    <w:p w:rsidR="00955702" w:rsidRPr="00FF4C0D" w:rsidRDefault="00955702" w:rsidP="005222C5"/>
    <w:p w:rsidR="00955702" w:rsidRPr="00FF4C0D" w:rsidRDefault="00955702" w:rsidP="00955702">
      <w:pPr>
        <w:pStyle w:val="FSBullet"/>
      </w:pPr>
      <w:r w:rsidRPr="00FF4C0D">
        <w:t>The use of irradiation is technologically justified.</w:t>
      </w:r>
    </w:p>
    <w:p w:rsidR="00955702" w:rsidRPr="00FF4C0D" w:rsidRDefault="00955702" w:rsidP="005222C5"/>
    <w:p w:rsidR="00955702" w:rsidRPr="00FF4C0D" w:rsidRDefault="00955702" w:rsidP="00955702">
      <w:pPr>
        <w:pStyle w:val="FSBullet"/>
      </w:pPr>
      <w:r w:rsidRPr="00FF4C0D">
        <w:t>The proposed additional amendments are justified to</w:t>
      </w:r>
      <w:r w:rsidRPr="00FF4C0D">
        <w:rPr>
          <w:bCs/>
          <w:color w:val="000000" w:themeColor="text1"/>
          <w:szCs w:val="22"/>
          <w:lang w:eastAsia="en-GB" w:bidi="ar-SA"/>
        </w:rPr>
        <w:t xml:space="preserve"> provide improved clarity, </w:t>
      </w:r>
      <w:r w:rsidRPr="00FF4C0D">
        <w:t xml:space="preserve">interpretation, and operation of Standard 1.5.3. </w:t>
      </w:r>
    </w:p>
    <w:p w:rsidR="00955702" w:rsidRPr="00FF4C0D" w:rsidRDefault="00955702" w:rsidP="001617E8"/>
    <w:p w:rsidR="00955702" w:rsidRPr="00FF4C0D" w:rsidRDefault="00955702" w:rsidP="00955702">
      <w:pPr>
        <w:pStyle w:val="FSBullet"/>
      </w:pPr>
      <w:r w:rsidRPr="00FF4C0D">
        <w:t>A regulation impact assessment process has been undertaken that fulfils the requirement in Australia and New Zealand for an assessment of compliance costs. The assessment concluded that the use of irradiation (Option 3) provides a net benefit.</w:t>
      </w:r>
    </w:p>
    <w:p w:rsidR="00955702" w:rsidRPr="00FF4C0D" w:rsidRDefault="00955702" w:rsidP="005222C5"/>
    <w:p w:rsidR="00C92E07" w:rsidRPr="00FF4C0D" w:rsidRDefault="00955702" w:rsidP="00DB2973">
      <w:pPr>
        <w:pStyle w:val="FSBullet"/>
      </w:pPr>
      <w:r w:rsidRPr="00FF4C0D">
        <w:t>There are no other measures that would be more cost-effective than a variation to Standard 1.5.3 that could achieve the same end.</w:t>
      </w:r>
      <w:r w:rsidR="00B00BE4" w:rsidRPr="00FF4C0D">
        <w:br w:type="page"/>
      </w:r>
    </w:p>
    <w:p w:rsidR="003C4969" w:rsidRPr="00FF4C0D" w:rsidRDefault="007A44B4">
      <w:pPr>
        <w:pStyle w:val="Heading2"/>
      </w:pPr>
      <w:bookmarkStart w:id="117" w:name="_Toc11735642"/>
      <w:bookmarkStart w:id="118" w:name="_Toc29883129"/>
      <w:bookmarkStart w:id="119" w:name="_Toc41906816"/>
      <w:bookmarkStart w:id="120" w:name="_Toc41907563"/>
      <w:bookmarkStart w:id="121" w:name="_Toc120358595"/>
      <w:bookmarkStart w:id="122" w:name="_Toc297029122"/>
      <w:r w:rsidRPr="00FF4C0D">
        <w:lastRenderedPageBreak/>
        <w:t>1</w:t>
      </w:r>
      <w:r w:rsidR="00B00BE4" w:rsidRPr="00FF4C0D">
        <w:t>3</w:t>
      </w:r>
      <w:r w:rsidR="003C4969" w:rsidRPr="00FF4C0D">
        <w:t>.</w:t>
      </w:r>
      <w:r w:rsidR="003C4969" w:rsidRPr="00FF4C0D">
        <w:tab/>
        <w:t>Implementation and Review</w:t>
      </w:r>
      <w:bookmarkEnd w:id="117"/>
      <w:bookmarkEnd w:id="118"/>
      <w:bookmarkEnd w:id="119"/>
      <w:bookmarkEnd w:id="120"/>
      <w:bookmarkEnd w:id="121"/>
      <w:bookmarkEnd w:id="122"/>
    </w:p>
    <w:p w:rsidR="003C4969" w:rsidRPr="00FF4C0D" w:rsidRDefault="003C4969">
      <w:pPr>
        <w:rPr>
          <w:rFonts w:cs="Arial"/>
        </w:rPr>
      </w:pPr>
    </w:p>
    <w:p w:rsidR="00EC2AE4" w:rsidRPr="00FF4C0D" w:rsidRDefault="00B00BE4" w:rsidP="00EC2AE4">
      <w:pPr>
        <w:rPr>
          <w:rFonts w:cs="Arial"/>
        </w:rPr>
      </w:pPr>
      <w:r w:rsidRPr="00FF4C0D">
        <w:rPr>
          <w:rFonts w:cs="Arial"/>
        </w:rPr>
        <w:t>T</w:t>
      </w:r>
      <w:r w:rsidR="00EC2AE4" w:rsidRPr="00FF4C0D">
        <w:rPr>
          <w:rFonts w:cs="Arial"/>
        </w:rPr>
        <w:t xml:space="preserve">he draft variations </w:t>
      </w:r>
      <w:r w:rsidRPr="00FF4C0D">
        <w:rPr>
          <w:rFonts w:cs="Arial"/>
        </w:rPr>
        <w:t xml:space="preserve">will </w:t>
      </w:r>
      <w:r w:rsidR="00EC2AE4" w:rsidRPr="00FF4C0D">
        <w:rPr>
          <w:rFonts w:cs="Arial"/>
        </w:rPr>
        <w:t>come into effect on the date of gazettal.</w:t>
      </w:r>
    </w:p>
    <w:p w:rsidR="007602AA" w:rsidRPr="00FF4C0D" w:rsidRDefault="007602AA">
      <w:pPr>
        <w:rPr>
          <w:rFonts w:cs="Arial"/>
        </w:rPr>
      </w:pPr>
    </w:p>
    <w:p w:rsidR="008A53FC" w:rsidRPr="00FF4C0D" w:rsidRDefault="008A53FC" w:rsidP="00751255">
      <w:pPr>
        <w:widowControl/>
        <w:rPr>
          <w:rFonts w:ascii="Tahoma" w:hAnsi="Tahoma" w:cs="Tahoma"/>
          <w:b/>
          <w:sz w:val="28"/>
          <w:szCs w:val="28"/>
          <w:u w:val="single"/>
        </w:rPr>
      </w:pPr>
      <w:bookmarkStart w:id="123" w:name="_Toc11735643"/>
      <w:bookmarkStart w:id="124" w:name="_Toc29883130"/>
      <w:bookmarkStart w:id="125" w:name="_Toc41906817"/>
      <w:bookmarkStart w:id="126" w:name="_Toc41907564"/>
      <w:bookmarkStart w:id="127" w:name="_Toc43112360"/>
      <w:r w:rsidRPr="00FF4C0D">
        <w:rPr>
          <w:rFonts w:ascii="Tahoma" w:hAnsi="Tahoma" w:cs="Tahoma"/>
          <w:b/>
          <w:sz w:val="28"/>
          <w:szCs w:val="28"/>
          <w:u w:val="single"/>
        </w:rPr>
        <w:t>R</w:t>
      </w:r>
      <w:r w:rsidR="00AB2ED9" w:rsidRPr="00FF4C0D">
        <w:rPr>
          <w:rFonts w:ascii="Tahoma" w:hAnsi="Tahoma" w:cs="Tahoma"/>
          <w:b/>
          <w:sz w:val="28"/>
          <w:szCs w:val="28"/>
          <w:u w:val="single"/>
        </w:rPr>
        <w:t>EFERENCES</w:t>
      </w:r>
    </w:p>
    <w:p w:rsidR="00777375" w:rsidRPr="00FF4C0D" w:rsidRDefault="00777375" w:rsidP="00977AD1">
      <w:pPr>
        <w:rPr>
          <w:szCs w:val="22"/>
        </w:rPr>
      </w:pPr>
    </w:p>
    <w:p w:rsidR="00265FE1" w:rsidRPr="00FF4C0D" w:rsidRDefault="002B6FFE" w:rsidP="00265FE1">
      <w:pPr>
        <w:widowControl/>
        <w:rPr>
          <w:rFonts w:cs="Arial"/>
          <w:sz w:val="20"/>
          <w:szCs w:val="20"/>
        </w:rPr>
      </w:pPr>
      <w:r w:rsidRPr="00FF4C0D">
        <w:rPr>
          <w:rFonts w:cs="Arial"/>
          <w:sz w:val="20"/>
          <w:szCs w:val="20"/>
        </w:rPr>
        <w:t xml:space="preserve">Arvanitoyannis IS (2010) Irradiation of food commodities: techniques, Applications, Detection, Legislation, Safety and Consumer Opinion. First edition 2010 Elsevier Inc. </w:t>
      </w:r>
    </w:p>
    <w:p w:rsidR="00265FE1" w:rsidRPr="00FF4C0D" w:rsidRDefault="00265FE1" w:rsidP="00265FE1">
      <w:pPr>
        <w:widowControl/>
        <w:rPr>
          <w:rFonts w:cs="Arial"/>
          <w:sz w:val="20"/>
          <w:szCs w:val="20"/>
        </w:rPr>
      </w:pPr>
    </w:p>
    <w:p w:rsidR="008957E2" w:rsidRPr="00FF4C0D" w:rsidRDefault="008957E2" w:rsidP="008957E2">
      <w:pPr>
        <w:pStyle w:val="FootnoteText"/>
        <w:rPr>
          <w:lang w:val="en-AU"/>
        </w:rPr>
      </w:pPr>
      <w:r w:rsidRPr="00FF4C0D">
        <w:rPr>
          <w:lang w:val="en-AU"/>
        </w:rPr>
        <w:t xml:space="preserve">Caulfield CD et al (2009) The experimental induction of leukoencephalomyelopathy in cats. Vet. </w:t>
      </w:r>
      <w:proofErr w:type="spellStart"/>
      <w:r w:rsidRPr="00FF4C0D">
        <w:rPr>
          <w:lang w:val="en-AU"/>
        </w:rPr>
        <w:t>Pathol</w:t>
      </w:r>
      <w:proofErr w:type="spellEnd"/>
      <w:r w:rsidRPr="00FF4C0D">
        <w:rPr>
          <w:lang w:val="en-AU"/>
        </w:rPr>
        <w:t xml:space="preserve">. </w:t>
      </w:r>
      <w:r w:rsidRPr="00FF4C0D">
        <w:rPr>
          <w:b/>
          <w:lang w:val="en-AU"/>
        </w:rPr>
        <w:t>46</w:t>
      </w:r>
      <w:r w:rsidRPr="00FF4C0D">
        <w:rPr>
          <w:lang w:val="en-AU"/>
        </w:rPr>
        <w:t>: 1258-1269.</w:t>
      </w:r>
    </w:p>
    <w:p w:rsidR="008957E2" w:rsidRPr="00FF4C0D" w:rsidRDefault="008957E2" w:rsidP="00AB65DF">
      <w:pPr>
        <w:rPr>
          <w:sz w:val="20"/>
          <w:szCs w:val="20"/>
        </w:rPr>
      </w:pPr>
    </w:p>
    <w:p w:rsidR="009B4A0D" w:rsidRPr="00FF4C0D" w:rsidRDefault="003E17B7" w:rsidP="002D3CB7">
      <w:pPr>
        <w:widowControl/>
        <w:rPr>
          <w:sz w:val="20"/>
          <w:szCs w:val="20"/>
        </w:rPr>
      </w:pPr>
      <w:r w:rsidRPr="00FF4C0D">
        <w:rPr>
          <w:sz w:val="20"/>
          <w:szCs w:val="20"/>
        </w:rPr>
        <w:t xml:space="preserve">FSANZ (2006) AUSNUT Australian Food Composition Tables. Available online at </w:t>
      </w:r>
      <w:hyperlink r:id="rId31" w:history="1">
        <w:r w:rsidRPr="00FF4C0D">
          <w:rPr>
            <w:rStyle w:val="Hyperlink"/>
            <w:sz w:val="20"/>
            <w:szCs w:val="20"/>
          </w:rPr>
          <w:t>http://www.foodstandards.gov.au/consumerinformation/nuttab2006/onlineversionintroduction/onlineversion.cfm?&amp;action=getFood&amp;foodID=06D10208</w:t>
        </w:r>
      </w:hyperlink>
    </w:p>
    <w:p w:rsidR="009B4A0D" w:rsidRPr="00FF4C0D" w:rsidRDefault="009B4A0D" w:rsidP="002D3CB7">
      <w:pPr>
        <w:widowControl/>
        <w:rPr>
          <w:sz w:val="20"/>
          <w:szCs w:val="20"/>
        </w:rPr>
      </w:pPr>
    </w:p>
    <w:p w:rsidR="009B4A0D" w:rsidRPr="00FF4C0D" w:rsidRDefault="00AB65DF" w:rsidP="002D3CB7">
      <w:pPr>
        <w:widowControl/>
        <w:rPr>
          <w:sz w:val="20"/>
          <w:szCs w:val="20"/>
        </w:rPr>
      </w:pPr>
      <w:r w:rsidRPr="00FF4C0D">
        <w:rPr>
          <w:sz w:val="20"/>
          <w:szCs w:val="20"/>
        </w:rPr>
        <w:t xml:space="preserve">Gamble, J., </w:t>
      </w:r>
      <w:proofErr w:type="spellStart"/>
      <w:r w:rsidRPr="00FF4C0D">
        <w:rPr>
          <w:sz w:val="20"/>
          <w:szCs w:val="20"/>
        </w:rPr>
        <w:t>Harker</w:t>
      </w:r>
      <w:proofErr w:type="spellEnd"/>
      <w:r w:rsidRPr="00FF4C0D">
        <w:rPr>
          <w:sz w:val="20"/>
          <w:szCs w:val="20"/>
        </w:rPr>
        <w:t xml:space="preserve">, R. and </w:t>
      </w:r>
      <w:proofErr w:type="spellStart"/>
      <w:r w:rsidRPr="00FF4C0D">
        <w:rPr>
          <w:sz w:val="20"/>
          <w:szCs w:val="20"/>
        </w:rPr>
        <w:t>Gunson</w:t>
      </w:r>
      <w:proofErr w:type="spellEnd"/>
      <w:r w:rsidRPr="00FF4C0D">
        <w:rPr>
          <w:sz w:val="20"/>
          <w:szCs w:val="20"/>
        </w:rPr>
        <w:t xml:space="preserve">, A. (2002). New Zealand and Australian perceptions of irradiated food. Report to The Horticulture and Food research Institute of NZ Ltd and Horticulture Australia Ltd. Horticulture Australia Ltd., Sydney. ISBN 0 7341 0501 0. </w:t>
      </w:r>
    </w:p>
    <w:p w:rsidR="00AB65DF" w:rsidRPr="00FF4C0D" w:rsidRDefault="00AB65DF" w:rsidP="00265FE1">
      <w:pPr>
        <w:widowControl/>
        <w:rPr>
          <w:rFonts w:cs="Arial"/>
          <w:sz w:val="20"/>
          <w:szCs w:val="20"/>
        </w:rPr>
      </w:pPr>
    </w:p>
    <w:p w:rsidR="007179D6" w:rsidRPr="00FF4C0D" w:rsidRDefault="00777375" w:rsidP="007179D6">
      <w:pPr>
        <w:widowControl/>
        <w:rPr>
          <w:rFonts w:cs="Arial"/>
          <w:sz w:val="20"/>
          <w:szCs w:val="20"/>
        </w:rPr>
      </w:pPr>
      <w:r w:rsidRPr="00FF4C0D">
        <w:rPr>
          <w:rFonts w:cs="Arial"/>
          <w:sz w:val="20"/>
          <w:szCs w:val="20"/>
        </w:rPr>
        <w:t xml:space="preserve">International Standards for Phytosanitary Measures, ISPM No. 18 Guidelines for the Use of Irradiation as a Phytosanitary Measure (2003). Secretariat of the International Plant Protection Convention. Food and Agriculture Organisation of the United Nations, Rome, Italy. </w:t>
      </w:r>
    </w:p>
    <w:p w:rsidR="00632540" w:rsidRPr="00FF4C0D" w:rsidRDefault="00632540" w:rsidP="005222C5">
      <w:pPr>
        <w:widowControl/>
        <w:rPr>
          <w:rFonts w:cs="Arial"/>
          <w:sz w:val="20"/>
          <w:szCs w:val="20"/>
        </w:rPr>
      </w:pPr>
    </w:p>
    <w:p w:rsidR="00777375" w:rsidRPr="00FF4C0D" w:rsidRDefault="00777375" w:rsidP="005222C5">
      <w:pPr>
        <w:widowControl/>
        <w:rPr>
          <w:rFonts w:cs="Arial"/>
          <w:sz w:val="20"/>
          <w:szCs w:val="20"/>
        </w:rPr>
      </w:pPr>
      <w:r w:rsidRPr="00FF4C0D">
        <w:rPr>
          <w:rFonts w:cs="Arial"/>
          <w:sz w:val="20"/>
          <w:szCs w:val="20"/>
        </w:rPr>
        <w:t>International Standards for Phytosanitary Measures, ISPM No. 28 Phytosanitary Treatments for Regulated Pests (2007), Secretariat of the International Plant Protection Convention. Food and Agriculture Organisation of the United Application to amend the F</w:t>
      </w:r>
      <w:r w:rsidRPr="00FF4C0D">
        <w:rPr>
          <w:rFonts w:cs="Arial"/>
          <w:i/>
          <w:iCs/>
          <w:sz w:val="20"/>
          <w:szCs w:val="20"/>
        </w:rPr>
        <w:t xml:space="preserve">ood Standards Code, Standard 1.5.3 - Irradiation of Food </w:t>
      </w:r>
      <w:r w:rsidRPr="00FF4C0D">
        <w:rPr>
          <w:rFonts w:cs="Arial"/>
          <w:sz w:val="20"/>
          <w:szCs w:val="20"/>
        </w:rPr>
        <w:t xml:space="preserve">87 Nations, Rome, Italy. </w:t>
      </w:r>
    </w:p>
    <w:p w:rsidR="00A84729" w:rsidRPr="00FF4C0D" w:rsidRDefault="00A84729" w:rsidP="005222C5">
      <w:pPr>
        <w:pStyle w:val="FootnoteText"/>
        <w:rPr>
          <w:rFonts w:cs="Arial"/>
        </w:rPr>
      </w:pPr>
    </w:p>
    <w:p w:rsidR="00777375" w:rsidRPr="00FF4C0D" w:rsidRDefault="00777375" w:rsidP="005222C5">
      <w:pPr>
        <w:rPr>
          <w:rFonts w:cs="Arial"/>
          <w:sz w:val="20"/>
          <w:szCs w:val="20"/>
        </w:rPr>
      </w:pPr>
      <w:r w:rsidRPr="00FF4C0D">
        <w:rPr>
          <w:rFonts w:cs="Arial"/>
          <w:sz w:val="20"/>
          <w:szCs w:val="20"/>
        </w:rPr>
        <w:t>Jordan, R.A. (2007). Effect of irradiation treatment on the quality of sweet persimmons, PR 06008. Final Report, Horticulture Australia Ltd. Queensland Department of Primary Industries and Fisheries.</w:t>
      </w:r>
    </w:p>
    <w:p w:rsidR="00777375" w:rsidRPr="00FF4C0D" w:rsidRDefault="00777375" w:rsidP="005222C5">
      <w:pPr>
        <w:rPr>
          <w:rFonts w:cs="Arial"/>
          <w:sz w:val="20"/>
          <w:szCs w:val="20"/>
        </w:rPr>
      </w:pPr>
    </w:p>
    <w:p w:rsidR="00265FE1" w:rsidRPr="00FF4C0D" w:rsidRDefault="001D1B96" w:rsidP="005222C5">
      <w:pPr>
        <w:widowControl/>
        <w:rPr>
          <w:rFonts w:cs="Arial"/>
          <w:sz w:val="20"/>
          <w:szCs w:val="20"/>
        </w:rPr>
      </w:pPr>
      <w:r w:rsidRPr="00FF4C0D">
        <w:rPr>
          <w:sz w:val="20"/>
          <w:szCs w:val="20"/>
        </w:rPr>
        <w:fldChar w:fldCharType="begin"/>
      </w:r>
      <w:r w:rsidR="00265FE1" w:rsidRPr="00FF4C0D">
        <w:rPr>
          <w:sz w:val="20"/>
          <w:szCs w:val="20"/>
        </w:rPr>
        <w:instrText xml:space="preserve"> ADDIN REFMGR.REFLIST </w:instrText>
      </w:r>
      <w:r w:rsidRPr="00FF4C0D">
        <w:rPr>
          <w:sz w:val="20"/>
          <w:szCs w:val="20"/>
        </w:rPr>
        <w:fldChar w:fldCharType="separate"/>
      </w:r>
      <w:r w:rsidR="00265FE1" w:rsidRPr="00FF4C0D">
        <w:rPr>
          <w:rFonts w:cs="Arial"/>
          <w:noProof/>
          <w:sz w:val="20"/>
          <w:szCs w:val="20"/>
        </w:rPr>
        <w:t xml:space="preserve">Lacroix, M., Bernard, L., Jobin, M., Milot, S. and Gagnon, M. (1990) Effect of irradiation on the biochemical and organoleptic changes during the ripening of papaya and mango fruits. </w:t>
      </w:r>
      <w:r w:rsidR="00265FE1" w:rsidRPr="00FF4C0D">
        <w:rPr>
          <w:rFonts w:cs="Arial"/>
          <w:i/>
          <w:noProof/>
          <w:sz w:val="20"/>
          <w:szCs w:val="20"/>
        </w:rPr>
        <w:t xml:space="preserve">International Journal of Radiation Applications and Instrumentation.Part C.Radiation Physics and Chemistry </w:t>
      </w:r>
      <w:r w:rsidR="00265FE1" w:rsidRPr="00FF4C0D">
        <w:rPr>
          <w:rFonts w:cs="Arial"/>
          <w:noProof/>
          <w:sz w:val="20"/>
          <w:szCs w:val="20"/>
        </w:rPr>
        <w:t>35:296-300.</w:t>
      </w:r>
    </w:p>
    <w:p w:rsidR="00265FE1" w:rsidRPr="00FF4C0D" w:rsidRDefault="00265FE1" w:rsidP="005222C5">
      <w:pPr>
        <w:tabs>
          <w:tab w:val="left" w:pos="0"/>
        </w:tabs>
        <w:rPr>
          <w:noProof/>
          <w:sz w:val="20"/>
          <w:szCs w:val="20"/>
        </w:rPr>
      </w:pPr>
    </w:p>
    <w:p w:rsidR="00A84729" w:rsidRPr="00FF4C0D" w:rsidRDefault="001D1B96" w:rsidP="005222C5">
      <w:pPr>
        <w:tabs>
          <w:tab w:val="left" w:pos="0"/>
        </w:tabs>
        <w:rPr>
          <w:rFonts w:cs="Arial"/>
          <w:noProof/>
          <w:sz w:val="20"/>
          <w:szCs w:val="20"/>
        </w:rPr>
      </w:pPr>
      <w:r w:rsidRPr="00FF4C0D">
        <w:rPr>
          <w:sz w:val="20"/>
          <w:szCs w:val="20"/>
        </w:rPr>
        <w:fldChar w:fldCharType="end"/>
      </w:r>
      <w:r w:rsidR="00265FE1" w:rsidRPr="00FF4C0D">
        <w:rPr>
          <w:rFonts w:cs="Arial"/>
          <w:noProof/>
          <w:sz w:val="20"/>
          <w:szCs w:val="20"/>
        </w:rPr>
        <w:t xml:space="preserve">Mitchell, G.E., McLauchlan, R.L., Isaacs, A.R., Williams, D.J. and Nottingham, S.M. (1992) Effect of low dose irradiation on composition of tropical fruits and vegetables. </w:t>
      </w:r>
      <w:r w:rsidR="00265FE1" w:rsidRPr="00FF4C0D">
        <w:rPr>
          <w:rFonts w:cs="Arial"/>
          <w:i/>
          <w:noProof/>
          <w:sz w:val="20"/>
          <w:szCs w:val="20"/>
        </w:rPr>
        <w:t xml:space="preserve">Journal of Food Composition and Analysis </w:t>
      </w:r>
      <w:r w:rsidR="00265FE1" w:rsidRPr="00FF4C0D">
        <w:rPr>
          <w:rFonts w:cs="Arial"/>
          <w:noProof/>
          <w:sz w:val="20"/>
          <w:szCs w:val="20"/>
        </w:rPr>
        <w:t>5:291-311.</w:t>
      </w:r>
    </w:p>
    <w:p w:rsidR="005222C5" w:rsidRPr="00FF4C0D" w:rsidRDefault="005222C5" w:rsidP="005222C5">
      <w:pPr>
        <w:tabs>
          <w:tab w:val="left" w:pos="0"/>
        </w:tabs>
        <w:rPr>
          <w:rFonts w:cs="Arial"/>
          <w:noProof/>
          <w:sz w:val="20"/>
          <w:szCs w:val="20"/>
        </w:rPr>
      </w:pPr>
    </w:p>
    <w:p w:rsidR="00265FE1" w:rsidRPr="00FF4C0D" w:rsidRDefault="00265FE1" w:rsidP="005222C5">
      <w:pPr>
        <w:tabs>
          <w:tab w:val="left" w:pos="0"/>
        </w:tabs>
        <w:rPr>
          <w:rFonts w:cs="Arial"/>
          <w:noProof/>
          <w:sz w:val="20"/>
          <w:szCs w:val="20"/>
        </w:rPr>
      </w:pPr>
      <w:r w:rsidRPr="00FF4C0D">
        <w:rPr>
          <w:rFonts w:cs="Arial"/>
          <w:noProof/>
          <w:sz w:val="20"/>
          <w:szCs w:val="20"/>
        </w:rPr>
        <w:t xml:space="preserve">Moy, J.H. and Wong, L. (2002) The efficacy and progress in using radiation as a quarantine treatment of tropical fruits - a case study in Hawaii. </w:t>
      </w:r>
      <w:r w:rsidRPr="00FF4C0D">
        <w:rPr>
          <w:rFonts w:cs="Arial"/>
          <w:i/>
          <w:noProof/>
          <w:sz w:val="20"/>
          <w:szCs w:val="20"/>
        </w:rPr>
        <w:t xml:space="preserve">Radiation Physics and Chemistry </w:t>
      </w:r>
      <w:r w:rsidRPr="00FF4C0D">
        <w:rPr>
          <w:rFonts w:cs="Arial"/>
          <w:noProof/>
          <w:sz w:val="20"/>
          <w:szCs w:val="20"/>
        </w:rPr>
        <w:t>63:397-401.</w:t>
      </w:r>
    </w:p>
    <w:p w:rsidR="00265FE1" w:rsidRPr="00FF4C0D" w:rsidRDefault="00265FE1" w:rsidP="005222C5">
      <w:pPr>
        <w:tabs>
          <w:tab w:val="left" w:pos="0"/>
        </w:tabs>
        <w:rPr>
          <w:rFonts w:cs="Arial"/>
          <w:noProof/>
          <w:sz w:val="20"/>
          <w:szCs w:val="20"/>
        </w:rPr>
      </w:pPr>
      <w:r w:rsidRPr="00FF4C0D">
        <w:rPr>
          <w:rFonts w:cs="Arial"/>
          <w:noProof/>
          <w:sz w:val="20"/>
          <w:szCs w:val="20"/>
        </w:rPr>
        <w:t xml:space="preserve">Patil, B.S., Vanamala, J. and Hallman, G. (2004) Irradiation and storage influence on bioactive components and quality of early and late season </w:t>
      </w:r>
      <w:r w:rsidR="002D5039" w:rsidRPr="00FF4C0D">
        <w:rPr>
          <w:rFonts w:cs="Arial"/>
          <w:noProof/>
          <w:sz w:val="20"/>
          <w:szCs w:val="20"/>
        </w:rPr>
        <w:t>‘</w:t>
      </w:r>
      <w:r w:rsidRPr="00FF4C0D">
        <w:rPr>
          <w:rFonts w:cs="Arial"/>
          <w:noProof/>
          <w:sz w:val="20"/>
          <w:szCs w:val="20"/>
        </w:rPr>
        <w:t>Rio Red</w:t>
      </w:r>
      <w:r w:rsidR="002D5039" w:rsidRPr="00FF4C0D">
        <w:rPr>
          <w:rFonts w:cs="Arial"/>
          <w:noProof/>
          <w:sz w:val="20"/>
          <w:szCs w:val="20"/>
        </w:rPr>
        <w:t>’</w:t>
      </w:r>
      <w:r w:rsidRPr="00FF4C0D">
        <w:rPr>
          <w:rFonts w:cs="Arial"/>
          <w:noProof/>
          <w:sz w:val="20"/>
          <w:szCs w:val="20"/>
        </w:rPr>
        <w:t xml:space="preserve"> grapefruit (Citrus paradisi Macf.). </w:t>
      </w:r>
      <w:r w:rsidRPr="00FF4C0D">
        <w:rPr>
          <w:rFonts w:cs="Arial"/>
          <w:i/>
          <w:noProof/>
          <w:sz w:val="20"/>
          <w:szCs w:val="20"/>
        </w:rPr>
        <w:t xml:space="preserve">Postharvest Biology and Technology </w:t>
      </w:r>
      <w:r w:rsidRPr="00FF4C0D">
        <w:rPr>
          <w:rFonts w:cs="Arial"/>
          <w:noProof/>
          <w:sz w:val="20"/>
          <w:szCs w:val="20"/>
        </w:rPr>
        <w:t>34:53-64.</w:t>
      </w:r>
    </w:p>
    <w:p w:rsidR="005222C5" w:rsidRPr="00FF4C0D" w:rsidRDefault="005222C5" w:rsidP="005222C5">
      <w:pPr>
        <w:tabs>
          <w:tab w:val="left" w:pos="0"/>
        </w:tabs>
        <w:rPr>
          <w:rFonts w:cs="Arial"/>
          <w:noProof/>
          <w:sz w:val="20"/>
          <w:szCs w:val="20"/>
        </w:rPr>
      </w:pPr>
    </w:p>
    <w:p w:rsidR="008A5CB2" w:rsidRPr="00FF4C0D" w:rsidRDefault="008A5CB2" w:rsidP="005222C5">
      <w:pPr>
        <w:rPr>
          <w:sz w:val="20"/>
          <w:szCs w:val="20"/>
        </w:rPr>
      </w:pPr>
      <w:r w:rsidRPr="00FF4C0D">
        <w:rPr>
          <w:snapToGrid w:val="0"/>
          <w:sz w:val="20"/>
          <w:szCs w:val="20"/>
          <w:lang w:eastAsia="de-DE"/>
        </w:rPr>
        <w:t xml:space="preserve">Stevenson, M.H., Crone, A.V.J., Hamilton, J.T.G. (1990) Irradiation detection. </w:t>
      </w:r>
      <w:r w:rsidRPr="00FF4C0D">
        <w:rPr>
          <w:i/>
          <w:snapToGrid w:val="0"/>
          <w:sz w:val="20"/>
          <w:szCs w:val="20"/>
          <w:lang w:eastAsia="de-DE"/>
        </w:rPr>
        <w:t xml:space="preserve">Nature, </w:t>
      </w:r>
      <w:r w:rsidRPr="00FF4C0D">
        <w:rPr>
          <w:b/>
          <w:snapToGrid w:val="0"/>
          <w:sz w:val="20"/>
          <w:szCs w:val="20"/>
          <w:lang w:eastAsia="de-DE"/>
        </w:rPr>
        <w:t xml:space="preserve">344, </w:t>
      </w:r>
      <w:r w:rsidRPr="00FF4C0D">
        <w:rPr>
          <w:snapToGrid w:val="0"/>
          <w:sz w:val="20"/>
          <w:szCs w:val="20"/>
          <w:lang w:eastAsia="de-DE"/>
        </w:rPr>
        <w:t>202-203.</w:t>
      </w:r>
    </w:p>
    <w:p w:rsidR="008A5CB2" w:rsidRPr="00FF4C0D" w:rsidRDefault="008A5CB2" w:rsidP="005222C5">
      <w:pPr>
        <w:rPr>
          <w:sz w:val="20"/>
          <w:szCs w:val="20"/>
        </w:rPr>
      </w:pPr>
    </w:p>
    <w:p w:rsidR="008A5CB2" w:rsidRPr="00FF4C0D" w:rsidRDefault="008A5CB2" w:rsidP="008A5CB2">
      <w:pPr>
        <w:rPr>
          <w:sz w:val="20"/>
          <w:szCs w:val="20"/>
        </w:rPr>
      </w:pPr>
      <w:r w:rsidRPr="00FF4C0D">
        <w:rPr>
          <w:sz w:val="20"/>
          <w:szCs w:val="20"/>
        </w:rPr>
        <w:t>Stewart EM, Moore S, Graham W, Roberts WC and Hamilton JTG (2000)  2-alkylcyclobutanones as markers for the detection of irradiated mango, papaya, Camembert cheese and salmon meat</w:t>
      </w:r>
      <w:r w:rsidR="000C447B" w:rsidRPr="00FF4C0D">
        <w:rPr>
          <w:sz w:val="20"/>
          <w:szCs w:val="20"/>
        </w:rPr>
        <w:t xml:space="preserve">. </w:t>
      </w:r>
      <w:r w:rsidRPr="00FF4C0D">
        <w:rPr>
          <w:i/>
          <w:iCs/>
          <w:sz w:val="20"/>
          <w:szCs w:val="20"/>
        </w:rPr>
        <w:t>Journal of the Science of Food and Agriculture</w:t>
      </w:r>
      <w:r w:rsidRPr="00FF4C0D">
        <w:rPr>
          <w:sz w:val="20"/>
          <w:szCs w:val="20"/>
        </w:rPr>
        <w:t xml:space="preserve">, </w:t>
      </w:r>
      <w:r w:rsidRPr="00FF4C0D">
        <w:rPr>
          <w:b/>
          <w:bCs/>
          <w:sz w:val="20"/>
          <w:szCs w:val="20"/>
        </w:rPr>
        <w:t>80</w:t>
      </w:r>
      <w:r w:rsidRPr="00FF4C0D">
        <w:rPr>
          <w:sz w:val="20"/>
          <w:szCs w:val="20"/>
        </w:rPr>
        <w:t>, 121-130.</w:t>
      </w:r>
    </w:p>
    <w:p w:rsidR="008A5CB2" w:rsidRPr="00FF4C0D" w:rsidRDefault="008A5CB2" w:rsidP="00777375">
      <w:pPr>
        <w:pStyle w:val="FootnoteText"/>
        <w:rPr>
          <w:rFonts w:cs="Arial"/>
        </w:rPr>
      </w:pPr>
    </w:p>
    <w:p w:rsidR="00777375" w:rsidRPr="00FF4C0D" w:rsidRDefault="00777375" w:rsidP="00777375">
      <w:pPr>
        <w:pStyle w:val="FootnoteText"/>
        <w:rPr>
          <w:rFonts w:cs="Arial"/>
        </w:rPr>
      </w:pPr>
      <w:r w:rsidRPr="00FF4C0D">
        <w:rPr>
          <w:rFonts w:cs="Arial"/>
        </w:rPr>
        <w:t>The American Society for Testing and Materials (ASTM) F1355 – 06 (2006). Standard Guide for Irradiation of Fresh Agricultural Produce as a Phytosanitary Treatment,</w:t>
      </w:r>
      <w:r w:rsidR="00123DBD" w:rsidRPr="00FF4C0D">
        <w:rPr>
          <w:rFonts w:cs="Arial"/>
        </w:rPr>
        <w:t>’</w:t>
      </w:r>
      <w:r w:rsidRPr="00FF4C0D">
        <w:rPr>
          <w:rFonts w:cs="Arial"/>
        </w:rPr>
        <w:t xml:space="preserve"> ASTM International, West Conshohocken, PA, DOI: 10.1520/F1355</w:t>
      </w:r>
      <w:r w:rsidRPr="00FF4C0D">
        <w:rPr>
          <w:rFonts w:ascii="Cambria Math" w:hAnsi="Cambria Math" w:cs="Arial"/>
        </w:rPr>
        <w:t>‐</w:t>
      </w:r>
      <w:r w:rsidRPr="00FF4C0D">
        <w:rPr>
          <w:rFonts w:cs="Arial"/>
        </w:rPr>
        <w:t>06.</w:t>
      </w:r>
    </w:p>
    <w:p w:rsidR="00777375" w:rsidRPr="00FF4C0D" w:rsidRDefault="00777375" w:rsidP="00777375">
      <w:pPr>
        <w:pStyle w:val="FootnoteText"/>
        <w:rPr>
          <w:rFonts w:cs="Arial"/>
        </w:rPr>
      </w:pPr>
    </w:p>
    <w:p w:rsidR="005222C5" w:rsidRPr="00FF4C0D" w:rsidRDefault="005222C5" w:rsidP="00777375">
      <w:pPr>
        <w:pStyle w:val="FootnoteText"/>
        <w:rPr>
          <w:rFonts w:cs="Arial"/>
        </w:rPr>
      </w:pPr>
      <w:r w:rsidRPr="00FF4C0D">
        <w:rPr>
          <w:rFonts w:cs="Arial"/>
        </w:rPr>
        <w:br w:type="page"/>
      </w:r>
    </w:p>
    <w:p w:rsidR="00777375" w:rsidRPr="00FF4C0D" w:rsidRDefault="00777375" w:rsidP="00777375">
      <w:pPr>
        <w:pStyle w:val="FootnoteText"/>
        <w:rPr>
          <w:rFonts w:cs="Arial"/>
        </w:rPr>
      </w:pPr>
      <w:r w:rsidRPr="00FF4C0D">
        <w:rPr>
          <w:rFonts w:cs="Arial"/>
        </w:rPr>
        <w:lastRenderedPageBreak/>
        <w:t>The American Society for Testing and Materials (ASTM) F1640 – 09 (2009). Standard Guide for Packaging Materials for Foods to Be Irradiated, ASTM International, West Conshohocken, PA, DOI: 10.1520/F1640</w:t>
      </w:r>
      <w:r w:rsidRPr="00FF4C0D">
        <w:rPr>
          <w:rFonts w:ascii="Cambria Math" w:hAnsi="Cambria Math" w:cs="Arial"/>
        </w:rPr>
        <w:t>‐</w:t>
      </w:r>
      <w:r w:rsidRPr="00FF4C0D">
        <w:rPr>
          <w:rFonts w:cs="Arial"/>
        </w:rPr>
        <w:t xml:space="preserve">09. </w:t>
      </w:r>
      <w:hyperlink r:id="rId32" w:history="1">
        <w:r w:rsidRPr="00FF4C0D">
          <w:rPr>
            <w:rStyle w:val="Hyperlink"/>
            <w:rFonts w:cs="Arial"/>
            <w:color w:val="3333FF"/>
          </w:rPr>
          <w:t>http://www.astm.org/Standards/F1640.htm</w:t>
        </w:r>
      </w:hyperlink>
    </w:p>
    <w:p w:rsidR="00777375" w:rsidRPr="00FF4C0D" w:rsidRDefault="00777375" w:rsidP="00777375">
      <w:pPr>
        <w:pStyle w:val="FootnoteText"/>
        <w:rPr>
          <w:rFonts w:cs="Arial"/>
        </w:rPr>
      </w:pPr>
    </w:p>
    <w:p w:rsidR="00777375" w:rsidRPr="00FF4C0D" w:rsidRDefault="00777375" w:rsidP="005222C5">
      <w:pPr>
        <w:rPr>
          <w:rFonts w:cs="Arial"/>
          <w:sz w:val="20"/>
          <w:szCs w:val="20"/>
        </w:rPr>
      </w:pPr>
      <w:r w:rsidRPr="00FF4C0D">
        <w:rPr>
          <w:rFonts w:cs="Arial"/>
          <w:sz w:val="20"/>
          <w:szCs w:val="20"/>
        </w:rPr>
        <w:t xml:space="preserve">US FDA </w:t>
      </w:r>
      <w:r w:rsidRPr="00FF4C0D">
        <w:rPr>
          <w:rFonts w:cs="Arial"/>
          <w:i/>
          <w:iCs/>
          <w:sz w:val="20"/>
          <w:szCs w:val="20"/>
        </w:rPr>
        <w:t>21 CFR § 179.45</w:t>
      </w:r>
      <w:r w:rsidRPr="00FF4C0D">
        <w:rPr>
          <w:rFonts w:cs="Arial"/>
          <w:sz w:val="20"/>
          <w:szCs w:val="20"/>
        </w:rPr>
        <w:t xml:space="preserve"> </w:t>
      </w:r>
      <w:r w:rsidRPr="00FF4C0D">
        <w:rPr>
          <w:rFonts w:cs="Arial"/>
          <w:i/>
          <w:iCs/>
          <w:sz w:val="20"/>
          <w:szCs w:val="20"/>
        </w:rPr>
        <w:t>Packaging materials for use during the irradiation of pre-packaged foods</w:t>
      </w:r>
      <w:r w:rsidRPr="00FF4C0D">
        <w:rPr>
          <w:rFonts w:cs="Arial"/>
          <w:sz w:val="20"/>
          <w:szCs w:val="20"/>
        </w:rPr>
        <w:t xml:space="preserve">, Subpart C. </w:t>
      </w:r>
    </w:p>
    <w:p w:rsidR="00265FE1" w:rsidRPr="00FF4C0D" w:rsidRDefault="00265FE1" w:rsidP="00F056FB">
      <w:pPr>
        <w:ind w:right="-46"/>
        <w:rPr>
          <w:rFonts w:cs="Arial"/>
          <w:sz w:val="20"/>
          <w:szCs w:val="20"/>
        </w:rPr>
      </w:pPr>
    </w:p>
    <w:p w:rsidR="00265FE1" w:rsidRPr="00FF4C0D" w:rsidRDefault="00265FE1" w:rsidP="00265FE1">
      <w:pPr>
        <w:tabs>
          <w:tab w:val="left" w:pos="0"/>
        </w:tabs>
        <w:rPr>
          <w:rFonts w:cs="Arial"/>
          <w:noProof/>
          <w:sz w:val="20"/>
          <w:szCs w:val="20"/>
        </w:rPr>
      </w:pPr>
      <w:r w:rsidRPr="00FF4C0D">
        <w:rPr>
          <w:rFonts w:cs="Arial"/>
          <w:noProof/>
          <w:sz w:val="20"/>
          <w:szCs w:val="20"/>
        </w:rPr>
        <w:t xml:space="preserve">Youssef, B.M., Asker, A.A., El-Samahy, S.K. and Swailam, H.M. (2002) Combined effect of steaming and gamma irradiation on the quality of mango pulp stored at refrigerated temperature. </w:t>
      </w:r>
      <w:r w:rsidRPr="00FF4C0D">
        <w:rPr>
          <w:rFonts w:cs="Arial"/>
          <w:i/>
          <w:noProof/>
          <w:sz w:val="20"/>
          <w:szCs w:val="20"/>
        </w:rPr>
        <w:t xml:space="preserve">Food Research International </w:t>
      </w:r>
      <w:r w:rsidRPr="00FF4C0D">
        <w:rPr>
          <w:rFonts w:cs="Arial"/>
          <w:noProof/>
          <w:sz w:val="20"/>
          <w:szCs w:val="20"/>
        </w:rPr>
        <w:t>35:1-13.</w:t>
      </w:r>
    </w:p>
    <w:p w:rsidR="001A441F" w:rsidRPr="00FF4C0D" w:rsidRDefault="001A441F" w:rsidP="00F056FB"/>
    <w:p w:rsidR="003C4969" w:rsidRPr="00FF4C0D" w:rsidRDefault="003C4969" w:rsidP="001A441F">
      <w:pPr>
        <w:widowControl/>
        <w:rPr>
          <w:rFonts w:ascii="Tahoma" w:hAnsi="Tahoma" w:cs="Tahoma"/>
          <w:b/>
          <w:sz w:val="28"/>
          <w:szCs w:val="28"/>
          <w:u w:val="single"/>
        </w:rPr>
      </w:pPr>
      <w:r w:rsidRPr="00FF4C0D">
        <w:rPr>
          <w:rFonts w:ascii="Tahoma" w:hAnsi="Tahoma" w:cs="Tahoma"/>
          <w:b/>
          <w:sz w:val="28"/>
          <w:szCs w:val="28"/>
          <w:u w:val="single"/>
        </w:rPr>
        <w:t>ATTACHMENTS</w:t>
      </w:r>
      <w:bookmarkEnd w:id="123"/>
      <w:bookmarkEnd w:id="124"/>
      <w:bookmarkEnd w:id="125"/>
      <w:bookmarkEnd w:id="126"/>
      <w:bookmarkEnd w:id="127"/>
    </w:p>
    <w:p w:rsidR="003C4969" w:rsidRPr="00FF4C0D" w:rsidRDefault="003C4969">
      <w:pPr>
        <w:rPr>
          <w:rFonts w:cs="Arial"/>
        </w:rPr>
      </w:pPr>
    </w:p>
    <w:p w:rsidR="00D07B2E" w:rsidRPr="00FF4C0D" w:rsidRDefault="00D07B2E" w:rsidP="00D07B2E">
      <w:pPr>
        <w:ind w:left="567" w:hanging="567"/>
        <w:rPr>
          <w:i/>
        </w:rPr>
      </w:pPr>
      <w:r w:rsidRPr="00FF4C0D">
        <w:t>1</w:t>
      </w:r>
      <w:r w:rsidR="00AE46A1" w:rsidRPr="00FF4C0D">
        <w:t>A</w:t>
      </w:r>
      <w:r w:rsidRPr="00FF4C0D">
        <w:t>.</w:t>
      </w:r>
      <w:r w:rsidRPr="00FF4C0D">
        <w:tab/>
        <w:t xml:space="preserve">Draft variations </w:t>
      </w:r>
      <w:r w:rsidR="00DE2C39" w:rsidRPr="00FF4C0D">
        <w:t xml:space="preserve">at Approval </w:t>
      </w:r>
      <w:r w:rsidRPr="00FF4C0D">
        <w:t xml:space="preserve">to the </w:t>
      </w:r>
      <w:r w:rsidRPr="00FF4C0D">
        <w:rPr>
          <w:i/>
        </w:rPr>
        <w:t>Australia New Zealand Food Standards Code</w:t>
      </w:r>
    </w:p>
    <w:p w:rsidR="001E1DA1" w:rsidRPr="00FF4C0D" w:rsidRDefault="00AE46A1" w:rsidP="001E1DA1">
      <w:pPr>
        <w:ind w:left="567" w:hanging="567"/>
        <w:rPr>
          <w:i/>
        </w:rPr>
      </w:pPr>
      <w:r w:rsidRPr="00FF4C0D">
        <w:t>1B</w:t>
      </w:r>
      <w:r w:rsidR="001E1DA1" w:rsidRPr="00FF4C0D">
        <w:t>.</w:t>
      </w:r>
      <w:r w:rsidR="001E1DA1" w:rsidRPr="00FF4C0D">
        <w:tab/>
        <w:t xml:space="preserve">Draft variations </w:t>
      </w:r>
      <w:r w:rsidR="00DE2C39" w:rsidRPr="00FF4C0D">
        <w:t xml:space="preserve">at Assessment </w:t>
      </w:r>
      <w:r w:rsidR="001E1DA1" w:rsidRPr="00FF4C0D">
        <w:t xml:space="preserve">to the </w:t>
      </w:r>
      <w:r w:rsidR="001E1DA1" w:rsidRPr="00FF4C0D">
        <w:rPr>
          <w:i/>
        </w:rPr>
        <w:t>Australia New Zealand Food Standards Code</w:t>
      </w:r>
    </w:p>
    <w:p w:rsidR="006461B1" w:rsidRPr="00FF4C0D" w:rsidRDefault="00AE46A1" w:rsidP="006461B1">
      <w:pPr>
        <w:ind w:left="567" w:hanging="567"/>
        <w:rPr>
          <w:i/>
        </w:rPr>
      </w:pPr>
      <w:r w:rsidRPr="00FF4C0D">
        <w:t>2</w:t>
      </w:r>
      <w:r w:rsidR="006461B1" w:rsidRPr="00FF4C0D">
        <w:t>.</w:t>
      </w:r>
      <w:r w:rsidR="006461B1" w:rsidRPr="00FF4C0D">
        <w:tab/>
        <w:t>Explanatory Statement</w:t>
      </w:r>
      <w:r w:rsidRPr="00FF4C0D">
        <w:rPr>
          <w:noProof/>
          <w:color w:val="000000"/>
        </w:rPr>
        <w:t xml:space="preserve"> of variations to Standards 1.1.1 and 1.5.3 (at Approval)</w:t>
      </w:r>
    </w:p>
    <w:p w:rsidR="001E1DA1" w:rsidRPr="00FF4C0D" w:rsidRDefault="00AE46A1" w:rsidP="001E1DA1">
      <w:pPr>
        <w:ind w:left="567" w:hanging="567"/>
        <w:rPr>
          <w:i/>
        </w:rPr>
      </w:pPr>
      <w:r w:rsidRPr="00FF4C0D">
        <w:t>3</w:t>
      </w:r>
      <w:r w:rsidR="001E1DA1" w:rsidRPr="00FF4C0D">
        <w:t>.</w:t>
      </w:r>
      <w:r w:rsidR="001E1DA1" w:rsidRPr="00FF4C0D">
        <w:tab/>
        <w:t>Summary of submissions</w:t>
      </w:r>
    </w:p>
    <w:p w:rsidR="00CF406A" w:rsidRPr="00FF4C0D" w:rsidRDefault="003C4969" w:rsidP="00AE46A1">
      <w:pPr>
        <w:pStyle w:val="Heading2"/>
        <w:jc w:val="right"/>
      </w:pPr>
      <w:r w:rsidRPr="00FF4C0D">
        <w:br w:type="page"/>
      </w:r>
      <w:bookmarkStart w:id="128" w:name="_Toc29883131"/>
      <w:bookmarkStart w:id="129" w:name="_Toc41906818"/>
      <w:bookmarkStart w:id="130" w:name="_Toc41907565"/>
      <w:bookmarkStart w:id="131" w:name="_Toc120358596"/>
      <w:bookmarkStart w:id="132" w:name="_Toc11735644"/>
      <w:bookmarkStart w:id="133" w:name="_Toc297029123"/>
      <w:r w:rsidRPr="00FF4C0D">
        <w:lastRenderedPageBreak/>
        <w:t xml:space="preserve">Attachment </w:t>
      </w:r>
      <w:bookmarkEnd w:id="128"/>
      <w:bookmarkEnd w:id="129"/>
      <w:bookmarkEnd w:id="130"/>
      <w:r w:rsidRPr="00FF4C0D">
        <w:t>1</w:t>
      </w:r>
      <w:bookmarkStart w:id="134" w:name="_Toc120358597"/>
      <w:bookmarkEnd w:id="131"/>
      <w:bookmarkEnd w:id="132"/>
      <w:r w:rsidR="006D75FA" w:rsidRPr="00FF4C0D">
        <w:t>A</w:t>
      </w:r>
      <w:bookmarkEnd w:id="133"/>
      <w:r w:rsidR="00812072" w:rsidRPr="00FF4C0D">
        <w:t xml:space="preserve"> </w:t>
      </w:r>
    </w:p>
    <w:p w:rsidR="009B4A0D" w:rsidRPr="00FF4C0D" w:rsidRDefault="009B4A0D" w:rsidP="002D3CB7"/>
    <w:p w:rsidR="009B4A0D" w:rsidRPr="00FF4C0D" w:rsidRDefault="006D75FA" w:rsidP="002D3CB7">
      <w:pPr>
        <w:pStyle w:val="Heading2"/>
        <w:ind w:left="0" w:firstLine="0"/>
      </w:pPr>
      <w:bookmarkStart w:id="135" w:name="_Toc297029124"/>
      <w:r w:rsidRPr="00FF4C0D">
        <w:t xml:space="preserve">Draft variations to the </w:t>
      </w:r>
      <w:r w:rsidRPr="00FF4C0D">
        <w:rPr>
          <w:i/>
        </w:rPr>
        <w:t>Australia New Zealand Food Standards Code</w:t>
      </w:r>
      <w:r w:rsidR="00CF406A" w:rsidRPr="00FF4C0D">
        <w:t xml:space="preserve"> </w:t>
      </w:r>
      <w:r w:rsidR="00CC46EF" w:rsidRPr="00FF4C0D">
        <w:t>(Approval)</w:t>
      </w:r>
      <w:bookmarkEnd w:id="135"/>
      <w:r w:rsidR="00CC46EF" w:rsidRPr="00FF4C0D">
        <w:t xml:space="preserve"> </w:t>
      </w:r>
    </w:p>
    <w:p w:rsidR="006D75FA" w:rsidRPr="00FF4C0D" w:rsidRDefault="006D75FA" w:rsidP="006D75FA">
      <w:pPr>
        <w:rPr>
          <w:rFonts w:cs="Arial"/>
        </w:rPr>
      </w:pPr>
    </w:p>
    <w:p w:rsidR="00F17886" w:rsidRPr="00FF4C0D" w:rsidRDefault="00F17886" w:rsidP="00F17886">
      <w:pPr>
        <w:rPr>
          <w:noProof/>
          <w:lang w:val="en-AU" w:eastAsia="en-AU"/>
        </w:rPr>
      </w:pPr>
      <w:r w:rsidRPr="00FF4C0D">
        <w:rPr>
          <w:noProof/>
          <w:sz w:val="26"/>
          <w:lang w:val="en-AU" w:eastAsia="en-AU" w:bidi="ar-SA"/>
        </w:rPr>
        <w:drawing>
          <wp:inline distT="0" distB="0" distL="0" distR="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438150"/>
                    </a:xfrm>
                    <a:prstGeom prst="rect">
                      <a:avLst/>
                    </a:prstGeom>
                    <a:noFill/>
                    <a:ln>
                      <a:noFill/>
                    </a:ln>
                  </pic:spPr>
                </pic:pic>
              </a:graphicData>
            </a:graphic>
          </wp:inline>
        </w:drawing>
      </w:r>
    </w:p>
    <w:p w:rsidR="00F17886" w:rsidRPr="00FF4C0D" w:rsidRDefault="00F17886" w:rsidP="00F17886">
      <w:pPr>
        <w:pBdr>
          <w:bottom w:val="single" w:sz="4" w:space="3" w:color="auto"/>
        </w:pBdr>
        <w:tabs>
          <w:tab w:val="left" w:pos="851"/>
        </w:tabs>
        <w:rPr>
          <w:sz w:val="20"/>
          <w:szCs w:val="20"/>
          <w:lang w:bidi="ar-SA"/>
        </w:rPr>
      </w:pPr>
    </w:p>
    <w:p w:rsidR="00F17886" w:rsidRPr="00FF4C0D" w:rsidRDefault="00F17886" w:rsidP="005222C5">
      <w:pPr>
        <w:pBdr>
          <w:bottom w:val="single" w:sz="4" w:space="3" w:color="auto"/>
        </w:pBdr>
        <w:tabs>
          <w:tab w:val="left" w:pos="851"/>
        </w:tabs>
        <w:rPr>
          <w:b/>
          <w:bCs/>
          <w:sz w:val="20"/>
          <w:szCs w:val="20"/>
          <w:lang w:val="en-AU" w:bidi="ar-SA"/>
        </w:rPr>
      </w:pPr>
      <w:r w:rsidRPr="00FF4C0D">
        <w:rPr>
          <w:b/>
          <w:bCs/>
          <w:sz w:val="20"/>
          <w:szCs w:val="20"/>
          <w:lang w:val="en-AU" w:bidi="ar-SA"/>
        </w:rPr>
        <w:t>Food Standards (Application A10</w:t>
      </w:r>
      <w:r w:rsidR="005222C5" w:rsidRPr="00FF4C0D">
        <w:rPr>
          <w:b/>
          <w:bCs/>
          <w:sz w:val="20"/>
          <w:szCs w:val="20"/>
          <w:lang w:val="en-AU" w:bidi="ar-SA"/>
        </w:rPr>
        <w:t>38</w:t>
      </w:r>
      <w:r w:rsidRPr="00FF4C0D">
        <w:rPr>
          <w:b/>
          <w:bCs/>
          <w:sz w:val="20"/>
          <w:szCs w:val="20"/>
          <w:lang w:val="en-AU" w:bidi="ar-SA"/>
        </w:rPr>
        <w:t xml:space="preserve"> – </w:t>
      </w:r>
      <w:r w:rsidR="005222C5" w:rsidRPr="00FF4C0D">
        <w:rPr>
          <w:b/>
          <w:bCs/>
          <w:sz w:val="20"/>
          <w:szCs w:val="20"/>
          <w:lang w:val="en-AU" w:bidi="ar-SA"/>
        </w:rPr>
        <w:t>Irradiation of Persimmons</w:t>
      </w:r>
      <w:r w:rsidRPr="00FF4C0D">
        <w:rPr>
          <w:b/>
          <w:bCs/>
          <w:sz w:val="20"/>
          <w:szCs w:val="20"/>
          <w:lang w:val="en-AU" w:bidi="ar-SA"/>
        </w:rPr>
        <w:t>) Variation</w:t>
      </w:r>
    </w:p>
    <w:p w:rsidR="00F17886" w:rsidRPr="00FF4C0D" w:rsidRDefault="00F17886" w:rsidP="00F17886">
      <w:pPr>
        <w:rPr>
          <w:sz w:val="20"/>
          <w:szCs w:val="20"/>
        </w:rPr>
      </w:pPr>
    </w:p>
    <w:p w:rsidR="00F17886" w:rsidRPr="00FF4C0D" w:rsidRDefault="00F17886" w:rsidP="00F17886">
      <w:pPr>
        <w:rPr>
          <w:sz w:val="20"/>
          <w:szCs w:val="20"/>
        </w:rPr>
      </w:pPr>
      <w:r w:rsidRPr="00FF4C0D">
        <w:rPr>
          <w:sz w:val="20"/>
          <w:szCs w:val="20"/>
        </w:rPr>
        <w:t xml:space="preserve">The Board of Food Standards Australia New Zealand gives notice of the making of this variation under section 92 of the </w:t>
      </w:r>
      <w:r w:rsidRPr="00FF4C0D">
        <w:rPr>
          <w:i/>
          <w:sz w:val="20"/>
          <w:szCs w:val="20"/>
        </w:rPr>
        <w:t>Food Standards Australia New Zealand Act 1991</w:t>
      </w:r>
      <w:r w:rsidRPr="00FF4C0D">
        <w:rPr>
          <w:sz w:val="20"/>
          <w:szCs w:val="20"/>
        </w:rPr>
        <w:t>.  The Standard commences on the date specified in clause 3 of this variation.</w:t>
      </w:r>
    </w:p>
    <w:p w:rsidR="00F17886" w:rsidRPr="00FF4C0D" w:rsidRDefault="00F17886" w:rsidP="00F17886">
      <w:pPr>
        <w:rPr>
          <w:sz w:val="20"/>
          <w:szCs w:val="20"/>
        </w:rPr>
      </w:pPr>
    </w:p>
    <w:p w:rsidR="00F17886" w:rsidRPr="00FF4C0D" w:rsidRDefault="00F17886" w:rsidP="00F17886">
      <w:pPr>
        <w:rPr>
          <w:sz w:val="20"/>
          <w:szCs w:val="20"/>
        </w:rPr>
      </w:pPr>
      <w:r w:rsidRPr="00FF4C0D">
        <w:rPr>
          <w:sz w:val="20"/>
          <w:szCs w:val="20"/>
        </w:rPr>
        <w:t>Dated DATE OF GAZETTAL</w:t>
      </w:r>
    </w:p>
    <w:p w:rsidR="00F17886" w:rsidRPr="00FF4C0D" w:rsidRDefault="00F17886" w:rsidP="00F17886">
      <w:pPr>
        <w:rPr>
          <w:sz w:val="20"/>
          <w:szCs w:val="20"/>
        </w:rPr>
      </w:pPr>
    </w:p>
    <w:p w:rsidR="00F17886" w:rsidRPr="00FF4C0D" w:rsidRDefault="00F17886" w:rsidP="00F17886">
      <w:pPr>
        <w:rPr>
          <w:sz w:val="20"/>
          <w:szCs w:val="20"/>
        </w:rPr>
      </w:pPr>
    </w:p>
    <w:p w:rsidR="00F17886" w:rsidRPr="00FF4C0D" w:rsidRDefault="00F17886" w:rsidP="00F17886">
      <w:pPr>
        <w:rPr>
          <w:sz w:val="20"/>
          <w:szCs w:val="20"/>
        </w:rPr>
      </w:pPr>
    </w:p>
    <w:p w:rsidR="00F17886" w:rsidRPr="00FF4C0D" w:rsidRDefault="00F17886" w:rsidP="00F17886">
      <w:pPr>
        <w:rPr>
          <w:sz w:val="20"/>
          <w:szCs w:val="20"/>
        </w:rPr>
      </w:pPr>
      <w:r w:rsidRPr="00FF4C0D">
        <w:rPr>
          <w:sz w:val="20"/>
          <w:szCs w:val="20"/>
        </w:rPr>
        <w:t>Standards Management Officer</w:t>
      </w:r>
    </w:p>
    <w:p w:rsidR="00F17886" w:rsidRPr="00FF4C0D" w:rsidRDefault="00F17886" w:rsidP="00F17886">
      <w:pPr>
        <w:rPr>
          <w:sz w:val="20"/>
          <w:szCs w:val="20"/>
        </w:rPr>
      </w:pPr>
      <w:r w:rsidRPr="00FF4C0D">
        <w:rPr>
          <w:sz w:val="20"/>
          <w:szCs w:val="20"/>
        </w:rPr>
        <w:t>Delegate of the Board of Food Standards Australia New Zealand</w:t>
      </w:r>
    </w:p>
    <w:p w:rsidR="00F17886" w:rsidRPr="00FF4C0D" w:rsidRDefault="00F17886" w:rsidP="00F17886">
      <w:pPr>
        <w:rPr>
          <w:sz w:val="20"/>
          <w:szCs w:val="20"/>
        </w:rPr>
      </w:pPr>
    </w:p>
    <w:p w:rsidR="00F17886" w:rsidRPr="00FF4C0D" w:rsidRDefault="00F17886" w:rsidP="00F17886">
      <w:pPr>
        <w:rPr>
          <w:sz w:val="20"/>
          <w:szCs w:val="20"/>
        </w:rPr>
      </w:pPr>
    </w:p>
    <w:p w:rsidR="001B7C9D" w:rsidRPr="00FF4C0D" w:rsidRDefault="00F17886" w:rsidP="00F17886">
      <w:pPr>
        <w:tabs>
          <w:tab w:val="left" w:pos="851"/>
        </w:tabs>
        <w:rPr>
          <w:sz w:val="20"/>
          <w:szCs w:val="20"/>
          <w:lang w:bidi="ar-SA"/>
        </w:rPr>
      </w:pPr>
      <w:r w:rsidRPr="00FF4C0D">
        <w:rPr>
          <w:color w:val="7030A0"/>
          <w:sz w:val="20"/>
        </w:rPr>
        <w:br w:type="page"/>
      </w:r>
    </w:p>
    <w:p w:rsidR="005222C5" w:rsidRPr="00FF4C0D" w:rsidRDefault="005222C5" w:rsidP="005222C5">
      <w:pPr>
        <w:tabs>
          <w:tab w:val="left" w:pos="851"/>
        </w:tabs>
        <w:rPr>
          <w:b/>
          <w:sz w:val="20"/>
          <w:szCs w:val="20"/>
        </w:rPr>
      </w:pPr>
      <w:r w:rsidRPr="00FF4C0D">
        <w:rPr>
          <w:b/>
          <w:sz w:val="20"/>
          <w:szCs w:val="20"/>
        </w:rPr>
        <w:lastRenderedPageBreak/>
        <w:t>1</w:t>
      </w:r>
      <w:r w:rsidRPr="00FF4C0D">
        <w:rPr>
          <w:b/>
          <w:sz w:val="20"/>
          <w:szCs w:val="20"/>
        </w:rPr>
        <w:tab/>
        <w:t>Name</w:t>
      </w:r>
    </w:p>
    <w:p w:rsidR="005222C5" w:rsidRPr="00FF4C0D" w:rsidRDefault="005222C5" w:rsidP="005222C5">
      <w:pPr>
        <w:tabs>
          <w:tab w:val="left" w:pos="851"/>
        </w:tabs>
        <w:rPr>
          <w:sz w:val="20"/>
          <w:szCs w:val="20"/>
        </w:rPr>
      </w:pPr>
    </w:p>
    <w:p w:rsidR="005222C5" w:rsidRPr="00FF4C0D" w:rsidRDefault="005222C5" w:rsidP="005222C5">
      <w:pPr>
        <w:tabs>
          <w:tab w:val="left" w:pos="851"/>
        </w:tabs>
        <w:rPr>
          <w:sz w:val="20"/>
          <w:szCs w:val="20"/>
        </w:rPr>
      </w:pPr>
      <w:r w:rsidRPr="00FF4C0D">
        <w:rPr>
          <w:sz w:val="20"/>
          <w:szCs w:val="20"/>
        </w:rPr>
        <w:t>This instrument is the</w:t>
      </w:r>
      <w:r w:rsidRPr="00FF4C0D">
        <w:rPr>
          <w:i/>
          <w:sz w:val="20"/>
          <w:szCs w:val="20"/>
        </w:rPr>
        <w:t xml:space="preserve"> Food Standards (Application </w:t>
      </w:r>
      <w:r w:rsidRPr="00FF4C0D">
        <w:rPr>
          <w:bCs/>
          <w:i/>
          <w:sz w:val="20"/>
          <w:szCs w:val="20"/>
          <w:lang w:val="en-AU" w:bidi="ar-SA"/>
        </w:rPr>
        <w:t>A1038 – Irradiation of Persimmons</w:t>
      </w:r>
      <w:r w:rsidRPr="00FF4C0D">
        <w:rPr>
          <w:i/>
          <w:sz w:val="20"/>
          <w:szCs w:val="20"/>
        </w:rPr>
        <w:t>) Variation</w:t>
      </w:r>
      <w:r w:rsidRPr="00FF4C0D">
        <w:rPr>
          <w:sz w:val="20"/>
          <w:szCs w:val="20"/>
        </w:rPr>
        <w:t>.</w:t>
      </w:r>
    </w:p>
    <w:p w:rsidR="005222C5" w:rsidRPr="00FF4C0D" w:rsidRDefault="005222C5" w:rsidP="005222C5">
      <w:pPr>
        <w:rPr>
          <w:sz w:val="20"/>
          <w:szCs w:val="20"/>
        </w:rPr>
      </w:pPr>
    </w:p>
    <w:p w:rsidR="005222C5" w:rsidRPr="00FF4C0D" w:rsidRDefault="005222C5" w:rsidP="005222C5">
      <w:pPr>
        <w:tabs>
          <w:tab w:val="left" w:pos="851"/>
        </w:tabs>
        <w:rPr>
          <w:b/>
          <w:sz w:val="20"/>
          <w:szCs w:val="20"/>
        </w:rPr>
      </w:pPr>
      <w:r w:rsidRPr="00FF4C0D">
        <w:rPr>
          <w:b/>
          <w:sz w:val="20"/>
          <w:szCs w:val="20"/>
        </w:rPr>
        <w:t>2</w:t>
      </w:r>
      <w:r w:rsidRPr="00FF4C0D">
        <w:rPr>
          <w:b/>
          <w:sz w:val="20"/>
          <w:szCs w:val="20"/>
        </w:rPr>
        <w:tab/>
        <w:t xml:space="preserve">Variation to Standards in the </w:t>
      </w:r>
      <w:r w:rsidRPr="00FF4C0D">
        <w:rPr>
          <w:b/>
          <w:i/>
          <w:sz w:val="20"/>
          <w:szCs w:val="20"/>
        </w:rPr>
        <w:t>Australia New Zealand Food Standards Code</w:t>
      </w:r>
    </w:p>
    <w:p w:rsidR="005222C5" w:rsidRPr="00FF4C0D" w:rsidRDefault="005222C5" w:rsidP="005222C5">
      <w:pPr>
        <w:tabs>
          <w:tab w:val="left" w:pos="851"/>
        </w:tabs>
        <w:rPr>
          <w:sz w:val="20"/>
          <w:szCs w:val="20"/>
        </w:rPr>
      </w:pPr>
    </w:p>
    <w:p w:rsidR="005222C5" w:rsidRPr="00FF4C0D" w:rsidRDefault="005222C5" w:rsidP="005222C5">
      <w:pPr>
        <w:tabs>
          <w:tab w:val="left" w:pos="851"/>
        </w:tabs>
        <w:rPr>
          <w:sz w:val="20"/>
          <w:szCs w:val="20"/>
        </w:rPr>
      </w:pPr>
      <w:r w:rsidRPr="00FF4C0D">
        <w:rPr>
          <w:sz w:val="20"/>
          <w:szCs w:val="20"/>
        </w:rPr>
        <w:t xml:space="preserve">The Schedule varies the Standards in the </w:t>
      </w:r>
      <w:r w:rsidRPr="00FF4C0D">
        <w:rPr>
          <w:i/>
          <w:sz w:val="20"/>
          <w:szCs w:val="20"/>
        </w:rPr>
        <w:t>Australia New Zealand Food Standards Code</w:t>
      </w:r>
      <w:r w:rsidRPr="00FF4C0D">
        <w:rPr>
          <w:sz w:val="20"/>
          <w:szCs w:val="20"/>
        </w:rPr>
        <w:t>.</w:t>
      </w:r>
    </w:p>
    <w:p w:rsidR="005222C5" w:rsidRPr="00FF4C0D" w:rsidRDefault="005222C5" w:rsidP="005222C5">
      <w:pPr>
        <w:rPr>
          <w:sz w:val="20"/>
          <w:szCs w:val="20"/>
        </w:rPr>
      </w:pPr>
    </w:p>
    <w:p w:rsidR="005222C5" w:rsidRPr="00FF4C0D" w:rsidRDefault="005222C5" w:rsidP="005222C5">
      <w:pPr>
        <w:tabs>
          <w:tab w:val="left" w:pos="851"/>
        </w:tabs>
        <w:rPr>
          <w:b/>
          <w:sz w:val="20"/>
          <w:szCs w:val="20"/>
        </w:rPr>
      </w:pPr>
      <w:r w:rsidRPr="00FF4C0D">
        <w:rPr>
          <w:b/>
          <w:sz w:val="20"/>
          <w:szCs w:val="20"/>
        </w:rPr>
        <w:t>3</w:t>
      </w:r>
      <w:r w:rsidRPr="00FF4C0D">
        <w:rPr>
          <w:b/>
          <w:sz w:val="20"/>
          <w:szCs w:val="20"/>
        </w:rPr>
        <w:tab/>
        <w:t>Commencement</w:t>
      </w:r>
    </w:p>
    <w:p w:rsidR="005222C5" w:rsidRPr="00FF4C0D" w:rsidRDefault="005222C5" w:rsidP="005222C5">
      <w:pPr>
        <w:tabs>
          <w:tab w:val="left" w:pos="851"/>
        </w:tabs>
        <w:rPr>
          <w:sz w:val="20"/>
          <w:szCs w:val="20"/>
        </w:rPr>
      </w:pPr>
    </w:p>
    <w:p w:rsidR="005222C5" w:rsidRPr="00FF4C0D" w:rsidRDefault="005222C5" w:rsidP="005222C5">
      <w:pPr>
        <w:tabs>
          <w:tab w:val="left" w:pos="851"/>
        </w:tabs>
        <w:rPr>
          <w:sz w:val="20"/>
          <w:szCs w:val="20"/>
        </w:rPr>
      </w:pPr>
      <w:r w:rsidRPr="00FF4C0D">
        <w:rPr>
          <w:sz w:val="20"/>
          <w:szCs w:val="20"/>
        </w:rPr>
        <w:t xml:space="preserve">These variations commence on </w:t>
      </w:r>
      <w:r w:rsidRPr="00FF4C0D">
        <w:rPr>
          <w:b/>
          <w:sz w:val="20"/>
          <w:szCs w:val="20"/>
        </w:rPr>
        <w:t>DATE OF GAZETTAL</w:t>
      </w:r>
      <w:r w:rsidRPr="00FF4C0D">
        <w:rPr>
          <w:sz w:val="20"/>
          <w:szCs w:val="20"/>
        </w:rPr>
        <w:t>.</w:t>
      </w:r>
    </w:p>
    <w:p w:rsidR="005222C5" w:rsidRPr="00FF4C0D" w:rsidRDefault="005222C5" w:rsidP="005222C5">
      <w:pPr>
        <w:tabs>
          <w:tab w:val="left" w:pos="851"/>
        </w:tabs>
        <w:rPr>
          <w:b/>
          <w:sz w:val="20"/>
          <w:szCs w:val="20"/>
        </w:rPr>
      </w:pPr>
    </w:p>
    <w:p w:rsidR="005222C5" w:rsidRPr="00FF4C0D" w:rsidRDefault="005222C5" w:rsidP="005222C5">
      <w:pPr>
        <w:pStyle w:val="ScheduleHeading"/>
      </w:pPr>
      <w:r w:rsidRPr="00FF4C0D">
        <w:t>SCHEDULE</w:t>
      </w:r>
    </w:p>
    <w:p w:rsidR="005222C5" w:rsidRPr="00FF4C0D" w:rsidRDefault="005222C5" w:rsidP="001B7C9D">
      <w:pPr>
        <w:tabs>
          <w:tab w:val="left" w:pos="851"/>
        </w:tabs>
        <w:rPr>
          <w:rFonts w:cs="Arial"/>
          <w:b/>
          <w:bCs/>
          <w:sz w:val="20"/>
          <w:szCs w:val="20"/>
          <w:lang w:val="en-AU" w:bidi="ar-SA"/>
        </w:rPr>
      </w:pPr>
    </w:p>
    <w:p w:rsidR="001B7C9D" w:rsidRPr="00FF4C0D" w:rsidRDefault="001B7C9D" w:rsidP="001B7C9D">
      <w:pPr>
        <w:tabs>
          <w:tab w:val="left" w:pos="851"/>
        </w:tabs>
        <w:rPr>
          <w:i/>
          <w:iCs/>
          <w:sz w:val="20"/>
          <w:szCs w:val="20"/>
          <w:lang w:bidi="ar-SA"/>
        </w:rPr>
      </w:pPr>
      <w:r w:rsidRPr="00FF4C0D">
        <w:rPr>
          <w:rFonts w:cs="Arial"/>
          <w:b/>
          <w:bCs/>
          <w:sz w:val="20"/>
          <w:szCs w:val="20"/>
          <w:lang w:val="en-AU" w:bidi="ar-SA"/>
        </w:rPr>
        <w:t>[1]</w:t>
      </w:r>
      <w:r w:rsidRPr="00FF4C0D">
        <w:rPr>
          <w:rFonts w:cs="Arial"/>
          <w:sz w:val="20"/>
          <w:szCs w:val="20"/>
          <w:lang w:val="en-AU" w:bidi="ar-SA"/>
        </w:rPr>
        <w:tab/>
      </w:r>
      <w:r w:rsidRPr="00FF4C0D">
        <w:rPr>
          <w:rFonts w:cs="Arial"/>
          <w:b/>
          <w:bCs/>
          <w:i/>
          <w:iCs/>
          <w:sz w:val="20"/>
          <w:szCs w:val="20"/>
          <w:lang w:val="en-AU" w:bidi="ar-SA"/>
        </w:rPr>
        <w:t xml:space="preserve">Standard 1.1.1 </w:t>
      </w:r>
      <w:r w:rsidRPr="00FF4C0D">
        <w:rPr>
          <w:i/>
          <w:iCs/>
          <w:sz w:val="20"/>
          <w:szCs w:val="20"/>
          <w:lang w:bidi="ar-SA"/>
        </w:rPr>
        <w:t xml:space="preserve">of the Australia New Zealand Food Standards Code is varied by – </w:t>
      </w:r>
    </w:p>
    <w:p w:rsidR="001B7C9D" w:rsidRPr="00FF4C0D" w:rsidRDefault="001B7C9D" w:rsidP="001B7C9D">
      <w:pPr>
        <w:tabs>
          <w:tab w:val="left" w:pos="851"/>
        </w:tabs>
        <w:rPr>
          <w:i/>
          <w:iCs/>
          <w:sz w:val="20"/>
          <w:szCs w:val="20"/>
          <w:lang w:bidi="ar-SA"/>
        </w:rPr>
      </w:pPr>
    </w:p>
    <w:p w:rsidR="001B7C9D" w:rsidRPr="00FF4C0D" w:rsidRDefault="001B7C9D" w:rsidP="001B7C9D">
      <w:pPr>
        <w:tabs>
          <w:tab w:val="left" w:pos="851"/>
        </w:tabs>
        <w:rPr>
          <w:rFonts w:cs="Arial"/>
          <w:sz w:val="20"/>
          <w:szCs w:val="20"/>
          <w:lang w:val="en-AU" w:bidi="ar-SA"/>
        </w:rPr>
      </w:pPr>
      <w:r w:rsidRPr="00FF4C0D">
        <w:rPr>
          <w:iCs/>
          <w:sz w:val="20"/>
          <w:szCs w:val="20"/>
          <w:lang w:bidi="ar-SA"/>
        </w:rPr>
        <w:t>[1.1]</w:t>
      </w:r>
      <w:r w:rsidRPr="00FF4C0D">
        <w:rPr>
          <w:iCs/>
          <w:sz w:val="20"/>
          <w:szCs w:val="20"/>
          <w:lang w:bidi="ar-SA"/>
        </w:rPr>
        <w:tab/>
      </w:r>
      <w:r w:rsidRPr="00FF4C0D">
        <w:rPr>
          <w:i/>
          <w:iCs/>
          <w:sz w:val="20"/>
          <w:szCs w:val="20"/>
          <w:lang w:bidi="ar-SA"/>
        </w:rPr>
        <w:t xml:space="preserve">omitting from the </w:t>
      </w:r>
      <w:r w:rsidRPr="00FF4C0D">
        <w:rPr>
          <w:rFonts w:cs="Arial"/>
          <w:i/>
          <w:iCs/>
          <w:sz w:val="20"/>
          <w:szCs w:val="20"/>
          <w:lang w:val="en-AU" w:bidi="ar-SA"/>
        </w:rPr>
        <w:t>table to clause 8</w:t>
      </w:r>
      <w:r w:rsidRPr="00FF4C0D">
        <w:rPr>
          <w:rFonts w:cs="Arial"/>
          <w:sz w:val="20"/>
          <w:szCs w:val="20"/>
          <w:lang w:val="en-AU" w:bidi="ar-SA"/>
        </w:rPr>
        <w:t xml:space="preserve"> –</w:t>
      </w:r>
    </w:p>
    <w:p w:rsidR="001B7C9D" w:rsidRPr="00FF4C0D" w:rsidRDefault="001B7C9D" w:rsidP="001B7C9D">
      <w:pPr>
        <w:tabs>
          <w:tab w:val="left" w:pos="851"/>
        </w:tabs>
        <w:rPr>
          <w:sz w:val="20"/>
          <w:szCs w:val="20"/>
          <w:lang w:bidi="ar-SA"/>
        </w:rPr>
      </w:pPr>
    </w:p>
    <w:tbl>
      <w:tblPr>
        <w:tblW w:w="0" w:type="auto"/>
        <w:jc w:val="center"/>
        <w:tblLayout w:type="fixed"/>
        <w:tblLook w:val="0000"/>
      </w:tblPr>
      <w:tblGrid>
        <w:gridCol w:w="3402"/>
        <w:gridCol w:w="3402"/>
      </w:tblGrid>
      <w:tr w:rsidR="001B7C9D" w:rsidRPr="00FF4C0D" w:rsidTr="005B2641">
        <w:trPr>
          <w:jc w:val="center"/>
        </w:trPr>
        <w:tc>
          <w:tcPr>
            <w:tcW w:w="3402" w:type="dxa"/>
          </w:tcPr>
          <w:p w:rsidR="001B7C9D" w:rsidRPr="00FF4C0D" w:rsidRDefault="001B7C9D" w:rsidP="001B7C9D">
            <w:pPr>
              <w:ind w:left="142" w:hanging="142"/>
              <w:rPr>
                <w:bCs/>
                <w:sz w:val="20"/>
                <w:szCs w:val="20"/>
                <w:lang w:bidi="ar-SA"/>
              </w:rPr>
            </w:pPr>
            <w:r w:rsidRPr="00FF4C0D">
              <w:rPr>
                <w:bCs/>
                <w:sz w:val="20"/>
                <w:szCs w:val="20"/>
                <w:lang w:bidi="ar-SA"/>
              </w:rPr>
              <w:t>Gy</w:t>
            </w:r>
          </w:p>
        </w:tc>
        <w:tc>
          <w:tcPr>
            <w:tcW w:w="3402" w:type="dxa"/>
          </w:tcPr>
          <w:p w:rsidR="001B7C9D" w:rsidRPr="00FF4C0D" w:rsidRDefault="001B7C9D" w:rsidP="001B7C9D">
            <w:pPr>
              <w:ind w:left="142" w:hanging="142"/>
              <w:rPr>
                <w:bCs/>
                <w:sz w:val="20"/>
                <w:szCs w:val="20"/>
                <w:lang w:bidi="ar-SA"/>
              </w:rPr>
            </w:pPr>
            <w:r w:rsidRPr="00FF4C0D">
              <w:rPr>
                <w:bCs/>
                <w:sz w:val="20"/>
                <w:szCs w:val="20"/>
                <w:lang w:bidi="ar-SA"/>
              </w:rPr>
              <w:t>Grays</w:t>
            </w:r>
          </w:p>
        </w:tc>
      </w:tr>
    </w:tbl>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i/>
          <w:sz w:val="20"/>
          <w:szCs w:val="20"/>
          <w:lang w:bidi="ar-SA"/>
        </w:rPr>
        <w:t xml:space="preserve">substituting – </w:t>
      </w:r>
    </w:p>
    <w:p w:rsidR="001B7C9D" w:rsidRPr="00FF4C0D" w:rsidRDefault="001B7C9D" w:rsidP="001B7C9D">
      <w:pPr>
        <w:tabs>
          <w:tab w:val="left" w:pos="851"/>
        </w:tabs>
        <w:rPr>
          <w:sz w:val="20"/>
          <w:szCs w:val="20"/>
          <w:lang w:bidi="ar-SA"/>
        </w:rPr>
      </w:pPr>
    </w:p>
    <w:tbl>
      <w:tblPr>
        <w:tblW w:w="0" w:type="auto"/>
        <w:jc w:val="center"/>
        <w:tblLayout w:type="fixed"/>
        <w:tblLook w:val="0000"/>
      </w:tblPr>
      <w:tblGrid>
        <w:gridCol w:w="3402"/>
        <w:gridCol w:w="3402"/>
      </w:tblGrid>
      <w:tr w:rsidR="001B7C9D" w:rsidRPr="00FF4C0D" w:rsidTr="005B2641">
        <w:trPr>
          <w:jc w:val="center"/>
        </w:trPr>
        <w:tc>
          <w:tcPr>
            <w:tcW w:w="3402" w:type="dxa"/>
          </w:tcPr>
          <w:p w:rsidR="001B7C9D" w:rsidRPr="00FF4C0D" w:rsidRDefault="001B7C9D" w:rsidP="001B7C9D">
            <w:pPr>
              <w:ind w:left="142" w:hanging="142"/>
              <w:rPr>
                <w:bCs/>
                <w:sz w:val="20"/>
                <w:szCs w:val="20"/>
                <w:lang w:bidi="ar-SA"/>
              </w:rPr>
            </w:pPr>
            <w:r w:rsidRPr="00FF4C0D">
              <w:rPr>
                <w:bCs/>
                <w:sz w:val="20"/>
                <w:szCs w:val="20"/>
                <w:lang w:bidi="ar-SA"/>
              </w:rPr>
              <w:t>Gy</w:t>
            </w:r>
          </w:p>
        </w:tc>
        <w:tc>
          <w:tcPr>
            <w:tcW w:w="3402" w:type="dxa"/>
          </w:tcPr>
          <w:p w:rsidR="001B7C9D" w:rsidRPr="00FF4C0D" w:rsidRDefault="001B7C9D" w:rsidP="001B7C9D">
            <w:pPr>
              <w:ind w:left="142" w:hanging="142"/>
              <w:rPr>
                <w:bCs/>
                <w:sz w:val="20"/>
                <w:szCs w:val="20"/>
                <w:lang w:bidi="ar-SA"/>
              </w:rPr>
            </w:pPr>
            <w:r w:rsidRPr="00FF4C0D">
              <w:rPr>
                <w:bCs/>
                <w:sz w:val="20"/>
                <w:szCs w:val="20"/>
                <w:lang w:bidi="ar-SA"/>
              </w:rPr>
              <w:t>Gray</w:t>
            </w:r>
          </w:p>
        </w:tc>
      </w:tr>
    </w:tbl>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sz w:val="20"/>
          <w:szCs w:val="20"/>
          <w:lang w:bidi="ar-SA"/>
        </w:rPr>
        <w:t>[1.2]</w:t>
      </w:r>
      <w:r w:rsidRPr="00FF4C0D">
        <w:rPr>
          <w:sz w:val="20"/>
          <w:szCs w:val="20"/>
          <w:lang w:bidi="ar-SA"/>
        </w:rPr>
        <w:tab/>
      </w:r>
      <w:r w:rsidRPr="00FF4C0D">
        <w:rPr>
          <w:i/>
          <w:sz w:val="20"/>
          <w:szCs w:val="20"/>
          <w:lang w:bidi="ar-SA"/>
        </w:rPr>
        <w:t xml:space="preserve">inserting in the table to clause 8 – </w:t>
      </w:r>
    </w:p>
    <w:p w:rsidR="001B7C9D" w:rsidRPr="00FF4C0D" w:rsidRDefault="001B7C9D" w:rsidP="001B7C9D">
      <w:pPr>
        <w:tabs>
          <w:tab w:val="left" w:pos="851"/>
        </w:tabs>
        <w:rPr>
          <w:sz w:val="20"/>
          <w:szCs w:val="20"/>
          <w:lang w:bidi="ar-SA"/>
        </w:rPr>
      </w:pPr>
    </w:p>
    <w:tbl>
      <w:tblPr>
        <w:tblW w:w="0" w:type="auto"/>
        <w:jc w:val="center"/>
        <w:tblLayout w:type="fixed"/>
        <w:tblLook w:val="0000"/>
      </w:tblPr>
      <w:tblGrid>
        <w:gridCol w:w="3402"/>
        <w:gridCol w:w="3402"/>
      </w:tblGrid>
      <w:tr w:rsidR="001B7C9D" w:rsidRPr="00FF4C0D" w:rsidTr="005B2641">
        <w:trPr>
          <w:jc w:val="center"/>
        </w:trPr>
        <w:tc>
          <w:tcPr>
            <w:tcW w:w="3402" w:type="dxa"/>
          </w:tcPr>
          <w:p w:rsidR="001B7C9D" w:rsidRPr="00FF4C0D" w:rsidRDefault="001B7C9D" w:rsidP="001B7C9D">
            <w:pPr>
              <w:ind w:left="142" w:hanging="142"/>
              <w:rPr>
                <w:bCs/>
                <w:sz w:val="20"/>
                <w:szCs w:val="20"/>
                <w:lang w:bidi="ar-SA"/>
              </w:rPr>
            </w:pPr>
            <w:r w:rsidRPr="00FF4C0D">
              <w:rPr>
                <w:bCs/>
                <w:sz w:val="20"/>
                <w:szCs w:val="20"/>
                <w:lang w:bidi="ar-SA"/>
              </w:rPr>
              <w:t>kGy</w:t>
            </w:r>
          </w:p>
        </w:tc>
        <w:tc>
          <w:tcPr>
            <w:tcW w:w="3402" w:type="dxa"/>
          </w:tcPr>
          <w:p w:rsidR="001B7C9D" w:rsidRPr="00FF4C0D" w:rsidRDefault="001B7C9D" w:rsidP="001B7C9D">
            <w:pPr>
              <w:ind w:left="142" w:hanging="142"/>
              <w:rPr>
                <w:bCs/>
                <w:sz w:val="20"/>
                <w:szCs w:val="20"/>
                <w:lang w:bidi="ar-SA"/>
              </w:rPr>
            </w:pPr>
            <w:r w:rsidRPr="00FF4C0D">
              <w:rPr>
                <w:bCs/>
                <w:sz w:val="20"/>
                <w:szCs w:val="20"/>
                <w:lang w:bidi="ar-SA"/>
              </w:rPr>
              <w:t>kiloGray</w:t>
            </w:r>
          </w:p>
        </w:tc>
      </w:tr>
    </w:tbl>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rFonts w:cs="Arial"/>
          <w:sz w:val="20"/>
          <w:szCs w:val="20"/>
          <w:lang w:val="en-AU" w:bidi="ar-SA"/>
        </w:rPr>
      </w:pPr>
      <w:r w:rsidRPr="00FF4C0D">
        <w:rPr>
          <w:rFonts w:cs="Arial"/>
          <w:b/>
          <w:bCs/>
          <w:sz w:val="20"/>
          <w:szCs w:val="20"/>
          <w:lang w:val="en-AU" w:bidi="ar-SA"/>
        </w:rPr>
        <w:t>[2]</w:t>
      </w:r>
      <w:r w:rsidRPr="00FF4C0D">
        <w:rPr>
          <w:rFonts w:cs="Arial"/>
          <w:sz w:val="20"/>
          <w:szCs w:val="20"/>
          <w:lang w:val="en-AU" w:bidi="ar-SA"/>
        </w:rPr>
        <w:tab/>
      </w:r>
      <w:r w:rsidRPr="00FF4C0D">
        <w:rPr>
          <w:rFonts w:cs="Arial"/>
          <w:b/>
          <w:bCs/>
          <w:i/>
          <w:iCs/>
          <w:sz w:val="20"/>
          <w:szCs w:val="20"/>
          <w:lang w:val="en-AU" w:bidi="ar-SA"/>
        </w:rPr>
        <w:t xml:space="preserve">Standard 1.5.3 </w:t>
      </w:r>
      <w:r w:rsidRPr="00FF4C0D">
        <w:rPr>
          <w:i/>
          <w:iCs/>
          <w:sz w:val="20"/>
          <w:szCs w:val="20"/>
          <w:lang w:bidi="ar-SA"/>
        </w:rPr>
        <w:t>of the Australia New Zealand Food Standards Code is varied by –</w:t>
      </w:r>
    </w:p>
    <w:p w:rsidR="001B7C9D" w:rsidRPr="00FF4C0D" w:rsidRDefault="001B7C9D" w:rsidP="001B7C9D">
      <w:pPr>
        <w:tabs>
          <w:tab w:val="left" w:pos="851"/>
        </w:tabs>
        <w:rPr>
          <w:sz w:val="20"/>
          <w:szCs w:val="20"/>
          <w:lang w:val="en-AU" w:bidi="ar-SA"/>
        </w:rPr>
      </w:pPr>
    </w:p>
    <w:p w:rsidR="001B7C9D" w:rsidRPr="00FF4C0D" w:rsidRDefault="001B7C9D" w:rsidP="001B7C9D">
      <w:pPr>
        <w:tabs>
          <w:tab w:val="left" w:pos="851"/>
        </w:tabs>
        <w:rPr>
          <w:rFonts w:cs="Arial"/>
          <w:i/>
          <w:sz w:val="20"/>
          <w:szCs w:val="20"/>
          <w:lang w:val="en-AU" w:bidi="ar-SA"/>
        </w:rPr>
      </w:pPr>
      <w:r w:rsidRPr="00FF4C0D">
        <w:rPr>
          <w:rFonts w:cs="Arial"/>
          <w:sz w:val="20"/>
          <w:szCs w:val="20"/>
          <w:lang w:val="en-AU" w:bidi="ar-SA"/>
        </w:rPr>
        <w:t>[2.1]</w:t>
      </w:r>
      <w:r w:rsidRPr="00FF4C0D">
        <w:rPr>
          <w:rFonts w:cs="Arial"/>
          <w:sz w:val="20"/>
          <w:szCs w:val="20"/>
          <w:lang w:val="en-AU" w:bidi="ar-SA"/>
        </w:rPr>
        <w:tab/>
      </w:r>
      <w:r w:rsidRPr="00FF4C0D">
        <w:rPr>
          <w:rFonts w:cs="Arial"/>
          <w:i/>
          <w:sz w:val="20"/>
          <w:szCs w:val="20"/>
          <w:lang w:val="en-AU" w:bidi="ar-SA"/>
        </w:rPr>
        <w:t xml:space="preserve">omitting the </w:t>
      </w:r>
      <w:r w:rsidRPr="00FF4C0D">
        <w:rPr>
          <w:rFonts w:cs="Arial"/>
          <w:sz w:val="20"/>
          <w:szCs w:val="20"/>
          <w:lang w:val="en-AU" w:bidi="ar-SA"/>
        </w:rPr>
        <w:t xml:space="preserve">Purpose, </w:t>
      </w:r>
      <w:r w:rsidRPr="00FF4C0D">
        <w:rPr>
          <w:rFonts w:cs="Arial"/>
          <w:i/>
          <w:sz w:val="20"/>
          <w:szCs w:val="20"/>
          <w:lang w:val="en-AU" w:bidi="ar-SA"/>
        </w:rPr>
        <w:t xml:space="preserve">substituting – </w:t>
      </w:r>
    </w:p>
    <w:p w:rsidR="001B7C9D" w:rsidRPr="00FF4C0D" w:rsidRDefault="001B7C9D" w:rsidP="001B7C9D">
      <w:pPr>
        <w:tabs>
          <w:tab w:val="left" w:pos="851"/>
        </w:tabs>
        <w:rPr>
          <w:sz w:val="20"/>
          <w:szCs w:val="20"/>
          <w:lang w:val="en-AU" w:bidi="ar-SA"/>
        </w:rPr>
      </w:pPr>
    </w:p>
    <w:p w:rsidR="001B7C9D" w:rsidRPr="00FF4C0D" w:rsidRDefault="001B7C9D" w:rsidP="001B7C9D">
      <w:pPr>
        <w:tabs>
          <w:tab w:val="left" w:pos="851"/>
        </w:tabs>
        <w:rPr>
          <w:rFonts w:cs="Arial"/>
          <w:b/>
          <w:sz w:val="20"/>
          <w:szCs w:val="20"/>
          <w:lang w:val="en-AU" w:bidi="ar-SA"/>
        </w:rPr>
      </w:pPr>
      <w:r w:rsidRPr="00FF4C0D">
        <w:rPr>
          <w:rFonts w:cs="Arial"/>
          <w:b/>
          <w:sz w:val="20"/>
          <w:szCs w:val="20"/>
          <w:lang w:val="en-AU" w:bidi="ar-SA"/>
        </w:rPr>
        <w:t>Purpose</w:t>
      </w:r>
    </w:p>
    <w:p w:rsidR="001B7C9D" w:rsidRPr="00FF4C0D" w:rsidRDefault="001B7C9D" w:rsidP="001B7C9D">
      <w:pPr>
        <w:tabs>
          <w:tab w:val="left" w:pos="851"/>
        </w:tabs>
        <w:rPr>
          <w:sz w:val="20"/>
          <w:szCs w:val="20"/>
          <w:lang w:val="en-AU" w:bidi="ar-SA"/>
        </w:rPr>
      </w:pPr>
    </w:p>
    <w:p w:rsidR="001B7C9D" w:rsidRPr="00FF4C0D" w:rsidRDefault="001B7C9D" w:rsidP="001B7C9D">
      <w:pPr>
        <w:tabs>
          <w:tab w:val="left" w:pos="851"/>
        </w:tabs>
        <w:rPr>
          <w:sz w:val="20"/>
          <w:szCs w:val="20"/>
          <w:lang w:val="en-AU" w:bidi="ar-SA"/>
        </w:rPr>
      </w:pPr>
      <w:r w:rsidRPr="00FF4C0D">
        <w:rPr>
          <w:sz w:val="20"/>
          <w:szCs w:val="20"/>
          <w:lang w:val="en-AU" w:bidi="ar-SA"/>
        </w:rPr>
        <w:t>This Standard prohibits irradiation of food unless an express permission is given</w:t>
      </w:r>
      <w:r w:rsidR="000C447B" w:rsidRPr="00FF4C0D">
        <w:rPr>
          <w:sz w:val="20"/>
          <w:szCs w:val="20"/>
          <w:lang w:val="en-AU" w:bidi="ar-SA"/>
        </w:rPr>
        <w:t xml:space="preserve">. </w:t>
      </w:r>
      <w:r w:rsidRPr="00FF4C0D">
        <w:rPr>
          <w:sz w:val="20"/>
          <w:szCs w:val="20"/>
          <w:lang w:val="en-AU" w:bidi="ar-SA"/>
        </w:rPr>
        <w:t>All permissions in the Standard are subject to dosage requirements, and only apply where irradiation is undertaken for a permitted purpose.</w:t>
      </w:r>
    </w:p>
    <w:p w:rsidR="001B7C9D" w:rsidRPr="00FF4C0D" w:rsidRDefault="001B7C9D" w:rsidP="001B7C9D">
      <w:pPr>
        <w:tabs>
          <w:tab w:val="left" w:pos="851"/>
        </w:tabs>
        <w:rPr>
          <w:sz w:val="20"/>
          <w:szCs w:val="20"/>
          <w:lang w:val="en-AU" w:bidi="ar-SA"/>
        </w:rPr>
      </w:pPr>
    </w:p>
    <w:p w:rsidR="001B7C9D" w:rsidRPr="00FF4C0D" w:rsidRDefault="001B7C9D" w:rsidP="001B7C9D">
      <w:pPr>
        <w:tabs>
          <w:tab w:val="left" w:pos="851"/>
        </w:tabs>
        <w:rPr>
          <w:sz w:val="20"/>
          <w:szCs w:val="20"/>
          <w:lang w:val="en-AU" w:bidi="ar-SA"/>
        </w:rPr>
      </w:pPr>
      <w:r w:rsidRPr="00FF4C0D">
        <w:rPr>
          <w:sz w:val="20"/>
          <w:szCs w:val="20"/>
          <w:lang w:val="en-AU" w:bidi="ar-SA"/>
        </w:rPr>
        <w:t>Irradiation of foods must be carried out in facilities that are appropriately licensed and registered for the purpose of irradiation</w:t>
      </w:r>
      <w:r w:rsidR="000C447B" w:rsidRPr="00FF4C0D">
        <w:rPr>
          <w:sz w:val="20"/>
          <w:szCs w:val="20"/>
          <w:lang w:val="en-AU" w:bidi="ar-SA"/>
        </w:rPr>
        <w:t xml:space="preserve">. </w:t>
      </w:r>
      <w:r w:rsidRPr="00FF4C0D">
        <w:rPr>
          <w:sz w:val="20"/>
          <w:szCs w:val="20"/>
          <w:lang w:val="en-AU" w:bidi="ar-SA"/>
        </w:rPr>
        <w:t>There are various State, Territory, Commonwealth, New Zealand and International laws governing radiation control, and the operation of irradiation facilities</w:t>
      </w:r>
      <w:r w:rsidR="000C447B" w:rsidRPr="00FF4C0D">
        <w:rPr>
          <w:sz w:val="20"/>
          <w:szCs w:val="20"/>
          <w:lang w:val="en-AU" w:bidi="ar-SA"/>
        </w:rPr>
        <w:t xml:space="preserve">. </w:t>
      </w:r>
      <w:r w:rsidRPr="00FF4C0D">
        <w:rPr>
          <w:sz w:val="20"/>
          <w:szCs w:val="20"/>
          <w:lang w:val="en-AU" w:bidi="ar-SA"/>
        </w:rPr>
        <w:t>Other relevant Codes of Practice such as the Codex Alimentarius General Standard for Irradiated Foods 1983, and its associated Code of Practice for the Operation of Irradiation Facilities Used for the Treatment of Foods, also apply to irradiation processes.</w:t>
      </w:r>
    </w:p>
    <w:p w:rsidR="001B7C9D" w:rsidRPr="00FF4C0D" w:rsidRDefault="001B7C9D" w:rsidP="001B7C9D">
      <w:pPr>
        <w:tabs>
          <w:tab w:val="left" w:pos="851"/>
        </w:tabs>
        <w:rPr>
          <w:sz w:val="20"/>
          <w:szCs w:val="20"/>
          <w:lang w:val="en-AU" w:bidi="ar-SA"/>
        </w:rPr>
      </w:pPr>
    </w:p>
    <w:p w:rsidR="001B7C9D" w:rsidRPr="00FF4C0D" w:rsidRDefault="001B7C9D" w:rsidP="001B7C9D">
      <w:pPr>
        <w:tabs>
          <w:tab w:val="left" w:pos="851"/>
        </w:tabs>
        <w:rPr>
          <w:i/>
          <w:sz w:val="20"/>
          <w:szCs w:val="20"/>
          <w:lang w:val="en-AU" w:bidi="ar-SA"/>
        </w:rPr>
      </w:pPr>
      <w:r w:rsidRPr="00FF4C0D">
        <w:rPr>
          <w:sz w:val="20"/>
          <w:szCs w:val="20"/>
          <w:lang w:val="en-AU" w:bidi="ar-SA"/>
        </w:rPr>
        <w:t>[2.2]</w:t>
      </w:r>
      <w:r w:rsidRPr="00FF4C0D">
        <w:rPr>
          <w:sz w:val="20"/>
          <w:szCs w:val="20"/>
          <w:lang w:val="en-AU" w:bidi="ar-SA"/>
        </w:rPr>
        <w:tab/>
      </w:r>
      <w:r w:rsidRPr="00FF4C0D">
        <w:rPr>
          <w:i/>
          <w:sz w:val="20"/>
          <w:szCs w:val="20"/>
          <w:lang w:val="en-AU" w:bidi="ar-SA"/>
        </w:rPr>
        <w:t xml:space="preserve">omitting the definitions of </w:t>
      </w:r>
      <w:r w:rsidRPr="00FF4C0D">
        <w:rPr>
          <w:b/>
          <w:sz w:val="20"/>
          <w:szCs w:val="20"/>
          <w:lang w:val="en-AU" w:bidi="ar-SA"/>
        </w:rPr>
        <w:t>re-irradiate</w:t>
      </w:r>
      <w:r w:rsidRPr="00FF4C0D">
        <w:rPr>
          <w:i/>
          <w:sz w:val="20"/>
          <w:szCs w:val="20"/>
          <w:lang w:val="en-AU" w:bidi="ar-SA"/>
        </w:rPr>
        <w:t xml:space="preserve"> and </w:t>
      </w:r>
      <w:r w:rsidRPr="00FF4C0D">
        <w:rPr>
          <w:b/>
          <w:sz w:val="20"/>
          <w:szCs w:val="20"/>
          <w:lang w:val="en-AU" w:bidi="ar-SA"/>
        </w:rPr>
        <w:t xml:space="preserve">technological need </w:t>
      </w:r>
      <w:r w:rsidRPr="00FF4C0D">
        <w:rPr>
          <w:i/>
          <w:sz w:val="20"/>
          <w:szCs w:val="20"/>
          <w:lang w:val="en-AU" w:bidi="ar-SA"/>
        </w:rPr>
        <w:t>from clause 1</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sz w:val="20"/>
          <w:szCs w:val="20"/>
          <w:lang w:bidi="ar-SA"/>
        </w:rPr>
        <w:t>[2.3]</w:t>
      </w:r>
      <w:r w:rsidRPr="00FF4C0D">
        <w:rPr>
          <w:sz w:val="20"/>
          <w:szCs w:val="20"/>
          <w:lang w:bidi="ar-SA"/>
        </w:rPr>
        <w:tab/>
      </w:r>
      <w:r w:rsidRPr="00FF4C0D">
        <w:rPr>
          <w:i/>
          <w:sz w:val="20"/>
          <w:szCs w:val="20"/>
          <w:lang w:bidi="ar-SA"/>
        </w:rPr>
        <w:t xml:space="preserve">omitting clause 2, substituting – </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b/>
          <w:bCs/>
          <w:sz w:val="20"/>
          <w:szCs w:val="20"/>
          <w:lang w:bidi="ar-SA"/>
        </w:rPr>
      </w:pPr>
      <w:r w:rsidRPr="00FF4C0D">
        <w:rPr>
          <w:b/>
          <w:bCs/>
          <w:sz w:val="20"/>
          <w:szCs w:val="20"/>
          <w:lang w:bidi="ar-SA"/>
        </w:rPr>
        <w:t>2</w:t>
      </w:r>
      <w:r w:rsidRPr="00FF4C0D">
        <w:rPr>
          <w:b/>
          <w:bCs/>
          <w:sz w:val="20"/>
          <w:szCs w:val="20"/>
          <w:lang w:bidi="ar-SA"/>
        </w:rPr>
        <w:tab/>
        <w:t>General prohibition on irradiation of food</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Food must not be irradiated unless there is a specific permission in this Standard to irradiate the food.</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sz w:val="20"/>
          <w:szCs w:val="20"/>
          <w:lang w:bidi="ar-SA"/>
        </w:rPr>
        <w:t>[2.4]</w:t>
      </w:r>
      <w:r w:rsidRPr="00FF4C0D">
        <w:rPr>
          <w:sz w:val="20"/>
          <w:szCs w:val="20"/>
          <w:lang w:bidi="ar-SA"/>
        </w:rPr>
        <w:tab/>
      </w:r>
      <w:r w:rsidRPr="00FF4C0D">
        <w:rPr>
          <w:i/>
          <w:sz w:val="20"/>
          <w:szCs w:val="20"/>
          <w:lang w:bidi="ar-SA"/>
        </w:rPr>
        <w:t xml:space="preserve">omitting clause 4, the </w:t>
      </w:r>
      <w:r w:rsidRPr="00FF4C0D">
        <w:rPr>
          <w:sz w:val="20"/>
          <w:szCs w:val="20"/>
          <w:lang w:bidi="ar-SA"/>
        </w:rPr>
        <w:t>Table to clause 4</w:t>
      </w:r>
      <w:r w:rsidRPr="00FF4C0D">
        <w:rPr>
          <w:i/>
          <w:sz w:val="20"/>
          <w:szCs w:val="20"/>
          <w:lang w:bidi="ar-SA"/>
        </w:rPr>
        <w:t xml:space="preserve"> and clause 5, substituting – </w:t>
      </w:r>
    </w:p>
    <w:p w:rsidR="001B7C9D" w:rsidRPr="00FF4C0D" w:rsidRDefault="001B7C9D" w:rsidP="001B7C9D">
      <w:pPr>
        <w:tabs>
          <w:tab w:val="left" w:pos="851"/>
        </w:tabs>
        <w:rPr>
          <w:sz w:val="20"/>
          <w:szCs w:val="20"/>
          <w:lang w:bidi="ar-SA"/>
        </w:rPr>
      </w:pPr>
    </w:p>
    <w:p w:rsidR="001B7C9D" w:rsidRPr="00FF4C0D" w:rsidRDefault="001B7C9D">
      <w:pPr>
        <w:widowControl/>
        <w:rPr>
          <w:b/>
          <w:sz w:val="20"/>
          <w:szCs w:val="20"/>
          <w:lang w:bidi="ar-SA"/>
        </w:rPr>
      </w:pPr>
    </w:p>
    <w:p w:rsidR="001B7C9D" w:rsidRPr="00FF4C0D" w:rsidRDefault="001B7C9D" w:rsidP="001B7C9D">
      <w:pPr>
        <w:tabs>
          <w:tab w:val="left" w:pos="851"/>
        </w:tabs>
        <w:rPr>
          <w:b/>
          <w:sz w:val="20"/>
          <w:szCs w:val="20"/>
          <w:lang w:bidi="ar-SA"/>
        </w:rPr>
      </w:pPr>
      <w:r w:rsidRPr="00FF4C0D">
        <w:rPr>
          <w:b/>
          <w:sz w:val="20"/>
          <w:szCs w:val="20"/>
          <w:lang w:bidi="ar-SA"/>
        </w:rPr>
        <w:t>4</w:t>
      </w:r>
      <w:r w:rsidRPr="00FF4C0D">
        <w:rPr>
          <w:b/>
          <w:sz w:val="20"/>
          <w:szCs w:val="20"/>
          <w:lang w:bidi="ar-SA"/>
        </w:rPr>
        <w:tab/>
        <w:t>Foods permitted to be irradiated</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 xml:space="preserve">A food listed in column 1 of the Table to this clause may be irradiated, provided that – </w:t>
      </w:r>
    </w:p>
    <w:p w:rsidR="005222C5" w:rsidRPr="00FF4C0D" w:rsidRDefault="005222C5" w:rsidP="001B7C9D">
      <w:pPr>
        <w:tabs>
          <w:tab w:val="left" w:pos="851"/>
        </w:tabs>
        <w:rPr>
          <w:sz w:val="20"/>
          <w:szCs w:val="20"/>
          <w:lang w:bidi="ar-SA"/>
        </w:rPr>
      </w:pPr>
      <w:r w:rsidRPr="00FF4C0D">
        <w:rPr>
          <w:sz w:val="20"/>
          <w:szCs w:val="20"/>
          <w:lang w:bidi="ar-SA"/>
        </w:rPr>
        <w:br w:type="page"/>
      </w:r>
    </w:p>
    <w:p w:rsidR="001B7C9D" w:rsidRPr="00FF4C0D" w:rsidRDefault="001B7C9D" w:rsidP="001B7C9D">
      <w:pPr>
        <w:ind w:left="1702" w:hanging="851"/>
        <w:rPr>
          <w:sz w:val="20"/>
          <w:szCs w:val="20"/>
          <w:lang w:bidi="ar-SA"/>
        </w:rPr>
      </w:pPr>
      <w:r w:rsidRPr="00FF4C0D">
        <w:rPr>
          <w:sz w:val="20"/>
          <w:szCs w:val="20"/>
          <w:lang w:bidi="ar-SA"/>
        </w:rPr>
        <w:lastRenderedPageBreak/>
        <w:t>(a)</w:t>
      </w:r>
      <w:r w:rsidRPr="00FF4C0D">
        <w:rPr>
          <w:sz w:val="20"/>
          <w:szCs w:val="20"/>
          <w:lang w:bidi="ar-SA"/>
        </w:rPr>
        <w:tab/>
        <w:t>irradiation is only carried out for a purpose or purposes listed in column 3 of the Table to this clause; and</w:t>
      </w:r>
    </w:p>
    <w:p w:rsidR="001B7C9D" w:rsidRPr="00FF4C0D" w:rsidRDefault="001B7C9D" w:rsidP="001B7C9D">
      <w:pPr>
        <w:ind w:left="1702" w:hanging="851"/>
        <w:rPr>
          <w:sz w:val="20"/>
          <w:szCs w:val="20"/>
          <w:lang w:bidi="ar-SA"/>
        </w:rPr>
      </w:pPr>
      <w:r w:rsidRPr="00FF4C0D">
        <w:rPr>
          <w:sz w:val="20"/>
          <w:szCs w:val="20"/>
          <w:lang w:bidi="ar-SA"/>
        </w:rPr>
        <w:t>(b)</w:t>
      </w:r>
      <w:r w:rsidRPr="00FF4C0D">
        <w:rPr>
          <w:sz w:val="20"/>
          <w:szCs w:val="20"/>
          <w:lang w:bidi="ar-SA"/>
        </w:rPr>
        <w:tab/>
        <w:t>the absorbed dose of radiation is not below the minimum dose value or above the maximum dose value specified in column 2 of the Table to this clause.</w:t>
      </w:r>
    </w:p>
    <w:p w:rsidR="001B7C9D" w:rsidRPr="00FF4C0D" w:rsidRDefault="001B7C9D" w:rsidP="001B7C9D">
      <w:pPr>
        <w:tabs>
          <w:tab w:val="left" w:pos="851"/>
        </w:tabs>
        <w:rPr>
          <w:sz w:val="20"/>
          <w:szCs w:val="20"/>
          <w:lang w:bidi="ar-SA"/>
        </w:rPr>
      </w:pPr>
    </w:p>
    <w:p w:rsidR="001B7C9D" w:rsidRPr="00FF4C0D" w:rsidRDefault="001B7C9D" w:rsidP="005222C5">
      <w:pPr>
        <w:pStyle w:val="TableHeading"/>
        <w:rPr>
          <w:lang w:bidi="ar-SA"/>
        </w:rPr>
      </w:pPr>
      <w:r w:rsidRPr="00FF4C0D">
        <w:rPr>
          <w:lang w:bidi="ar-SA"/>
        </w:rPr>
        <w:t>Table to clause 4</w:t>
      </w:r>
    </w:p>
    <w:p w:rsidR="001B7C9D" w:rsidRPr="00FF4C0D" w:rsidRDefault="001B7C9D" w:rsidP="005222C5">
      <w:pPr>
        <w:pStyle w:val="TableHeading"/>
        <w:rPr>
          <w:lang w:bidi="ar-SA"/>
        </w:rPr>
      </w:pPr>
    </w:p>
    <w:tbl>
      <w:tblPr>
        <w:tblW w:w="9072" w:type="dxa"/>
        <w:tblLayout w:type="fixed"/>
        <w:tblCellMar>
          <w:left w:w="80" w:type="dxa"/>
          <w:right w:w="80" w:type="dxa"/>
        </w:tblCellMar>
        <w:tblLook w:val="0000"/>
      </w:tblPr>
      <w:tblGrid>
        <w:gridCol w:w="3360"/>
        <w:gridCol w:w="2000"/>
        <w:gridCol w:w="3712"/>
      </w:tblGrid>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after="120"/>
              <w:jc w:val="center"/>
              <w:rPr>
                <w:b/>
                <w:bCs/>
                <w:sz w:val="20"/>
                <w:szCs w:val="20"/>
                <w:lang w:bidi="ar-SA"/>
              </w:rPr>
            </w:pPr>
            <w:r w:rsidRPr="00FF4C0D">
              <w:rPr>
                <w:b/>
                <w:bCs/>
                <w:sz w:val="20"/>
                <w:szCs w:val="20"/>
                <w:lang w:bidi="ar-SA"/>
              </w:rPr>
              <w:t>Column 1</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after="120"/>
              <w:jc w:val="center"/>
              <w:rPr>
                <w:b/>
                <w:bCs/>
                <w:sz w:val="20"/>
                <w:szCs w:val="20"/>
                <w:lang w:bidi="ar-SA"/>
              </w:rPr>
            </w:pPr>
            <w:r w:rsidRPr="00FF4C0D">
              <w:rPr>
                <w:b/>
                <w:bCs/>
                <w:sz w:val="20"/>
                <w:szCs w:val="20"/>
                <w:lang w:bidi="ar-SA"/>
              </w:rPr>
              <w:t>Column 2</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after="120"/>
              <w:jc w:val="center"/>
              <w:rPr>
                <w:b/>
                <w:bCs/>
                <w:sz w:val="20"/>
                <w:szCs w:val="20"/>
                <w:lang w:bidi="ar-SA"/>
              </w:rPr>
            </w:pPr>
            <w:r w:rsidRPr="00FF4C0D">
              <w:rPr>
                <w:b/>
                <w:bCs/>
                <w:sz w:val="20"/>
                <w:szCs w:val="20"/>
                <w:lang w:bidi="ar-SA"/>
              </w:rPr>
              <w:t>Column 3</w:t>
            </w:r>
          </w:p>
        </w:tc>
      </w:tr>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after="120"/>
              <w:jc w:val="center"/>
              <w:rPr>
                <w:b/>
                <w:bCs/>
                <w:sz w:val="20"/>
                <w:szCs w:val="20"/>
                <w:lang w:bidi="ar-SA"/>
              </w:rPr>
            </w:pPr>
            <w:r w:rsidRPr="00FF4C0D">
              <w:rPr>
                <w:b/>
                <w:bCs/>
                <w:sz w:val="20"/>
                <w:szCs w:val="20"/>
                <w:lang w:bidi="ar-SA"/>
              </w:rPr>
              <w:t>Food</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before="240"/>
              <w:jc w:val="center"/>
              <w:rPr>
                <w:b/>
                <w:bCs/>
                <w:sz w:val="20"/>
                <w:szCs w:val="20"/>
                <w:lang w:bidi="ar-SA"/>
              </w:rPr>
            </w:pPr>
            <w:r w:rsidRPr="00FF4C0D">
              <w:rPr>
                <w:b/>
                <w:bCs/>
                <w:sz w:val="20"/>
                <w:szCs w:val="20"/>
                <w:lang w:bidi="ar-SA"/>
              </w:rPr>
              <w:t>Minimum and Maximum Dose</w:t>
            </w:r>
          </w:p>
          <w:p w:rsidR="001B7C9D" w:rsidRPr="00FF4C0D" w:rsidRDefault="001B7C9D" w:rsidP="001B7C9D">
            <w:pPr>
              <w:spacing w:after="120"/>
              <w:jc w:val="center"/>
              <w:rPr>
                <w:b/>
                <w:bCs/>
                <w:sz w:val="20"/>
                <w:szCs w:val="20"/>
                <w:lang w:bidi="ar-SA"/>
              </w:rPr>
            </w:pPr>
            <w:r w:rsidRPr="00FF4C0D">
              <w:rPr>
                <w:b/>
                <w:bCs/>
                <w:sz w:val="20"/>
                <w:szCs w:val="20"/>
                <w:lang w:bidi="ar-SA"/>
              </w:rPr>
              <w:t>(kGy)</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1B7C9D">
            <w:pPr>
              <w:spacing w:before="240" w:after="120"/>
              <w:jc w:val="center"/>
              <w:rPr>
                <w:b/>
                <w:bCs/>
                <w:sz w:val="20"/>
                <w:szCs w:val="20"/>
                <w:lang w:bidi="ar-SA"/>
              </w:rPr>
            </w:pPr>
            <w:r w:rsidRPr="00FF4C0D">
              <w:rPr>
                <w:b/>
                <w:bCs/>
                <w:sz w:val="20"/>
                <w:szCs w:val="20"/>
                <w:lang w:bidi="ar-SA"/>
              </w:rPr>
              <w:t>Purpose</w:t>
            </w:r>
          </w:p>
        </w:tc>
      </w:tr>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Bread fruit</w:t>
            </w:r>
          </w:p>
          <w:p w:rsidR="001B7C9D" w:rsidRPr="00FF4C0D" w:rsidRDefault="001B7C9D" w:rsidP="005222C5">
            <w:pPr>
              <w:pStyle w:val="Table2"/>
              <w:rPr>
                <w:lang w:bidi="ar-SA"/>
              </w:rPr>
            </w:pPr>
            <w:r w:rsidRPr="00FF4C0D">
              <w:rPr>
                <w:lang w:bidi="ar-SA"/>
              </w:rPr>
              <w:t>Carambola</w:t>
            </w:r>
          </w:p>
          <w:p w:rsidR="001B7C9D" w:rsidRPr="00FF4C0D" w:rsidRDefault="001B7C9D" w:rsidP="005222C5">
            <w:pPr>
              <w:pStyle w:val="Table2"/>
              <w:rPr>
                <w:lang w:bidi="ar-SA"/>
              </w:rPr>
            </w:pPr>
            <w:r w:rsidRPr="00FF4C0D">
              <w:rPr>
                <w:lang w:bidi="ar-SA"/>
              </w:rPr>
              <w:t>Custard apple</w:t>
            </w:r>
          </w:p>
          <w:p w:rsidR="001B7C9D" w:rsidRPr="00FF4C0D" w:rsidRDefault="001B7C9D" w:rsidP="005222C5">
            <w:pPr>
              <w:pStyle w:val="Table2"/>
              <w:rPr>
                <w:lang w:bidi="ar-SA"/>
              </w:rPr>
            </w:pPr>
            <w:r w:rsidRPr="00FF4C0D">
              <w:rPr>
                <w:lang w:bidi="ar-SA"/>
              </w:rPr>
              <w:t>Longan</w:t>
            </w:r>
          </w:p>
          <w:p w:rsidR="001B7C9D" w:rsidRPr="00FF4C0D" w:rsidRDefault="001B7C9D" w:rsidP="005222C5">
            <w:pPr>
              <w:pStyle w:val="Table2"/>
              <w:rPr>
                <w:lang w:bidi="ar-SA"/>
              </w:rPr>
            </w:pPr>
            <w:r w:rsidRPr="00FF4C0D">
              <w:rPr>
                <w:lang w:bidi="ar-SA"/>
              </w:rPr>
              <w:t>Litchi</w:t>
            </w:r>
          </w:p>
          <w:p w:rsidR="001B7C9D" w:rsidRPr="00FF4C0D" w:rsidRDefault="001B7C9D" w:rsidP="005222C5">
            <w:pPr>
              <w:pStyle w:val="Table2"/>
              <w:rPr>
                <w:lang w:bidi="ar-SA"/>
              </w:rPr>
            </w:pPr>
            <w:r w:rsidRPr="00FF4C0D">
              <w:rPr>
                <w:lang w:bidi="ar-SA"/>
              </w:rPr>
              <w:t>Mango</w:t>
            </w:r>
          </w:p>
          <w:p w:rsidR="001B7C9D" w:rsidRPr="00FF4C0D" w:rsidRDefault="001B7C9D" w:rsidP="005222C5">
            <w:pPr>
              <w:pStyle w:val="Table2"/>
              <w:rPr>
                <w:lang w:bidi="ar-SA"/>
              </w:rPr>
            </w:pPr>
            <w:r w:rsidRPr="00FF4C0D">
              <w:rPr>
                <w:lang w:bidi="ar-SA"/>
              </w:rPr>
              <w:t>Mangosteen</w:t>
            </w:r>
          </w:p>
          <w:p w:rsidR="001B7C9D" w:rsidRPr="00FF4C0D" w:rsidRDefault="001B7C9D" w:rsidP="005222C5">
            <w:pPr>
              <w:pStyle w:val="Table2"/>
              <w:rPr>
                <w:lang w:bidi="ar-SA"/>
              </w:rPr>
            </w:pPr>
            <w:r w:rsidRPr="00FF4C0D">
              <w:rPr>
                <w:lang w:bidi="ar-SA"/>
              </w:rPr>
              <w:t>Papaya (Paw paw)</w:t>
            </w:r>
          </w:p>
          <w:p w:rsidR="001B7C9D" w:rsidRPr="00FF4C0D" w:rsidRDefault="001B7C9D" w:rsidP="005222C5">
            <w:pPr>
              <w:pStyle w:val="Table2"/>
              <w:rPr>
                <w:lang w:bidi="ar-SA"/>
              </w:rPr>
            </w:pPr>
            <w:r w:rsidRPr="00FF4C0D">
              <w:rPr>
                <w:lang w:bidi="ar-SA"/>
              </w:rPr>
              <w:t>Persimmon</w:t>
            </w:r>
          </w:p>
          <w:p w:rsidR="001B7C9D" w:rsidRPr="00FF4C0D" w:rsidRDefault="001B7C9D" w:rsidP="005222C5">
            <w:pPr>
              <w:pStyle w:val="Table2"/>
              <w:rPr>
                <w:lang w:bidi="ar-SA"/>
              </w:rPr>
            </w:pPr>
            <w:r w:rsidRPr="00FF4C0D">
              <w:rPr>
                <w:lang w:bidi="ar-SA"/>
              </w:rPr>
              <w:t>Rambutan</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 xml:space="preserve">Minimum: 150 Gy </w:t>
            </w:r>
          </w:p>
          <w:p w:rsidR="001B7C9D" w:rsidRPr="00FF4C0D" w:rsidRDefault="001B7C9D" w:rsidP="005222C5">
            <w:pPr>
              <w:pStyle w:val="Table2"/>
              <w:rPr>
                <w:lang w:bidi="ar-SA"/>
              </w:rPr>
            </w:pPr>
            <w:r w:rsidRPr="00FF4C0D">
              <w:rPr>
                <w:lang w:bidi="ar-SA"/>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Pest disinfestation for a phytosanitary objective.</w:t>
            </w:r>
          </w:p>
          <w:p w:rsidR="001B7C9D" w:rsidRPr="00FF4C0D" w:rsidRDefault="001B7C9D" w:rsidP="005222C5">
            <w:pPr>
              <w:pStyle w:val="Table2"/>
              <w:rPr>
                <w:lang w:bidi="ar-SA"/>
              </w:rPr>
            </w:pPr>
          </w:p>
          <w:p w:rsidR="001B7C9D" w:rsidRPr="00FF4C0D" w:rsidRDefault="001B7C9D" w:rsidP="005222C5">
            <w:pPr>
              <w:pStyle w:val="Table2"/>
              <w:rPr>
                <w:lang w:bidi="ar-SA"/>
              </w:rPr>
            </w:pPr>
          </w:p>
        </w:tc>
      </w:tr>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Herbs and spices as described in Schedule 4 to Standard 1.4.2</w:t>
            </w:r>
          </w:p>
          <w:p w:rsidR="001B7C9D" w:rsidRPr="00FF4C0D" w:rsidRDefault="001B7C9D" w:rsidP="005222C5">
            <w:pPr>
              <w:pStyle w:val="Table2"/>
              <w:rPr>
                <w:lang w:bidi="ar-SA"/>
              </w:rPr>
            </w:pPr>
          </w:p>
          <w:p w:rsidR="001B7C9D" w:rsidRPr="00FF4C0D" w:rsidRDefault="001B7C9D" w:rsidP="005222C5">
            <w:pPr>
              <w:pStyle w:val="Table2"/>
              <w:rPr>
                <w:lang w:bidi="ar-SA"/>
              </w:rPr>
            </w:pPr>
            <w:r w:rsidRPr="00FF4C0D">
              <w:rPr>
                <w:lang w:bidi="ar-SA"/>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Minimum: none</w:t>
            </w:r>
          </w:p>
          <w:p w:rsidR="001B7C9D" w:rsidRPr="00FF4C0D" w:rsidRDefault="001B7C9D" w:rsidP="005222C5">
            <w:pPr>
              <w:pStyle w:val="Table2"/>
              <w:rPr>
                <w:lang w:bidi="ar-SA"/>
              </w:rPr>
            </w:pPr>
            <w:r w:rsidRPr="00FF4C0D">
              <w:rPr>
                <w:lang w:bidi="ar-SA"/>
              </w:rPr>
              <w:t>Maximum: 6 kGy</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Control of sprouting and pest disinfestation, including control of weeds.</w:t>
            </w:r>
          </w:p>
          <w:p w:rsidR="001B7C9D" w:rsidRPr="00FF4C0D" w:rsidRDefault="001B7C9D" w:rsidP="005222C5">
            <w:pPr>
              <w:pStyle w:val="Table2"/>
              <w:rPr>
                <w:lang w:bidi="ar-SA"/>
              </w:rPr>
            </w:pPr>
          </w:p>
          <w:p w:rsidR="001B7C9D" w:rsidRPr="00FF4C0D" w:rsidRDefault="001B7C9D" w:rsidP="005222C5">
            <w:pPr>
              <w:pStyle w:val="Table2"/>
              <w:rPr>
                <w:lang w:bidi="ar-SA"/>
              </w:rPr>
            </w:pPr>
          </w:p>
        </w:tc>
      </w:tr>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Minimum: 2 kGy</w:t>
            </w:r>
          </w:p>
          <w:p w:rsidR="001B7C9D" w:rsidRPr="00FF4C0D" w:rsidRDefault="001B7C9D" w:rsidP="005222C5">
            <w:pPr>
              <w:pStyle w:val="Table2"/>
              <w:rPr>
                <w:lang w:bidi="ar-SA"/>
              </w:rPr>
            </w:pPr>
            <w:r w:rsidRPr="00FF4C0D">
              <w:rPr>
                <w:lang w:bidi="ar-SA"/>
              </w:rPr>
              <w:t>Maximum: 30 kGy</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Bacterial decontamination.</w:t>
            </w:r>
          </w:p>
        </w:tc>
      </w:tr>
      <w:tr w:rsidR="001B7C9D" w:rsidRPr="00FF4C0D" w:rsidTr="005B2641">
        <w:tc>
          <w:tcPr>
            <w:tcW w:w="336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Minimum: 2 kGy</w:t>
            </w:r>
          </w:p>
          <w:p w:rsidR="001B7C9D" w:rsidRPr="00FF4C0D" w:rsidRDefault="001B7C9D" w:rsidP="005222C5">
            <w:pPr>
              <w:pStyle w:val="Table2"/>
              <w:rPr>
                <w:lang w:bidi="ar-SA"/>
              </w:rPr>
            </w:pPr>
            <w:r w:rsidRPr="00FF4C0D">
              <w:rPr>
                <w:lang w:bidi="ar-SA"/>
              </w:rPr>
              <w:t>Maximum: 10 kGy</w:t>
            </w:r>
          </w:p>
        </w:tc>
        <w:tc>
          <w:tcPr>
            <w:tcW w:w="3712" w:type="dxa"/>
            <w:tcBorders>
              <w:top w:val="single" w:sz="6" w:space="0" w:color="auto"/>
              <w:left w:val="single" w:sz="6" w:space="0" w:color="auto"/>
              <w:bottom w:val="single" w:sz="6" w:space="0" w:color="auto"/>
              <w:right w:val="single" w:sz="6" w:space="0" w:color="auto"/>
            </w:tcBorders>
          </w:tcPr>
          <w:p w:rsidR="001B7C9D" w:rsidRPr="00FF4C0D" w:rsidRDefault="001B7C9D" w:rsidP="005222C5">
            <w:pPr>
              <w:pStyle w:val="Table2"/>
              <w:rPr>
                <w:lang w:bidi="ar-SA"/>
              </w:rPr>
            </w:pPr>
            <w:r w:rsidRPr="00FF4C0D">
              <w:rPr>
                <w:lang w:bidi="ar-SA"/>
              </w:rPr>
              <w:t>Bacterial decontamination.</w:t>
            </w:r>
          </w:p>
        </w:tc>
      </w:tr>
    </w:tbl>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b/>
          <w:sz w:val="20"/>
          <w:szCs w:val="20"/>
          <w:lang w:bidi="ar-SA"/>
        </w:rPr>
      </w:pPr>
      <w:r w:rsidRPr="00FF4C0D">
        <w:rPr>
          <w:b/>
          <w:sz w:val="20"/>
          <w:szCs w:val="20"/>
          <w:lang w:bidi="ar-SA"/>
        </w:rPr>
        <w:t>5</w:t>
      </w:r>
      <w:r w:rsidRPr="00FF4C0D">
        <w:rPr>
          <w:b/>
          <w:sz w:val="20"/>
          <w:szCs w:val="20"/>
          <w:lang w:bidi="ar-SA"/>
        </w:rPr>
        <w:tab/>
        <w:t>Permission to irradiate</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(1)</w:t>
      </w:r>
      <w:r w:rsidRPr="00FF4C0D">
        <w:rPr>
          <w:sz w:val="20"/>
          <w:szCs w:val="20"/>
          <w:lang w:bidi="ar-SA"/>
        </w:rPr>
        <w:tab/>
        <w:t>A permission to irradiate a food is not a permission to irradiate the food more than once.</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(2)</w:t>
      </w:r>
      <w:r w:rsidRPr="00FF4C0D">
        <w:rPr>
          <w:sz w:val="20"/>
          <w:szCs w:val="20"/>
          <w:lang w:bidi="ar-SA"/>
        </w:rPr>
        <w:tab/>
        <w:t xml:space="preserve">However, subclause (1) does not prohibit the irradiation of a food – </w:t>
      </w:r>
    </w:p>
    <w:p w:rsidR="001B7C9D" w:rsidRPr="00FF4C0D" w:rsidRDefault="001B7C9D" w:rsidP="001B7C9D">
      <w:pPr>
        <w:tabs>
          <w:tab w:val="left" w:pos="851"/>
        </w:tabs>
        <w:rPr>
          <w:sz w:val="20"/>
          <w:szCs w:val="20"/>
          <w:lang w:bidi="ar-SA"/>
        </w:rPr>
      </w:pPr>
    </w:p>
    <w:p w:rsidR="001B7C9D" w:rsidRPr="00FF4C0D" w:rsidRDefault="001B7C9D" w:rsidP="001B7C9D">
      <w:pPr>
        <w:ind w:left="1702" w:hanging="851"/>
        <w:rPr>
          <w:sz w:val="20"/>
          <w:szCs w:val="20"/>
          <w:lang w:bidi="ar-SA"/>
        </w:rPr>
      </w:pPr>
      <w:r w:rsidRPr="00FF4C0D">
        <w:rPr>
          <w:sz w:val="20"/>
          <w:szCs w:val="20"/>
          <w:lang w:bidi="ar-SA"/>
        </w:rPr>
        <w:t>(a)</w:t>
      </w:r>
      <w:r w:rsidRPr="00FF4C0D">
        <w:rPr>
          <w:sz w:val="20"/>
          <w:szCs w:val="20"/>
          <w:lang w:bidi="ar-SA"/>
        </w:rPr>
        <w:tab/>
        <w:t>which is prepared from materials that have been irradiated at levels not exceeding in any case 1 kGy; or</w:t>
      </w:r>
    </w:p>
    <w:p w:rsidR="001B7C9D" w:rsidRPr="00FF4C0D" w:rsidRDefault="001B7C9D" w:rsidP="001B7C9D">
      <w:pPr>
        <w:ind w:left="1702" w:hanging="851"/>
        <w:rPr>
          <w:sz w:val="20"/>
          <w:szCs w:val="20"/>
          <w:lang w:bidi="ar-SA"/>
        </w:rPr>
      </w:pPr>
      <w:r w:rsidRPr="00FF4C0D">
        <w:rPr>
          <w:sz w:val="20"/>
          <w:szCs w:val="20"/>
          <w:lang w:bidi="ar-SA"/>
        </w:rPr>
        <w:t>(b)</w:t>
      </w:r>
      <w:r w:rsidRPr="00FF4C0D">
        <w:rPr>
          <w:sz w:val="20"/>
          <w:szCs w:val="20"/>
          <w:lang w:bidi="ar-SA"/>
        </w:rPr>
        <w:tab/>
        <w:t>which contains less than 50 g/kg of irradiated ingredients; or</w:t>
      </w:r>
    </w:p>
    <w:p w:rsidR="001B7C9D" w:rsidRPr="00FF4C0D" w:rsidRDefault="001B7C9D" w:rsidP="001B7C9D">
      <w:pPr>
        <w:ind w:left="1702" w:hanging="851"/>
        <w:rPr>
          <w:sz w:val="20"/>
          <w:szCs w:val="20"/>
          <w:lang w:bidi="ar-SA"/>
        </w:rPr>
      </w:pPr>
      <w:r w:rsidRPr="00FF4C0D">
        <w:rPr>
          <w:sz w:val="20"/>
          <w:szCs w:val="20"/>
          <w:lang w:bidi="ar-SA"/>
        </w:rPr>
        <w:t>(c)</w:t>
      </w:r>
      <w:r w:rsidRPr="00FF4C0D">
        <w:rPr>
          <w:sz w:val="20"/>
          <w:szCs w:val="20"/>
          <w:lang w:bidi="ar-SA"/>
        </w:rPr>
        <w:tab/>
        <w:t>where the required full dose of ionising radiation is applied to the food in divided doses for a specific technological reason.</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sz w:val="20"/>
          <w:szCs w:val="20"/>
          <w:lang w:bidi="ar-SA"/>
        </w:rPr>
        <w:t>[2.5]</w:t>
      </w:r>
      <w:r w:rsidRPr="00FF4C0D">
        <w:rPr>
          <w:sz w:val="20"/>
          <w:szCs w:val="20"/>
          <w:lang w:bidi="ar-SA"/>
        </w:rPr>
        <w:tab/>
      </w:r>
      <w:r w:rsidRPr="00FF4C0D">
        <w:rPr>
          <w:i/>
          <w:sz w:val="20"/>
          <w:szCs w:val="20"/>
          <w:lang w:bidi="ar-SA"/>
        </w:rPr>
        <w:t>omitting the second example from</w:t>
      </w:r>
      <w:r w:rsidRPr="00FF4C0D">
        <w:rPr>
          <w:sz w:val="20"/>
          <w:szCs w:val="20"/>
          <w:lang w:bidi="ar-SA"/>
        </w:rPr>
        <w:t xml:space="preserve"> the Examples </w:t>
      </w:r>
      <w:r w:rsidRPr="00FF4C0D">
        <w:rPr>
          <w:i/>
          <w:sz w:val="20"/>
          <w:szCs w:val="20"/>
          <w:lang w:bidi="ar-SA"/>
        </w:rPr>
        <w:t>under subclause 6(1)</w:t>
      </w:r>
    </w:p>
    <w:p w:rsidR="001B7C9D" w:rsidRPr="00FF4C0D" w:rsidRDefault="001B7C9D" w:rsidP="001B7C9D">
      <w:pPr>
        <w:tabs>
          <w:tab w:val="left" w:pos="851"/>
        </w:tabs>
        <w:rPr>
          <w:i/>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[2.6]</w:t>
      </w:r>
      <w:r w:rsidRPr="00FF4C0D">
        <w:rPr>
          <w:sz w:val="20"/>
          <w:szCs w:val="20"/>
          <w:lang w:bidi="ar-SA"/>
        </w:rPr>
        <w:tab/>
      </w:r>
      <w:r w:rsidRPr="00FF4C0D">
        <w:rPr>
          <w:i/>
          <w:sz w:val="20"/>
          <w:szCs w:val="20"/>
          <w:lang w:bidi="ar-SA"/>
        </w:rPr>
        <w:t>omitting the words</w:t>
      </w:r>
      <w:r w:rsidRPr="00FF4C0D">
        <w:rPr>
          <w:sz w:val="20"/>
          <w:szCs w:val="20"/>
          <w:lang w:bidi="ar-SA"/>
        </w:rPr>
        <w:t xml:space="preserve"> clause 2 </w:t>
      </w:r>
      <w:r w:rsidRPr="00FF4C0D">
        <w:rPr>
          <w:i/>
          <w:sz w:val="20"/>
          <w:szCs w:val="20"/>
          <w:lang w:bidi="ar-SA"/>
        </w:rPr>
        <w:t>from subclause 6(3), substituting</w:t>
      </w:r>
      <w:r w:rsidRPr="00FF4C0D">
        <w:rPr>
          <w:sz w:val="20"/>
          <w:szCs w:val="20"/>
          <w:lang w:bidi="ar-SA"/>
        </w:rPr>
        <w:t xml:space="preserve"> subclause 2(1)</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[2.7]</w:t>
      </w:r>
      <w:r w:rsidRPr="00FF4C0D">
        <w:rPr>
          <w:sz w:val="20"/>
          <w:szCs w:val="20"/>
          <w:lang w:bidi="ar-SA"/>
        </w:rPr>
        <w:tab/>
      </w:r>
      <w:r w:rsidRPr="00FF4C0D">
        <w:rPr>
          <w:i/>
          <w:sz w:val="20"/>
          <w:szCs w:val="20"/>
          <w:lang w:bidi="ar-SA"/>
        </w:rPr>
        <w:t>omitting subclause 6(4)</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i/>
          <w:sz w:val="20"/>
          <w:szCs w:val="20"/>
          <w:lang w:bidi="ar-SA"/>
        </w:rPr>
      </w:pPr>
      <w:r w:rsidRPr="00FF4C0D">
        <w:rPr>
          <w:sz w:val="20"/>
          <w:szCs w:val="20"/>
          <w:lang w:bidi="ar-SA"/>
        </w:rPr>
        <w:t>[2.8]</w:t>
      </w:r>
      <w:r w:rsidRPr="00FF4C0D">
        <w:rPr>
          <w:sz w:val="20"/>
          <w:szCs w:val="20"/>
          <w:lang w:bidi="ar-SA"/>
        </w:rPr>
        <w:tab/>
      </w:r>
      <w:r w:rsidRPr="00FF4C0D">
        <w:rPr>
          <w:i/>
          <w:sz w:val="20"/>
          <w:szCs w:val="20"/>
          <w:lang w:bidi="ar-SA"/>
        </w:rPr>
        <w:t xml:space="preserve">inserting – </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b/>
          <w:sz w:val="20"/>
          <w:szCs w:val="20"/>
          <w:lang w:bidi="ar-SA"/>
        </w:rPr>
      </w:pPr>
      <w:r w:rsidRPr="00FF4C0D">
        <w:rPr>
          <w:b/>
          <w:sz w:val="20"/>
          <w:szCs w:val="20"/>
          <w:lang w:bidi="ar-SA"/>
        </w:rPr>
        <w:t>7</w:t>
      </w:r>
      <w:r w:rsidRPr="00FF4C0D">
        <w:rPr>
          <w:b/>
          <w:sz w:val="20"/>
          <w:szCs w:val="20"/>
          <w:lang w:bidi="ar-SA"/>
        </w:rPr>
        <w:tab/>
        <w:t>Record keeping</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(1)</w:t>
      </w:r>
      <w:r w:rsidRPr="00FF4C0D">
        <w:rPr>
          <w:sz w:val="20"/>
          <w:szCs w:val="20"/>
          <w:lang w:bidi="ar-SA"/>
        </w:rPr>
        <w:tab/>
        <w:t xml:space="preserve">Records must be kept at a facility where food is irradiated in relation to – </w:t>
      </w:r>
    </w:p>
    <w:p w:rsidR="001B7C9D" w:rsidRPr="00FF4C0D" w:rsidRDefault="001B7C9D" w:rsidP="001B7C9D">
      <w:pPr>
        <w:tabs>
          <w:tab w:val="left" w:pos="851"/>
        </w:tabs>
        <w:rPr>
          <w:sz w:val="20"/>
          <w:szCs w:val="20"/>
          <w:lang w:bidi="ar-SA"/>
        </w:rPr>
      </w:pPr>
    </w:p>
    <w:p w:rsidR="002D5039" w:rsidRPr="00FF4C0D" w:rsidRDefault="001B7C9D" w:rsidP="001B7C9D">
      <w:pPr>
        <w:ind w:left="1702" w:hanging="851"/>
        <w:rPr>
          <w:sz w:val="20"/>
          <w:szCs w:val="20"/>
          <w:lang w:bidi="ar-SA"/>
        </w:rPr>
      </w:pPr>
      <w:r w:rsidRPr="00FF4C0D">
        <w:rPr>
          <w:sz w:val="20"/>
          <w:szCs w:val="20"/>
          <w:lang w:bidi="ar-SA"/>
        </w:rPr>
        <w:t>(a)</w:t>
      </w:r>
      <w:r w:rsidRPr="00FF4C0D">
        <w:rPr>
          <w:sz w:val="20"/>
          <w:szCs w:val="20"/>
          <w:lang w:bidi="ar-SA"/>
        </w:rPr>
        <w:tab/>
        <w:t>the nature and quality of the food treated; and</w:t>
      </w:r>
      <w:r w:rsidR="002D5039" w:rsidRPr="00FF4C0D">
        <w:rPr>
          <w:sz w:val="20"/>
          <w:szCs w:val="20"/>
          <w:lang w:bidi="ar-SA"/>
        </w:rPr>
        <w:br w:type="page"/>
      </w:r>
    </w:p>
    <w:p w:rsidR="001B7C9D" w:rsidRPr="00FF4C0D" w:rsidRDefault="001B7C9D" w:rsidP="001B7C9D">
      <w:pPr>
        <w:ind w:left="1702" w:hanging="851"/>
        <w:rPr>
          <w:sz w:val="20"/>
          <w:szCs w:val="20"/>
          <w:lang w:bidi="ar-SA"/>
        </w:rPr>
      </w:pPr>
      <w:r w:rsidRPr="00FF4C0D">
        <w:rPr>
          <w:sz w:val="20"/>
          <w:szCs w:val="20"/>
          <w:lang w:bidi="ar-SA"/>
        </w:rPr>
        <w:lastRenderedPageBreak/>
        <w:t>(b)</w:t>
      </w:r>
      <w:r w:rsidRPr="00FF4C0D">
        <w:rPr>
          <w:sz w:val="20"/>
          <w:szCs w:val="20"/>
          <w:lang w:bidi="ar-SA"/>
        </w:rPr>
        <w:tab/>
        <w:t>lot identification; and</w:t>
      </w:r>
    </w:p>
    <w:p w:rsidR="001B7C9D" w:rsidRPr="00FF4C0D" w:rsidRDefault="001B7C9D" w:rsidP="001B7C9D">
      <w:pPr>
        <w:ind w:left="1702" w:hanging="851"/>
        <w:rPr>
          <w:sz w:val="20"/>
          <w:szCs w:val="20"/>
          <w:lang w:bidi="ar-SA"/>
        </w:rPr>
      </w:pPr>
      <w:r w:rsidRPr="00FF4C0D">
        <w:rPr>
          <w:sz w:val="20"/>
          <w:szCs w:val="20"/>
          <w:lang w:bidi="ar-SA"/>
        </w:rPr>
        <w:t>(c)</w:t>
      </w:r>
      <w:r w:rsidRPr="00FF4C0D">
        <w:rPr>
          <w:sz w:val="20"/>
          <w:szCs w:val="20"/>
          <w:lang w:bidi="ar-SA"/>
        </w:rPr>
        <w:tab/>
        <w:t>the minimum durable life of the food treated; and</w:t>
      </w:r>
    </w:p>
    <w:p w:rsidR="001B7C9D" w:rsidRPr="00FF4C0D" w:rsidRDefault="001B7C9D" w:rsidP="001B7C9D">
      <w:pPr>
        <w:ind w:left="1702" w:hanging="851"/>
        <w:rPr>
          <w:sz w:val="20"/>
          <w:szCs w:val="20"/>
          <w:lang w:bidi="ar-SA"/>
        </w:rPr>
      </w:pPr>
      <w:r w:rsidRPr="00FF4C0D">
        <w:rPr>
          <w:sz w:val="20"/>
          <w:szCs w:val="20"/>
          <w:lang w:bidi="ar-SA"/>
        </w:rPr>
        <w:t>(d)</w:t>
      </w:r>
      <w:r w:rsidRPr="00FF4C0D">
        <w:rPr>
          <w:sz w:val="20"/>
          <w:szCs w:val="20"/>
          <w:lang w:bidi="ar-SA"/>
        </w:rPr>
        <w:tab/>
        <w:t>the process used; and</w:t>
      </w:r>
    </w:p>
    <w:p w:rsidR="001B7C9D" w:rsidRPr="00FF4C0D" w:rsidRDefault="001B7C9D" w:rsidP="001B7C9D">
      <w:pPr>
        <w:ind w:left="1702" w:hanging="851"/>
        <w:rPr>
          <w:sz w:val="20"/>
          <w:szCs w:val="20"/>
          <w:lang w:bidi="ar-SA"/>
        </w:rPr>
      </w:pPr>
      <w:r w:rsidRPr="00FF4C0D">
        <w:rPr>
          <w:sz w:val="20"/>
          <w:szCs w:val="20"/>
          <w:lang w:bidi="ar-SA"/>
        </w:rPr>
        <w:t>(e)</w:t>
      </w:r>
      <w:r w:rsidRPr="00FF4C0D">
        <w:rPr>
          <w:sz w:val="20"/>
          <w:szCs w:val="20"/>
          <w:lang w:bidi="ar-SA"/>
        </w:rPr>
        <w:tab/>
        <w:t>compliance with the process used; and</w:t>
      </w:r>
    </w:p>
    <w:p w:rsidR="001B7C9D" w:rsidRPr="00FF4C0D" w:rsidRDefault="001B7C9D" w:rsidP="001B7C9D">
      <w:pPr>
        <w:ind w:left="1702" w:hanging="851"/>
        <w:rPr>
          <w:sz w:val="20"/>
          <w:szCs w:val="20"/>
          <w:lang w:bidi="ar-SA"/>
        </w:rPr>
      </w:pPr>
      <w:r w:rsidRPr="00FF4C0D">
        <w:rPr>
          <w:sz w:val="20"/>
          <w:szCs w:val="20"/>
          <w:lang w:bidi="ar-SA"/>
        </w:rPr>
        <w:t>(f)</w:t>
      </w:r>
      <w:r w:rsidRPr="00FF4C0D">
        <w:rPr>
          <w:sz w:val="20"/>
          <w:szCs w:val="20"/>
          <w:lang w:bidi="ar-SA"/>
        </w:rPr>
        <w:tab/>
        <w:t>the minimum and maximum dose absorbed by the food; and</w:t>
      </w:r>
    </w:p>
    <w:p w:rsidR="001B7C9D" w:rsidRPr="00FF4C0D" w:rsidRDefault="001B7C9D" w:rsidP="001B7C9D">
      <w:pPr>
        <w:ind w:left="1702" w:hanging="851"/>
        <w:rPr>
          <w:sz w:val="20"/>
          <w:szCs w:val="20"/>
          <w:lang w:bidi="ar-SA"/>
        </w:rPr>
      </w:pPr>
      <w:r w:rsidRPr="00FF4C0D">
        <w:rPr>
          <w:sz w:val="20"/>
          <w:szCs w:val="20"/>
          <w:lang w:bidi="ar-SA"/>
        </w:rPr>
        <w:t>(g)</w:t>
      </w:r>
      <w:r w:rsidRPr="00FF4C0D">
        <w:rPr>
          <w:sz w:val="20"/>
          <w:szCs w:val="20"/>
          <w:lang w:bidi="ar-SA"/>
        </w:rPr>
        <w:tab/>
        <w:t>an indication whether or not the product has been irradiated previously and if so, details of such treatment; and</w:t>
      </w:r>
    </w:p>
    <w:p w:rsidR="001B7C9D" w:rsidRPr="00FF4C0D" w:rsidRDefault="001B7C9D" w:rsidP="001B7C9D">
      <w:pPr>
        <w:ind w:left="1702" w:hanging="851"/>
        <w:rPr>
          <w:sz w:val="20"/>
          <w:szCs w:val="20"/>
          <w:lang w:bidi="ar-SA"/>
        </w:rPr>
      </w:pPr>
      <w:r w:rsidRPr="00FF4C0D">
        <w:rPr>
          <w:sz w:val="20"/>
          <w:szCs w:val="20"/>
          <w:lang w:bidi="ar-SA"/>
        </w:rPr>
        <w:t>(h)</w:t>
      </w:r>
      <w:r w:rsidRPr="00FF4C0D">
        <w:rPr>
          <w:sz w:val="20"/>
          <w:szCs w:val="20"/>
          <w:lang w:bidi="ar-SA"/>
        </w:rPr>
        <w:tab/>
        <w:t>date of irradiation.</w:t>
      </w:r>
    </w:p>
    <w:p w:rsidR="001B7C9D" w:rsidRPr="00FF4C0D" w:rsidRDefault="001B7C9D" w:rsidP="001B7C9D">
      <w:pPr>
        <w:tabs>
          <w:tab w:val="left" w:pos="851"/>
        </w:tabs>
        <w:rPr>
          <w:sz w:val="20"/>
          <w:szCs w:val="20"/>
          <w:lang w:bidi="ar-SA"/>
        </w:rPr>
      </w:pPr>
      <w:r w:rsidRPr="00FF4C0D">
        <w:rPr>
          <w:sz w:val="20"/>
          <w:szCs w:val="20"/>
          <w:lang w:bidi="ar-SA"/>
        </w:rPr>
        <w:t xml:space="preserve"> </w:t>
      </w:r>
    </w:p>
    <w:p w:rsidR="001B7C9D" w:rsidRPr="00FF4C0D" w:rsidRDefault="001B7C9D" w:rsidP="001B7C9D">
      <w:pPr>
        <w:tabs>
          <w:tab w:val="left" w:pos="851"/>
        </w:tabs>
        <w:rPr>
          <w:sz w:val="20"/>
          <w:szCs w:val="20"/>
          <w:lang w:bidi="ar-SA"/>
        </w:rPr>
      </w:pPr>
      <w:r w:rsidRPr="00FF4C0D">
        <w:rPr>
          <w:sz w:val="20"/>
          <w:szCs w:val="20"/>
          <w:lang w:bidi="ar-SA"/>
        </w:rPr>
        <w:t>(2)</w:t>
      </w:r>
      <w:r w:rsidRPr="00FF4C0D">
        <w:rPr>
          <w:sz w:val="20"/>
          <w:szCs w:val="20"/>
          <w:lang w:bidi="ar-SA"/>
        </w:rPr>
        <w:tab/>
        <w:t>The records required to be kept by subclause (1) must be kept for a period of time that exceeds the minimum durable life of the irradiated food by 1 year.</w:t>
      </w:r>
    </w:p>
    <w:p w:rsidR="001B7C9D" w:rsidRPr="00FF4C0D" w:rsidRDefault="001B7C9D" w:rsidP="001B7C9D">
      <w:pPr>
        <w:tabs>
          <w:tab w:val="left" w:pos="851"/>
        </w:tabs>
        <w:rPr>
          <w:sz w:val="20"/>
          <w:szCs w:val="20"/>
          <w:lang w:bidi="ar-SA"/>
        </w:rPr>
      </w:pPr>
    </w:p>
    <w:p w:rsidR="001B7C9D" w:rsidRPr="00FF4C0D" w:rsidRDefault="001B7C9D" w:rsidP="001B7C9D">
      <w:pPr>
        <w:tabs>
          <w:tab w:val="left" w:pos="851"/>
        </w:tabs>
        <w:rPr>
          <w:sz w:val="20"/>
          <w:szCs w:val="20"/>
          <w:lang w:bidi="ar-SA"/>
        </w:rPr>
      </w:pPr>
      <w:r w:rsidRPr="00FF4C0D">
        <w:rPr>
          <w:sz w:val="20"/>
          <w:szCs w:val="20"/>
          <w:lang w:bidi="ar-SA"/>
        </w:rPr>
        <w:t>[2.9]</w:t>
      </w:r>
      <w:r w:rsidRPr="00FF4C0D">
        <w:rPr>
          <w:sz w:val="20"/>
          <w:szCs w:val="20"/>
          <w:lang w:bidi="ar-SA"/>
        </w:rPr>
        <w:tab/>
      </w:r>
      <w:r w:rsidRPr="00FF4C0D">
        <w:rPr>
          <w:i/>
          <w:sz w:val="20"/>
          <w:szCs w:val="20"/>
          <w:lang w:bidi="ar-SA"/>
        </w:rPr>
        <w:t xml:space="preserve">updating the </w:t>
      </w:r>
      <w:r w:rsidRPr="00FF4C0D">
        <w:rPr>
          <w:sz w:val="20"/>
          <w:szCs w:val="20"/>
          <w:lang w:bidi="ar-SA"/>
        </w:rPr>
        <w:t>Table of Provisions</w:t>
      </w:r>
      <w:r w:rsidRPr="00FF4C0D">
        <w:rPr>
          <w:iCs/>
          <w:sz w:val="20"/>
          <w:szCs w:val="20"/>
          <w:lang w:bidi="ar-SA"/>
        </w:rPr>
        <w:t xml:space="preserve"> </w:t>
      </w:r>
      <w:r w:rsidRPr="00FF4C0D">
        <w:rPr>
          <w:i/>
          <w:iCs/>
          <w:sz w:val="20"/>
          <w:szCs w:val="20"/>
          <w:lang w:bidi="ar-SA"/>
        </w:rPr>
        <w:t>to reflect these variations</w:t>
      </w:r>
    </w:p>
    <w:p w:rsidR="006D75FA" w:rsidRPr="00FF4C0D" w:rsidRDefault="006D75FA">
      <w:pPr>
        <w:widowControl/>
        <w:rPr>
          <w:rFonts w:ascii="Arial Bold" w:hAnsi="Arial Bold" w:cs="Arial Unicode MS"/>
          <w:b/>
          <w:bCs/>
          <w:iCs/>
          <w:sz w:val="20"/>
          <w:szCs w:val="20"/>
        </w:rPr>
      </w:pPr>
      <w:r w:rsidRPr="00FF4C0D">
        <w:rPr>
          <w:sz w:val="20"/>
          <w:szCs w:val="20"/>
        </w:rPr>
        <w:br w:type="page"/>
      </w:r>
    </w:p>
    <w:p w:rsidR="00C5345B" w:rsidRPr="00FF4C0D" w:rsidRDefault="006D75FA" w:rsidP="00751255">
      <w:pPr>
        <w:pStyle w:val="Heading2"/>
        <w:jc w:val="right"/>
      </w:pPr>
      <w:bookmarkStart w:id="136" w:name="_Toc295483385"/>
      <w:bookmarkStart w:id="137" w:name="_Toc297029125"/>
      <w:r w:rsidRPr="00FF4C0D">
        <w:lastRenderedPageBreak/>
        <w:t>Attachment 1B</w:t>
      </w:r>
      <w:bookmarkEnd w:id="136"/>
      <w:bookmarkEnd w:id="137"/>
      <w:r w:rsidR="00812072" w:rsidRPr="00FF4C0D">
        <w:t xml:space="preserve"> </w:t>
      </w:r>
    </w:p>
    <w:p w:rsidR="009B4A0D" w:rsidRPr="00FF4C0D" w:rsidRDefault="00AE46A1" w:rsidP="002D3CB7">
      <w:r w:rsidRPr="00FF4C0D">
        <w:t xml:space="preserve"> </w:t>
      </w:r>
    </w:p>
    <w:p w:rsidR="009B4A0D" w:rsidRPr="00FF4C0D" w:rsidRDefault="003C4969" w:rsidP="002D3CB7">
      <w:pPr>
        <w:pStyle w:val="Heading2"/>
        <w:ind w:left="0" w:firstLine="0"/>
      </w:pPr>
      <w:bookmarkStart w:id="138" w:name="_Toc297029126"/>
      <w:r w:rsidRPr="00FF4C0D">
        <w:t>Draft variations to the</w:t>
      </w:r>
      <w:r w:rsidR="00CF406A" w:rsidRPr="00FF4C0D">
        <w:rPr>
          <w:i/>
        </w:rPr>
        <w:t xml:space="preserve"> Australia New Zealand Food Standards Code</w:t>
      </w:r>
      <w:r w:rsidRPr="00FF4C0D">
        <w:t xml:space="preserve"> </w:t>
      </w:r>
      <w:bookmarkEnd w:id="134"/>
      <w:r w:rsidR="00D00C15" w:rsidRPr="00FF4C0D">
        <w:t>(Assessment)</w:t>
      </w:r>
      <w:bookmarkEnd w:id="138"/>
    </w:p>
    <w:p w:rsidR="003C4969" w:rsidRPr="00FF4C0D" w:rsidRDefault="003C4969">
      <w:pPr>
        <w:rPr>
          <w:rFonts w:cs="Arial"/>
        </w:rPr>
      </w:pPr>
    </w:p>
    <w:p w:rsidR="00E30F23" w:rsidRPr="00FF4C0D" w:rsidRDefault="00E30F23" w:rsidP="00E30F23">
      <w:pPr>
        <w:jc w:val="center"/>
        <w:rPr>
          <w:i/>
        </w:rPr>
      </w:pPr>
      <w:r w:rsidRPr="00FF4C0D">
        <w:rPr>
          <w:i/>
        </w:rPr>
        <w:t>Section 94 of the FSANZ Act provides that standards or variations to standards are legislative instruments, but are not subject to disallowance or sunsetting</w:t>
      </w:r>
    </w:p>
    <w:p w:rsidR="00E30F23" w:rsidRPr="00FF4C0D" w:rsidRDefault="00E30F23" w:rsidP="00E30F23">
      <w:pPr>
        <w:pStyle w:val="Clause"/>
      </w:pPr>
    </w:p>
    <w:p w:rsidR="00E30F23" w:rsidRPr="00FF4C0D" w:rsidRDefault="00E30F23" w:rsidP="00E30F23">
      <w:r w:rsidRPr="00FF4C0D">
        <w:rPr>
          <w:b/>
        </w:rPr>
        <w:t>Commencement:</w:t>
      </w:r>
      <w:r w:rsidRPr="00FF4C0D">
        <w:t xml:space="preserve">  On gazettal.</w:t>
      </w:r>
    </w:p>
    <w:p w:rsidR="00E30F23" w:rsidRPr="00FF4C0D" w:rsidRDefault="00E30F23" w:rsidP="00E30F23">
      <w:pPr>
        <w:pStyle w:val="Clause"/>
      </w:pPr>
    </w:p>
    <w:p w:rsidR="00E30F23" w:rsidRPr="00FF4C0D" w:rsidRDefault="00E30F23" w:rsidP="00E30F23">
      <w:pPr>
        <w:pStyle w:val="Clause"/>
        <w:rPr>
          <w:rFonts w:cs="Arial"/>
        </w:rPr>
      </w:pPr>
      <w:r w:rsidRPr="00FF4C0D">
        <w:rPr>
          <w:rFonts w:cs="Arial"/>
          <w:b/>
          <w:bCs/>
        </w:rPr>
        <w:t>[1]</w:t>
      </w:r>
      <w:r w:rsidRPr="00FF4C0D">
        <w:rPr>
          <w:rFonts w:cs="Arial"/>
        </w:rPr>
        <w:tab/>
      </w:r>
      <w:r w:rsidRPr="00FF4C0D">
        <w:rPr>
          <w:rFonts w:cs="Arial"/>
          <w:b/>
          <w:bCs/>
          <w:i/>
          <w:iCs/>
        </w:rPr>
        <w:t xml:space="preserve">Standard 1.1.1 </w:t>
      </w:r>
      <w:r w:rsidRPr="00FF4C0D">
        <w:rPr>
          <w:i/>
          <w:iCs/>
        </w:rPr>
        <w:t xml:space="preserve">of the Australia New Zealand Food Standards Code is varied by </w:t>
      </w:r>
      <w:r w:rsidRPr="00FF4C0D">
        <w:rPr>
          <w:rFonts w:cs="Arial"/>
          <w:i/>
          <w:iCs/>
        </w:rPr>
        <w:t>inserting in the table to clause 8</w:t>
      </w:r>
      <w:r w:rsidRPr="00FF4C0D">
        <w:rPr>
          <w:rFonts w:cs="Arial"/>
        </w:rPr>
        <w:t xml:space="preserve"> –</w:t>
      </w:r>
    </w:p>
    <w:p w:rsidR="00E30F23" w:rsidRPr="00FF4C0D" w:rsidRDefault="00E30F23" w:rsidP="00E30F23">
      <w:pPr>
        <w:pStyle w:val="Clause"/>
      </w:pPr>
    </w:p>
    <w:tbl>
      <w:tblPr>
        <w:tblW w:w="0" w:type="auto"/>
        <w:jc w:val="center"/>
        <w:tblLayout w:type="fixed"/>
        <w:tblLook w:val="0000"/>
      </w:tblPr>
      <w:tblGrid>
        <w:gridCol w:w="3402"/>
        <w:gridCol w:w="3402"/>
      </w:tblGrid>
      <w:tr w:rsidR="00E30F23" w:rsidRPr="00FF4C0D" w:rsidTr="00E30F23">
        <w:trPr>
          <w:jc w:val="center"/>
        </w:trPr>
        <w:tc>
          <w:tcPr>
            <w:tcW w:w="3402" w:type="dxa"/>
          </w:tcPr>
          <w:p w:rsidR="00E30F23" w:rsidRPr="00FF4C0D" w:rsidRDefault="00E30F23" w:rsidP="00E30F23">
            <w:pPr>
              <w:pStyle w:val="Table2"/>
            </w:pPr>
            <w:r w:rsidRPr="00FF4C0D">
              <w:t>kGy</w:t>
            </w:r>
          </w:p>
        </w:tc>
        <w:tc>
          <w:tcPr>
            <w:tcW w:w="3402" w:type="dxa"/>
          </w:tcPr>
          <w:p w:rsidR="00E30F23" w:rsidRPr="00FF4C0D" w:rsidRDefault="00E30F23" w:rsidP="00E30F23">
            <w:pPr>
              <w:pStyle w:val="Table2"/>
            </w:pPr>
            <w:r w:rsidRPr="00FF4C0D">
              <w:t>kiloGray</w:t>
            </w:r>
          </w:p>
        </w:tc>
      </w:tr>
    </w:tbl>
    <w:p w:rsidR="00E30F23" w:rsidRPr="00FF4C0D" w:rsidRDefault="00E30F23" w:rsidP="00E30F23">
      <w:pPr>
        <w:pStyle w:val="Clause"/>
      </w:pPr>
    </w:p>
    <w:p w:rsidR="00E30F23" w:rsidRPr="00FF4C0D" w:rsidRDefault="00E30F23" w:rsidP="005222C5">
      <w:pPr>
        <w:pStyle w:val="Clause"/>
        <w:rPr>
          <w:rFonts w:cs="Arial"/>
        </w:rPr>
      </w:pPr>
      <w:r w:rsidRPr="00FF4C0D">
        <w:rPr>
          <w:rFonts w:cs="Arial"/>
          <w:b/>
          <w:bCs/>
        </w:rPr>
        <w:t>[2]</w:t>
      </w:r>
      <w:r w:rsidRPr="00FF4C0D">
        <w:rPr>
          <w:rFonts w:cs="Arial"/>
        </w:rPr>
        <w:tab/>
      </w:r>
      <w:r w:rsidRPr="00FF4C0D">
        <w:rPr>
          <w:rFonts w:cs="Arial"/>
          <w:b/>
          <w:bCs/>
          <w:i/>
        </w:rPr>
        <w:t xml:space="preserve">Standard 1.5.3 </w:t>
      </w:r>
      <w:r w:rsidRPr="00FF4C0D">
        <w:rPr>
          <w:i/>
        </w:rPr>
        <w:t>of the Australia New Zealand Food Standards Code is varied by</w:t>
      </w:r>
      <w:r w:rsidRPr="00FF4C0D">
        <w:t xml:space="preserve"> –</w:t>
      </w:r>
    </w:p>
    <w:p w:rsidR="00E30F23" w:rsidRPr="00FF4C0D" w:rsidRDefault="00E30F23" w:rsidP="00E30F23">
      <w:pPr>
        <w:pStyle w:val="Clause"/>
      </w:pPr>
    </w:p>
    <w:p w:rsidR="00E30F23" w:rsidRPr="00FF4C0D" w:rsidRDefault="00E30F23" w:rsidP="00E30F23">
      <w:pPr>
        <w:pStyle w:val="Clause"/>
        <w:rPr>
          <w:rFonts w:cs="Arial"/>
          <w:i/>
        </w:rPr>
      </w:pPr>
      <w:r w:rsidRPr="00FF4C0D">
        <w:rPr>
          <w:rFonts w:cs="Arial"/>
        </w:rPr>
        <w:t>[2.1]</w:t>
      </w:r>
      <w:r w:rsidRPr="00FF4C0D">
        <w:rPr>
          <w:rFonts w:cs="Arial"/>
        </w:rPr>
        <w:tab/>
      </w:r>
      <w:r w:rsidRPr="00FF4C0D">
        <w:rPr>
          <w:rFonts w:cs="Arial"/>
          <w:i/>
        </w:rPr>
        <w:t xml:space="preserve">omitting the </w:t>
      </w:r>
      <w:r w:rsidRPr="00FF4C0D">
        <w:rPr>
          <w:rFonts w:cs="Arial"/>
        </w:rPr>
        <w:t xml:space="preserve">Purpose, </w:t>
      </w:r>
      <w:r w:rsidRPr="00FF4C0D">
        <w:rPr>
          <w:rFonts w:cs="Arial"/>
          <w:i/>
        </w:rPr>
        <w:t xml:space="preserve">substituting – </w:t>
      </w:r>
    </w:p>
    <w:p w:rsidR="00E30F23" w:rsidRPr="00FF4C0D" w:rsidRDefault="00E30F23" w:rsidP="00E30F23">
      <w:pPr>
        <w:pStyle w:val="Clause"/>
      </w:pPr>
    </w:p>
    <w:p w:rsidR="00E30F23" w:rsidRPr="00FF4C0D" w:rsidRDefault="00E30F23" w:rsidP="005222C5">
      <w:pPr>
        <w:pStyle w:val="Clauseheading"/>
      </w:pPr>
      <w:r w:rsidRPr="00FF4C0D">
        <w:t>Purpose</w:t>
      </w:r>
    </w:p>
    <w:p w:rsidR="00E30F23" w:rsidRPr="00FF4C0D" w:rsidRDefault="00E30F23" w:rsidP="00E30F23">
      <w:pPr>
        <w:pStyle w:val="Clause"/>
      </w:pPr>
    </w:p>
    <w:p w:rsidR="00E30F23" w:rsidRPr="00FF4C0D" w:rsidRDefault="00E30F23" w:rsidP="00E30F23">
      <w:pPr>
        <w:pStyle w:val="Clause"/>
      </w:pPr>
      <w:r w:rsidRPr="00FF4C0D">
        <w:t>This Standard prohibits irradiation of food unless an express permission is given</w:t>
      </w:r>
      <w:r w:rsidR="009208E5" w:rsidRPr="00FF4C0D">
        <w:t xml:space="preserve">. </w:t>
      </w:r>
      <w:r w:rsidRPr="00FF4C0D">
        <w:t>All permissions in the Standard are subject to dosage requirements, and only apply where irradiation is undertaken for a permitted purpose.</w:t>
      </w:r>
    </w:p>
    <w:p w:rsidR="00E30F23" w:rsidRPr="00FF4C0D" w:rsidRDefault="00E30F23" w:rsidP="00E30F23">
      <w:pPr>
        <w:pStyle w:val="Clause"/>
      </w:pPr>
    </w:p>
    <w:p w:rsidR="00E30F23" w:rsidRPr="00FF4C0D" w:rsidRDefault="00E30F23" w:rsidP="00E30F23">
      <w:pPr>
        <w:pStyle w:val="Clause"/>
      </w:pPr>
      <w:r w:rsidRPr="00FF4C0D">
        <w:t>A permission to irradiate a food does not apply if, prior to irradiating the food, the food is either unsafe or unsuitable.</w:t>
      </w:r>
    </w:p>
    <w:p w:rsidR="00E30F23" w:rsidRPr="00FF4C0D" w:rsidRDefault="00E30F23" w:rsidP="00E30F23"/>
    <w:p w:rsidR="00E30F23" w:rsidRPr="00FF4C0D" w:rsidRDefault="00E30F23" w:rsidP="00E30F23">
      <w:pPr>
        <w:pStyle w:val="Clause"/>
      </w:pPr>
      <w:r w:rsidRPr="00FF4C0D">
        <w:t>Irradiation of foods must be carried out in facilities that are appropriately licensed and registered for the purpose of irradiation</w:t>
      </w:r>
      <w:r w:rsidR="009208E5" w:rsidRPr="00FF4C0D">
        <w:t xml:space="preserve">. </w:t>
      </w:r>
      <w:r w:rsidRPr="00FF4C0D">
        <w:t>There are various State, Territory, Commonwealth and International laws governing radiation control, and the operation of irradiation facilities</w:t>
      </w:r>
      <w:r w:rsidR="009208E5" w:rsidRPr="00FF4C0D">
        <w:t xml:space="preserve">. </w:t>
      </w:r>
      <w:r w:rsidRPr="00FF4C0D">
        <w:t>Other relevant Codes of Practice such as the Codex Alimentarius General Standard for Irradiated Foods 1983, and its associated Code of Practice for the Operation of Irradiation Facilities Used for the Treatment of Foods, also apply to irradiation processes.</w:t>
      </w:r>
    </w:p>
    <w:p w:rsidR="00E30F23" w:rsidRPr="00FF4C0D" w:rsidRDefault="00E30F23" w:rsidP="00E30F23">
      <w:pPr>
        <w:pStyle w:val="Clause"/>
      </w:pPr>
    </w:p>
    <w:p w:rsidR="00E30F23" w:rsidRPr="00FF4C0D" w:rsidRDefault="00E30F23" w:rsidP="00E30F23">
      <w:pPr>
        <w:pStyle w:val="Clause"/>
        <w:rPr>
          <w:i/>
        </w:rPr>
      </w:pPr>
      <w:r w:rsidRPr="00FF4C0D">
        <w:t>[2.2]</w:t>
      </w:r>
      <w:r w:rsidRPr="00FF4C0D">
        <w:tab/>
      </w:r>
      <w:r w:rsidRPr="00FF4C0D">
        <w:rPr>
          <w:i/>
        </w:rPr>
        <w:t xml:space="preserve">omitting the definitions of </w:t>
      </w:r>
      <w:r w:rsidRPr="00FF4C0D">
        <w:rPr>
          <w:b/>
        </w:rPr>
        <w:t>re-irradiate</w:t>
      </w:r>
      <w:r w:rsidRPr="00FF4C0D">
        <w:rPr>
          <w:i/>
        </w:rPr>
        <w:t xml:space="preserve"> and </w:t>
      </w:r>
      <w:r w:rsidRPr="00FF4C0D">
        <w:rPr>
          <w:b/>
        </w:rPr>
        <w:t xml:space="preserve">technological need </w:t>
      </w:r>
      <w:r w:rsidRPr="00FF4C0D">
        <w:rPr>
          <w:i/>
        </w:rPr>
        <w:t>from clause 1</w:t>
      </w:r>
    </w:p>
    <w:p w:rsidR="00E30F23" w:rsidRPr="00FF4C0D" w:rsidRDefault="00E30F23" w:rsidP="00E30F23">
      <w:pPr>
        <w:pStyle w:val="Clause"/>
      </w:pPr>
    </w:p>
    <w:p w:rsidR="00E30F23" w:rsidRPr="00FF4C0D" w:rsidRDefault="00E30F23" w:rsidP="00E30F23">
      <w:pPr>
        <w:pStyle w:val="Clause"/>
        <w:rPr>
          <w:i/>
        </w:rPr>
      </w:pPr>
      <w:r w:rsidRPr="00FF4C0D">
        <w:t>[2.3]</w:t>
      </w:r>
      <w:r w:rsidRPr="00FF4C0D">
        <w:tab/>
      </w:r>
      <w:r w:rsidRPr="00FF4C0D">
        <w:rPr>
          <w:i/>
        </w:rPr>
        <w:t xml:space="preserve">omitting clause 2, substituting – </w:t>
      </w:r>
    </w:p>
    <w:p w:rsidR="00E30F23" w:rsidRPr="00FF4C0D" w:rsidRDefault="00E30F23" w:rsidP="00E30F23">
      <w:pPr>
        <w:pStyle w:val="Clause"/>
      </w:pPr>
    </w:p>
    <w:p w:rsidR="00E30F23" w:rsidRPr="00FF4C0D" w:rsidRDefault="00E30F23" w:rsidP="005222C5">
      <w:pPr>
        <w:pStyle w:val="Clauseheading"/>
      </w:pPr>
      <w:r w:rsidRPr="00FF4C0D">
        <w:t>2</w:t>
      </w:r>
      <w:r w:rsidRPr="00FF4C0D">
        <w:tab/>
        <w:t>General prohibition on irradiation of food</w:t>
      </w:r>
    </w:p>
    <w:p w:rsidR="00E30F23" w:rsidRPr="00FF4C0D" w:rsidRDefault="00E30F23" w:rsidP="00E30F23">
      <w:pPr>
        <w:pStyle w:val="Clause"/>
      </w:pPr>
    </w:p>
    <w:p w:rsidR="00E30F23" w:rsidRPr="00FF4C0D" w:rsidRDefault="00E30F23" w:rsidP="00E30F23">
      <w:pPr>
        <w:pStyle w:val="Clause"/>
      </w:pPr>
      <w:r w:rsidRPr="00FF4C0D">
        <w:t>Food must not be irradiated unless there is a specific permission in this Standard to irradiate the food.</w:t>
      </w:r>
    </w:p>
    <w:p w:rsidR="00E30F23" w:rsidRPr="00FF4C0D" w:rsidRDefault="00E30F23" w:rsidP="00E30F23">
      <w:pPr>
        <w:pStyle w:val="Clause"/>
      </w:pPr>
    </w:p>
    <w:p w:rsidR="00E30F23" w:rsidRPr="00FF4C0D" w:rsidRDefault="00E30F23" w:rsidP="00E30F23">
      <w:pPr>
        <w:pStyle w:val="Clause"/>
        <w:rPr>
          <w:i/>
        </w:rPr>
      </w:pPr>
      <w:r w:rsidRPr="00FF4C0D">
        <w:t>[2.4]</w:t>
      </w:r>
      <w:r w:rsidRPr="00FF4C0D">
        <w:tab/>
      </w:r>
      <w:r w:rsidRPr="00FF4C0D">
        <w:rPr>
          <w:i/>
        </w:rPr>
        <w:t xml:space="preserve">omitting clause 4, the </w:t>
      </w:r>
      <w:r w:rsidRPr="00FF4C0D">
        <w:t>Table to clause 4</w:t>
      </w:r>
      <w:r w:rsidRPr="00FF4C0D">
        <w:rPr>
          <w:i/>
        </w:rPr>
        <w:t xml:space="preserve"> and clause 5, substituting – </w:t>
      </w:r>
    </w:p>
    <w:p w:rsidR="00E30F23" w:rsidRPr="00FF4C0D" w:rsidRDefault="00E30F23" w:rsidP="00E30F23">
      <w:pPr>
        <w:pStyle w:val="Clause"/>
      </w:pPr>
    </w:p>
    <w:p w:rsidR="00E30F23" w:rsidRPr="00FF4C0D" w:rsidRDefault="00E30F23" w:rsidP="005222C5">
      <w:pPr>
        <w:pStyle w:val="Clauseheading"/>
      </w:pPr>
      <w:r w:rsidRPr="00FF4C0D">
        <w:t>4</w:t>
      </w:r>
      <w:r w:rsidRPr="00FF4C0D">
        <w:tab/>
        <w:t>Foods permitted to be irradiated</w:t>
      </w:r>
    </w:p>
    <w:p w:rsidR="00E30F23" w:rsidRPr="00FF4C0D" w:rsidRDefault="00E30F23" w:rsidP="00E30F23">
      <w:pPr>
        <w:pStyle w:val="Clause"/>
      </w:pPr>
    </w:p>
    <w:p w:rsidR="00E30F23" w:rsidRPr="00FF4C0D" w:rsidRDefault="00E30F23" w:rsidP="005518D4">
      <w:pPr>
        <w:pStyle w:val="Subclause"/>
      </w:pPr>
      <w:r w:rsidRPr="00FF4C0D">
        <w:t>(1)</w:t>
      </w:r>
      <w:r w:rsidRPr="00FF4C0D">
        <w:tab/>
        <w:t xml:space="preserve">A food listed in column 1 of the Table to this clause may be irradiated, provided that – </w:t>
      </w:r>
    </w:p>
    <w:p w:rsidR="00E30F23" w:rsidRPr="00FF4C0D" w:rsidRDefault="00E30F23" w:rsidP="00E30F23">
      <w:pPr>
        <w:pStyle w:val="Clause"/>
      </w:pPr>
    </w:p>
    <w:p w:rsidR="00E30F23" w:rsidRPr="00FF4C0D" w:rsidRDefault="00E30F23" w:rsidP="00E30F23">
      <w:pPr>
        <w:pStyle w:val="Paragraph"/>
      </w:pPr>
      <w:r w:rsidRPr="00FF4C0D">
        <w:t>(a)</w:t>
      </w:r>
      <w:r w:rsidRPr="00FF4C0D">
        <w:tab/>
        <w:t>the absorbed dose of radiation is not below the minimum dose value or above the maximum dose value specified in column 2 of the Table to this clause; and</w:t>
      </w:r>
    </w:p>
    <w:p w:rsidR="00E30F23" w:rsidRPr="00FF4C0D" w:rsidRDefault="00E30F23" w:rsidP="00E30F23">
      <w:pPr>
        <w:pStyle w:val="Paragraph"/>
      </w:pPr>
      <w:r w:rsidRPr="00FF4C0D">
        <w:t>(b)</w:t>
      </w:r>
      <w:r w:rsidRPr="00FF4C0D">
        <w:tab/>
        <w:t>irradiation is only carried out for a purpose or purposes listed in column 3 of the Table to this clause</w:t>
      </w:r>
    </w:p>
    <w:p w:rsidR="00E30F23" w:rsidRPr="00FF4C0D" w:rsidRDefault="00E30F23" w:rsidP="00E30F23">
      <w:pPr>
        <w:pStyle w:val="Subclause"/>
      </w:pPr>
    </w:p>
    <w:p w:rsidR="00E30F23" w:rsidRPr="00FF4C0D" w:rsidRDefault="00E30F23" w:rsidP="00E30F23">
      <w:pPr>
        <w:pStyle w:val="Subclause"/>
      </w:pPr>
      <w:r w:rsidRPr="00FF4C0D">
        <w:t>(2)</w:t>
      </w:r>
      <w:r w:rsidRPr="00FF4C0D">
        <w:tab/>
        <w:t>A permission to irradiate a food does not apply if, prior to irradiating the food, the food is either unsafe or unsuitable in accordance with the Act.</w:t>
      </w:r>
    </w:p>
    <w:p w:rsidR="00E30F23" w:rsidRPr="00FF4C0D" w:rsidRDefault="00E30F23" w:rsidP="00E30F23">
      <w:pPr>
        <w:pStyle w:val="Subclause"/>
      </w:pPr>
    </w:p>
    <w:p w:rsidR="00F056FB" w:rsidRPr="00FF4C0D" w:rsidRDefault="00F056FB">
      <w:pPr>
        <w:widowControl/>
        <w:rPr>
          <w:b/>
          <w:sz w:val="20"/>
          <w:szCs w:val="20"/>
        </w:rPr>
      </w:pPr>
      <w:r w:rsidRPr="00FF4C0D">
        <w:br w:type="page"/>
      </w:r>
    </w:p>
    <w:p w:rsidR="00E30F23" w:rsidRPr="00FF4C0D" w:rsidRDefault="00E30F23" w:rsidP="00E30F23">
      <w:pPr>
        <w:pStyle w:val="TableHeading"/>
      </w:pPr>
      <w:r w:rsidRPr="00FF4C0D">
        <w:lastRenderedPageBreak/>
        <w:t>Table to clause 4</w:t>
      </w:r>
    </w:p>
    <w:p w:rsidR="00E30F23" w:rsidRPr="00FF4C0D" w:rsidRDefault="00E30F23" w:rsidP="00E30F23">
      <w:pPr>
        <w:pStyle w:val="Clause"/>
      </w:pPr>
    </w:p>
    <w:tbl>
      <w:tblPr>
        <w:tblW w:w="9072" w:type="dxa"/>
        <w:tblLayout w:type="fixed"/>
        <w:tblCellMar>
          <w:left w:w="80" w:type="dxa"/>
          <w:right w:w="80" w:type="dxa"/>
        </w:tblCellMar>
        <w:tblLook w:val="0000"/>
      </w:tblPr>
      <w:tblGrid>
        <w:gridCol w:w="3360"/>
        <w:gridCol w:w="2000"/>
        <w:gridCol w:w="3712"/>
      </w:tblGrid>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1"/>
            </w:pPr>
            <w:r w:rsidRPr="00FF4C0D">
              <w:t>Column 1</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1"/>
            </w:pPr>
            <w:r w:rsidRPr="00FF4C0D">
              <w:t>Column 2</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1"/>
            </w:pPr>
            <w:r w:rsidRPr="00FF4C0D">
              <w:t>Column 3</w:t>
            </w:r>
          </w:p>
        </w:tc>
      </w:tr>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1"/>
            </w:pPr>
            <w:r w:rsidRPr="00FF4C0D">
              <w:t>Food</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F056FB">
            <w:pPr>
              <w:pStyle w:val="Table1"/>
            </w:pPr>
            <w:r w:rsidRPr="00FF4C0D">
              <w:t>Minimum and Maximum Dose</w:t>
            </w:r>
            <w:r w:rsidR="00F056FB" w:rsidRPr="00FF4C0D">
              <w:t xml:space="preserve">  </w:t>
            </w:r>
            <w:r w:rsidRPr="00FF4C0D">
              <w:t>(kGy)</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1"/>
            </w:pPr>
            <w:r w:rsidRPr="00FF4C0D">
              <w:t>Purpose</w:t>
            </w:r>
          </w:p>
        </w:tc>
      </w:tr>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Bread fruit</w:t>
            </w:r>
          </w:p>
          <w:p w:rsidR="00E30F23" w:rsidRPr="00FF4C0D" w:rsidRDefault="00E30F23" w:rsidP="00E30F23">
            <w:pPr>
              <w:pStyle w:val="Table2"/>
            </w:pPr>
            <w:r w:rsidRPr="00FF4C0D">
              <w:t>Carambola</w:t>
            </w:r>
          </w:p>
          <w:p w:rsidR="00E30F23" w:rsidRPr="00FF4C0D" w:rsidRDefault="00E30F23" w:rsidP="00E30F23">
            <w:pPr>
              <w:pStyle w:val="Table2"/>
            </w:pPr>
            <w:r w:rsidRPr="00FF4C0D">
              <w:t>Custard apple</w:t>
            </w:r>
          </w:p>
          <w:p w:rsidR="00E30F23" w:rsidRPr="00FF4C0D" w:rsidRDefault="00E30F23" w:rsidP="00E30F23">
            <w:pPr>
              <w:pStyle w:val="Table2"/>
            </w:pPr>
            <w:r w:rsidRPr="00FF4C0D">
              <w:t>Longan</w:t>
            </w:r>
          </w:p>
          <w:p w:rsidR="00E30F23" w:rsidRPr="00FF4C0D" w:rsidRDefault="00E30F23" w:rsidP="00E30F23">
            <w:pPr>
              <w:pStyle w:val="Table2"/>
            </w:pPr>
            <w:r w:rsidRPr="00FF4C0D">
              <w:t>Litchi</w:t>
            </w:r>
          </w:p>
          <w:p w:rsidR="00E30F23" w:rsidRPr="00FF4C0D" w:rsidRDefault="00E30F23" w:rsidP="00E30F23">
            <w:pPr>
              <w:pStyle w:val="Table2"/>
            </w:pPr>
            <w:r w:rsidRPr="00FF4C0D">
              <w:t>Mango</w:t>
            </w:r>
          </w:p>
          <w:p w:rsidR="00E30F23" w:rsidRPr="00FF4C0D" w:rsidRDefault="00E30F23" w:rsidP="00E30F23">
            <w:pPr>
              <w:pStyle w:val="Table2"/>
            </w:pPr>
            <w:r w:rsidRPr="00FF4C0D">
              <w:t>Mangosteen</w:t>
            </w:r>
          </w:p>
          <w:p w:rsidR="00E30F23" w:rsidRPr="00FF4C0D" w:rsidRDefault="00E30F23" w:rsidP="00E30F23">
            <w:pPr>
              <w:pStyle w:val="Table2"/>
            </w:pPr>
            <w:r w:rsidRPr="00FF4C0D">
              <w:t>Papaya (Paw paw)</w:t>
            </w:r>
          </w:p>
          <w:p w:rsidR="00E30F23" w:rsidRPr="00FF4C0D" w:rsidRDefault="00E30F23" w:rsidP="00E30F23">
            <w:pPr>
              <w:pStyle w:val="Table2"/>
            </w:pPr>
            <w:r w:rsidRPr="00FF4C0D">
              <w:t>Persimmon</w:t>
            </w:r>
          </w:p>
          <w:p w:rsidR="00E30F23" w:rsidRPr="00FF4C0D" w:rsidRDefault="00E30F23" w:rsidP="00E30F23">
            <w:pPr>
              <w:pStyle w:val="Table2"/>
            </w:pPr>
            <w:r w:rsidRPr="00FF4C0D">
              <w:t>Rambutan</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 xml:space="preserve">Minimum: 150 Gy </w:t>
            </w:r>
          </w:p>
          <w:p w:rsidR="00E30F23" w:rsidRPr="00FF4C0D" w:rsidRDefault="00E30F23" w:rsidP="00E30F23">
            <w:pPr>
              <w:pStyle w:val="Table2"/>
            </w:pPr>
            <w:r w:rsidRPr="00FF4C0D">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Pest disinfestation for a phytosanitary objective.</w:t>
            </w:r>
          </w:p>
          <w:p w:rsidR="00E30F23" w:rsidRPr="00FF4C0D" w:rsidRDefault="00E30F23" w:rsidP="00E30F23">
            <w:pPr>
              <w:pStyle w:val="Table2"/>
            </w:pPr>
          </w:p>
          <w:p w:rsidR="00E30F23" w:rsidRPr="00FF4C0D" w:rsidRDefault="00E30F23" w:rsidP="00E30F23">
            <w:pPr>
              <w:pStyle w:val="Table2"/>
              <w:ind w:left="0" w:firstLine="0"/>
            </w:pPr>
          </w:p>
        </w:tc>
      </w:tr>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Herbs and spices as described in Schedule 4 to Standard 1.4.2</w:t>
            </w:r>
          </w:p>
          <w:p w:rsidR="00E30F23" w:rsidRPr="00FF4C0D" w:rsidRDefault="00E30F23" w:rsidP="00E30F23">
            <w:pPr>
              <w:pStyle w:val="Table2"/>
            </w:pPr>
          </w:p>
          <w:p w:rsidR="00E30F23" w:rsidRPr="00FF4C0D" w:rsidRDefault="00E30F23" w:rsidP="00E30F23">
            <w:pPr>
              <w:pStyle w:val="Table2"/>
            </w:pPr>
            <w:r w:rsidRPr="00FF4C0D">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Minimum: none</w:t>
            </w:r>
          </w:p>
          <w:p w:rsidR="00E30F23" w:rsidRPr="00FF4C0D" w:rsidRDefault="00E30F23" w:rsidP="00E30F23">
            <w:pPr>
              <w:pStyle w:val="Table2"/>
            </w:pPr>
            <w:r w:rsidRPr="00FF4C0D">
              <w:t>Maximum: 6 kGy</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Control of sprouting and pest disinfestation, including control of weeds.</w:t>
            </w:r>
          </w:p>
          <w:p w:rsidR="00E30F23" w:rsidRPr="00FF4C0D" w:rsidRDefault="00E30F23" w:rsidP="00E30F23">
            <w:pPr>
              <w:pStyle w:val="Table2"/>
            </w:pPr>
          </w:p>
          <w:p w:rsidR="00E30F23" w:rsidRPr="00FF4C0D" w:rsidRDefault="00E30F23" w:rsidP="00E30F23">
            <w:pPr>
              <w:pStyle w:val="Table2"/>
              <w:ind w:left="0" w:firstLine="0"/>
            </w:pPr>
          </w:p>
        </w:tc>
      </w:tr>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Minimum: 2 kGy</w:t>
            </w:r>
          </w:p>
          <w:p w:rsidR="00E30F23" w:rsidRPr="00FF4C0D" w:rsidRDefault="00E30F23" w:rsidP="00E30F23">
            <w:pPr>
              <w:pStyle w:val="Table2"/>
            </w:pPr>
            <w:r w:rsidRPr="00FF4C0D">
              <w:t>Maximum: 30 kGy</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5B4DCE" w:rsidP="00917F93">
            <w:pPr>
              <w:pStyle w:val="Table2"/>
            </w:pPr>
            <w:r w:rsidRPr="00FF4C0D">
              <w:t>Bacterial</w:t>
            </w:r>
            <w:r w:rsidR="00F526E3" w:rsidRPr="00FF4C0D">
              <w:t xml:space="preserve"> </w:t>
            </w:r>
            <w:r w:rsidR="00917F93" w:rsidRPr="00FF4C0D">
              <w:t>decontamination</w:t>
            </w:r>
            <w:r w:rsidR="00E30F23" w:rsidRPr="00FF4C0D">
              <w:t>.</w:t>
            </w:r>
          </w:p>
        </w:tc>
      </w:tr>
      <w:tr w:rsidR="00E30F23" w:rsidRPr="00FF4C0D" w:rsidTr="00E30F23">
        <w:tc>
          <w:tcPr>
            <w:tcW w:w="336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E30F23" w:rsidRPr="00FF4C0D" w:rsidRDefault="00E30F23" w:rsidP="00E30F23">
            <w:pPr>
              <w:pStyle w:val="Table2"/>
            </w:pPr>
            <w:r w:rsidRPr="00FF4C0D">
              <w:t>Minimum: 2 kGy</w:t>
            </w:r>
          </w:p>
          <w:p w:rsidR="00E30F23" w:rsidRPr="00FF4C0D" w:rsidRDefault="00E30F23" w:rsidP="00E30F23">
            <w:pPr>
              <w:pStyle w:val="Table2"/>
            </w:pPr>
            <w:r w:rsidRPr="00FF4C0D">
              <w:t>Maximum: 10 kGy</w:t>
            </w:r>
          </w:p>
        </w:tc>
        <w:tc>
          <w:tcPr>
            <w:tcW w:w="3712" w:type="dxa"/>
            <w:tcBorders>
              <w:top w:val="single" w:sz="6" w:space="0" w:color="auto"/>
              <w:left w:val="single" w:sz="6" w:space="0" w:color="auto"/>
              <w:bottom w:val="single" w:sz="6" w:space="0" w:color="auto"/>
              <w:right w:val="single" w:sz="6" w:space="0" w:color="auto"/>
            </w:tcBorders>
          </w:tcPr>
          <w:p w:rsidR="00E30F23" w:rsidRPr="00FF4C0D" w:rsidRDefault="005B4DCE" w:rsidP="00917F93">
            <w:pPr>
              <w:pStyle w:val="Table2"/>
            </w:pPr>
            <w:r w:rsidRPr="00FF4C0D">
              <w:t>Bacterial</w:t>
            </w:r>
            <w:r w:rsidR="00F526E3" w:rsidRPr="00FF4C0D">
              <w:t xml:space="preserve"> </w:t>
            </w:r>
            <w:r w:rsidR="00917F93" w:rsidRPr="00FF4C0D">
              <w:t>decontamination</w:t>
            </w:r>
            <w:r w:rsidR="00E30F23" w:rsidRPr="00FF4C0D">
              <w:t>.</w:t>
            </w:r>
          </w:p>
        </w:tc>
      </w:tr>
    </w:tbl>
    <w:p w:rsidR="00E30F23" w:rsidRPr="00FF4C0D" w:rsidRDefault="00E30F23" w:rsidP="00E30F23">
      <w:pPr>
        <w:pStyle w:val="Clause"/>
      </w:pPr>
    </w:p>
    <w:p w:rsidR="00E30F23" w:rsidRPr="00FF4C0D" w:rsidRDefault="00E30F23" w:rsidP="00E30F23">
      <w:pPr>
        <w:pStyle w:val="Clauseheading"/>
      </w:pPr>
      <w:r w:rsidRPr="00FF4C0D">
        <w:t>5</w:t>
      </w:r>
      <w:r w:rsidRPr="00FF4C0D">
        <w:tab/>
        <w:t>Permission to irradiate</w:t>
      </w:r>
    </w:p>
    <w:p w:rsidR="00E30F23" w:rsidRPr="00FF4C0D" w:rsidRDefault="00E30F23" w:rsidP="00E30F23">
      <w:pPr>
        <w:pStyle w:val="Clause"/>
      </w:pPr>
    </w:p>
    <w:p w:rsidR="00E30F23" w:rsidRPr="00FF4C0D" w:rsidRDefault="00E30F23" w:rsidP="00E30F23">
      <w:pPr>
        <w:pStyle w:val="Subclause"/>
      </w:pPr>
      <w:r w:rsidRPr="00FF4C0D">
        <w:t>(1)</w:t>
      </w:r>
      <w:r w:rsidRPr="00FF4C0D">
        <w:tab/>
        <w:t>A permission to irradiate a food is not a permission to irradiate the food more than once.</w:t>
      </w:r>
    </w:p>
    <w:p w:rsidR="00E30F23" w:rsidRPr="00FF4C0D" w:rsidRDefault="00E30F23" w:rsidP="00E30F23">
      <w:pPr>
        <w:pStyle w:val="Subclause"/>
      </w:pPr>
    </w:p>
    <w:p w:rsidR="00E30F23" w:rsidRPr="00FF4C0D" w:rsidRDefault="00E30F23" w:rsidP="00E30F23">
      <w:pPr>
        <w:pStyle w:val="Subclause"/>
      </w:pPr>
      <w:r w:rsidRPr="00FF4C0D">
        <w:t>(2)</w:t>
      </w:r>
      <w:r w:rsidRPr="00FF4C0D">
        <w:tab/>
        <w:t xml:space="preserve">However, subclause (1) does not prohibit the irradiation of a food – </w:t>
      </w:r>
    </w:p>
    <w:p w:rsidR="00E30F23" w:rsidRPr="00FF4C0D" w:rsidRDefault="00E30F23" w:rsidP="00E30F23">
      <w:pPr>
        <w:pStyle w:val="Subclause"/>
      </w:pPr>
    </w:p>
    <w:p w:rsidR="00E30F23" w:rsidRPr="00FF4C0D" w:rsidRDefault="00E30F23" w:rsidP="00E30F23">
      <w:pPr>
        <w:pStyle w:val="Paragraph"/>
      </w:pPr>
      <w:r w:rsidRPr="00FF4C0D">
        <w:t>(a)</w:t>
      </w:r>
      <w:r w:rsidRPr="00FF4C0D">
        <w:tab/>
        <w:t>which is prepared from materials that have been irradiated at levels not exceeding in any case 1 kGy; or</w:t>
      </w:r>
    </w:p>
    <w:p w:rsidR="00E30F23" w:rsidRPr="00FF4C0D" w:rsidRDefault="00E30F23" w:rsidP="00E30F23">
      <w:pPr>
        <w:pStyle w:val="Paragraph"/>
      </w:pPr>
      <w:r w:rsidRPr="00FF4C0D">
        <w:t>(b)</w:t>
      </w:r>
      <w:r w:rsidRPr="00FF4C0D">
        <w:tab/>
        <w:t>which contains less than 50 g/kg of irradiated ingredients; or</w:t>
      </w:r>
    </w:p>
    <w:p w:rsidR="00E30F23" w:rsidRPr="00FF4C0D" w:rsidRDefault="00E30F23" w:rsidP="00E30F23">
      <w:pPr>
        <w:pStyle w:val="Paragraph"/>
      </w:pPr>
      <w:r w:rsidRPr="00FF4C0D">
        <w:t>(c)</w:t>
      </w:r>
      <w:r w:rsidRPr="00FF4C0D">
        <w:tab/>
        <w:t>where the required full dose of ionising radiation is applied to the food in divided doses for a specific technological reason.</w:t>
      </w:r>
    </w:p>
    <w:p w:rsidR="00E30F23" w:rsidRPr="00FF4C0D" w:rsidRDefault="00E30F23" w:rsidP="00E30F23">
      <w:pPr>
        <w:pStyle w:val="Clause"/>
      </w:pPr>
    </w:p>
    <w:p w:rsidR="00E30F23" w:rsidRPr="00FF4C0D" w:rsidRDefault="00E30F23" w:rsidP="00E30F23">
      <w:pPr>
        <w:pStyle w:val="Subclause"/>
      </w:pPr>
      <w:r w:rsidRPr="00FF4C0D">
        <w:t>[2.5]</w:t>
      </w:r>
      <w:r w:rsidRPr="00FF4C0D">
        <w:tab/>
      </w:r>
      <w:r w:rsidRPr="00FF4C0D">
        <w:rPr>
          <w:i/>
        </w:rPr>
        <w:t xml:space="preserve">omitting the </w:t>
      </w:r>
      <w:r w:rsidRPr="00FF4C0D">
        <w:t xml:space="preserve">Examples </w:t>
      </w:r>
      <w:r w:rsidRPr="00FF4C0D">
        <w:rPr>
          <w:i/>
        </w:rPr>
        <w:t>under subclause 6(1)</w:t>
      </w:r>
    </w:p>
    <w:p w:rsidR="00E30F23" w:rsidRPr="00FF4C0D" w:rsidRDefault="00E30F23" w:rsidP="00E30F23">
      <w:pPr>
        <w:pStyle w:val="Clause"/>
      </w:pPr>
    </w:p>
    <w:p w:rsidR="00E30F23" w:rsidRPr="00FF4C0D" w:rsidRDefault="00E30F23" w:rsidP="00E30F23">
      <w:pPr>
        <w:pStyle w:val="Subclause"/>
      </w:pPr>
      <w:r w:rsidRPr="00FF4C0D">
        <w:t>[2.6]</w:t>
      </w:r>
      <w:r w:rsidRPr="00FF4C0D">
        <w:tab/>
      </w:r>
      <w:r w:rsidRPr="00FF4C0D">
        <w:rPr>
          <w:i/>
        </w:rPr>
        <w:t xml:space="preserve">omitting the words </w:t>
      </w:r>
      <w:r w:rsidRPr="00FF4C0D">
        <w:t xml:space="preserve">clause 2 </w:t>
      </w:r>
      <w:r w:rsidRPr="00FF4C0D">
        <w:rPr>
          <w:i/>
        </w:rPr>
        <w:t xml:space="preserve">from subclause 6(3), substituting </w:t>
      </w:r>
      <w:r w:rsidRPr="00FF4C0D">
        <w:t>subclause 2(1)</w:t>
      </w:r>
    </w:p>
    <w:p w:rsidR="00E30F23" w:rsidRPr="00FF4C0D" w:rsidRDefault="00E30F23" w:rsidP="00E30F23">
      <w:pPr>
        <w:pStyle w:val="Clause"/>
      </w:pPr>
    </w:p>
    <w:p w:rsidR="00E30F23" w:rsidRPr="00FF4C0D" w:rsidRDefault="00E30F23" w:rsidP="00E30F23">
      <w:pPr>
        <w:pStyle w:val="Subclause"/>
      </w:pPr>
      <w:r w:rsidRPr="00FF4C0D">
        <w:t>[2.7]</w:t>
      </w:r>
      <w:r w:rsidRPr="00FF4C0D">
        <w:tab/>
      </w:r>
      <w:r w:rsidRPr="00FF4C0D">
        <w:rPr>
          <w:i/>
        </w:rPr>
        <w:t>omitting subclause 6(4)</w:t>
      </w:r>
    </w:p>
    <w:p w:rsidR="00E30F23" w:rsidRPr="00FF4C0D" w:rsidRDefault="00E30F23" w:rsidP="00E30F23">
      <w:pPr>
        <w:pStyle w:val="Clause"/>
      </w:pPr>
    </w:p>
    <w:p w:rsidR="00E30F23" w:rsidRPr="00FF4C0D" w:rsidRDefault="00E30F23" w:rsidP="00E30F23">
      <w:pPr>
        <w:pStyle w:val="Clause"/>
      </w:pPr>
      <w:r w:rsidRPr="00FF4C0D">
        <w:t>[2.8]</w:t>
      </w:r>
      <w:r w:rsidRPr="00FF4C0D">
        <w:tab/>
      </w:r>
      <w:r w:rsidRPr="00FF4C0D">
        <w:rPr>
          <w:i/>
        </w:rPr>
        <w:t xml:space="preserve">updating the </w:t>
      </w:r>
      <w:r w:rsidRPr="00FF4C0D">
        <w:t>Table of Provisions</w:t>
      </w:r>
      <w:r w:rsidRPr="00FF4C0D">
        <w:rPr>
          <w:iCs/>
        </w:rPr>
        <w:t xml:space="preserve"> </w:t>
      </w:r>
      <w:r w:rsidRPr="00FF4C0D">
        <w:rPr>
          <w:i/>
          <w:iCs/>
        </w:rPr>
        <w:t>to reflect these variations</w:t>
      </w:r>
    </w:p>
    <w:p w:rsidR="00CF406A" w:rsidRPr="00FF4C0D" w:rsidRDefault="003C4969" w:rsidP="00AE46A1">
      <w:pPr>
        <w:pStyle w:val="Heading2"/>
        <w:jc w:val="right"/>
      </w:pPr>
      <w:r w:rsidRPr="00FF4C0D">
        <w:br w:type="page"/>
      </w:r>
      <w:bookmarkStart w:id="139" w:name="_Toc279680233"/>
      <w:bookmarkStart w:id="140" w:name="_Toc295483387"/>
      <w:bookmarkStart w:id="141" w:name="_Toc297029127"/>
      <w:r w:rsidR="00484B0A" w:rsidRPr="00FF4C0D">
        <w:lastRenderedPageBreak/>
        <w:t xml:space="preserve">Attachment </w:t>
      </w:r>
      <w:bookmarkStart w:id="142" w:name="_Toc265572592"/>
      <w:bookmarkStart w:id="143" w:name="_Toc279680234"/>
      <w:bookmarkEnd w:id="139"/>
      <w:r w:rsidR="000B09F9" w:rsidRPr="00FF4C0D">
        <w:t>2</w:t>
      </w:r>
      <w:bookmarkEnd w:id="140"/>
      <w:bookmarkEnd w:id="141"/>
      <w:r w:rsidR="007443E1" w:rsidRPr="00FF4C0D">
        <w:t xml:space="preserve"> </w:t>
      </w:r>
    </w:p>
    <w:p w:rsidR="009B4A0D" w:rsidRPr="00FF4C0D" w:rsidRDefault="009B4A0D" w:rsidP="002D3CB7"/>
    <w:p w:rsidR="009B4A0D" w:rsidRPr="00FF4C0D" w:rsidRDefault="00484B0A" w:rsidP="002D3CB7">
      <w:pPr>
        <w:pStyle w:val="Heading2"/>
      </w:pPr>
      <w:bookmarkStart w:id="144" w:name="_Toc297029128"/>
      <w:r w:rsidRPr="00FF4C0D">
        <w:t>Explanatory Statement</w:t>
      </w:r>
      <w:bookmarkEnd w:id="144"/>
      <w:r w:rsidRPr="00FF4C0D">
        <w:t xml:space="preserve"> </w:t>
      </w:r>
      <w:bookmarkEnd w:id="142"/>
      <w:bookmarkEnd w:id="143"/>
    </w:p>
    <w:p w:rsidR="008524AA" w:rsidRPr="00FF4C0D" w:rsidRDefault="008524AA" w:rsidP="008524AA"/>
    <w:p w:rsidR="00572F77" w:rsidRPr="00FF4C0D" w:rsidRDefault="00572F77" w:rsidP="00C32F66">
      <w:r w:rsidRPr="00FF4C0D">
        <w:rPr>
          <w:bCs/>
          <w:color w:val="000000" w:themeColor="text1"/>
          <w:szCs w:val="22"/>
          <w:lang w:eastAsia="en-GB" w:bidi="ar-SA"/>
        </w:rPr>
        <w:t xml:space="preserve">Apart from permitting the use of irradiation on persimmons in the Table to clause 4 of Standard 1.5.3, FSANZ also proposes </w:t>
      </w:r>
      <w:r w:rsidRPr="00FF4C0D">
        <w:t xml:space="preserve">amendments to improve the clarity, interpretation, and operation of the </w:t>
      </w:r>
      <w:r w:rsidR="00637272" w:rsidRPr="00FF4C0D">
        <w:t>S</w:t>
      </w:r>
      <w:r w:rsidRPr="00FF4C0D">
        <w:t>tandard with</w:t>
      </w:r>
      <w:r w:rsidR="00637272" w:rsidRPr="00FF4C0D">
        <w:t>out changing the intent of the S</w:t>
      </w:r>
      <w:r w:rsidRPr="00FF4C0D">
        <w:t xml:space="preserve">tandard to maintain an overall prohibition of the irradiation of food, unless permitted on a case-by-case basis. </w:t>
      </w:r>
    </w:p>
    <w:p w:rsidR="001410C2" w:rsidRPr="00FF4C0D" w:rsidRDefault="001410C2" w:rsidP="00572F77">
      <w:pPr>
        <w:widowControl/>
        <w:autoSpaceDE w:val="0"/>
        <w:autoSpaceDN w:val="0"/>
        <w:adjustRightInd w:val="0"/>
      </w:pPr>
    </w:p>
    <w:p w:rsidR="00572F77" w:rsidRPr="00FF4C0D" w:rsidRDefault="00572F77" w:rsidP="00572F77">
      <w:pPr>
        <w:widowControl/>
        <w:autoSpaceDE w:val="0"/>
        <w:autoSpaceDN w:val="0"/>
        <w:adjustRightInd w:val="0"/>
        <w:rPr>
          <w:b/>
        </w:rPr>
      </w:pPr>
      <w:r w:rsidRPr="00FF4C0D">
        <w:rPr>
          <w:b/>
        </w:rPr>
        <w:t xml:space="preserve">[Item 1] </w:t>
      </w:r>
    </w:p>
    <w:p w:rsidR="00572F77" w:rsidRPr="00FF4C0D" w:rsidRDefault="00572F77" w:rsidP="00572F77">
      <w:pPr>
        <w:widowControl/>
        <w:autoSpaceDE w:val="0"/>
        <w:autoSpaceDN w:val="0"/>
        <w:adjustRightInd w:val="0"/>
      </w:pPr>
    </w:p>
    <w:p w:rsidR="00703B10" w:rsidRPr="00FF4C0D" w:rsidRDefault="00572F77" w:rsidP="00703B10">
      <w:pPr>
        <w:widowControl/>
        <w:autoSpaceDE w:val="0"/>
        <w:autoSpaceDN w:val="0"/>
        <w:adjustRightInd w:val="0"/>
      </w:pPr>
      <w:r w:rsidRPr="00FF4C0D">
        <w:t xml:space="preserve">This Item includes ‘kGy’ and ‘kiloGray’ in the Glossary of symbols in </w:t>
      </w:r>
      <w:r w:rsidR="008778CF" w:rsidRPr="00FF4C0D">
        <w:t>c</w:t>
      </w:r>
      <w:r w:rsidRPr="00FF4C0D">
        <w:t>lause 8 of Standard 1.1.1 – Application, Interpretation and General Prohibitions as there is presently no listing for these in the</w:t>
      </w:r>
      <w:r w:rsidR="00703B10" w:rsidRPr="00FF4C0D">
        <w:t xml:space="preserve"> Glossary of symbols and units.</w:t>
      </w:r>
    </w:p>
    <w:p w:rsidR="00703B10" w:rsidRPr="00FF4C0D" w:rsidRDefault="00703B10" w:rsidP="00703B10">
      <w:pPr>
        <w:widowControl/>
        <w:autoSpaceDE w:val="0"/>
        <w:autoSpaceDN w:val="0"/>
        <w:adjustRightInd w:val="0"/>
      </w:pPr>
    </w:p>
    <w:p w:rsidR="009F5F9D" w:rsidRPr="00FF4C0D" w:rsidRDefault="00EF041A" w:rsidP="00703B10">
      <w:pPr>
        <w:widowControl/>
        <w:autoSpaceDE w:val="0"/>
        <w:autoSpaceDN w:val="0"/>
        <w:adjustRightInd w:val="0"/>
      </w:pPr>
      <w:r w:rsidRPr="00FF4C0D">
        <w:t>The unit ‘Gray’ is inserted into clause 8 of Standard 1.1.1 rather than plural ‘grays’</w:t>
      </w:r>
      <w:r w:rsidR="000B4E61" w:rsidRPr="00FF4C0D">
        <w:t xml:space="preserve">. </w:t>
      </w:r>
    </w:p>
    <w:p w:rsidR="001A441F" w:rsidRPr="00FF4C0D" w:rsidRDefault="001A441F" w:rsidP="00572F77">
      <w:pPr>
        <w:widowControl/>
        <w:autoSpaceDE w:val="0"/>
        <w:autoSpaceDN w:val="0"/>
        <w:adjustRightInd w:val="0"/>
      </w:pPr>
    </w:p>
    <w:p w:rsidR="00572F77" w:rsidRPr="00FF4C0D" w:rsidRDefault="00572F77" w:rsidP="00572F77">
      <w:pPr>
        <w:widowControl/>
        <w:autoSpaceDE w:val="0"/>
        <w:autoSpaceDN w:val="0"/>
        <w:adjustRightInd w:val="0"/>
        <w:rPr>
          <w:b/>
        </w:rPr>
      </w:pPr>
      <w:r w:rsidRPr="00FF4C0D">
        <w:rPr>
          <w:b/>
        </w:rPr>
        <w:t>[Item 2.1]</w:t>
      </w:r>
    </w:p>
    <w:p w:rsidR="00572F77" w:rsidRPr="00FF4C0D" w:rsidRDefault="00572F77" w:rsidP="00572F77">
      <w:pPr>
        <w:widowControl/>
        <w:autoSpaceDE w:val="0"/>
        <w:autoSpaceDN w:val="0"/>
        <w:adjustRightInd w:val="0"/>
      </w:pPr>
    </w:p>
    <w:p w:rsidR="00572F77" w:rsidRPr="00FF4C0D" w:rsidRDefault="00572F77" w:rsidP="00572F77">
      <w:pPr>
        <w:widowControl/>
        <w:autoSpaceDE w:val="0"/>
        <w:autoSpaceDN w:val="0"/>
        <w:adjustRightInd w:val="0"/>
      </w:pPr>
      <w:r w:rsidRPr="00FF4C0D">
        <w:t xml:space="preserve">This item proposes a revision of the Purpose of Standard 1.5.3 to remove extraneous material and provide more clarity around the purpose of irradiating a food. </w:t>
      </w:r>
    </w:p>
    <w:p w:rsidR="006652B8" w:rsidRPr="00FF4C0D" w:rsidRDefault="006652B8" w:rsidP="00572F77">
      <w:pPr>
        <w:widowControl/>
        <w:autoSpaceDE w:val="0"/>
        <w:autoSpaceDN w:val="0"/>
        <w:adjustRightInd w:val="0"/>
      </w:pPr>
    </w:p>
    <w:p w:rsidR="00290015" w:rsidRPr="00FF4C0D" w:rsidRDefault="00290015" w:rsidP="00C32F66">
      <w:r w:rsidRPr="00FF4C0D">
        <w:t>A reference to New Zealand has been inserted in the Purpose in relation to laws that govern radiation control, and the operation of irradiation facilities.</w:t>
      </w:r>
    </w:p>
    <w:p w:rsidR="006652B8" w:rsidRPr="00FF4C0D" w:rsidRDefault="006652B8" w:rsidP="006652B8"/>
    <w:p w:rsidR="00572F77" w:rsidRPr="00FF4C0D" w:rsidRDefault="00572F77" w:rsidP="00572F77">
      <w:pPr>
        <w:widowControl/>
        <w:autoSpaceDE w:val="0"/>
        <w:autoSpaceDN w:val="0"/>
        <w:adjustRightInd w:val="0"/>
      </w:pPr>
      <w:r w:rsidRPr="00FF4C0D">
        <w:t>T</w:t>
      </w:r>
      <w:r w:rsidRPr="00FF4C0D">
        <w:rPr>
          <w:szCs w:val="22"/>
        </w:rPr>
        <w:t xml:space="preserve">he reference to packages and packaging materials used for irradiated foods has been removed from the purpose. There is no requirement or reason that FSANZ is currently aware of, above </w:t>
      </w:r>
      <w:r w:rsidR="00E540B0" w:rsidRPr="00FF4C0D">
        <w:rPr>
          <w:rFonts w:cs="Arial"/>
          <w:szCs w:val="22"/>
        </w:rPr>
        <w:t>the general provisions in S</w:t>
      </w:r>
      <w:r w:rsidRPr="00FF4C0D">
        <w:rPr>
          <w:rFonts w:cs="Arial"/>
          <w:szCs w:val="22"/>
        </w:rPr>
        <w:t xml:space="preserve">tandard 1.4.3 Articles and Materials in Contact with </w:t>
      </w:r>
      <w:r w:rsidR="001410C2" w:rsidRPr="00FF4C0D">
        <w:rPr>
          <w:rFonts w:cs="Arial"/>
          <w:szCs w:val="22"/>
        </w:rPr>
        <w:t>food that</w:t>
      </w:r>
      <w:r w:rsidRPr="00FF4C0D">
        <w:rPr>
          <w:rFonts w:cs="Arial"/>
          <w:szCs w:val="22"/>
        </w:rPr>
        <w:t xml:space="preserve"> needs a reference in regard to packaging in Standard 1.5.3.</w:t>
      </w:r>
    </w:p>
    <w:p w:rsidR="00572F77" w:rsidRPr="00FF4C0D" w:rsidRDefault="00572F77" w:rsidP="00572F77">
      <w:pPr>
        <w:widowControl/>
        <w:autoSpaceDE w:val="0"/>
        <w:autoSpaceDN w:val="0"/>
        <w:adjustRightInd w:val="0"/>
      </w:pPr>
    </w:p>
    <w:p w:rsidR="00572F77" w:rsidRPr="00FF4C0D" w:rsidRDefault="00572F77" w:rsidP="00572F77">
      <w:pPr>
        <w:widowControl/>
        <w:autoSpaceDE w:val="0"/>
        <w:autoSpaceDN w:val="0"/>
        <w:adjustRightInd w:val="0"/>
        <w:rPr>
          <w:b/>
        </w:rPr>
      </w:pPr>
      <w:r w:rsidRPr="00FF4C0D">
        <w:rPr>
          <w:b/>
        </w:rPr>
        <w:t>[Item 2.2]</w:t>
      </w:r>
    </w:p>
    <w:p w:rsidR="00572F77" w:rsidRPr="00FF4C0D" w:rsidRDefault="00572F77" w:rsidP="00572F77"/>
    <w:p w:rsidR="00572F77" w:rsidRPr="00FF4C0D" w:rsidRDefault="00572F77" w:rsidP="00572F77">
      <w:r w:rsidRPr="00FF4C0D">
        <w:t xml:space="preserve">This item deletes the definition of both re-irradiation and technological need. The definition of technological need is deleted because the purpose of irradiating an irradiated food is identified in Column 3 of the table of foods permitted to be irradiated. </w:t>
      </w:r>
    </w:p>
    <w:p w:rsidR="00572F77" w:rsidRPr="00FF4C0D" w:rsidRDefault="00572F77" w:rsidP="00572F77"/>
    <w:p w:rsidR="00572F77" w:rsidRPr="00FF4C0D" w:rsidRDefault="00572F77" w:rsidP="00572F77">
      <w:r w:rsidRPr="00FF4C0D">
        <w:t xml:space="preserve">The definition of re-irradiation is deleted as it is proposed to create a new clause (see </w:t>
      </w:r>
      <w:r w:rsidRPr="00FF4C0D">
        <w:rPr>
          <w:b/>
        </w:rPr>
        <w:t>clause 5 of Attachment 1</w:t>
      </w:r>
      <w:r w:rsidRPr="00FF4C0D">
        <w:t xml:space="preserve">) under permission to irradiate a food specifying conditions under which a food can be re-irradiated. </w:t>
      </w:r>
    </w:p>
    <w:p w:rsidR="00572F77" w:rsidRPr="00FF4C0D" w:rsidRDefault="00572F77" w:rsidP="00572F77"/>
    <w:p w:rsidR="00572F77" w:rsidRPr="00FF4C0D" w:rsidRDefault="00572F77" w:rsidP="00572F77">
      <w:pPr>
        <w:widowControl/>
        <w:autoSpaceDE w:val="0"/>
        <w:autoSpaceDN w:val="0"/>
        <w:adjustRightInd w:val="0"/>
        <w:rPr>
          <w:b/>
        </w:rPr>
      </w:pPr>
      <w:r w:rsidRPr="00FF4C0D">
        <w:rPr>
          <w:b/>
        </w:rPr>
        <w:t>[Item 2.3]</w:t>
      </w:r>
    </w:p>
    <w:p w:rsidR="00572F77" w:rsidRPr="00FF4C0D" w:rsidRDefault="00572F77" w:rsidP="00572F77"/>
    <w:p w:rsidR="00572F77" w:rsidRPr="00FF4C0D" w:rsidRDefault="00572F77" w:rsidP="00572F77">
      <w:r w:rsidRPr="00FF4C0D">
        <w:t xml:space="preserve">Clause 2(2) referring to re-irradiation of a food has been deleted, amended and relocated to a new clause 5 (see below) in order to clarify the intent of these provisions. </w:t>
      </w:r>
    </w:p>
    <w:p w:rsidR="00572F77" w:rsidRPr="00FF4C0D" w:rsidRDefault="00572F77" w:rsidP="00572F77"/>
    <w:p w:rsidR="00572F77" w:rsidRPr="00FF4C0D" w:rsidRDefault="00572F77" w:rsidP="00572F77">
      <w:pPr>
        <w:widowControl/>
        <w:autoSpaceDE w:val="0"/>
        <w:autoSpaceDN w:val="0"/>
        <w:adjustRightInd w:val="0"/>
        <w:rPr>
          <w:b/>
        </w:rPr>
      </w:pPr>
      <w:r w:rsidRPr="00FF4C0D">
        <w:rPr>
          <w:b/>
        </w:rPr>
        <w:t>[Item 2.4]</w:t>
      </w:r>
    </w:p>
    <w:p w:rsidR="00572F77" w:rsidRPr="00FF4C0D" w:rsidRDefault="00572F77" w:rsidP="00572F77">
      <w:pPr>
        <w:rPr>
          <w:lang w:eastAsia="en-GB" w:bidi="ar-SA"/>
        </w:rPr>
      </w:pPr>
    </w:p>
    <w:p w:rsidR="00572F77" w:rsidRPr="00FF4C0D" w:rsidRDefault="00572F77" w:rsidP="00572F77">
      <w:pPr>
        <w:rPr>
          <w:lang w:eastAsia="en-GB" w:bidi="ar-SA"/>
        </w:rPr>
      </w:pPr>
      <w:r w:rsidRPr="00FF4C0D">
        <w:rPr>
          <w:lang w:eastAsia="en-GB" w:bidi="ar-SA"/>
        </w:rPr>
        <w:t>This item:</w:t>
      </w:r>
    </w:p>
    <w:p w:rsidR="00572F77" w:rsidRPr="00FF4C0D" w:rsidRDefault="00572F77" w:rsidP="00572F77">
      <w:pPr>
        <w:rPr>
          <w:lang w:eastAsia="en-GB" w:bidi="ar-SA"/>
        </w:rPr>
      </w:pPr>
    </w:p>
    <w:p w:rsidR="00572F77" w:rsidRPr="00FF4C0D" w:rsidRDefault="00572F77" w:rsidP="00623D03">
      <w:pPr>
        <w:pStyle w:val="FSBullet"/>
        <w:numPr>
          <w:ilvl w:val="0"/>
          <w:numId w:val="4"/>
        </w:numPr>
        <w:ind w:left="567" w:hanging="567"/>
        <w:rPr>
          <w:lang w:eastAsia="en-GB" w:bidi="ar-SA"/>
        </w:rPr>
      </w:pPr>
      <w:r w:rsidRPr="00FF4C0D">
        <w:rPr>
          <w:lang w:eastAsia="en-GB" w:bidi="ar-SA"/>
        </w:rPr>
        <w:t>inserts permissions to irradiate persimmons with accompanying minimum and maximum doses and a condition that persimmons may only be irradiated for the purposes of pest disinfestation for a phytosanitary objective</w:t>
      </w:r>
    </w:p>
    <w:p w:rsidR="00936A77" w:rsidRPr="00FF4C0D" w:rsidRDefault="00936A77">
      <w:pPr>
        <w:rPr>
          <w:lang w:eastAsia="en-GB" w:bidi="ar-SA"/>
        </w:rPr>
      </w:pPr>
    </w:p>
    <w:p w:rsidR="002D5039" w:rsidRPr="00FF4C0D" w:rsidRDefault="002D5039" w:rsidP="00491212">
      <w:pPr>
        <w:pStyle w:val="FSBullet"/>
      </w:pPr>
      <w:r w:rsidRPr="00FF4C0D">
        <w:br w:type="page"/>
      </w:r>
    </w:p>
    <w:p w:rsidR="00491212" w:rsidRPr="00FF4C0D" w:rsidRDefault="00491212" w:rsidP="00491212">
      <w:pPr>
        <w:pStyle w:val="FSBullet"/>
      </w:pPr>
      <w:r w:rsidRPr="00FF4C0D">
        <w:lastRenderedPageBreak/>
        <w:t xml:space="preserve">deletion of all references to good manufacturing practice (GMP) in </w:t>
      </w:r>
      <w:r w:rsidR="00637272" w:rsidRPr="00FF4C0D">
        <w:t>Standard 1.5.3</w:t>
      </w:r>
      <w:r w:rsidRPr="00FF4C0D">
        <w:t xml:space="preserve"> as a condition for handling food before and after irradiation. This is covered by other provisions, relating to food safety requirements, currently in the Code and covered in existing New Zealand legislation, including the Food Hygiene Regulations 1974 or under an approved food safety program via the New Zealand Food Act 1981</w:t>
      </w:r>
    </w:p>
    <w:p w:rsidR="00AD27B4" w:rsidRPr="00FF4C0D" w:rsidRDefault="00AD27B4" w:rsidP="00AD27B4"/>
    <w:p w:rsidR="00C62AA2" w:rsidRPr="00FF4C0D" w:rsidRDefault="00C62AA2" w:rsidP="00C62AA2">
      <w:pPr>
        <w:pStyle w:val="FSBullet"/>
        <w:numPr>
          <w:ilvl w:val="0"/>
          <w:numId w:val="4"/>
        </w:numPr>
        <w:ind w:left="567" w:hanging="567"/>
      </w:pPr>
      <w:r w:rsidRPr="00FF4C0D">
        <w:t>deletes the requirement for a minimum dose as a condition in column 3 of the purpose in the Table to clause 4 to achieve the technological purpose as the intent is now covered by revised provisions in clause 4</w:t>
      </w:r>
    </w:p>
    <w:p w:rsidR="00DB3697" w:rsidRPr="00FF4C0D" w:rsidRDefault="00DB3697" w:rsidP="00DB3697"/>
    <w:p w:rsidR="00936A77" w:rsidRPr="00FF4C0D" w:rsidRDefault="000A4B26" w:rsidP="00C4011E">
      <w:pPr>
        <w:pStyle w:val="FSBullet"/>
      </w:pPr>
      <w:r w:rsidRPr="00FF4C0D">
        <w:t>d</w:t>
      </w:r>
      <w:r w:rsidR="00DB3697" w:rsidRPr="00FF4C0D">
        <w:t>elete</w:t>
      </w:r>
      <w:r w:rsidRPr="00FF4C0D">
        <w:t>s</w:t>
      </w:r>
      <w:r w:rsidR="00DB3697" w:rsidRPr="00FF4C0D">
        <w:t xml:space="preserve"> </w:t>
      </w:r>
      <w:r w:rsidR="00E377DA" w:rsidRPr="00FF4C0D">
        <w:rPr>
          <w:rFonts w:eastAsiaTheme="minorHAnsi"/>
          <w:szCs w:val="22"/>
        </w:rPr>
        <w:t xml:space="preserve">subclause 4(2). </w:t>
      </w:r>
      <w:r w:rsidR="00C4011E" w:rsidRPr="00FF4C0D">
        <w:rPr>
          <w:rFonts w:eastAsiaTheme="minorHAnsi"/>
          <w:szCs w:val="22"/>
        </w:rPr>
        <w:t xml:space="preserve">The conditions in column 3 of </w:t>
      </w:r>
      <w:r w:rsidR="00C4011E" w:rsidRPr="00FF4C0D">
        <w:t>the Table of Foods permitted to be irradiated prescribe a technological purpose to irradiate foods which includes any purpose associated with food hygiene (</w:t>
      </w:r>
      <w:r w:rsidR="001113DB" w:rsidRPr="00FF4C0D">
        <w:t>e.g.</w:t>
      </w:r>
      <w:r w:rsidR="00C4011E" w:rsidRPr="00FF4C0D">
        <w:t xml:space="preserve"> bacterial decontamination). Therefore, there is no need to retain the subclause 4 (2) in Standard 1.5.3. </w:t>
      </w:r>
    </w:p>
    <w:p w:rsidR="00C923A2" w:rsidRPr="00FF4C0D" w:rsidRDefault="00C923A2" w:rsidP="00C923A2"/>
    <w:p w:rsidR="00572F77" w:rsidRPr="00FF4C0D" w:rsidRDefault="00572F77" w:rsidP="00623D03">
      <w:pPr>
        <w:pStyle w:val="FSBullet"/>
        <w:numPr>
          <w:ilvl w:val="0"/>
          <w:numId w:val="4"/>
        </w:numPr>
        <w:ind w:left="567" w:hanging="567"/>
      </w:pPr>
      <w:r w:rsidRPr="00FF4C0D">
        <w:t xml:space="preserve">creates a new clause (clause 5) specifying conditions under which a food can be re-irradiated. </w:t>
      </w:r>
    </w:p>
    <w:p w:rsidR="00572F77" w:rsidRPr="00FF4C0D" w:rsidRDefault="00572F77" w:rsidP="00572F77"/>
    <w:p w:rsidR="00572F77" w:rsidRPr="00FF4C0D" w:rsidRDefault="00572F77" w:rsidP="00572F77">
      <w:pPr>
        <w:rPr>
          <w:b/>
          <w:lang w:eastAsia="en-GB" w:bidi="ar-SA"/>
        </w:rPr>
      </w:pPr>
      <w:r w:rsidRPr="00FF4C0D">
        <w:rPr>
          <w:b/>
          <w:lang w:eastAsia="en-GB" w:bidi="ar-SA"/>
        </w:rPr>
        <w:t>[Item 2.</w:t>
      </w:r>
      <w:r w:rsidR="00B91B6F" w:rsidRPr="00FF4C0D">
        <w:rPr>
          <w:b/>
          <w:lang w:eastAsia="en-GB" w:bidi="ar-SA"/>
        </w:rPr>
        <w:t>5</w:t>
      </w:r>
      <w:r w:rsidRPr="00FF4C0D">
        <w:rPr>
          <w:b/>
          <w:lang w:eastAsia="en-GB" w:bidi="ar-SA"/>
        </w:rPr>
        <w:t>]</w:t>
      </w:r>
    </w:p>
    <w:p w:rsidR="00DF3B9F" w:rsidRPr="00FF4C0D" w:rsidRDefault="00DF3B9F">
      <w:pPr>
        <w:rPr>
          <w:lang w:eastAsia="en-GB" w:bidi="ar-SA"/>
        </w:rPr>
      </w:pPr>
    </w:p>
    <w:p w:rsidR="00ED454C" w:rsidRPr="00FF4C0D" w:rsidRDefault="00DF3B9F" w:rsidP="001617E8">
      <w:r w:rsidRPr="00FF4C0D">
        <w:t xml:space="preserve">This item deletes </w:t>
      </w:r>
      <w:r w:rsidR="00950F5E" w:rsidRPr="00FF4C0D">
        <w:t xml:space="preserve">the second example ‘treated with ionising electrons’ in subclause 6 (1) as this is </w:t>
      </w:r>
      <w:r w:rsidR="00950F5E" w:rsidRPr="00FF4C0D">
        <w:rPr>
          <w:bCs/>
          <w:color w:val="000000" w:themeColor="text1"/>
          <w:lang w:eastAsia="en-GB" w:bidi="ar-SA"/>
        </w:rPr>
        <w:t>potentially misleading to consumers</w:t>
      </w:r>
    </w:p>
    <w:p w:rsidR="00572F77" w:rsidRPr="00FF4C0D" w:rsidRDefault="00572F77" w:rsidP="00F056FB">
      <w:pPr>
        <w:rPr>
          <w:lang w:eastAsia="en-GB" w:bidi="ar-SA"/>
        </w:rPr>
      </w:pPr>
    </w:p>
    <w:p w:rsidR="00572F77" w:rsidRPr="00FF4C0D" w:rsidRDefault="00572F77" w:rsidP="00572F77">
      <w:pPr>
        <w:widowControl/>
        <w:autoSpaceDE w:val="0"/>
        <w:autoSpaceDN w:val="0"/>
        <w:adjustRightInd w:val="0"/>
        <w:rPr>
          <w:b/>
        </w:rPr>
      </w:pPr>
      <w:r w:rsidRPr="00FF4C0D">
        <w:rPr>
          <w:b/>
        </w:rPr>
        <w:t>[Item 2.</w:t>
      </w:r>
      <w:r w:rsidR="00B91B6F" w:rsidRPr="00FF4C0D">
        <w:rPr>
          <w:b/>
        </w:rPr>
        <w:t>6</w:t>
      </w:r>
      <w:r w:rsidRPr="00FF4C0D">
        <w:rPr>
          <w:b/>
        </w:rPr>
        <w:t xml:space="preserve">] </w:t>
      </w:r>
    </w:p>
    <w:p w:rsidR="00572F77" w:rsidRPr="00FF4C0D" w:rsidRDefault="00572F77" w:rsidP="00572F77">
      <w:pPr>
        <w:widowControl/>
        <w:autoSpaceDE w:val="0"/>
        <w:autoSpaceDN w:val="0"/>
        <w:adjustRightInd w:val="0"/>
      </w:pPr>
    </w:p>
    <w:p w:rsidR="00572F77" w:rsidRPr="00FF4C0D" w:rsidRDefault="00572F77" w:rsidP="00572F77">
      <w:pPr>
        <w:rPr>
          <w:rFonts w:eastAsia="Calibri" w:cs="Arial"/>
          <w:iCs/>
          <w:szCs w:val="22"/>
        </w:rPr>
      </w:pPr>
      <w:r w:rsidRPr="00FF4C0D">
        <w:t xml:space="preserve">This Item improves </w:t>
      </w:r>
      <w:r w:rsidRPr="00FF4C0D">
        <w:rPr>
          <w:rFonts w:eastAsia="Calibri" w:cs="Arial"/>
          <w:iCs/>
          <w:szCs w:val="22"/>
        </w:rPr>
        <w:t>the clarity of subclause 6(3) by extending the cross reference to clause 2 in Standard 1.2.1 to</w:t>
      </w:r>
      <w:r w:rsidR="008900AE" w:rsidRPr="00FF4C0D">
        <w:rPr>
          <w:rFonts w:eastAsia="Calibri" w:cs="Arial"/>
          <w:iCs/>
          <w:szCs w:val="22"/>
        </w:rPr>
        <w:t xml:space="preserve"> subclause</w:t>
      </w:r>
      <w:r w:rsidRPr="00FF4C0D">
        <w:rPr>
          <w:rFonts w:eastAsia="Calibri" w:cs="Arial"/>
          <w:iCs/>
          <w:szCs w:val="22"/>
        </w:rPr>
        <w:t xml:space="preserve"> 2(</w:t>
      </w:r>
      <w:r w:rsidR="008900AE" w:rsidRPr="00FF4C0D">
        <w:rPr>
          <w:rFonts w:eastAsia="Calibri" w:cs="Arial"/>
          <w:iCs/>
          <w:szCs w:val="22"/>
        </w:rPr>
        <w:t>1</w:t>
      </w:r>
      <w:r w:rsidRPr="00FF4C0D">
        <w:rPr>
          <w:rFonts w:eastAsia="Calibri" w:cs="Arial"/>
          <w:iCs/>
          <w:szCs w:val="22"/>
        </w:rPr>
        <w:t>).</w:t>
      </w:r>
    </w:p>
    <w:p w:rsidR="00572F77" w:rsidRPr="00FF4C0D" w:rsidRDefault="00572F77" w:rsidP="00572F77">
      <w:pPr>
        <w:widowControl/>
        <w:autoSpaceDE w:val="0"/>
        <w:autoSpaceDN w:val="0"/>
        <w:adjustRightInd w:val="0"/>
      </w:pPr>
    </w:p>
    <w:p w:rsidR="00572F77" w:rsidRPr="00FF4C0D" w:rsidRDefault="00572F77" w:rsidP="00572F77">
      <w:pPr>
        <w:widowControl/>
        <w:autoSpaceDE w:val="0"/>
        <w:autoSpaceDN w:val="0"/>
        <w:adjustRightInd w:val="0"/>
        <w:rPr>
          <w:b/>
        </w:rPr>
      </w:pPr>
      <w:r w:rsidRPr="00FF4C0D">
        <w:rPr>
          <w:b/>
        </w:rPr>
        <w:t>[Item 2.</w:t>
      </w:r>
      <w:r w:rsidR="00B91B6F" w:rsidRPr="00FF4C0D">
        <w:rPr>
          <w:b/>
        </w:rPr>
        <w:t>7</w:t>
      </w:r>
      <w:r w:rsidRPr="00FF4C0D">
        <w:rPr>
          <w:b/>
        </w:rPr>
        <w:t>]</w:t>
      </w:r>
    </w:p>
    <w:p w:rsidR="00572F77" w:rsidRPr="00FF4C0D" w:rsidRDefault="00572F77" w:rsidP="00F056FB"/>
    <w:p w:rsidR="00572F77" w:rsidRPr="00FF4C0D" w:rsidRDefault="00572F77" w:rsidP="00F056FB">
      <w:pPr>
        <w:rPr>
          <w:bCs/>
        </w:rPr>
      </w:pPr>
      <w:r w:rsidRPr="00FF4C0D">
        <w:t xml:space="preserve">This item deletes specific labelling requirements that are </w:t>
      </w:r>
      <w:r w:rsidRPr="00FF4C0D">
        <w:rPr>
          <w:rFonts w:eastAsia="Calibri"/>
          <w:iCs/>
        </w:rPr>
        <w:t>repetitive and adequately covered under other provisions in the Code that require this information to be held.</w:t>
      </w:r>
    </w:p>
    <w:p w:rsidR="00572F77" w:rsidRPr="00FF4C0D" w:rsidRDefault="00572F77" w:rsidP="00F056FB">
      <w:pPr>
        <w:rPr>
          <w:bCs/>
        </w:rPr>
      </w:pPr>
    </w:p>
    <w:p w:rsidR="00572F77" w:rsidRPr="00FF4C0D" w:rsidRDefault="00572F77" w:rsidP="00572F77">
      <w:pPr>
        <w:rPr>
          <w:b/>
          <w:bCs/>
        </w:rPr>
      </w:pPr>
      <w:r w:rsidRPr="00FF4C0D">
        <w:rPr>
          <w:b/>
          <w:bCs/>
        </w:rPr>
        <w:t>[Item 2.</w:t>
      </w:r>
      <w:r w:rsidR="00B91B6F" w:rsidRPr="00FF4C0D">
        <w:rPr>
          <w:b/>
          <w:bCs/>
        </w:rPr>
        <w:t>8</w:t>
      </w:r>
      <w:r w:rsidRPr="00FF4C0D">
        <w:rPr>
          <w:b/>
          <w:bCs/>
        </w:rPr>
        <w:t>]</w:t>
      </w:r>
    </w:p>
    <w:p w:rsidR="00572F77" w:rsidRPr="00FF4C0D" w:rsidRDefault="00572F77" w:rsidP="00572F77">
      <w:pPr>
        <w:rPr>
          <w:rFonts w:cs="Arial"/>
          <w:bCs/>
          <w:szCs w:val="22"/>
        </w:rPr>
      </w:pPr>
    </w:p>
    <w:p w:rsidR="00290015" w:rsidRPr="00FF4C0D" w:rsidRDefault="00290015" w:rsidP="001617E8">
      <w:r w:rsidRPr="00FF4C0D">
        <w:t xml:space="preserve">This Item retains requirements relating to record keeping requirements in Standard 1.5.3 but changes the clause number. </w:t>
      </w:r>
    </w:p>
    <w:p w:rsidR="00DB3697" w:rsidRPr="00FF4C0D" w:rsidRDefault="00DB3697" w:rsidP="00572F77">
      <w:pPr>
        <w:rPr>
          <w:rFonts w:cs="Arial"/>
          <w:bCs/>
          <w:szCs w:val="22"/>
        </w:rPr>
      </w:pPr>
    </w:p>
    <w:p w:rsidR="00DB3697" w:rsidRPr="00FF4C0D" w:rsidRDefault="00DB3697" w:rsidP="00DB3697">
      <w:pPr>
        <w:rPr>
          <w:b/>
          <w:bCs/>
        </w:rPr>
      </w:pPr>
      <w:r w:rsidRPr="00FF4C0D">
        <w:rPr>
          <w:b/>
          <w:bCs/>
        </w:rPr>
        <w:t>[Item 2.9]</w:t>
      </w:r>
    </w:p>
    <w:p w:rsidR="00DB3697" w:rsidRPr="00FF4C0D" w:rsidRDefault="00DB3697" w:rsidP="00572F77">
      <w:pPr>
        <w:rPr>
          <w:rFonts w:cs="Arial"/>
          <w:bCs/>
          <w:szCs w:val="22"/>
        </w:rPr>
      </w:pPr>
    </w:p>
    <w:p w:rsidR="00572F77" w:rsidRPr="00FF4C0D" w:rsidRDefault="00572F77" w:rsidP="00572F77">
      <w:pPr>
        <w:rPr>
          <w:rFonts w:cs="Arial"/>
          <w:bCs/>
          <w:szCs w:val="22"/>
        </w:rPr>
      </w:pPr>
      <w:r w:rsidRPr="00FF4C0D">
        <w:rPr>
          <w:rFonts w:cs="Arial"/>
          <w:bCs/>
          <w:szCs w:val="22"/>
        </w:rPr>
        <w:t xml:space="preserve">This item includes amendments to the </w:t>
      </w:r>
      <w:r w:rsidRPr="00FF4C0D">
        <w:rPr>
          <w:rFonts w:cs="Arial"/>
          <w:szCs w:val="22"/>
        </w:rPr>
        <w:t>Table of Provisions</w:t>
      </w:r>
      <w:r w:rsidRPr="00FF4C0D">
        <w:rPr>
          <w:rFonts w:cs="Arial"/>
          <w:bCs/>
          <w:szCs w:val="22"/>
        </w:rPr>
        <w:t xml:space="preserve"> and re-ordering to reflect the variations. </w:t>
      </w:r>
    </w:p>
    <w:p w:rsidR="00F314B7" w:rsidRPr="00FF4C0D" w:rsidRDefault="00F314B7" w:rsidP="00572F77">
      <w:pPr>
        <w:rPr>
          <w:rFonts w:cs="Arial"/>
          <w:bCs/>
          <w:szCs w:val="22"/>
        </w:rPr>
      </w:pPr>
    </w:p>
    <w:p w:rsidR="00F314B7" w:rsidRPr="00FF4C0D" w:rsidRDefault="00F314B7">
      <w:pPr>
        <w:widowControl/>
        <w:rPr>
          <w:rFonts w:cs="Arial"/>
          <w:bCs/>
          <w:szCs w:val="22"/>
        </w:rPr>
      </w:pPr>
      <w:r w:rsidRPr="00FF4C0D">
        <w:rPr>
          <w:rFonts w:cs="Arial"/>
          <w:bCs/>
          <w:szCs w:val="22"/>
        </w:rPr>
        <w:br w:type="page"/>
      </w:r>
    </w:p>
    <w:p w:rsidR="00CF406A" w:rsidRPr="00FF4C0D" w:rsidRDefault="00AE46A1" w:rsidP="00AE46A1">
      <w:pPr>
        <w:pStyle w:val="Heading2"/>
        <w:jc w:val="right"/>
      </w:pPr>
      <w:bookmarkStart w:id="145" w:name="_Toc295483389"/>
      <w:bookmarkStart w:id="146" w:name="_Toc297029129"/>
      <w:r w:rsidRPr="00FF4C0D">
        <w:lastRenderedPageBreak/>
        <w:t>Attachment 3</w:t>
      </w:r>
      <w:bookmarkStart w:id="147" w:name="_Toc282501847"/>
      <w:bookmarkEnd w:id="145"/>
      <w:bookmarkEnd w:id="146"/>
      <w:r w:rsidRPr="00FF4C0D">
        <w:t xml:space="preserve"> </w:t>
      </w:r>
    </w:p>
    <w:p w:rsidR="00156098" w:rsidRPr="00FF4C0D" w:rsidRDefault="00156098" w:rsidP="00C55182"/>
    <w:p w:rsidR="00156098" w:rsidRPr="00FF4C0D" w:rsidRDefault="004A14D7" w:rsidP="00C55182">
      <w:pPr>
        <w:pStyle w:val="Heading2"/>
      </w:pPr>
      <w:bookmarkStart w:id="148" w:name="_Toc297029130"/>
      <w:r w:rsidRPr="00FF4C0D">
        <w:t>Summary of submissions</w:t>
      </w:r>
      <w:bookmarkEnd w:id="147"/>
      <w:bookmarkEnd w:id="148"/>
    </w:p>
    <w:p w:rsidR="004A14D7" w:rsidRPr="00FF4C0D" w:rsidRDefault="004A14D7" w:rsidP="004A14D7">
      <w:pPr>
        <w:rPr>
          <w:rFonts w:cs="Arial"/>
          <w:sz w:val="18"/>
          <w:szCs w:val="18"/>
        </w:rPr>
      </w:pPr>
    </w:p>
    <w:p w:rsidR="004A14D7" w:rsidRPr="00FF4C0D" w:rsidRDefault="004A14D7" w:rsidP="002D5039">
      <w:pPr>
        <w:rPr>
          <w:b/>
          <w:u w:val="single"/>
        </w:rPr>
      </w:pPr>
      <w:r w:rsidRPr="00FF4C0D">
        <w:rPr>
          <w:b/>
          <w:u w:val="single"/>
        </w:rPr>
        <w:t xml:space="preserve">Do not support the Application </w:t>
      </w:r>
    </w:p>
    <w:p w:rsidR="004A14D7" w:rsidRPr="00FF4C0D" w:rsidRDefault="004A14D7" w:rsidP="004A14D7">
      <w:pPr>
        <w:rPr>
          <w:rFonts w:cs="Arial"/>
          <w:sz w:val="20"/>
          <w:szCs w:val="20"/>
        </w:rPr>
      </w:pPr>
    </w:p>
    <w:tbl>
      <w:tblPr>
        <w:tblW w:w="9072" w:type="dxa"/>
        <w:tblLook w:val="04A0"/>
      </w:tblPr>
      <w:tblGrid>
        <w:gridCol w:w="5176"/>
        <w:gridCol w:w="3896"/>
      </w:tblGrid>
      <w:tr w:rsidR="004A14D7" w:rsidRPr="00FF4C0D" w:rsidTr="00C55182">
        <w:trPr>
          <w:tblHeader/>
        </w:trPr>
        <w:tc>
          <w:tcPr>
            <w:tcW w:w="567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A14D7" w:rsidRPr="00FF4C0D" w:rsidRDefault="004A14D7" w:rsidP="002D5039">
            <w:pPr>
              <w:pStyle w:val="Table1"/>
              <w:rPr>
                <w:sz w:val="20"/>
              </w:rPr>
            </w:pPr>
            <w:r w:rsidRPr="00FF4C0D">
              <w:rPr>
                <w:sz w:val="20"/>
              </w:rPr>
              <w:t>Issues</w:t>
            </w:r>
          </w:p>
        </w:tc>
        <w:tc>
          <w:tcPr>
            <w:tcW w:w="425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A14D7" w:rsidRPr="00FF4C0D" w:rsidRDefault="004A14D7" w:rsidP="002D5039">
            <w:pPr>
              <w:pStyle w:val="Table1"/>
              <w:rPr>
                <w:sz w:val="20"/>
              </w:rPr>
            </w:pPr>
            <w:r w:rsidRPr="00FF4C0D">
              <w:rPr>
                <w:sz w:val="20"/>
              </w:rPr>
              <w:t>Submitters</w:t>
            </w:r>
          </w:p>
        </w:tc>
      </w:tr>
      <w:tr w:rsidR="004A14D7" w:rsidRPr="00FF4C0D" w:rsidTr="00C55182">
        <w:tc>
          <w:tcPr>
            <w:tcW w:w="5671" w:type="dxa"/>
            <w:tcBorders>
              <w:top w:val="single" w:sz="4" w:space="0" w:color="000000"/>
              <w:left w:val="single" w:sz="4" w:space="0" w:color="000000"/>
              <w:bottom w:val="single" w:sz="4" w:space="0" w:color="000000"/>
              <w:right w:val="single" w:sz="4" w:space="0" w:color="000000"/>
            </w:tcBorders>
          </w:tcPr>
          <w:p w:rsidR="004A14D7" w:rsidRPr="00FF4C0D" w:rsidRDefault="004A14D7">
            <w:pPr>
              <w:pStyle w:val="Table2"/>
              <w:ind w:left="0" w:firstLine="0"/>
              <w:rPr>
                <w:rFonts w:eastAsiaTheme="minorHAnsi"/>
                <w:b/>
                <w:sz w:val="20"/>
              </w:rPr>
            </w:pPr>
            <w:r w:rsidRPr="00FF4C0D">
              <w:rPr>
                <w:rFonts w:eastAsiaTheme="minorHAnsi"/>
                <w:b/>
                <w:sz w:val="20"/>
              </w:rPr>
              <w:t xml:space="preserve">The safety, nutritional and cumulative </w:t>
            </w:r>
            <w:r w:rsidR="003505B3" w:rsidRPr="00FF4C0D">
              <w:rPr>
                <w:rFonts w:eastAsiaTheme="minorHAnsi"/>
                <w:b/>
                <w:sz w:val="20"/>
              </w:rPr>
              <w:t xml:space="preserve">adverse </w:t>
            </w:r>
            <w:r w:rsidRPr="00FF4C0D">
              <w:rPr>
                <w:rFonts w:eastAsiaTheme="minorHAnsi"/>
                <w:b/>
                <w:sz w:val="20"/>
              </w:rPr>
              <w:t>dietary effects from irradiated foods</w:t>
            </w:r>
            <w:r w:rsidR="007869D9" w:rsidRPr="00FF4C0D">
              <w:rPr>
                <w:rFonts w:eastAsiaTheme="minorHAnsi"/>
                <w:b/>
                <w:sz w:val="20"/>
              </w:rPr>
              <w:t xml:space="preserve"> (see section 5</w:t>
            </w:r>
            <w:r w:rsidR="003505B3" w:rsidRPr="00FF4C0D">
              <w:rPr>
                <w:rFonts w:eastAsiaTheme="minorHAnsi"/>
                <w:b/>
                <w:sz w:val="20"/>
              </w:rPr>
              <w:t>)</w:t>
            </w:r>
            <w:r w:rsidRPr="00FF4C0D">
              <w:rPr>
                <w:rFonts w:eastAsiaTheme="minorHAnsi"/>
                <w:b/>
                <w:sz w:val="20"/>
              </w:rPr>
              <w:t xml:space="preserve"> </w:t>
            </w:r>
          </w:p>
          <w:p w:rsidR="004A14D7" w:rsidRPr="00FF4C0D" w:rsidRDefault="004A14D7">
            <w:pPr>
              <w:pStyle w:val="Table2"/>
              <w:ind w:left="0" w:firstLine="0"/>
              <w:rPr>
                <w:rFonts w:eastAsiaTheme="minorHAnsi"/>
                <w:sz w:val="20"/>
                <w:lang w:eastAsia="en-GB"/>
              </w:rPr>
            </w:pPr>
          </w:p>
          <w:p w:rsidR="004A14D7" w:rsidRPr="00FF4C0D" w:rsidRDefault="004A14D7" w:rsidP="002D5039">
            <w:pPr>
              <w:pStyle w:val="Table2"/>
              <w:rPr>
                <w:rFonts w:eastAsiaTheme="minorHAnsi"/>
                <w:b/>
                <w:sz w:val="20"/>
              </w:rPr>
            </w:pPr>
            <w:r w:rsidRPr="00FF4C0D">
              <w:rPr>
                <w:rFonts w:eastAsiaTheme="minorHAnsi"/>
                <w:sz w:val="20"/>
              </w:rPr>
              <w:t xml:space="preserve">Issues </w:t>
            </w:r>
            <w:r w:rsidR="002D5039" w:rsidRPr="00FF4C0D">
              <w:rPr>
                <w:rFonts w:eastAsiaTheme="minorHAnsi"/>
                <w:sz w:val="20"/>
              </w:rPr>
              <w:t>relating</w:t>
            </w:r>
            <w:r w:rsidRPr="00FF4C0D">
              <w:rPr>
                <w:rFonts w:eastAsiaTheme="minorHAnsi"/>
                <w:sz w:val="20"/>
              </w:rPr>
              <w:t xml:space="preserve"> to the adequacy of FSANZ’s risk assessment on irradiated foods; the general safety of irradiated foods (including recent studies showing adverse effects in ca</w:t>
            </w:r>
            <w:r w:rsidR="002D5039" w:rsidRPr="00FF4C0D">
              <w:rPr>
                <w:rFonts w:eastAsiaTheme="minorHAnsi"/>
                <w:sz w:val="20"/>
              </w:rPr>
              <w:t>ts); scientific studies that had</w:t>
            </w:r>
            <w:r w:rsidRPr="00FF4C0D">
              <w:rPr>
                <w:rFonts w:eastAsiaTheme="minorHAnsi"/>
                <w:sz w:val="20"/>
              </w:rPr>
              <w:t xml:space="preserve"> revealed the potential harmful effects of food irradiation; the potential of irradiating foods to produce chemical products in foods that may have adverse effects for humans; the possible adverse cumulative effect on nutrition of eating a number of irradiated foods; the greater vitamin losses from irradiated foods compared to non-irradiated foods; the lack of specific data on the composition of persimmons; and health impacts on overseas consumers of irradiated foods exported from Australia. </w:t>
            </w:r>
            <w:r w:rsidR="00591415" w:rsidRPr="00FF4C0D">
              <w:rPr>
                <w:rFonts w:eastAsiaTheme="minorHAnsi"/>
                <w:sz w:val="20"/>
              </w:rPr>
              <w:t>C</w:t>
            </w:r>
            <w:r w:rsidR="00591415" w:rsidRPr="00FF4C0D">
              <w:rPr>
                <w:sz w:val="20"/>
                <w:lang w:eastAsia="en-GB"/>
              </w:rPr>
              <w:t xml:space="preserve">larification of the term </w:t>
            </w:r>
            <w:r w:rsidR="002D5039" w:rsidRPr="00FF4C0D">
              <w:rPr>
                <w:sz w:val="20"/>
                <w:lang w:eastAsia="en-GB"/>
              </w:rPr>
              <w:t>‘</w:t>
            </w:r>
            <w:r w:rsidR="00591415" w:rsidRPr="00FF4C0D">
              <w:rPr>
                <w:sz w:val="20"/>
                <w:lang w:eastAsia="en-GB"/>
              </w:rPr>
              <w:t>compositiona</w:t>
            </w:r>
            <w:r w:rsidR="009217E9" w:rsidRPr="00FF4C0D">
              <w:rPr>
                <w:sz w:val="20"/>
                <w:lang w:eastAsia="en-GB"/>
              </w:rPr>
              <w:t>lly similar</w:t>
            </w:r>
            <w:r w:rsidR="002D5039" w:rsidRPr="00FF4C0D">
              <w:rPr>
                <w:sz w:val="20"/>
                <w:lang w:eastAsia="en-GB"/>
              </w:rPr>
              <w:t>’</w:t>
            </w:r>
            <w:r w:rsidR="009217E9" w:rsidRPr="00FF4C0D">
              <w:rPr>
                <w:sz w:val="20"/>
                <w:lang w:eastAsia="en-GB"/>
              </w:rPr>
              <w:t xml:space="preserve"> was sought in the Risk A</w:t>
            </w:r>
            <w:r w:rsidR="00591415" w:rsidRPr="00FF4C0D">
              <w:rPr>
                <w:sz w:val="20"/>
                <w:lang w:eastAsia="en-GB"/>
              </w:rPr>
              <w:t>ssessment</w:t>
            </w:r>
            <w:r w:rsidR="009217E9" w:rsidRPr="00FF4C0D">
              <w:rPr>
                <w:sz w:val="20"/>
                <w:lang w:eastAsia="en-GB"/>
              </w:rPr>
              <w:t xml:space="preserve"> Report. </w:t>
            </w:r>
          </w:p>
          <w:p w:rsidR="004A14D7" w:rsidRPr="00FF4C0D" w:rsidRDefault="004A14D7">
            <w:pPr>
              <w:rPr>
                <w:sz w:val="20"/>
                <w:szCs w:val="20"/>
                <w:lang w:eastAsia="en-GB"/>
              </w:rPr>
            </w:pPr>
          </w:p>
          <w:p w:rsidR="004A14D7" w:rsidRPr="00FF4C0D" w:rsidRDefault="004A14D7">
            <w:pPr>
              <w:rPr>
                <w:sz w:val="20"/>
                <w:szCs w:val="20"/>
                <w:lang w:eastAsia="en-GB"/>
              </w:rPr>
            </w:pPr>
          </w:p>
          <w:p w:rsidR="004A14D7" w:rsidRPr="00FF4C0D" w:rsidRDefault="004A14D7">
            <w:pPr>
              <w:rPr>
                <w:sz w:val="20"/>
                <w:szCs w:val="20"/>
                <w:lang w:eastAsia="en-GB"/>
              </w:rPr>
            </w:pPr>
          </w:p>
          <w:p w:rsidR="004A14D7" w:rsidRPr="00FF4C0D" w:rsidRDefault="004A14D7">
            <w:pPr>
              <w:rPr>
                <w:sz w:val="20"/>
                <w:szCs w:val="20"/>
                <w:lang w:eastAsia="en-GB"/>
              </w:rPr>
            </w:pPr>
          </w:p>
          <w:p w:rsidR="002D5039" w:rsidRPr="00FF4C0D" w:rsidRDefault="002D5039">
            <w:pPr>
              <w:rPr>
                <w:sz w:val="20"/>
                <w:szCs w:val="20"/>
                <w:lang w:eastAsia="en-GB"/>
              </w:rPr>
            </w:pPr>
          </w:p>
          <w:p w:rsidR="004A14D7" w:rsidRPr="00FF4C0D" w:rsidRDefault="004A14D7">
            <w:pPr>
              <w:rPr>
                <w:sz w:val="20"/>
                <w:szCs w:val="20"/>
                <w:lang w:eastAsia="en-GB"/>
              </w:rPr>
            </w:pPr>
          </w:p>
          <w:p w:rsidR="004A14D7" w:rsidRPr="00FF4C0D" w:rsidRDefault="004A14D7">
            <w:pPr>
              <w:rPr>
                <w:sz w:val="20"/>
                <w:szCs w:val="20"/>
                <w:lang w:eastAsia="en-GB"/>
              </w:rPr>
            </w:pPr>
          </w:p>
          <w:p w:rsidR="00591415" w:rsidRPr="00FF4C0D" w:rsidRDefault="00591415">
            <w:pPr>
              <w:rPr>
                <w:sz w:val="20"/>
                <w:szCs w:val="20"/>
              </w:rPr>
            </w:pPr>
          </w:p>
          <w:p w:rsidR="002D5039" w:rsidRPr="00FF4C0D" w:rsidRDefault="002D5039">
            <w:pPr>
              <w:rPr>
                <w:sz w:val="20"/>
                <w:szCs w:val="20"/>
              </w:rPr>
            </w:pPr>
          </w:p>
          <w:p w:rsidR="00F74BFC" w:rsidRPr="00FF4C0D" w:rsidRDefault="00F74BFC">
            <w:pPr>
              <w:rPr>
                <w:sz w:val="20"/>
                <w:szCs w:val="20"/>
              </w:rPr>
            </w:pPr>
          </w:p>
          <w:p w:rsidR="00102BA7" w:rsidRPr="00FF4C0D" w:rsidRDefault="00102BA7">
            <w:pPr>
              <w:rPr>
                <w:sz w:val="20"/>
                <w:szCs w:val="20"/>
              </w:rPr>
            </w:pPr>
          </w:p>
          <w:p w:rsidR="00B8091B" w:rsidRPr="00FF4C0D" w:rsidRDefault="00B8091B">
            <w:pPr>
              <w:rPr>
                <w:sz w:val="20"/>
                <w:szCs w:val="20"/>
              </w:rPr>
            </w:pPr>
          </w:p>
          <w:p w:rsidR="0072065D" w:rsidRPr="00FF4C0D" w:rsidRDefault="0072065D">
            <w:pPr>
              <w:rPr>
                <w:sz w:val="20"/>
                <w:szCs w:val="20"/>
              </w:rPr>
            </w:pPr>
          </w:p>
          <w:p w:rsidR="004A14D7" w:rsidRPr="00FF4C0D" w:rsidRDefault="004A14D7" w:rsidP="002D5039">
            <w:pPr>
              <w:pStyle w:val="Table2"/>
              <w:rPr>
                <w:sz w:val="20"/>
                <w:lang w:eastAsia="en-GB"/>
              </w:rPr>
            </w:pPr>
            <w:r w:rsidRPr="00FF4C0D">
              <w:rPr>
                <w:sz w:val="20"/>
              </w:rPr>
              <w:t>FSANZ had selectively cited literature to suppor</w:t>
            </w:r>
            <w:r w:rsidR="002D5039" w:rsidRPr="00FF4C0D">
              <w:rPr>
                <w:sz w:val="20"/>
              </w:rPr>
              <w:t>t the safety and approval of the</w:t>
            </w:r>
            <w:r w:rsidRPr="00FF4C0D">
              <w:rPr>
                <w:sz w:val="20"/>
              </w:rPr>
              <w:t xml:space="preserve"> Application.</w:t>
            </w:r>
          </w:p>
          <w:p w:rsidR="004A14D7" w:rsidRPr="00FF4C0D" w:rsidRDefault="004A14D7" w:rsidP="002D5039">
            <w:pPr>
              <w:pStyle w:val="Table2"/>
              <w:rPr>
                <w:sz w:val="20"/>
                <w:lang w:eastAsia="en-GB"/>
              </w:rPr>
            </w:pPr>
          </w:p>
          <w:p w:rsidR="004A14D7" w:rsidRPr="00FF4C0D" w:rsidRDefault="004A14D7" w:rsidP="002D5039">
            <w:pPr>
              <w:pStyle w:val="Table2"/>
              <w:rPr>
                <w:sz w:val="20"/>
              </w:rPr>
            </w:pPr>
            <w:r w:rsidRPr="00FF4C0D">
              <w:rPr>
                <w:sz w:val="20"/>
              </w:rPr>
              <w:t>Prior approval</w:t>
            </w:r>
            <w:r w:rsidR="002D5039" w:rsidRPr="00FF4C0D">
              <w:rPr>
                <w:sz w:val="20"/>
              </w:rPr>
              <w:t xml:space="preserve"> of irradiated tropical fruits wa</w:t>
            </w:r>
            <w:r w:rsidRPr="00FF4C0D">
              <w:rPr>
                <w:sz w:val="20"/>
              </w:rPr>
              <w:t xml:space="preserve">s not a sound basis to assume that irradiated persimmons </w:t>
            </w:r>
            <w:r w:rsidR="002D5039" w:rsidRPr="00FF4C0D">
              <w:rPr>
                <w:sz w:val="20"/>
              </w:rPr>
              <w:t>we</w:t>
            </w:r>
            <w:r w:rsidRPr="00FF4C0D">
              <w:rPr>
                <w:sz w:val="20"/>
              </w:rPr>
              <w:t>re safe for consumers particularly without post-market surveillance</w:t>
            </w:r>
            <w:r w:rsidR="008E7939" w:rsidRPr="00FF4C0D">
              <w:rPr>
                <w:sz w:val="20"/>
              </w:rPr>
              <w:t xml:space="preserve"> of currently irradiated foods. </w:t>
            </w:r>
            <w:r w:rsidRPr="00FF4C0D">
              <w:rPr>
                <w:sz w:val="20"/>
              </w:rPr>
              <w:t>Food irradiation create</w:t>
            </w:r>
            <w:r w:rsidR="002D5039" w:rsidRPr="00FF4C0D">
              <w:rPr>
                <w:sz w:val="20"/>
              </w:rPr>
              <w:t>d</w:t>
            </w:r>
            <w:r w:rsidRPr="00FF4C0D">
              <w:rPr>
                <w:sz w:val="20"/>
              </w:rPr>
              <w:t xml:space="preserve"> toxic radiolytic substances, which do no</w:t>
            </w:r>
            <w:r w:rsidR="002D5039" w:rsidRPr="00FF4C0D">
              <w:rPr>
                <w:sz w:val="20"/>
              </w:rPr>
              <w:t>t exist in natural food. There wa</w:t>
            </w:r>
            <w:r w:rsidRPr="00FF4C0D">
              <w:rPr>
                <w:sz w:val="20"/>
              </w:rPr>
              <w:t>s extensive</w:t>
            </w:r>
            <w:r w:rsidR="002D5039" w:rsidRPr="00FF4C0D">
              <w:rPr>
                <w:sz w:val="20"/>
              </w:rPr>
              <w:t xml:space="preserve"> evidence that these compounds we</w:t>
            </w:r>
            <w:r w:rsidRPr="00FF4C0D">
              <w:rPr>
                <w:sz w:val="20"/>
              </w:rPr>
              <w:t xml:space="preserve">re harmful to human health and the European </w:t>
            </w:r>
            <w:r w:rsidR="002D5039" w:rsidRPr="00FF4C0D">
              <w:rPr>
                <w:sz w:val="20"/>
              </w:rPr>
              <w:t>Food Safety Authority (EFSA) had</w:t>
            </w:r>
            <w:r w:rsidRPr="00FF4C0D">
              <w:rPr>
                <w:sz w:val="20"/>
              </w:rPr>
              <w:t xml:space="preserve"> concluded that these compounds </w:t>
            </w:r>
            <w:r w:rsidR="002D5039" w:rsidRPr="00FF4C0D">
              <w:rPr>
                <w:sz w:val="20"/>
              </w:rPr>
              <w:t>we</w:t>
            </w:r>
            <w:r w:rsidRPr="00FF4C0D">
              <w:rPr>
                <w:sz w:val="20"/>
              </w:rPr>
              <w:t xml:space="preserve">re genotoxic. </w:t>
            </w:r>
          </w:p>
          <w:p w:rsidR="002D5039" w:rsidRPr="00FF4C0D" w:rsidRDefault="002D5039" w:rsidP="002D5039">
            <w:pPr>
              <w:pStyle w:val="Table2"/>
              <w:rPr>
                <w:lang w:eastAsia="en-GB"/>
              </w:rPr>
            </w:pPr>
          </w:p>
        </w:tc>
        <w:tc>
          <w:tcPr>
            <w:tcW w:w="4252" w:type="dxa"/>
            <w:tcBorders>
              <w:top w:val="single" w:sz="4" w:space="0" w:color="000000"/>
              <w:left w:val="single" w:sz="4" w:space="0" w:color="000000"/>
              <w:bottom w:val="single" w:sz="4" w:space="0" w:color="000000"/>
              <w:right w:val="single" w:sz="4" w:space="0" w:color="000000"/>
            </w:tcBorders>
          </w:tcPr>
          <w:p w:rsidR="004A14D7" w:rsidRPr="00FF4C0D" w:rsidRDefault="0072065D" w:rsidP="002D5039">
            <w:pPr>
              <w:pStyle w:val="Table2"/>
              <w:rPr>
                <w:sz w:val="20"/>
              </w:rPr>
            </w:pPr>
            <w:r w:rsidRPr="00FF4C0D">
              <w:rPr>
                <w:sz w:val="20"/>
              </w:rPr>
              <w:t>Pri</w:t>
            </w:r>
            <w:r w:rsidR="00CF406A" w:rsidRPr="00FF4C0D">
              <w:rPr>
                <w:sz w:val="20"/>
              </w:rPr>
              <w:t>vate individuals (</w:t>
            </w:r>
            <w:r w:rsidR="00C30AEB" w:rsidRPr="00FF4C0D">
              <w:rPr>
                <w:sz w:val="20"/>
              </w:rPr>
              <w:t xml:space="preserve">Dawn Joyce, </w:t>
            </w:r>
            <w:proofErr w:type="spellStart"/>
            <w:r w:rsidR="00AE1A70" w:rsidRPr="00FF4C0D">
              <w:rPr>
                <w:sz w:val="20"/>
              </w:rPr>
              <w:t>Renaee</w:t>
            </w:r>
            <w:proofErr w:type="spellEnd"/>
            <w:r w:rsidR="00AE1A70" w:rsidRPr="00FF4C0D">
              <w:rPr>
                <w:sz w:val="20"/>
              </w:rPr>
              <w:t xml:space="preserve"> Churches, </w:t>
            </w:r>
            <w:r w:rsidR="004A14D7" w:rsidRPr="00FF4C0D">
              <w:rPr>
                <w:sz w:val="20"/>
              </w:rPr>
              <w:t>E</w:t>
            </w:r>
            <w:r w:rsidR="00102BA7" w:rsidRPr="00FF4C0D">
              <w:rPr>
                <w:sz w:val="20"/>
              </w:rPr>
              <w:t>dward</w:t>
            </w:r>
            <w:r w:rsidR="004A14D7" w:rsidRPr="00FF4C0D">
              <w:rPr>
                <w:sz w:val="20"/>
              </w:rPr>
              <w:t xml:space="preserve"> </w:t>
            </w:r>
            <w:proofErr w:type="spellStart"/>
            <w:r w:rsidR="004A14D7" w:rsidRPr="00FF4C0D">
              <w:rPr>
                <w:sz w:val="20"/>
              </w:rPr>
              <w:t>H</w:t>
            </w:r>
            <w:r w:rsidR="00A0093D" w:rsidRPr="00FF4C0D">
              <w:rPr>
                <w:sz w:val="20"/>
              </w:rPr>
              <w:t>andcock</w:t>
            </w:r>
            <w:proofErr w:type="spellEnd"/>
            <w:r w:rsidR="00A0093D" w:rsidRPr="00FF4C0D">
              <w:rPr>
                <w:sz w:val="20"/>
              </w:rPr>
              <w:t>, Kerrie Fraser, Jack Ingr</w:t>
            </w:r>
            <w:r w:rsidR="004A14D7" w:rsidRPr="00FF4C0D">
              <w:rPr>
                <w:sz w:val="20"/>
              </w:rPr>
              <w:t>am, R Ward, J Phillips, Shirley Harris, J</w:t>
            </w:r>
            <w:r w:rsidR="00102BA7" w:rsidRPr="00FF4C0D">
              <w:rPr>
                <w:sz w:val="20"/>
              </w:rPr>
              <w:t>aime</w:t>
            </w:r>
            <w:r w:rsidR="004A14D7" w:rsidRPr="00FF4C0D">
              <w:rPr>
                <w:sz w:val="20"/>
              </w:rPr>
              <w:t xml:space="preserve"> Mejia, Lorraine Gurney, Wendy Flannery, Robert Brasher, Brent </w:t>
            </w:r>
            <w:proofErr w:type="spellStart"/>
            <w:r w:rsidR="004A14D7" w:rsidRPr="00FF4C0D">
              <w:rPr>
                <w:sz w:val="20"/>
              </w:rPr>
              <w:t>Wayling</w:t>
            </w:r>
            <w:proofErr w:type="spellEnd"/>
            <w:r w:rsidR="004A14D7" w:rsidRPr="00FF4C0D">
              <w:rPr>
                <w:sz w:val="20"/>
              </w:rPr>
              <w:t xml:space="preserve">, Nathan </w:t>
            </w:r>
            <w:proofErr w:type="spellStart"/>
            <w:r w:rsidR="004A14D7" w:rsidRPr="00FF4C0D">
              <w:rPr>
                <w:sz w:val="20"/>
              </w:rPr>
              <w:t>Hebbard</w:t>
            </w:r>
            <w:proofErr w:type="spellEnd"/>
            <w:r w:rsidR="004A14D7" w:rsidRPr="00FF4C0D">
              <w:rPr>
                <w:sz w:val="20"/>
              </w:rPr>
              <w:t>, G</w:t>
            </w:r>
            <w:r w:rsidR="00102BA7" w:rsidRPr="00FF4C0D">
              <w:rPr>
                <w:sz w:val="20"/>
              </w:rPr>
              <w:t>reg</w:t>
            </w:r>
            <w:r w:rsidR="004A14D7" w:rsidRPr="00FF4C0D">
              <w:rPr>
                <w:sz w:val="20"/>
              </w:rPr>
              <w:t xml:space="preserve"> Vail, Ivan </w:t>
            </w:r>
            <w:proofErr w:type="spellStart"/>
            <w:r w:rsidR="004A14D7" w:rsidRPr="00FF4C0D">
              <w:rPr>
                <w:sz w:val="20"/>
              </w:rPr>
              <w:t>Perger</w:t>
            </w:r>
            <w:proofErr w:type="spellEnd"/>
            <w:r w:rsidR="004A14D7" w:rsidRPr="00FF4C0D">
              <w:rPr>
                <w:sz w:val="20"/>
              </w:rPr>
              <w:t xml:space="preserve">, Heather </w:t>
            </w:r>
            <w:proofErr w:type="spellStart"/>
            <w:r w:rsidR="004A14D7" w:rsidRPr="00FF4C0D">
              <w:rPr>
                <w:sz w:val="20"/>
              </w:rPr>
              <w:t>Phelong</w:t>
            </w:r>
            <w:proofErr w:type="spellEnd"/>
            <w:r w:rsidR="004A14D7" w:rsidRPr="00FF4C0D">
              <w:rPr>
                <w:sz w:val="20"/>
              </w:rPr>
              <w:t xml:space="preserve">, Bronwyn </w:t>
            </w:r>
            <w:proofErr w:type="spellStart"/>
            <w:r w:rsidR="004A14D7" w:rsidRPr="00FF4C0D">
              <w:rPr>
                <w:sz w:val="20"/>
              </w:rPr>
              <w:t>Hancox</w:t>
            </w:r>
            <w:proofErr w:type="spellEnd"/>
            <w:r w:rsidR="004A14D7" w:rsidRPr="00FF4C0D">
              <w:rPr>
                <w:sz w:val="20"/>
              </w:rPr>
              <w:t xml:space="preserve">, David </w:t>
            </w:r>
            <w:proofErr w:type="spellStart"/>
            <w:r w:rsidR="004A14D7" w:rsidRPr="00FF4C0D">
              <w:rPr>
                <w:sz w:val="20"/>
              </w:rPr>
              <w:t>Hancox</w:t>
            </w:r>
            <w:proofErr w:type="spellEnd"/>
            <w:r w:rsidR="004A14D7" w:rsidRPr="00FF4C0D">
              <w:rPr>
                <w:sz w:val="20"/>
              </w:rPr>
              <w:t xml:space="preserve">, B </w:t>
            </w:r>
            <w:proofErr w:type="spellStart"/>
            <w:r w:rsidR="004A14D7" w:rsidRPr="00FF4C0D">
              <w:rPr>
                <w:sz w:val="20"/>
              </w:rPr>
              <w:t>Phelong</w:t>
            </w:r>
            <w:proofErr w:type="spellEnd"/>
            <w:r w:rsidR="004A14D7" w:rsidRPr="00FF4C0D">
              <w:rPr>
                <w:sz w:val="20"/>
              </w:rPr>
              <w:t xml:space="preserve">, </w:t>
            </w:r>
            <w:r w:rsidR="00102BA7" w:rsidRPr="00FF4C0D">
              <w:rPr>
                <w:sz w:val="20"/>
              </w:rPr>
              <w:t>Lucinda</w:t>
            </w:r>
            <w:r w:rsidR="004A14D7" w:rsidRPr="00FF4C0D">
              <w:rPr>
                <w:sz w:val="20"/>
              </w:rPr>
              <w:t xml:space="preserve"> </w:t>
            </w:r>
            <w:proofErr w:type="spellStart"/>
            <w:r w:rsidR="004A14D7" w:rsidRPr="00FF4C0D">
              <w:rPr>
                <w:sz w:val="20"/>
              </w:rPr>
              <w:t>Scarwn</w:t>
            </w:r>
            <w:proofErr w:type="spellEnd"/>
            <w:r w:rsidR="004A14D7" w:rsidRPr="00FF4C0D">
              <w:rPr>
                <w:sz w:val="20"/>
              </w:rPr>
              <w:t xml:space="preserve">, Andrew Hocking, Martin Oliver, Deborah Stacey, </w:t>
            </w:r>
            <w:proofErr w:type="spellStart"/>
            <w:r w:rsidR="004A14D7" w:rsidRPr="00FF4C0D">
              <w:rPr>
                <w:sz w:val="20"/>
              </w:rPr>
              <w:t>M</w:t>
            </w:r>
            <w:r w:rsidR="00E10514" w:rsidRPr="00FF4C0D">
              <w:rPr>
                <w:sz w:val="20"/>
              </w:rPr>
              <w:t>itsuo</w:t>
            </w:r>
            <w:proofErr w:type="spellEnd"/>
            <w:r w:rsidR="004A14D7" w:rsidRPr="00FF4C0D">
              <w:rPr>
                <w:sz w:val="20"/>
              </w:rPr>
              <w:t xml:space="preserve"> </w:t>
            </w:r>
            <w:proofErr w:type="spellStart"/>
            <w:r w:rsidR="004A14D7" w:rsidRPr="00FF4C0D">
              <w:rPr>
                <w:sz w:val="20"/>
              </w:rPr>
              <w:t>Languisa</w:t>
            </w:r>
            <w:proofErr w:type="spellEnd"/>
            <w:r w:rsidR="004A14D7" w:rsidRPr="00FF4C0D">
              <w:rPr>
                <w:sz w:val="20"/>
              </w:rPr>
              <w:t xml:space="preserve">, </w:t>
            </w:r>
            <w:proofErr w:type="spellStart"/>
            <w:r w:rsidR="004A14D7" w:rsidRPr="00FF4C0D">
              <w:rPr>
                <w:sz w:val="20"/>
              </w:rPr>
              <w:t>R</w:t>
            </w:r>
            <w:r w:rsidR="005E2F43" w:rsidRPr="00FF4C0D">
              <w:rPr>
                <w:sz w:val="20"/>
              </w:rPr>
              <w:t>aye</w:t>
            </w:r>
            <w:proofErr w:type="spellEnd"/>
            <w:r w:rsidR="004A14D7" w:rsidRPr="00FF4C0D">
              <w:rPr>
                <w:sz w:val="20"/>
              </w:rPr>
              <w:t xml:space="preserve"> Mitchell, R</w:t>
            </w:r>
            <w:r w:rsidR="00F74BFC" w:rsidRPr="00FF4C0D">
              <w:rPr>
                <w:sz w:val="20"/>
              </w:rPr>
              <w:t>osemarie</w:t>
            </w:r>
            <w:r w:rsidR="004A14D7" w:rsidRPr="00FF4C0D">
              <w:rPr>
                <w:sz w:val="20"/>
              </w:rPr>
              <w:t xml:space="preserve"> </w:t>
            </w:r>
            <w:proofErr w:type="spellStart"/>
            <w:r w:rsidR="004A14D7" w:rsidRPr="00FF4C0D">
              <w:rPr>
                <w:sz w:val="20"/>
              </w:rPr>
              <w:t>Severin</w:t>
            </w:r>
            <w:proofErr w:type="spellEnd"/>
            <w:r w:rsidR="004A14D7" w:rsidRPr="00FF4C0D">
              <w:rPr>
                <w:sz w:val="20"/>
              </w:rPr>
              <w:t xml:space="preserve">, Russell </w:t>
            </w:r>
            <w:proofErr w:type="spellStart"/>
            <w:r w:rsidR="004A14D7" w:rsidRPr="00FF4C0D">
              <w:rPr>
                <w:sz w:val="20"/>
              </w:rPr>
              <w:t>Seres</w:t>
            </w:r>
            <w:proofErr w:type="spellEnd"/>
            <w:r w:rsidR="004A14D7" w:rsidRPr="00FF4C0D">
              <w:rPr>
                <w:sz w:val="20"/>
              </w:rPr>
              <w:t>, Marcia George, Rachel Evans, Paul Brecht, Soni</w:t>
            </w:r>
            <w:r w:rsidR="00C30AEB" w:rsidRPr="00FF4C0D">
              <w:rPr>
                <w:sz w:val="20"/>
              </w:rPr>
              <w:t xml:space="preserve">a </w:t>
            </w:r>
            <w:proofErr w:type="spellStart"/>
            <w:r w:rsidR="00C30AEB" w:rsidRPr="00FF4C0D">
              <w:rPr>
                <w:sz w:val="20"/>
              </w:rPr>
              <w:t>Messinger</w:t>
            </w:r>
            <w:proofErr w:type="spellEnd"/>
            <w:r w:rsidR="00C30AEB" w:rsidRPr="00FF4C0D">
              <w:rPr>
                <w:sz w:val="20"/>
              </w:rPr>
              <w:t xml:space="preserve">, </w:t>
            </w:r>
            <w:proofErr w:type="spellStart"/>
            <w:r w:rsidR="00C30AEB" w:rsidRPr="00FF4C0D">
              <w:rPr>
                <w:sz w:val="20"/>
              </w:rPr>
              <w:t>Marika</w:t>
            </w:r>
            <w:proofErr w:type="spellEnd"/>
            <w:r w:rsidR="00C30AEB" w:rsidRPr="00FF4C0D">
              <w:rPr>
                <w:sz w:val="20"/>
              </w:rPr>
              <w:t xml:space="preserve"> </w:t>
            </w:r>
            <w:proofErr w:type="spellStart"/>
            <w:r w:rsidR="00C30AEB" w:rsidRPr="00FF4C0D">
              <w:rPr>
                <w:sz w:val="20"/>
              </w:rPr>
              <w:t>Kahle</w:t>
            </w:r>
            <w:proofErr w:type="spellEnd"/>
            <w:r w:rsidR="00C30AEB" w:rsidRPr="00FF4C0D">
              <w:rPr>
                <w:sz w:val="20"/>
              </w:rPr>
              <w:t xml:space="preserve">, Gloria </w:t>
            </w:r>
            <w:r w:rsidR="004A14D7" w:rsidRPr="00FF4C0D">
              <w:rPr>
                <w:sz w:val="20"/>
              </w:rPr>
              <w:t xml:space="preserve">Paterson, Karen Beaumont, Anna Clements, Sally Martin, </w:t>
            </w:r>
            <w:proofErr w:type="spellStart"/>
            <w:r w:rsidR="004A14D7" w:rsidRPr="00FF4C0D">
              <w:rPr>
                <w:sz w:val="20"/>
              </w:rPr>
              <w:t>Asa</w:t>
            </w:r>
            <w:proofErr w:type="spellEnd"/>
            <w:r w:rsidR="004A14D7" w:rsidRPr="00FF4C0D">
              <w:rPr>
                <w:sz w:val="20"/>
              </w:rPr>
              <w:t xml:space="preserve"> Mark, Hilary </w:t>
            </w:r>
            <w:proofErr w:type="spellStart"/>
            <w:r w:rsidR="004A14D7" w:rsidRPr="00FF4C0D">
              <w:rPr>
                <w:sz w:val="20"/>
              </w:rPr>
              <w:t>Baine</w:t>
            </w:r>
            <w:proofErr w:type="spellEnd"/>
            <w:r w:rsidR="004A14D7" w:rsidRPr="00FF4C0D">
              <w:rPr>
                <w:sz w:val="20"/>
              </w:rPr>
              <w:t xml:space="preserve">, Sonya Fletcher, Shelly Flynn, Jonathon </w:t>
            </w:r>
            <w:proofErr w:type="spellStart"/>
            <w:r w:rsidR="004A14D7" w:rsidRPr="00FF4C0D">
              <w:rPr>
                <w:sz w:val="20"/>
              </w:rPr>
              <w:t>Pipke</w:t>
            </w:r>
            <w:proofErr w:type="spellEnd"/>
            <w:r w:rsidR="004A14D7" w:rsidRPr="00FF4C0D">
              <w:rPr>
                <w:sz w:val="20"/>
              </w:rPr>
              <w:t xml:space="preserve">, Ruth </w:t>
            </w:r>
            <w:proofErr w:type="spellStart"/>
            <w:r w:rsidR="004A14D7" w:rsidRPr="00FF4C0D">
              <w:rPr>
                <w:sz w:val="20"/>
              </w:rPr>
              <w:t>Rendely</w:t>
            </w:r>
            <w:proofErr w:type="spellEnd"/>
            <w:r w:rsidR="004A14D7" w:rsidRPr="00FF4C0D">
              <w:rPr>
                <w:sz w:val="20"/>
              </w:rPr>
              <w:t xml:space="preserve">, Aleksandra </w:t>
            </w:r>
            <w:proofErr w:type="spellStart"/>
            <w:r w:rsidR="004A14D7" w:rsidRPr="00FF4C0D">
              <w:rPr>
                <w:sz w:val="20"/>
              </w:rPr>
              <w:t>Turjak</w:t>
            </w:r>
            <w:proofErr w:type="spellEnd"/>
            <w:r w:rsidR="004A14D7" w:rsidRPr="00FF4C0D">
              <w:rPr>
                <w:sz w:val="20"/>
              </w:rPr>
              <w:t xml:space="preserve">, Michael Slater, Fran </w:t>
            </w:r>
            <w:proofErr w:type="spellStart"/>
            <w:r w:rsidR="004A14D7" w:rsidRPr="00FF4C0D">
              <w:rPr>
                <w:sz w:val="20"/>
              </w:rPr>
              <w:t>Murrel</w:t>
            </w:r>
            <w:proofErr w:type="spellEnd"/>
            <w:r w:rsidR="004A14D7" w:rsidRPr="00FF4C0D">
              <w:rPr>
                <w:sz w:val="20"/>
              </w:rPr>
              <w:t xml:space="preserve">, Cathy Watson, Marie O’Connell, Gloria Paterson, Maria </w:t>
            </w:r>
            <w:proofErr w:type="spellStart"/>
            <w:r w:rsidR="004A14D7" w:rsidRPr="00FF4C0D">
              <w:rPr>
                <w:sz w:val="20"/>
              </w:rPr>
              <w:t>Roeckmann</w:t>
            </w:r>
            <w:proofErr w:type="spellEnd"/>
            <w:r w:rsidR="004A14D7" w:rsidRPr="00FF4C0D">
              <w:rPr>
                <w:sz w:val="20"/>
              </w:rPr>
              <w:t xml:space="preserve">, Toni McPherson, Kim Stewart, Jon Lamb, AR </w:t>
            </w:r>
            <w:proofErr w:type="spellStart"/>
            <w:r w:rsidR="004A14D7" w:rsidRPr="00FF4C0D">
              <w:rPr>
                <w:sz w:val="20"/>
              </w:rPr>
              <w:t>Wheadon</w:t>
            </w:r>
            <w:proofErr w:type="spellEnd"/>
            <w:r w:rsidR="004A14D7" w:rsidRPr="00FF4C0D">
              <w:rPr>
                <w:sz w:val="20"/>
              </w:rPr>
              <w:t>, Norm</w:t>
            </w:r>
            <w:r w:rsidR="00C30AEB" w:rsidRPr="00FF4C0D">
              <w:rPr>
                <w:sz w:val="20"/>
              </w:rPr>
              <w:t xml:space="preserve">a Forrest, Annette </w:t>
            </w:r>
            <w:proofErr w:type="spellStart"/>
            <w:r w:rsidR="00C30AEB" w:rsidRPr="00FF4C0D">
              <w:rPr>
                <w:sz w:val="20"/>
              </w:rPr>
              <w:t>Brownlie</w:t>
            </w:r>
            <w:proofErr w:type="spellEnd"/>
            <w:r w:rsidR="00C30AEB" w:rsidRPr="00FF4C0D">
              <w:rPr>
                <w:sz w:val="20"/>
              </w:rPr>
              <w:t xml:space="preserve">, </w:t>
            </w:r>
            <w:r w:rsidR="00F74BFC" w:rsidRPr="00FF4C0D">
              <w:rPr>
                <w:sz w:val="20"/>
              </w:rPr>
              <w:t xml:space="preserve">Elizabeth Borland, Hans-Peter </w:t>
            </w:r>
            <w:proofErr w:type="spellStart"/>
            <w:r w:rsidR="00F74BFC" w:rsidRPr="00FF4C0D">
              <w:rPr>
                <w:sz w:val="20"/>
              </w:rPr>
              <w:t>Schnelboegl</w:t>
            </w:r>
            <w:proofErr w:type="spellEnd"/>
            <w:r w:rsidR="00F74BFC" w:rsidRPr="00FF4C0D">
              <w:rPr>
                <w:sz w:val="20"/>
              </w:rPr>
              <w:t xml:space="preserve">, Erica </w:t>
            </w:r>
            <w:proofErr w:type="spellStart"/>
            <w:r w:rsidR="00F74BFC" w:rsidRPr="00FF4C0D">
              <w:rPr>
                <w:sz w:val="20"/>
              </w:rPr>
              <w:t>Hedberg</w:t>
            </w:r>
            <w:proofErr w:type="spellEnd"/>
            <w:r w:rsidR="00F74BFC" w:rsidRPr="00FF4C0D">
              <w:rPr>
                <w:sz w:val="20"/>
              </w:rPr>
              <w:t xml:space="preserve">, Tania Cummings, </w:t>
            </w:r>
            <w:r w:rsidR="00F74BFC" w:rsidRPr="00FF4C0D">
              <w:rPr>
                <w:rFonts w:eastAsiaTheme="minorHAnsi"/>
                <w:sz w:val="20"/>
              </w:rPr>
              <w:t>Mr Arnold Ward</w:t>
            </w:r>
            <w:r w:rsidR="00CF406A" w:rsidRPr="00FF4C0D">
              <w:rPr>
                <w:rFonts w:eastAsiaTheme="minorHAnsi"/>
                <w:sz w:val="20"/>
              </w:rPr>
              <w:t>)</w:t>
            </w:r>
            <w:r w:rsidR="00F74BFC" w:rsidRPr="00FF4C0D">
              <w:rPr>
                <w:sz w:val="20"/>
              </w:rPr>
              <w:t xml:space="preserve">; </w:t>
            </w:r>
            <w:r w:rsidR="004A14D7" w:rsidRPr="00FF4C0D">
              <w:rPr>
                <w:sz w:val="20"/>
              </w:rPr>
              <w:t>Sustainable Agriculture and Communities Alliance Inc.; Gene Ethics</w:t>
            </w:r>
            <w:r w:rsidR="00D563B6" w:rsidRPr="00FF4C0D">
              <w:rPr>
                <w:sz w:val="20"/>
              </w:rPr>
              <w:t xml:space="preserve"> Netw</w:t>
            </w:r>
            <w:r w:rsidR="00970D01" w:rsidRPr="00FF4C0D">
              <w:rPr>
                <w:sz w:val="20"/>
              </w:rPr>
              <w:t>or</w:t>
            </w:r>
            <w:r w:rsidR="00D563B6" w:rsidRPr="00FF4C0D">
              <w:rPr>
                <w:sz w:val="20"/>
              </w:rPr>
              <w:t>k</w:t>
            </w:r>
            <w:r w:rsidR="004A14D7" w:rsidRPr="00FF4C0D">
              <w:rPr>
                <w:sz w:val="20"/>
              </w:rPr>
              <w:t>; Food Irradiati</w:t>
            </w:r>
            <w:r w:rsidR="00F74BFC" w:rsidRPr="00FF4C0D">
              <w:rPr>
                <w:sz w:val="20"/>
              </w:rPr>
              <w:t xml:space="preserve">on Watch; Food and Water Watch. </w:t>
            </w:r>
          </w:p>
          <w:p w:rsidR="004B6C8C" w:rsidRPr="00FF4C0D" w:rsidRDefault="004B6C8C" w:rsidP="002D5039">
            <w:pPr>
              <w:pStyle w:val="Table2"/>
              <w:rPr>
                <w:sz w:val="20"/>
              </w:rPr>
            </w:pPr>
          </w:p>
          <w:p w:rsidR="004A14D7" w:rsidRPr="00FF4C0D" w:rsidRDefault="002D5039" w:rsidP="002D5039">
            <w:pPr>
              <w:pStyle w:val="Table2"/>
              <w:rPr>
                <w:sz w:val="20"/>
              </w:rPr>
            </w:pPr>
            <w:r w:rsidRPr="00FF4C0D">
              <w:rPr>
                <w:sz w:val="20"/>
              </w:rPr>
              <w:t>Gene</w:t>
            </w:r>
            <w:r w:rsidR="004A14D7" w:rsidRPr="00FF4C0D">
              <w:rPr>
                <w:sz w:val="20"/>
              </w:rPr>
              <w:t>Ethics</w:t>
            </w:r>
            <w:r w:rsidR="00D563B6" w:rsidRPr="00FF4C0D">
              <w:rPr>
                <w:sz w:val="20"/>
              </w:rPr>
              <w:t xml:space="preserve"> Network</w:t>
            </w:r>
          </w:p>
          <w:p w:rsidR="004A14D7" w:rsidRPr="00FF4C0D" w:rsidRDefault="004A14D7" w:rsidP="002D5039">
            <w:pPr>
              <w:pStyle w:val="Table2"/>
              <w:rPr>
                <w:sz w:val="20"/>
              </w:rPr>
            </w:pPr>
          </w:p>
          <w:p w:rsidR="004A14D7" w:rsidRPr="00FF4C0D" w:rsidRDefault="004A14D7" w:rsidP="002D5039">
            <w:pPr>
              <w:pStyle w:val="Table2"/>
              <w:rPr>
                <w:rFonts w:eastAsiaTheme="minorHAnsi"/>
                <w:sz w:val="20"/>
              </w:rPr>
            </w:pPr>
          </w:p>
          <w:p w:rsidR="004A14D7" w:rsidRPr="00FF4C0D" w:rsidRDefault="004A14D7" w:rsidP="002D5039">
            <w:pPr>
              <w:pStyle w:val="Table2"/>
              <w:rPr>
                <w:rFonts w:eastAsiaTheme="minorHAnsi"/>
                <w:sz w:val="20"/>
              </w:rPr>
            </w:pPr>
            <w:r w:rsidRPr="00FF4C0D">
              <w:rPr>
                <w:sz w:val="20"/>
              </w:rPr>
              <w:t>Food Irradiation Watch</w:t>
            </w:r>
          </w:p>
          <w:p w:rsidR="004A14D7" w:rsidRPr="00FF4C0D" w:rsidRDefault="004A14D7" w:rsidP="002D5039">
            <w:pPr>
              <w:pStyle w:val="Table2"/>
              <w:rPr>
                <w:rFonts w:eastAsiaTheme="minorHAnsi"/>
                <w:sz w:val="20"/>
              </w:rPr>
            </w:pPr>
          </w:p>
          <w:p w:rsidR="004A14D7" w:rsidRPr="00FF4C0D" w:rsidRDefault="004A14D7">
            <w:pPr>
              <w:pStyle w:val="Table2"/>
              <w:ind w:left="0" w:firstLine="0"/>
              <w:rPr>
                <w:rFonts w:eastAsiaTheme="minorHAnsi"/>
                <w:sz w:val="20"/>
              </w:rPr>
            </w:pPr>
          </w:p>
          <w:p w:rsidR="004A14D7" w:rsidRPr="00FF4C0D" w:rsidRDefault="004A14D7">
            <w:pPr>
              <w:pStyle w:val="Table2"/>
              <w:ind w:left="0" w:firstLine="0"/>
              <w:rPr>
                <w:rFonts w:eastAsiaTheme="minorHAnsi"/>
                <w:sz w:val="20"/>
              </w:rPr>
            </w:pPr>
          </w:p>
          <w:p w:rsidR="004A14D7" w:rsidRPr="00FF4C0D" w:rsidRDefault="004A14D7">
            <w:pPr>
              <w:pStyle w:val="Table2"/>
              <w:ind w:left="0" w:firstLine="0"/>
              <w:rPr>
                <w:rFonts w:eastAsiaTheme="minorHAnsi"/>
                <w:sz w:val="20"/>
              </w:rPr>
            </w:pPr>
          </w:p>
          <w:p w:rsidR="004A14D7" w:rsidRPr="00FF4C0D" w:rsidRDefault="004A14D7">
            <w:pPr>
              <w:pStyle w:val="Table2"/>
              <w:ind w:left="0" w:firstLine="0"/>
              <w:rPr>
                <w:sz w:val="20"/>
              </w:rPr>
            </w:pPr>
          </w:p>
          <w:p w:rsidR="004A14D7" w:rsidRPr="00FF4C0D" w:rsidRDefault="004A14D7">
            <w:pPr>
              <w:pStyle w:val="Table2"/>
              <w:ind w:left="0" w:firstLine="0"/>
              <w:rPr>
                <w:sz w:val="20"/>
              </w:rPr>
            </w:pPr>
          </w:p>
          <w:p w:rsidR="004A14D7" w:rsidRPr="00FF4C0D" w:rsidRDefault="004A14D7">
            <w:pPr>
              <w:pStyle w:val="Table2"/>
              <w:ind w:left="0" w:firstLine="0"/>
              <w:rPr>
                <w:rFonts w:eastAsiaTheme="minorHAnsi"/>
                <w:sz w:val="20"/>
              </w:rPr>
            </w:pPr>
          </w:p>
        </w:tc>
      </w:tr>
      <w:tr w:rsidR="004A14D7" w:rsidRPr="00FF4C0D" w:rsidTr="00C55182">
        <w:trPr>
          <w:cantSplit/>
        </w:trPr>
        <w:tc>
          <w:tcPr>
            <w:tcW w:w="5671" w:type="dxa"/>
            <w:tcBorders>
              <w:top w:val="single" w:sz="4" w:space="0" w:color="000000"/>
              <w:left w:val="single" w:sz="4" w:space="0" w:color="000000"/>
              <w:bottom w:val="single" w:sz="4" w:space="0" w:color="000000"/>
              <w:right w:val="single" w:sz="4" w:space="0" w:color="000000"/>
            </w:tcBorders>
          </w:tcPr>
          <w:p w:rsidR="003505B3" w:rsidRPr="00FF4C0D" w:rsidRDefault="004A14D7" w:rsidP="003505B3">
            <w:pPr>
              <w:pStyle w:val="Table2"/>
              <w:ind w:left="0" w:firstLine="0"/>
              <w:rPr>
                <w:rFonts w:eastAsiaTheme="minorHAnsi"/>
                <w:b/>
                <w:sz w:val="20"/>
              </w:rPr>
            </w:pPr>
            <w:r w:rsidRPr="00FF4C0D">
              <w:rPr>
                <w:rFonts w:eastAsiaTheme="minorHAnsi"/>
                <w:b/>
                <w:sz w:val="20"/>
              </w:rPr>
              <w:lastRenderedPageBreak/>
              <w:t>Labelling of irradiated foods</w:t>
            </w:r>
            <w:r w:rsidR="007869D9" w:rsidRPr="00FF4C0D">
              <w:rPr>
                <w:rFonts w:eastAsiaTheme="minorHAnsi"/>
                <w:b/>
                <w:sz w:val="20"/>
              </w:rPr>
              <w:t xml:space="preserve"> (see section 6</w:t>
            </w:r>
            <w:r w:rsidR="003505B3" w:rsidRPr="00FF4C0D">
              <w:rPr>
                <w:rFonts w:eastAsiaTheme="minorHAnsi"/>
                <w:b/>
                <w:sz w:val="20"/>
              </w:rPr>
              <w:t>.5)</w:t>
            </w:r>
          </w:p>
          <w:p w:rsidR="004A14D7" w:rsidRPr="00FF4C0D" w:rsidRDefault="004A14D7" w:rsidP="002D5039">
            <w:pPr>
              <w:pStyle w:val="Table2"/>
              <w:rPr>
                <w:rFonts w:eastAsiaTheme="minorHAnsi"/>
                <w:sz w:val="20"/>
              </w:rPr>
            </w:pPr>
          </w:p>
          <w:p w:rsidR="004A14D7" w:rsidRPr="00FF4C0D" w:rsidRDefault="004A14D7" w:rsidP="002D5039">
            <w:pPr>
              <w:pStyle w:val="Table2"/>
              <w:rPr>
                <w:sz w:val="20"/>
                <w:lang w:eastAsia="en-GB"/>
              </w:rPr>
            </w:pPr>
            <w:r w:rsidRPr="00FF4C0D">
              <w:rPr>
                <w:rFonts w:eastAsiaTheme="minorHAnsi"/>
                <w:sz w:val="20"/>
              </w:rPr>
              <w:t>I</w:t>
            </w:r>
            <w:r w:rsidR="002D5039" w:rsidRPr="00FF4C0D">
              <w:rPr>
                <w:sz w:val="20"/>
              </w:rPr>
              <w:t xml:space="preserve">ssues relating </w:t>
            </w:r>
            <w:r w:rsidRPr="00FF4C0D">
              <w:rPr>
                <w:sz w:val="20"/>
              </w:rPr>
              <w:t xml:space="preserve">to adequacy and legibility of current labelling requirements for irradiated foods; concerns that individual fruits </w:t>
            </w:r>
            <w:r w:rsidR="002D5039" w:rsidRPr="00FF4C0D">
              <w:rPr>
                <w:sz w:val="20"/>
              </w:rPr>
              <w:t>we</w:t>
            </w:r>
            <w:r w:rsidRPr="00FF4C0D">
              <w:rPr>
                <w:sz w:val="20"/>
              </w:rPr>
              <w:t xml:space="preserve">re not labelled and that labelling would be removed as a requirement in Standard 1.5.3 (either in the current </w:t>
            </w:r>
            <w:r w:rsidR="002D5039" w:rsidRPr="00FF4C0D">
              <w:rPr>
                <w:sz w:val="20"/>
              </w:rPr>
              <w:t>S</w:t>
            </w:r>
            <w:r w:rsidRPr="00FF4C0D">
              <w:rPr>
                <w:sz w:val="20"/>
              </w:rPr>
              <w:t xml:space="preserve">tandard or under the Review of Food Labelling Law and Policy) and the lack of enforcement of labelling. </w:t>
            </w:r>
          </w:p>
          <w:p w:rsidR="004A14D7" w:rsidRPr="00FF4C0D" w:rsidRDefault="004A14D7" w:rsidP="002D5039">
            <w:pPr>
              <w:pStyle w:val="Table2"/>
              <w:rPr>
                <w:sz w:val="20"/>
                <w:lang w:eastAsia="en-GB"/>
              </w:rPr>
            </w:pPr>
          </w:p>
          <w:p w:rsidR="004A14D7" w:rsidRPr="00FF4C0D" w:rsidRDefault="004A14D7" w:rsidP="002D5039">
            <w:pPr>
              <w:pStyle w:val="Table2"/>
              <w:rPr>
                <w:rFonts w:eastAsiaTheme="minorHAnsi"/>
                <w:sz w:val="20"/>
              </w:rPr>
            </w:pPr>
            <w:r w:rsidRPr="00FF4C0D">
              <w:rPr>
                <w:sz w:val="20"/>
              </w:rPr>
              <w:t xml:space="preserve">FSANZ should prohibit use of the term ‘treated with ionising electrons; mandate the labelling of individual fruits; remove positive labelling and prohibit the radura symbol as it has been designed to lead consumers to believe that irradiation is clean and green. The labelling statements ‘Irradiated’, ‘Treated with radiation’, ‘Treated with (or by) irradiation’, ‘Irradiated with electrons’ or ‘Irradiated with X-rays’ should be prescribed. </w:t>
            </w:r>
            <w:r w:rsidRPr="00FF4C0D">
              <w:rPr>
                <w:rFonts w:eastAsiaTheme="minorHAnsi"/>
                <w:sz w:val="20"/>
              </w:rPr>
              <w:t xml:space="preserve">Concerned </w:t>
            </w:r>
            <w:r w:rsidR="002D5039" w:rsidRPr="00FF4C0D">
              <w:rPr>
                <w:rFonts w:eastAsiaTheme="minorHAnsi"/>
                <w:sz w:val="20"/>
              </w:rPr>
              <w:t>with</w:t>
            </w:r>
            <w:r w:rsidRPr="00FF4C0D">
              <w:rPr>
                <w:rFonts w:eastAsiaTheme="minorHAnsi"/>
                <w:sz w:val="20"/>
              </w:rPr>
              <w:t xml:space="preserve"> the changes to the label</w:t>
            </w:r>
            <w:r w:rsidR="002D5039" w:rsidRPr="00FF4C0D">
              <w:rPr>
                <w:rFonts w:eastAsiaTheme="minorHAnsi"/>
                <w:sz w:val="20"/>
              </w:rPr>
              <w:t>ling of irradiated foods which we</w:t>
            </w:r>
            <w:r w:rsidRPr="00FF4C0D">
              <w:rPr>
                <w:rFonts w:eastAsiaTheme="minorHAnsi"/>
                <w:sz w:val="20"/>
              </w:rPr>
              <w:t>re not related to the Application.</w:t>
            </w:r>
          </w:p>
          <w:p w:rsidR="002D5039" w:rsidRPr="00FF4C0D" w:rsidRDefault="002D5039" w:rsidP="002D5039">
            <w:pPr>
              <w:pStyle w:val="Table2"/>
              <w:rPr>
                <w:lang w:eastAsia="en-GB"/>
              </w:rPr>
            </w:pPr>
          </w:p>
        </w:tc>
        <w:tc>
          <w:tcPr>
            <w:tcW w:w="4252" w:type="dxa"/>
            <w:tcBorders>
              <w:top w:val="single" w:sz="4" w:space="0" w:color="000000"/>
              <w:left w:val="single" w:sz="4" w:space="0" w:color="000000"/>
              <w:bottom w:val="single" w:sz="4" w:space="0" w:color="000000"/>
              <w:right w:val="single" w:sz="4" w:space="0" w:color="000000"/>
            </w:tcBorders>
          </w:tcPr>
          <w:p w:rsidR="004A14D7" w:rsidRPr="00FF4C0D" w:rsidRDefault="004A14D7">
            <w:pPr>
              <w:pStyle w:val="Table2"/>
              <w:ind w:left="0" w:firstLine="0"/>
              <w:rPr>
                <w:sz w:val="20"/>
              </w:rPr>
            </w:pPr>
          </w:p>
          <w:p w:rsidR="003505B3" w:rsidRPr="00FF4C0D" w:rsidRDefault="003505B3" w:rsidP="002D5039">
            <w:pPr>
              <w:pStyle w:val="Table2"/>
              <w:rPr>
                <w:sz w:val="20"/>
              </w:rPr>
            </w:pPr>
          </w:p>
          <w:p w:rsidR="004A14D7" w:rsidRPr="00FF4C0D" w:rsidRDefault="004A14D7" w:rsidP="002D5039">
            <w:pPr>
              <w:pStyle w:val="Table2"/>
              <w:rPr>
                <w:sz w:val="20"/>
              </w:rPr>
            </w:pPr>
            <w:r w:rsidRPr="00FF4C0D">
              <w:rPr>
                <w:sz w:val="20"/>
              </w:rPr>
              <w:t>Private individuals, Food Irradiation Watch, the Sustainable Agriculture and Communities Alliance Inc, Food and Water Watch and the Gene Ethics</w:t>
            </w:r>
          </w:p>
          <w:p w:rsidR="004A14D7" w:rsidRPr="00FF4C0D" w:rsidRDefault="004A14D7" w:rsidP="002D5039">
            <w:pPr>
              <w:pStyle w:val="Table2"/>
              <w:rPr>
                <w:sz w:val="20"/>
              </w:rPr>
            </w:pPr>
          </w:p>
          <w:p w:rsidR="004A14D7" w:rsidRPr="00FF4C0D" w:rsidRDefault="004A14D7" w:rsidP="002D5039">
            <w:pPr>
              <w:pStyle w:val="Table2"/>
              <w:rPr>
                <w:sz w:val="20"/>
              </w:rPr>
            </w:pPr>
          </w:p>
          <w:p w:rsidR="004A14D7" w:rsidRPr="00FF4C0D" w:rsidRDefault="004A14D7" w:rsidP="002D5039">
            <w:pPr>
              <w:pStyle w:val="Table2"/>
              <w:rPr>
                <w:sz w:val="20"/>
              </w:rPr>
            </w:pPr>
          </w:p>
          <w:p w:rsidR="00D016BD" w:rsidRPr="00FF4C0D" w:rsidRDefault="00D016BD" w:rsidP="002D5039">
            <w:pPr>
              <w:pStyle w:val="Table2"/>
              <w:rPr>
                <w:sz w:val="20"/>
              </w:rPr>
            </w:pPr>
          </w:p>
          <w:p w:rsidR="004A14D7" w:rsidRPr="00FF4C0D" w:rsidRDefault="004A14D7" w:rsidP="002D5039">
            <w:pPr>
              <w:pStyle w:val="Table2"/>
              <w:rPr>
                <w:lang w:val="en-AU" w:bidi="ar-SA"/>
              </w:rPr>
            </w:pPr>
            <w:r w:rsidRPr="00FF4C0D">
              <w:rPr>
                <w:sz w:val="20"/>
              </w:rPr>
              <w:t xml:space="preserve">Food Irradiation Watch, Food and Water Watch and </w:t>
            </w:r>
            <w:r w:rsidR="002D5039" w:rsidRPr="00FF4C0D">
              <w:rPr>
                <w:sz w:val="20"/>
              </w:rPr>
              <w:t>Gene</w:t>
            </w:r>
            <w:r w:rsidR="00D563B6" w:rsidRPr="00FF4C0D">
              <w:rPr>
                <w:sz w:val="20"/>
              </w:rPr>
              <w:t>Ethics Network</w:t>
            </w:r>
          </w:p>
        </w:tc>
      </w:tr>
      <w:tr w:rsidR="004A14D7" w:rsidRPr="00FF4C0D" w:rsidTr="00C55182">
        <w:tc>
          <w:tcPr>
            <w:tcW w:w="5671" w:type="dxa"/>
            <w:tcBorders>
              <w:top w:val="single" w:sz="4" w:space="0" w:color="000000"/>
              <w:left w:val="single" w:sz="4" w:space="0" w:color="000000"/>
              <w:bottom w:val="single" w:sz="4" w:space="0" w:color="000000"/>
              <w:right w:val="single" w:sz="4" w:space="0" w:color="000000"/>
            </w:tcBorders>
          </w:tcPr>
          <w:p w:rsidR="004A14D7" w:rsidRPr="00FF4C0D" w:rsidRDefault="004A14D7">
            <w:pPr>
              <w:widowControl/>
              <w:rPr>
                <w:b/>
                <w:sz w:val="20"/>
                <w:szCs w:val="20"/>
              </w:rPr>
            </w:pPr>
            <w:r w:rsidRPr="00FF4C0D">
              <w:rPr>
                <w:b/>
                <w:sz w:val="20"/>
                <w:szCs w:val="20"/>
              </w:rPr>
              <w:t>Other general issues</w:t>
            </w:r>
            <w:r w:rsidR="007869D9" w:rsidRPr="00FF4C0D">
              <w:rPr>
                <w:b/>
                <w:sz w:val="20"/>
                <w:szCs w:val="20"/>
              </w:rPr>
              <w:t xml:space="preserve"> (see sections 6.1</w:t>
            </w:r>
            <w:r w:rsidR="009D284E" w:rsidRPr="00FF4C0D">
              <w:rPr>
                <w:b/>
                <w:sz w:val="20"/>
                <w:szCs w:val="20"/>
              </w:rPr>
              <w:t xml:space="preserve">, 6.3, </w:t>
            </w:r>
            <w:r w:rsidR="00C6220E" w:rsidRPr="00FF4C0D">
              <w:rPr>
                <w:b/>
                <w:sz w:val="20"/>
                <w:szCs w:val="20"/>
              </w:rPr>
              <w:t xml:space="preserve">6.4, </w:t>
            </w:r>
            <w:r w:rsidR="009D284E" w:rsidRPr="00FF4C0D">
              <w:rPr>
                <w:b/>
                <w:sz w:val="20"/>
                <w:szCs w:val="20"/>
              </w:rPr>
              <w:t>7.6</w:t>
            </w:r>
            <w:r w:rsidR="007869D9" w:rsidRPr="00FF4C0D">
              <w:rPr>
                <w:b/>
                <w:sz w:val="20"/>
                <w:szCs w:val="20"/>
              </w:rPr>
              <w:t xml:space="preserve"> and 9.2</w:t>
            </w:r>
            <w:r w:rsidR="003505B3" w:rsidRPr="00FF4C0D">
              <w:rPr>
                <w:b/>
                <w:sz w:val="20"/>
                <w:szCs w:val="20"/>
              </w:rPr>
              <w:t xml:space="preserve">) </w:t>
            </w:r>
          </w:p>
          <w:p w:rsidR="004A14D7" w:rsidRPr="00FF4C0D" w:rsidRDefault="004A14D7" w:rsidP="002D5039">
            <w:pPr>
              <w:pStyle w:val="Table2"/>
              <w:rPr>
                <w:sz w:val="20"/>
                <w:lang w:eastAsia="en-GB"/>
              </w:rPr>
            </w:pPr>
          </w:p>
          <w:p w:rsidR="004A14D7" w:rsidRPr="00FF4C0D" w:rsidRDefault="004A14D7" w:rsidP="002D5039">
            <w:pPr>
              <w:pStyle w:val="Table2"/>
              <w:rPr>
                <w:sz w:val="20"/>
              </w:rPr>
            </w:pPr>
            <w:r w:rsidRPr="00FF4C0D">
              <w:rPr>
                <w:sz w:val="20"/>
              </w:rPr>
              <w:t xml:space="preserve">Issues </w:t>
            </w:r>
            <w:r w:rsidR="00E353AE" w:rsidRPr="00FF4C0D">
              <w:rPr>
                <w:sz w:val="20"/>
              </w:rPr>
              <w:t>relating</w:t>
            </w:r>
            <w:r w:rsidR="002D5039" w:rsidRPr="00FF4C0D">
              <w:rPr>
                <w:sz w:val="20"/>
              </w:rPr>
              <w:t xml:space="preserve"> </w:t>
            </w:r>
            <w:r w:rsidRPr="00FF4C0D">
              <w:rPr>
                <w:sz w:val="20"/>
              </w:rPr>
              <w:t xml:space="preserve">to the lack of an established technological need to irradiate persimmons; </w:t>
            </w:r>
            <w:r w:rsidR="009D284E" w:rsidRPr="00FF4C0D">
              <w:rPr>
                <w:sz w:val="20"/>
              </w:rPr>
              <w:t xml:space="preserve">general concerns </w:t>
            </w:r>
            <w:r w:rsidR="002D5039" w:rsidRPr="00FF4C0D">
              <w:rPr>
                <w:sz w:val="20"/>
              </w:rPr>
              <w:t>with</w:t>
            </w:r>
            <w:r w:rsidR="009D284E" w:rsidRPr="00FF4C0D">
              <w:rPr>
                <w:sz w:val="20"/>
              </w:rPr>
              <w:t xml:space="preserve"> the safety of irradiation </w:t>
            </w:r>
            <w:r w:rsidR="00E353AE" w:rsidRPr="00FF4C0D">
              <w:rPr>
                <w:sz w:val="20"/>
              </w:rPr>
              <w:t>facilities, the</w:t>
            </w:r>
            <w:r w:rsidR="009D284E" w:rsidRPr="00FF4C0D">
              <w:rPr>
                <w:sz w:val="20"/>
              </w:rPr>
              <w:t xml:space="preserve"> transport of radioisotopes</w:t>
            </w:r>
            <w:r w:rsidR="002D5039" w:rsidRPr="00FF4C0D">
              <w:rPr>
                <w:sz w:val="20"/>
              </w:rPr>
              <w:t xml:space="preserve"> and </w:t>
            </w:r>
            <w:r w:rsidR="009D284E" w:rsidRPr="00FF4C0D">
              <w:rPr>
                <w:sz w:val="20"/>
              </w:rPr>
              <w:t xml:space="preserve">the lack of a method of detection for irradiated foods; </w:t>
            </w:r>
            <w:r w:rsidRPr="00FF4C0D">
              <w:rPr>
                <w:sz w:val="20"/>
              </w:rPr>
              <w:t xml:space="preserve">approval of persimmons may damage Australia’s reputation as a producer of clean, healthy and pure </w:t>
            </w:r>
            <w:r w:rsidR="009D284E" w:rsidRPr="00FF4C0D">
              <w:rPr>
                <w:sz w:val="20"/>
              </w:rPr>
              <w:t>foods; and the</w:t>
            </w:r>
            <w:r w:rsidRPr="00FF4C0D">
              <w:rPr>
                <w:sz w:val="20"/>
              </w:rPr>
              <w:t xml:space="preserve"> commercial and economic benefits of irradiated persimmons are unsubstantiated</w:t>
            </w:r>
            <w:r w:rsidR="009D284E" w:rsidRPr="00FF4C0D">
              <w:rPr>
                <w:sz w:val="20"/>
              </w:rPr>
              <w:t xml:space="preserve">. </w:t>
            </w:r>
          </w:p>
          <w:p w:rsidR="002D5039" w:rsidRPr="00FF4C0D" w:rsidRDefault="002D5039" w:rsidP="002D5039">
            <w:pPr>
              <w:pStyle w:val="Table2"/>
              <w:rPr>
                <w:lang w:eastAsia="en-GB"/>
              </w:rPr>
            </w:pPr>
          </w:p>
        </w:tc>
        <w:tc>
          <w:tcPr>
            <w:tcW w:w="4252" w:type="dxa"/>
            <w:tcBorders>
              <w:top w:val="single" w:sz="4" w:space="0" w:color="000000"/>
              <w:left w:val="single" w:sz="4" w:space="0" w:color="000000"/>
              <w:bottom w:val="single" w:sz="4" w:space="0" w:color="000000"/>
              <w:right w:val="single" w:sz="4" w:space="0" w:color="000000"/>
            </w:tcBorders>
          </w:tcPr>
          <w:p w:rsidR="004A14D7" w:rsidRPr="00FF4C0D" w:rsidRDefault="004A14D7" w:rsidP="002D5039">
            <w:pPr>
              <w:pStyle w:val="Table2"/>
              <w:rPr>
                <w:sz w:val="20"/>
              </w:rPr>
            </w:pPr>
          </w:p>
          <w:p w:rsidR="004A14D7" w:rsidRPr="00FF4C0D" w:rsidRDefault="004A14D7" w:rsidP="002D5039">
            <w:pPr>
              <w:pStyle w:val="Table2"/>
              <w:rPr>
                <w:sz w:val="20"/>
              </w:rPr>
            </w:pPr>
          </w:p>
          <w:p w:rsidR="003505B3" w:rsidRPr="00FF4C0D" w:rsidRDefault="003505B3" w:rsidP="002D5039">
            <w:pPr>
              <w:pStyle w:val="Table2"/>
              <w:rPr>
                <w:sz w:val="20"/>
              </w:rPr>
            </w:pPr>
          </w:p>
          <w:p w:rsidR="00D563B6" w:rsidRPr="00FF4C0D" w:rsidRDefault="004A14D7" w:rsidP="002D5039">
            <w:pPr>
              <w:pStyle w:val="Table2"/>
              <w:rPr>
                <w:sz w:val="20"/>
              </w:rPr>
            </w:pPr>
            <w:r w:rsidRPr="00FF4C0D">
              <w:rPr>
                <w:sz w:val="20"/>
              </w:rPr>
              <w:t xml:space="preserve">Private individuals, Food Irradiation Watch, the Sustainable Agriculture and Communities Alliance Inc, Food and Water Watch and the </w:t>
            </w:r>
            <w:r w:rsidR="002D5039" w:rsidRPr="00FF4C0D">
              <w:rPr>
                <w:sz w:val="20"/>
              </w:rPr>
              <w:t>Gene</w:t>
            </w:r>
            <w:r w:rsidR="00D563B6" w:rsidRPr="00FF4C0D">
              <w:rPr>
                <w:sz w:val="20"/>
              </w:rPr>
              <w:t>Ethics Network</w:t>
            </w:r>
          </w:p>
          <w:p w:rsidR="004A14D7" w:rsidRPr="00FF4C0D" w:rsidRDefault="004A14D7" w:rsidP="002D5039">
            <w:pPr>
              <w:pStyle w:val="Table2"/>
              <w:rPr>
                <w:sz w:val="20"/>
              </w:rPr>
            </w:pPr>
          </w:p>
          <w:p w:rsidR="004A14D7" w:rsidRPr="00FF4C0D" w:rsidRDefault="004A14D7" w:rsidP="002D5039">
            <w:pPr>
              <w:pStyle w:val="Table2"/>
              <w:rPr>
                <w:sz w:val="20"/>
              </w:rPr>
            </w:pPr>
          </w:p>
          <w:p w:rsidR="004A14D7" w:rsidRPr="00FF4C0D" w:rsidRDefault="004A14D7">
            <w:pPr>
              <w:pStyle w:val="Table2"/>
              <w:ind w:left="0" w:firstLine="0"/>
              <w:rPr>
                <w:rFonts w:eastAsiaTheme="minorHAnsi"/>
                <w:sz w:val="20"/>
              </w:rPr>
            </w:pPr>
          </w:p>
        </w:tc>
      </w:tr>
      <w:tr w:rsidR="004A14D7" w:rsidRPr="00FF4C0D" w:rsidTr="00C55182">
        <w:tc>
          <w:tcPr>
            <w:tcW w:w="5671" w:type="dxa"/>
            <w:tcBorders>
              <w:top w:val="single" w:sz="4" w:space="0" w:color="000000"/>
              <w:left w:val="single" w:sz="4" w:space="0" w:color="000000"/>
              <w:bottom w:val="single" w:sz="4" w:space="0" w:color="000000"/>
              <w:right w:val="single" w:sz="4" w:space="0" w:color="000000"/>
            </w:tcBorders>
            <w:hideMark/>
          </w:tcPr>
          <w:p w:rsidR="000665E8" w:rsidRPr="00FF4C0D" w:rsidRDefault="004A14D7" w:rsidP="00925DAD">
            <w:pPr>
              <w:rPr>
                <w:sz w:val="20"/>
                <w:szCs w:val="20"/>
              </w:rPr>
            </w:pPr>
            <w:r w:rsidRPr="00FF4C0D">
              <w:rPr>
                <w:b/>
                <w:sz w:val="20"/>
                <w:szCs w:val="20"/>
              </w:rPr>
              <w:t>Amendments in Application A1038 versus via a separate process</w:t>
            </w:r>
            <w:r w:rsidR="003505B3" w:rsidRPr="00FF4C0D">
              <w:rPr>
                <w:b/>
                <w:sz w:val="20"/>
                <w:szCs w:val="20"/>
              </w:rPr>
              <w:t xml:space="preserve"> (s</w:t>
            </w:r>
            <w:r w:rsidR="007869D9" w:rsidRPr="00FF4C0D">
              <w:rPr>
                <w:b/>
                <w:sz w:val="20"/>
                <w:szCs w:val="20"/>
              </w:rPr>
              <w:t>ee section 7</w:t>
            </w:r>
            <w:r w:rsidR="00CE1233" w:rsidRPr="00FF4C0D">
              <w:rPr>
                <w:b/>
                <w:sz w:val="20"/>
                <w:szCs w:val="20"/>
              </w:rPr>
              <w:t>)</w:t>
            </w:r>
          </w:p>
          <w:p w:rsidR="000665E8" w:rsidRPr="00FF4C0D" w:rsidRDefault="000665E8" w:rsidP="002D5039">
            <w:pPr>
              <w:pStyle w:val="Table2"/>
              <w:rPr>
                <w:sz w:val="20"/>
              </w:rPr>
            </w:pPr>
          </w:p>
          <w:p w:rsidR="004A14D7" w:rsidRPr="00FF4C0D" w:rsidRDefault="002D5039" w:rsidP="002D5039">
            <w:pPr>
              <w:pStyle w:val="Table2"/>
              <w:rPr>
                <w:rFonts w:eastAsiaTheme="minorHAnsi"/>
                <w:sz w:val="20"/>
              </w:rPr>
            </w:pPr>
            <w:r w:rsidRPr="00FF4C0D">
              <w:rPr>
                <w:sz w:val="20"/>
              </w:rPr>
              <w:t>W</w:t>
            </w:r>
            <w:r w:rsidR="004A14D7" w:rsidRPr="00FF4C0D">
              <w:rPr>
                <w:sz w:val="20"/>
              </w:rPr>
              <w:t xml:space="preserve">hy FSANZ chose to propose additional amendments to Standard 1.5.3 which were not being specifically requested by the Applicant as the </w:t>
            </w:r>
            <w:r w:rsidR="004A14D7" w:rsidRPr="00FF4C0D">
              <w:rPr>
                <w:rFonts w:eastAsiaTheme="minorHAnsi"/>
                <w:sz w:val="20"/>
              </w:rPr>
              <w:t>proposed amendments to improve clarity, interpretation and operation of Standard 1.5.3 are not minor in nature</w:t>
            </w:r>
            <w:r w:rsidRPr="00FF4C0D">
              <w:rPr>
                <w:rFonts w:eastAsiaTheme="minorHAnsi"/>
                <w:sz w:val="20"/>
              </w:rPr>
              <w:t>?</w:t>
            </w:r>
          </w:p>
          <w:p w:rsidR="00477D82" w:rsidRPr="00FF4C0D" w:rsidRDefault="00477D82" w:rsidP="002D5039">
            <w:pPr>
              <w:pStyle w:val="Table2"/>
              <w:rPr>
                <w:rFonts w:eastAsiaTheme="minorHAnsi"/>
                <w:lang w:eastAsia="en-GB"/>
              </w:rPr>
            </w:pPr>
          </w:p>
        </w:tc>
        <w:tc>
          <w:tcPr>
            <w:tcW w:w="4252" w:type="dxa"/>
            <w:tcBorders>
              <w:top w:val="single" w:sz="4" w:space="0" w:color="000000"/>
              <w:left w:val="single" w:sz="4" w:space="0" w:color="000000"/>
              <w:bottom w:val="single" w:sz="4" w:space="0" w:color="000000"/>
              <w:right w:val="single" w:sz="4" w:space="0" w:color="000000"/>
            </w:tcBorders>
            <w:hideMark/>
          </w:tcPr>
          <w:p w:rsidR="000665E8" w:rsidRPr="00FF4C0D" w:rsidRDefault="000665E8" w:rsidP="00D563B6">
            <w:pPr>
              <w:pStyle w:val="Table2"/>
              <w:ind w:left="0" w:firstLine="0"/>
              <w:rPr>
                <w:sz w:val="20"/>
              </w:rPr>
            </w:pPr>
          </w:p>
          <w:p w:rsidR="000665E8" w:rsidRPr="00FF4C0D" w:rsidRDefault="000665E8" w:rsidP="00D563B6">
            <w:pPr>
              <w:pStyle w:val="Table2"/>
              <w:ind w:left="0" w:firstLine="0"/>
              <w:rPr>
                <w:sz w:val="20"/>
              </w:rPr>
            </w:pPr>
          </w:p>
          <w:p w:rsidR="000665E8" w:rsidRPr="00FF4C0D" w:rsidRDefault="000665E8" w:rsidP="002D5039">
            <w:pPr>
              <w:pStyle w:val="Table2"/>
              <w:rPr>
                <w:sz w:val="20"/>
              </w:rPr>
            </w:pPr>
          </w:p>
          <w:p w:rsidR="00D563B6" w:rsidRPr="00FF4C0D" w:rsidRDefault="004A14D7" w:rsidP="002D5039">
            <w:pPr>
              <w:pStyle w:val="Table2"/>
              <w:rPr>
                <w:sz w:val="20"/>
              </w:rPr>
            </w:pPr>
            <w:r w:rsidRPr="00FF4C0D">
              <w:rPr>
                <w:sz w:val="20"/>
              </w:rPr>
              <w:t xml:space="preserve">Food Irradiation Watch and </w:t>
            </w:r>
            <w:r w:rsidR="002D5039" w:rsidRPr="00FF4C0D">
              <w:rPr>
                <w:sz w:val="20"/>
              </w:rPr>
              <w:t>Gene</w:t>
            </w:r>
            <w:r w:rsidR="00D563B6" w:rsidRPr="00FF4C0D">
              <w:rPr>
                <w:sz w:val="20"/>
              </w:rPr>
              <w:t>Ethics Network</w:t>
            </w:r>
          </w:p>
          <w:p w:rsidR="004A14D7" w:rsidRPr="00FF4C0D" w:rsidRDefault="004A14D7">
            <w:pPr>
              <w:pStyle w:val="Table2"/>
              <w:ind w:left="0" w:firstLine="0"/>
              <w:rPr>
                <w:sz w:val="20"/>
              </w:rPr>
            </w:pPr>
          </w:p>
        </w:tc>
      </w:tr>
    </w:tbl>
    <w:p w:rsidR="00850C1C" w:rsidRPr="00FF4C0D" w:rsidRDefault="00850C1C" w:rsidP="004A14D7">
      <w:pPr>
        <w:rPr>
          <w:rFonts w:cs="Arial"/>
          <w:bCs/>
          <w:sz w:val="18"/>
          <w:szCs w:val="18"/>
        </w:rPr>
      </w:pPr>
    </w:p>
    <w:p w:rsidR="00C5345B" w:rsidRPr="00FF4C0D" w:rsidRDefault="00C5345B" w:rsidP="00751255">
      <w:pPr>
        <w:widowControl/>
        <w:rPr>
          <w:rFonts w:cs="Arial"/>
          <w:b/>
          <w:bCs/>
          <w:sz w:val="20"/>
          <w:szCs w:val="20"/>
          <w:u w:val="single"/>
        </w:rPr>
      </w:pPr>
      <w:r w:rsidRPr="00FF4C0D">
        <w:rPr>
          <w:rFonts w:cs="Arial"/>
          <w:b/>
          <w:bCs/>
          <w:sz w:val="20"/>
          <w:szCs w:val="20"/>
          <w:u w:val="single"/>
        </w:rPr>
        <w:br w:type="page"/>
      </w:r>
    </w:p>
    <w:p w:rsidR="004A14D7" w:rsidRPr="00FF4C0D" w:rsidRDefault="004A14D7" w:rsidP="00751255">
      <w:pPr>
        <w:widowControl/>
        <w:rPr>
          <w:rFonts w:cs="Arial"/>
          <w:b/>
          <w:bCs/>
          <w:szCs w:val="22"/>
          <w:u w:val="single"/>
        </w:rPr>
      </w:pPr>
      <w:r w:rsidRPr="00FF4C0D">
        <w:rPr>
          <w:rFonts w:cs="Arial"/>
          <w:b/>
          <w:bCs/>
          <w:szCs w:val="22"/>
          <w:u w:val="single"/>
        </w:rPr>
        <w:lastRenderedPageBreak/>
        <w:t>Support the Application</w:t>
      </w:r>
    </w:p>
    <w:p w:rsidR="004A14D7" w:rsidRPr="00FF4C0D" w:rsidRDefault="004A14D7" w:rsidP="004A14D7">
      <w:pPr>
        <w:rPr>
          <w:rFonts w:cs="Arial"/>
          <w:b/>
          <w:bCs/>
          <w:sz w:val="20"/>
          <w:szCs w:val="20"/>
        </w:rPr>
      </w:pPr>
    </w:p>
    <w:p w:rsidR="004A14D7" w:rsidRPr="00FF4C0D" w:rsidRDefault="00F64828" w:rsidP="004A14D7">
      <w:pPr>
        <w:pStyle w:val="Table2"/>
        <w:ind w:left="0" w:firstLine="0"/>
        <w:rPr>
          <w:rFonts w:cs="Arial"/>
          <w:sz w:val="20"/>
        </w:rPr>
      </w:pPr>
      <w:r w:rsidRPr="00FF4C0D">
        <w:rPr>
          <w:rFonts w:cs="Arial"/>
          <w:bCs w:val="0"/>
          <w:sz w:val="20"/>
        </w:rPr>
        <w:t xml:space="preserve">NSW Food Authority, </w:t>
      </w:r>
      <w:r w:rsidR="004A14D7" w:rsidRPr="00FF4C0D">
        <w:rPr>
          <w:rFonts w:cs="Arial"/>
          <w:bCs w:val="0"/>
          <w:sz w:val="20"/>
        </w:rPr>
        <w:t xml:space="preserve">The </w:t>
      </w:r>
      <w:r w:rsidR="004A14D7" w:rsidRPr="00FF4C0D">
        <w:rPr>
          <w:rFonts w:cs="Arial"/>
          <w:sz w:val="20"/>
        </w:rPr>
        <w:t xml:space="preserve">Food and Beverages Importers Association (FBIA), New Zealand Food and Grocery Council (NZFGC), Food Technology Association of Australia, Queensland Health, Radiation Advisory Services, </w:t>
      </w:r>
      <w:r w:rsidR="0035299B" w:rsidRPr="00FF4C0D">
        <w:rPr>
          <w:rFonts w:cs="Arial"/>
          <w:sz w:val="20"/>
        </w:rPr>
        <w:t xml:space="preserve">Department of Health South Australia (SA Health), </w:t>
      </w:r>
      <w:r w:rsidR="004A14D7" w:rsidRPr="00FF4C0D">
        <w:rPr>
          <w:rFonts w:cs="Arial"/>
          <w:sz w:val="20"/>
        </w:rPr>
        <w:t xml:space="preserve">New Zealand Ministry of Agriculture and Forestry (NZMAF) and Horticultural Access Solutions all supported the Application; however, specific comments were provided on the proposed amendments to Standard 1.5.3. </w:t>
      </w:r>
    </w:p>
    <w:p w:rsidR="004A14D7" w:rsidRPr="00FF4C0D" w:rsidRDefault="004A14D7" w:rsidP="004A14D7">
      <w:pPr>
        <w:rPr>
          <w:rFonts w:cs="Arial"/>
          <w:sz w:val="18"/>
          <w:szCs w:val="18"/>
        </w:rPr>
      </w:pPr>
    </w:p>
    <w:tbl>
      <w:tblPr>
        <w:tblW w:w="9072" w:type="dxa"/>
        <w:tblLook w:val="04A0"/>
      </w:tblPr>
      <w:tblGrid>
        <w:gridCol w:w="4435"/>
        <w:gridCol w:w="4637"/>
      </w:tblGrid>
      <w:tr w:rsidR="004A14D7" w:rsidRPr="00FF4C0D" w:rsidTr="00C55182">
        <w:trPr>
          <w:tblHeader/>
        </w:trPr>
        <w:tc>
          <w:tcPr>
            <w:tcW w:w="443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A14D7" w:rsidRPr="00FF4C0D" w:rsidRDefault="004A14D7" w:rsidP="00654C56">
            <w:pPr>
              <w:pStyle w:val="Table1"/>
              <w:rPr>
                <w:sz w:val="20"/>
              </w:rPr>
            </w:pPr>
            <w:r w:rsidRPr="00FF4C0D">
              <w:rPr>
                <w:sz w:val="20"/>
              </w:rPr>
              <w:t>Issues</w:t>
            </w:r>
          </w:p>
        </w:tc>
        <w:tc>
          <w:tcPr>
            <w:tcW w:w="463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A14D7" w:rsidRPr="00FF4C0D" w:rsidRDefault="004A14D7" w:rsidP="00654C56">
            <w:pPr>
              <w:pStyle w:val="Table1"/>
              <w:rPr>
                <w:sz w:val="20"/>
              </w:rPr>
            </w:pPr>
            <w:r w:rsidRPr="00FF4C0D">
              <w:rPr>
                <w:sz w:val="20"/>
              </w:rPr>
              <w:t>Submitters</w:t>
            </w:r>
          </w:p>
        </w:tc>
      </w:tr>
      <w:tr w:rsidR="001E28C0" w:rsidRPr="00FF4C0D" w:rsidTr="00C55182">
        <w:tc>
          <w:tcPr>
            <w:tcW w:w="4435" w:type="dxa"/>
            <w:tcBorders>
              <w:top w:val="single" w:sz="4" w:space="0" w:color="000000"/>
              <w:left w:val="single" w:sz="4" w:space="0" w:color="000000"/>
              <w:bottom w:val="single" w:sz="4" w:space="0" w:color="000000"/>
              <w:right w:val="single" w:sz="4" w:space="0" w:color="000000"/>
            </w:tcBorders>
          </w:tcPr>
          <w:p w:rsidR="003505B3" w:rsidRPr="00FF4C0D" w:rsidRDefault="003505B3" w:rsidP="003505B3">
            <w:pPr>
              <w:pStyle w:val="Table2"/>
              <w:ind w:left="0" w:firstLine="0"/>
              <w:rPr>
                <w:rFonts w:eastAsiaTheme="minorHAnsi"/>
                <w:b/>
                <w:sz w:val="20"/>
              </w:rPr>
            </w:pPr>
            <w:r w:rsidRPr="00FF4C0D">
              <w:rPr>
                <w:b/>
                <w:sz w:val="20"/>
              </w:rPr>
              <w:t xml:space="preserve">Safety of irradiated foods </w:t>
            </w:r>
            <w:r w:rsidR="00C6220E" w:rsidRPr="00FF4C0D">
              <w:rPr>
                <w:rFonts w:eastAsiaTheme="minorHAnsi"/>
                <w:b/>
                <w:sz w:val="20"/>
              </w:rPr>
              <w:t>(see section 5</w:t>
            </w:r>
            <w:r w:rsidRPr="00FF4C0D">
              <w:rPr>
                <w:rFonts w:eastAsiaTheme="minorHAnsi"/>
                <w:b/>
                <w:sz w:val="20"/>
              </w:rPr>
              <w:t xml:space="preserve">) </w:t>
            </w:r>
          </w:p>
          <w:p w:rsidR="001D7621" w:rsidRPr="00FF4C0D" w:rsidRDefault="001D7621" w:rsidP="00477D82">
            <w:pPr>
              <w:pStyle w:val="Table2"/>
              <w:rPr>
                <w:sz w:val="20"/>
              </w:rPr>
            </w:pPr>
          </w:p>
          <w:p w:rsidR="00477D82" w:rsidRPr="00FF4C0D" w:rsidRDefault="001D7621" w:rsidP="00477D82">
            <w:pPr>
              <w:pStyle w:val="Table2"/>
              <w:rPr>
                <w:sz w:val="20"/>
              </w:rPr>
            </w:pPr>
            <w:r w:rsidRPr="00FF4C0D">
              <w:rPr>
                <w:sz w:val="20"/>
              </w:rPr>
              <w:t>The Risk Assessment Report would benefit from more discussion on how the interpretation of a new long-term study in rats fits alongside other studies conducted to date.</w:t>
            </w:r>
          </w:p>
          <w:p w:rsidR="001E28C0" w:rsidRPr="00FF4C0D" w:rsidRDefault="001D7621" w:rsidP="00477D82">
            <w:pPr>
              <w:pStyle w:val="Table2"/>
            </w:pPr>
            <w:r w:rsidRPr="00FF4C0D">
              <w:rPr>
                <w:sz w:val="20"/>
              </w:rPr>
              <w:t xml:space="preserve"> </w:t>
            </w: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sz w:val="20"/>
              </w:rPr>
            </w:pPr>
          </w:p>
          <w:p w:rsidR="00B208AA" w:rsidRPr="00FF4C0D" w:rsidRDefault="00B208AA" w:rsidP="00477D82">
            <w:pPr>
              <w:pStyle w:val="Table2"/>
              <w:rPr>
                <w:sz w:val="20"/>
              </w:rPr>
            </w:pPr>
          </w:p>
          <w:p w:rsidR="004B6C8C" w:rsidRPr="00FF4C0D" w:rsidRDefault="004B6C8C" w:rsidP="00477D82">
            <w:pPr>
              <w:pStyle w:val="Table2"/>
              <w:rPr>
                <w:sz w:val="20"/>
              </w:rPr>
            </w:pPr>
          </w:p>
          <w:p w:rsidR="001D7621" w:rsidRPr="00FF4C0D" w:rsidRDefault="001D7621" w:rsidP="00477D82">
            <w:pPr>
              <w:pStyle w:val="Table2"/>
              <w:rPr>
                <w:sz w:val="20"/>
              </w:rPr>
            </w:pPr>
            <w:r w:rsidRPr="00FF4C0D">
              <w:rPr>
                <w:sz w:val="20"/>
              </w:rPr>
              <w:t>NZMAF</w:t>
            </w:r>
          </w:p>
          <w:p w:rsidR="001E28C0" w:rsidRPr="00FF4C0D" w:rsidRDefault="001E28C0">
            <w:pPr>
              <w:pStyle w:val="Table2"/>
              <w:ind w:left="0" w:firstLine="0"/>
              <w:rPr>
                <w:sz w:val="20"/>
              </w:rPr>
            </w:pPr>
          </w:p>
        </w:tc>
      </w:tr>
      <w:tr w:rsidR="001D7621" w:rsidRPr="00FF4C0D" w:rsidTr="00C55182">
        <w:tc>
          <w:tcPr>
            <w:tcW w:w="4435" w:type="dxa"/>
            <w:tcBorders>
              <w:top w:val="single" w:sz="4" w:space="0" w:color="000000"/>
              <w:left w:val="single" w:sz="4" w:space="0" w:color="000000"/>
              <w:bottom w:val="single" w:sz="4" w:space="0" w:color="000000"/>
              <w:right w:val="single" w:sz="4" w:space="0" w:color="000000"/>
            </w:tcBorders>
          </w:tcPr>
          <w:p w:rsidR="003505B3" w:rsidRPr="00FF4C0D" w:rsidRDefault="003505B3" w:rsidP="003505B3">
            <w:pPr>
              <w:pStyle w:val="Table2"/>
              <w:ind w:left="0" w:firstLine="0"/>
              <w:rPr>
                <w:rFonts w:eastAsiaTheme="minorHAnsi"/>
                <w:b/>
                <w:sz w:val="20"/>
              </w:rPr>
            </w:pPr>
            <w:r w:rsidRPr="00FF4C0D">
              <w:rPr>
                <w:rFonts w:eastAsiaTheme="minorHAnsi"/>
                <w:b/>
                <w:sz w:val="20"/>
              </w:rPr>
              <w:t>Labelling of</w:t>
            </w:r>
            <w:r w:rsidR="007869D9" w:rsidRPr="00FF4C0D">
              <w:rPr>
                <w:rFonts w:eastAsiaTheme="minorHAnsi"/>
                <w:b/>
                <w:sz w:val="20"/>
              </w:rPr>
              <w:t xml:space="preserve"> irradiated foods (see section 6</w:t>
            </w:r>
            <w:r w:rsidR="00477D82" w:rsidRPr="00FF4C0D">
              <w:rPr>
                <w:rFonts w:eastAsiaTheme="minorHAnsi"/>
                <w:b/>
                <w:sz w:val="20"/>
              </w:rPr>
              <w:t>.5</w:t>
            </w:r>
            <w:r w:rsidRPr="00FF4C0D">
              <w:rPr>
                <w:rFonts w:eastAsiaTheme="minorHAnsi"/>
                <w:b/>
                <w:sz w:val="20"/>
              </w:rPr>
              <w:t>)</w:t>
            </w:r>
          </w:p>
          <w:p w:rsidR="003505B3" w:rsidRPr="00FF4C0D" w:rsidRDefault="003505B3" w:rsidP="00477D82">
            <w:pPr>
              <w:pStyle w:val="Table2"/>
              <w:rPr>
                <w:rFonts w:eastAsiaTheme="minorHAnsi"/>
                <w:sz w:val="20"/>
              </w:rPr>
            </w:pPr>
          </w:p>
          <w:p w:rsidR="001D7621" w:rsidRPr="00FF4C0D" w:rsidRDefault="001D7621" w:rsidP="00477D82">
            <w:pPr>
              <w:pStyle w:val="Table2"/>
              <w:rPr>
                <w:sz w:val="20"/>
              </w:rPr>
            </w:pPr>
            <w:r w:rsidRPr="00FF4C0D">
              <w:rPr>
                <w:sz w:val="20"/>
              </w:rPr>
              <w:t>Supported the preparation of a guidance document on labelling if the current labelling examples are removed. Suggested industry should have the option to add a phrase that adequately depicts the reason for treatment.</w:t>
            </w:r>
          </w:p>
          <w:p w:rsidR="001D7621" w:rsidRPr="00FF4C0D" w:rsidRDefault="001D7621" w:rsidP="00477D82">
            <w:pPr>
              <w:pStyle w:val="Table2"/>
              <w:rPr>
                <w:sz w:val="20"/>
              </w:rPr>
            </w:pPr>
          </w:p>
          <w:p w:rsidR="001D7621" w:rsidRPr="00FF4C0D" w:rsidRDefault="001D7621" w:rsidP="00477D82">
            <w:pPr>
              <w:pStyle w:val="Table2"/>
              <w:rPr>
                <w:sz w:val="20"/>
              </w:rPr>
            </w:pPr>
            <w:r w:rsidRPr="00FF4C0D">
              <w:rPr>
                <w:sz w:val="20"/>
              </w:rPr>
              <w:t>Requested clarification</w:t>
            </w:r>
            <w:r w:rsidR="00477D82" w:rsidRPr="00FF4C0D">
              <w:rPr>
                <w:sz w:val="20"/>
              </w:rPr>
              <w:t xml:space="preserve"> of</w:t>
            </w:r>
            <w:r w:rsidRPr="00FF4C0D">
              <w:rPr>
                <w:sz w:val="20"/>
              </w:rPr>
              <w:t xml:space="preserve"> the scope and timing of the future guidance document on the labelling of irradiated foods.</w:t>
            </w:r>
          </w:p>
          <w:p w:rsidR="00477D82" w:rsidRPr="00FF4C0D" w:rsidRDefault="00477D82" w:rsidP="00477D82">
            <w:pPr>
              <w:pStyle w:val="Table2"/>
            </w:pPr>
          </w:p>
        </w:tc>
        <w:tc>
          <w:tcPr>
            <w:tcW w:w="4637" w:type="dxa"/>
            <w:tcBorders>
              <w:top w:val="single" w:sz="4" w:space="0" w:color="000000"/>
              <w:left w:val="single" w:sz="4" w:space="0" w:color="000000"/>
              <w:bottom w:val="single" w:sz="4" w:space="0" w:color="000000"/>
              <w:right w:val="single" w:sz="4" w:space="0" w:color="000000"/>
            </w:tcBorders>
          </w:tcPr>
          <w:p w:rsidR="00D34F77" w:rsidRPr="00FF4C0D" w:rsidRDefault="00D34F77" w:rsidP="00477D82">
            <w:pPr>
              <w:pStyle w:val="Table2"/>
              <w:rPr>
                <w:sz w:val="20"/>
              </w:rPr>
            </w:pPr>
          </w:p>
          <w:p w:rsidR="00D34F77" w:rsidRPr="00FF4C0D" w:rsidRDefault="00D34F77" w:rsidP="00477D82">
            <w:pPr>
              <w:pStyle w:val="Table2"/>
              <w:rPr>
                <w:sz w:val="20"/>
              </w:rPr>
            </w:pPr>
          </w:p>
          <w:p w:rsidR="003505B3" w:rsidRPr="00FF4C0D" w:rsidRDefault="003505B3" w:rsidP="00477D82">
            <w:pPr>
              <w:pStyle w:val="Table2"/>
              <w:rPr>
                <w:sz w:val="20"/>
              </w:rPr>
            </w:pPr>
          </w:p>
          <w:p w:rsidR="001D7621" w:rsidRPr="00FF4C0D" w:rsidRDefault="001D7621" w:rsidP="00477D82">
            <w:pPr>
              <w:pStyle w:val="Table2"/>
              <w:rPr>
                <w:sz w:val="20"/>
              </w:rPr>
            </w:pPr>
            <w:r w:rsidRPr="00FF4C0D">
              <w:rPr>
                <w:sz w:val="20"/>
              </w:rPr>
              <w:t>Radiation Advisory Services</w:t>
            </w:r>
          </w:p>
          <w:p w:rsidR="001D7621" w:rsidRPr="00FF4C0D" w:rsidRDefault="001D7621" w:rsidP="00477D82">
            <w:pPr>
              <w:pStyle w:val="Table2"/>
              <w:rPr>
                <w:sz w:val="20"/>
              </w:rPr>
            </w:pPr>
          </w:p>
          <w:p w:rsidR="00D34F77" w:rsidRPr="00FF4C0D" w:rsidRDefault="00D34F77" w:rsidP="00477D82">
            <w:pPr>
              <w:pStyle w:val="Table2"/>
              <w:rPr>
                <w:sz w:val="20"/>
              </w:rPr>
            </w:pPr>
          </w:p>
          <w:p w:rsidR="00D34F77" w:rsidRPr="00FF4C0D" w:rsidRDefault="00D34F77" w:rsidP="00477D82">
            <w:pPr>
              <w:pStyle w:val="Table2"/>
              <w:rPr>
                <w:sz w:val="20"/>
              </w:rPr>
            </w:pPr>
          </w:p>
          <w:p w:rsidR="00D34F77" w:rsidRPr="00FF4C0D" w:rsidRDefault="00D34F77" w:rsidP="00477D82">
            <w:pPr>
              <w:pStyle w:val="Table2"/>
              <w:rPr>
                <w:sz w:val="20"/>
              </w:rPr>
            </w:pPr>
          </w:p>
          <w:p w:rsidR="00D34F77" w:rsidRPr="00FF4C0D" w:rsidRDefault="00D34F77" w:rsidP="00477D82">
            <w:pPr>
              <w:pStyle w:val="Table2"/>
              <w:rPr>
                <w:sz w:val="20"/>
              </w:rPr>
            </w:pPr>
          </w:p>
          <w:p w:rsidR="00D34F77" w:rsidRPr="00FF4C0D" w:rsidRDefault="00D34F77" w:rsidP="00477D82">
            <w:pPr>
              <w:pStyle w:val="Table2"/>
              <w:rPr>
                <w:sz w:val="20"/>
              </w:rPr>
            </w:pPr>
            <w:r w:rsidRPr="00FF4C0D">
              <w:rPr>
                <w:sz w:val="20"/>
              </w:rPr>
              <w:t>NZMAF</w:t>
            </w:r>
          </w:p>
          <w:p w:rsidR="00D34F77" w:rsidRPr="00FF4C0D" w:rsidRDefault="00D34F77">
            <w:pPr>
              <w:pStyle w:val="Table2"/>
              <w:ind w:left="0" w:firstLine="0"/>
              <w:rPr>
                <w:sz w:val="20"/>
              </w:rPr>
            </w:pPr>
          </w:p>
        </w:tc>
      </w:tr>
      <w:tr w:rsidR="001D7621" w:rsidRPr="00FF4C0D" w:rsidTr="00C55182">
        <w:tc>
          <w:tcPr>
            <w:tcW w:w="4435" w:type="dxa"/>
            <w:tcBorders>
              <w:top w:val="single" w:sz="4" w:space="0" w:color="000000"/>
              <w:left w:val="single" w:sz="4" w:space="0" w:color="000000"/>
              <w:bottom w:val="single" w:sz="4" w:space="0" w:color="000000"/>
              <w:right w:val="single" w:sz="4" w:space="0" w:color="000000"/>
            </w:tcBorders>
          </w:tcPr>
          <w:p w:rsidR="001D7621" w:rsidRPr="00FF4C0D" w:rsidRDefault="00B810C2" w:rsidP="001D7621">
            <w:pPr>
              <w:pStyle w:val="Table2"/>
              <w:ind w:left="0" w:firstLine="0"/>
              <w:rPr>
                <w:b/>
                <w:sz w:val="20"/>
              </w:rPr>
            </w:pPr>
            <w:r w:rsidRPr="00FF4C0D">
              <w:rPr>
                <w:b/>
                <w:sz w:val="20"/>
              </w:rPr>
              <w:t>Generic a</w:t>
            </w:r>
            <w:r w:rsidR="007869D9" w:rsidRPr="00FF4C0D">
              <w:rPr>
                <w:b/>
                <w:sz w:val="20"/>
              </w:rPr>
              <w:t>p</w:t>
            </w:r>
            <w:r w:rsidR="00C6220E" w:rsidRPr="00FF4C0D">
              <w:rPr>
                <w:b/>
                <w:sz w:val="20"/>
              </w:rPr>
              <w:t>proval of foods (see section 7.6</w:t>
            </w:r>
            <w:r w:rsidR="00477D82" w:rsidRPr="00FF4C0D">
              <w:rPr>
                <w:b/>
                <w:sz w:val="20"/>
              </w:rPr>
              <w:t>)</w:t>
            </w:r>
          </w:p>
          <w:p w:rsidR="001D7621" w:rsidRPr="00FF4C0D" w:rsidRDefault="001D7621" w:rsidP="00477D82">
            <w:pPr>
              <w:pStyle w:val="Table2"/>
              <w:rPr>
                <w:sz w:val="20"/>
              </w:rPr>
            </w:pPr>
          </w:p>
          <w:p w:rsidR="001D7621" w:rsidRPr="00FF4C0D" w:rsidRDefault="001D7621" w:rsidP="00477D82">
            <w:pPr>
              <w:pStyle w:val="Table2"/>
              <w:rPr>
                <w:sz w:val="20"/>
              </w:rPr>
            </w:pPr>
            <w:r w:rsidRPr="00FF4C0D">
              <w:rPr>
                <w:sz w:val="20"/>
              </w:rPr>
              <w:t>FSANZ should reconsider its case-by-case approvals and approve fresh fruit and vegetables as a group for pest disinfestation.</w:t>
            </w:r>
          </w:p>
          <w:p w:rsidR="00477D82" w:rsidRPr="00FF4C0D" w:rsidRDefault="00477D82" w:rsidP="00477D82">
            <w:pPr>
              <w:pStyle w:val="Table2"/>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D34F77">
            <w:pPr>
              <w:pStyle w:val="Table2"/>
              <w:ind w:left="0" w:firstLine="0"/>
              <w:rPr>
                <w:sz w:val="20"/>
              </w:rPr>
            </w:pPr>
          </w:p>
          <w:p w:rsidR="00B810C2" w:rsidRPr="00FF4C0D" w:rsidRDefault="00B810C2" w:rsidP="00477D82">
            <w:pPr>
              <w:pStyle w:val="Table2"/>
              <w:rPr>
                <w:sz w:val="20"/>
              </w:rPr>
            </w:pPr>
          </w:p>
          <w:p w:rsidR="00D34F77" w:rsidRPr="00FF4C0D" w:rsidRDefault="00D34F77" w:rsidP="00477D82">
            <w:pPr>
              <w:pStyle w:val="Table2"/>
              <w:rPr>
                <w:sz w:val="20"/>
              </w:rPr>
            </w:pPr>
            <w:r w:rsidRPr="00FF4C0D">
              <w:rPr>
                <w:sz w:val="20"/>
              </w:rPr>
              <w:t>Horticulture Access Solutions Pty Ltd and Radiation Advisory Services</w:t>
            </w:r>
          </w:p>
          <w:p w:rsidR="001D7621" w:rsidRPr="00FF4C0D" w:rsidRDefault="001D7621">
            <w:pPr>
              <w:pStyle w:val="Table2"/>
              <w:ind w:left="0" w:firstLine="0"/>
              <w:rPr>
                <w:sz w:val="20"/>
              </w:rPr>
            </w:pPr>
          </w:p>
        </w:tc>
      </w:tr>
      <w:tr w:rsidR="00D34F77" w:rsidRPr="00FF4C0D" w:rsidTr="00C55182">
        <w:tc>
          <w:tcPr>
            <w:tcW w:w="4435" w:type="dxa"/>
            <w:tcBorders>
              <w:top w:val="single" w:sz="4" w:space="0" w:color="000000"/>
              <w:left w:val="single" w:sz="4" w:space="0" w:color="000000"/>
              <w:bottom w:val="single" w:sz="4" w:space="0" w:color="000000"/>
              <w:right w:val="single" w:sz="4" w:space="0" w:color="000000"/>
            </w:tcBorders>
          </w:tcPr>
          <w:p w:rsidR="00D34F77" w:rsidRPr="00FF4C0D" w:rsidRDefault="00CE1233" w:rsidP="00D34F77">
            <w:pPr>
              <w:rPr>
                <w:b/>
                <w:sz w:val="20"/>
                <w:szCs w:val="20"/>
              </w:rPr>
            </w:pPr>
            <w:r w:rsidRPr="00FF4C0D">
              <w:rPr>
                <w:b/>
                <w:sz w:val="20"/>
                <w:szCs w:val="20"/>
              </w:rPr>
              <w:t xml:space="preserve">Amendments </w:t>
            </w:r>
            <w:r w:rsidR="007869D9" w:rsidRPr="00FF4C0D">
              <w:rPr>
                <w:b/>
                <w:sz w:val="20"/>
                <w:szCs w:val="20"/>
              </w:rPr>
              <w:t>to Standard 1.5.3 (see section 7</w:t>
            </w:r>
            <w:r w:rsidR="00477D82" w:rsidRPr="00FF4C0D">
              <w:rPr>
                <w:b/>
                <w:sz w:val="20"/>
                <w:szCs w:val="20"/>
              </w:rPr>
              <w:t>)</w:t>
            </w:r>
          </w:p>
          <w:p w:rsidR="00CE1233" w:rsidRPr="00FF4C0D" w:rsidRDefault="00CE1233" w:rsidP="00477D82">
            <w:pPr>
              <w:pStyle w:val="Table2"/>
              <w:rPr>
                <w:sz w:val="20"/>
                <w:lang w:eastAsia="en-GB"/>
              </w:rPr>
            </w:pPr>
          </w:p>
          <w:p w:rsidR="00D34F77" w:rsidRPr="00FF4C0D" w:rsidRDefault="00477D82" w:rsidP="00477D82">
            <w:pPr>
              <w:pStyle w:val="Table2"/>
              <w:rPr>
                <w:sz w:val="20"/>
                <w:lang w:eastAsia="en-GB"/>
              </w:rPr>
            </w:pPr>
            <w:r w:rsidRPr="00FF4C0D">
              <w:rPr>
                <w:sz w:val="20"/>
              </w:rPr>
              <w:t>W</w:t>
            </w:r>
            <w:r w:rsidR="00D34F77" w:rsidRPr="00FF4C0D">
              <w:rPr>
                <w:sz w:val="20"/>
              </w:rPr>
              <w:t>hy</w:t>
            </w:r>
            <w:r w:rsidRPr="00FF4C0D">
              <w:rPr>
                <w:sz w:val="20"/>
              </w:rPr>
              <w:t xml:space="preserve"> </w:t>
            </w:r>
            <w:r w:rsidR="00D34F77" w:rsidRPr="00FF4C0D">
              <w:rPr>
                <w:sz w:val="20"/>
              </w:rPr>
              <w:t xml:space="preserve">FSANZ chose to propose additional amendments to Standard 1.5.3 which were not being specifically requested by the Applicant. </w:t>
            </w:r>
          </w:p>
          <w:p w:rsidR="00D34F77" w:rsidRPr="00FF4C0D" w:rsidRDefault="00D34F77" w:rsidP="00477D82">
            <w:pPr>
              <w:pStyle w:val="Table2"/>
              <w:rPr>
                <w:sz w:val="20"/>
                <w:lang w:eastAsia="en-GB"/>
              </w:rPr>
            </w:pPr>
          </w:p>
          <w:p w:rsidR="00D34F77" w:rsidRPr="00FF4C0D" w:rsidRDefault="00D34F77" w:rsidP="00477D82">
            <w:pPr>
              <w:pStyle w:val="Table2"/>
              <w:rPr>
                <w:sz w:val="20"/>
              </w:rPr>
            </w:pPr>
            <w:r w:rsidRPr="00FF4C0D">
              <w:rPr>
                <w:sz w:val="20"/>
              </w:rPr>
              <w:t xml:space="preserve">Agreed with FSANZ’s approach to undertake amendments in Application A1038, but suggested that this should be communicated in the title of the Application to indicate to stakeholders the additional reforms proposed to </w:t>
            </w:r>
            <w:r w:rsidR="00637272" w:rsidRPr="00FF4C0D">
              <w:rPr>
                <w:sz w:val="20"/>
              </w:rPr>
              <w:t>Standard 1.5.3</w:t>
            </w:r>
            <w:r w:rsidRPr="00FF4C0D">
              <w:rPr>
                <w:sz w:val="20"/>
              </w:rPr>
              <w:t xml:space="preserve">. </w:t>
            </w:r>
          </w:p>
          <w:p w:rsidR="00477D82" w:rsidRPr="00FF4C0D" w:rsidDel="001D7621"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CE1233" w:rsidRPr="00FF4C0D" w:rsidRDefault="00CE1233" w:rsidP="00477D82">
            <w:pPr>
              <w:pStyle w:val="Table2"/>
              <w:rPr>
                <w:bCs w:val="0"/>
                <w:sz w:val="20"/>
              </w:rPr>
            </w:pPr>
          </w:p>
          <w:p w:rsidR="00D34F77" w:rsidRPr="00FF4C0D" w:rsidRDefault="00D34F77" w:rsidP="00477D82">
            <w:pPr>
              <w:pStyle w:val="Table2"/>
              <w:rPr>
                <w:bCs w:val="0"/>
                <w:sz w:val="20"/>
              </w:rPr>
            </w:pPr>
            <w:r w:rsidRPr="00FF4C0D">
              <w:rPr>
                <w:bCs w:val="0"/>
                <w:sz w:val="20"/>
              </w:rPr>
              <w:t>SA Health</w:t>
            </w:r>
          </w:p>
          <w:p w:rsidR="00D34F77" w:rsidRPr="00FF4C0D" w:rsidRDefault="00D34F77" w:rsidP="00477D82">
            <w:pPr>
              <w:pStyle w:val="Table2"/>
              <w:rPr>
                <w:bCs w:val="0"/>
                <w:sz w:val="20"/>
              </w:rPr>
            </w:pPr>
          </w:p>
          <w:p w:rsidR="00D34F77" w:rsidRPr="00FF4C0D" w:rsidRDefault="00D34F77" w:rsidP="00477D82">
            <w:pPr>
              <w:pStyle w:val="Table2"/>
              <w:rPr>
                <w:bCs w:val="0"/>
                <w:sz w:val="20"/>
              </w:rPr>
            </w:pPr>
          </w:p>
          <w:p w:rsidR="00D34F77" w:rsidRPr="00FF4C0D" w:rsidRDefault="00D34F77" w:rsidP="00477D82">
            <w:pPr>
              <w:pStyle w:val="Table2"/>
              <w:rPr>
                <w:bCs w:val="0"/>
                <w:sz w:val="20"/>
              </w:rPr>
            </w:pPr>
          </w:p>
          <w:p w:rsidR="00D34F77" w:rsidRPr="00FF4C0D" w:rsidRDefault="00D34F77" w:rsidP="00477D82">
            <w:pPr>
              <w:pStyle w:val="Table2"/>
              <w:rPr>
                <w:bCs w:val="0"/>
                <w:sz w:val="20"/>
              </w:rPr>
            </w:pPr>
          </w:p>
          <w:p w:rsidR="00D34F77" w:rsidRPr="00FF4C0D" w:rsidRDefault="00D34F77" w:rsidP="00477D82">
            <w:pPr>
              <w:pStyle w:val="Table2"/>
              <w:rPr>
                <w:bCs w:val="0"/>
                <w:sz w:val="20"/>
              </w:rPr>
            </w:pPr>
            <w:r w:rsidRPr="00FF4C0D">
              <w:rPr>
                <w:bCs w:val="0"/>
                <w:sz w:val="20"/>
              </w:rPr>
              <w:t>NZMAF</w:t>
            </w:r>
          </w:p>
          <w:p w:rsidR="00D34F77" w:rsidRPr="00FF4C0D" w:rsidRDefault="00D34F77" w:rsidP="00477D82">
            <w:pPr>
              <w:pStyle w:val="Table2"/>
              <w:rPr>
                <w:bCs w:val="0"/>
                <w:sz w:val="20"/>
              </w:rPr>
            </w:pPr>
          </w:p>
          <w:p w:rsidR="00D34F77" w:rsidRPr="00FF4C0D" w:rsidRDefault="00D34F77">
            <w:pPr>
              <w:pStyle w:val="Table2"/>
              <w:ind w:left="0" w:firstLine="0"/>
              <w:rPr>
                <w:sz w:val="20"/>
              </w:rPr>
            </w:pPr>
          </w:p>
        </w:tc>
      </w:tr>
      <w:tr w:rsidR="004A14D7" w:rsidRPr="00FF4C0D" w:rsidTr="00C55182">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C75B88" w:rsidP="00B810C2">
            <w:pPr>
              <w:rPr>
                <w:b/>
                <w:sz w:val="20"/>
                <w:szCs w:val="20"/>
                <w:lang w:eastAsia="en-GB"/>
              </w:rPr>
            </w:pPr>
            <w:r w:rsidRPr="00FF4C0D">
              <w:rPr>
                <w:b/>
                <w:sz w:val="20"/>
                <w:szCs w:val="20"/>
              </w:rPr>
              <w:t>Insertion of new units for dos</w:t>
            </w:r>
            <w:r w:rsidR="00B810C2" w:rsidRPr="00FF4C0D">
              <w:rPr>
                <w:b/>
                <w:sz w:val="20"/>
                <w:szCs w:val="20"/>
              </w:rPr>
              <w:t>age i</w:t>
            </w:r>
            <w:r w:rsidR="007869D9" w:rsidRPr="00FF4C0D">
              <w:rPr>
                <w:b/>
                <w:sz w:val="20"/>
                <w:szCs w:val="20"/>
              </w:rPr>
              <w:t>n the Glossary of Symbols (see 7</w:t>
            </w:r>
            <w:r w:rsidR="00477D82" w:rsidRPr="00FF4C0D">
              <w:rPr>
                <w:b/>
                <w:sz w:val="20"/>
                <w:szCs w:val="20"/>
              </w:rPr>
              <w:t>.1)</w:t>
            </w:r>
            <w:r w:rsidR="00B810C2" w:rsidRPr="00FF4C0D">
              <w:rPr>
                <w:b/>
                <w:sz w:val="20"/>
                <w:szCs w:val="20"/>
              </w:rPr>
              <w:t xml:space="preserve">  </w:t>
            </w:r>
          </w:p>
          <w:p w:rsidR="00C75B88" w:rsidRPr="00FF4C0D" w:rsidRDefault="00C75B88" w:rsidP="00477D82">
            <w:pPr>
              <w:pStyle w:val="Table2"/>
              <w:rPr>
                <w:bCs w:val="0"/>
                <w:sz w:val="20"/>
              </w:rPr>
            </w:pPr>
          </w:p>
          <w:p w:rsidR="004A14D7" w:rsidRPr="00FF4C0D" w:rsidRDefault="00C75B88" w:rsidP="00477D82">
            <w:pPr>
              <w:pStyle w:val="Table2"/>
              <w:rPr>
                <w:bCs w:val="0"/>
                <w:sz w:val="20"/>
              </w:rPr>
            </w:pPr>
            <w:r w:rsidRPr="00FF4C0D">
              <w:rPr>
                <w:bCs w:val="0"/>
                <w:sz w:val="20"/>
              </w:rPr>
              <w:t xml:space="preserve">Suggested that in </w:t>
            </w:r>
            <w:r w:rsidR="00477D82" w:rsidRPr="00FF4C0D">
              <w:rPr>
                <w:bCs w:val="0"/>
                <w:sz w:val="20"/>
              </w:rPr>
              <w:t>c</w:t>
            </w:r>
            <w:r w:rsidRPr="00FF4C0D">
              <w:rPr>
                <w:bCs w:val="0"/>
                <w:sz w:val="20"/>
              </w:rPr>
              <w:t xml:space="preserve">lause 8 of </w:t>
            </w:r>
            <w:r w:rsidR="00477D82" w:rsidRPr="00FF4C0D">
              <w:rPr>
                <w:bCs w:val="0"/>
                <w:sz w:val="20"/>
              </w:rPr>
              <w:t>S</w:t>
            </w:r>
            <w:r w:rsidRPr="00FF4C0D">
              <w:rPr>
                <w:bCs w:val="0"/>
                <w:sz w:val="20"/>
              </w:rPr>
              <w:t>tandard 1.1.1 – Application, Interpretation and general Prohibitions</w:t>
            </w:r>
            <w:r w:rsidR="00477D82" w:rsidRPr="00FF4C0D">
              <w:rPr>
                <w:bCs w:val="0"/>
                <w:sz w:val="20"/>
              </w:rPr>
              <w:t>,</w:t>
            </w:r>
            <w:r w:rsidRPr="00FF4C0D">
              <w:rPr>
                <w:bCs w:val="0"/>
                <w:sz w:val="20"/>
              </w:rPr>
              <w:t xml:space="preserve"> the unit ‘Gray’ should be singular rather than plural ‘grays’.</w:t>
            </w:r>
          </w:p>
          <w:p w:rsidR="00477D82" w:rsidRPr="00FF4C0D"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810C2" w:rsidRPr="00FF4C0D" w:rsidRDefault="00B810C2" w:rsidP="00477D82">
            <w:pPr>
              <w:pStyle w:val="Table2"/>
              <w:rPr>
                <w:bCs w:val="0"/>
                <w:sz w:val="20"/>
              </w:rPr>
            </w:pPr>
          </w:p>
          <w:p w:rsidR="00D34F77" w:rsidRPr="00FF4C0D" w:rsidRDefault="00D34F77" w:rsidP="00477D82">
            <w:pPr>
              <w:pStyle w:val="Table2"/>
              <w:rPr>
                <w:bCs w:val="0"/>
                <w:sz w:val="20"/>
                <w:lang w:eastAsia="en-GB"/>
              </w:rPr>
            </w:pPr>
            <w:r w:rsidRPr="00FF4C0D">
              <w:rPr>
                <w:bCs w:val="0"/>
                <w:sz w:val="20"/>
              </w:rPr>
              <w:t>NZMAF</w:t>
            </w:r>
          </w:p>
          <w:p w:rsidR="000665E8" w:rsidRPr="00FF4C0D" w:rsidRDefault="000665E8" w:rsidP="00477D82">
            <w:pPr>
              <w:pStyle w:val="Table2"/>
              <w:rPr>
                <w:bCs w:val="0"/>
                <w:sz w:val="20"/>
              </w:rPr>
            </w:pPr>
          </w:p>
          <w:p w:rsidR="004A14D7" w:rsidRPr="00FF4C0D" w:rsidRDefault="004A14D7">
            <w:pPr>
              <w:rPr>
                <w:rFonts w:eastAsiaTheme="minorHAnsi"/>
                <w:sz w:val="20"/>
                <w:szCs w:val="20"/>
                <w:lang w:eastAsia="en-GB"/>
              </w:rPr>
            </w:pPr>
          </w:p>
        </w:tc>
      </w:tr>
      <w:tr w:rsidR="00C75B88" w:rsidRPr="00FF4C0D" w:rsidTr="00C55182">
        <w:trPr>
          <w:cantSplit/>
        </w:trPr>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C75B88" w:rsidP="00B810C2">
            <w:pPr>
              <w:rPr>
                <w:b/>
                <w:sz w:val="20"/>
                <w:szCs w:val="20"/>
                <w:lang w:eastAsia="en-GB"/>
              </w:rPr>
            </w:pPr>
            <w:r w:rsidRPr="00FF4C0D">
              <w:rPr>
                <w:b/>
                <w:sz w:val="20"/>
                <w:szCs w:val="20"/>
              </w:rPr>
              <w:lastRenderedPageBreak/>
              <w:t>References to irradiation facilities</w:t>
            </w:r>
            <w:r w:rsidR="00B810C2" w:rsidRPr="00FF4C0D">
              <w:rPr>
                <w:sz w:val="20"/>
                <w:szCs w:val="20"/>
              </w:rPr>
              <w:t xml:space="preserve"> </w:t>
            </w:r>
            <w:r w:rsidR="007869D9" w:rsidRPr="00FF4C0D">
              <w:rPr>
                <w:b/>
                <w:sz w:val="20"/>
                <w:szCs w:val="20"/>
              </w:rPr>
              <w:t>(see 7</w:t>
            </w:r>
            <w:r w:rsidR="00477D82" w:rsidRPr="00FF4C0D">
              <w:rPr>
                <w:b/>
                <w:sz w:val="20"/>
                <w:szCs w:val="20"/>
              </w:rPr>
              <w:t>.2.1)</w:t>
            </w:r>
            <w:r w:rsidR="00B810C2" w:rsidRPr="00FF4C0D">
              <w:rPr>
                <w:b/>
                <w:sz w:val="20"/>
                <w:szCs w:val="20"/>
              </w:rPr>
              <w:t xml:space="preserve"> </w:t>
            </w:r>
          </w:p>
          <w:p w:rsidR="00C75B88" w:rsidRPr="00FF4C0D" w:rsidRDefault="00C75B88" w:rsidP="00477D82">
            <w:pPr>
              <w:pStyle w:val="Table2"/>
              <w:rPr>
                <w:bCs w:val="0"/>
                <w:sz w:val="20"/>
              </w:rPr>
            </w:pPr>
          </w:p>
          <w:p w:rsidR="00C75B88" w:rsidRPr="00FF4C0D" w:rsidRDefault="00C75B88" w:rsidP="00477D82">
            <w:pPr>
              <w:pStyle w:val="Table2"/>
              <w:rPr>
                <w:bCs w:val="0"/>
                <w:sz w:val="20"/>
              </w:rPr>
            </w:pPr>
            <w:r w:rsidRPr="00FF4C0D">
              <w:rPr>
                <w:bCs w:val="0"/>
                <w:sz w:val="20"/>
              </w:rPr>
              <w:t>Suggested an amendment in the purpose to include New Zealand in the reference to laws governing radiation control, and the operation of irradiation facilities.</w:t>
            </w:r>
          </w:p>
          <w:p w:rsidR="00477D82" w:rsidRPr="00FF4C0D"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810C2" w:rsidRPr="00FF4C0D" w:rsidRDefault="00B810C2" w:rsidP="00C75B88">
            <w:pPr>
              <w:rPr>
                <w:sz w:val="20"/>
                <w:szCs w:val="20"/>
              </w:rPr>
            </w:pPr>
          </w:p>
          <w:p w:rsidR="00B810C2" w:rsidRPr="00FF4C0D" w:rsidRDefault="00B810C2" w:rsidP="00477D82">
            <w:pPr>
              <w:pStyle w:val="Table2"/>
              <w:rPr>
                <w:bCs w:val="0"/>
                <w:sz w:val="20"/>
              </w:rPr>
            </w:pPr>
          </w:p>
          <w:p w:rsidR="00B810C2" w:rsidRPr="00FF4C0D" w:rsidRDefault="00B810C2" w:rsidP="00477D82">
            <w:pPr>
              <w:pStyle w:val="Table2"/>
              <w:rPr>
                <w:bCs w:val="0"/>
                <w:sz w:val="20"/>
              </w:rPr>
            </w:pPr>
          </w:p>
          <w:p w:rsidR="00C75B88" w:rsidRPr="00FF4C0D" w:rsidRDefault="00C75B88" w:rsidP="00477D82">
            <w:pPr>
              <w:pStyle w:val="Table2"/>
              <w:rPr>
                <w:bCs w:val="0"/>
                <w:sz w:val="20"/>
                <w:lang w:eastAsia="en-GB"/>
              </w:rPr>
            </w:pPr>
            <w:r w:rsidRPr="00FF4C0D">
              <w:rPr>
                <w:bCs w:val="0"/>
                <w:sz w:val="20"/>
              </w:rPr>
              <w:t>NZMAF</w:t>
            </w:r>
          </w:p>
          <w:p w:rsidR="00C75B88" w:rsidRPr="00FF4C0D" w:rsidRDefault="00C75B88" w:rsidP="001E28C0">
            <w:pPr>
              <w:rPr>
                <w:sz w:val="20"/>
                <w:szCs w:val="20"/>
              </w:rPr>
            </w:pPr>
          </w:p>
        </w:tc>
      </w:tr>
      <w:tr w:rsidR="001E28C0" w:rsidRPr="00FF4C0D" w:rsidTr="00C55182">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1E28C0" w:rsidP="00B810C2">
            <w:pPr>
              <w:rPr>
                <w:b/>
                <w:sz w:val="20"/>
                <w:szCs w:val="20"/>
                <w:lang w:eastAsia="en-GB"/>
              </w:rPr>
            </w:pPr>
            <w:r w:rsidRPr="00FF4C0D">
              <w:rPr>
                <w:b/>
                <w:sz w:val="20"/>
                <w:szCs w:val="20"/>
              </w:rPr>
              <w:t>Reference to prohibiting irradiation on unsafe or unsuitable food</w:t>
            </w:r>
            <w:r w:rsidR="007869D9" w:rsidRPr="00FF4C0D">
              <w:rPr>
                <w:b/>
                <w:sz w:val="20"/>
                <w:szCs w:val="20"/>
              </w:rPr>
              <w:t xml:space="preserve"> (see 7</w:t>
            </w:r>
            <w:r w:rsidR="00477D82" w:rsidRPr="00FF4C0D">
              <w:rPr>
                <w:b/>
                <w:sz w:val="20"/>
                <w:szCs w:val="20"/>
              </w:rPr>
              <w:t>.3.1.1)</w:t>
            </w:r>
          </w:p>
          <w:p w:rsidR="001E28C0" w:rsidRPr="00FF4C0D" w:rsidRDefault="001E28C0" w:rsidP="00477D82">
            <w:pPr>
              <w:pStyle w:val="Table2"/>
              <w:rPr>
                <w:bCs w:val="0"/>
                <w:sz w:val="20"/>
              </w:rPr>
            </w:pPr>
          </w:p>
          <w:p w:rsidR="001E28C0" w:rsidRPr="00FF4C0D" w:rsidRDefault="001E28C0" w:rsidP="00477D82">
            <w:pPr>
              <w:pStyle w:val="Table2"/>
              <w:rPr>
                <w:bCs w:val="0"/>
                <w:sz w:val="20"/>
                <w:lang w:eastAsia="en-GB"/>
              </w:rPr>
            </w:pPr>
            <w:r w:rsidRPr="00FF4C0D">
              <w:rPr>
                <w:bCs w:val="0"/>
                <w:sz w:val="20"/>
              </w:rPr>
              <w:t xml:space="preserve">The intent proposed by FSANZ is understood but difficult for enforcement agencies to establish if a food was unsafe or unsuitable before it was irradiated. The drafting should be revised or the original words be reinstated in order to make it clear that irradiating a food will require a demonstration of technological need and that it must be associated with food hygiene. </w:t>
            </w:r>
          </w:p>
          <w:p w:rsidR="001E28C0" w:rsidRPr="00FF4C0D" w:rsidRDefault="001E28C0" w:rsidP="00477D82">
            <w:pPr>
              <w:pStyle w:val="Table2"/>
              <w:rPr>
                <w:bCs w:val="0"/>
                <w:sz w:val="20"/>
              </w:rPr>
            </w:pPr>
          </w:p>
          <w:p w:rsidR="007869D9" w:rsidRPr="00FF4C0D" w:rsidRDefault="001E28C0" w:rsidP="00477D82">
            <w:pPr>
              <w:pStyle w:val="Table2"/>
              <w:rPr>
                <w:bCs w:val="0"/>
                <w:sz w:val="20"/>
              </w:rPr>
            </w:pPr>
            <w:r w:rsidRPr="00FF4C0D">
              <w:rPr>
                <w:bCs w:val="0"/>
                <w:sz w:val="20"/>
              </w:rPr>
              <w:t>A definition of ‘unsafe or unsuitable’ food should</w:t>
            </w:r>
            <w:r w:rsidR="00EE4B60" w:rsidRPr="00FF4C0D">
              <w:rPr>
                <w:bCs w:val="0"/>
                <w:sz w:val="20"/>
              </w:rPr>
              <w:t xml:space="preserve"> be included in Standard 1.5.3.</w:t>
            </w:r>
          </w:p>
          <w:p w:rsidR="007869D9" w:rsidRPr="00FF4C0D" w:rsidRDefault="007869D9" w:rsidP="00477D82">
            <w:pPr>
              <w:pStyle w:val="Table2"/>
              <w:rPr>
                <w:bCs w:val="0"/>
                <w:sz w:val="20"/>
              </w:rPr>
            </w:pPr>
          </w:p>
          <w:p w:rsidR="001E28C0" w:rsidRPr="00FF4C0D" w:rsidRDefault="001E28C0" w:rsidP="00477D82">
            <w:pPr>
              <w:pStyle w:val="Table2"/>
              <w:rPr>
                <w:bCs w:val="0"/>
                <w:sz w:val="20"/>
              </w:rPr>
            </w:pPr>
            <w:r w:rsidRPr="00FF4C0D">
              <w:rPr>
                <w:bCs w:val="0"/>
                <w:sz w:val="20"/>
              </w:rPr>
              <w:t>Irradiation may in the future have particular application to the provision of foods that are ‘super safe’ for immune-compromised, young, elderly or pregnant people. In those spe</w:t>
            </w:r>
            <w:r w:rsidR="00477D82" w:rsidRPr="00FF4C0D">
              <w:rPr>
                <w:bCs w:val="0"/>
                <w:sz w:val="20"/>
              </w:rPr>
              <w:t>cific populations, some foods might</w:t>
            </w:r>
            <w:r w:rsidRPr="00FF4C0D">
              <w:rPr>
                <w:bCs w:val="0"/>
                <w:sz w:val="20"/>
              </w:rPr>
              <w:t xml:space="preserve"> be unsafe because of the presence of particular pathogens at certain levels, but entirely acceptable for the general population. A reference to unsafe or unsuitable food does not differentiate between these specific populations and the general population.</w:t>
            </w:r>
          </w:p>
          <w:p w:rsidR="00477D82" w:rsidRPr="00FF4C0D" w:rsidRDefault="00477D82" w:rsidP="00477D82">
            <w:pPr>
              <w:pStyle w:val="Table2"/>
            </w:pPr>
          </w:p>
        </w:tc>
        <w:tc>
          <w:tcPr>
            <w:tcW w:w="4637" w:type="dxa"/>
            <w:tcBorders>
              <w:top w:val="single" w:sz="4" w:space="0" w:color="000000"/>
              <w:left w:val="single" w:sz="4" w:space="0" w:color="000000"/>
              <w:bottom w:val="single" w:sz="4" w:space="0" w:color="000000"/>
              <w:right w:val="single" w:sz="4" w:space="0" w:color="000000"/>
            </w:tcBorders>
          </w:tcPr>
          <w:p w:rsidR="001E28C0" w:rsidRPr="00FF4C0D" w:rsidRDefault="001E28C0" w:rsidP="00477D82">
            <w:pPr>
              <w:pStyle w:val="Table2"/>
              <w:rPr>
                <w:bCs w:val="0"/>
                <w:sz w:val="20"/>
              </w:rPr>
            </w:pPr>
          </w:p>
          <w:p w:rsidR="001E28C0" w:rsidRPr="00FF4C0D" w:rsidRDefault="001E28C0" w:rsidP="00477D82">
            <w:pPr>
              <w:pStyle w:val="Table2"/>
              <w:rPr>
                <w:bCs w:val="0"/>
                <w:sz w:val="20"/>
              </w:rPr>
            </w:pPr>
          </w:p>
          <w:p w:rsidR="00B810C2" w:rsidRPr="00FF4C0D" w:rsidRDefault="00B810C2" w:rsidP="00477D82">
            <w:pPr>
              <w:pStyle w:val="Table2"/>
              <w:rPr>
                <w:bCs w:val="0"/>
                <w:sz w:val="20"/>
              </w:rPr>
            </w:pPr>
          </w:p>
          <w:p w:rsidR="001E28C0" w:rsidRPr="00FF4C0D" w:rsidRDefault="001E28C0" w:rsidP="00477D82">
            <w:pPr>
              <w:pStyle w:val="Table2"/>
              <w:rPr>
                <w:bCs w:val="0"/>
                <w:sz w:val="20"/>
                <w:lang w:eastAsia="en-GB"/>
              </w:rPr>
            </w:pPr>
            <w:r w:rsidRPr="00FF4C0D">
              <w:rPr>
                <w:bCs w:val="0"/>
                <w:sz w:val="20"/>
              </w:rPr>
              <w:t>SA Health</w:t>
            </w: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rPr>
            </w:pPr>
          </w:p>
          <w:p w:rsidR="001E28C0" w:rsidRPr="00FF4C0D" w:rsidRDefault="001E28C0" w:rsidP="00477D82">
            <w:pPr>
              <w:pStyle w:val="Table2"/>
              <w:rPr>
                <w:bCs w:val="0"/>
                <w:sz w:val="20"/>
                <w:lang w:eastAsia="en-GB"/>
              </w:rPr>
            </w:pPr>
            <w:r w:rsidRPr="00FF4C0D">
              <w:rPr>
                <w:bCs w:val="0"/>
                <w:sz w:val="20"/>
              </w:rPr>
              <w:t>NZMAF</w:t>
            </w: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p>
          <w:p w:rsidR="001E28C0" w:rsidRPr="00FF4C0D" w:rsidRDefault="001E28C0" w:rsidP="00477D82">
            <w:pPr>
              <w:pStyle w:val="Table2"/>
              <w:rPr>
                <w:bCs w:val="0"/>
                <w:sz w:val="20"/>
                <w:lang w:eastAsia="en-GB"/>
              </w:rPr>
            </w:pPr>
            <w:r w:rsidRPr="00FF4C0D">
              <w:rPr>
                <w:bCs w:val="0"/>
                <w:sz w:val="20"/>
              </w:rPr>
              <w:t>NZFGC</w:t>
            </w:r>
          </w:p>
          <w:p w:rsidR="001E28C0" w:rsidRPr="00FF4C0D" w:rsidRDefault="001E28C0" w:rsidP="001E28C0">
            <w:pPr>
              <w:rPr>
                <w:sz w:val="20"/>
                <w:szCs w:val="20"/>
              </w:rPr>
            </w:pPr>
          </w:p>
        </w:tc>
      </w:tr>
      <w:tr w:rsidR="001E28C0" w:rsidRPr="00FF4C0D" w:rsidTr="00477D82">
        <w:trPr>
          <w:trHeight w:val="1728"/>
        </w:trPr>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1E28C0" w:rsidP="00B810C2">
            <w:pPr>
              <w:rPr>
                <w:b/>
                <w:sz w:val="20"/>
                <w:szCs w:val="20"/>
                <w:lang w:eastAsia="en-GB"/>
              </w:rPr>
            </w:pPr>
            <w:r w:rsidRPr="00FF4C0D">
              <w:rPr>
                <w:b/>
                <w:sz w:val="20"/>
                <w:szCs w:val="20"/>
              </w:rPr>
              <w:t>Good manufacturing pra</w:t>
            </w:r>
            <w:r w:rsidR="00B810C2" w:rsidRPr="00FF4C0D">
              <w:rPr>
                <w:b/>
                <w:sz w:val="20"/>
                <w:szCs w:val="20"/>
              </w:rPr>
              <w:t>ctice</w:t>
            </w:r>
            <w:r w:rsidR="007869D9" w:rsidRPr="00FF4C0D">
              <w:rPr>
                <w:b/>
                <w:sz w:val="20"/>
                <w:szCs w:val="20"/>
              </w:rPr>
              <w:t>s (GMP) in Standard 1.5.3 (see 7</w:t>
            </w:r>
            <w:r w:rsidR="00477D82" w:rsidRPr="00FF4C0D">
              <w:rPr>
                <w:b/>
                <w:sz w:val="20"/>
                <w:szCs w:val="20"/>
              </w:rPr>
              <w:t>.3.1.2)</w:t>
            </w:r>
          </w:p>
          <w:p w:rsidR="001E28C0" w:rsidRPr="00FF4C0D" w:rsidRDefault="001E28C0" w:rsidP="00477D82">
            <w:pPr>
              <w:pStyle w:val="Table2"/>
              <w:rPr>
                <w:bCs w:val="0"/>
                <w:sz w:val="20"/>
              </w:rPr>
            </w:pPr>
          </w:p>
          <w:p w:rsidR="001E28C0" w:rsidRPr="00FF4C0D" w:rsidRDefault="001E28C0" w:rsidP="00477D82">
            <w:pPr>
              <w:pStyle w:val="Table2"/>
              <w:rPr>
                <w:bCs w:val="0"/>
                <w:sz w:val="20"/>
              </w:rPr>
            </w:pPr>
            <w:r w:rsidRPr="00FF4C0D">
              <w:rPr>
                <w:bCs w:val="0"/>
                <w:sz w:val="20"/>
              </w:rPr>
              <w:t>References to GMP should be retained and the amendment to exclude irradiation of unsafe or unsuitable food should not proceed as they are both linked to each other.</w:t>
            </w:r>
          </w:p>
          <w:p w:rsidR="00477D82" w:rsidRPr="00FF4C0D"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810C2" w:rsidRPr="00FF4C0D" w:rsidRDefault="00B810C2" w:rsidP="00477D82">
            <w:pPr>
              <w:pStyle w:val="Table2"/>
              <w:rPr>
                <w:bCs w:val="0"/>
                <w:sz w:val="20"/>
              </w:rPr>
            </w:pPr>
          </w:p>
          <w:p w:rsidR="001E28C0" w:rsidRPr="00FF4C0D" w:rsidRDefault="001E28C0" w:rsidP="00477D82">
            <w:pPr>
              <w:pStyle w:val="Table2"/>
              <w:rPr>
                <w:bCs w:val="0"/>
                <w:sz w:val="20"/>
                <w:lang w:eastAsia="en-GB"/>
              </w:rPr>
            </w:pPr>
            <w:r w:rsidRPr="00FF4C0D">
              <w:rPr>
                <w:bCs w:val="0"/>
                <w:sz w:val="20"/>
              </w:rPr>
              <w:t xml:space="preserve">Radiation Advisory </w:t>
            </w:r>
            <w:r w:rsidR="00E43CB7" w:rsidRPr="00FF4C0D">
              <w:rPr>
                <w:bCs w:val="0"/>
                <w:sz w:val="20"/>
              </w:rPr>
              <w:t>Services</w:t>
            </w:r>
          </w:p>
          <w:p w:rsidR="001E28C0" w:rsidRPr="00FF4C0D" w:rsidRDefault="001E28C0" w:rsidP="00B82043">
            <w:pPr>
              <w:rPr>
                <w:sz w:val="20"/>
                <w:szCs w:val="20"/>
              </w:rPr>
            </w:pPr>
          </w:p>
        </w:tc>
      </w:tr>
      <w:tr w:rsidR="00B82043" w:rsidRPr="00FF4C0D" w:rsidTr="00C55182">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B82043" w:rsidP="00B810C2">
            <w:pPr>
              <w:rPr>
                <w:b/>
                <w:sz w:val="20"/>
                <w:szCs w:val="20"/>
                <w:lang w:eastAsia="en-GB"/>
              </w:rPr>
            </w:pPr>
            <w:r w:rsidRPr="00FF4C0D">
              <w:rPr>
                <w:b/>
                <w:sz w:val="20"/>
                <w:szCs w:val="20"/>
              </w:rPr>
              <w:t>Definition of a minimum dose to ach</w:t>
            </w:r>
            <w:r w:rsidR="00B810C2" w:rsidRPr="00FF4C0D">
              <w:rPr>
                <w:b/>
                <w:sz w:val="20"/>
                <w:szCs w:val="20"/>
              </w:rPr>
              <w:t xml:space="preserve">ieve </w:t>
            </w:r>
            <w:r w:rsidR="007869D9" w:rsidRPr="00FF4C0D">
              <w:rPr>
                <w:b/>
                <w:sz w:val="20"/>
                <w:szCs w:val="20"/>
              </w:rPr>
              <w:t>the technological purpose (see 7</w:t>
            </w:r>
            <w:r w:rsidR="00477D82" w:rsidRPr="00FF4C0D">
              <w:rPr>
                <w:b/>
                <w:sz w:val="20"/>
                <w:szCs w:val="20"/>
              </w:rPr>
              <w:t>.3.1.3)</w:t>
            </w:r>
          </w:p>
          <w:p w:rsidR="00B82043" w:rsidRPr="00FF4C0D" w:rsidRDefault="00B82043" w:rsidP="00477D82">
            <w:pPr>
              <w:pStyle w:val="Table2"/>
              <w:rPr>
                <w:bCs w:val="0"/>
                <w:sz w:val="20"/>
              </w:rPr>
            </w:pPr>
          </w:p>
          <w:p w:rsidR="00B82043" w:rsidRPr="00FF4C0D" w:rsidRDefault="00B82043" w:rsidP="00477D82">
            <w:pPr>
              <w:pStyle w:val="Table2"/>
              <w:rPr>
                <w:bCs w:val="0"/>
                <w:sz w:val="20"/>
              </w:rPr>
            </w:pPr>
            <w:r w:rsidRPr="00FF4C0D">
              <w:rPr>
                <w:bCs w:val="0"/>
                <w:sz w:val="20"/>
              </w:rPr>
              <w:t>The concept of a minimum dose to achieve the purpose of irradiating a food should be retained.</w:t>
            </w:r>
          </w:p>
          <w:p w:rsidR="00477D82" w:rsidRPr="00FF4C0D" w:rsidRDefault="00477D82" w:rsidP="00477D82">
            <w:pPr>
              <w:pStyle w:val="Table2"/>
              <w:rPr>
                <w:bCs w:val="0"/>
                <w:sz w:val="20"/>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810C2" w:rsidRPr="00FF4C0D" w:rsidRDefault="00B810C2" w:rsidP="00477D82">
            <w:pPr>
              <w:pStyle w:val="Table2"/>
              <w:rPr>
                <w:bCs w:val="0"/>
                <w:sz w:val="20"/>
              </w:rPr>
            </w:pPr>
          </w:p>
          <w:p w:rsidR="00B82043" w:rsidRPr="00FF4C0D" w:rsidRDefault="00B82043" w:rsidP="00477D82">
            <w:pPr>
              <w:pStyle w:val="Table2"/>
              <w:rPr>
                <w:bCs w:val="0"/>
                <w:sz w:val="20"/>
                <w:lang w:eastAsia="en-GB"/>
              </w:rPr>
            </w:pPr>
            <w:r w:rsidRPr="00FF4C0D">
              <w:rPr>
                <w:bCs w:val="0"/>
                <w:sz w:val="20"/>
              </w:rPr>
              <w:t>SA Health</w:t>
            </w:r>
          </w:p>
          <w:p w:rsidR="00B82043" w:rsidRPr="00FF4C0D" w:rsidRDefault="00B82043" w:rsidP="00B82043">
            <w:pPr>
              <w:rPr>
                <w:sz w:val="20"/>
                <w:szCs w:val="20"/>
              </w:rPr>
            </w:pPr>
          </w:p>
        </w:tc>
      </w:tr>
      <w:tr w:rsidR="00B82043" w:rsidRPr="00FF4C0D" w:rsidTr="00C55182">
        <w:trPr>
          <w:cantSplit/>
        </w:trPr>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B82043" w:rsidP="00B810C2">
            <w:pPr>
              <w:rPr>
                <w:b/>
                <w:sz w:val="20"/>
                <w:szCs w:val="20"/>
                <w:lang w:eastAsia="en-GB"/>
              </w:rPr>
            </w:pPr>
            <w:r w:rsidRPr="00FF4C0D">
              <w:rPr>
                <w:b/>
                <w:sz w:val="20"/>
                <w:szCs w:val="20"/>
              </w:rPr>
              <w:lastRenderedPageBreak/>
              <w:t>Amendment to the minimum dose for i</w:t>
            </w:r>
            <w:r w:rsidR="00B810C2" w:rsidRPr="00FF4C0D">
              <w:rPr>
                <w:b/>
                <w:sz w:val="20"/>
                <w:szCs w:val="20"/>
              </w:rPr>
              <w:t>rradi</w:t>
            </w:r>
            <w:r w:rsidR="007869D9" w:rsidRPr="00FF4C0D">
              <w:rPr>
                <w:b/>
                <w:sz w:val="20"/>
                <w:szCs w:val="20"/>
              </w:rPr>
              <w:t>ation of herbs and spices (see 7</w:t>
            </w:r>
            <w:r w:rsidR="00477D82" w:rsidRPr="00FF4C0D">
              <w:rPr>
                <w:b/>
                <w:sz w:val="20"/>
                <w:szCs w:val="20"/>
              </w:rPr>
              <w:t>.3.1.4)</w:t>
            </w:r>
          </w:p>
          <w:p w:rsidR="00B82043" w:rsidRPr="00FF4C0D" w:rsidRDefault="00B82043" w:rsidP="00477D82">
            <w:pPr>
              <w:pStyle w:val="Table2"/>
              <w:rPr>
                <w:bCs w:val="0"/>
                <w:sz w:val="20"/>
              </w:rPr>
            </w:pPr>
          </w:p>
          <w:p w:rsidR="00B82043" w:rsidRPr="00FF4C0D" w:rsidRDefault="00477D82" w:rsidP="00477D82">
            <w:pPr>
              <w:pStyle w:val="Table2"/>
              <w:rPr>
                <w:bCs w:val="0"/>
                <w:sz w:val="20"/>
              </w:rPr>
            </w:pPr>
            <w:r w:rsidRPr="00FF4C0D">
              <w:rPr>
                <w:bCs w:val="0"/>
                <w:sz w:val="20"/>
              </w:rPr>
              <w:t>Concerned that the Table to c</w:t>
            </w:r>
            <w:r w:rsidR="00B82043" w:rsidRPr="00FF4C0D">
              <w:rPr>
                <w:bCs w:val="0"/>
                <w:sz w:val="20"/>
              </w:rPr>
              <w:t xml:space="preserve">lause 4 </w:t>
            </w:r>
            <w:r w:rsidRPr="00FF4C0D">
              <w:rPr>
                <w:bCs w:val="0"/>
                <w:sz w:val="20"/>
              </w:rPr>
              <w:t>is being amended so that there wa</w:t>
            </w:r>
            <w:r w:rsidR="00B82043" w:rsidRPr="00FF4C0D">
              <w:rPr>
                <w:bCs w:val="0"/>
                <w:sz w:val="20"/>
              </w:rPr>
              <w:t xml:space="preserve">s no minimum dose specified in Column 2 for irradiation of herbs and spices and no condition in column 3 for a minimum dose to achieve the technological purpose. </w:t>
            </w:r>
            <w:r w:rsidRPr="00FF4C0D">
              <w:rPr>
                <w:bCs w:val="0"/>
                <w:sz w:val="20"/>
              </w:rPr>
              <w:t>C</w:t>
            </w:r>
            <w:r w:rsidR="00B82043" w:rsidRPr="00FF4C0D">
              <w:rPr>
                <w:bCs w:val="0"/>
                <w:sz w:val="20"/>
              </w:rPr>
              <w:t>oncerned that there was no explanation provided as to why this change was proposed.</w:t>
            </w:r>
          </w:p>
          <w:p w:rsidR="00477D82" w:rsidRPr="00FF4C0D"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B82043">
            <w:pPr>
              <w:rPr>
                <w:sz w:val="20"/>
                <w:szCs w:val="20"/>
              </w:rPr>
            </w:pPr>
          </w:p>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EE4B60" w:rsidRPr="00FF4C0D" w:rsidRDefault="00EE4B60" w:rsidP="00477D82">
            <w:pPr>
              <w:pStyle w:val="Table2"/>
              <w:rPr>
                <w:bCs w:val="0"/>
                <w:sz w:val="20"/>
              </w:rPr>
            </w:pPr>
          </w:p>
          <w:p w:rsidR="00B82043" w:rsidRPr="00FF4C0D" w:rsidRDefault="00B82043" w:rsidP="00477D82">
            <w:pPr>
              <w:pStyle w:val="Table2"/>
              <w:rPr>
                <w:bCs w:val="0"/>
                <w:sz w:val="20"/>
                <w:lang w:eastAsia="en-GB"/>
              </w:rPr>
            </w:pPr>
            <w:r w:rsidRPr="00FF4C0D">
              <w:rPr>
                <w:bCs w:val="0"/>
                <w:sz w:val="20"/>
              </w:rPr>
              <w:t>SA health</w:t>
            </w:r>
          </w:p>
          <w:p w:rsidR="00B82043" w:rsidRPr="00FF4C0D" w:rsidRDefault="00B82043" w:rsidP="00B82043">
            <w:pPr>
              <w:rPr>
                <w:sz w:val="20"/>
                <w:szCs w:val="20"/>
              </w:rPr>
            </w:pPr>
          </w:p>
        </w:tc>
      </w:tr>
      <w:tr w:rsidR="00B82043" w:rsidRPr="00FF4C0D" w:rsidTr="00C55182">
        <w:tc>
          <w:tcPr>
            <w:tcW w:w="4435" w:type="dxa"/>
            <w:tcBorders>
              <w:top w:val="single" w:sz="4" w:space="0" w:color="000000"/>
              <w:left w:val="single" w:sz="4" w:space="0" w:color="000000"/>
              <w:bottom w:val="single" w:sz="4" w:space="0" w:color="000000"/>
              <w:right w:val="single" w:sz="4" w:space="0" w:color="000000"/>
            </w:tcBorders>
          </w:tcPr>
          <w:p w:rsidR="00B810C2" w:rsidRPr="00FF4C0D" w:rsidRDefault="00B82043" w:rsidP="00B810C2">
            <w:pPr>
              <w:rPr>
                <w:b/>
                <w:sz w:val="20"/>
                <w:szCs w:val="20"/>
                <w:lang w:eastAsia="en-GB"/>
              </w:rPr>
            </w:pPr>
            <w:r w:rsidRPr="00FF4C0D">
              <w:rPr>
                <w:b/>
                <w:sz w:val="20"/>
                <w:szCs w:val="20"/>
              </w:rPr>
              <w:t>Deletion of the clause relating t</w:t>
            </w:r>
            <w:r w:rsidR="00B810C2" w:rsidRPr="00FF4C0D">
              <w:rPr>
                <w:b/>
                <w:sz w:val="20"/>
                <w:szCs w:val="20"/>
              </w:rPr>
              <w:t>o rec</w:t>
            </w:r>
            <w:r w:rsidR="007869D9" w:rsidRPr="00FF4C0D">
              <w:rPr>
                <w:b/>
                <w:sz w:val="20"/>
                <w:szCs w:val="20"/>
              </w:rPr>
              <w:t>ords for food irradiation (see 7</w:t>
            </w:r>
            <w:r w:rsidR="00477D82" w:rsidRPr="00FF4C0D">
              <w:rPr>
                <w:b/>
                <w:sz w:val="20"/>
                <w:szCs w:val="20"/>
              </w:rPr>
              <w:t>.4.1)</w:t>
            </w:r>
            <w:r w:rsidR="00B810C2" w:rsidRPr="00FF4C0D">
              <w:rPr>
                <w:b/>
                <w:sz w:val="20"/>
                <w:szCs w:val="20"/>
              </w:rPr>
              <w:t xml:space="preserve"> </w:t>
            </w:r>
          </w:p>
          <w:p w:rsidR="00B810C2" w:rsidRPr="00FF4C0D" w:rsidRDefault="00B810C2" w:rsidP="00477D82">
            <w:pPr>
              <w:pStyle w:val="Table2"/>
              <w:rPr>
                <w:bCs w:val="0"/>
                <w:sz w:val="20"/>
              </w:rPr>
            </w:pPr>
          </w:p>
          <w:p w:rsidR="00B82043" w:rsidRPr="00FF4C0D" w:rsidRDefault="00B82043" w:rsidP="00477D82">
            <w:pPr>
              <w:pStyle w:val="Table2"/>
              <w:rPr>
                <w:bCs w:val="0"/>
                <w:sz w:val="20"/>
              </w:rPr>
            </w:pPr>
            <w:r w:rsidRPr="00FF4C0D">
              <w:rPr>
                <w:bCs w:val="0"/>
                <w:sz w:val="20"/>
              </w:rPr>
              <w:t xml:space="preserve">Clause 5 should be retained as currently in New Zealand the legislative and record-keeping and traceability requirements for licensed irradiation facilities in New Zealand do not cover the current requirements in </w:t>
            </w:r>
            <w:r w:rsidR="00477D82" w:rsidRPr="00FF4C0D">
              <w:rPr>
                <w:bCs w:val="0"/>
                <w:sz w:val="20"/>
              </w:rPr>
              <w:t>clause 5 and there needed</w:t>
            </w:r>
            <w:r w:rsidRPr="00FF4C0D">
              <w:rPr>
                <w:bCs w:val="0"/>
                <w:sz w:val="20"/>
              </w:rPr>
              <w:t xml:space="preserve"> to be a mechanism in place to monitor the compliance of irradiation facilities with record-keeping requirements and take enforcement action, if necessary.</w:t>
            </w:r>
          </w:p>
          <w:p w:rsidR="00477D82" w:rsidRPr="00FF4C0D" w:rsidRDefault="00477D82" w:rsidP="00477D82">
            <w:pPr>
              <w:pStyle w:val="Table2"/>
              <w:rPr>
                <w:lang w:eastAsia="en-GB"/>
              </w:rPr>
            </w:pPr>
          </w:p>
        </w:tc>
        <w:tc>
          <w:tcPr>
            <w:tcW w:w="4637" w:type="dxa"/>
            <w:tcBorders>
              <w:top w:val="single" w:sz="4" w:space="0" w:color="000000"/>
              <w:left w:val="single" w:sz="4" w:space="0" w:color="000000"/>
              <w:bottom w:val="single" w:sz="4" w:space="0" w:color="000000"/>
              <w:right w:val="single" w:sz="4" w:space="0" w:color="000000"/>
            </w:tcBorders>
          </w:tcPr>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208AA" w:rsidRPr="00FF4C0D" w:rsidRDefault="00B208AA" w:rsidP="00477D82">
            <w:pPr>
              <w:pStyle w:val="Table2"/>
              <w:rPr>
                <w:bCs w:val="0"/>
                <w:sz w:val="20"/>
              </w:rPr>
            </w:pPr>
          </w:p>
          <w:p w:rsidR="00B810C2" w:rsidRPr="00FF4C0D" w:rsidRDefault="00B810C2" w:rsidP="00477D82">
            <w:pPr>
              <w:pStyle w:val="Table2"/>
              <w:rPr>
                <w:bCs w:val="0"/>
                <w:sz w:val="20"/>
              </w:rPr>
            </w:pPr>
          </w:p>
          <w:p w:rsidR="00B82043" w:rsidRPr="00FF4C0D" w:rsidRDefault="00B82043" w:rsidP="00477D82">
            <w:pPr>
              <w:pStyle w:val="Table2"/>
              <w:rPr>
                <w:bCs w:val="0"/>
                <w:sz w:val="20"/>
                <w:lang w:eastAsia="en-GB"/>
              </w:rPr>
            </w:pPr>
            <w:r w:rsidRPr="00FF4C0D">
              <w:rPr>
                <w:bCs w:val="0"/>
                <w:sz w:val="20"/>
              </w:rPr>
              <w:t xml:space="preserve">NZMAF and Radiation Advisory Services </w:t>
            </w:r>
          </w:p>
          <w:p w:rsidR="00B82043" w:rsidRPr="00FF4C0D" w:rsidRDefault="00B82043">
            <w:pPr>
              <w:pStyle w:val="Table2"/>
              <w:ind w:left="0" w:firstLine="0"/>
              <w:rPr>
                <w:sz w:val="20"/>
              </w:rPr>
            </w:pPr>
          </w:p>
        </w:tc>
      </w:tr>
      <w:tr w:rsidR="00B82043" w:rsidTr="00C55182">
        <w:tc>
          <w:tcPr>
            <w:tcW w:w="4435" w:type="dxa"/>
            <w:tcBorders>
              <w:top w:val="single" w:sz="4" w:space="0" w:color="000000"/>
              <w:left w:val="single" w:sz="4" w:space="0" w:color="000000"/>
              <w:bottom w:val="single" w:sz="4" w:space="0" w:color="000000"/>
              <w:right w:val="single" w:sz="4" w:space="0" w:color="000000"/>
            </w:tcBorders>
          </w:tcPr>
          <w:p w:rsidR="00B82043" w:rsidRPr="00FF4C0D" w:rsidRDefault="00477D82" w:rsidP="00B82043">
            <w:pPr>
              <w:rPr>
                <w:b/>
                <w:sz w:val="20"/>
                <w:szCs w:val="20"/>
                <w:lang w:eastAsia="en-GB"/>
              </w:rPr>
            </w:pPr>
            <w:r w:rsidRPr="00FF4C0D">
              <w:rPr>
                <w:b/>
                <w:sz w:val="20"/>
                <w:szCs w:val="20"/>
              </w:rPr>
              <w:t>Deletion of sub</w:t>
            </w:r>
            <w:r w:rsidR="00B82043" w:rsidRPr="00FF4C0D">
              <w:rPr>
                <w:b/>
                <w:sz w:val="20"/>
                <w:szCs w:val="20"/>
              </w:rPr>
              <w:t>clause 6(4) of Standard 1.5.3</w:t>
            </w:r>
            <w:r w:rsidR="007869D9" w:rsidRPr="00FF4C0D">
              <w:rPr>
                <w:b/>
                <w:sz w:val="20"/>
                <w:szCs w:val="20"/>
              </w:rPr>
              <w:t xml:space="preserve"> (see 7</w:t>
            </w:r>
            <w:r w:rsidRPr="00FF4C0D">
              <w:rPr>
                <w:b/>
                <w:sz w:val="20"/>
                <w:szCs w:val="20"/>
              </w:rPr>
              <w:t>.5.3)</w:t>
            </w:r>
            <w:r w:rsidR="0036559E" w:rsidRPr="00FF4C0D">
              <w:rPr>
                <w:b/>
                <w:sz w:val="20"/>
                <w:szCs w:val="20"/>
              </w:rPr>
              <w:t xml:space="preserve"> </w:t>
            </w:r>
            <w:r w:rsidR="00B82043" w:rsidRPr="00FF4C0D">
              <w:rPr>
                <w:b/>
                <w:sz w:val="20"/>
                <w:szCs w:val="20"/>
              </w:rPr>
              <w:t xml:space="preserve"> </w:t>
            </w:r>
          </w:p>
          <w:p w:rsidR="00B82043" w:rsidRPr="00FF4C0D" w:rsidRDefault="00B82043" w:rsidP="00477D82">
            <w:pPr>
              <w:pStyle w:val="Table2"/>
              <w:rPr>
                <w:bCs w:val="0"/>
                <w:sz w:val="20"/>
              </w:rPr>
            </w:pPr>
          </w:p>
          <w:p w:rsidR="00B82043" w:rsidRPr="00FF4C0D" w:rsidRDefault="00B82043" w:rsidP="00477D82">
            <w:pPr>
              <w:pStyle w:val="Table2"/>
              <w:rPr>
                <w:bCs w:val="0"/>
                <w:sz w:val="20"/>
              </w:rPr>
            </w:pPr>
            <w:r w:rsidRPr="00FF4C0D">
              <w:rPr>
                <w:bCs w:val="0"/>
                <w:sz w:val="20"/>
              </w:rPr>
              <w:t>Requested that FSANZ specify the other provisions in the Code that require</w:t>
            </w:r>
            <w:r w:rsidR="00477D82" w:rsidRPr="00FF4C0D">
              <w:rPr>
                <w:bCs w:val="0"/>
                <w:sz w:val="20"/>
              </w:rPr>
              <w:t>d</w:t>
            </w:r>
            <w:r w:rsidRPr="00FF4C0D">
              <w:rPr>
                <w:bCs w:val="0"/>
                <w:sz w:val="20"/>
              </w:rPr>
              <w:t xml:space="preserve"> this information to be held. It is currently unclear and the rationale behind the need for this information to be provided on the label needs to be provided.</w:t>
            </w:r>
          </w:p>
          <w:p w:rsidR="00477D82" w:rsidRPr="00FF4C0D" w:rsidRDefault="00477D82" w:rsidP="00477D82">
            <w:pPr>
              <w:pStyle w:val="Table2"/>
              <w:rPr>
                <w:b/>
              </w:rPr>
            </w:pPr>
          </w:p>
        </w:tc>
        <w:tc>
          <w:tcPr>
            <w:tcW w:w="4637" w:type="dxa"/>
            <w:tcBorders>
              <w:top w:val="single" w:sz="4" w:space="0" w:color="000000"/>
              <w:left w:val="single" w:sz="4" w:space="0" w:color="000000"/>
              <w:bottom w:val="single" w:sz="4" w:space="0" w:color="000000"/>
              <w:right w:val="single" w:sz="4" w:space="0" w:color="000000"/>
            </w:tcBorders>
          </w:tcPr>
          <w:p w:rsidR="00477D82" w:rsidRPr="00FF4C0D" w:rsidRDefault="00477D82" w:rsidP="00477D82">
            <w:pPr>
              <w:pStyle w:val="Table2"/>
              <w:rPr>
                <w:bCs w:val="0"/>
                <w:sz w:val="20"/>
              </w:rPr>
            </w:pPr>
          </w:p>
          <w:p w:rsidR="00477D82" w:rsidRPr="00FF4C0D" w:rsidRDefault="00477D82" w:rsidP="00477D82">
            <w:pPr>
              <w:pStyle w:val="Table2"/>
              <w:rPr>
                <w:bCs w:val="0"/>
                <w:sz w:val="20"/>
              </w:rPr>
            </w:pPr>
          </w:p>
          <w:p w:rsidR="00477D82" w:rsidRPr="00FF4C0D" w:rsidRDefault="00477D82" w:rsidP="00477D82">
            <w:pPr>
              <w:pStyle w:val="Table2"/>
              <w:rPr>
                <w:bCs w:val="0"/>
                <w:sz w:val="20"/>
              </w:rPr>
            </w:pPr>
          </w:p>
          <w:p w:rsidR="00B82043" w:rsidRPr="00477D82" w:rsidRDefault="00B82043" w:rsidP="00477D82">
            <w:pPr>
              <w:pStyle w:val="Table2"/>
            </w:pPr>
            <w:r w:rsidRPr="00FF4C0D">
              <w:rPr>
                <w:bCs w:val="0"/>
                <w:sz w:val="20"/>
              </w:rPr>
              <w:t>NZMAF</w:t>
            </w:r>
          </w:p>
        </w:tc>
      </w:tr>
    </w:tbl>
    <w:p w:rsidR="004A14D7" w:rsidRDefault="004A14D7" w:rsidP="004A14D7">
      <w:pPr>
        <w:rPr>
          <w:rFonts w:cs="Arial"/>
          <w:bCs/>
          <w:sz w:val="18"/>
          <w:szCs w:val="18"/>
        </w:rPr>
      </w:pPr>
    </w:p>
    <w:sectPr w:rsidR="004A14D7" w:rsidSect="00633401">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39" w:rsidRDefault="002D5039">
      <w:r>
        <w:separator/>
      </w:r>
    </w:p>
  </w:endnote>
  <w:endnote w:type="continuationSeparator" w:id="0">
    <w:p w:rsidR="002D5039" w:rsidRDefault="002D5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Default="001D1B96" w:rsidP="001C27A3">
    <w:pPr>
      <w:pStyle w:val="Footer"/>
      <w:framePr w:wrap="around" w:vAnchor="text" w:hAnchor="margin" w:xAlign="center" w:y="1"/>
      <w:rPr>
        <w:rStyle w:val="PageNumber"/>
      </w:rPr>
    </w:pPr>
    <w:r>
      <w:rPr>
        <w:rStyle w:val="PageNumber"/>
      </w:rPr>
      <w:fldChar w:fldCharType="begin"/>
    </w:r>
    <w:r w:rsidR="002D5039">
      <w:rPr>
        <w:rStyle w:val="PageNumber"/>
      </w:rPr>
      <w:instrText xml:space="preserve">PAGE  </w:instrText>
    </w:r>
    <w:r>
      <w:rPr>
        <w:rStyle w:val="PageNumber"/>
      </w:rPr>
      <w:fldChar w:fldCharType="end"/>
    </w:r>
  </w:p>
  <w:p w:rsidR="002D5039" w:rsidRDefault="002D50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Default="001D1B96" w:rsidP="001C27A3">
    <w:pPr>
      <w:pStyle w:val="Footer"/>
      <w:framePr w:wrap="around" w:vAnchor="text" w:hAnchor="margin" w:xAlign="center" w:y="1"/>
      <w:rPr>
        <w:rStyle w:val="PageNumber"/>
      </w:rPr>
    </w:pPr>
    <w:r>
      <w:rPr>
        <w:rStyle w:val="PageNumber"/>
      </w:rPr>
      <w:fldChar w:fldCharType="begin"/>
    </w:r>
    <w:r w:rsidR="002D5039">
      <w:rPr>
        <w:rStyle w:val="PageNumber"/>
      </w:rPr>
      <w:instrText xml:space="preserve">PAGE  </w:instrText>
    </w:r>
    <w:r>
      <w:rPr>
        <w:rStyle w:val="PageNumber"/>
      </w:rPr>
      <w:fldChar w:fldCharType="separate"/>
    </w:r>
    <w:r w:rsidR="00FF4C0D">
      <w:rPr>
        <w:rStyle w:val="PageNumber"/>
        <w:noProof/>
      </w:rPr>
      <w:t>i</w:t>
    </w:r>
    <w:r>
      <w:rPr>
        <w:rStyle w:val="PageNumber"/>
      </w:rPr>
      <w:fldChar w:fldCharType="end"/>
    </w:r>
  </w:p>
  <w:p w:rsidR="002D5039" w:rsidRDefault="002D503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Default="002D5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39" w:rsidRDefault="002D5039">
      <w:r>
        <w:separator/>
      </w:r>
    </w:p>
  </w:footnote>
  <w:footnote w:type="continuationSeparator" w:id="0">
    <w:p w:rsidR="002D5039" w:rsidRDefault="002D5039">
      <w:r>
        <w:continuationSeparator/>
      </w:r>
    </w:p>
  </w:footnote>
  <w:footnote w:id="1">
    <w:p w:rsidR="002D5039" w:rsidRPr="009319A9" w:rsidRDefault="002D5039" w:rsidP="0056782A">
      <w:pPr>
        <w:pStyle w:val="FootnoteText"/>
        <w:rPr>
          <w:sz w:val="18"/>
          <w:szCs w:val="18"/>
          <w:lang w:val="en-AU"/>
        </w:rPr>
      </w:pPr>
      <w:r w:rsidRPr="00317757">
        <w:rPr>
          <w:rStyle w:val="FootnoteReference"/>
          <w:sz w:val="18"/>
          <w:szCs w:val="18"/>
        </w:rPr>
        <w:footnoteRef/>
      </w:r>
      <w:r w:rsidRPr="00317757">
        <w:rPr>
          <w:sz w:val="18"/>
          <w:szCs w:val="18"/>
        </w:rPr>
        <w:t xml:space="preserve"> </w:t>
      </w:r>
      <w:r w:rsidRPr="00317757">
        <w:rPr>
          <w:sz w:val="18"/>
          <w:szCs w:val="18"/>
          <w:lang w:val="en-AU"/>
        </w:rPr>
        <w:t>A phytosanitary measure is any legislation, regulation or official procedure having the purpose to prevent the introduction and/or spread of quarantine pests, or to limit the economic impact of regulated non-quarantine pests.</w:t>
      </w:r>
    </w:p>
  </w:footnote>
  <w:footnote w:id="2">
    <w:p w:rsidR="002D5039" w:rsidRPr="008514FE" w:rsidRDefault="002D5039">
      <w:pPr>
        <w:pStyle w:val="FootnoteText"/>
        <w:rPr>
          <w:lang w:val="en-AU"/>
        </w:rPr>
      </w:pPr>
      <w:r w:rsidRPr="00266FAA">
        <w:rPr>
          <w:rStyle w:val="FootnoteReference"/>
        </w:rPr>
        <w:footnoteRef/>
      </w:r>
      <w:r w:rsidRPr="00483979">
        <w:rPr>
          <w:color w:val="3366FF"/>
        </w:rPr>
        <w:t xml:space="preserve"> </w:t>
      </w:r>
      <w:hyperlink r:id="rId1" w:history="1">
        <w:r w:rsidRPr="00266FAA">
          <w:rPr>
            <w:rStyle w:val="Hyperlink"/>
            <w:color w:val="3333FF"/>
            <w:sz w:val="18"/>
            <w:szCs w:val="18"/>
          </w:rPr>
          <w:t>http://www.foodstandards.gov.au/consumerinformation/foodirradiation.cfm</w:t>
        </w:r>
      </w:hyperlink>
    </w:p>
  </w:footnote>
  <w:footnote w:id="3">
    <w:p w:rsidR="002D5039" w:rsidRPr="009319A9" w:rsidRDefault="002D5039" w:rsidP="004921F7">
      <w:pPr>
        <w:pStyle w:val="FootnoteText"/>
        <w:rPr>
          <w:sz w:val="18"/>
          <w:szCs w:val="18"/>
          <w:lang w:val="en-AU"/>
        </w:rPr>
      </w:pPr>
      <w:r w:rsidRPr="00317757">
        <w:rPr>
          <w:rStyle w:val="FootnoteReference"/>
          <w:sz w:val="18"/>
          <w:szCs w:val="18"/>
        </w:rPr>
        <w:footnoteRef/>
      </w:r>
      <w:r w:rsidRPr="00317757">
        <w:rPr>
          <w:sz w:val="18"/>
          <w:szCs w:val="18"/>
        </w:rPr>
        <w:t xml:space="preserve"> </w:t>
      </w:r>
      <w:r w:rsidRPr="00317757">
        <w:rPr>
          <w:sz w:val="18"/>
          <w:szCs w:val="18"/>
          <w:lang w:val="en-AU"/>
        </w:rPr>
        <w:t>A phytosanitary measure is any legislation, regulation or official procedure having the purpose to prevent the introduction and/or spread of quarantine pests, or to limit the economic impact of regulated non-quarantine pests.</w:t>
      </w:r>
    </w:p>
  </w:footnote>
  <w:footnote w:id="4">
    <w:p w:rsidR="002D5039" w:rsidRPr="009319A9" w:rsidRDefault="002D5039" w:rsidP="00693371">
      <w:pPr>
        <w:pStyle w:val="FootnoteText"/>
        <w:rPr>
          <w:sz w:val="18"/>
          <w:szCs w:val="18"/>
        </w:rPr>
      </w:pPr>
      <w:r w:rsidRPr="009319A9">
        <w:rPr>
          <w:rStyle w:val="FootnoteReference"/>
          <w:sz w:val="18"/>
          <w:szCs w:val="18"/>
        </w:rPr>
        <w:footnoteRef/>
      </w:r>
      <w:r w:rsidRPr="009319A9">
        <w:rPr>
          <w:sz w:val="18"/>
          <w:szCs w:val="18"/>
        </w:rPr>
        <w:t xml:space="preserve"> The </w:t>
      </w:r>
      <w:r w:rsidRPr="009319A9">
        <w:rPr>
          <w:b/>
          <w:bCs/>
          <w:sz w:val="18"/>
          <w:szCs w:val="18"/>
        </w:rPr>
        <w:t>gray</w:t>
      </w:r>
      <w:r>
        <w:rPr>
          <w:sz w:val="18"/>
          <w:szCs w:val="18"/>
        </w:rPr>
        <w:t xml:space="preserve"> (abbreviation: Gy) is the international </w:t>
      </w:r>
      <w:r w:rsidRPr="009319A9">
        <w:rPr>
          <w:sz w:val="18"/>
          <w:szCs w:val="18"/>
        </w:rPr>
        <w:t xml:space="preserve">unit of absorbed radiation dose of </w:t>
      </w:r>
      <w:r>
        <w:rPr>
          <w:sz w:val="18"/>
          <w:szCs w:val="18"/>
        </w:rPr>
        <w:t>ionising</w:t>
      </w:r>
      <w:r w:rsidRPr="009319A9">
        <w:rPr>
          <w:sz w:val="18"/>
          <w:szCs w:val="18"/>
        </w:rPr>
        <w:t xml:space="preserve"> radiation (for example, X-rays</w:t>
      </w:r>
      <w:r>
        <w:rPr>
          <w:sz w:val="18"/>
          <w:szCs w:val="18"/>
        </w:rPr>
        <w:t xml:space="preserve"> and gamma rays</w:t>
      </w:r>
      <w:r w:rsidRPr="009319A9">
        <w:rPr>
          <w:sz w:val="18"/>
          <w:szCs w:val="18"/>
        </w:rPr>
        <w:t>)</w:t>
      </w:r>
    </w:p>
  </w:footnote>
  <w:footnote w:id="5">
    <w:p w:rsidR="002D5039" w:rsidRPr="00002928" w:rsidRDefault="002D5039" w:rsidP="00693371">
      <w:pPr>
        <w:pStyle w:val="FootnoteText"/>
        <w:rPr>
          <w:lang w:val="en-AU"/>
        </w:rPr>
      </w:pPr>
      <w:r w:rsidRPr="00002928">
        <w:rPr>
          <w:rStyle w:val="FootnoteReference"/>
          <w:sz w:val="18"/>
          <w:szCs w:val="18"/>
        </w:rPr>
        <w:footnoteRef/>
      </w:r>
      <w:r w:rsidRPr="00002928">
        <w:rPr>
          <w:sz w:val="18"/>
          <w:szCs w:val="18"/>
        </w:rPr>
        <w:t xml:space="preserve"> </w:t>
      </w:r>
      <w:hyperlink r:id="rId2" w:history="1">
        <w:r w:rsidRPr="00C7574D">
          <w:rPr>
            <w:rStyle w:val="Hyperlink"/>
            <w:color w:val="3333FF"/>
            <w:sz w:val="18"/>
            <w:szCs w:val="18"/>
          </w:rPr>
          <w:t>http://www.domesticquarantine.org.au/</w:t>
        </w:r>
      </w:hyperlink>
    </w:p>
  </w:footnote>
  <w:footnote w:id="6">
    <w:p w:rsidR="002D5039" w:rsidRPr="005129E9" w:rsidRDefault="002D5039">
      <w:pPr>
        <w:pStyle w:val="FootnoteText"/>
        <w:rPr>
          <w:sz w:val="18"/>
          <w:szCs w:val="18"/>
        </w:rPr>
      </w:pPr>
      <w:r>
        <w:rPr>
          <w:rStyle w:val="FootnoteReference"/>
        </w:rPr>
        <w:footnoteRef/>
      </w:r>
      <w:r>
        <w:t xml:space="preserve"> </w:t>
      </w:r>
      <w:r w:rsidRPr="005129E9">
        <w:rPr>
          <w:sz w:val="18"/>
          <w:szCs w:val="18"/>
        </w:rPr>
        <w:t>A mega</w:t>
      </w:r>
      <w:r>
        <w:rPr>
          <w:sz w:val="18"/>
          <w:szCs w:val="18"/>
        </w:rPr>
        <w:t>-</w:t>
      </w:r>
      <w:r w:rsidRPr="005129E9">
        <w:rPr>
          <w:sz w:val="18"/>
          <w:szCs w:val="18"/>
        </w:rPr>
        <w:t xml:space="preserve">electron volt is a unit of </w:t>
      </w:r>
      <w:hyperlink r:id="rId3" w:tooltip="Energy" w:history="1">
        <w:r w:rsidRPr="005129E9">
          <w:rPr>
            <w:rStyle w:val="Hyperlink"/>
            <w:sz w:val="18"/>
            <w:szCs w:val="18"/>
          </w:rPr>
          <w:t>energy</w:t>
        </w:r>
      </w:hyperlink>
    </w:p>
  </w:footnote>
  <w:footnote w:id="7">
    <w:p w:rsidR="002D5039" w:rsidRPr="006A0E48" w:rsidRDefault="002D5039" w:rsidP="00272128">
      <w:pPr>
        <w:pStyle w:val="FootnoteText"/>
        <w:rPr>
          <w:sz w:val="18"/>
          <w:szCs w:val="18"/>
          <w:lang w:val="en-AU"/>
        </w:rPr>
      </w:pPr>
      <w:r w:rsidRPr="001A5A1C">
        <w:rPr>
          <w:rStyle w:val="FootnoteReference"/>
          <w:sz w:val="18"/>
          <w:szCs w:val="18"/>
        </w:rPr>
        <w:footnoteRef/>
      </w:r>
      <w:r w:rsidRPr="001A5A1C">
        <w:rPr>
          <w:sz w:val="18"/>
          <w:szCs w:val="18"/>
        </w:rPr>
        <w:t xml:space="preserve"> The </w:t>
      </w:r>
      <w:r w:rsidRPr="001A5A1C">
        <w:rPr>
          <w:b/>
          <w:bCs/>
          <w:sz w:val="18"/>
          <w:szCs w:val="18"/>
        </w:rPr>
        <w:t>Radura</w:t>
      </w:r>
      <w:r w:rsidRPr="001A5A1C">
        <w:rPr>
          <w:sz w:val="18"/>
          <w:szCs w:val="18"/>
        </w:rPr>
        <w:t xml:space="preserve"> is the international symbol indicating a food product has been </w:t>
      </w:r>
      <w:hyperlink r:id="rId4" w:tooltip="Irradiation" w:history="1">
        <w:r w:rsidRPr="006A0E48">
          <w:rPr>
            <w:rStyle w:val="Hyperlink"/>
            <w:sz w:val="18"/>
            <w:szCs w:val="18"/>
            <w:u w:val="none"/>
          </w:rPr>
          <w:t>irradiated</w:t>
        </w:r>
      </w:hyperlink>
      <w:r w:rsidRPr="006A0E48">
        <w:rPr>
          <w:sz w:val="18"/>
          <w:szCs w:val="18"/>
        </w:rPr>
        <w:t>.</w:t>
      </w:r>
    </w:p>
  </w:footnote>
  <w:footnote w:id="8">
    <w:p w:rsidR="002D5039" w:rsidRPr="002D2567" w:rsidRDefault="002D5039">
      <w:pPr>
        <w:pStyle w:val="FootnoteText"/>
        <w:rPr>
          <w:sz w:val="18"/>
          <w:szCs w:val="18"/>
        </w:rPr>
      </w:pPr>
      <w:r w:rsidRPr="004139CF">
        <w:rPr>
          <w:rStyle w:val="FootnoteReference"/>
          <w:sz w:val="18"/>
          <w:szCs w:val="18"/>
        </w:rPr>
        <w:footnoteRef/>
      </w:r>
      <w:r w:rsidRPr="004139CF">
        <w:rPr>
          <w:sz w:val="18"/>
          <w:szCs w:val="18"/>
        </w:rPr>
        <w:t xml:space="preserve"> </w:t>
      </w:r>
      <w:hyperlink r:id="rId5" w:history="1">
        <w:r w:rsidRPr="0047463D">
          <w:rPr>
            <w:rStyle w:val="Hyperlink"/>
            <w:color w:val="0000FF"/>
            <w:sz w:val="18"/>
            <w:szCs w:val="18"/>
          </w:rPr>
          <w:t>http://www.codexalimentarius.net/download/standards/16/CXS_106e.pdf</w:t>
        </w:r>
      </w:hyperlink>
    </w:p>
  </w:footnote>
  <w:footnote w:id="9">
    <w:p w:rsidR="002D5039" w:rsidRPr="00697494" w:rsidRDefault="002D5039" w:rsidP="002D2567">
      <w:pPr>
        <w:pStyle w:val="FootnoteText"/>
        <w:rPr>
          <w:sz w:val="18"/>
          <w:szCs w:val="18"/>
          <w:lang w:val="en-AU"/>
        </w:rPr>
      </w:pPr>
      <w:r w:rsidRPr="00697494">
        <w:rPr>
          <w:rStyle w:val="FootnoteReference"/>
          <w:sz w:val="18"/>
          <w:szCs w:val="18"/>
        </w:rPr>
        <w:footnoteRef/>
      </w:r>
      <w:r w:rsidRPr="00697494">
        <w:rPr>
          <w:sz w:val="18"/>
          <w:szCs w:val="18"/>
        </w:rPr>
        <w:t xml:space="preserve"> </w:t>
      </w:r>
      <w:r w:rsidRPr="00697494">
        <w:rPr>
          <w:sz w:val="18"/>
          <w:szCs w:val="18"/>
          <w:lang w:val="en-AU"/>
        </w:rPr>
        <w:t xml:space="preserve">In Canada, permission to irradiate beef, poultry, shrimp, prawns and mangoes are still in the process of Final Approval. </w:t>
      </w:r>
    </w:p>
  </w:footnote>
  <w:footnote w:id="10">
    <w:p w:rsidR="002D5039" w:rsidRPr="001930D4" w:rsidRDefault="002D5039">
      <w:pPr>
        <w:pStyle w:val="FootnoteText"/>
        <w:rPr>
          <w:sz w:val="18"/>
          <w:szCs w:val="18"/>
          <w:lang w:val="en-AU"/>
        </w:rPr>
      </w:pPr>
      <w:r w:rsidRPr="001930D4">
        <w:rPr>
          <w:rStyle w:val="FootnoteReference"/>
          <w:sz w:val="18"/>
          <w:szCs w:val="18"/>
        </w:rPr>
        <w:footnoteRef/>
      </w:r>
      <w:r w:rsidRPr="001930D4">
        <w:rPr>
          <w:sz w:val="18"/>
          <w:szCs w:val="18"/>
        </w:rPr>
        <w:t xml:space="preserve"> </w:t>
      </w:r>
      <w:r w:rsidRPr="001930D4">
        <w:rPr>
          <w:sz w:val="18"/>
          <w:szCs w:val="18"/>
          <w:lang w:val="en-AU"/>
        </w:rPr>
        <w:t>In the US</w:t>
      </w:r>
      <w:r>
        <w:rPr>
          <w:sz w:val="18"/>
          <w:szCs w:val="18"/>
          <w:lang w:val="en-AU"/>
        </w:rPr>
        <w:t>A</w:t>
      </w:r>
      <w:r w:rsidRPr="001930D4">
        <w:rPr>
          <w:sz w:val="18"/>
          <w:szCs w:val="18"/>
          <w:lang w:val="en-AU"/>
        </w:rPr>
        <w:t>, food irradiation is considered as a food additive under their legislation.</w:t>
      </w:r>
    </w:p>
  </w:footnote>
  <w:footnote w:id="11">
    <w:p w:rsidR="002D5039" w:rsidRPr="00016395" w:rsidRDefault="002D5039">
      <w:pPr>
        <w:pStyle w:val="FootnoteText"/>
        <w:rPr>
          <w:lang w:val="en-AU"/>
        </w:rPr>
      </w:pPr>
      <w:r w:rsidRPr="00161B99">
        <w:rPr>
          <w:rStyle w:val="FootnoteReference"/>
          <w:sz w:val="18"/>
          <w:szCs w:val="18"/>
        </w:rPr>
        <w:footnoteRef/>
      </w:r>
      <w:r w:rsidRPr="00161B99">
        <w:rPr>
          <w:sz w:val="18"/>
          <w:szCs w:val="18"/>
        </w:rPr>
        <w:t xml:space="preserve"> </w:t>
      </w:r>
      <w:hyperlink r:id="rId6" w:history="1">
        <w:r w:rsidRPr="00930078">
          <w:rPr>
            <w:rStyle w:val="Hyperlink"/>
            <w:color w:val="3333FF"/>
            <w:sz w:val="18"/>
            <w:szCs w:val="18"/>
          </w:rPr>
          <w:t>http://www.foodstandards.gov.au/_srcfiles/A443%20FAR%20-%20Irradiation%20Tropical%20Fruit.pdf</w:t>
        </w:r>
      </w:hyperlink>
    </w:p>
  </w:footnote>
  <w:footnote w:id="12">
    <w:p w:rsidR="002D5039" w:rsidRPr="00163B31" w:rsidRDefault="002D5039" w:rsidP="008D49BF">
      <w:pPr>
        <w:pStyle w:val="FootnoteText"/>
        <w:rPr>
          <w:rFonts w:cs="Arial"/>
          <w:sz w:val="18"/>
          <w:szCs w:val="18"/>
          <w:lang w:val="en-AU"/>
        </w:rPr>
      </w:pPr>
      <w:r w:rsidRPr="00163B31">
        <w:rPr>
          <w:rStyle w:val="FootnoteReference"/>
          <w:rFonts w:cs="Arial"/>
          <w:sz w:val="18"/>
          <w:szCs w:val="18"/>
        </w:rPr>
        <w:footnoteRef/>
      </w:r>
      <w:r w:rsidRPr="00163B31">
        <w:rPr>
          <w:rFonts w:cs="Arial"/>
          <w:sz w:val="18"/>
          <w:szCs w:val="18"/>
        </w:rPr>
        <w:t xml:space="preserve"> </w:t>
      </w:r>
      <w:r w:rsidRPr="00163B31">
        <w:rPr>
          <w:rFonts w:cs="Arial"/>
          <w:color w:val="000000"/>
          <w:sz w:val="18"/>
          <w:szCs w:val="18"/>
        </w:rPr>
        <w:t>Particular chemical compounds (molecules) that are found following irradiation of food</w:t>
      </w:r>
    </w:p>
  </w:footnote>
  <w:footnote w:id="13">
    <w:p w:rsidR="002D5039" w:rsidRPr="0086767F" w:rsidRDefault="002D5039" w:rsidP="00317F70">
      <w:pPr>
        <w:pStyle w:val="FootnoteText"/>
        <w:rPr>
          <w:sz w:val="18"/>
          <w:szCs w:val="18"/>
          <w:lang w:val="en-AU"/>
        </w:rPr>
      </w:pPr>
      <w:r w:rsidRPr="0086767F">
        <w:rPr>
          <w:rStyle w:val="FootnoteReference"/>
          <w:sz w:val="18"/>
          <w:szCs w:val="18"/>
        </w:rPr>
        <w:footnoteRef/>
      </w:r>
      <w:r w:rsidRPr="0086767F">
        <w:rPr>
          <w:sz w:val="18"/>
          <w:szCs w:val="18"/>
        </w:rPr>
        <w:t xml:space="preserve"> </w:t>
      </w:r>
      <w:hyperlink r:id="rId7" w:history="1">
        <w:r w:rsidRPr="0086767F">
          <w:rPr>
            <w:rStyle w:val="Hyperlink"/>
            <w:color w:val="3333FF"/>
            <w:sz w:val="18"/>
            <w:szCs w:val="18"/>
          </w:rPr>
          <w:t>http://www.foodstandards.gov.au/scienceandeducation/scienceinfsanz/</w:t>
        </w:r>
      </w:hyperlink>
      <w:r w:rsidRPr="0086767F">
        <w:rPr>
          <w:rStyle w:val="Hyperlink"/>
          <w:color w:val="3333FF"/>
          <w:sz w:val="18"/>
          <w:szCs w:val="18"/>
        </w:rPr>
        <w:t xml:space="preserve"> and </w:t>
      </w:r>
      <w:hyperlink r:id="rId8" w:history="1">
        <w:r w:rsidRPr="0086767F">
          <w:rPr>
            <w:rStyle w:val="Hyperlink"/>
            <w:color w:val="3333FF"/>
            <w:sz w:val="18"/>
            <w:szCs w:val="18"/>
          </w:rPr>
          <w:t>http://www.foodstandards.gov.au/_srcfiles/Food%20Related%20Health%20Risks%20WEB_FA.pdf</w:t>
        </w:r>
      </w:hyperlink>
    </w:p>
  </w:footnote>
  <w:footnote w:id="14">
    <w:p w:rsidR="002D5039" w:rsidRPr="0086767F" w:rsidRDefault="002D5039" w:rsidP="003433AC">
      <w:pPr>
        <w:rPr>
          <w:lang w:val="en-AU"/>
        </w:rPr>
      </w:pPr>
      <w:r w:rsidRPr="0086767F">
        <w:rPr>
          <w:rStyle w:val="FootnoteReference"/>
          <w:sz w:val="18"/>
          <w:szCs w:val="18"/>
        </w:rPr>
        <w:footnoteRef/>
      </w:r>
      <w:r w:rsidRPr="0086767F">
        <w:rPr>
          <w:sz w:val="18"/>
          <w:szCs w:val="18"/>
        </w:rPr>
        <w:t xml:space="preserve"> </w:t>
      </w:r>
      <w:hyperlink r:id="rId9" w:history="1">
        <w:r w:rsidRPr="0086767F">
          <w:rPr>
            <w:rStyle w:val="Hyperlink"/>
            <w:color w:val="3333FF"/>
            <w:sz w:val="18"/>
            <w:szCs w:val="18"/>
          </w:rPr>
          <w:t>http://www.efsa.europa.eu/en/efsajournal/pub/1930.htm</w:t>
        </w:r>
      </w:hyperlink>
      <w:r w:rsidRPr="0086767F">
        <w:rPr>
          <w:rStyle w:val="Hyperlink"/>
          <w:color w:val="3333FF"/>
          <w:sz w:val="18"/>
          <w:szCs w:val="18"/>
        </w:rPr>
        <w:t>.</w:t>
      </w:r>
    </w:p>
  </w:footnote>
  <w:footnote w:id="15">
    <w:p w:rsidR="002D5039" w:rsidRPr="00E30BB7" w:rsidRDefault="002D5039" w:rsidP="00317F70">
      <w:pPr>
        <w:pStyle w:val="FootnoteText"/>
        <w:rPr>
          <w:color w:val="3333FF"/>
        </w:rPr>
      </w:pPr>
      <w:r w:rsidRPr="00E30BB7">
        <w:rPr>
          <w:rStyle w:val="FootnoteReference"/>
          <w:color w:val="3333FF"/>
        </w:rPr>
        <w:footnoteRef/>
      </w:r>
      <w:r w:rsidRPr="00E30BB7">
        <w:rPr>
          <w:color w:val="3333FF"/>
        </w:rPr>
        <w:t xml:space="preserve"> </w:t>
      </w:r>
      <w:hyperlink r:id="rId10" w:history="1">
        <w:r w:rsidRPr="00E30BB7">
          <w:rPr>
            <w:rStyle w:val="Hyperlink"/>
            <w:color w:val="3333FF"/>
          </w:rPr>
          <w:t>http://www.efsa.europa.eu/en/efsajournal/doc/1930.pdf</w:t>
        </w:r>
      </w:hyperlink>
    </w:p>
  </w:footnote>
  <w:footnote w:id="16">
    <w:p w:rsidR="002D5039" w:rsidRPr="00C7574D" w:rsidRDefault="002D5039" w:rsidP="00E15F28">
      <w:pPr>
        <w:pStyle w:val="FootnoteText"/>
        <w:rPr>
          <w:color w:val="3333FF"/>
          <w:sz w:val="18"/>
          <w:szCs w:val="18"/>
        </w:rPr>
      </w:pPr>
      <w:r w:rsidRPr="0090059B">
        <w:rPr>
          <w:rStyle w:val="FootnoteReference"/>
          <w:sz w:val="18"/>
          <w:szCs w:val="18"/>
        </w:rPr>
        <w:footnoteRef/>
      </w:r>
      <w:r w:rsidRPr="0090059B">
        <w:rPr>
          <w:sz w:val="18"/>
          <w:szCs w:val="18"/>
        </w:rPr>
        <w:t xml:space="preserve"> </w:t>
      </w:r>
      <w:hyperlink r:id="rId11" w:history="1">
        <w:r w:rsidRPr="00C7574D">
          <w:rPr>
            <w:rStyle w:val="Hyperlink"/>
            <w:color w:val="3333FF"/>
            <w:sz w:val="18"/>
            <w:szCs w:val="18"/>
          </w:rPr>
          <w:t>http://www.daff.gov.au/__data/assets/pdf_file/0003/771906/Mangoes_from_India_Final_Report.pdf</w:t>
        </w:r>
      </w:hyperlink>
    </w:p>
  </w:footnote>
  <w:footnote w:id="17">
    <w:p w:rsidR="002D5039" w:rsidRPr="0090059B" w:rsidRDefault="002D5039" w:rsidP="00E15F28">
      <w:pPr>
        <w:pStyle w:val="FootnoteText"/>
        <w:rPr>
          <w:sz w:val="18"/>
          <w:szCs w:val="18"/>
        </w:rPr>
      </w:pPr>
      <w:r w:rsidRPr="0090059B">
        <w:rPr>
          <w:rStyle w:val="FootnoteReference"/>
          <w:sz w:val="18"/>
          <w:szCs w:val="18"/>
        </w:rPr>
        <w:footnoteRef/>
      </w:r>
      <w:r w:rsidRPr="0090059B">
        <w:rPr>
          <w:sz w:val="18"/>
          <w:szCs w:val="18"/>
        </w:rPr>
        <w:t xml:space="preserve"> </w:t>
      </w:r>
      <w:hyperlink r:id="rId12" w:history="1">
        <w:r w:rsidRPr="00C7574D">
          <w:rPr>
            <w:rStyle w:val="Hyperlink"/>
            <w:color w:val="3333FF"/>
            <w:sz w:val="18"/>
            <w:szCs w:val="18"/>
          </w:rPr>
          <w:t>http://www.biosecurity.govt.nz/files/regs/imports/risk/aus-litchi-ra.pdf</w:t>
        </w:r>
      </w:hyperlink>
    </w:p>
  </w:footnote>
  <w:footnote w:id="18">
    <w:p w:rsidR="002D5039" w:rsidRPr="00C7574D" w:rsidRDefault="002D5039" w:rsidP="00E15F28">
      <w:pPr>
        <w:pStyle w:val="FootnoteText"/>
        <w:rPr>
          <w:color w:val="3333FF"/>
          <w:sz w:val="18"/>
          <w:szCs w:val="18"/>
        </w:rPr>
      </w:pPr>
      <w:r w:rsidRPr="0090059B">
        <w:rPr>
          <w:rStyle w:val="FootnoteReference"/>
          <w:sz w:val="18"/>
          <w:szCs w:val="18"/>
        </w:rPr>
        <w:footnoteRef/>
      </w:r>
      <w:r w:rsidRPr="0090059B">
        <w:rPr>
          <w:sz w:val="18"/>
          <w:szCs w:val="18"/>
        </w:rPr>
        <w:t xml:space="preserve"> </w:t>
      </w:r>
      <w:hyperlink r:id="rId13" w:history="1">
        <w:r w:rsidRPr="00C7574D">
          <w:rPr>
            <w:rStyle w:val="Hyperlink"/>
            <w:color w:val="3333FF"/>
            <w:sz w:val="18"/>
            <w:szCs w:val="18"/>
          </w:rPr>
          <w:t>http://www.hortaccess.com.au/page/plant_quarantine__food_safety.html</w:t>
        </w:r>
      </w:hyperlink>
    </w:p>
    <w:p w:rsidR="002D5039" w:rsidRPr="00C7574D" w:rsidRDefault="001D1B96" w:rsidP="00E15F28">
      <w:pPr>
        <w:pStyle w:val="FootnoteText"/>
        <w:rPr>
          <w:color w:val="3333FF"/>
          <w:sz w:val="18"/>
          <w:szCs w:val="18"/>
        </w:rPr>
      </w:pPr>
      <w:hyperlink r:id="rId14" w:history="1">
        <w:r w:rsidR="002D5039" w:rsidRPr="00C7574D">
          <w:rPr>
            <w:rStyle w:val="Hyperlink"/>
            <w:color w:val="3333FF"/>
            <w:sz w:val="18"/>
            <w:szCs w:val="18"/>
          </w:rPr>
          <w:t>http://www.biosecurity.govt.nz/files/ihs/mango-au.pdf</w:t>
        </w:r>
      </w:hyperlink>
    </w:p>
    <w:p w:rsidR="002D5039" w:rsidRPr="0090059B" w:rsidRDefault="001D1B96" w:rsidP="00E15F28">
      <w:pPr>
        <w:pStyle w:val="FootnoteText"/>
        <w:rPr>
          <w:sz w:val="18"/>
          <w:szCs w:val="18"/>
        </w:rPr>
      </w:pPr>
      <w:hyperlink r:id="rId15" w:history="1">
        <w:r w:rsidR="002D5039" w:rsidRPr="00C7574D">
          <w:rPr>
            <w:rStyle w:val="Hyperlink"/>
            <w:color w:val="3333FF"/>
            <w:sz w:val="18"/>
            <w:szCs w:val="18"/>
          </w:rPr>
          <w:t>http://www.biosecurity.govt.nz/files/biosec/policy-laws/intl/sps/transparency/notifications/nzl341-ft.pdf</w:t>
        </w:r>
      </w:hyperlink>
    </w:p>
  </w:footnote>
  <w:footnote w:id="19">
    <w:p w:rsidR="002D5039" w:rsidRPr="006746D3" w:rsidRDefault="002D5039" w:rsidP="003C40A8">
      <w:pPr>
        <w:pStyle w:val="FootnoteText"/>
      </w:pPr>
      <w:r w:rsidRPr="0090059B">
        <w:rPr>
          <w:rStyle w:val="FootnoteReference"/>
          <w:sz w:val="18"/>
          <w:szCs w:val="18"/>
        </w:rPr>
        <w:footnoteRef/>
      </w:r>
      <w:r w:rsidRPr="0090059B">
        <w:rPr>
          <w:sz w:val="18"/>
          <w:szCs w:val="18"/>
        </w:rPr>
        <w:t xml:space="preserve"> </w:t>
      </w:r>
      <w:hyperlink r:id="rId16" w:history="1">
        <w:r w:rsidRPr="00C7574D">
          <w:rPr>
            <w:rStyle w:val="Hyperlink"/>
            <w:color w:val="3333FF"/>
            <w:sz w:val="18"/>
            <w:szCs w:val="18"/>
          </w:rPr>
          <w:t>http://www.foodstandards.gov.au/_srcfiles/A443%20FAR%20-%20Irradiation%20Tropical%20Fruit.pdf</w:t>
        </w:r>
      </w:hyperlink>
    </w:p>
  </w:footnote>
  <w:footnote w:id="20">
    <w:p w:rsidR="002D5039" w:rsidRPr="00E30BB7" w:rsidRDefault="002D5039" w:rsidP="00A642F7">
      <w:pPr>
        <w:pStyle w:val="FootnoteText"/>
        <w:rPr>
          <w:color w:val="3333FF"/>
          <w:sz w:val="18"/>
          <w:szCs w:val="18"/>
        </w:rPr>
      </w:pPr>
      <w:r w:rsidRPr="00707BFC">
        <w:rPr>
          <w:rStyle w:val="FootnoteReference"/>
          <w:sz w:val="18"/>
          <w:szCs w:val="18"/>
        </w:rPr>
        <w:footnoteRef/>
      </w:r>
      <w:r w:rsidRPr="00707BFC">
        <w:rPr>
          <w:sz w:val="18"/>
          <w:szCs w:val="18"/>
        </w:rPr>
        <w:t xml:space="preserve"> </w:t>
      </w:r>
      <w:hyperlink r:id="rId17" w:history="1">
        <w:r w:rsidRPr="00E30BB7">
          <w:rPr>
            <w:rStyle w:val="Hyperlink"/>
            <w:color w:val="3333FF"/>
            <w:sz w:val="18"/>
            <w:szCs w:val="18"/>
          </w:rPr>
          <w:t>http://www.phau.com.au/ica-docs/190-ica-55.pdf</w:t>
        </w:r>
      </w:hyperlink>
      <w:r w:rsidRPr="00E30BB7">
        <w:rPr>
          <w:color w:val="3333FF"/>
          <w:sz w:val="18"/>
          <w:szCs w:val="18"/>
        </w:rPr>
        <w:t xml:space="preserve"> and</w:t>
      </w:r>
      <w:r>
        <w:rPr>
          <w:color w:val="3333FF"/>
          <w:sz w:val="18"/>
          <w:szCs w:val="18"/>
        </w:rPr>
        <w:t xml:space="preserve"> </w:t>
      </w:r>
      <w:hyperlink r:id="rId18" w:history="1">
        <w:r w:rsidRPr="00E30BB7">
          <w:rPr>
            <w:rStyle w:val="Hyperlink"/>
            <w:color w:val="3333FF"/>
            <w:sz w:val="18"/>
            <w:szCs w:val="18"/>
          </w:rPr>
          <w:t>http://www.domesticquarantine.org.au/index.cfm?objectID=44F9C72D-A63D-3F2E-C127EE6E7389B7D8&amp;action=detail&amp;state=QLD&amp;id=ICA-55</w:t>
        </w:r>
      </w:hyperlink>
      <w:r w:rsidRPr="00E30BB7">
        <w:rPr>
          <w:color w:val="3333FF"/>
          <w:sz w:val="18"/>
          <w:szCs w:val="18"/>
        </w:rPr>
        <w:t>.</w:t>
      </w:r>
    </w:p>
    <w:p w:rsidR="002D5039" w:rsidRPr="00707BFC" w:rsidRDefault="002D5039" w:rsidP="00A642F7">
      <w:pPr>
        <w:pStyle w:val="FootnoteText"/>
        <w:rPr>
          <w:lang w:val="en-AU"/>
        </w:rPr>
      </w:pPr>
    </w:p>
  </w:footnote>
  <w:footnote w:id="21">
    <w:p w:rsidR="002D5039" w:rsidRPr="005C7A28" w:rsidRDefault="002D5039">
      <w:pPr>
        <w:pStyle w:val="FootnoteText"/>
        <w:rPr>
          <w:sz w:val="18"/>
          <w:szCs w:val="18"/>
        </w:rPr>
      </w:pPr>
      <w:r w:rsidRPr="005C7A28">
        <w:rPr>
          <w:rStyle w:val="FootnoteReference"/>
          <w:sz w:val="18"/>
          <w:szCs w:val="18"/>
        </w:rPr>
        <w:footnoteRef/>
      </w:r>
      <w:r w:rsidRPr="00C7574D">
        <w:rPr>
          <w:color w:val="3333FF"/>
          <w:sz w:val="18"/>
          <w:szCs w:val="18"/>
        </w:rPr>
        <w:t xml:space="preserve"> </w:t>
      </w:r>
      <w:hyperlink r:id="rId19" w:history="1">
        <w:r w:rsidRPr="00C7574D">
          <w:rPr>
            <w:rStyle w:val="Hyperlink"/>
            <w:color w:val="3333FF"/>
            <w:sz w:val="18"/>
            <w:szCs w:val="18"/>
          </w:rPr>
          <w:t>http://www.arpansa.gov.au/index.htm</w:t>
        </w:r>
      </w:hyperlink>
    </w:p>
  </w:footnote>
  <w:footnote w:id="22">
    <w:p w:rsidR="002D5039" w:rsidRDefault="002D5039" w:rsidP="00EB6213">
      <w:pPr>
        <w:pStyle w:val="FootnoteText"/>
      </w:pPr>
      <w:r w:rsidRPr="005C7A28">
        <w:rPr>
          <w:rStyle w:val="FootnoteReference"/>
          <w:sz w:val="18"/>
          <w:szCs w:val="18"/>
        </w:rPr>
        <w:footnoteRef/>
      </w:r>
      <w:r w:rsidRPr="005C7A28">
        <w:rPr>
          <w:sz w:val="18"/>
          <w:szCs w:val="18"/>
        </w:rPr>
        <w:t xml:space="preserve"> </w:t>
      </w:r>
      <w:r w:rsidRPr="005C7A28">
        <w:rPr>
          <w:bCs/>
          <w:sz w:val="18"/>
          <w:szCs w:val="18"/>
        </w:rPr>
        <w:t xml:space="preserve">Source: </w:t>
      </w:r>
      <w:hyperlink r:id="rId20" w:history="1">
        <w:r w:rsidRPr="00C7574D">
          <w:rPr>
            <w:rStyle w:val="Hyperlink"/>
            <w:bCs/>
            <w:color w:val="3333FF"/>
            <w:sz w:val="18"/>
            <w:szCs w:val="18"/>
          </w:rPr>
          <w:t>http://ec.europa.eu/food/food/biosafety/irradiation/anal_methods_en.htm</w:t>
        </w:r>
      </w:hyperlink>
      <w:r>
        <w:rPr>
          <w:bCs/>
          <w:sz w:val="18"/>
          <w:szCs w:val="18"/>
        </w:rPr>
        <w:t xml:space="preserve"> </w:t>
      </w:r>
    </w:p>
  </w:footnote>
  <w:footnote w:id="23">
    <w:p w:rsidR="002D5039" w:rsidRPr="00D73B21" w:rsidRDefault="002D5039" w:rsidP="00544039">
      <w:pPr>
        <w:pStyle w:val="FootnoteText"/>
        <w:rPr>
          <w:lang w:val="en-AU"/>
        </w:rPr>
      </w:pPr>
      <w:r>
        <w:rPr>
          <w:rStyle w:val="FootnoteReference"/>
        </w:rPr>
        <w:footnoteRef/>
      </w:r>
      <w:r>
        <w:t xml:space="preserve"> </w:t>
      </w:r>
      <w:hyperlink r:id="rId21" w:history="1">
        <w:r w:rsidRPr="00D73B21">
          <w:rPr>
            <w:rStyle w:val="Hyperlink"/>
            <w:rFonts w:cs="Arial"/>
            <w:iCs/>
            <w:color w:val="3333FF"/>
            <w:sz w:val="18"/>
            <w:szCs w:val="18"/>
          </w:rPr>
          <w:t>http://www.foodlabellingreview.gov.au/internet/foodlabelling/publishing.nsf/content/labelling-logic</w:t>
        </w:r>
      </w:hyperlink>
      <w:r w:rsidRPr="00D73B21">
        <w:rPr>
          <w:rFonts w:cs="Arial"/>
          <w:iCs/>
          <w:color w:val="3333FF"/>
          <w:sz w:val="18"/>
          <w:szCs w:val="18"/>
        </w:rPr>
        <w:t>.</w:t>
      </w:r>
    </w:p>
  </w:footnote>
  <w:footnote w:id="24">
    <w:p w:rsidR="002D5039" w:rsidRPr="00C13206" w:rsidRDefault="002D5039" w:rsidP="00F84B81">
      <w:pPr>
        <w:pStyle w:val="FootnoteText"/>
        <w:rPr>
          <w:sz w:val="18"/>
          <w:szCs w:val="18"/>
          <w:lang w:val="en-AU"/>
        </w:rPr>
      </w:pPr>
      <w:r w:rsidRPr="00C13206">
        <w:rPr>
          <w:rStyle w:val="FootnoteReference"/>
          <w:sz w:val="18"/>
          <w:szCs w:val="18"/>
        </w:rPr>
        <w:footnoteRef/>
      </w:r>
      <w:r w:rsidRPr="00C13206">
        <w:rPr>
          <w:sz w:val="18"/>
          <w:szCs w:val="18"/>
        </w:rPr>
        <w:t xml:space="preserve"> </w:t>
      </w:r>
      <w:proofErr w:type="spellStart"/>
      <w:r w:rsidRPr="00C13206">
        <w:rPr>
          <w:sz w:val="18"/>
          <w:szCs w:val="18"/>
          <w:lang w:val="en-AU"/>
        </w:rPr>
        <w:t>Ehlermann</w:t>
      </w:r>
      <w:proofErr w:type="spellEnd"/>
      <w:r w:rsidRPr="00C13206">
        <w:rPr>
          <w:sz w:val="18"/>
          <w:szCs w:val="18"/>
          <w:lang w:val="en-AU"/>
        </w:rPr>
        <w:t xml:space="preserve"> DAE (2009) The Radura-terminology and food irradiation. Food Control, 20, 526-528. </w:t>
      </w:r>
    </w:p>
  </w:footnote>
  <w:footnote w:id="25">
    <w:p w:rsidR="002D5039" w:rsidRPr="00BF569C" w:rsidRDefault="002D5039" w:rsidP="00AD179F">
      <w:pPr>
        <w:pStyle w:val="FootnoteText"/>
        <w:rPr>
          <w:sz w:val="18"/>
          <w:szCs w:val="18"/>
          <w:lang w:val="en-AU"/>
        </w:rPr>
      </w:pPr>
      <w:r w:rsidRPr="00BF569C">
        <w:rPr>
          <w:rStyle w:val="FootnoteReference"/>
          <w:sz w:val="18"/>
          <w:szCs w:val="18"/>
        </w:rPr>
        <w:footnoteRef/>
      </w:r>
      <w:r w:rsidRPr="00BF569C">
        <w:rPr>
          <w:sz w:val="18"/>
          <w:szCs w:val="18"/>
        </w:rPr>
        <w:t xml:space="preserve"> </w:t>
      </w:r>
      <w:hyperlink r:id="rId22" w:history="1">
        <w:r w:rsidRPr="00BF569C">
          <w:rPr>
            <w:rStyle w:val="Hyperlink"/>
            <w:color w:val="3333FF"/>
            <w:sz w:val="18"/>
            <w:szCs w:val="18"/>
          </w:rPr>
          <w:t>http://www.foodstandards.gov.au/_srcfiles/A413_FAR.pdf</w:t>
        </w:r>
      </w:hyperlink>
      <w:r w:rsidRPr="00BF569C">
        <w:rPr>
          <w:color w:val="3333FF"/>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Default="002D50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Pr="006A72BB" w:rsidRDefault="002D5039" w:rsidP="006A7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39" w:rsidRDefault="002D5039">
    <w:pPr>
      <w:jc w:val="center"/>
      <w:rPr>
        <w:b/>
        <w:bCs/>
      </w:rPr>
    </w:pPr>
    <w:r>
      <w:rPr>
        <w:b/>
        <w:bCs/>
      </w:rPr>
      <w:t>BOARD-IN-CONFIDENCE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4C9"/>
    <w:multiLevelType w:val="hybridMultilevel"/>
    <w:tmpl w:val="ECB8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22758"/>
    <w:multiLevelType w:val="multilevel"/>
    <w:tmpl w:val="4AC830C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9E65EA"/>
    <w:multiLevelType w:val="multilevel"/>
    <w:tmpl w:val="3FAAD30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5D7A49"/>
    <w:multiLevelType w:val="hybridMultilevel"/>
    <w:tmpl w:val="14541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4F1B7D"/>
    <w:multiLevelType w:val="hybridMultilevel"/>
    <w:tmpl w:val="A742238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ED0EA6"/>
    <w:multiLevelType w:val="multilevel"/>
    <w:tmpl w:val="55FE5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8D535E"/>
    <w:multiLevelType w:val="hybridMultilevel"/>
    <w:tmpl w:val="E500A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31A2933"/>
    <w:multiLevelType w:val="hybridMultilevel"/>
    <w:tmpl w:val="88FE0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4359BF"/>
    <w:multiLevelType w:val="multilevel"/>
    <w:tmpl w:val="9488B880"/>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B05458"/>
    <w:multiLevelType w:val="hybridMultilevel"/>
    <w:tmpl w:val="F02EC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E0557E"/>
    <w:multiLevelType w:val="multilevel"/>
    <w:tmpl w:val="1F5EE33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E6540F"/>
    <w:multiLevelType w:val="hybridMultilevel"/>
    <w:tmpl w:val="09EA9AD8"/>
    <w:lvl w:ilvl="0" w:tplc="0C090001">
      <w:start w:val="1"/>
      <w:numFmt w:val="bullet"/>
      <w:lvlText w:val=""/>
      <w:lvlJc w:val="left"/>
      <w:pPr>
        <w:ind w:left="7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FAF3280"/>
    <w:multiLevelType w:val="multilevel"/>
    <w:tmpl w:val="497C934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46551D"/>
    <w:multiLevelType w:val="multilevel"/>
    <w:tmpl w:val="0ADCE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2B48B7"/>
    <w:multiLevelType w:val="hybridMultilevel"/>
    <w:tmpl w:val="D0447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40223D"/>
    <w:multiLevelType w:val="hybridMultilevel"/>
    <w:tmpl w:val="9970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6D44DA"/>
    <w:multiLevelType w:val="hybridMultilevel"/>
    <w:tmpl w:val="4D422A8E"/>
    <w:lvl w:ilvl="0" w:tplc="5F304BDE">
      <w:start w:val="1"/>
      <w:numFmt w:val="bullet"/>
      <w:pStyle w:val="FS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9512D2"/>
    <w:multiLevelType w:val="multilevel"/>
    <w:tmpl w:val="5FDCF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510428"/>
    <w:multiLevelType w:val="hybridMultilevel"/>
    <w:tmpl w:val="5F0E0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62D0119"/>
    <w:multiLevelType w:val="hybridMultilevel"/>
    <w:tmpl w:val="96CA5B68"/>
    <w:lvl w:ilvl="0" w:tplc="BF6A0004">
      <w:start w:val="1"/>
      <w:numFmt w:val="bullet"/>
      <w:pStyle w:val="FSDash"/>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0"/>
  </w:num>
  <w:num w:numId="3">
    <w:abstractNumId w:val="1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6"/>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14"/>
  </w:num>
  <w:num w:numId="14">
    <w:abstractNumId w:val="2"/>
  </w:num>
  <w:num w:numId="15">
    <w:abstractNumId w:val="9"/>
  </w:num>
  <w:num w:numId="16">
    <w:abstractNumId w:val="1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8"/>
  </w:num>
  <w:num w:numId="21">
    <w:abstractNumId w:val="3"/>
  </w:num>
  <w:num w:numId="22">
    <w:abstractNumId w:val="21"/>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21"/>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F7342"/>
    <w:rsid w:val="00000322"/>
    <w:rsid w:val="00000BB6"/>
    <w:rsid w:val="00000D72"/>
    <w:rsid w:val="00000DA7"/>
    <w:rsid w:val="000011D3"/>
    <w:rsid w:val="0000247B"/>
    <w:rsid w:val="00002810"/>
    <w:rsid w:val="00002928"/>
    <w:rsid w:val="00002DD3"/>
    <w:rsid w:val="00003305"/>
    <w:rsid w:val="0000469B"/>
    <w:rsid w:val="00004BEF"/>
    <w:rsid w:val="00005531"/>
    <w:rsid w:val="000058BD"/>
    <w:rsid w:val="0000684B"/>
    <w:rsid w:val="00006A03"/>
    <w:rsid w:val="0000778E"/>
    <w:rsid w:val="00007818"/>
    <w:rsid w:val="00007B98"/>
    <w:rsid w:val="00007CDC"/>
    <w:rsid w:val="00007D68"/>
    <w:rsid w:val="00010B07"/>
    <w:rsid w:val="00010CD2"/>
    <w:rsid w:val="0001184D"/>
    <w:rsid w:val="0001202C"/>
    <w:rsid w:val="00012AFC"/>
    <w:rsid w:val="00012C64"/>
    <w:rsid w:val="00013384"/>
    <w:rsid w:val="00013FF8"/>
    <w:rsid w:val="00015241"/>
    <w:rsid w:val="00015DDE"/>
    <w:rsid w:val="00016395"/>
    <w:rsid w:val="00017365"/>
    <w:rsid w:val="0001780D"/>
    <w:rsid w:val="000205E0"/>
    <w:rsid w:val="00020BFA"/>
    <w:rsid w:val="00021040"/>
    <w:rsid w:val="000218A5"/>
    <w:rsid w:val="00022C7B"/>
    <w:rsid w:val="00022D4F"/>
    <w:rsid w:val="0002321B"/>
    <w:rsid w:val="00023475"/>
    <w:rsid w:val="00023B7B"/>
    <w:rsid w:val="00023D55"/>
    <w:rsid w:val="00024812"/>
    <w:rsid w:val="00024923"/>
    <w:rsid w:val="00024AF3"/>
    <w:rsid w:val="00026896"/>
    <w:rsid w:val="00026F52"/>
    <w:rsid w:val="00027554"/>
    <w:rsid w:val="000276B3"/>
    <w:rsid w:val="0003052D"/>
    <w:rsid w:val="00030B18"/>
    <w:rsid w:val="00032396"/>
    <w:rsid w:val="00032CB2"/>
    <w:rsid w:val="00032E44"/>
    <w:rsid w:val="0003443B"/>
    <w:rsid w:val="000345FF"/>
    <w:rsid w:val="00034C67"/>
    <w:rsid w:val="0003637D"/>
    <w:rsid w:val="00037F64"/>
    <w:rsid w:val="000401EA"/>
    <w:rsid w:val="00041550"/>
    <w:rsid w:val="00041704"/>
    <w:rsid w:val="00041858"/>
    <w:rsid w:val="00041A7C"/>
    <w:rsid w:val="00042850"/>
    <w:rsid w:val="0004330A"/>
    <w:rsid w:val="0004408C"/>
    <w:rsid w:val="00044AE8"/>
    <w:rsid w:val="00044EE1"/>
    <w:rsid w:val="00044F58"/>
    <w:rsid w:val="00046706"/>
    <w:rsid w:val="0004765C"/>
    <w:rsid w:val="00047A01"/>
    <w:rsid w:val="00047A80"/>
    <w:rsid w:val="000514E5"/>
    <w:rsid w:val="000519B0"/>
    <w:rsid w:val="00051AD6"/>
    <w:rsid w:val="00051BE8"/>
    <w:rsid w:val="00052980"/>
    <w:rsid w:val="00053B61"/>
    <w:rsid w:val="00053CCF"/>
    <w:rsid w:val="0005458D"/>
    <w:rsid w:val="000577F4"/>
    <w:rsid w:val="00057864"/>
    <w:rsid w:val="00060041"/>
    <w:rsid w:val="00061403"/>
    <w:rsid w:val="00061879"/>
    <w:rsid w:val="000618AE"/>
    <w:rsid w:val="0006293D"/>
    <w:rsid w:val="00062DDF"/>
    <w:rsid w:val="00062F2C"/>
    <w:rsid w:val="0006341C"/>
    <w:rsid w:val="000636E2"/>
    <w:rsid w:val="00063A68"/>
    <w:rsid w:val="000642D7"/>
    <w:rsid w:val="000646DB"/>
    <w:rsid w:val="00064B2D"/>
    <w:rsid w:val="000650FA"/>
    <w:rsid w:val="000654A9"/>
    <w:rsid w:val="00065F1F"/>
    <w:rsid w:val="000665E8"/>
    <w:rsid w:val="0006714B"/>
    <w:rsid w:val="000676C0"/>
    <w:rsid w:val="00067A12"/>
    <w:rsid w:val="000707FC"/>
    <w:rsid w:val="00071545"/>
    <w:rsid w:val="000718BE"/>
    <w:rsid w:val="000719B7"/>
    <w:rsid w:val="00072077"/>
    <w:rsid w:val="000724AA"/>
    <w:rsid w:val="000730BC"/>
    <w:rsid w:val="00073CEC"/>
    <w:rsid w:val="000746BE"/>
    <w:rsid w:val="00074AA5"/>
    <w:rsid w:val="00074E16"/>
    <w:rsid w:val="000759B7"/>
    <w:rsid w:val="000759D8"/>
    <w:rsid w:val="000763AD"/>
    <w:rsid w:val="000770EF"/>
    <w:rsid w:val="00077A81"/>
    <w:rsid w:val="00080A3A"/>
    <w:rsid w:val="00081940"/>
    <w:rsid w:val="0008214C"/>
    <w:rsid w:val="000825D3"/>
    <w:rsid w:val="00082FEF"/>
    <w:rsid w:val="00083216"/>
    <w:rsid w:val="0008578D"/>
    <w:rsid w:val="00085997"/>
    <w:rsid w:val="000860B9"/>
    <w:rsid w:val="0008678D"/>
    <w:rsid w:val="000868D8"/>
    <w:rsid w:val="00087373"/>
    <w:rsid w:val="0009025D"/>
    <w:rsid w:val="00090881"/>
    <w:rsid w:val="000923D3"/>
    <w:rsid w:val="00092CE9"/>
    <w:rsid w:val="00092FAD"/>
    <w:rsid w:val="0009414B"/>
    <w:rsid w:val="0009532F"/>
    <w:rsid w:val="00095D41"/>
    <w:rsid w:val="0009731A"/>
    <w:rsid w:val="00097A27"/>
    <w:rsid w:val="00097B1E"/>
    <w:rsid w:val="00097F2C"/>
    <w:rsid w:val="000A010D"/>
    <w:rsid w:val="000A2CAF"/>
    <w:rsid w:val="000A391C"/>
    <w:rsid w:val="000A3929"/>
    <w:rsid w:val="000A3BC4"/>
    <w:rsid w:val="000A3D8B"/>
    <w:rsid w:val="000A4919"/>
    <w:rsid w:val="000A4B26"/>
    <w:rsid w:val="000A4CD6"/>
    <w:rsid w:val="000A580C"/>
    <w:rsid w:val="000A647A"/>
    <w:rsid w:val="000A6C85"/>
    <w:rsid w:val="000A7431"/>
    <w:rsid w:val="000B01F2"/>
    <w:rsid w:val="000B09F9"/>
    <w:rsid w:val="000B0D34"/>
    <w:rsid w:val="000B11C7"/>
    <w:rsid w:val="000B12E5"/>
    <w:rsid w:val="000B143B"/>
    <w:rsid w:val="000B15C6"/>
    <w:rsid w:val="000B2554"/>
    <w:rsid w:val="000B2AE0"/>
    <w:rsid w:val="000B2AFE"/>
    <w:rsid w:val="000B2E01"/>
    <w:rsid w:val="000B37C8"/>
    <w:rsid w:val="000B38F8"/>
    <w:rsid w:val="000B3F9B"/>
    <w:rsid w:val="000B410D"/>
    <w:rsid w:val="000B4369"/>
    <w:rsid w:val="000B43B5"/>
    <w:rsid w:val="000B4790"/>
    <w:rsid w:val="000B4E61"/>
    <w:rsid w:val="000B5A3B"/>
    <w:rsid w:val="000B7355"/>
    <w:rsid w:val="000B7CA2"/>
    <w:rsid w:val="000C09F1"/>
    <w:rsid w:val="000C1AFD"/>
    <w:rsid w:val="000C25E0"/>
    <w:rsid w:val="000C2AA1"/>
    <w:rsid w:val="000C2B29"/>
    <w:rsid w:val="000C2DCE"/>
    <w:rsid w:val="000C3577"/>
    <w:rsid w:val="000C3D82"/>
    <w:rsid w:val="000C447B"/>
    <w:rsid w:val="000C54B4"/>
    <w:rsid w:val="000C6DC7"/>
    <w:rsid w:val="000C7AA9"/>
    <w:rsid w:val="000C7CF1"/>
    <w:rsid w:val="000C7D5D"/>
    <w:rsid w:val="000C7E86"/>
    <w:rsid w:val="000D15E5"/>
    <w:rsid w:val="000D213B"/>
    <w:rsid w:val="000D2C40"/>
    <w:rsid w:val="000D2DE6"/>
    <w:rsid w:val="000D2E57"/>
    <w:rsid w:val="000D437D"/>
    <w:rsid w:val="000D55A3"/>
    <w:rsid w:val="000D5891"/>
    <w:rsid w:val="000D596C"/>
    <w:rsid w:val="000D5B55"/>
    <w:rsid w:val="000D5F1D"/>
    <w:rsid w:val="000D62F7"/>
    <w:rsid w:val="000D63C8"/>
    <w:rsid w:val="000D69FE"/>
    <w:rsid w:val="000D6FD4"/>
    <w:rsid w:val="000D7BD5"/>
    <w:rsid w:val="000E00B6"/>
    <w:rsid w:val="000E0AE4"/>
    <w:rsid w:val="000E0EAF"/>
    <w:rsid w:val="000E0FCA"/>
    <w:rsid w:val="000E0FFB"/>
    <w:rsid w:val="000E1A1C"/>
    <w:rsid w:val="000E2881"/>
    <w:rsid w:val="000E288D"/>
    <w:rsid w:val="000E2C08"/>
    <w:rsid w:val="000E2DD0"/>
    <w:rsid w:val="000E3CEC"/>
    <w:rsid w:val="000E3DBC"/>
    <w:rsid w:val="000E410F"/>
    <w:rsid w:val="000E4B0A"/>
    <w:rsid w:val="000E541E"/>
    <w:rsid w:val="000E58F9"/>
    <w:rsid w:val="000F0EA8"/>
    <w:rsid w:val="000F1AF2"/>
    <w:rsid w:val="000F1E5C"/>
    <w:rsid w:val="000F20CF"/>
    <w:rsid w:val="000F2110"/>
    <w:rsid w:val="000F233B"/>
    <w:rsid w:val="000F3732"/>
    <w:rsid w:val="000F3834"/>
    <w:rsid w:val="000F40F5"/>
    <w:rsid w:val="000F4C2A"/>
    <w:rsid w:val="000F4C93"/>
    <w:rsid w:val="000F4E50"/>
    <w:rsid w:val="000F5B3E"/>
    <w:rsid w:val="000F65A6"/>
    <w:rsid w:val="000F77C3"/>
    <w:rsid w:val="00100082"/>
    <w:rsid w:val="00101551"/>
    <w:rsid w:val="001019AB"/>
    <w:rsid w:val="00102106"/>
    <w:rsid w:val="00102216"/>
    <w:rsid w:val="00102BA7"/>
    <w:rsid w:val="00102D58"/>
    <w:rsid w:val="00102E2E"/>
    <w:rsid w:val="00107086"/>
    <w:rsid w:val="0010712C"/>
    <w:rsid w:val="00110DAC"/>
    <w:rsid w:val="001113DB"/>
    <w:rsid w:val="0011167B"/>
    <w:rsid w:val="00112517"/>
    <w:rsid w:val="00113095"/>
    <w:rsid w:val="00113B56"/>
    <w:rsid w:val="00114008"/>
    <w:rsid w:val="00114208"/>
    <w:rsid w:val="001144DB"/>
    <w:rsid w:val="001154F9"/>
    <w:rsid w:val="001155F2"/>
    <w:rsid w:val="001156C1"/>
    <w:rsid w:val="00115745"/>
    <w:rsid w:val="001159AB"/>
    <w:rsid w:val="001161F9"/>
    <w:rsid w:val="00116371"/>
    <w:rsid w:val="00116B7B"/>
    <w:rsid w:val="001170CD"/>
    <w:rsid w:val="00120153"/>
    <w:rsid w:val="00120956"/>
    <w:rsid w:val="001214F0"/>
    <w:rsid w:val="00123BAF"/>
    <w:rsid w:val="00123DBD"/>
    <w:rsid w:val="00123EB3"/>
    <w:rsid w:val="00124F72"/>
    <w:rsid w:val="001257D7"/>
    <w:rsid w:val="00125E51"/>
    <w:rsid w:val="001262E7"/>
    <w:rsid w:val="001273EB"/>
    <w:rsid w:val="0013099A"/>
    <w:rsid w:val="001321EC"/>
    <w:rsid w:val="00133657"/>
    <w:rsid w:val="001337F2"/>
    <w:rsid w:val="00133893"/>
    <w:rsid w:val="00133F37"/>
    <w:rsid w:val="00134235"/>
    <w:rsid w:val="001349A7"/>
    <w:rsid w:val="00134ABB"/>
    <w:rsid w:val="00135151"/>
    <w:rsid w:val="001359F5"/>
    <w:rsid w:val="00135D15"/>
    <w:rsid w:val="001364DE"/>
    <w:rsid w:val="001370AD"/>
    <w:rsid w:val="00137182"/>
    <w:rsid w:val="00137194"/>
    <w:rsid w:val="001379A9"/>
    <w:rsid w:val="00137A80"/>
    <w:rsid w:val="00140162"/>
    <w:rsid w:val="0014035A"/>
    <w:rsid w:val="001408DE"/>
    <w:rsid w:val="001410C2"/>
    <w:rsid w:val="00141257"/>
    <w:rsid w:val="00141386"/>
    <w:rsid w:val="00142131"/>
    <w:rsid w:val="001421B7"/>
    <w:rsid w:val="001422B4"/>
    <w:rsid w:val="00142429"/>
    <w:rsid w:val="00143778"/>
    <w:rsid w:val="00143D33"/>
    <w:rsid w:val="00144925"/>
    <w:rsid w:val="00145627"/>
    <w:rsid w:val="0014640E"/>
    <w:rsid w:val="00147E41"/>
    <w:rsid w:val="001504DB"/>
    <w:rsid w:val="00150EF8"/>
    <w:rsid w:val="00151687"/>
    <w:rsid w:val="00151AD5"/>
    <w:rsid w:val="00151D52"/>
    <w:rsid w:val="001537F9"/>
    <w:rsid w:val="00153A92"/>
    <w:rsid w:val="00153D30"/>
    <w:rsid w:val="00154328"/>
    <w:rsid w:val="00154BF3"/>
    <w:rsid w:val="00155059"/>
    <w:rsid w:val="00155A98"/>
    <w:rsid w:val="00156098"/>
    <w:rsid w:val="00156CF0"/>
    <w:rsid w:val="00156EDA"/>
    <w:rsid w:val="00160437"/>
    <w:rsid w:val="00160A5D"/>
    <w:rsid w:val="001615BB"/>
    <w:rsid w:val="001617E8"/>
    <w:rsid w:val="00161B99"/>
    <w:rsid w:val="001622F8"/>
    <w:rsid w:val="0016279A"/>
    <w:rsid w:val="0016290A"/>
    <w:rsid w:val="00162DEF"/>
    <w:rsid w:val="001638D7"/>
    <w:rsid w:val="00163B31"/>
    <w:rsid w:val="0016447F"/>
    <w:rsid w:val="00164859"/>
    <w:rsid w:val="001648B1"/>
    <w:rsid w:val="00164C87"/>
    <w:rsid w:val="001650BF"/>
    <w:rsid w:val="001651D7"/>
    <w:rsid w:val="001659C8"/>
    <w:rsid w:val="00165E05"/>
    <w:rsid w:val="001661D5"/>
    <w:rsid w:val="00166593"/>
    <w:rsid w:val="00166F5C"/>
    <w:rsid w:val="001674D5"/>
    <w:rsid w:val="001679CA"/>
    <w:rsid w:val="0017040F"/>
    <w:rsid w:val="00170451"/>
    <w:rsid w:val="00170533"/>
    <w:rsid w:val="001706FB"/>
    <w:rsid w:val="00170ED5"/>
    <w:rsid w:val="00171085"/>
    <w:rsid w:val="001715F9"/>
    <w:rsid w:val="00172D05"/>
    <w:rsid w:val="00172E55"/>
    <w:rsid w:val="0017317C"/>
    <w:rsid w:val="00173760"/>
    <w:rsid w:val="0017410D"/>
    <w:rsid w:val="001742AA"/>
    <w:rsid w:val="00174A0D"/>
    <w:rsid w:val="00175493"/>
    <w:rsid w:val="00176546"/>
    <w:rsid w:val="00176C6F"/>
    <w:rsid w:val="001775D7"/>
    <w:rsid w:val="00177D48"/>
    <w:rsid w:val="00180732"/>
    <w:rsid w:val="0018081F"/>
    <w:rsid w:val="0018097B"/>
    <w:rsid w:val="00180B80"/>
    <w:rsid w:val="00180E22"/>
    <w:rsid w:val="00180E61"/>
    <w:rsid w:val="00181E6D"/>
    <w:rsid w:val="00181EB0"/>
    <w:rsid w:val="00182C4C"/>
    <w:rsid w:val="00182D18"/>
    <w:rsid w:val="00184147"/>
    <w:rsid w:val="0018480C"/>
    <w:rsid w:val="00186377"/>
    <w:rsid w:val="001864A0"/>
    <w:rsid w:val="00186670"/>
    <w:rsid w:val="00186A76"/>
    <w:rsid w:val="0018713D"/>
    <w:rsid w:val="00187B4F"/>
    <w:rsid w:val="00190510"/>
    <w:rsid w:val="00190F3A"/>
    <w:rsid w:val="001919DB"/>
    <w:rsid w:val="001929F6"/>
    <w:rsid w:val="00192F9A"/>
    <w:rsid w:val="001930D4"/>
    <w:rsid w:val="00193635"/>
    <w:rsid w:val="00193774"/>
    <w:rsid w:val="00193A02"/>
    <w:rsid w:val="00193FB9"/>
    <w:rsid w:val="0019431D"/>
    <w:rsid w:val="00194BBC"/>
    <w:rsid w:val="00194E00"/>
    <w:rsid w:val="00195C0F"/>
    <w:rsid w:val="0019713B"/>
    <w:rsid w:val="001971ED"/>
    <w:rsid w:val="00197D49"/>
    <w:rsid w:val="001A15A2"/>
    <w:rsid w:val="001A1707"/>
    <w:rsid w:val="001A1A75"/>
    <w:rsid w:val="001A28E9"/>
    <w:rsid w:val="001A2C12"/>
    <w:rsid w:val="001A39D6"/>
    <w:rsid w:val="001A3E0E"/>
    <w:rsid w:val="001A3F19"/>
    <w:rsid w:val="001A441F"/>
    <w:rsid w:val="001A5041"/>
    <w:rsid w:val="001A5A1C"/>
    <w:rsid w:val="001A619D"/>
    <w:rsid w:val="001A66DD"/>
    <w:rsid w:val="001A68F6"/>
    <w:rsid w:val="001A6BC8"/>
    <w:rsid w:val="001A6F25"/>
    <w:rsid w:val="001A7166"/>
    <w:rsid w:val="001A7204"/>
    <w:rsid w:val="001A7575"/>
    <w:rsid w:val="001B153F"/>
    <w:rsid w:val="001B207E"/>
    <w:rsid w:val="001B2D81"/>
    <w:rsid w:val="001B3766"/>
    <w:rsid w:val="001B414A"/>
    <w:rsid w:val="001B43BD"/>
    <w:rsid w:val="001B551B"/>
    <w:rsid w:val="001B5D67"/>
    <w:rsid w:val="001B5D6D"/>
    <w:rsid w:val="001B6482"/>
    <w:rsid w:val="001B64E5"/>
    <w:rsid w:val="001B6E31"/>
    <w:rsid w:val="001B7019"/>
    <w:rsid w:val="001B7C9D"/>
    <w:rsid w:val="001C0383"/>
    <w:rsid w:val="001C0C11"/>
    <w:rsid w:val="001C1E4B"/>
    <w:rsid w:val="001C2243"/>
    <w:rsid w:val="001C27A3"/>
    <w:rsid w:val="001C283D"/>
    <w:rsid w:val="001C2C4D"/>
    <w:rsid w:val="001C3018"/>
    <w:rsid w:val="001C3A5F"/>
    <w:rsid w:val="001C41EF"/>
    <w:rsid w:val="001C44D7"/>
    <w:rsid w:val="001C4A71"/>
    <w:rsid w:val="001C5B7B"/>
    <w:rsid w:val="001C5DB3"/>
    <w:rsid w:val="001C601E"/>
    <w:rsid w:val="001C624B"/>
    <w:rsid w:val="001C6F00"/>
    <w:rsid w:val="001D03A2"/>
    <w:rsid w:val="001D04E2"/>
    <w:rsid w:val="001D1B96"/>
    <w:rsid w:val="001D1E97"/>
    <w:rsid w:val="001D3363"/>
    <w:rsid w:val="001D33F4"/>
    <w:rsid w:val="001D4B22"/>
    <w:rsid w:val="001D5058"/>
    <w:rsid w:val="001D64D6"/>
    <w:rsid w:val="001D7390"/>
    <w:rsid w:val="001D7621"/>
    <w:rsid w:val="001D7DA6"/>
    <w:rsid w:val="001D7EDA"/>
    <w:rsid w:val="001E09FA"/>
    <w:rsid w:val="001E0DDA"/>
    <w:rsid w:val="001E133A"/>
    <w:rsid w:val="001E1DA1"/>
    <w:rsid w:val="001E1DB9"/>
    <w:rsid w:val="001E28C0"/>
    <w:rsid w:val="001E2A86"/>
    <w:rsid w:val="001E3AF6"/>
    <w:rsid w:val="001E4564"/>
    <w:rsid w:val="001E457F"/>
    <w:rsid w:val="001E5016"/>
    <w:rsid w:val="001E59F5"/>
    <w:rsid w:val="001E6992"/>
    <w:rsid w:val="001E7145"/>
    <w:rsid w:val="001E7428"/>
    <w:rsid w:val="001E7D91"/>
    <w:rsid w:val="001E7EB5"/>
    <w:rsid w:val="001F0777"/>
    <w:rsid w:val="001F1164"/>
    <w:rsid w:val="001F1CD1"/>
    <w:rsid w:val="001F2A9A"/>
    <w:rsid w:val="001F328D"/>
    <w:rsid w:val="001F42E8"/>
    <w:rsid w:val="001F4320"/>
    <w:rsid w:val="001F4A46"/>
    <w:rsid w:val="001F5946"/>
    <w:rsid w:val="001F6DB8"/>
    <w:rsid w:val="001F6DEE"/>
    <w:rsid w:val="001F6ED3"/>
    <w:rsid w:val="001F70E6"/>
    <w:rsid w:val="001F76B5"/>
    <w:rsid w:val="001F79A9"/>
    <w:rsid w:val="001F7FC1"/>
    <w:rsid w:val="00203A3C"/>
    <w:rsid w:val="00203A7E"/>
    <w:rsid w:val="00203F05"/>
    <w:rsid w:val="002046EB"/>
    <w:rsid w:val="0020593B"/>
    <w:rsid w:val="00205956"/>
    <w:rsid w:val="00205AC7"/>
    <w:rsid w:val="00205BE6"/>
    <w:rsid w:val="00205EBA"/>
    <w:rsid w:val="00206A2E"/>
    <w:rsid w:val="00207A0A"/>
    <w:rsid w:val="0021082C"/>
    <w:rsid w:val="00210D03"/>
    <w:rsid w:val="002127C6"/>
    <w:rsid w:val="002129D8"/>
    <w:rsid w:val="00213699"/>
    <w:rsid w:val="002137FD"/>
    <w:rsid w:val="00214A87"/>
    <w:rsid w:val="00214AD7"/>
    <w:rsid w:val="00214EE7"/>
    <w:rsid w:val="00215623"/>
    <w:rsid w:val="00215C31"/>
    <w:rsid w:val="002165EE"/>
    <w:rsid w:val="002208E9"/>
    <w:rsid w:val="00220B18"/>
    <w:rsid w:val="0022123D"/>
    <w:rsid w:val="00221D07"/>
    <w:rsid w:val="00221FE5"/>
    <w:rsid w:val="00222701"/>
    <w:rsid w:val="0022285D"/>
    <w:rsid w:val="00222912"/>
    <w:rsid w:val="00222AA2"/>
    <w:rsid w:val="002245DA"/>
    <w:rsid w:val="00225CED"/>
    <w:rsid w:val="00226491"/>
    <w:rsid w:val="002268F2"/>
    <w:rsid w:val="00227563"/>
    <w:rsid w:val="00227799"/>
    <w:rsid w:val="00227E4A"/>
    <w:rsid w:val="00227FD8"/>
    <w:rsid w:val="0023033A"/>
    <w:rsid w:val="00230AB5"/>
    <w:rsid w:val="00231D91"/>
    <w:rsid w:val="00233183"/>
    <w:rsid w:val="00233859"/>
    <w:rsid w:val="0023395D"/>
    <w:rsid w:val="0023442E"/>
    <w:rsid w:val="0023443F"/>
    <w:rsid w:val="002365DC"/>
    <w:rsid w:val="002366CE"/>
    <w:rsid w:val="00236B2D"/>
    <w:rsid w:val="00236ED3"/>
    <w:rsid w:val="00237884"/>
    <w:rsid w:val="00240E38"/>
    <w:rsid w:val="00241FB2"/>
    <w:rsid w:val="002438CF"/>
    <w:rsid w:val="0024444D"/>
    <w:rsid w:val="002446BA"/>
    <w:rsid w:val="00244FF0"/>
    <w:rsid w:val="00245417"/>
    <w:rsid w:val="00245535"/>
    <w:rsid w:val="00246596"/>
    <w:rsid w:val="00247E2E"/>
    <w:rsid w:val="00247F39"/>
    <w:rsid w:val="002504AF"/>
    <w:rsid w:val="00250B65"/>
    <w:rsid w:val="00252720"/>
    <w:rsid w:val="002531ED"/>
    <w:rsid w:val="0025375C"/>
    <w:rsid w:val="00253A83"/>
    <w:rsid w:val="00253E49"/>
    <w:rsid w:val="00254112"/>
    <w:rsid w:val="00254587"/>
    <w:rsid w:val="00254637"/>
    <w:rsid w:val="002552B6"/>
    <w:rsid w:val="00256EE0"/>
    <w:rsid w:val="0025747B"/>
    <w:rsid w:val="002601EE"/>
    <w:rsid w:val="00260218"/>
    <w:rsid w:val="00260721"/>
    <w:rsid w:val="00260B17"/>
    <w:rsid w:val="00260D45"/>
    <w:rsid w:val="00263514"/>
    <w:rsid w:val="0026379B"/>
    <w:rsid w:val="002637EA"/>
    <w:rsid w:val="00263FAB"/>
    <w:rsid w:val="00264E66"/>
    <w:rsid w:val="00264FDB"/>
    <w:rsid w:val="00265757"/>
    <w:rsid w:val="00265981"/>
    <w:rsid w:val="00265B3C"/>
    <w:rsid w:val="00265FE1"/>
    <w:rsid w:val="00266044"/>
    <w:rsid w:val="002667F9"/>
    <w:rsid w:val="00266D63"/>
    <w:rsid w:val="00266FAA"/>
    <w:rsid w:val="00267614"/>
    <w:rsid w:val="00267D96"/>
    <w:rsid w:val="00271A08"/>
    <w:rsid w:val="00272128"/>
    <w:rsid w:val="00272339"/>
    <w:rsid w:val="00272810"/>
    <w:rsid w:val="00272F76"/>
    <w:rsid w:val="002732A6"/>
    <w:rsid w:val="00273761"/>
    <w:rsid w:val="00273CB3"/>
    <w:rsid w:val="002742EF"/>
    <w:rsid w:val="002743BE"/>
    <w:rsid w:val="002755DA"/>
    <w:rsid w:val="00275AAA"/>
    <w:rsid w:val="00275D0B"/>
    <w:rsid w:val="00275F86"/>
    <w:rsid w:val="002762D2"/>
    <w:rsid w:val="00277CAF"/>
    <w:rsid w:val="00277CD1"/>
    <w:rsid w:val="00277D85"/>
    <w:rsid w:val="00277F75"/>
    <w:rsid w:val="0028002D"/>
    <w:rsid w:val="0028093C"/>
    <w:rsid w:val="00281110"/>
    <w:rsid w:val="0028126C"/>
    <w:rsid w:val="00281C25"/>
    <w:rsid w:val="00281D97"/>
    <w:rsid w:val="00282855"/>
    <w:rsid w:val="00282DEA"/>
    <w:rsid w:val="002832CF"/>
    <w:rsid w:val="00283C84"/>
    <w:rsid w:val="00284493"/>
    <w:rsid w:val="0028449A"/>
    <w:rsid w:val="00285329"/>
    <w:rsid w:val="00285B63"/>
    <w:rsid w:val="002867C7"/>
    <w:rsid w:val="00287702"/>
    <w:rsid w:val="00287E03"/>
    <w:rsid w:val="00290015"/>
    <w:rsid w:val="00290A9B"/>
    <w:rsid w:val="00290E0F"/>
    <w:rsid w:val="00291465"/>
    <w:rsid w:val="002919FA"/>
    <w:rsid w:val="0029361B"/>
    <w:rsid w:val="00293F1A"/>
    <w:rsid w:val="00295067"/>
    <w:rsid w:val="00295594"/>
    <w:rsid w:val="0029620C"/>
    <w:rsid w:val="00296C48"/>
    <w:rsid w:val="002A0194"/>
    <w:rsid w:val="002A025F"/>
    <w:rsid w:val="002A205F"/>
    <w:rsid w:val="002A2E84"/>
    <w:rsid w:val="002A3D4A"/>
    <w:rsid w:val="002A4153"/>
    <w:rsid w:val="002A65B7"/>
    <w:rsid w:val="002A7224"/>
    <w:rsid w:val="002A787E"/>
    <w:rsid w:val="002B05E0"/>
    <w:rsid w:val="002B1754"/>
    <w:rsid w:val="002B208E"/>
    <w:rsid w:val="002B20F5"/>
    <w:rsid w:val="002B2565"/>
    <w:rsid w:val="002B3BF0"/>
    <w:rsid w:val="002B3D52"/>
    <w:rsid w:val="002B484C"/>
    <w:rsid w:val="002B55D8"/>
    <w:rsid w:val="002B5C60"/>
    <w:rsid w:val="002B666C"/>
    <w:rsid w:val="002B6D66"/>
    <w:rsid w:val="002B6FFE"/>
    <w:rsid w:val="002B72EC"/>
    <w:rsid w:val="002B732C"/>
    <w:rsid w:val="002B7DC4"/>
    <w:rsid w:val="002C0ABF"/>
    <w:rsid w:val="002C0D48"/>
    <w:rsid w:val="002C287C"/>
    <w:rsid w:val="002C2D5F"/>
    <w:rsid w:val="002C3906"/>
    <w:rsid w:val="002C42A9"/>
    <w:rsid w:val="002C44F3"/>
    <w:rsid w:val="002C50D2"/>
    <w:rsid w:val="002C538E"/>
    <w:rsid w:val="002C5D5B"/>
    <w:rsid w:val="002C7E74"/>
    <w:rsid w:val="002C7F6F"/>
    <w:rsid w:val="002D0315"/>
    <w:rsid w:val="002D0B03"/>
    <w:rsid w:val="002D2567"/>
    <w:rsid w:val="002D29B2"/>
    <w:rsid w:val="002D2C93"/>
    <w:rsid w:val="002D3CB7"/>
    <w:rsid w:val="002D4489"/>
    <w:rsid w:val="002D44C3"/>
    <w:rsid w:val="002D4A64"/>
    <w:rsid w:val="002D4BA3"/>
    <w:rsid w:val="002D4D7A"/>
    <w:rsid w:val="002D5039"/>
    <w:rsid w:val="002D554E"/>
    <w:rsid w:val="002D58E6"/>
    <w:rsid w:val="002D59BE"/>
    <w:rsid w:val="002D5C52"/>
    <w:rsid w:val="002D6675"/>
    <w:rsid w:val="002D69A0"/>
    <w:rsid w:val="002D6AD2"/>
    <w:rsid w:val="002E0794"/>
    <w:rsid w:val="002E0927"/>
    <w:rsid w:val="002E120C"/>
    <w:rsid w:val="002E1A37"/>
    <w:rsid w:val="002E1CF3"/>
    <w:rsid w:val="002E1DE4"/>
    <w:rsid w:val="002E20FB"/>
    <w:rsid w:val="002E240D"/>
    <w:rsid w:val="002E2761"/>
    <w:rsid w:val="002E2AAA"/>
    <w:rsid w:val="002E2D02"/>
    <w:rsid w:val="002E3000"/>
    <w:rsid w:val="002E364B"/>
    <w:rsid w:val="002E3ACC"/>
    <w:rsid w:val="002E42FF"/>
    <w:rsid w:val="002E54E2"/>
    <w:rsid w:val="002E5598"/>
    <w:rsid w:val="002E56F8"/>
    <w:rsid w:val="002E6CDE"/>
    <w:rsid w:val="002E7875"/>
    <w:rsid w:val="002F02D4"/>
    <w:rsid w:val="002F07CE"/>
    <w:rsid w:val="002F0E88"/>
    <w:rsid w:val="002F1578"/>
    <w:rsid w:val="002F1ADF"/>
    <w:rsid w:val="002F280D"/>
    <w:rsid w:val="002F2B0D"/>
    <w:rsid w:val="002F4A44"/>
    <w:rsid w:val="002F5907"/>
    <w:rsid w:val="002F5A1A"/>
    <w:rsid w:val="002F6488"/>
    <w:rsid w:val="002F6AEF"/>
    <w:rsid w:val="002F704B"/>
    <w:rsid w:val="00300797"/>
    <w:rsid w:val="00300A81"/>
    <w:rsid w:val="00300D39"/>
    <w:rsid w:val="00301209"/>
    <w:rsid w:val="003014AB"/>
    <w:rsid w:val="003016ED"/>
    <w:rsid w:val="00301BE4"/>
    <w:rsid w:val="00302407"/>
    <w:rsid w:val="00302ADE"/>
    <w:rsid w:val="00303F79"/>
    <w:rsid w:val="0030449B"/>
    <w:rsid w:val="00304785"/>
    <w:rsid w:val="00304CCE"/>
    <w:rsid w:val="003065D1"/>
    <w:rsid w:val="00306621"/>
    <w:rsid w:val="0030718E"/>
    <w:rsid w:val="00307FD9"/>
    <w:rsid w:val="0031004F"/>
    <w:rsid w:val="00310BBE"/>
    <w:rsid w:val="00311107"/>
    <w:rsid w:val="003111F5"/>
    <w:rsid w:val="00311788"/>
    <w:rsid w:val="00313212"/>
    <w:rsid w:val="003139E3"/>
    <w:rsid w:val="00314AA7"/>
    <w:rsid w:val="00314AC0"/>
    <w:rsid w:val="00314B1A"/>
    <w:rsid w:val="003151AB"/>
    <w:rsid w:val="0031533B"/>
    <w:rsid w:val="00315855"/>
    <w:rsid w:val="0031598B"/>
    <w:rsid w:val="00315D5A"/>
    <w:rsid w:val="00316030"/>
    <w:rsid w:val="00316087"/>
    <w:rsid w:val="00316917"/>
    <w:rsid w:val="00317757"/>
    <w:rsid w:val="0031775C"/>
    <w:rsid w:val="00317F70"/>
    <w:rsid w:val="003201C6"/>
    <w:rsid w:val="00320428"/>
    <w:rsid w:val="00320842"/>
    <w:rsid w:val="003213F9"/>
    <w:rsid w:val="003215D2"/>
    <w:rsid w:val="00321891"/>
    <w:rsid w:val="00321B94"/>
    <w:rsid w:val="00322BE5"/>
    <w:rsid w:val="00323686"/>
    <w:rsid w:val="00323762"/>
    <w:rsid w:val="00323DBF"/>
    <w:rsid w:val="0032408D"/>
    <w:rsid w:val="00325496"/>
    <w:rsid w:val="003263C1"/>
    <w:rsid w:val="003266FA"/>
    <w:rsid w:val="00327F8F"/>
    <w:rsid w:val="003303C9"/>
    <w:rsid w:val="00330F19"/>
    <w:rsid w:val="003311A1"/>
    <w:rsid w:val="00331A0F"/>
    <w:rsid w:val="00332B12"/>
    <w:rsid w:val="003339E0"/>
    <w:rsid w:val="00333BFF"/>
    <w:rsid w:val="00334EAF"/>
    <w:rsid w:val="00335DE1"/>
    <w:rsid w:val="00335F81"/>
    <w:rsid w:val="00336C14"/>
    <w:rsid w:val="00341715"/>
    <w:rsid w:val="003419E4"/>
    <w:rsid w:val="00341FB6"/>
    <w:rsid w:val="00342754"/>
    <w:rsid w:val="003431F7"/>
    <w:rsid w:val="003433AC"/>
    <w:rsid w:val="003433E6"/>
    <w:rsid w:val="00343581"/>
    <w:rsid w:val="0034386D"/>
    <w:rsid w:val="00345562"/>
    <w:rsid w:val="00345659"/>
    <w:rsid w:val="00345804"/>
    <w:rsid w:val="00345F8F"/>
    <w:rsid w:val="00346494"/>
    <w:rsid w:val="00346B69"/>
    <w:rsid w:val="003470B7"/>
    <w:rsid w:val="003505B3"/>
    <w:rsid w:val="00351FC6"/>
    <w:rsid w:val="0035299B"/>
    <w:rsid w:val="0035339F"/>
    <w:rsid w:val="00353B3E"/>
    <w:rsid w:val="00354E38"/>
    <w:rsid w:val="0035603E"/>
    <w:rsid w:val="00356772"/>
    <w:rsid w:val="00356C92"/>
    <w:rsid w:val="00356CE7"/>
    <w:rsid w:val="00356E4F"/>
    <w:rsid w:val="00357E79"/>
    <w:rsid w:val="00361AE2"/>
    <w:rsid w:val="00361DF0"/>
    <w:rsid w:val="00364A43"/>
    <w:rsid w:val="00364CB4"/>
    <w:rsid w:val="003650DC"/>
    <w:rsid w:val="0036559E"/>
    <w:rsid w:val="00365C35"/>
    <w:rsid w:val="00365D62"/>
    <w:rsid w:val="00365DDB"/>
    <w:rsid w:val="00366223"/>
    <w:rsid w:val="00367870"/>
    <w:rsid w:val="003707E9"/>
    <w:rsid w:val="003719BF"/>
    <w:rsid w:val="00371B29"/>
    <w:rsid w:val="00371C94"/>
    <w:rsid w:val="003723B1"/>
    <w:rsid w:val="003728AC"/>
    <w:rsid w:val="00373443"/>
    <w:rsid w:val="0037394A"/>
    <w:rsid w:val="003739D7"/>
    <w:rsid w:val="00373AE8"/>
    <w:rsid w:val="00373D1F"/>
    <w:rsid w:val="00374C4A"/>
    <w:rsid w:val="00374D7A"/>
    <w:rsid w:val="00376E11"/>
    <w:rsid w:val="00376FD7"/>
    <w:rsid w:val="00377183"/>
    <w:rsid w:val="0037775B"/>
    <w:rsid w:val="003777CC"/>
    <w:rsid w:val="00377FBD"/>
    <w:rsid w:val="00381741"/>
    <w:rsid w:val="00381A00"/>
    <w:rsid w:val="003827B8"/>
    <w:rsid w:val="003829F8"/>
    <w:rsid w:val="0038331C"/>
    <w:rsid w:val="00383AFD"/>
    <w:rsid w:val="00383B75"/>
    <w:rsid w:val="003841A3"/>
    <w:rsid w:val="003845CD"/>
    <w:rsid w:val="003848F9"/>
    <w:rsid w:val="00384C59"/>
    <w:rsid w:val="00384F26"/>
    <w:rsid w:val="00385A51"/>
    <w:rsid w:val="00385F3F"/>
    <w:rsid w:val="00386BDE"/>
    <w:rsid w:val="003900B5"/>
    <w:rsid w:val="00391769"/>
    <w:rsid w:val="003939AF"/>
    <w:rsid w:val="00394704"/>
    <w:rsid w:val="003953E1"/>
    <w:rsid w:val="0039638E"/>
    <w:rsid w:val="003964DE"/>
    <w:rsid w:val="00397EDC"/>
    <w:rsid w:val="003A0D6C"/>
    <w:rsid w:val="003A0EFA"/>
    <w:rsid w:val="003A106E"/>
    <w:rsid w:val="003A1A90"/>
    <w:rsid w:val="003A256A"/>
    <w:rsid w:val="003A2F97"/>
    <w:rsid w:val="003A49B7"/>
    <w:rsid w:val="003A68BE"/>
    <w:rsid w:val="003A6A6A"/>
    <w:rsid w:val="003A6E61"/>
    <w:rsid w:val="003B057A"/>
    <w:rsid w:val="003B0D1A"/>
    <w:rsid w:val="003B10C9"/>
    <w:rsid w:val="003B198B"/>
    <w:rsid w:val="003B1F27"/>
    <w:rsid w:val="003B2542"/>
    <w:rsid w:val="003B27EA"/>
    <w:rsid w:val="003B2ADC"/>
    <w:rsid w:val="003B2BDD"/>
    <w:rsid w:val="003B3DC4"/>
    <w:rsid w:val="003B40C4"/>
    <w:rsid w:val="003B5A52"/>
    <w:rsid w:val="003B633A"/>
    <w:rsid w:val="003B777E"/>
    <w:rsid w:val="003B79EE"/>
    <w:rsid w:val="003B7B36"/>
    <w:rsid w:val="003C0160"/>
    <w:rsid w:val="003C1BE5"/>
    <w:rsid w:val="003C26CF"/>
    <w:rsid w:val="003C40A8"/>
    <w:rsid w:val="003C4788"/>
    <w:rsid w:val="003C4969"/>
    <w:rsid w:val="003C517E"/>
    <w:rsid w:val="003C5C65"/>
    <w:rsid w:val="003C69F3"/>
    <w:rsid w:val="003C76DB"/>
    <w:rsid w:val="003C7ACC"/>
    <w:rsid w:val="003C7E08"/>
    <w:rsid w:val="003D040F"/>
    <w:rsid w:val="003D2163"/>
    <w:rsid w:val="003D28BD"/>
    <w:rsid w:val="003D3C04"/>
    <w:rsid w:val="003D42BD"/>
    <w:rsid w:val="003D4EB8"/>
    <w:rsid w:val="003D6081"/>
    <w:rsid w:val="003D62A8"/>
    <w:rsid w:val="003D62C7"/>
    <w:rsid w:val="003D6BDE"/>
    <w:rsid w:val="003D6CE0"/>
    <w:rsid w:val="003D70E8"/>
    <w:rsid w:val="003D7B47"/>
    <w:rsid w:val="003E0B71"/>
    <w:rsid w:val="003E0E8D"/>
    <w:rsid w:val="003E10EA"/>
    <w:rsid w:val="003E160B"/>
    <w:rsid w:val="003E17B7"/>
    <w:rsid w:val="003E41D5"/>
    <w:rsid w:val="003E424E"/>
    <w:rsid w:val="003E46BA"/>
    <w:rsid w:val="003E605E"/>
    <w:rsid w:val="003E6062"/>
    <w:rsid w:val="003E6DD9"/>
    <w:rsid w:val="003E6E66"/>
    <w:rsid w:val="003E6F9F"/>
    <w:rsid w:val="003F0A11"/>
    <w:rsid w:val="003F129B"/>
    <w:rsid w:val="003F17EE"/>
    <w:rsid w:val="003F1AF6"/>
    <w:rsid w:val="003F1CEA"/>
    <w:rsid w:val="003F276C"/>
    <w:rsid w:val="003F29B6"/>
    <w:rsid w:val="003F2A68"/>
    <w:rsid w:val="003F3467"/>
    <w:rsid w:val="003F4429"/>
    <w:rsid w:val="003F4910"/>
    <w:rsid w:val="003F5BF9"/>
    <w:rsid w:val="003F6190"/>
    <w:rsid w:val="0040068A"/>
    <w:rsid w:val="00401353"/>
    <w:rsid w:val="00402A72"/>
    <w:rsid w:val="00402C54"/>
    <w:rsid w:val="0040412E"/>
    <w:rsid w:val="00404228"/>
    <w:rsid w:val="0040446F"/>
    <w:rsid w:val="00404C9B"/>
    <w:rsid w:val="004054F6"/>
    <w:rsid w:val="0040564F"/>
    <w:rsid w:val="004058EA"/>
    <w:rsid w:val="00405B1A"/>
    <w:rsid w:val="00406256"/>
    <w:rsid w:val="00407E26"/>
    <w:rsid w:val="0041079B"/>
    <w:rsid w:val="00410D53"/>
    <w:rsid w:val="00411907"/>
    <w:rsid w:val="00411B1A"/>
    <w:rsid w:val="00411EEA"/>
    <w:rsid w:val="00412AA9"/>
    <w:rsid w:val="004135EC"/>
    <w:rsid w:val="0041372D"/>
    <w:rsid w:val="004139CF"/>
    <w:rsid w:val="00413B51"/>
    <w:rsid w:val="0041454D"/>
    <w:rsid w:val="00414C79"/>
    <w:rsid w:val="00414DDA"/>
    <w:rsid w:val="00415E50"/>
    <w:rsid w:val="00416931"/>
    <w:rsid w:val="00417951"/>
    <w:rsid w:val="00417EE3"/>
    <w:rsid w:val="00417F69"/>
    <w:rsid w:val="00417FCE"/>
    <w:rsid w:val="00421290"/>
    <w:rsid w:val="0042178A"/>
    <w:rsid w:val="0042203D"/>
    <w:rsid w:val="00422739"/>
    <w:rsid w:val="00422BCF"/>
    <w:rsid w:val="00422FE1"/>
    <w:rsid w:val="00424090"/>
    <w:rsid w:val="00424AEC"/>
    <w:rsid w:val="00424CF9"/>
    <w:rsid w:val="00425296"/>
    <w:rsid w:val="00425995"/>
    <w:rsid w:val="004260D1"/>
    <w:rsid w:val="00426102"/>
    <w:rsid w:val="0042622D"/>
    <w:rsid w:val="00426476"/>
    <w:rsid w:val="00426C06"/>
    <w:rsid w:val="0042701E"/>
    <w:rsid w:val="004275F7"/>
    <w:rsid w:val="0042764F"/>
    <w:rsid w:val="00427F73"/>
    <w:rsid w:val="00431864"/>
    <w:rsid w:val="00431AB0"/>
    <w:rsid w:val="00431E21"/>
    <w:rsid w:val="0043236A"/>
    <w:rsid w:val="004335CB"/>
    <w:rsid w:val="0043394B"/>
    <w:rsid w:val="00435B8D"/>
    <w:rsid w:val="00435C58"/>
    <w:rsid w:val="00435CCD"/>
    <w:rsid w:val="00435F93"/>
    <w:rsid w:val="0043627B"/>
    <w:rsid w:val="0043667F"/>
    <w:rsid w:val="0043787D"/>
    <w:rsid w:val="00437EAA"/>
    <w:rsid w:val="004402B2"/>
    <w:rsid w:val="004408E4"/>
    <w:rsid w:val="00440CC0"/>
    <w:rsid w:val="0044151E"/>
    <w:rsid w:val="00441AA8"/>
    <w:rsid w:val="00441CDC"/>
    <w:rsid w:val="00442899"/>
    <w:rsid w:val="00442EB3"/>
    <w:rsid w:val="00442EFA"/>
    <w:rsid w:val="00444283"/>
    <w:rsid w:val="004445ED"/>
    <w:rsid w:val="00444B2A"/>
    <w:rsid w:val="0044524F"/>
    <w:rsid w:val="00445BDF"/>
    <w:rsid w:val="00445CAC"/>
    <w:rsid w:val="00445F8E"/>
    <w:rsid w:val="00447235"/>
    <w:rsid w:val="004517AD"/>
    <w:rsid w:val="00451BA3"/>
    <w:rsid w:val="00452726"/>
    <w:rsid w:val="00453853"/>
    <w:rsid w:val="004545A5"/>
    <w:rsid w:val="004545C8"/>
    <w:rsid w:val="004546F0"/>
    <w:rsid w:val="00454790"/>
    <w:rsid w:val="0045576F"/>
    <w:rsid w:val="00455F0D"/>
    <w:rsid w:val="0045729A"/>
    <w:rsid w:val="004576AF"/>
    <w:rsid w:val="00457A74"/>
    <w:rsid w:val="00457AB6"/>
    <w:rsid w:val="00457E05"/>
    <w:rsid w:val="004603D5"/>
    <w:rsid w:val="00460554"/>
    <w:rsid w:val="00460E87"/>
    <w:rsid w:val="004621A8"/>
    <w:rsid w:val="004645DE"/>
    <w:rsid w:val="00464643"/>
    <w:rsid w:val="0046497D"/>
    <w:rsid w:val="00465221"/>
    <w:rsid w:val="0046559B"/>
    <w:rsid w:val="00465DBF"/>
    <w:rsid w:val="00466DC7"/>
    <w:rsid w:val="00470376"/>
    <w:rsid w:val="00470C5D"/>
    <w:rsid w:val="00470E45"/>
    <w:rsid w:val="0047142D"/>
    <w:rsid w:val="00471DCC"/>
    <w:rsid w:val="00471FD0"/>
    <w:rsid w:val="00472CAB"/>
    <w:rsid w:val="00472CF7"/>
    <w:rsid w:val="004739E3"/>
    <w:rsid w:val="00473A4D"/>
    <w:rsid w:val="004742CC"/>
    <w:rsid w:val="00474582"/>
    <w:rsid w:val="004745AE"/>
    <w:rsid w:val="0047463D"/>
    <w:rsid w:val="00474DBC"/>
    <w:rsid w:val="00475361"/>
    <w:rsid w:val="00476949"/>
    <w:rsid w:val="00476AB1"/>
    <w:rsid w:val="00476F56"/>
    <w:rsid w:val="0047744E"/>
    <w:rsid w:val="00477D10"/>
    <w:rsid w:val="00477D82"/>
    <w:rsid w:val="00480188"/>
    <w:rsid w:val="00480895"/>
    <w:rsid w:val="00480ADF"/>
    <w:rsid w:val="00480B7B"/>
    <w:rsid w:val="00480E07"/>
    <w:rsid w:val="00481A12"/>
    <w:rsid w:val="004835AA"/>
    <w:rsid w:val="00483979"/>
    <w:rsid w:val="0048408E"/>
    <w:rsid w:val="00484B0A"/>
    <w:rsid w:val="00484E45"/>
    <w:rsid w:val="00485031"/>
    <w:rsid w:val="004850CF"/>
    <w:rsid w:val="00485A2F"/>
    <w:rsid w:val="00485A3F"/>
    <w:rsid w:val="00485DAC"/>
    <w:rsid w:val="0048624D"/>
    <w:rsid w:val="00486475"/>
    <w:rsid w:val="00486793"/>
    <w:rsid w:val="004868CB"/>
    <w:rsid w:val="00486E31"/>
    <w:rsid w:val="00487B18"/>
    <w:rsid w:val="00490D0F"/>
    <w:rsid w:val="00491212"/>
    <w:rsid w:val="00491AF4"/>
    <w:rsid w:val="004921F7"/>
    <w:rsid w:val="004926B9"/>
    <w:rsid w:val="00492B59"/>
    <w:rsid w:val="00492D43"/>
    <w:rsid w:val="00493885"/>
    <w:rsid w:val="0049448C"/>
    <w:rsid w:val="004945C1"/>
    <w:rsid w:val="00495209"/>
    <w:rsid w:val="00495BF6"/>
    <w:rsid w:val="00497498"/>
    <w:rsid w:val="004A1354"/>
    <w:rsid w:val="004A14D7"/>
    <w:rsid w:val="004A2843"/>
    <w:rsid w:val="004A2DF4"/>
    <w:rsid w:val="004A3427"/>
    <w:rsid w:val="004A3607"/>
    <w:rsid w:val="004A37C9"/>
    <w:rsid w:val="004A4152"/>
    <w:rsid w:val="004A509C"/>
    <w:rsid w:val="004A7BA1"/>
    <w:rsid w:val="004A7C6C"/>
    <w:rsid w:val="004B003C"/>
    <w:rsid w:val="004B00FE"/>
    <w:rsid w:val="004B06A8"/>
    <w:rsid w:val="004B09C2"/>
    <w:rsid w:val="004B0B0C"/>
    <w:rsid w:val="004B182A"/>
    <w:rsid w:val="004B1990"/>
    <w:rsid w:val="004B22C3"/>
    <w:rsid w:val="004B258D"/>
    <w:rsid w:val="004B2AF6"/>
    <w:rsid w:val="004B2D10"/>
    <w:rsid w:val="004B330D"/>
    <w:rsid w:val="004B4FA1"/>
    <w:rsid w:val="004B6247"/>
    <w:rsid w:val="004B62ED"/>
    <w:rsid w:val="004B6BB0"/>
    <w:rsid w:val="004B6C8C"/>
    <w:rsid w:val="004B76A7"/>
    <w:rsid w:val="004B7CE5"/>
    <w:rsid w:val="004B7DCC"/>
    <w:rsid w:val="004B7E08"/>
    <w:rsid w:val="004B7E65"/>
    <w:rsid w:val="004C0DF7"/>
    <w:rsid w:val="004C0EF3"/>
    <w:rsid w:val="004C1FC4"/>
    <w:rsid w:val="004C2897"/>
    <w:rsid w:val="004C39E3"/>
    <w:rsid w:val="004C3BF9"/>
    <w:rsid w:val="004C3E10"/>
    <w:rsid w:val="004C4245"/>
    <w:rsid w:val="004C49D7"/>
    <w:rsid w:val="004C4FA2"/>
    <w:rsid w:val="004C5F79"/>
    <w:rsid w:val="004C6E42"/>
    <w:rsid w:val="004C7F96"/>
    <w:rsid w:val="004D015E"/>
    <w:rsid w:val="004D0950"/>
    <w:rsid w:val="004D1573"/>
    <w:rsid w:val="004D25F3"/>
    <w:rsid w:val="004D41A0"/>
    <w:rsid w:val="004D4549"/>
    <w:rsid w:val="004D4D6D"/>
    <w:rsid w:val="004D50F9"/>
    <w:rsid w:val="004D52DF"/>
    <w:rsid w:val="004D56E1"/>
    <w:rsid w:val="004D59C8"/>
    <w:rsid w:val="004D6928"/>
    <w:rsid w:val="004D6AF1"/>
    <w:rsid w:val="004D7497"/>
    <w:rsid w:val="004E006A"/>
    <w:rsid w:val="004E00C8"/>
    <w:rsid w:val="004E0193"/>
    <w:rsid w:val="004E0CB7"/>
    <w:rsid w:val="004E1E47"/>
    <w:rsid w:val="004E2990"/>
    <w:rsid w:val="004E2FD8"/>
    <w:rsid w:val="004E30F2"/>
    <w:rsid w:val="004E3149"/>
    <w:rsid w:val="004E3F00"/>
    <w:rsid w:val="004E422C"/>
    <w:rsid w:val="004E5184"/>
    <w:rsid w:val="004E6873"/>
    <w:rsid w:val="004E6A38"/>
    <w:rsid w:val="004E6A45"/>
    <w:rsid w:val="004E7264"/>
    <w:rsid w:val="004E7C1F"/>
    <w:rsid w:val="004E7D34"/>
    <w:rsid w:val="004F0BE3"/>
    <w:rsid w:val="004F202C"/>
    <w:rsid w:val="004F2FF0"/>
    <w:rsid w:val="004F3BD6"/>
    <w:rsid w:val="004F3C3F"/>
    <w:rsid w:val="004F4BA9"/>
    <w:rsid w:val="004F4F98"/>
    <w:rsid w:val="004F5ADC"/>
    <w:rsid w:val="004F5D6C"/>
    <w:rsid w:val="004F6E0F"/>
    <w:rsid w:val="004F70FA"/>
    <w:rsid w:val="004F79AC"/>
    <w:rsid w:val="00501542"/>
    <w:rsid w:val="00501E9E"/>
    <w:rsid w:val="00502FBB"/>
    <w:rsid w:val="0050350F"/>
    <w:rsid w:val="005035AD"/>
    <w:rsid w:val="00503A31"/>
    <w:rsid w:val="00503C44"/>
    <w:rsid w:val="00503F2E"/>
    <w:rsid w:val="005043E9"/>
    <w:rsid w:val="005045A3"/>
    <w:rsid w:val="00504AD4"/>
    <w:rsid w:val="005059C1"/>
    <w:rsid w:val="00505B65"/>
    <w:rsid w:val="00505D15"/>
    <w:rsid w:val="00506391"/>
    <w:rsid w:val="00506477"/>
    <w:rsid w:val="005076A1"/>
    <w:rsid w:val="0051055D"/>
    <w:rsid w:val="0051075A"/>
    <w:rsid w:val="00510922"/>
    <w:rsid w:val="00511D9F"/>
    <w:rsid w:val="005121B0"/>
    <w:rsid w:val="005129E9"/>
    <w:rsid w:val="00512BBC"/>
    <w:rsid w:val="00513EE8"/>
    <w:rsid w:val="005143D9"/>
    <w:rsid w:val="0051457F"/>
    <w:rsid w:val="0051507D"/>
    <w:rsid w:val="005152B1"/>
    <w:rsid w:val="00515BC1"/>
    <w:rsid w:val="00515E3F"/>
    <w:rsid w:val="0051608E"/>
    <w:rsid w:val="00517119"/>
    <w:rsid w:val="00517A48"/>
    <w:rsid w:val="00517F50"/>
    <w:rsid w:val="005207D8"/>
    <w:rsid w:val="0052138A"/>
    <w:rsid w:val="00521934"/>
    <w:rsid w:val="00521F5D"/>
    <w:rsid w:val="005220EB"/>
    <w:rsid w:val="005222C5"/>
    <w:rsid w:val="005228E8"/>
    <w:rsid w:val="00522AA3"/>
    <w:rsid w:val="00522EB4"/>
    <w:rsid w:val="005233DE"/>
    <w:rsid w:val="005234CD"/>
    <w:rsid w:val="00525DD5"/>
    <w:rsid w:val="005260B0"/>
    <w:rsid w:val="005265C5"/>
    <w:rsid w:val="0052694D"/>
    <w:rsid w:val="00530462"/>
    <w:rsid w:val="00530F52"/>
    <w:rsid w:val="00531043"/>
    <w:rsid w:val="005312FA"/>
    <w:rsid w:val="0053141E"/>
    <w:rsid w:val="005315FC"/>
    <w:rsid w:val="00532006"/>
    <w:rsid w:val="00533601"/>
    <w:rsid w:val="00533DB8"/>
    <w:rsid w:val="005354CE"/>
    <w:rsid w:val="00535DE1"/>
    <w:rsid w:val="0053688C"/>
    <w:rsid w:val="00537963"/>
    <w:rsid w:val="00537D84"/>
    <w:rsid w:val="00537E98"/>
    <w:rsid w:val="005401AB"/>
    <w:rsid w:val="00540407"/>
    <w:rsid w:val="00540869"/>
    <w:rsid w:val="00540961"/>
    <w:rsid w:val="00540A8E"/>
    <w:rsid w:val="005413A9"/>
    <w:rsid w:val="005413C9"/>
    <w:rsid w:val="00541B03"/>
    <w:rsid w:val="0054214D"/>
    <w:rsid w:val="005439EE"/>
    <w:rsid w:val="00544039"/>
    <w:rsid w:val="005441A9"/>
    <w:rsid w:val="00544DD7"/>
    <w:rsid w:val="00545269"/>
    <w:rsid w:val="005457D2"/>
    <w:rsid w:val="00545D2B"/>
    <w:rsid w:val="0054618E"/>
    <w:rsid w:val="0054634A"/>
    <w:rsid w:val="00546771"/>
    <w:rsid w:val="005502B1"/>
    <w:rsid w:val="0055162A"/>
    <w:rsid w:val="005518D4"/>
    <w:rsid w:val="00551E20"/>
    <w:rsid w:val="005522B3"/>
    <w:rsid w:val="00552324"/>
    <w:rsid w:val="005542E7"/>
    <w:rsid w:val="0055532A"/>
    <w:rsid w:val="00555BCF"/>
    <w:rsid w:val="00556004"/>
    <w:rsid w:val="0055659F"/>
    <w:rsid w:val="00556CBC"/>
    <w:rsid w:val="005572A7"/>
    <w:rsid w:val="005574F2"/>
    <w:rsid w:val="005603C2"/>
    <w:rsid w:val="00560AAB"/>
    <w:rsid w:val="00561129"/>
    <w:rsid w:val="00561F1B"/>
    <w:rsid w:val="00562107"/>
    <w:rsid w:val="0056221F"/>
    <w:rsid w:val="00562BEF"/>
    <w:rsid w:val="0056349B"/>
    <w:rsid w:val="005642D4"/>
    <w:rsid w:val="00565B7B"/>
    <w:rsid w:val="00566A5F"/>
    <w:rsid w:val="00566AE4"/>
    <w:rsid w:val="00566D92"/>
    <w:rsid w:val="00566F15"/>
    <w:rsid w:val="0056782A"/>
    <w:rsid w:val="005700B2"/>
    <w:rsid w:val="005704F2"/>
    <w:rsid w:val="00570727"/>
    <w:rsid w:val="00571C7F"/>
    <w:rsid w:val="005724C2"/>
    <w:rsid w:val="005726A5"/>
    <w:rsid w:val="00572F77"/>
    <w:rsid w:val="005730C4"/>
    <w:rsid w:val="0057321C"/>
    <w:rsid w:val="00573601"/>
    <w:rsid w:val="00574EBD"/>
    <w:rsid w:val="00574FBB"/>
    <w:rsid w:val="0057520F"/>
    <w:rsid w:val="00575E5E"/>
    <w:rsid w:val="005768EE"/>
    <w:rsid w:val="00576B91"/>
    <w:rsid w:val="00576E22"/>
    <w:rsid w:val="00577676"/>
    <w:rsid w:val="00577F24"/>
    <w:rsid w:val="00577FF4"/>
    <w:rsid w:val="005802AC"/>
    <w:rsid w:val="0058031D"/>
    <w:rsid w:val="00580F0A"/>
    <w:rsid w:val="00581B1A"/>
    <w:rsid w:val="0058219B"/>
    <w:rsid w:val="00583DE8"/>
    <w:rsid w:val="005843D6"/>
    <w:rsid w:val="0058486F"/>
    <w:rsid w:val="005848C0"/>
    <w:rsid w:val="00585105"/>
    <w:rsid w:val="005851CE"/>
    <w:rsid w:val="00585306"/>
    <w:rsid w:val="005857F4"/>
    <w:rsid w:val="00586228"/>
    <w:rsid w:val="005863DA"/>
    <w:rsid w:val="00586641"/>
    <w:rsid w:val="00586793"/>
    <w:rsid w:val="00587BE2"/>
    <w:rsid w:val="005901E7"/>
    <w:rsid w:val="00591415"/>
    <w:rsid w:val="005919BB"/>
    <w:rsid w:val="0059304D"/>
    <w:rsid w:val="00593831"/>
    <w:rsid w:val="00595019"/>
    <w:rsid w:val="00595A85"/>
    <w:rsid w:val="00595BC3"/>
    <w:rsid w:val="00596EDE"/>
    <w:rsid w:val="00597B60"/>
    <w:rsid w:val="00597CEE"/>
    <w:rsid w:val="00597E28"/>
    <w:rsid w:val="005A046B"/>
    <w:rsid w:val="005A1135"/>
    <w:rsid w:val="005A158E"/>
    <w:rsid w:val="005A27D1"/>
    <w:rsid w:val="005A2F95"/>
    <w:rsid w:val="005A32FF"/>
    <w:rsid w:val="005A4707"/>
    <w:rsid w:val="005A4E63"/>
    <w:rsid w:val="005A519F"/>
    <w:rsid w:val="005A5603"/>
    <w:rsid w:val="005A5F50"/>
    <w:rsid w:val="005A6458"/>
    <w:rsid w:val="005A6D87"/>
    <w:rsid w:val="005A7319"/>
    <w:rsid w:val="005A7526"/>
    <w:rsid w:val="005B036F"/>
    <w:rsid w:val="005B1776"/>
    <w:rsid w:val="005B2641"/>
    <w:rsid w:val="005B2958"/>
    <w:rsid w:val="005B2AC9"/>
    <w:rsid w:val="005B2FA8"/>
    <w:rsid w:val="005B30DD"/>
    <w:rsid w:val="005B32A1"/>
    <w:rsid w:val="005B3B0A"/>
    <w:rsid w:val="005B3F9D"/>
    <w:rsid w:val="005B47AE"/>
    <w:rsid w:val="005B4A23"/>
    <w:rsid w:val="005B4DCE"/>
    <w:rsid w:val="005B5110"/>
    <w:rsid w:val="005B52EF"/>
    <w:rsid w:val="005B53C0"/>
    <w:rsid w:val="005B55FC"/>
    <w:rsid w:val="005B58F6"/>
    <w:rsid w:val="005B5BEB"/>
    <w:rsid w:val="005B6AF4"/>
    <w:rsid w:val="005C04CB"/>
    <w:rsid w:val="005C0EE0"/>
    <w:rsid w:val="005C185D"/>
    <w:rsid w:val="005C1AB0"/>
    <w:rsid w:val="005C2B78"/>
    <w:rsid w:val="005C301B"/>
    <w:rsid w:val="005C3E53"/>
    <w:rsid w:val="005C468C"/>
    <w:rsid w:val="005C4A58"/>
    <w:rsid w:val="005C6906"/>
    <w:rsid w:val="005C757A"/>
    <w:rsid w:val="005C7A28"/>
    <w:rsid w:val="005D0678"/>
    <w:rsid w:val="005D0CC9"/>
    <w:rsid w:val="005D0D91"/>
    <w:rsid w:val="005D1126"/>
    <w:rsid w:val="005D12BE"/>
    <w:rsid w:val="005D13BF"/>
    <w:rsid w:val="005D2A13"/>
    <w:rsid w:val="005D3DB2"/>
    <w:rsid w:val="005D461F"/>
    <w:rsid w:val="005D4B07"/>
    <w:rsid w:val="005D5668"/>
    <w:rsid w:val="005D5F1A"/>
    <w:rsid w:val="005D6020"/>
    <w:rsid w:val="005D6612"/>
    <w:rsid w:val="005D6E2E"/>
    <w:rsid w:val="005D72E1"/>
    <w:rsid w:val="005D7514"/>
    <w:rsid w:val="005D7AB8"/>
    <w:rsid w:val="005E1A1C"/>
    <w:rsid w:val="005E1FBB"/>
    <w:rsid w:val="005E2F43"/>
    <w:rsid w:val="005E329D"/>
    <w:rsid w:val="005E339B"/>
    <w:rsid w:val="005E3C00"/>
    <w:rsid w:val="005E4008"/>
    <w:rsid w:val="005E45AA"/>
    <w:rsid w:val="005E48DE"/>
    <w:rsid w:val="005E4BAD"/>
    <w:rsid w:val="005E5F42"/>
    <w:rsid w:val="005E650A"/>
    <w:rsid w:val="005E6965"/>
    <w:rsid w:val="005E6C14"/>
    <w:rsid w:val="005E6D9C"/>
    <w:rsid w:val="005F009E"/>
    <w:rsid w:val="005F086A"/>
    <w:rsid w:val="005F0968"/>
    <w:rsid w:val="005F0DB0"/>
    <w:rsid w:val="005F1535"/>
    <w:rsid w:val="005F1645"/>
    <w:rsid w:val="005F18C5"/>
    <w:rsid w:val="005F24F0"/>
    <w:rsid w:val="005F2EBE"/>
    <w:rsid w:val="005F400E"/>
    <w:rsid w:val="005F4683"/>
    <w:rsid w:val="005F538E"/>
    <w:rsid w:val="005F562E"/>
    <w:rsid w:val="005F5E62"/>
    <w:rsid w:val="005F6540"/>
    <w:rsid w:val="005F65C1"/>
    <w:rsid w:val="005F7342"/>
    <w:rsid w:val="005F7C5B"/>
    <w:rsid w:val="006004C8"/>
    <w:rsid w:val="0060078D"/>
    <w:rsid w:val="00600CBD"/>
    <w:rsid w:val="00600DD5"/>
    <w:rsid w:val="00601B3B"/>
    <w:rsid w:val="006020C9"/>
    <w:rsid w:val="00602B1E"/>
    <w:rsid w:val="00602E98"/>
    <w:rsid w:val="00602EDF"/>
    <w:rsid w:val="00602FD9"/>
    <w:rsid w:val="00603E2E"/>
    <w:rsid w:val="00604BF6"/>
    <w:rsid w:val="00604DA4"/>
    <w:rsid w:val="00610258"/>
    <w:rsid w:val="00610379"/>
    <w:rsid w:val="006104A2"/>
    <w:rsid w:val="006105B2"/>
    <w:rsid w:val="00610A3C"/>
    <w:rsid w:val="006112BC"/>
    <w:rsid w:val="0061135D"/>
    <w:rsid w:val="00611A7E"/>
    <w:rsid w:val="00611B7C"/>
    <w:rsid w:val="00611DBF"/>
    <w:rsid w:val="00612508"/>
    <w:rsid w:val="0061279B"/>
    <w:rsid w:val="00612EC1"/>
    <w:rsid w:val="006132E7"/>
    <w:rsid w:val="00613CF0"/>
    <w:rsid w:val="00614125"/>
    <w:rsid w:val="00614D47"/>
    <w:rsid w:val="00615107"/>
    <w:rsid w:val="0061726F"/>
    <w:rsid w:val="006173DB"/>
    <w:rsid w:val="00620076"/>
    <w:rsid w:val="00620157"/>
    <w:rsid w:val="00620406"/>
    <w:rsid w:val="0062137A"/>
    <w:rsid w:val="00621A30"/>
    <w:rsid w:val="006228A6"/>
    <w:rsid w:val="0062293D"/>
    <w:rsid w:val="0062386F"/>
    <w:rsid w:val="00623CA3"/>
    <w:rsid w:val="00623D03"/>
    <w:rsid w:val="00623D73"/>
    <w:rsid w:val="00624542"/>
    <w:rsid w:val="0062545A"/>
    <w:rsid w:val="00625A4A"/>
    <w:rsid w:val="0062768F"/>
    <w:rsid w:val="00627732"/>
    <w:rsid w:val="00627E5A"/>
    <w:rsid w:val="00627F35"/>
    <w:rsid w:val="00627F48"/>
    <w:rsid w:val="006307F7"/>
    <w:rsid w:val="0063093B"/>
    <w:rsid w:val="00630F68"/>
    <w:rsid w:val="00631265"/>
    <w:rsid w:val="0063228A"/>
    <w:rsid w:val="00632540"/>
    <w:rsid w:val="00632F0A"/>
    <w:rsid w:val="00633401"/>
    <w:rsid w:val="00633470"/>
    <w:rsid w:val="00633FAC"/>
    <w:rsid w:val="006341AE"/>
    <w:rsid w:val="00634533"/>
    <w:rsid w:val="00634DE0"/>
    <w:rsid w:val="00634FD5"/>
    <w:rsid w:val="006350D3"/>
    <w:rsid w:val="0063543B"/>
    <w:rsid w:val="00635AC1"/>
    <w:rsid w:val="00636B8B"/>
    <w:rsid w:val="00636EAF"/>
    <w:rsid w:val="00637272"/>
    <w:rsid w:val="00637747"/>
    <w:rsid w:val="00637E3B"/>
    <w:rsid w:val="00641B24"/>
    <w:rsid w:val="00642A54"/>
    <w:rsid w:val="00642DDE"/>
    <w:rsid w:val="006437C2"/>
    <w:rsid w:val="00643AD3"/>
    <w:rsid w:val="006443E7"/>
    <w:rsid w:val="0064455F"/>
    <w:rsid w:val="00644BDB"/>
    <w:rsid w:val="006453C3"/>
    <w:rsid w:val="006454B6"/>
    <w:rsid w:val="006459F8"/>
    <w:rsid w:val="006461B1"/>
    <w:rsid w:val="00647253"/>
    <w:rsid w:val="00647694"/>
    <w:rsid w:val="00647E11"/>
    <w:rsid w:val="0065016D"/>
    <w:rsid w:val="006501AD"/>
    <w:rsid w:val="0065088F"/>
    <w:rsid w:val="00650A1C"/>
    <w:rsid w:val="006510EA"/>
    <w:rsid w:val="00651780"/>
    <w:rsid w:val="00651DAB"/>
    <w:rsid w:val="00652DD4"/>
    <w:rsid w:val="006535BE"/>
    <w:rsid w:val="00653AB8"/>
    <w:rsid w:val="00653D4B"/>
    <w:rsid w:val="006543B7"/>
    <w:rsid w:val="00654B37"/>
    <w:rsid w:val="00654C56"/>
    <w:rsid w:val="00655261"/>
    <w:rsid w:val="0065579D"/>
    <w:rsid w:val="00655B64"/>
    <w:rsid w:val="00660167"/>
    <w:rsid w:val="006618F6"/>
    <w:rsid w:val="0066281E"/>
    <w:rsid w:val="00662B63"/>
    <w:rsid w:val="00662FBA"/>
    <w:rsid w:val="00663981"/>
    <w:rsid w:val="00663FCF"/>
    <w:rsid w:val="00664E6A"/>
    <w:rsid w:val="00664FA3"/>
    <w:rsid w:val="006652A2"/>
    <w:rsid w:val="006652B8"/>
    <w:rsid w:val="00665731"/>
    <w:rsid w:val="00665A97"/>
    <w:rsid w:val="00666A69"/>
    <w:rsid w:val="006705EF"/>
    <w:rsid w:val="00670693"/>
    <w:rsid w:val="006712D1"/>
    <w:rsid w:val="00671589"/>
    <w:rsid w:val="00672EC1"/>
    <w:rsid w:val="006739CC"/>
    <w:rsid w:val="00673A9C"/>
    <w:rsid w:val="006741D0"/>
    <w:rsid w:val="006746D3"/>
    <w:rsid w:val="00675D57"/>
    <w:rsid w:val="00676688"/>
    <w:rsid w:val="006766BC"/>
    <w:rsid w:val="00676818"/>
    <w:rsid w:val="006774F3"/>
    <w:rsid w:val="0067772B"/>
    <w:rsid w:val="006777CC"/>
    <w:rsid w:val="0067796D"/>
    <w:rsid w:val="00680671"/>
    <w:rsid w:val="00680DAD"/>
    <w:rsid w:val="0068180B"/>
    <w:rsid w:val="006824D4"/>
    <w:rsid w:val="00682BEF"/>
    <w:rsid w:val="00682D7F"/>
    <w:rsid w:val="0068329D"/>
    <w:rsid w:val="0068357C"/>
    <w:rsid w:val="00683C41"/>
    <w:rsid w:val="0068418B"/>
    <w:rsid w:val="006844E3"/>
    <w:rsid w:val="00684EC1"/>
    <w:rsid w:val="00684FDE"/>
    <w:rsid w:val="00686329"/>
    <w:rsid w:val="00686519"/>
    <w:rsid w:val="006865F8"/>
    <w:rsid w:val="00686D40"/>
    <w:rsid w:val="00686EA0"/>
    <w:rsid w:val="00687555"/>
    <w:rsid w:val="00687B58"/>
    <w:rsid w:val="00690E7B"/>
    <w:rsid w:val="00692367"/>
    <w:rsid w:val="00692EFE"/>
    <w:rsid w:val="006930E1"/>
    <w:rsid w:val="006930E3"/>
    <w:rsid w:val="00693371"/>
    <w:rsid w:val="006934DC"/>
    <w:rsid w:val="00694813"/>
    <w:rsid w:val="006957EF"/>
    <w:rsid w:val="00695939"/>
    <w:rsid w:val="006959FC"/>
    <w:rsid w:val="00695CF5"/>
    <w:rsid w:val="00696252"/>
    <w:rsid w:val="00696D13"/>
    <w:rsid w:val="00697494"/>
    <w:rsid w:val="00697647"/>
    <w:rsid w:val="006A046F"/>
    <w:rsid w:val="006A0E48"/>
    <w:rsid w:val="006A12A7"/>
    <w:rsid w:val="006A24CE"/>
    <w:rsid w:val="006A2A87"/>
    <w:rsid w:val="006A2E77"/>
    <w:rsid w:val="006A360B"/>
    <w:rsid w:val="006A4473"/>
    <w:rsid w:val="006A48A7"/>
    <w:rsid w:val="006A52FC"/>
    <w:rsid w:val="006A5A30"/>
    <w:rsid w:val="006A5C74"/>
    <w:rsid w:val="006A63A3"/>
    <w:rsid w:val="006A6713"/>
    <w:rsid w:val="006A6A9B"/>
    <w:rsid w:val="006A72BB"/>
    <w:rsid w:val="006A7388"/>
    <w:rsid w:val="006B0415"/>
    <w:rsid w:val="006B1668"/>
    <w:rsid w:val="006B19CB"/>
    <w:rsid w:val="006B1BD0"/>
    <w:rsid w:val="006B1D26"/>
    <w:rsid w:val="006B1EC1"/>
    <w:rsid w:val="006B3099"/>
    <w:rsid w:val="006B353B"/>
    <w:rsid w:val="006B3E48"/>
    <w:rsid w:val="006B4B5E"/>
    <w:rsid w:val="006B4F37"/>
    <w:rsid w:val="006B57DF"/>
    <w:rsid w:val="006B6C0E"/>
    <w:rsid w:val="006B6C86"/>
    <w:rsid w:val="006B7366"/>
    <w:rsid w:val="006C01D7"/>
    <w:rsid w:val="006C1157"/>
    <w:rsid w:val="006C21FD"/>
    <w:rsid w:val="006C2D40"/>
    <w:rsid w:val="006C3196"/>
    <w:rsid w:val="006C38E6"/>
    <w:rsid w:val="006C3DA2"/>
    <w:rsid w:val="006C4FAB"/>
    <w:rsid w:val="006C51BC"/>
    <w:rsid w:val="006C7AAF"/>
    <w:rsid w:val="006C7EDD"/>
    <w:rsid w:val="006D12E3"/>
    <w:rsid w:val="006D15CA"/>
    <w:rsid w:val="006D259F"/>
    <w:rsid w:val="006D2918"/>
    <w:rsid w:val="006D2A78"/>
    <w:rsid w:val="006D3799"/>
    <w:rsid w:val="006D4203"/>
    <w:rsid w:val="006D445B"/>
    <w:rsid w:val="006D4B38"/>
    <w:rsid w:val="006D4C91"/>
    <w:rsid w:val="006D6618"/>
    <w:rsid w:val="006D689B"/>
    <w:rsid w:val="006D6FB8"/>
    <w:rsid w:val="006D6FF3"/>
    <w:rsid w:val="006D72E9"/>
    <w:rsid w:val="006D75FA"/>
    <w:rsid w:val="006D7A1B"/>
    <w:rsid w:val="006E09C1"/>
    <w:rsid w:val="006E09EC"/>
    <w:rsid w:val="006E1202"/>
    <w:rsid w:val="006E1A88"/>
    <w:rsid w:val="006E203F"/>
    <w:rsid w:val="006E3473"/>
    <w:rsid w:val="006E36CF"/>
    <w:rsid w:val="006E38CE"/>
    <w:rsid w:val="006E47E9"/>
    <w:rsid w:val="006E47F2"/>
    <w:rsid w:val="006E58FC"/>
    <w:rsid w:val="006E5A2C"/>
    <w:rsid w:val="006E5CD1"/>
    <w:rsid w:val="006E6B32"/>
    <w:rsid w:val="006F0468"/>
    <w:rsid w:val="006F12E3"/>
    <w:rsid w:val="006F135E"/>
    <w:rsid w:val="006F2637"/>
    <w:rsid w:val="006F28B6"/>
    <w:rsid w:val="006F3CBF"/>
    <w:rsid w:val="006F4350"/>
    <w:rsid w:val="006F49A2"/>
    <w:rsid w:val="006F4A82"/>
    <w:rsid w:val="006F5213"/>
    <w:rsid w:val="006F5589"/>
    <w:rsid w:val="006F56F8"/>
    <w:rsid w:val="006F6788"/>
    <w:rsid w:val="006F6CF8"/>
    <w:rsid w:val="006F72DB"/>
    <w:rsid w:val="0070001D"/>
    <w:rsid w:val="00700141"/>
    <w:rsid w:val="007001D0"/>
    <w:rsid w:val="007005E5"/>
    <w:rsid w:val="007006E6"/>
    <w:rsid w:val="00700C1A"/>
    <w:rsid w:val="0070100D"/>
    <w:rsid w:val="00701265"/>
    <w:rsid w:val="00701C83"/>
    <w:rsid w:val="007032B2"/>
    <w:rsid w:val="00703837"/>
    <w:rsid w:val="007038C5"/>
    <w:rsid w:val="007039B8"/>
    <w:rsid w:val="00703B10"/>
    <w:rsid w:val="007055FB"/>
    <w:rsid w:val="007057BB"/>
    <w:rsid w:val="0070586B"/>
    <w:rsid w:val="007058EB"/>
    <w:rsid w:val="007068DE"/>
    <w:rsid w:val="00706EC1"/>
    <w:rsid w:val="00707BFC"/>
    <w:rsid w:val="00710797"/>
    <w:rsid w:val="00711195"/>
    <w:rsid w:val="00711A7B"/>
    <w:rsid w:val="00711ACF"/>
    <w:rsid w:val="007151E1"/>
    <w:rsid w:val="007153F8"/>
    <w:rsid w:val="00715F96"/>
    <w:rsid w:val="007165B8"/>
    <w:rsid w:val="00716699"/>
    <w:rsid w:val="007167B6"/>
    <w:rsid w:val="00717091"/>
    <w:rsid w:val="00717437"/>
    <w:rsid w:val="0071763F"/>
    <w:rsid w:val="007179D6"/>
    <w:rsid w:val="00720486"/>
    <w:rsid w:val="0072065D"/>
    <w:rsid w:val="0072168C"/>
    <w:rsid w:val="00722070"/>
    <w:rsid w:val="007224B7"/>
    <w:rsid w:val="007228A2"/>
    <w:rsid w:val="00722ACA"/>
    <w:rsid w:val="00722C4D"/>
    <w:rsid w:val="0072314A"/>
    <w:rsid w:val="00723FAB"/>
    <w:rsid w:val="007241CF"/>
    <w:rsid w:val="0072498E"/>
    <w:rsid w:val="00724FA4"/>
    <w:rsid w:val="0072564D"/>
    <w:rsid w:val="00726027"/>
    <w:rsid w:val="00730800"/>
    <w:rsid w:val="00731456"/>
    <w:rsid w:val="007343D3"/>
    <w:rsid w:val="00734992"/>
    <w:rsid w:val="00734AC9"/>
    <w:rsid w:val="00734E96"/>
    <w:rsid w:val="00735816"/>
    <w:rsid w:val="00735878"/>
    <w:rsid w:val="007358B1"/>
    <w:rsid w:val="00735A60"/>
    <w:rsid w:val="007365F2"/>
    <w:rsid w:val="00736871"/>
    <w:rsid w:val="00737109"/>
    <w:rsid w:val="00737542"/>
    <w:rsid w:val="00737723"/>
    <w:rsid w:val="00737F75"/>
    <w:rsid w:val="007429CA"/>
    <w:rsid w:val="0074367B"/>
    <w:rsid w:val="007443E1"/>
    <w:rsid w:val="00744574"/>
    <w:rsid w:val="007445FF"/>
    <w:rsid w:val="0074467B"/>
    <w:rsid w:val="00744F4F"/>
    <w:rsid w:val="00745334"/>
    <w:rsid w:val="00745A5F"/>
    <w:rsid w:val="00745F3F"/>
    <w:rsid w:val="0074609A"/>
    <w:rsid w:val="007464AD"/>
    <w:rsid w:val="00746CF6"/>
    <w:rsid w:val="007470A5"/>
    <w:rsid w:val="00747729"/>
    <w:rsid w:val="00747FD1"/>
    <w:rsid w:val="0075019C"/>
    <w:rsid w:val="007509A9"/>
    <w:rsid w:val="00750E54"/>
    <w:rsid w:val="00751255"/>
    <w:rsid w:val="00751931"/>
    <w:rsid w:val="00751A49"/>
    <w:rsid w:val="007524A0"/>
    <w:rsid w:val="007529A9"/>
    <w:rsid w:val="007537DE"/>
    <w:rsid w:val="00754740"/>
    <w:rsid w:val="007550E2"/>
    <w:rsid w:val="007563BF"/>
    <w:rsid w:val="0075727E"/>
    <w:rsid w:val="00757867"/>
    <w:rsid w:val="00757964"/>
    <w:rsid w:val="007602AA"/>
    <w:rsid w:val="007614D2"/>
    <w:rsid w:val="007618DE"/>
    <w:rsid w:val="0076226D"/>
    <w:rsid w:val="007628DE"/>
    <w:rsid w:val="007629E1"/>
    <w:rsid w:val="00762B84"/>
    <w:rsid w:val="00762C46"/>
    <w:rsid w:val="00762F50"/>
    <w:rsid w:val="0076313A"/>
    <w:rsid w:val="00763336"/>
    <w:rsid w:val="007643DA"/>
    <w:rsid w:val="0076481F"/>
    <w:rsid w:val="00764970"/>
    <w:rsid w:val="007651C2"/>
    <w:rsid w:val="007652BA"/>
    <w:rsid w:val="00767405"/>
    <w:rsid w:val="007674A3"/>
    <w:rsid w:val="0076793D"/>
    <w:rsid w:val="00767944"/>
    <w:rsid w:val="00767A26"/>
    <w:rsid w:val="007701A0"/>
    <w:rsid w:val="00770448"/>
    <w:rsid w:val="0077070D"/>
    <w:rsid w:val="00772B29"/>
    <w:rsid w:val="00772DE3"/>
    <w:rsid w:val="007744DC"/>
    <w:rsid w:val="00775116"/>
    <w:rsid w:val="007766A2"/>
    <w:rsid w:val="007768F6"/>
    <w:rsid w:val="00777375"/>
    <w:rsid w:val="007773C4"/>
    <w:rsid w:val="0077760D"/>
    <w:rsid w:val="00777A9A"/>
    <w:rsid w:val="00777B8B"/>
    <w:rsid w:val="0078064A"/>
    <w:rsid w:val="00780792"/>
    <w:rsid w:val="0078179D"/>
    <w:rsid w:val="00781D44"/>
    <w:rsid w:val="007825B1"/>
    <w:rsid w:val="00783757"/>
    <w:rsid w:val="00784FD6"/>
    <w:rsid w:val="007857C8"/>
    <w:rsid w:val="00785C1D"/>
    <w:rsid w:val="00786266"/>
    <w:rsid w:val="007869D9"/>
    <w:rsid w:val="00786B03"/>
    <w:rsid w:val="00786D50"/>
    <w:rsid w:val="007901F3"/>
    <w:rsid w:val="00790D00"/>
    <w:rsid w:val="00790D5F"/>
    <w:rsid w:val="00790D61"/>
    <w:rsid w:val="00790FE2"/>
    <w:rsid w:val="00791979"/>
    <w:rsid w:val="007927AE"/>
    <w:rsid w:val="00793234"/>
    <w:rsid w:val="00793A0C"/>
    <w:rsid w:val="0079599F"/>
    <w:rsid w:val="00796047"/>
    <w:rsid w:val="00796F04"/>
    <w:rsid w:val="00797D97"/>
    <w:rsid w:val="007A02DE"/>
    <w:rsid w:val="007A055A"/>
    <w:rsid w:val="007A07E0"/>
    <w:rsid w:val="007A07E9"/>
    <w:rsid w:val="007A0D82"/>
    <w:rsid w:val="007A230F"/>
    <w:rsid w:val="007A2CD3"/>
    <w:rsid w:val="007A355F"/>
    <w:rsid w:val="007A3C2C"/>
    <w:rsid w:val="007A439E"/>
    <w:rsid w:val="007A43F5"/>
    <w:rsid w:val="007A44B4"/>
    <w:rsid w:val="007A5946"/>
    <w:rsid w:val="007A5E30"/>
    <w:rsid w:val="007A642A"/>
    <w:rsid w:val="007A73E5"/>
    <w:rsid w:val="007A7D3D"/>
    <w:rsid w:val="007B0138"/>
    <w:rsid w:val="007B06F7"/>
    <w:rsid w:val="007B0D14"/>
    <w:rsid w:val="007B139D"/>
    <w:rsid w:val="007B1C88"/>
    <w:rsid w:val="007B225D"/>
    <w:rsid w:val="007B2D17"/>
    <w:rsid w:val="007B32DC"/>
    <w:rsid w:val="007B32E6"/>
    <w:rsid w:val="007B38D5"/>
    <w:rsid w:val="007B3991"/>
    <w:rsid w:val="007B45D3"/>
    <w:rsid w:val="007B4DFE"/>
    <w:rsid w:val="007B6357"/>
    <w:rsid w:val="007B6917"/>
    <w:rsid w:val="007B6BFE"/>
    <w:rsid w:val="007B71C5"/>
    <w:rsid w:val="007B72C4"/>
    <w:rsid w:val="007C01D0"/>
    <w:rsid w:val="007C1C64"/>
    <w:rsid w:val="007C1EFA"/>
    <w:rsid w:val="007C25C7"/>
    <w:rsid w:val="007C31AC"/>
    <w:rsid w:val="007C37D7"/>
    <w:rsid w:val="007C3AEB"/>
    <w:rsid w:val="007C4682"/>
    <w:rsid w:val="007C4DF5"/>
    <w:rsid w:val="007C4EFE"/>
    <w:rsid w:val="007C5183"/>
    <w:rsid w:val="007C52B5"/>
    <w:rsid w:val="007C623F"/>
    <w:rsid w:val="007C6853"/>
    <w:rsid w:val="007C6DFC"/>
    <w:rsid w:val="007C6EE1"/>
    <w:rsid w:val="007C6F0C"/>
    <w:rsid w:val="007C70C4"/>
    <w:rsid w:val="007C7731"/>
    <w:rsid w:val="007C77D3"/>
    <w:rsid w:val="007C7E7F"/>
    <w:rsid w:val="007C7F1B"/>
    <w:rsid w:val="007D067C"/>
    <w:rsid w:val="007D14CD"/>
    <w:rsid w:val="007D17F8"/>
    <w:rsid w:val="007D1C48"/>
    <w:rsid w:val="007D2CB7"/>
    <w:rsid w:val="007D5369"/>
    <w:rsid w:val="007D65B1"/>
    <w:rsid w:val="007D6E78"/>
    <w:rsid w:val="007D7721"/>
    <w:rsid w:val="007D7774"/>
    <w:rsid w:val="007E06C4"/>
    <w:rsid w:val="007E0CDC"/>
    <w:rsid w:val="007E118F"/>
    <w:rsid w:val="007E17B8"/>
    <w:rsid w:val="007E1C8B"/>
    <w:rsid w:val="007E21CF"/>
    <w:rsid w:val="007E2521"/>
    <w:rsid w:val="007E26AD"/>
    <w:rsid w:val="007E3771"/>
    <w:rsid w:val="007E40A7"/>
    <w:rsid w:val="007E48BC"/>
    <w:rsid w:val="007E5B3B"/>
    <w:rsid w:val="007E5BC4"/>
    <w:rsid w:val="007E5BF0"/>
    <w:rsid w:val="007E61A4"/>
    <w:rsid w:val="007E72AC"/>
    <w:rsid w:val="007E72AF"/>
    <w:rsid w:val="007E79F7"/>
    <w:rsid w:val="007E7A0A"/>
    <w:rsid w:val="007E7CA5"/>
    <w:rsid w:val="007F05C9"/>
    <w:rsid w:val="007F0860"/>
    <w:rsid w:val="007F2932"/>
    <w:rsid w:val="007F3630"/>
    <w:rsid w:val="007F3C0D"/>
    <w:rsid w:val="007F4446"/>
    <w:rsid w:val="007F476E"/>
    <w:rsid w:val="007F4D68"/>
    <w:rsid w:val="007F4E6A"/>
    <w:rsid w:val="007F545F"/>
    <w:rsid w:val="007F5C5A"/>
    <w:rsid w:val="007F6AC6"/>
    <w:rsid w:val="007F7369"/>
    <w:rsid w:val="00800037"/>
    <w:rsid w:val="00801C84"/>
    <w:rsid w:val="00802E23"/>
    <w:rsid w:val="00802F75"/>
    <w:rsid w:val="00803026"/>
    <w:rsid w:val="00803283"/>
    <w:rsid w:val="008037C3"/>
    <w:rsid w:val="008038A9"/>
    <w:rsid w:val="00803EED"/>
    <w:rsid w:val="00804AF9"/>
    <w:rsid w:val="00804D3B"/>
    <w:rsid w:val="00804D52"/>
    <w:rsid w:val="00804DF2"/>
    <w:rsid w:val="0080561A"/>
    <w:rsid w:val="00805847"/>
    <w:rsid w:val="00806029"/>
    <w:rsid w:val="008060E4"/>
    <w:rsid w:val="008065C4"/>
    <w:rsid w:val="00806664"/>
    <w:rsid w:val="00806B64"/>
    <w:rsid w:val="00806C7B"/>
    <w:rsid w:val="00806FF1"/>
    <w:rsid w:val="00807559"/>
    <w:rsid w:val="008109F6"/>
    <w:rsid w:val="00810FCA"/>
    <w:rsid w:val="0081113F"/>
    <w:rsid w:val="00811321"/>
    <w:rsid w:val="00811B82"/>
    <w:rsid w:val="00812072"/>
    <w:rsid w:val="008129B5"/>
    <w:rsid w:val="00812D1A"/>
    <w:rsid w:val="0081329A"/>
    <w:rsid w:val="0081369D"/>
    <w:rsid w:val="0081431D"/>
    <w:rsid w:val="008159CC"/>
    <w:rsid w:val="00815DF3"/>
    <w:rsid w:val="00816A23"/>
    <w:rsid w:val="00817AB4"/>
    <w:rsid w:val="00821111"/>
    <w:rsid w:val="008217DF"/>
    <w:rsid w:val="00821A97"/>
    <w:rsid w:val="00821ACA"/>
    <w:rsid w:val="0082280D"/>
    <w:rsid w:val="008231CF"/>
    <w:rsid w:val="00823755"/>
    <w:rsid w:val="00823EE7"/>
    <w:rsid w:val="00824635"/>
    <w:rsid w:val="00824AE5"/>
    <w:rsid w:val="00825DF4"/>
    <w:rsid w:val="00825E9F"/>
    <w:rsid w:val="00826163"/>
    <w:rsid w:val="008262EA"/>
    <w:rsid w:val="0082701D"/>
    <w:rsid w:val="008276EC"/>
    <w:rsid w:val="0082777B"/>
    <w:rsid w:val="00827B9A"/>
    <w:rsid w:val="00827BDF"/>
    <w:rsid w:val="0083062B"/>
    <w:rsid w:val="008309E5"/>
    <w:rsid w:val="00830B29"/>
    <w:rsid w:val="0083139D"/>
    <w:rsid w:val="00831D3D"/>
    <w:rsid w:val="008325A5"/>
    <w:rsid w:val="008329B2"/>
    <w:rsid w:val="00834291"/>
    <w:rsid w:val="0083475F"/>
    <w:rsid w:val="008367EF"/>
    <w:rsid w:val="008373FA"/>
    <w:rsid w:val="00837AE8"/>
    <w:rsid w:val="00840021"/>
    <w:rsid w:val="0084015E"/>
    <w:rsid w:val="0084023F"/>
    <w:rsid w:val="00841DC9"/>
    <w:rsid w:val="00842304"/>
    <w:rsid w:val="008430F3"/>
    <w:rsid w:val="00843374"/>
    <w:rsid w:val="00844C78"/>
    <w:rsid w:val="008450BC"/>
    <w:rsid w:val="008452A7"/>
    <w:rsid w:val="0084543D"/>
    <w:rsid w:val="00845CDD"/>
    <w:rsid w:val="00846028"/>
    <w:rsid w:val="008477CC"/>
    <w:rsid w:val="00847E6D"/>
    <w:rsid w:val="0085032D"/>
    <w:rsid w:val="00850538"/>
    <w:rsid w:val="00850C1C"/>
    <w:rsid w:val="008510A9"/>
    <w:rsid w:val="008514FE"/>
    <w:rsid w:val="008517CB"/>
    <w:rsid w:val="00851A79"/>
    <w:rsid w:val="008520A0"/>
    <w:rsid w:val="0085245D"/>
    <w:rsid w:val="008524AA"/>
    <w:rsid w:val="0085287A"/>
    <w:rsid w:val="00852D9A"/>
    <w:rsid w:val="0085372F"/>
    <w:rsid w:val="008543AD"/>
    <w:rsid w:val="00854991"/>
    <w:rsid w:val="00855112"/>
    <w:rsid w:val="0085607E"/>
    <w:rsid w:val="0085669A"/>
    <w:rsid w:val="00857BBE"/>
    <w:rsid w:val="00857C41"/>
    <w:rsid w:val="00861257"/>
    <w:rsid w:val="00862C87"/>
    <w:rsid w:val="00863A34"/>
    <w:rsid w:val="0086411B"/>
    <w:rsid w:val="00864277"/>
    <w:rsid w:val="0086442B"/>
    <w:rsid w:val="00864C69"/>
    <w:rsid w:val="00865D74"/>
    <w:rsid w:val="00865E6C"/>
    <w:rsid w:val="008666FE"/>
    <w:rsid w:val="008668D7"/>
    <w:rsid w:val="00866B8C"/>
    <w:rsid w:val="00866FB5"/>
    <w:rsid w:val="0086767F"/>
    <w:rsid w:val="00867E07"/>
    <w:rsid w:val="00870214"/>
    <w:rsid w:val="0087047D"/>
    <w:rsid w:val="00870B14"/>
    <w:rsid w:val="00871270"/>
    <w:rsid w:val="00871662"/>
    <w:rsid w:val="008722A6"/>
    <w:rsid w:val="00872950"/>
    <w:rsid w:val="00873BA2"/>
    <w:rsid w:val="00873C99"/>
    <w:rsid w:val="00873FD3"/>
    <w:rsid w:val="0087496B"/>
    <w:rsid w:val="0087647E"/>
    <w:rsid w:val="00876C4D"/>
    <w:rsid w:val="00877492"/>
    <w:rsid w:val="0087760C"/>
    <w:rsid w:val="008778CF"/>
    <w:rsid w:val="00877AD1"/>
    <w:rsid w:val="00880377"/>
    <w:rsid w:val="00880A9A"/>
    <w:rsid w:val="00880D4A"/>
    <w:rsid w:val="00881831"/>
    <w:rsid w:val="00881FCB"/>
    <w:rsid w:val="008826A3"/>
    <w:rsid w:val="00882ED8"/>
    <w:rsid w:val="00883233"/>
    <w:rsid w:val="00883C0B"/>
    <w:rsid w:val="00884804"/>
    <w:rsid w:val="00885263"/>
    <w:rsid w:val="008858FB"/>
    <w:rsid w:val="0088777E"/>
    <w:rsid w:val="00890037"/>
    <w:rsid w:val="008900AE"/>
    <w:rsid w:val="00891FC6"/>
    <w:rsid w:val="0089294A"/>
    <w:rsid w:val="00892AFC"/>
    <w:rsid w:val="00892C48"/>
    <w:rsid w:val="0089364A"/>
    <w:rsid w:val="00894210"/>
    <w:rsid w:val="008957E2"/>
    <w:rsid w:val="00895984"/>
    <w:rsid w:val="00896627"/>
    <w:rsid w:val="00896B23"/>
    <w:rsid w:val="00896B85"/>
    <w:rsid w:val="00897190"/>
    <w:rsid w:val="008A0AC8"/>
    <w:rsid w:val="008A1707"/>
    <w:rsid w:val="008A23BB"/>
    <w:rsid w:val="008A23E0"/>
    <w:rsid w:val="008A2660"/>
    <w:rsid w:val="008A28EE"/>
    <w:rsid w:val="008A2A71"/>
    <w:rsid w:val="008A2BC5"/>
    <w:rsid w:val="008A2D57"/>
    <w:rsid w:val="008A31A7"/>
    <w:rsid w:val="008A3B26"/>
    <w:rsid w:val="008A3DE0"/>
    <w:rsid w:val="008A410D"/>
    <w:rsid w:val="008A4795"/>
    <w:rsid w:val="008A47CD"/>
    <w:rsid w:val="008A4BAB"/>
    <w:rsid w:val="008A53FC"/>
    <w:rsid w:val="008A5CB2"/>
    <w:rsid w:val="008A68A2"/>
    <w:rsid w:val="008A6CDF"/>
    <w:rsid w:val="008A7105"/>
    <w:rsid w:val="008A719B"/>
    <w:rsid w:val="008A71B5"/>
    <w:rsid w:val="008B0B3A"/>
    <w:rsid w:val="008B1729"/>
    <w:rsid w:val="008B362F"/>
    <w:rsid w:val="008B38CF"/>
    <w:rsid w:val="008B4518"/>
    <w:rsid w:val="008B5101"/>
    <w:rsid w:val="008B5531"/>
    <w:rsid w:val="008B66F3"/>
    <w:rsid w:val="008B703C"/>
    <w:rsid w:val="008C0C68"/>
    <w:rsid w:val="008C10EF"/>
    <w:rsid w:val="008C1700"/>
    <w:rsid w:val="008C18B4"/>
    <w:rsid w:val="008C22B4"/>
    <w:rsid w:val="008C2B0A"/>
    <w:rsid w:val="008C3341"/>
    <w:rsid w:val="008C337B"/>
    <w:rsid w:val="008C3C2B"/>
    <w:rsid w:val="008C3FAB"/>
    <w:rsid w:val="008C403E"/>
    <w:rsid w:val="008C4220"/>
    <w:rsid w:val="008C5208"/>
    <w:rsid w:val="008C5616"/>
    <w:rsid w:val="008C7309"/>
    <w:rsid w:val="008C7407"/>
    <w:rsid w:val="008C7634"/>
    <w:rsid w:val="008D06C6"/>
    <w:rsid w:val="008D0C63"/>
    <w:rsid w:val="008D0EC2"/>
    <w:rsid w:val="008D0FC5"/>
    <w:rsid w:val="008D142F"/>
    <w:rsid w:val="008D1506"/>
    <w:rsid w:val="008D1A94"/>
    <w:rsid w:val="008D2D7D"/>
    <w:rsid w:val="008D2DE2"/>
    <w:rsid w:val="008D38FF"/>
    <w:rsid w:val="008D3B18"/>
    <w:rsid w:val="008D3C1C"/>
    <w:rsid w:val="008D3C45"/>
    <w:rsid w:val="008D3E9E"/>
    <w:rsid w:val="008D49BF"/>
    <w:rsid w:val="008D4E2B"/>
    <w:rsid w:val="008D5688"/>
    <w:rsid w:val="008D5EF1"/>
    <w:rsid w:val="008D6656"/>
    <w:rsid w:val="008D6CEC"/>
    <w:rsid w:val="008D6F9D"/>
    <w:rsid w:val="008E3116"/>
    <w:rsid w:val="008E3327"/>
    <w:rsid w:val="008E3591"/>
    <w:rsid w:val="008E5FDE"/>
    <w:rsid w:val="008E6250"/>
    <w:rsid w:val="008E637A"/>
    <w:rsid w:val="008E7939"/>
    <w:rsid w:val="008E7EEB"/>
    <w:rsid w:val="008F013E"/>
    <w:rsid w:val="008F1140"/>
    <w:rsid w:val="008F1D90"/>
    <w:rsid w:val="008F2EE5"/>
    <w:rsid w:val="008F338B"/>
    <w:rsid w:val="008F3C1A"/>
    <w:rsid w:val="008F4786"/>
    <w:rsid w:val="008F5435"/>
    <w:rsid w:val="008F5F4B"/>
    <w:rsid w:val="008F64C3"/>
    <w:rsid w:val="008F6FBA"/>
    <w:rsid w:val="008F797A"/>
    <w:rsid w:val="0090059B"/>
    <w:rsid w:val="0090090E"/>
    <w:rsid w:val="00900DFB"/>
    <w:rsid w:val="00902482"/>
    <w:rsid w:val="009035DC"/>
    <w:rsid w:val="00903DED"/>
    <w:rsid w:val="00903EDD"/>
    <w:rsid w:val="009048BC"/>
    <w:rsid w:val="00904A9C"/>
    <w:rsid w:val="00905919"/>
    <w:rsid w:val="009066DC"/>
    <w:rsid w:val="00907875"/>
    <w:rsid w:val="00910E9E"/>
    <w:rsid w:val="009116F8"/>
    <w:rsid w:val="009122AD"/>
    <w:rsid w:val="009126C4"/>
    <w:rsid w:val="00914640"/>
    <w:rsid w:val="009147FD"/>
    <w:rsid w:val="00914FD2"/>
    <w:rsid w:val="00915760"/>
    <w:rsid w:val="00916711"/>
    <w:rsid w:val="00916A63"/>
    <w:rsid w:val="00916AFE"/>
    <w:rsid w:val="0091799A"/>
    <w:rsid w:val="00917A8E"/>
    <w:rsid w:val="00917F93"/>
    <w:rsid w:val="00920249"/>
    <w:rsid w:val="00920348"/>
    <w:rsid w:val="00920711"/>
    <w:rsid w:val="009208E5"/>
    <w:rsid w:val="009209B6"/>
    <w:rsid w:val="00920CCE"/>
    <w:rsid w:val="009215AE"/>
    <w:rsid w:val="0092179A"/>
    <w:rsid w:val="009217E9"/>
    <w:rsid w:val="00922F19"/>
    <w:rsid w:val="009238F7"/>
    <w:rsid w:val="00924805"/>
    <w:rsid w:val="009249F8"/>
    <w:rsid w:val="00925D69"/>
    <w:rsid w:val="00925DAD"/>
    <w:rsid w:val="009260CD"/>
    <w:rsid w:val="009269B1"/>
    <w:rsid w:val="00930078"/>
    <w:rsid w:val="00930450"/>
    <w:rsid w:val="009319A9"/>
    <w:rsid w:val="00931B9F"/>
    <w:rsid w:val="00931E77"/>
    <w:rsid w:val="0093246F"/>
    <w:rsid w:val="009329E9"/>
    <w:rsid w:val="00932DE5"/>
    <w:rsid w:val="009337C9"/>
    <w:rsid w:val="00933EB0"/>
    <w:rsid w:val="009342E4"/>
    <w:rsid w:val="00934BED"/>
    <w:rsid w:val="009351C8"/>
    <w:rsid w:val="00935EAA"/>
    <w:rsid w:val="009361E3"/>
    <w:rsid w:val="00936A77"/>
    <w:rsid w:val="00936A7D"/>
    <w:rsid w:val="009372B9"/>
    <w:rsid w:val="009373DC"/>
    <w:rsid w:val="0093769A"/>
    <w:rsid w:val="00937CD7"/>
    <w:rsid w:val="00940813"/>
    <w:rsid w:val="009409AD"/>
    <w:rsid w:val="009416F0"/>
    <w:rsid w:val="00941761"/>
    <w:rsid w:val="00941E42"/>
    <w:rsid w:val="00942190"/>
    <w:rsid w:val="009423EC"/>
    <w:rsid w:val="00942AE7"/>
    <w:rsid w:val="0094387B"/>
    <w:rsid w:val="00943DD6"/>
    <w:rsid w:val="00944C67"/>
    <w:rsid w:val="009450DB"/>
    <w:rsid w:val="00946A6A"/>
    <w:rsid w:val="00947B25"/>
    <w:rsid w:val="00950B98"/>
    <w:rsid w:val="00950F5E"/>
    <w:rsid w:val="00951139"/>
    <w:rsid w:val="00951793"/>
    <w:rsid w:val="009517ED"/>
    <w:rsid w:val="00951DDC"/>
    <w:rsid w:val="00952374"/>
    <w:rsid w:val="0095316A"/>
    <w:rsid w:val="0095321B"/>
    <w:rsid w:val="00953697"/>
    <w:rsid w:val="00953E5D"/>
    <w:rsid w:val="00954D81"/>
    <w:rsid w:val="00955702"/>
    <w:rsid w:val="00955DB7"/>
    <w:rsid w:val="00956760"/>
    <w:rsid w:val="00956A51"/>
    <w:rsid w:val="00956AB9"/>
    <w:rsid w:val="009570EF"/>
    <w:rsid w:val="009573BA"/>
    <w:rsid w:val="0095794B"/>
    <w:rsid w:val="009606D4"/>
    <w:rsid w:val="00960C22"/>
    <w:rsid w:val="00960E17"/>
    <w:rsid w:val="0096122E"/>
    <w:rsid w:val="00961259"/>
    <w:rsid w:val="00961363"/>
    <w:rsid w:val="00961C32"/>
    <w:rsid w:val="00961F5F"/>
    <w:rsid w:val="00961FE4"/>
    <w:rsid w:val="00963372"/>
    <w:rsid w:val="00963482"/>
    <w:rsid w:val="00963E33"/>
    <w:rsid w:val="00964B51"/>
    <w:rsid w:val="00965C4A"/>
    <w:rsid w:val="00965C72"/>
    <w:rsid w:val="009678A5"/>
    <w:rsid w:val="00967BBE"/>
    <w:rsid w:val="00967E86"/>
    <w:rsid w:val="00970D01"/>
    <w:rsid w:val="009713F2"/>
    <w:rsid w:val="00971A79"/>
    <w:rsid w:val="00972D06"/>
    <w:rsid w:val="009733F5"/>
    <w:rsid w:val="0097352F"/>
    <w:rsid w:val="00973598"/>
    <w:rsid w:val="009739B8"/>
    <w:rsid w:val="00973FD5"/>
    <w:rsid w:val="009744F5"/>
    <w:rsid w:val="00974515"/>
    <w:rsid w:val="00974805"/>
    <w:rsid w:val="00975251"/>
    <w:rsid w:val="00975BC2"/>
    <w:rsid w:val="00975F89"/>
    <w:rsid w:val="00976164"/>
    <w:rsid w:val="009767EE"/>
    <w:rsid w:val="00977101"/>
    <w:rsid w:val="0097731C"/>
    <w:rsid w:val="00977323"/>
    <w:rsid w:val="00977AD1"/>
    <w:rsid w:val="00977EB1"/>
    <w:rsid w:val="00980A61"/>
    <w:rsid w:val="009819F4"/>
    <w:rsid w:val="00981B16"/>
    <w:rsid w:val="009823CE"/>
    <w:rsid w:val="009832D5"/>
    <w:rsid w:val="00983660"/>
    <w:rsid w:val="00983ABD"/>
    <w:rsid w:val="00984001"/>
    <w:rsid w:val="009856BA"/>
    <w:rsid w:val="00985B8D"/>
    <w:rsid w:val="009869EE"/>
    <w:rsid w:val="00986D43"/>
    <w:rsid w:val="00986DCE"/>
    <w:rsid w:val="00987658"/>
    <w:rsid w:val="00990471"/>
    <w:rsid w:val="00990885"/>
    <w:rsid w:val="009909AB"/>
    <w:rsid w:val="009909DC"/>
    <w:rsid w:val="00990A05"/>
    <w:rsid w:val="00990B87"/>
    <w:rsid w:val="00990C4B"/>
    <w:rsid w:val="00990CBB"/>
    <w:rsid w:val="009911D6"/>
    <w:rsid w:val="00991992"/>
    <w:rsid w:val="00991EDF"/>
    <w:rsid w:val="0099315B"/>
    <w:rsid w:val="00993ACF"/>
    <w:rsid w:val="00995573"/>
    <w:rsid w:val="00995643"/>
    <w:rsid w:val="00995672"/>
    <w:rsid w:val="00995C40"/>
    <w:rsid w:val="00996E48"/>
    <w:rsid w:val="0099766D"/>
    <w:rsid w:val="00997B8E"/>
    <w:rsid w:val="009A0731"/>
    <w:rsid w:val="009A0C5B"/>
    <w:rsid w:val="009A0E7E"/>
    <w:rsid w:val="009A197C"/>
    <w:rsid w:val="009A1AAE"/>
    <w:rsid w:val="009A1FDE"/>
    <w:rsid w:val="009A2269"/>
    <w:rsid w:val="009A2C07"/>
    <w:rsid w:val="009A2D4D"/>
    <w:rsid w:val="009A391C"/>
    <w:rsid w:val="009A4D62"/>
    <w:rsid w:val="009A5149"/>
    <w:rsid w:val="009A553D"/>
    <w:rsid w:val="009A589F"/>
    <w:rsid w:val="009A70AF"/>
    <w:rsid w:val="009A7A6F"/>
    <w:rsid w:val="009A7C72"/>
    <w:rsid w:val="009B0233"/>
    <w:rsid w:val="009B17BD"/>
    <w:rsid w:val="009B1F36"/>
    <w:rsid w:val="009B26A9"/>
    <w:rsid w:val="009B3087"/>
    <w:rsid w:val="009B3291"/>
    <w:rsid w:val="009B4453"/>
    <w:rsid w:val="009B4690"/>
    <w:rsid w:val="009B4A0D"/>
    <w:rsid w:val="009B62CA"/>
    <w:rsid w:val="009B646E"/>
    <w:rsid w:val="009B79E6"/>
    <w:rsid w:val="009C0C0D"/>
    <w:rsid w:val="009C0E53"/>
    <w:rsid w:val="009C1093"/>
    <w:rsid w:val="009C15C2"/>
    <w:rsid w:val="009C2651"/>
    <w:rsid w:val="009C2703"/>
    <w:rsid w:val="009C27A7"/>
    <w:rsid w:val="009C2ED1"/>
    <w:rsid w:val="009C340E"/>
    <w:rsid w:val="009C3705"/>
    <w:rsid w:val="009C4547"/>
    <w:rsid w:val="009C50ED"/>
    <w:rsid w:val="009C50FC"/>
    <w:rsid w:val="009C553F"/>
    <w:rsid w:val="009C5683"/>
    <w:rsid w:val="009C6281"/>
    <w:rsid w:val="009C644F"/>
    <w:rsid w:val="009C665E"/>
    <w:rsid w:val="009C6949"/>
    <w:rsid w:val="009C6A88"/>
    <w:rsid w:val="009C77A0"/>
    <w:rsid w:val="009C7DB3"/>
    <w:rsid w:val="009D00E7"/>
    <w:rsid w:val="009D02B7"/>
    <w:rsid w:val="009D27EB"/>
    <w:rsid w:val="009D284E"/>
    <w:rsid w:val="009D2C8F"/>
    <w:rsid w:val="009D39CC"/>
    <w:rsid w:val="009D40A2"/>
    <w:rsid w:val="009D50E6"/>
    <w:rsid w:val="009D5539"/>
    <w:rsid w:val="009D5CB1"/>
    <w:rsid w:val="009D5F39"/>
    <w:rsid w:val="009D6DCB"/>
    <w:rsid w:val="009D6FC4"/>
    <w:rsid w:val="009D7CF8"/>
    <w:rsid w:val="009E0069"/>
    <w:rsid w:val="009E025B"/>
    <w:rsid w:val="009E0A61"/>
    <w:rsid w:val="009E12D4"/>
    <w:rsid w:val="009E244C"/>
    <w:rsid w:val="009E2D6F"/>
    <w:rsid w:val="009E3010"/>
    <w:rsid w:val="009E31BA"/>
    <w:rsid w:val="009E3F3D"/>
    <w:rsid w:val="009E4251"/>
    <w:rsid w:val="009E427C"/>
    <w:rsid w:val="009E47DD"/>
    <w:rsid w:val="009E552F"/>
    <w:rsid w:val="009E563D"/>
    <w:rsid w:val="009E6061"/>
    <w:rsid w:val="009E68CF"/>
    <w:rsid w:val="009E6D2F"/>
    <w:rsid w:val="009E6E1A"/>
    <w:rsid w:val="009E7B3E"/>
    <w:rsid w:val="009E7F13"/>
    <w:rsid w:val="009F0A2C"/>
    <w:rsid w:val="009F1121"/>
    <w:rsid w:val="009F132C"/>
    <w:rsid w:val="009F16D0"/>
    <w:rsid w:val="009F3BEA"/>
    <w:rsid w:val="009F455F"/>
    <w:rsid w:val="009F56CC"/>
    <w:rsid w:val="009F5F9D"/>
    <w:rsid w:val="009F614E"/>
    <w:rsid w:val="009F62AC"/>
    <w:rsid w:val="009F6CC3"/>
    <w:rsid w:val="009F6DE0"/>
    <w:rsid w:val="009F7065"/>
    <w:rsid w:val="009F7145"/>
    <w:rsid w:val="009F72A1"/>
    <w:rsid w:val="009F789E"/>
    <w:rsid w:val="00A005E6"/>
    <w:rsid w:val="00A00766"/>
    <w:rsid w:val="00A0093D"/>
    <w:rsid w:val="00A00F69"/>
    <w:rsid w:val="00A01B4E"/>
    <w:rsid w:val="00A021FB"/>
    <w:rsid w:val="00A022EE"/>
    <w:rsid w:val="00A02B82"/>
    <w:rsid w:val="00A030CD"/>
    <w:rsid w:val="00A03412"/>
    <w:rsid w:val="00A042B9"/>
    <w:rsid w:val="00A05936"/>
    <w:rsid w:val="00A05970"/>
    <w:rsid w:val="00A06935"/>
    <w:rsid w:val="00A06C65"/>
    <w:rsid w:val="00A110C3"/>
    <w:rsid w:val="00A1162B"/>
    <w:rsid w:val="00A11EF2"/>
    <w:rsid w:val="00A13BAD"/>
    <w:rsid w:val="00A13FAA"/>
    <w:rsid w:val="00A151F1"/>
    <w:rsid w:val="00A155DF"/>
    <w:rsid w:val="00A15E21"/>
    <w:rsid w:val="00A16143"/>
    <w:rsid w:val="00A170D7"/>
    <w:rsid w:val="00A1717B"/>
    <w:rsid w:val="00A17E6D"/>
    <w:rsid w:val="00A2078C"/>
    <w:rsid w:val="00A20F36"/>
    <w:rsid w:val="00A21512"/>
    <w:rsid w:val="00A21B0C"/>
    <w:rsid w:val="00A21B1A"/>
    <w:rsid w:val="00A2365C"/>
    <w:rsid w:val="00A243CE"/>
    <w:rsid w:val="00A25CDE"/>
    <w:rsid w:val="00A25D67"/>
    <w:rsid w:val="00A25EF9"/>
    <w:rsid w:val="00A26056"/>
    <w:rsid w:val="00A268FC"/>
    <w:rsid w:val="00A2700E"/>
    <w:rsid w:val="00A274B7"/>
    <w:rsid w:val="00A303F5"/>
    <w:rsid w:val="00A305BB"/>
    <w:rsid w:val="00A30D8B"/>
    <w:rsid w:val="00A31027"/>
    <w:rsid w:val="00A31D96"/>
    <w:rsid w:val="00A32B4B"/>
    <w:rsid w:val="00A32BA4"/>
    <w:rsid w:val="00A32F2A"/>
    <w:rsid w:val="00A333A0"/>
    <w:rsid w:val="00A33CA4"/>
    <w:rsid w:val="00A33D83"/>
    <w:rsid w:val="00A347B4"/>
    <w:rsid w:val="00A35742"/>
    <w:rsid w:val="00A35B38"/>
    <w:rsid w:val="00A36079"/>
    <w:rsid w:val="00A36432"/>
    <w:rsid w:val="00A36B96"/>
    <w:rsid w:val="00A36CA7"/>
    <w:rsid w:val="00A36CF4"/>
    <w:rsid w:val="00A37271"/>
    <w:rsid w:val="00A379B0"/>
    <w:rsid w:val="00A379CE"/>
    <w:rsid w:val="00A37AA3"/>
    <w:rsid w:val="00A37F3C"/>
    <w:rsid w:val="00A41170"/>
    <w:rsid w:val="00A420E1"/>
    <w:rsid w:val="00A44A52"/>
    <w:rsid w:val="00A4506D"/>
    <w:rsid w:val="00A464C3"/>
    <w:rsid w:val="00A4650F"/>
    <w:rsid w:val="00A46E63"/>
    <w:rsid w:val="00A474A1"/>
    <w:rsid w:val="00A478E6"/>
    <w:rsid w:val="00A502C1"/>
    <w:rsid w:val="00A50576"/>
    <w:rsid w:val="00A505E0"/>
    <w:rsid w:val="00A506F6"/>
    <w:rsid w:val="00A51851"/>
    <w:rsid w:val="00A52D20"/>
    <w:rsid w:val="00A53BA7"/>
    <w:rsid w:val="00A54120"/>
    <w:rsid w:val="00A54CC9"/>
    <w:rsid w:val="00A55CF2"/>
    <w:rsid w:val="00A55F69"/>
    <w:rsid w:val="00A56044"/>
    <w:rsid w:val="00A56318"/>
    <w:rsid w:val="00A56926"/>
    <w:rsid w:val="00A56AFC"/>
    <w:rsid w:val="00A56DC7"/>
    <w:rsid w:val="00A56E8B"/>
    <w:rsid w:val="00A57140"/>
    <w:rsid w:val="00A57496"/>
    <w:rsid w:val="00A57815"/>
    <w:rsid w:val="00A6132B"/>
    <w:rsid w:val="00A6351F"/>
    <w:rsid w:val="00A64215"/>
    <w:rsid w:val="00A642F7"/>
    <w:rsid w:val="00A65D96"/>
    <w:rsid w:val="00A65DAF"/>
    <w:rsid w:val="00A66109"/>
    <w:rsid w:val="00A66245"/>
    <w:rsid w:val="00A678D1"/>
    <w:rsid w:val="00A67AE4"/>
    <w:rsid w:val="00A67B11"/>
    <w:rsid w:val="00A70AEC"/>
    <w:rsid w:val="00A70DF3"/>
    <w:rsid w:val="00A7162E"/>
    <w:rsid w:val="00A7225B"/>
    <w:rsid w:val="00A73A79"/>
    <w:rsid w:val="00A73F95"/>
    <w:rsid w:val="00A749DC"/>
    <w:rsid w:val="00A74A05"/>
    <w:rsid w:val="00A74D79"/>
    <w:rsid w:val="00A74DA6"/>
    <w:rsid w:val="00A74FD1"/>
    <w:rsid w:val="00A75AA2"/>
    <w:rsid w:val="00A75F91"/>
    <w:rsid w:val="00A769E6"/>
    <w:rsid w:val="00A76E55"/>
    <w:rsid w:val="00A76F80"/>
    <w:rsid w:val="00A80282"/>
    <w:rsid w:val="00A802C1"/>
    <w:rsid w:val="00A81125"/>
    <w:rsid w:val="00A82284"/>
    <w:rsid w:val="00A8280A"/>
    <w:rsid w:val="00A82947"/>
    <w:rsid w:val="00A835A7"/>
    <w:rsid w:val="00A83A83"/>
    <w:rsid w:val="00A84729"/>
    <w:rsid w:val="00A84A58"/>
    <w:rsid w:val="00A859B0"/>
    <w:rsid w:val="00A85D9C"/>
    <w:rsid w:val="00A875C1"/>
    <w:rsid w:val="00A92AB9"/>
    <w:rsid w:val="00A937C2"/>
    <w:rsid w:val="00A940B0"/>
    <w:rsid w:val="00A94612"/>
    <w:rsid w:val="00A94BB1"/>
    <w:rsid w:val="00A94DA5"/>
    <w:rsid w:val="00A95637"/>
    <w:rsid w:val="00A9565B"/>
    <w:rsid w:val="00A95E9D"/>
    <w:rsid w:val="00A96DED"/>
    <w:rsid w:val="00A96FF9"/>
    <w:rsid w:val="00A975D6"/>
    <w:rsid w:val="00A977F4"/>
    <w:rsid w:val="00A97A7D"/>
    <w:rsid w:val="00A97C64"/>
    <w:rsid w:val="00AA2595"/>
    <w:rsid w:val="00AA2AF1"/>
    <w:rsid w:val="00AA327F"/>
    <w:rsid w:val="00AA36A8"/>
    <w:rsid w:val="00AA48E5"/>
    <w:rsid w:val="00AA4B84"/>
    <w:rsid w:val="00AA4BDF"/>
    <w:rsid w:val="00AA57A2"/>
    <w:rsid w:val="00AA60BD"/>
    <w:rsid w:val="00AA6127"/>
    <w:rsid w:val="00AA6E33"/>
    <w:rsid w:val="00AB0FB8"/>
    <w:rsid w:val="00AB1F5D"/>
    <w:rsid w:val="00AB1FD3"/>
    <w:rsid w:val="00AB24A8"/>
    <w:rsid w:val="00AB2C1A"/>
    <w:rsid w:val="00AB2D5B"/>
    <w:rsid w:val="00AB2ED9"/>
    <w:rsid w:val="00AB3BB0"/>
    <w:rsid w:val="00AB3E1A"/>
    <w:rsid w:val="00AB48D3"/>
    <w:rsid w:val="00AB49F2"/>
    <w:rsid w:val="00AB4BE2"/>
    <w:rsid w:val="00AB517C"/>
    <w:rsid w:val="00AB5445"/>
    <w:rsid w:val="00AB5ABB"/>
    <w:rsid w:val="00AB6504"/>
    <w:rsid w:val="00AB65DF"/>
    <w:rsid w:val="00AB79F2"/>
    <w:rsid w:val="00AC0074"/>
    <w:rsid w:val="00AC02A2"/>
    <w:rsid w:val="00AC16AD"/>
    <w:rsid w:val="00AC39D8"/>
    <w:rsid w:val="00AC3A16"/>
    <w:rsid w:val="00AC3DBA"/>
    <w:rsid w:val="00AC438E"/>
    <w:rsid w:val="00AC4CAB"/>
    <w:rsid w:val="00AC4DB0"/>
    <w:rsid w:val="00AC52B5"/>
    <w:rsid w:val="00AC59F4"/>
    <w:rsid w:val="00AC5D95"/>
    <w:rsid w:val="00AC5D9E"/>
    <w:rsid w:val="00AC6001"/>
    <w:rsid w:val="00AC6186"/>
    <w:rsid w:val="00AC629D"/>
    <w:rsid w:val="00AC6398"/>
    <w:rsid w:val="00AC66F0"/>
    <w:rsid w:val="00AC6D1D"/>
    <w:rsid w:val="00AC786A"/>
    <w:rsid w:val="00AC78F7"/>
    <w:rsid w:val="00AD01BA"/>
    <w:rsid w:val="00AD067C"/>
    <w:rsid w:val="00AD0765"/>
    <w:rsid w:val="00AD179F"/>
    <w:rsid w:val="00AD2412"/>
    <w:rsid w:val="00AD27B4"/>
    <w:rsid w:val="00AD29FF"/>
    <w:rsid w:val="00AD2E06"/>
    <w:rsid w:val="00AD3468"/>
    <w:rsid w:val="00AD4A01"/>
    <w:rsid w:val="00AD4B52"/>
    <w:rsid w:val="00AD4DA9"/>
    <w:rsid w:val="00AD50BC"/>
    <w:rsid w:val="00AD532A"/>
    <w:rsid w:val="00AD5BE5"/>
    <w:rsid w:val="00AD7503"/>
    <w:rsid w:val="00AD79A7"/>
    <w:rsid w:val="00AD7B04"/>
    <w:rsid w:val="00AE004F"/>
    <w:rsid w:val="00AE1A70"/>
    <w:rsid w:val="00AE1E34"/>
    <w:rsid w:val="00AE2A19"/>
    <w:rsid w:val="00AE2BE8"/>
    <w:rsid w:val="00AE34C7"/>
    <w:rsid w:val="00AE46A1"/>
    <w:rsid w:val="00AE5D25"/>
    <w:rsid w:val="00AE5D5F"/>
    <w:rsid w:val="00AE7487"/>
    <w:rsid w:val="00AE7A7A"/>
    <w:rsid w:val="00AE7ABB"/>
    <w:rsid w:val="00AE7CFA"/>
    <w:rsid w:val="00AF0DFC"/>
    <w:rsid w:val="00AF227D"/>
    <w:rsid w:val="00AF5164"/>
    <w:rsid w:val="00AF5AD5"/>
    <w:rsid w:val="00AF62A2"/>
    <w:rsid w:val="00AF64BA"/>
    <w:rsid w:val="00AF65E3"/>
    <w:rsid w:val="00AF6934"/>
    <w:rsid w:val="00B00215"/>
    <w:rsid w:val="00B0049E"/>
    <w:rsid w:val="00B00A4B"/>
    <w:rsid w:val="00B00BE4"/>
    <w:rsid w:val="00B00E7F"/>
    <w:rsid w:val="00B0110F"/>
    <w:rsid w:val="00B012E3"/>
    <w:rsid w:val="00B01984"/>
    <w:rsid w:val="00B023D6"/>
    <w:rsid w:val="00B03DCA"/>
    <w:rsid w:val="00B044BA"/>
    <w:rsid w:val="00B047F8"/>
    <w:rsid w:val="00B0526F"/>
    <w:rsid w:val="00B0553E"/>
    <w:rsid w:val="00B059D3"/>
    <w:rsid w:val="00B0607D"/>
    <w:rsid w:val="00B07136"/>
    <w:rsid w:val="00B079C2"/>
    <w:rsid w:val="00B07C53"/>
    <w:rsid w:val="00B113B7"/>
    <w:rsid w:val="00B128A8"/>
    <w:rsid w:val="00B12FB3"/>
    <w:rsid w:val="00B146CA"/>
    <w:rsid w:val="00B1475A"/>
    <w:rsid w:val="00B15831"/>
    <w:rsid w:val="00B16837"/>
    <w:rsid w:val="00B16E89"/>
    <w:rsid w:val="00B178C4"/>
    <w:rsid w:val="00B206A0"/>
    <w:rsid w:val="00B208AA"/>
    <w:rsid w:val="00B21028"/>
    <w:rsid w:val="00B210B8"/>
    <w:rsid w:val="00B214EF"/>
    <w:rsid w:val="00B21A7A"/>
    <w:rsid w:val="00B21DCC"/>
    <w:rsid w:val="00B2211F"/>
    <w:rsid w:val="00B22367"/>
    <w:rsid w:val="00B248BD"/>
    <w:rsid w:val="00B24922"/>
    <w:rsid w:val="00B25349"/>
    <w:rsid w:val="00B26097"/>
    <w:rsid w:val="00B26B72"/>
    <w:rsid w:val="00B30AA5"/>
    <w:rsid w:val="00B30BB8"/>
    <w:rsid w:val="00B30DF5"/>
    <w:rsid w:val="00B31859"/>
    <w:rsid w:val="00B321D3"/>
    <w:rsid w:val="00B324B9"/>
    <w:rsid w:val="00B3356A"/>
    <w:rsid w:val="00B3411F"/>
    <w:rsid w:val="00B343B8"/>
    <w:rsid w:val="00B356ED"/>
    <w:rsid w:val="00B359FF"/>
    <w:rsid w:val="00B35B32"/>
    <w:rsid w:val="00B35E55"/>
    <w:rsid w:val="00B364AC"/>
    <w:rsid w:val="00B36E96"/>
    <w:rsid w:val="00B3723B"/>
    <w:rsid w:val="00B37A9A"/>
    <w:rsid w:val="00B40522"/>
    <w:rsid w:val="00B42658"/>
    <w:rsid w:val="00B42EA0"/>
    <w:rsid w:val="00B434AF"/>
    <w:rsid w:val="00B44646"/>
    <w:rsid w:val="00B44AC3"/>
    <w:rsid w:val="00B44F46"/>
    <w:rsid w:val="00B4516C"/>
    <w:rsid w:val="00B45A04"/>
    <w:rsid w:val="00B4632F"/>
    <w:rsid w:val="00B46B73"/>
    <w:rsid w:val="00B471CC"/>
    <w:rsid w:val="00B47BD3"/>
    <w:rsid w:val="00B47F37"/>
    <w:rsid w:val="00B50588"/>
    <w:rsid w:val="00B50ACD"/>
    <w:rsid w:val="00B51001"/>
    <w:rsid w:val="00B519DF"/>
    <w:rsid w:val="00B52A35"/>
    <w:rsid w:val="00B53AF0"/>
    <w:rsid w:val="00B53C16"/>
    <w:rsid w:val="00B54151"/>
    <w:rsid w:val="00B5485C"/>
    <w:rsid w:val="00B5629B"/>
    <w:rsid w:val="00B566AC"/>
    <w:rsid w:val="00B57FA4"/>
    <w:rsid w:val="00B60DD6"/>
    <w:rsid w:val="00B62096"/>
    <w:rsid w:val="00B64CB4"/>
    <w:rsid w:val="00B66EB4"/>
    <w:rsid w:val="00B67C09"/>
    <w:rsid w:val="00B67C36"/>
    <w:rsid w:val="00B67CED"/>
    <w:rsid w:val="00B67F6B"/>
    <w:rsid w:val="00B7083A"/>
    <w:rsid w:val="00B72CB7"/>
    <w:rsid w:val="00B731D3"/>
    <w:rsid w:val="00B7371C"/>
    <w:rsid w:val="00B73F83"/>
    <w:rsid w:val="00B7463A"/>
    <w:rsid w:val="00B757CB"/>
    <w:rsid w:val="00B75AD1"/>
    <w:rsid w:val="00B763A2"/>
    <w:rsid w:val="00B7661C"/>
    <w:rsid w:val="00B76AA7"/>
    <w:rsid w:val="00B76CDB"/>
    <w:rsid w:val="00B77102"/>
    <w:rsid w:val="00B77376"/>
    <w:rsid w:val="00B77474"/>
    <w:rsid w:val="00B7750C"/>
    <w:rsid w:val="00B779BE"/>
    <w:rsid w:val="00B8091B"/>
    <w:rsid w:val="00B8104E"/>
    <w:rsid w:val="00B810C2"/>
    <w:rsid w:val="00B82043"/>
    <w:rsid w:val="00B82784"/>
    <w:rsid w:val="00B828B6"/>
    <w:rsid w:val="00B839A3"/>
    <w:rsid w:val="00B843FE"/>
    <w:rsid w:val="00B84A87"/>
    <w:rsid w:val="00B84EBE"/>
    <w:rsid w:val="00B85142"/>
    <w:rsid w:val="00B85FD8"/>
    <w:rsid w:val="00B86D3D"/>
    <w:rsid w:val="00B87725"/>
    <w:rsid w:val="00B878DD"/>
    <w:rsid w:val="00B90123"/>
    <w:rsid w:val="00B902BD"/>
    <w:rsid w:val="00B9162D"/>
    <w:rsid w:val="00B916DC"/>
    <w:rsid w:val="00B919A0"/>
    <w:rsid w:val="00B91A66"/>
    <w:rsid w:val="00B91B55"/>
    <w:rsid w:val="00B91B6F"/>
    <w:rsid w:val="00B923F2"/>
    <w:rsid w:val="00B93842"/>
    <w:rsid w:val="00B944B9"/>
    <w:rsid w:val="00B947D6"/>
    <w:rsid w:val="00B9520C"/>
    <w:rsid w:val="00B95319"/>
    <w:rsid w:val="00B95605"/>
    <w:rsid w:val="00B95F81"/>
    <w:rsid w:val="00B9715E"/>
    <w:rsid w:val="00B978D9"/>
    <w:rsid w:val="00B97B4F"/>
    <w:rsid w:val="00BA0B8B"/>
    <w:rsid w:val="00BA115F"/>
    <w:rsid w:val="00BA14CE"/>
    <w:rsid w:val="00BA16CD"/>
    <w:rsid w:val="00BA1736"/>
    <w:rsid w:val="00BA2517"/>
    <w:rsid w:val="00BA2C65"/>
    <w:rsid w:val="00BA31A0"/>
    <w:rsid w:val="00BA369C"/>
    <w:rsid w:val="00BA369F"/>
    <w:rsid w:val="00BA3BC5"/>
    <w:rsid w:val="00BA4656"/>
    <w:rsid w:val="00BA52EE"/>
    <w:rsid w:val="00BA5641"/>
    <w:rsid w:val="00BA63DE"/>
    <w:rsid w:val="00BA6ED4"/>
    <w:rsid w:val="00BA6FA8"/>
    <w:rsid w:val="00BB0309"/>
    <w:rsid w:val="00BB0B21"/>
    <w:rsid w:val="00BB15E6"/>
    <w:rsid w:val="00BB1FE4"/>
    <w:rsid w:val="00BB2135"/>
    <w:rsid w:val="00BB265F"/>
    <w:rsid w:val="00BB33E8"/>
    <w:rsid w:val="00BB41BF"/>
    <w:rsid w:val="00BB4556"/>
    <w:rsid w:val="00BB4721"/>
    <w:rsid w:val="00BB4EBB"/>
    <w:rsid w:val="00BB5ECA"/>
    <w:rsid w:val="00BB65B5"/>
    <w:rsid w:val="00BB732A"/>
    <w:rsid w:val="00BB78FE"/>
    <w:rsid w:val="00BB7D37"/>
    <w:rsid w:val="00BB7EE7"/>
    <w:rsid w:val="00BC0510"/>
    <w:rsid w:val="00BC08E0"/>
    <w:rsid w:val="00BC113F"/>
    <w:rsid w:val="00BC1504"/>
    <w:rsid w:val="00BC1739"/>
    <w:rsid w:val="00BC17D8"/>
    <w:rsid w:val="00BC2786"/>
    <w:rsid w:val="00BC27C4"/>
    <w:rsid w:val="00BC2B6E"/>
    <w:rsid w:val="00BC4129"/>
    <w:rsid w:val="00BC41B5"/>
    <w:rsid w:val="00BC497D"/>
    <w:rsid w:val="00BC4A93"/>
    <w:rsid w:val="00BC5F1A"/>
    <w:rsid w:val="00BC649E"/>
    <w:rsid w:val="00BC6C90"/>
    <w:rsid w:val="00BC7B36"/>
    <w:rsid w:val="00BD051E"/>
    <w:rsid w:val="00BD08E3"/>
    <w:rsid w:val="00BD0B59"/>
    <w:rsid w:val="00BD0D8C"/>
    <w:rsid w:val="00BD1722"/>
    <w:rsid w:val="00BD1EF6"/>
    <w:rsid w:val="00BD1EF7"/>
    <w:rsid w:val="00BD2A39"/>
    <w:rsid w:val="00BD2E80"/>
    <w:rsid w:val="00BD3335"/>
    <w:rsid w:val="00BD3AA7"/>
    <w:rsid w:val="00BD3E20"/>
    <w:rsid w:val="00BD43B4"/>
    <w:rsid w:val="00BD49A9"/>
    <w:rsid w:val="00BD6425"/>
    <w:rsid w:val="00BD7408"/>
    <w:rsid w:val="00BD74F3"/>
    <w:rsid w:val="00BD78D8"/>
    <w:rsid w:val="00BE019F"/>
    <w:rsid w:val="00BE065D"/>
    <w:rsid w:val="00BE0A49"/>
    <w:rsid w:val="00BE0EF7"/>
    <w:rsid w:val="00BE127D"/>
    <w:rsid w:val="00BE18E7"/>
    <w:rsid w:val="00BE256D"/>
    <w:rsid w:val="00BE2B32"/>
    <w:rsid w:val="00BE2C3A"/>
    <w:rsid w:val="00BE2C7D"/>
    <w:rsid w:val="00BE5229"/>
    <w:rsid w:val="00BE527A"/>
    <w:rsid w:val="00BE5926"/>
    <w:rsid w:val="00BE5DEC"/>
    <w:rsid w:val="00BE5FBD"/>
    <w:rsid w:val="00BE60C7"/>
    <w:rsid w:val="00BE796C"/>
    <w:rsid w:val="00BF1F5D"/>
    <w:rsid w:val="00BF21AC"/>
    <w:rsid w:val="00BF225A"/>
    <w:rsid w:val="00BF29A3"/>
    <w:rsid w:val="00BF2E6F"/>
    <w:rsid w:val="00BF3150"/>
    <w:rsid w:val="00BF32F8"/>
    <w:rsid w:val="00BF35FD"/>
    <w:rsid w:val="00BF4AFE"/>
    <w:rsid w:val="00BF569C"/>
    <w:rsid w:val="00BF5AC7"/>
    <w:rsid w:val="00BF638E"/>
    <w:rsid w:val="00BF6ABE"/>
    <w:rsid w:val="00BF70D0"/>
    <w:rsid w:val="00BF7B12"/>
    <w:rsid w:val="00BF7B91"/>
    <w:rsid w:val="00BF7F2E"/>
    <w:rsid w:val="00BF7FF0"/>
    <w:rsid w:val="00C00A77"/>
    <w:rsid w:val="00C00B19"/>
    <w:rsid w:val="00C011D0"/>
    <w:rsid w:val="00C01E0A"/>
    <w:rsid w:val="00C01F92"/>
    <w:rsid w:val="00C02EBE"/>
    <w:rsid w:val="00C03A7A"/>
    <w:rsid w:val="00C048A5"/>
    <w:rsid w:val="00C04A85"/>
    <w:rsid w:val="00C04F45"/>
    <w:rsid w:val="00C04F76"/>
    <w:rsid w:val="00C04F77"/>
    <w:rsid w:val="00C05524"/>
    <w:rsid w:val="00C057D1"/>
    <w:rsid w:val="00C0647C"/>
    <w:rsid w:val="00C07FA1"/>
    <w:rsid w:val="00C10207"/>
    <w:rsid w:val="00C11034"/>
    <w:rsid w:val="00C12502"/>
    <w:rsid w:val="00C12A5F"/>
    <w:rsid w:val="00C12B2B"/>
    <w:rsid w:val="00C12CE3"/>
    <w:rsid w:val="00C13206"/>
    <w:rsid w:val="00C13765"/>
    <w:rsid w:val="00C14825"/>
    <w:rsid w:val="00C14EEB"/>
    <w:rsid w:val="00C15039"/>
    <w:rsid w:val="00C16070"/>
    <w:rsid w:val="00C167E4"/>
    <w:rsid w:val="00C16D32"/>
    <w:rsid w:val="00C174CF"/>
    <w:rsid w:val="00C17D2C"/>
    <w:rsid w:val="00C20129"/>
    <w:rsid w:val="00C21093"/>
    <w:rsid w:val="00C214EE"/>
    <w:rsid w:val="00C21D9A"/>
    <w:rsid w:val="00C22B47"/>
    <w:rsid w:val="00C23FE1"/>
    <w:rsid w:val="00C2402D"/>
    <w:rsid w:val="00C24B8C"/>
    <w:rsid w:val="00C24C0C"/>
    <w:rsid w:val="00C24DB6"/>
    <w:rsid w:val="00C252E5"/>
    <w:rsid w:val="00C26EE2"/>
    <w:rsid w:val="00C308A0"/>
    <w:rsid w:val="00C30AEB"/>
    <w:rsid w:val="00C3101A"/>
    <w:rsid w:val="00C31608"/>
    <w:rsid w:val="00C31A50"/>
    <w:rsid w:val="00C32918"/>
    <w:rsid w:val="00C32D8C"/>
    <w:rsid w:val="00C32F66"/>
    <w:rsid w:val="00C33162"/>
    <w:rsid w:val="00C33C11"/>
    <w:rsid w:val="00C33EA9"/>
    <w:rsid w:val="00C3597D"/>
    <w:rsid w:val="00C35B96"/>
    <w:rsid w:val="00C3621F"/>
    <w:rsid w:val="00C36F11"/>
    <w:rsid w:val="00C37263"/>
    <w:rsid w:val="00C37561"/>
    <w:rsid w:val="00C4011E"/>
    <w:rsid w:val="00C40503"/>
    <w:rsid w:val="00C4066D"/>
    <w:rsid w:val="00C4152F"/>
    <w:rsid w:val="00C423A2"/>
    <w:rsid w:val="00C425A2"/>
    <w:rsid w:val="00C43752"/>
    <w:rsid w:val="00C43E1E"/>
    <w:rsid w:val="00C44198"/>
    <w:rsid w:val="00C44DD1"/>
    <w:rsid w:val="00C451D8"/>
    <w:rsid w:val="00C46A7A"/>
    <w:rsid w:val="00C4722E"/>
    <w:rsid w:val="00C47654"/>
    <w:rsid w:val="00C476D0"/>
    <w:rsid w:val="00C476E4"/>
    <w:rsid w:val="00C47902"/>
    <w:rsid w:val="00C47F20"/>
    <w:rsid w:val="00C508E9"/>
    <w:rsid w:val="00C5099C"/>
    <w:rsid w:val="00C51867"/>
    <w:rsid w:val="00C523E4"/>
    <w:rsid w:val="00C52977"/>
    <w:rsid w:val="00C52A68"/>
    <w:rsid w:val="00C53032"/>
    <w:rsid w:val="00C5345B"/>
    <w:rsid w:val="00C53D9E"/>
    <w:rsid w:val="00C53DFD"/>
    <w:rsid w:val="00C5415A"/>
    <w:rsid w:val="00C5496A"/>
    <w:rsid w:val="00C55182"/>
    <w:rsid w:val="00C55363"/>
    <w:rsid w:val="00C55B00"/>
    <w:rsid w:val="00C56149"/>
    <w:rsid w:val="00C57B6E"/>
    <w:rsid w:val="00C602B2"/>
    <w:rsid w:val="00C606BC"/>
    <w:rsid w:val="00C609D7"/>
    <w:rsid w:val="00C6108E"/>
    <w:rsid w:val="00C61545"/>
    <w:rsid w:val="00C6220E"/>
    <w:rsid w:val="00C6243C"/>
    <w:rsid w:val="00C62AA2"/>
    <w:rsid w:val="00C62E66"/>
    <w:rsid w:val="00C633CD"/>
    <w:rsid w:val="00C6501C"/>
    <w:rsid w:val="00C6506E"/>
    <w:rsid w:val="00C66511"/>
    <w:rsid w:val="00C66EAB"/>
    <w:rsid w:val="00C6741C"/>
    <w:rsid w:val="00C6744F"/>
    <w:rsid w:val="00C678B4"/>
    <w:rsid w:val="00C6796F"/>
    <w:rsid w:val="00C703A3"/>
    <w:rsid w:val="00C7058A"/>
    <w:rsid w:val="00C707FC"/>
    <w:rsid w:val="00C7292D"/>
    <w:rsid w:val="00C739CE"/>
    <w:rsid w:val="00C73EE2"/>
    <w:rsid w:val="00C742F2"/>
    <w:rsid w:val="00C7574D"/>
    <w:rsid w:val="00C75B88"/>
    <w:rsid w:val="00C75E47"/>
    <w:rsid w:val="00C76349"/>
    <w:rsid w:val="00C76F73"/>
    <w:rsid w:val="00C77002"/>
    <w:rsid w:val="00C77038"/>
    <w:rsid w:val="00C77044"/>
    <w:rsid w:val="00C8015D"/>
    <w:rsid w:val="00C80459"/>
    <w:rsid w:val="00C8099E"/>
    <w:rsid w:val="00C818FC"/>
    <w:rsid w:val="00C81A01"/>
    <w:rsid w:val="00C832B1"/>
    <w:rsid w:val="00C836E3"/>
    <w:rsid w:val="00C85003"/>
    <w:rsid w:val="00C850B8"/>
    <w:rsid w:val="00C857C6"/>
    <w:rsid w:val="00C85F1F"/>
    <w:rsid w:val="00C863A9"/>
    <w:rsid w:val="00C86577"/>
    <w:rsid w:val="00C8665A"/>
    <w:rsid w:val="00C86899"/>
    <w:rsid w:val="00C86C9C"/>
    <w:rsid w:val="00C90007"/>
    <w:rsid w:val="00C90F3A"/>
    <w:rsid w:val="00C9166A"/>
    <w:rsid w:val="00C91CD5"/>
    <w:rsid w:val="00C923A2"/>
    <w:rsid w:val="00C925F2"/>
    <w:rsid w:val="00C928AB"/>
    <w:rsid w:val="00C92E07"/>
    <w:rsid w:val="00C94D09"/>
    <w:rsid w:val="00C94D79"/>
    <w:rsid w:val="00C954D1"/>
    <w:rsid w:val="00C95D28"/>
    <w:rsid w:val="00C95EE7"/>
    <w:rsid w:val="00C963D4"/>
    <w:rsid w:val="00C96868"/>
    <w:rsid w:val="00C96FC1"/>
    <w:rsid w:val="00C974E4"/>
    <w:rsid w:val="00C97A29"/>
    <w:rsid w:val="00C97D4F"/>
    <w:rsid w:val="00CA0167"/>
    <w:rsid w:val="00CA0393"/>
    <w:rsid w:val="00CA0C05"/>
    <w:rsid w:val="00CA12A1"/>
    <w:rsid w:val="00CA2633"/>
    <w:rsid w:val="00CA2C9D"/>
    <w:rsid w:val="00CA2D4D"/>
    <w:rsid w:val="00CA3D1D"/>
    <w:rsid w:val="00CA4139"/>
    <w:rsid w:val="00CA426E"/>
    <w:rsid w:val="00CA597F"/>
    <w:rsid w:val="00CA6344"/>
    <w:rsid w:val="00CA65FC"/>
    <w:rsid w:val="00CA726A"/>
    <w:rsid w:val="00CA7A12"/>
    <w:rsid w:val="00CB0CC6"/>
    <w:rsid w:val="00CB1353"/>
    <w:rsid w:val="00CB1A1C"/>
    <w:rsid w:val="00CB1BDA"/>
    <w:rsid w:val="00CB268C"/>
    <w:rsid w:val="00CB29E3"/>
    <w:rsid w:val="00CB2A15"/>
    <w:rsid w:val="00CB2A65"/>
    <w:rsid w:val="00CB2C5E"/>
    <w:rsid w:val="00CB3BC6"/>
    <w:rsid w:val="00CB49B1"/>
    <w:rsid w:val="00CB4BF8"/>
    <w:rsid w:val="00CB5081"/>
    <w:rsid w:val="00CB5B7C"/>
    <w:rsid w:val="00CB604F"/>
    <w:rsid w:val="00CB67DA"/>
    <w:rsid w:val="00CB6A22"/>
    <w:rsid w:val="00CB6C7D"/>
    <w:rsid w:val="00CC12AD"/>
    <w:rsid w:val="00CC1D9B"/>
    <w:rsid w:val="00CC1F3A"/>
    <w:rsid w:val="00CC1FED"/>
    <w:rsid w:val="00CC3417"/>
    <w:rsid w:val="00CC4675"/>
    <w:rsid w:val="00CC46EF"/>
    <w:rsid w:val="00CC47A2"/>
    <w:rsid w:val="00CC48FD"/>
    <w:rsid w:val="00CC536E"/>
    <w:rsid w:val="00CC5A96"/>
    <w:rsid w:val="00CC64BB"/>
    <w:rsid w:val="00CC664B"/>
    <w:rsid w:val="00CC6F80"/>
    <w:rsid w:val="00CC75E2"/>
    <w:rsid w:val="00CC76D1"/>
    <w:rsid w:val="00CC7C54"/>
    <w:rsid w:val="00CD02CE"/>
    <w:rsid w:val="00CD032F"/>
    <w:rsid w:val="00CD0336"/>
    <w:rsid w:val="00CD0675"/>
    <w:rsid w:val="00CD17A9"/>
    <w:rsid w:val="00CD1954"/>
    <w:rsid w:val="00CD1EA7"/>
    <w:rsid w:val="00CD218A"/>
    <w:rsid w:val="00CD339F"/>
    <w:rsid w:val="00CD38CA"/>
    <w:rsid w:val="00CD3CD1"/>
    <w:rsid w:val="00CD3CEB"/>
    <w:rsid w:val="00CD46EB"/>
    <w:rsid w:val="00CD518C"/>
    <w:rsid w:val="00CD744A"/>
    <w:rsid w:val="00CD7C64"/>
    <w:rsid w:val="00CD7EBF"/>
    <w:rsid w:val="00CE041C"/>
    <w:rsid w:val="00CE1025"/>
    <w:rsid w:val="00CE1233"/>
    <w:rsid w:val="00CE1AFF"/>
    <w:rsid w:val="00CE2CA8"/>
    <w:rsid w:val="00CE3FF3"/>
    <w:rsid w:val="00CE481D"/>
    <w:rsid w:val="00CE4FE2"/>
    <w:rsid w:val="00CE5585"/>
    <w:rsid w:val="00CE61F2"/>
    <w:rsid w:val="00CE658F"/>
    <w:rsid w:val="00CE69A0"/>
    <w:rsid w:val="00CE6D84"/>
    <w:rsid w:val="00CE7774"/>
    <w:rsid w:val="00CE7B3F"/>
    <w:rsid w:val="00CE7ED8"/>
    <w:rsid w:val="00CF092E"/>
    <w:rsid w:val="00CF1623"/>
    <w:rsid w:val="00CF3A38"/>
    <w:rsid w:val="00CF3A3C"/>
    <w:rsid w:val="00CF406A"/>
    <w:rsid w:val="00CF4B37"/>
    <w:rsid w:val="00CF5F21"/>
    <w:rsid w:val="00CF755F"/>
    <w:rsid w:val="00D00553"/>
    <w:rsid w:val="00D00C15"/>
    <w:rsid w:val="00D01317"/>
    <w:rsid w:val="00D016BD"/>
    <w:rsid w:val="00D017C8"/>
    <w:rsid w:val="00D0182D"/>
    <w:rsid w:val="00D02BF2"/>
    <w:rsid w:val="00D04807"/>
    <w:rsid w:val="00D04C55"/>
    <w:rsid w:val="00D056F1"/>
    <w:rsid w:val="00D05F38"/>
    <w:rsid w:val="00D05F88"/>
    <w:rsid w:val="00D065E0"/>
    <w:rsid w:val="00D06FB7"/>
    <w:rsid w:val="00D0738E"/>
    <w:rsid w:val="00D077A4"/>
    <w:rsid w:val="00D07B2E"/>
    <w:rsid w:val="00D101B1"/>
    <w:rsid w:val="00D117F9"/>
    <w:rsid w:val="00D11B20"/>
    <w:rsid w:val="00D11F97"/>
    <w:rsid w:val="00D139FB"/>
    <w:rsid w:val="00D13CF4"/>
    <w:rsid w:val="00D143B7"/>
    <w:rsid w:val="00D146A9"/>
    <w:rsid w:val="00D15684"/>
    <w:rsid w:val="00D166F5"/>
    <w:rsid w:val="00D176F6"/>
    <w:rsid w:val="00D1791D"/>
    <w:rsid w:val="00D17AB6"/>
    <w:rsid w:val="00D21315"/>
    <w:rsid w:val="00D2147F"/>
    <w:rsid w:val="00D22175"/>
    <w:rsid w:val="00D22A04"/>
    <w:rsid w:val="00D2339C"/>
    <w:rsid w:val="00D24702"/>
    <w:rsid w:val="00D2568A"/>
    <w:rsid w:val="00D256CE"/>
    <w:rsid w:val="00D2591D"/>
    <w:rsid w:val="00D25D34"/>
    <w:rsid w:val="00D2648B"/>
    <w:rsid w:val="00D26EE5"/>
    <w:rsid w:val="00D2707F"/>
    <w:rsid w:val="00D274FB"/>
    <w:rsid w:val="00D275C1"/>
    <w:rsid w:val="00D27891"/>
    <w:rsid w:val="00D27F88"/>
    <w:rsid w:val="00D30513"/>
    <w:rsid w:val="00D30DE2"/>
    <w:rsid w:val="00D30F0C"/>
    <w:rsid w:val="00D3161D"/>
    <w:rsid w:val="00D32525"/>
    <w:rsid w:val="00D33490"/>
    <w:rsid w:val="00D34B27"/>
    <w:rsid w:val="00D34D2F"/>
    <w:rsid w:val="00D34F77"/>
    <w:rsid w:val="00D359D5"/>
    <w:rsid w:val="00D36813"/>
    <w:rsid w:val="00D36A6E"/>
    <w:rsid w:val="00D370FE"/>
    <w:rsid w:val="00D37A26"/>
    <w:rsid w:val="00D37D37"/>
    <w:rsid w:val="00D37E49"/>
    <w:rsid w:val="00D37F81"/>
    <w:rsid w:val="00D41E00"/>
    <w:rsid w:val="00D41EDB"/>
    <w:rsid w:val="00D4213D"/>
    <w:rsid w:val="00D4420A"/>
    <w:rsid w:val="00D444FD"/>
    <w:rsid w:val="00D445A3"/>
    <w:rsid w:val="00D44C08"/>
    <w:rsid w:val="00D44D18"/>
    <w:rsid w:val="00D4583D"/>
    <w:rsid w:val="00D45C7C"/>
    <w:rsid w:val="00D46407"/>
    <w:rsid w:val="00D47001"/>
    <w:rsid w:val="00D50920"/>
    <w:rsid w:val="00D509FE"/>
    <w:rsid w:val="00D50AC1"/>
    <w:rsid w:val="00D50C64"/>
    <w:rsid w:val="00D50D5C"/>
    <w:rsid w:val="00D50F50"/>
    <w:rsid w:val="00D513A7"/>
    <w:rsid w:val="00D516EE"/>
    <w:rsid w:val="00D517B1"/>
    <w:rsid w:val="00D519DC"/>
    <w:rsid w:val="00D51A95"/>
    <w:rsid w:val="00D52272"/>
    <w:rsid w:val="00D52B4E"/>
    <w:rsid w:val="00D5424B"/>
    <w:rsid w:val="00D5438D"/>
    <w:rsid w:val="00D543A6"/>
    <w:rsid w:val="00D544B3"/>
    <w:rsid w:val="00D54DA8"/>
    <w:rsid w:val="00D5565C"/>
    <w:rsid w:val="00D558F6"/>
    <w:rsid w:val="00D55EBC"/>
    <w:rsid w:val="00D55F2D"/>
    <w:rsid w:val="00D563B6"/>
    <w:rsid w:val="00D5753B"/>
    <w:rsid w:val="00D576AD"/>
    <w:rsid w:val="00D57B51"/>
    <w:rsid w:val="00D602C9"/>
    <w:rsid w:val="00D60568"/>
    <w:rsid w:val="00D606A2"/>
    <w:rsid w:val="00D606A7"/>
    <w:rsid w:val="00D611F2"/>
    <w:rsid w:val="00D626A5"/>
    <w:rsid w:val="00D633B1"/>
    <w:rsid w:val="00D638BB"/>
    <w:rsid w:val="00D63D54"/>
    <w:rsid w:val="00D64726"/>
    <w:rsid w:val="00D65CCB"/>
    <w:rsid w:val="00D65FD9"/>
    <w:rsid w:val="00D667FF"/>
    <w:rsid w:val="00D67894"/>
    <w:rsid w:val="00D707C0"/>
    <w:rsid w:val="00D70C7A"/>
    <w:rsid w:val="00D71107"/>
    <w:rsid w:val="00D716F8"/>
    <w:rsid w:val="00D7195E"/>
    <w:rsid w:val="00D71B6C"/>
    <w:rsid w:val="00D71C59"/>
    <w:rsid w:val="00D72AAD"/>
    <w:rsid w:val="00D72F0E"/>
    <w:rsid w:val="00D7320F"/>
    <w:rsid w:val="00D734B6"/>
    <w:rsid w:val="00D73B21"/>
    <w:rsid w:val="00D7439F"/>
    <w:rsid w:val="00D74E7B"/>
    <w:rsid w:val="00D74F01"/>
    <w:rsid w:val="00D75509"/>
    <w:rsid w:val="00D75978"/>
    <w:rsid w:val="00D773C9"/>
    <w:rsid w:val="00D77A2C"/>
    <w:rsid w:val="00D77CFC"/>
    <w:rsid w:val="00D77D6F"/>
    <w:rsid w:val="00D80206"/>
    <w:rsid w:val="00D81558"/>
    <w:rsid w:val="00D81979"/>
    <w:rsid w:val="00D8308C"/>
    <w:rsid w:val="00D83267"/>
    <w:rsid w:val="00D83D4A"/>
    <w:rsid w:val="00D83DE8"/>
    <w:rsid w:val="00D840DA"/>
    <w:rsid w:val="00D84612"/>
    <w:rsid w:val="00D86BDE"/>
    <w:rsid w:val="00D871D8"/>
    <w:rsid w:val="00D873CA"/>
    <w:rsid w:val="00D8742A"/>
    <w:rsid w:val="00D87B1C"/>
    <w:rsid w:val="00D87F91"/>
    <w:rsid w:val="00D90269"/>
    <w:rsid w:val="00D90C01"/>
    <w:rsid w:val="00D90D53"/>
    <w:rsid w:val="00D911F7"/>
    <w:rsid w:val="00D924AC"/>
    <w:rsid w:val="00D926D4"/>
    <w:rsid w:val="00D929C6"/>
    <w:rsid w:val="00D9369A"/>
    <w:rsid w:val="00D9396D"/>
    <w:rsid w:val="00D946A6"/>
    <w:rsid w:val="00D946A8"/>
    <w:rsid w:val="00D95BC1"/>
    <w:rsid w:val="00D95DD0"/>
    <w:rsid w:val="00D95DE6"/>
    <w:rsid w:val="00D95DE7"/>
    <w:rsid w:val="00D95E2E"/>
    <w:rsid w:val="00D96474"/>
    <w:rsid w:val="00D96C1E"/>
    <w:rsid w:val="00D97CB8"/>
    <w:rsid w:val="00DA0DD9"/>
    <w:rsid w:val="00DA10A8"/>
    <w:rsid w:val="00DA1CD3"/>
    <w:rsid w:val="00DA1DA3"/>
    <w:rsid w:val="00DA23E3"/>
    <w:rsid w:val="00DA252B"/>
    <w:rsid w:val="00DA25F2"/>
    <w:rsid w:val="00DA26EC"/>
    <w:rsid w:val="00DA2902"/>
    <w:rsid w:val="00DA2994"/>
    <w:rsid w:val="00DA2CBD"/>
    <w:rsid w:val="00DA3DDA"/>
    <w:rsid w:val="00DA526A"/>
    <w:rsid w:val="00DA650D"/>
    <w:rsid w:val="00DB032D"/>
    <w:rsid w:val="00DB07DD"/>
    <w:rsid w:val="00DB1E08"/>
    <w:rsid w:val="00DB2339"/>
    <w:rsid w:val="00DB2973"/>
    <w:rsid w:val="00DB3697"/>
    <w:rsid w:val="00DB3960"/>
    <w:rsid w:val="00DB3C5D"/>
    <w:rsid w:val="00DB54E4"/>
    <w:rsid w:val="00DB67FC"/>
    <w:rsid w:val="00DB79BE"/>
    <w:rsid w:val="00DC1474"/>
    <w:rsid w:val="00DC1820"/>
    <w:rsid w:val="00DC1D67"/>
    <w:rsid w:val="00DC2129"/>
    <w:rsid w:val="00DC21C1"/>
    <w:rsid w:val="00DC2672"/>
    <w:rsid w:val="00DC5485"/>
    <w:rsid w:val="00DC6570"/>
    <w:rsid w:val="00DC7049"/>
    <w:rsid w:val="00DD011F"/>
    <w:rsid w:val="00DD02C0"/>
    <w:rsid w:val="00DD0426"/>
    <w:rsid w:val="00DD0527"/>
    <w:rsid w:val="00DD07E1"/>
    <w:rsid w:val="00DD0A9F"/>
    <w:rsid w:val="00DD134B"/>
    <w:rsid w:val="00DD13EE"/>
    <w:rsid w:val="00DD217C"/>
    <w:rsid w:val="00DD225C"/>
    <w:rsid w:val="00DD26C6"/>
    <w:rsid w:val="00DD3B4F"/>
    <w:rsid w:val="00DD3F74"/>
    <w:rsid w:val="00DD41F4"/>
    <w:rsid w:val="00DD49B9"/>
    <w:rsid w:val="00DD4E42"/>
    <w:rsid w:val="00DD50ED"/>
    <w:rsid w:val="00DD5EEE"/>
    <w:rsid w:val="00DD6053"/>
    <w:rsid w:val="00DE0259"/>
    <w:rsid w:val="00DE08A0"/>
    <w:rsid w:val="00DE0EB0"/>
    <w:rsid w:val="00DE18F7"/>
    <w:rsid w:val="00DE1F26"/>
    <w:rsid w:val="00DE1F28"/>
    <w:rsid w:val="00DE2393"/>
    <w:rsid w:val="00DE27CC"/>
    <w:rsid w:val="00DE2C39"/>
    <w:rsid w:val="00DE4C77"/>
    <w:rsid w:val="00DE5ACA"/>
    <w:rsid w:val="00DE5C4C"/>
    <w:rsid w:val="00DE7B15"/>
    <w:rsid w:val="00DF06DE"/>
    <w:rsid w:val="00DF162C"/>
    <w:rsid w:val="00DF1C89"/>
    <w:rsid w:val="00DF2069"/>
    <w:rsid w:val="00DF25C3"/>
    <w:rsid w:val="00DF2979"/>
    <w:rsid w:val="00DF2E80"/>
    <w:rsid w:val="00DF3B5B"/>
    <w:rsid w:val="00DF3B9F"/>
    <w:rsid w:val="00DF3E4B"/>
    <w:rsid w:val="00DF5AC3"/>
    <w:rsid w:val="00DF62FB"/>
    <w:rsid w:val="00DF67BB"/>
    <w:rsid w:val="00DF6965"/>
    <w:rsid w:val="00DF70AA"/>
    <w:rsid w:val="00E004E0"/>
    <w:rsid w:val="00E01BF2"/>
    <w:rsid w:val="00E02317"/>
    <w:rsid w:val="00E02FC8"/>
    <w:rsid w:val="00E04062"/>
    <w:rsid w:val="00E04BE9"/>
    <w:rsid w:val="00E0593C"/>
    <w:rsid w:val="00E05D34"/>
    <w:rsid w:val="00E066D7"/>
    <w:rsid w:val="00E10514"/>
    <w:rsid w:val="00E107A6"/>
    <w:rsid w:val="00E1142E"/>
    <w:rsid w:val="00E1155C"/>
    <w:rsid w:val="00E118B3"/>
    <w:rsid w:val="00E12AB4"/>
    <w:rsid w:val="00E13025"/>
    <w:rsid w:val="00E13944"/>
    <w:rsid w:val="00E139B9"/>
    <w:rsid w:val="00E13EDE"/>
    <w:rsid w:val="00E13EDF"/>
    <w:rsid w:val="00E1465F"/>
    <w:rsid w:val="00E15F28"/>
    <w:rsid w:val="00E169BA"/>
    <w:rsid w:val="00E171B1"/>
    <w:rsid w:val="00E172CD"/>
    <w:rsid w:val="00E17EB7"/>
    <w:rsid w:val="00E2003B"/>
    <w:rsid w:val="00E21200"/>
    <w:rsid w:val="00E21392"/>
    <w:rsid w:val="00E217ED"/>
    <w:rsid w:val="00E22ACF"/>
    <w:rsid w:val="00E22C7C"/>
    <w:rsid w:val="00E23662"/>
    <w:rsid w:val="00E2386B"/>
    <w:rsid w:val="00E23CA5"/>
    <w:rsid w:val="00E23D9A"/>
    <w:rsid w:val="00E24D37"/>
    <w:rsid w:val="00E25DF3"/>
    <w:rsid w:val="00E264ED"/>
    <w:rsid w:val="00E26994"/>
    <w:rsid w:val="00E26B31"/>
    <w:rsid w:val="00E271FA"/>
    <w:rsid w:val="00E27377"/>
    <w:rsid w:val="00E276A9"/>
    <w:rsid w:val="00E27827"/>
    <w:rsid w:val="00E27832"/>
    <w:rsid w:val="00E27BF5"/>
    <w:rsid w:val="00E30BB7"/>
    <w:rsid w:val="00E30F23"/>
    <w:rsid w:val="00E3115A"/>
    <w:rsid w:val="00E319B1"/>
    <w:rsid w:val="00E31E10"/>
    <w:rsid w:val="00E32D63"/>
    <w:rsid w:val="00E338B9"/>
    <w:rsid w:val="00E34251"/>
    <w:rsid w:val="00E3524B"/>
    <w:rsid w:val="00E353AE"/>
    <w:rsid w:val="00E358CF"/>
    <w:rsid w:val="00E35C1C"/>
    <w:rsid w:val="00E367E3"/>
    <w:rsid w:val="00E36AC5"/>
    <w:rsid w:val="00E374F8"/>
    <w:rsid w:val="00E3775B"/>
    <w:rsid w:val="00E377DA"/>
    <w:rsid w:val="00E4059D"/>
    <w:rsid w:val="00E40F13"/>
    <w:rsid w:val="00E41440"/>
    <w:rsid w:val="00E41560"/>
    <w:rsid w:val="00E41E25"/>
    <w:rsid w:val="00E43CB7"/>
    <w:rsid w:val="00E447D2"/>
    <w:rsid w:val="00E453EB"/>
    <w:rsid w:val="00E45531"/>
    <w:rsid w:val="00E45829"/>
    <w:rsid w:val="00E45C99"/>
    <w:rsid w:val="00E4629C"/>
    <w:rsid w:val="00E4680F"/>
    <w:rsid w:val="00E46AA2"/>
    <w:rsid w:val="00E4719B"/>
    <w:rsid w:val="00E47A2D"/>
    <w:rsid w:val="00E50ABE"/>
    <w:rsid w:val="00E5123E"/>
    <w:rsid w:val="00E5176A"/>
    <w:rsid w:val="00E51F09"/>
    <w:rsid w:val="00E51FDB"/>
    <w:rsid w:val="00E5249F"/>
    <w:rsid w:val="00E53126"/>
    <w:rsid w:val="00E53749"/>
    <w:rsid w:val="00E539B0"/>
    <w:rsid w:val="00E53B90"/>
    <w:rsid w:val="00E53E5D"/>
    <w:rsid w:val="00E540B0"/>
    <w:rsid w:val="00E54736"/>
    <w:rsid w:val="00E567E2"/>
    <w:rsid w:val="00E56A6C"/>
    <w:rsid w:val="00E56CCE"/>
    <w:rsid w:val="00E56D5F"/>
    <w:rsid w:val="00E56EC9"/>
    <w:rsid w:val="00E60693"/>
    <w:rsid w:val="00E60FC4"/>
    <w:rsid w:val="00E62370"/>
    <w:rsid w:val="00E62B7A"/>
    <w:rsid w:val="00E62BA7"/>
    <w:rsid w:val="00E63675"/>
    <w:rsid w:val="00E63CA3"/>
    <w:rsid w:val="00E64015"/>
    <w:rsid w:val="00E64933"/>
    <w:rsid w:val="00E6516E"/>
    <w:rsid w:val="00E65D2F"/>
    <w:rsid w:val="00E66AD1"/>
    <w:rsid w:val="00E66F03"/>
    <w:rsid w:val="00E677E1"/>
    <w:rsid w:val="00E67CDF"/>
    <w:rsid w:val="00E67D93"/>
    <w:rsid w:val="00E70A24"/>
    <w:rsid w:val="00E7130B"/>
    <w:rsid w:val="00E713F9"/>
    <w:rsid w:val="00E717F6"/>
    <w:rsid w:val="00E724D9"/>
    <w:rsid w:val="00E7279B"/>
    <w:rsid w:val="00E738CE"/>
    <w:rsid w:val="00E73DEE"/>
    <w:rsid w:val="00E75A1A"/>
    <w:rsid w:val="00E75E54"/>
    <w:rsid w:val="00E76868"/>
    <w:rsid w:val="00E775E3"/>
    <w:rsid w:val="00E777EC"/>
    <w:rsid w:val="00E8034C"/>
    <w:rsid w:val="00E81291"/>
    <w:rsid w:val="00E82238"/>
    <w:rsid w:val="00E82295"/>
    <w:rsid w:val="00E82C09"/>
    <w:rsid w:val="00E83878"/>
    <w:rsid w:val="00E83E99"/>
    <w:rsid w:val="00E845B9"/>
    <w:rsid w:val="00E84BAB"/>
    <w:rsid w:val="00E84DBB"/>
    <w:rsid w:val="00E86FCD"/>
    <w:rsid w:val="00E87E13"/>
    <w:rsid w:val="00E87E1A"/>
    <w:rsid w:val="00E9154D"/>
    <w:rsid w:val="00E92F15"/>
    <w:rsid w:val="00E93110"/>
    <w:rsid w:val="00E93411"/>
    <w:rsid w:val="00E944C6"/>
    <w:rsid w:val="00E94D97"/>
    <w:rsid w:val="00E95142"/>
    <w:rsid w:val="00E951DD"/>
    <w:rsid w:val="00E973C8"/>
    <w:rsid w:val="00E97D8F"/>
    <w:rsid w:val="00E97EE9"/>
    <w:rsid w:val="00EA059E"/>
    <w:rsid w:val="00EA18B3"/>
    <w:rsid w:val="00EA2146"/>
    <w:rsid w:val="00EA294E"/>
    <w:rsid w:val="00EA2FCF"/>
    <w:rsid w:val="00EA3F47"/>
    <w:rsid w:val="00EA46BB"/>
    <w:rsid w:val="00EA4B75"/>
    <w:rsid w:val="00EA4BC5"/>
    <w:rsid w:val="00EA4BCF"/>
    <w:rsid w:val="00EA4E0D"/>
    <w:rsid w:val="00EA51C3"/>
    <w:rsid w:val="00EA557D"/>
    <w:rsid w:val="00EA582C"/>
    <w:rsid w:val="00EA698D"/>
    <w:rsid w:val="00EA6A0F"/>
    <w:rsid w:val="00EA6CC8"/>
    <w:rsid w:val="00EA6E76"/>
    <w:rsid w:val="00EA74E1"/>
    <w:rsid w:val="00EA7B5D"/>
    <w:rsid w:val="00EA7CC1"/>
    <w:rsid w:val="00EA7F2F"/>
    <w:rsid w:val="00EB08D9"/>
    <w:rsid w:val="00EB0D31"/>
    <w:rsid w:val="00EB1C43"/>
    <w:rsid w:val="00EB1EF3"/>
    <w:rsid w:val="00EB1F95"/>
    <w:rsid w:val="00EB235B"/>
    <w:rsid w:val="00EB24C2"/>
    <w:rsid w:val="00EB285D"/>
    <w:rsid w:val="00EB4218"/>
    <w:rsid w:val="00EB436F"/>
    <w:rsid w:val="00EB46F8"/>
    <w:rsid w:val="00EB4A1B"/>
    <w:rsid w:val="00EB5665"/>
    <w:rsid w:val="00EB5D2B"/>
    <w:rsid w:val="00EB6213"/>
    <w:rsid w:val="00EB644A"/>
    <w:rsid w:val="00EB71B1"/>
    <w:rsid w:val="00EB7569"/>
    <w:rsid w:val="00EB7A4B"/>
    <w:rsid w:val="00EC00DE"/>
    <w:rsid w:val="00EC16F7"/>
    <w:rsid w:val="00EC25B8"/>
    <w:rsid w:val="00EC2AE4"/>
    <w:rsid w:val="00EC30E1"/>
    <w:rsid w:val="00EC423A"/>
    <w:rsid w:val="00EC4B24"/>
    <w:rsid w:val="00EC4DF0"/>
    <w:rsid w:val="00EC521A"/>
    <w:rsid w:val="00EC52AC"/>
    <w:rsid w:val="00EC5427"/>
    <w:rsid w:val="00EC564E"/>
    <w:rsid w:val="00EC5F68"/>
    <w:rsid w:val="00EC70B2"/>
    <w:rsid w:val="00ED089C"/>
    <w:rsid w:val="00ED0B6D"/>
    <w:rsid w:val="00ED15B2"/>
    <w:rsid w:val="00ED172A"/>
    <w:rsid w:val="00ED195D"/>
    <w:rsid w:val="00ED1E00"/>
    <w:rsid w:val="00ED1FA7"/>
    <w:rsid w:val="00ED3EC3"/>
    <w:rsid w:val="00ED44C8"/>
    <w:rsid w:val="00ED454C"/>
    <w:rsid w:val="00ED5799"/>
    <w:rsid w:val="00ED586B"/>
    <w:rsid w:val="00ED5957"/>
    <w:rsid w:val="00ED5A88"/>
    <w:rsid w:val="00ED65BF"/>
    <w:rsid w:val="00ED6892"/>
    <w:rsid w:val="00ED6FE8"/>
    <w:rsid w:val="00ED7E84"/>
    <w:rsid w:val="00EE0916"/>
    <w:rsid w:val="00EE1402"/>
    <w:rsid w:val="00EE1900"/>
    <w:rsid w:val="00EE1A45"/>
    <w:rsid w:val="00EE207D"/>
    <w:rsid w:val="00EE22C1"/>
    <w:rsid w:val="00EE2400"/>
    <w:rsid w:val="00EE265F"/>
    <w:rsid w:val="00EE26A3"/>
    <w:rsid w:val="00EE2BAF"/>
    <w:rsid w:val="00EE3143"/>
    <w:rsid w:val="00EE3ADF"/>
    <w:rsid w:val="00EE3CAE"/>
    <w:rsid w:val="00EE47CB"/>
    <w:rsid w:val="00EE4B60"/>
    <w:rsid w:val="00EE5B92"/>
    <w:rsid w:val="00EE60B7"/>
    <w:rsid w:val="00EE76A1"/>
    <w:rsid w:val="00EF037B"/>
    <w:rsid w:val="00EF041A"/>
    <w:rsid w:val="00EF25F0"/>
    <w:rsid w:val="00EF284D"/>
    <w:rsid w:val="00EF400A"/>
    <w:rsid w:val="00EF4174"/>
    <w:rsid w:val="00EF451A"/>
    <w:rsid w:val="00EF4B6B"/>
    <w:rsid w:val="00EF5856"/>
    <w:rsid w:val="00EF69E8"/>
    <w:rsid w:val="00EF6DD1"/>
    <w:rsid w:val="00EF7A17"/>
    <w:rsid w:val="00EF7BC0"/>
    <w:rsid w:val="00EF7D63"/>
    <w:rsid w:val="00F002A7"/>
    <w:rsid w:val="00F01448"/>
    <w:rsid w:val="00F017B6"/>
    <w:rsid w:val="00F01B70"/>
    <w:rsid w:val="00F03B85"/>
    <w:rsid w:val="00F04EDB"/>
    <w:rsid w:val="00F05180"/>
    <w:rsid w:val="00F056FB"/>
    <w:rsid w:val="00F05D21"/>
    <w:rsid w:val="00F06002"/>
    <w:rsid w:val="00F06788"/>
    <w:rsid w:val="00F06C5D"/>
    <w:rsid w:val="00F06CDE"/>
    <w:rsid w:val="00F075E5"/>
    <w:rsid w:val="00F07756"/>
    <w:rsid w:val="00F07AE4"/>
    <w:rsid w:val="00F07C5D"/>
    <w:rsid w:val="00F1050E"/>
    <w:rsid w:val="00F1093F"/>
    <w:rsid w:val="00F1112A"/>
    <w:rsid w:val="00F13A06"/>
    <w:rsid w:val="00F13DAD"/>
    <w:rsid w:val="00F1417C"/>
    <w:rsid w:val="00F14BEC"/>
    <w:rsid w:val="00F14E72"/>
    <w:rsid w:val="00F14FC2"/>
    <w:rsid w:val="00F15383"/>
    <w:rsid w:val="00F1542F"/>
    <w:rsid w:val="00F15949"/>
    <w:rsid w:val="00F15F7F"/>
    <w:rsid w:val="00F16A9E"/>
    <w:rsid w:val="00F17817"/>
    <w:rsid w:val="00F17886"/>
    <w:rsid w:val="00F17B45"/>
    <w:rsid w:val="00F2003E"/>
    <w:rsid w:val="00F20DB2"/>
    <w:rsid w:val="00F225C5"/>
    <w:rsid w:val="00F225C8"/>
    <w:rsid w:val="00F228EA"/>
    <w:rsid w:val="00F231F1"/>
    <w:rsid w:val="00F267A1"/>
    <w:rsid w:val="00F2685B"/>
    <w:rsid w:val="00F27D58"/>
    <w:rsid w:val="00F27FCB"/>
    <w:rsid w:val="00F30579"/>
    <w:rsid w:val="00F30A4F"/>
    <w:rsid w:val="00F30D47"/>
    <w:rsid w:val="00F314B7"/>
    <w:rsid w:val="00F3199D"/>
    <w:rsid w:val="00F334CB"/>
    <w:rsid w:val="00F35ABD"/>
    <w:rsid w:val="00F35B62"/>
    <w:rsid w:val="00F364EA"/>
    <w:rsid w:val="00F36F19"/>
    <w:rsid w:val="00F3715D"/>
    <w:rsid w:val="00F37185"/>
    <w:rsid w:val="00F3747E"/>
    <w:rsid w:val="00F37B51"/>
    <w:rsid w:val="00F37D60"/>
    <w:rsid w:val="00F40CB0"/>
    <w:rsid w:val="00F41BF2"/>
    <w:rsid w:val="00F420C8"/>
    <w:rsid w:val="00F42174"/>
    <w:rsid w:val="00F43214"/>
    <w:rsid w:val="00F43282"/>
    <w:rsid w:val="00F4329B"/>
    <w:rsid w:val="00F43BCF"/>
    <w:rsid w:val="00F43FEE"/>
    <w:rsid w:val="00F447C6"/>
    <w:rsid w:val="00F45079"/>
    <w:rsid w:val="00F45C77"/>
    <w:rsid w:val="00F50548"/>
    <w:rsid w:val="00F50646"/>
    <w:rsid w:val="00F51106"/>
    <w:rsid w:val="00F524E9"/>
    <w:rsid w:val="00F52524"/>
    <w:rsid w:val="00F526E3"/>
    <w:rsid w:val="00F53027"/>
    <w:rsid w:val="00F533F0"/>
    <w:rsid w:val="00F54EBE"/>
    <w:rsid w:val="00F556EE"/>
    <w:rsid w:val="00F56C11"/>
    <w:rsid w:val="00F57706"/>
    <w:rsid w:val="00F602B7"/>
    <w:rsid w:val="00F60D8B"/>
    <w:rsid w:val="00F612F1"/>
    <w:rsid w:val="00F6175C"/>
    <w:rsid w:val="00F621BA"/>
    <w:rsid w:val="00F6220C"/>
    <w:rsid w:val="00F64828"/>
    <w:rsid w:val="00F6501E"/>
    <w:rsid w:val="00F65155"/>
    <w:rsid w:val="00F6644D"/>
    <w:rsid w:val="00F66B72"/>
    <w:rsid w:val="00F670BE"/>
    <w:rsid w:val="00F70DAE"/>
    <w:rsid w:val="00F7190A"/>
    <w:rsid w:val="00F71C95"/>
    <w:rsid w:val="00F71D1D"/>
    <w:rsid w:val="00F725A6"/>
    <w:rsid w:val="00F72623"/>
    <w:rsid w:val="00F727D2"/>
    <w:rsid w:val="00F73C41"/>
    <w:rsid w:val="00F74BFC"/>
    <w:rsid w:val="00F7683C"/>
    <w:rsid w:val="00F778F7"/>
    <w:rsid w:val="00F803B8"/>
    <w:rsid w:val="00F81AA7"/>
    <w:rsid w:val="00F82DCB"/>
    <w:rsid w:val="00F82E4D"/>
    <w:rsid w:val="00F833DA"/>
    <w:rsid w:val="00F83872"/>
    <w:rsid w:val="00F839FF"/>
    <w:rsid w:val="00F83FBB"/>
    <w:rsid w:val="00F84048"/>
    <w:rsid w:val="00F8411E"/>
    <w:rsid w:val="00F84136"/>
    <w:rsid w:val="00F849C3"/>
    <w:rsid w:val="00F84B81"/>
    <w:rsid w:val="00F862C3"/>
    <w:rsid w:val="00F862C6"/>
    <w:rsid w:val="00F86619"/>
    <w:rsid w:val="00F86F2C"/>
    <w:rsid w:val="00F870FA"/>
    <w:rsid w:val="00F87544"/>
    <w:rsid w:val="00F876FA"/>
    <w:rsid w:val="00F87896"/>
    <w:rsid w:val="00F909F6"/>
    <w:rsid w:val="00F90DF0"/>
    <w:rsid w:val="00F9134A"/>
    <w:rsid w:val="00F91486"/>
    <w:rsid w:val="00F91B5A"/>
    <w:rsid w:val="00F9389D"/>
    <w:rsid w:val="00F95415"/>
    <w:rsid w:val="00F9690A"/>
    <w:rsid w:val="00F97201"/>
    <w:rsid w:val="00F972DB"/>
    <w:rsid w:val="00FA018E"/>
    <w:rsid w:val="00FA01AF"/>
    <w:rsid w:val="00FA02D4"/>
    <w:rsid w:val="00FA2C4F"/>
    <w:rsid w:val="00FA2DFA"/>
    <w:rsid w:val="00FA3AA3"/>
    <w:rsid w:val="00FA53D5"/>
    <w:rsid w:val="00FA768B"/>
    <w:rsid w:val="00FB0204"/>
    <w:rsid w:val="00FB0B79"/>
    <w:rsid w:val="00FB10F5"/>
    <w:rsid w:val="00FB147E"/>
    <w:rsid w:val="00FB16C4"/>
    <w:rsid w:val="00FB2CE0"/>
    <w:rsid w:val="00FB35CC"/>
    <w:rsid w:val="00FB375F"/>
    <w:rsid w:val="00FB396A"/>
    <w:rsid w:val="00FB48E1"/>
    <w:rsid w:val="00FB4D28"/>
    <w:rsid w:val="00FB56BA"/>
    <w:rsid w:val="00FB5CBC"/>
    <w:rsid w:val="00FB71BA"/>
    <w:rsid w:val="00FB7443"/>
    <w:rsid w:val="00FB74F6"/>
    <w:rsid w:val="00FB7512"/>
    <w:rsid w:val="00FC0D25"/>
    <w:rsid w:val="00FC13F2"/>
    <w:rsid w:val="00FC1713"/>
    <w:rsid w:val="00FC1838"/>
    <w:rsid w:val="00FC1A6B"/>
    <w:rsid w:val="00FC1A92"/>
    <w:rsid w:val="00FC223F"/>
    <w:rsid w:val="00FC2C46"/>
    <w:rsid w:val="00FC38A4"/>
    <w:rsid w:val="00FC425E"/>
    <w:rsid w:val="00FC4B0F"/>
    <w:rsid w:val="00FC5258"/>
    <w:rsid w:val="00FC5D0D"/>
    <w:rsid w:val="00FC650A"/>
    <w:rsid w:val="00FC65BB"/>
    <w:rsid w:val="00FC6946"/>
    <w:rsid w:val="00FC6F2B"/>
    <w:rsid w:val="00FC7BB8"/>
    <w:rsid w:val="00FD1023"/>
    <w:rsid w:val="00FD174D"/>
    <w:rsid w:val="00FD1C61"/>
    <w:rsid w:val="00FD3146"/>
    <w:rsid w:val="00FD3555"/>
    <w:rsid w:val="00FD3A9B"/>
    <w:rsid w:val="00FD3DF2"/>
    <w:rsid w:val="00FD460E"/>
    <w:rsid w:val="00FD478B"/>
    <w:rsid w:val="00FD480F"/>
    <w:rsid w:val="00FD4EB3"/>
    <w:rsid w:val="00FD5047"/>
    <w:rsid w:val="00FD521F"/>
    <w:rsid w:val="00FD5C7B"/>
    <w:rsid w:val="00FD6EDC"/>
    <w:rsid w:val="00FD7547"/>
    <w:rsid w:val="00FD789E"/>
    <w:rsid w:val="00FD79BE"/>
    <w:rsid w:val="00FE0729"/>
    <w:rsid w:val="00FE08EB"/>
    <w:rsid w:val="00FE1702"/>
    <w:rsid w:val="00FE2A64"/>
    <w:rsid w:val="00FE3A62"/>
    <w:rsid w:val="00FE457D"/>
    <w:rsid w:val="00FE4C06"/>
    <w:rsid w:val="00FE4F2F"/>
    <w:rsid w:val="00FE5063"/>
    <w:rsid w:val="00FE5F50"/>
    <w:rsid w:val="00FE61BE"/>
    <w:rsid w:val="00FE61F3"/>
    <w:rsid w:val="00FE6581"/>
    <w:rsid w:val="00FE70A9"/>
    <w:rsid w:val="00FF0561"/>
    <w:rsid w:val="00FF05CB"/>
    <w:rsid w:val="00FF0CEB"/>
    <w:rsid w:val="00FF0D91"/>
    <w:rsid w:val="00FF16C9"/>
    <w:rsid w:val="00FF17AB"/>
    <w:rsid w:val="00FF1FC2"/>
    <w:rsid w:val="00FF2F05"/>
    <w:rsid w:val="00FF4741"/>
    <w:rsid w:val="00FF4C0D"/>
    <w:rsid w:val="00FF4E60"/>
    <w:rsid w:val="00FF571B"/>
    <w:rsid w:val="00FF5C00"/>
    <w:rsid w:val="00FF5F5C"/>
    <w:rsid w:val="00FF67BA"/>
    <w:rsid w:val="00FF7A05"/>
    <w:rsid w:val="00FF7C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in Text" w:uiPriority="99"/>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D7497"/>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B0138"/>
    <w:rPr>
      <w:color w:val="auto"/>
      <w:u w:val="single"/>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51C2"/>
    <w:pPr>
      <w:numPr>
        <w:numId w:val="22"/>
      </w:numPr>
      <w:ind w:left="1134" w:hanging="567"/>
    </w:pPr>
  </w:style>
  <w:style w:type="paragraph" w:styleId="TOC1">
    <w:name w:val="toc 1"/>
    <w:basedOn w:val="Normal"/>
    <w:next w:val="Normal"/>
    <w:autoRedefine/>
    <w:uiPriority w:val="39"/>
    <w:rsid w:val="007B0138"/>
    <w:pPr>
      <w:spacing w:before="120" w:after="120"/>
    </w:pPr>
    <w:rPr>
      <w:b/>
      <w:bCs/>
      <w:caps/>
    </w:rPr>
  </w:style>
  <w:style w:type="paragraph" w:styleId="TOC2">
    <w:name w:val="toc 2"/>
    <w:basedOn w:val="Normal"/>
    <w:next w:val="Normal"/>
    <w:autoRedefine/>
    <w:uiPriority w:val="39"/>
    <w:rsid w:val="00335F81"/>
    <w:pPr>
      <w:ind w:left="238" w:right="284"/>
    </w:pPr>
    <w:rPr>
      <w:smallCaps/>
    </w:rPr>
  </w:style>
  <w:style w:type="paragraph" w:styleId="Footer">
    <w:name w:val="footer"/>
    <w:basedOn w:val="Normal"/>
    <w:rsid w:val="007B0138"/>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35F81"/>
    <w:pPr>
      <w:ind w:left="1049" w:right="454" w:hanging="567"/>
    </w:pPr>
    <w:rPr>
      <w:i/>
      <w:iCs/>
    </w:rPr>
  </w:style>
  <w:style w:type="paragraph" w:styleId="TOC4">
    <w:name w:val="toc 4"/>
    <w:basedOn w:val="Normal"/>
    <w:next w:val="Normal"/>
    <w:autoRedefine/>
    <w:semiHidden/>
    <w:rsid w:val="007B0138"/>
    <w:pPr>
      <w:ind w:left="720"/>
    </w:pPr>
    <w:rPr>
      <w:szCs w:val="21"/>
    </w:rPr>
  </w:style>
  <w:style w:type="paragraph" w:styleId="TOC5">
    <w:name w:val="toc 5"/>
    <w:basedOn w:val="Normal"/>
    <w:next w:val="Normal"/>
    <w:autoRedefine/>
    <w:semiHidden/>
    <w:rsid w:val="007B0138"/>
    <w:pPr>
      <w:ind w:left="960"/>
    </w:pPr>
    <w:rPr>
      <w:szCs w:val="21"/>
    </w:rPr>
  </w:style>
  <w:style w:type="character" w:styleId="FollowedHyperlink">
    <w:name w:val="FollowedHyperlink"/>
    <w:basedOn w:val="DefaultParagraphFont"/>
    <w:rsid w:val="007B0138"/>
    <w:rPr>
      <w:color w:val="800080"/>
      <w:u w:val="single"/>
    </w:rPr>
  </w:style>
  <w:style w:type="paragraph" w:styleId="TOC6">
    <w:name w:val="toc 6"/>
    <w:basedOn w:val="Normal"/>
    <w:next w:val="Normal"/>
    <w:autoRedefine/>
    <w:semiHidden/>
    <w:rsid w:val="007B0138"/>
    <w:pPr>
      <w:ind w:left="1200"/>
    </w:pPr>
    <w:rPr>
      <w:szCs w:val="21"/>
    </w:rPr>
  </w:style>
  <w:style w:type="paragraph" w:customStyle="1" w:styleId="Clause">
    <w:name w:val="Clause"/>
    <w:basedOn w:val="Normal"/>
    <w:next w:val="Normal"/>
    <w:link w:val="ClauseChar"/>
    <w:qFormat/>
    <w:rsid w:val="00F056FB"/>
    <w:pPr>
      <w:tabs>
        <w:tab w:val="left" w:pos="851"/>
      </w:tabs>
    </w:pPr>
    <w:rPr>
      <w:sz w:val="20"/>
      <w:szCs w:val="20"/>
    </w:rPr>
  </w:style>
  <w:style w:type="character" w:customStyle="1" w:styleId="ClauseChar">
    <w:name w:val="Clause Char"/>
    <w:basedOn w:val="DefaultParagraphFont"/>
    <w:link w:val="Clause"/>
    <w:rsid w:val="00F056FB"/>
    <w:rPr>
      <w:rFonts w:ascii="Arial" w:hAnsi="Arial"/>
      <w:lang w:eastAsia="en-US" w:bidi="en-US"/>
    </w:rPr>
  </w:style>
  <w:style w:type="paragraph" w:customStyle="1" w:styleId="Clauseheading">
    <w:name w:val="Clause heading"/>
    <w:basedOn w:val="Normal"/>
    <w:next w:val="Normal"/>
    <w:rsid w:val="00F056FB"/>
    <w:pPr>
      <w:tabs>
        <w:tab w:val="left" w:pos="851"/>
      </w:tabs>
    </w:pPr>
    <w:rPr>
      <w:b/>
      <w:sz w:val="20"/>
      <w:szCs w:val="20"/>
    </w:rPr>
  </w:style>
  <w:style w:type="paragraph" w:customStyle="1" w:styleId="ClauseList">
    <w:name w:val="Clause List"/>
    <w:basedOn w:val="Clause"/>
    <w:next w:val="Normal"/>
    <w:rsid w:val="007B0138"/>
  </w:style>
  <w:style w:type="paragraph" w:customStyle="1" w:styleId="Definition">
    <w:name w:val="Definition"/>
    <w:basedOn w:val="Normal"/>
    <w:next w:val="Normal"/>
    <w:rsid w:val="007B0138"/>
    <w:pPr>
      <w:ind w:left="1701" w:hanging="851"/>
    </w:pPr>
    <w:rPr>
      <w:szCs w:val="20"/>
    </w:rPr>
  </w:style>
  <w:style w:type="paragraph" w:customStyle="1" w:styleId="DivisionHeading">
    <w:name w:val="Division Heading"/>
    <w:basedOn w:val="Normal"/>
    <w:next w:val="Normal"/>
    <w:rsid w:val="007B0138"/>
    <w:pPr>
      <w:tabs>
        <w:tab w:val="left" w:pos="851"/>
      </w:tabs>
      <w:jc w:val="center"/>
    </w:pPr>
    <w:rPr>
      <w:b/>
      <w:sz w:val="28"/>
      <w:szCs w:val="20"/>
    </w:rPr>
  </w:style>
  <w:style w:type="paragraph" w:customStyle="1" w:styleId="EditorialNoteLine1">
    <w:name w:val="Editorial Note Line 1"/>
    <w:basedOn w:val="Normal"/>
    <w:next w:val="Normal"/>
    <w:rsid w:val="007B0138"/>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B0138"/>
    <w:rPr>
      <w:b w:val="0"/>
    </w:rPr>
  </w:style>
  <w:style w:type="paragraph" w:customStyle="1" w:styleId="Footnote">
    <w:name w:val="Footnote"/>
    <w:basedOn w:val="Normal"/>
    <w:rsid w:val="007B0138"/>
    <w:pPr>
      <w:tabs>
        <w:tab w:val="left" w:pos="851"/>
      </w:tabs>
    </w:pPr>
    <w:rPr>
      <w:sz w:val="20"/>
      <w:szCs w:val="20"/>
    </w:rPr>
  </w:style>
  <w:style w:type="paragraph" w:customStyle="1" w:styleId="MiscellaneousHeading">
    <w:name w:val="Miscellaneous Heading"/>
    <w:basedOn w:val="Normal"/>
    <w:next w:val="Normal"/>
    <w:rsid w:val="007B0138"/>
    <w:rPr>
      <w:b/>
      <w:szCs w:val="20"/>
    </w:rPr>
  </w:style>
  <w:style w:type="paragraph" w:customStyle="1" w:styleId="Paragraph">
    <w:name w:val="Paragraph"/>
    <w:basedOn w:val="Clause"/>
    <w:next w:val="Normal"/>
    <w:rsid w:val="007B0138"/>
    <w:pPr>
      <w:tabs>
        <w:tab w:val="clear" w:pos="851"/>
      </w:tabs>
      <w:ind w:left="1702" w:hanging="851"/>
    </w:pPr>
  </w:style>
  <w:style w:type="paragraph" w:customStyle="1" w:styleId="ScheduleHeading">
    <w:name w:val="Schedule Heading"/>
    <w:basedOn w:val="Normal"/>
    <w:next w:val="Normal"/>
    <w:rsid w:val="007B0138"/>
    <w:pPr>
      <w:tabs>
        <w:tab w:val="left" w:pos="851"/>
      </w:tabs>
      <w:jc w:val="center"/>
    </w:pPr>
    <w:rPr>
      <w:b/>
      <w:caps/>
      <w:szCs w:val="20"/>
    </w:rPr>
  </w:style>
  <w:style w:type="paragraph" w:customStyle="1" w:styleId="Standardtitle">
    <w:name w:val="Standard title"/>
    <w:basedOn w:val="Normal"/>
    <w:rsid w:val="007B0138"/>
    <w:pPr>
      <w:tabs>
        <w:tab w:val="left" w:pos="851"/>
      </w:tabs>
      <w:jc w:val="center"/>
    </w:pPr>
    <w:rPr>
      <w:b/>
      <w:i/>
      <w:iCs/>
      <w:caps/>
      <w:sz w:val="28"/>
      <w:szCs w:val="20"/>
    </w:rPr>
  </w:style>
  <w:style w:type="paragraph" w:customStyle="1" w:styleId="Subclause">
    <w:name w:val="Subclause"/>
    <w:basedOn w:val="Clause"/>
    <w:rsid w:val="007B0138"/>
    <w:pPr>
      <w:ind w:hanging="11"/>
    </w:pPr>
  </w:style>
  <w:style w:type="paragraph" w:customStyle="1" w:styleId="Subparagraph">
    <w:name w:val="Subparagraph"/>
    <w:basedOn w:val="Paragraph"/>
    <w:next w:val="Normal"/>
    <w:rsid w:val="007B0138"/>
    <w:pPr>
      <w:ind w:left="2553"/>
    </w:pPr>
  </w:style>
  <w:style w:type="paragraph" w:customStyle="1" w:styleId="Table1">
    <w:name w:val="Table 1"/>
    <w:basedOn w:val="Normal"/>
    <w:rsid w:val="00F056FB"/>
    <w:pPr>
      <w:spacing w:after="120"/>
      <w:jc w:val="center"/>
    </w:pPr>
    <w:rPr>
      <w:b/>
      <w:bCs/>
      <w:sz w:val="18"/>
      <w:szCs w:val="20"/>
    </w:rPr>
  </w:style>
  <w:style w:type="paragraph" w:customStyle="1" w:styleId="Table2">
    <w:name w:val="Table 2"/>
    <w:basedOn w:val="Normal"/>
    <w:rsid w:val="00F056FB"/>
    <w:pPr>
      <w:ind w:left="142" w:hanging="142"/>
    </w:pPr>
    <w:rPr>
      <w:bCs/>
      <w:sz w:val="18"/>
      <w:szCs w:val="20"/>
    </w:rPr>
  </w:style>
  <w:style w:type="paragraph" w:customStyle="1" w:styleId="TableHeading">
    <w:name w:val="Table Heading"/>
    <w:basedOn w:val="Normal"/>
    <w:next w:val="Normal"/>
    <w:rsid w:val="00F056FB"/>
    <w:pPr>
      <w:tabs>
        <w:tab w:val="left" w:pos="851"/>
      </w:tabs>
      <w:jc w:val="center"/>
    </w:pPr>
    <w:rPr>
      <w:b/>
      <w:sz w:val="20"/>
      <w:szCs w:val="20"/>
    </w:rPr>
  </w:style>
  <w:style w:type="paragraph" w:customStyle="1" w:styleId="TitleBorder">
    <w:name w:val="TitleBorder"/>
    <w:basedOn w:val="Normal"/>
    <w:rsid w:val="007B0138"/>
    <w:pPr>
      <w:pBdr>
        <w:bottom w:val="double" w:sz="6" w:space="0" w:color="auto"/>
      </w:pBdr>
      <w:tabs>
        <w:tab w:val="left" w:pos="851"/>
      </w:tabs>
    </w:pPr>
    <w:rPr>
      <w:b/>
      <w:szCs w:val="20"/>
    </w:rPr>
  </w:style>
  <w:style w:type="paragraph" w:styleId="TOC7">
    <w:name w:val="toc 7"/>
    <w:basedOn w:val="Normal"/>
    <w:next w:val="Normal"/>
    <w:autoRedefine/>
    <w:semiHidden/>
    <w:rsid w:val="007B0138"/>
    <w:pPr>
      <w:ind w:left="1440"/>
    </w:pPr>
    <w:rPr>
      <w:szCs w:val="21"/>
    </w:rPr>
  </w:style>
  <w:style w:type="paragraph" w:styleId="TOC8">
    <w:name w:val="toc 8"/>
    <w:basedOn w:val="Normal"/>
    <w:next w:val="Normal"/>
    <w:autoRedefine/>
    <w:semiHidden/>
    <w:rsid w:val="007B0138"/>
    <w:pPr>
      <w:ind w:left="1680"/>
    </w:pPr>
    <w:rPr>
      <w:szCs w:val="21"/>
    </w:rPr>
  </w:style>
  <w:style w:type="paragraph" w:styleId="TOC9">
    <w:name w:val="toc 9"/>
    <w:basedOn w:val="Normal"/>
    <w:next w:val="Normal"/>
    <w:autoRedefine/>
    <w:semiHidden/>
    <w:rsid w:val="007B0138"/>
    <w:pPr>
      <w:ind w:left="1920"/>
    </w:pPr>
    <w:rPr>
      <w:szCs w:val="21"/>
    </w:rPr>
  </w:style>
  <w:style w:type="paragraph" w:styleId="FootnoteText">
    <w:name w:val="footnote text"/>
    <w:aliases w:val="FSFootnote Text"/>
    <w:basedOn w:val="Normal"/>
    <w:link w:val="FootnoteTextChar"/>
    <w:uiPriority w:val="99"/>
    <w:qFormat/>
    <w:rsid w:val="007B0138"/>
    <w:rPr>
      <w:sz w:val="20"/>
      <w:szCs w:val="20"/>
    </w:rPr>
  </w:style>
  <w:style w:type="character" w:customStyle="1" w:styleId="FootnoteTextChar">
    <w:name w:val="Footnote Text Char"/>
    <w:aliases w:val="FSFootnote Text Char"/>
    <w:basedOn w:val="DefaultParagraphFont"/>
    <w:link w:val="FootnoteText"/>
    <w:uiPriority w:val="99"/>
    <w:rsid w:val="0056782A"/>
    <w:rPr>
      <w:rFonts w:ascii="Arial" w:hAnsi="Arial"/>
      <w:lang w:eastAsia="en-US" w:bidi="en-US"/>
    </w:rPr>
  </w:style>
  <w:style w:type="character" w:styleId="FootnoteReference">
    <w:name w:val="footnote reference"/>
    <w:basedOn w:val="DefaultParagraphFont"/>
    <w:uiPriority w:val="99"/>
    <w:rsid w:val="007B0138"/>
    <w:rPr>
      <w:vertAlign w:val="superscript"/>
    </w:rPr>
  </w:style>
  <w:style w:type="paragraph" w:customStyle="1" w:styleId="heading">
    <w:name w:val="heading"/>
    <w:basedOn w:val="Normal"/>
    <w:rsid w:val="007B0138"/>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1617E8"/>
    <w:pPr>
      <w:numPr>
        <w:numId w:val="24"/>
      </w:numPr>
      <w:ind w:left="567" w:hanging="567"/>
    </w:pPr>
    <w:rPr>
      <w:rFonts w:cs="Arial"/>
    </w:rPr>
  </w:style>
  <w:style w:type="character" w:customStyle="1" w:styleId="FSBulletChar">
    <w:name w:val="FS Bullet Char"/>
    <w:basedOn w:val="DefaultParagraphFont"/>
    <w:link w:val="FSBullet"/>
    <w:rsid w:val="001617E8"/>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Heading1normal">
    <w:name w:val="Heading 1 normal"/>
    <w:basedOn w:val="Normal"/>
    <w:rsid w:val="00620076"/>
    <w:pPr>
      <w:widowControl/>
      <w:spacing w:line="320" w:lineRule="exact"/>
      <w:ind w:left="794"/>
      <w:jc w:val="both"/>
    </w:pPr>
    <w:rPr>
      <w:rFonts w:eastAsia="PMingLiU"/>
      <w:szCs w:val="20"/>
      <w:lang w:val="en-AU" w:bidi="ar-SA"/>
    </w:rPr>
  </w:style>
  <w:style w:type="paragraph" w:styleId="NormalWeb">
    <w:name w:val="Normal (Web)"/>
    <w:basedOn w:val="Normal"/>
    <w:uiPriority w:val="99"/>
    <w:rsid w:val="00951139"/>
    <w:pPr>
      <w:widowControl/>
      <w:spacing w:before="100" w:beforeAutospacing="1" w:after="100" w:afterAutospacing="1"/>
    </w:pPr>
    <w:rPr>
      <w:rFonts w:ascii="Arial Unicode MS" w:eastAsia="Arial Unicode MS" w:hAnsi="Arial Unicode MS" w:cs="Arial Unicode MS"/>
      <w:sz w:val="24"/>
      <w:lang w:val="en-AU" w:bidi="ar-SA"/>
    </w:rPr>
  </w:style>
  <w:style w:type="paragraph" w:customStyle="1" w:styleId="Heading11">
    <w:name w:val="Heading 11"/>
    <w:basedOn w:val="Normal"/>
    <w:rsid w:val="007D2CB7"/>
    <w:pPr>
      <w:widowControl/>
      <w:spacing w:before="240"/>
    </w:pPr>
    <w:rPr>
      <w:rFonts w:ascii="Palatino" w:hAnsi="Palatino"/>
      <w:b/>
      <w:sz w:val="24"/>
      <w:szCs w:val="20"/>
      <w:lang w:val="en-US" w:bidi="ar-SA"/>
    </w:rPr>
  </w:style>
  <w:style w:type="paragraph" w:customStyle="1" w:styleId="Decisiontext">
    <w:name w:val="Decision text"/>
    <w:basedOn w:val="Normal"/>
    <w:rsid w:val="00956760"/>
    <w:pPr>
      <w:widowControl/>
      <w:pBdr>
        <w:top w:val="single" w:sz="4" w:space="1" w:color="auto"/>
        <w:left w:val="single" w:sz="4" w:space="4" w:color="auto"/>
        <w:bottom w:val="single" w:sz="4" w:space="1" w:color="auto"/>
        <w:right w:val="single" w:sz="4" w:space="4" w:color="auto"/>
      </w:pBdr>
    </w:pPr>
    <w:rPr>
      <w:lang w:bidi="ar-SA"/>
    </w:rPr>
  </w:style>
  <w:style w:type="paragraph" w:customStyle="1" w:styleId="Dashpoint">
    <w:name w:val="Dash point"/>
    <w:basedOn w:val="Normal"/>
    <w:rsid w:val="00817AB4"/>
    <w:pPr>
      <w:tabs>
        <w:tab w:val="num" w:pos="1134"/>
      </w:tabs>
      <w:ind w:left="1134" w:hanging="567"/>
    </w:pPr>
    <w:rPr>
      <w:lang w:bidi="ar-SA"/>
    </w:rPr>
  </w:style>
  <w:style w:type="paragraph" w:styleId="Header">
    <w:name w:val="header"/>
    <w:basedOn w:val="Normal"/>
    <w:link w:val="HeaderChar"/>
    <w:rsid w:val="009832D5"/>
    <w:pPr>
      <w:tabs>
        <w:tab w:val="center" w:pos="4513"/>
        <w:tab w:val="right" w:pos="9026"/>
      </w:tabs>
    </w:pPr>
  </w:style>
  <w:style w:type="character" w:customStyle="1" w:styleId="HeaderChar">
    <w:name w:val="Header Char"/>
    <w:basedOn w:val="DefaultParagraphFont"/>
    <w:link w:val="Header"/>
    <w:rsid w:val="009832D5"/>
    <w:rPr>
      <w:rFonts w:ascii="Arial" w:hAnsi="Arial"/>
      <w:sz w:val="22"/>
      <w:szCs w:val="24"/>
      <w:lang w:eastAsia="en-US" w:bidi="en-US"/>
    </w:rPr>
  </w:style>
  <w:style w:type="character" w:styleId="CommentReference">
    <w:name w:val="annotation reference"/>
    <w:basedOn w:val="DefaultParagraphFont"/>
    <w:rsid w:val="00222912"/>
    <w:rPr>
      <w:sz w:val="16"/>
      <w:szCs w:val="16"/>
    </w:rPr>
  </w:style>
  <w:style w:type="paragraph" w:styleId="CommentText">
    <w:name w:val="annotation text"/>
    <w:basedOn w:val="Normal"/>
    <w:link w:val="CommentTextChar"/>
    <w:rsid w:val="00222912"/>
    <w:rPr>
      <w:sz w:val="20"/>
      <w:szCs w:val="20"/>
    </w:rPr>
  </w:style>
  <w:style w:type="character" w:customStyle="1" w:styleId="CommentTextChar">
    <w:name w:val="Comment Text Char"/>
    <w:basedOn w:val="DefaultParagraphFont"/>
    <w:link w:val="CommentText"/>
    <w:rsid w:val="00222912"/>
    <w:rPr>
      <w:rFonts w:ascii="Arial" w:hAnsi="Arial"/>
      <w:lang w:eastAsia="en-US" w:bidi="en-US"/>
    </w:rPr>
  </w:style>
  <w:style w:type="paragraph" w:styleId="CommentSubject">
    <w:name w:val="annotation subject"/>
    <w:basedOn w:val="CommentText"/>
    <w:next w:val="CommentText"/>
    <w:link w:val="CommentSubjectChar"/>
    <w:rsid w:val="00222912"/>
    <w:rPr>
      <w:b/>
      <w:bCs/>
    </w:rPr>
  </w:style>
  <w:style w:type="character" w:customStyle="1" w:styleId="CommentSubjectChar">
    <w:name w:val="Comment Subject Char"/>
    <w:basedOn w:val="CommentTextChar"/>
    <w:link w:val="CommentSubject"/>
    <w:rsid w:val="00222912"/>
    <w:rPr>
      <w:rFonts w:ascii="Arial" w:hAnsi="Arial"/>
      <w:b/>
      <w:bCs/>
      <w:lang w:eastAsia="en-US" w:bidi="en-US"/>
    </w:rPr>
  </w:style>
  <w:style w:type="paragraph" w:customStyle="1" w:styleId="Bullet">
    <w:name w:val="Bullet"/>
    <w:basedOn w:val="Normal"/>
    <w:next w:val="Normal"/>
    <w:link w:val="BulletChar"/>
    <w:rsid w:val="00623D03"/>
    <w:pPr>
      <w:widowControl/>
      <w:tabs>
        <w:tab w:val="num" w:pos="720"/>
      </w:tabs>
      <w:ind w:left="567" w:hanging="567"/>
    </w:pPr>
    <w:rPr>
      <w:lang w:bidi="ar-SA"/>
    </w:rPr>
  </w:style>
  <w:style w:type="character" w:customStyle="1" w:styleId="BulletChar">
    <w:name w:val="Bullet Char"/>
    <w:basedOn w:val="DefaultParagraphFont"/>
    <w:link w:val="Bullet"/>
    <w:rsid w:val="00623D03"/>
    <w:rPr>
      <w:rFonts w:ascii="Arial" w:hAnsi="Arial"/>
      <w:sz w:val="22"/>
      <w:szCs w:val="24"/>
      <w:lang w:eastAsia="en-US"/>
    </w:rPr>
  </w:style>
  <w:style w:type="table" w:customStyle="1" w:styleId="LightList1">
    <w:name w:val="Light List1"/>
    <w:basedOn w:val="TableNormal"/>
    <w:uiPriority w:val="61"/>
    <w:rsid w:val="0059141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821A97"/>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in Text" w:uiPriority="99"/>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D7497"/>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3E46BA"/>
    <w:pPr>
      <w:keepNext/>
      <w:ind w:left="851" w:hanging="851"/>
      <w:outlineLvl w:val="1"/>
    </w:pPr>
    <w:rPr>
      <w:rFonts w:ascii="Arial Bold" w:hAnsi="Arial Bold" w:cs="Arial Unicode MS"/>
      <w:b/>
      <w:bCs/>
      <w:iCs/>
      <w:sz w:val="28"/>
      <w:szCs w:val="28"/>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3E46BA"/>
    <w:rPr>
      <w:rFonts w:ascii="Arial Bold" w:hAnsi="Arial Bold" w:cs="Arial Unicode MS"/>
      <w:b/>
      <w:bCs/>
      <w:iCs/>
      <w:sz w:val="28"/>
      <w:szCs w:val="28"/>
      <w:lang w:val="en-US"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B0138"/>
    <w:rPr>
      <w:color w:val="auto"/>
      <w:u w:val="single"/>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51C2"/>
    <w:pPr>
      <w:numPr>
        <w:numId w:val="22"/>
      </w:numPr>
      <w:ind w:left="1134" w:hanging="567"/>
      <w:pPrChange w:id="0" w:author="Humphries, Cathie" w:date="2011-06-07T16:21:00Z">
        <w:pPr>
          <w:widowControl w:val="0"/>
          <w:numPr>
            <w:numId w:val="22"/>
          </w:numPr>
          <w:ind w:left="1287" w:hanging="360"/>
        </w:pPr>
      </w:pPrChange>
    </w:pPr>
    <w:rPr>
      <w:rPrChange w:id="0" w:author="Humphries, Cathie" w:date="2011-06-07T16:21:00Z">
        <w:rPr>
          <w:rFonts w:ascii="Arial" w:hAnsi="Arial"/>
          <w:sz w:val="22"/>
          <w:szCs w:val="24"/>
          <w:lang w:val="en-GB" w:eastAsia="en-US" w:bidi="en-US"/>
        </w:rPr>
      </w:rPrChange>
    </w:rPr>
  </w:style>
  <w:style w:type="paragraph" w:styleId="TOC1">
    <w:name w:val="toc 1"/>
    <w:basedOn w:val="Normal"/>
    <w:next w:val="Normal"/>
    <w:autoRedefine/>
    <w:uiPriority w:val="39"/>
    <w:rsid w:val="007B0138"/>
    <w:pPr>
      <w:spacing w:before="120" w:after="120"/>
    </w:pPr>
    <w:rPr>
      <w:b/>
      <w:bCs/>
      <w:caps/>
    </w:rPr>
  </w:style>
  <w:style w:type="paragraph" w:styleId="TOC2">
    <w:name w:val="toc 2"/>
    <w:basedOn w:val="Normal"/>
    <w:next w:val="Normal"/>
    <w:autoRedefine/>
    <w:uiPriority w:val="39"/>
    <w:rsid w:val="00335F81"/>
    <w:pPr>
      <w:ind w:left="238" w:right="284"/>
    </w:pPr>
    <w:rPr>
      <w:smallCaps/>
    </w:rPr>
  </w:style>
  <w:style w:type="paragraph" w:styleId="Footer">
    <w:name w:val="footer"/>
    <w:basedOn w:val="Normal"/>
    <w:rsid w:val="007B0138"/>
    <w:pPr>
      <w:tabs>
        <w:tab w:val="center" w:pos="4153"/>
        <w:tab w:val="right" w:pos="8306"/>
      </w:tabs>
    </w:p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35F81"/>
    <w:pPr>
      <w:ind w:left="1049" w:right="454" w:hanging="567"/>
    </w:pPr>
    <w:rPr>
      <w:i/>
      <w:iCs/>
    </w:rPr>
  </w:style>
  <w:style w:type="paragraph" w:styleId="TOC4">
    <w:name w:val="toc 4"/>
    <w:basedOn w:val="Normal"/>
    <w:next w:val="Normal"/>
    <w:autoRedefine/>
    <w:semiHidden/>
    <w:rsid w:val="007B0138"/>
    <w:pPr>
      <w:ind w:left="720"/>
    </w:pPr>
    <w:rPr>
      <w:szCs w:val="21"/>
    </w:rPr>
  </w:style>
  <w:style w:type="paragraph" w:styleId="TOC5">
    <w:name w:val="toc 5"/>
    <w:basedOn w:val="Normal"/>
    <w:next w:val="Normal"/>
    <w:autoRedefine/>
    <w:semiHidden/>
    <w:rsid w:val="007B0138"/>
    <w:pPr>
      <w:ind w:left="960"/>
    </w:pPr>
    <w:rPr>
      <w:szCs w:val="21"/>
    </w:rPr>
  </w:style>
  <w:style w:type="character" w:styleId="FollowedHyperlink">
    <w:name w:val="FollowedHyperlink"/>
    <w:basedOn w:val="DefaultParagraphFont"/>
    <w:rsid w:val="007B0138"/>
    <w:rPr>
      <w:color w:val="800080"/>
      <w:u w:val="single"/>
    </w:rPr>
  </w:style>
  <w:style w:type="paragraph" w:styleId="TOC6">
    <w:name w:val="toc 6"/>
    <w:basedOn w:val="Normal"/>
    <w:next w:val="Normal"/>
    <w:autoRedefine/>
    <w:semiHidden/>
    <w:rsid w:val="007B0138"/>
    <w:pPr>
      <w:ind w:left="1200"/>
    </w:pPr>
    <w:rPr>
      <w:szCs w:val="21"/>
    </w:rPr>
  </w:style>
  <w:style w:type="paragraph" w:customStyle="1" w:styleId="Clause">
    <w:name w:val="1.4.2 Table heading2"/>
    <w:basedOn w:val="Normal"/>
    <w:rsid w:val="007B0138"/>
    <w:pPr>
      <w:keepNext/>
      <w:jc w:val="center"/>
    </w:pPr>
    <w:rPr>
      <w:iCs/>
      <w:smallCaps/>
      <w:sz w:val="20"/>
      <w:szCs w:val="20"/>
    </w:rPr>
  </w:style>
  <w:style w:type="paragraph" w:customStyle="1" w:styleId="ClauseChar">
    <w:name w:val="1.4.2 table heading1"/>
    <w:basedOn w:val="Clause"/>
    <w:rsid w:val="007B0138"/>
    <w:rPr>
      <w:b/>
      <w:bCs/>
      <w:iCs w:val="0"/>
    </w:rPr>
  </w:style>
  <w:style w:type="paragraph" w:customStyle="1" w:styleId="Clauseheading">
    <w:name w:val="1.4.2 table text1"/>
    <w:basedOn w:val="Normal"/>
    <w:rsid w:val="007B0138"/>
    <w:pPr>
      <w:ind w:left="142" w:hanging="142"/>
    </w:pPr>
    <w:rPr>
      <w:smallCaps/>
      <w:sz w:val="20"/>
      <w:szCs w:val="20"/>
    </w:rPr>
  </w:style>
  <w:style w:type="paragraph" w:customStyle="1" w:styleId="ClauseList">
    <w:name w:val="1.4.2 table text2"/>
    <w:basedOn w:val="Clauseheading"/>
    <w:rsid w:val="007B0138"/>
    <w:pPr>
      <w:jc w:val="right"/>
    </w:pPr>
  </w:style>
  <w:style w:type="paragraph" w:customStyle="1" w:styleId="Definition">
    <w:name w:val="Clause"/>
    <w:basedOn w:val="Normal"/>
    <w:next w:val="Normal"/>
    <w:link w:val="DivisionHeading"/>
    <w:qFormat/>
    <w:rsid w:val="00F056FB"/>
    <w:pPr>
      <w:tabs>
        <w:tab w:val="left" w:pos="851"/>
      </w:tabs>
    </w:pPr>
    <w:rPr>
      <w:sz w:val="20"/>
      <w:szCs w:val="20"/>
    </w:rPr>
  </w:style>
  <w:style w:type="character" w:customStyle="1" w:styleId="DivisionHeading">
    <w:name w:val="Clause Char"/>
    <w:basedOn w:val="DefaultParagraphFont"/>
    <w:link w:val="Definition"/>
    <w:rsid w:val="00F056FB"/>
    <w:rPr>
      <w:rFonts w:ascii="Arial" w:hAnsi="Arial"/>
      <w:lang w:eastAsia="en-US" w:bidi="en-US"/>
    </w:rPr>
  </w:style>
  <w:style w:type="paragraph" w:customStyle="1" w:styleId="EditorialNoteLine1">
    <w:name w:val="Clause heading"/>
    <w:basedOn w:val="Normal"/>
    <w:next w:val="Normal"/>
    <w:rsid w:val="00F056FB"/>
    <w:pPr>
      <w:tabs>
        <w:tab w:val="left" w:pos="851"/>
      </w:tabs>
    </w:pPr>
    <w:rPr>
      <w:b/>
      <w:sz w:val="20"/>
      <w:szCs w:val="20"/>
    </w:rPr>
  </w:style>
  <w:style w:type="paragraph" w:customStyle="1" w:styleId="EditorialNotetext">
    <w:name w:val="Clause List"/>
    <w:basedOn w:val="Definition"/>
    <w:next w:val="Normal"/>
    <w:rsid w:val="007B0138"/>
  </w:style>
  <w:style w:type="paragraph" w:customStyle="1" w:styleId="Footnote">
    <w:name w:val="Definition"/>
    <w:basedOn w:val="Normal"/>
    <w:next w:val="Normal"/>
    <w:rsid w:val="007B0138"/>
    <w:pPr>
      <w:ind w:left="1701" w:hanging="851"/>
    </w:pPr>
    <w:rPr>
      <w:szCs w:val="20"/>
    </w:rPr>
  </w:style>
  <w:style w:type="paragraph" w:customStyle="1" w:styleId="MiscellaneousHeading">
    <w:name w:val="Division Heading"/>
    <w:basedOn w:val="Normal"/>
    <w:next w:val="Normal"/>
    <w:rsid w:val="007B0138"/>
    <w:pPr>
      <w:tabs>
        <w:tab w:val="left" w:pos="851"/>
      </w:tabs>
      <w:jc w:val="center"/>
    </w:pPr>
    <w:rPr>
      <w:b/>
      <w:sz w:val="28"/>
      <w:szCs w:val="20"/>
    </w:rPr>
  </w:style>
  <w:style w:type="paragraph" w:customStyle="1" w:styleId="Paragraph">
    <w:name w:val="Editorial Note Line 1"/>
    <w:basedOn w:val="Normal"/>
    <w:next w:val="Normal"/>
    <w:rsid w:val="007B0138"/>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ScheduleHeading">
    <w:name w:val="Editorial Note text"/>
    <w:basedOn w:val="Paragraph"/>
    <w:rsid w:val="007B0138"/>
    <w:rPr>
      <w:b w:val="0"/>
    </w:rPr>
  </w:style>
  <w:style w:type="paragraph" w:customStyle="1" w:styleId="Standardtitle">
    <w:name w:val="Footnote"/>
    <w:basedOn w:val="Normal"/>
    <w:rsid w:val="007B0138"/>
    <w:pPr>
      <w:tabs>
        <w:tab w:val="left" w:pos="851"/>
      </w:tabs>
    </w:pPr>
    <w:rPr>
      <w:sz w:val="20"/>
      <w:szCs w:val="20"/>
    </w:rPr>
  </w:style>
  <w:style w:type="paragraph" w:customStyle="1" w:styleId="Subclause">
    <w:name w:val="Miscellaneous Heading"/>
    <w:basedOn w:val="Normal"/>
    <w:next w:val="Normal"/>
    <w:rsid w:val="007B0138"/>
    <w:rPr>
      <w:b/>
      <w:szCs w:val="20"/>
    </w:rPr>
  </w:style>
  <w:style w:type="paragraph" w:customStyle="1" w:styleId="Subparagraph">
    <w:name w:val="Paragraph"/>
    <w:basedOn w:val="Definition"/>
    <w:next w:val="Normal"/>
    <w:rsid w:val="007B0138"/>
    <w:pPr>
      <w:tabs>
        <w:tab w:val="clear" w:pos="851"/>
      </w:tabs>
      <w:ind w:left="1702" w:hanging="851"/>
    </w:pPr>
  </w:style>
  <w:style w:type="paragraph" w:customStyle="1" w:styleId="Table1">
    <w:name w:val="Schedule Heading"/>
    <w:basedOn w:val="Normal"/>
    <w:next w:val="Normal"/>
    <w:rsid w:val="007B0138"/>
    <w:pPr>
      <w:tabs>
        <w:tab w:val="left" w:pos="851"/>
      </w:tabs>
      <w:jc w:val="center"/>
    </w:pPr>
    <w:rPr>
      <w:b/>
      <w:caps/>
      <w:szCs w:val="20"/>
    </w:rPr>
  </w:style>
  <w:style w:type="paragraph" w:customStyle="1" w:styleId="Table2">
    <w:name w:val="Standard title"/>
    <w:basedOn w:val="Normal"/>
    <w:rsid w:val="007B0138"/>
    <w:pPr>
      <w:tabs>
        <w:tab w:val="left" w:pos="851"/>
      </w:tabs>
      <w:jc w:val="center"/>
    </w:pPr>
    <w:rPr>
      <w:b/>
      <w:i/>
      <w:iCs/>
      <w:caps/>
      <w:sz w:val="28"/>
      <w:szCs w:val="20"/>
    </w:rPr>
  </w:style>
  <w:style w:type="paragraph" w:customStyle="1" w:styleId="TableHeading">
    <w:name w:val="Subclause"/>
    <w:basedOn w:val="Definition"/>
    <w:rsid w:val="007B0138"/>
    <w:pPr>
      <w:ind w:hanging="11"/>
    </w:pPr>
  </w:style>
  <w:style w:type="paragraph" w:customStyle="1" w:styleId="TitleBorder">
    <w:name w:val="Subparagraph"/>
    <w:basedOn w:val="Subparagraph"/>
    <w:next w:val="Normal"/>
    <w:rsid w:val="007B0138"/>
    <w:pPr>
      <w:ind w:left="2553"/>
    </w:pPr>
  </w:style>
  <w:style w:type="paragraph" w:customStyle="1" w:styleId="TOC7">
    <w:name w:val="Table 1"/>
    <w:basedOn w:val="Normal"/>
    <w:rsid w:val="00F056FB"/>
    <w:pPr>
      <w:spacing w:after="120"/>
      <w:jc w:val="center"/>
    </w:pPr>
    <w:rPr>
      <w:b/>
      <w:bCs/>
      <w:sz w:val="18"/>
      <w:szCs w:val="20"/>
    </w:rPr>
  </w:style>
  <w:style w:type="paragraph" w:customStyle="1" w:styleId="TOC8">
    <w:name w:val="Table 2"/>
    <w:basedOn w:val="Normal"/>
    <w:rsid w:val="00F056FB"/>
    <w:pPr>
      <w:ind w:left="142" w:hanging="142"/>
    </w:pPr>
    <w:rPr>
      <w:bCs/>
      <w:sz w:val="18"/>
      <w:szCs w:val="20"/>
    </w:rPr>
  </w:style>
  <w:style w:type="paragraph" w:customStyle="1" w:styleId="TOC9">
    <w:name w:val="Table Heading"/>
    <w:basedOn w:val="Normal"/>
    <w:next w:val="Normal"/>
    <w:rsid w:val="00F056FB"/>
    <w:pPr>
      <w:tabs>
        <w:tab w:val="left" w:pos="851"/>
      </w:tabs>
      <w:jc w:val="center"/>
    </w:pPr>
    <w:rPr>
      <w:b/>
      <w:sz w:val="20"/>
      <w:szCs w:val="20"/>
    </w:rPr>
  </w:style>
  <w:style w:type="paragraph" w:customStyle="1" w:styleId="FootnoteText">
    <w:name w:val="TitleBorder"/>
    <w:basedOn w:val="Normal"/>
    <w:rsid w:val="007B0138"/>
    <w:pPr>
      <w:pBdr>
        <w:bottom w:val="double" w:sz="6" w:space="0" w:color="auto"/>
      </w:pBdr>
      <w:tabs>
        <w:tab w:val="left" w:pos="851"/>
      </w:tabs>
    </w:pPr>
    <w:rPr>
      <w:b/>
      <w:szCs w:val="20"/>
    </w:rPr>
  </w:style>
  <w:style w:type="paragraph" w:styleId="FootnoteTextChar">
    <w:name w:val="toc 7"/>
    <w:basedOn w:val="Normal"/>
    <w:next w:val="Normal"/>
    <w:autoRedefine/>
    <w:semiHidden/>
    <w:rsid w:val="007B0138"/>
    <w:pPr>
      <w:ind w:left="1440"/>
    </w:pPr>
    <w:rPr>
      <w:szCs w:val="21"/>
    </w:rPr>
  </w:style>
  <w:style w:type="paragraph" w:styleId="FootnoteReference">
    <w:name w:val="toc 8"/>
    <w:basedOn w:val="Normal"/>
    <w:next w:val="Normal"/>
    <w:autoRedefine/>
    <w:semiHidden/>
    <w:rsid w:val="007B0138"/>
    <w:pPr>
      <w:ind w:left="1680"/>
    </w:pPr>
    <w:rPr>
      <w:szCs w:val="21"/>
    </w:rPr>
  </w:style>
  <w:style w:type="paragraph" w:styleId="heading">
    <w:name w:val="toc 9"/>
    <w:basedOn w:val="Normal"/>
    <w:next w:val="Normal"/>
    <w:autoRedefine/>
    <w:semiHidden/>
    <w:rsid w:val="007B0138"/>
    <w:pPr>
      <w:ind w:left="1920"/>
    </w:pPr>
    <w:rPr>
      <w:szCs w:val="21"/>
    </w:rPr>
  </w:style>
  <w:style w:type="paragraph" w:styleId="FSDecisionHeading">
    <w:name w:val="footnote text"/>
    <w:aliases w:val="FSFootnote Text"/>
    <w:basedOn w:val="Normal"/>
    <w:link w:val="FSDecisiontext"/>
    <w:uiPriority w:val="99"/>
    <w:qFormat/>
    <w:rsid w:val="007B0138"/>
    <w:rPr>
      <w:sz w:val="20"/>
      <w:szCs w:val="20"/>
    </w:rPr>
  </w:style>
  <w:style w:type="character" w:customStyle="1" w:styleId="FSDecisiontext">
    <w:name w:val="Footnote Text Char"/>
    <w:aliases w:val="FSFootnote Text Char"/>
    <w:basedOn w:val="DefaultParagraphFont"/>
    <w:link w:val="FSDecisionHeading"/>
    <w:uiPriority w:val="99"/>
    <w:rsid w:val="0056782A"/>
    <w:rPr>
      <w:rFonts w:ascii="Arial" w:hAnsi="Arial"/>
      <w:lang w:eastAsia="en-US" w:bidi="en-US"/>
    </w:rPr>
  </w:style>
  <w:style w:type="character" w:styleId="BalloonText">
    <w:name w:val="footnote reference"/>
    <w:basedOn w:val="DefaultParagraphFont"/>
    <w:uiPriority w:val="99"/>
    <w:rsid w:val="007B0138"/>
    <w:rPr>
      <w:vertAlign w:val="superscript"/>
    </w:rPr>
  </w:style>
  <w:style w:type="paragraph" w:customStyle="1" w:styleId="TOCHeading">
    <w:name w:val="heading"/>
    <w:basedOn w:val="Normal"/>
    <w:rsid w:val="007B0138"/>
    <w:pPr>
      <w:tabs>
        <w:tab w:val="left" w:pos="840"/>
      </w:tabs>
      <w:ind w:left="851" w:hanging="851"/>
    </w:pPr>
    <w:rPr>
      <w:b/>
      <w:caps/>
      <w:szCs w:val="20"/>
    </w:rPr>
  </w:style>
  <w:style w:type="paragraph" w:customStyle="1" w:styleId="FSBullet">
    <w:name w:val="FS Decision Heading"/>
    <w:basedOn w:val="Normal"/>
    <w:next w:val="FSBulletChar"/>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BulletChar">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TableGrid">
    <w:name w:val="Balloon Text"/>
    <w:basedOn w:val="Normal"/>
    <w:semiHidden/>
    <w:rsid w:val="00BD2A39"/>
    <w:rPr>
      <w:rFonts w:ascii="Tahoma" w:hAnsi="Tahoma" w:cs="Tahoma"/>
      <w:sz w:val="16"/>
      <w:szCs w:val="16"/>
    </w:rPr>
  </w:style>
  <w:style w:type="paragraph" w:styleId="FSTableTitle">
    <w:name w:val="TOC Heading"/>
    <w:basedOn w:val="Heading1"/>
    <w:next w:val="Normal"/>
    <w:uiPriority w:val="39"/>
    <w:semiHidden/>
    <w:unhideWhenUsed/>
    <w:qFormat/>
    <w:rsid w:val="00B731D3"/>
    <w:pPr>
      <w:outlineLvl w:val="9"/>
    </w:pPr>
    <w:rPr>
      <w:rFonts w:cs="Times New Roman"/>
    </w:rPr>
  </w:style>
  <w:style w:type="paragraph" w:customStyle="1" w:styleId="FSTableHeading">
    <w:name w:val="FS Bullet"/>
    <w:basedOn w:val="Normal"/>
    <w:next w:val="Normal"/>
    <w:link w:val="FSTableText"/>
    <w:qFormat/>
    <w:rsid w:val="00E2003B"/>
    <w:pPr>
      <w:ind w:left="567" w:hanging="567"/>
    </w:pPr>
    <w:rPr>
      <w:rFonts w:cs="Arial"/>
    </w:rPr>
  </w:style>
  <w:style w:type="character" w:customStyle="1" w:styleId="FSTableText">
    <w:name w:val="FS Bullet Char"/>
    <w:basedOn w:val="DefaultParagraphFont"/>
    <w:link w:val="FSTableHeading"/>
    <w:rsid w:val="00E2003B"/>
    <w:rPr>
      <w:rFonts w:ascii="Arial" w:hAnsi="Arial" w:cs="Arial"/>
      <w:sz w:val="22"/>
      <w:szCs w:val="24"/>
      <w:lang w:eastAsia="en-US" w:bidi="en-US"/>
    </w:rPr>
  </w:style>
  <w:style w:type="table" w:styleId="FSFigureTitle">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normal">
    <w:name w:val="FS Table Title"/>
    <w:basedOn w:val="Normal"/>
    <w:next w:val="Normal"/>
    <w:qFormat/>
    <w:rsid w:val="005B6AF4"/>
    <w:rPr>
      <w:rFonts w:cs="Arial"/>
      <w:b/>
    </w:rPr>
  </w:style>
  <w:style w:type="paragraph" w:customStyle="1" w:styleId="NormalWeb">
    <w:name w:val="FS Table Heading"/>
    <w:basedOn w:val="Normal"/>
    <w:qFormat/>
    <w:rsid w:val="005B6AF4"/>
    <w:pPr>
      <w:jc w:val="center"/>
    </w:pPr>
    <w:rPr>
      <w:rFonts w:ascii="Arial Bold" w:hAnsi="Arial Bold" w:cs="Arial"/>
      <w:b/>
      <w:sz w:val="20"/>
      <w:szCs w:val="20"/>
    </w:rPr>
  </w:style>
  <w:style w:type="paragraph" w:customStyle="1" w:styleId="Heading11">
    <w:name w:val="FS Table Text"/>
    <w:basedOn w:val="Normal"/>
    <w:qFormat/>
    <w:rsid w:val="005B6AF4"/>
    <w:rPr>
      <w:rFonts w:cs="Arial"/>
      <w:sz w:val="20"/>
      <w:szCs w:val="20"/>
    </w:rPr>
  </w:style>
  <w:style w:type="paragraph" w:customStyle="1" w:styleId="Decisiontext">
    <w:name w:val="FS Figure Title"/>
    <w:basedOn w:val="Normal"/>
    <w:next w:val="Normal"/>
    <w:qFormat/>
    <w:rsid w:val="005B6AF4"/>
    <w:rPr>
      <w:rFonts w:cs="Arial"/>
      <w:i/>
    </w:rPr>
  </w:style>
  <w:style w:type="paragraph" w:styleId="Dashpoint">
    <w:name w:val="List Paragraph"/>
    <w:basedOn w:val="Normal"/>
    <w:uiPriority w:val="34"/>
    <w:qFormat/>
    <w:rsid w:val="003719BF"/>
    <w:pPr>
      <w:ind w:left="720"/>
      <w:contextualSpacing/>
    </w:pPr>
  </w:style>
  <w:style w:type="paragraph" w:customStyle="1" w:styleId="Header">
    <w:name w:val="Heading 1 normal"/>
    <w:basedOn w:val="Normal"/>
    <w:rsid w:val="00620076"/>
    <w:pPr>
      <w:widowControl/>
      <w:spacing w:line="320" w:lineRule="exact"/>
      <w:ind w:left="794"/>
      <w:jc w:val="both"/>
    </w:pPr>
    <w:rPr>
      <w:rFonts w:eastAsia="PMingLiU"/>
      <w:szCs w:val="20"/>
      <w:lang w:val="en-AU" w:bidi="ar-SA"/>
    </w:rPr>
  </w:style>
  <w:style w:type="paragraph" w:styleId="HeaderChar">
    <w:name w:val="Normal (Web)"/>
    <w:basedOn w:val="Normal"/>
    <w:uiPriority w:val="99"/>
    <w:rsid w:val="00951139"/>
    <w:pPr>
      <w:widowControl/>
      <w:spacing w:before="100" w:beforeAutospacing="1" w:after="100" w:afterAutospacing="1"/>
    </w:pPr>
    <w:rPr>
      <w:rFonts w:ascii="Arial Unicode MS" w:eastAsia="Arial Unicode MS" w:hAnsi="Arial Unicode MS" w:cs="Arial Unicode MS"/>
      <w:sz w:val="24"/>
      <w:lang w:val="en-AU" w:bidi="ar-SA"/>
    </w:rPr>
  </w:style>
  <w:style w:type="paragraph" w:customStyle="1" w:styleId="CommentReference">
    <w:name w:val="Heading 11"/>
    <w:basedOn w:val="Normal"/>
    <w:rsid w:val="007D2CB7"/>
    <w:pPr>
      <w:widowControl/>
      <w:spacing w:before="240"/>
    </w:pPr>
    <w:rPr>
      <w:rFonts w:ascii="Palatino" w:hAnsi="Palatino"/>
      <w:b/>
      <w:sz w:val="24"/>
      <w:szCs w:val="20"/>
      <w:lang w:val="en-US" w:bidi="ar-SA"/>
    </w:rPr>
  </w:style>
  <w:style w:type="paragraph" w:customStyle="1" w:styleId="CommentText">
    <w:name w:val="Decision text"/>
    <w:basedOn w:val="Normal"/>
    <w:rsid w:val="00956760"/>
    <w:pPr>
      <w:widowControl/>
      <w:pBdr>
        <w:top w:val="single" w:sz="4" w:space="1" w:color="auto"/>
        <w:left w:val="single" w:sz="4" w:space="4" w:color="auto"/>
        <w:bottom w:val="single" w:sz="4" w:space="1" w:color="auto"/>
        <w:right w:val="single" w:sz="4" w:space="4" w:color="auto"/>
      </w:pBdr>
    </w:pPr>
    <w:rPr>
      <w:lang w:bidi="ar-SA"/>
    </w:rPr>
  </w:style>
  <w:style w:type="paragraph" w:customStyle="1" w:styleId="CommentTextChar">
    <w:name w:val="Dash point"/>
    <w:basedOn w:val="Normal"/>
    <w:rsid w:val="00817AB4"/>
    <w:pPr>
      <w:tabs>
        <w:tab w:val="num" w:pos="1134"/>
      </w:tabs>
      <w:ind w:left="1134" w:hanging="567"/>
    </w:pPr>
    <w:rPr>
      <w:lang w:bidi="ar-SA"/>
    </w:rPr>
  </w:style>
  <w:style w:type="paragraph" w:styleId="CommentSubject">
    <w:name w:val="header"/>
    <w:basedOn w:val="Normal"/>
    <w:link w:val="CommentSubjectChar"/>
    <w:rsid w:val="009832D5"/>
    <w:pPr>
      <w:tabs>
        <w:tab w:val="center" w:pos="4513"/>
        <w:tab w:val="right" w:pos="9026"/>
      </w:tabs>
    </w:pPr>
  </w:style>
  <w:style w:type="character" w:customStyle="1" w:styleId="CommentSubjectChar">
    <w:name w:val="Header Char"/>
    <w:basedOn w:val="DefaultParagraphFont"/>
    <w:link w:val="CommentSubject"/>
    <w:rsid w:val="009832D5"/>
    <w:rPr>
      <w:rFonts w:ascii="Arial" w:hAnsi="Arial"/>
      <w:sz w:val="22"/>
      <w:szCs w:val="24"/>
      <w:lang w:eastAsia="en-US" w:bidi="en-US"/>
    </w:rPr>
  </w:style>
  <w:style w:type="character" w:customStyle="1" w:styleId="Bullet">
    <w:name w:val="normal_char"/>
    <w:basedOn w:val="DefaultParagraphFont"/>
    <w:rsid w:val="001349A7"/>
    <w:rPr>
      <w:color w:val="auto"/>
    </w:rPr>
  </w:style>
  <w:style w:type="character" w:styleId="BulletChar">
    <w:name w:val="annotation reference"/>
    <w:basedOn w:val="DefaultParagraphFont"/>
    <w:rsid w:val="00222912"/>
    <w:rPr>
      <w:sz w:val="16"/>
      <w:szCs w:val="16"/>
    </w:rPr>
  </w:style>
  <w:style w:type="paragraph" w:styleId="LightList1">
    <w:name w:val="annotation text"/>
    <w:basedOn w:val="Normal"/>
    <w:link w:val="Revision"/>
    <w:rsid w:val="00222912"/>
    <w:rPr>
      <w:sz w:val="20"/>
      <w:szCs w:val="20"/>
    </w:rPr>
  </w:style>
  <w:style w:type="character" w:customStyle="1" w:styleId="Revision">
    <w:name w:val="Comment Text Char"/>
    <w:basedOn w:val="DefaultParagraphFont"/>
    <w:link w:val="LightList1"/>
    <w:rsid w:val="00222912"/>
    <w:rPr>
      <w:rFonts w:ascii="Arial" w:hAnsi="Arial"/>
      <w:lang w:eastAsia="en-US" w:bidi="en-US"/>
    </w:rPr>
  </w:style>
  <w:style w:type="paragraph" w:styleId="CommentSubject0">
    <w:name w:val="annotation subject"/>
    <w:basedOn w:val="LightList1"/>
    <w:next w:val="LightList1"/>
    <w:link w:val="CommentSubjectChar0"/>
    <w:rsid w:val="00222912"/>
    <w:rPr>
      <w:b/>
      <w:bCs/>
    </w:rPr>
  </w:style>
  <w:style w:type="character" w:customStyle="1" w:styleId="CommentSubjectChar0">
    <w:name w:val="Comment Subject Char"/>
    <w:basedOn w:val="Revision"/>
    <w:link w:val="CommentSubject0"/>
    <w:rsid w:val="00222912"/>
    <w:rPr>
      <w:rFonts w:ascii="Arial" w:hAnsi="Arial"/>
      <w:b/>
      <w:bCs/>
      <w:lang w:eastAsia="en-US" w:bidi="en-US"/>
    </w:rPr>
  </w:style>
  <w:style w:type="paragraph" w:customStyle="1" w:styleId="Bullet0">
    <w:name w:val="Bullet"/>
    <w:basedOn w:val="Normal"/>
    <w:next w:val="Normal"/>
    <w:link w:val="BulletChar0"/>
    <w:rsid w:val="00623D03"/>
    <w:pPr>
      <w:widowControl/>
      <w:tabs>
        <w:tab w:val="num" w:pos="720"/>
      </w:tabs>
      <w:ind w:left="567" w:hanging="567"/>
    </w:pPr>
    <w:rPr>
      <w:lang w:bidi="ar-SA"/>
    </w:rPr>
  </w:style>
  <w:style w:type="character" w:customStyle="1" w:styleId="BulletChar0">
    <w:name w:val="Bullet Char"/>
    <w:basedOn w:val="DefaultParagraphFont"/>
    <w:link w:val="Bullet0"/>
    <w:rsid w:val="00623D03"/>
    <w:rPr>
      <w:rFonts w:ascii="Arial" w:hAnsi="Arial"/>
      <w:sz w:val="22"/>
      <w:szCs w:val="24"/>
      <w:lang w:eastAsia="en-US"/>
    </w:rPr>
  </w:style>
  <w:style w:type="paragraph" w:customStyle="1" w:styleId="Style1">
    <w:name w:val="Style1"/>
    <w:basedOn w:val="Heading6"/>
    <w:qFormat/>
    <w:rsid w:val="00797D97"/>
  </w:style>
  <w:style w:type="paragraph" w:styleId="BodyText">
    <w:name w:val="Body Text"/>
    <w:basedOn w:val="Normal"/>
    <w:link w:val="BodyTextChar"/>
    <w:rsid w:val="00343581"/>
    <w:pPr>
      <w:widowControl/>
      <w:tabs>
        <w:tab w:val="left" w:pos="1440"/>
      </w:tabs>
      <w:jc w:val="both"/>
    </w:pPr>
    <w:rPr>
      <w:rFonts w:ascii="Palatino" w:hAnsi="Palatino"/>
      <w:i/>
      <w:iCs/>
      <w:sz w:val="24"/>
      <w:szCs w:val="20"/>
      <w:lang w:bidi="ar-SA"/>
    </w:rPr>
  </w:style>
  <w:style w:type="character" w:customStyle="1" w:styleId="BodyTextChar">
    <w:name w:val="Body Text Char"/>
    <w:basedOn w:val="DefaultParagraphFont"/>
    <w:link w:val="BodyText"/>
    <w:rsid w:val="00343581"/>
    <w:rPr>
      <w:rFonts w:ascii="Palatino" w:hAnsi="Palatino"/>
      <w:i/>
      <w:iCs/>
      <w:sz w:val="24"/>
      <w:lang w:eastAsia="en-US"/>
    </w:rPr>
  </w:style>
  <w:style w:type="paragraph" w:styleId="BodyText3">
    <w:name w:val="Body Text 3"/>
    <w:basedOn w:val="Normal"/>
    <w:link w:val="BodyText3Char"/>
    <w:rsid w:val="00D37D37"/>
    <w:pPr>
      <w:spacing w:after="120"/>
    </w:pPr>
    <w:rPr>
      <w:sz w:val="16"/>
      <w:szCs w:val="16"/>
    </w:rPr>
  </w:style>
  <w:style w:type="character" w:customStyle="1" w:styleId="BodyText3Char">
    <w:name w:val="Body Text 3 Char"/>
    <w:basedOn w:val="DefaultParagraphFont"/>
    <w:link w:val="BodyText3"/>
    <w:rsid w:val="00D37D37"/>
    <w:rPr>
      <w:rFonts w:ascii="Arial" w:hAnsi="Arial"/>
      <w:sz w:val="16"/>
      <w:szCs w:val="16"/>
      <w:lang w:eastAsia="en-US" w:bidi="en-US"/>
    </w:rPr>
  </w:style>
  <w:style w:type="table" w:customStyle="1" w:styleId="LightList10">
    <w:name w:val="Light List1"/>
    <w:basedOn w:val="TableNormal"/>
    <w:uiPriority w:val="61"/>
    <w:rsid w:val="0059141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4D50F9"/>
    <w:pPr>
      <w:widowControl/>
    </w:pPr>
    <w:rPr>
      <w:rFonts w:ascii="Consolas" w:eastAsiaTheme="minorHAnsi" w:hAnsi="Consolas" w:cs="Consolas"/>
      <w:sz w:val="21"/>
      <w:szCs w:val="21"/>
      <w:lang w:val="en-AU" w:eastAsia="en-AU" w:bidi="ar-SA"/>
    </w:rPr>
  </w:style>
  <w:style w:type="character" w:customStyle="1" w:styleId="PlainTextChar">
    <w:name w:val="Plain Text Char"/>
    <w:basedOn w:val="DefaultParagraphFont"/>
    <w:link w:val="PlainText"/>
    <w:uiPriority w:val="99"/>
    <w:rsid w:val="004D50F9"/>
    <w:rPr>
      <w:rFonts w:ascii="Consolas" w:eastAsiaTheme="minorHAnsi" w:hAnsi="Consolas" w:cs="Consolas"/>
      <w:sz w:val="21"/>
      <w:szCs w:val="21"/>
      <w:lang w:val="en-AU" w:eastAsia="en-AU"/>
    </w:rPr>
  </w:style>
  <w:style w:type="paragraph" w:styleId="Revision0">
    <w:name w:val="Revision"/>
    <w:hidden/>
    <w:uiPriority w:val="99"/>
    <w:semiHidden/>
    <w:rsid w:val="00821A97"/>
    <w:rPr>
      <w:rFonts w:ascii="Arial" w:hAnsi="Arial"/>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69429061">
      <w:bodyDiv w:val="1"/>
      <w:marLeft w:val="0"/>
      <w:marRight w:val="0"/>
      <w:marTop w:val="0"/>
      <w:marBottom w:val="0"/>
      <w:divBdr>
        <w:top w:val="none" w:sz="0" w:space="0" w:color="auto"/>
        <w:left w:val="none" w:sz="0" w:space="0" w:color="auto"/>
        <w:bottom w:val="none" w:sz="0" w:space="0" w:color="auto"/>
        <w:right w:val="none" w:sz="0" w:space="0" w:color="auto"/>
      </w:divBdr>
    </w:div>
    <w:div w:id="98837190">
      <w:bodyDiv w:val="1"/>
      <w:marLeft w:val="0"/>
      <w:marRight w:val="0"/>
      <w:marTop w:val="0"/>
      <w:marBottom w:val="0"/>
      <w:divBdr>
        <w:top w:val="none" w:sz="0" w:space="0" w:color="auto"/>
        <w:left w:val="none" w:sz="0" w:space="0" w:color="auto"/>
        <w:bottom w:val="none" w:sz="0" w:space="0" w:color="auto"/>
        <w:right w:val="none" w:sz="0" w:space="0" w:color="auto"/>
      </w:divBdr>
    </w:div>
    <w:div w:id="143930947">
      <w:bodyDiv w:val="1"/>
      <w:marLeft w:val="0"/>
      <w:marRight w:val="0"/>
      <w:marTop w:val="0"/>
      <w:marBottom w:val="0"/>
      <w:divBdr>
        <w:top w:val="none" w:sz="0" w:space="0" w:color="auto"/>
        <w:left w:val="none" w:sz="0" w:space="0" w:color="auto"/>
        <w:bottom w:val="none" w:sz="0" w:space="0" w:color="auto"/>
        <w:right w:val="none" w:sz="0" w:space="0" w:color="auto"/>
      </w:divBdr>
    </w:div>
    <w:div w:id="211964725">
      <w:bodyDiv w:val="1"/>
      <w:marLeft w:val="0"/>
      <w:marRight w:val="0"/>
      <w:marTop w:val="0"/>
      <w:marBottom w:val="0"/>
      <w:divBdr>
        <w:top w:val="none" w:sz="0" w:space="0" w:color="auto"/>
        <w:left w:val="none" w:sz="0" w:space="0" w:color="auto"/>
        <w:bottom w:val="none" w:sz="0" w:space="0" w:color="auto"/>
        <w:right w:val="none" w:sz="0" w:space="0" w:color="auto"/>
      </w:divBdr>
    </w:div>
    <w:div w:id="233859524">
      <w:bodyDiv w:val="1"/>
      <w:marLeft w:val="0"/>
      <w:marRight w:val="0"/>
      <w:marTop w:val="0"/>
      <w:marBottom w:val="0"/>
      <w:divBdr>
        <w:top w:val="none" w:sz="0" w:space="0" w:color="auto"/>
        <w:left w:val="none" w:sz="0" w:space="0" w:color="auto"/>
        <w:bottom w:val="none" w:sz="0" w:space="0" w:color="auto"/>
        <w:right w:val="none" w:sz="0" w:space="0" w:color="auto"/>
      </w:divBdr>
    </w:div>
    <w:div w:id="266887485">
      <w:bodyDiv w:val="1"/>
      <w:marLeft w:val="0"/>
      <w:marRight w:val="0"/>
      <w:marTop w:val="0"/>
      <w:marBottom w:val="0"/>
      <w:divBdr>
        <w:top w:val="none" w:sz="0" w:space="0" w:color="auto"/>
        <w:left w:val="none" w:sz="0" w:space="0" w:color="auto"/>
        <w:bottom w:val="none" w:sz="0" w:space="0" w:color="auto"/>
        <w:right w:val="none" w:sz="0" w:space="0" w:color="auto"/>
      </w:divBdr>
    </w:div>
    <w:div w:id="348874183">
      <w:bodyDiv w:val="1"/>
      <w:marLeft w:val="0"/>
      <w:marRight w:val="0"/>
      <w:marTop w:val="0"/>
      <w:marBottom w:val="0"/>
      <w:divBdr>
        <w:top w:val="none" w:sz="0" w:space="0" w:color="auto"/>
        <w:left w:val="none" w:sz="0" w:space="0" w:color="auto"/>
        <w:bottom w:val="none" w:sz="0" w:space="0" w:color="auto"/>
        <w:right w:val="none" w:sz="0" w:space="0" w:color="auto"/>
      </w:divBdr>
    </w:div>
    <w:div w:id="382025072">
      <w:bodyDiv w:val="1"/>
      <w:marLeft w:val="0"/>
      <w:marRight w:val="0"/>
      <w:marTop w:val="0"/>
      <w:marBottom w:val="0"/>
      <w:divBdr>
        <w:top w:val="none" w:sz="0" w:space="0" w:color="auto"/>
        <w:left w:val="none" w:sz="0" w:space="0" w:color="auto"/>
        <w:bottom w:val="none" w:sz="0" w:space="0" w:color="auto"/>
        <w:right w:val="none" w:sz="0" w:space="0" w:color="auto"/>
      </w:divBdr>
      <w:divsChild>
        <w:div w:id="1633435780">
          <w:marLeft w:val="0"/>
          <w:marRight w:val="0"/>
          <w:marTop w:val="0"/>
          <w:marBottom w:val="0"/>
          <w:divBdr>
            <w:top w:val="none" w:sz="0" w:space="0" w:color="auto"/>
            <w:left w:val="none" w:sz="0" w:space="0" w:color="auto"/>
            <w:bottom w:val="none" w:sz="0" w:space="0" w:color="auto"/>
            <w:right w:val="none" w:sz="0" w:space="0" w:color="auto"/>
          </w:divBdr>
          <w:divsChild>
            <w:div w:id="1300116232">
              <w:marLeft w:val="0"/>
              <w:marRight w:val="0"/>
              <w:marTop w:val="0"/>
              <w:marBottom w:val="0"/>
              <w:divBdr>
                <w:top w:val="none" w:sz="0" w:space="0" w:color="auto"/>
                <w:left w:val="none" w:sz="0" w:space="0" w:color="auto"/>
                <w:bottom w:val="none" w:sz="0" w:space="0" w:color="auto"/>
                <w:right w:val="none" w:sz="0" w:space="0" w:color="auto"/>
              </w:divBdr>
              <w:divsChild>
                <w:div w:id="7806">
                  <w:marLeft w:val="0"/>
                  <w:marRight w:val="0"/>
                  <w:marTop w:val="0"/>
                  <w:marBottom w:val="0"/>
                  <w:divBdr>
                    <w:top w:val="none" w:sz="0" w:space="0" w:color="auto"/>
                    <w:left w:val="none" w:sz="0" w:space="0" w:color="auto"/>
                    <w:bottom w:val="none" w:sz="0" w:space="0" w:color="auto"/>
                    <w:right w:val="none" w:sz="0" w:space="0" w:color="auto"/>
                  </w:divBdr>
                  <w:divsChild>
                    <w:div w:id="20944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1516">
      <w:bodyDiv w:val="1"/>
      <w:marLeft w:val="0"/>
      <w:marRight w:val="0"/>
      <w:marTop w:val="0"/>
      <w:marBottom w:val="0"/>
      <w:divBdr>
        <w:top w:val="none" w:sz="0" w:space="0" w:color="auto"/>
        <w:left w:val="none" w:sz="0" w:space="0" w:color="auto"/>
        <w:bottom w:val="none" w:sz="0" w:space="0" w:color="auto"/>
        <w:right w:val="none" w:sz="0" w:space="0" w:color="auto"/>
      </w:divBdr>
    </w:div>
    <w:div w:id="440995989">
      <w:bodyDiv w:val="1"/>
      <w:marLeft w:val="0"/>
      <w:marRight w:val="0"/>
      <w:marTop w:val="0"/>
      <w:marBottom w:val="0"/>
      <w:divBdr>
        <w:top w:val="none" w:sz="0" w:space="0" w:color="auto"/>
        <w:left w:val="none" w:sz="0" w:space="0" w:color="auto"/>
        <w:bottom w:val="none" w:sz="0" w:space="0" w:color="auto"/>
        <w:right w:val="none" w:sz="0" w:space="0" w:color="auto"/>
      </w:divBdr>
    </w:div>
    <w:div w:id="470026244">
      <w:bodyDiv w:val="1"/>
      <w:marLeft w:val="0"/>
      <w:marRight w:val="0"/>
      <w:marTop w:val="0"/>
      <w:marBottom w:val="0"/>
      <w:divBdr>
        <w:top w:val="none" w:sz="0" w:space="0" w:color="auto"/>
        <w:left w:val="none" w:sz="0" w:space="0" w:color="auto"/>
        <w:bottom w:val="none" w:sz="0" w:space="0" w:color="auto"/>
        <w:right w:val="none" w:sz="0" w:space="0" w:color="auto"/>
      </w:divBdr>
    </w:div>
    <w:div w:id="496964398">
      <w:bodyDiv w:val="1"/>
      <w:marLeft w:val="0"/>
      <w:marRight w:val="0"/>
      <w:marTop w:val="0"/>
      <w:marBottom w:val="0"/>
      <w:divBdr>
        <w:top w:val="none" w:sz="0" w:space="0" w:color="auto"/>
        <w:left w:val="none" w:sz="0" w:space="0" w:color="auto"/>
        <w:bottom w:val="none" w:sz="0" w:space="0" w:color="auto"/>
        <w:right w:val="none" w:sz="0" w:space="0" w:color="auto"/>
      </w:divBdr>
    </w:div>
    <w:div w:id="519465910">
      <w:bodyDiv w:val="1"/>
      <w:marLeft w:val="0"/>
      <w:marRight w:val="0"/>
      <w:marTop w:val="0"/>
      <w:marBottom w:val="0"/>
      <w:divBdr>
        <w:top w:val="none" w:sz="0" w:space="0" w:color="auto"/>
        <w:left w:val="none" w:sz="0" w:space="0" w:color="auto"/>
        <w:bottom w:val="none" w:sz="0" w:space="0" w:color="auto"/>
        <w:right w:val="none" w:sz="0" w:space="0" w:color="auto"/>
      </w:divBdr>
    </w:div>
    <w:div w:id="589506497">
      <w:bodyDiv w:val="1"/>
      <w:marLeft w:val="0"/>
      <w:marRight w:val="0"/>
      <w:marTop w:val="0"/>
      <w:marBottom w:val="0"/>
      <w:divBdr>
        <w:top w:val="none" w:sz="0" w:space="0" w:color="auto"/>
        <w:left w:val="none" w:sz="0" w:space="0" w:color="auto"/>
        <w:bottom w:val="none" w:sz="0" w:space="0" w:color="auto"/>
        <w:right w:val="none" w:sz="0" w:space="0" w:color="auto"/>
      </w:divBdr>
    </w:div>
    <w:div w:id="781846290">
      <w:bodyDiv w:val="1"/>
      <w:marLeft w:val="0"/>
      <w:marRight w:val="0"/>
      <w:marTop w:val="0"/>
      <w:marBottom w:val="0"/>
      <w:divBdr>
        <w:top w:val="none" w:sz="0" w:space="0" w:color="auto"/>
        <w:left w:val="none" w:sz="0" w:space="0" w:color="auto"/>
        <w:bottom w:val="none" w:sz="0" w:space="0" w:color="auto"/>
        <w:right w:val="none" w:sz="0" w:space="0" w:color="auto"/>
      </w:divBdr>
    </w:div>
    <w:div w:id="784429354">
      <w:bodyDiv w:val="1"/>
      <w:marLeft w:val="0"/>
      <w:marRight w:val="0"/>
      <w:marTop w:val="0"/>
      <w:marBottom w:val="0"/>
      <w:divBdr>
        <w:top w:val="none" w:sz="0" w:space="0" w:color="auto"/>
        <w:left w:val="none" w:sz="0" w:space="0" w:color="auto"/>
        <w:bottom w:val="none" w:sz="0" w:space="0" w:color="auto"/>
        <w:right w:val="none" w:sz="0" w:space="0" w:color="auto"/>
      </w:divBdr>
    </w:div>
    <w:div w:id="787285781">
      <w:bodyDiv w:val="1"/>
      <w:marLeft w:val="0"/>
      <w:marRight w:val="0"/>
      <w:marTop w:val="0"/>
      <w:marBottom w:val="0"/>
      <w:divBdr>
        <w:top w:val="none" w:sz="0" w:space="0" w:color="auto"/>
        <w:left w:val="none" w:sz="0" w:space="0" w:color="auto"/>
        <w:bottom w:val="none" w:sz="0" w:space="0" w:color="auto"/>
        <w:right w:val="none" w:sz="0" w:space="0" w:color="auto"/>
      </w:divBdr>
    </w:div>
    <w:div w:id="816261154">
      <w:bodyDiv w:val="1"/>
      <w:marLeft w:val="0"/>
      <w:marRight w:val="0"/>
      <w:marTop w:val="0"/>
      <w:marBottom w:val="0"/>
      <w:divBdr>
        <w:top w:val="none" w:sz="0" w:space="0" w:color="auto"/>
        <w:left w:val="none" w:sz="0" w:space="0" w:color="auto"/>
        <w:bottom w:val="none" w:sz="0" w:space="0" w:color="auto"/>
        <w:right w:val="none" w:sz="0" w:space="0" w:color="auto"/>
      </w:divBdr>
    </w:div>
    <w:div w:id="832575163">
      <w:bodyDiv w:val="1"/>
      <w:marLeft w:val="0"/>
      <w:marRight w:val="0"/>
      <w:marTop w:val="0"/>
      <w:marBottom w:val="0"/>
      <w:divBdr>
        <w:top w:val="none" w:sz="0" w:space="0" w:color="auto"/>
        <w:left w:val="none" w:sz="0" w:space="0" w:color="auto"/>
        <w:bottom w:val="none" w:sz="0" w:space="0" w:color="auto"/>
        <w:right w:val="none" w:sz="0" w:space="0" w:color="auto"/>
      </w:divBdr>
    </w:div>
    <w:div w:id="868370214">
      <w:bodyDiv w:val="1"/>
      <w:marLeft w:val="0"/>
      <w:marRight w:val="0"/>
      <w:marTop w:val="0"/>
      <w:marBottom w:val="0"/>
      <w:divBdr>
        <w:top w:val="none" w:sz="0" w:space="0" w:color="auto"/>
        <w:left w:val="none" w:sz="0" w:space="0" w:color="auto"/>
        <w:bottom w:val="none" w:sz="0" w:space="0" w:color="auto"/>
        <w:right w:val="none" w:sz="0" w:space="0" w:color="auto"/>
      </w:divBdr>
    </w:div>
    <w:div w:id="904953431">
      <w:bodyDiv w:val="1"/>
      <w:marLeft w:val="0"/>
      <w:marRight w:val="0"/>
      <w:marTop w:val="0"/>
      <w:marBottom w:val="0"/>
      <w:divBdr>
        <w:top w:val="none" w:sz="0" w:space="0" w:color="auto"/>
        <w:left w:val="none" w:sz="0" w:space="0" w:color="auto"/>
        <w:bottom w:val="none" w:sz="0" w:space="0" w:color="auto"/>
        <w:right w:val="none" w:sz="0" w:space="0" w:color="auto"/>
      </w:divBdr>
    </w:div>
    <w:div w:id="932400326">
      <w:bodyDiv w:val="1"/>
      <w:marLeft w:val="0"/>
      <w:marRight w:val="0"/>
      <w:marTop w:val="0"/>
      <w:marBottom w:val="0"/>
      <w:divBdr>
        <w:top w:val="none" w:sz="0" w:space="0" w:color="auto"/>
        <w:left w:val="none" w:sz="0" w:space="0" w:color="auto"/>
        <w:bottom w:val="none" w:sz="0" w:space="0" w:color="auto"/>
        <w:right w:val="none" w:sz="0" w:space="0" w:color="auto"/>
      </w:divBdr>
    </w:div>
    <w:div w:id="970133606">
      <w:bodyDiv w:val="1"/>
      <w:marLeft w:val="0"/>
      <w:marRight w:val="0"/>
      <w:marTop w:val="0"/>
      <w:marBottom w:val="0"/>
      <w:divBdr>
        <w:top w:val="none" w:sz="0" w:space="0" w:color="auto"/>
        <w:left w:val="none" w:sz="0" w:space="0" w:color="auto"/>
        <w:bottom w:val="none" w:sz="0" w:space="0" w:color="auto"/>
        <w:right w:val="none" w:sz="0" w:space="0" w:color="auto"/>
      </w:divBdr>
      <w:divsChild>
        <w:div w:id="847796959">
          <w:marLeft w:val="0"/>
          <w:marRight w:val="0"/>
          <w:marTop w:val="0"/>
          <w:marBottom w:val="0"/>
          <w:divBdr>
            <w:top w:val="none" w:sz="0" w:space="0" w:color="auto"/>
            <w:left w:val="none" w:sz="0" w:space="0" w:color="auto"/>
            <w:bottom w:val="none" w:sz="0" w:space="0" w:color="auto"/>
            <w:right w:val="none" w:sz="0" w:space="0" w:color="auto"/>
          </w:divBdr>
          <w:divsChild>
            <w:div w:id="60912472">
              <w:marLeft w:val="0"/>
              <w:marRight w:val="0"/>
              <w:marTop w:val="0"/>
              <w:marBottom w:val="0"/>
              <w:divBdr>
                <w:top w:val="none" w:sz="0" w:space="0" w:color="auto"/>
                <w:left w:val="none" w:sz="0" w:space="0" w:color="auto"/>
                <w:bottom w:val="none" w:sz="0" w:space="0" w:color="auto"/>
                <w:right w:val="none" w:sz="0" w:space="0" w:color="auto"/>
              </w:divBdr>
              <w:divsChild>
                <w:div w:id="1989358712">
                  <w:marLeft w:val="0"/>
                  <w:marRight w:val="0"/>
                  <w:marTop w:val="0"/>
                  <w:marBottom w:val="0"/>
                  <w:divBdr>
                    <w:top w:val="none" w:sz="0" w:space="0" w:color="auto"/>
                    <w:left w:val="none" w:sz="0" w:space="0" w:color="auto"/>
                    <w:bottom w:val="none" w:sz="0" w:space="0" w:color="auto"/>
                    <w:right w:val="none" w:sz="0" w:space="0" w:color="auto"/>
                  </w:divBdr>
                  <w:divsChild>
                    <w:div w:id="306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65268">
      <w:bodyDiv w:val="1"/>
      <w:marLeft w:val="0"/>
      <w:marRight w:val="0"/>
      <w:marTop w:val="0"/>
      <w:marBottom w:val="0"/>
      <w:divBdr>
        <w:top w:val="none" w:sz="0" w:space="0" w:color="auto"/>
        <w:left w:val="none" w:sz="0" w:space="0" w:color="auto"/>
        <w:bottom w:val="none" w:sz="0" w:space="0" w:color="auto"/>
        <w:right w:val="none" w:sz="0" w:space="0" w:color="auto"/>
      </w:divBdr>
    </w:div>
    <w:div w:id="1014188932">
      <w:bodyDiv w:val="1"/>
      <w:marLeft w:val="0"/>
      <w:marRight w:val="0"/>
      <w:marTop w:val="0"/>
      <w:marBottom w:val="0"/>
      <w:divBdr>
        <w:top w:val="none" w:sz="0" w:space="0" w:color="auto"/>
        <w:left w:val="none" w:sz="0" w:space="0" w:color="auto"/>
        <w:bottom w:val="none" w:sz="0" w:space="0" w:color="auto"/>
        <w:right w:val="none" w:sz="0" w:space="0" w:color="auto"/>
      </w:divBdr>
      <w:divsChild>
        <w:div w:id="2074770582">
          <w:marLeft w:val="0"/>
          <w:marRight w:val="0"/>
          <w:marTop w:val="0"/>
          <w:marBottom w:val="0"/>
          <w:divBdr>
            <w:top w:val="none" w:sz="0" w:space="0" w:color="auto"/>
            <w:left w:val="none" w:sz="0" w:space="0" w:color="auto"/>
            <w:bottom w:val="none" w:sz="0" w:space="0" w:color="auto"/>
            <w:right w:val="none" w:sz="0" w:space="0" w:color="auto"/>
          </w:divBdr>
          <w:divsChild>
            <w:div w:id="887453768">
              <w:marLeft w:val="0"/>
              <w:marRight w:val="0"/>
              <w:marTop w:val="0"/>
              <w:marBottom w:val="0"/>
              <w:divBdr>
                <w:top w:val="none" w:sz="0" w:space="0" w:color="auto"/>
                <w:left w:val="none" w:sz="0" w:space="0" w:color="auto"/>
                <w:bottom w:val="none" w:sz="0" w:space="0" w:color="auto"/>
                <w:right w:val="none" w:sz="0" w:space="0" w:color="auto"/>
              </w:divBdr>
              <w:divsChild>
                <w:div w:id="1032801447">
                  <w:marLeft w:val="0"/>
                  <w:marRight w:val="0"/>
                  <w:marTop w:val="0"/>
                  <w:marBottom w:val="0"/>
                  <w:divBdr>
                    <w:top w:val="none" w:sz="0" w:space="0" w:color="auto"/>
                    <w:left w:val="none" w:sz="0" w:space="0" w:color="auto"/>
                    <w:bottom w:val="none" w:sz="0" w:space="0" w:color="auto"/>
                    <w:right w:val="none" w:sz="0" w:space="0" w:color="auto"/>
                  </w:divBdr>
                  <w:divsChild>
                    <w:div w:id="1060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3513">
      <w:bodyDiv w:val="1"/>
      <w:marLeft w:val="0"/>
      <w:marRight w:val="0"/>
      <w:marTop w:val="0"/>
      <w:marBottom w:val="0"/>
      <w:divBdr>
        <w:top w:val="none" w:sz="0" w:space="0" w:color="auto"/>
        <w:left w:val="none" w:sz="0" w:space="0" w:color="auto"/>
        <w:bottom w:val="none" w:sz="0" w:space="0" w:color="auto"/>
        <w:right w:val="none" w:sz="0" w:space="0" w:color="auto"/>
      </w:divBdr>
    </w:div>
    <w:div w:id="1106534334">
      <w:bodyDiv w:val="1"/>
      <w:marLeft w:val="0"/>
      <w:marRight w:val="0"/>
      <w:marTop w:val="0"/>
      <w:marBottom w:val="0"/>
      <w:divBdr>
        <w:top w:val="none" w:sz="0" w:space="0" w:color="auto"/>
        <w:left w:val="none" w:sz="0" w:space="0" w:color="auto"/>
        <w:bottom w:val="none" w:sz="0" w:space="0" w:color="auto"/>
        <w:right w:val="none" w:sz="0" w:space="0" w:color="auto"/>
      </w:divBdr>
    </w:div>
    <w:div w:id="1140880559">
      <w:bodyDiv w:val="1"/>
      <w:marLeft w:val="0"/>
      <w:marRight w:val="0"/>
      <w:marTop w:val="0"/>
      <w:marBottom w:val="0"/>
      <w:divBdr>
        <w:top w:val="none" w:sz="0" w:space="0" w:color="auto"/>
        <w:left w:val="none" w:sz="0" w:space="0" w:color="auto"/>
        <w:bottom w:val="none" w:sz="0" w:space="0" w:color="auto"/>
        <w:right w:val="none" w:sz="0" w:space="0" w:color="auto"/>
      </w:divBdr>
    </w:div>
    <w:div w:id="1150056954">
      <w:bodyDiv w:val="1"/>
      <w:marLeft w:val="0"/>
      <w:marRight w:val="0"/>
      <w:marTop w:val="0"/>
      <w:marBottom w:val="0"/>
      <w:divBdr>
        <w:top w:val="none" w:sz="0" w:space="0" w:color="auto"/>
        <w:left w:val="none" w:sz="0" w:space="0" w:color="auto"/>
        <w:bottom w:val="none" w:sz="0" w:space="0" w:color="auto"/>
        <w:right w:val="none" w:sz="0" w:space="0" w:color="auto"/>
      </w:divBdr>
      <w:divsChild>
        <w:div w:id="924613619">
          <w:marLeft w:val="1288"/>
          <w:marRight w:val="0"/>
          <w:marTop w:val="0"/>
          <w:marBottom w:val="0"/>
          <w:divBdr>
            <w:top w:val="none" w:sz="0" w:space="0" w:color="auto"/>
            <w:left w:val="none" w:sz="0" w:space="0" w:color="auto"/>
            <w:bottom w:val="none" w:sz="0" w:space="0" w:color="auto"/>
            <w:right w:val="none" w:sz="0" w:space="0" w:color="auto"/>
          </w:divBdr>
          <w:divsChild>
            <w:div w:id="174150917">
              <w:marLeft w:val="0"/>
              <w:marRight w:val="0"/>
              <w:marTop w:val="0"/>
              <w:marBottom w:val="0"/>
              <w:divBdr>
                <w:top w:val="none" w:sz="0" w:space="0" w:color="auto"/>
                <w:left w:val="none" w:sz="0" w:space="0" w:color="auto"/>
                <w:bottom w:val="none" w:sz="0" w:space="0" w:color="auto"/>
                <w:right w:val="none" w:sz="0" w:space="0" w:color="auto"/>
              </w:divBdr>
              <w:divsChild>
                <w:div w:id="906915471">
                  <w:marLeft w:val="0"/>
                  <w:marRight w:val="0"/>
                  <w:marTop w:val="0"/>
                  <w:marBottom w:val="0"/>
                  <w:divBdr>
                    <w:top w:val="none" w:sz="0" w:space="0" w:color="auto"/>
                    <w:left w:val="none" w:sz="0" w:space="0" w:color="auto"/>
                    <w:bottom w:val="none" w:sz="0" w:space="0" w:color="auto"/>
                    <w:right w:val="none" w:sz="0" w:space="0" w:color="auto"/>
                  </w:divBdr>
                  <w:divsChild>
                    <w:div w:id="1125584715">
                      <w:marLeft w:val="0"/>
                      <w:marRight w:val="0"/>
                      <w:marTop w:val="0"/>
                      <w:marBottom w:val="0"/>
                      <w:divBdr>
                        <w:top w:val="none" w:sz="0" w:space="0" w:color="auto"/>
                        <w:left w:val="none" w:sz="0" w:space="0" w:color="auto"/>
                        <w:bottom w:val="none" w:sz="0" w:space="0" w:color="auto"/>
                        <w:right w:val="none" w:sz="0" w:space="0" w:color="auto"/>
                      </w:divBdr>
                      <w:divsChild>
                        <w:div w:id="7071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5417">
      <w:bodyDiv w:val="1"/>
      <w:marLeft w:val="0"/>
      <w:marRight w:val="0"/>
      <w:marTop w:val="0"/>
      <w:marBottom w:val="0"/>
      <w:divBdr>
        <w:top w:val="none" w:sz="0" w:space="0" w:color="auto"/>
        <w:left w:val="none" w:sz="0" w:space="0" w:color="auto"/>
        <w:bottom w:val="none" w:sz="0" w:space="0" w:color="auto"/>
        <w:right w:val="none" w:sz="0" w:space="0" w:color="auto"/>
      </w:divBdr>
    </w:div>
    <w:div w:id="1192066541">
      <w:bodyDiv w:val="1"/>
      <w:marLeft w:val="0"/>
      <w:marRight w:val="0"/>
      <w:marTop w:val="0"/>
      <w:marBottom w:val="0"/>
      <w:divBdr>
        <w:top w:val="none" w:sz="0" w:space="0" w:color="auto"/>
        <w:left w:val="none" w:sz="0" w:space="0" w:color="auto"/>
        <w:bottom w:val="none" w:sz="0" w:space="0" w:color="auto"/>
        <w:right w:val="none" w:sz="0" w:space="0" w:color="auto"/>
      </w:divBdr>
      <w:divsChild>
        <w:div w:id="605964355">
          <w:marLeft w:val="0"/>
          <w:marRight w:val="0"/>
          <w:marTop w:val="0"/>
          <w:marBottom w:val="0"/>
          <w:divBdr>
            <w:top w:val="none" w:sz="0" w:space="0" w:color="auto"/>
            <w:left w:val="none" w:sz="0" w:space="0" w:color="auto"/>
            <w:bottom w:val="none" w:sz="0" w:space="0" w:color="auto"/>
            <w:right w:val="none" w:sz="0" w:space="0" w:color="auto"/>
          </w:divBdr>
          <w:divsChild>
            <w:div w:id="979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6195">
      <w:bodyDiv w:val="1"/>
      <w:marLeft w:val="0"/>
      <w:marRight w:val="0"/>
      <w:marTop w:val="0"/>
      <w:marBottom w:val="0"/>
      <w:divBdr>
        <w:top w:val="none" w:sz="0" w:space="0" w:color="auto"/>
        <w:left w:val="none" w:sz="0" w:space="0" w:color="auto"/>
        <w:bottom w:val="none" w:sz="0" w:space="0" w:color="auto"/>
        <w:right w:val="none" w:sz="0" w:space="0" w:color="auto"/>
      </w:divBdr>
      <w:divsChild>
        <w:div w:id="707418137">
          <w:marLeft w:val="0"/>
          <w:marRight w:val="0"/>
          <w:marTop w:val="0"/>
          <w:marBottom w:val="0"/>
          <w:divBdr>
            <w:top w:val="none" w:sz="0" w:space="0" w:color="auto"/>
            <w:left w:val="none" w:sz="0" w:space="0" w:color="auto"/>
            <w:bottom w:val="none" w:sz="0" w:space="0" w:color="auto"/>
            <w:right w:val="none" w:sz="0" w:space="0" w:color="auto"/>
          </w:divBdr>
          <w:divsChild>
            <w:div w:id="1754666463">
              <w:marLeft w:val="0"/>
              <w:marRight w:val="0"/>
              <w:marTop w:val="0"/>
              <w:marBottom w:val="0"/>
              <w:divBdr>
                <w:top w:val="none" w:sz="0" w:space="0" w:color="auto"/>
                <w:left w:val="none" w:sz="0" w:space="0" w:color="auto"/>
                <w:bottom w:val="none" w:sz="0" w:space="0" w:color="auto"/>
                <w:right w:val="none" w:sz="0" w:space="0" w:color="auto"/>
              </w:divBdr>
              <w:divsChild>
                <w:div w:id="916669571">
                  <w:marLeft w:val="0"/>
                  <w:marRight w:val="0"/>
                  <w:marTop w:val="0"/>
                  <w:marBottom w:val="0"/>
                  <w:divBdr>
                    <w:top w:val="none" w:sz="0" w:space="0" w:color="auto"/>
                    <w:left w:val="none" w:sz="0" w:space="0" w:color="auto"/>
                    <w:bottom w:val="none" w:sz="0" w:space="0" w:color="auto"/>
                    <w:right w:val="none" w:sz="0" w:space="0" w:color="auto"/>
                  </w:divBdr>
                  <w:divsChild>
                    <w:div w:id="1320229094">
                      <w:marLeft w:val="0"/>
                      <w:marRight w:val="0"/>
                      <w:marTop w:val="0"/>
                      <w:marBottom w:val="0"/>
                      <w:divBdr>
                        <w:top w:val="none" w:sz="0" w:space="0" w:color="auto"/>
                        <w:left w:val="none" w:sz="0" w:space="0" w:color="auto"/>
                        <w:bottom w:val="none" w:sz="0" w:space="0" w:color="auto"/>
                        <w:right w:val="none" w:sz="0" w:space="0" w:color="auto"/>
                      </w:divBdr>
                      <w:divsChild>
                        <w:div w:id="1408191902">
                          <w:marLeft w:val="0"/>
                          <w:marRight w:val="0"/>
                          <w:marTop w:val="0"/>
                          <w:marBottom w:val="0"/>
                          <w:divBdr>
                            <w:top w:val="none" w:sz="0" w:space="0" w:color="auto"/>
                            <w:left w:val="none" w:sz="0" w:space="0" w:color="auto"/>
                            <w:bottom w:val="none" w:sz="0" w:space="0" w:color="auto"/>
                            <w:right w:val="none" w:sz="0" w:space="0" w:color="auto"/>
                          </w:divBdr>
                          <w:divsChild>
                            <w:div w:id="961424756">
                              <w:marLeft w:val="0"/>
                              <w:marRight w:val="0"/>
                              <w:marTop w:val="0"/>
                              <w:marBottom w:val="0"/>
                              <w:divBdr>
                                <w:top w:val="none" w:sz="0" w:space="0" w:color="auto"/>
                                <w:left w:val="none" w:sz="0" w:space="0" w:color="auto"/>
                                <w:bottom w:val="none" w:sz="0" w:space="0" w:color="auto"/>
                                <w:right w:val="none" w:sz="0" w:space="0" w:color="auto"/>
                              </w:divBdr>
                              <w:divsChild>
                                <w:div w:id="1139037605">
                                  <w:marLeft w:val="0"/>
                                  <w:marRight w:val="0"/>
                                  <w:marTop w:val="0"/>
                                  <w:marBottom w:val="0"/>
                                  <w:divBdr>
                                    <w:top w:val="none" w:sz="0" w:space="0" w:color="auto"/>
                                    <w:left w:val="none" w:sz="0" w:space="0" w:color="auto"/>
                                    <w:bottom w:val="none" w:sz="0" w:space="0" w:color="auto"/>
                                    <w:right w:val="none" w:sz="0" w:space="0" w:color="auto"/>
                                  </w:divBdr>
                                  <w:divsChild>
                                    <w:div w:id="625550667">
                                      <w:marLeft w:val="0"/>
                                      <w:marRight w:val="0"/>
                                      <w:marTop w:val="0"/>
                                      <w:marBottom w:val="0"/>
                                      <w:divBdr>
                                        <w:top w:val="none" w:sz="0" w:space="0" w:color="auto"/>
                                        <w:left w:val="none" w:sz="0" w:space="0" w:color="auto"/>
                                        <w:bottom w:val="none" w:sz="0" w:space="0" w:color="auto"/>
                                        <w:right w:val="none" w:sz="0" w:space="0" w:color="auto"/>
                                      </w:divBdr>
                                      <w:divsChild>
                                        <w:div w:id="515467092">
                                          <w:marLeft w:val="0"/>
                                          <w:marRight w:val="0"/>
                                          <w:marTop w:val="0"/>
                                          <w:marBottom w:val="0"/>
                                          <w:divBdr>
                                            <w:top w:val="none" w:sz="0" w:space="0" w:color="auto"/>
                                            <w:left w:val="none" w:sz="0" w:space="0" w:color="auto"/>
                                            <w:bottom w:val="none" w:sz="0" w:space="0" w:color="auto"/>
                                            <w:right w:val="none" w:sz="0" w:space="0" w:color="auto"/>
                                          </w:divBdr>
                                          <w:divsChild>
                                            <w:div w:id="1949389293">
                                              <w:marLeft w:val="0"/>
                                              <w:marRight w:val="0"/>
                                              <w:marTop w:val="0"/>
                                              <w:marBottom w:val="0"/>
                                              <w:divBdr>
                                                <w:top w:val="none" w:sz="0" w:space="0" w:color="auto"/>
                                                <w:left w:val="none" w:sz="0" w:space="0" w:color="auto"/>
                                                <w:bottom w:val="none" w:sz="0" w:space="0" w:color="auto"/>
                                                <w:right w:val="none" w:sz="0" w:space="0" w:color="auto"/>
                                              </w:divBdr>
                                              <w:divsChild>
                                                <w:div w:id="10647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322417">
      <w:bodyDiv w:val="1"/>
      <w:marLeft w:val="0"/>
      <w:marRight w:val="0"/>
      <w:marTop w:val="0"/>
      <w:marBottom w:val="0"/>
      <w:divBdr>
        <w:top w:val="none" w:sz="0" w:space="0" w:color="auto"/>
        <w:left w:val="none" w:sz="0" w:space="0" w:color="auto"/>
        <w:bottom w:val="none" w:sz="0" w:space="0" w:color="auto"/>
        <w:right w:val="none" w:sz="0" w:space="0" w:color="auto"/>
      </w:divBdr>
    </w:div>
    <w:div w:id="1255480590">
      <w:bodyDiv w:val="1"/>
      <w:marLeft w:val="0"/>
      <w:marRight w:val="0"/>
      <w:marTop w:val="0"/>
      <w:marBottom w:val="0"/>
      <w:divBdr>
        <w:top w:val="none" w:sz="0" w:space="0" w:color="auto"/>
        <w:left w:val="none" w:sz="0" w:space="0" w:color="auto"/>
        <w:bottom w:val="none" w:sz="0" w:space="0" w:color="auto"/>
        <w:right w:val="none" w:sz="0" w:space="0" w:color="auto"/>
      </w:divBdr>
      <w:divsChild>
        <w:div w:id="1574243024">
          <w:marLeft w:val="0"/>
          <w:marRight w:val="0"/>
          <w:marTop w:val="0"/>
          <w:marBottom w:val="0"/>
          <w:divBdr>
            <w:top w:val="none" w:sz="0" w:space="0" w:color="auto"/>
            <w:left w:val="none" w:sz="0" w:space="0" w:color="auto"/>
            <w:bottom w:val="none" w:sz="0" w:space="0" w:color="auto"/>
            <w:right w:val="none" w:sz="0" w:space="0" w:color="auto"/>
          </w:divBdr>
          <w:divsChild>
            <w:div w:id="1304041713">
              <w:marLeft w:val="0"/>
              <w:marRight w:val="0"/>
              <w:marTop w:val="0"/>
              <w:marBottom w:val="0"/>
              <w:divBdr>
                <w:top w:val="none" w:sz="0" w:space="0" w:color="auto"/>
                <w:left w:val="none" w:sz="0" w:space="0" w:color="auto"/>
                <w:bottom w:val="none" w:sz="0" w:space="0" w:color="auto"/>
                <w:right w:val="none" w:sz="0" w:space="0" w:color="auto"/>
              </w:divBdr>
              <w:divsChild>
                <w:div w:id="1164248009">
                  <w:marLeft w:val="0"/>
                  <w:marRight w:val="0"/>
                  <w:marTop w:val="0"/>
                  <w:marBottom w:val="0"/>
                  <w:divBdr>
                    <w:top w:val="none" w:sz="0" w:space="0" w:color="auto"/>
                    <w:left w:val="none" w:sz="0" w:space="0" w:color="auto"/>
                    <w:bottom w:val="none" w:sz="0" w:space="0" w:color="auto"/>
                    <w:right w:val="none" w:sz="0" w:space="0" w:color="auto"/>
                  </w:divBdr>
                  <w:divsChild>
                    <w:div w:id="665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8022">
      <w:bodyDiv w:val="1"/>
      <w:marLeft w:val="0"/>
      <w:marRight w:val="0"/>
      <w:marTop w:val="0"/>
      <w:marBottom w:val="0"/>
      <w:divBdr>
        <w:top w:val="none" w:sz="0" w:space="0" w:color="auto"/>
        <w:left w:val="none" w:sz="0" w:space="0" w:color="auto"/>
        <w:bottom w:val="none" w:sz="0" w:space="0" w:color="auto"/>
        <w:right w:val="none" w:sz="0" w:space="0" w:color="auto"/>
      </w:divBdr>
    </w:div>
    <w:div w:id="1289237706">
      <w:bodyDiv w:val="1"/>
      <w:marLeft w:val="0"/>
      <w:marRight w:val="0"/>
      <w:marTop w:val="0"/>
      <w:marBottom w:val="0"/>
      <w:divBdr>
        <w:top w:val="none" w:sz="0" w:space="0" w:color="auto"/>
        <w:left w:val="none" w:sz="0" w:space="0" w:color="auto"/>
        <w:bottom w:val="none" w:sz="0" w:space="0" w:color="auto"/>
        <w:right w:val="none" w:sz="0" w:space="0" w:color="auto"/>
      </w:divBdr>
    </w:div>
    <w:div w:id="1290939800">
      <w:bodyDiv w:val="1"/>
      <w:marLeft w:val="0"/>
      <w:marRight w:val="0"/>
      <w:marTop w:val="0"/>
      <w:marBottom w:val="0"/>
      <w:divBdr>
        <w:top w:val="none" w:sz="0" w:space="0" w:color="auto"/>
        <w:left w:val="none" w:sz="0" w:space="0" w:color="auto"/>
        <w:bottom w:val="none" w:sz="0" w:space="0" w:color="auto"/>
        <w:right w:val="none" w:sz="0" w:space="0" w:color="auto"/>
      </w:divBdr>
    </w:div>
    <w:div w:id="1295138493">
      <w:bodyDiv w:val="1"/>
      <w:marLeft w:val="0"/>
      <w:marRight w:val="0"/>
      <w:marTop w:val="0"/>
      <w:marBottom w:val="0"/>
      <w:divBdr>
        <w:top w:val="none" w:sz="0" w:space="0" w:color="auto"/>
        <w:left w:val="none" w:sz="0" w:space="0" w:color="auto"/>
        <w:bottom w:val="none" w:sz="0" w:space="0" w:color="auto"/>
        <w:right w:val="none" w:sz="0" w:space="0" w:color="auto"/>
      </w:divBdr>
    </w:div>
    <w:div w:id="1311328889">
      <w:bodyDiv w:val="1"/>
      <w:marLeft w:val="0"/>
      <w:marRight w:val="0"/>
      <w:marTop w:val="0"/>
      <w:marBottom w:val="0"/>
      <w:divBdr>
        <w:top w:val="none" w:sz="0" w:space="0" w:color="auto"/>
        <w:left w:val="none" w:sz="0" w:space="0" w:color="auto"/>
        <w:bottom w:val="none" w:sz="0" w:space="0" w:color="auto"/>
        <w:right w:val="none" w:sz="0" w:space="0" w:color="auto"/>
      </w:divBdr>
    </w:div>
    <w:div w:id="1425220812">
      <w:bodyDiv w:val="1"/>
      <w:marLeft w:val="0"/>
      <w:marRight w:val="0"/>
      <w:marTop w:val="0"/>
      <w:marBottom w:val="0"/>
      <w:divBdr>
        <w:top w:val="none" w:sz="0" w:space="0" w:color="auto"/>
        <w:left w:val="none" w:sz="0" w:space="0" w:color="auto"/>
        <w:bottom w:val="none" w:sz="0" w:space="0" w:color="auto"/>
        <w:right w:val="none" w:sz="0" w:space="0" w:color="auto"/>
      </w:divBdr>
    </w:div>
    <w:div w:id="1459303251">
      <w:bodyDiv w:val="1"/>
      <w:marLeft w:val="0"/>
      <w:marRight w:val="0"/>
      <w:marTop w:val="0"/>
      <w:marBottom w:val="0"/>
      <w:divBdr>
        <w:top w:val="none" w:sz="0" w:space="0" w:color="auto"/>
        <w:left w:val="none" w:sz="0" w:space="0" w:color="auto"/>
        <w:bottom w:val="none" w:sz="0" w:space="0" w:color="auto"/>
        <w:right w:val="none" w:sz="0" w:space="0" w:color="auto"/>
      </w:divBdr>
      <w:divsChild>
        <w:div w:id="29451653">
          <w:marLeft w:val="1288"/>
          <w:marRight w:val="0"/>
          <w:marTop w:val="0"/>
          <w:marBottom w:val="0"/>
          <w:divBdr>
            <w:top w:val="none" w:sz="0" w:space="0" w:color="auto"/>
            <w:left w:val="none" w:sz="0" w:space="0" w:color="auto"/>
            <w:bottom w:val="none" w:sz="0" w:space="0" w:color="auto"/>
            <w:right w:val="none" w:sz="0" w:space="0" w:color="auto"/>
          </w:divBdr>
          <w:divsChild>
            <w:div w:id="24454543">
              <w:marLeft w:val="0"/>
              <w:marRight w:val="0"/>
              <w:marTop w:val="0"/>
              <w:marBottom w:val="0"/>
              <w:divBdr>
                <w:top w:val="none" w:sz="0" w:space="0" w:color="auto"/>
                <w:left w:val="none" w:sz="0" w:space="0" w:color="auto"/>
                <w:bottom w:val="none" w:sz="0" w:space="0" w:color="auto"/>
                <w:right w:val="none" w:sz="0" w:space="0" w:color="auto"/>
              </w:divBdr>
              <w:divsChild>
                <w:div w:id="1735855839">
                  <w:marLeft w:val="0"/>
                  <w:marRight w:val="0"/>
                  <w:marTop w:val="0"/>
                  <w:marBottom w:val="0"/>
                  <w:divBdr>
                    <w:top w:val="none" w:sz="0" w:space="0" w:color="auto"/>
                    <w:left w:val="none" w:sz="0" w:space="0" w:color="auto"/>
                    <w:bottom w:val="none" w:sz="0" w:space="0" w:color="auto"/>
                    <w:right w:val="none" w:sz="0" w:space="0" w:color="auto"/>
                  </w:divBdr>
                  <w:divsChild>
                    <w:div w:id="1823885820">
                      <w:marLeft w:val="0"/>
                      <w:marRight w:val="0"/>
                      <w:marTop w:val="0"/>
                      <w:marBottom w:val="0"/>
                      <w:divBdr>
                        <w:top w:val="none" w:sz="0" w:space="0" w:color="auto"/>
                        <w:left w:val="none" w:sz="0" w:space="0" w:color="auto"/>
                        <w:bottom w:val="none" w:sz="0" w:space="0" w:color="auto"/>
                        <w:right w:val="none" w:sz="0" w:space="0" w:color="auto"/>
                      </w:divBdr>
                      <w:divsChild>
                        <w:div w:id="5922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966314">
      <w:bodyDiv w:val="1"/>
      <w:marLeft w:val="0"/>
      <w:marRight w:val="0"/>
      <w:marTop w:val="0"/>
      <w:marBottom w:val="0"/>
      <w:divBdr>
        <w:top w:val="none" w:sz="0" w:space="0" w:color="auto"/>
        <w:left w:val="none" w:sz="0" w:space="0" w:color="auto"/>
        <w:bottom w:val="none" w:sz="0" w:space="0" w:color="auto"/>
        <w:right w:val="none" w:sz="0" w:space="0" w:color="auto"/>
      </w:divBdr>
    </w:div>
    <w:div w:id="1531917268">
      <w:bodyDiv w:val="1"/>
      <w:marLeft w:val="0"/>
      <w:marRight w:val="0"/>
      <w:marTop w:val="0"/>
      <w:marBottom w:val="0"/>
      <w:divBdr>
        <w:top w:val="none" w:sz="0" w:space="0" w:color="auto"/>
        <w:left w:val="none" w:sz="0" w:space="0" w:color="auto"/>
        <w:bottom w:val="none" w:sz="0" w:space="0" w:color="auto"/>
        <w:right w:val="none" w:sz="0" w:space="0" w:color="auto"/>
      </w:divBdr>
    </w:div>
    <w:div w:id="1540584599">
      <w:bodyDiv w:val="1"/>
      <w:marLeft w:val="0"/>
      <w:marRight w:val="0"/>
      <w:marTop w:val="0"/>
      <w:marBottom w:val="0"/>
      <w:divBdr>
        <w:top w:val="none" w:sz="0" w:space="0" w:color="auto"/>
        <w:left w:val="none" w:sz="0" w:space="0" w:color="auto"/>
        <w:bottom w:val="none" w:sz="0" w:space="0" w:color="auto"/>
        <w:right w:val="none" w:sz="0" w:space="0" w:color="auto"/>
      </w:divBdr>
    </w:div>
    <w:div w:id="1595627649">
      <w:bodyDiv w:val="1"/>
      <w:marLeft w:val="0"/>
      <w:marRight w:val="0"/>
      <w:marTop w:val="0"/>
      <w:marBottom w:val="0"/>
      <w:divBdr>
        <w:top w:val="none" w:sz="0" w:space="0" w:color="auto"/>
        <w:left w:val="none" w:sz="0" w:space="0" w:color="auto"/>
        <w:bottom w:val="none" w:sz="0" w:space="0" w:color="auto"/>
        <w:right w:val="none" w:sz="0" w:space="0" w:color="auto"/>
      </w:divBdr>
    </w:div>
    <w:div w:id="1618751852">
      <w:bodyDiv w:val="1"/>
      <w:marLeft w:val="0"/>
      <w:marRight w:val="0"/>
      <w:marTop w:val="0"/>
      <w:marBottom w:val="0"/>
      <w:divBdr>
        <w:top w:val="none" w:sz="0" w:space="0" w:color="auto"/>
        <w:left w:val="none" w:sz="0" w:space="0" w:color="auto"/>
        <w:bottom w:val="none" w:sz="0" w:space="0" w:color="auto"/>
        <w:right w:val="none" w:sz="0" w:space="0" w:color="auto"/>
      </w:divBdr>
    </w:div>
    <w:div w:id="1673608863">
      <w:bodyDiv w:val="1"/>
      <w:marLeft w:val="0"/>
      <w:marRight w:val="0"/>
      <w:marTop w:val="0"/>
      <w:marBottom w:val="0"/>
      <w:divBdr>
        <w:top w:val="none" w:sz="0" w:space="0" w:color="auto"/>
        <w:left w:val="none" w:sz="0" w:space="0" w:color="auto"/>
        <w:bottom w:val="none" w:sz="0" w:space="0" w:color="auto"/>
        <w:right w:val="none" w:sz="0" w:space="0" w:color="auto"/>
      </w:divBdr>
      <w:divsChild>
        <w:div w:id="1742479628">
          <w:marLeft w:val="0"/>
          <w:marRight w:val="0"/>
          <w:marTop w:val="0"/>
          <w:marBottom w:val="0"/>
          <w:divBdr>
            <w:top w:val="none" w:sz="0" w:space="0" w:color="auto"/>
            <w:left w:val="none" w:sz="0" w:space="0" w:color="auto"/>
            <w:bottom w:val="none" w:sz="0" w:space="0" w:color="auto"/>
            <w:right w:val="none" w:sz="0" w:space="0" w:color="auto"/>
          </w:divBdr>
          <w:divsChild>
            <w:div w:id="12716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059">
      <w:bodyDiv w:val="1"/>
      <w:marLeft w:val="0"/>
      <w:marRight w:val="0"/>
      <w:marTop w:val="0"/>
      <w:marBottom w:val="0"/>
      <w:divBdr>
        <w:top w:val="none" w:sz="0" w:space="0" w:color="auto"/>
        <w:left w:val="none" w:sz="0" w:space="0" w:color="auto"/>
        <w:bottom w:val="none" w:sz="0" w:space="0" w:color="auto"/>
        <w:right w:val="none" w:sz="0" w:space="0" w:color="auto"/>
      </w:divBdr>
      <w:divsChild>
        <w:div w:id="1352145698">
          <w:marLeft w:val="0"/>
          <w:marRight w:val="0"/>
          <w:marTop w:val="0"/>
          <w:marBottom w:val="0"/>
          <w:divBdr>
            <w:top w:val="none" w:sz="0" w:space="0" w:color="auto"/>
            <w:left w:val="none" w:sz="0" w:space="0" w:color="auto"/>
            <w:bottom w:val="none" w:sz="0" w:space="0" w:color="auto"/>
            <w:right w:val="none" w:sz="0" w:space="0" w:color="auto"/>
          </w:divBdr>
          <w:divsChild>
            <w:div w:id="5264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0991">
      <w:bodyDiv w:val="1"/>
      <w:marLeft w:val="0"/>
      <w:marRight w:val="0"/>
      <w:marTop w:val="0"/>
      <w:marBottom w:val="0"/>
      <w:divBdr>
        <w:top w:val="none" w:sz="0" w:space="0" w:color="auto"/>
        <w:left w:val="none" w:sz="0" w:space="0" w:color="auto"/>
        <w:bottom w:val="none" w:sz="0" w:space="0" w:color="auto"/>
        <w:right w:val="none" w:sz="0" w:space="0" w:color="auto"/>
      </w:divBdr>
    </w:div>
    <w:div w:id="1876231296">
      <w:bodyDiv w:val="1"/>
      <w:marLeft w:val="0"/>
      <w:marRight w:val="0"/>
      <w:marTop w:val="0"/>
      <w:marBottom w:val="0"/>
      <w:divBdr>
        <w:top w:val="none" w:sz="0" w:space="0" w:color="auto"/>
        <w:left w:val="none" w:sz="0" w:space="0" w:color="auto"/>
        <w:bottom w:val="none" w:sz="0" w:space="0" w:color="auto"/>
        <w:right w:val="none" w:sz="0" w:space="0" w:color="auto"/>
      </w:divBdr>
    </w:div>
    <w:div w:id="1902979262">
      <w:bodyDiv w:val="1"/>
      <w:marLeft w:val="0"/>
      <w:marRight w:val="0"/>
      <w:marTop w:val="0"/>
      <w:marBottom w:val="0"/>
      <w:divBdr>
        <w:top w:val="none" w:sz="0" w:space="0" w:color="auto"/>
        <w:left w:val="none" w:sz="0" w:space="0" w:color="auto"/>
        <w:bottom w:val="none" w:sz="0" w:space="0" w:color="auto"/>
        <w:right w:val="none" w:sz="0" w:space="0" w:color="auto"/>
      </w:divBdr>
    </w:div>
    <w:div w:id="1944919371">
      <w:bodyDiv w:val="1"/>
      <w:marLeft w:val="0"/>
      <w:marRight w:val="0"/>
      <w:marTop w:val="0"/>
      <w:marBottom w:val="0"/>
      <w:divBdr>
        <w:top w:val="none" w:sz="0" w:space="0" w:color="auto"/>
        <w:left w:val="none" w:sz="0" w:space="0" w:color="auto"/>
        <w:bottom w:val="none" w:sz="0" w:space="0" w:color="auto"/>
        <w:right w:val="none" w:sz="0" w:space="0" w:color="auto"/>
      </w:divBdr>
    </w:div>
    <w:div w:id="1978416539">
      <w:bodyDiv w:val="1"/>
      <w:marLeft w:val="0"/>
      <w:marRight w:val="0"/>
      <w:marTop w:val="0"/>
      <w:marBottom w:val="0"/>
      <w:divBdr>
        <w:top w:val="none" w:sz="0" w:space="0" w:color="auto"/>
        <w:left w:val="none" w:sz="0" w:space="0" w:color="auto"/>
        <w:bottom w:val="none" w:sz="0" w:space="0" w:color="auto"/>
        <w:right w:val="none" w:sz="0" w:space="0" w:color="auto"/>
      </w:divBdr>
    </w:div>
    <w:div w:id="1980573649">
      <w:bodyDiv w:val="1"/>
      <w:marLeft w:val="0"/>
      <w:marRight w:val="0"/>
      <w:marTop w:val="0"/>
      <w:marBottom w:val="0"/>
      <w:divBdr>
        <w:top w:val="none" w:sz="0" w:space="0" w:color="auto"/>
        <w:left w:val="none" w:sz="0" w:space="0" w:color="auto"/>
        <w:bottom w:val="none" w:sz="0" w:space="0" w:color="auto"/>
        <w:right w:val="none" w:sz="0" w:space="0" w:color="auto"/>
      </w:divBdr>
      <w:divsChild>
        <w:div w:id="1396901111">
          <w:marLeft w:val="0"/>
          <w:marRight w:val="0"/>
          <w:marTop w:val="0"/>
          <w:marBottom w:val="0"/>
          <w:divBdr>
            <w:top w:val="none" w:sz="0" w:space="0" w:color="auto"/>
            <w:left w:val="none" w:sz="0" w:space="0" w:color="auto"/>
            <w:bottom w:val="none" w:sz="0" w:space="0" w:color="auto"/>
            <w:right w:val="none" w:sz="0" w:space="0" w:color="auto"/>
          </w:divBdr>
          <w:divsChild>
            <w:div w:id="1345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213">
      <w:bodyDiv w:val="1"/>
      <w:marLeft w:val="0"/>
      <w:marRight w:val="0"/>
      <w:marTop w:val="0"/>
      <w:marBottom w:val="0"/>
      <w:divBdr>
        <w:top w:val="none" w:sz="0" w:space="0" w:color="auto"/>
        <w:left w:val="none" w:sz="0" w:space="0" w:color="auto"/>
        <w:bottom w:val="none" w:sz="0" w:space="0" w:color="auto"/>
        <w:right w:val="none" w:sz="0" w:space="0" w:color="auto"/>
      </w:divBdr>
    </w:div>
    <w:div w:id="21324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foodstandards.gov.au/consumerinformation/nuttab2006/onlineversionintroduction/onlineversion.cfm?&amp;action=getFood&amp;foodID=06D10208" TargetMode="External"/><Relationship Id="rId26" Type="http://schemas.openxmlformats.org/officeDocument/2006/relationships/hyperlink" Target="http://www.nrl.moh.govt.nz/regulatory/transportofradioactivematerial.asp" TargetMode="External"/><Relationship Id="rId3" Type="http://schemas.openxmlformats.org/officeDocument/2006/relationships/styles" Target="styles.xml"/><Relationship Id="rId21" Type="http://schemas.openxmlformats.org/officeDocument/2006/relationships/hyperlink" Target="http://www.legislation.govt.nz/regulation/public/1982/0072/latest/DLM81126.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nrl.moh.govt.nz/regulatory/notification.asp"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n.wikipedia.org/wiki/File:Radura_international.svg" TargetMode="External"/><Relationship Id="rId20" Type="http://schemas.openxmlformats.org/officeDocument/2006/relationships/hyperlink" Target="http://www.legislation.govt.nz/act/public/1965/0023/latest/DLM372539.html" TargetMode="External"/><Relationship Id="rId29" Type="http://schemas.openxmlformats.org/officeDocument/2006/relationships/hyperlink" Target="http://www.daff.gov.au/__data/assets/pdf_file/0009/1177515/gamma-ce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rl.moh.govt.nz/regulatory/consent.asp" TargetMode="External"/><Relationship Id="rId32" Type="http://schemas.openxmlformats.org/officeDocument/2006/relationships/hyperlink" Target="http://www.astm.org/Standards/F1640.htm" TargetMode="External"/><Relationship Id="rId5" Type="http://schemas.openxmlformats.org/officeDocument/2006/relationships/webSettings" Target="webSettings.xml"/><Relationship Id="rId15" Type="http://schemas.openxmlformats.org/officeDocument/2006/relationships/hyperlink" Target="http://www.foodstandards.gov.au/foodstandards/applications/applicationa1038irra4655.cfm" TargetMode="External"/><Relationship Id="rId23" Type="http://schemas.openxmlformats.org/officeDocument/2006/relationships/hyperlink" Target="http://www.nrl.moh.govt.nz/regulatory/regulatorypublications.asp" TargetMode="External"/><Relationship Id="rId28" Type="http://schemas.openxmlformats.org/officeDocument/2006/relationships/hyperlink" Target="http://www.legislation.govt.nz/act/public/1981/0045/latest/DLM48687.html" TargetMode="Externa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www.nal.usda.gov/fnic/foodcomp/cgi-bin/list_nut_edit.pl" TargetMode="External"/><Relationship Id="rId31" Type="http://schemas.openxmlformats.org/officeDocument/2006/relationships/hyperlink" Target="http://www.foodstandards.gov.au/consumerinformation/nuttab2006/onlineversionintroduction/onlineversion.cfm?&amp;action=getFood&amp;foodID=06D102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rl.moh.govt.nz/regulatory/licences.asp" TargetMode="External"/><Relationship Id="rId27" Type="http://schemas.openxmlformats.org/officeDocument/2006/relationships/hyperlink" Target="http://www.legislation.govt.nz/regulation/public/1974/0169/latest/DLM42658.html?search=ts_regulation_food_resel&amp;p=1&amp;sr=1" TargetMode="External"/><Relationship Id="rId30" Type="http://schemas.openxmlformats.org/officeDocument/2006/relationships/hyperlink" Target="http://www.daff.gov.au/aqis/import/general-info/qap/class4/quarantine_approved_premises_criteria_4.2"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_srcfiles/Food%20Related%20Health%20Risks%20WEB_FA.pdf" TargetMode="External"/><Relationship Id="rId13" Type="http://schemas.openxmlformats.org/officeDocument/2006/relationships/hyperlink" Target="http://www.hortaccess.com.au/page/plant_quarantine__food_safety.html" TargetMode="External"/><Relationship Id="rId18" Type="http://schemas.openxmlformats.org/officeDocument/2006/relationships/hyperlink" Target="http://www.domesticquarantine.org.au/index.cfm?objectID=44F9C72D-A63D-3F2E-C127EE6E7389B7D8&amp;action=detail&amp;state=QLD&amp;id=ICA-55" TargetMode="External"/><Relationship Id="rId3" Type="http://schemas.openxmlformats.org/officeDocument/2006/relationships/hyperlink" Target="http://en.wikipedia.org/wiki/Energy" TargetMode="External"/><Relationship Id="rId21" Type="http://schemas.openxmlformats.org/officeDocument/2006/relationships/hyperlink" Target="http://www.foodlabellingreview.gov.au/internet/foodlabelling/publishing.nsf/content/labelling-logic" TargetMode="External"/><Relationship Id="rId7" Type="http://schemas.openxmlformats.org/officeDocument/2006/relationships/hyperlink" Target="http://www.foodstandards.gov.au/scienceandeducation/scienceinfsanz/" TargetMode="External"/><Relationship Id="rId12" Type="http://schemas.openxmlformats.org/officeDocument/2006/relationships/hyperlink" Target="http://www.biosecurity.govt.nz/files/regs/imports/risk/aus-litchi-ra.pdf" TargetMode="External"/><Relationship Id="rId17" Type="http://schemas.openxmlformats.org/officeDocument/2006/relationships/hyperlink" Target="http://www.phau.com.au/ica-docs/190-ica-55.pdf" TargetMode="External"/><Relationship Id="rId2" Type="http://schemas.openxmlformats.org/officeDocument/2006/relationships/hyperlink" Target="http://www.domesticquarantine.org.au/" TargetMode="External"/><Relationship Id="rId16" Type="http://schemas.openxmlformats.org/officeDocument/2006/relationships/hyperlink" Target="http://www.foodstandards.gov.au/_srcfiles/A443%20FAR%20-%20Irradiation%20Tropical%20Fruit.pdf" TargetMode="External"/><Relationship Id="rId20" Type="http://schemas.openxmlformats.org/officeDocument/2006/relationships/hyperlink" Target="http://ec.europa.eu/food/food/biosafety/irradiation/anal_methods_en.htm" TargetMode="External"/><Relationship Id="rId1" Type="http://schemas.openxmlformats.org/officeDocument/2006/relationships/hyperlink" Target="http://www.foodstandards.gov.au/consumerinformation/foodirradiation.cfm" TargetMode="External"/><Relationship Id="rId6" Type="http://schemas.openxmlformats.org/officeDocument/2006/relationships/hyperlink" Target="http://www.foodstandards.gov.au/_srcfiles/A443%20FAR%20-%20Irradiation%20Tropical%20Fruit.pdf" TargetMode="External"/><Relationship Id="rId11" Type="http://schemas.openxmlformats.org/officeDocument/2006/relationships/hyperlink" Target="http://www.daff.gov.au/__data/assets/pdf_file/0003/771906/Mangoes_from_India_Final_Report.pdf" TargetMode="External"/><Relationship Id="rId5" Type="http://schemas.openxmlformats.org/officeDocument/2006/relationships/hyperlink" Target="http://www.codexalimentarius.net/download/standards/16/CXS_106e.pdf" TargetMode="External"/><Relationship Id="rId15" Type="http://schemas.openxmlformats.org/officeDocument/2006/relationships/hyperlink" Target="http://www.biosecurity.govt.nz/files/biosec/policy-laws/intl/sps/transparency/notifications/nzl341-ft.pdf" TargetMode="External"/><Relationship Id="rId10" Type="http://schemas.openxmlformats.org/officeDocument/2006/relationships/hyperlink" Target="http://www.efsa.europa.eu/en/efsajournal/doc/1930.pdf" TargetMode="External"/><Relationship Id="rId19" Type="http://schemas.openxmlformats.org/officeDocument/2006/relationships/hyperlink" Target="http://www.arpansa.gov.au/index.htm" TargetMode="External"/><Relationship Id="rId4" Type="http://schemas.openxmlformats.org/officeDocument/2006/relationships/hyperlink" Target="http://en.wikipedia.org/wiki/Irradiation" TargetMode="External"/><Relationship Id="rId9" Type="http://schemas.openxmlformats.org/officeDocument/2006/relationships/hyperlink" Target="http://www.efsa.europa.eu/en/efsajournal/pub/1930.htm" TargetMode="External"/><Relationship Id="rId14" Type="http://schemas.openxmlformats.org/officeDocument/2006/relationships/hyperlink" Target="http://www.biosecurity.govt.nz/files/ihs/mango-au.pdf" TargetMode="External"/><Relationship Id="rId22" Type="http://schemas.openxmlformats.org/officeDocument/2006/relationships/hyperlink" Target="http://www.foodstandards.gov.au/_srcfiles/A413_F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B10F-87DF-4DC3-AAAA-29A6DD54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20825</Words>
  <Characters>122395</Characters>
  <Application>Microsoft Office Word</Application>
  <DocSecurity>0</DocSecurity>
  <Lines>1019</Lines>
  <Paragraphs>285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142935</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stanlg</dc:creator>
  <cp:lastModifiedBy>hilhma</cp:lastModifiedBy>
  <cp:revision>2</cp:revision>
  <cp:lastPrinted>2011-06-28T06:35:00Z</cp:lastPrinted>
  <dcterms:created xsi:type="dcterms:W3CDTF">2012-11-12T01:54:00Z</dcterms:created>
  <dcterms:modified xsi:type="dcterms:W3CDTF">2012-11-12T01:54:00Z</dcterms:modified>
</cp:coreProperties>
</file>