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29" w:rsidRPr="003F1629" w:rsidRDefault="003F1629" w:rsidP="003F1629">
      <w:pPr>
        <w:pStyle w:val="HP"/>
        <w:keepNext w:val="0"/>
        <w:spacing w:before="0"/>
        <w:jc w:val="both"/>
        <w:rPr>
          <w:rFonts w:ascii="Times New Roman" w:hAnsi="Times New Roman"/>
          <w:szCs w:val="26"/>
          <w:u w:val="single"/>
        </w:rPr>
      </w:pPr>
      <w:bookmarkStart w:id="0" w:name="_GoBack"/>
      <w:bookmarkEnd w:id="0"/>
    </w:p>
    <w:p w:rsidR="00DD63FF" w:rsidRPr="00774B53" w:rsidRDefault="00DD63FF" w:rsidP="00DD63FF">
      <w:pPr>
        <w:pStyle w:val="HP"/>
        <w:keepNext w:val="0"/>
        <w:spacing w:before="0"/>
        <w:rPr>
          <w:rFonts w:ascii="Times New Roman" w:hAnsi="Times New Roman"/>
          <w:szCs w:val="26"/>
        </w:rPr>
      </w:pPr>
      <w:r w:rsidRPr="00774B53">
        <w:rPr>
          <w:rFonts w:ascii="Times New Roman" w:hAnsi="Times New Roman"/>
          <w:szCs w:val="26"/>
        </w:rPr>
        <w:t>Commonwealth of Australia</w:t>
      </w:r>
    </w:p>
    <w:p w:rsidR="00DD63FF" w:rsidRPr="001D406B" w:rsidRDefault="001D406B" w:rsidP="00793BBA">
      <w:pPr>
        <w:spacing w:before="280"/>
        <w:jc w:val="center"/>
        <w:rPr>
          <w:rFonts w:ascii="Times New Roman" w:hAnsi="Times New Roman"/>
          <w:i/>
          <w:sz w:val="24"/>
          <w:szCs w:val="24"/>
        </w:rPr>
      </w:pPr>
      <w:r w:rsidRPr="001D406B">
        <w:rPr>
          <w:rFonts w:ascii="Times New Roman" w:hAnsi="Times New Roman"/>
          <w:i/>
          <w:sz w:val="24"/>
          <w:szCs w:val="24"/>
        </w:rPr>
        <w:t>Australian Communications and Media Authority Act 2005</w:t>
      </w:r>
    </w:p>
    <w:p w:rsidR="00774B53" w:rsidRPr="00774B53" w:rsidRDefault="00774B53" w:rsidP="00774B53">
      <w:bookmarkStart w:id="1" w:name="year"/>
    </w:p>
    <w:bookmarkEnd w:id="1"/>
    <w:p w:rsidR="00DD63FF" w:rsidRPr="001D406B" w:rsidRDefault="001D406B" w:rsidP="00774B53">
      <w:pPr>
        <w:pStyle w:val="Title"/>
        <w:spacing w:before="120"/>
        <w:rPr>
          <w:rFonts w:ascii="Times New Roman" w:hAnsi="Times New Roman"/>
          <w:sz w:val="28"/>
          <w:szCs w:val="28"/>
        </w:rPr>
      </w:pPr>
      <w:r w:rsidRPr="001D406B">
        <w:rPr>
          <w:rFonts w:ascii="Times New Roman" w:hAnsi="Times New Roman"/>
          <w:sz w:val="28"/>
          <w:szCs w:val="28"/>
        </w:rPr>
        <w:t>Australian Communications and Media Authority</w:t>
      </w:r>
      <w:r w:rsidR="00DD63FF" w:rsidRPr="001D406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Allocation</w:t>
      </w:r>
      <w:r w:rsidR="00D35CE4">
        <w:rPr>
          <w:rFonts w:ascii="Times New Roman" w:hAnsi="Times New Roman"/>
          <w:sz w:val="28"/>
          <w:szCs w:val="28"/>
        </w:rPr>
        <w:t> </w:t>
      </w:r>
      <w:r w:rsidR="00BC046E">
        <w:rPr>
          <w:rFonts w:ascii="Times New Roman" w:hAnsi="Times New Roman"/>
          <w:sz w:val="28"/>
          <w:szCs w:val="28"/>
        </w:rPr>
        <w:t>Procedures</w:t>
      </w:r>
      <w:r w:rsidR="00C460CC">
        <w:rPr>
          <w:rFonts w:ascii="Times New Roman" w:hAnsi="Times New Roman"/>
          <w:sz w:val="28"/>
          <w:szCs w:val="28"/>
        </w:rPr>
        <w:t xml:space="preserve"> – Reserve Prices</w:t>
      </w:r>
      <w:r w:rsidR="00C33DA0" w:rsidRPr="001D406B">
        <w:rPr>
          <w:rFonts w:ascii="Times New Roman" w:hAnsi="Times New Roman"/>
          <w:sz w:val="28"/>
          <w:szCs w:val="28"/>
        </w:rPr>
        <w:t>)</w:t>
      </w:r>
      <w:r w:rsidR="00D35CE4">
        <w:rPr>
          <w:rFonts w:ascii="Times New Roman" w:hAnsi="Times New Roman"/>
          <w:sz w:val="28"/>
          <w:szCs w:val="28"/>
        </w:rPr>
        <w:t> </w:t>
      </w:r>
      <w:r w:rsidR="00C33DA0" w:rsidRPr="001D406B">
        <w:rPr>
          <w:rFonts w:ascii="Times New Roman" w:hAnsi="Times New Roman"/>
          <w:sz w:val="28"/>
          <w:szCs w:val="28"/>
        </w:rPr>
        <w:t xml:space="preserve">Direction </w:t>
      </w:r>
      <w:r w:rsidR="003F1629">
        <w:rPr>
          <w:rFonts w:ascii="Times New Roman" w:hAnsi="Times New Roman"/>
          <w:sz w:val="28"/>
          <w:szCs w:val="28"/>
        </w:rPr>
        <w:t xml:space="preserve">No. 1 of </w:t>
      </w:r>
      <w:r w:rsidR="00C33DA0" w:rsidRPr="001D406B">
        <w:rPr>
          <w:rFonts w:ascii="Times New Roman" w:hAnsi="Times New Roman"/>
          <w:sz w:val="28"/>
          <w:szCs w:val="28"/>
        </w:rPr>
        <w:t>201</w:t>
      </w:r>
      <w:r w:rsidR="003106B3" w:rsidRPr="001D406B">
        <w:rPr>
          <w:rFonts w:ascii="Times New Roman" w:hAnsi="Times New Roman"/>
          <w:sz w:val="28"/>
          <w:szCs w:val="28"/>
        </w:rPr>
        <w:t>2</w:t>
      </w:r>
      <w:r w:rsidR="008C75E9" w:rsidRPr="001D406B">
        <w:rPr>
          <w:rFonts w:ascii="Times New Roman" w:hAnsi="Times New Roman"/>
          <w:sz w:val="28"/>
          <w:szCs w:val="28"/>
        </w:rPr>
        <w:t xml:space="preserve"> </w:t>
      </w:r>
    </w:p>
    <w:p w:rsidR="00DD63FF" w:rsidRPr="001D406B" w:rsidRDefault="00DD63FF" w:rsidP="00DD63FF">
      <w:pPr>
        <w:rPr>
          <w:rFonts w:ascii="Times New Roman" w:hAnsi="Times New Roman"/>
        </w:rPr>
      </w:pPr>
    </w:p>
    <w:p w:rsidR="00DD63FF" w:rsidRPr="001D406B" w:rsidRDefault="00DD63FF" w:rsidP="00C54D3E">
      <w:pPr>
        <w:spacing w:before="400" w:line="300" w:lineRule="atLeast"/>
        <w:jc w:val="lef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I, STEPHEN MICHAEL CONROY, Minister for Broadband, Communications and the Digital Economy</w:t>
      </w:r>
      <w:r w:rsidR="001D406B" w:rsidRPr="001D406B">
        <w:t xml:space="preserve"> </w:t>
      </w:r>
      <w:r w:rsidR="001D406B" w:rsidRPr="001D406B">
        <w:rPr>
          <w:rFonts w:ascii="Times New Roman" w:hAnsi="Times New Roman"/>
          <w:sz w:val="24"/>
          <w:szCs w:val="24"/>
        </w:rPr>
        <w:t xml:space="preserve">make the following Direction under section 14 of the </w:t>
      </w:r>
      <w:r w:rsidR="001D406B" w:rsidRPr="001D406B">
        <w:rPr>
          <w:rFonts w:ascii="Times New Roman" w:hAnsi="Times New Roman"/>
          <w:i/>
          <w:sz w:val="24"/>
          <w:szCs w:val="24"/>
        </w:rPr>
        <w:t>Australian Communications and Media Authority Act 2005</w:t>
      </w:r>
      <w:r w:rsidR="001D406B" w:rsidRPr="001D406B">
        <w:rPr>
          <w:rFonts w:ascii="Times New Roman" w:hAnsi="Times New Roman"/>
          <w:sz w:val="24"/>
          <w:szCs w:val="24"/>
        </w:rPr>
        <w:t>.</w:t>
      </w:r>
    </w:p>
    <w:p w:rsidR="00DD63FF" w:rsidRPr="001D406B" w:rsidRDefault="00B667F6" w:rsidP="00DD63FF">
      <w:pPr>
        <w:tabs>
          <w:tab w:val="center" w:pos="3119"/>
        </w:tabs>
        <w:spacing w:before="300" w:after="600" w:line="300" w:lineRule="atLeas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Dated</w:t>
      </w:r>
      <w:r w:rsidR="00AC5DBD">
        <w:rPr>
          <w:rFonts w:ascii="Times New Roman" w:hAnsi="Times New Roman"/>
          <w:sz w:val="24"/>
          <w:szCs w:val="24"/>
        </w:rPr>
        <w:t xml:space="preserve"> 19 November </w:t>
      </w:r>
      <w:r w:rsidR="00B7550E" w:rsidRPr="001D406B">
        <w:rPr>
          <w:rFonts w:ascii="Times New Roman" w:hAnsi="Times New Roman"/>
          <w:sz w:val="24"/>
          <w:szCs w:val="24"/>
        </w:rPr>
        <w:t>2012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STEPHEN MICHAEL CONROY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Minister for Broadband, Communications and the Digital Economy</w:t>
      </w:r>
    </w:p>
    <w:p w:rsidR="00DD63FF" w:rsidRPr="001D406B" w:rsidRDefault="00DD63FF" w:rsidP="00DD63FF">
      <w:pPr>
        <w:jc w:val="center"/>
        <w:rPr>
          <w:rFonts w:ascii="Times New Roman" w:hAnsi="Times New Roman"/>
        </w:rPr>
      </w:pPr>
      <w:r w:rsidRPr="001D406B">
        <w:rPr>
          <w:rFonts w:ascii="Times New Roman" w:hAnsi="Times New Roman"/>
        </w:rPr>
        <w:t>_______________________________________________________________</w:t>
      </w:r>
    </w:p>
    <w:p w:rsidR="00DD63FF" w:rsidRPr="00793BBA" w:rsidRDefault="00DD63FF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Name of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</w:p>
    <w:p w:rsidR="00793BBA" w:rsidRPr="00793BBA" w:rsidRDefault="00DD63FF" w:rsidP="00793BBA">
      <w:pPr>
        <w:spacing w:before="240" w:line="300" w:lineRule="atLeast"/>
        <w:ind w:left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This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  <w:r w:rsidRPr="00793BBA">
        <w:rPr>
          <w:rFonts w:ascii="Times New Roman" w:hAnsi="Times New Roman"/>
          <w:sz w:val="24"/>
          <w:szCs w:val="24"/>
        </w:rPr>
        <w:t xml:space="preserve"> is the </w:t>
      </w:r>
      <w:r w:rsidR="00793BBA" w:rsidRPr="00793BBA">
        <w:rPr>
          <w:rFonts w:ascii="Times New Roman" w:hAnsi="Times New Roman"/>
          <w:i/>
          <w:sz w:val="24"/>
          <w:szCs w:val="24"/>
        </w:rPr>
        <w:t>Australian Communications and Media Authority (</w:t>
      </w:r>
      <w:r w:rsidR="00BC046E">
        <w:rPr>
          <w:rFonts w:ascii="Times New Roman" w:hAnsi="Times New Roman"/>
          <w:i/>
          <w:sz w:val="24"/>
          <w:szCs w:val="24"/>
        </w:rPr>
        <w:t>Allocation Procedures</w:t>
      </w:r>
      <w:r w:rsidR="00C460CC">
        <w:rPr>
          <w:rFonts w:ascii="Times New Roman" w:hAnsi="Times New Roman"/>
          <w:i/>
          <w:sz w:val="24"/>
          <w:szCs w:val="24"/>
        </w:rPr>
        <w:t xml:space="preserve"> </w:t>
      </w:r>
      <w:r w:rsidR="00CF6500">
        <w:rPr>
          <w:rFonts w:ascii="Times New Roman" w:hAnsi="Times New Roman"/>
          <w:i/>
          <w:sz w:val="24"/>
          <w:szCs w:val="24"/>
        </w:rPr>
        <w:t xml:space="preserve">– </w:t>
      </w:r>
      <w:r w:rsidR="00C460CC">
        <w:rPr>
          <w:rFonts w:ascii="Times New Roman" w:hAnsi="Times New Roman"/>
          <w:i/>
          <w:sz w:val="24"/>
          <w:szCs w:val="24"/>
        </w:rPr>
        <w:t>Reserve Prices</w:t>
      </w:r>
      <w:r w:rsidR="00793BBA" w:rsidRPr="00793BBA">
        <w:rPr>
          <w:rFonts w:ascii="Times New Roman" w:hAnsi="Times New Roman"/>
          <w:i/>
          <w:sz w:val="24"/>
          <w:szCs w:val="24"/>
        </w:rPr>
        <w:t xml:space="preserve">) Direction </w:t>
      </w:r>
      <w:r w:rsidR="003F1629">
        <w:rPr>
          <w:rFonts w:ascii="Times New Roman" w:hAnsi="Times New Roman"/>
          <w:i/>
          <w:sz w:val="24"/>
          <w:szCs w:val="24"/>
        </w:rPr>
        <w:t xml:space="preserve">No. 1 of </w:t>
      </w:r>
      <w:r w:rsidR="00793BBA" w:rsidRPr="00793BBA">
        <w:rPr>
          <w:rFonts w:ascii="Times New Roman" w:hAnsi="Times New Roman"/>
          <w:i/>
          <w:sz w:val="24"/>
          <w:szCs w:val="24"/>
        </w:rPr>
        <w:t>2012</w:t>
      </w:r>
      <w:r w:rsidR="00793BBA">
        <w:rPr>
          <w:rFonts w:ascii="Times New Roman" w:hAnsi="Times New Roman"/>
          <w:sz w:val="24"/>
          <w:szCs w:val="24"/>
        </w:rPr>
        <w:t xml:space="preserve">.  </w:t>
      </w:r>
      <w:r w:rsidR="00793BBA" w:rsidRPr="00793BBA">
        <w:rPr>
          <w:rFonts w:ascii="Times New Roman" w:hAnsi="Times New Roman"/>
          <w:i/>
          <w:sz w:val="24"/>
          <w:szCs w:val="24"/>
        </w:rPr>
        <w:t xml:space="preserve"> </w:t>
      </w:r>
    </w:p>
    <w:p w:rsidR="00DD63FF" w:rsidRPr="00793BBA" w:rsidRDefault="00DD63FF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>Commencement</w:t>
      </w:r>
    </w:p>
    <w:p w:rsidR="00DD63FF" w:rsidRPr="00793BBA" w:rsidRDefault="00DD63FF" w:rsidP="00793BBA">
      <w:pPr>
        <w:spacing w:before="240"/>
        <w:ind w:left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This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  <w:r w:rsidRPr="00793BBA">
        <w:rPr>
          <w:rFonts w:ascii="Times New Roman" w:hAnsi="Times New Roman"/>
          <w:sz w:val="24"/>
          <w:szCs w:val="24"/>
        </w:rPr>
        <w:t xml:space="preserve"> commences on the day it is </w:t>
      </w:r>
      <w:r w:rsidR="00291540">
        <w:rPr>
          <w:rFonts w:ascii="Times New Roman" w:hAnsi="Times New Roman"/>
          <w:sz w:val="24"/>
          <w:szCs w:val="24"/>
        </w:rPr>
        <w:t>made</w:t>
      </w:r>
      <w:r w:rsidRPr="00793BBA">
        <w:rPr>
          <w:rFonts w:ascii="Times New Roman" w:hAnsi="Times New Roman"/>
          <w:sz w:val="24"/>
          <w:szCs w:val="24"/>
        </w:rPr>
        <w:t>.</w:t>
      </w:r>
    </w:p>
    <w:p w:rsidR="00506903" w:rsidRDefault="00506903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</w:t>
      </w:r>
    </w:p>
    <w:p w:rsidR="00506903" w:rsidRDefault="00506903" w:rsidP="00506903">
      <w:pPr>
        <w:pStyle w:val="R1"/>
        <w:ind w:left="567"/>
        <w:rPr>
          <w:rFonts w:ascii="Times New Roman" w:hAnsi="Times New Roman"/>
          <w:sz w:val="24"/>
          <w:szCs w:val="24"/>
        </w:rPr>
      </w:pPr>
      <w:r w:rsidRPr="00506903">
        <w:rPr>
          <w:rFonts w:ascii="Times New Roman" w:hAnsi="Times New Roman"/>
          <w:sz w:val="24"/>
          <w:szCs w:val="24"/>
        </w:rPr>
        <w:t xml:space="preserve">This Direction applies only to the </w:t>
      </w:r>
      <w:r w:rsidR="00521C12">
        <w:rPr>
          <w:rFonts w:ascii="Times New Roman" w:hAnsi="Times New Roman"/>
          <w:sz w:val="24"/>
          <w:szCs w:val="24"/>
        </w:rPr>
        <w:t>relevant s</w:t>
      </w:r>
      <w:r w:rsidR="00C460CC">
        <w:rPr>
          <w:rFonts w:ascii="Times New Roman" w:hAnsi="Times New Roman"/>
          <w:sz w:val="24"/>
          <w:szCs w:val="24"/>
        </w:rPr>
        <w:t>pectrum.</w:t>
      </w:r>
    </w:p>
    <w:p w:rsidR="003F1629" w:rsidRDefault="003F1629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Cessation</w:t>
      </w:r>
    </w:p>
    <w:p w:rsidR="003F1629" w:rsidRPr="00B10561" w:rsidRDefault="003F1629" w:rsidP="003F1629">
      <w:pPr>
        <w:pStyle w:val="R1"/>
        <w:tabs>
          <w:tab w:val="clear" w:pos="1080"/>
          <w:tab w:val="clear" w:pos="1260"/>
          <w:tab w:val="clear" w:pos="1800"/>
        </w:tabs>
        <w:ind w:left="567"/>
        <w:rPr>
          <w:rFonts w:ascii="Times New Roman" w:hAnsi="Times New Roman"/>
          <w:sz w:val="24"/>
          <w:szCs w:val="24"/>
        </w:rPr>
      </w:pPr>
      <w:r w:rsidRPr="003C1C45">
        <w:rPr>
          <w:rFonts w:ascii="Times New Roman" w:hAnsi="Times New Roman"/>
          <w:sz w:val="24"/>
          <w:szCs w:val="24"/>
        </w:rPr>
        <w:t xml:space="preserve">This Direction ceases </w:t>
      </w:r>
      <w:r w:rsidRPr="00B10561">
        <w:rPr>
          <w:rFonts w:ascii="Times New Roman" w:hAnsi="Times New Roman"/>
          <w:sz w:val="24"/>
          <w:szCs w:val="24"/>
        </w:rPr>
        <w:t xml:space="preserve">to have effect as if repealed by another instrument 12 months after it commences. </w:t>
      </w:r>
    </w:p>
    <w:p w:rsidR="00DD63FF" w:rsidRPr="00793BBA" w:rsidRDefault="00793BBA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</w:t>
      </w:r>
      <w:r w:rsidR="003F16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rpretation </w:t>
      </w:r>
    </w:p>
    <w:p w:rsidR="00D34C81" w:rsidRDefault="00D34C81" w:rsidP="00793BBA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this Direction: </w:t>
      </w:r>
    </w:p>
    <w:p w:rsidR="00D34C81" w:rsidRPr="00D34C81" w:rsidRDefault="00D34C81" w:rsidP="008B4803">
      <w:pPr>
        <w:spacing w:before="120"/>
        <w:ind w:left="567"/>
        <w:jc w:val="left"/>
        <w:rPr>
          <w:rFonts w:ascii="Times New Roman" w:hAnsi="Times New Roman"/>
          <w:sz w:val="24"/>
          <w:szCs w:val="24"/>
        </w:rPr>
      </w:pPr>
      <w:r w:rsidRPr="00D34C81">
        <w:rPr>
          <w:rFonts w:ascii="Times New Roman" w:hAnsi="Times New Roman"/>
          <w:b/>
          <w:bCs/>
          <w:i/>
          <w:iCs/>
          <w:sz w:val="24"/>
          <w:szCs w:val="24"/>
        </w:rPr>
        <w:t xml:space="preserve">ACMA </w:t>
      </w:r>
      <w:r w:rsidRPr="00D34C81">
        <w:rPr>
          <w:rFonts w:ascii="Times New Roman" w:hAnsi="Times New Roman"/>
          <w:sz w:val="24"/>
          <w:szCs w:val="24"/>
        </w:rPr>
        <w:t>means the</w:t>
      </w:r>
      <w:r w:rsidRPr="00D34C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4C81">
        <w:rPr>
          <w:rFonts w:ascii="Times New Roman" w:hAnsi="Times New Roman"/>
          <w:sz w:val="24"/>
          <w:szCs w:val="24"/>
        </w:rPr>
        <w:t>Australian Communications and Media Authority.</w:t>
      </w:r>
    </w:p>
    <w:p w:rsidR="00971A1E" w:rsidRPr="00291540" w:rsidRDefault="00971A1E" w:rsidP="00971A1E">
      <w:pPr>
        <w:spacing w:before="120"/>
        <w:ind w:left="567"/>
        <w:jc w:val="left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Act </w:t>
      </w:r>
      <w:r>
        <w:rPr>
          <w:rFonts w:ascii="Times New Roman" w:hAnsi="Times New Roman"/>
          <w:bCs/>
          <w:iCs/>
          <w:sz w:val="24"/>
          <w:szCs w:val="24"/>
        </w:rPr>
        <w:t xml:space="preserve"> means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the </w:t>
      </w:r>
      <w:r w:rsidRPr="00554549">
        <w:rPr>
          <w:rFonts w:ascii="Times New Roman" w:hAnsi="Times New Roman"/>
          <w:bCs/>
          <w:i/>
          <w:iCs/>
          <w:sz w:val="24"/>
          <w:szCs w:val="24"/>
        </w:rPr>
        <w:t>Radiocommunications Act 1992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971A1E" w:rsidRDefault="00971A1E" w:rsidP="008B4803">
      <w:pPr>
        <w:pStyle w:val="R1"/>
        <w:ind w:left="567"/>
        <w:jc w:val="lef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A57C5" w:rsidRPr="00EA57C5" w:rsidRDefault="00EA57C5" w:rsidP="008B4803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Allocation Procedures </w:t>
      </w:r>
      <w:r>
        <w:rPr>
          <w:rFonts w:ascii="Times New Roman" w:hAnsi="Times New Roman"/>
          <w:color w:val="000000"/>
          <w:sz w:val="24"/>
          <w:szCs w:val="24"/>
        </w:rPr>
        <w:t>means the procedures to be determined by the ACMA for allocating the relevant spectrum in accordance with section 60 of the Act.</w:t>
      </w:r>
    </w:p>
    <w:p w:rsidR="00E90DD6" w:rsidRPr="008B4803" w:rsidRDefault="00521C12" w:rsidP="008B4803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relevant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s</w:t>
      </w:r>
      <w:r w:rsidR="00C460CC">
        <w:rPr>
          <w:rFonts w:ascii="Times New Roman" w:hAnsi="Times New Roman"/>
          <w:b/>
          <w:i/>
          <w:color w:val="000000"/>
          <w:sz w:val="24"/>
          <w:szCs w:val="24"/>
        </w:rPr>
        <w:t>pectrum</w:t>
      </w:r>
      <w:r w:rsidR="00E90DD6" w:rsidRPr="008B4803">
        <w:rPr>
          <w:rFonts w:ascii="Times New Roman" w:hAnsi="Times New Roman"/>
          <w:color w:val="000000"/>
          <w:sz w:val="24"/>
          <w:szCs w:val="24"/>
        </w:rPr>
        <w:t xml:space="preserve"> means the</w:t>
      </w:r>
      <w:r w:rsidR="00E01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60CC">
        <w:rPr>
          <w:rFonts w:ascii="Times New Roman" w:hAnsi="Times New Roman"/>
          <w:color w:val="000000"/>
          <w:sz w:val="24"/>
          <w:szCs w:val="24"/>
        </w:rPr>
        <w:t xml:space="preserve">parts of the spectrum referred to in the </w:t>
      </w:r>
      <w:r w:rsidR="00506903">
        <w:rPr>
          <w:rFonts w:ascii="Times New Roman" w:hAnsi="Times New Roman"/>
          <w:i/>
          <w:color w:val="000000"/>
          <w:sz w:val="24"/>
          <w:szCs w:val="24"/>
        </w:rPr>
        <w:t xml:space="preserve">Radiocommunications (Spectrum Re-allocation) Declaration No. 1 of 2011 </w:t>
      </w:r>
      <w:r w:rsidR="00506903">
        <w:rPr>
          <w:rFonts w:ascii="Times New Roman" w:hAnsi="Times New Roman"/>
          <w:color w:val="000000"/>
          <w:sz w:val="24"/>
          <w:szCs w:val="24"/>
        </w:rPr>
        <w:t xml:space="preserve">and the </w:t>
      </w:r>
      <w:r w:rsidR="00506903">
        <w:rPr>
          <w:rFonts w:ascii="Times New Roman" w:hAnsi="Times New Roman"/>
          <w:i/>
          <w:color w:val="000000"/>
          <w:sz w:val="24"/>
          <w:szCs w:val="24"/>
        </w:rPr>
        <w:t xml:space="preserve">Radiocommunications (Spectrum Re-allocation) Declaration No. </w:t>
      </w:r>
      <w:r w:rsidR="00B06A1E">
        <w:rPr>
          <w:rFonts w:ascii="Times New Roman" w:hAnsi="Times New Roman"/>
          <w:i/>
          <w:color w:val="000000"/>
          <w:sz w:val="24"/>
          <w:szCs w:val="24"/>
        </w:rPr>
        <w:t>2</w:t>
      </w:r>
      <w:r w:rsidR="00506903">
        <w:rPr>
          <w:rFonts w:ascii="Times New Roman" w:hAnsi="Times New Roman"/>
          <w:i/>
          <w:color w:val="000000"/>
          <w:sz w:val="24"/>
          <w:szCs w:val="24"/>
        </w:rPr>
        <w:t xml:space="preserve"> of 2011</w:t>
      </w:r>
      <w:r w:rsidR="00E90DD6" w:rsidRPr="008B480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793BBA" w:rsidRPr="00793BBA" w:rsidRDefault="00793BBA" w:rsidP="00793BBA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Direction</w:t>
      </w:r>
      <w:r w:rsidR="001E1F14">
        <w:rPr>
          <w:rFonts w:ascii="Times New Roman" w:hAnsi="Times New Roman"/>
          <w:sz w:val="24"/>
          <w:szCs w:val="24"/>
        </w:rPr>
        <w:t xml:space="preserve"> </w:t>
      </w:r>
    </w:p>
    <w:p w:rsidR="008461D8" w:rsidRDefault="003C0F27" w:rsidP="00521C12">
      <w:pPr>
        <w:pStyle w:val="R1"/>
        <w:numPr>
          <w:ilvl w:val="0"/>
          <w:numId w:val="24"/>
        </w:numPr>
        <w:tabs>
          <w:tab w:val="clear" w:pos="1080"/>
          <w:tab w:val="clear" w:pos="1260"/>
          <w:tab w:val="clear" w:pos="1800"/>
          <w:tab w:val="left" w:pos="567"/>
        </w:tabs>
        <w:jc w:val="left"/>
      </w:pPr>
      <w:r>
        <w:rPr>
          <w:rFonts w:ascii="Times New Roman" w:hAnsi="Times New Roman"/>
          <w:color w:val="000000"/>
          <w:sz w:val="24"/>
          <w:szCs w:val="24"/>
        </w:rPr>
        <w:t>I direct the ACMA</w:t>
      </w:r>
      <w:r w:rsidR="00C460CC">
        <w:rPr>
          <w:rFonts w:ascii="Times New Roman" w:hAnsi="Times New Roman"/>
          <w:color w:val="000000"/>
          <w:sz w:val="24"/>
          <w:szCs w:val="24"/>
        </w:rPr>
        <w:t xml:space="preserve"> that it must </w:t>
      </w:r>
      <w:r w:rsidR="003F1629">
        <w:rPr>
          <w:rFonts w:ascii="Times New Roman" w:hAnsi="Times New Roman"/>
          <w:color w:val="000000"/>
          <w:sz w:val="24"/>
          <w:szCs w:val="24"/>
        </w:rPr>
        <w:t>offer</w:t>
      </w:r>
      <w:r w:rsidR="00C460CC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521C12">
        <w:rPr>
          <w:rFonts w:ascii="Times New Roman" w:hAnsi="Times New Roman"/>
          <w:color w:val="000000"/>
          <w:sz w:val="24"/>
          <w:szCs w:val="24"/>
        </w:rPr>
        <w:t>relevant s</w:t>
      </w:r>
      <w:r w:rsidR="00C460CC">
        <w:rPr>
          <w:rFonts w:ascii="Times New Roman" w:hAnsi="Times New Roman"/>
          <w:color w:val="000000"/>
          <w:sz w:val="24"/>
          <w:szCs w:val="24"/>
        </w:rPr>
        <w:t xml:space="preserve">pectrum </w:t>
      </w:r>
      <w:r w:rsidR="003F1629">
        <w:rPr>
          <w:rFonts w:ascii="Times New Roman" w:hAnsi="Times New Roman"/>
          <w:color w:val="000000"/>
          <w:sz w:val="24"/>
          <w:szCs w:val="24"/>
        </w:rPr>
        <w:t xml:space="preserve">for allocation </w:t>
      </w:r>
      <w:r w:rsidR="00C460CC">
        <w:rPr>
          <w:rFonts w:ascii="Times New Roman" w:hAnsi="Times New Roman"/>
          <w:color w:val="000000"/>
          <w:sz w:val="24"/>
          <w:szCs w:val="24"/>
        </w:rPr>
        <w:t>by way of auction.</w:t>
      </w:r>
      <w:r w:rsidR="00C460CC">
        <w:t xml:space="preserve"> </w:t>
      </w:r>
    </w:p>
    <w:p w:rsidR="007D7EBC" w:rsidRDefault="007D7EBC">
      <w:pPr>
        <w:pStyle w:val="P1"/>
        <w:jc w:val="left"/>
      </w:pPr>
    </w:p>
    <w:p w:rsidR="00EA57C5" w:rsidRDefault="008461D8">
      <w:pPr>
        <w:pStyle w:val="P1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8C44B5">
        <w:rPr>
          <w:rFonts w:ascii="Times New Roman" w:hAnsi="Times New Roman"/>
          <w:sz w:val="24"/>
          <w:szCs w:val="24"/>
        </w:rPr>
        <w:t xml:space="preserve">I direct the ACMA </w:t>
      </w:r>
      <w:r w:rsidR="00C460CC">
        <w:rPr>
          <w:rFonts w:ascii="Times New Roman" w:hAnsi="Times New Roman"/>
          <w:sz w:val="24"/>
          <w:szCs w:val="24"/>
        </w:rPr>
        <w:t xml:space="preserve">that </w:t>
      </w:r>
      <w:r w:rsidR="00EA57C5">
        <w:rPr>
          <w:rFonts w:ascii="Times New Roman" w:hAnsi="Times New Roman"/>
          <w:sz w:val="24"/>
          <w:szCs w:val="24"/>
        </w:rPr>
        <w:t>the Allocation Procedures must:</w:t>
      </w:r>
    </w:p>
    <w:p w:rsidR="00EA57C5" w:rsidRDefault="00EA57C5" w:rsidP="00EA57C5">
      <w:pPr>
        <w:pStyle w:val="ListParagraph"/>
        <w:rPr>
          <w:rFonts w:ascii="Times New Roman" w:hAnsi="Times New Roman"/>
          <w:sz w:val="24"/>
          <w:szCs w:val="24"/>
        </w:rPr>
      </w:pPr>
    </w:p>
    <w:p w:rsidR="00EA57C5" w:rsidRDefault="00C460CC" w:rsidP="00EA57C5">
      <w:pPr>
        <w:pStyle w:val="P1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deal with r</w:t>
      </w:r>
      <w:r w:rsidR="008C44B5" w:rsidRPr="008C44B5">
        <w:rPr>
          <w:rFonts w:ascii="Times New Roman" w:hAnsi="Times New Roman"/>
          <w:sz w:val="24"/>
          <w:szCs w:val="24"/>
        </w:rPr>
        <w:t>eserve price</w:t>
      </w:r>
      <w:r>
        <w:rPr>
          <w:rFonts w:ascii="Times New Roman" w:hAnsi="Times New Roman"/>
          <w:sz w:val="24"/>
          <w:szCs w:val="24"/>
        </w:rPr>
        <w:t>s</w:t>
      </w:r>
      <w:r w:rsidR="00521AE8">
        <w:rPr>
          <w:rFonts w:ascii="Times New Roman" w:hAnsi="Times New Roman"/>
          <w:sz w:val="24"/>
          <w:szCs w:val="24"/>
        </w:rPr>
        <w:t xml:space="preserve"> for the auction</w:t>
      </w:r>
      <w:r w:rsidR="00EA57C5">
        <w:rPr>
          <w:rFonts w:ascii="Times New Roman" w:hAnsi="Times New Roman"/>
          <w:sz w:val="24"/>
          <w:szCs w:val="24"/>
        </w:rPr>
        <w:t>;</w:t>
      </w:r>
      <w:r w:rsidR="0006232B">
        <w:rPr>
          <w:rFonts w:ascii="Times New Roman" w:hAnsi="Times New Roman"/>
          <w:sz w:val="24"/>
          <w:szCs w:val="24"/>
        </w:rPr>
        <w:t xml:space="preserve"> and</w:t>
      </w:r>
    </w:p>
    <w:p w:rsidR="00EA57C5" w:rsidRDefault="00EA57C5" w:rsidP="00EA57C5">
      <w:pPr>
        <w:pStyle w:val="P1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provide</w:t>
      </w:r>
      <w:proofErr w:type="gramEnd"/>
      <w:r>
        <w:rPr>
          <w:rFonts w:ascii="Times New Roman" w:hAnsi="Times New Roman"/>
          <w:sz w:val="24"/>
          <w:szCs w:val="24"/>
        </w:rPr>
        <w:t xml:space="preserve"> for the ACMA to set the reserve prices</w:t>
      </w:r>
      <w:r w:rsidR="0006232B">
        <w:rPr>
          <w:rFonts w:ascii="Times New Roman" w:hAnsi="Times New Roman"/>
          <w:sz w:val="24"/>
          <w:szCs w:val="24"/>
        </w:rPr>
        <w:t>.</w:t>
      </w:r>
    </w:p>
    <w:p w:rsidR="00EA57C5" w:rsidRDefault="00EA57C5" w:rsidP="00EA57C5">
      <w:pPr>
        <w:pStyle w:val="P1"/>
        <w:ind w:hanging="1276"/>
        <w:jc w:val="left"/>
        <w:rPr>
          <w:rFonts w:ascii="Times New Roman" w:hAnsi="Times New Roman"/>
          <w:sz w:val="24"/>
          <w:szCs w:val="24"/>
        </w:rPr>
      </w:pPr>
    </w:p>
    <w:p w:rsidR="00EA57C5" w:rsidRDefault="00EA57C5" w:rsidP="00EA57C5">
      <w:pPr>
        <w:pStyle w:val="P1"/>
        <w:numPr>
          <w:ilvl w:val="0"/>
          <w:numId w:val="24"/>
        </w:numPr>
        <w:tabs>
          <w:tab w:val="clear" w:pos="108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direct the ACMA that it must not set the reserve prices in accordance with its Allocation Procedures until the earlier of:</w:t>
      </w:r>
    </w:p>
    <w:p w:rsidR="00EA57C5" w:rsidRDefault="00EA57C5" w:rsidP="00EA57C5">
      <w:pPr>
        <w:pStyle w:val="P1"/>
        <w:ind w:left="1287" w:firstLine="0"/>
        <w:jc w:val="left"/>
        <w:rPr>
          <w:rFonts w:ascii="Times New Roman" w:hAnsi="Times New Roman"/>
          <w:sz w:val="24"/>
          <w:szCs w:val="24"/>
        </w:rPr>
      </w:pPr>
    </w:p>
    <w:p w:rsidR="007D7EBC" w:rsidRPr="00EA57C5" w:rsidRDefault="00171773" w:rsidP="007A75FB">
      <w:pPr>
        <w:pStyle w:val="P1"/>
        <w:numPr>
          <w:ilvl w:val="0"/>
          <w:numId w:val="26"/>
        </w:numPr>
        <w:ind w:left="1985" w:hanging="698"/>
        <w:jc w:val="left"/>
        <w:rPr>
          <w:rFonts w:ascii="Times New Roman" w:hAnsi="Times New Roman"/>
          <w:sz w:val="24"/>
          <w:szCs w:val="24"/>
        </w:rPr>
      </w:pPr>
      <w:r w:rsidRPr="00EA57C5">
        <w:rPr>
          <w:rFonts w:ascii="Times New Roman" w:hAnsi="Times New Roman"/>
          <w:sz w:val="24"/>
          <w:szCs w:val="24"/>
        </w:rPr>
        <w:t>the</w:t>
      </w:r>
      <w:r w:rsidR="008C44B5" w:rsidRPr="00EA57C5">
        <w:rPr>
          <w:rFonts w:ascii="Times New Roman" w:hAnsi="Times New Roman"/>
          <w:sz w:val="24"/>
          <w:szCs w:val="24"/>
        </w:rPr>
        <w:t xml:space="preserve"> </w:t>
      </w:r>
      <w:r w:rsidR="004F2882" w:rsidRPr="00EA57C5">
        <w:rPr>
          <w:rFonts w:ascii="Times New Roman" w:hAnsi="Times New Roman"/>
          <w:sz w:val="24"/>
          <w:szCs w:val="24"/>
        </w:rPr>
        <w:t xml:space="preserve">day after </w:t>
      </w:r>
      <w:r w:rsidR="00EA57C5">
        <w:rPr>
          <w:rFonts w:ascii="Times New Roman" w:hAnsi="Times New Roman"/>
          <w:sz w:val="24"/>
          <w:szCs w:val="24"/>
        </w:rPr>
        <w:t>the Minister</w:t>
      </w:r>
      <w:r w:rsidR="004F2882" w:rsidRPr="00EA57C5">
        <w:rPr>
          <w:rFonts w:ascii="Times New Roman" w:hAnsi="Times New Roman"/>
          <w:sz w:val="24"/>
          <w:szCs w:val="24"/>
        </w:rPr>
        <w:t xml:space="preserve"> give</w:t>
      </w:r>
      <w:r w:rsidR="00EA57C5">
        <w:rPr>
          <w:rFonts w:ascii="Times New Roman" w:hAnsi="Times New Roman"/>
          <w:sz w:val="24"/>
          <w:szCs w:val="24"/>
        </w:rPr>
        <w:t>s</w:t>
      </w:r>
      <w:r w:rsidR="004F2882" w:rsidRPr="00EA57C5">
        <w:rPr>
          <w:rFonts w:ascii="Times New Roman" w:hAnsi="Times New Roman"/>
          <w:sz w:val="24"/>
          <w:szCs w:val="24"/>
        </w:rPr>
        <w:t xml:space="preserve"> a </w:t>
      </w:r>
      <w:r w:rsidR="008C44B5" w:rsidRPr="00EA57C5">
        <w:rPr>
          <w:rFonts w:ascii="Times New Roman" w:hAnsi="Times New Roman"/>
          <w:sz w:val="24"/>
          <w:szCs w:val="24"/>
        </w:rPr>
        <w:t xml:space="preserve">further direction </w:t>
      </w:r>
      <w:r w:rsidR="004F2882" w:rsidRPr="00EA57C5">
        <w:rPr>
          <w:rFonts w:ascii="Times New Roman" w:hAnsi="Times New Roman"/>
          <w:sz w:val="24"/>
          <w:szCs w:val="24"/>
        </w:rPr>
        <w:t xml:space="preserve">to the ACMA </w:t>
      </w:r>
      <w:r w:rsidR="008C44B5" w:rsidRPr="00EA57C5">
        <w:rPr>
          <w:rFonts w:ascii="Times New Roman" w:hAnsi="Times New Roman"/>
          <w:sz w:val="24"/>
          <w:szCs w:val="24"/>
        </w:rPr>
        <w:t xml:space="preserve">in relation to reserve prices for the </w:t>
      </w:r>
      <w:r w:rsidR="00521C12" w:rsidRPr="00EA57C5">
        <w:rPr>
          <w:rFonts w:ascii="Times New Roman" w:hAnsi="Times New Roman"/>
          <w:sz w:val="24"/>
          <w:szCs w:val="24"/>
        </w:rPr>
        <w:t>relevant s</w:t>
      </w:r>
      <w:r w:rsidR="008C44B5" w:rsidRPr="00EA57C5">
        <w:rPr>
          <w:rFonts w:ascii="Times New Roman" w:hAnsi="Times New Roman"/>
          <w:sz w:val="24"/>
          <w:szCs w:val="24"/>
        </w:rPr>
        <w:t>pectrum</w:t>
      </w:r>
      <w:r w:rsidR="004F2882" w:rsidRPr="00EA57C5">
        <w:rPr>
          <w:rFonts w:ascii="Times New Roman" w:hAnsi="Times New Roman"/>
          <w:sz w:val="24"/>
          <w:szCs w:val="24"/>
        </w:rPr>
        <w:t>;</w:t>
      </w:r>
      <w:r w:rsidR="008C44B5" w:rsidRPr="00EA57C5">
        <w:rPr>
          <w:rFonts w:ascii="Times New Roman" w:hAnsi="Times New Roman"/>
          <w:sz w:val="24"/>
          <w:szCs w:val="24"/>
        </w:rPr>
        <w:t xml:space="preserve"> or </w:t>
      </w:r>
    </w:p>
    <w:p w:rsidR="00971A1E" w:rsidRDefault="008C44B5" w:rsidP="0006232B">
      <w:pPr>
        <w:pStyle w:val="P1"/>
        <w:numPr>
          <w:ilvl w:val="0"/>
          <w:numId w:val="26"/>
        </w:numPr>
        <w:ind w:left="1985" w:hanging="698"/>
        <w:jc w:val="left"/>
        <w:rPr>
          <w:rFonts w:ascii="Times New Roman" w:hAnsi="Times New Roman"/>
          <w:sz w:val="24"/>
          <w:szCs w:val="24"/>
        </w:rPr>
      </w:pPr>
      <w:r w:rsidRPr="00D0572E">
        <w:rPr>
          <w:rFonts w:ascii="Times New Roman" w:hAnsi="Times New Roman"/>
          <w:sz w:val="24"/>
          <w:szCs w:val="24"/>
        </w:rPr>
        <w:t>sixty days after</w:t>
      </w:r>
      <w:r w:rsidRPr="008C44B5">
        <w:rPr>
          <w:rFonts w:ascii="Times New Roman" w:hAnsi="Times New Roman"/>
          <w:sz w:val="24"/>
          <w:szCs w:val="24"/>
        </w:rPr>
        <w:t xml:space="preserve"> the ACMA publishes a notice </w:t>
      </w:r>
      <w:r w:rsidR="004F2882">
        <w:rPr>
          <w:rFonts w:ascii="Times New Roman" w:hAnsi="Times New Roman"/>
          <w:sz w:val="24"/>
          <w:szCs w:val="24"/>
        </w:rPr>
        <w:t>that</w:t>
      </w:r>
      <w:r w:rsidR="00971A1E">
        <w:rPr>
          <w:rFonts w:ascii="Times New Roman" w:hAnsi="Times New Roman"/>
          <w:sz w:val="24"/>
          <w:szCs w:val="24"/>
        </w:rPr>
        <w:t>:</w:t>
      </w:r>
    </w:p>
    <w:p w:rsidR="00971A1E" w:rsidRDefault="00971A1E" w:rsidP="00971A1E">
      <w:pPr>
        <w:pStyle w:val="P1"/>
        <w:numPr>
          <w:ilvl w:val="0"/>
          <w:numId w:val="27"/>
        </w:numPr>
        <w:ind w:left="2694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specifies the </w:t>
      </w:r>
      <w:r w:rsidR="00521C12">
        <w:rPr>
          <w:rFonts w:ascii="Times New Roman" w:hAnsi="Times New Roman"/>
          <w:sz w:val="24"/>
          <w:szCs w:val="24"/>
        </w:rPr>
        <w:t>relevant s</w:t>
      </w:r>
      <w:r w:rsidR="004F2882">
        <w:rPr>
          <w:rFonts w:ascii="Times New Roman" w:hAnsi="Times New Roman"/>
          <w:sz w:val="24"/>
          <w:szCs w:val="24"/>
        </w:rPr>
        <w:t xml:space="preserve">pectrum </w:t>
      </w:r>
      <w:r>
        <w:rPr>
          <w:rFonts w:ascii="Times New Roman" w:hAnsi="Times New Roman"/>
          <w:sz w:val="24"/>
          <w:szCs w:val="24"/>
        </w:rPr>
        <w:t xml:space="preserve">is </w:t>
      </w:r>
      <w:r w:rsidR="004F2882">
        <w:rPr>
          <w:rFonts w:ascii="Times New Roman" w:hAnsi="Times New Roman"/>
          <w:sz w:val="24"/>
          <w:szCs w:val="24"/>
        </w:rPr>
        <w:t>to be auctioned</w:t>
      </w:r>
      <w:r>
        <w:rPr>
          <w:rFonts w:ascii="Times New Roman" w:hAnsi="Times New Roman"/>
          <w:sz w:val="24"/>
          <w:szCs w:val="24"/>
        </w:rPr>
        <w:t>;</w:t>
      </w:r>
    </w:p>
    <w:p w:rsidR="00971A1E" w:rsidRDefault="004F2882" w:rsidP="00971A1E">
      <w:pPr>
        <w:pStyle w:val="P1"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invites persons to apply to the ACMA to take part in the auction</w:t>
      </w:r>
      <w:r w:rsidR="00971A1E">
        <w:rPr>
          <w:rFonts w:ascii="Times New Roman" w:hAnsi="Times New Roman"/>
          <w:sz w:val="24"/>
          <w:szCs w:val="24"/>
        </w:rPr>
        <w:t>; and</w:t>
      </w:r>
    </w:p>
    <w:p w:rsidR="007D7EBC" w:rsidRDefault="00971A1E" w:rsidP="00971A1E">
      <w:pPr>
        <w:pStyle w:val="P1"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states</w:t>
      </w:r>
      <w:proofErr w:type="gramEnd"/>
      <w:r>
        <w:rPr>
          <w:rFonts w:ascii="Times New Roman" w:hAnsi="Times New Roman"/>
          <w:sz w:val="24"/>
          <w:szCs w:val="24"/>
        </w:rPr>
        <w:t xml:space="preserve"> the date and time before which applications must be received by the ACMA and the application fee must be paid to the ACMA on behalf of the Commonwealth</w:t>
      </w:r>
      <w:r w:rsidR="008C44B5" w:rsidRPr="008C44B5">
        <w:rPr>
          <w:rFonts w:ascii="Times New Roman" w:hAnsi="Times New Roman"/>
          <w:sz w:val="24"/>
          <w:szCs w:val="24"/>
        </w:rPr>
        <w:t>.</w:t>
      </w:r>
    </w:p>
    <w:p w:rsidR="007D7EBC" w:rsidRDefault="007D7EBC">
      <w:pPr>
        <w:pStyle w:val="P1"/>
        <w:ind w:left="1647" w:firstLine="0"/>
        <w:jc w:val="left"/>
        <w:rPr>
          <w:rFonts w:ascii="Times New Roman" w:hAnsi="Times New Roman"/>
          <w:sz w:val="24"/>
          <w:szCs w:val="24"/>
        </w:rPr>
      </w:pPr>
    </w:p>
    <w:p w:rsidR="007D7EBC" w:rsidRDefault="00171773">
      <w:pPr>
        <w:pStyle w:val="P1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6C1908">
        <w:rPr>
          <w:rFonts w:ascii="Times New Roman" w:hAnsi="Times New Roman"/>
          <w:sz w:val="24"/>
          <w:szCs w:val="24"/>
        </w:rPr>
        <w:t xml:space="preserve">For the avoidance of doubt, nothing in this Direction prevents the ACMA from considering other relevant matters in making </w:t>
      </w:r>
      <w:r w:rsidR="00EA57C5">
        <w:rPr>
          <w:rFonts w:ascii="Times New Roman" w:hAnsi="Times New Roman"/>
          <w:sz w:val="24"/>
          <w:szCs w:val="24"/>
        </w:rPr>
        <w:t>its Allocation Procedures</w:t>
      </w:r>
      <w:r w:rsidR="006C1908" w:rsidRPr="006C1908">
        <w:rPr>
          <w:rFonts w:ascii="Times New Roman" w:hAnsi="Times New Roman"/>
          <w:sz w:val="24"/>
          <w:szCs w:val="24"/>
        </w:rPr>
        <w:t>.</w:t>
      </w:r>
    </w:p>
    <w:p w:rsidR="00C10C37" w:rsidRPr="006C1908" w:rsidRDefault="00C10C37" w:rsidP="00C10C37">
      <w:pPr>
        <w:pStyle w:val="P1"/>
        <w:rPr>
          <w:rFonts w:ascii="Times New Roman" w:hAnsi="Times New Roman"/>
          <w:sz w:val="24"/>
          <w:szCs w:val="24"/>
        </w:rPr>
      </w:pPr>
    </w:p>
    <w:p w:rsidR="00C10C37" w:rsidRDefault="00C10C37" w:rsidP="00C10C37">
      <w:pPr>
        <w:pStyle w:val="P1"/>
      </w:pPr>
    </w:p>
    <w:p w:rsidR="00C10C37" w:rsidRDefault="00C10C37" w:rsidP="00C10C37">
      <w:pPr>
        <w:pStyle w:val="P1"/>
      </w:pPr>
    </w:p>
    <w:p w:rsidR="006A438E" w:rsidRDefault="006A438E" w:rsidP="00793BBA">
      <w:pPr>
        <w:spacing w:after="20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sectPr w:rsidR="006A438E" w:rsidSect="00A127EF">
      <w:footerReference w:type="default" r:id="rId11"/>
      <w:headerReference w:type="first" r:id="rId12"/>
      <w:type w:val="continuous"/>
      <w:pgSz w:w="11901" w:h="16840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C5" w:rsidRDefault="00EA57C5" w:rsidP="00794EB0">
      <w:r>
        <w:separator/>
      </w:r>
    </w:p>
  </w:endnote>
  <w:endnote w:type="continuationSeparator" w:id="0">
    <w:p w:rsidR="00EA57C5" w:rsidRDefault="00EA57C5" w:rsidP="0079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C5" w:rsidRPr="00BB56FD" w:rsidRDefault="00876537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EA57C5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AC5DBD">
      <w:rPr>
        <w:rFonts w:ascii="Times New Roman" w:hAnsi="Times New Roman"/>
        <w:noProof/>
        <w:sz w:val="24"/>
        <w:szCs w:val="24"/>
      </w:rPr>
      <w:t>2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EA57C5" w:rsidRDefault="00EA5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C5" w:rsidRDefault="00EA57C5" w:rsidP="00794EB0">
      <w:r>
        <w:separator/>
      </w:r>
    </w:p>
  </w:footnote>
  <w:footnote w:type="continuationSeparator" w:id="0">
    <w:p w:rsidR="00EA57C5" w:rsidRDefault="00EA57C5" w:rsidP="0079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C5" w:rsidRDefault="00EA5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4A5F8F"/>
    <w:multiLevelType w:val="hybridMultilevel"/>
    <w:tmpl w:val="192C16F6"/>
    <w:lvl w:ilvl="0" w:tplc="B63A6B48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9CA00A8"/>
    <w:multiLevelType w:val="hybridMultilevel"/>
    <w:tmpl w:val="96BC1824"/>
    <w:lvl w:ilvl="0" w:tplc="D0D645B4">
      <w:start w:val="9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C907D8D"/>
    <w:multiLevelType w:val="hybridMultilevel"/>
    <w:tmpl w:val="53F8A5AA"/>
    <w:lvl w:ilvl="0" w:tplc="32625BB2">
      <w:start w:val="2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D5B5E6E"/>
    <w:multiLevelType w:val="hybridMultilevel"/>
    <w:tmpl w:val="0F28E57A"/>
    <w:lvl w:ilvl="0" w:tplc="A880CAA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2D3D"/>
    <w:multiLevelType w:val="hybridMultilevel"/>
    <w:tmpl w:val="06486E1A"/>
    <w:lvl w:ilvl="0" w:tplc="D242BBE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95C26"/>
    <w:multiLevelType w:val="hybridMultilevel"/>
    <w:tmpl w:val="C296A6F8"/>
    <w:lvl w:ilvl="0" w:tplc="77C2D8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2E01"/>
    <w:multiLevelType w:val="hybridMultilevel"/>
    <w:tmpl w:val="AFFE5230"/>
    <w:lvl w:ilvl="0" w:tplc="91641BB0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DE5068"/>
    <w:multiLevelType w:val="hybridMultilevel"/>
    <w:tmpl w:val="1338876C"/>
    <w:lvl w:ilvl="0" w:tplc="B0BEF78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62A52"/>
    <w:multiLevelType w:val="hybridMultilevel"/>
    <w:tmpl w:val="9B324CBA"/>
    <w:lvl w:ilvl="0" w:tplc="54BADE88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FA1336"/>
    <w:multiLevelType w:val="hybridMultilevel"/>
    <w:tmpl w:val="427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B7D9F"/>
    <w:multiLevelType w:val="hybridMultilevel"/>
    <w:tmpl w:val="3E4E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40886"/>
    <w:multiLevelType w:val="hybridMultilevel"/>
    <w:tmpl w:val="6C18775A"/>
    <w:lvl w:ilvl="0" w:tplc="3D2AEA34">
      <w:start w:val="2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45A33B4B"/>
    <w:multiLevelType w:val="hybridMultilevel"/>
    <w:tmpl w:val="0240C784"/>
    <w:lvl w:ilvl="0" w:tplc="30CC7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074A7"/>
    <w:multiLevelType w:val="hybridMultilevel"/>
    <w:tmpl w:val="79007666"/>
    <w:lvl w:ilvl="0" w:tplc="DABA8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C3008"/>
    <w:multiLevelType w:val="hybridMultilevel"/>
    <w:tmpl w:val="01C05D80"/>
    <w:lvl w:ilvl="0" w:tplc="50C04D70">
      <w:start w:val="1"/>
      <w:numFmt w:val="decimal"/>
      <w:lvlText w:val="(%1)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E4DB2"/>
    <w:multiLevelType w:val="hybridMultilevel"/>
    <w:tmpl w:val="5D586F30"/>
    <w:lvl w:ilvl="0" w:tplc="11FAE59A">
      <w:start w:val="1"/>
      <w:numFmt w:val="lowerLetter"/>
      <w:lvlText w:val="(%1)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76323099"/>
    <w:multiLevelType w:val="hybridMultilevel"/>
    <w:tmpl w:val="1EE2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74692"/>
    <w:multiLevelType w:val="hybridMultilevel"/>
    <w:tmpl w:val="95FC8212"/>
    <w:lvl w:ilvl="0" w:tplc="3AF66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7E1F4107"/>
    <w:multiLevelType w:val="hybridMultilevel"/>
    <w:tmpl w:val="1DA82920"/>
    <w:lvl w:ilvl="0" w:tplc="0850377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06C55"/>
    <w:multiLevelType w:val="hybridMultilevel"/>
    <w:tmpl w:val="F96E7A54"/>
    <w:lvl w:ilvl="0" w:tplc="304C2A3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0"/>
  </w:num>
  <w:num w:numId="4">
    <w:abstractNumId w:val="6"/>
  </w:num>
  <w:num w:numId="5">
    <w:abstractNumId w:val="24"/>
  </w:num>
  <w:num w:numId="6">
    <w:abstractNumId w:val="7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4"/>
  </w:num>
  <w:num w:numId="12">
    <w:abstractNumId w:val="26"/>
  </w:num>
  <w:num w:numId="13">
    <w:abstractNumId w:val="8"/>
  </w:num>
  <w:num w:numId="14">
    <w:abstractNumId w:val="21"/>
  </w:num>
  <w:num w:numId="15">
    <w:abstractNumId w:val="12"/>
  </w:num>
  <w:num w:numId="16">
    <w:abstractNumId w:val="1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17"/>
  </w:num>
  <w:num w:numId="21">
    <w:abstractNumId w:val="11"/>
  </w:num>
  <w:num w:numId="22">
    <w:abstractNumId w:val="15"/>
  </w:num>
  <w:num w:numId="23">
    <w:abstractNumId w:val="20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D63FF"/>
    <w:rsid w:val="000005E9"/>
    <w:rsid w:val="00002015"/>
    <w:rsid w:val="00002C47"/>
    <w:rsid w:val="000039C5"/>
    <w:rsid w:val="00005E9A"/>
    <w:rsid w:val="0001227B"/>
    <w:rsid w:val="000137D4"/>
    <w:rsid w:val="00022DB4"/>
    <w:rsid w:val="000247D2"/>
    <w:rsid w:val="000254A0"/>
    <w:rsid w:val="00034FB0"/>
    <w:rsid w:val="000355F1"/>
    <w:rsid w:val="00046C56"/>
    <w:rsid w:val="0004738E"/>
    <w:rsid w:val="0005021E"/>
    <w:rsid w:val="00052998"/>
    <w:rsid w:val="00052B39"/>
    <w:rsid w:val="00054F7B"/>
    <w:rsid w:val="000557BB"/>
    <w:rsid w:val="00061909"/>
    <w:rsid w:val="0006232B"/>
    <w:rsid w:val="000632FB"/>
    <w:rsid w:val="000717BF"/>
    <w:rsid w:val="000725D5"/>
    <w:rsid w:val="00076563"/>
    <w:rsid w:val="00080366"/>
    <w:rsid w:val="000836CF"/>
    <w:rsid w:val="000A09CF"/>
    <w:rsid w:val="000A5792"/>
    <w:rsid w:val="000A6A48"/>
    <w:rsid w:val="000D7FFD"/>
    <w:rsid w:val="000E0921"/>
    <w:rsid w:val="000E5161"/>
    <w:rsid w:val="000E7710"/>
    <w:rsid w:val="000F428F"/>
    <w:rsid w:val="000F5608"/>
    <w:rsid w:val="001104A4"/>
    <w:rsid w:val="00113C1C"/>
    <w:rsid w:val="00130137"/>
    <w:rsid w:val="001523B2"/>
    <w:rsid w:val="00153841"/>
    <w:rsid w:val="001546EF"/>
    <w:rsid w:val="00170CCB"/>
    <w:rsid w:val="00171773"/>
    <w:rsid w:val="001976D5"/>
    <w:rsid w:val="001A289A"/>
    <w:rsid w:val="001A6BD0"/>
    <w:rsid w:val="001B64F0"/>
    <w:rsid w:val="001C0E4E"/>
    <w:rsid w:val="001D406B"/>
    <w:rsid w:val="001E1F14"/>
    <w:rsid w:val="001E3380"/>
    <w:rsid w:val="001E5BBB"/>
    <w:rsid w:val="001E666A"/>
    <w:rsid w:val="001F2CEA"/>
    <w:rsid w:val="00201FE7"/>
    <w:rsid w:val="00212F26"/>
    <w:rsid w:val="002238C9"/>
    <w:rsid w:val="002306AD"/>
    <w:rsid w:val="00243889"/>
    <w:rsid w:val="002450B8"/>
    <w:rsid w:val="00252EC8"/>
    <w:rsid w:val="00263136"/>
    <w:rsid w:val="002634CB"/>
    <w:rsid w:val="002679F5"/>
    <w:rsid w:val="00275030"/>
    <w:rsid w:val="00282262"/>
    <w:rsid w:val="00284FC6"/>
    <w:rsid w:val="00291540"/>
    <w:rsid w:val="00292E9A"/>
    <w:rsid w:val="0029366E"/>
    <w:rsid w:val="00297948"/>
    <w:rsid w:val="002A2E3D"/>
    <w:rsid w:val="002A64C8"/>
    <w:rsid w:val="002B0EB3"/>
    <w:rsid w:val="002B6F7B"/>
    <w:rsid w:val="002B70CB"/>
    <w:rsid w:val="002C428A"/>
    <w:rsid w:val="002D1ADA"/>
    <w:rsid w:val="002E0047"/>
    <w:rsid w:val="002E3C2B"/>
    <w:rsid w:val="002F5AAA"/>
    <w:rsid w:val="003008B7"/>
    <w:rsid w:val="00302FBA"/>
    <w:rsid w:val="003076B4"/>
    <w:rsid w:val="00307911"/>
    <w:rsid w:val="003106B3"/>
    <w:rsid w:val="003130A3"/>
    <w:rsid w:val="00316E4F"/>
    <w:rsid w:val="0032191F"/>
    <w:rsid w:val="00326B24"/>
    <w:rsid w:val="00376963"/>
    <w:rsid w:val="00377CE7"/>
    <w:rsid w:val="00381DDA"/>
    <w:rsid w:val="00385C3F"/>
    <w:rsid w:val="003A2013"/>
    <w:rsid w:val="003A3E00"/>
    <w:rsid w:val="003A703F"/>
    <w:rsid w:val="003B10B0"/>
    <w:rsid w:val="003C0F27"/>
    <w:rsid w:val="003C1E9C"/>
    <w:rsid w:val="003C1F35"/>
    <w:rsid w:val="003D69C5"/>
    <w:rsid w:val="003E1C61"/>
    <w:rsid w:val="003F1629"/>
    <w:rsid w:val="003F2E77"/>
    <w:rsid w:val="003F5981"/>
    <w:rsid w:val="004025A5"/>
    <w:rsid w:val="00403688"/>
    <w:rsid w:val="004040ED"/>
    <w:rsid w:val="004052CF"/>
    <w:rsid w:val="004062DE"/>
    <w:rsid w:val="00406797"/>
    <w:rsid w:val="00406DD5"/>
    <w:rsid w:val="00411FF5"/>
    <w:rsid w:val="00425284"/>
    <w:rsid w:val="00427211"/>
    <w:rsid w:val="0042749E"/>
    <w:rsid w:val="00437B69"/>
    <w:rsid w:val="004414E0"/>
    <w:rsid w:val="004543BB"/>
    <w:rsid w:val="00456287"/>
    <w:rsid w:val="00457903"/>
    <w:rsid w:val="004628B6"/>
    <w:rsid w:val="00463FDA"/>
    <w:rsid w:val="00465130"/>
    <w:rsid w:val="00465772"/>
    <w:rsid w:val="004976B3"/>
    <w:rsid w:val="004A59B8"/>
    <w:rsid w:val="004B1570"/>
    <w:rsid w:val="004C2EC4"/>
    <w:rsid w:val="004C5C18"/>
    <w:rsid w:val="004C74F4"/>
    <w:rsid w:val="004D3669"/>
    <w:rsid w:val="004E42C0"/>
    <w:rsid w:val="004F21CD"/>
    <w:rsid w:val="004F2882"/>
    <w:rsid w:val="00506316"/>
    <w:rsid w:val="00506903"/>
    <w:rsid w:val="00516032"/>
    <w:rsid w:val="00520C26"/>
    <w:rsid w:val="00521AE8"/>
    <w:rsid w:val="00521C12"/>
    <w:rsid w:val="00524516"/>
    <w:rsid w:val="00525CAB"/>
    <w:rsid w:val="00535290"/>
    <w:rsid w:val="00540DA9"/>
    <w:rsid w:val="00544049"/>
    <w:rsid w:val="00554549"/>
    <w:rsid w:val="0055711E"/>
    <w:rsid w:val="00564C12"/>
    <w:rsid w:val="005678A7"/>
    <w:rsid w:val="00567E4F"/>
    <w:rsid w:val="00577F3E"/>
    <w:rsid w:val="00582C74"/>
    <w:rsid w:val="00584554"/>
    <w:rsid w:val="0058675B"/>
    <w:rsid w:val="005879CF"/>
    <w:rsid w:val="005C610D"/>
    <w:rsid w:val="005D5531"/>
    <w:rsid w:val="005E1CF8"/>
    <w:rsid w:val="005E1D2E"/>
    <w:rsid w:val="005E6C92"/>
    <w:rsid w:val="005F3C93"/>
    <w:rsid w:val="00604BC5"/>
    <w:rsid w:val="00610784"/>
    <w:rsid w:val="0061378A"/>
    <w:rsid w:val="006258A2"/>
    <w:rsid w:val="006263B9"/>
    <w:rsid w:val="00630BA7"/>
    <w:rsid w:val="00631DF5"/>
    <w:rsid w:val="006379E8"/>
    <w:rsid w:val="00651B5A"/>
    <w:rsid w:val="00656802"/>
    <w:rsid w:val="00657600"/>
    <w:rsid w:val="00666B9B"/>
    <w:rsid w:val="00672C3E"/>
    <w:rsid w:val="00673399"/>
    <w:rsid w:val="0067692A"/>
    <w:rsid w:val="00694710"/>
    <w:rsid w:val="00694714"/>
    <w:rsid w:val="00697F82"/>
    <w:rsid w:val="006A3C23"/>
    <w:rsid w:val="006A438E"/>
    <w:rsid w:val="006B1E6C"/>
    <w:rsid w:val="006B3059"/>
    <w:rsid w:val="006B6167"/>
    <w:rsid w:val="006B764B"/>
    <w:rsid w:val="006C1908"/>
    <w:rsid w:val="006C210B"/>
    <w:rsid w:val="006C327D"/>
    <w:rsid w:val="006C3FFD"/>
    <w:rsid w:val="006C5549"/>
    <w:rsid w:val="006E1F2A"/>
    <w:rsid w:val="006E2293"/>
    <w:rsid w:val="006F0354"/>
    <w:rsid w:val="00703EFB"/>
    <w:rsid w:val="00715B95"/>
    <w:rsid w:val="007262D7"/>
    <w:rsid w:val="00740EAA"/>
    <w:rsid w:val="00771FE8"/>
    <w:rsid w:val="00774B53"/>
    <w:rsid w:val="00781BE2"/>
    <w:rsid w:val="00783E05"/>
    <w:rsid w:val="007906F0"/>
    <w:rsid w:val="00793BBA"/>
    <w:rsid w:val="00794EB0"/>
    <w:rsid w:val="007A048A"/>
    <w:rsid w:val="007A14A5"/>
    <w:rsid w:val="007A6404"/>
    <w:rsid w:val="007A75FB"/>
    <w:rsid w:val="007B350C"/>
    <w:rsid w:val="007C2DFD"/>
    <w:rsid w:val="007D7DA7"/>
    <w:rsid w:val="007D7EBC"/>
    <w:rsid w:val="007E65AB"/>
    <w:rsid w:val="00810AAF"/>
    <w:rsid w:val="00814975"/>
    <w:rsid w:val="00835759"/>
    <w:rsid w:val="008461D8"/>
    <w:rsid w:val="00847D99"/>
    <w:rsid w:val="008547B8"/>
    <w:rsid w:val="00872D6E"/>
    <w:rsid w:val="00876537"/>
    <w:rsid w:val="00882210"/>
    <w:rsid w:val="008822B1"/>
    <w:rsid w:val="00897EBC"/>
    <w:rsid w:val="008A3716"/>
    <w:rsid w:val="008A596F"/>
    <w:rsid w:val="008A79C2"/>
    <w:rsid w:val="008B4803"/>
    <w:rsid w:val="008C3E01"/>
    <w:rsid w:val="008C44B5"/>
    <w:rsid w:val="008C75E9"/>
    <w:rsid w:val="008D08E3"/>
    <w:rsid w:val="008D7971"/>
    <w:rsid w:val="008E03C6"/>
    <w:rsid w:val="008F2C39"/>
    <w:rsid w:val="008F7D8A"/>
    <w:rsid w:val="00904296"/>
    <w:rsid w:val="00904E01"/>
    <w:rsid w:val="00910442"/>
    <w:rsid w:val="0091238A"/>
    <w:rsid w:val="00913F61"/>
    <w:rsid w:val="0093420A"/>
    <w:rsid w:val="00937EE9"/>
    <w:rsid w:val="009405AD"/>
    <w:rsid w:val="00941B12"/>
    <w:rsid w:val="009427FF"/>
    <w:rsid w:val="009555E5"/>
    <w:rsid w:val="009578C1"/>
    <w:rsid w:val="00963D28"/>
    <w:rsid w:val="00965579"/>
    <w:rsid w:val="0096597D"/>
    <w:rsid w:val="00966481"/>
    <w:rsid w:val="00967B24"/>
    <w:rsid w:val="00971A1E"/>
    <w:rsid w:val="00973981"/>
    <w:rsid w:val="009766ED"/>
    <w:rsid w:val="009807E2"/>
    <w:rsid w:val="009817D7"/>
    <w:rsid w:val="00995622"/>
    <w:rsid w:val="009A1D2B"/>
    <w:rsid w:val="009B0E59"/>
    <w:rsid w:val="009B5803"/>
    <w:rsid w:val="009C2611"/>
    <w:rsid w:val="009D5A09"/>
    <w:rsid w:val="009F134E"/>
    <w:rsid w:val="009F6B64"/>
    <w:rsid w:val="009F7DE0"/>
    <w:rsid w:val="00A00068"/>
    <w:rsid w:val="00A014B9"/>
    <w:rsid w:val="00A127EF"/>
    <w:rsid w:val="00A43CD1"/>
    <w:rsid w:val="00A53993"/>
    <w:rsid w:val="00A5421C"/>
    <w:rsid w:val="00A614D6"/>
    <w:rsid w:val="00A638E1"/>
    <w:rsid w:val="00A7435A"/>
    <w:rsid w:val="00A8065A"/>
    <w:rsid w:val="00A91038"/>
    <w:rsid w:val="00AA43A3"/>
    <w:rsid w:val="00AB5EC0"/>
    <w:rsid w:val="00AC443C"/>
    <w:rsid w:val="00AC5DBD"/>
    <w:rsid w:val="00AD1CB2"/>
    <w:rsid w:val="00AD3E36"/>
    <w:rsid w:val="00AD67DE"/>
    <w:rsid w:val="00AE040F"/>
    <w:rsid w:val="00B06A1E"/>
    <w:rsid w:val="00B17FCA"/>
    <w:rsid w:val="00B346AD"/>
    <w:rsid w:val="00B45C59"/>
    <w:rsid w:val="00B4630D"/>
    <w:rsid w:val="00B63D68"/>
    <w:rsid w:val="00B64C55"/>
    <w:rsid w:val="00B667F6"/>
    <w:rsid w:val="00B7550E"/>
    <w:rsid w:val="00B8057C"/>
    <w:rsid w:val="00B80DBA"/>
    <w:rsid w:val="00B9171D"/>
    <w:rsid w:val="00BA3DA6"/>
    <w:rsid w:val="00BB1BB0"/>
    <w:rsid w:val="00BB2E3E"/>
    <w:rsid w:val="00BB6293"/>
    <w:rsid w:val="00BC046E"/>
    <w:rsid w:val="00BC0BE4"/>
    <w:rsid w:val="00BC592E"/>
    <w:rsid w:val="00BE52BD"/>
    <w:rsid w:val="00BF42A4"/>
    <w:rsid w:val="00BF6787"/>
    <w:rsid w:val="00C10C37"/>
    <w:rsid w:val="00C1775F"/>
    <w:rsid w:val="00C33DA0"/>
    <w:rsid w:val="00C35A0D"/>
    <w:rsid w:val="00C460CC"/>
    <w:rsid w:val="00C50F3A"/>
    <w:rsid w:val="00C532AC"/>
    <w:rsid w:val="00C54AB5"/>
    <w:rsid w:val="00C54D3E"/>
    <w:rsid w:val="00C55FFC"/>
    <w:rsid w:val="00C57F03"/>
    <w:rsid w:val="00C659AE"/>
    <w:rsid w:val="00C73885"/>
    <w:rsid w:val="00C7392B"/>
    <w:rsid w:val="00C7563B"/>
    <w:rsid w:val="00C7697D"/>
    <w:rsid w:val="00C779EE"/>
    <w:rsid w:val="00C83B2B"/>
    <w:rsid w:val="00C9107C"/>
    <w:rsid w:val="00CB392D"/>
    <w:rsid w:val="00CC234B"/>
    <w:rsid w:val="00CC5007"/>
    <w:rsid w:val="00CE168F"/>
    <w:rsid w:val="00CE7E59"/>
    <w:rsid w:val="00CF2BB2"/>
    <w:rsid w:val="00CF5D95"/>
    <w:rsid w:val="00CF6500"/>
    <w:rsid w:val="00D0572E"/>
    <w:rsid w:val="00D07735"/>
    <w:rsid w:val="00D1130F"/>
    <w:rsid w:val="00D22D1D"/>
    <w:rsid w:val="00D34C81"/>
    <w:rsid w:val="00D35CE4"/>
    <w:rsid w:val="00D3715E"/>
    <w:rsid w:val="00D3756F"/>
    <w:rsid w:val="00D42195"/>
    <w:rsid w:val="00D42919"/>
    <w:rsid w:val="00D42CE2"/>
    <w:rsid w:val="00D5613E"/>
    <w:rsid w:val="00D86AE1"/>
    <w:rsid w:val="00D91D5B"/>
    <w:rsid w:val="00D92275"/>
    <w:rsid w:val="00D93ECA"/>
    <w:rsid w:val="00DA07CA"/>
    <w:rsid w:val="00DA0F5A"/>
    <w:rsid w:val="00DB652E"/>
    <w:rsid w:val="00DB6DAE"/>
    <w:rsid w:val="00DB7878"/>
    <w:rsid w:val="00DC1955"/>
    <w:rsid w:val="00DC7416"/>
    <w:rsid w:val="00DD1E11"/>
    <w:rsid w:val="00DD50CA"/>
    <w:rsid w:val="00DD63FF"/>
    <w:rsid w:val="00DE18C8"/>
    <w:rsid w:val="00DE4192"/>
    <w:rsid w:val="00DF4D3B"/>
    <w:rsid w:val="00E01B0A"/>
    <w:rsid w:val="00E023A4"/>
    <w:rsid w:val="00E05011"/>
    <w:rsid w:val="00E21767"/>
    <w:rsid w:val="00E24C81"/>
    <w:rsid w:val="00E25A5E"/>
    <w:rsid w:val="00E26398"/>
    <w:rsid w:val="00E26E5B"/>
    <w:rsid w:val="00E26F60"/>
    <w:rsid w:val="00E31F22"/>
    <w:rsid w:val="00E46AE2"/>
    <w:rsid w:val="00E71908"/>
    <w:rsid w:val="00E80FE8"/>
    <w:rsid w:val="00E84FF1"/>
    <w:rsid w:val="00E90DD6"/>
    <w:rsid w:val="00E91FB4"/>
    <w:rsid w:val="00EA2CFA"/>
    <w:rsid w:val="00EA57C5"/>
    <w:rsid w:val="00EB0947"/>
    <w:rsid w:val="00EC6B97"/>
    <w:rsid w:val="00ED7176"/>
    <w:rsid w:val="00EF1222"/>
    <w:rsid w:val="00EF2903"/>
    <w:rsid w:val="00F001AA"/>
    <w:rsid w:val="00F10645"/>
    <w:rsid w:val="00F21986"/>
    <w:rsid w:val="00F23384"/>
    <w:rsid w:val="00F43710"/>
    <w:rsid w:val="00F53664"/>
    <w:rsid w:val="00F56A06"/>
    <w:rsid w:val="00F60265"/>
    <w:rsid w:val="00F628F7"/>
    <w:rsid w:val="00F64217"/>
    <w:rsid w:val="00F733A3"/>
    <w:rsid w:val="00F87D51"/>
    <w:rsid w:val="00F92B4E"/>
    <w:rsid w:val="00F94B6C"/>
    <w:rsid w:val="00F97C30"/>
    <w:rsid w:val="00FA0234"/>
    <w:rsid w:val="00FA194F"/>
    <w:rsid w:val="00FD06E1"/>
    <w:rsid w:val="00FD3343"/>
    <w:rsid w:val="00FE5571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Body2">
    <w:name w:val="Note Body 2"/>
    <w:basedOn w:val="Normal"/>
    <w:rsid w:val="00034FB0"/>
    <w:pPr>
      <w:autoSpaceDE w:val="0"/>
      <w:autoSpaceDN w:val="0"/>
      <w:spacing w:before="120" w:after="120" w:line="260" w:lineRule="atLeast"/>
    </w:pPr>
    <w:rPr>
      <w:rFonts w:cs="Time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1238A"/>
    <w:pPr>
      <w:spacing w:after="0" w:line="240" w:lineRule="auto"/>
    </w:pPr>
    <w:rPr>
      <w:rFonts w:ascii="Times" w:eastAsia="Times New Roman" w:hAnsi="Times" w:cs="Times New Roman"/>
      <w:sz w:val="26"/>
      <w:szCs w:val="20"/>
      <w:lang w:eastAsia="en-AU"/>
    </w:rPr>
  </w:style>
  <w:style w:type="paragraph" w:customStyle="1" w:styleId="Default">
    <w:name w:val="Default"/>
    <w:rsid w:val="00C10C3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68">
    <w:name w:val="CM68"/>
    <w:basedOn w:val="Default"/>
    <w:next w:val="Default"/>
    <w:uiPriority w:val="99"/>
    <w:rsid w:val="00C10C37"/>
    <w:rPr>
      <w:color w:val="auto"/>
    </w:rPr>
  </w:style>
  <w:style w:type="paragraph" w:styleId="ListParagraph">
    <w:name w:val="List Paragraph"/>
    <w:basedOn w:val="Normal"/>
    <w:uiPriority w:val="34"/>
    <w:qFormat/>
    <w:rsid w:val="00C10C37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8B4803"/>
    <w:pPr>
      <w:spacing w:line="298" w:lineRule="atLeast"/>
    </w:pPr>
    <w:rPr>
      <w:rFonts w:ascii="Times" w:hAnsi="Times" w:cs="Times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3F1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629"/>
    <w:rPr>
      <w:rFonts w:ascii="Times" w:eastAsia="Times New Roman" w:hAnsi="Times" w:cs="Times New Roman"/>
      <w:sz w:val="26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588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5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http://schemas.openxmlformats.org/package/2006/metadata/core-properties"/>
    <ds:schemaRef ds:uri="0d6bab15-32b2-482f-9d32-d1d4c802fe8a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07493-45C3-4992-8FC3-61438024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bmetschke</dc:creator>
  <cp:lastModifiedBy>bmetschke</cp:lastModifiedBy>
  <cp:revision>2</cp:revision>
  <cp:lastPrinted>2012-11-18T22:05:00Z</cp:lastPrinted>
  <dcterms:created xsi:type="dcterms:W3CDTF">2012-11-19T04:59:00Z</dcterms:created>
  <dcterms:modified xsi:type="dcterms:W3CDTF">2012-11-19T04:59:00Z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