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10" w:rsidRDefault="005D4310">
      <w:pPr>
        <w:pStyle w:val="ChartMainHeading"/>
        <w:spacing w:after="240"/>
        <w:rPr>
          <w:caps w:val="0"/>
        </w:rPr>
      </w:pPr>
      <w:r>
        <w:rPr>
          <w:caps w:val="0"/>
        </w:rPr>
        <w:t>EXPLANATORY STATEMENT</w:t>
      </w:r>
    </w:p>
    <w:p w:rsidR="00E77D81" w:rsidRPr="00E77D81" w:rsidRDefault="00306581" w:rsidP="00E77D81">
      <w:pPr>
        <w:pStyle w:val="ChartMainHeading"/>
        <w:spacing w:after="240"/>
        <w:rPr>
          <w:caps w:val="0"/>
        </w:rPr>
      </w:pPr>
      <w:r>
        <w:t>Federal Financial Relations ACt</w:t>
      </w:r>
      <w:r w:rsidR="00DF38CE">
        <w:t xml:space="preserve"> 2009</w:t>
      </w:r>
    </w:p>
    <w:p w:rsidR="00D377BB" w:rsidRPr="00DF38CE" w:rsidRDefault="001C5BE0" w:rsidP="00D377BB">
      <w:pPr>
        <w:jc w:val="center"/>
        <w:rPr>
          <w:b/>
          <w:spacing w:val="-4"/>
        </w:rPr>
      </w:pPr>
      <w:r>
        <w:rPr>
          <w:b/>
          <w:lang w:val="en-US"/>
        </w:rPr>
        <w:t>National Specific Purpose P</w:t>
      </w:r>
      <w:r w:rsidRPr="00831194">
        <w:rPr>
          <w:b/>
          <w:lang w:val="en-US"/>
        </w:rPr>
        <w:t>ayment Determination</w:t>
      </w:r>
      <w:r w:rsidR="00002026">
        <w:rPr>
          <w:b/>
          <w:lang w:val="en-US"/>
        </w:rPr>
        <w:t xml:space="preserve"> </w:t>
      </w:r>
      <w:r w:rsidR="00D56FB3">
        <w:rPr>
          <w:b/>
          <w:lang w:val="en-US"/>
        </w:rPr>
        <w:t>201</w:t>
      </w:r>
      <w:r w:rsidR="00EC6DB1">
        <w:rPr>
          <w:b/>
          <w:lang w:val="en-US"/>
        </w:rPr>
        <w:t>1</w:t>
      </w:r>
      <w:r w:rsidR="00D56FB3">
        <w:rPr>
          <w:b/>
          <w:lang w:val="en-US"/>
        </w:rPr>
        <w:t>-1</w:t>
      </w:r>
      <w:r w:rsidR="00EC6DB1">
        <w:rPr>
          <w:b/>
          <w:lang w:val="en-US"/>
        </w:rPr>
        <w:t>2</w:t>
      </w:r>
    </w:p>
    <w:p w:rsidR="00306581" w:rsidRPr="00306581" w:rsidRDefault="00E25042" w:rsidP="00306581">
      <w:r>
        <w:t xml:space="preserve">The </w:t>
      </w:r>
      <w:r>
        <w:rPr>
          <w:i/>
        </w:rPr>
        <w:t>Intergovernmental Agreement</w:t>
      </w:r>
      <w:r w:rsidR="00053776">
        <w:rPr>
          <w:i/>
        </w:rPr>
        <w:t xml:space="preserve"> on Federal Financial Relations</w:t>
      </w:r>
      <w:r w:rsidR="00306581" w:rsidRPr="00306581">
        <w:t xml:space="preserve"> </w:t>
      </w:r>
      <w:r w:rsidR="00A25C9E">
        <w:t xml:space="preserve">(the IGA) </w:t>
      </w:r>
      <w:r w:rsidR="00306581" w:rsidRPr="00306581">
        <w:t>provides a robust foundation for collaboration on policy development and service delivery, and facilitates the implementation of economic and social reforms in areas of national importance.</w:t>
      </w:r>
    </w:p>
    <w:p w:rsidR="00306581" w:rsidRPr="00306581" w:rsidRDefault="00306581" w:rsidP="00306581">
      <w:r w:rsidRPr="00306581">
        <w:t xml:space="preserve">In agreeing the new framework for federal financial relations, the Commonwealth </w:t>
      </w:r>
      <w:r w:rsidR="00E25042">
        <w:t>commit</w:t>
      </w:r>
      <w:r w:rsidR="00053776">
        <w:t>ted</w:t>
      </w:r>
      <w:r w:rsidR="00E25042">
        <w:t xml:space="preserve"> to</w:t>
      </w:r>
      <w:r w:rsidR="009A4D1B">
        <w:t xml:space="preserve"> the provision of </w:t>
      </w:r>
      <w:r w:rsidRPr="00306581">
        <w:t>financial support fo</w:t>
      </w:r>
      <w:r w:rsidR="00184DD1">
        <w:t xml:space="preserve">r the States’ service </w:t>
      </w:r>
      <w:r w:rsidRPr="00306581">
        <w:t>delivery efforts through:</w:t>
      </w:r>
    </w:p>
    <w:p w:rsidR="00306581" w:rsidRPr="00306581" w:rsidRDefault="00306581" w:rsidP="00306581">
      <w:pPr>
        <w:pStyle w:val="Bullet"/>
      </w:pPr>
      <w:r w:rsidRPr="00306581">
        <w:t xml:space="preserve">general </w:t>
      </w:r>
      <w:r w:rsidR="00053776">
        <w:t>purpose financial assistance</w:t>
      </w:r>
      <w:r w:rsidR="009A4D1B">
        <w:t>, including the on</w:t>
      </w:r>
      <w:r w:rsidRPr="00306581">
        <w:t xml:space="preserve">going provision of GST payments, to be used by the States for any purpose; </w:t>
      </w:r>
    </w:p>
    <w:p w:rsidR="00306581" w:rsidRPr="00306581" w:rsidRDefault="00306581" w:rsidP="00306581">
      <w:pPr>
        <w:pStyle w:val="Bullet"/>
      </w:pPr>
      <w:r w:rsidRPr="00306581">
        <w:t xml:space="preserve">National Specific Purpose Payments </w:t>
      </w:r>
      <w:r w:rsidR="009C17A3">
        <w:t xml:space="preserve">(National SPPs) to be spent in </w:t>
      </w:r>
      <w:r w:rsidRPr="00306581">
        <w:t>key service delivery sectors; and</w:t>
      </w:r>
    </w:p>
    <w:p w:rsidR="00306581" w:rsidRPr="00306581" w:rsidRDefault="00306581" w:rsidP="00306581">
      <w:pPr>
        <w:pStyle w:val="Bullet"/>
      </w:pPr>
      <w:r w:rsidRPr="00306581">
        <w:t>National Partnership payments to support the delivery of specified outputs or projects, to facilitate reforms</w:t>
      </w:r>
      <w:r w:rsidR="009C17A3">
        <w:t>,</w:t>
      </w:r>
      <w:r w:rsidRPr="00306581">
        <w:t xml:space="preserve"> or to reward those jurisdictions that deliver on nationally significant reforms.</w:t>
      </w:r>
    </w:p>
    <w:p w:rsidR="00306581" w:rsidRPr="00E25042" w:rsidRDefault="00306581" w:rsidP="00306581">
      <w:pPr>
        <w:rPr>
          <w:i/>
        </w:rPr>
      </w:pPr>
      <w:r w:rsidRPr="00306581">
        <w:t>The new federal financial framework commenced on 1 January 2009.</w:t>
      </w:r>
      <w:r w:rsidR="00E25042">
        <w:t xml:space="preserve">  The payment provisions of the </w:t>
      </w:r>
      <w:r w:rsidR="00A25C9E">
        <w:t>IGA</w:t>
      </w:r>
      <w:r w:rsidR="00E25042">
        <w:t xml:space="preserve"> are implemented through the </w:t>
      </w:r>
      <w:r w:rsidR="00E25042">
        <w:rPr>
          <w:i/>
        </w:rPr>
        <w:t>Federal Financial Relations Act 2009</w:t>
      </w:r>
      <w:r w:rsidR="0003226E">
        <w:t xml:space="preserve"> (the Act)</w:t>
      </w:r>
      <w:r w:rsidR="00C91ACF">
        <w:rPr>
          <w:i/>
        </w:rPr>
        <w:t xml:space="preserve">.  </w:t>
      </w:r>
    </w:p>
    <w:p w:rsidR="001C5BE0" w:rsidRDefault="001C5BE0" w:rsidP="001C5BE0">
      <w:pPr>
        <w:spacing w:before="100" w:beforeAutospacing="1" w:after="100" w:afterAutospacing="1"/>
      </w:pPr>
      <w:r>
        <w:rPr>
          <w:b/>
          <w:bCs/>
        </w:rPr>
        <w:t xml:space="preserve">National Specific Purpose Payments </w:t>
      </w:r>
      <w:r w:rsidR="009A4D1B">
        <w:rPr>
          <w:b/>
          <w:bCs/>
        </w:rPr>
        <w:t>(National SPPs)</w:t>
      </w:r>
    </w:p>
    <w:p w:rsidR="001C5BE0" w:rsidRDefault="00A25C9E" w:rsidP="001C5BE0">
      <w:pPr>
        <w:spacing w:before="100" w:beforeAutospacing="1" w:after="100" w:afterAutospacing="1"/>
      </w:pPr>
      <w:r>
        <w:t xml:space="preserve">Under the IGA, </w:t>
      </w:r>
      <w:r w:rsidR="00B22D03">
        <w:t>t</w:t>
      </w:r>
      <w:r w:rsidR="001C5BE0">
        <w:t xml:space="preserve">he Commonwealth provides National </w:t>
      </w:r>
      <w:r w:rsidR="009A4D1B">
        <w:t>SPPs</w:t>
      </w:r>
      <w:r w:rsidR="001C5BE0">
        <w:t xml:space="preserve"> to the States and Territories as a financial contribution to support State and Territory service delivery in the areas of healthcare, schools, skills and workforce development, disability, and housing.  </w:t>
      </w:r>
    </w:p>
    <w:p w:rsidR="001C5BE0" w:rsidRDefault="001C5BE0" w:rsidP="001C5BE0">
      <w:pPr>
        <w:spacing w:before="100" w:beforeAutospacing="1" w:after="100" w:afterAutospacing="1"/>
      </w:pPr>
      <w:r>
        <w:t xml:space="preserve">The </w:t>
      </w:r>
      <w:r w:rsidR="0003226E" w:rsidRPr="00720F11">
        <w:t>Act</w:t>
      </w:r>
      <w:r>
        <w:t xml:space="preserve"> provides for the Minister to determine for each financial year</w:t>
      </w:r>
      <w:r w:rsidR="00184DD1">
        <w:t>,</w:t>
      </w:r>
      <w:r>
        <w:t xml:space="preserve"> the </w:t>
      </w:r>
      <w:r w:rsidR="009A4D1B">
        <w:t xml:space="preserve">total amount and the </w:t>
      </w:r>
      <w:r>
        <w:t xml:space="preserve">manner in which National </w:t>
      </w:r>
      <w:r w:rsidR="009A4D1B">
        <w:t>SPPs</w:t>
      </w:r>
      <w:r>
        <w:t xml:space="preserve"> are distributed between the States and Territories.</w:t>
      </w:r>
      <w:r w:rsidR="00720F11">
        <w:t xml:space="preserve">  </w:t>
      </w:r>
      <w:r w:rsidR="00720F11" w:rsidRPr="00720F11">
        <w:t>The Act</w:t>
      </w:r>
      <w:r w:rsidR="00720F11">
        <w:t xml:space="preserve"> also</w:t>
      </w:r>
      <w:r w:rsidR="00720F11" w:rsidRPr="00720F11">
        <w:t xml:space="preserve"> requires </w:t>
      </w:r>
      <w:r w:rsidR="00720F11">
        <w:t xml:space="preserve">the Minister </w:t>
      </w:r>
      <w:r w:rsidR="00720F11" w:rsidRPr="00720F11">
        <w:t xml:space="preserve">have regard to the IGA when making a determination for National SPPs.  </w:t>
      </w:r>
    </w:p>
    <w:p w:rsidR="001C5BE0" w:rsidRDefault="001C5BE0" w:rsidP="001C5BE0">
      <w:pPr>
        <w:pStyle w:val="bullet0"/>
      </w:pPr>
      <w:r>
        <w:t xml:space="preserve">Advance payments in respect of the National SPPs are provided throughout the financial year based on estimates of each </w:t>
      </w:r>
      <w:proofErr w:type="gramStart"/>
      <w:r w:rsidR="001A0225">
        <w:t>jurisdiction</w:t>
      </w:r>
      <w:r w:rsidR="00002026">
        <w:t>s</w:t>
      </w:r>
      <w:r w:rsidR="001A0225">
        <w:t>’</w:t>
      </w:r>
      <w:proofErr w:type="gramEnd"/>
      <w:r w:rsidR="00002026">
        <w:t xml:space="preserve"> </w:t>
      </w:r>
      <w:r>
        <w:t xml:space="preserve">anticipated entitlement.  Any </w:t>
      </w:r>
      <w:r w:rsidR="009C17A3">
        <w:t xml:space="preserve">adjustment </w:t>
      </w:r>
      <w:r>
        <w:t>between the advances paid to a jurisdiction and the jurisdictions</w:t>
      </w:r>
      <w:r w:rsidR="001A0225">
        <w:t>’</w:t>
      </w:r>
      <w:r>
        <w:t xml:space="preserve"> determined entitlement </w:t>
      </w:r>
      <w:r w:rsidR="009A4D1B">
        <w:t>is</w:t>
      </w:r>
      <w:r>
        <w:t xml:space="preserve"> </w:t>
      </w:r>
      <w:r w:rsidR="009C17A3">
        <w:t>mad</w:t>
      </w:r>
      <w:r>
        <w:t xml:space="preserve">e in the first practicable payment in the subsequent financial year.   </w:t>
      </w:r>
    </w:p>
    <w:p w:rsidR="001C5BE0" w:rsidRDefault="009C17A3" w:rsidP="001C5BE0">
      <w:pPr>
        <w:spacing w:before="100" w:beforeAutospacing="1" w:after="100" w:afterAutospacing="1"/>
      </w:pPr>
      <w:bookmarkStart w:id="0" w:name="OLE_LINK5"/>
      <w:bookmarkStart w:id="1" w:name="OLE_LINK6"/>
      <w:bookmarkStart w:id="2" w:name="OLE_LINK17"/>
      <w:bookmarkEnd w:id="0"/>
      <w:bookmarkEnd w:id="1"/>
      <w:r>
        <w:t>T</w:t>
      </w:r>
      <w:r w:rsidR="001C5BE0">
        <w:t xml:space="preserve">he Minister’s determination in respect of </w:t>
      </w:r>
      <w:r w:rsidR="00C91ACF">
        <w:t xml:space="preserve">National </w:t>
      </w:r>
      <w:r w:rsidR="00184DD1">
        <w:t>SPPs</w:t>
      </w:r>
      <w:r w:rsidR="00C91ACF">
        <w:t xml:space="preserve"> </w:t>
      </w:r>
      <w:r w:rsidR="00B22D03">
        <w:t>is a legislative instrument</w:t>
      </w:r>
      <w:r w:rsidR="001C5BE0">
        <w:t xml:space="preserve"> and will be registered on the Federal Register of Legislative Instruments</w:t>
      </w:r>
      <w:bookmarkEnd w:id="2"/>
      <w:r w:rsidR="001C5BE0">
        <w:t>.</w:t>
      </w:r>
    </w:p>
    <w:p w:rsidR="00140B2A" w:rsidRDefault="00140B2A" w:rsidP="00140B2A">
      <w:pPr>
        <w:pStyle w:val="bullet0"/>
      </w:pPr>
      <w:r w:rsidRPr="00ED2FF4">
        <w:t xml:space="preserve">Part 3 of </w:t>
      </w:r>
      <w:r>
        <w:t xml:space="preserve">the Act and ‘Schedule D — Payment Arrangements’ to the </w:t>
      </w:r>
      <w:r w:rsidR="00A25C9E">
        <w:t>IGA</w:t>
      </w:r>
      <w:r>
        <w:t xml:space="preserve"> provide that t</w:t>
      </w:r>
      <w:r w:rsidRPr="00995523">
        <w:t xml:space="preserve">he States are required to spend each </w:t>
      </w:r>
      <w:r>
        <w:t xml:space="preserve">National SPP </w:t>
      </w:r>
      <w:r w:rsidRPr="00995523">
        <w:t xml:space="preserve">in the service sector relevant to the </w:t>
      </w:r>
      <w:r>
        <w:t xml:space="preserve">payment. </w:t>
      </w:r>
      <w:r w:rsidR="00627AE2">
        <w:t xml:space="preserve"> </w:t>
      </w:r>
      <w:r>
        <w:t>However,</w:t>
      </w:r>
      <w:r w:rsidRPr="00995523">
        <w:t xml:space="preserve"> the</w:t>
      </w:r>
      <w:r w:rsidR="001A0225">
        <w:t xml:space="preserve"> State</w:t>
      </w:r>
      <w:r w:rsidR="008204BD">
        <w:t>s</w:t>
      </w:r>
      <w:r w:rsidRPr="00995523">
        <w:t xml:space="preserve"> have full budget flexibility to allocate funds within that sector as they see fit to achieve any mutually agreed objectives for that sector.</w:t>
      </w:r>
    </w:p>
    <w:p w:rsidR="00140B2A" w:rsidRDefault="00140B2A" w:rsidP="00140B2A">
      <w:pPr>
        <w:pStyle w:val="bullet0"/>
      </w:pPr>
      <w:r>
        <w:t xml:space="preserve">This </w:t>
      </w:r>
      <w:r w:rsidR="00B22D03">
        <w:t>D</w:t>
      </w:r>
      <w:r>
        <w:t xml:space="preserve">etermination is in accordance with Part 3 of the Act, which provides for the </w:t>
      </w:r>
      <w:r w:rsidR="001A0225">
        <w:t>Minister,</w:t>
      </w:r>
      <w:r>
        <w:t xml:space="preserve"> by legislative instrument, to determine the total amounts payable to each service sector, the manner in which these total amounts are indexed</w:t>
      </w:r>
      <w:r w:rsidR="009C17A3">
        <w:t>,</w:t>
      </w:r>
      <w:r>
        <w:t xml:space="preserve"> and the manner in which these amounts are divided between the States.</w:t>
      </w:r>
    </w:p>
    <w:p w:rsidR="00140B2A" w:rsidRDefault="009C17A3" w:rsidP="00140B2A">
      <w:pPr>
        <w:pStyle w:val="bullet0"/>
      </w:pPr>
      <w:r>
        <w:t>F</w:t>
      </w:r>
      <w:r w:rsidR="00140B2A">
        <w:t>inancial assistance for non-government schools is</w:t>
      </w:r>
      <w:r>
        <w:t xml:space="preserve"> provided under the </w:t>
      </w:r>
      <w:r w:rsidR="00140B2A" w:rsidRPr="0003226E">
        <w:rPr>
          <w:i/>
        </w:rPr>
        <w:t>Schools Assistance Act 2008</w:t>
      </w:r>
      <w:r>
        <w:rPr>
          <w:i/>
        </w:rPr>
        <w:t xml:space="preserve">, </w:t>
      </w:r>
      <w:r>
        <w:t xml:space="preserve">and therefore is not included in this </w:t>
      </w:r>
      <w:r w:rsidR="001A0225">
        <w:t>D</w:t>
      </w:r>
      <w:r>
        <w:t xml:space="preserve">etermination.  </w:t>
      </w:r>
    </w:p>
    <w:p w:rsidR="00106A46" w:rsidRDefault="0003226E" w:rsidP="001C5BE0">
      <w:pPr>
        <w:spacing w:before="100" w:beforeAutospacing="1" w:after="100" w:afterAutospacing="1"/>
        <w:rPr>
          <w:b/>
        </w:rPr>
      </w:pPr>
      <w:r>
        <w:rPr>
          <w:b/>
        </w:rPr>
        <w:br w:type="page"/>
      </w:r>
      <w:r w:rsidR="00106A46" w:rsidRPr="00106A46">
        <w:rPr>
          <w:b/>
        </w:rPr>
        <w:lastRenderedPageBreak/>
        <w:t>Consultation</w:t>
      </w:r>
    </w:p>
    <w:p w:rsidR="00106A46" w:rsidRPr="00106A46" w:rsidRDefault="00106A46" w:rsidP="00106A46">
      <w:r w:rsidRPr="00E970EA">
        <w:t xml:space="preserve">The IGA was subject to extensive consultation with the States and was signed by all jurisdictions in December 2008.  The IGA is </w:t>
      </w:r>
      <w:r w:rsidR="00D43114" w:rsidRPr="00E970EA">
        <w:t>publicly</w:t>
      </w:r>
      <w:r w:rsidRPr="00E970EA">
        <w:t xml:space="preserve"> available on the website for the Ministerial Council for Federal Financial Relations.  Consultation with the States on National </w:t>
      </w:r>
      <w:r w:rsidR="00D43114">
        <w:t>SPPs</w:t>
      </w:r>
      <w:r w:rsidRPr="00E970EA">
        <w:t xml:space="preserve"> also occurs regularly, principally through meetings between Heads of Treasuries.</w:t>
      </w:r>
    </w:p>
    <w:p w:rsidR="007513FE" w:rsidRDefault="007513FE" w:rsidP="007513FE">
      <w:pPr>
        <w:pStyle w:val="Heading3"/>
        <w:rPr>
          <w:snapToGrid w:val="0"/>
          <w:lang w:eastAsia="en-US"/>
        </w:rPr>
      </w:pPr>
      <w:r>
        <w:rPr>
          <w:snapToGrid w:val="0"/>
          <w:lang w:eastAsia="en-US"/>
        </w:rPr>
        <w:t>Commencement</w:t>
      </w:r>
    </w:p>
    <w:p w:rsidR="00CE1015" w:rsidRDefault="00CE1015" w:rsidP="00D377BB">
      <w:pPr>
        <w:tabs>
          <w:tab w:val="left" w:pos="2880"/>
          <w:tab w:val="right" w:pos="8640"/>
        </w:tabs>
        <w:spacing w:after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The </w:t>
      </w:r>
      <w:r w:rsidR="0003226E">
        <w:rPr>
          <w:snapToGrid w:val="0"/>
          <w:lang w:eastAsia="en-US"/>
        </w:rPr>
        <w:t>D</w:t>
      </w:r>
      <w:r>
        <w:rPr>
          <w:snapToGrid w:val="0"/>
          <w:lang w:eastAsia="en-US"/>
        </w:rPr>
        <w:t>etermination commences</w:t>
      </w:r>
      <w:r w:rsidRPr="001E6B5B">
        <w:rPr>
          <w:snapToGrid w:val="0"/>
          <w:lang w:eastAsia="en-US"/>
        </w:rPr>
        <w:t xml:space="preserve"> on </w:t>
      </w:r>
      <w:r>
        <w:rPr>
          <w:snapToGrid w:val="0"/>
          <w:lang w:eastAsia="en-US"/>
        </w:rPr>
        <w:t xml:space="preserve">the day </w:t>
      </w:r>
      <w:r w:rsidR="007513FE">
        <w:rPr>
          <w:snapToGrid w:val="0"/>
          <w:lang w:eastAsia="en-US"/>
        </w:rPr>
        <w:t>it was made</w:t>
      </w:r>
      <w:r w:rsidRPr="001E6B5B">
        <w:rPr>
          <w:snapToGrid w:val="0"/>
          <w:lang w:eastAsia="en-US"/>
        </w:rPr>
        <w:t>.</w:t>
      </w:r>
      <w:r w:rsidR="00670997">
        <w:rPr>
          <w:snapToGrid w:val="0"/>
          <w:lang w:eastAsia="en-US"/>
        </w:rPr>
        <w:t xml:space="preserve">  </w:t>
      </w:r>
    </w:p>
    <w:p w:rsidR="00E918CE" w:rsidRPr="00243317" w:rsidRDefault="00E918CE" w:rsidP="00FC2F5C">
      <w:pPr>
        <w:pStyle w:val="Heading3"/>
        <w:jc w:val="center"/>
        <w:rPr>
          <w:rFonts w:ascii="Arial" w:hAnsi="Arial" w:cs="Arial"/>
          <w:snapToGrid w:val="0"/>
          <w:lang w:eastAsia="en-US"/>
        </w:rPr>
      </w:pPr>
      <w:r w:rsidRPr="00E918CE">
        <w:rPr>
          <w:b w:val="0"/>
          <w:snapToGrid w:val="0"/>
          <w:lang w:eastAsia="en-US"/>
        </w:rPr>
        <w:br w:type="column"/>
      </w:r>
      <w:r w:rsidRPr="00243317">
        <w:rPr>
          <w:rFonts w:ascii="Arial" w:hAnsi="Arial" w:cs="Arial"/>
          <w:snapToGrid w:val="0"/>
          <w:lang w:eastAsia="en-US"/>
        </w:rPr>
        <w:lastRenderedPageBreak/>
        <w:t>Statement of Compatibility with Human Rights</w:t>
      </w:r>
    </w:p>
    <w:p w:rsidR="00E918CE" w:rsidRPr="00243317" w:rsidRDefault="00E918CE" w:rsidP="00FC2F5C">
      <w:pPr>
        <w:pStyle w:val="Heading3"/>
        <w:jc w:val="center"/>
        <w:rPr>
          <w:b w:val="0"/>
          <w:i/>
          <w:snapToGrid w:val="0"/>
          <w:lang w:eastAsia="en-US"/>
        </w:rPr>
      </w:pPr>
      <w:r w:rsidRPr="00243317">
        <w:rPr>
          <w:b w:val="0"/>
          <w:i/>
          <w:snapToGrid w:val="0"/>
          <w:lang w:eastAsia="en-US"/>
        </w:rPr>
        <w:t>Prepared in accordance with Part 3 of the Human Rights (Parliamentary Scrutiny) Act 2011</w:t>
      </w:r>
    </w:p>
    <w:p w:rsidR="00E918CE" w:rsidRPr="00BB5F4B" w:rsidRDefault="00436636" w:rsidP="00FC2F5C">
      <w:pPr>
        <w:pStyle w:val="Heading3"/>
        <w:jc w:val="center"/>
        <w:rPr>
          <w:snapToGrid w:val="0"/>
          <w:lang w:eastAsia="en-US"/>
        </w:rPr>
      </w:pPr>
      <w:r w:rsidRPr="00BB5F4B">
        <w:rPr>
          <w:lang w:val="en-US"/>
        </w:rPr>
        <w:t xml:space="preserve"> </w:t>
      </w:r>
      <w:r w:rsidR="00350299" w:rsidRPr="00BB5F4B">
        <w:rPr>
          <w:lang w:val="en-US"/>
        </w:rPr>
        <w:t>Federal Financial Relations (</w:t>
      </w:r>
      <w:r w:rsidRPr="00BB5F4B">
        <w:rPr>
          <w:lang w:val="en-US"/>
        </w:rPr>
        <w:t>National Specific Purpose Payment</w:t>
      </w:r>
      <w:r w:rsidR="00350299" w:rsidRPr="00BB5F4B">
        <w:rPr>
          <w:lang w:val="en-US"/>
        </w:rPr>
        <w:t>s)</w:t>
      </w:r>
      <w:r w:rsidRPr="00BB5F4B">
        <w:rPr>
          <w:lang w:val="en-US"/>
        </w:rPr>
        <w:t xml:space="preserve"> Determination 2011-1</w:t>
      </w:r>
      <w:r w:rsidR="00350299" w:rsidRPr="00BB5F4B">
        <w:rPr>
          <w:lang w:val="en-US"/>
        </w:rPr>
        <w:t>2</w:t>
      </w:r>
    </w:p>
    <w:p w:rsidR="00E918CE" w:rsidRPr="00E918CE" w:rsidRDefault="00E918CE" w:rsidP="00FC2F5C">
      <w:pPr>
        <w:pStyle w:val="Heading3"/>
        <w:rPr>
          <w:b w:val="0"/>
          <w:snapToGrid w:val="0"/>
          <w:lang w:eastAsia="en-US"/>
        </w:rPr>
      </w:pPr>
      <w:r w:rsidRPr="00E918CE">
        <w:rPr>
          <w:b w:val="0"/>
          <w:snapToGrid w:val="0"/>
          <w:lang w:eastAsia="en-US"/>
        </w:rPr>
        <w:t xml:space="preserve">This </w:t>
      </w:r>
      <w:r w:rsidR="00CD3551">
        <w:rPr>
          <w:b w:val="0"/>
          <w:snapToGrid w:val="0"/>
          <w:lang w:eastAsia="en-US"/>
        </w:rPr>
        <w:t>Legislative</w:t>
      </w:r>
      <w:r>
        <w:rPr>
          <w:b w:val="0"/>
          <w:snapToGrid w:val="0"/>
          <w:lang w:eastAsia="en-US"/>
        </w:rPr>
        <w:t xml:space="preserve"> Instrument is </w:t>
      </w:r>
      <w:r w:rsidRPr="00E918CE">
        <w:rPr>
          <w:b w:val="0"/>
          <w:snapToGrid w:val="0"/>
          <w:lang w:eastAsia="en-US"/>
        </w:rPr>
        <w:t>compatible with the human rights and freedoms</w:t>
      </w:r>
      <w:r>
        <w:rPr>
          <w:b w:val="0"/>
          <w:snapToGrid w:val="0"/>
          <w:lang w:eastAsia="en-US"/>
        </w:rPr>
        <w:t xml:space="preserve"> </w:t>
      </w:r>
      <w:r w:rsidRPr="00E918CE">
        <w:rPr>
          <w:b w:val="0"/>
          <w:snapToGrid w:val="0"/>
          <w:lang w:eastAsia="en-US"/>
        </w:rPr>
        <w:t>recognised or declared in the international instruments listed in section 3</w:t>
      </w:r>
      <w:r>
        <w:rPr>
          <w:b w:val="0"/>
          <w:snapToGrid w:val="0"/>
          <w:lang w:eastAsia="en-US"/>
        </w:rPr>
        <w:t xml:space="preserve"> </w:t>
      </w:r>
      <w:r w:rsidRPr="00E918CE">
        <w:rPr>
          <w:b w:val="0"/>
          <w:snapToGrid w:val="0"/>
          <w:lang w:eastAsia="en-US"/>
        </w:rPr>
        <w:t xml:space="preserve">of the </w:t>
      </w:r>
      <w:r w:rsidRPr="00E918CE">
        <w:rPr>
          <w:b w:val="0"/>
          <w:i/>
          <w:snapToGrid w:val="0"/>
          <w:lang w:eastAsia="en-US"/>
        </w:rPr>
        <w:t>Human Rights (Parliamentary Scrutiny) Act 2011</w:t>
      </w:r>
      <w:r w:rsidRPr="00E918CE">
        <w:rPr>
          <w:b w:val="0"/>
          <w:snapToGrid w:val="0"/>
          <w:lang w:eastAsia="en-US"/>
        </w:rPr>
        <w:t>.</w:t>
      </w:r>
    </w:p>
    <w:p w:rsidR="00E918CE" w:rsidRPr="00CD3551" w:rsidRDefault="00E918CE" w:rsidP="00FC2F5C">
      <w:pPr>
        <w:pStyle w:val="Heading3"/>
        <w:ind w:left="567"/>
        <w:rPr>
          <w:i/>
          <w:snapToGrid w:val="0"/>
          <w:lang w:eastAsia="en-US"/>
        </w:rPr>
      </w:pPr>
      <w:r w:rsidRPr="00CD3551">
        <w:rPr>
          <w:i/>
          <w:snapToGrid w:val="0"/>
          <w:lang w:eastAsia="en-US"/>
        </w:rPr>
        <w:t>Overview</w:t>
      </w:r>
      <w:r w:rsidR="00CD3551" w:rsidRPr="00CD3551">
        <w:rPr>
          <w:i/>
          <w:snapToGrid w:val="0"/>
          <w:lang w:eastAsia="en-US"/>
        </w:rPr>
        <w:t xml:space="preserve"> of the Legislative Instrument</w:t>
      </w:r>
    </w:p>
    <w:p w:rsidR="00E918CE" w:rsidRPr="00E918CE" w:rsidRDefault="00E918CE" w:rsidP="00FC2F5C">
      <w:pPr>
        <w:pStyle w:val="Heading3"/>
        <w:rPr>
          <w:b w:val="0"/>
          <w:snapToGrid w:val="0"/>
          <w:lang w:eastAsia="en-US"/>
        </w:rPr>
      </w:pPr>
      <w:r w:rsidRPr="00E918CE">
        <w:rPr>
          <w:b w:val="0"/>
          <w:snapToGrid w:val="0"/>
          <w:lang w:eastAsia="en-US"/>
        </w:rPr>
        <w:t>Th</w:t>
      </w:r>
      <w:r w:rsidR="00243317">
        <w:rPr>
          <w:b w:val="0"/>
          <w:snapToGrid w:val="0"/>
          <w:lang w:eastAsia="en-US"/>
        </w:rPr>
        <w:t>e purpose of this L</w:t>
      </w:r>
      <w:r w:rsidR="00CD3551">
        <w:rPr>
          <w:b w:val="0"/>
          <w:snapToGrid w:val="0"/>
          <w:lang w:eastAsia="en-US"/>
        </w:rPr>
        <w:t xml:space="preserve">egislative Instrument is to determine the final outcome of National Specific Purpose Payments relating to 2011-12. </w:t>
      </w:r>
      <w:r w:rsidR="00FC2F5C">
        <w:rPr>
          <w:b w:val="0"/>
          <w:snapToGrid w:val="0"/>
          <w:lang w:eastAsia="en-US"/>
        </w:rPr>
        <w:t xml:space="preserve"> </w:t>
      </w:r>
      <w:r w:rsidR="00CD3551">
        <w:rPr>
          <w:b w:val="0"/>
          <w:snapToGrid w:val="0"/>
          <w:lang w:eastAsia="en-US"/>
        </w:rPr>
        <w:t>These payments, determined in accordance with</w:t>
      </w:r>
      <w:r w:rsidR="005071E0">
        <w:rPr>
          <w:b w:val="0"/>
          <w:snapToGrid w:val="0"/>
          <w:lang w:eastAsia="en-US"/>
        </w:rPr>
        <w:t xml:space="preserve"> </w:t>
      </w:r>
      <w:r w:rsidR="00CD3551">
        <w:rPr>
          <w:b w:val="0"/>
          <w:snapToGrid w:val="0"/>
          <w:lang w:eastAsia="en-US"/>
        </w:rPr>
        <w:t>th</w:t>
      </w:r>
      <w:r w:rsidR="005071E0">
        <w:rPr>
          <w:b w:val="0"/>
          <w:snapToGrid w:val="0"/>
          <w:lang w:eastAsia="en-US"/>
        </w:rPr>
        <w:t>e</w:t>
      </w:r>
      <w:r w:rsidR="00CD3551">
        <w:rPr>
          <w:b w:val="0"/>
          <w:snapToGrid w:val="0"/>
          <w:lang w:eastAsia="en-US"/>
        </w:rPr>
        <w:t xml:space="preserve"> </w:t>
      </w:r>
      <w:r w:rsidR="00CD3551" w:rsidRPr="005071E0">
        <w:rPr>
          <w:b w:val="0"/>
          <w:i/>
          <w:snapToGrid w:val="0"/>
          <w:lang w:eastAsia="en-US"/>
        </w:rPr>
        <w:t>Federal Financial Relations Act</w:t>
      </w:r>
      <w:r w:rsidR="005071E0" w:rsidRPr="005071E0">
        <w:rPr>
          <w:b w:val="0"/>
          <w:i/>
          <w:snapToGrid w:val="0"/>
          <w:lang w:eastAsia="en-US"/>
        </w:rPr>
        <w:t xml:space="preserve"> 2009</w:t>
      </w:r>
      <w:r w:rsidR="00CD3551">
        <w:rPr>
          <w:b w:val="0"/>
          <w:snapToGrid w:val="0"/>
          <w:lang w:eastAsia="en-US"/>
        </w:rPr>
        <w:t xml:space="preserve"> are provided to States and Territories </w:t>
      </w:r>
      <w:r w:rsidR="005071E0" w:rsidRPr="005071E0">
        <w:rPr>
          <w:b w:val="0"/>
          <w:snapToGrid w:val="0"/>
          <w:lang w:eastAsia="en-US"/>
        </w:rPr>
        <w:t>as a financial</w:t>
      </w:r>
      <w:r w:rsidR="005071E0">
        <w:rPr>
          <w:b w:val="0"/>
          <w:snapToGrid w:val="0"/>
          <w:lang w:eastAsia="en-US"/>
        </w:rPr>
        <w:t xml:space="preserve"> </w:t>
      </w:r>
      <w:r w:rsidR="005071E0" w:rsidRPr="005071E0">
        <w:rPr>
          <w:b w:val="0"/>
          <w:snapToGrid w:val="0"/>
          <w:lang w:eastAsia="en-US"/>
        </w:rPr>
        <w:t>contribution to support State and Territory s</w:t>
      </w:r>
      <w:r w:rsidR="005071E0">
        <w:rPr>
          <w:b w:val="0"/>
          <w:snapToGrid w:val="0"/>
          <w:lang w:eastAsia="en-US"/>
        </w:rPr>
        <w:t xml:space="preserve">ervice delivery in the areas of healthcare, schools, </w:t>
      </w:r>
      <w:r w:rsidR="005071E0" w:rsidRPr="005071E0">
        <w:rPr>
          <w:b w:val="0"/>
          <w:snapToGrid w:val="0"/>
          <w:lang w:eastAsia="en-US"/>
        </w:rPr>
        <w:t>s</w:t>
      </w:r>
      <w:r w:rsidR="005071E0">
        <w:rPr>
          <w:b w:val="0"/>
          <w:snapToGrid w:val="0"/>
          <w:lang w:eastAsia="en-US"/>
        </w:rPr>
        <w:t>kills and workforce development, disability services</w:t>
      </w:r>
      <w:r w:rsidR="005071E0" w:rsidRPr="005071E0">
        <w:rPr>
          <w:b w:val="0"/>
          <w:snapToGrid w:val="0"/>
          <w:lang w:eastAsia="en-US"/>
        </w:rPr>
        <w:t xml:space="preserve"> and</w:t>
      </w:r>
      <w:r w:rsidR="005071E0">
        <w:rPr>
          <w:b w:val="0"/>
          <w:snapToGrid w:val="0"/>
          <w:lang w:eastAsia="en-US"/>
        </w:rPr>
        <w:t xml:space="preserve"> </w:t>
      </w:r>
      <w:r w:rsidR="005071E0" w:rsidRPr="005071E0">
        <w:rPr>
          <w:b w:val="0"/>
          <w:snapToGrid w:val="0"/>
          <w:lang w:eastAsia="en-US"/>
        </w:rPr>
        <w:t>affordable housing.</w:t>
      </w:r>
      <w:r w:rsidR="00E448C7">
        <w:rPr>
          <w:b w:val="0"/>
          <w:snapToGrid w:val="0"/>
          <w:lang w:eastAsia="en-US"/>
        </w:rPr>
        <w:t xml:space="preserve"> The Determination </w:t>
      </w:r>
      <w:r w:rsidR="00431549">
        <w:rPr>
          <w:b w:val="0"/>
          <w:snapToGrid w:val="0"/>
          <w:lang w:eastAsia="en-US"/>
        </w:rPr>
        <w:t xml:space="preserve">specifies </w:t>
      </w:r>
      <w:r w:rsidR="00E448C7">
        <w:rPr>
          <w:b w:val="0"/>
          <w:snapToGrid w:val="0"/>
          <w:lang w:eastAsia="en-US"/>
        </w:rPr>
        <w:t xml:space="preserve">the division of funds between the States and Territories. </w:t>
      </w:r>
    </w:p>
    <w:p w:rsidR="00E918CE" w:rsidRPr="00CD3551" w:rsidRDefault="00E918CE" w:rsidP="00FC2F5C">
      <w:pPr>
        <w:pStyle w:val="Heading3"/>
        <w:ind w:left="567"/>
        <w:rPr>
          <w:i/>
          <w:snapToGrid w:val="0"/>
          <w:lang w:eastAsia="en-US"/>
        </w:rPr>
      </w:pPr>
      <w:r w:rsidRPr="00CD3551">
        <w:rPr>
          <w:i/>
          <w:snapToGrid w:val="0"/>
          <w:lang w:eastAsia="en-US"/>
        </w:rPr>
        <w:t>Human rights implications</w:t>
      </w:r>
    </w:p>
    <w:p w:rsidR="00B844D5" w:rsidRDefault="00E918CE" w:rsidP="00FC2F5C">
      <w:pPr>
        <w:autoSpaceDE w:val="0"/>
        <w:autoSpaceDN w:val="0"/>
        <w:adjustRightInd w:val="0"/>
        <w:rPr>
          <w:snapToGrid w:val="0"/>
          <w:lang w:eastAsia="en-US"/>
        </w:rPr>
      </w:pPr>
      <w:r w:rsidRPr="00E918CE">
        <w:rPr>
          <w:snapToGrid w:val="0"/>
          <w:lang w:eastAsia="en-US"/>
        </w:rPr>
        <w:t xml:space="preserve">The </w:t>
      </w:r>
      <w:r w:rsidR="00B844D5">
        <w:rPr>
          <w:snapToGrid w:val="0"/>
          <w:lang w:eastAsia="en-US"/>
        </w:rPr>
        <w:t xml:space="preserve">provision of </w:t>
      </w:r>
      <w:r w:rsidR="00FC2F5C">
        <w:rPr>
          <w:snapToGrid w:val="0"/>
          <w:lang w:eastAsia="en-US"/>
        </w:rPr>
        <w:t>National Specific Purpose P</w:t>
      </w:r>
      <w:r w:rsidR="00B844D5">
        <w:rPr>
          <w:snapToGrid w:val="0"/>
          <w:lang w:eastAsia="en-US"/>
        </w:rPr>
        <w:t xml:space="preserve">ayments to the States </w:t>
      </w:r>
      <w:r w:rsidR="00E448C7">
        <w:rPr>
          <w:snapToGrid w:val="0"/>
          <w:lang w:eastAsia="en-US"/>
        </w:rPr>
        <w:t xml:space="preserve">and Territories </w:t>
      </w:r>
      <w:r w:rsidR="00B844D5">
        <w:rPr>
          <w:snapToGrid w:val="0"/>
          <w:lang w:eastAsia="en-US"/>
        </w:rPr>
        <w:t xml:space="preserve">to assist in the areas of healthcare, schools, </w:t>
      </w:r>
      <w:r w:rsidR="00B844D5" w:rsidRPr="005071E0">
        <w:rPr>
          <w:snapToGrid w:val="0"/>
          <w:lang w:eastAsia="en-US"/>
        </w:rPr>
        <w:t>s</w:t>
      </w:r>
      <w:r w:rsidR="00B844D5">
        <w:rPr>
          <w:snapToGrid w:val="0"/>
          <w:lang w:eastAsia="en-US"/>
        </w:rPr>
        <w:t>kills and workforce development, disability services</w:t>
      </w:r>
      <w:r w:rsidR="00B844D5" w:rsidRPr="005071E0">
        <w:rPr>
          <w:snapToGrid w:val="0"/>
          <w:lang w:eastAsia="en-US"/>
        </w:rPr>
        <w:t xml:space="preserve"> and</w:t>
      </w:r>
      <w:r w:rsidR="00B844D5">
        <w:rPr>
          <w:snapToGrid w:val="0"/>
          <w:lang w:eastAsia="en-US"/>
        </w:rPr>
        <w:t xml:space="preserve"> </w:t>
      </w:r>
      <w:r w:rsidR="00B844D5" w:rsidRPr="005071E0">
        <w:rPr>
          <w:snapToGrid w:val="0"/>
          <w:lang w:eastAsia="en-US"/>
        </w:rPr>
        <w:t>affordable</w:t>
      </w:r>
      <w:r w:rsidR="00B844D5">
        <w:rPr>
          <w:snapToGrid w:val="0"/>
          <w:lang w:eastAsia="en-US"/>
        </w:rPr>
        <w:t xml:space="preserve"> housing assists in the realisation of</w:t>
      </w:r>
      <w:r w:rsidR="00436636">
        <w:rPr>
          <w:snapToGrid w:val="0"/>
          <w:lang w:eastAsia="en-US"/>
        </w:rPr>
        <w:t xml:space="preserve"> a number of human rights:</w:t>
      </w:r>
    </w:p>
    <w:p w:rsidR="00B844D5" w:rsidRDefault="00436636" w:rsidP="00FC2F5C">
      <w:pPr>
        <w:pStyle w:val="Bullet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The National Healthcare Specific Purpose Payment promotes the right to the </w:t>
      </w:r>
      <w:r w:rsidR="00B844D5" w:rsidRPr="00B844D5">
        <w:rPr>
          <w:snapToGrid w:val="0"/>
          <w:lang w:eastAsia="en-US"/>
        </w:rPr>
        <w:t>highest attainable standard of physical and mental health</w:t>
      </w:r>
      <w:r>
        <w:rPr>
          <w:snapToGrid w:val="0"/>
          <w:lang w:eastAsia="en-US"/>
        </w:rPr>
        <w:t xml:space="preserve"> (</w:t>
      </w:r>
      <w:r w:rsidR="00850F1E">
        <w:rPr>
          <w:snapToGrid w:val="0"/>
          <w:lang w:eastAsia="en-US"/>
        </w:rPr>
        <w:t xml:space="preserve">art 12(1), </w:t>
      </w:r>
      <w:r w:rsidR="00D52F4B" w:rsidRPr="00B844D5">
        <w:rPr>
          <w:snapToGrid w:val="0"/>
          <w:lang w:eastAsia="en-US"/>
        </w:rPr>
        <w:t>International Covenant on Economic Social and Cultural Rights</w:t>
      </w:r>
      <w:r w:rsidR="00560517">
        <w:rPr>
          <w:snapToGrid w:val="0"/>
          <w:lang w:eastAsia="en-US"/>
        </w:rPr>
        <w:t xml:space="preserve"> (ICESCR)</w:t>
      </w:r>
      <w:r w:rsidR="00850F1E">
        <w:rPr>
          <w:snapToGrid w:val="0"/>
          <w:lang w:eastAsia="en-US"/>
        </w:rPr>
        <w:t xml:space="preserve">; </w:t>
      </w:r>
      <w:r w:rsidR="00D6488A">
        <w:rPr>
          <w:snapToGrid w:val="0"/>
          <w:lang w:eastAsia="en-US"/>
        </w:rPr>
        <w:t>art 24, C</w:t>
      </w:r>
      <w:r w:rsidR="00D52F4B">
        <w:rPr>
          <w:snapToGrid w:val="0"/>
          <w:lang w:eastAsia="en-US"/>
        </w:rPr>
        <w:t>onvention of the Rights of the Child</w:t>
      </w:r>
      <w:r w:rsidR="00560517">
        <w:rPr>
          <w:snapToGrid w:val="0"/>
          <w:lang w:eastAsia="en-US"/>
        </w:rPr>
        <w:t xml:space="preserve"> (CRC) </w:t>
      </w:r>
      <w:r w:rsidR="00956334">
        <w:rPr>
          <w:snapToGrid w:val="0"/>
          <w:lang w:eastAsia="en-US"/>
        </w:rPr>
        <w:t xml:space="preserve">and </w:t>
      </w:r>
      <w:r w:rsidR="00D7313C">
        <w:rPr>
          <w:snapToGrid w:val="0"/>
          <w:lang w:eastAsia="en-US"/>
        </w:rPr>
        <w:t>art </w:t>
      </w:r>
      <w:r w:rsidR="006009A0">
        <w:rPr>
          <w:snapToGrid w:val="0"/>
          <w:lang w:eastAsia="en-US"/>
        </w:rPr>
        <w:t>25,</w:t>
      </w:r>
      <w:r w:rsidR="00D52F4B" w:rsidRPr="00D52F4B">
        <w:rPr>
          <w:snapToGrid w:val="0"/>
          <w:lang w:eastAsia="en-US"/>
        </w:rPr>
        <w:t xml:space="preserve"> </w:t>
      </w:r>
      <w:r w:rsidR="00D52F4B" w:rsidRPr="00B844D5">
        <w:rPr>
          <w:snapToGrid w:val="0"/>
          <w:lang w:eastAsia="en-US"/>
        </w:rPr>
        <w:t>Convention on the Rights of Persons with Disabilities</w:t>
      </w:r>
      <w:r w:rsidR="00560517">
        <w:rPr>
          <w:snapToGrid w:val="0"/>
          <w:lang w:eastAsia="en-US"/>
        </w:rPr>
        <w:t xml:space="preserve"> (CRPD)</w:t>
      </w:r>
      <w:r>
        <w:rPr>
          <w:snapToGrid w:val="0"/>
          <w:lang w:eastAsia="en-US"/>
        </w:rPr>
        <w:t>)</w:t>
      </w:r>
      <w:r w:rsidR="00BB5F4B">
        <w:rPr>
          <w:snapToGrid w:val="0"/>
          <w:lang w:eastAsia="en-US"/>
        </w:rPr>
        <w:t>.</w:t>
      </w:r>
    </w:p>
    <w:p w:rsidR="00243317" w:rsidRDefault="00436636" w:rsidP="00FC2F5C">
      <w:pPr>
        <w:pStyle w:val="Bullet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The National Schools Specific Purpose Payment and the National Skills and Workforce Development Specific Purpose Payment promotes the </w:t>
      </w:r>
      <w:r w:rsidR="00243317">
        <w:rPr>
          <w:snapToGrid w:val="0"/>
          <w:lang w:eastAsia="en-US"/>
        </w:rPr>
        <w:t>right to education</w:t>
      </w:r>
      <w:r w:rsidR="00B80310">
        <w:rPr>
          <w:snapToGrid w:val="0"/>
          <w:lang w:eastAsia="en-US"/>
        </w:rPr>
        <w:t xml:space="preserve"> (</w:t>
      </w:r>
      <w:r w:rsidR="000E4E1E">
        <w:rPr>
          <w:snapToGrid w:val="0"/>
          <w:lang w:eastAsia="en-US"/>
        </w:rPr>
        <w:t xml:space="preserve">art 13, ICESCR; </w:t>
      </w:r>
      <w:r w:rsidR="00C77554">
        <w:rPr>
          <w:snapToGrid w:val="0"/>
          <w:lang w:eastAsia="en-US"/>
        </w:rPr>
        <w:t>art </w:t>
      </w:r>
      <w:r w:rsidR="00956334">
        <w:rPr>
          <w:snapToGrid w:val="0"/>
          <w:lang w:eastAsia="en-US"/>
        </w:rPr>
        <w:t xml:space="preserve">28, CRC and </w:t>
      </w:r>
      <w:r w:rsidR="006914AB">
        <w:rPr>
          <w:snapToGrid w:val="0"/>
          <w:lang w:eastAsia="en-US"/>
        </w:rPr>
        <w:t>art 24, CRPD</w:t>
      </w:r>
      <w:r w:rsidR="00B80310">
        <w:rPr>
          <w:snapToGrid w:val="0"/>
          <w:lang w:eastAsia="en-US"/>
        </w:rPr>
        <w:t>)</w:t>
      </w:r>
      <w:r w:rsidR="00A879EE">
        <w:rPr>
          <w:snapToGrid w:val="0"/>
          <w:lang w:eastAsia="en-US"/>
        </w:rPr>
        <w:t>, and the full realisation of the right to work</w:t>
      </w:r>
      <w:r w:rsidR="00243317">
        <w:rPr>
          <w:snapToGrid w:val="0"/>
          <w:lang w:eastAsia="en-US"/>
        </w:rPr>
        <w:t xml:space="preserve"> </w:t>
      </w:r>
      <w:r w:rsidR="00A879EE">
        <w:rPr>
          <w:snapToGrid w:val="0"/>
          <w:lang w:eastAsia="en-US"/>
        </w:rPr>
        <w:t>through vocational training</w:t>
      </w:r>
      <w:r>
        <w:rPr>
          <w:snapToGrid w:val="0"/>
          <w:lang w:eastAsia="en-US"/>
        </w:rPr>
        <w:t xml:space="preserve"> (</w:t>
      </w:r>
      <w:r w:rsidR="00956334">
        <w:rPr>
          <w:snapToGrid w:val="0"/>
          <w:lang w:eastAsia="en-US"/>
        </w:rPr>
        <w:t>art 6, ICESCR and art 27, CRPD</w:t>
      </w:r>
      <w:r>
        <w:rPr>
          <w:snapToGrid w:val="0"/>
          <w:lang w:eastAsia="en-US"/>
        </w:rPr>
        <w:t>)</w:t>
      </w:r>
      <w:r w:rsidR="00BB5F4B">
        <w:rPr>
          <w:snapToGrid w:val="0"/>
          <w:lang w:eastAsia="en-US"/>
        </w:rPr>
        <w:t>.</w:t>
      </w:r>
    </w:p>
    <w:p w:rsidR="00243317" w:rsidRDefault="00436636" w:rsidP="00FC2F5C">
      <w:pPr>
        <w:pStyle w:val="Bullet"/>
        <w:rPr>
          <w:snapToGrid w:val="0"/>
          <w:lang w:eastAsia="en-US"/>
        </w:rPr>
      </w:pPr>
      <w:r>
        <w:rPr>
          <w:snapToGrid w:val="0"/>
          <w:lang w:eastAsia="en-US"/>
        </w:rPr>
        <w:t>The</w:t>
      </w:r>
      <w:r w:rsidRPr="00436636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National Affordable Housing Specific Purpose Payment promotes the </w:t>
      </w:r>
      <w:r w:rsidR="00243317">
        <w:rPr>
          <w:snapToGrid w:val="0"/>
          <w:lang w:eastAsia="en-US"/>
        </w:rPr>
        <w:t xml:space="preserve">right to </w:t>
      </w:r>
      <w:r w:rsidR="00243317" w:rsidRPr="00B844D5">
        <w:rPr>
          <w:snapToGrid w:val="0"/>
          <w:lang w:eastAsia="en-US"/>
        </w:rPr>
        <w:t>an adequate standard of living</w:t>
      </w:r>
      <w:r w:rsidR="00243317">
        <w:rPr>
          <w:snapToGrid w:val="0"/>
          <w:lang w:eastAsia="en-US"/>
        </w:rPr>
        <w:t xml:space="preserve"> (specifically in relation to housing)</w:t>
      </w:r>
      <w:r>
        <w:rPr>
          <w:snapToGrid w:val="0"/>
          <w:lang w:eastAsia="en-US"/>
        </w:rPr>
        <w:t xml:space="preserve"> (</w:t>
      </w:r>
      <w:r w:rsidR="002361C0">
        <w:rPr>
          <w:snapToGrid w:val="0"/>
          <w:lang w:eastAsia="en-US"/>
        </w:rPr>
        <w:t>art</w:t>
      </w:r>
      <w:r w:rsidR="005F79EA">
        <w:rPr>
          <w:snapToGrid w:val="0"/>
          <w:lang w:eastAsia="en-US"/>
        </w:rPr>
        <w:t xml:space="preserve"> 11, ICESCR; </w:t>
      </w:r>
      <w:r w:rsidR="00F80C58">
        <w:rPr>
          <w:snapToGrid w:val="0"/>
          <w:lang w:eastAsia="en-US"/>
        </w:rPr>
        <w:t xml:space="preserve">art 27, CRC and </w:t>
      </w:r>
      <w:r w:rsidR="000B0A05">
        <w:rPr>
          <w:snapToGrid w:val="0"/>
          <w:lang w:eastAsia="en-US"/>
        </w:rPr>
        <w:t>art 28, CRPD</w:t>
      </w:r>
      <w:r>
        <w:rPr>
          <w:snapToGrid w:val="0"/>
          <w:lang w:eastAsia="en-US"/>
        </w:rPr>
        <w:t>)</w:t>
      </w:r>
      <w:r w:rsidR="00BB5F4B">
        <w:rPr>
          <w:snapToGrid w:val="0"/>
          <w:lang w:eastAsia="en-US"/>
        </w:rPr>
        <w:t>.</w:t>
      </w:r>
    </w:p>
    <w:p w:rsidR="00F03945" w:rsidRDefault="00824A8B" w:rsidP="00436636">
      <w:pPr>
        <w:pStyle w:val="Bullet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The </w:t>
      </w:r>
      <w:r w:rsidR="00436636">
        <w:rPr>
          <w:snapToGrid w:val="0"/>
          <w:lang w:eastAsia="en-US"/>
        </w:rPr>
        <w:t xml:space="preserve">determination </w:t>
      </w:r>
      <w:r>
        <w:rPr>
          <w:snapToGrid w:val="0"/>
          <w:lang w:eastAsia="en-US"/>
        </w:rPr>
        <w:t xml:space="preserve">does not stipulate how </w:t>
      </w:r>
      <w:r w:rsidR="007D5834">
        <w:rPr>
          <w:snapToGrid w:val="0"/>
          <w:lang w:eastAsia="en-US"/>
        </w:rPr>
        <w:t xml:space="preserve">and to what ends </w:t>
      </w:r>
      <w:r>
        <w:rPr>
          <w:snapToGrid w:val="0"/>
          <w:lang w:eastAsia="en-US"/>
        </w:rPr>
        <w:t xml:space="preserve">the </w:t>
      </w:r>
      <w:r w:rsidR="000A1CB1">
        <w:rPr>
          <w:snapToGrid w:val="0"/>
          <w:lang w:eastAsia="en-US"/>
        </w:rPr>
        <w:t xml:space="preserve">recipient </w:t>
      </w:r>
      <w:r>
        <w:rPr>
          <w:snapToGrid w:val="0"/>
          <w:lang w:eastAsia="en-US"/>
        </w:rPr>
        <w:t xml:space="preserve">States and Territories are to spend the </w:t>
      </w:r>
      <w:r w:rsidR="00436636">
        <w:rPr>
          <w:snapToGrid w:val="0"/>
          <w:lang w:eastAsia="en-US"/>
        </w:rPr>
        <w:t>National Disability Specific Purpose Payment</w:t>
      </w:r>
      <w:r w:rsidR="00F03945">
        <w:rPr>
          <w:snapToGrid w:val="0"/>
          <w:lang w:eastAsia="en-US"/>
        </w:rPr>
        <w:t xml:space="preserve">s, but </w:t>
      </w:r>
      <w:r w:rsidR="006D11C0">
        <w:rPr>
          <w:snapToGrid w:val="0"/>
          <w:lang w:eastAsia="en-US"/>
        </w:rPr>
        <w:t xml:space="preserve">the payments are </w:t>
      </w:r>
      <w:r w:rsidR="00F03945">
        <w:rPr>
          <w:snapToGrid w:val="0"/>
          <w:lang w:eastAsia="en-US"/>
        </w:rPr>
        <w:t>likely to promote:</w:t>
      </w:r>
    </w:p>
    <w:p w:rsidR="00824A8B" w:rsidRPr="00A24B13" w:rsidRDefault="00F03945" w:rsidP="00A24B13">
      <w:pPr>
        <w:pStyle w:val="Dash"/>
        <w:rPr>
          <w:snapToGrid w:val="0"/>
          <w:lang w:eastAsia="en-US"/>
        </w:rPr>
      </w:pPr>
      <w:bookmarkStart w:id="3" w:name="_GoBack"/>
      <w:r>
        <w:rPr>
          <w:snapToGrid w:val="0"/>
          <w:lang w:eastAsia="en-US"/>
        </w:rPr>
        <w:t xml:space="preserve">the right of children with </w:t>
      </w:r>
      <w:r>
        <w:t>disabilities to education, training and health care (art 23, CRC</w:t>
      </w:r>
      <w:r w:rsidR="00E601A5">
        <w:t xml:space="preserve"> and art 7, CRPD</w:t>
      </w:r>
      <w:r>
        <w:t>)</w:t>
      </w:r>
      <w:r w:rsidR="008169B5">
        <w:t>;</w:t>
      </w:r>
    </w:p>
    <w:p w:rsidR="00F03945" w:rsidRDefault="00D95DD0" w:rsidP="00A24B13">
      <w:pPr>
        <w:pStyle w:val="Dash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rights concerning the ability of </w:t>
      </w:r>
      <w:r w:rsidR="007966C8">
        <w:rPr>
          <w:snapToGrid w:val="0"/>
          <w:lang w:eastAsia="en-US"/>
        </w:rPr>
        <w:t>persons with disabilities to live independently and be included in the community (art 19, CRPD)</w:t>
      </w:r>
      <w:r w:rsidR="009F5CAE">
        <w:rPr>
          <w:snapToGrid w:val="0"/>
          <w:lang w:eastAsia="en-US"/>
        </w:rPr>
        <w:t>;</w:t>
      </w:r>
    </w:p>
    <w:p w:rsidR="007966C8" w:rsidRDefault="009F5CAE" w:rsidP="00A24B13">
      <w:pPr>
        <w:pStyle w:val="Dash"/>
        <w:rPr>
          <w:snapToGrid w:val="0"/>
          <w:lang w:eastAsia="en-US"/>
        </w:rPr>
      </w:pPr>
      <w:r>
        <w:rPr>
          <w:snapToGrid w:val="0"/>
          <w:lang w:eastAsia="en-US"/>
        </w:rPr>
        <w:t>rights concerning the personal mobility of persons with disabilities (art 20, CRPD);</w:t>
      </w:r>
    </w:p>
    <w:p w:rsidR="009F5CAE" w:rsidRDefault="00CC1C8B" w:rsidP="00A24B13">
      <w:pPr>
        <w:pStyle w:val="Dash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rights concerning </w:t>
      </w:r>
      <w:proofErr w:type="spellStart"/>
      <w:r>
        <w:rPr>
          <w:snapToGrid w:val="0"/>
          <w:lang w:eastAsia="en-US"/>
        </w:rPr>
        <w:t>habilitation</w:t>
      </w:r>
      <w:proofErr w:type="spellEnd"/>
      <w:r>
        <w:rPr>
          <w:snapToGrid w:val="0"/>
          <w:lang w:eastAsia="en-US"/>
        </w:rPr>
        <w:t xml:space="preserve"> and rehabilitation of persons with disabilities (art 26, CRPD);</w:t>
      </w:r>
      <w:r w:rsidR="00BB5F4B">
        <w:rPr>
          <w:snapToGrid w:val="0"/>
          <w:lang w:eastAsia="en-US"/>
        </w:rPr>
        <w:t xml:space="preserve"> and</w:t>
      </w:r>
    </w:p>
    <w:p w:rsidR="00CC1C8B" w:rsidRDefault="0066748B" w:rsidP="00A24B13">
      <w:pPr>
        <w:pStyle w:val="Dash"/>
        <w:rPr>
          <w:snapToGrid w:val="0"/>
          <w:lang w:eastAsia="en-US"/>
        </w:rPr>
      </w:pPr>
      <w:r>
        <w:rPr>
          <w:snapToGrid w:val="0"/>
          <w:lang w:eastAsia="en-US"/>
        </w:rPr>
        <w:t>the right to take part in cultural life (art 30, CRPD)</w:t>
      </w:r>
    </w:p>
    <w:bookmarkEnd w:id="3"/>
    <w:p w:rsidR="00436636" w:rsidRDefault="0066748B" w:rsidP="00A24B13">
      <w:pPr>
        <w:pStyle w:val="Dash"/>
        <w:numPr>
          <w:ilvl w:val="0"/>
          <w:numId w:val="0"/>
        </w:numPr>
        <w:rPr>
          <w:snapToGrid w:val="0"/>
          <w:lang w:eastAsia="en-US"/>
        </w:rPr>
      </w:pPr>
      <w:proofErr w:type="gramStart"/>
      <w:r>
        <w:rPr>
          <w:snapToGrid w:val="0"/>
          <w:lang w:eastAsia="en-US"/>
        </w:rPr>
        <w:lastRenderedPageBreak/>
        <w:t>in</w:t>
      </w:r>
      <w:proofErr w:type="gramEnd"/>
      <w:r>
        <w:rPr>
          <w:snapToGrid w:val="0"/>
          <w:lang w:eastAsia="en-US"/>
        </w:rPr>
        <w:t xml:space="preserve"> addition to the rights already mentioned above concerning health, education, work and adequate standard of living.</w:t>
      </w:r>
    </w:p>
    <w:p w:rsidR="00E918CE" w:rsidRPr="00CD3551" w:rsidRDefault="00E918CE" w:rsidP="00FC2F5C">
      <w:pPr>
        <w:pStyle w:val="Heading3"/>
        <w:ind w:left="567"/>
        <w:rPr>
          <w:i/>
          <w:snapToGrid w:val="0"/>
          <w:lang w:eastAsia="en-US"/>
        </w:rPr>
      </w:pPr>
      <w:r w:rsidRPr="00CD3551">
        <w:rPr>
          <w:i/>
          <w:snapToGrid w:val="0"/>
          <w:lang w:eastAsia="en-US"/>
        </w:rPr>
        <w:t>Conclusion</w:t>
      </w:r>
    </w:p>
    <w:p w:rsidR="00E918CE" w:rsidRPr="00E918CE" w:rsidRDefault="00E918CE" w:rsidP="00FC2F5C">
      <w:pPr>
        <w:pStyle w:val="Heading3"/>
        <w:rPr>
          <w:b w:val="0"/>
          <w:snapToGrid w:val="0"/>
          <w:lang w:eastAsia="en-US"/>
        </w:rPr>
      </w:pPr>
      <w:r w:rsidRPr="00E918CE">
        <w:rPr>
          <w:b w:val="0"/>
          <w:snapToGrid w:val="0"/>
          <w:lang w:eastAsia="en-US"/>
        </w:rPr>
        <w:t>Th</w:t>
      </w:r>
      <w:r w:rsidR="00243317">
        <w:rPr>
          <w:b w:val="0"/>
          <w:snapToGrid w:val="0"/>
          <w:lang w:eastAsia="en-US"/>
        </w:rPr>
        <w:t xml:space="preserve">is Legislative Instrument is compatible with human rights </w:t>
      </w:r>
      <w:r w:rsidR="00FC2F5C">
        <w:rPr>
          <w:b w:val="0"/>
          <w:snapToGrid w:val="0"/>
          <w:lang w:eastAsia="en-US"/>
        </w:rPr>
        <w:t>a</w:t>
      </w:r>
      <w:r w:rsidR="00243317">
        <w:rPr>
          <w:b w:val="0"/>
          <w:snapToGrid w:val="0"/>
          <w:lang w:eastAsia="en-US"/>
        </w:rPr>
        <w:t>s it does not raise any human rights issues and enhances the protection of human rights.</w:t>
      </w:r>
    </w:p>
    <w:sectPr w:rsidR="00E918CE" w:rsidRPr="00E918CE">
      <w:headerReference w:type="default" r:id="rId8"/>
      <w:footerReference w:type="default" r:id="rId9"/>
      <w:headerReference w:type="first" r:id="rId10"/>
      <w:pgSz w:w="11907" w:h="16840" w:code="9"/>
      <w:pgMar w:top="993" w:right="1134" w:bottom="709" w:left="1134" w:header="425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28" w:rsidRDefault="00C64728">
      <w:r>
        <w:separator/>
      </w:r>
    </w:p>
  </w:endnote>
  <w:endnote w:type="continuationSeparator" w:id="0">
    <w:p w:rsidR="00C64728" w:rsidRDefault="00C6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728" w:rsidRDefault="00C64728">
    <w:pPr>
      <w:tabs>
        <w:tab w:val="center" w:pos="4820"/>
      </w:tabs>
      <w:spacing w:before="120" w:after="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28" w:rsidRDefault="00C64728">
      <w:r>
        <w:separator/>
      </w:r>
    </w:p>
  </w:footnote>
  <w:footnote w:type="continuationSeparator" w:id="0">
    <w:p w:rsidR="00C64728" w:rsidRDefault="00C64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728" w:rsidRPr="00B22D03" w:rsidRDefault="00C64728">
    <w:pPr>
      <w:tabs>
        <w:tab w:val="center" w:pos="4820"/>
      </w:tabs>
      <w:jc w:val="center"/>
    </w:pPr>
    <w:r w:rsidRPr="00B22D03">
      <w:fldChar w:fldCharType="begin"/>
    </w:r>
    <w:r w:rsidRPr="00B22D03">
      <w:instrText>PAGE</w:instrText>
    </w:r>
    <w:r w:rsidRPr="00B22D03">
      <w:fldChar w:fldCharType="separate"/>
    </w:r>
    <w:r w:rsidR="00BB5F4B">
      <w:rPr>
        <w:noProof/>
      </w:rPr>
      <w:t>3</w:t>
    </w:r>
    <w:r w:rsidRPr="00B22D03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728" w:rsidRDefault="00C64728">
    <w:pPr>
      <w:tabs>
        <w:tab w:val="center" w:pos="4820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14067"/>
    <w:multiLevelType w:val="multilevel"/>
    <w:tmpl w:val="B1A8176E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E4F234F"/>
    <w:multiLevelType w:val="multilevel"/>
    <w:tmpl w:val="B1A8176E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44972423"/>
    <w:multiLevelType w:val="singleLevel"/>
    <w:tmpl w:val="15F47EFA"/>
    <w:name w:val="StandardBulletedList"/>
    <w:lvl w:ilvl="0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intFractionalCharacterWidth/>
  <w:embedSystemFont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AECB2329-B439-4416-BE41-71267663CE4A}"/>
    <w:docVar w:name="dgnword-eventsink" w:val="203164032"/>
  </w:docVars>
  <w:rsids>
    <w:rsidRoot w:val="00A70F32"/>
    <w:rsid w:val="00000613"/>
    <w:rsid w:val="000016C9"/>
    <w:rsid w:val="00002026"/>
    <w:rsid w:val="00003F43"/>
    <w:rsid w:val="0001073F"/>
    <w:rsid w:val="0001514D"/>
    <w:rsid w:val="00023786"/>
    <w:rsid w:val="0003226E"/>
    <w:rsid w:val="000338E8"/>
    <w:rsid w:val="00047EE3"/>
    <w:rsid w:val="000529BC"/>
    <w:rsid w:val="00053776"/>
    <w:rsid w:val="00055112"/>
    <w:rsid w:val="00061567"/>
    <w:rsid w:val="00062293"/>
    <w:rsid w:val="00063C4D"/>
    <w:rsid w:val="000730FB"/>
    <w:rsid w:val="00073615"/>
    <w:rsid w:val="00094316"/>
    <w:rsid w:val="000A174D"/>
    <w:rsid w:val="000A1CB1"/>
    <w:rsid w:val="000A7A4E"/>
    <w:rsid w:val="000B0A05"/>
    <w:rsid w:val="000B0D7F"/>
    <w:rsid w:val="000B5563"/>
    <w:rsid w:val="000B5F91"/>
    <w:rsid w:val="000E2FC1"/>
    <w:rsid w:val="000E4E1E"/>
    <w:rsid w:val="000F50A5"/>
    <w:rsid w:val="00100D6D"/>
    <w:rsid w:val="00106A46"/>
    <w:rsid w:val="0010773D"/>
    <w:rsid w:val="00113819"/>
    <w:rsid w:val="00122FF6"/>
    <w:rsid w:val="00125DE7"/>
    <w:rsid w:val="00127409"/>
    <w:rsid w:val="0013701D"/>
    <w:rsid w:val="00140B2A"/>
    <w:rsid w:val="00150A0C"/>
    <w:rsid w:val="001614D0"/>
    <w:rsid w:val="00165C0D"/>
    <w:rsid w:val="00184DD1"/>
    <w:rsid w:val="001918BD"/>
    <w:rsid w:val="00193EF3"/>
    <w:rsid w:val="001A0225"/>
    <w:rsid w:val="001C5BE0"/>
    <w:rsid w:val="001D113D"/>
    <w:rsid w:val="001D49C2"/>
    <w:rsid w:val="001D7592"/>
    <w:rsid w:val="001E1229"/>
    <w:rsid w:val="001E6B5B"/>
    <w:rsid w:val="001F098E"/>
    <w:rsid w:val="001F3271"/>
    <w:rsid w:val="001F4C96"/>
    <w:rsid w:val="001F617D"/>
    <w:rsid w:val="002001A3"/>
    <w:rsid w:val="002050D9"/>
    <w:rsid w:val="00221399"/>
    <w:rsid w:val="00222309"/>
    <w:rsid w:val="00223E53"/>
    <w:rsid w:val="0022745A"/>
    <w:rsid w:val="002321C3"/>
    <w:rsid w:val="002361C0"/>
    <w:rsid w:val="00243317"/>
    <w:rsid w:val="00251859"/>
    <w:rsid w:val="00251B26"/>
    <w:rsid w:val="00265167"/>
    <w:rsid w:val="00265C0F"/>
    <w:rsid w:val="00266985"/>
    <w:rsid w:val="002817DD"/>
    <w:rsid w:val="002C4272"/>
    <w:rsid w:val="002E59D6"/>
    <w:rsid w:val="002F1ABD"/>
    <w:rsid w:val="003025CA"/>
    <w:rsid w:val="00306581"/>
    <w:rsid w:val="00313F22"/>
    <w:rsid w:val="00322AEA"/>
    <w:rsid w:val="00350299"/>
    <w:rsid w:val="00355C8E"/>
    <w:rsid w:val="00360216"/>
    <w:rsid w:val="0038056B"/>
    <w:rsid w:val="00386D9F"/>
    <w:rsid w:val="003972C0"/>
    <w:rsid w:val="003A36D3"/>
    <w:rsid w:val="003A3E24"/>
    <w:rsid w:val="003F645E"/>
    <w:rsid w:val="003F7F79"/>
    <w:rsid w:val="00400D6B"/>
    <w:rsid w:val="00412508"/>
    <w:rsid w:val="00431549"/>
    <w:rsid w:val="00436636"/>
    <w:rsid w:val="0044519C"/>
    <w:rsid w:val="0046089D"/>
    <w:rsid w:val="0046283D"/>
    <w:rsid w:val="00467DFB"/>
    <w:rsid w:val="004745EE"/>
    <w:rsid w:val="004806F8"/>
    <w:rsid w:val="00482118"/>
    <w:rsid w:val="004A5198"/>
    <w:rsid w:val="004A6BBE"/>
    <w:rsid w:val="004C5A39"/>
    <w:rsid w:val="004C5EE3"/>
    <w:rsid w:val="004E39B8"/>
    <w:rsid w:val="004F47A5"/>
    <w:rsid w:val="004F4887"/>
    <w:rsid w:val="0050719C"/>
    <w:rsid w:val="005071E0"/>
    <w:rsid w:val="0050763E"/>
    <w:rsid w:val="00544A4C"/>
    <w:rsid w:val="00546947"/>
    <w:rsid w:val="00550804"/>
    <w:rsid w:val="0055454B"/>
    <w:rsid w:val="00560517"/>
    <w:rsid w:val="0057548F"/>
    <w:rsid w:val="00594288"/>
    <w:rsid w:val="005A4AD3"/>
    <w:rsid w:val="005A6880"/>
    <w:rsid w:val="005C0B1B"/>
    <w:rsid w:val="005D005D"/>
    <w:rsid w:val="005D4310"/>
    <w:rsid w:val="005F79EA"/>
    <w:rsid w:val="006009A0"/>
    <w:rsid w:val="0062564A"/>
    <w:rsid w:val="00627AE2"/>
    <w:rsid w:val="00651767"/>
    <w:rsid w:val="006557ED"/>
    <w:rsid w:val="00661629"/>
    <w:rsid w:val="0066318F"/>
    <w:rsid w:val="0066549B"/>
    <w:rsid w:val="0066748B"/>
    <w:rsid w:val="00670997"/>
    <w:rsid w:val="0068488A"/>
    <w:rsid w:val="00687295"/>
    <w:rsid w:val="006914AB"/>
    <w:rsid w:val="006928D8"/>
    <w:rsid w:val="0069472D"/>
    <w:rsid w:val="006B04D6"/>
    <w:rsid w:val="006D11C0"/>
    <w:rsid w:val="00706646"/>
    <w:rsid w:val="00720F11"/>
    <w:rsid w:val="0072596E"/>
    <w:rsid w:val="007513FE"/>
    <w:rsid w:val="00754895"/>
    <w:rsid w:val="00761538"/>
    <w:rsid w:val="00763CD0"/>
    <w:rsid w:val="0077657C"/>
    <w:rsid w:val="00783637"/>
    <w:rsid w:val="00784487"/>
    <w:rsid w:val="00790A90"/>
    <w:rsid w:val="007950A0"/>
    <w:rsid w:val="007966C8"/>
    <w:rsid w:val="007B2BCD"/>
    <w:rsid w:val="007D5834"/>
    <w:rsid w:val="007E204C"/>
    <w:rsid w:val="007E4BEB"/>
    <w:rsid w:val="007F14A1"/>
    <w:rsid w:val="00815FC1"/>
    <w:rsid w:val="008169B5"/>
    <w:rsid w:val="008204BD"/>
    <w:rsid w:val="00820CAE"/>
    <w:rsid w:val="00824A8B"/>
    <w:rsid w:val="00850F1E"/>
    <w:rsid w:val="008577D2"/>
    <w:rsid w:val="0086300A"/>
    <w:rsid w:val="008654A7"/>
    <w:rsid w:val="00866958"/>
    <w:rsid w:val="00876DE8"/>
    <w:rsid w:val="008854F2"/>
    <w:rsid w:val="008A5A25"/>
    <w:rsid w:val="008F39E7"/>
    <w:rsid w:val="00903ABC"/>
    <w:rsid w:val="00912382"/>
    <w:rsid w:val="00956334"/>
    <w:rsid w:val="009614FE"/>
    <w:rsid w:val="00990556"/>
    <w:rsid w:val="009973C9"/>
    <w:rsid w:val="009A4D1B"/>
    <w:rsid w:val="009C17A3"/>
    <w:rsid w:val="009C4522"/>
    <w:rsid w:val="009D4B98"/>
    <w:rsid w:val="009E66A2"/>
    <w:rsid w:val="009F22C0"/>
    <w:rsid w:val="009F5CAE"/>
    <w:rsid w:val="00A24B13"/>
    <w:rsid w:val="00A25C9E"/>
    <w:rsid w:val="00A35EED"/>
    <w:rsid w:val="00A6002E"/>
    <w:rsid w:val="00A70F32"/>
    <w:rsid w:val="00A710A9"/>
    <w:rsid w:val="00A72686"/>
    <w:rsid w:val="00A7664E"/>
    <w:rsid w:val="00A86510"/>
    <w:rsid w:val="00A879EE"/>
    <w:rsid w:val="00A94C44"/>
    <w:rsid w:val="00AA74A9"/>
    <w:rsid w:val="00AC1215"/>
    <w:rsid w:val="00B11B53"/>
    <w:rsid w:val="00B15C8D"/>
    <w:rsid w:val="00B2069A"/>
    <w:rsid w:val="00B217CD"/>
    <w:rsid w:val="00B22D03"/>
    <w:rsid w:val="00B2416C"/>
    <w:rsid w:val="00B267AC"/>
    <w:rsid w:val="00B32715"/>
    <w:rsid w:val="00B46FCD"/>
    <w:rsid w:val="00B64EF4"/>
    <w:rsid w:val="00B80310"/>
    <w:rsid w:val="00B844D5"/>
    <w:rsid w:val="00B87FF7"/>
    <w:rsid w:val="00BB5943"/>
    <w:rsid w:val="00BB5F4B"/>
    <w:rsid w:val="00BB67DB"/>
    <w:rsid w:val="00BD6896"/>
    <w:rsid w:val="00BE7EAB"/>
    <w:rsid w:val="00C30FEA"/>
    <w:rsid w:val="00C50A8D"/>
    <w:rsid w:val="00C631E7"/>
    <w:rsid w:val="00C64728"/>
    <w:rsid w:val="00C77554"/>
    <w:rsid w:val="00C808B8"/>
    <w:rsid w:val="00C81AE5"/>
    <w:rsid w:val="00C81C8C"/>
    <w:rsid w:val="00C91ACF"/>
    <w:rsid w:val="00CA2071"/>
    <w:rsid w:val="00CA40E5"/>
    <w:rsid w:val="00CB0204"/>
    <w:rsid w:val="00CB7354"/>
    <w:rsid w:val="00CC1C8B"/>
    <w:rsid w:val="00CC5AB4"/>
    <w:rsid w:val="00CD3551"/>
    <w:rsid w:val="00CD46D2"/>
    <w:rsid w:val="00CE1015"/>
    <w:rsid w:val="00CE5673"/>
    <w:rsid w:val="00CE696A"/>
    <w:rsid w:val="00CF791D"/>
    <w:rsid w:val="00D34156"/>
    <w:rsid w:val="00D377BB"/>
    <w:rsid w:val="00D42D7B"/>
    <w:rsid w:val="00D43114"/>
    <w:rsid w:val="00D51751"/>
    <w:rsid w:val="00D52F4B"/>
    <w:rsid w:val="00D54DF2"/>
    <w:rsid w:val="00D56FB3"/>
    <w:rsid w:val="00D6488A"/>
    <w:rsid w:val="00D66655"/>
    <w:rsid w:val="00D7313C"/>
    <w:rsid w:val="00D73184"/>
    <w:rsid w:val="00D90CE5"/>
    <w:rsid w:val="00D95DD0"/>
    <w:rsid w:val="00DA0A28"/>
    <w:rsid w:val="00DC1102"/>
    <w:rsid w:val="00DE3EA4"/>
    <w:rsid w:val="00DF2B3B"/>
    <w:rsid w:val="00DF38CE"/>
    <w:rsid w:val="00E10CAD"/>
    <w:rsid w:val="00E11D20"/>
    <w:rsid w:val="00E162A3"/>
    <w:rsid w:val="00E20626"/>
    <w:rsid w:val="00E25042"/>
    <w:rsid w:val="00E265C5"/>
    <w:rsid w:val="00E448C7"/>
    <w:rsid w:val="00E601A5"/>
    <w:rsid w:val="00E72033"/>
    <w:rsid w:val="00E73446"/>
    <w:rsid w:val="00E77D81"/>
    <w:rsid w:val="00E813B6"/>
    <w:rsid w:val="00E83E31"/>
    <w:rsid w:val="00E918CE"/>
    <w:rsid w:val="00E94278"/>
    <w:rsid w:val="00E942CC"/>
    <w:rsid w:val="00E94C39"/>
    <w:rsid w:val="00E9615B"/>
    <w:rsid w:val="00EA254E"/>
    <w:rsid w:val="00EB14C3"/>
    <w:rsid w:val="00EB59C6"/>
    <w:rsid w:val="00EB7758"/>
    <w:rsid w:val="00EC6DB1"/>
    <w:rsid w:val="00EE5EFA"/>
    <w:rsid w:val="00EE639D"/>
    <w:rsid w:val="00EE755E"/>
    <w:rsid w:val="00EF0551"/>
    <w:rsid w:val="00F03945"/>
    <w:rsid w:val="00F1081F"/>
    <w:rsid w:val="00F23828"/>
    <w:rsid w:val="00F4267F"/>
    <w:rsid w:val="00F510E1"/>
    <w:rsid w:val="00F75E7F"/>
    <w:rsid w:val="00F80C58"/>
    <w:rsid w:val="00F85A6C"/>
    <w:rsid w:val="00F9109C"/>
    <w:rsid w:val="00FA36EE"/>
    <w:rsid w:val="00FC09E7"/>
    <w:rsid w:val="00FC2F5C"/>
    <w:rsid w:val="00FD1659"/>
    <w:rsid w:val="00FD1822"/>
    <w:rsid w:val="00FD2453"/>
    <w:rsid w:val="00FE3B1F"/>
    <w:rsid w:val="00FE4150"/>
    <w:rsid w:val="00FF050C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20"/>
    </w:rPr>
  </w:style>
  <w:style w:type="paragraph" w:styleId="Heading5">
    <w:name w:val="heading 5"/>
    <w:basedOn w:val="Normal"/>
    <w:next w:val="Normal"/>
    <w:qFormat/>
    <w:pPr>
      <w:keepNext/>
      <w:ind w:left="567" w:hanging="567"/>
      <w:jc w:val="center"/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pPr>
      <w:keepNext/>
      <w:spacing w:after="0"/>
      <w:ind w:left="284" w:right="1535" w:hanging="284"/>
      <w:outlineLvl w:val="5"/>
    </w:pPr>
    <w:rPr>
      <w:lang w:val="en-US"/>
    </w:rPr>
  </w:style>
  <w:style w:type="paragraph" w:styleId="Heading7">
    <w:name w:val="heading 7"/>
    <w:basedOn w:val="Normal"/>
    <w:next w:val="Normal"/>
    <w:qFormat/>
    <w:pPr>
      <w:keepNext/>
      <w:ind w:right="1535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pPr>
      <w:spacing w:after="0"/>
    </w:pPr>
  </w:style>
  <w:style w:type="paragraph" w:customStyle="1" w:styleId="ChartMainHeading">
    <w:name w:val="Chart Main Heading"/>
    <w:basedOn w:val="SingleParagraph"/>
    <w:next w:val="Normal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pPr>
      <w:jc w:val="center"/>
    </w:pPr>
    <w:rPr>
      <w:b/>
    </w:rPr>
  </w:style>
  <w:style w:type="paragraph" w:customStyle="1" w:styleId="TableMainHeading">
    <w:name w:val="Table Main Heading"/>
    <w:basedOn w:val="Heading2"/>
    <w:next w:val="Normal"/>
    <w:pPr>
      <w:spacing w:before="240" w:after="0"/>
      <w:outlineLvl w:val="9"/>
    </w:pPr>
    <w:rPr>
      <w:rFonts w:ascii="Helvetica" w:hAnsi="Helvetica"/>
      <w:b w:val="0"/>
      <w:caps w:val="0"/>
      <w:spacing w:val="30"/>
      <w:sz w:val="22"/>
    </w:rPr>
  </w:style>
  <w:style w:type="paragraph" w:styleId="BodyText2">
    <w:name w:val="Body Text 2"/>
    <w:basedOn w:val="Normal"/>
    <w:pPr>
      <w:spacing w:after="0"/>
      <w:ind w:right="1535"/>
      <w:jc w:val="both"/>
    </w:pPr>
    <w:rPr>
      <w:sz w:val="20"/>
      <w:lang w:val="en-US"/>
    </w:rPr>
  </w:style>
  <w:style w:type="paragraph" w:styleId="BodyText3">
    <w:name w:val="Body Text 3"/>
    <w:basedOn w:val="Normal"/>
    <w:pPr>
      <w:spacing w:after="0"/>
      <w:jc w:val="both"/>
    </w:pPr>
    <w:rPr>
      <w:sz w:val="20"/>
      <w:lang w:val="en-US"/>
    </w:rPr>
  </w:style>
  <w:style w:type="paragraph" w:styleId="BodyText">
    <w:name w:val="Body Text"/>
    <w:basedOn w:val="Normal"/>
    <w:pPr>
      <w:spacing w:after="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A74A9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link w:val="BulletChar"/>
    <w:rsid w:val="00482118"/>
    <w:pPr>
      <w:numPr>
        <w:numId w:val="1"/>
      </w:numPr>
    </w:pPr>
  </w:style>
  <w:style w:type="paragraph" w:customStyle="1" w:styleId="Dash">
    <w:name w:val="Dash"/>
    <w:basedOn w:val="Normal"/>
    <w:rsid w:val="00482118"/>
    <w:pPr>
      <w:numPr>
        <w:ilvl w:val="1"/>
        <w:numId w:val="1"/>
      </w:numPr>
    </w:pPr>
  </w:style>
  <w:style w:type="paragraph" w:customStyle="1" w:styleId="DoubleDot">
    <w:name w:val="Double Dot"/>
    <w:basedOn w:val="Normal"/>
    <w:rsid w:val="00482118"/>
    <w:pPr>
      <w:numPr>
        <w:ilvl w:val="2"/>
        <w:numId w:val="1"/>
      </w:numPr>
    </w:pPr>
  </w:style>
  <w:style w:type="character" w:styleId="CommentReference">
    <w:name w:val="annotation reference"/>
    <w:semiHidden/>
    <w:rsid w:val="00061567"/>
    <w:rPr>
      <w:sz w:val="16"/>
      <w:szCs w:val="16"/>
    </w:rPr>
  </w:style>
  <w:style w:type="paragraph" w:styleId="CommentText">
    <w:name w:val="annotation text"/>
    <w:basedOn w:val="Normal"/>
    <w:semiHidden/>
    <w:rsid w:val="00061567"/>
    <w:rPr>
      <w:sz w:val="20"/>
    </w:rPr>
  </w:style>
  <w:style w:type="paragraph" w:styleId="CommentSubject">
    <w:name w:val="annotation subject"/>
    <w:basedOn w:val="CommentText"/>
    <w:next w:val="CommentText"/>
    <w:semiHidden/>
    <w:rsid w:val="00061567"/>
    <w:rPr>
      <w:b/>
      <w:bCs/>
    </w:rPr>
  </w:style>
  <w:style w:type="paragraph" w:customStyle="1" w:styleId="bullet0">
    <w:name w:val="bullet"/>
    <w:basedOn w:val="Normal"/>
    <w:rsid w:val="001C5BE0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umberedParagraph">
    <w:name w:val="Numbered Paragraph"/>
    <w:basedOn w:val="Normal"/>
    <w:link w:val="NumberedParagraphChar"/>
    <w:rsid w:val="00140B2A"/>
    <w:pPr>
      <w:numPr>
        <w:numId w:val="2"/>
      </w:numPr>
    </w:pPr>
  </w:style>
  <w:style w:type="character" w:customStyle="1" w:styleId="NumberedParagraphChar">
    <w:name w:val="Numbered Paragraph Char"/>
    <w:link w:val="NumberedParagraph"/>
    <w:rsid w:val="00140B2A"/>
    <w:rPr>
      <w:sz w:val="24"/>
    </w:rPr>
  </w:style>
  <w:style w:type="character" w:customStyle="1" w:styleId="BulletChar">
    <w:name w:val="Bullet Char"/>
    <w:link w:val="Bullet"/>
    <w:locked/>
    <w:rsid w:val="00720F1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6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7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977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Manager/>
  <Company>Australian Government - The Treasury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David Cavanough</dc:creator>
  <cp:keywords/>
  <dc:description/>
  <cp:lastModifiedBy>Gibbons, Caroline</cp:lastModifiedBy>
  <cp:revision>3</cp:revision>
  <cp:lastPrinted>2012-11-19T06:21:00Z</cp:lastPrinted>
  <dcterms:created xsi:type="dcterms:W3CDTF">2012-11-19T23:21:00Z</dcterms:created>
  <dcterms:modified xsi:type="dcterms:W3CDTF">2012-11-19T23:25:00Z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S CancelDocNew">
    <vt:lpwstr>TRUE</vt:lpwstr>
  </property>
  <property fmtid="{D5CDD505-2E9C-101B-9397-08002B2CF9AE}" pid="3" name="_AdHocReviewCycleID">
    <vt:i4>868745876</vt:i4>
  </property>
  <property fmtid="{D5CDD505-2E9C-101B-9397-08002B2CF9AE}" pid="4" name="_NewReviewCycle">
    <vt:lpwstr/>
  </property>
  <property fmtid="{D5CDD505-2E9C-101B-9397-08002B2CF9AE}" pid="5" name="_EmailSubject">
    <vt:lpwstr>Update LI + ES - R20121114L007</vt:lpwstr>
  </property>
  <property fmtid="{D5CDD505-2E9C-101B-9397-08002B2CF9AE}" pid="6" name="_AuthorEmail">
    <vt:lpwstr>Paul.Atkinson@TREASURY.GOV.AU</vt:lpwstr>
  </property>
  <property fmtid="{D5CDD505-2E9C-101B-9397-08002B2CF9AE}" pid="7" name="_AuthorEmailDisplayName">
    <vt:lpwstr>Atkinson, Paul</vt:lpwstr>
  </property>
  <property fmtid="{D5CDD505-2E9C-101B-9397-08002B2CF9AE}" pid="8" name="_PreviousAdHocReviewCycleID">
    <vt:i4>-195795865</vt:i4>
  </property>
</Properties>
</file>