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18"/>
      </w:tblGrid>
      <w:tr w:rsidR="006D7368" w:rsidRPr="00247BCE" w:rsidTr="00B74438">
        <w:tc>
          <w:tcPr>
            <w:tcW w:w="8618" w:type="dxa"/>
            <w:tcBorders>
              <w:bottom w:val="single" w:sz="4" w:space="0" w:color="auto"/>
            </w:tcBorders>
          </w:tcPr>
          <w:p w:rsidR="00B74438" w:rsidRPr="00247BCE" w:rsidRDefault="00B74438" w:rsidP="00A4063B">
            <w:pPr>
              <w:pStyle w:val="Heading1"/>
              <w:spacing w:after="60"/>
              <w:outlineLvl w:val="0"/>
            </w:pPr>
            <w:r w:rsidRPr="00B74438">
              <w:t>Federal Financial Relations (</w:t>
            </w:r>
            <w:r w:rsidR="00EA67BF">
              <w:t xml:space="preserve">National </w:t>
            </w:r>
            <w:r w:rsidR="0086090C">
              <w:t>Specific Purpose</w:t>
            </w:r>
            <w:r w:rsidR="00EA67BF">
              <w:t xml:space="preserve"> Payments</w:t>
            </w:r>
            <w:r w:rsidRPr="00B74438">
              <w:t>) Determination</w:t>
            </w:r>
            <w:r w:rsidR="00246121">
              <w:t xml:space="preserve"> 20</w:t>
            </w:r>
            <w:r w:rsidR="00F3648D">
              <w:t>1</w:t>
            </w:r>
            <w:r w:rsidR="00A4063B">
              <w:t>1</w:t>
            </w:r>
            <w:r w:rsidR="00246121">
              <w:t>-1</w:t>
            </w:r>
            <w:r w:rsidR="00A4063B">
              <w:t>2</w:t>
            </w:r>
            <w:r w:rsidRPr="00B74438">
              <w:t xml:space="preserve"> </w:t>
            </w:r>
          </w:p>
        </w:tc>
      </w:tr>
      <w:tr w:rsidR="00C1403E" w:rsidRPr="00247BCE" w:rsidTr="00B74438">
        <w:tc>
          <w:tcPr>
            <w:tcW w:w="8618" w:type="dxa"/>
          </w:tcPr>
          <w:p w:rsidR="00C1403E" w:rsidRPr="00B74438" w:rsidRDefault="00B74438" w:rsidP="00B74438">
            <w:pPr>
              <w:pStyle w:val="SingleParagraph"/>
              <w:spacing w:before="240"/>
            </w:pPr>
            <w:r w:rsidRPr="00247BCE">
              <w:t xml:space="preserve">I, WAYNE MAXWELL SWAN, Treasurer, make this Determination under </w:t>
            </w:r>
            <w:r w:rsidR="00D559F5">
              <w:t>P</w:t>
            </w:r>
            <w:r w:rsidR="0086090C">
              <w:t xml:space="preserve">art 3 </w:t>
            </w:r>
            <w:r w:rsidRPr="00247BCE">
              <w:t xml:space="preserve">of the </w:t>
            </w:r>
            <w:r w:rsidRPr="00247BCE">
              <w:rPr>
                <w:i/>
              </w:rPr>
              <w:t>Federal Financial Relations Act 2009.</w:t>
            </w:r>
          </w:p>
        </w:tc>
      </w:tr>
      <w:tr w:rsidR="00C1403E" w:rsidRPr="00247BCE" w:rsidTr="00B74438">
        <w:tc>
          <w:tcPr>
            <w:tcW w:w="8618" w:type="dxa"/>
          </w:tcPr>
          <w:p w:rsidR="00C1403E" w:rsidRPr="00247BCE" w:rsidRDefault="00C1403E" w:rsidP="006D7368"/>
        </w:tc>
      </w:tr>
      <w:tr w:rsidR="008D2010" w:rsidRPr="00247BCE" w:rsidTr="00B74438">
        <w:tc>
          <w:tcPr>
            <w:tcW w:w="8618" w:type="dxa"/>
          </w:tcPr>
          <w:p w:rsidR="008D2010" w:rsidRPr="00247BCE" w:rsidRDefault="008D2010" w:rsidP="00AF09FD"/>
        </w:tc>
      </w:tr>
      <w:tr w:rsidR="00F36EF0" w:rsidRPr="00247BCE" w:rsidTr="00680BA1">
        <w:tc>
          <w:tcPr>
            <w:tcW w:w="8618" w:type="dxa"/>
          </w:tcPr>
          <w:tbl>
            <w:tblPr>
              <w:tblW w:w="0" w:type="auto"/>
              <w:tblBorders>
                <w:bottom w:val="single" w:sz="4" w:space="0" w:color="auto"/>
              </w:tblBorders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302"/>
              <w:gridCol w:w="4202"/>
            </w:tblGrid>
            <w:tr w:rsidR="00246121" w:rsidRPr="00247BCE" w:rsidTr="00246121">
              <w:tc>
                <w:tcPr>
                  <w:tcW w:w="4309" w:type="dxa"/>
                </w:tcPr>
                <w:p w:rsidR="00246121" w:rsidRPr="00E82FD0" w:rsidRDefault="00246121" w:rsidP="00246121">
                  <w:pPr>
                    <w:pStyle w:val="SingleParagraph"/>
                    <w:tabs>
                      <w:tab w:val="left" w:pos="3960"/>
                    </w:tabs>
                    <w:spacing w:after="60"/>
                    <w:rPr>
                      <w:rFonts w:ascii="Times" w:hAnsi="Times"/>
                      <w:sz w:val="22"/>
                      <w:u w:val="dotted"/>
                    </w:rPr>
                  </w:pPr>
                  <w:r w:rsidRPr="00E82FD0">
                    <w:rPr>
                      <w:rFonts w:ascii="Times" w:hAnsi="Times"/>
                      <w:sz w:val="22"/>
                      <w:u w:val="dotted"/>
                    </w:rPr>
                    <w:tab/>
                  </w:r>
                </w:p>
                <w:p w:rsidR="00246121" w:rsidRPr="00E82FD0" w:rsidRDefault="00246121" w:rsidP="00246121">
                  <w:pPr>
                    <w:pStyle w:val="SingleParagraph"/>
                    <w:tabs>
                      <w:tab w:val="left" w:pos="3960"/>
                    </w:tabs>
                    <w:spacing w:after="60"/>
                    <w:rPr>
                      <w:rFonts w:ascii="Times" w:hAnsi="Times"/>
                      <w:sz w:val="22"/>
                      <w:u w:val="dotted"/>
                    </w:rPr>
                  </w:pPr>
                  <w:r w:rsidRPr="00E82FD0">
                    <w:rPr>
                      <w:sz w:val="22"/>
                    </w:rPr>
                    <w:t>WAYNE MAXWELL SWAN</w:t>
                  </w:r>
                </w:p>
              </w:tc>
              <w:tc>
                <w:tcPr>
                  <w:tcW w:w="4309" w:type="dxa"/>
                </w:tcPr>
                <w:p w:rsidR="00246121" w:rsidRPr="00E82FD0" w:rsidRDefault="00246121" w:rsidP="00321DDE">
                  <w:pPr>
                    <w:spacing w:before="60"/>
                    <w:rPr>
                      <w:sz w:val="22"/>
                    </w:rPr>
                  </w:pPr>
                  <w:r w:rsidRPr="00E82FD0">
                    <w:rPr>
                      <w:sz w:val="22"/>
                    </w:rPr>
                    <w:br/>
                    <w:t xml:space="preserve">Dated: </w:t>
                  </w:r>
                  <w:r w:rsidR="00BD517C">
                    <w:rPr>
                      <w:sz w:val="22"/>
                    </w:rPr>
                    <w:t xml:space="preserve">    </w:t>
                  </w:r>
                  <w:r w:rsidR="00321DDE">
                    <w:rPr>
                      <w:sz w:val="22"/>
                    </w:rPr>
                    <w:t>20</w:t>
                  </w:r>
                  <w:r>
                    <w:rPr>
                      <w:sz w:val="22"/>
                    </w:rPr>
                    <w:t xml:space="preserve"> </w:t>
                  </w:r>
                  <w:r w:rsidR="00E90DC7">
                    <w:rPr>
                      <w:sz w:val="22"/>
                    </w:rPr>
                    <w:t>Octo</w:t>
                  </w:r>
                  <w:bookmarkStart w:id="0" w:name="_GoBack"/>
                  <w:bookmarkEnd w:id="0"/>
                  <w:r w:rsidR="004B7F2F" w:rsidRPr="004B7F2F">
                    <w:rPr>
                      <w:sz w:val="22"/>
                    </w:rPr>
                    <w:t>ber</w:t>
                  </w:r>
                  <w:r w:rsidRPr="00E82FD0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201</w:t>
                  </w:r>
                  <w:r w:rsidR="00A4063B">
                    <w:rPr>
                      <w:sz w:val="22"/>
                    </w:rPr>
                    <w:t>2</w:t>
                  </w:r>
                </w:p>
              </w:tc>
            </w:tr>
          </w:tbl>
          <w:p w:rsidR="00F36EF0" w:rsidRPr="00247BCE" w:rsidRDefault="00F36EF0" w:rsidP="00B74438">
            <w:pPr>
              <w:spacing w:before="60"/>
            </w:pPr>
          </w:p>
        </w:tc>
      </w:tr>
    </w:tbl>
    <w:p w:rsidR="00A52150" w:rsidRDefault="00A52150" w:rsidP="00427A33">
      <w:pPr>
        <w:pStyle w:val="Heading2"/>
      </w:pPr>
      <w:r>
        <w:t>Part 1 — preliminar</w:t>
      </w:r>
      <w:r w:rsidR="008D2010">
        <w:t>y</w:t>
      </w:r>
    </w:p>
    <w:p w:rsidR="00A52150" w:rsidRDefault="00BE0CFC" w:rsidP="00427A33">
      <w:pPr>
        <w:pStyle w:val="Heading3"/>
      </w:pPr>
      <w:r>
        <w:t xml:space="preserve">Name of </w:t>
      </w:r>
      <w:r w:rsidR="001D3365">
        <w:t>Determination</w:t>
      </w:r>
    </w:p>
    <w:p w:rsidR="00A52150" w:rsidRPr="00A52150" w:rsidRDefault="00BE0CFC" w:rsidP="00E6714D">
      <w:pPr>
        <w:pStyle w:val="NumberedParagraph"/>
      </w:pPr>
      <w:r>
        <w:t xml:space="preserve">This </w:t>
      </w:r>
      <w:r w:rsidR="001D3365">
        <w:t xml:space="preserve">determination </w:t>
      </w:r>
      <w:r w:rsidR="000B3492">
        <w:t>may be cited as</w:t>
      </w:r>
      <w:r>
        <w:t xml:space="preserve"> the </w:t>
      </w:r>
      <w:r w:rsidRPr="00E6714D">
        <w:rPr>
          <w:i/>
        </w:rPr>
        <w:t>Federal Financial Relations (</w:t>
      </w:r>
      <w:r w:rsidR="0086090C">
        <w:rPr>
          <w:i/>
        </w:rPr>
        <w:t>National Specific Purpose Payments</w:t>
      </w:r>
      <w:r w:rsidRPr="00E6714D">
        <w:rPr>
          <w:i/>
        </w:rPr>
        <w:t>) Determination</w:t>
      </w:r>
      <w:r w:rsidR="00F3648D">
        <w:rPr>
          <w:i/>
        </w:rPr>
        <w:t xml:space="preserve"> </w:t>
      </w:r>
      <w:r w:rsidR="00E61817">
        <w:rPr>
          <w:i/>
        </w:rPr>
        <w:t>20</w:t>
      </w:r>
      <w:r w:rsidR="00A4063B">
        <w:rPr>
          <w:i/>
        </w:rPr>
        <w:t>11</w:t>
      </w:r>
      <w:r w:rsidR="00E61817">
        <w:rPr>
          <w:i/>
        </w:rPr>
        <w:t>-1</w:t>
      </w:r>
      <w:r w:rsidR="00A4063B">
        <w:rPr>
          <w:i/>
        </w:rPr>
        <w:t>2</w:t>
      </w:r>
      <w:r w:rsidRPr="00E6714D">
        <w:rPr>
          <w:i/>
        </w:rPr>
        <w:t>.</w:t>
      </w:r>
    </w:p>
    <w:p w:rsidR="00BE0CFC" w:rsidRDefault="00BE0CFC" w:rsidP="00427A33">
      <w:pPr>
        <w:pStyle w:val="Heading3"/>
      </w:pPr>
      <w:r>
        <w:t>Commencement</w:t>
      </w:r>
    </w:p>
    <w:p w:rsidR="00A52150" w:rsidRPr="00BE0CFC" w:rsidRDefault="001D3365" w:rsidP="00E6714D">
      <w:pPr>
        <w:pStyle w:val="NumberedParagraph"/>
        <w:numPr>
          <w:ilvl w:val="0"/>
          <w:numId w:val="5"/>
        </w:numPr>
      </w:pPr>
      <w:r>
        <w:t xml:space="preserve">This determination commences on </w:t>
      </w:r>
      <w:r w:rsidR="00CC4FF6">
        <w:t>the da</w:t>
      </w:r>
      <w:r w:rsidR="006D078D">
        <w:t>y</w:t>
      </w:r>
      <w:r w:rsidR="00CC4FF6">
        <w:t xml:space="preserve"> </w:t>
      </w:r>
      <w:r w:rsidR="006D078D">
        <w:t xml:space="preserve">on which this </w:t>
      </w:r>
      <w:r w:rsidR="00CC4FF6">
        <w:t>determination</w:t>
      </w:r>
      <w:r w:rsidR="006D078D">
        <w:t xml:space="preserve"> is made</w:t>
      </w:r>
      <w:r w:rsidR="00BE0CFC">
        <w:rPr>
          <w:i/>
        </w:rPr>
        <w:t>.</w:t>
      </w:r>
    </w:p>
    <w:p w:rsidR="000B3492" w:rsidRDefault="000B3492" w:rsidP="000B3492">
      <w:pPr>
        <w:pStyle w:val="Heading3"/>
      </w:pPr>
      <w:r>
        <w:t>Definitions</w:t>
      </w:r>
    </w:p>
    <w:p w:rsidR="000B3492" w:rsidRDefault="000B3492" w:rsidP="000B3492">
      <w:pPr>
        <w:pStyle w:val="NumberedParagraph"/>
      </w:pPr>
      <w:r>
        <w:t>The following definitions are used throughout this determination:</w:t>
      </w:r>
    </w:p>
    <w:p w:rsidR="000B3492" w:rsidRDefault="000B3492" w:rsidP="000B3492">
      <w:pPr>
        <w:ind w:left="567"/>
      </w:pPr>
      <w:r>
        <w:rPr>
          <w:b/>
          <w:i/>
        </w:rPr>
        <w:t>Act</w:t>
      </w:r>
      <w:r>
        <w:t xml:space="preserve"> means the </w:t>
      </w:r>
      <w:r w:rsidRPr="00CC4FF6">
        <w:rPr>
          <w:i/>
        </w:rPr>
        <w:t>Federal Financial Relations Act 2009</w:t>
      </w:r>
      <w:r>
        <w:t>.</w:t>
      </w:r>
    </w:p>
    <w:p w:rsidR="00083093" w:rsidRDefault="008D2010" w:rsidP="008D2010">
      <w:pPr>
        <w:pStyle w:val="Heading2"/>
      </w:pPr>
      <w:r>
        <w:t xml:space="preserve">PArt 2 — </w:t>
      </w:r>
      <w:r w:rsidR="0086090C">
        <w:t>National Specific purpose payment</w:t>
      </w:r>
      <w:r w:rsidR="0059610A">
        <w:t>s</w:t>
      </w:r>
    </w:p>
    <w:p w:rsidR="00246121" w:rsidRDefault="00246121" w:rsidP="00246121">
      <w:pPr>
        <w:pStyle w:val="Heading3"/>
      </w:pPr>
      <w:r>
        <w:t>National specific purpose payment for healthcare</w:t>
      </w:r>
    </w:p>
    <w:p w:rsidR="004D3B1D" w:rsidRDefault="00900AAC" w:rsidP="004D3B1D">
      <w:pPr>
        <w:pStyle w:val="NumberedParagraph"/>
        <w:tabs>
          <w:tab w:val="clear" w:pos="567"/>
        </w:tabs>
      </w:pPr>
      <w:r>
        <w:t xml:space="preserve">In accordance </w:t>
      </w:r>
      <w:r w:rsidRPr="0092412B">
        <w:t>with subsection 10(3) of the Act</w:t>
      </w:r>
      <w:r w:rsidR="00D16BAF" w:rsidRPr="0092412B">
        <w:rPr>
          <w:rStyle w:val="FootnoteReference"/>
        </w:rPr>
        <w:footnoteReference w:id="1"/>
      </w:r>
      <w:r w:rsidRPr="0092412B">
        <w:t>, t</w:t>
      </w:r>
      <w:r w:rsidR="004D3B1D" w:rsidRPr="0092412B">
        <w:t>he</w:t>
      </w:r>
      <w:r w:rsidR="004D3B1D" w:rsidRPr="00D16BAF">
        <w:t xml:space="preserve"> </w:t>
      </w:r>
      <w:r w:rsidR="000B3492" w:rsidRPr="00D16BAF">
        <w:t xml:space="preserve">indexation </w:t>
      </w:r>
      <w:r w:rsidR="00941B81" w:rsidRPr="00D16BAF">
        <w:t>factor</w:t>
      </w:r>
      <w:r w:rsidR="00C63575" w:rsidRPr="00D16BAF">
        <w:t xml:space="preserve"> </w:t>
      </w:r>
      <w:r w:rsidR="000B3492" w:rsidRPr="00D16BAF">
        <w:t xml:space="preserve">applied to the </w:t>
      </w:r>
      <w:r w:rsidR="004D3B1D" w:rsidRPr="00D16BAF">
        <w:t>healthcare national specific pur</w:t>
      </w:r>
      <w:r w:rsidR="0049444B" w:rsidRPr="00D16BAF">
        <w:t xml:space="preserve">pose payment </w:t>
      </w:r>
      <w:r w:rsidR="000B3492" w:rsidRPr="00D16BAF">
        <w:t xml:space="preserve">from the previous financial year </w:t>
      </w:r>
      <w:r w:rsidR="0049444B" w:rsidRPr="00D16BAF">
        <w:t>is the product of:</w:t>
      </w:r>
    </w:p>
    <w:p w:rsidR="004D3B1D" w:rsidRDefault="0049444B" w:rsidP="0049444B">
      <w:pPr>
        <w:pStyle w:val="Bullet"/>
      </w:pPr>
      <w:r w:rsidRPr="0049444B">
        <w:t>a health specific cost index (</w:t>
      </w:r>
      <w:r w:rsidR="00941B81">
        <w:t xml:space="preserve">a five year average of </w:t>
      </w:r>
      <w:r w:rsidRPr="0049444B">
        <w:t>the Australian Institute of Health and Welfare health price index</w:t>
      </w:r>
      <w:r w:rsidR="007D6092">
        <w:t xml:space="preserve"> growth rate</w:t>
      </w:r>
      <w:r w:rsidRPr="0049444B">
        <w:t>);</w:t>
      </w:r>
    </w:p>
    <w:p w:rsidR="0049444B" w:rsidRDefault="0049444B" w:rsidP="0049444B">
      <w:pPr>
        <w:pStyle w:val="Bullet"/>
      </w:pPr>
      <w:r w:rsidRPr="0049444B">
        <w:t>growth in population estimates weighted for hospital utilisation; and</w:t>
      </w:r>
    </w:p>
    <w:p w:rsidR="0049444B" w:rsidRDefault="0049444B" w:rsidP="0049444B">
      <w:pPr>
        <w:pStyle w:val="Bullet"/>
      </w:pPr>
      <w:r w:rsidRPr="006F00DF">
        <w:lastRenderedPageBreak/>
        <w:t>a technology factor</w:t>
      </w:r>
      <w:r>
        <w:t xml:space="preserve"> (Productivity Commission derived index of technology growth)</w:t>
      </w:r>
      <w:r w:rsidR="00BE612D">
        <w:t xml:space="preserve">. </w:t>
      </w:r>
    </w:p>
    <w:p w:rsidR="00C34376" w:rsidRPr="0092412B" w:rsidRDefault="000B3492" w:rsidP="00A4791E">
      <w:pPr>
        <w:pStyle w:val="NumberedParagraph"/>
        <w:tabs>
          <w:tab w:val="clear" w:pos="567"/>
        </w:tabs>
      </w:pPr>
      <w:r w:rsidRPr="0092412B">
        <w:t xml:space="preserve">For the purposes of paragraph 10(2)(b) </w:t>
      </w:r>
      <w:r w:rsidR="00C63575" w:rsidRPr="0092412B">
        <w:t>of</w:t>
      </w:r>
      <w:r w:rsidRPr="0092412B">
        <w:t xml:space="preserve"> the Act</w:t>
      </w:r>
      <w:r w:rsidR="0092412B" w:rsidRPr="0092412B">
        <w:rPr>
          <w:rStyle w:val="FootnoteReference"/>
        </w:rPr>
        <w:footnoteReference w:id="2"/>
      </w:r>
      <w:r w:rsidR="00A4791E" w:rsidRPr="0092412B">
        <w:t>, t</w:t>
      </w:r>
      <w:r w:rsidR="0049444B" w:rsidRPr="0092412B">
        <w:t>he 201</w:t>
      </w:r>
      <w:r w:rsidR="00A4063B" w:rsidRPr="0092412B">
        <w:t>1</w:t>
      </w:r>
      <w:r w:rsidR="0049444B" w:rsidRPr="0092412B">
        <w:t>-1</w:t>
      </w:r>
      <w:r w:rsidR="00A4063B" w:rsidRPr="0092412B">
        <w:t>2</w:t>
      </w:r>
      <w:r w:rsidR="0049444B" w:rsidRPr="0092412B">
        <w:t xml:space="preserve"> </w:t>
      </w:r>
      <w:r w:rsidR="009147BF" w:rsidRPr="0092412B">
        <w:t>total</w:t>
      </w:r>
      <w:r w:rsidR="0049444B" w:rsidRPr="0092412B">
        <w:t xml:space="preserve"> amount for the </w:t>
      </w:r>
      <w:r w:rsidR="00C63575" w:rsidRPr="0092412B">
        <w:t xml:space="preserve">healthcare </w:t>
      </w:r>
      <w:r w:rsidR="0049444B" w:rsidRPr="0092412B">
        <w:t xml:space="preserve">national specific purpose payment </w:t>
      </w:r>
      <w:r w:rsidR="00C63575" w:rsidRPr="0092412B">
        <w:t xml:space="preserve">indexed in </w:t>
      </w:r>
      <w:r w:rsidR="00AC0D3D" w:rsidRPr="0092412B">
        <w:t>accordance</w:t>
      </w:r>
      <w:r w:rsidR="00C63575" w:rsidRPr="0092412B">
        <w:t xml:space="preserve"> with subsection 10(3)</w:t>
      </w:r>
      <w:r w:rsidR="0049444B" w:rsidRPr="0092412B">
        <w:t xml:space="preserve"> is </w:t>
      </w:r>
      <w:r w:rsidR="00A4791E" w:rsidRPr="0092412B">
        <w:t>$</w:t>
      </w:r>
      <w:r w:rsidR="00E73FB8" w:rsidRPr="0092412B">
        <w:t>12,548,131,580.01</w:t>
      </w:r>
      <w:r w:rsidR="009147BF" w:rsidRPr="0092412B">
        <w:t xml:space="preserve">.  </w:t>
      </w:r>
    </w:p>
    <w:p w:rsidR="00246121" w:rsidRPr="0092412B" w:rsidRDefault="00246121" w:rsidP="00246121">
      <w:pPr>
        <w:pStyle w:val="NumberedParagraph"/>
      </w:pPr>
      <w:r w:rsidRPr="0092412B">
        <w:t>In accordance with subsection 10(4) of the Act</w:t>
      </w:r>
      <w:r w:rsidR="0092412B" w:rsidRPr="0092412B">
        <w:rPr>
          <w:rStyle w:val="FootnoteReference"/>
        </w:rPr>
        <w:footnoteReference w:id="3"/>
      </w:r>
      <w:r w:rsidRPr="0092412B">
        <w:t xml:space="preserve">, the amounts specified in Table 1 are to be paid </w:t>
      </w:r>
      <w:r w:rsidR="004F6BBF" w:rsidRPr="0092412B">
        <w:t xml:space="preserve">for the </w:t>
      </w:r>
      <w:r w:rsidRPr="0092412B">
        <w:t>20</w:t>
      </w:r>
      <w:r w:rsidR="00F3648D" w:rsidRPr="0092412B">
        <w:t>10</w:t>
      </w:r>
      <w:r w:rsidR="004F6BBF" w:rsidRPr="0092412B">
        <w:t>-1</w:t>
      </w:r>
      <w:r w:rsidR="00F3648D" w:rsidRPr="0092412B">
        <w:t>1</w:t>
      </w:r>
      <w:r w:rsidR="004F6BBF" w:rsidRPr="0092412B">
        <w:t xml:space="preserve"> </w:t>
      </w:r>
      <w:r w:rsidRPr="0092412B">
        <w:t xml:space="preserve">financial year to the States specified in that table for the purpose of expenditure on </w:t>
      </w:r>
      <w:r w:rsidR="004F6BBF" w:rsidRPr="0092412B">
        <w:t>healthcare</w:t>
      </w:r>
      <w:r w:rsidRPr="0092412B">
        <w:t>.</w:t>
      </w:r>
    </w:p>
    <w:p w:rsidR="00246121" w:rsidRDefault="00246121" w:rsidP="00246121">
      <w:pPr>
        <w:pStyle w:val="Heading3"/>
        <w:spacing w:after="0"/>
      </w:pPr>
      <w:r w:rsidRPr="00E73FB8">
        <w:t xml:space="preserve">Table 1: National specific purpose payment for </w:t>
      </w:r>
      <w:r w:rsidR="004F6BBF" w:rsidRPr="00E73FB8">
        <w:t>healthcare</w:t>
      </w:r>
      <w:r w:rsidRPr="00E73FB8">
        <w:t xml:space="preserve">, </w:t>
      </w:r>
      <w:r w:rsidR="00A4063B" w:rsidRPr="00E73FB8">
        <w:t>2011</w:t>
      </w:r>
      <w:r w:rsidR="006B34FA" w:rsidRPr="00E73FB8">
        <w:t>-1</w:t>
      </w:r>
      <w:r w:rsidR="00A4063B" w:rsidRPr="00E73FB8">
        <w:t>2</w:t>
      </w:r>
    </w:p>
    <w:p w:rsidR="00246121" w:rsidRDefault="00321DDE" w:rsidP="00246121">
      <w:pPr>
        <w:pStyle w:val="Heading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20pt">
            <v:imagedata r:id="rId9" o:title=""/>
          </v:shape>
        </w:pict>
      </w:r>
    </w:p>
    <w:p w:rsidR="00BE0CFC" w:rsidRDefault="0059610A" w:rsidP="00BE0CFC">
      <w:pPr>
        <w:pStyle w:val="Heading3"/>
      </w:pPr>
      <w:r>
        <w:t>National specific purpose payment for schools</w:t>
      </w:r>
    </w:p>
    <w:p w:rsidR="008E05D9" w:rsidRDefault="00EA42D4" w:rsidP="00EA42D4">
      <w:pPr>
        <w:pStyle w:val="NumberedParagraph"/>
        <w:tabs>
          <w:tab w:val="clear" w:pos="567"/>
        </w:tabs>
      </w:pPr>
      <w:r>
        <w:t xml:space="preserve">In accordance with subsection 11(4) of the Act, the </w:t>
      </w:r>
      <w:r w:rsidR="00C63575">
        <w:t xml:space="preserve">indexation </w:t>
      </w:r>
      <w:r w:rsidR="00941B81">
        <w:t>factor</w:t>
      </w:r>
      <w:r w:rsidR="00C63575">
        <w:t xml:space="preserve"> applied to the </w:t>
      </w:r>
      <w:r>
        <w:t xml:space="preserve">government schools national specific purpose payment </w:t>
      </w:r>
      <w:r w:rsidR="00C63575">
        <w:t xml:space="preserve">from the previous financial year </w:t>
      </w:r>
      <w:r>
        <w:t>is the product of:</w:t>
      </w:r>
    </w:p>
    <w:p w:rsidR="008E05D9" w:rsidRDefault="008E05D9" w:rsidP="008E05D9">
      <w:pPr>
        <w:pStyle w:val="NumberedParagraph"/>
        <w:numPr>
          <w:ilvl w:val="0"/>
          <w:numId w:val="15"/>
        </w:numPr>
      </w:pPr>
      <w:r w:rsidRPr="008E05D9">
        <w:t>growth in average government schools recurrent cost; and</w:t>
      </w:r>
    </w:p>
    <w:p w:rsidR="008E05D9" w:rsidRDefault="008E05D9" w:rsidP="00EA42D4">
      <w:pPr>
        <w:pStyle w:val="NumberedParagraph"/>
        <w:numPr>
          <w:ilvl w:val="0"/>
          <w:numId w:val="15"/>
        </w:numPr>
      </w:pPr>
      <w:r w:rsidRPr="008E05D9">
        <w:t>growth in full-time equivalent enrolments in government schools.</w:t>
      </w:r>
    </w:p>
    <w:p w:rsidR="00EA42D4" w:rsidRDefault="00C63575" w:rsidP="00EA42D4">
      <w:pPr>
        <w:pStyle w:val="NumberedParagraph"/>
      </w:pPr>
      <w:r>
        <w:t>For the purposes of paragraph 11(2)(c)</w:t>
      </w:r>
      <w:r w:rsidR="00EA42D4" w:rsidRPr="00EA42D4">
        <w:t>, the 201</w:t>
      </w:r>
      <w:r w:rsidR="00A4063B">
        <w:t>1</w:t>
      </w:r>
      <w:r w:rsidR="00EA42D4" w:rsidRPr="00EA42D4">
        <w:t>-1</w:t>
      </w:r>
      <w:r w:rsidR="00A4063B">
        <w:t>2</w:t>
      </w:r>
      <w:r w:rsidR="00EA42D4" w:rsidRPr="00EA42D4">
        <w:t xml:space="preserve"> </w:t>
      </w:r>
      <w:r w:rsidR="009147BF">
        <w:t>total</w:t>
      </w:r>
      <w:r w:rsidR="00EA42D4" w:rsidRPr="00EA42D4">
        <w:t xml:space="preserve"> amount for the </w:t>
      </w:r>
      <w:r w:rsidR="007D6092">
        <w:t>government schools</w:t>
      </w:r>
      <w:r w:rsidR="007D6092" w:rsidRPr="00EA42D4">
        <w:t xml:space="preserve"> </w:t>
      </w:r>
      <w:r w:rsidR="00EA42D4" w:rsidRPr="00EA42D4">
        <w:t xml:space="preserve">national specific purpose payment </w:t>
      </w:r>
      <w:r w:rsidR="007D6092">
        <w:t xml:space="preserve">indexed in accordance with 11(4) of the </w:t>
      </w:r>
      <w:r w:rsidR="007D6092" w:rsidRPr="00C81FE3">
        <w:t xml:space="preserve">Act </w:t>
      </w:r>
      <w:r w:rsidR="00EA42D4" w:rsidRPr="00C81FE3">
        <w:t>is $3,</w:t>
      </w:r>
      <w:r w:rsidR="00C81FE3" w:rsidRPr="00C81FE3">
        <w:t>7</w:t>
      </w:r>
      <w:r w:rsidR="00EA42D4" w:rsidRPr="00C81FE3">
        <w:t>55,</w:t>
      </w:r>
      <w:r w:rsidR="00C81FE3" w:rsidRPr="00C81FE3">
        <w:t>800</w:t>
      </w:r>
      <w:r w:rsidR="00214AFA" w:rsidRPr="00C81FE3">
        <w:t>,</w:t>
      </w:r>
      <w:r w:rsidR="00C81FE3" w:rsidRPr="00C81FE3">
        <w:t>459</w:t>
      </w:r>
      <w:r w:rsidR="00214AFA" w:rsidRPr="00C81FE3">
        <w:t>.</w:t>
      </w:r>
      <w:r w:rsidR="00C81FE3" w:rsidRPr="00C81FE3">
        <w:t>34</w:t>
      </w:r>
      <w:r w:rsidR="00EA42D4" w:rsidRPr="00C81FE3">
        <w:t>.</w:t>
      </w:r>
    </w:p>
    <w:p w:rsidR="00FB4D73" w:rsidRDefault="008D2010" w:rsidP="00930EC5">
      <w:pPr>
        <w:pStyle w:val="NumberedParagraph"/>
      </w:pPr>
      <w:r>
        <w:t xml:space="preserve">In accordance with </w:t>
      </w:r>
      <w:r w:rsidR="00447129">
        <w:t>subsection 11(5)</w:t>
      </w:r>
      <w:r w:rsidR="004F6BBF">
        <w:t xml:space="preserve"> </w:t>
      </w:r>
      <w:r>
        <w:t>of the Act, t</w:t>
      </w:r>
      <w:r w:rsidR="00BE0CFC">
        <w:t xml:space="preserve">he amounts specified in Table </w:t>
      </w:r>
      <w:r w:rsidR="004F6BBF">
        <w:t>2</w:t>
      </w:r>
      <w:r w:rsidR="00BE0CFC">
        <w:t xml:space="preserve"> are to be paid</w:t>
      </w:r>
      <w:r w:rsidR="00930EC5">
        <w:t xml:space="preserve"> </w:t>
      </w:r>
      <w:r w:rsidR="004F6BBF">
        <w:t xml:space="preserve">for the </w:t>
      </w:r>
      <w:r w:rsidR="00A4063B">
        <w:t>2011</w:t>
      </w:r>
      <w:r w:rsidR="00EA42D4">
        <w:t>-1</w:t>
      </w:r>
      <w:r w:rsidR="00A4063B">
        <w:t>2</w:t>
      </w:r>
      <w:r w:rsidR="004F6BBF">
        <w:t xml:space="preserve"> </w:t>
      </w:r>
      <w:r w:rsidR="00930EC5">
        <w:t>financial year</w:t>
      </w:r>
      <w:r w:rsidR="00BE0CFC">
        <w:t xml:space="preserve"> to the State</w:t>
      </w:r>
      <w:r w:rsidR="00083093">
        <w:t>s</w:t>
      </w:r>
      <w:r w:rsidR="00BE0CFC">
        <w:t xml:space="preserve"> specified in that tab</w:t>
      </w:r>
      <w:r w:rsidR="00083093">
        <w:t>le</w:t>
      </w:r>
      <w:r w:rsidR="00BE0CFC">
        <w:t xml:space="preserve"> </w:t>
      </w:r>
      <w:r w:rsidR="00930EC5">
        <w:t>for the purpose of expenditure on schools.</w:t>
      </w:r>
    </w:p>
    <w:p w:rsidR="00BE0CFC" w:rsidRDefault="00BE0CFC" w:rsidP="001B1492">
      <w:pPr>
        <w:pStyle w:val="Heading3"/>
        <w:spacing w:after="0"/>
      </w:pPr>
      <w:r w:rsidRPr="00C81FE3">
        <w:lastRenderedPageBreak/>
        <w:t xml:space="preserve">Table </w:t>
      </w:r>
      <w:r w:rsidR="004F6BBF" w:rsidRPr="00C81FE3">
        <w:t>2</w:t>
      </w:r>
      <w:r w:rsidRPr="00C81FE3">
        <w:t xml:space="preserve">: </w:t>
      </w:r>
      <w:r w:rsidR="0086090C" w:rsidRPr="00C81FE3">
        <w:t xml:space="preserve">National specific purpose payment for schools, </w:t>
      </w:r>
      <w:r w:rsidR="006B34FA" w:rsidRPr="00C81FE3">
        <w:t>201</w:t>
      </w:r>
      <w:r w:rsidR="00A4063B" w:rsidRPr="00C81FE3">
        <w:t>1</w:t>
      </w:r>
      <w:r w:rsidR="006B34FA" w:rsidRPr="00C81FE3">
        <w:t>-1</w:t>
      </w:r>
      <w:r w:rsidR="00A4063B" w:rsidRPr="00C81FE3">
        <w:t>2</w:t>
      </w:r>
      <w:r w:rsidR="00F055DA">
        <w:br/>
      </w:r>
      <w:r w:rsidR="00321DDE">
        <w:pict>
          <v:shape id="_x0000_i1026" type="#_x0000_t75" style="width:425.25pt;height:120pt">
            <v:imagedata r:id="rId10" o:title=""/>
          </v:shape>
        </w:pict>
      </w:r>
      <w:r w:rsidR="004B2634">
        <w:br/>
      </w:r>
    </w:p>
    <w:p w:rsidR="0059610A" w:rsidRDefault="0059610A" w:rsidP="0059610A">
      <w:pPr>
        <w:pStyle w:val="Heading3"/>
      </w:pPr>
      <w:r>
        <w:t xml:space="preserve">National specific purpose payment for </w:t>
      </w:r>
      <w:r w:rsidR="00CA3F86">
        <w:t>skills and workforce development</w:t>
      </w:r>
    </w:p>
    <w:p w:rsidR="00875A6A" w:rsidRDefault="00EA42D4" w:rsidP="00EA42D4">
      <w:pPr>
        <w:pStyle w:val="NumberedParagraph"/>
        <w:tabs>
          <w:tab w:val="clear" w:pos="567"/>
        </w:tabs>
      </w:pPr>
      <w:r>
        <w:t>In accordance with subsection 12(4) of the Act, the</w:t>
      </w:r>
      <w:r w:rsidR="00C63575">
        <w:t xml:space="preserve"> indexation applied to the </w:t>
      </w:r>
      <w:r>
        <w:t>skills and workforce development national specific purpose payment</w:t>
      </w:r>
      <w:r w:rsidR="007D6092">
        <w:t xml:space="preserve"> </w:t>
      </w:r>
      <w:r w:rsidR="000F287F">
        <w:t xml:space="preserve">from the previous financial year is </w:t>
      </w:r>
      <w:r>
        <w:t xml:space="preserve">the </w:t>
      </w:r>
      <w:r w:rsidR="007D6092">
        <w:t xml:space="preserve">sum </w:t>
      </w:r>
      <w:r>
        <w:t>of:</w:t>
      </w:r>
    </w:p>
    <w:p w:rsidR="00875A6A" w:rsidRDefault="00875A6A" w:rsidP="00875A6A">
      <w:pPr>
        <w:pStyle w:val="NumberedParagraph"/>
        <w:numPr>
          <w:ilvl w:val="0"/>
          <w:numId w:val="15"/>
        </w:numPr>
      </w:pPr>
      <w:r w:rsidRPr="00875A6A">
        <w:t xml:space="preserve">85 per cent Wage Cost Index 1 (comprising safety net wage adjustment weighted by 75 per cent and all groups CPI weighted by 25 per cent); and </w:t>
      </w:r>
    </w:p>
    <w:p w:rsidR="00875A6A" w:rsidRDefault="00875A6A" w:rsidP="00875A6A">
      <w:pPr>
        <w:pStyle w:val="NumberedParagraph"/>
        <w:numPr>
          <w:ilvl w:val="0"/>
          <w:numId w:val="15"/>
        </w:numPr>
      </w:pPr>
      <w:r w:rsidRPr="006F00DF">
        <w:t>15 per cent Wage Cost Index 6</w:t>
      </w:r>
      <w:r>
        <w:t xml:space="preserve"> (comprising safety net wage adjustment weighted by 40 per cent and all groups CPI weighted by 60 per cent)</w:t>
      </w:r>
      <w:r w:rsidRPr="008E05D9">
        <w:t>.</w:t>
      </w:r>
    </w:p>
    <w:p w:rsidR="00875A6A" w:rsidRPr="00C81FE3" w:rsidRDefault="00C63575" w:rsidP="00EA42D4">
      <w:pPr>
        <w:pStyle w:val="NumberedParagraph"/>
      </w:pPr>
      <w:r>
        <w:t xml:space="preserve">For the purposes of paragraph </w:t>
      </w:r>
      <w:r w:rsidR="008677D9">
        <w:t>12(2)(c) of the Act</w:t>
      </w:r>
      <w:r w:rsidR="00797CA5">
        <w:t>,</w:t>
      </w:r>
      <w:r w:rsidR="00EA42D4" w:rsidRPr="00EA42D4">
        <w:t xml:space="preserve"> the 201</w:t>
      </w:r>
      <w:r w:rsidR="00A4063B">
        <w:t>1</w:t>
      </w:r>
      <w:r w:rsidR="00EA42D4" w:rsidRPr="00EA42D4">
        <w:t>-1</w:t>
      </w:r>
      <w:r w:rsidR="00A4063B">
        <w:t>2</w:t>
      </w:r>
      <w:r w:rsidR="00EA42D4" w:rsidRPr="00EA42D4">
        <w:t xml:space="preserve"> </w:t>
      </w:r>
      <w:r w:rsidR="009147BF">
        <w:t>total</w:t>
      </w:r>
      <w:r w:rsidR="00EA42D4" w:rsidRPr="00EA42D4">
        <w:t xml:space="preserve"> amount for the </w:t>
      </w:r>
      <w:r w:rsidR="008677D9">
        <w:t xml:space="preserve">skills and workforce development </w:t>
      </w:r>
      <w:r w:rsidR="00EA42D4" w:rsidRPr="00EA42D4">
        <w:t xml:space="preserve">national specific purpose </w:t>
      </w:r>
      <w:r w:rsidR="00462B0C">
        <w:t xml:space="preserve">indexed in accordance with </w:t>
      </w:r>
      <w:r w:rsidR="00462B0C" w:rsidRPr="00C81FE3">
        <w:t xml:space="preserve">12(4) of the act is </w:t>
      </w:r>
      <w:r w:rsidR="00EA42D4" w:rsidRPr="00C81FE3">
        <w:t>$1,3</w:t>
      </w:r>
      <w:r w:rsidR="00C81FE3" w:rsidRPr="00C81FE3">
        <w:t>6</w:t>
      </w:r>
      <w:r w:rsidR="00EA42D4" w:rsidRPr="00C81FE3">
        <w:t>3,</w:t>
      </w:r>
      <w:r w:rsidR="00C81FE3" w:rsidRPr="00C81FE3">
        <w:t>132</w:t>
      </w:r>
      <w:r w:rsidR="00EA42D4" w:rsidRPr="00C81FE3">
        <w:t>,</w:t>
      </w:r>
      <w:r w:rsidR="00C81FE3" w:rsidRPr="00C81FE3">
        <w:t>006</w:t>
      </w:r>
      <w:r w:rsidR="00EA42D4" w:rsidRPr="00C81FE3">
        <w:t>.</w:t>
      </w:r>
      <w:r w:rsidR="00C81FE3" w:rsidRPr="00C81FE3">
        <w:t>6</w:t>
      </w:r>
      <w:r w:rsidR="00D7687F">
        <w:t>1.</w:t>
      </w:r>
    </w:p>
    <w:p w:rsidR="0059610A" w:rsidRPr="00C81FE3" w:rsidRDefault="0059610A" w:rsidP="0059610A">
      <w:pPr>
        <w:pStyle w:val="NumberedParagraph"/>
      </w:pPr>
      <w:r w:rsidRPr="00C81FE3">
        <w:t xml:space="preserve">In accordance with </w:t>
      </w:r>
      <w:r w:rsidR="00447129" w:rsidRPr="00C81FE3">
        <w:t>subsection 12(5)</w:t>
      </w:r>
      <w:r w:rsidR="004F6BBF" w:rsidRPr="00C81FE3">
        <w:t xml:space="preserve"> </w:t>
      </w:r>
      <w:r w:rsidRPr="00C81FE3">
        <w:t xml:space="preserve">of the Act, the amounts specified in Table </w:t>
      </w:r>
      <w:r w:rsidR="004F6BBF" w:rsidRPr="00C81FE3">
        <w:t>3</w:t>
      </w:r>
      <w:r w:rsidRPr="00C81FE3">
        <w:t xml:space="preserve"> are to be paid, </w:t>
      </w:r>
      <w:r w:rsidR="004F6BBF" w:rsidRPr="00C81FE3">
        <w:t xml:space="preserve">for the </w:t>
      </w:r>
      <w:r w:rsidR="00A4063B" w:rsidRPr="00C81FE3">
        <w:t>2011</w:t>
      </w:r>
      <w:r w:rsidR="0016406E" w:rsidRPr="00C81FE3">
        <w:t>-1</w:t>
      </w:r>
      <w:r w:rsidR="00A4063B" w:rsidRPr="00C81FE3">
        <w:t>2</w:t>
      </w:r>
      <w:r w:rsidRPr="00C81FE3">
        <w:t xml:space="preserve"> financial year, to the States specified in that table for the purpose of expenditure on </w:t>
      </w:r>
      <w:r w:rsidR="00CA3F86" w:rsidRPr="00C81FE3">
        <w:t>skills and workforce development</w:t>
      </w:r>
      <w:r w:rsidRPr="00C81FE3">
        <w:t>.</w:t>
      </w:r>
    </w:p>
    <w:p w:rsidR="0059610A" w:rsidRDefault="0059610A" w:rsidP="0059610A">
      <w:pPr>
        <w:pStyle w:val="Heading3"/>
        <w:spacing w:after="0"/>
      </w:pPr>
      <w:r w:rsidRPr="00C81FE3">
        <w:t xml:space="preserve">Table </w:t>
      </w:r>
      <w:r w:rsidR="004F6BBF" w:rsidRPr="00C81FE3">
        <w:t>3</w:t>
      </w:r>
      <w:r w:rsidRPr="00C81FE3">
        <w:t xml:space="preserve">: National specific purpose payment for </w:t>
      </w:r>
      <w:r w:rsidR="00CA3F86" w:rsidRPr="00C81FE3">
        <w:t>skills and workforce development</w:t>
      </w:r>
      <w:r w:rsidRPr="00C81FE3">
        <w:t>, 20</w:t>
      </w:r>
      <w:r w:rsidR="006B34FA" w:rsidRPr="00C81FE3">
        <w:t>1</w:t>
      </w:r>
      <w:r w:rsidR="00A4063B" w:rsidRPr="00C81FE3">
        <w:t>1</w:t>
      </w:r>
      <w:r w:rsidR="006B34FA" w:rsidRPr="00C81FE3">
        <w:t>-1</w:t>
      </w:r>
      <w:r w:rsidR="00A4063B" w:rsidRPr="00C81FE3">
        <w:t>2</w:t>
      </w:r>
    </w:p>
    <w:p w:rsidR="0059610A" w:rsidRDefault="00321DDE" w:rsidP="0059610A">
      <w:pPr>
        <w:pStyle w:val="SingleParagraph"/>
      </w:pPr>
      <w:r>
        <w:pict>
          <v:shape id="_x0000_i1027" type="#_x0000_t75" style="width:425.25pt;height:120pt">
            <v:imagedata r:id="rId11" o:title=""/>
          </v:shape>
        </w:pict>
      </w:r>
    </w:p>
    <w:p w:rsidR="0059610A" w:rsidRDefault="0059610A" w:rsidP="0059610A">
      <w:pPr>
        <w:pStyle w:val="SingleParagraph"/>
      </w:pPr>
    </w:p>
    <w:p w:rsidR="0059610A" w:rsidRDefault="0059610A" w:rsidP="0059610A">
      <w:pPr>
        <w:pStyle w:val="Heading3"/>
      </w:pPr>
      <w:r>
        <w:t>Nationa</w:t>
      </w:r>
      <w:r w:rsidR="00CA3F86">
        <w:t>l specific purpose payment for disability services</w:t>
      </w:r>
    </w:p>
    <w:p w:rsidR="00361895" w:rsidRPr="004B2059" w:rsidRDefault="0016406E" w:rsidP="00875A6A">
      <w:pPr>
        <w:pStyle w:val="NumberedParagraph"/>
      </w:pPr>
      <w:r>
        <w:t xml:space="preserve">In accordance with subsection 13(4) of the Act, the </w:t>
      </w:r>
      <w:r w:rsidR="008677D9">
        <w:t xml:space="preserve">indexation applied to the </w:t>
      </w:r>
      <w:r w:rsidR="00CE4CFE">
        <w:t>disability services</w:t>
      </w:r>
      <w:r>
        <w:t xml:space="preserve"> national specific purpose payment</w:t>
      </w:r>
      <w:r w:rsidR="00361895" w:rsidRPr="00CB32C1">
        <w:t xml:space="preserve"> will be </w:t>
      </w:r>
      <w:r w:rsidR="00361895" w:rsidRPr="006F00DF">
        <w:t>a rolling five year average of nominal G</w:t>
      </w:r>
      <w:r w:rsidR="00901953">
        <w:t xml:space="preserve">ross </w:t>
      </w:r>
      <w:r w:rsidR="00361895" w:rsidRPr="006F00DF">
        <w:t>D</w:t>
      </w:r>
      <w:r w:rsidR="00901953">
        <w:t xml:space="preserve">omestic </w:t>
      </w:r>
      <w:r w:rsidR="00361895" w:rsidRPr="006F00DF">
        <w:t>P</w:t>
      </w:r>
      <w:r w:rsidR="00901953">
        <w:t>roduct</w:t>
      </w:r>
      <w:r w:rsidR="00361895" w:rsidRPr="006F00DF">
        <w:t xml:space="preserve"> year-on-year </w:t>
      </w:r>
      <w:r w:rsidR="00AC0D3D" w:rsidRPr="006F00DF">
        <w:t>growth</w:t>
      </w:r>
      <w:r w:rsidR="00AC0D3D" w:rsidRPr="008E05D9">
        <w:t>.</w:t>
      </w:r>
      <w:r w:rsidR="00193658">
        <w:t xml:space="preserve">  In recognition that the </w:t>
      </w:r>
      <w:r w:rsidR="00193658">
        <w:lastRenderedPageBreak/>
        <w:t xml:space="preserve">disability services specific purpose payment incorporates funding amounts for the former Disabilities Assistance Package (DAP) which </w:t>
      </w:r>
      <w:r w:rsidR="009D3CD8">
        <w:t xml:space="preserve">already </w:t>
      </w:r>
      <w:r w:rsidR="00193658">
        <w:t xml:space="preserve">included a </w:t>
      </w:r>
      <w:r w:rsidR="009D3CD8">
        <w:t xml:space="preserve">growth </w:t>
      </w:r>
      <w:r w:rsidR="00193658">
        <w:t>rate</w:t>
      </w:r>
      <w:r w:rsidR="00D72CC8">
        <w:t>,</w:t>
      </w:r>
      <w:r w:rsidR="00193658">
        <w:t xml:space="preserve"> the DAP </w:t>
      </w:r>
      <w:r w:rsidR="00193658" w:rsidRPr="004B2059">
        <w:t xml:space="preserve">component is excluded from </w:t>
      </w:r>
      <w:r w:rsidR="009D3CD8" w:rsidRPr="004B2059">
        <w:t xml:space="preserve">this </w:t>
      </w:r>
      <w:r w:rsidR="00193658" w:rsidRPr="004B2059">
        <w:t xml:space="preserve">indexation.   </w:t>
      </w:r>
    </w:p>
    <w:p w:rsidR="00875A6A" w:rsidRPr="004B2059" w:rsidRDefault="008677D9" w:rsidP="0016406E">
      <w:pPr>
        <w:pStyle w:val="NumberedParagraph"/>
      </w:pPr>
      <w:r w:rsidRPr="004B2059">
        <w:t xml:space="preserve">For the purposes of paragraph 13(2)(c) of the Act, </w:t>
      </w:r>
      <w:r w:rsidR="0016406E" w:rsidRPr="004B2059">
        <w:t>the 201</w:t>
      </w:r>
      <w:r w:rsidR="00A4063B" w:rsidRPr="004B2059">
        <w:t>1</w:t>
      </w:r>
      <w:r w:rsidR="0016406E" w:rsidRPr="004B2059">
        <w:t>-1</w:t>
      </w:r>
      <w:r w:rsidR="00A4063B" w:rsidRPr="004B2059">
        <w:t>2</w:t>
      </w:r>
      <w:r w:rsidR="0016406E" w:rsidRPr="004B2059">
        <w:t xml:space="preserve"> </w:t>
      </w:r>
      <w:r w:rsidR="00885E95" w:rsidRPr="004B2059">
        <w:t>total amount</w:t>
      </w:r>
      <w:r w:rsidR="0016406E" w:rsidRPr="004B2059">
        <w:t xml:space="preserve"> for the</w:t>
      </w:r>
      <w:r w:rsidRPr="004B2059">
        <w:t xml:space="preserve"> disability </w:t>
      </w:r>
      <w:r w:rsidR="00AC0D3D" w:rsidRPr="004B2059">
        <w:t>services</w:t>
      </w:r>
      <w:r w:rsidR="0016406E" w:rsidRPr="004B2059">
        <w:t xml:space="preserve"> national specific purpose payment </w:t>
      </w:r>
      <w:r w:rsidR="00850ED1" w:rsidRPr="004B2059">
        <w:t>adjusted</w:t>
      </w:r>
      <w:r w:rsidR="007D6092" w:rsidRPr="004B2059">
        <w:t xml:space="preserve"> in accordance with 13(4) of the Act </w:t>
      </w:r>
      <w:r w:rsidR="0016406E" w:rsidRPr="004B2059">
        <w:t>is $1,</w:t>
      </w:r>
      <w:r w:rsidR="00D0727F" w:rsidRPr="004B2059">
        <w:t>20</w:t>
      </w:r>
      <w:r w:rsidR="00C67270" w:rsidRPr="004B2059">
        <w:t>4</w:t>
      </w:r>
      <w:r w:rsidR="009147BF" w:rsidRPr="004B2059">
        <w:t>,</w:t>
      </w:r>
      <w:r w:rsidR="00C67270" w:rsidRPr="004B2059">
        <w:t>96</w:t>
      </w:r>
      <w:r w:rsidR="00D0727F" w:rsidRPr="004B2059">
        <w:t>8</w:t>
      </w:r>
      <w:r w:rsidR="009147BF" w:rsidRPr="004B2059">
        <w:t>,</w:t>
      </w:r>
      <w:r w:rsidR="00C67270" w:rsidRPr="004B2059">
        <w:t>215</w:t>
      </w:r>
      <w:r w:rsidR="009147BF" w:rsidRPr="004B2059">
        <w:t>.</w:t>
      </w:r>
      <w:r w:rsidR="00D0727F" w:rsidRPr="004B2059">
        <w:t>8</w:t>
      </w:r>
      <w:r w:rsidR="00EF25FD" w:rsidRPr="004B2059">
        <w:t>4</w:t>
      </w:r>
      <w:r w:rsidR="009147BF" w:rsidRPr="004B2059">
        <w:t>.</w:t>
      </w:r>
    </w:p>
    <w:p w:rsidR="0059610A" w:rsidRPr="004B2059" w:rsidRDefault="0059610A" w:rsidP="0059610A">
      <w:pPr>
        <w:pStyle w:val="NumberedParagraph"/>
      </w:pPr>
      <w:r w:rsidRPr="004B2059">
        <w:t xml:space="preserve">In accordance with </w:t>
      </w:r>
      <w:r w:rsidR="00447129" w:rsidRPr="004B2059">
        <w:t xml:space="preserve">subsection </w:t>
      </w:r>
      <w:r w:rsidRPr="004B2059">
        <w:t>1</w:t>
      </w:r>
      <w:r w:rsidR="00895FE2" w:rsidRPr="004B2059">
        <w:t>3</w:t>
      </w:r>
      <w:r w:rsidRPr="004B2059">
        <w:t xml:space="preserve">(5) of the Act, the amounts specified in Table </w:t>
      </w:r>
      <w:r w:rsidR="004F6BBF" w:rsidRPr="004B2059">
        <w:t>4</w:t>
      </w:r>
      <w:r w:rsidRPr="004B2059">
        <w:t xml:space="preserve"> are to be paid, </w:t>
      </w:r>
      <w:r w:rsidR="004F6BBF" w:rsidRPr="004B2059">
        <w:t xml:space="preserve">for the </w:t>
      </w:r>
      <w:r w:rsidR="0016406E" w:rsidRPr="004B2059">
        <w:t>201</w:t>
      </w:r>
      <w:r w:rsidR="00A4063B" w:rsidRPr="004B2059">
        <w:t>1</w:t>
      </w:r>
      <w:r w:rsidR="0016406E" w:rsidRPr="004B2059">
        <w:t>-1</w:t>
      </w:r>
      <w:r w:rsidR="00A4063B" w:rsidRPr="004B2059">
        <w:t>2</w:t>
      </w:r>
      <w:r w:rsidR="004F6BBF" w:rsidRPr="004B2059">
        <w:t xml:space="preserve"> </w:t>
      </w:r>
      <w:r w:rsidRPr="004B2059">
        <w:t xml:space="preserve">financial year, to the States specified in that table for the purpose of expenditure on </w:t>
      </w:r>
      <w:r w:rsidR="00CA3F86" w:rsidRPr="004B2059">
        <w:t>disability services</w:t>
      </w:r>
      <w:r w:rsidRPr="004B2059">
        <w:t>.</w:t>
      </w:r>
    </w:p>
    <w:p w:rsidR="0059610A" w:rsidRPr="004B2059" w:rsidRDefault="0059610A" w:rsidP="0059610A">
      <w:pPr>
        <w:pStyle w:val="Heading3"/>
        <w:spacing w:after="0"/>
      </w:pPr>
      <w:r w:rsidRPr="004B2059">
        <w:t xml:space="preserve">Table </w:t>
      </w:r>
      <w:r w:rsidR="004F6BBF" w:rsidRPr="004B2059">
        <w:t>4</w:t>
      </w:r>
      <w:r w:rsidRPr="004B2059">
        <w:t xml:space="preserve">: National specific purpose payment for </w:t>
      </w:r>
      <w:r w:rsidR="00CA3F86" w:rsidRPr="004B2059">
        <w:t>disability services</w:t>
      </w:r>
      <w:r w:rsidRPr="004B2059">
        <w:t>, 20</w:t>
      </w:r>
      <w:r w:rsidR="006B34FA" w:rsidRPr="004B2059">
        <w:t>1</w:t>
      </w:r>
      <w:r w:rsidR="00A4063B" w:rsidRPr="004B2059">
        <w:t>1</w:t>
      </w:r>
      <w:r w:rsidR="006B34FA" w:rsidRPr="004B2059">
        <w:t>-1</w:t>
      </w:r>
      <w:r w:rsidR="00A4063B" w:rsidRPr="004B2059">
        <w:t>2</w:t>
      </w:r>
      <w:r w:rsidR="009A5110" w:rsidRPr="004B2059">
        <w:rPr>
          <w:vertAlign w:val="superscript"/>
        </w:rPr>
        <w:t>(a)</w:t>
      </w:r>
      <w:r w:rsidR="004B2634" w:rsidRPr="004B2059">
        <w:br/>
      </w:r>
      <w:r w:rsidR="00321DDE">
        <w:pict>
          <v:shape id="_x0000_i1028" type="#_x0000_t75" style="width:425.25pt;height:120pt">
            <v:imagedata r:id="rId12" o:title=""/>
          </v:shape>
        </w:pict>
      </w:r>
    </w:p>
    <w:p w:rsidR="0059610A" w:rsidRPr="004B2059" w:rsidRDefault="009A5110" w:rsidP="0059610A">
      <w:pPr>
        <w:pStyle w:val="SingleParagraph"/>
        <w:rPr>
          <w:sz w:val="16"/>
          <w:szCs w:val="16"/>
        </w:rPr>
      </w:pPr>
      <w:r w:rsidRPr="004B2059">
        <w:rPr>
          <w:sz w:val="16"/>
          <w:szCs w:val="16"/>
        </w:rPr>
        <w:t xml:space="preserve">(a) Includes an adjustment to achieve </w:t>
      </w:r>
      <w:r w:rsidR="004A28FE" w:rsidRPr="004B2059">
        <w:rPr>
          <w:sz w:val="16"/>
          <w:szCs w:val="16"/>
        </w:rPr>
        <w:t>b</w:t>
      </w:r>
      <w:r w:rsidRPr="004B2059">
        <w:rPr>
          <w:sz w:val="16"/>
          <w:szCs w:val="16"/>
        </w:rPr>
        <w:t>udget neutrality.</w:t>
      </w:r>
    </w:p>
    <w:p w:rsidR="009A5110" w:rsidRPr="004B2059" w:rsidRDefault="009A5110" w:rsidP="0059610A">
      <w:pPr>
        <w:pStyle w:val="SingleParagraph"/>
        <w:rPr>
          <w:sz w:val="16"/>
          <w:szCs w:val="16"/>
        </w:rPr>
      </w:pPr>
    </w:p>
    <w:p w:rsidR="00CA3F86" w:rsidRPr="004B2059" w:rsidRDefault="00CA3F86" w:rsidP="00CA3F86">
      <w:pPr>
        <w:pStyle w:val="Heading3"/>
      </w:pPr>
      <w:r w:rsidRPr="004B2059">
        <w:t>Nation</w:t>
      </w:r>
      <w:r w:rsidR="00701A53" w:rsidRPr="004B2059">
        <w:t>al specific purpose payment for</w:t>
      </w:r>
      <w:r w:rsidR="00123226" w:rsidRPr="004B2059">
        <w:t xml:space="preserve"> housing</w:t>
      </w:r>
      <w:r w:rsidR="007D6092" w:rsidRPr="004B2059">
        <w:t xml:space="preserve"> services </w:t>
      </w:r>
    </w:p>
    <w:p w:rsidR="00885E95" w:rsidRDefault="0016406E" w:rsidP="00885E95">
      <w:pPr>
        <w:pStyle w:val="NumberedParagraph"/>
      </w:pPr>
      <w:r w:rsidRPr="004B2059">
        <w:t xml:space="preserve">In accordance with subsection 14(4) of the Act, the </w:t>
      </w:r>
      <w:r w:rsidR="008677D9" w:rsidRPr="004B2059">
        <w:t xml:space="preserve">indexation applied to the housing </w:t>
      </w:r>
      <w:r w:rsidRPr="004B2059">
        <w:t>services national</w:t>
      </w:r>
      <w:r>
        <w:t xml:space="preserve"> specific purpose payment</w:t>
      </w:r>
      <w:r w:rsidRPr="00CB32C1">
        <w:t xml:space="preserve"> </w:t>
      </w:r>
      <w:r w:rsidR="008677D9">
        <w:t xml:space="preserve">from the previous financial year </w:t>
      </w:r>
      <w:r w:rsidRPr="00CB32C1">
        <w:t xml:space="preserve">will be </w:t>
      </w:r>
      <w:r w:rsidRPr="00875A6A">
        <w:t xml:space="preserve">Wage Cost Index 1 (comprising safety net wage adjustment weighted by 75 per cent and all groups </w:t>
      </w:r>
      <w:r>
        <w:t>CPI weighted by 25 per cent).</w:t>
      </w:r>
    </w:p>
    <w:p w:rsidR="00123226" w:rsidRPr="00D0727F" w:rsidRDefault="008677D9" w:rsidP="00885E95">
      <w:pPr>
        <w:pStyle w:val="NumberedParagraph"/>
      </w:pPr>
      <w:r>
        <w:t xml:space="preserve">For the purposes of paragraph </w:t>
      </w:r>
      <w:r w:rsidR="0016406E">
        <w:t>14</w:t>
      </w:r>
      <w:r w:rsidR="0016406E" w:rsidRPr="00EA42D4">
        <w:t>(</w:t>
      </w:r>
      <w:r>
        <w:t>2)(c</w:t>
      </w:r>
      <w:r w:rsidR="0016406E" w:rsidRPr="00EA42D4">
        <w:t>)</w:t>
      </w:r>
      <w:r>
        <w:t xml:space="preserve"> of the act</w:t>
      </w:r>
      <w:r w:rsidR="0016406E" w:rsidRPr="00EA42D4">
        <w:t>, the 201</w:t>
      </w:r>
      <w:r w:rsidR="00A4063B">
        <w:t>1</w:t>
      </w:r>
      <w:r w:rsidR="0016406E" w:rsidRPr="00EA42D4">
        <w:t>-1</w:t>
      </w:r>
      <w:r w:rsidR="00A4063B">
        <w:t>2</w:t>
      </w:r>
      <w:r w:rsidR="0016406E" w:rsidRPr="00EA42D4">
        <w:t xml:space="preserve"> </w:t>
      </w:r>
      <w:r w:rsidR="009147BF">
        <w:t>total</w:t>
      </w:r>
      <w:r w:rsidR="0016406E" w:rsidRPr="00EA42D4">
        <w:t xml:space="preserve"> amount for the </w:t>
      </w:r>
      <w:r w:rsidRPr="00D0727F">
        <w:t xml:space="preserve">housing </w:t>
      </w:r>
      <w:r w:rsidR="007D6092" w:rsidRPr="00D0727F">
        <w:t xml:space="preserve">services </w:t>
      </w:r>
      <w:r w:rsidR="0016406E" w:rsidRPr="00D0727F">
        <w:t xml:space="preserve">national specific purpose payment </w:t>
      </w:r>
      <w:r w:rsidR="007D6092" w:rsidRPr="00D0727F">
        <w:t xml:space="preserve">indexed in accordance with 14(4) </w:t>
      </w:r>
      <w:r w:rsidR="0016406E" w:rsidRPr="00D0727F">
        <w:t>is $1,2</w:t>
      </w:r>
      <w:r w:rsidR="00D0727F" w:rsidRPr="00D0727F">
        <w:t>4</w:t>
      </w:r>
      <w:r w:rsidR="0016406E" w:rsidRPr="00D0727F">
        <w:t>2,</w:t>
      </w:r>
      <w:r w:rsidR="00D0727F" w:rsidRPr="00D0727F">
        <w:t>602</w:t>
      </w:r>
      <w:r w:rsidR="0016406E" w:rsidRPr="00D0727F">
        <w:t>,</w:t>
      </w:r>
      <w:r w:rsidR="00D0727F" w:rsidRPr="00D0727F">
        <w:t>574</w:t>
      </w:r>
      <w:r w:rsidR="0016406E" w:rsidRPr="00D0727F">
        <w:t>.</w:t>
      </w:r>
      <w:r w:rsidR="00D0727F" w:rsidRPr="00D0727F">
        <w:t>48</w:t>
      </w:r>
    </w:p>
    <w:p w:rsidR="00CA3F86" w:rsidRPr="00D0727F" w:rsidRDefault="00CA3F86" w:rsidP="00CA3F86">
      <w:pPr>
        <w:pStyle w:val="NumberedParagraph"/>
      </w:pPr>
      <w:r w:rsidRPr="00D0727F">
        <w:t>In accordance with</w:t>
      </w:r>
      <w:r w:rsidR="00447129" w:rsidRPr="00D0727F">
        <w:t xml:space="preserve"> subsection 14(5) </w:t>
      </w:r>
      <w:r w:rsidRPr="00D0727F">
        <w:t xml:space="preserve">of the Act, the amounts specified in Table </w:t>
      </w:r>
      <w:r w:rsidR="004F6BBF" w:rsidRPr="00D0727F">
        <w:t>5</w:t>
      </w:r>
      <w:r w:rsidRPr="00D0727F">
        <w:t xml:space="preserve"> are to be paid, </w:t>
      </w:r>
      <w:r w:rsidR="004F6BBF" w:rsidRPr="00D0727F">
        <w:t xml:space="preserve">for the </w:t>
      </w:r>
      <w:r w:rsidRPr="00D0727F">
        <w:t>20</w:t>
      </w:r>
      <w:r w:rsidR="0016406E" w:rsidRPr="00D0727F">
        <w:t>1</w:t>
      </w:r>
      <w:r w:rsidR="00A4063B" w:rsidRPr="00D0727F">
        <w:t>1</w:t>
      </w:r>
      <w:r w:rsidR="0016406E" w:rsidRPr="00D0727F">
        <w:t>-1</w:t>
      </w:r>
      <w:r w:rsidR="00A4063B" w:rsidRPr="00D0727F">
        <w:t>2</w:t>
      </w:r>
      <w:r w:rsidRPr="00D0727F">
        <w:t xml:space="preserve"> financial year, to the States specified in that table for the purpose of expenditure on</w:t>
      </w:r>
      <w:r w:rsidR="00900AAC" w:rsidRPr="00D0727F">
        <w:t xml:space="preserve"> </w:t>
      </w:r>
      <w:r w:rsidRPr="00D0727F">
        <w:t>housing services.</w:t>
      </w:r>
    </w:p>
    <w:p w:rsidR="00CA3F86" w:rsidRDefault="00CA3F86" w:rsidP="00CA3F86">
      <w:pPr>
        <w:pStyle w:val="Heading3"/>
        <w:spacing w:after="0"/>
      </w:pPr>
      <w:r w:rsidRPr="00D0727F">
        <w:t xml:space="preserve">Table </w:t>
      </w:r>
      <w:r w:rsidR="004F6BBF" w:rsidRPr="00D0727F">
        <w:t>5</w:t>
      </w:r>
      <w:r w:rsidRPr="00D0727F">
        <w:t>: National specific purpose payment for housing services, 20</w:t>
      </w:r>
      <w:r w:rsidR="006B34FA" w:rsidRPr="00D0727F">
        <w:t>1</w:t>
      </w:r>
      <w:r w:rsidR="00A4063B" w:rsidRPr="00D0727F">
        <w:t>1</w:t>
      </w:r>
      <w:r w:rsidR="004F6BBF" w:rsidRPr="00D0727F">
        <w:t>-1</w:t>
      </w:r>
      <w:r w:rsidR="00A4063B" w:rsidRPr="00D0727F">
        <w:t>2</w:t>
      </w:r>
    </w:p>
    <w:p w:rsidR="00CA3F86" w:rsidRDefault="00321DDE" w:rsidP="007D6092">
      <w:r>
        <w:pict>
          <v:shape id="_x0000_i1029" type="#_x0000_t75" style="width:425.25pt;height:120pt">
            <v:imagedata r:id="rId13" o:title=""/>
          </v:shape>
        </w:pict>
      </w:r>
    </w:p>
    <w:sectPr w:rsidR="00CA3F86" w:rsidSect="00327AF8">
      <w:headerReference w:type="default" r:id="rId14"/>
      <w:footerReference w:type="default" r:id="rId15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AE" w:rsidRDefault="002C50AE">
      <w:r>
        <w:separator/>
      </w:r>
    </w:p>
  </w:endnote>
  <w:endnote w:type="continuationSeparator" w:id="0">
    <w:p w:rsidR="002C50AE" w:rsidRDefault="002C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AE" w:rsidRDefault="002C50AE" w:rsidP="00323F0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1D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AE" w:rsidRDefault="002C50AE">
      <w:r>
        <w:separator/>
      </w:r>
    </w:p>
  </w:footnote>
  <w:footnote w:type="continuationSeparator" w:id="0">
    <w:p w:rsidR="002C50AE" w:rsidRDefault="002C50AE">
      <w:r>
        <w:continuationSeparator/>
      </w:r>
    </w:p>
  </w:footnote>
  <w:footnote w:id="1">
    <w:p w:rsidR="002C50AE" w:rsidRDefault="002C50AE" w:rsidP="0092412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Subsection 10(3) of the </w:t>
      </w:r>
      <w:r w:rsidRPr="00D16BAF">
        <w:rPr>
          <w:i/>
        </w:rPr>
        <w:t>Federal Financial Relations Act 2009</w:t>
      </w:r>
      <w:r>
        <w:t xml:space="preserve"> was repealed on 25 June 2012 due to new arrangements for the National Health Reform.  Schedule 2 of the </w:t>
      </w:r>
      <w:r w:rsidRPr="00D16BAF">
        <w:rPr>
          <w:i/>
        </w:rPr>
        <w:t xml:space="preserve">Federal </w:t>
      </w:r>
      <w:r>
        <w:rPr>
          <w:i/>
        </w:rPr>
        <w:t>Financial Relations Amendment (N</w:t>
      </w:r>
      <w:r w:rsidRPr="00D16BAF">
        <w:rPr>
          <w:i/>
        </w:rPr>
        <w:t>ational Health Reform) Act 2012</w:t>
      </w:r>
      <w:r>
        <w:t xml:space="preserve"> contains an application provision (item 7) stating that this amendment applies in relation to financial assistance for the financial year starting on 1 July 2012 and each later financial year.</w:t>
      </w:r>
    </w:p>
  </w:footnote>
  <w:footnote w:id="2">
    <w:p w:rsidR="002C50AE" w:rsidRDefault="002C50AE" w:rsidP="0092412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See footnote 1.</w:t>
      </w:r>
    </w:p>
  </w:footnote>
  <w:footnote w:id="3">
    <w:p w:rsidR="002C50AE" w:rsidRDefault="002C50AE" w:rsidP="0092412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See footnote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AE" w:rsidRPr="00CC4FF6" w:rsidRDefault="002C50AE" w:rsidP="00922EB3">
    <w:pPr>
      <w:pStyle w:val="Header"/>
      <w:spacing w:before="360" w:after="0"/>
      <w:rPr>
        <w:i/>
        <w:sz w:val="20"/>
      </w:rPr>
    </w:pPr>
    <w:r w:rsidRPr="00CC4FF6">
      <w:rPr>
        <w:i/>
        <w:sz w:val="20"/>
      </w:rPr>
      <w:t>Federal Financial Relations (</w:t>
    </w:r>
    <w:r>
      <w:rPr>
        <w:i/>
        <w:sz w:val="20"/>
      </w:rPr>
      <w:t>National Specific Purpose Payments</w:t>
    </w:r>
    <w:r w:rsidRPr="00CC4FF6">
      <w:rPr>
        <w:i/>
        <w:sz w:val="20"/>
      </w:rPr>
      <w:t>) Determination 20</w:t>
    </w:r>
    <w:r>
      <w:rPr>
        <w:i/>
        <w:sz w:val="20"/>
      </w:rPr>
      <w:t>11-12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5FDA9D1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665DFA"/>
    <w:multiLevelType w:val="singleLevel"/>
    <w:tmpl w:val="EA3A7496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467"/>
        </w:tabs>
        <w:ind w:left="14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>
    <w:nsid w:val="3305030D"/>
    <w:multiLevelType w:val="hybridMultilevel"/>
    <w:tmpl w:val="93825164"/>
    <w:lvl w:ilvl="0" w:tplc="A4524E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4">
    <w:nsid w:val="44972423"/>
    <w:multiLevelType w:val="singleLevel"/>
    <w:tmpl w:val="15F47EFA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5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6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FEE66D6"/>
    <w:multiLevelType w:val="multilevel"/>
    <w:tmpl w:val="0C09001F"/>
    <w:numStyleLink w:val="111111"/>
  </w:abstractNum>
  <w:abstractNum w:abstractNumId="9">
    <w:nsid w:val="684623B5"/>
    <w:multiLevelType w:val="multilevel"/>
    <w:tmpl w:val="8D4C48F2"/>
    <w:name w:val="StandardBulletedList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854"/>
        </w:tabs>
        <w:ind w:left="185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421"/>
        </w:tabs>
        <w:ind w:left="242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>
    <w:nsid w:val="6F4A3B08"/>
    <w:multiLevelType w:val="multilevel"/>
    <w:tmpl w:val="0C09001F"/>
    <w:numStyleLink w:val="111111"/>
  </w:abstractNum>
  <w:abstractNum w:abstractNumId="11">
    <w:nsid w:val="763F2F54"/>
    <w:multiLevelType w:val="multilevel"/>
    <w:tmpl w:val="8DD48F0C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4"/>
    <w:lvlOverride w:ilvl="0">
      <w:startOverride w:val="2"/>
    </w:lvlOverride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368"/>
    <w:rsid w:val="00011B98"/>
    <w:rsid w:val="0002765D"/>
    <w:rsid w:val="00034BF8"/>
    <w:rsid w:val="00045414"/>
    <w:rsid w:val="0005600E"/>
    <w:rsid w:val="00056686"/>
    <w:rsid w:val="00064EC7"/>
    <w:rsid w:val="00065619"/>
    <w:rsid w:val="00067E1D"/>
    <w:rsid w:val="000725C0"/>
    <w:rsid w:val="00083093"/>
    <w:rsid w:val="000912F3"/>
    <w:rsid w:val="000A6DBE"/>
    <w:rsid w:val="000A77BB"/>
    <w:rsid w:val="000B3492"/>
    <w:rsid w:val="000B634A"/>
    <w:rsid w:val="000C0EBF"/>
    <w:rsid w:val="000D0750"/>
    <w:rsid w:val="000D250D"/>
    <w:rsid w:val="000E7CE9"/>
    <w:rsid w:val="000F0DE6"/>
    <w:rsid w:val="000F287F"/>
    <w:rsid w:val="000F5522"/>
    <w:rsid w:val="000F647D"/>
    <w:rsid w:val="0011054D"/>
    <w:rsid w:val="00121EB0"/>
    <w:rsid w:val="00123226"/>
    <w:rsid w:val="0013046E"/>
    <w:rsid w:val="0013168B"/>
    <w:rsid w:val="0013207F"/>
    <w:rsid w:val="00134C35"/>
    <w:rsid w:val="00141EBF"/>
    <w:rsid w:val="00147F9D"/>
    <w:rsid w:val="0016406E"/>
    <w:rsid w:val="00164C41"/>
    <w:rsid w:val="00172955"/>
    <w:rsid w:val="00186B8E"/>
    <w:rsid w:val="001931FF"/>
    <w:rsid w:val="00193658"/>
    <w:rsid w:val="00196774"/>
    <w:rsid w:val="001A5489"/>
    <w:rsid w:val="001A55C1"/>
    <w:rsid w:val="001A6350"/>
    <w:rsid w:val="001A7B27"/>
    <w:rsid w:val="001B1492"/>
    <w:rsid w:val="001C5073"/>
    <w:rsid w:val="001D3365"/>
    <w:rsid w:val="001D751D"/>
    <w:rsid w:val="001E1978"/>
    <w:rsid w:val="001F71BE"/>
    <w:rsid w:val="00204CD7"/>
    <w:rsid w:val="00214AFA"/>
    <w:rsid w:val="0021529B"/>
    <w:rsid w:val="00215393"/>
    <w:rsid w:val="00235C89"/>
    <w:rsid w:val="00243DF4"/>
    <w:rsid w:val="002457CC"/>
    <w:rsid w:val="00246121"/>
    <w:rsid w:val="00247BCE"/>
    <w:rsid w:val="002558DE"/>
    <w:rsid w:val="002625D7"/>
    <w:rsid w:val="002765E4"/>
    <w:rsid w:val="0029586A"/>
    <w:rsid w:val="002B31FD"/>
    <w:rsid w:val="002B54A4"/>
    <w:rsid w:val="002C15AB"/>
    <w:rsid w:val="002C498C"/>
    <w:rsid w:val="002C50AE"/>
    <w:rsid w:val="002D2AA4"/>
    <w:rsid w:val="002D36C5"/>
    <w:rsid w:val="002D5B2F"/>
    <w:rsid w:val="002E3304"/>
    <w:rsid w:val="002F34C1"/>
    <w:rsid w:val="002F6457"/>
    <w:rsid w:val="00301484"/>
    <w:rsid w:val="00321DDE"/>
    <w:rsid w:val="00323F0A"/>
    <w:rsid w:val="00327AF8"/>
    <w:rsid w:val="00335EE3"/>
    <w:rsid w:val="00361895"/>
    <w:rsid w:val="003751D0"/>
    <w:rsid w:val="00382C2C"/>
    <w:rsid w:val="00391EC5"/>
    <w:rsid w:val="00396256"/>
    <w:rsid w:val="003B3E63"/>
    <w:rsid w:val="003B5E63"/>
    <w:rsid w:val="003B6E39"/>
    <w:rsid w:val="003D3006"/>
    <w:rsid w:val="003F160F"/>
    <w:rsid w:val="003F23BE"/>
    <w:rsid w:val="003F61DC"/>
    <w:rsid w:val="003F6354"/>
    <w:rsid w:val="004249F2"/>
    <w:rsid w:val="004256B9"/>
    <w:rsid w:val="004268EE"/>
    <w:rsid w:val="00427A33"/>
    <w:rsid w:val="00447129"/>
    <w:rsid w:val="00450620"/>
    <w:rsid w:val="00457BC3"/>
    <w:rsid w:val="00462B0C"/>
    <w:rsid w:val="00466CFD"/>
    <w:rsid w:val="0048401D"/>
    <w:rsid w:val="0049444B"/>
    <w:rsid w:val="004A28FE"/>
    <w:rsid w:val="004A41B2"/>
    <w:rsid w:val="004B2059"/>
    <w:rsid w:val="004B2634"/>
    <w:rsid w:val="004B7F2F"/>
    <w:rsid w:val="004C0BEC"/>
    <w:rsid w:val="004D3B1D"/>
    <w:rsid w:val="004D52A1"/>
    <w:rsid w:val="004D6352"/>
    <w:rsid w:val="004F6BBF"/>
    <w:rsid w:val="005202BD"/>
    <w:rsid w:val="005242FE"/>
    <w:rsid w:val="00527671"/>
    <w:rsid w:val="00527DA0"/>
    <w:rsid w:val="00535510"/>
    <w:rsid w:val="00546EFA"/>
    <w:rsid w:val="00555305"/>
    <w:rsid w:val="00555ED3"/>
    <w:rsid w:val="00560B41"/>
    <w:rsid w:val="00560B48"/>
    <w:rsid w:val="0059610A"/>
    <w:rsid w:val="005A511F"/>
    <w:rsid w:val="005B394D"/>
    <w:rsid w:val="005C0475"/>
    <w:rsid w:val="005C0E95"/>
    <w:rsid w:val="005D2CCA"/>
    <w:rsid w:val="005F26C3"/>
    <w:rsid w:val="00621EDD"/>
    <w:rsid w:val="00625FB7"/>
    <w:rsid w:val="00633EEE"/>
    <w:rsid w:val="006413D3"/>
    <w:rsid w:val="00646729"/>
    <w:rsid w:val="00647DBD"/>
    <w:rsid w:val="00650EB4"/>
    <w:rsid w:val="006654A1"/>
    <w:rsid w:val="00666AC3"/>
    <w:rsid w:val="00680BA1"/>
    <w:rsid w:val="006841B8"/>
    <w:rsid w:val="00695878"/>
    <w:rsid w:val="006A3912"/>
    <w:rsid w:val="006B2BB6"/>
    <w:rsid w:val="006B34FA"/>
    <w:rsid w:val="006C3186"/>
    <w:rsid w:val="006D078D"/>
    <w:rsid w:val="006D7368"/>
    <w:rsid w:val="006F5920"/>
    <w:rsid w:val="006F6ED0"/>
    <w:rsid w:val="007001D0"/>
    <w:rsid w:val="00701A53"/>
    <w:rsid w:val="0071245D"/>
    <w:rsid w:val="007134EE"/>
    <w:rsid w:val="00715FD0"/>
    <w:rsid w:val="00737298"/>
    <w:rsid w:val="00742028"/>
    <w:rsid w:val="00745BBA"/>
    <w:rsid w:val="00750D81"/>
    <w:rsid w:val="007541F8"/>
    <w:rsid w:val="007662C8"/>
    <w:rsid w:val="00766383"/>
    <w:rsid w:val="007744CE"/>
    <w:rsid w:val="00780679"/>
    <w:rsid w:val="00795943"/>
    <w:rsid w:val="00795F18"/>
    <w:rsid w:val="00797CA5"/>
    <w:rsid w:val="007A2BFA"/>
    <w:rsid w:val="007A41AC"/>
    <w:rsid w:val="007A582B"/>
    <w:rsid w:val="007A713A"/>
    <w:rsid w:val="007B0007"/>
    <w:rsid w:val="007B3FCB"/>
    <w:rsid w:val="007B6C54"/>
    <w:rsid w:val="007D4666"/>
    <w:rsid w:val="007D6092"/>
    <w:rsid w:val="007E706C"/>
    <w:rsid w:val="0081524C"/>
    <w:rsid w:val="0081770A"/>
    <w:rsid w:val="0082258E"/>
    <w:rsid w:val="00822F21"/>
    <w:rsid w:val="00826826"/>
    <w:rsid w:val="00827C96"/>
    <w:rsid w:val="008325D2"/>
    <w:rsid w:val="00835274"/>
    <w:rsid w:val="00836A45"/>
    <w:rsid w:val="00850ED1"/>
    <w:rsid w:val="0085161A"/>
    <w:rsid w:val="00852B78"/>
    <w:rsid w:val="0086090C"/>
    <w:rsid w:val="008677D9"/>
    <w:rsid w:val="00870257"/>
    <w:rsid w:val="00875A6A"/>
    <w:rsid w:val="00877A96"/>
    <w:rsid w:val="00885E95"/>
    <w:rsid w:val="00892B98"/>
    <w:rsid w:val="00894389"/>
    <w:rsid w:val="00895257"/>
    <w:rsid w:val="00895FE2"/>
    <w:rsid w:val="008B7A84"/>
    <w:rsid w:val="008C35DA"/>
    <w:rsid w:val="008C7386"/>
    <w:rsid w:val="008D0AE4"/>
    <w:rsid w:val="008D2010"/>
    <w:rsid w:val="008E05D9"/>
    <w:rsid w:val="008F09C3"/>
    <w:rsid w:val="00900AAC"/>
    <w:rsid w:val="00901953"/>
    <w:rsid w:val="009064EF"/>
    <w:rsid w:val="009147BF"/>
    <w:rsid w:val="00916CC4"/>
    <w:rsid w:val="00922EB3"/>
    <w:rsid w:val="0092412B"/>
    <w:rsid w:val="00930EC5"/>
    <w:rsid w:val="00941B81"/>
    <w:rsid w:val="009457FF"/>
    <w:rsid w:val="009458B2"/>
    <w:rsid w:val="00945D3F"/>
    <w:rsid w:val="00952EAC"/>
    <w:rsid w:val="00974204"/>
    <w:rsid w:val="00983838"/>
    <w:rsid w:val="00995523"/>
    <w:rsid w:val="0099620F"/>
    <w:rsid w:val="009962FA"/>
    <w:rsid w:val="009A0AF8"/>
    <w:rsid w:val="009A3B16"/>
    <w:rsid w:val="009A5110"/>
    <w:rsid w:val="009A7A58"/>
    <w:rsid w:val="009B1C94"/>
    <w:rsid w:val="009D0E72"/>
    <w:rsid w:val="009D2315"/>
    <w:rsid w:val="009D3CD8"/>
    <w:rsid w:val="009F5D9B"/>
    <w:rsid w:val="00A17AF7"/>
    <w:rsid w:val="00A2131C"/>
    <w:rsid w:val="00A352C5"/>
    <w:rsid w:val="00A4063B"/>
    <w:rsid w:val="00A41266"/>
    <w:rsid w:val="00A4791E"/>
    <w:rsid w:val="00A500FB"/>
    <w:rsid w:val="00A52150"/>
    <w:rsid w:val="00A5220C"/>
    <w:rsid w:val="00A5594A"/>
    <w:rsid w:val="00A5702D"/>
    <w:rsid w:val="00A64F29"/>
    <w:rsid w:val="00A77F61"/>
    <w:rsid w:val="00A84B99"/>
    <w:rsid w:val="00A84DF5"/>
    <w:rsid w:val="00A9025F"/>
    <w:rsid w:val="00A95081"/>
    <w:rsid w:val="00AA553F"/>
    <w:rsid w:val="00AA7951"/>
    <w:rsid w:val="00AB1952"/>
    <w:rsid w:val="00AB1DCC"/>
    <w:rsid w:val="00AB2C1A"/>
    <w:rsid w:val="00AC09FF"/>
    <w:rsid w:val="00AC0D3D"/>
    <w:rsid w:val="00AC2C70"/>
    <w:rsid w:val="00AC5E9E"/>
    <w:rsid w:val="00AD1933"/>
    <w:rsid w:val="00AD281B"/>
    <w:rsid w:val="00AE0128"/>
    <w:rsid w:val="00AF09FD"/>
    <w:rsid w:val="00AF0EB2"/>
    <w:rsid w:val="00AF3E94"/>
    <w:rsid w:val="00B06EB2"/>
    <w:rsid w:val="00B10804"/>
    <w:rsid w:val="00B154AD"/>
    <w:rsid w:val="00B1637E"/>
    <w:rsid w:val="00B24AFA"/>
    <w:rsid w:val="00B24DB3"/>
    <w:rsid w:val="00B2539B"/>
    <w:rsid w:val="00B3315F"/>
    <w:rsid w:val="00B34881"/>
    <w:rsid w:val="00B34E8F"/>
    <w:rsid w:val="00B42AA8"/>
    <w:rsid w:val="00B47977"/>
    <w:rsid w:val="00B52AE2"/>
    <w:rsid w:val="00B54DEF"/>
    <w:rsid w:val="00B57831"/>
    <w:rsid w:val="00B654BD"/>
    <w:rsid w:val="00B7388C"/>
    <w:rsid w:val="00B74438"/>
    <w:rsid w:val="00B81379"/>
    <w:rsid w:val="00B9447C"/>
    <w:rsid w:val="00B94FB4"/>
    <w:rsid w:val="00B974B4"/>
    <w:rsid w:val="00BD517C"/>
    <w:rsid w:val="00BE0CFC"/>
    <w:rsid w:val="00BE612D"/>
    <w:rsid w:val="00C0424A"/>
    <w:rsid w:val="00C1403E"/>
    <w:rsid w:val="00C3429A"/>
    <w:rsid w:val="00C34376"/>
    <w:rsid w:val="00C365C0"/>
    <w:rsid w:val="00C63575"/>
    <w:rsid w:val="00C655A6"/>
    <w:rsid w:val="00C67270"/>
    <w:rsid w:val="00C747E0"/>
    <w:rsid w:val="00C81FE3"/>
    <w:rsid w:val="00C8319E"/>
    <w:rsid w:val="00C94296"/>
    <w:rsid w:val="00C94949"/>
    <w:rsid w:val="00C94CBC"/>
    <w:rsid w:val="00CA3848"/>
    <w:rsid w:val="00CA3F86"/>
    <w:rsid w:val="00CA777B"/>
    <w:rsid w:val="00CB07F6"/>
    <w:rsid w:val="00CB6BCE"/>
    <w:rsid w:val="00CC0DDB"/>
    <w:rsid w:val="00CC4D15"/>
    <w:rsid w:val="00CC4FF6"/>
    <w:rsid w:val="00CC59FF"/>
    <w:rsid w:val="00CD24CF"/>
    <w:rsid w:val="00CD5FEA"/>
    <w:rsid w:val="00CE4CFE"/>
    <w:rsid w:val="00CF3856"/>
    <w:rsid w:val="00CF3E31"/>
    <w:rsid w:val="00CF6F90"/>
    <w:rsid w:val="00D04B82"/>
    <w:rsid w:val="00D0727F"/>
    <w:rsid w:val="00D07854"/>
    <w:rsid w:val="00D16BAF"/>
    <w:rsid w:val="00D22699"/>
    <w:rsid w:val="00D4023C"/>
    <w:rsid w:val="00D47703"/>
    <w:rsid w:val="00D47CB1"/>
    <w:rsid w:val="00D546D8"/>
    <w:rsid w:val="00D559F5"/>
    <w:rsid w:val="00D56CB8"/>
    <w:rsid w:val="00D61DA9"/>
    <w:rsid w:val="00D66B94"/>
    <w:rsid w:val="00D72CC8"/>
    <w:rsid w:val="00D7687F"/>
    <w:rsid w:val="00D86C9B"/>
    <w:rsid w:val="00D902D8"/>
    <w:rsid w:val="00DA04FC"/>
    <w:rsid w:val="00DA209A"/>
    <w:rsid w:val="00DA6087"/>
    <w:rsid w:val="00DB2C18"/>
    <w:rsid w:val="00DB54BC"/>
    <w:rsid w:val="00DC2D6E"/>
    <w:rsid w:val="00E00D72"/>
    <w:rsid w:val="00E04C43"/>
    <w:rsid w:val="00E0520E"/>
    <w:rsid w:val="00E23802"/>
    <w:rsid w:val="00E31192"/>
    <w:rsid w:val="00E317E4"/>
    <w:rsid w:val="00E54185"/>
    <w:rsid w:val="00E61817"/>
    <w:rsid w:val="00E65E76"/>
    <w:rsid w:val="00E6714D"/>
    <w:rsid w:val="00E73FB8"/>
    <w:rsid w:val="00E824BB"/>
    <w:rsid w:val="00E90DC7"/>
    <w:rsid w:val="00E91547"/>
    <w:rsid w:val="00E92C45"/>
    <w:rsid w:val="00EA330F"/>
    <w:rsid w:val="00EA42D4"/>
    <w:rsid w:val="00EA67BF"/>
    <w:rsid w:val="00EA77F6"/>
    <w:rsid w:val="00EB5304"/>
    <w:rsid w:val="00EC06C2"/>
    <w:rsid w:val="00EC2CD4"/>
    <w:rsid w:val="00EC4420"/>
    <w:rsid w:val="00ED0C3A"/>
    <w:rsid w:val="00ED2FF4"/>
    <w:rsid w:val="00EE2118"/>
    <w:rsid w:val="00EF2354"/>
    <w:rsid w:val="00EF24CC"/>
    <w:rsid w:val="00EF25FD"/>
    <w:rsid w:val="00F03841"/>
    <w:rsid w:val="00F055DA"/>
    <w:rsid w:val="00F12010"/>
    <w:rsid w:val="00F3648D"/>
    <w:rsid w:val="00F36EF0"/>
    <w:rsid w:val="00F45C5F"/>
    <w:rsid w:val="00F560A6"/>
    <w:rsid w:val="00F64D2C"/>
    <w:rsid w:val="00F7399C"/>
    <w:rsid w:val="00F87DFE"/>
    <w:rsid w:val="00F93298"/>
    <w:rsid w:val="00FB4D73"/>
    <w:rsid w:val="00FD6406"/>
    <w:rsid w:val="00FE6D4D"/>
    <w:rsid w:val="00FE73DB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FB4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link w:val="NumberedParagraphChar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17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17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17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uiPriority w:val="99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FB4D73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paragraph" w:styleId="DocumentMap">
    <w:name w:val="Document Map"/>
    <w:basedOn w:val="Normal"/>
    <w:semiHidden/>
    <w:rsid w:val="006A3912"/>
    <w:pPr>
      <w:shd w:val="clear" w:color="auto" w:fill="000080"/>
    </w:pPr>
    <w:rPr>
      <w:rFonts w:ascii="Tahoma" w:hAnsi="Tahoma"/>
      <w:sz w:val="20"/>
    </w:rPr>
  </w:style>
  <w:style w:type="character" w:styleId="Hyperlink">
    <w:name w:val="Hyperlink"/>
    <w:basedOn w:val="DefaultParagraphFont"/>
    <w:rsid w:val="00B57831"/>
    <w:rPr>
      <w:color w:val="0000FF" w:themeColor="hyperlink"/>
      <w:u w:val="single"/>
    </w:rPr>
  </w:style>
  <w:style w:type="paragraph" w:customStyle="1" w:styleId="OutlineNumbered1">
    <w:name w:val="Outline Numbered 1"/>
    <w:basedOn w:val="Normal"/>
    <w:link w:val="OutlineNumbered1Char"/>
    <w:rsid w:val="00EA42D4"/>
    <w:pPr>
      <w:numPr>
        <w:numId w:val="16"/>
      </w:numPr>
    </w:pPr>
  </w:style>
  <w:style w:type="character" w:customStyle="1" w:styleId="NumberedParagraphChar">
    <w:name w:val="Numbered Paragraph Char"/>
    <w:basedOn w:val="DefaultParagraphFont"/>
    <w:link w:val="NumberedParagraph"/>
    <w:rsid w:val="00EA42D4"/>
    <w:rPr>
      <w:sz w:val="24"/>
    </w:rPr>
  </w:style>
  <w:style w:type="character" w:customStyle="1" w:styleId="OutlineNumbered1Char">
    <w:name w:val="Outline Numbered 1 Char"/>
    <w:basedOn w:val="NumberedParagraphChar"/>
    <w:link w:val="OutlineNumbered1"/>
    <w:rsid w:val="00EA42D4"/>
    <w:rPr>
      <w:sz w:val="24"/>
    </w:rPr>
  </w:style>
  <w:style w:type="paragraph" w:customStyle="1" w:styleId="OutlineNumbered2">
    <w:name w:val="Outline Numbered 2"/>
    <w:basedOn w:val="Normal"/>
    <w:link w:val="OutlineNumbered2Char"/>
    <w:rsid w:val="00EA42D4"/>
    <w:pPr>
      <w:numPr>
        <w:ilvl w:val="1"/>
        <w:numId w:val="16"/>
      </w:numPr>
    </w:pPr>
  </w:style>
  <w:style w:type="character" w:customStyle="1" w:styleId="OutlineNumbered2Char">
    <w:name w:val="Outline Numbered 2 Char"/>
    <w:basedOn w:val="NumberedParagraphChar"/>
    <w:link w:val="OutlineNumbered2"/>
    <w:rsid w:val="00EA42D4"/>
    <w:rPr>
      <w:sz w:val="24"/>
    </w:rPr>
  </w:style>
  <w:style w:type="paragraph" w:customStyle="1" w:styleId="OutlineNumbered3">
    <w:name w:val="Outline Numbered 3"/>
    <w:basedOn w:val="Normal"/>
    <w:link w:val="OutlineNumbered3Char"/>
    <w:rsid w:val="00EA42D4"/>
    <w:pPr>
      <w:numPr>
        <w:ilvl w:val="2"/>
        <w:numId w:val="16"/>
      </w:numPr>
    </w:pPr>
  </w:style>
  <w:style w:type="character" w:customStyle="1" w:styleId="OutlineNumbered3Char">
    <w:name w:val="Outline Numbered 3 Char"/>
    <w:basedOn w:val="NumberedParagraphChar"/>
    <w:link w:val="OutlineNumbered3"/>
    <w:rsid w:val="00EA42D4"/>
    <w:rPr>
      <w:sz w:val="24"/>
    </w:rPr>
  </w:style>
  <w:style w:type="paragraph" w:styleId="FootnoteText">
    <w:name w:val="footnote text"/>
    <w:basedOn w:val="Normal"/>
    <w:link w:val="FootnoteTextChar"/>
    <w:rsid w:val="00D16B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6BAF"/>
  </w:style>
  <w:style w:type="character" w:styleId="FootnoteReference">
    <w:name w:val="footnote reference"/>
    <w:basedOn w:val="DefaultParagraphFont"/>
    <w:rsid w:val="00D16B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ingleParagraph">
    <w:name w:val="11111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7B07-D0F7-4D5D-8BB4-FA7BD688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4</Pages>
  <Words>859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YEAR (NO</vt:lpstr>
    </vt:vector>
  </TitlesOfParts>
  <Company>The Treasury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YEAR (NO</dc:title>
  <dc:creator>sdz</dc:creator>
  <cp:lastModifiedBy>Atkinson, Paul</cp:lastModifiedBy>
  <cp:revision>61</cp:revision>
  <cp:lastPrinted>2012-10-25T00:41:00Z</cp:lastPrinted>
  <dcterms:created xsi:type="dcterms:W3CDTF">2011-03-23T22:09:00Z</dcterms:created>
  <dcterms:modified xsi:type="dcterms:W3CDTF">2012-11-14T22:19:00Z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-376526822</vt:i4>
  </property>
  <property fmtid="{D5CDD505-2E9C-101B-9397-08002B2CF9AE}" pid="3" name="_NewReviewCycle">
    <vt:lpwstr/>
  </property>
  <property fmtid="{D5CDD505-2E9C-101B-9397-08002B2CF9AE}" pid="4" name="_EmailSubject">
    <vt:lpwstr>Update LI + ES - R20121114L007</vt:lpwstr>
  </property>
  <property fmtid="{D5CDD505-2E9C-101B-9397-08002B2CF9AE}" pid="5" name="_AuthorEmail">
    <vt:lpwstr>Paul.Atkinson@TREASURY.GOV.AU</vt:lpwstr>
  </property>
  <property fmtid="{D5CDD505-2E9C-101B-9397-08002B2CF9AE}" pid="6" name="_AuthorEmailDisplayName">
    <vt:lpwstr>Atkinson, Paul</vt:lpwstr>
  </property>
  <property fmtid="{D5CDD505-2E9C-101B-9397-08002B2CF9AE}" pid="8" name="_PreviousAdHocReviewCycleID">
    <vt:i4>-2078070691</vt:i4>
  </property>
</Properties>
</file>