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F" w:rsidRPr="00247465" w:rsidRDefault="001273EF" w:rsidP="001273EF">
      <w:pPr>
        <w:pStyle w:val="MIRHeading3"/>
        <w:ind w:hanging="1"/>
        <w:jc w:val="center"/>
        <w:rPr>
          <w:rFonts w:ascii="Times New Roman" w:hAnsi="Times New Roman" w:cs="Times New Roman"/>
          <w:bCs/>
        </w:rPr>
      </w:pPr>
      <w:r w:rsidRPr="00247465">
        <w:rPr>
          <w:rFonts w:ascii="Times New Roman" w:hAnsi="Times New Roman" w:cs="Times New Roman"/>
          <w:bCs/>
        </w:rPr>
        <w:t>Australian Securities and Investments Commission</w:t>
      </w:r>
    </w:p>
    <w:p w:rsidR="001273EF" w:rsidRPr="00247465" w:rsidRDefault="001273EF" w:rsidP="001273EF">
      <w:pPr>
        <w:pStyle w:val="MIRHeading3"/>
        <w:ind w:hanging="1"/>
        <w:jc w:val="center"/>
        <w:rPr>
          <w:rFonts w:ascii="Times New Roman" w:hAnsi="Times New Roman" w:cs="Times New Roman"/>
        </w:rPr>
      </w:pPr>
      <w:r w:rsidRPr="00247465">
        <w:rPr>
          <w:rFonts w:ascii="Times New Roman" w:hAnsi="Times New Roman" w:cs="Times New Roman"/>
          <w:bCs/>
          <w:i/>
        </w:rPr>
        <w:t>Corporations Act 2001</w:t>
      </w:r>
      <w:r w:rsidRPr="00247465">
        <w:rPr>
          <w:rFonts w:ascii="Times New Roman" w:hAnsi="Times New Roman" w:cs="Times New Roman"/>
          <w:bCs/>
        </w:rPr>
        <w:t xml:space="preserve"> — Subsection </w:t>
      </w:r>
      <w:proofErr w:type="gramStart"/>
      <w:r w:rsidRPr="00247465">
        <w:rPr>
          <w:rFonts w:ascii="Times New Roman" w:hAnsi="Times New Roman" w:cs="Times New Roman"/>
          <w:bCs/>
        </w:rPr>
        <w:t>798G(</w:t>
      </w:r>
      <w:proofErr w:type="gramEnd"/>
      <w:r w:rsidRPr="00247465">
        <w:rPr>
          <w:rFonts w:ascii="Times New Roman" w:hAnsi="Times New Roman" w:cs="Times New Roman"/>
          <w:bCs/>
        </w:rPr>
        <w:t>1) — Variation</w:t>
      </w:r>
    </w:p>
    <w:p w:rsidR="001273EF" w:rsidRPr="00247465" w:rsidRDefault="001273EF" w:rsidP="001273EF">
      <w:pPr>
        <w:pStyle w:val="MIRHeading3"/>
      </w:pPr>
      <w:r w:rsidRPr="00247465">
        <w:t>1.</w:t>
      </w:r>
      <w:r w:rsidRPr="00247465">
        <w:tab/>
        <w:t>Enabling legislation</w:t>
      </w:r>
    </w:p>
    <w:p w:rsidR="001273EF" w:rsidRPr="00247465" w:rsidRDefault="001273EF" w:rsidP="001273EF">
      <w:pPr>
        <w:pStyle w:val="MIRBodyText"/>
      </w:pPr>
      <w:r w:rsidRPr="00247465">
        <w:t xml:space="preserve">I, </w:t>
      </w:r>
      <w:r w:rsidR="00EE6BF0">
        <w:t>Greg Yanco</w:t>
      </w:r>
      <w:r w:rsidRPr="00247465">
        <w:t xml:space="preserve">, with the written consent of the Minister, make the following instrument under subsection </w:t>
      </w:r>
      <w:proofErr w:type="gramStart"/>
      <w:r w:rsidRPr="00247465">
        <w:t>798G(</w:t>
      </w:r>
      <w:proofErr w:type="gramEnd"/>
      <w:r w:rsidRPr="00247465">
        <w:t xml:space="preserve">1) of the </w:t>
      </w:r>
      <w:r w:rsidRPr="00247465">
        <w:rPr>
          <w:i/>
        </w:rPr>
        <w:t>Corporations Act 2001</w:t>
      </w:r>
      <w:r w:rsidRPr="00247465">
        <w:t>.</w:t>
      </w:r>
    </w:p>
    <w:p w:rsidR="001273EF" w:rsidRPr="00247465" w:rsidRDefault="001273EF" w:rsidP="001273EF">
      <w:pPr>
        <w:pStyle w:val="MIRBodyText"/>
      </w:pPr>
    </w:p>
    <w:p w:rsidR="001273EF" w:rsidRPr="00247465" w:rsidRDefault="001273EF" w:rsidP="001273EF">
      <w:pPr>
        <w:pStyle w:val="MIRBodyText"/>
      </w:pPr>
      <w:r w:rsidRPr="00247465">
        <w:t>Dated this</w:t>
      </w:r>
      <w:r w:rsidR="00147DCB" w:rsidRPr="00247465">
        <w:t xml:space="preserve"> </w:t>
      </w:r>
      <w:r w:rsidR="00EE6BF0">
        <w:t>20th</w:t>
      </w:r>
      <w:r w:rsidRPr="00247465">
        <w:t xml:space="preserve"> day of </w:t>
      </w:r>
      <w:r w:rsidR="00EE6BF0">
        <w:t>November</w:t>
      </w:r>
      <w:r w:rsidRPr="00247465">
        <w:t xml:space="preserve"> 201</w:t>
      </w:r>
      <w:r w:rsidR="00E02EB1" w:rsidRPr="00247465">
        <w:t>2</w:t>
      </w:r>
    </w:p>
    <w:p w:rsidR="001273EF" w:rsidRPr="00247465" w:rsidRDefault="001273EF" w:rsidP="001273EF">
      <w:pPr>
        <w:pStyle w:val="MIRBodyText"/>
      </w:pPr>
    </w:p>
    <w:p w:rsidR="00791ACD" w:rsidRPr="00247465" w:rsidRDefault="00791ACD" w:rsidP="001273EF">
      <w:pPr>
        <w:pStyle w:val="MIRBodyText"/>
      </w:pPr>
    </w:p>
    <w:p w:rsidR="001273EF" w:rsidRPr="00247465" w:rsidRDefault="001273EF" w:rsidP="001273EF">
      <w:pPr>
        <w:pStyle w:val="MIRBodyText"/>
      </w:pPr>
      <w:r w:rsidRPr="00247465">
        <w:t xml:space="preserve">Signed by </w:t>
      </w:r>
      <w:r w:rsidR="003D7B29">
        <w:t>Greg Yanco</w:t>
      </w:r>
    </w:p>
    <w:p w:rsidR="001273EF" w:rsidRPr="00247465" w:rsidRDefault="001273EF" w:rsidP="001273EF">
      <w:pPr>
        <w:pStyle w:val="MIRBodyText"/>
      </w:pPr>
      <w:proofErr w:type="gramStart"/>
      <w:r w:rsidRPr="00247465">
        <w:t>as</w:t>
      </w:r>
      <w:proofErr w:type="gramEnd"/>
      <w:r w:rsidRPr="00247465">
        <w:t xml:space="preserve"> a delegate of the Australian Securities and Investments Commission</w:t>
      </w:r>
      <w:r w:rsidR="00DB22D2" w:rsidRPr="00247465">
        <w:t>.</w:t>
      </w:r>
    </w:p>
    <w:p w:rsidR="001273EF" w:rsidRPr="00247465" w:rsidRDefault="001273EF" w:rsidP="001273EF">
      <w:pPr>
        <w:pStyle w:val="MIRHeading3"/>
      </w:pPr>
      <w:r w:rsidRPr="00247465">
        <w:t>2.</w:t>
      </w:r>
      <w:r w:rsidRPr="00247465">
        <w:tab/>
        <w:t>Title</w:t>
      </w:r>
    </w:p>
    <w:p w:rsidR="001273EF" w:rsidRPr="00247465" w:rsidRDefault="001273EF" w:rsidP="001273EF">
      <w:pPr>
        <w:pStyle w:val="MIRBodyText"/>
      </w:pPr>
      <w:r w:rsidRPr="00247465">
        <w:t xml:space="preserve">This instrument is </w:t>
      </w:r>
      <w:r w:rsidRPr="00247465">
        <w:rPr>
          <w:i/>
        </w:rPr>
        <w:t>ASIC Market Integrity Rules (</w:t>
      </w:r>
      <w:r w:rsidR="00C64D2F" w:rsidRPr="00247465">
        <w:rPr>
          <w:i/>
        </w:rPr>
        <w:t>Competition in Exchange Markets</w:t>
      </w:r>
      <w:r w:rsidRPr="00247465">
        <w:rPr>
          <w:i/>
        </w:rPr>
        <w:t>) Amendment 201</w:t>
      </w:r>
      <w:r w:rsidR="00C64D2F" w:rsidRPr="00247465">
        <w:rPr>
          <w:i/>
        </w:rPr>
        <w:t>2</w:t>
      </w:r>
      <w:r w:rsidRPr="00247465">
        <w:rPr>
          <w:i/>
        </w:rPr>
        <w:t xml:space="preserve"> (No. </w:t>
      </w:r>
      <w:r w:rsidR="00C64D2F" w:rsidRPr="00247465">
        <w:rPr>
          <w:i/>
        </w:rPr>
        <w:t>1</w:t>
      </w:r>
      <w:r w:rsidRPr="00247465">
        <w:rPr>
          <w:i/>
        </w:rPr>
        <w:t>)</w:t>
      </w:r>
      <w:r w:rsidRPr="00247465">
        <w:t>.</w:t>
      </w:r>
    </w:p>
    <w:p w:rsidR="001273EF" w:rsidRPr="00247465" w:rsidRDefault="001273EF" w:rsidP="001273EF">
      <w:pPr>
        <w:pStyle w:val="MIRHeading3"/>
      </w:pPr>
      <w:r w:rsidRPr="00247465">
        <w:t>3</w:t>
      </w:r>
      <w:r w:rsidR="001328ED" w:rsidRPr="00247465">
        <w:t>.</w:t>
      </w:r>
      <w:r w:rsidRPr="00247465">
        <w:tab/>
        <w:t>Commencement</w:t>
      </w:r>
    </w:p>
    <w:p w:rsidR="004D64D0" w:rsidRPr="00247465" w:rsidRDefault="00624FB0" w:rsidP="00624FB0">
      <w:pPr>
        <w:pStyle w:val="MIRBodyText"/>
      </w:pPr>
      <w:r w:rsidRPr="00247465">
        <w:t>Each provision of this instrument</w:t>
      </w:r>
      <w:r w:rsidR="00E76733" w:rsidRPr="00247465">
        <w:t xml:space="preserve"> specified in column 1 of the table</w:t>
      </w:r>
      <w:r w:rsidRPr="00247465">
        <w:t xml:space="preserve"> commences in accordance with column 2 of the table. </w:t>
      </w:r>
    </w:p>
    <w:p w:rsidR="00091B15" w:rsidRPr="00247465" w:rsidRDefault="00091B15" w:rsidP="00091B15">
      <w:pPr>
        <w:pStyle w:val="tabletitlefullwidth"/>
        <w:ind w:left="1843"/>
      </w:pPr>
      <w:r w:rsidRPr="00247465">
        <w:t>Commencement information</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4110"/>
        <w:gridCol w:w="4111"/>
      </w:tblGrid>
      <w:tr w:rsidR="00091B15" w:rsidRPr="00247465" w:rsidTr="00091B15">
        <w:trPr>
          <w:cantSplit/>
          <w:tblHeader/>
        </w:trPr>
        <w:tc>
          <w:tcPr>
            <w:tcW w:w="4110" w:type="dxa"/>
            <w:shd w:val="clear" w:color="auto" w:fill="C2E3FA"/>
          </w:tcPr>
          <w:p w:rsidR="00091B15" w:rsidRPr="00247465" w:rsidRDefault="00091B15" w:rsidP="00190150">
            <w:pPr>
              <w:pStyle w:val="tablehead"/>
            </w:pPr>
            <w:r w:rsidRPr="00247465">
              <w:t>Items of Schedule 1</w:t>
            </w:r>
          </w:p>
        </w:tc>
        <w:tc>
          <w:tcPr>
            <w:tcW w:w="4111" w:type="dxa"/>
            <w:shd w:val="clear" w:color="auto" w:fill="C2E3FA"/>
          </w:tcPr>
          <w:p w:rsidR="00091B15" w:rsidRPr="00247465" w:rsidRDefault="00091B15" w:rsidP="00190150">
            <w:pPr>
              <w:pStyle w:val="tablehead"/>
            </w:pPr>
            <w:r w:rsidRPr="00247465">
              <w:t>Commencement</w:t>
            </w:r>
          </w:p>
        </w:tc>
      </w:tr>
      <w:tr w:rsidR="00091B15" w:rsidRPr="00247465" w:rsidTr="00091B15">
        <w:trPr>
          <w:cantSplit/>
        </w:trPr>
        <w:tc>
          <w:tcPr>
            <w:tcW w:w="4110" w:type="dxa"/>
          </w:tcPr>
          <w:p w:rsidR="00091B15" w:rsidRPr="00247465" w:rsidRDefault="00091B15" w:rsidP="000E31AA">
            <w:pPr>
              <w:pStyle w:val="tbltext"/>
            </w:pPr>
            <w:r w:rsidRPr="00247465">
              <w:rPr>
                <w:lang w:val="en-GB"/>
              </w:rPr>
              <w:t>All Items other than Items [36] to [38], [44], [46], [110], [112], [11</w:t>
            </w:r>
            <w:r w:rsidR="000E31AA" w:rsidRPr="00247465">
              <w:rPr>
                <w:lang w:val="en-GB"/>
              </w:rPr>
              <w:t>5</w:t>
            </w:r>
            <w:r w:rsidRPr="00247465">
              <w:rPr>
                <w:lang w:val="en-GB"/>
              </w:rPr>
              <w:t>]</w:t>
            </w:r>
            <w:r w:rsidR="000E31AA" w:rsidRPr="00247465">
              <w:rPr>
                <w:lang w:val="en-GB"/>
              </w:rPr>
              <w:t xml:space="preserve">, [116], </w:t>
            </w:r>
            <w:r w:rsidRPr="00247465">
              <w:rPr>
                <w:lang w:val="en-GB"/>
              </w:rPr>
              <w:t>[118] and [145]</w:t>
            </w:r>
          </w:p>
        </w:tc>
        <w:tc>
          <w:tcPr>
            <w:tcW w:w="4111" w:type="dxa"/>
          </w:tcPr>
          <w:p w:rsidR="00091B15" w:rsidRPr="00247465" w:rsidRDefault="00091B15" w:rsidP="00190150">
            <w:pPr>
              <w:pStyle w:val="tbltext"/>
            </w:pPr>
            <w:r w:rsidRPr="00247465">
              <w:rPr>
                <w:lang w:val="en-GB"/>
              </w:rPr>
              <w:t xml:space="preserve">The day after the day on which this instrument is registered under the </w:t>
            </w:r>
            <w:r w:rsidRPr="00247465">
              <w:rPr>
                <w:i/>
                <w:lang w:val="en-GB"/>
              </w:rPr>
              <w:t>Legislative Instruments Act 2003</w:t>
            </w:r>
            <w:r w:rsidRPr="00247465">
              <w:rPr>
                <w:lang w:val="en-GB"/>
              </w:rPr>
              <w:t>.</w:t>
            </w:r>
          </w:p>
        </w:tc>
      </w:tr>
      <w:tr w:rsidR="00091B15" w:rsidRPr="00247465" w:rsidTr="00091B15">
        <w:trPr>
          <w:cantSplit/>
        </w:trPr>
        <w:tc>
          <w:tcPr>
            <w:tcW w:w="4110" w:type="dxa"/>
          </w:tcPr>
          <w:p w:rsidR="00091B15" w:rsidRPr="00247465" w:rsidRDefault="00091B15" w:rsidP="000E31AA">
            <w:pPr>
              <w:pStyle w:val="tbltext"/>
            </w:pPr>
            <w:r w:rsidRPr="00247465">
              <w:rPr>
                <w:lang w:val="en-GB"/>
              </w:rPr>
              <w:t xml:space="preserve">Items </w:t>
            </w:r>
            <w:r w:rsidR="000E31AA" w:rsidRPr="00247465">
              <w:rPr>
                <w:lang w:val="en-GB"/>
              </w:rPr>
              <w:t>[36] to [38], [44], [46], [110], [112], [115], [116], [118] and [145]</w:t>
            </w:r>
          </w:p>
        </w:tc>
        <w:tc>
          <w:tcPr>
            <w:tcW w:w="4111" w:type="dxa"/>
          </w:tcPr>
          <w:p w:rsidR="00091B15" w:rsidRPr="00247465" w:rsidRDefault="00091B15" w:rsidP="00190150">
            <w:pPr>
              <w:pStyle w:val="tbltext"/>
            </w:pPr>
            <w:r w:rsidRPr="00247465">
              <w:rPr>
                <w:lang w:val="en-GB"/>
              </w:rPr>
              <w:t xml:space="preserve">The day that is 6 months after the day on which this instrument is registered under the </w:t>
            </w:r>
            <w:r w:rsidRPr="00247465">
              <w:rPr>
                <w:i/>
                <w:lang w:val="en-GB"/>
              </w:rPr>
              <w:t>Legislative Instruments Act 2003</w:t>
            </w:r>
            <w:r w:rsidRPr="00247465">
              <w:rPr>
                <w:lang w:val="en-GB"/>
              </w:rPr>
              <w:t>.</w:t>
            </w:r>
          </w:p>
        </w:tc>
      </w:tr>
    </w:tbl>
    <w:p w:rsidR="001273EF" w:rsidRPr="00247465" w:rsidRDefault="001273EF" w:rsidP="00091B15">
      <w:pPr>
        <w:pStyle w:val="MIRNote"/>
      </w:pPr>
      <w:r w:rsidRPr="00247465">
        <w:t xml:space="preserve">Note: An instrument is registered when it is recorded on the Federal Register of Legislative Instruments (FRLI) in electronic form: see </w:t>
      </w:r>
      <w:r w:rsidRPr="00247465">
        <w:rPr>
          <w:i/>
        </w:rPr>
        <w:t>Legislative Instruments Act 2003</w:t>
      </w:r>
      <w:r w:rsidRPr="00247465">
        <w:t xml:space="preserve">, s 4 (definition of register). The FRLI may be accessed at </w:t>
      </w:r>
      <w:hyperlink r:id="rId8" w:history="1">
        <w:r w:rsidRPr="00247465">
          <w:rPr>
            <w:rStyle w:val="Hyperlink"/>
          </w:rPr>
          <w:t>http://www.frli.gov.au/</w:t>
        </w:r>
      </w:hyperlink>
      <w:r w:rsidRPr="00247465">
        <w:t>.</w:t>
      </w:r>
    </w:p>
    <w:p w:rsidR="001273EF" w:rsidRPr="00247465" w:rsidRDefault="001273EF" w:rsidP="001273EF">
      <w:pPr>
        <w:pStyle w:val="MIRHeading3"/>
      </w:pPr>
      <w:r w:rsidRPr="00247465">
        <w:lastRenderedPageBreak/>
        <w:t>4.</w:t>
      </w:r>
      <w:r w:rsidRPr="00247465">
        <w:tab/>
        <w:t>Amendments</w:t>
      </w:r>
    </w:p>
    <w:p w:rsidR="001273EF" w:rsidRPr="00247465" w:rsidRDefault="00A20994" w:rsidP="001273EF">
      <w:pPr>
        <w:pStyle w:val="MIRBodyText"/>
      </w:pPr>
      <w:r w:rsidRPr="00247465">
        <w:t xml:space="preserve">Schedule 1 amends the </w:t>
      </w:r>
      <w:r w:rsidR="001273EF" w:rsidRPr="00247465">
        <w:rPr>
          <w:i/>
        </w:rPr>
        <w:t>ASIC Market Integrity Rules (</w:t>
      </w:r>
      <w:r w:rsidR="00C64D2F" w:rsidRPr="00247465">
        <w:rPr>
          <w:i/>
        </w:rPr>
        <w:t>Competition in Exchange Markets) 2011</w:t>
      </w:r>
      <w:r w:rsidRPr="00247465">
        <w:t>.</w:t>
      </w:r>
    </w:p>
    <w:p w:rsidR="00A20994" w:rsidRPr="00247465" w:rsidRDefault="00A20994" w:rsidP="00A20994">
      <w:pPr>
        <w:pStyle w:val="MIRHeading3"/>
      </w:pPr>
      <w:r w:rsidRPr="00247465">
        <w:t>Schedule 1</w:t>
      </w:r>
      <w:r w:rsidRPr="00247465">
        <w:tab/>
      </w:r>
      <w:r w:rsidRPr="00247465">
        <w:tab/>
        <w:t>Amendments</w:t>
      </w:r>
    </w:p>
    <w:p w:rsidR="00CE7265" w:rsidRPr="00247465" w:rsidRDefault="00CE7265" w:rsidP="00CE7265">
      <w:pPr>
        <w:pStyle w:val="MIRHeading3"/>
      </w:pPr>
      <w:r w:rsidRPr="00247465">
        <w:t>[1]</w:t>
      </w:r>
      <w:r w:rsidRPr="00247465">
        <w:tab/>
        <w:t>Rule 1.1.3</w:t>
      </w:r>
    </w:p>
    <w:p w:rsidR="00CE7265" w:rsidRPr="00247465" w:rsidRDefault="00305EC4" w:rsidP="00CE7265">
      <w:pPr>
        <w:pStyle w:val="MIRBodyText"/>
        <w:rPr>
          <w:i/>
        </w:rPr>
      </w:pPr>
      <w:r w:rsidRPr="00247465">
        <w:rPr>
          <w:i/>
        </w:rPr>
        <w:t xml:space="preserve">after “Note”, </w:t>
      </w:r>
      <w:r w:rsidR="00CE7265" w:rsidRPr="00247465">
        <w:rPr>
          <w:i/>
        </w:rPr>
        <w:t>insert</w:t>
      </w:r>
    </w:p>
    <w:p w:rsidR="00CE7265" w:rsidRPr="00247465" w:rsidRDefault="00CE7265" w:rsidP="00CE7265">
      <w:pPr>
        <w:pStyle w:val="MIRBodyText"/>
        <w:rPr>
          <w:i/>
        </w:rPr>
      </w:pPr>
      <w:r w:rsidRPr="00247465">
        <w:t>1</w:t>
      </w:r>
    </w:p>
    <w:p w:rsidR="00624FB0" w:rsidRPr="00247465" w:rsidRDefault="00624FB0" w:rsidP="00CE7265">
      <w:pPr>
        <w:pStyle w:val="MIRHeading3"/>
      </w:pPr>
      <w:r w:rsidRPr="00247465">
        <w:t>[</w:t>
      </w:r>
      <w:r w:rsidR="007E614F" w:rsidRPr="00247465">
        <w:t>2</w:t>
      </w:r>
      <w:r w:rsidRPr="00247465">
        <w:t>]</w:t>
      </w:r>
      <w:r w:rsidRPr="00247465">
        <w:tab/>
        <w:t>Rule 1.1.3</w:t>
      </w:r>
      <w:r w:rsidR="00CE7265" w:rsidRPr="00247465">
        <w:t>, after the Note</w:t>
      </w:r>
    </w:p>
    <w:p w:rsidR="00624FB0" w:rsidRPr="00247465" w:rsidRDefault="00624FB0" w:rsidP="00624FB0">
      <w:pPr>
        <w:pStyle w:val="MIRBodyText"/>
        <w:rPr>
          <w:i/>
        </w:rPr>
      </w:pPr>
      <w:r w:rsidRPr="00247465">
        <w:rPr>
          <w:i/>
        </w:rPr>
        <w:t>insert</w:t>
      </w:r>
    </w:p>
    <w:p w:rsidR="00624FB0" w:rsidRPr="00247465" w:rsidRDefault="00624FB0" w:rsidP="00624FB0">
      <w:pPr>
        <w:pStyle w:val="MIRNote"/>
      </w:pPr>
      <w:r w:rsidRPr="00247465">
        <w:t>Note</w:t>
      </w:r>
      <w:r w:rsidR="00CE7265" w:rsidRPr="00247465">
        <w:t xml:space="preserve"> 2</w:t>
      </w:r>
      <w:r w:rsidR="00B361D7" w:rsidRPr="00247465">
        <w:t>:</w:t>
      </w:r>
      <w:r w:rsidRPr="00247465">
        <w:t xml:space="preserve"> Rule 1.1.3 relates only to the provisions of the Rules as originally made. It does not deal with </w:t>
      </w:r>
      <w:r w:rsidR="006935A7" w:rsidRPr="00247465">
        <w:t xml:space="preserve">any </w:t>
      </w:r>
      <w:r w:rsidR="006A5099" w:rsidRPr="00247465">
        <w:t xml:space="preserve">later </w:t>
      </w:r>
      <w:r w:rsidR="006935A7" w:rsidRPr="00247465">
        <w:t xml:space="preserve">amendments to </w:t>
      </w:r>
      <w:r w:rsidRPr="00247465">
        <w:t>the Rules.</w:t>
      </w:r>
    </w:p>
    <w:p w:rsidR="00B5099F" w:rsidRPr="00247465" w:rsidRDefault="00B5099F" w:rsidP="00624FB0">
      <w:pPr>
        <w:pStyle w:val="MIRHeading3"/>
      </w:pPr>
      <w:r w:rsidRPr="00247465">
        <w:t>[</w:t>
      </w:r>
      <w:r w:rsidR="007E614F" w:rsidRPr="00247465">
        <w:t>3</w:t>
      </w:r>
      <w:r w:rsidRPr="00247465">
        <w:t>]</w:t>
      </w:r>
      <w:r w:rsidRPr="00247465">
        <w:tab/>
      </w:r>
      <w:r w:rsidR="007A62FF" w:rsidRPr="00247465">
        <w:t xml:space="preserve">Paragraph </w:t>
      </w:r>
      <w:r w:rsidRPr="00247465">
        <w:t>1.1.4</w:t>
      </w:r>
      <w:r w:rsidR="007A62FF" w:rsidRPr="00247465">
        <w:t>(c)</w:t>
      </w:r>
    </w:p>
    <w:p w:rsidR="00B5099F" w:rsidRPr="00247465" w:rsidRDefault="00B5099F" w:rsidP="00B5099F">
      <w:pPr>
        <w:pStyle w:val="MIRBodyText"/>
      </w:pPr>
      <w:r w:rsidRPr="00247465">
        <w:rPr>
          <w:i/>
        </w:rPr>
        <w:t>omit</w:t>
      </w:r>
      <w:r w:rsidR="007A62FF" w:rsidRPr="00247465">
        <w:rPr>
          <w:i/>
        </w:rPr>
        <w:t xml:space="preserve"> the paragraph, substitute</w:t>
      </w:r>
    </w:p>
    <w:p w:rsidR="00B5099F" w:rsidRPr="00247465" w:rsidRDefault="00B5099F" w:rsidP="00F57717">
      <w:pPr>
        <w:pStyle w:val="MIRSubpara"/>
        <w:numPr>
          <w:ilvl w:val="0"/>
          <w:numId w:val="13"/>
        </w:numPr>
      </w:pPr>
      <w:r w:rsidRPr="00247465">
        <w:t xml:space="preserve">the activities or conduct of persons in relation to Financial Products, </w:t>
      </w:r>
    </w:p>
    <w:p w:rsidR="00B5099F" w:rsidRPr="00247465" w:rsidRDefault="00B5099F" w:rsidP="00B5099F">
      <w:pPr>
        <w:pStyle w:val="MIRBodyText"/>
      </w:pPr>
      <w:proofErr w:type="gramStart"/>
      <w:r w:rsidRPr="00247465">
        <w:t>as</w:t>
      </w:r>
      <w:proofErr w:type="gramEnd"/>
      <w:r w:rsidRPr="00247465">
        <w:t xml:space="preserve"> specified in each Chapter, Part or Rule. </w:t>
      </w:r>
    </w:p>
    <w:p w:rsidR="00EE2E3B" w:rsidRPr="00247465" w:rsidRDefault="007E614F" w:rsidP="00B5099F">
      <w:pPr>
        <w:pStyle w:val="MIRHeading3"/>
      </w:pPr>
      <w:r w:rsidRPr="00247465">
        <w:t>[4</w:t>
      </w:r>
      <w:r w:rsidR="00B5099F" w:rsidRPr="00247465">
        <w:t>]</w:t>
      </w:r>
      <w:r w:rsidR="00B5099F" w:rsidRPr="00247465">
        <w:tab/>
        <w:t>Rule 1.4.3</w:t>
      </w:r>
    </w:p>
    <w:p w:rsidR="00B5099F" w:rsidRPr="00247465" w:rsidRDefault="00B5099F" w:rsidP="00B5099F">
      <w:pPr>
        <w:pStyle w:val="MIRBodyText"/>
      </w:pPr>
      <w:r w:rsidRPr="00247465">
        <w:rPr>
          <w:i/>
        </w:rPr>
        <w:t>after “In these Rules”</w:t>
      </w:r>
      <w:r w:rsidR="00EE2E3B" w:rsidRPr="00247465">
        <w:rPr>
          <w:i/>
        </w:rPr>
        <w:t xml:space="preserve"> (first occurring)</w:t>
      </w:r>
      <w:r w:rsidR="000751E0" w:rsidRPr="00247465">
        <w:rPr>
          <w:i/>
        </w:rPr>
        <w:t xml:space="preserve"> </w:t>
      </w:r>
      <w:r w:rsidRPr="00247465">
        <w:rPr>
          <w:i/>
        </w:rPr>
        <w:t>insert</w:t>
      </w:r>
    </w:p>
    <w:p w:rsidR="00B5099F" w:rsidRPr="00247465" w:rsidRDefault="00B5099F" w:rsidP="00B5099F">
      <w:pPr>
        <w:pStyle w:val="MIRBodyText"/>
        <w:numPr>
          <w:ilvl w:val="0"/>
          <w:numId w:val="0"/>
        </w:numPr>
        <w:ind w:left="851"/>
      </w:pPr>
      <w:r w:rsidRPr="00247465">
        <w:t>, unless the contrary intention appears</w:t>
      </w:r>
    </w:p>
    <w:p w:rsidR="00E72631" w:rsidRPr="00247465" w:rsidRDefault="00E72631" w:rsidP="00E72631">
      <w:pPr>
        <w:pStyle w:val="MIRHeading3"/>
      </w:pPr>
      <w:r w:rsidRPr="00247465">
        <w:t>[5]</w:t>
      </w:r>
      <w:r w:rsidRPr="00247465">
        <w:tab/>
        <w:t>Rule 1.4.3, after definition of “Act”</w:t>
      </w:r>
    </w:p>
    <w:p w:rsidR="00E72631" w:rsidRPr="00247465" w:rsidRDefault="00E72631" w:rsidP="00E72631">
      <w:pPr>
        <w:pStyle w:val="MIRBodyText"/>
      </w:pPr>
      <w:r w:rsidRPr="00247465">
        <w:rPr>
          <w:i/>
        </w:rPr>
        <w:t>insert</w:t>
      </w:r>
    </w:p>
    <w:p w:rsidR="00E72631" w:rsidRPr="00247465" w:rsidRDefault="00E72631" w:rsidP="00E72631">
      <w:pPr>
        <w:pStyle w:val="MIRBodyText"/>
      </w:pPr>
      <w:r w:rsidRPr="00247465">
        <w:rPr>
          <w:b/>
          <w:bCs/>
          <w:i/>
          <w:iCs/>
        </w:rPr>
        <w:t xml:space="preserve">AFSL </w:t>
      </w:r>
      <w:r w:rsidRPr="00247465">
        <w:t xml:space="preserve">means an Australian financial services licence granted under section 913B of the Act. </w:t>
      </w:r>
    </w:p>
    <w:p w:rsidR="00A20994" w:rsidRPr="00247465" w:rsidRDefault="00A20994" w:rsidP="00E72631">
      <w:pPr>
        <w:pStyle w:val="MIRHeading3"/>
      </w:pPr>
      <w:r w:rsidRPr="00247465">
        <w:t>[</w:t>
      </w:r>
      <w:r w:rsidR="00E72631" w:rsidRPr="00247465">
        <w:t>6</w:t>
      </w:r>
      <w:r w:rsidRPr="00247465">
        <w:t>]</w:t>
      </w:r>
      <w:r w:rsidRPr="00247465">
        <w:tab/>
        <w:t xml:space="preserve">Rule 1.4.3, definition of </w:t>
      </w:r>
      <w:r w:rsidR="00941103" w:rsidRPr="00247465">
        <w:t>“</w:t>
      </w:r>
      <w:r w:rsidR="00B5099F" w:rsidRPr="00247465">
        <w:t>Anomalous Order</w:t>
      </w:r>
      <w:r w:rsidR="00941103" w:rsidRPr="00247465">
        <w:t>”</w:t>
      </w:r>
    </w:p>
    <w:p w:rsidR="00A20994" w:rsidRPr="00247465" w:rsidRDefault="0066403F" w:rsidP="00A20994">
      <w:pPr>
        <w:pStyle w:val="MIRBodyText"/>
        <w:rPr>
          <w:i/>
        </w:rPr>
      </w:pPr>
      <w:r w:rsidRPr="00247465">
        <w:rPr>
          <w:i/>
        </w:rPr>
        <w:t xml:space="preserve">omit the definition, </w:t>
      </w:r>
      <w:r w:rsidR="00B5099F" w:rsidRPr="00247465">
        <w:rPr>
          <w:i/>
        </w:rPr>
        <w:t>substitute</w:t>
      </w:r>
    </w:p>
    <w:p w:rsidR="00B5099F" w:rsidRPr="00247465" w:rsidRDefault="00B5099F" w:rsidP="00B5099F">
      <w:pPr>
        <w:pStyle w:val="MIRBodyText"/>
      </w:pPr>
      <w:r w:rsidRPr="00247465">
        <w:rPr>
          <w:b/>
          <w:i/>
        </w:rPr>
        <w:t>Anomalous Order</w:t>
      </w:r>
      <w:r w:rsidRPr="00247465">
        <w:t xml:space="preserve"> means a: </w:t>
      </w:r>
    </w:p>
    <w:p w:rsidR="00B5099F" w:rsidRPr="00247465" w:rsidRDefault="00B5099F" w:rsidP="00F57717">
      <w:pPr>
        <w:pStyle w:val="MIRSubpara"/>
        <w:numPr>
          <w:ilvl w:val="0"/>
          <w:numId w:val="14"/>
        </w:numPr>
      </w:pPr>
      <w:r w:rsidRPr="00247465">
        <w:t xml:space="preserve">Buy Order for which the price is above the maximum Anomalous Order Threshold for the relevant Equity Market Product or ASX SPI 200 Future; and </w:t>
      </w:r>
    </w:p>
    <w:p w:rsidR="00B5099F" w:rsidRPr="00247465" w:rsidRDefault="00B5099F" w:rsidP="00B5099F">
      <w:pPr>
        <w:pStyle w:val="MIRSubpara"/>
      </w:pPr>
      <w:r w:rsidRPr="00247465">
        <w:t xml:space="preserve">Sell Order for which the price is below the minimum Anomalous Order Threshold for the relevant Equity Market Product or ASX SPI 200 Future. </w:t>
      </w:r>
    </w:p>
    <w:p w:rsidR="00820501" w:rsidRPr="00247465" w:rsidRDefault="008F21EF" w:rsidP="00820501">
      <w:pPr>
        <w:pStyle w:val="MIRHeading3"/>
      </w:pPr>
      <w:r w:rsidRPr="00247465">
        <w:lastRenderedPageBreak/>
        <w:t>[7</w:t>
      </w:r>
      <w:r w:rsidR="00820501" w:rsidRPr="00247465">
        <w:t>]</w:t>
      </w:r>
      <w:r w:rsidR="00820501" w:rsidRPr="00247465">
        <w:tab/>
        <w:t>Rule 1.4.3, definition of “Anomalous Order Threshold”</w:t>
      </w:r>
    </w:p>
    <w:p w:rsidR="00820501" w:rsidRPr="00247465" w:rsidRDefault="00820501" w:rsidP="00820501">
      <w:pPr>
        <w:pStyle w:val="MIRBodyText"/>
        <w:rPr>
          <w:i/>
        </w:rPr>
      </w:pPr>
      <w:r w:rsidRPr="00247465">
        <w:rPr>
          <w:i/>
        </w:rPr>
        <w:t>after</w:t>
      </w:r>
      <w:r w:rsidR="00091B15" w:rsidRPr="00247465">
        <w:rPr>
          <w:i/>
        </w:rPr>
        <w:t xml:space="preserve"> “</w:t>
      </w:r>
      <w:r w:rsidRPr="00247465">
        <w:rPr>
          <w:i/>
        </w:rPr>
        <w:t>Equit</w:t>
      </w:r>
      <w:r w:rsidRPr="00247465">
        <w:t xml:space="preserve">y </w:t>
      </w:r>
      <w:r w:rsidRPr="00247465">
        <w:rPr>
          <w:i/>
        </w:rPr>
        <w:t>Market Product</w:t>
      </w:r>
      <w:r w:rsidR="00091B15" w:rsidRPr="00247465">
        <w:rPr>
          <w:i/>
        </w:rPr>
        <w:t xml:space="preserve">”, </w:t>
      </w:r>
      <w:r w:rsidRPr="00247465">
        <w:rPr>
          <w:i/>
        </w:rPr>
        <w:t>insert</w:t>
      </w:r>
    </w:p>
    <w:p w:rsidR="00820501" w:rsidRPr="00247465" w:rsidRDefault="00820501" w:rsidP="00820501">
      <w:pPr>
        <w:pStyle w:val="MIRBodyText"/>
        <w:rPr>
          <w:i/>
        </w:rPr>
      </w:pPr>
      <w:r w:rsidRPr="00247465">
        <w:t>or</w:t>
      </w:r>
      <w:r w:rsidRPr="00247465">
        <w:rPr>
          <w:i/>
        </w:rPr>
        <w:t xml:space="preserve"> </w:t>
      </w:r>
      <w:r w:rsidRPr="00247465">
        <w:t>ASX SPI 200 Future</w:t>
      </w:r>
    </w:p>
    <w:p w:rsidR="00670BFA" w:rsidRPr="00247465" w:rsidRDefault="008F21EF" w:rsidP="00670BFA">
      <w:pPr>
        <w:pStyle w:val="MIRHeading3"/>
      </w:pPr>
      <w:r w:rsidRPr="00247465">
        <w:t>[8</w:t>
      </w:r>
      <w:r w:rsidR="00670BFA" w:rsidRPr="00247465">
        <w:t>]</w:t>
      </w:r>
      <w:r w:rsidR="00670BFA" w:rsidRPr="00247465">
        <w:tab/>
        <w:t>Rule 1.4.3, after definition of “Anomalous Order Threshold”</w:t>
      </w:r>
    </w:p>
    <w:p w:rsidR="00670BFA" w:rsidRPr="00247465" w:rsidRDefault="00670BFA" w:rsidP="00670BFA">
      <w:pPr>
        <w:pStyle w:val="MIRBodyText"/>
        <w:rPr>
          <w:i/>
        </w:rPr>
      </w:pPr>
      <w:r w:rsidRPr="00247465">
        <w:rPr>
          <w:i/>
        </w:rPr>
        <w:t>insert</w:t>
      </w:r>
    </w:p>
    <w:p w:rsidR="00670BFA" w:rsidRPr="00247465" w:rsidRDefault="00670BFA" w:rsidP="008F21EF">
      <w:pPr>
        <w:pStyle w:val="MIRBodyText"/>
      </w:pPr>
      <w:r w:rsidRPr="00247465">
        <w:rPr>
          <w:b/>
          <w:bCs/>
          <w:i/>
          <w:iCs/>
        </w:rPr>
        <w:t xml:space="preserve">AOP Client </w:t>
      </w:r>
      <w:r w:rsidRPr="00247465">
        <w:t>means a person who is a client of a Participant and who is permitted by a Participant to submit Trading Messages into the Participan</w:t>
      </w:r>
      <w:r w:rsidR="009351EF" w:rsidRPr="00247465">
        <w:t>t’s</w:t>
      </w:r>
      <w:r w:rsidRPr="00247465">
        <w:t xml:space="preserve"> system. </w:t>
      </w:r>
    </w:p>
    <w:p w:rsidR="00E73AE7" w:rsidRPr="00247465" w:rsidRDefault="008F21EF" w:rsidP="00E73AE7">
      <w:pPr>
        <w:pStyle w:val="MIRHeading3"/>
      </w:pPr>
      <w:r w:rsidRPr="00247465">
        <w:t>[9</w:t>
      </w:r>
      <w:r w:rsidR="00E73AE7" w:rsidRPr="00247465">
        <w:t>]</w:t>
      </w:r>
      <w:r w:rsidR="00E73AE7" w:rsidRPr="00247465">
        <w:tab/>
        <w:t>Rule 1.4.3, after definition of “ASX”</w:t>
      </w:r>
    </w:p>
    <w:p w:rsidR="00E73AE7" w:rsidRPr="00247465" w:rsidRDefault="00E73AE7" w:rsidP="00E73AE7">
      <w:pPr>
        <w:pStyle w:val="MIRBodyText"/>
        <w:rPr>
          <w:i/>
        </w:rPr>
      </w:pPr>
      <w:r w:rsidRPr="00247465">
        <w:rPr>
          <w:i/>
        </w:rPr>
        <w:t>insert</w:t>
      </w:r>
    </w:p>
    <w:p w:rsidR="00E73AE7" w:rsidRPr="00247465" w:rsidRDefault="00E73AE7" w:rsidP="00C426A1">
      <w:pPr>
        <w:pStyle w:val="MIRBodyText"/>
      </w:pPr>
      <w:r w:rsidRPr="00247465">
        <w:rPr>
          <w:b/>
          <w:bCs/>
          <w:i/>
          <w:iCs/>
        </w:rPr>
        <w:t xml:space="preserve">ASX 24 </w:t>
      </w:r>
      <w:r w:rsidRPr="00247465">
        <w:t xml:space="preserve">means Australian Securities Exchange Limited (ACN 000 943 377). </w:t>
      </w:r>
    </w:p>
    <w:p w:rsidR="00E73AE7" w:rsidRPr="00247465" w:rsidRDefault="00E73AE7" w:rsidP="00C426A1">
      <w:pPr>
        <w:pStyle w:val="MIRBodyText"/>
      </w:pPr>
      <w:r w:rsidRPr="00247465">
        <w:rPr>
          <w:b/>
          <w:bCs/>
          <w:i/>
          <w:iCs/>
        </w:rPr>
        <w:t xml:space="preserve">ASX 24 Market </w:t>
      </w:r>
      <w:r w:rsidR="00BA1E78">
        <w:rPr>
          <w:bCs/>
          <w:iCs/>
        </w:rPr>
        <w:t xml:space="preserve">means </w:t>
      </w:r>
      <w:r w:rsidRPr="00247465">
        <w:t xml:space="preserve">the </w:t>
      </w:r>
      <w:r w:rsidR="001935FC" w:rsidRPr="00247465">
        <w:t>Financial Market</w:t>
      </w:r>
      <w:r w:rsidR="008F21EF" w:rsidRPr="00247465">
        <w:t xml:space="preserve"> operated by ASX 24 under </w:t>
      </w:r>
      <w:r w:rsidRPr="00247465">
        <w:rPr>
          <w:i/>
        </w:rPr>
        <w:t>Australian Market Licence (Australian Securities Exchange Limited) 2002</w:t>
      </w:r>
      <w:r w:rsidRPr="00247465">
        <w:t xml:space="preserve">. </w:t>
      </w:r>
    </w:p>
    <w:p w:rsidR="00E73AE7" w:rsidRPr="00247465" w:rsidRDefault="00E73AE7" w:rsidP="00C426A1">
      <w:pPr>
        <w:pStyle w:val="MIRBodyText"/>
      </w:pPr>
      <w:r w:rsidRPr="00247465">
        <w:rPr>
          <w:b/>
          <w:bCs/>
          <w:i/>
          <w:iCs/>
        </w:rPr>
        <w:t xml:space="preserve">ASX Market </w:t>
      </w:r>
      <w:r w:rsidRPr="00247465">
        <w:t>means the Financial Market operated by ASX</w:t>
      </w:r>
      <w:r w:rsidR="002E375B" w:rsidRPr="00247465">
        <w:t xml:space="preserve"> under </w:t>
      </w:r>
      <w:r w:rsidR="002E375B" w:rsidRPr="00247465">
        <w:rPr>
          <w:i/>
        </w:rPr>
        <w:t>Australian Market Licence (ASX Limited) 2002</w:t>
      </w:r>
      <w:r w:rsidRPr="00247465">
        <w:t xml:space="preserve">. </w:t>
      </w:r>
    </w:p>
    <w:p w:rsidR="00E73AE7" w:rsidRPr="00247465" w:rsidRDefault="00E73AE7" w:rsidP="00C426A1">
      <w:pPr>
        <w:pStyle w:val="MIRBodyText"/>
      </w:pPr>
      <w:r w:rsidRPr="00247465">
        <w:rPr>
          <w:b/>
          <w:bCs/>
          <w:i/>
          <w:iCs/>
        </w:rPr>
        <w:t xml:space="preserve">ASX SPI 200 Future </w:t>
      </w:r>
      <w:r w:rsidRPr="00247465">
        <w:t>means the Futures</w:t>
      </w:r>
      <w:r w:rsidR="00302B59">
        <w:t xml:space="preserve"> Market</w:t>
      </w:r>
      <w:r w:rsidRPr="00247465">
        <w:t xml:space="preserve"> Contract over the market index known as the S&amp;P/ASX 200, that is generally known as the </w:t>
      </w:r>
      <w:r w:rsidR="00C426A1" w:rsidRPr="00247465">
        <w:t>“</w:t>
      </w:r>
      <w:r w:rsidRPr="00247465">
        <w:t>ASX SPI 200 Future</w:t>
      </w:r>
      <w:r w:rsidR="00C426A1" w:rsidRPr="00247465">
        <w:t xml:space="preserve">” </w:t>
      </w:r>
      <w:r w:rsidRPr="00247465">
        <w:t xml:space="preserve">and that is admitted to quotation on the ASX 24 Market. </w:t>
      </w:r>
    </w:p>
    <w:p w:rsidR="00E73AE7" w:rsidRPr="00247465" w:rsidRDefault="00E73AE7" w:rsidP="00C426A1">
      <w:pPr>
        <w:pStyle w:val="MIRBodyText"/>
      </w:pPr>
      <w:r w:rsidRPr="00247465">
        <w:rPr>
          <w:b/>
          <w:bCs/>
          <w:i/>
          <w:iCs/>
        </w:rPr>
        <w:t xml:space="preserve">ASX Trade24 </w:t>
      </w:r>
      <w:r w:rsidRPr="00247465">
        <w:t xml:space="preserve">means the Order Book operated by ASX 24 and generally known as </w:t>
      </w:r>
      <w:r w:rsidR="00C42055" w:rsidRPr="00247465">
        <w:t>“</w:t>
      </w:r>
      <w:r w:rsidRPr="00247465">
        <w:t>ASX Trade 24</w:t>
      </w:r>
      <w:r w:rsidR="00B10DF7" w:rsidRPr="00247465">
        <w:t>”</w:t>
      </w:r>
      <w:r w:rsidRPr="00247465">
        <w:t xml:space="preserve">, that is </w:t>
      </w:r>
      <w:r w:rsidR="00B13A3C" w:rsidRPr="00247465">
        <w:t>the</w:t>
      </w:r>
      <w:r w:rsidRPr="00247465">
        <w:t xml:space="preserve"> central Order Book</w:t>
      </w:r>
      <w:r w:rsidR="00B13A3C" w:rsidRPr="00247465">
        <w:t xml:space="preserve"> o</w:t>
      </w:r>
      <w:r w:rsidR="0079657F" w:rsidRPr="00247465">
        <w:t>f</w:t>
      </w:r>
      <w:r w:rsidR="00B13A3C" w:rsidRPr="00247465">
        <w:t xml:space="preserve"> ASX 24</w:t>
      </w:r>
      <w:r w:rsidRPr="00247465">
        <w:t xml:space="preserve"> for ASX SPI 200 Futures. </w:t>
      </w:r>
    </w:p>
    <w:p w:rsidR="00E73AE7" w:rsidRPr="00247465" w:rsidRDefault="00E73AE7" w:rsidP="00C426A1">
      <w:pPr>
        <w:pStyle w:val="MIRBodyText"/>
      </w:pPr>
      <w:r w:rsidRPr="00247465">
        <w:rPr>
          <w:b/>
          <w:bCs/>
          <w:i/>
          <w:iCs/>
        </w:rPr>
        <w:t xml:space="preserve">ASX </w:t>
      </w:r>
      <w:proofErr w:type="spellStart"/>
      <w:r w:rsidRPr="00247465">
        <w:rPr>
          <w:b/>
          <w:bCs/>
          <w:i/>
          <w:iCs/>
        </w:rPr>
        <w:t>TradeMatch</w:t>
      </w:r>
      <w:proofErr w:type="spellEnd"/>
      <w:r w:rsidRPr="00247465">
        <w:rPr>
          <w:b/>
          <w:bCs/>
          <w:i/>
          <w:iCs/>
        </w:rPr>
        <w:t xml:space="preserve"> </w:t>
      </w:r>
      <w:r w:rsidRPr="00247465">
        <w:t>means the Order Book operated by ASX and ge</w:t>
      </w:r>
      <w:r w:rsidR="00C426A1" w:rsidRPr="00247465">
        <w:t xml:space="preserve">nerally known as </w:t>
      </w:r>
      <w:r w:rsidR="002411F9" w:rsidRPr="00247465">
        <w:t>“</w:t>
      </w:r>
      <w:r w:rsidR="00C426A1" w:rsidRPr="00247465">
        <w:t xml:space="preserve">ASX </w:t>
      </w:r>
      <w:proofErr w:type="spellStart"/>
      <w:r w:rsidR="00C426A1" w:rsidRPr="00247465">
        <w:t>TradeMatch</w:t>
      </w:r>
      <w:proofErr w:type="spellEnd"/>
      <w:r w:rsidR="00C426A1" w:rsidRPr="00247465">
        <w:t>”</w:t>
      </w:r>
      <w:r w:rsidRPr="00247465">
        <w:t xml:space="preserve">, that </w:t>
      </w:r>
      <w:r w:rsidR="00B13A3C" w:rsidRPr="00247465">
        <w:t>is the</w:t>
      </w:r>
      <w:r w:rsidRPr="00247465">
        <w:t xml:space="preserve"> central Order Book</w:t>
      </w:r>
      <w:r w:rsidR="00B13A3C" w:rsidRPr="00247465">
        <w:t xml:space="preserve"> o</w:t>
      </w:r>
      <w:r w:rsidR="0079657F" w:rsidRPr="00247465">
        <w:t>f</w:t>
      </w:r>
      <w:r w:rsidR="00B13A3C" w:rsidRPr="00247465">
        <w:t xml:space="preserve"> ASX</w:t>
      </w:r>
      <w:r w:rsidRPr="00247465">
        <w:t xml:space="preserve"> for Equity Market Products. </w:t>
      </w:r>
    </w:p>
    <w:p w:rsidR="00E73AE7" w:rsidRPr="00247465" w:rsidRDefault="00E73AE7" w:rsidP="00C426A1">
      <w:pPr>
        <w:pStyle w:val="MIRBodyText"/>
      </w:pPr>
      <w:r w:rsidRPr="00247465">
        <w:rPr>
          <w:b/>
          <w:bCs/>
          <w:i/>
          <w:iCs/>
        </w:rPr>
        <w:t>Auction</w:t>
      </w:r>
      <w:r w:rsidRPr="00247465">
        <w:t xml:space="preserve">, in Part 2.2 of these Rules, means: </w:t>
      </w:r>
    </w:p>
    <w:p w:rsidR="00E73AE7" w:rsidRPr="00247465" w:rsidRDefault="00E73AE7" w:rsidP="00F57717">
      <w:pPr>
        <w:pStyle w:val="MIRSubpara"/>
        <w:numPr>
          <w:ilvl w:val="0"/>
          <w:numId w:val="15"/>
        </w:numPr>
      </w:pPr>
      <w:r w:rsidRPr="00247465">
        <w:t xml:space="preserve">in relation to an Equity Market Product, an auction in the Equity Market Product on ASX TradeMatch; </w:t>
      </w:r>
      <w:r w:rsidR="0000024D" w:rsidRPr="00247465">
        <w:t>and</w:t>
      </w:r>
    </w:p>
    <w:p w:rsidR="00E73AE7" w:rsidRPr="00247465" w:rsidRDefault="00E73AE7" w:rsidP="00C426A1">
      <w:pPr>
        <w:pStyle w:val="MIRSubpara"/>
      </w:pPr>
      <w:r w:rsidRPr="00247465">
        <w:t xml:space="preserve">in relation to the ASX SPI 200 Future, an auction in the ASX SPI 200 Future on ASX Trade24. </w:t>
      </w:r>
    </w:p>
    <w:p w:rsidR="00941103" w:rsidRPr="00247465" w:rsidRDefault="00941103" w:rsidP="00820501">
      <w:pPr>
        <w:pStyle w:val="MIRHeading3"/>
      </w:pPr>
      <w:r w:rsidRPr="00247465">
        <w:t>[</w:t>
      </w:r>
      <w:r w:rsidR="00DB6EF6" w:rsidRPr="00247465">
        <w:t>10</w:t>
      </w:r>
      <w:r w:rsidRPr="00247465">
        <w:t>]</w:t>
      </w:r>
      <w:r w:rsidRPr="00247465">
        <w:tab/>
        <w:t>Rule 1.4.3, definition of “</w:t>
      </w:r>
      <w:r w:rsidR="00635654" w:rsidRPr="00247465">
        <w:t>Best Available Bid</w:t>
      </w:r>
      <w:r w:rsidRPr="00247465">
        <w:t>”</w:t>
      </w:r>
    </w:p>
    <w:p w:rsidR="00941103" w:rsidRPr="00247465" w:rsidRDefault="00635654" w:rsidP="00A20994">
      <w:pPr>
        <w:pStyle w:val="MIRBodyText"/>
        <w:rPr>
          <w:i/>
        </w:rPr>
      </w:pPr>
      <w:r w:rsidRPr="00247465">
        <w:rPr>
          <w:i/>
        </w:rPr>
        <w:t>after “Transaction” (first occurring)</w:t>
      </w:r>
      <w:r w:rsidR="00234711" w:rsidRPr="00247465">
        <w:rPr>
          <w:i/>
        </w:rPr>
        <w:t>, insert</w:t>
      </w:r>
    </w:p>
    <w:p w:rsidR="008876DF" w:rsidRPr="00247465" w:rsidRDefault="00635654" w:rsidP="008876DF">
      <w:pPr>
        <w:pStyle w:val="MIRBodyText"/>
      </w:pPr>
      <w:r w:rsidRPr="00247465">
        <w:t>in Equity Market Products</w:t>
      </w:r>
    </w:p>
    <w:p w:rsidR="00635654" w:rsidRPr="00247465" w:rsidRDefault="00635654" w:rsidP="00635654">
      <w:pPr>
        <w:pStyle w:val="MIRHeading3"/>
      </w:pPr>
      <w:r w:rsidRPr="00247465">
        <w:lastRenderedPageBreak/>
        <w:t>[1</w:t>
      </w:r>
      <w:r w:rsidR="005422E8" w:rsidRPr="00247465">
        <w:t>1</w:t>
      </w:r>
      <w:r w:rsidRPr="00247465">
        <w:t>]</w:t>
      </w:r>
      <w:r w:rsidRPr="00247465">
        <w:tab/>
        <w:t>Rule 1.4.3, definition of “Best Available Offer”</w:t>
      </w:r>
    </w:p>
    <w:p w:rsidR="00635654" w:rsidRPr="00247465" w:rsidRDefault="00635654" w:rsidP="00635654">
      <w:pPr>
        <w:pStyle w:val="MIRBodyText"/>
        <w:rPr>
          <w:i/>
        </w:rPr>
      </w:pPr>
      <w:r w:rsidRPr="00247465">
        <w:rPr>
          <w:i/>
        </w:rPr>
        <w:t>after “Transaction” (first occurring)</w:t>
      </w:r>
      <w:r w:rsidR="00234711" w:rsidRPr="00247465">
        <w:rPr>
          <w:i/>
        </w:rPr>
        <w:t>, insert</w:t>
      </w:r>
    </w:p>
    <w:p w:rsidR="00635654" w:rsidRPr="00247465" w:rsidRDefault="00635654" w:rsidP="00635654">
      <w:pPr>
        <w:pStyle w:val="MIRBodyText"/>
      </w:pPr>
      <w:r w:rsidRPr="00247465">
        <w:t>in Equity Market Products</w:t>
      </w:r>
    </w:p>
    <w:p w:rsidR="0000469A" w:rsidRPr="00247465" w:rsidRDefault="0000469A" w:rsidP="00635654">
      <w:pPr>
        <w:pStyle w:val="MIRHeading3"/>
      </w:pPr>
      <w:r w:rsidRPr="00247465">
        <w:t>[</w:t>
      </w:r>
      <w:r w:rsidR="00635654" w:rsidRPr="00247465">
        <w:t>1</w:t>
      </w:r>
      <w:r w:rsidR="005422E8" w:rsidRPr="00247465">
        <w:t>2</w:t>
      </w:r>
      <w:r w:rsidRPr="00247465">
        <w:t>]</w:t>
      </w:r>
      <w:r w:rsidRPr="00247465">
        <w:tab/>
        <w:t>Rule 1.4.3, definition of “</w:t>
      </w:r>
      <w:r w:rsidR="00635654" w:rsidRPr="00247465">
        <w:t>Bid</w:t>
      </w:r>
      <w:r w:rsidRPr="00247465">
        <w:t>”</w:t>
      </w:r>
    </w:p>
    <w:p w:rsidR="00635654" w:rsidRPr="00247465" w:rsidRDefault="00635654" w:rsidP="0000469A">
      <w:pPr>
        <w:pStyle w:val="MIRBodyText"/>
        <w:rPr>
          <w:i/>
        </w:rPr>
      </w:pPr>
      <w:r w:rsidRPr="00247465">
        <w:rPr>
          <w:i/>
        </w:rPr>
        <w:t>omit</w:t>
      </w:r>
    </w:p>
    <w:p w:rsidR="00635654" w:rsidRPr="00247465" w:rsidRDefault="00635654" w:rsidP="0000469A">
      <w:pPr>
        <w:pStyle w:val="MIRBodyText"/>
        <w:rPr>
          <w:i/>
        </w:rPr>
      </w:pPr>
      <w:r w:rsidRPr="00247465">
        <w:t>an Equity Market Product</w:t>
      </w:r>
    </w:p>
    <w:p w:rsidR="0000469A" w:rsidRPr="00247465" w:rsidRDefault="00635654" w:rsidP="0000469A">
      <w:pPr>
        <w:pStyle w:val="MIRBodyText"/>
        <w:rPr>
          <w:i/>
        </w:rPr>
      </w:pPr>
      <w:r w:rsidRPr="00247465">
        <w:rPr>
          <w:i/>
        </w:rPr>
        <w:t>substitute</w:t>
      </w:r>
    </w:p>
    <w:p w:rsidR="00635654" w:rsidRPr="00247465" w:rsidRDefault="00635654" w:rsidP="001C1F7B">
      <w:pPr>
        <w:pStyle w:val="MIRBodyText"/>
      </w:pPr>
      <w:r w:rsidRPr="00247465">
        <w:t>a Financial Product</w:t>
      </w:r>
    </w:p>
    <w:p w:rsidR="00635654" w:rsidRPr="00247465" w:rsidRDefault="00635654" w:rsidP="00635654">
      <w:pPr>
        <w:pStyle w:val="MIRHeading3"/>
      </w:pPr>
      <w:r w:rsidRPr="00247465">
        <w:t>[1</w:t>
      </w:r>
      <w:r w:rsidR="00766360" w:rsidRPr="00247465">
        <w:t>3</w:t>
      </w:r>
      <w:r w:rsidRPr="00247465">
        <w:t>]</w:t>
      </w:r>
      <w:r w:rsidRPr="00247465">
        <w:tab/>
        <w:t>Rule 1.4.3, definition of “Bid”</w:t>
      </w:r>
    </w:p>
    <w:p w:rsidR="00635654" w:rsidRPr="00247465" w:rsidRDefault="00635654" w:rsidP="001C1F7B">
      <w:pPr>
        <w:pStyle w:val="MIRBodyText"/>
      </w:pPr>
      <w:r w:rsidRPr="00247465">
        <w:rPr>
          <w:i/>
        </w:rPr>
        <w:t>omit</w:t>
      </w:r>
    </w:p>
    <w:p w:rsidR="00635654" w:rsidRPr="00247465" w:rsidRDefault="00635654" w:rsidP="001C1F7B">
      <w:pPr>
        <w:pStyle w:val="MIRBodyText"/>
      </w:pPr>
      <w:r w:rsidRPr="00247465">
        <w:t>the Equity Market Product</w:t>
      </w:r>
    </w:p>
    <w:p w:rsidR="00635654" w:rsidRPr="00247465" w:rsidRDefault="00635654" w:rsidP="001C1F7B">
      <w:pPr>
        <w:pStyle w:val="MIRBodyText"/>
      </w:pPr>
      <w:r w:rsidRPr="00247465">
        <w:rPr>
          <w:i/>
        </w:rPr>
        <w:t>substitute</w:t>
      </w:r>
    </w:p>
    <w:p w:rsidR="00635654" w:rsidRPr="00247465" w:rsidRDefault="00635654" w:rsidP="001C1F7B">
      <w:pPr>
        <w:pStyle w:val="MIRBodyText"/>
      </w:pPr>
      <w:r w:rsidRPr="00247465">
        <w:t>the Financial Product</w:t>
      </w:r>
    </w:p>
    <w:p w:rsidR="002E1E0B" w:rsidRPr="00247465" w:rsidRDefault="002E1E0B" w:rsidP="00C17443">
      <w:pPr>
        <w:pStyle w:val="MIRHeading3"/>
      </w:pPr>
      <w:r w:rsidRPr="00247465">
        <w:t>[1</w:t>
      </w:r>
      <w:r w:rsidR="00766360" w:rsidRPr="00247465">
        <w:t>4</w:t>
      </w:r>
      <w:r w:rsidRPr="00247465">
        <w:t>]</w:t>
      </w:r>
      <w:r w:rsidRPr="00247465">
        <w:tab/>
        <w:t>Rule 1.4.3, definition of “Buy Order”</w:t>
      </w:r>
    </w:p>
    <w:p w:rsidR="002E1E0B" w:rsidRPr="00247465" w:rsidRDefault="00A94E6D" w:rsidP="002E1E0B">
      <w:pPr>
        <w:pStyle w:val="MIRBodyText"/>
        <w:rPr>
          <w:i/>
        </w:rPr>
      </w:pPr>
      <w:r w:rsidRPr="00247465">
        <w:rPr>
          <w:i/>
        </w:rPr>
        <w:t>omit</w:t>
      </w:r>
    </w:p>
    <w:p w:rsidR="00A94E6D" w:rsidRPr="00247465" w:rsidRDefault="00A94E6D" w:rsidP="002E1E0B">
      <w:pPr>
        <w:pStyle w:val="MIRBodyText"/>
        <w:rPr>
          <w:i/>
        </w:rPr>
      </w:pPr>
      <w:r w:rsidRPr="00247465">
        <w:t>Equity Market Products</w:t>
      </w:r>
    </w:p>
    <w:p w:rsidR="00A94E6D" w:rsidRPr="00247465" w:rsidRDefault="00A94E6D" w:rsidP="002E1E0B">
      <w:pPr>
        <w:pStyle w:val="MIRBodyText"/>
        <w:rPr>
          <w:i/>
        </w:rPr>
      </w:pPr>
      <w:r w:rsidRPr="00247465">
        <w:rPr>
          <w:i/>
        </w:rPr>
        <w:t>substitute</w:t>
      </w:r>
    </w:p>
    <w:p w:rsidR="00A94E6D" w:rsidRPr="00247465" w:rsidRDefault="00A94E6D" w:rsidP="002E1E0B">
      <w:pPr>
        <w:pStyle w:val="MIRBodyText"/>
        <w:rPr>
          <w:i/>
        </w:rPr>
      </w:pPr>
      <w:r w:rsidRPr="00247465">
        <w:t>Financial Products</w:t>
      </w:r>
    </w:p>
    <w:p w:rsidR="00C77D9A" w:rsidRPr="00247465" w:rsidRDefault="00C17443" w:rsidP="00C17443">
      <w:pPr>
        <w:pStyle w:val="MIRHeading3"/>
      </w:pPr>
      <w:r w:rsidRPr="00247465">
        <w:t>[</w:t>
      </w:r>
      <w:r w:rsidR="00A94E6D" w:rsidRPr="00247465">
        <w:t>1</w:t>
      </w:r>
      <w:r w:rsidR="00766360" w:rsidRPr="00247465">
        <w:t>5</w:t>
      </w:r>
      <w:r w:rsidR="00A20994" w:rsidRPr="00247465">
        <w:t>]</w:t>
      </w:r>
      <w:r w:rsidR="00A20994" w:rsidRPr="00247465">
        <w:tab/>
      </w:r>
      <w:r w:rsidR="00941103" w:rsidRPr="00247465">
        <w:t>Rule 1.4.3, after definition of “</w:t>
      </w:r>
      <w:r w:rsidR="00A94E6D" w:rsidRPr="00247465">
        <w:t>Employee</w:t>
      </w:r>
      <w:r w:rsidR="00941103" w:rsidRPr="00247465">
        <w:t>”</w:t>
      </w:r>
    </w:p>
    <w:p w:rsidR="002A26AA" w:rsidRPr="00247465" w:rsidRDefault="002A26AA" w:rsidP="002A26AA">
      <w:pPr>
        <w:pStyle w:val="MIRBodyText"/>
      </w:pPr>
      <w:r w:rsidRPr="00247465">
        <w:rPr>
          <w:i/>
        </w:rPr>
        <w:t>insert</w:t>
      </w:r>
    </w:p>
    <w:p w:rsidR="00A94E6D" w:rsidRPr="00247465" w:rsidRDefault="00A94E6D" w:rsidP="00A94E6D">
      <w:pPr>
        <w:pStyle w:val="MIRBodyText"/>
      </w:pPr>
      <w:r w:rsidRPr="00247465">
        <w:rPr>
          <w:b/>
          <w:bCs/>
          <w:i/>
          <w:iCs/>
        </w:rPr>
        <w:t xml:space="preserve">Equity Market </w:t>
      </w:r>
      <w:r w:rsidRPr="00247465">
        <w:t xml:space="preserve">means a Financial Market, on or through which offers to acquire or dispose of Equity Market Products are made or accepted, the operator of which is licensed under subsection 795B(1) of the Act. </w:t>
      </w:r>
    </w:p>
    <w:p w:rsidR="00A94E6D" w:rsidRPr="00247465" w:rsidRDefault="00A94E6D" w:rsidP="00A94E6D">
      <w:pPr>
        <w:pStyle w:val="MIRBodyText"/>
      </w:pPr>
      <w:r w:rsidRPr="00247465">
        <w:rPr>
          <w:b/>
          <w:bCs/>
          <w:i/>
          <w:iCs/>
        </w:rPr>
        <w:t xml:space="preserve">Equity Market Operator </w:t>
      </w:r>
      <w:r w:rsidRPr="00247465">
        <w:t xml:space="preserve">means an entity that is licensed under subsection </w:t>
      </w:r>
      <w:proofErr w:type="gramStart"/>
      <w:r w:rsidRPr="00247465">
        <w:t>795B(</w:t>
      </w:r>
      <w:proofErr w:type="gramEnd"/>
      <w:r w:rsidRPr="00247465">
        <w:t xml:space="preserve">1) of the Act to operate an Equity Market. </w:t>
      </w:r>
    </w:p>
    <w:p w:rsidR="00A94E6D" w:rsidRPr="00247465" w:rsidRDefault="00A94E6D" w:rsidP="00A94E6D">
      <w:pPr>
        <w:pStyle w:val="MIRBodyText"/>
      </w:pPr>
      <w:r w:rsidRPr="00247465">
        <w:rPr>
          <w:b/>
          <w:bCs/>
          <w:i/>
          <w:iCs/>
        </w:rPr>
        <w:t xml:space="preserve">Equity Market Participant </w:t>
      </w:r>
      <w:r w:rsidRPr="00247465">
        <w:t xml:space="preserve">means a </w:t>
      </w:r>
      <w:r w:rsidR="001935FC" w:rsidRPr="00247465">
        <w:t>P</w:t>
      </w:r>
      <w:r w:rsidRPr="00247465">
        <w:t xml:space="preserve">articipant in an Equity Market. </w:t>
      </w:r>
    </w:p>
    <w:p w:rsidR="00FC2C09" w:rsidRPr="00247465" w:rsidRDefault="00FC2C09" w:rsidP="00FC2C09">
      <w:pPr>
        <w:pStyle w:val="MIRHeading3"/>
      </w:pPr>
      <w:r w:rsidRPr="00247465">
        <w:lastRenderedPageBreak/>
        <w:t>[</w:t>
      </w:r>
      <w:r w:rsidR="00A94E6D" w:rsidRPr="00247465">
        <w:t>1</w:t>
      </w:r>
      <w:r w:rsidR="00947195" w:rsidRPr="00247465">
        <w:t>6</w:t>
      </w:r>
      <w:r w:rsidRPr="00247465">
        <w:t>]</w:t>
      </w:r>
      <w:r w:rsidRPr="00247465">
        <w:tab/>
        <w:t>Rule 1.4.3, definition of “</w:t>
      </w:r>
      <w:r w:rsidR="00A94E6D" w:rsidRPr="00247465">
        <w:t>Equity Market Product</w:t>
      </w:r>
      <w:r w:rsidRPr="00247465">
        <w:t>”</w:t>
      </w:r>
      <w:r w:rsidR="00570691" w:rsidRPr="00247465">
        <w:t>, paragraph (</w:t>
      </w:r>
      <w:r w:rsidR="00A94E6D" w:rsidRPr="00247465">
        <w:t>b</w:t>
      </w:r>
      <w:r w:rsidR="00570691" w:rsidRPr="00247465">
        <w:t>)</w:t>
      </w:r>
    </w:p>
    <w:p w:rsidR="00570691" w:rsidRPr="00247465" w:rsidRDefault="00570691" w:rsidP="00570691">
      <w:pPr>
        <w:pStyle w:val="MIRBodyText"/>
        <w:rPr>
          <w:i/>
        </w:rPr>
      </w:pPr>
      <w:r w:rsidRPr="00247465">
        <w:rPr>
          <w:i/>
        </w:rPr>
        <w:t>omit</w:t>
      </w:r>
    </w:p>
    <w:p w:rsidR="00A94E6D" w:rsidRPr="00247465" w:rsidRDefault="00A94E6D" w:rsidP="00570691">
      <w:pPr>
        <w:pStyle w:val="MIRBodyText"/>
        <w:rPr>
          <w:i/>
        </w:rPr>
      </w:pPr>
      <w:r w:rsidRPr="00247465">
        <w:t>financial product</w:t>
      </w:r>
    </w:p>
    <w:p w:rsidR="00570691" w:rsidRPr="00247465" w:rsidRDefault="00A94E6D" w:rsidP="00570691">
      <w:pPr>
        <w:pStyle w:val="MIRBodyText"/>
        <w:rPr>
          <w:i/>
        </w:rPr>
      </w:pPr>
      <w:r w:rsidRPr="00247465">
        <w:rPr>
          <w:i/>
        </w:rPr>
        <w:t>substitute</w:t>
      </w:r>
    </w:p>
    <w:p w:rsidR="002A26AA" w:rsidRPr="00247465" w:rsidRDefault="00A94E6D" w:rsidP="00570691">
      <w:pPr>
        <w:pStyle w:val="MIRBodyText"/>
      </w:pPr>
      <w:r w:rsidRPr="00247465">
        <w:t>Financial Product</w:t>
      </w:r>
    </w:p>
    <w:p w:rsidR="00A94E6D" w:rsidRPr="00247465" w:rsidRDefault="00A94E6D" w:rsidP="00A94E6D">
      <w:pPr>
        <w:pStyle w:val="MIRHeading3"/>
      </w:pPr>
      <w:r w:rsidRPr="00247465">
        <w:t>[1</w:t>
      </w:r>
      <w:r w:rsidR="00A51F91" w:rsidRPr="00247465">
        <w:t>7</w:t>
      </w:r>
      <w:r w:rsidRPr="00247465">
        <w:t>]</w:t>
      </w:r>
      <w:r w:rsidRPr="00247465">
        <w:tab/>
        <w:t>Rule 1.4.3, definition of “Equity Market Product”, subparagraph (c</w:t>
      </w:r>
      <w:proofErr w:type="gramStart"/>
      <w:r w:rsidRPr="00247465">
        <w:t>)(</w:t>
      </w:r>
      <w:proofErr w:type="gramEnd"/>
      <w:r w:rsidRPr="00247465">
        <w:t>ii)</w:t>
      </w:r>
    </w:p>
    <w:p w:rsidR="00A94E6D" w:rsidRPr="00247465" w:rsidRDefault="00A94E6D" w:rsidP="00A94E6D">
      <w:pPr>
        <w:pStyle w:val="MIRBodyText"/>
        <w:rPr>
          <w:i/>
        </w:rPr>
      </w:pPr>
      <w:r w:rsidRPr="00247465">
        <w:rPr>
          <w:i/>
        </w:rPr>
        <w:t>omit</w:t>
      </w:r>
    </w:p>
    <w:p w:rsidR="00A94E6D" w:rsidRPr="00247465" w:rsidRDefault="00A94E6D" w:rsidP="00A94E6D">
      <w:pPr>
        <w:pStyle w:val="MIRBodyText"/>
        <w:rPr>
          <w:i/>
        </w:rPr>
      </w:pPr>
      <w:r w:rsidRPr="00247465">
        <w:t>financial product</w:t>
      </w:r>
    </w:p>
    <w:p w:rsidR="00A94E6D" w:rsidRPr="00247465" w:rsidRDefault="00A94E6D" w:rsidP="00A94E6D">
      <w:pPr>
        <w:pStyle w:val="MIRBodyText"/>
        <w:rPr>
          <w:i/>
        </w:rPr>
      </w:pPr>
      <w:r w:rsidRPr="00247465">
        <w:rPr>
          <w:i/>
        </w:rPr>
        <w:t>substitute</w:t>
      </w:r>
    </w:p>
    <w:p w:rsidR="00A94E6D" w:rsidRPr="00247465" w:rsidRDefault="00A94E6D" w:rsidP="00A94E6D">
      <w:pPr>
        <w:pStyle w:val="MIRBodyText"/>
      </w:pPr>
      <w:r w:rsidRPr="00247465">
        <w:t>Financial Product</w:t>
      </w:r>
    </w:p>
    <w:p w:rsidR="00A8331C" w:rsidRPr="00247465" w:rsidRDefault="00A8331C" w:rsidP="00A8331C">
      <w:pPr>
        <w:pStyle w:val="MIRHeading3"/>
      </w:pPr>
      <w:r w:rsidRPr="00247465">
        <w:t>[1</w:t>
      </w:r>
      <w:r w:rsidR="00A51F91" w:rsidRPr="00247465">
        <w:t>8</w:t>
      </w:r>
      <w:r w:rsidRPr="00247465">
        <w:t>]</w:t>
      </w:r>
      <w:r w:rsidRPr="00247465">
        <w:tab/>
        <w:t>Rule 1.4.3, definition of “Equity Market Product”</w:t>
      </w:r>
    </w:p>
    <w:p w:rsidR="00A8331C" w:rsidRPr="00247465" w:rsidRDefault="00A8331C" w:rsidP="00A8331C">
      <w:pPr>
        <w:pStyle w:val="MIRBodyText"/>
        <w:rPr>
          <w:i/>
        </w:rPr>
      </w:pPr>
      <w:r w:rsidRPr="00247465">
        <w:rPr>
          <w:i/>
        </w:rPr>
        <w:t>omit</w:t>
      </w:r>
    </w:p>
    <w:p w:rsidR="00A8331C" w:rsidRPr="00247465" w:rsidRDefault="00A8331C" w:rsidP="00A8331C">
      <w:pPr>
        <w:pStyle w:val="MIRBodyText"/>
        <w:rPr>
          <w:i/>
        </w:rPr>
      </w:pPr>
      <w:r w:rsidRPr="00247465">
        <w:t>the Listing Market</w:t>
      </w:r>
    </w:p>
    <w:p w:rsidR="00A8331C" w:rsidRPr="00247465" w:rsidRDefault="00A8331C" w:rsidP="00A8331C">
      <w:pPr>
        <w:pStyle w:val="MIRBodyText"/>
        <w:rPr>
          <w:i/>
        </w:rPr>
      </w:pPr>
      <w:r w:rsidRPr="00247465">
        <w:rPr>
          <w:i/>
        </w:rPr>
        <w:t>substitute</w:t>
      </w:r>
    </w:p>
    <w:p w:rsidR="00A8331C" w:rsidRPr="00247465" w:rsidRDefault="00A8331C" w:rsidP="00A8331C">
      <w:pPr>
        <w:pStyle w:val="MIRBodyText"/>
        <w:rPr>
          <w:i/>
        </w:rPr>
      </w:pPr>
      <w:r w:rsidRPr="00247465">
        <w:t>the ASX Market</w:t>
      </w:r>
    </w:p>
    <w:p w:rsidR="009C5853" w:rsidRPr="00247465" w:rsidRDefault="009C5853" w:rsidP="00A94E6D">
      <w:pPr>
        <w:pStyle w:val="MIRHeading3"/>
      </w:pPr>
      <w:r w:rsidRPr="00247465">
        <w:t>[</w:t>
      </w:r>
      <w:r w:rsidR="00A51F91" w:rsidRPr="00247465">
        <w:t>19</w:t>
      </w:r>
      <w:r w:rsidRPr="00247465">
        <w:t>]</w:t>
      </w:r>
      <w:r w:rsidRPr="00247465">
        <w:tab/>
        <w:t xml:space="preserve">Rule 1.4.3, </w:t>
      </w:r>
      <w:r w:rsidR="00BE3CB0" w:rsidRPr="00247465">
        <w:t>after definition</w:t>
      </w:r>
      <w:r w:rsidRPr="00247465">
        <w:t xml:space="preserve"> of “</w:t>
      </w:r>
      <w:r w:rsidR="00BE3CB0" w:rsidRPr="00247465">
        <w:t>Equity Market Product</w:t>
      </w:r>
      <w:r w:rsidRPr="00247465">
        <w:t>”</w:t>
      </w:r>
    </w:p>
    <w:p w:rsidR="003228B6" w:rsidRPr="00247465" w:rsidRDefault="003228B6" w:rsidP="003228B6">
      <w:pPr>
        <w:pStyle w:val="MIRBodyText"/>
        <w:rPr>
          <w:i/>
        </w:rPr>
      </w:pPr>
      <w:r w:rsidRPr="00247465">
        <w:rPr>
          <w:i/>
        </w:rPr>
        <w:t>insert</w:t>
      </w:r>
    </w:p>
    <w:p w:rsidR="00720BBA" w:rsidRPr="00247465" w:rsidRDefault="00720BBA" w:rsidP="00720BBA">
      <w:pPr>
        <w:pStyle w:val="MIRSubpara"/>
        <w:numPr>
          <w:ilvl w:val="0"/>
          <w:numId w:val="12"/>
        </w:numPr>
      </w:pPr>
      <w:r w:rsidRPr="00247465">
        <w:rPr>
          <w:b/>
          <w:bCs/>
          <w:i/>
          <w:iCs/>
        </w:rPr>
        <w:t xml:space="preserve">ETR Event </w:t>
      </w:r>
      <w:r w:rsidRPr="00247465">
        <w:t xml:space="preserve">means when: </w:t>
      </w:r>
    </w:p>
    <w:p w:rsidR="00720BBA" w:rsidRPr="00247465" w:rsidRDefault="00720BBA" w:rsidP="00720BBA">
      <w:pPr>
        <w:pStyle w:val="MIRSubpara"/>
        <w:numPr>
          <w:ilvl w:val="0"/>
          <w:numId w:val="59"/>
        </w:numPr>
      </w:pPr>
      <w:r w:rsidRPr="00247465">
        <w:t xml:space="preserve">a Buy Order for an Equity Market Product or an ASX SPI 200 Future for which the Bid price is both above the Reference Price and in the Extreme Trade Range for the Equity Market Product or ASX SPI 200 Future; or </w:t>
      </w:r>
    </w:p>
    <w:p w:rsidR="00720BBA" w:rsidRPr="00247465" w:rsidRDefault="00720BBA" w:rsidP="00720BBA">
      <w:pPr>
        <w:pStyle w:val="MIRSubpara"/>
      </w:pPr>
      <w:r w:rsidRPr="00247465">
        <w:t>a Sell Order for an Equity Market Product or an ASX SPI 200 Future, for which the Offer price is both below the Reference Price and in the Extreme Trade Range for the Equity Market Product or ASX SPI 200 Future,</w:t>
      </w:r>
    </w:p>
    <w:p w:rsidR="00720BBA" w:rsidRPr="00247465" w:rsidRDefault="00720BBA" w:rsidP="00720BBA">
      <w:pPr>
        <w:pStyle w:val="MIRSubpara"/>
        <w:numPr>
          <w:ilvl w:val="0"/>
          <w:numId w:val="0"/>
        </w:numPr>
        <w:ind w:left="851"/>
      </w:pPr>
      <w:r w:rsidRPr="00247465">
        <w:t>is received by the Market Operator and is not prevented from entering the Market by the controls the Market Operator has in place to comply with Rule 2.1.3.</w:t>
      </w:r>
    </w:p>
    <w:p w:rsidR="00720BBA" w:rsidRPr="00247465" w:rsidRDefault="00720BBA" w:rsidP="00720BBA">
      <w:pPr>
        <w:pStyle w:val="MIRNote"/>
        <w:rPr>
          <w:noProof/>
        </w:rPr>
      </w:pPr>
      <w:r w:rsidRPr="00247465">
        <w:rPr>
          <w:noProof/>
        </w:rPr>
        <w:t xml:space="preserve">Note:  Under Rule 2.2.2B, an ETR Event occurs on a Market in the circumstances described in this definition whether or not the Buy Order or Sell Order is executed, in whole or in part, on the Market. </w:t>
      </w:r>
    </w:p>
    <w:p w:rsidR="00BE3CB0" w:rsidRPr="00247465" w:rsidRDefault="00BE3CB0" w:rsidP="00720BBA">
      <w:pPr>
        <w:pStyle w:val="MIRSubpara"/>
        <w:numPr>
          <w:ilvl w:val="0"/>
          <w:numId w:val="0"/>
        </w:numPr>
        <w:ind w:left="1276" w:hanging="425"/>
      </w:pPr>
      <w:r w:rsidRPr="00247465">
        <w:t xml:space="preserve"> </w:t>
      </w:r>
    </w:p>
    <w:p w:rsidR="00F07F1E" w:rsidRPr="00247465" w:rsidRDefault="00F07F1E" w:rsidP="00F07F1E">
      <w:pPr>
        <w:pStyle w:val="MIRHeading3"/>
      </w:pPr>
      <w:r w:rsidRPr="00247465">
        <w:lastRenderedPageBreak/>
        <w:t>[</w:t>
      </w:r>
      <w:r w:rsidR="003E57A3" w:rsidRPr="00247465">
        <w:t>20</w:t>
      </w:r>
      <w:r w:rsidRPr="00247465">
        <w:t>]</w:t>
      </w:r>
      <w:r w:rsidRPr="00247465">
        <w:tab/>
        <w:t>Rule 1.4.3, definition of “</w:t>
      </w:r>
      <w:r w:rsidR="00064274" w:rsidRPr="00247465">
        <w:t>Exchange-Traded Fund Special Trade</w:t>
      </w:r>
      <w:r w:rsidRPr="00247465">
        <w:t>”</w:t>
      </w:r>
    </w:p>
    <w:p w:rsidR="00F07F1E" w:rsidRPr="00247465" w:rsidRDefault="00F07F1E" w:rsidP="003228B6">
      <w:pPr>
        <w:pStyle w:val="MIRBodyText"/>
        <w:numPr>
          <w:ilvl w:val="0"/>
          <w:numId w:val="0"/>
        </w:numPr>
        <w:ind w:left="851"/>
        <w:rPr>
          <w:i/>
        </w:rPr>
      </w:pPr>
      <w:proofErr w:type="gramStart"/>
      <w:r w:rsidRPr="00247465">
        <w:rPr>
          <w:i/>
        </w:rPr>
        <w:t>omit</w:t>
      </w:r>
      <w:proofErr w:type="gramEnd"/>
    </w:p>
    <w:p w:rsidR="005724FE" w:rsidRPr="00247465" w:rsidRDefault="00064274" w:rsidP="005724FE">
      <w:pPr>
        <w:pStyle w:val="MIRBodyText"/>
      </w:pPr>
      <w:r w:rsidRPr="00247465">
        <w:t>the Listing Market</w:t>
      </w:r>
    </w:p>
    <w:p w:rsidR="00F07F1E" w:rsidRPr="00247465" w:rsidRDefault="001875AA" w:rsidP="0000024D">
      <w:pPr>
        <w:pStyle w:val="MIRBodyText"/>
        <w:keepNext/>
        <w:numPr>
          <w:ilvl w:val="0"/>
          <w:numId w:val="0"/>
        </w:numPr>
        <w:ind w:left="851"/>
        <w:rPr>
          <w:i/>
        </w:rPr>
      </w:pPr>
      <w:proofErr w:type="gramStart"/>
      <w:r>
        <w:rPr>
          <w:i/>
        </w:rPr>
        <w:t>substitute</w:t>
      </w:r>
      <w:proofErr w:type="gramEnd"/>
    </w:p>
    <w:p w:rsidR="005724FE" w:rsidRPr="00247465" w:rsidRDefault="00064274" w:rsidP="005724FE">
      <w:pPr>
        <w:pStyle w:val="MIRBodyText"/>
      </w:pPr>
      <w:r w:rsidRPr="00247465">
        <w:t>ASX</w:t>
      </w:r>
    </w:p>
    <w:p w:rsidR="00C73085" w:rsidRPr="00247465" w:rsidRDefault="00C73085" w:rsidP="00C73085">
      <w:pPr>
        <w:pStyle w:val="MIRHeading3"/>
      </w:pPr>
      <w:r w:rsidRPr="00247465">
        <w:t>[</w:t>
      </w:r>
      <w:r w:rsidR="004E13E9" w:rsidRPr="00247465">
        <w:t>2</w:t>
      </w:r>
      <w:r w:rsidR="00C17C12" w:rsidRPr="00247465">
        <w:t>1</w:t>
      </w:r>
      <w:r w:rsidRPr="00247465">
        <w:t>]</w:t>
      </w:r>
      <w:r w:rsidRPr="00247465">
        <w:tab/>
        <w:t>Rule 1.4.3, definition of “</w:t>
      </w:r>
      <w:r w:rsidR="00064274" w:rsidRPr="00247465">
        <w:t>Extreme Cancellation Range</w:t>
      </w:r>
      <w:r w:rsidRPr="00247465">
        <w:t>”</w:t>
      </w:r>
    </w:p>
    <w:p w:rsidR="00064274" w:rsidRPr="00247465" w:rsidRDefault="00234711" w:rsidP="00C73085">
      <w:pPr>
        <w:pStyle w:val="MIRBodyText"/>
      </w:pPr>
      <w:r w:rsidRPr="00247465">
        <w:rPr>
          <w:i/>
        </w:rPr>
        <w:t xml:space="preserve">omit the definition, </w:t>
      </w:r>
      <w:r w:rsidR="00064274" w:rsidRPr="00247465">
        <w:rPr>
          <w:i/>
        </w:rPr>
        <w:t xml:space="preserve">substitute </w:t>
      </w:r>
    </w:p>
    <w:p w:rsidR="00064274" w:rsidRPr="00247465" w:rsidRDefault="00064274" w:rsidP="00064274">
      <w:pPr>
        <w:pStyle w:val="MIRBodyText"/>
      </w:pPr>
      <w:r w:rsidRPr="00247465">
        <w:rPr>
          <w:b/>
          <w:i/>
        </w:rPr>
        <w:t>Extreme Trade Range</w:t>
      </w:r>
      <w:r w:rsidRPr="00247465">
        <w:t xml:space="preserve">: </w:t>
      </w:r>
    </w:p>
    <w:p w:rsidR="00064274" w:rsidRPr="00247465" w:rsidRDefault="00064274" w:rsidP="00F57717">
      <w:pPr>
        <w:pStyle w:val="MIRSubpara"/>
        <w:numPr>
          <w:ilvl w:val="0"/>
          <w:numId w:val="17"/>
        </w:numPr>
      </w:pPr>
      <w:r w:rsidRPr="00247465">
        <w:t xml:space="preserve">in relation to Equity Market Products, has the meaning given by subrule 2.2.1(1); and </w:t>
      </w:r>
    </w:p>
    <w:p w:rsidR="00064274" w:rsidRPr="00247465" w:rsidRDefault="00064274" w:rsidP="00064274">
      <w:pPr>
        <w:pStyle w:val="MIRSubpara"/>
      </w:pPr>
      <w:r w:rsidRPr="00247465">
        <w:t xml:space="preserve">in relation to ASX SPI 200 Futures, has the meaning given by subrule 2.2.1(2). </w:t>
      </w:r>
    </w:p>
    <w:p w:rsidR="004A71B5" w:rsidRPr="00247465" w:rsidRDefault="004A71B5" w:rsidP="00A2325A">
      <w:pPr>
        <w:pStyle w:val="MIRHeading3"/>
      </w:pPr>
      <w:r w:rsidRPr="00247465">
        <w:t>[</w:t>
      </w:r>
      <w:r w:rsidR="00693084" w:rsidRPr="00247465">
        <w:t>22</w:t>
      </w:r>
      <w:r w:rsidRPr="00247465">
        <w:t>]</w:t>
      </w:r>
      <w:r w:rsidRPr="00247465">
        <w:tab/>
        <w:t xml:space="preserve">Rule 1.4.3, </w:t>
      </w:r>
      <w:r w:rsidR="004E13E9" w:rsidRPr="00247465">
        <w:t xml:space="preserve">after </w:t>
      </w:r>
      <w:r w:rsidRPr="00247465">
        <w:t xml:space="preserve">definition of </w:t>
      </w:r>
      <w:r w:rsidR="004E13E9" w:rsidRPr="00247465">
        <w:t>“Financial Market</w:t>
      </w:r>
      <w:r w:rsidRPr="00247465">
        <w:t>”</w:t>
      </w:r>
    </w:p>
    <w:p w:rsidR="004051D3" w:rsidRPr="00247465" w:rsidRDefault="00BE68C6" w:rsidP="004051D3">
      <w:pPr>
        <w:pStyle w:val="MIRBodyText"/>
        <w:numPr>
          <w:ilvl w:val="0"/>
          <w:numId w:val="0"/>
        </w:numPr>
        <w:ind w:left="851"/>
        <w:rPr>
          <w:i/>
        </w:rPr>
      </w:pPr>
      <w:proofErr w:type="gramStart"/>
      <w:r w:rsidRPr="00247465">
        <w:rPr>
          <w:i/>
        </w:rPr>
        <w:t>insert</w:t>
      </w:r>
      <w:proofErr w:type="gramEnd"/>
    </w:p>
    <w:p w:rsidR="004051D3" w:rsidRPr="00247465" w:rsidRDefault="004051D3" w:rsidP="004051D3">
      <w:pPr>
        <w:pStyle w:val="MIRBodyText"/>
        <w:rPr>
          <w:noProof/>
        </w:rPr>
      </w:pPr>
      <w:r w:rsidRPr="00247465">
        <w:rPr>
          <w:b/>
          <w:bCs/>
          <w:i/>
          <w:iCs/>
          <w:noProof/>
        </w:rPr>
        <w:t xml:space="preserve">Financial Product </w:t>
      </w:r>
      <w:r w:rsidRPr="00247465">
        <w:rPr>
          <w:noProof/>
        </w:rPr>
        <w:t xml:space="preserve">has the meaning given by section 761A of the Act. </w:t>
      </w:r>
    </w:p>
    <w:p w:rsidR="00CF308B" w:rsidRPr="00247465" w:rsidRDefault="00CF308B" w:rsidP="00CF308B">
      <w:pPr>
        <w:pStyle w:val="MIRHeading3"/>
      </w:pPr>
      <w:r w:rsidRPr="00247465">
        <w:t>[</w:t>
      </w:r>
      <w:r w:rsidR="009F55EF" w:rsidRPr="00247465">
        <w:t>2</w:t>
      </w:r>
      <w:r w:rsidR="00693084" w:rsidRPr="00247465">
        <w:t>3</w:t>
      </w:r>
      <w:r w:rsidRPr="00247465">
        <w:t>]</w:t>
      </w:r>
      <w:r w:rsidRPr="00247465">
        <w:tab/>
        <w:t>Rule 1.4.3, after definition of “</w:t>
      </w:r>
      <w:r w:rsidR="009F55EF" w:rsidRPr="00247465">
        <w:t>Funds Manager</w:t>
      </w:r>
      <w:r w:rsidRPr="00247465">
        <w:t>”</w:t>
      </w:r>
    </w:p>
    <w:p w:rsidR="00CF308B" w:rsidRPr="00247465" w:rsidRDefault="00CF308B" w:rsidP="00CF308B">
      <w:pPr>
        <w:pStyle w:val="MIRBodyText"/>
        <w:numPr>
          <w:ilvl w:val="0"/>
          <w:numId w:val="0"/>
        </w:numPr>
        <w:ind w:left="851"/>
        <w:rPr>
          <w:i/>
        </w:rPr>
      </w:pPr>
      <w:proofErr w:type="gramStart"/>
      <w:r w:rsidRPr="00247465">
        <w:rPr>
          <w:i/>
        </w:rPr>
        <w:t>insert</w:t>
      </w:r>
      <w:proofErr w:type="gramEnd"/>
    </w:p>
    <w:p w:rsidR="00DF78D4" w:rsidRPr="00247465" w:rsidRDefault="00DF78D4" w:rsidP="00DF78D4">
      <w:pPr>
        <w:pStyle w:val="MIRBodyText"/>
      </w:pPr>
      <w:r w:rsidRPr="00247465">
        <w:rPr>
          <w:b/>
          <w:bCs/>
          <w:i/>
          <w:iCs/>
        </w:rPr>
        <w:t xml:space="preserve">Futures Market </w:t>
      </w:r>
      <w:r w:rsidRPr="00247465">
        <w:t xml:space="preserve">means a Financial Market, on or through which offers to acquire or dispose of ASX SPI 200 Futures are made or accepted, the operator of which is licensed under subsection 795B(1) of the Act. </w:t>
      </w:r>
    </w:p>
    <w:p w:rsidR="008106C0" w:rsidRPr="00247465" w:rsidRDefault="008106C0" w:rsidP="008106C0">
      <w:pPr>
        <w:pStyle w:val="MIRBodyText"/>
      </w:pPr>
      <w:r w:rsidRPr="00247465">
        <w:rPr>
          <w:b/>
          <w:bCs/>
          <w:i/>
          <w:iCs/>
        </w:rPr>
        <w:t xml:space="preserve">Futures Market Contract </w:t>
      </w:r>
      <w:r w:rsidRPr="00247465">
        <w:t xml:space="preserve">means a contract on the terms of a Futures Series. </w:t>
      </w:r>
    </w:p>
    <w:p w:rsidR="00B95FC6" w:rsidRPr="00247465" w:rsidRDefault="00B95FC6" w:rsidP="00B95FC6">
      <w:pPr>
        <w:pStyle w:val="MIRBodyText"/>
      </w:pPr>
      <w:r w:rsidRPr="00247465">
        <w:rPr>
          <w:b/>
          <w:bCs/>
          <w:i/>
          <w:iCs/>
        </w:rPr>
        <w:t xml:space="preserve">Futures Market Operator </w:t>
      </w:r>
      <w:r w:rsidRPr="00247465">
        <w:t xml:space="preserve">means an entity that is licensed under subsection </w:t>
      </w:r>
      <w:proofErr w:type="gramStart"/>
      <w:r w:rsidRPr="00247465">
        <w:t>795B(</w:t>
      </w:r>
      <w:proofErr w:type="gramEnd"/>
      <w:r w:rsidRPr="00247465">
        <w:t xml:space="preserve">1) of the Act to operate a Futures Market. </w:t>
      </w:r>
    </w:p>
    <w:p w:rsidR="00B95FC6" w:rsidRPr="00247465" w:rsidRDefault="00B95FC6" w:rsidP="00B95FC6">
      <w:pPr>
        <w:pStyle w:val="MIRBodyText"/>
      </w:pPr>
      <w:r w:rsidRPr="00247465">
        <w:rPr>
          <w:b/>
          <w:bCs/>
          <w:i/>
          <w:iCs/>
        </w:rPr>
        <w:t xml:space="preserve">Futures Series </w:t>
      </w:r>
      <w:r w:rsidRPr="00247465">
        <w:t xml:space="preserve">means a set of contractual terms on which futures contracts are authorised for trading by a Market Operator. </w:t>
      </w:r>
    </w:p>
    <w:p w:rsidR="00CF308B" w:rsidRPr="00247465" w:rsidRDefault="00693084" w:rsidP="00CF308B">
      <w:pPr>
        <w:pStyle w:val="MIRHeading3"/>
      </w:pPr>
      <w:bookmarkStart w:id="0" w:name="_Hlk334026445"/>
      <w:r w:rsidRPr="00247465">
        <w:t>[24</w:t>
      </w:r>
      <w:r w:rsidR="00CF308B" w:rsidRPr="00247465">
        <w:t>]</w:t>
      </w:r>
      <w:r w:rsidR="00CF308B" w:rsidRPr="00247465">
        <w:tab/>
        <w:t>Rule 1.4.3, after definition of “</w:t>
      </w:r>
      <w:r w:rsidR="00BD2AF9" w:rsidRPr="00247465">
        <w:t>In Writing</w:t>
      </w:r>
      <w:r w:rsidR="00CF308B" w:rsidRPr="00247465">
        <w:t>”</w:t>
      </w:r>
    </w:p>
    <w:p w:rsidR="00CF308B" w:rsidRPr="00247465" w:rsidRDefault="00CF308B" w:rsidP="00CF308B">
      <w:pPr>
        <w:pStyle w:val="MIRBodyText"/>
        <w:numPr>
          <w:ilvl w:val="0"/>
          <w:numId w:val="0"/>
        </w:numPr>
        <w:ind w:left="851"/>
        <w:rPr>
          <w:i/>
        </w:rPr>
      </w:pPr>
      <w:proofErr w:type="gramStart"/>
      <w:r w:rsidRPr="00247465">
        <w:rPr>
          <w:i/>
        </w:rPr>
        <w:t>insert</w:t>
      </w:r>
      <w:proofErr w:type="gramEnd"/>
    </w:p>
    <w:p w:rsidR="00AE5AD8" w:rsidRPr="00247465" w:rsidRDefault="00AE5AD8" w:rsidP="00AE5AD8">
      <w:pPr>
        <w:pStyle w:val="MIRBodyText"/>
      </w:pPr>
      <w:r w:rsidRPr="00247465">
        <w:rPr>
          <w:b/>
          <w:bCs/>
          <w:i/>
          <w:iCs/>
        </w:rPr>
        <w:t>Invalid</w:t>
      </w:r>
      <w:r w:rsidRPr="00247465">
        <w:t xml:space="preserve">, in relation to a price established by an </w:t>
      </w:r>
      <w:r w:rsidR="004E4143">
        <w:t>a</w:t>
      </w:r>
      <w:r w:rsidRPr="00247465">
        <w:t xml:space="preserve">uction, or the price of a Transaction, means: </w:t>
      </w:r>
    </w:p>
    <w:p w:rsidR="00AE5AD8" w:rsidRPr="00247465" w:rsidRDefault="00AE5AD8" w:rsidP="00F57717">
      <w:pPr>
        <w:pStyle w:val="MIRSubpara"/>
        <w:numPr>
          <w:ilvl w:val="0"/>
          <w:numId w:val="18"/>
        </w:numPr>
      </w:pPr>
      <w:r w:rsidRPr="00247465">
        <w:t xml:space="preserve">the price has resulted from an error; </w:t>
      </w:r>
    </w:p>
    <w:p w:rsidR="00AE5AD8" w:rsidRPr="00247465" w:rsidRDefault="00AE5AD8" w:rsidP="00AE5AD8">
      <w:pPr>
        <w:pStyle w:val="MIRSubpara"/>
      </w:pPr>
      <w:r w:rsidRPr="00247465">
        <w:t xml:space="preserve">the price is materially different from the price of the last Transaction in the same Equity Market Product or ASX SPI 200 Future on the same Order Book, and the difference in </w:t>
      </w:r>
      <w:r w:rsidRPr="00247465">
        <w:lastRenderedPageBreak/>
        <w:t xml:space="preserve">price is not, in the opinion of the Market Operator, readily attributable to an announcement that has been made to the Market or some other event; or </w:t>
      </w:r>
    </w:p>
    <w:p w:rsidR="00AE5AD8" w:rsidRPr="00247465" w:rsidRDefault="00AE5AD8" w:rsidP="00AE5AD8">
      <w:pPr>
        <w:pStyle w:val="MIRSubpara"/>
      </w:pPr>
      <w:r w:rsidRPr="00247465">
        <w:t xml:space="preserve">the price has resulted from a Transaction that is otherwise required to be cancelled or amended by the Market Operator of the Market on which the Transaction is executed. </w:t>
      </w:r>
    </w:p>
    <w:bookmarkEnd w:id="0"/>
    <w:p w:rsidR="00AD18E4" w:rsidRPr="00247465" w:rsidRDefault="00AD18E4" w:rsidP="00AD18E4">
      <w:pPr>
        <w:pStyle w:val="MIRHeading3"/>
      </w:pPr>
      <w:r w:rsidRPr="00247465">
        <w:t>[2</w:t>
      </w:r>
      <w:r w:rsidR="00693084" w:rsidRPr="00247465">
        <w:t>5</w:t>
      </w:r>
      <w:r w:rsidRPr="00247465">
        <w:t>]</w:t>
      </w:r>
      <w:r w:rsidRPr="00247465">
        <w:tab/>
        <w:t>Rule 1.4.3, definition of “Listing Market”</w:t>
      </w:r>
    </w:p>
    <w:p w:rsidR="00AD18E4" w:rsidRPr="00247465" w:rsidRDefault="00EB67FB" w:rsidP="00AD18E4">
      <w:pPr>
        <w:pStyle w:val="MIRBodyText"/>
        <w:numPr>
          <w:ilvl w:val="0"/>
          <w:numId w:val="0"/>
        </w:numPr>
        <w:ind w:left="851"/>
        <w:rPr>
          <w:i/>
        </w:rPr>
      </w:pPr>
      <w:proofErr w:type="gramStart"/>
      <w:r w:rsidRPr="00247465">
        <w:rPr>
          <w:i/>
        </w:rPr>
        <w:t>o</w:t>
      </w:r>
      <w:r w:rsidR="00AD18E4" w:rsidRPr="00247465">
        <w:rPr>
          <w:i/>
        </w:rPr>
        <w:t>mit</w:t>
      </w:r>
      <w:proofErr w:type="gramEnd"/>
      <w:r w:rsidRPr="00247465">
        <w:rPr>
          <w:i/>
        </w:rPr>
        <w:t xml:space="preserve"> the definition</w:t>
      </w:r>
    </w:p>
    <w:p w:rsidR="00AD18E4" w:rsidRPr="00247465" w:rsidRDefault="00AD18E4" w:rsidP="00AD18E4">
      <w:pPr>
        <w:pStyle w:val="MIRHeading3"/>
      </w:pPr>
      <w:r w:rsidRPr="00247465">
        <w:t>[2</w:t>
      </w:r>
      <w:r w:rsidR="00693084" w:rsidRPr="00247465">
        <w:t>6</w:t>
      </w:r>
      <w:r w:rsidRPr="00247465">
        <w:t>]</w:t>
      </w:r>
      <w:r w:rsidRPr="00247465">
        <w:tab/>
        <w:t>Rule 1.4.3, definition of “Listing Market Operator”</w:t>
      </w:r>
    </w:p>
    <w:p w:rsidR="00AD18E4" w:rsidRPr="00247465" w:rsidRDefault="00EB67FB" w:rsidP="00AD18E4">
      <w:pPr>
        <w:pStyle w:val="MIRBodyText"/>
        <w:numPr>
          <w:ilvl w:val="0"/>
          <w:numId w:val="0"/>
        </w:numPr>
        <w:ind w:left="851"/>
        <w:rPr>
          <w:i/>
        </w:rPr>
      </w:pPr>
      <w:proofErr w:type="gramStart"/>
      <w:r w:rsidRPr="00247465">
        <w:rPr>
          <w:i/>
        </w:rPr>
        <w:t>o</w:t>
      </w:r>
      <w:r w:rsidR="00AD18E4" w:rsidRPr="00247465">
        <w:rPr>
          <w:i/>
        </w:rPr>
        <w:t>mit</w:t>
      </w:r>
      <w:proofErr w:type="gramEnd"/>
      <w:r w:rsidRPr="00247465">
        <w:rPr>
          <w:i/>
        </w:rPr>
        <w:t xml:space="preserve"> the definition</w:t>
      </w:r>
    </w:p>
    <w:p w:rsidR="00EA011C" w:rsidRPr="00247465" w:rsidRDefault="00EA011C" w:rsidP="00EA011C">
      <w:pPr>
        <w:pStyle w:val="MIRHeading3"/>
      </w:pPr>
      <w:r w:rsidRPr="00247465">
        <w:t>[2</w:t>
      </w:r>
      <w:r w:rsidR="00693084" w:rsidRPr="00247465">
        <w:t>7</w:t>
      </w:r>
      <w:r w:rsidRPr="00247465">
        <w:t>]</w:t>
      </w:r>
      <w:r w:rsidRPr="00247465">
        <w:tab/>
        <w:t>Rule 1.4.3, definition of “Market”</w:t>
      </w:r>
    </w:p>
    <w:p w:rsidR="00EA011C" w:rsidRPr="00247465" w:rsidRDefault="00EA011C" w:rsidP="00EA011C">
      <w:pPr>
        <w:pStyle w:val="MIRBodyText"/>
        <w:numPr>
          <w:ilvl w:val="0"/>
          <w:numId w:val="0"/>
        </w:numPr>
        <w:ind w:left="851"/>
        <w:rPr>
          <w:i/>
        </w:rPr>
      </w:pPr>
      <w:proofErr w:type="gramStart"/>
      <w:r w:rsidRPr="00247465">
        <w:rPr>
          <w:i/>
        </w:rPr>
        <w:t>omit</w:t>
      </w:r>
      <w:proofErr w:type="gramEnd"/>
    </w:p>
    <w:p w:rsidR="00AD18E4" w:rsidRPr="00247465" w:rsidRDefault="00EA011C" w:rsidP="00AD18E4">
      <w:pPr>
        <w:pStyle w:val="MIRBodyText"/>
        <w:numPr>
          <w:ilvl w:val="0"/>
          <w:numId w:val="0"/>
        </w:numPr>
        <w:ind w:left="851"/>
      </w:pPr>
      <w:r w:rsidRPr="00247465">
        <w:t>Equity Market Products</w:t>
      </w:r>
    </w:p>
    <w:p w:rsidR="00EA011C" w:rsidRPr="00247465" w:rsidRDefault="00EA011C" w:rsidP="00AD18E4">
      <w:pPr>
        <w:pStyle w:val="MIRBodyText"/>
        <w:numPr>
          <w:ilvl w:val="0"/>
          <w:numId w:val="0"/>
        </w:numPr>
        <w:ind w:left="851"/>
        <w:rPr>
          <w:i/>
        </w:rPr>
      </w:pPr>
      <w:proofErr w:type="gramStart"/>
      <w:r w:rsidRPr="00247465">
        <w:rPr>
          <w:i/>
        </w:rPr>
        <w:t>substitute</w:t>
      </w:r>
      <w:proofErr w:type="gramEnd"/>
    </w:p>
    <w:p w:rsidR="00EA011C" w:rsidRPr="00247465" w:rsidRDefault="00EA011C" w:rsidP="00AD18E4">
      <w:pPr>
        <w:pStyle w:val="MIRBodyText"/>
      </w:pPr>
      <w:r w:rsidRPr="00247465">
        <w:t>Financial Products</w:t>
      </w:r>
    </w:p>
    <w:p w:rsidR="00FC1157" w:rsidRPr="00247465" w:rsidRDefault="00FC1157" w:rsidP="00FC1157">
      <w:pPr>
        <w:pStyle w:val="MIRHeading3"/>
      </w:pPr>
      <w:r w:rsidRPr="00247465">
        <w:t>[2</w:t>
      </w:r>
      <w:r w:rsidR="00693084" w:rsidRPr="00247465">
        <w:t>8</w:t>
      </w:r>
      <w:r w:rsidRPr="00247465">
        <w:t>]</w:t>
      </w:r>
      <w:r w:rsidRPr="00247465">
        <w:tab/>
        <w:t>Rule 1.4.3, definition of “Normal Trading Hours”</w:t>
      </w:r>
    </w:p>
    <w:p w:rsidR="00FC1157" w:rsidRPr="00247465" w:rsidRDefault="00FC1157" w:rsidP="00FC1157">
      <w:pPr>
        <w:pStyle w:val="MIRBodyText"/>
        <w:numPr>
          <w:ilvl w:val="0"/>
          <w:numId w:val="0"/>
        </w:numPr>
        <w:ind w:left="851"/>
        <w:rPr>
          <w:i/>
        </w:rPr>
      </w:pPr>
      <w:proofErr w:type="gramStart"/>
      <w:r w:rsidRPr="00247465">
        <w:rPr>
          <w:i/>
        </w:rPr>
        <w:t>omit</w:t>
      </w:r>
      <w:proofErr w:type="gramEnd"/>
    </w:p>
    <w:p w:rsidR="00FC1157" w:rsidRPr="00247465" w:rsidRDefault="00FC1157" w:rsidP="00FC1157">
      <w:pPr>
        <w:pStyle w:val="MIRBodyText"/>
        <w:numPr>
          <w:ilvl w:val="0"/>
          <w:numId w:val="0"/>
        </w:numPr>
        <w:ind w:left="851"/>
      </w:pPr>
      <w:r w:rsidRPr="00247465">
        <w:t>Equity Market Products</w:t>
      </w:r>
    </w:p>
    <w:p w:rsidR="00FC1157" w:rsidRPr="00247465" w:rsidRDefault="00FC1157" w:rsidP="00FC1157">
      <w:pPr>
        <w:pStyle w:val="MIRBodyText"/>
        <w:numPr>
          <w:ilvl w:val="0"/>
          <w:numId w:val="0"/>
        </w:numPr>
        <w:ind w:left="851"/>
        <w:rPr>
          <w:i/>
        </w:rPr>
      </w:pPr>
      <w:proofErr w:type="gramStart"/>
      <w:r w:rsidRPr="00247465">
        <w:rPr>
          <w:i/>
        </w:rPr>
        <w:t>substitute</w:t>
      </w:r>
      <w:proofErr w:type="gramEnd"/>
    </w:p>
    <w:p w:rsidR="00FC1157" w:rsidRPr="00247465" w:rsidRDefault="00FC1157" w:rsidP="00FC1157">
      <w:pPr>
        <w:pStyle w:val="MIRBodyText"/>
      </w:pPr>
      <w:r w:rsidRPr="00247465">
        <w:t>Financial Products</w:t>
      </w:r>
    </w:p>
    <w:p w:rsidR="00FC1157" w:rsidRPr="00247465" w:rsidRDefault="00FC1157" w:rsidP="00FC1157">
      <w:pPr>
        <w:pStyle w:val="MIRHeading3"/>
      </w:pPr>
      <w:r w:rsidRPr="00247465">
        <w:t>[2</w:t>
      </w:r>
      <w:r w:rsidR="00693084" w:rsidRPr="00247465">
        <w:t>9</w:t>
      </w:r>
      <w:r w:rsidRPr="00247465">
        <w:t>]</w:t>
      </w:r>
      <w:r w:rsidRPr="00247465">
        <w:tab/>
        <w:t>Rule 1.4.3, definition of “Offer”</w:t>
      </w:r>
    </w:p>
    <w:p w:rsidR="00FC1157" w:rsidRPr="00247465" w:rsidRDefault="00FC1157" w:rsidP="00FC1157">
      <w:pPr>
        <w:pStyle w:val="MIRBodyText"/>
        <w:numPr>
          <w:ilvl w:val="0"/>
          <w:numId w:val="0"/>
        </w:numPr>
        <w:ind w:left="851"/>
        <w:rPr>
          <w:i/>
        </w:rPr>
      </w:pPr>
      <w:proofErr w:type="gramStart"/>
      <w:r w:rsidRPr="00247465">
        <w:rPr>
          <w:i/>
        </w:rPr>
        <w:t>omit</w:t>
      </w:r>
      <w:proofErr w:type="gramEnd"/>
    </w:p>
    <w:p w:rsidR="00FC1157" w:rsidRPr="00247465" w:rsidRDefault="00FC1157" w:rsidP="00FC1157">
      <w:pPr>
        <w:pStyle w:val="MIRBodyText"/>
        <w:numPr>
          <w:ilvl w:val="0"/>
          <w:numId w:val="0"/>
        </w:numPr>
        <w:ind w:left="851"/>
      </w:pPr>
      <w:proofErr w:type="gramStart"/>
      <w:r w:rsidRPr="00247465">
        <w:t>an</w:t>
      </w:r>
      <w:proofErr w:type="gramEnd"/>
      <w:r w:rsidRPr="00247465">
        <w:t xml:space="preserve"> Equity Market Product</w:t>
      </w:r>
    </w:p>
    <w:p w:rsidR="00FC1157" w:rsidRPr="00247465" w:rsidRDefault="00FC1157" w:rsidP="00FC1157">
      <w:pPr>
        <w:pStyle w:val="MIRBodyText"/>
        <w:numPr>
          <w:ilvl w:val="0"/>
          <w:numId w:val="0"/>
        </w:numPr>
        <w:ind w:left="851"/>
        <w:rPr>
          <w:i/>
        </w:rPr>
      </w:pPr>
      <w:proofErr w:type="gramStart"/>
      <w:r w:rsidRPr="00247465">
        <w:rPr>
          <w:i/>
        </w:rPr>
        <w:t>substitute</w:t>
      </w:r>
      <w:proofErr w:type="gramEnd"/>
    </w:p>
    <w:p w:rsidR="00FC1157" w:rsidRPr="00247465" w:rsidRDefault="00FC1157" w:rsidP="00FC1157">
      <w:pPr>
        <w:pStyle w:val="MIRBodyText"/>
      </w:pPr>
      <w:r w:rsidRPr="00247465">
        <w:t>a Financial Product</w:t>
      </w:r>
    </w:p>
    <w:p w:rsidR="00FC1157" w:rsidRPr="00247465" w:rsidRDefault="00FC1157" w:rsidP="00FC1157">
      <w:pPr>
        <w:pStyle w:val="MIRHeading3"/>
      </w:pPr>
      <w:r w:rsidRPr="00247465">
        <w:t>[</w:t>
      </w:r>
      <w:r w:rsidR="00693084" w:rsidRPr="00247465">
        <w:t>30</w:t>
      </w:r>
      <w:r w:rsidRPr="00247465">
        <w:t>]</w:t>
      </w:r>
      <w:r w:rsidRPr="00247465">
        <w:tab/>
        <w:t>Rule 1.4.3, definition of “Offer”</w:t>
      </w:r>
    </w:p>
    <w:p w:rsidR="00FC1157" w:rsidRPr="00247465" w:rsidRDefault="00FC1157" w:rsidP="00FC1157">
      <w:pPr>
        <w:pStyle w:val="MIRBodyText"/>
        <w:numPr>
          <w:ilvl w:val="0"/>
          <w:numId w:val="0"/>
        </w:numPr>
        <w:ind w:left="851"/>
        <w:rPr>
          <w:i/>
        </w:rPr>
      </w:pPr>
      <w:proofErr w:type="gramStart"/>
      <w:r w:rsidRPr="00247465">
        <w:rPr>
          <w:i/>
        </w:rPr>
        <w:t>omit</w:t>
      </w:r>
      <w:proofErr w:type="gramEnd"/>
    </w:p>
    <w:p w:rsidR="00FC1157" w:rsidRPr="00247465" w:rsidRDefault="00FC1157" w:rsidP="00FC1157">
      <w:pPr>
        <w:pStyle w:val="MIRBodyText"/>
        <w:numPr>
          <w:ilvl w:val="0"/>
          <w:numId w:val="0"/>
        </w:numPr>
        <w:ind w:left="851"/>
      </w:pPr>
      <w:proofErr w:type="gramStart"/>
      <w:r w:rsidRPr="00247465">
        <w:t>the</w:t>
      </w:r>
      <w:proofErr w:type="gramEnd"/>
      <w:r w:rsidRPr="00247465">
        <w:t xml:space="preserve"> Equity Market Product</w:t>
      </w:r>
    </w:p>
    <w:p w:rsidR="00FC1157" w:rsidRPr="00247465" w:rsidRDefault="00FC1157" w:rsidP="00FC1157">
      <w:pPr>
        <w:pStyle w:val="MIRBodyText"/>
        <w:numPr>
          <w:ilvl w:val="0"/>
          <w:numId w:val="0"/>
        </w:numPr>
        <w:ind w:left="851"/>
        <w:rPr>
          <w:i/>
        </w:rPr>
      </w:pPr>
      <w:proofErr w:type="gramStart"/>
      <w:r w:rsidRPr="00247465">
        <w:rPr>
          <w:i/>
        </w:rPr>
        <w:lastRenderedPageBreak/>
        <w:t>substitute</w:t>
      </w:r>
      <w:proofErr w:type="gramEnd"/>
    </w:p>
    <w:p w:rsidR="00FC1157" w:rsidRPr="00247465" w:rsidRDefault="00FC1157" w:rsidP="00FC1157">
      <w:pPr>
        <w:pStyle w:val="MIRBodyText"/>
      </w:pPr>
      <w:r w:rsidRPr="00247465">
        <w:t>the Financial Product</w:t>
      </w:r>
    </w:p>
    <w:p w:rsidR="00693084" w:rsidRPr="00247465" w:rsidRDefault="00693084" w:rsidP="00693084">
      <w:pPr>
        <w:pStyle w:val="MIRHeading3"/>
      </w:pPr>
      <w:r w:rsidRPr="00247465">
        <w:t>[31]</w:t>
      </w:r>
      <w:r w:rsidRPr="00247465">
        <w:tab/>
        <w:t>Rule 1.4.3, after definition of “Off-Market Bid”</w:t>
      </w:r>
    </w:p>
    <w:p w:rsidR="00693084" w:rsidRPr="00247465" w:rsidRDefault="00693084" w:rsidP="00693084">
      <w:pPr>
        <w:pStyle w:val="MIRBodyText"/>
        <w:numPr>
          <w:ilvl w:val="0"/>
          <w:numId w:val="0"/>
        </w:numPr>
        <w:ind w:left="851"/>
        <w:rPr>
          <w:i/>
        </w:rPr>
      </w:pPr>
      <w:proofErr w:type="gramStart"/>
      <w:r w:rsidRPr="00247465">
        <w:rPr>
          <w:i/>
        </w:rPr>
        <w:t>insert</w:t>
      </w:r>
      <w:proofErr w:type="gramEnd"/>
    </w:p>
    <w:p w:rsidR="00693084" w:rsidRPr="00247465" w:rsidRDefault="00693084" w:rsidP="00693084">
      <w:pPr>
        <w:pStyle w:val="MIRBodyText"/>
      </w:pPr>
      <w:r w:rsidRPr="00247465">
        <w:rPr>
          <w:b/>
          <w:bCs/>
          <w:i/>
          <w:iCs/>
        </w:rPr>
        <w:t>Opening Transaction</w:t>
      </w:r>
      <w:r w:rsidRPr="00247465">
        <w:t xml:space="preserve">, in relation to an Equity Market Product or ASX SPI 200 Future and an Order Book, means the first Transaction in the Equity Market Product or ASX SPI 200 Future on the Order Book after a Trading Reset. </w:t>
      </w:r>
    </w:p>
    <w:p w:rsidR="00693084" w:rsidRPr="00247465" w:rsidRDefault="00693084" w:rsidP="00693084">
      <w:pPr>
        <w:pStyle w:val="MIRHeading3"/>
      </w:pPr>
      <w:r w:rsidRPr="00247465">
        <w:t>[32]</w:t>
      </w:r>
      <w:r w:rsidRPr="00247465">
        <w:tab/>
        <w:t>Rule 1.4.3, after definition of “Operating Rules”</w:t>
      </w:r>
    </w:p>
    <w:p w:rsidR="00693084" w:rsidRPr="00247465" w:rsidRDefault="00693084" w:rsidP="00693084">
      <w:pPr>
        <w:pStyle w:val="MIRBodyText"/>
        <w:numPr>
          <w:ilvl w:val="0"/>
          <w:numId w:val="0"/>
        </w:numPr>
        <w:ind w:left="851"/>
        <w:rPr>
          <w:i/>
        </w:rPr>
      </w:pPr>
      <w:proofErr w:type="gramStart"/>
      <w:r w:rsidRPr="00247465">
        <w:rPr>
          <w:i/>
        </w:rPr>
        <w:t>insert</w:t>
      </w:r>
      <w:proofErr w:type="gramEnd"/>
    </w:p>
    <w:p w:rsidR="00693084" w:rsidRPr="00247465" w:rsidRDefault="00693084" w:rsidP="00693084">
      <w:pPr>
        <w:pStyle w:val="MIRBodyText"/>
      </w:pPr>
      <w:r w:rsidRPr="00247465">
        <w:rPr>
          <w:b/>
          <w:bCs/>
          <w:i/>
          <w:iCs/>
        </w:rPr>
        <w:t xml:space="preserve">Options Market Contract </w:t>
      </w:r>
      <w:r w:rsidRPr="00247465">
        <w:t xml:space="preserve">means a contract on the terms of an Option Series. </w:t>
      </w:r>
    </w:p>
    <w:p w:rsidR="00693084" w:rsidRPr="00247465" w:rsidRDefault="00693084" w:rsidP="00693084">
      <w:pPr>
        <w:pStyle w:val="MIRBodyText"/>
      </w:pPr>
      <w:r w:rsidRPr="00247465">
        <w:rPr>
          <w:b/>
          <w:bCs/>
          <w:i/>
          <w:iCs/>
        </w:rPr>
        <w:t xml:space="preserve">Option Series </w:t>
      </w:r>
      <w:r w:rsidRPr="00247465">
        <w:t xml:space="preserve">means a set of contractual terms on which options are authorised for trading by ASX. </w:t>
      </w:r>
    </w:p>
    <w:p w:rsidR="009409B3" w:rsidRPr="00247465" w:rsidRDefault="009409B3" w:rsidP="00693084">
      <w:pPr>
        <w:pStyle w:val="MIRHeading3"/>
      </w:pPr>
      <w:r w:rsidRPr="00247465">
        <w:t>[</w:t>
      </w:r>
      <w:r w:rsidR="00C22918" w:rsidRPr="00247465">
        <w:t>3</w:t>
      </w:r>
      <w:r w:rsidR="001C0595" w:rsidRPr="00247465">
        <w:t>3</w:t>
      </w:r>
      <w:r w:rsidRPr="00247465">
        <w:t>]</w:t>
      </w:r>
      <w:r w:rsidRPr="00247465">
        <w:tab/>
        <w:t>Rule 1.4.3, definition of “Order”</w:t>
      </w:r>
    </w:p>
    <w:p w:rsidR="009409B3" w:rsidRPr="00247465" w:rsidRDefault="00C62460" w:rsidP="009409B3">
      <w:pPr>
        <w:pStyle w:val="MIRBodyText"/>
        <w:numPr>
          <w:ilvl w:val="0"/>
          <w:numId w:val="0"/>
        </w:numPr>
        <w:ind w:left="851"/>
        <w:rPr>
          <w:i/>
        </w:rPr>
      </w:pPr>
      <w:proofErr w:type="gramStart"/>
      <w:r w:rsidRPr="00247465">
        <w:rPr>
          <w:i/>
        </w:rPr>
        <w:t>o</w:t>
      </w:r>
      <w:r w:rsidR="009409B3" w:rsidRPr="00247465">
        <w:rPr>
          <w:i/>
        </w:rPr>
        <w:t>mit</w:t>
      </w:r>
      <w:proofErr w:type="gramEnd"/>
      <w:r w:rsidR="009409B3" w:rsidRPr="00247465">
        <w:rPr>
          <w:i/>
        </w:rPr>
        <w:t xml:space="preserve"> </w:t>
      </w:r>
    </w:p>
    <w:p w:rsidR="009409B3" w:rsidRPr="00247465" w:rsidRDefault="009409B3" w:rsidP="009409B3">
      <w:pPr>
        <w:pStyle w:val="MIRBodyText"/>
        <w:numPr>
          <w:ilvl w:val="0"/>
          <w:numId w:val="0"/>
        </w:numPr>
        <w:ind w:left="851"/>
      </w:pPr>
      <w:r w:rsidRPr="00247465">
        <w:t>Equity Market Products</w:t>
      </w:r>
    </w:p>
    <w:p w:rsidR="00AA548E" w:rsidRPr="00247465" w:rsidRDefault="00AA548E" w:rsidP="009409B3">
      <w:pPr>
        <w:pStyle w:val="MIRBodyText"/>
        <w:numPr>
          <w:ilvl w:val="0"/>
          <w:numId w:val="0"/>
        </w:numPr>
        <w:ind w:left="851"/>
        <w:rPr>
          <w:i/>
        </w:rPr>
      </w:pPr>
      <w:r w:rsidRPr="00247465">
        <w:rPr>
          <w:i/>
        </w:rPr>
        <w:t>(</w:t>
      </w:r>
      <w:proofErr w:type="gramStart"/>
      <w:r w:rsidRPr="00247465">
        <w:rPr>
          <w:i/>
        </w:rPr>
        <w:t>wherever</w:t>
      </w:r>
      <w:proofErr w:type="gramEnd"/>
      <w:r w:rsidRPr="00247465">
        <w:rPr>
          <w:i/>
        </w:rPr>
        <w:t xml:space="preserve"> occurring)</w:t>
      </w:r>
    </w:p>
    <w:p w:rsidR="009409B3" w:rsidRPr="00247465" w:rsidRDefault="009409B3" w:rsidP="009409B3">
      <w:pPr>
        <w:pStyle w:val="MIRBodyText"/>
        <w:numPr>
          <w:ilvl w:val="0"/>
          <w:numId w:val="0"/>
        </w:numPr>
        <w:ind w:left="851"/>
        <w:rPr>
          <w:i/>
        </w:rPr>
      </w:pPr>
      <w:proofErr w:type="gramStart"/>
      <w:r w:rsidRPr="00247465">
        <w:rPr>
          <w:i/>
        </w:rPr>
        <w:t>substitute</w:t>
      </w:r>
      <w:proofErr w:type="gramEnd"/>
    </w:p>
    <w:p w:rsidR="00FC1157" w:rsidRPr="00247465" w:rsidRDefault="009409B3" w:rsidP="009409B3">
      <w:pPr>
        <w:pStyle w:val="MIRBodyText"/>
      </w:pPr>
      <w:r w:rsidRPr="00247465">
        <w:t>Financial Products</w:t>
      </w:r>
    </w:p>
    <w:p w:rsidR="00F55A51" w:rsidRPr="00247465" w:rsidRDefault="00693084" w:rsidP="00F55A51">
      <w:pPr>
        <w:pStyle w:val="MIRHeading3"/>
      </w:pPr>
      <w:r w:rsidRPr="00247465">
        <w:t xml:space="preserve"> </w:t>
      </w:r>
      <w:r w:rsidR="00F55A51" w:rsidRPr="00247465">
        <w:t>[3</w:t>
      </w:r>
      <w:r w:rsidR="001C0595" w:rsidRPr="00247465">
        <w:t>4</w:t>
      </w:r>
      <w:r w:rsidR="00F55A51" w:rsidRPr="00247465">
        <w:t>]</w:t>
      </w:r>
      <w:r w:rsidR="00F55A51" w:rsidRPr="00247465">
        <w:tab/>
        <w:t>Rule 1.4.3, definition of “Pre-Trading Hours Period”</w:t>
      </w:r>
    </w:p>
    <w:p w:rsidR="00F55A51" w:rsidRPr="00247465" w:rsidRDefault="00F55A51" w:rsidP="00F55A51">
      <w:pPr>
        <w:pStyle w:val="MIRBodyText"/>
        <w:numPr>
          <w:ilvl w:val="0"/>
          <w:numId w:val="0"/>
        </w:numPr>
        <w:ind w:left="851"/>
        <w:rPr>
          <w:i/>
        </w:rPr>
      </w:pPr>
      <w:proofErr w:type="gramStart"/>
      <w:r w:rsidRPr="00247465">
        <w:rPr>
          <w:i/>
        </w:rPr>
        <w:t>omit</w:t>
      </w:r>
      <w:proofErr w:type="gramEnd"/>
      <w:r w:rsidRPr="00247465">
        <w:rPr>
          <w:i/>
        </w:rPr>
        <w:t xml:space="preserve"> </w:t>
      </w:r>
    </w:p>
    <w:p w:rsidR="00F55A51" w:rsidRPr="00247465" w:rsidRDefault="00F55A51" w:rsidP="00F55A51">
      <w:pPr>
        <w:pStyle w:val="MIRBodyText"/>
        <w:numPr>
          <w:ilvl w:val="0"/>
          <w:numId w:val="0"/>
        </w:numPr>
        <w:ind w:left="851"/>
      </w:pPr>
      <w:proofErr w:type="gramStart"/>
      <w:r w:rsidRPr="00247465">
        <w:t>the</w:t>
      </w:r>
      <w:proofErr w:type="gramEnd"/>
      <w:r w:rsidRPr="00247465">
        <w:t xml:space="preserve"> Listing Market</w:t>
      </w:r>
    </w:p>
    <w:p w:rsidR="00AA548E" w:rsidRPr="00247465" w:rsidRDefault="00AA548E" w:rsidP="00F55A51">
      <w:pPr>
        <w:pStyle w:val="MIRBodyText"/>
        <w:numPr>
          <w:ilvl w:val="0"/>
          <w:numId w:val="0"/>
        </w:numPr>
        <w:ind w:left="851"/>
        <w:rPr>
          <w:i/>
        </w:rPr>
      </w:pPr>
      <w:r w:rsidRPr="00247465">
        <w:rPr>
          <w:i/>
        </w:rPr>
        <w:t>(</w:t>
      </w:r>
      <w:proofErr w:type="gramStart"/>
      <w:r w:rsidRPr="00247465">
        <w:rPr>
          <w:i/>
        </w:rPr>
        <w:t>wherever</w:t>
      </w:r>
      <w:proofErr w:type="gramEnd"/>
      <w:r w:rsidRPr="00247465">
        <w:rPr>
          <w:i/>
        </w:rPr>
        <w:t xml:space="preserve"> occurring)</w:t>
      </w:r>
    </w:p>
    <w:p w:rsidR="00F55A51" w:rsidRPr="00247465" w:rsidRDefault="000E70CF" w:rsidP="00F55A51">
      <w:pPr>
        <w:pStyle w:val="MIRBodyText"/>
        <w:numPr>
          <w:ilvl w:val="0"/>
          <w:numId w:val="0"/>
        </w:numPr>
        <w:ind w:left="851"/>
        <w:rPr>
          <w:i/>
        </w:rPr>
      </w:pPr>
      <w:proofErr w:type="gramStart"/>
      <w:r>
        <w:rPr>
          <w:i/>
        </w:rPr>
        <w:t>substitute</w:t>
      </w:r>
      <w:proofErr w:type="gramEnd"/>
    </w:p>
    <w:p w:rsidR="00F55A51" w:rsidRPr="00247465" w:rsidRDefault="00F55A51" w:rsidP="00F55A51">
      <w:pPr>
        <w:pStyle w:val="MIRBodyText"/>
      </w:pPr>
      <w:r w:rsidRPr="00247465">
        <w:t xml:space="preserve">ASX </w:t>
      </w:r>
      <w:proofErr w:type="spellStart"/>
      <w:r w:rsidRPr="00247465">
        <w:t>TradeMatch</w:t>
      </w:r>
      <w:proofErr w:type="spellEnd"/>
    </w:p>
    <w:p w:rsidR="000B7A61" w:rsidRPr="00247465" w:rsidRDefault="000B7A61" w:rsidP="000B7A61">
      <w:pPr>
        <w:pStyle w:val="MIRHeading3"/>
      </w:pPr>
      <w:r w:rsidRPr="00247465">
        <w:t>[3</w:t>
      </w:r>
      <w:r w:rsidR="001C0595" w:rsidRPr="00247465">
        <w:t>5</w:t>
      </w:r>
      <w:r w:rsidRPr="00247465">
        <w:t>]</w:t>
      </w:r>
      <w:r w:rsidRPr="00247465">
        <w:tab/>
        <w:t>Rule 1.4.3, definition of “Recognised Stock Exchange”</w:t>
      </w:r>
    </w:p>
    <w:p w:rsidR="000B7A61" w:rsidRPr="00247465" w:rsidRDefault="000B7A61" w:rsidP="000B7A61">
      <w:pPr>
        <w:pStyle w:val="MIRBodyText"/>
        <w:numPr>
          <w:ilvl w:val="0"/>
          <w:numId w:val="0"/>
        </w:numPr>
        <w:ind w:left="851"/>
        <w:rPr>
          <w:i/>
        </w:rPr>
      </w:pPr>
      <w:proofErr w:type="gramStart"/>
      <w:r w:rsidRPr="00247465">
        <w:rPr>
          <w:i/>
        </w:rPr>
        <w:t>omit</w:t>
      </w:r>
      <w:proofErr w:type="gramEnd"/>
    </w:p>
    <w:p w:rsidR="000B7A61" w:rsidRPr="00247465" w:rsidRDefault="000B7A61" w:rsidP="000B7A61">
      <w:pPr>
        <w:pStyle w:val="MIRBodyText"/>
        <w:numPr>
          <w:ilvl w:val="0"/>
          <w:numId w:val="0"/>
        </w:numPr>
        <w:ind w:left="851"/>
      </w:pPr>
      <w:proofErr w:type="gramStart"/>
      <w:r w:rsidRPr="00247465">
        <w:t>the</w:t>
      </w:r>
      <w:proofErr w:type="gramEnd"/>
      <w:r w:rsidRPr="00247465">
        <w:t xml:space="preserve"> Listing Market</w:t>
      </w:r>
    </w:p>
    <w:p w:rsidR="000B7A61" w:rsidRPr="00247465" w:rsidRDefault="000E70CF" w:rsidP="000B7A61">
      <w:pPr>
        <w:pStyle w:val="MIRBodyText"/>
        <w:numPr>
          <w:ilvl w:val="0"/>
          <w:numId w:val="0"/>
        </w:numPr>
        <w:ind w:left="851"/>
        <w:rPr>
          <w:i/>
        </w:rPr>
      </w:pPr>
      <w:proofErr w:type="gramStart"/>
      <w:r>
        <w:rPr>
          <w:i/>
        </w:rPr>
        <w:lastRenderedPageBreak/>
        <w:t>substitute</w:t>
      </w:r>
      <w:proofErr w:type="gramEnd"/>
    </w:p>
    <w:p w:rsidR="000B7A61" w:rsidRPr="00247465" w:rsidRDefault="000B7A61" w:rsidP="000B7A61">
      <w:pPr>
        <w:pStyle w:val="MIRBodyText"/>
      </w:pPr>
      <w:r w:rsidRPr="00247465">
        <w:t>ASX</w:t>
      </w:r>
    </w:p>
    <w:p w:rsidR="00B25DC7" w:rsidRPr="00247465" w:rsidRDefault="00B25DC7" w:rsidP="00B25DC7">
      <w:pPr>
        <w:pStyle w:val="MIRHeading3"/>
      </w:pPr>
      <w:r w:rsidRPr="00247465">
        <w:t>[3</w:t>
      </w:r>
      <w:r w:rsidR="001C0595" w:rsidRPr="00247465">
        <w:t>6</w:t>
      </w:r>
      <w:r w:rsidRPr="00247465">
        <w:t>]</w:t>
      </w:r>
      <w:r w:rsidRPr="00247465">
        <w:tab/>
        <w:t>Rule 1.4.3, definition of “Reference Bid”</w:t>
      </w:r>
    </w:p>
    <w:p w:rsidR="00B25DC7" w:rsidRPr="00247465" w:rsidRDefault="00B25DC7" w:rsidP="00B25DC7">
      <w:pPr>
        <w:pStyle w:val="MIRBodyText"/>
        <w:numPr>
          <w:ilvl w:val="0"/>
          <w:numId w:val="0"/>
        </w:numPr>
        <w:ind w:left="851"/>
        <w:rPr>
          <w:i/>
        </w:rPr>
      </w:pPr>
      <w:proofErr w:type="gramStart"/>
      <w:r w:rsidRPr="00247465">
        <w:rPr>
          <w:i/>
        </w:rPr>
        <w:t>omit</w:t>
      </w:r>
      <w:proofErr w:type="gramEnd"/>
      <w:r w:rsidR="0000024D" w:rsidRPr="00247465">
        <w:rPr>
          <w:i/>
        </w:rPr>
        <w:t xml:space="preserve"> the definition</w:t>
      </w:r>
    </w:p>
    <w:p w:rsidR="00B25DC7" w:rsidRPr="00247465" w:rsidRDefault="00B25DC7" w:rsidP="00B25DC7">
      <w:pPr>
        <w:pStyle w:val="MIRHeading3"/>
      </w:pPr>
      <w:r w:rsidRPr="00247465">
        <w:t>[3</w:t>
      </w:r>
      <w:r w:rsidR="001C0595" w:rsidRPr="00247465">
        <w:t>7</w:t>
      </w:r>
      <w:r w:rsidRPr="00247465">
        <w:t>]</w:t>
      </w:r>
      <w:r w:rsidRPr="00247465">
        <w:tab/>
        <w:t>Rule 1.4.3, definition of “Reference Mid-Point”</w:t>
      </w:r>
    </w:p>
    <w:p w:rsidR="00B25DC7" w:rsidRPr="00247465" w:rsidRDefault="00B25DC7" w:rsidP="00B25DC7">
      <w:pPr>
        <w:pStyle w:val="MIRBodyText"/>
        <w:numPr>
          <w:ilvl w:val="0"/>
          <w:numId w:val="0"/>
        </w:numPr>
        <w:ind w:left="851"/>
        <w:rPr>
          <w:i/>
        </w:rPr>
      </w:pPr>
      <w:proofErr w:type="gramStart"/>
      <w:r w:rsidRPr="00247465">
        <w:rPr>
          <w:i/>
        </w:rPr>
        <w:t>omit</w:t>
      </w:r>
      <w:proofErr w:type="gramEnd"/>
      <w:r w:rsidR="0000024D" w:rsidRPr="00247465">
        <w:rPr>
          <w:i/>
        </w:rPr>
        <w:t xml:space="preserve"> the definition</w:t>
      </w:r>
    </w:p>
    <w:p w:rsidR="00B25DC7" w:rsidRPr="00247465" w:rsidRDefault="00B25DC7" w:rsidP="00B25DC7">
      <w:pPr>
        <w:pStyle w:val="MIRHeading3"/>
      </w:pPr>
      <w:r w:rsidRPr="00247465">
        <w:t>[3</w:t>
      </w:r>
      <w:r w:rsidR="001C0595" w:rsidRPr="00247465">
        <w:t>8</w:t>
      </w:r>
      <w:r w:rsidRPr="00247465">
        <w:t>]</w:t>
      </w:r>
      <w:r w:rsidRPr="00247465">
        <w:tab/>
        <w:t>Rule 1.4.3, definition of “Reference Offer”</w:t>
      </w:r>
    </w:p>
    <w:p w:rsidR="00B25DC7" w:rsidRPr="00247465" w:rsidRDefault="00B25DC7" w:rsidP="00B25DC7">
      <w:pPr>
        <w:pStyle w:val="MIRBodyText"/>
        <w:numPr>
          <w:ilvl w:val="0"/>
          <w:numId w:val="0"/>
        </w:numPr>
        <w:ind w:left="851"/>
        <w:rPr>
          <w:i/>
        </w:rPr>
      </w:pPr>
      <w:proofErr w:type="gramStart"/>
      <w:r w:rsidRPr="00247465">
        <w:rPr>
          <w:i/>
        </w:rPr>
        <w:t>omit</w:t>
      </w:r>
      <w:proofErr w:type="gramEnd"/>
      <w:r w:rsidR="0000024D" w:rsidRPr="00247465">
        <w:rPr>
          <w:i/>
        </w:rPr>
        <w:t xml:space="preserve"> the definition</w:t>
      </w:r>
    </w:p>
    <w:p w:rsidR="00B25DC7" w:rsidRPr="00247465" w:rsidRDefault="00B25DC7" w:rsidP="00B25DC7">
      <w:pPr>
        <w:pStyle w:val="MIRHeading3"/>
      </w:pPr>
      <w:r w:rsidRPr="00247465">
        <w:t>[3</w:t>
      </w:r>
      <w:r w:rsidR="001C0595" w:rsidRPr="00247465">
        <w:t>9</w:t>
      </w:r>
      <w:r w:rsidRPr="00247465">
        <w:t>]</w:t>
      </w:r>
      <w:r w:rsidRPr="00247465">
        <w:tab/>
        <w:t>Rule 1.4.3, definition of “Reference Price”</w:t>
      </w:r>
    </w:p>
    <w:p w:rsidR="007154E0" w:rsidRDefault="001C0595" w:rsidP="008B197A">
      <w:pPr>
        <w:pStyle w:val="MIRBodyText"/>
        <w:numPr>
          <w:ilvl w:val="0"/>
          <w:numId w:val="0"/>
        </w:numPr>
        <w:ind w:left="851"/>
        <w:rPr>
          <w:i/>
        </w:rPr>
      </w:pPr>
      <w:proofErr w:type="gramStart"/>
      <w:r w:rsidRPr="00247465">
        <w:rPr>
          <w:i/>
        </w:rPr>
        <w:t>omit</w:t>
      </w:r>
      <w:proofErr w:type="gramEnd"/>
      <w:r w:rsidRPr="00247465">
        <w:rPr>
          <w:i/>
        </w:rPr>
        <w:t xml:space="preserve"> </w:t>
      </w:r>
    </w:p>
    <w:p w:rsidR="007154E0" w:rsidRDefault="001C0595" w:rsidP="008B197A">
      <w:pPr>
        <w:pStyle w:val="MIRBodyText"/>
        <w:numPr>
          <w:ilvl w:val="0"/>
          <w:numId w:val="0"/>
        </w:numPr>
        <w:ind w:left="851"/>
        <w:rPr>
          <w:i/>
        </w:rPr>
      </w:pPr>
      <w:proofErr w:type="gramStart"/>
      <w:r w:rsidRPr="007154E0">
        <w:t>has</w:t>
      </w:r>
      <w:proofErr w:type="gramEnd"/>
      <w:r w:rsidRPr="007154E0">
        <w:t xml:space="preserve"> the meaning given by</w:t>
      </w:r>
      <w:r w:rsidR="00D55CA8" w:rsidRPr="007154E0">
        <w:t xml:space="preserve"> subrule 2.2.2(4)</w:t>
      </w:r>
    </w:p>
    <w:p w:rsidR="008B197A" w:rsidRPr="00247465" w:rsidRDefault="00B070DC" w:rsidP="008B197A">
      <w:pPr>
        <w:pStyle w:val="MIRBodyText"/>
        <w:numPr>
          <w:ilvl w:val="0"/>
          <w:numId w:val="0"/>
        </w:numPr>
        <w:ind w:left="851"/>
        <w:rPr>
          <w:i/>
        </w:rPr>
      </w:pPr>
      <w:proofErr w:type="gramStart"/>
      <w:r w:rsidRPr="00247465">
        <w:rPr>
          <w:i/>
        </w:rPr>
        <w:t>substitute</w:t>
      </w:r>
      <w:proofErr w:type="gramEnd"/>
    </w:p>
    <w:p w:rsidR="008B197A" w:rsidRPr="00247465" w:rsidRDefault="008B197A" w:rsidP="008B197A">
      <w:pPr>
        <w:pStyle w:val="MIRBodyText"/>
        <w:numPr>
          <w:ilvl w:val="0"/>
          <w:numId w:val="0"/>
        </w:numPr>
        <w:ind w:left="851"/>
      </w:pPr>
      <w:proofErr w:type="gramStart"/>
      <w:r w:rsidRPr="00247465">
        <w:rPr>
          <w:bCs/>
          <w:iCs/>
        </w:rPr>
        <w:t>means</w:t>
      </w:r>
      <w:proofErr w:type="gramEnd"/>
      <w:r w:rsidRPr="00247465">
        <w:t xml:space="preserve"> a price determined in accordance with </w:t>
      </w:r>
      <w:r w:rsidR="00C031AB" w:rsidRPr="00247465">
        <w:t>Rule 2.2.2</w:t>
      </w:r>
    </w:p>
    <w:p w:rsidR="004F5A85" w:rsidRPr="00247465" w:rsidRDefault="004F5A85" w:rsidP="004F5A85">
      <w:pPr>
        <w:pStyle w:val="MIRHeading3"/>
      </w:pPr>
      <w:r w:rsidRPr="00247465">
        <w:t>[</w:t>
      </w:r>
      <w:r w:rsidR="001C0595" w:rsidRPr="00247465">
        <w:t>40</w:t>
      </w:r>
      <w:r w:rsidRPr="00247465">
        <w:t>]</w:t>
      </w:r>
      <w:r w:rsidRPr="00247465">
        <w:tab/>
        <w:t>Rule 1.4.3, after definition of “Reference Price”</w:t>
      </w:r>
    </w:p>
    <w:p w:rsidR="004F5A85" w:rsidRPr="00247465" w:rsidRDefault="004F5A85" w:rsidP="004F5A85">
      <w:pPr>
        <w:pStyle w:val="MIRBodyText"/>
        <w:numPr>
          <w:ilvl w:val="0"/>
          <w:numId w:val="0"/>
        </w:numPr>
        <w:ind w:left="851"/>
        <w:rPr>
          <w:bCs/>
          <w:i/>
          <w:iCs/>
        </w:rPr>
      </w:pPr>
      <w:proofErr w:type="gramStart"/>
      <w:r w:rsidRPr="00247465">
        <w:rPr>
          <w:bCs/>
          <w:i/>
          <w:iCs/>
        </w:rPr>
        <w:t>insert</w:t>
      </w:r>
      <w:proofErr w:type="gramEnd"/>
    </w:p>
    <w:p w:rsidR="004F5A85" w:rsidRPr="00247465" w:rsidRDefault="004F5A85" w:rsidP="004F5A85">
      <w:pPr>
        <w:pStyle w:val="MIRBodyText"/>
      </w:pPr>
      <w:r w:rsidRPr="00247465">
        <w:rPr>
          <w:b/>
          <w:i/>
        </w:rPr>
        <w:t>Regulatory Data</w:t>
      </w:r>
      <w:r w:rsidRPr="00247465">
        <w:t xml:space="preserve"> has the meaning given by Rule 5A.</w:t>
      </w:r>
      <w:r w:rsidR="00C00849" w:rsidRPr="00247465">
        <w:t>2</w:t>
      </w:r>
      <w:r w:rsidRPr="00247465">
        <w:t>.</w:t>
      </w:r>
      <w:r w:rsidR="00C00849" w:rsidRPr="00247465">
        <w:t>3</w:t>
      </w:r>
      <w:r w:rsidRPr="00247465">
        <w:t xml:space="preserve">. </w:t>
      </w:r>
    </w:p>
    <w:p w:rsidR="00A01026" w:rsidRPr="00247465" w:rsidRDefault="00A01026" w:rsidP="00A01026">
      <w:pPr>
        <w:pStyle w:val="MIRHeading3"/>
      </w:pPr>
      <w:r w:rsidRPr="00247465">
        <w:t>[</w:t>
      </w:r>
      <w:r w:rsidR="00070E20" w:rsidRPr="00247465">
        <w:t>41</w:t>
      </w:r>
      <w:r w:rsidRPr="00247465">
        <w:t>]</w:t>
      </w:r>
      <w:r w:rsidRPr="00247465">
        <w:tab/>
        <w:t>Rule 1.4.3, after definition of “Reporting Participant”</w:t>
      </w:r>
    </w:p>
    <w:p w:rsidR="00A01026" w:rsidRPr="00247465" w:rsidRDefault="00051223" w:rsidP="00A01026">
      <w:pPr>
        <w:pStyle w:val="MIRBodyText"/>
        <w:numPr>
          <w:ilvl w:val="0"/>
          <w:numId w:val="0"/>
        </w:numPr>
        <w:ind w:left="851"/>
        <w:rPr>
          <w:bCs/>
          <w:i/>
          <w:iCs/>
        </w:rPr>
      </w:pPr>
      <w:proofErr w:type="gramStart"/>
      <w:r w:rsidRPr="00247465">
        <w:rPr>
          <w:bCs/>
          <w:i/>
          <w:iCs/>
        </w:rPr>
        <w:t>i</w:t>
      </w:r>
      <w:r w:rsidR="00A01026" w:rsidRPr="00247465">
        <w:rPr>
          <w:bCs/>
          <w:i/>
          <w:iCs/>
        </w:rPr>
        <w:t>nsert</w:t>
      </w:r>
      <w:proofErr w:type="gramEnd"/>
    </w:p>
    <w:p w:rsidR="00A01026" w:rsidRPr="00247465" w:rsidRDefault="00A01026" w:rsidP="00A01026">
      <w:pPr>
        <w:pStyle w:val="MIRBodyText"/>
      </w:pPr>
      <w:r w:rsidRPr="00247465">
        <w:rPr>
          <w:b/>
          <w:i/>
        </w:rPr>
        <w:t>Responsible Market Operator</w:t>
      </w:r>
      <w:r w:rsidRPr="00247465">
        <w:t xml:space="preserve"> means: </w:t>
      </w:r>
    </w:p>
    <w:p w:rsidR="00A01026" w:rsidRPr="00247465" w:rsidRDefault="00A01026" w:rsidP="00F57717">
      <w:pPr>
        <w:pStyle w:val="MIRSubpara"/>
        <w:numPr>
          <w:ilvl w:val="0"/>
          <w:numId w:val="19"/>
        </w:numPr>
      </w:pPr>
      <w:r w:rsidRPr="00247465">
        <w:t xml:space="preserve">in relation to Equity Market Products, ASX; and </w:t>
      </w:r>
    </w:p>
    <w:p w:rsidR="00A01026" w:rsidRPr="00247465" w:rsidRDefault="00A01026" w:rsidP="00A01026">
      <w:pPr>
        <w:pStyle w:val="MIRSubpara"/>
      </w:pPr>
      <w:r w:rsidRPr="00247465">
        <w:t xml:space="preserve">in relation to ASX SPI 200 Futures, ASX 24. </w:t>
      </w:r>
    </w:p>
    <w:p w:rsidR="00051223" w:rsidRPr="00247465" w:rsidRDefault="00051223" w:rsidP="00051223">
      <w:pPr>
        <w:pStyle w:val="MIRHeading3"/>
      </w:pPr>
      <w:r w:rsidRPr="00247465">
        <w:t>[</w:t>
      </w:r>
      <w:r w:rsidR="00C22918" w:rsidRPr="00247465">
        <w:t>4</w:t>
      </w:r>
      <w:r w:rsidR="00070E20" w:rsidRPr="00247465">
        <w:t>2</w:t>
      </w:r>
      <w:r w:rsidRPr="00247465">
        <w:t>]</w:t>
      </w:r>
      <w:r w:rsidRPr="00247465">
        <w:tab/>
        <w:t>Rule 1.4.3, definition of “Sell Order”</w:t>
      </w:r>
    </w:p>
    <w:p w:rsidR="00051223" w:rsidRPr="00247465" w:rsidRDefault="00051223" w:rsidP="00051223">
      <w:pPr>
        <w:pStyle w:val="MIRBodyText"/>
        <w:numPr>
          <w:ilvl w:val="0"/>
          <w:numId w:val="0"/>
        </w:numPr>
        <w:ind w:left="851"/>
        <w:rPr>
          <w:bCs/>
          <w:i/>
          <w:iCs/>
        </w:rPr>
      </w:pPr>
      <w:proofErr w:type="gramStart"/>
      <w:r w:rsidRPr="00247465">
        <w:rPr>
          <w:bCs/>
          <w:i/>
          <w:iCs/>
        </w:rPr>
        <w:t>omit</w:t>
      </w:r>
      <w:proofErr w:type="gramEnd"/>
    </w:p>
    <w:p w:rsidR="00051223" w:rsidRPr="00247465" w:rsidRDefault="00051223" w:rsidP="00051223">
      <w:pPr>
        <w:pStyle w:val="MIRBodyText"/>
      </w:pPr>
      <w:r w:rsidRPr="00247465">
        <w:t>Equity Market Products</w:t>
      </w:r>
    </w:p>
    <w:p w:rsidR="00051223" w:rsidRPr="00247465" w:rsidRDefault="00051223" w:rsidP="00051223">
      <w:pPr>
        <w:pStyle w:val="MIRBodyText"/>
      </w:pPr>
      <w:r w:rsidRPr="00247465">
        <w:rPr>
          <w:i/>
        </w:rPr>
        <w:t>substitute</w:t>
      </w:r>
    </w:p>
    <w:p w:rsidR="00051223" w:rsidRPr="00247465" w:rsidRDefault="00051223" w:rsidP="00051223">
      <w:pPr>
        <w:pStyle w:val="MIRBodyText"/>
      </w:pPr>
      <w:r w:rsidRPr="00247465">
        <w:lastRenderedPageBreak/>
        <w:t>Financial Products</w:t>
      </w:r>
    </w:p>
    <w:p w:rsidR="005F4F48" w:rsidRPr="00247465" w:rsidRDefault="005F4F48" w:rsidP="005F4F48">
      <w:pPr>
        <w:pStyle w:val="MIRHeading3"/>
      </w:pPr>
      <w:r w:rsidRPr="00247465">
        <w:t>[</w:t>
      </w:r>
      <w:r w:rsidR="00C22918" w:rsidRPr="00247465">
        <w:t>4</w:t>
      </w:r>
      <w:r w:rsidR="003105FD" w:rsidRPr="00247465">
        <w:t>3</w:t>
      </w:r>
      <w:r w:rsidRPr="00247465">
        <w:t>]</w:t>
      </w:r>
      <w:r w:rsidRPr="00247465">
        <w:tab/>
        <w:t>Rule 1.4.3, definition of “Tick Size”</w:t>
      </w:r>
    </w:p>
    <w:p w:rsidR="005F4F48" w:rsidRPr="00247465" w:rsidRDefault="00CB3A93" w:rsidP="005F4F48">
      <w:pPr>
        <w:pStyle w:val="MIRBodyText"/>
      </w:pPr>
      <w:r w:rsidRPr="00247465">
        <w:rPr>
          <w:i/>
        </w:rPr>
        <w:t xml:space="preserve">omit the definition, </w:t>
      </w:r>
      <w:r w:rsidR="005F4F48" w:rsidRPr="00247465">
        <w:rPr>
          <w:i/>
        </w:rPr>
        <w:t>substitute</w:t>
      </w:r>
    </w:p>
    <w:p w:rsidR="005F4F48" w:rsidRPr="00247465" w:rsidRDefault="005F4F48" w:rsidP="005F4F48">
      <w:pPr>
        <w:pStyle w:val="MIRBodyText"/>
      </w:pPr>
      <w:r w:rsidRPr="00247465">
        <w:rPr>
          <w:b/>
          <w:i/>
        </w:rPr>
        <w:t>Tick Size</w:t>
      </w:r>
      <w:r w:rsidRPr="00247465">
        <w:t xml:space="preserve"> means: </w:t>
      </w:r>
    </w:p>
    <w:p w:rsidR="005F4F48" w:rsidRPr="00247465" w:rsidRDefault="005F4F48" w:rsidP="00F57717">
      <w:pPr>
        <w:pStyle w:val="MIRSubpara"/>
        <w:numPr>
          <w:ilvl w:val="0"/>
          <w:numId w:val="20"/>
        </w:numPr>
      </w:pPr>
      <w:r w:rsidRPr="00247465">
        <w:t xml:space="preserve">in relation to an Equity Market Product, the minimum increment by which the price for an Equity Market Product may increase or decrease, in accordance with Rule 6.4.1; and </w:t>
      </w:r>
    </w:p>
    <w:p w:rsidR="005F4F48" w:rsidRPr="00247465" w:rsidRDefault="005F4F48" w:rsidP="005F4F48">
      <w:pPr>
        <w:pStyle w:val="MIRSubpara"/>
      </w:pPr>
      <w:r w:rsidRPr="00247465">
        <w:t xml:space="preserve">in relation to </w:t>
      </w:r>
      <w:r w:rsidR="007B0AB1">
        <w:t>an</w:t>
      </w:r>
      <w:r w:rsidRPr="00247465">
        <w:t xml:space="preserve"> ASX SPI 200 Future, one index point. </w:t>
      </w:r>
    </w:p>
    <w:p w:rsidR="003758B2" w:rsidRPr="00247465" w:rsidRDefault="003758B2" w:rsidP="003758B2">
      <w:pPr>
        <w:pStyle w:val="MIRHeading3"/>
      </w:pPr>
      <w:r w:rsidRPr="00247465">
        <w:t>[4</w:t>
      </w:r>
      <w:r w:rsidR="003105FD" w:rsidRPr="00247465">
        <w:t>4</w:t>
      </w:r>
      <w:r w:rsidRPr="00247465">
        <w:t>]</w:t>
      </w:r>
      <w:r w:rsidRPr="00247465">
        <w:tab/>
        <w:t>Rule 1.4.3, after definition of “Tick Size”</w:t>
      </w:r>
    </w:p>
    <w:p w:rsidR="003758B2" w:rsidRPr="00247465" w:rsidRDefault="003758B2" w:rsidP="003758B2">
      <w:pPr>
        <w:pStyle w:val="MIRBodyText"/>
        <w:rPr>
          <w:i/>
        </w:rPr>
      </w:pPr>
      <w:r w:rsidRPr="00247465">
        <w:rPr>
          <w:i/>
        </w:rPr>
        <w:t>insert</w:t>
      </w:r>
    </w:p>
    <w:p w:rsidR="003758B2" w:rsidRPr="00247465" w:rsidRDefault="003758B2" w:rsidP="003758B2">
      <w:pPr>
        <w:pStyle w:val="MIRBodyText"/>
      </w:pPr>
      <w:r w:rsidRPr="00247465">
        <w:rPr>
          <w:b/>
          <w:bCs/>
          <w:i/>
          <w:iCs/>
        </w:rPr>
        <w:t xml:space="preserve">Tier 1 Equity Market Product </w:t>
      </w:r>
      <w:r w:rsidRPr="00247465">
        <w:t>has the meaning given by paragraph 4.2.1(3</w:t>
      </w:r>
      <w:proofErr w:type="gramStart"/>
      <w:r w:rsidRPr="00247465">
        <w:t>)(</w:t>
      </w:r>
      <w:proofErr w:type="gramEnd"/>
      <w:r w:rsidRPr="00247465">
        <w:t xml:space="preserve">a). </w:t>
      </w:r>
    </w:p>
    <w:p w:rsidR="003758B2" w:rsidRPr="00247465" w:rsidRDefault="003758B2" w:rsidP="003758B2">
      <w:pPr>
        <w:pStyle w:val="MIRBodyText"/>
      </w:pPr>
      <w:r w:rsidRPr="00247465">
        <w:rPr>
          <w:b/>
          <w:bCs/>
          <w:i/>
          <w:iCs/>
        </w:rPr>
        <w:t xml:space="preserve">Tier 2 Equity Market Product </w:t>
      </w:r>
      <w:r w:rsidRPr="00247465">
        <w:t>has the meaning given by paragraph 4.2.1(3</w:t>
      </w:r>
      <w:proofErr w:type="gramStart"/>
      <w:r w:rsidRPr="00247465">
        <w:t>)(</w:t>
      </w:r>
      <w:proofErr w:type="gramEnd"/>
      <w:r w:rsidRPr="00247465">
        <w:t xml:space="preserve">b). </w:t>
      </w:r>
    </w:p>
    <w:p w:rsidR="003758B2" w:rsidRPr="00247465" w:rsidRDefault="003758B2" w:rsidP="003758B2">
      <w:pPr>
        <w:pStyle w:val="MIRBodyText"/>
      </w:pPr>
      <w:r w:rsidRPr="00247465">
        <w:rPr>
          <w:b/>
          <w:bCs/>
          <w:i/>
          <w:iCs/>
        </w:rPr>
        <w:t xml:space="preserve">Tier 3 Equity Market Product </w:t>
      </w:r>
      <w:r w:rsidRPr="00247465">
        <w:t>has the meaning given by paragraph 4.2.1(3</w:t>
      </w:r>
      <w:proofErr w:type="gramStart"/>
      <w:r w:rsidRPr="00247465">
        <w:t>)(</w:t>
      </w:r>
      <w:proofErr w:type="gramEnd"/>
      <w:r w:rsidRPr="00247465">
        <w:t xml:space="preserve">c). </w:t>
      </w:r>
    </w:p>
    <w:p w:rsidR="00F822A3" w:rsidRPr="00247465" w:rsidRDefault="00F822A3" w:rsidP="00F822A3">
      <w:pPr>
        <w:pStyle w:val="MIRHeading3"/>
      </w:pPr>
      <w:r w:rsidRPr="00247465">
        <w:t>[4</w:t>
      </w:r>
      <w:r w:rsidR="003105FD" w:rsidRPr="00247465">
        <w:t>5</w:t>
      </w:r>
      <w:r w:rsidRPr="00247465">
        <w:t>]</w:t>
      </w:r>
      <w:r w:rsidRPr="00247465">
        <w:tab/>
        <w:t>Rule 1.4.3, after definition of “Total Consideration”</w:t>
      </w:r>
    </w:p>
    <w:p w:rsidR="00F822A3" w:rsidRPr="00247465" w:rsidRDefault="00F822A3" w:rsidP="00F822A3">
      <w:pPr>
        <w:pStyle w:val="MIRBodyText"/>
        <w:rPr>
          <w:i/>
        </w:rPr>
      </w:pPr>
      <w:r w:rsidRPr="00247465">
        <w:rPr>
          <w:i/>
        </w:rPr>
        <w:t>insert</w:t>
      </w:r>
    </w:p>
    <w:p w:rsidR="00C27F21" w:rsidRPr="00247465" w:rsidRDefault="00C27F21" w:rsidP="00C27F21">
      <w:pPr>
        <w:pStyle w:val="MIRBodyText"/>
      </w:pPr>
      <w:r w:rsidRPr="00247465">
        <w:rPr>
          <w:b/>
          <w:bCs/>
          <w:i/>
          <w:iCs/>
        </w:rPr>
        <w:t xml:space="preserve">Trade Report, </w:t>
      </w:r>
      <w:r w:rsidRPr="00247465">
        <w:t xml:space="preserve">in Chapter 5A, means: </w:t>
      </w:r>
    </w:p>
    <w:p w:rsidR="00C27F21" w:rsidRPr="00247465" w:rsidRDefault="00C27F21" w:rsidP="00F57717">
      <w:pPr>
        <w:pStyle w:val="MIRSubpara"/>
        <w:numPr>
          <w:ilvl w:val="0"/>
          <w:numId w:val="21"/>
        </w:numPr>
      </w:pPr>
      <w:r w:rsidRPr="00247465">
        <w:t xml:space="preserve">in relation to an Equity Market Product, a report of Post-Trade Information required to be made to a Market Operator under Rule 5.1.1; and </w:t>
      </w:r>
    </w:p>
    <w:p w:rsidR="00C27F21" w:rsidRPr="00247465" w:rsidRDefault="00C27F21" w:rsidP="00C27F21">
      <w:pPr>
        <w:pStyle w:val="MIRSubpara"/>
      </w:pPr>
      <w:r w:rsidRPr="00247465">
        <w:t xml:space="preserve">in relation to a Financial Product other than an Equity Market Product, a Futures Market Contract or an Options Market Contract, a report of information in relation to a Transaction entered into otherwise than </w:t>
      </w:r>
      <w:r w:rsidR="00D63E8B" w:rsidRPr="00247465">
        <w:t xml:space="preserve">by </w:t>
      </w:r>
      <w:r w:rsidRPr="00247465">
        <w:t xml:space="preserve">matching of Orders on an Order Book, required to be made to a Market Operator under the Operating Rules of a Market. </w:t>
      </w:r>
    </w:p>
    <w:p w:rsidR="00BB71C0" w:rsidRPr="00247465" w:rsidRDefault="00BB71C0" w:rsidP="00BB71C0">
      <w:pPr>
        <w:pStyle w:val="MIRHeading3"/>
      </w:pPr>
      <w:r w:rsidRPr="00247465">
        <w:t>[4</w:t>
      </w:r>
      <w:r w:rsidR="004C5758" w:rsidRPr="00247465">
        <w:t>6</w:t>
      </w:r>
      <w:r w:rsidRPr="00247465">
        <w:t>]</w:t>
      </w:r>
      <w:r w:rsidRPr="00247465">
        <w:tab/>
        <w:t>Rule 1.4.3, definition of “Trade At or Within the Spread”</w:t>
      </w:r>
    </w:p>
    <w:p w:rsidR="00BB71C0" w:rsidRPr="00247465" w:rsidRDefault="002452A7" w:rsidP="00BB71C0">
      <w:pPr>
        <w:pStyle w:val="MIRBodyText"/>
        <w:rPr>
          <w:i/>
        </w:rPr>
      </w:pPr>
      <w:r w:rsidRPr="00247465">
        <w:rPr>
          <w:i/>
        </w:rPr>
        <w:t xml:space="preserve">omit the definition, </w:t>
      </w:r>
      <w:r w:rsidR="00BB71C0" w:rsidRPr="00247465">
        <w:rPr>
          <w:i/>
        </w:rPr>
        <w:t>substitute</w:t>
      </w:r>
    </w:p>
    <w:p w:rsidR="00BB71C0" w:rsidRPr="00247465" w:rsidRDefault="00BB71C0" w:rsidP="00BB71C0">
      <w:pPr>
        <w:pStyle w:val="MIRBodyText"/>
      </w:pPr>
      <w:r w:rsidRPr="00247465">
        <w:rPr>
          <w:b/>
          <w:i/>
        </w:rPr>
        <w:t>Trade with Price Improvement</w:t>
      </w:r>
      <w:r w:rsidRPr="00247465">
        <w:t xml:space="preserve"> has the meaning given by sub</w:t>
      </w:r>
      <w:r w:rsidR="003449AC" w:rsidRPr="00247465">
        <w:t>r</w:t>
      </w:r>
      <w:r w:rsidRPr="00247465">
        <w:t xml:space="preserve">ule 4.2.3(1). </w:t>
      </w:r>
    </w:p>
    <w:p w:rsidR="00184A1E" w:rsidRPr="00247465" w:rsidRDefault="00184A1E" w:rsidP="00184A1E">
      <w:pPr>
        <w:pStyle w:val="MIRHeading3"/>
      </w:pPr>
      <w:r w:rsidRPr="00247465">
        <w:t>[4</w:t>
      </w:r>
      <w:r w:rsidR="004C5758" w:rsidRPr="00247465">
        <w:t>7</w:t>
      </w:r>
      <w:r w:rsidRPr="00247465">
        <w:t>]</w:t>
      </w:r>
      <w:r w:rsidRPr="00247465">
        <w:tab/>
        <w:t>Rule 1.4.3, definition of “Trading Day”</w:t>
      </w:r>
    </w:p>
    <w:p w:rsidR="00184A1E" w:rsidRPr="00247465" w:rsidRDefault="00804451" w:rsidP="00184A1E">
      <w:pPr>
        <w:pStyle w:val="MIRBodyText"/>
        <w:rPr>
          <w:i/>
        </w:rPr>
      </w:pPr>
      <w:r w:rsidRPr="00247465">
        <w:rPr>
          <w:i/>
        </w:rPr>
        <w:t>omit</w:t>
      </w:r>
    </w:p>
    <w:p w:rsidR="00804451" w:rsidRPr="00247465" w:rsidRDefault="00804451" w:rsidP="00184A1E">
      <w:pPr>
        <w:pStyle w:val="MIRBodyText"/>
        <w:rPr>
          <w:i/>
        </w:rPr>
      </w:pPr>
      <w:r w:rsidRPr="00247465">
        <w:t>Equity Market Products</w:t>
      </w:r>
    </w:p>
    <w:p w:rsidR="00804451" w:rsidRPr="00247465" w:rsidRDefault="00804451" w:rsidP="00184A1E">
      <w:pPr>
        <w:pStyle w:val="MIRBodyText"/>
        <w:rPr>
          <w:i/>
        </w:rPr>
      </w:pPr>
      <w:r w:rsidRPr="00247465">
        <w:rPr>
          <w:i/>
        </w:rPr>
        <w:t>substitute</w:t>
      </w:r>
    </w:p>
    <w:p w:rsidR="00804451" w:rsidRPr="00247465" w:rsidRDefault="00804451" w:rsidP="00184A1E">
      <w:pPr>
        <w:pStyle w:val="MIRBodyText"/>
        <w:rPr>
          <w:i/>
        </w:rPr>
      </w:pPr>
      <w:r w:rsidRPr="00247465">
        <w:lastRenderedPageBreak/>
        <w:t>Financial Products</w:t>
      </w:r>
    </w:p>
    <w:p w:rsidR="0083097A" w:rsidRPr="00247465" w:rsidRDefault="0083097A" w:rsidP="0083097A">
      <w:pPr>
        <w:pStyle w:val="MIRHeading3"/>
      </w:pPr>
      <w:r w:rsidRPr="00247465">
        <w:t>[4</w:t>
      </w:r>
      <w:r w:rsidR="004C5758" w:rsidRPr="00247465">
        <w:t>8</w:t>
      </w:r>
      <w:r w:rsidRPr="00247465">
        <w:t>]</w:t>
      </w:r>
      <w:r w:rsidRPr="00247465">
        <w:tab/>
        <w:t>Rule 1.4.3, after definition of “Trading Messages”</w:t>
      </w:r>
    </w:p>
    <w:p w:rsidR="0083097A" w:rsidRPr="00247465" w:rsidRDefault="0083097A" w:rsidP="0083097A">
      <w:pPr>
        <w:pStyle w:val="MIRBodyText"/>
        <w:rPr>
          <w:i/>
        </w:rPr>
      </w:pPr>
      <w:r w:rsidRPr="00247465">
        <w:rPr>
          <w:i/>
        </w:rPr>
        <w:t>insert</w:t>
      </w:r>
    </w:p>
    <w:p w:rsidR="0083097A" w:rsidRPr="00247465" w:rsidRDefault="0083097A" w:rsidP="0083097A">
      <w:pPr>
        <w:pStyle w:val="MIRBodyText"/>
      </w:pPr>
      <w:r w:rsidRPr="00247465">
        <w:rPr>
          <w:b/>
          <w:bCs/>
          <w:i/>
          <w:iCs/>
        </w:rPr>
        <w:t>Trading Pause</w:t>
      </w:r>
      <w:r w:rsidRPr="00247465">
        <w:t xml:space="preserve">, in relation to an Equity Market Product or ASX SPI 200 Future, means a period during which the Market Operator must prevent Orders for the Equity Market Product or ASX SPI 200 Future from being matched or executed on its Market, but during which Bids and Offers for the Equity Market Product or ASX SPI 200 Future may be displayed, entered, amended and cancelled. </w:t>
      </w:r>
    </w:p>
    <w:p w:rsidR="0083097A" w:rsidRPr="00247465" w:rsidRDefault="0083097A" w:rsidP="0083097A">
      <w:pPr>
        <w:pStyle w:val="MIRBodyText"/>
      </w:pPr>
      <w:r w:rsidRPr="00247465">
        <w:rPr>
          <w:b/>
          <w:bCs/>
          <w:i/>
          <w:iCs/>
        </w:rPr>
        <w:t>Trading Reset</w:t>
      </w:r>
      <w:r w:rsidRPr="00247465">
        <w:t xml:space="preserve">, in relation to an Equity Market Product or ASX SPI 200 Future, means each of a Trading Pause, Trading Suspension, and the end of Trading Hours for the Equity Market Product or ASX SPI 200 Future. </w:t>
      </w:r>
    </w:p>
    <w:p w:rsidR="006C4C46" w:rsidRPr="00247465" w:rsidRDefault="006C4C46" w:rsidP="006C4C46">
      <w:pPr>
        <w:pStyle w:val="MIRHeading3"/>
      </w:pPr>
      <w:r w:rsidRPr="00247465">
        <w:t>[4</w:t>
      </w:r>
      <w:r w:rsidR="00F40A92" w:rsidRPr="00247465">
        <w:t>9</w:t>
      </w:r>
      <w:r w:rsidRPr="00247465">
        <w:t>]</w:t>
      </w:r>
      <w:r w:rsidRPr="00247465">
        <w:tab/>
        <w:t>Rule 1.4.3, definition of “Tra</w:t>
      </w:r>
      <w:r w:rsidR="0075480D" w:rsidRPr="00247465">
        <w:t>nsaction”</w:t>
      </w:r>
    </w:p>
    <w:p w:rsidR="001F3F20" w:rsidRPr="00247465" w:rsidRDefault="001F3F20" w:rsidP="006C4C46">
      <w:pPr>
        <w:pStyle w:val="MIRBodyText"/>
        <w:rPr>
          <w:i/>
        </w:rPr>
      </w:pPr>
      <w:r w:rsidRPr="00247465">
        <w:rPr>
          <w:i/>
        </w:rPr>
        <w:t>omit</w:t>
      </w:r>
    </w:p>
    <w:p w:rsidR="001F3F20" w:rsidRPr="00247465" w:rsidRDefault="004223B0" w:rsidP="006C4C46">
      <w:pPr>
        <w:pStyle w:val="MIRBodyText"/>
        <w:rPr>
          <w:i/>
        </w:rPr>
      </w:pPr>
      <w:r w:rsidRPr="00247465">
        <w:t xml:space="preserve">an </w:t>
      </w:r>
      <w:r w:rsidR="001F3F20" w:rsidRPr="00247465">
        <w:t>Equity Market Product</w:t>
      </w:r>
    </w:p>
    <w:p w:rsidR="006C4C46" w:rsidRPr="00247465" w:rsidRDefault="001F3F20" w:rsidP="006C4C46">
      <w:pPr>
        <w:pStyle w:val="MIRBodyText"/>
        <w:rPr>
          <w:i/>
        </w:rPr>
      </w:pPr>
      <w:r w:rsidRPr="00247465">
        <w:rPr>
          <w:i/>
        </w:rPr>
        <w:t>substitute</w:t>
      </w:r>
    </w:p>
    <w:p w:rsidR="0083097A" w:rsidRPr="00247465" w:rsidRDefault="004223B0" w:rsidP="0083097A">
      <w:pPr>
        <w:pStyle w:val="MIRBodyText"/>
        <w:rPr>
          <w:i/>
        </w:rPr>
      </w:pPr>
      <w:r w:rsidRPr="00247465">
        <w:t xml:space="preserve">a </w:t>
      </w:r>
      <w:r w:rsidR="001F3F20" w:rsidRPr="00247465">
        <w:t>Financial Product</w:t>
      </w:r>
    </w:p>
    <w:p w:rsidR="00323C3C" w:rsidRPr="00247465" w:rsidRDefault="00323C3C" w:rsidP="00CF308B">
      <w:pPr>
        <w:pStyle w:val="MIRHeading3"/>
      </w:pPr>
      <w:r w:rsidRPr="00247465">
        <w:t>[</w:t>
      </w:r>
      <w:r w:rsidR="00F40A92" w:rsidRPr="00247465">
        <w:t>50</w:t>
      </w:r>
      <w:r w:rsidRPr="00247465">
        <w:t>]</w:t>
      </w:r>
      <w:r w:rsidRPr="00247465">
        <w:tab/>
      </w:r>
      <w:r w:rsidR="00216CEC" w:rsidRPr="00247465">
        <w:t xml:space="preserve">Before Part 2.1 </w:t>
      </w:r>
    </w:p>
    <w:p w:rsidR="000F15BA" w:rsidRPr="00247465" w:rsidRDefault="00BA0CB6" w:rsidP="003228B6">
      <w:pPr>
        <w:pStyle w:val="MIRBodyText"/>
        <w:numPr>
          <w:ilvl w:val="0"/>
          <w:numId w:val="0"/>
        </w:numPr>
        <w:ind w:left="851"/>
        <w:rPr>
          <w:i/>
        </w:rPr>
      </w:pPr>
      <w:proofErr w:type="gramStart"/>
      <w:r w:rsidRPr="00247465">
        <w:rPr>
          <w:i/>
        </w:rPr>
        <w:t>i</w:t>
      </w:r>
      <w:r w:rsidR="009C4F58" w:rsidRPr="00247465">
        <w:rPr>
          <w:i/>
        </w:rPr>
        <w:t>nsert</w:t>
      </w:r>
      <w:proofErr w:type="gramEnd"/>
    </w:p>
    <w:p w:rsidR="000666BA" w:rsidRPr="00247465" w:rsidRDefault="000666BA" w:rsidP="000666BA">
      <w:pPr>
        <w:pStyle w:val="MIRHeading2Part"/>
        <w:ind w:left="1984"/>
      </w:pPr>
      <w:r w:rsidRPr="00247465">
        <w:t xml:space="preserve">Part 2.1A Application </w:t>
      </w:r>
    </w:p>
    <w:p w:rsidR="000666BA" w:rsidRPr="00247465" w:rsidRDefault="000666BA" w:rsidP="000666BA">
      <w:pPr>
        <w:pStyle w:val="MIRHeading3Rule"/>
        <w:ind w:left="1701"/>
      </w:pPr>
      <w:r w:rsidRPr="00247465">
        <w:t xml:space="preserve">2.1A.1 Application of Chapter </w:t>
      </w:r>
    </w:p>
    <w:p w:rsidR="003249DD" w:rsidRPr="00247465" w:rsidRDefault="003249DD" w:rsidP="003249DD">
      <w:pPr>
        <w:pStyle w:val="MIRBodyText"/>
        <w:numPr>
          <w:ilvl w:val="0"/>
          <w:numId w:val="0"/>
        </w:numPr>
        <w:ind w:left="851"/>
      </w:pPr>
      <w:r w:rsidRPr="00247465">
        <w:t>(1) This Chapter applies to:</w:t>
      </w:r>
    </w:p>
    <w:p w:rsidR="003249DD" w:rsidRPr="00247465" w:rsidRDefault="003249DD" w:rsidP="003249DD">
      <w:pPr>
        <w:pStyle w:val="MIRSubpara"/>
        <w:numPr>
          <w:ilvl w:val="0"/>
          <w:numId w:val="60"/>
        </w:numPr>
      </w:pPr>
      <w:r w:rsidRPr="00247465">
        <w:t>Equity Market Operators; and</w:t>
      </w:r>
    </w:p>
    <w:p w:rsidR="003249DD" w:rsidRPr="00247465" w:rsidRDefault="003249DD" w:rsidP="003249DD">
      <w:pPr>
        <w:pStyle w:val="MIRSubpara"/>
        <w:numPr>
          <w:ilvl w:val="0"/>
          <w:numId w:val="14"/>
        </w:numPr>
      </w:pPr>
      <w:r w:rsidRPr="00247465">
        <w:t xml:space="preserve">from the day that is 18 months after the day on which this Rule commences,  Futures Market Operators. </w:t>
      </w:r>
    </w:p>
    <w:p w:rsidR="000666BA" w:rsidRPr="00247465" w:rsidRDefault="00D27DC1" w:rsidP="00F2365E">
      <w:pPr>
        <w:pStyle w:val="MIRBodyText"/>
      </w:pPr>
      <w:r w:rsidRPr="00247465">
        <w:t>(</w:t>
      </w:r>
      <w:r w:rsidR="00C66D83" w:rsidRPr="00247465">
        <w:t>2</w:t>
      </w:r>
      <w:r w:rsidR="000666BA" w:rsidRPr="00247465">
        <w:t xml:space="preserve">) In this Chapter, </w:t>
      </w:r>
      <w:r w:rsidR="000666BA" w:rsidRPr="00247465">
        <w:rPr>
          <w:b/>
          <w:bCs/>
          <w:i/>
          <w:iCs/>
        </w:rPr>
        <w:t xml:space="preserve">Relevant Products </w:t>
      </w:r>
      <w:r w:rsidR="000666BA" w:rsidRPr="00247465">
        <w:t xml:space="preserve">means Equity Market Products and ASX SPI 200 Futures. </w:t>
      </w:r>
    </w:p>
    <w:p w:rsidR="000666BA" w:rsidRPr="00247465" w:rsidRDefault="000666BA" w:rsidP="000666BA">
      <w:pPr>
        <w:pStyle w:val="MIRNote"/>
      </w:pPr>
      <w:r w:rsidRPr="00247465">
        <w:t>Note: There is no penalty for this Rule.</w:t>
      </w:r>
    </w:p>
    <w:p w:rsidR="007B4677" w:rsidRPr="00247465" w:rsidRDefault="007B4677" w:rsidP="007B4677">
      <w:pPr>
        <w:pStyle w:val="MIRHeading3"/>
      </w:pPr>
      <w:r w:rsidRPr="00247465">
        <w:t>[</w:t>
      </w:r>
      <w:r w:rsidR="005145D0" w:rsidRPr="00247465">
        <w:t>51</w:t>
      </w:r>
      <w:r w:rsidRPr="00247465">
        <w:t>]</w:t>
      </w:r>
      <w:r w:rsidRPr="00247465">
        <w:tab/>
        <w:t>Subrule 2.1.1(1)</w:t>
      </w:r>
    </w:p>
    <w:p w:rsidR="007B4677" w:rsidRPr="00247465" w:rsidRDefault="007B4677" w:rsidP="007B4677">
      <w:pPr>
        <w:pStyle w:val="MIRBodyText"/>
        <w:rPr>
          <w:i/>
        </w:rPr>
      </w:pPr>
      <w:r w:rsidRPr="00247465">
        <w:rPr>
          <w:i/>
        </w:rPr>
        <w:t>omit</w:t>
      </w:r>
    </w:p>
    <w:p w:rsidR="007B4677" w:rsidRPr="00247465" w:rsidRDefault="007B4677" w:rsidP="007B4677">
      <w:pPr>
        <w:pStyle w:val="MIRBodyText"/>
        <w:rPr>
          <w:i/>
        </w:rPr>
      </w:pPr>
      <w:r w:rsidRPr="00247465">
        <w:lastRenderedPageBreak/>
        <w:t>Equity Market Product</w:t>
      </w:r>
    </w:p>
    <w:p w:rsidR="007B4677" w:rsidRPr="00247465" w:rsidRDefault="007B4677" w:rsidP="007B4677">
      <w:pPr>
        <w:pStyle w:val="MIRBodyText"/>
        <w:rPr>
          <w:i/>
        </w:rPr>
      </w:pPr>
      <w:r w:rsidRPr="00247465">
        <w:rPr>
          <w:i/>
        </w:rPr>
        <w:t>substitute</w:t>
      </w:r>
    </w:p>
    <w:p w:rsidR="007B4677" w:rsidRPr="00247465" w:rsidRDefault="005145D0" w:rsidP="007B4677">
      <w:pPr>
        <w:pStyle w:val="MIRBodyText"/>
        <w:rPr>
          <w:i/>
        </w:rPr>
      </w:pPr>
      <w:r w:rsidRPr="00247465">
        <w:t xml:space="preserve">Relevant </w:t>
      </w:r>
      <w:r w:rsidR="007B4677" w:rsidRPr="00247465">
        <w:t>Product</w:t>
      </w:r>
    </w:p>
    <w:p w:rsidR="00144FF0" w:rsidRPr="00247465" w:rsidRDefault="00144FF0" w:rsidP="00144FF0">
      <w:pPr>
        <w:pStyle w:val="MIRHeading3"/>
      </w:pPr>
      <w:bookmarkStart w:id="1" w:name="_Hlk334027782"/>
      <w:r w:rsidRPr="00247465">
        <w:t>[</w:t>
      </w:r>
      <w:r w:rsidR="00C22918" w:rsidRPr="00247465">
        <w:t>5</w:t>
      </w:r>
      <w:r w:rsidR="005145D0" w:rsidRPr="00247465">
        <w:t>2</w:t>
      </w:r>
      <w:r w:rsidRPr="00247465">
        <w:t>]</w:t>
      </w:r>
      <w:r w:rsidRPr="00247465">
        <w:tab/>
        <w:t>Subrule 2.1.1(2)</w:t>
      </w:r>
    </w:p>
    <w:p w:rsidR="00144FF0" w:rsidRPr="00247465" w:rsidRDefault="00144FF0" w:rsidP="00144FF0">
      <w:pPr>
        <w:pStyle w:val="MIRBodyText"/>
        <w:rPr>
          <w:i/>
        </w:rPr>
      </w:pPr>
      <w:r w:rsidRPr="00247465">
        <w:rPr>
          <w:i/>
        </w:rPr>
        <w:t>omit</w:t>
      </w:r>
    </w:p>
    <w:p w:rsidR="00144FF0" w:rsidRPr="00247465" w:rsidRDefault="00144FF0" w:rsidP="00144FF0">
      <w:pPr>
        <w:pStyle w:val="MIRBodyText"/>
        <w:rPr>
          <w:i/>
        </w:rPr>
      </w:pPr>
      <w:r w:rsidRPr="00247465">
        <w:t>Equity Market Product</w:t>
      </w:r>
    </w:p>
    <w:p w:rsidR="00144FF0" w:rsidRPr="00247465" w:rsidRDefault="00144FF0" w:rsidP="00144FF0">
      <w:pPr>
        <w:pStyle w:val="MIRBodyText"/>
        <w:rPr>
          <w:i/>
        </w:rPr>
      </w:pPr>
      <w:r w:rsidRPr="00247465">
        <w:rPr>
          <w:i/>
        </w:rPr>
        <w:t>substitute</w:t>
      </w:r>
    </w:p>
    <w:p w:rsidR="00144FF0" w:rsidRPr="00247465" w:rsidRDefault="005145D0" w:rsidP="00144FF0">
      <w:pPr>
        <w:pStyle w:val="MIRBodyText"/>
        <w:rPr>
          <w:i/>
        </w:rPr>
      </w:pPr>
      <w:r w:rsidRPr="00247465">
        <w:t>Relevant</w:t>
      </w:r>
      <w:r w:rsidR="00144FF0" w:rsidRPr="00247465">
        <w:t xml:space="preserve"> Product</w:t>
      </w:r>
    </w:p>
    <w:bookmarkEnd w:id="1"/>
    <w:p w:rsidR="00144FF0" w:rsidRPr="00247465" w:rsidRDefault="00144FF0" w:rsidP="00144FF0">
      <w:pPr>
        <w:pStyle w:val="MIRHeading3"/>
      </w:pPr>
      <w:r w:rsidRPr="00247465">
        <w:t>[</w:t>
      </w:r>
      <w:r w:rsidR="00C22918" w:rsidRPr="00247465">
        <w:t>5</w:t>
      </w:r>
      <w:r w:rsidR="005145D0" w:rsidRPr="00247465">
        <w:t>3</w:t>
      </w:r>
      <w:r w:rsidRPr="00247465">
        <w:t>]</w:t>
      </w:r>
      <w:r w:rsidRPr="00247465">
        <w:tab/>
        <w:t>Subrule 2.1.1(2)</w:t>
      </w:r>
    </w:p>
    <w:p w:rsidR="00144FF0" w:rsidRPr="00247465" w:rsidRDefault="00144FF0" w:rsidP="00144FF0">
      <w:pPr>
        <w:pStyle w:val="MIRBodyText"/>
        <w:rPr>
          <w:i/>
        </w:rPr>
      </w:pPr>
      <w:r w:rsidRPr="00247465">
        <w:rPr>
          <w:i/>
        </w:rPr>
        <w:t>omit</w:t>
      </w:r>
    </w:p>
    <w:p w:rsidR="00144FF0" w:rsidRPr="00247465" w:rsidRDefault="001F5E9A" w:rsidP="00144FF0">
      <w:pPr>
        <w:pStyle w:val="MIRBodyText"/>
      </w:pPr>
      <w:r w:rsidRPr="00247465">
        <w:t>45</w:t>
      </w:r>
    </w:p>
    <w:p w:rsidR="00144FF0" w:rsidRPr="00247465" w:rsidRDefault="00144FF0" w:rsidP="00144FF0">
      <w:pPr>
        <w:pStyle w:val="MIRBodyText"/>
        <w:rPr>
          <w:i/>
        </w:rPr>
      </w:pPr>
      <w:r w:rsidRPr="00247465">
        <w:rPr>
          <w:i/>
        </w:rPr>
        <w:t>substitute</w:t>
      </w:r>
    </w:p>
    <w:p w:rsidR="00144FF0" w:rsidRPr="00247465" w:rsidRDefault="001F5E9A" w:rsidP="00144FF0">
      <w:pPr>
        <w:pStyle w:val="MIRBodyText"/>
      </w:pPr>
      <w:r w:rsidRPr="00247465">
        <w:t>21</w:t>
      </w:r>
    </w:p>
    <w:p w:rsidR="00144FF0" w:rsidRPr="00247465" w:rsidRDefault="00144FF0" w:rsidP="00144FF0">
      <w:pPr>
        <w:pStyle w:val="MIRHeading3"/>
      </w:pPr>
      <w:r w:rsidRPr="00247465">
        <w:t>[</w:t>
      </w:r>
      <w:r w:rsidR="00D77D47" w:rsidRPr="00247465">
        <w:t>5</w:t>
      </w:r>
      <w:r w:rsidR="00647D9E" w:rsidRPr="00247465">
        <w:t>4</w:t>
      </w:r>
      <w:r w:rsidRPr="00247465">
        <w:t>]</w:t>
      </w:r>
      <w:r w:rsidRPr="00247465">
        <w:tab/>
        <w:t>Subrule 2.1.1(</w:t>
      </w:r>
      <w:r w:rsidR="004C0AF3" w:rsidRPr="00247465">
        <w:t>4</w:t>
      </w:r>
      <w:r w:rsidRPr="00247465">
        <w:t>)</w:t>
      </w:r>
    </w:p>
    <w:p w:rsidR="00144FF0" w:rsidRPr="00247465" w:rsidRDefault="00D77D47" w:rsidP="00144FF0">
      <w:pPr>
        <w:pStyle w:val="MIRBodyText"/>
        <w:rPr>
          <w:i/>
        </w:rPr>
      </w:pPr>
      <w:r w:rsidRPr="00247465">
        <w:rPr>
          <w:i/>
        </w:rPr>
        <w:t>after</w:t>
      </w:r>
      <w:r w:rsidR="00F2365E" w:rsidRPr="00247465">
        <w:rPr>
          <w:i/>
        </w:rPr>
        <w:t xml:space="preserve"> “</w:t>
      </w:r>
      <w:r w:rsidRPr="00247465">
        <w:rPr>
          <w:i/>
        </w:rPr>
        <w:t>subrule (3)</w:t>
      </w:r>
      <w:r w:rsidR="00F2365E" w:rsidRPr="00247465">
        <w:rPr>
          <w:i/>
        </w:rPr>
        <w:t xml:space="preserve">”, </w:t>
      </w:r>
      <w:r w:rsidRPr="00247465">
        <w:rPr>
          <w:i/>
        </w:rPr>
        <w:t>insert</w:t>
      </w:r>
    </w:p>
    <w:p w:rsidR="00144FF0" w:rsidRPr="00247465" w:rsidRDefault="00D77D47" w:rsidP="00144FF0">
      <w:pPr>
        <w:pStyle w:val="MIRBodyText"/>
        <w:rPr>
          <w:i/>
        </w:rPr>
      </w:pPr>
      <w:r w:rsidRPr="00247465">
        <w:t>in relation to a Relevant Product</w:t>
      </w:r>
    </w:p>
    <w:p w:rsidR="00E37C1B" w:rsidRPr="00247465" w:rsidRDefault="00E37C1B" w:rsidP="00E37C1B">
      <w:pPr>
        <w:pStyle w:val="MIRHeading3"/>
      </w:pPr>
      <w:r w:rsidRPr="00247465">
        <w:t>[5</w:t>
      </w:r>
      <w:r w:rsidR="00647D9E" w:rsidRPr="00247465">
        <w:t>5</w:t>
      </w:r>
      <w:r w:rsidRPr="00247465">
        <w:t>]</w:t>
      </w:r>
      <w:r w:rsidRPr="00247465">
        <w:tab/>
        <w:t>Subrule 2.1.1(4)</w:t>
      </w:r>
    </w:p>
    <w:p w:rsidR="00E37C1B" w:rsidRPr="00247465" w:rsidRDefault="00E37C1B" w:rsidP="00E37C1B">
      <w:pPr>
        <w:pStyle w:val="MIRBodyText"/>
        <w:rPr>
          <w:i/>
        </w:rPr>
      </w:pPr>
      <w:r w:rsidRPr="00247465">
        <w:rPr>
          <w:i/>
        </w:rPr>
        <w:t>omit</w:t>
      </w:r>
    </w:p>
    <w:p w:rsidR="00E37C1B" w:rsidRPr="00247465" w:rsidRDefault="00E37C1B" w:rsidP="00E37C1B">
      <w:pPr>
        <w:pStyle w:val="MIRBodyText"/>
      </w:pPr>
      <w:r w:rsidRPr="00247465">
        <w:t>relevant Equity Market Product</w:t>
      </w:r>
    </w:p>
    <w:p w:rsidR="00E37C1B" w:rsidRPr="00247465" w:rsidRDefault="00E37C1B" w:rsidP="00E37C1B">
      <w:pPr>
        <w:pStyle w:val="MIRBodyText"/>
        <w:rPr>
          <w:i/>
        </w:rPr>
      </w:pPr>
      <w:r w:rsidRPr="00247465">
        <w:rPr>
          <w:i/>
        </w:rPr>
        <w:t>substitute</w:t>
      </w:r>
    </w:p>
    <w:p w:rsidR="00E37C1B" w:rsidRPr="00247465" w:rsidRDefault="008E30DE" w:rsidP="00E37C1B">
      <w:pPr>
        <w:pStyle w:val="MIRBodyText"/>
        <w:rPr>
          <w:i/>
        </w:rPr>
      </w:pPr>
      <w:r w:rsidRPr="00247465">
        <w:t>Relevant Product</w:t>
      </w:r>
    </w:p>
    <w:p w:rsidR="00144FF0" w:rsidRPr="00247465" w:rsidRDefault="00E37C1B" w:rsidP="00E37C1B">
      <w:pPr>
        <w:pStyle w:val="MIRHeading3"/>
      </w:pPr>
      <w:r w:rsidRPr="00247465">
        <w:t xml:space="preserve"> </w:t>
      </w:r>
      <w:r w:rsidR="00144FF0" w:rsidRPr="00247465">
        <w:t>[</w:t>
      </w:r>
      <w:r w:rsidR="00C82F86" w:rsidRPr="00247465">
        <w:t>5</w:t>
      </w:r>
      <w:r w:rsidR="00647D9E" w:rsidRPr="00247465">
        <w:t>6</w:t>
      </w:r>
      <w:r w:rsidR="00144FF0" w:rsidRPr="00247465">
        <w:t>]</w:t>
      </w:r>
      <w:r w:rsidR="00144FF0" w:rsidRPr="00247465">
        <w:tab/>
        <w:t>Subrule 2.1.1(</w:t>
      </w:r>
      <w:r w:rsidR="00C82F86" w:rsidRPr="00247465">
        <w:t>5</w:t>
      </w:r>
      <w:r w:rsidR="00144FF0" w:rsidRPr="00247465">
        <w:t>)</w:t>
      </w:r>
    </w:p>
    <w:p w:rsidR="00144FF0" w:rsidRPr="00247465" w:rsidRDefault="00144FF0" w:rsidP="00144FF0">
      <w:pPr>
        <w:pStyle w:val="MIRBodyText"/>
        <w:rPr>
          <w:i/>
        </w:rPr>
      </w:pPr>
      <w:r w:rsidRPr="00247465">
        <w:rPr>
          <w:i/>
        </w:rPr>
        <w:t>omit</w:t>
      </w:r>
    </w:p>
    <w:p w:rsidR="00144FF0" w:rsidRPr="00247465" w:rsidRDefault="00C82F86" w:rsidP="00144FF0">
      <w:pPr>
        <w:pStyle w:val="MIRBodyText"/>
        <w:rPr>
          <w:i/>
        </w:rPr>
      </w:pPr>
      <w:r w:rsidRPr="00247465">
        <w:t xml:space="preserve">an </w:t>
      </w:r>
      <w:r w:rsidR="00144FF0" w:rsidRPr="00247465">
        <w:t>Equity Market Product</w:t>
      </w:r>
    </w:p>
    <w:p w:rsidR="00144FF0" w:rsidRPr="00247465" w:rsidRDefault="00144FF0" w:rsidP="00144FF0">
      <w:pPr>
        <w:pStyle w:val="MIRBodyText"/>
        <w:rPr>
          <w:i/>
        </w:rPr>
      </w:pPr>
      <w:r w:rsidRPr="00247465">
        <w:rPr>
          <w:i/>
        </w:rPr>
        <w:t>substitute</w:t>
      </w:r>
    </w:p>
    <w:p w:rsidR="00144FF0" w:rsidRPr="00247465" w:rsidRDefault="00C82F86" w:rsidP="00144FF0">
      <w:pPr>
        <w:pStyle w:val="MIRBodyText"/>
        <w:rPr>
          <w:i/>
        </w:rPr>
      </w:pPr>
      <w:r w:rsidRPr="00247465">
        <w:t>a Relevant Product</w:t>
      </w:r>
    </w:p>
    <w:p w:rsidR="00E25812" w:rsidRPr="00247465" w:rsidRDefault="00E25812" w:rsidP="00E25812">
      <w:pPr>
        <w:pStyle w:val="MIRHeading3"/>
      </w:pPr>
      <w:r w:rsidRPr="00247465">
        <w:lastRenderedPageBreak/>
        <w:t>[5</w:t>
      </w:r>
      <w:r w:rsidR="00647D9E" w:rsidRPr="00247465">
        <w:t>7</w:t>
      </w:r>
      <w:r w:rsidRPr="00247465">
        <w:t>]</w:t>
      </w:r>
      <w:r w:rsidRPr="00247465">
        <w:tab/>
        <w:t>Subparagraph 2.1.1(5</w:t>
      </w:r>
      <w:proofErr w:type="gramStart"/>
      <w:r w:rsidRPr="00247465">
        <w:t>)(</w:t>
      </w:r>
      <w:proofErr w:type="gramEnd"/>
      <w:r w:rsidRPr="00247465">
        <w:t>a)(</w:t>
      </w:r>
      <w:proofErr w:type="spellStart"/>
      <w:r w:rsidRPr="00247465">
        <w:t>i</w:t>
      </w:r>
      <w:proofErr w:type="spellEnd"/>
      <w:r w:rsidRPr="00247465">
        <w:t>)</w:t>
      </w:r>
    </w:p>
    <w:p w:rsidR="00E25812" w:rsidRPr="00247465" w:rsidRDefault="00E25812" w:rsidP="00E25812">
      <w:pPr>
        <w:pStyle w:val="MIRBodyText"/>
        <w:rPr>
          <w:i/>
        </w:rPr>
      </w:pPr>
      <w:r w:rsidRPr="00247465">
        <w:rPr>
          <w:i/>
        </w:rPr>
        <w:t>omit</w:t>
      </w:r>
    </w:p>
    <w:p w:rsidR="00E25812" w:rsidRPr="00247465" w:rsidRDefault="00E25812" w:rsidP="00E25812">
      <w:pPr>
        <w:pStyle w:val="MIRBodyText"/>
        <w:rPr>
          <w:i/>
        </w:rPr>
      </w:pPr>
      <w:r w:rsidRPr="00247465">
        <w:t>relevant Equity Market Product</w:t>
      </w:r>
    </w:p>
    <w:p w:rsidR="00E25812" w:rsidRPr="00247465" w:rsidRDefault="00E25812" w:rsidP="00E25812">
      <w:pPr>
        <w:pStyle w:val="MIRBodyText"/>
        <w:rPr>
          <w:i/>
        </w:rPr>
      </w:pPr>
      <w:r w:rsidRPr="00247465">
        <w:rPr>
          <w:i/>
        </w:rPr>
        <w:t>substitute</w:t>
      </w:r>
    </w:p>
    <w:p w:rsidR="00E25812" w:rsidRPr="00247465" w:rsidRDefault="00E25812" w:rsidP="00E25812">
      <w:pPr>
        <w:pStyle w:val="MIRBodyText"/>
        <w:rPr>
          <w:i/>
        </w:rPr>
      </w:pPr>
      <w:r w:rsidRPr="00247465">
        <w:t>Relevant Product</w:t>
      </w:r>
    </w:p>
    <w:p w:rsidR="005243CB" w:rsidRPr="00247465" w:rsidRDefault="005243CB" w:rsidP="005243CB">
      <w:pPr>
        <w:pStyle w:val="MIRHeading3"/>
      </w:pPr>
      <w:r w:rsidRPr="00247465">
        <w:t>[5</w:t>
      </w:r>
      <w:r w:rsidR="00647D9E" w:rsidRPr="00247465">
        <w:t>8</w:t>
      </w:r>
      <w:r w:rsidRPr="00247465">
        <w:t>]</w:t>
      </w:r>
      <w:r w:rsidRPr="00247465">
        <w:tab/>
      </w:r>
      <w:r w:rsidR="00040574" w:rsidRPr="00247465">
        <w:t>P</w:t>
      </w:r>
      <w:r w:rsidRPr="00247465">
        <w:t>aragraph 2.1.1(5</w:t>
      </w:r>
      <w:proofErr w:type="gramStart"/>
      <w:r w:rsidRPr="00247465">
        <w:t>)(</w:t>
      </w:r>
      <w:proofErr w:type="gramEnd"/>
      <w:r w:rsidRPr="00247465">
        <w:t>b)</w:t>
      </w:r>
    </w:p>
    <w:p w:rsidR="005243CB" w:rsidRPr="00247465" w:rsidRDefault="00F2365E" w:rsidP="005243CB">
      <w:pPr>
        <w:pStyle w:val="MIRBodyText"/>
        <w:rPr>
          <w:i/>
        </w:rPr>
      </w:pPr>
      <w:r w:rsidRPr="00247465">
        <w:rPr>
          <w:i/>
        </w:rPr>
        <w:t xml:space="preserve">omit the paragraph, </w:t>
      </w:r>
      <w:r w:rsidR="007C48AD" w:rsidRPr="00247465">
        <w:rPr>
          <w:i/>
        </w:rPr>
        <w:t>substitute</w:t>
      </w:r>
    </w:p>
    <w:p w:rsidR="00183138" w:rsidRPr="00247465" w:rsidRDefault="00183138" w:rsidP="00F57717">
      <w:pPr>
        <w:pStyle w:val="MIRSubpara"/>
        <w:numPr>
          <w:ilvl w:val="0"/>
          <w:numId w:val="29"/>
        </w:numPr>
      </w:pPr>
      <w:r w:rsidRPr="00247465">
        <w:t xml:space="preserve">if the Relevant Product is: </w:t>
      </w:r>
    </w:p>
    <w:p w:rsidR="00183138" w:rsidRPr="00247465" w:rsidRDefault="00183138" w:rsidP="00E94C01">
      <w:pPr>
        <w:pStyle w:val="MIRSubsubpara"/>
        <w:tabs>
          <w:tab w:val="num" w:pos="1985"/>
        </w:tabs>
        <w:ind w:left="1985"/>
      </w:pPr>
      <w:r w:rsidRPr="00247465">
        <w:t xml:space="preserve">an Equity Market Product, the Tick Size for the Equity Market Product; or </w:t>
      </w:r>
    </w:p>
    <w:p w:rsidR="00183138" w:rsidRPr="00247465" w:rsidRDefault="00183138" w:rsidP="00E94C01">
      <w:pPr>
        <w:pStyle w:val="MIRSubsubpara"/>
        <w:tabs>
          <w:tab w:val="num" w:pos="1985"/>
        </w:tabs>
        <w:ind w:left="1985"/>
      </w:pPr>
      <w:proofErr w:type="gramStart"/>
      <w:r w:rsidRPr="00247465">
        <w:t>an</w:t>
      </w:r>
      <w:proofErr w:type="gramEnd"/>
      <w:r w:rsidRPr="00247465">
        <w:t xml:space="preserve"> ASX SPI 200 Future, the relevant index multiplier for the ASX SPI 200 Future. </w:t>
      </w:r>
    </w:p>
    <w:p w:rsidR="0082726E" w:rsidRPr="00247465" w:rsidRDefault="0082726E" w:rsidP="0082726E">
      <w:pPr>
        <w:pStyle w:val="MIRHeading3"/>
      </w:pPr>
      <w:r w:rsidRPr="00247465">
        <w:t>[5</w:t>
      </w:r>
      <w:r w:rsidR="00647D9E" w:rsidRPr="00247465">
        <w:t>9</w:t>
      </w:r>
      <w:r w:rsidRPr="00247465">
        <w:t>]</w:t>
      </w:r>
      <w:r w:rsidRPr="00247465">
        <w:tab/>
        <w:t>Rule 2.1.3</w:t>
      </w:r>
    </w:p>
    <w:p w:rsidR="00B23339" w:rsidRPr="00247465" w:rsidRDefault="00B23339" w:rsidP="00B23339">
      <w:pPr>
        <w:pStyle w:val="MIRBodyText"/>
        <w:rPr>
          <w:i/>
        </w:rPr>
      </w:pPr>
      <w:r w:rsidRPr="00247465">
        <w:rPr>
          <w:i/>
        </w:rPr>
        <w:t>after</w:t>
      </w:r>
      <w:r w:rsidR="00F2365E" w:rsidRPr="00247465">
        <w:rPr>
          <w:i/>
        </w:rPr>
        <w:t xml:space="preserve"> “</w:t>
      </w:r>
      <w:r w:rsidRPr="00247465">
        <w:rPr>
          <w:i/>
        </w:rPr>
        <w:t>entering</w:t>
      </w:r>
      <w:r w:rsidR="00F2365E" w:rsidRPr="00247465">
        <w:t xml:space="preserve">”, </w:t>
      </w:r>
      <w:r w:rsidRPr="00247465">
        <w:rPr>
          <w:i/>
        </w:rPr>
        <w:t>insert</w:t>
      </w:r>
    </w:p>
    <w:p w:rsidR="00B23339" w:rsidRPr="00247465" w:rsidRDefault="00B23339" w:rsidP="00B23339">
      <w:pPr>
        <w:pStyle w:val="MIRBodyText"/>
      </w:pPr>
      <w:r w:rsidRPr="00247465">
        <w:t>an Order Book (</w:t>
      </w:r>
      <w:r w:rsidRPr="00247465">
        <w:rPr>
          <w:b/>
          <w:i/>
        </w:rPr>
        <w:t>Relevant Order Book</w:t>
      </w:r>
      <w:r w:rsidRPr="00247465">
        <w:t xml:space="preserve">) of </w:t>
      </w:r>
    </w:p>
    <w:p w:rsidR="00B23339" w:rsidRPr="00247465" w:rsidRDefault="00647D9E" w:rsidP="00B23339">
      <w:pPr>
        <w:pStyle w:val="MIRHeading3"/>
      </w:pPr>
      <w:r w:rsidRPr="00247465">
        <w:t>[60</w:t>
      </w:r>
      <w:r w:rsidR="00B23339" w:rsidRPr="00247465">
        <w:t>]</w:t>
      </w:r>
      <w:r w:rsidR="00B23339" w:rsidRPr="00247465">
        <w:tab/>
        <w:t>Rule 2.1.3</w:t>
      </w:r>
    </w:p>
    <w:p w:rsidR="00B23339" w:rsidRPr="00247465" w:rsidRDefault="00B23339" w:rsidP="00B23339">
      <w:pPr>
        <w:pStyle w:val="MIRBodyText"/>
      </w:pPr>
      <w:r w:rsidRPr="00247465">
        <w:rPr>
          <w:i/>
        </w:rPr>
        <w:t>after</w:t>
      </w:r>
      <w:r w:rsidR="00F2365E" w:rsidRPr="00247465">
        <w:rPr>
          <w:i/>
        </w:rPr>
        <w:t xml:space="preserve"> “</w:t>
      </w:r>
      <w:r w:rsidRPr="00247465">
        <w:rPr>
          <w:i/>
        </w:rPr>
        <w:t>its Market</w:t>
      </w:r>
      <w:r w:rsidR="00F2365E" w:rsidRPr="00247465">
        <w:rPr>
          <w:i/>
        </w:rPr>
        <w:t xml:space="preserve">”, </w:t>
      </w:r>
      <w:r w:rsidRPr="00247465">
        <w:rPr>
          <w:i/>
        </w:rPr>
        <w:t>insert</w:t>
      </w:r>
    </w:p>
    <w:p w:rsidR="00B23339" w:rsidRPr="00247465" w:rsidRDefault="00B23339" w:rsidP="00B23339">
      <w:pPr>
        <w:pStyle w:val="MIRBodyText"/>
      </w:pPr>
      <w:r w:rsidRPr="00247465">
        <w:t>at all times</w:t>
      </w:r>
      <w:r w:rsidRPr="00247465">
        <w:rPr>
          <w:i/>
        </w:rPr>
        <w:t xml:space="preserve"> </w:t>
      </w:r>
      <w:r w:rsidRPr="00247465">
        <w:t>on a Trading Day other than a</w:t>
      </w:r>
      <w:r w:rsidR="00E40D1B">
        <w:t>t a</w:t>
      </w:r>
      <w:r w:rsidRPr="00247465">
        <w:t xml:space="preserve"> time during which: </w:t>
      </w:r>
    </w:p>
    <w:p w:rsidR="00B23339" w:rsidRPr="00247465" w:rsidRDefault="00B23339" w:rsidP="00F57717">
      <w:pPr>
        <w:pStyle w:val="MIRSubpara"/>
        <w:numPr>
          <w:ilvl w:val="0"/>
          <w:numId w:val="22"/>
        </w:numPr>
      </w:pPr>
      <w:r w:rsidRPr="00247465">
        <w:t xml:space="preserve">Orders are not matched and Transactions are not executed on a continuous basis on the Relevant Order Book; or </w:t>
      </w:r>
    </w:p>
    <w:p w:rsidR="00B23339" w:rsidRPr="00247465" w:rsidRDefault="00B23339" w:rsidP="00B23339">
      <w:pPr>
        <w:pStyle w:val="MIRSubpara"/>
      </w:pPr>
      <w:r w:rsidRPr="00247465">
        <w:t xml:space="preserve">an auction is being conducted on the Relevant Order Book </w:t>
      </w:r>
    </w:p>
    <w:p w:rsidR="006E62B2" w:rsidRPr="00247465" w:rsidRDefault="006E62B2" w:rsidP="006E62B2">
      <w:pPr>
        <w:pStyle w:val="MIRHeading3"/>
      </w:pPr>
      <w:r w:rsidRPr="00247465">
        <w:t>[</w:t>
      </w:r>
      <w:r w:rsidR="007B037E" w:rsidRPr="00247465">
        <w:t>61</w:t>
      </w:r>
      <w:r w:rsidRPr="00247465">
        <w:t>]</w:t>
      </w:r>
      <w:r w:rsidRPr="00247465">
        <w:tab/>
      </w:r>
      <w:r w:rsidR="00B06D25" w:rsidRPr="00247465">
        <w:t>Paragraph 2.1.4</w:t>
      </w:r>
      <w:r w:rsidR="00896610" w:rsidRPr="00247465">
        <w:t>(1</w:t>
      </w:r>
      <w:proofErr w:type="gramStart"/>
      <w:r w:rsidR="00896610" w:rsidRPr="00247465">
        <w:t>)</w:t>
      </w:r>
      <w:r w:rsidR="00B06D25" w:rsidRPr="00247465">
        <w:t>(</w:t>
      </w:r>
      <w:proofErr w:type="gramEnd"/>
      <w:r w:rsidR="00B06D25" w:rsidRPr="00247465">
        <w:t>b)</w:t>
      </w:r>
    </w:p>
    <w:p w:rsidR="006E62B2" w:rsidRPr="00247465" w:rsidRDefault="00B06D25" w:rsidP="006E62B2">
      <w:pPr>
        <w:pStyle w:val="MIRBodyText"/>
        <w:rPr>
          <w:i/>
        </w:rPr>
      </w:pPr>
      <w:r w:rsidRPr="00247465">
        <w:rPr>
          <w:i/>
        </w:rPr>
        <w:t>omit</w:t>
      </w:r>
    </w:p>
    <w:p w:rsidR="006E62B2" w:rsidRPr="00247465" w:rsidRDefault="00B06D25" w:rsidP="006E62B2">
      <w:pPr>
        <w:pStyle w:val="MIRBodyText"/>
      </w:pPr>
      <w:r w:rsidRPr="00247465">
        <w:t>Equity Market Product</w:t>
      </w:r>
    </w:p>
    <w:p w:rsidR="006E62B2" w:rsidRPr="00247465" w:rsidRDefault="00B06D25" w:rsidP="006E62B2">
      <w:pPr>
        <w:pStyle w:val="MIRBodyText"/>
        <w:rPr>
          <w:i/>
        </w:rPr>
      </w:pPr>
      <w:r w:rsidRPr="00247465">
        <w:rPr>
          <w:i/>
        </w:rPr>
        <w:t>substitute</w:t>
      </w:r>
    </w:p>
    <w:p w:rsidR="00B06D25" w:rsidRPr="00247465" w:rsidRDefault="00B06D25" w:rsidP="006E62B2">
      <w:pPr>
        <w:pStyle w:val="MIRBodyText"/>
      </w:pPr>
      <w:r w:rsidRPr="00247465">
        <w:t>Relevant Product</w:t>
      </w:r>
    </w:p>
    <w:p w:rsidR="002441C7" w:rsidRPr="00247465" w:rsidRDefault="002441C7" w:rsidP="002441C7">
      <w:pPr>
        <w:pStyle w:val="MIRHeading3"/>
      </w:pPr>
      <w:r w:rsidRPr="00247465">
        <w:t>[</w:t>
      </w:r>
      <w:r w:rsidR="00C22918" w:rsidRPr="00247465">
        <w:t>6</w:t>
      </w:r>
      <w:r w:rsidR="007B037E" w:rsidRPr="00247465">
        <w:t>2</w:t>
      </w:r>
      <w:r w:rsidRPr="00247465">
        <w:t>]</w:t>
      </w:r>
      <w:r w:rsidRPr="00247465">
        <w:tab/>
      </w:r>
      <w:r w:rsidR="00896610" w:rsidRPr="00247465">
        <w:t>Paragraph 2.1.4(2</w:t>
      </w:r>
      <w:proofErr w:type="gramStart"/>
      <w:r w:rsidR="00896610" w:rsidRPr="00247465">
        <w:t>)(</w:t>
      </w:r>
      <w:proofErr w:type="gramEnd"/>
      <w:r w:rsidR="00896610" w:rsidRPr="00247465">
        <w:t>a)</w:t>
      </w:r>
    </w:p>
    <w:p w:rsidR="002441C7" w:rsidRPr="00247465" w:rsidRDefault="00546ECD" w:rsidP="002441C7">
      <w:pPr>
        <w:pStyle w:val="MIRBodyText"/>
        <w:rPr>
          <w:i/>
        </w:rPr>
      </w:pPr>
      <w:r w:rsidRPr="00247465">
        <w:rPr>
          <w:i/>
        </w:rPr>
        <w:t>omit</w:t>
      </w:r>
    </w:p>
    <w:p w:rsidR="002441C7" w:rsidRPr="00247465" w:rsidRDefault="00546ECD" w:rsidP="002441C7">
      <w:pPr>
        <w:pStyle w:val="MIRBodyText"/>
      </w:pPr>
      <w:r w:rsidRPr="00247465">
        <w:lastRenderedPageBreak/>
        <w:t>45</w:t>
      </w:r>
    </w:p>
    <w:p w:rsidR="002441C7" w:rsidRPr="00247465" w:rsidRDefault="00546ECD" w:rsidP="002441C7">
      <w:pPr>
        <w:pStyle w:val="MIRBodyText"/>
        <w:rPr>
          <w:i/>
        </w:rPr>
      </w:pPr>
      <w:r w:rsidRPr="00247465">
        <w:rPr>
          <w:i/>
        </w:rPr>
        <w:t>substitute</w:t>
      </w:r>
    </w:p>
    <w:p w:rsidR="002441C7" w:rsidRPr="00247465" w:rsidRDefault="00546ECD" w:rsidP="00546ECD">
      <w:pPr>
        <w:pStyle w:val="MIRSubpara"/>
        <w:numPr>
          <w:ilvl w:val="0"/>
          <w:numId w:val="0"/>
        </w:numPr>
        <w:ind w:left="1276" w:hanging="425"/>
      </w:pPr>
      <w:r w:rsidRPr="00247465">
        <w:t>21</w:t>
      </w:r>
      <w:r w:rsidR="002441C7" w:rsidRPr="00247465">
        <w:t xml:space="preserve"> </w:t>
      </w:r>
    </w:p>
    <w:p w:rsidR="001873BC" w:rsidRPr="00247465" w:rsidRDefault="001873BC" w:rsidP="001873BC">
      <w:pPr>
        <w:pStyle w:val="MIRHeading3"/>
      </w:pPr>
      <w:bookmarkStart w:id="2" w:name="_Hlk334028495"/>
      <w:r w:rsidRPr="00247465">
        <w:t>[</w:t>
      </w:r>
      <w:r w:rsidR="00C22918" w:rsidRPr="00247465">
        <w:t>6</w:t>
      </w:r>
      <w:r w:rsidR="007B037E" w:rsidRPr="00247465">
        <w:t>3</w:t>
      </w:r>
      <w:r w:rsidRPr="00247465">
        <w:t>]</w:t>
      </w:r>
      <w:r w:rsidRPr="00247465">
        <w:tab/>
        <w:t>Paragraph 2.1.4</w:t>
      </w:r>
      <w:r w:rsidR="00244618" w:rsidRPr="00247465">
        <w:t>(2</w:t>
      </w:r>
      <w:proofErr w:type="gramStart"/>
      <w:r w:rsidR="00244618" w:rsidRPr="00247465">
        <w:t>)(</w:t>
      </w:r>
      <w:proofErr w:type="gramEnd"/>
      <w:r w:rsidR="00244618" w:rsidRPr="00247465">
        <w:t>b</w:t>
      </w:r>
      <w:r w:rsidRPr="00247465">
        <w:t>)</w:t>
      </w:r>
    </w:p>
    <w:p w:rsidR="00244618" w:rsidRPr="00247465" w:rsidRDefault="00244618" w:rsidP="001873BC">
      <w:pPr>
        <w:pStyle w:val="MIRBodyText"/>
        <w:rPr>
          <w:i/>
        </w:rPr>
      </w:pPr>
      <w:r w:rsidRPr="00247465">
        <w:rPr>
          <w:i/>
        </w:rPr>
        <w:t xml:space="preserve">after </w:t>
      </w:r>
      <w:r w:rsidR="00F2365E" w:rsidRPr="00247465">
        <w:rPr>
          <w:i/>
        </w:rPr>
        <w:t>“</w:t>
      </w:r>
      <w:r w:rsidRPr="00247465">
        <w:rPr>
          <w:i/>
        </w:rPr>
        <w:t>paragraph (1)(a)</w:t>
      </w:r>
      <w:r w:rsidR="00F2365E" w:rsidRPr="00247465">
        <w:rPr>
          <w:i/>
        </w:rPr>
        <w:t xml:space="preserve">”, </w:t>
      </w:r>
      <w:r w:rsidRPr="00247465">
        <w:rPr>
          <w:i/>
        </w:rPr>
        <w:t>insert</w:t>
      </w:r>
    </w:p>
    <w:p w:rsidR="00244618" w:rsidRPr="00247465" w:rsidRDefault="00244618" w:rsidP="00244618">
      <w:pPr>
        <w:pStyle w:val="MIRBodyText"/>
      </w:pPr>
      <w:r w:rsidRPr="00247465">
        <w:t xml:space="preserve">, not less than two business days before adopting the revised arrangements for the purposes of paragraph (1)(a) </w:t>
      </w:r>
    </w:p>
    <w:bookmarkEnd w:id="2"/>
    <w:p w:rsidR="003E3AD3" w:rsidRPr="00247465" w:rsidRDefault="003E3AD3" w:rsidP="003E3AD3">
      <w:pPr>
        <w:pStyle w:val="MIRHeading3"/>
      </w:pPr>
      <w:r w:rsidRPr="00247465">
        <w:t>[6</w:t>
      </w:r>
      <w:r w:rsidR="007B037E" w:rsidRPr="00247465">
        <w:t>4</w:t>
      </w:r>
      <w:r w:rsidRPr="00247465">
        <w:t>]</w:t>
      </w:r>
      <w:r w:rsidRPr="00247465">
        <w:tab/>
        <w:t>Subrule 2.1.4(4)</w:t>
      </w:r>
    </w:p>
    <w:p w:rsidR="003E3AD3" w:rsidRPr="00247465" w:rsidRDefault="003E3AD3" w:rsidP="003E3AD3">
      <w:pPr>
        <w:pStyle w:val="MIRBodyText"/>
        <w:rPr>
          <w:i/>
        </w:rPr>
      </w:pPr>
      <w:r w:rsidRPr="00247465">
        <w:rPr>
          <w:i/>
        </w:rPr>
        <w:t>omit</w:t>
      </w:r>
    </w:p>
    <w:p w:rsidR="003E3AD3" w:rsidRPr="00247465" w:rsidRDefault="003E3AD3" w:rsidP="003E3AD3">
      <w:pPr>
        <w:pStyle w:val="MIRBodyText"/>
      </w:pPr>
      <w:r w:rsidRPr="00247465">
        <w:t>new</w:t>
      </w:r>
    </w:p>
    <w:p w:rsidR="003E3AD3" w:rsidRPr="00247465" w:rsidRDefault="002A325C" w:rsidP="003E3AD3">
      <w:pPr>
        <w:pStyle w:val="MIRBodyText"/>
        <w:rPr>
          <w:i/>
        </w:rPr>
      </w:pPr>
      <w:r w:rsidRPr="00247465">
        <w:rPr>
          <w:i/>
        </w:rPr>
        <w:t>substitute</w:t>
      </w:r>
    </w:p>
    <w:p w:rsidR="003E3AD3" w:rsidRPr="00247465" w:rsidRDefault="003E3AD3" w:rsidP="003E3AD3">
      <w:pPr>
        <w:pStyle w:val="MIRBodyText"/>
      </w:pPr>
      <w:r w:rsidRPr="00247465">
        <w:t>revised</w:t>
      </w:r>
    </w:p>
    <w:p w:rsidR="003E3AD3" w:rsidRPr="00247465" w:rsidRDefault="003E3AD3" w:rsidP="003E3AD3">
      <w:pPr>
        <w:pStyle w:val="MIRHeading3"/>
      </w:pPr>
      <w:r w:rsidRPr="00247465">
        <w:t>[6</w:t>
      </w:r>
      <w:r w:rsidR="007B037E" w:rsidRPr="00247465">
        <w:t>5</w:t>
      </w:r>
      <w:r w:rsidRPr="00247465">
        <w:t>]</w:t>
      </w:r>
      <w:r w:rsidRPr="00247465">
        <w:tab/>
        <w:t>Subrule 2.1.4(4)</w:t>
      </w:r>
    </w:p>
    <w:p w:rsidR="00E577E7" w:rsidRPr="00247465" w:rsidRDefault="003E3AD3" w:rsidP="003E3AD3">
      <w:pPr>
        <w:pStyle w:val="MIRBodyText"/>
        <w:rPr>
          <w:i/>
        </w:rPr>
      </w:pPr>
      <w:r w:rsidRPr="00247465">
        <w:rPr>
          <w:i/>
        </w:rPr>
        <w:t xml:space="preserve">after </w:t>
      </w:r>
      <w:r w:rsidR="00F2365E" w:rsidRPr="00247465">
        <w:rPr>
          <w:i/>
        </w:rPr>
        <w:t>“</w:t>
      </w:r>
      <w:r w:rsidRPr="00247465">
        <w:rPr>
          <w:i/>
        </w:rPr>
        <w:t>arrangements</w:t>
      </w:r>
      <w:r w:rsidR="00F2365E" w:rsidRPr="00247465">
        <w:rPr>
          <w:i/>
        </w:rPr>
        <w:t xml:space="preserve">” </w:t>
      </w:r>
      <w:r w:rsidR="00F97649" w:rsidRPr="00247465">
        <w:rPr>
          <w:i/>
        </w:rPr>
        <w:t>(second occurring)</w:t>
      </w:r>
      <w:r w:rsidR="00F2365E" w:rsidRPr="00247465">
        <w:rPr>
          <w:i/>
        </w:rPr>
        <w:t xml:space="preserve">, </w:t>
      </w:r>
      <w:r w:rsidR="00054F95" w:rsidRPr="00247465">
        <w:rPr>
          <w:i/>
        </w:rPr>
        <w:t>insert</w:t>
      </w:r>
    </w:p>
    <w:p w:rsidR="00E577E7" w:rsidRPr="00247465" w:rsidRDefault="00E577E7" w:rsidP="003E3AD3">
      <w:pPr>
        <w:pStyle w:val="MIRBodyText"/>
      </w:pPr>
      <w:r w:rsidRPr="00247465">
        <w:t>not less than two business days</w:t>
      </w:r>
    </w:p>
    <w:p w:rsidR="00633ECA" w:rsidRPr="00247465" w:rsidRDefault="00633ECA" w:rsidP="00633ECA">
      <w:pPr>
        <w:pStyle w:val="MIRHeading3"/>
      </w:pPr>
      <w:r w:rsidRPr="00247465">
        <w:t>[6</w:t>
      </w:r>
      <w:r w:rsidR="007B037E" w:rsidRPr="00247465">
        <w:t>6</w:t>
      </w:r>
      <w:r w:rsidRPr="00247465">
        <w:t>]</w:t>
      </w:r>
      <w:r w:rsidRPr="00247465">
        <w:tab/>
      </w:r>
      <w:r w:rsidR="002A325C" w:rsidRPr="00247465">
        <w:t>Part 2.2 (heading)</w:t>
      </w:r>
    </w:p>
    <w:p w:rsidR="00633ECA" w:rsidRPr="00247465" w:rsidRDefault="002A325C" w:rsidP="00633ECA">
      <w:pPr>
        <w:pStyle w:val="MIRBodyText"/>
        <w:rPr>
          <w:i/>
        </w:rPr>
      </w:pPr>
      <w:r w:rsidRPr="00247465">
        <w:rPr>
          <w:i/>
        </w:rPr>
        <w:t>omit</w:t>
      </w:r>
    </w:p>
    <w:p w:rsidR="002A325C" w:rsidRPr="00247465" w:rsidRDefault="009B2481" w:rsidP="00633ECA">
      <w:pPr>
        <w:pStyle w:val="MIRBodyText"/>
      </w:pPr>
      <w:r w:rsidRPr="00247465">
        <w:t>Cancellation</w:t>
      </w:r>
    </w:p>
    <w:p w:rsidR="002A325C" w:rsidRPr="00247465" w:rsidRDefault="002A325C" w:rsidP="00633ECA">
      <w:pPr>
        <w:pStyle w:val="MIRBodyText"/>
        <w:rPr>
          <w:i/>
        </w:rPr>
      </w:pPr>
      <w:r w:rsidRPr="00247465">
        <w:rPr>
          <w:i/>
        </w:rPr>
        <w:t>substitute</w:t>
      </w:r>
    </w:p>
    <w:p w:rsidR="00633ECA" w:rsidRPr="00247465" w:rsidRDefault="009B2481" w:rsidP="00633ECA">
      <w:pPr>
        <w:pStyle w:val="MIRBodyText"/>
        <w:rPr>
          <w:i/>
        </w:rPr>
      </w:pPr>
      <w:r w:rsidRPr="00247465">
        <w:t>Trade</w:t>
      </w:r>
    </w:p>
    <w:p w:rsidR="005023FE" w:rsidRPr="00247465" w:rsidRDefault="005023FE" w:rsidP="005023FE">
      <w:pPr>
        <w:pStyle w:val="MIRHeading3"/>
      </w:pPr>
      <w:r w:rsidRPr="00247465">
        <w:t>[6</w:t>
      </w:r>
      <w:r w:rsidR="007B037E" w:rsidRPr="00247465">
        <w:t>7</w:t>
      </w:r>
      <w:r w:rsidRPr="00247465">
        <w:t>]</w:t>
      </w:r>
      <w:r w:rsidRPr="00247465">
        <w:tab/>
        <w:t>Rule 2.2.1 (heading)</w:t>
      </w:r>
    </w:p>
    <w:p w:rsidR="005023FE" w:rsidRPr="00247465" w:rsidRDefault="005023FE" w:rsidP="005023FE">
      <w:pPr>
        <w:pStyle w:val="MIRBodyText"/>
        <w:rPr>
          <w:i/>
        </w:rPr>
      </w:pPr>
      <w:r w:rsidRPr="00247465">
        <w:rPr>
          <w:i/>
        </w:rPr>
        <w:t>omit</w:t>
      </w:r>
    </w:p>
    <w:p w:rsidR="005023FE" w:rsidRPr="00247465" w:rsidRDefault="005023FE" w:rsidP="005023FE">
      <w:pPr>
        <w:pStyle w:val="MIRBodyText"/>
      </w:pPr>
      <w:r w:rsidRPr="00247465">
        <w:t>Cancellation</w:t>
      </w:r>
    </w:p>
    <w:p w:rsidR="005023FE" w:rsidRPr="00247465" w:rsidRDefault="005023FE" w:rsidP="005023FE">
      <w:pPr>
        <w:pStyle w:val="MIRBodyText"/>
        <w:rPr>
          <w:i/>
        </w:rPr>
      </w:pPr>
      <w:r w:rsidRPr="00247465">
        <w:rPr>
          <w:i/>
        </w:rPr>
        <w:t>substitute</w:t>
      </w:r>
    </w:p>
    <w:p w:rsidR="005023FE" w:rsidRPr="00247465" w:rsidRDefault="005023FE" w:rsidP="005023FE">
      <w:pPr>
        <w:pStyle w:val="MIRBodyText"/>
        <w:rPr>
          <w:i/>
        </w:rPr>
      </w:pPr>
      <w:r w:rsidRPr="00247465">
        <w:t>Trade</w:t>
      </w:r>
    </w:p>
    <w:p w:rsidR="005023FE" w:rsidRPr="00247465" w:rsidRDefault="005023FE" w:rsidP="005023FE">
      <w:pPr>
        <w:pStyle w:val="MIRHeading3"/>
      </w:pPr>
      <w:r w:rsidRPr="00247465">
        <w:lastRenderedPageBreak/>
        <w:t>[6</w:t>
      </w:r>
      <w:r w:rsidR="007B037E" w:rsidRPr="00247465">
        <w:t>8</w:t>
      </w:r>
      <w:r w:rsidRPr="00247465">
        <w:t>]</w:t>
      </w:r>
      <w:r w:rsidRPr="00247465">
        <w:tab/>
        <w:t>Rule 2.2.1 (heading)</w:t>
      </w:r>
    </w:p>
    <w:p w:rsidR="005023FE" w:rsidRPr="00247465" w:rsidRDefault="005023FE" w:rsidP="005023FE">
      <w:pPr>
        <w:pStyle w:val="MIRBodyText"/>
        <w:rPr>
          <w:i/>
        </w:rPr>
      </w:pPr>
      <w:r w:rsidRPr="00247465">
        <w:rPr>
          <w:i/>
        </w:rPr>
        <w:t>omit</w:t>
      </w:r>
    </w:p>
    <w:p w:rsidR="005023FE" w:rsidRPr="00247465" w:rsidRDefault="005023FE" w:rsidP="005023FE">
      <w:pPr>
        <w:pStyle w:val="MIRBodyText"/>
        <w:rPr>
          <w:i/>
        </w:rPr>
      </w:pPr>
      <w:r w:rsidRPr="00247465">
        <w:t>for Equity Market Products</w:t>
      </w:r>
    </w:p>
    <w:p w:rsidR="003D4593" w:rsidRPr="00247465" w:rsidRDefault="003D4593" w:rsidP="003D4593">
      <w:pPr>
        <w:pStyle w:val="MIRHeading3"/>
      </w:pPr>
      <w:r w:rsidRPr="00247465">
        <w:t>[6</w:t>
      </w:r>
      <w:r w:rsidR="007B037E" w:rsidRPr="00247465">
        <w:t>9</w:t>
      </w:r>
      <w:r w:rsidRPr="00247465">
        <w:t>]</w:t>
      </w:r>
      <w:r w:rsidRPr="00247465">
        <w:tab/>
        <w:t>Rule 2.2.1</w:t>
      </w:r>
    </w:p>
    <w:p w:rsidR="003D4593" w:rsidRPr="00247465" w:rsidRDefault="003D4593" w:rsidP="003D4593">
      <w:pPr>
        <w:pStyle w:val="MIRBodyText"/>
        <w:rPr>
          <w:i/>
        </w:rPr>
      </w:pPr>
      <w:r w:rsidRPr="00247465">
        <w:rPr>
          <w:i/>
        </w:rPr>
        <w:t>omit</w:t>
      </w:r>
    </w:p>
    <w:p w:rsidR="003D4593" w:rsidRPr="00247465" w:rsidRDefault="003D4593" w:rsidP="003D4593">
      <w:pPr>
        <w:pStyle w:val="MIRBodyText"/>
        <w:rPr>
          <w:i/>
        </w:rPr>
      </w:pPr>
      <w:r w:rsidRPr="00247465">
        <w:t xml:space="preserve">The </w:t>
      </w:r>
      <w:r w:rsidRPr="00247465">
        <w:rPr>
          <w:b/>
          <w:i/>
        </w:rPr>
        <w:t>Extreme Cancellation Range</w:t>
      </w:r>
    </w:p>
    <w:p w:rsidR="00244618" w:rsidRPr="00247465" w:rsidRDefault="003D4593" w:rsidP="001873BC">
      <w:pPr>
        <w:pStyle w:val="MIRBodyText"/>
        <w:rPr>
          <w:i/>
        </w:rPr>
      </w:pPr>
      <w:r w:rsidRPr="00247465">
        <w:rPr>
          <w:i/>
        </w:rPr>
        <w:t>substitute</w:t>
      </w:r>
    </w:p>
    <w:p w:rsidR="001873BC" w:rsidRPr="00247465" w:rsidRDefault="003D4593" w:rsidP="001873BC">
      <w:pPr>
        <w:pStyle w:val="MIRBodyText"/>
      </w:pPr>
      <w:r w:rsidRPr="00247465">
        <w:t xml:space="preserve">(1) The </w:t>
      </w:r>
      <w:r w:rsidRPr="00247465">
        <w:rPr>
          <w:b/>
          <w:i/>
        </w:rPr>
        <w:t>Extreme Trade Range</w:t>
      </w:r>
    </w:p>
    <w:p w:rsidR="001E0C56" w:rsidRPr="00247465" w:rsidRDefault="001E0C56" w:rsidP="001E0C56">
      <w:pPr>
        <w:pStyle w:val="MIRHeading3"/>
      </w:pPr>
      <w:r w:rsidRPr="00247465">
        <w:t>[</w:t>
      </w:r>
      <w:r w:rsidR="007B037E" w:rsidRPr="00247465">
        <w:t>70</w:t>
      </w:r>
      <w:r w:rsidRPr="00247465">
        <w:t>]</w:t>
      </w:r>
      <w:r w:rsidRPr="00247465">
        <w:tab/>
        <w:t>Rule 2.2.1</w:t>
      </w:r>
    </w:p>
    <w:p w:rsidR="001E0C56" w:rsidRPr="00247465" w:rsidRDefault="001E0C56" w:rsidP="001E0C56">
      <w:pPr>
        <w:pStyle w:val="MIRBodyText"/>
        <w:rPr>
          <w:i/>
        </w:rPr>
      </w:pPr>
      <w:r w:rsidRPr="00247465">
        <w:rPr>
          <w:i/>
        </w:rPr>
        <w:t>omit</w:t>
      </w:r>
    </w:p>
    <w:p w:rsidR="001E0C56" w:rsidRPr="00247465" w:rsidRDefault="001E0C56" w:rsidP="001E0C56">
      <w:pPr>
        <w:pStyle w:val="MIRBodyText"/>
      </w:pPr>
      <w:r w:rsidRPr="00247465">
        <w:t>or equal to</w:t>
      </w:r>
    </w:p>
    <w:p w:rsidR="00456CDD" w:rsidRPr="00247465" w:rsidRDefault="00456CDD" w:rsidP="00456CDD">
      <w:pPr>
        <w:pStyle w:val="MIRHeading3"/>
      </w:pPr>
      <w:r w:rsidRPr="00247465">
        <w:t>[</w:t>
      </w:r>
      <w:r w:rsidR="007B037E" w:rsidRPr="00247465">
        <w:t>71</w:t>
      </w:r>
      <w:r w:rsidRPr="00247465">
        <w:t>]</w:t>
      </w:r>
      <w:r w:rsidRPr="00247465">
        <w:tab/>
        <w:t>Paragraph 2.2.1(a)</w:t>
      </w:r>
    </w:p>
    <w:p w:rsidR="00456CDD" w:rsidRPr="00247465" w:rsidRDefault="00456CDD" w:rsidP="00456CDD">
      <w:pPr>
        <w:pStyle w:val="MIRBodyText"/>
        <w:rPr>
          <w:i/>
        </w:rPr>
      </w:pPr>
      <w:r w:rsidRPr="00247465">
        <w:rPr>
          <w:i/>
        </w:rPr>
        <w:t>omit</w:t>
      </w:r>
    </w:p>
    <w:p w:rsidR="00B23339" w:rsidRPr="00247465" w:rsidRDefault="000E68F0" w:rsidP="00B23339">
      <w:pPr>
        <w:pStyle w:val="MIRBodyText"/>
      </w:pPr>
      <w:r w:rsidRPr="00247465">
        <w:t>Price Steps</w:t>
      </w:r>
    </w:p>
    <w:p w:rsidR="000E68F0" w:rsidRPr="00247465" w:rsidRDefault="000E68F0" w:rsidP="00B23339">
      <w:pPr>
        <w:pStyle w:val="MIRBodyText"/>
      </w:pPr>
      <w:r w:rsidRPr="00247465">
        <w:rPr>
          <w:i/>
        </w:rPr>
        <w:t>substitute</w:t>
      </w:r>
    </w:p>
    <w:p w:rsidR="000E68F0" w:rsidRPr="00247465" w:rsidRDefault="000E68F0" w:rsidP="00B23339">
      <w:pPr>
        <w:pStyle w:val="MIRBodyText"/>
      </w:pPr>
      <w:r w:rsidRPr="00247465">
        <w:t>cents</w:t>
      </w:r>
    </w:p>
    <w:p w:rsidR="00556657" w:rsidRPr="00247465" w:rsidRDefault="00556657" w:rsidP="00556657">
      <w:pPr>
        <w:pStyle w:val="MIRHeading3"/>
      </w:pPr>
      <w:r w:rsidRPr="00247465">
        <w:t>[</w:t>
      </w:r>
      <w:r w:rsidR="007B037E" w:rsidRPr="00247465">
        <w:t>72</w:t>
      </w:r>
      <w:r w:rsidRPr="00247465">
        <w:t>]</w:t>
      </w:r>
      <w:r w:rsidRPr="00247465">
        <w:tab/>
        <w:t>Rule 2.2.1 (table column 2)</w:t>
      </w:r>
    </w:p>
    <w:p w:rsidR="00556657" w:rsidRPr="00247465" w:rsidRDefault="00556657" w:rsidP="00556657">
      <w:pPr>
        <w:pStyle w:val="MIRBodyText"/>
        <w:rPr>
          <w:i/>
        </w:rPr>
      </w:pPr>
      <w:r w:rsidRPr="00247465">
        <w:rPr>
          <w:i/>
        </w:rPr>
        <w:t>omit the column</w:t>
      </w:r>
    </w:p>
    <w:p w:rsidR="00302B59" w:rsidRPr="00247465" w:rsidRDefault="00302B59" w:rsidP="00302B59">
      <w:pPr>
        <w:pStyle w:val="MIRHeading3"/>
      </w:pPr>
      <w:r w:rsidRPr="00247465">
        <w:t>[72</w:t>
      </w:r>
      <w:r w:rsidR="00764BAF">
        <w:t>A</w:t>
      </w:r>
      <w:r w:rsidRPr="00247465">
        <w:t>]</w:t>
      </w:r>
      <w:r w:rsidRPr="00247465">
        <w:tab/>
        <w:t>Rule 2.2.1 (</w:t>
      </w:r>
      <w:r>
        <w:t xml:space="preserve">heading to </w:t>
      </w:r>
      <w:r w:rsidRPr="00247465">
        <w:t xml:space="preserve">table column </w:t>
      </w:r>
      <w:r w:rsidR="00B8060E">
        <w:t>3</w:t>
      </w:r>
      <w:r w:rsidRPr="00247465">
        <w:t>)</w:t>
      </w:r>
    </w:p>
    <w:p w:rsidR="00302B59" w:rsidRPr="00302B59" w:rsidRDefault="00302B59" w:rsidP="00302B59">
      <w:pPr>
        <w:pStyle w:val="MIRBodyText"/>
        <w:rPr>
          <w:i/>
        </w:rPr>
      </w:pPr>
      <w:r w:rsidRPr="00247465">
        <w:rPr>
          <w:i/>
        </w:rPr>
        <w:t xml:space="preserve">omit the </w:t>
      </w:r>
      <w:r>
        <w:rPr>
          <w:i/>
        </w:rPr>
        <w:t>heading, substitute</w:t>
      </w:r>
    </w:p>
    <w:p w:rsidR="00302B59" w:rsidRPr="00302B59" w:rsidRDefault="00302B59" w:rsidP="00302B59">
      <w:pPr>
        <w:pStyle w:val="MIRBodyText"/>
      </w:pPr>
      <w:r w:rsidRPr="00302B59">
        <w:t>Extreme Trade Range (cents or percentage away from Reference Price)</w:t>
      </w:r>
    </w:p>
    <w:p w:rsidR="000E68F0" w:rsidRPr="00247465" w:rsidRDefault="000E68F0" w:rsidP="00302B59">
      <w:pPr>
        <w:pStyle w:val="MIRHeading3"/>
      </w:pPr>
      <w:r w:rsidRPr="00247465">
        <w:t>[</w:t>
      </w:r>
      <w:r w:rsidR="007B037E" w:rsidRPr="00247465">
        <w:t>73</w:t>
      </w:r>
      <w:r w:rsidRPr="00247465">
        <w:t>]</w:t>
      </w:r>
      <w:r w:rsidRPr="00247465">
        <w:tab/>
        <w:t>Rule 2.2.1 (table</w:t>
      </w:r>
      <w:r w:rsidR="002F7DA0" w:rsidRPr="00247465">
        <w:t xml:space="preserve"> column 3</w:t>
      </w:r>
      <w:r w:rsidRPr="00247465">
        <w:t>)</w:t>
      </w:r>
    </w:p>
    <w:p w:rsidR="000E68F0" w:rsidRPr="00247465" w:rsidRDefault="000E68F0" w:rsidP="000E68F0">
      <w:pPr>
        <w:pStyle w:val="MIRBodyText"/>
        <w:rPr>
          <w:i/>
        </w:rPr>
      </w:pPr>
      <w:r w:rsidRPr="00247465">
        <w:rPr>
          <w:i/>
        </w:rPr>
        <w:t>omit</w:t>
      </w:r>
    </w:p>
    <w:p w:rsidR="000E68F0" w:rsidRPr="00247465" w:rsidRDefault="001B00CE" w:rsidP="000E68F0">
      <w:pPr>
        <w:pStyle w:val="MIRBodyText"/>
      </w:pPr>
      <w:r w:rsidRPr="00247465">
        <w:t xml:space="preserve">≥21 </w:t>
      </w:r>
      <w:r w:rsidR="000E68F0" w:rsidRPr="00247465">
        <w:t>Price Steps</w:t>
      </w:r>
    </w:p>
    <w:p w:rsidR="000E68F0" w:rsidRPr="00247465" w:rsidRDefault="000E68F0" w:rsidP="000E68F0">
      <w:pPr>
        <w:pStyle w:val="MIRBodyText"/>
      </w:pPr>
      <w:r w:rsidRPr="00247465">
        <w:rPr>
          <w:i/>
        </w:rPr>
        <w:t>substitute</w:t>
      </w:r>
    </w:p>
    <w:p w:rsidR="000E68F0" w:rsidRPr="00247465" w:rsidRDefault="006D204B" w:rsidP="000E68F0">
      <w:pPr>
        <w:pStyle w:val="MIRBodyText"/>
      </w:pPr>
      <w:r w:rsidRPr="00247465">
        <w:lastRenderedPageBreak/>
        <w:t>&gt;</w:t>
      </w:r>
      <w:r w:rsidR="00302B59">
        <w:t>10</w:t>
      </w:r>
      <w:r w:rsidR="001B00CE" w:rsidRPr="00247465">
        <w:t xml:space="preserve"> </w:t>
      </w:r>
      <w:r w:rsidR="000E68F0" w:rsidRPr="00247465">
        <w:t>cents</w:t>
      </w:r>
    </w:p>
    <w:p w:rsidR="006D204B" w:rsidRPr="00247465" w:rsidRDefault="006D204B" w:rsidP="006D204B">
      <w:pPr>
        <w:pStyle w:val="MIRHeading3"/>
      </w:pPr>
      <w:r w:rsidRPr="00247465">
        <w:t>[7</w:t>
      </w:r>
      <w:r w:rsidR="007B037E" w:rsidRPr="00247465">
        <w:t>4</w:t>
      </w:r>
      <w:r w:rsidRPr="00247465">
        <w:t>]</w:t>
      </w:r>
      <w:r w:rsidRPr="00247465">
        <w:tab/>
        <w:t>Rule 2.2.1 (table column 3)</w:t>
      </w:r>
    </w:p>
    <w:p w:rsidR="006D204B" w:rsidRPr="00247465" w:rsidRDefault="006D204B" w:rsidP="006D204B">
      <w:pPr>
        <w:pStyle w:val="MIRBodyText"/>
        <w:rPr>
          <w:i/>
        </w:rPr>
      </w:pPr>
      <w:r w:rsidRPr="00247465">
        <w:rPr>
          <w:i/>
        </w:rPr>
        <w:t>omit</w:t>
      </w:r>
    </w:p>
    <w:p w:rsidR="006D204B" w:rsidRPr="00247465" w:rsidRDefault="006D204B" w:rsidP="006D204B">
      <w:pPr>
        <w:pStyle w:val="MIRBodyText"/>
      </w:pPr>
      <w:r w:rsidRPr="00247465">
        <w:t>≥61 Price Steps</w:t>
      </w:r>
    </w:p>
    <w:p w:rsidR="006D204B" w:rsidRPr="00247465" w:rsidRDefault="006D204B" w:rsidP="006D204B">
      <w:pPr>
        <w:pStyle w:val="MIRBodyText"/>
      </w:pPr>
      <w:r w:rsidRPr="00247465">
        <w:rPr>
          <w:i/>
        </w:rPr>
        <w:t>substitute</w:t>
      </w:r>
    </w:p>
    <w:p w:rsidR="006D204B" w:rsidRPr="00247465" w:rsidRDefault="006D204B" w:rsidP="006D204B">
      <w:pPr>
        <w:pStyle w:val="MIRBodyText"/>
      </w:pPr>
      <w:r w:rsidRPr="00247465">
        <w:t>&gt;30 cents</w:t>
      </w:r>
    </w:p>
    <w:p w:rsidR="006D204B" w:rsidRPr="00247465" w:rsidRDefault="006D204B" w:rsidP="006D204B">
      <w:pPr>
        <w:pStyle w:val="MIRHeading3"/>
      </w:pPr>
      <w:r w:rsidRPr="00247465">
        <w:t>[7</w:t>
      </w:r>
      <w:r w:rsidR="007B037E" w:rsidRPr="00247465">
        <w:t>5</w:t>
      </w:r>
      <w:r w:rsidRPr="00247465">
        <w:t>]</w:t>
      </w:r>
      <w:r w:rsidRPr="00247465">
        <w:tab/>
        <w:t>Rule 2.2.1 (table column 3)</w:t>
      </w:r>
    </w:p>
    <w:p w:rsidR="006D204B" w:rsidRPr="00247465" w:rsidRDefault="006D204B" w:rsidP="006D204B">
      <w:pPr>
        <w:pStyle w:val="MIRBodyText"/>
        <w:rPr>
          <w:i/>
        </w:rPr>
      </w:pPr>
      <w:r w:rsidRPr="00247465">
        <w:rPr>
          <w:i/>
        </w:rPr>
        <w:t>omit</w:t>
      </w:r>
    </w:p>
    <w:p w:rsidR="006D204B" w:rsidRPr="00247465" w:rsidRDefault="006D204B" w:rsidP="006D204B">
      <w:pPr>
        <w:pStyle w:val="MIRBodyText"/>
      </w:pPr>
      <w:r w:rsidRPr="00247465">
        <w:t>≥101 Price Steps</w:t>
      </w:r>
    </w:p>
    <w:p w:rsidR="006D204B" w:rsidRPr="00247465" w:rsidRDefault="006D204B" w:rsidP="006D204B">
      <w:pPr>
        <w:pStyle w:val="MIRBodyText"/>
      </w:pPr>
      <w:r w:rsidRPr="00247465">
        <w:rPr>
          <w:i/>
        </w:rPr>
        <w:t>substitute</w:t>
      </w:r>
    </w:p>
    <w:p w:rsidR="006D204B" w:rsidRPr="00247465" w:rsidRDefault="006D204B" w:rsidP="006D204B">
      <w:pPr>
        <w:pStyle w:val="MIRBodyText"/>
      </w:pPr>
      <w:r w:rsidRPr="00247465">
        <w:t>&gt;50 cents</w:t>
      </w:r>
    </w:p>
    <w:p w:rsidR="006D204B" w:rsidRPr="00247465" w:rsidRDefault="006D204B" w:rsidP="006D204B">
      <w:pPr>
        <w:pStyle w:val="MIRHeading3"/>
      </w:pPr>
      <w:r w:rsidRPr="00247465">
        <w:t>[7</w:t>
      </w:r>
      <w:r w:rsidR="007B037E" w:rsidRPr="00247465">
        <w:t>6</w:t>
      </w:r>
      <w:r w:rsidRPr="00247465">
        <w:t>]</w:t>
      </w:r>
      <w:r w:rsidRPr="00247465">
        <w:tab/>
        <w:t>Rule 2.2.1 (table column 3)</w:t>
      </w:r>
    </w:p>
    <w:p w:rsidR="006D204B" w:rsidRPr="00247465" w:rsidRDefault="006D204B" w:rsidP="006D204B">
      <w:pPr>
        <w:pStyle w:val="MIRBodyText"/>
        <w:rPr>
          <w:i/>
        </w:rPr>
      </w:pPr>
      <w:r w:rsidRPr="00247465">
        <w:rPr>
          <w:i/>
        </w:rPr>
        <w:t>omit</w:t>
      </w:r>
    </w:p>
    <w:p w:rsidR="006D204B" w:rsidRPr="00247465" w:rsidRDefault="006D204B" w:rsidP="006D204B">
      <w:pPr>
        <w:pStyle w:val="MIRBodyText"/>
      </w:pPr>
      <w:r w:rsidRPr="00247465">
        <w:t>≥</w:t>
      </w:r>
      <w:r w:rsidR="00A84A2F" w:rsidRPr="00247465">
        <w:t>50.1%</w:t>
      </w:r>
    </w:p>
    <w:p w:rsidR="006D204B" w:rsidRPr="00247465" w:rsidRDefault="006D204B" w:rsidP="006D204B">
      <w:pPr>
        <w:pStyle w:val="MIRBodyText"/>
      </w:pPr>
      <w:r w:rsidRPr="00247465">
        <w:rPr>
          <w:i/>
        </w:rPr>
        <w:t>substitute</w:t>
      </w:r>
    </w:p>
    <w:p w:rsidR="006D204B" w:rsidRPr="00247465" w:rsidRDefault="006D204B" w:rsidP="006D204B">
      <w:pPr>
        <w:pStyle w:val="MIRBodyText"/>
      </w:pPr>
      <w:r w:rsidRPr="00247465">
        <w:t>&gt;</w:t>
      </w:r>
      <w:r w:rsidR="00A84A2F" w:rsidRPr="00247465">
        <w:t>50.0%</w:t>
      </w:r>
    </w:p>
    <w:p w:rsidR="00A84A2F" w:rsidRPr="00247465" w:rsidRDefault="00A84A2F" w:rsidP="00A84A2F">
      <w:pPr>
        <w:pStyle w:val="MIRHeading3"/>
      </w:pPr>
      <w:r w:rsidRPr="00247465">
        <w:t>[7</w:t>
      </w:r>
      <w:r w:rsidR="007B037E" w:rsidRPr="00247465">
        <w:t>7</w:t>
      </w:r>
      <w:r w:rsidRPr="00247465">
        <w:t>]</w:t>
      </w:r>
      <w:r w:rsidRPr="00247465">
        <w:tab/>
        <w:t>Rule 2.2.1 (table column 3)</w:t>
      </w:r>
    </w:p>
    <w:p w:rsidR="00A84A2F" w:rsidRPr="00247465" w:rsidRDefault="00A84A2F" w:rsidP="00A84A2F">
      <w:pPr>
        <w:pStyle w:val="MIRBodyText"/>
        <w:rPr>
          <w:i/>
        </w:rPr>
      </w:pPr>
      <w:r w:rsidRPr="00247465">
        <w:rPr>
          <w:i/>
        </w:rPr>
        <w:t>omit</w:t>
      </w:r>
    </w:p>
    <w:p w:rsidR="00A84A2F" w:rsidRPr="00247465" w:rsidRDefault="00A84A2F" w:rsidP="00A84A2F">
      <w:pPr>
        <w:pStyle w:val="MIRBodyText"/>
      </w:pPr>
      <w:r w:rsidRPr="00247465">
        <w:t>≥</w:t>
      </w:r>
      <w:r w:rsidR="001B0E98" w:rsidRPr="00247465">
        <w:t>4</w:t>
      </w:r>
      <w:r w:rsidRPr="00247465">
        <w:t>0.1%</w:t>
      </w:r>
    </w:p>
    <w:p w:rsidR="00A84A2F" w:rsidRPr="00247465" w:rsidRDefault="00A84A2F" w:rsidP="00A84A2F">
      <w:pPr>
        <w:pStyle w:val="MIRBodyText"/>
      </w:pPr>
      <w:r w:rsidRPr="00247465">
        <w:rPr>
          <w:i/>
        </w:rPr>
        <w:t>substitute</w:t>
      </w:r>
    </w:p>
    <w:p w:rsidR="00A84A2F" w:rsidRPr="00247465" w:rsidRDefault="00A84A2F" w:rsidP="00A84A2F">
      <w:pPr>
        <w:pStyle w:val="MIRBodyText"/>
      </w:pPr>
      <w:r w:rsidRPr="00247465">
        <w:t>&gt;</w:t>
      </w:r>
      <w:r w:rsidR="001B0E98" w:rsidRPr="00247465">
        <w:t>4</w:t>
      </w:r>
      <w:r w:rsidRPr="00247465">
        <w:t>0.0%</w:t>
      </w:r>
    </w:p>
    <w:p w:rsidR="00A84A2F" w:rsidRPr="00247465" w:rsidRDefault="00A84A2F" w:rsidP="00A84A2F">
      <w:pPr>
        <w:pStyle w:val="MIRHeading3"/>
      </w:pPr>
      <w:r w:rsidRPr="00247465">
        <w:t xml:space="preserve"> [7</w:t>
      </w:r>
      <w:r w:rsidR="007B037E" w:rsidRPr="00247465">
        <w:t>8</w:t>
      </w:r>
      <w:r w:rsidRPr="00247465">
        <w:t>]</w:t>
      </w:r>
      <w:r w:rsidRPr="00247465">
        <w:tab/>
        <w:t>Rule 2.2.1 (table column 3)</w:t>
      </w:r>
    </w:p>
    <w:p w:rsidR="00A84A2F" w:rsidRPr="00247465" w:rsidRDefault="00A84A2F" w:rsidP="00A84A2F">
      <w:pPr>
        <w:pStyle w:val="MIRBodyText"/>
        <w:rPr>
          <w:i/>
        </w:rPr>
      </w:pPr>
      <w:r w:rsidRPr="00247465">
        <w:rPr>
          <w:i/>
        </w:rPr>
        <w:t>omit</w:t>
      </w:r>
    </w:p>
    <w:p w:rsidR="00A84A2F" w:rsidRPr="00247465" w:rsidRDefault="00A84A2F" w:rsidP="00A84A2F">
      <w:pPr>
        <w:pStyle w:val="MIRBodyText"/>
      </w:pPr>
      <w:r w:rsidRPr="00247465">
        <w:t>≥</w:t>
      </w:r>
      <w:r w:rsidR="001B0E98" w:rsidRPr="00247465">
        <w:t>35</w:t>
      </w:r>
      <w:r w:rsidRPr="00247465">
        <w:t>.1%</w:t>
      </w:r>
    </w:p>
    <w:p w:rsidR="00A84A2F" w:rsidRPr="00247465" w:rsidRDefault="00A84A2F" w:rsidP="00A84A2F">
      <w:pPr>
        <w:pStyle w:val="MIRBodyText"/>
      </w:pPr>
      <w:r w:rsidRPr="00247465">
        <w:rPr>
          <w:i/>
        </w:rPr>
        <w:t>substitute</w:t>
      </w:r>
    </w:p>
    <w:p w:rsidR="00A84A2F" w:rsidRPr="00247465" w:rsidRDefault="00A84A2F" w:rsidP="00A84A2F">
      <w:pPr>
        <w:pStyle w:val="MIRBodyText"/>
      </w:pPr>
      <w:r w:rsidRPr="00247465">
        <w:t>&gt;</w:t>
      </w:r>
      <w:r w:rsidR="001B0E98" w:rsidRPr="00247465">
        <w:t>35</w:t>
      </w:r>
      <w:r w:rsidRPr="00247465">
        <w:t>.0%</w:t>
      </w:r>
    </w:p>
    <w:p w:rsidR="006D204B" w:rsidRPr="00247465" w:rsidRDefault="00A84A2F" w:rsidP="00A84A2F">
      <w:pPr>
        <w:pStyle w:val="MIRHeading3"/>
      </w:pPr>
      <w:r w:rsidRPr="00247465">
        <w:lastRenderedPageBreak/>
        <w:t xml:space="preserve"> </w:t>
      </w:r>
      <w:r w:rsidR="006D204B" w:rsidRPr="00247465">
        <w:t>[7</w:t>
      </w:r>
      <w:r w:rsidR="007B037E" w:rsidRPr="00247465">
        <w:t>9</w:t>
      </w:r>
      <w:r w:rsidR="006D204B" w:rsidRPr="00247465">
        <w:t>]</w:t>
      </w:r>
      <w:r w:rsidR="006D204B" w:rsidRPr="00247465">
        <w:tab/>
        <w:t>Rule 2.2.1 (table column 3)</w:t>
      </w:r>
    </w:p>
    <w:p w:rsidR="006D204B" w:rsidRPr="00247465" w:rsidRDefault="006D204B" w:rsidP="006D204B">
      <w:pPr>
        <w:pStyle w:val="MIRBodyText"/>
        <w:rPr>
          <w:i/>
        </w:rPr>
      </w:pPr>
      <w:r w:rsidRPr="00247465">
        <w:rPr>
          <w:i/>
        </w:rPr>
        <w:t>omit</w:t>
      </w:r>
    </w:p>
    <w:p w:rsidR="006D204B" w:rsidRPr="00247465" w:rsidRDefault="006D204B" w:rsidP="006D204B">
      <w:pPr>
        <w:pStyle w:val="MIRBodyText"/>
      </w:pPr>
      <w:r w:rsidRPr="00247465">
        <w:t>≥</w:t>
      </w:r>
      <w:r w:rsidR="001B0E98" w:rsidRPr="00247465">
        <w:t>30.1%</w:t>
      </w:r>
    </w:p>
    <w:p w:rsidR="006D204B" w:rsidRPr="00247465" w:rsidRDefault="006D204B" w:rsidP="006D204B">
      <w:pPr>
        <w:pStyle w:val="MIRBodyText"/>
      </w:pPr>
      <w:r w:rsidRPr="00247465">
        <w:rPr>
          <w:i/>
        </w:rPr>
        <w:t>substitute</w:t>
      </w:r>
    </w:p>
    <w:p w:rsidR="006D204B" w:rsidRPr="00247465" w:rsidRDefault="006D204B" w:rsidP="006D204B">
      <w:pPr>
        <w:pStyle w:val="MIRBodyText"/>
      </w:pPr>
      <w:r w:rsidRPr="00247465">
        <w:t>&gt;</w:t>
      </w:r>
      <w:r w:rsidR="001B0E98" w:rsidRPr="00247465">
        <w:t>30.0%</w:t>
      </w:r>
    </w:p>
    <w:p w:rsidR="006D204B" w:rsidRPr="00247465" w:rsidRDefault="006D204B" w:rsidP="006D204B">
      <w:pPr>
        <w:pStyle w:val="MIRHeading3"/>
      </w:pPr>
      <w:r w:rsidRPr="00247465">
        <w:t>[</w:t>
      </w:r>
      <w:r w:rsidR="007B037E" w:rsidRPr="00247465">
        <w:t>80</w:t>
      </w:r>
      <w:r w:rsidRPr="00247465">
        <w:t>]</w:t>
      </w:r>
      <w:r w:rsidRPr="00247465">
        <w:tab/>
        <w:t>Rule 2.2.1 (table column 3)</w:t>
      </w:r>
    </w:p>
    <w:p w:rsidR="006D204B" w:rsidRPr="00247465" w:rsidRDefault="006D204B" w:rsidP="006D204B">
      <w:pPr>
        <w:pStyle w:val="MIRBodyText"/>
        <w:rPr>
          <w:i/>
        </w:rPr>
      </w:pPr>
      <w:r w:rsidRPr="00247465">
        <w:rPr>
          <w:i/>
        </w:rPr>
        <w:t>omit</w:t>
      </w:r>
    </w:p>
    <w:p w:rsidR="006D204B" w:rsidRPr="00247465" w:rsidRDefault="006D204B" w:rsidP="006D204B">
      <w:pPr>
        <w:pStyle w:val="MIRBodyText"/>
      </w:pPr>
      <w:r w:rsidRPr="00247465">
        <w:t>≥</w:t>
      </w:r>
      <w:r w:rsidR="009803F7" w:rsidRPr="00247465">
        <w:t>25.1%</w:t>
      </w:r>
    </w:p>
    <w:p w:rsidR="006D204B" w:rsidRPr="00247465" w:rsidRDefault="006D204B" w:rsidP="006D204B">
      <w:pPr>
        <w:pStyle w:val="MIRBodyText"/>
      </w:pPr>
      <w:r w:rsidRPr="00247465">
        <w:rPr>
          <w:i/>
        </w:rPr>
        <w:t>substitute</w:t>
      </w:r>
    </w:p>
    <w:p w:rsidR="006D204B" w:rsidRPr="00247465" w:rsidRDefault="006D204B" w:rsidP="006D204B">
      <w:pPr>
        <w:pStyle w:val="MIRBodyText"/>
      </w:pPr>
      <w:r w:rsidRPr="00247465">
        <w:t>&gt;</w:t>
      </w:r>
      <w:r w:rsidR="009803F7" w:rsidRPr="00247465">
        <w:t>25.0%</w:t>
      </w:r>
    </w:p>
    <w:p w:rsidR="006D204B" w:rsidRPr="00247465" w:rsidRDefault="006D204B" w:rsidP="006D204B">
      <w:pPr>
        <w:pStyle w:val="MIRHeading3"/>
      </w:pPr>
      <w:r w:rsidRPr="00247465">
        <w:t>[</w:t>
      </w:r>
      <w:r w:rsidR="007B037E" w:rsidRPr="00247465">
        <w:t>81</w:t>
      </w:r>
      <w:r w:rsidRPr="00247465">
        <w:t>]</w:t>
      </w:r>
      <w:r w:rsidRPr="00247465">
        <w:tab/>
        <w:t>Rule 2.2.1 (table column 3)</w:t>
      </w:r>
    </w:p>
    <w:p w:rsidR="006D204B" w:rsidRPr="00247465" w:rsidRDefault="006D204B" w:rsidP="006D204B">
      <w:pPr>
        <w:pStyle w:val="MIRBodyText"/>
        <w:rPr>
          <w:i/>
        </w:rPr>
      </w:pPr>
      <w:r w:rsidRPr="00247465">
        <w:rPr>
          <w:i/>
        </w:rPr>
        <w:t>omit</w:t>
      </w:r>
    </w:p>
    <w:p w:rsidR="006D204B" w:rsidRPr="00247465" w:rsidRDefault="006D204B" w:rsidP="006D204B">
      <w:pPr>
        <w:pStyle w:val="MIRBodyText"/>
      </w:pPr>
      <w:r w:rsidRPr="00247465">
        <w:t>≥</w:t>
      </w:r>
      <w:r w:rsidR="009803F7" w:rsidRPr="00247465">
        <w:t>20.1%</w:t>
      </w:r>
    </w:p>
    <w:p w:rsidR="006D204B" w:rsidRPr="00247465" w:rsidRDefault="006D204B" w:rsidP="006D204B">
      <w:pPr>
        <w:pStyle w:val="MIRBodyText"/>
      </w:pPr>
      <w:r w:rsidRPr="00247465">
        <w:rPr>
          <w:i/>
        </w:rPr>
        <w:t>substitute</w:t>
      </w:r>
    </w:p>
    <w:p w:rsidR="006D204B" w:rsidRPr="00247465" w:rsidRDefault="006D204B" w:rsidP="006D204B">
      <w:pPr>
        <w:pStyle w:val="MIRBodyText"/>
      </w:pPr>
      <w:r w:rsidRPr="00247465">
        <w:t>&gt;</w:t>
      </w:r>
      <w:r w:rsidR="009803F7" w:rsidRPr="00247465">
        <w:t>20.0%</w:t>
      </w:r>
    </w:p>
    <w:p w:rsidR="006D204B" w:rsidRPr="00247465" w:rsidRDefault="006D204B" w:rsidP="006D204B">
      <w:pPr>
        <w:pStyle w:val="MIRHeading3"/>
      </w:pPr>
      <w:r w:rsidRPr="00247465">
        <w:t>[</w:t>
      </w:r>
      <w:r w:rsidR="007B037E" w:rsidRPr="00247465">
        <w:t>82</w:t>
      </w:r>
      <w:r w:rsidRPr="00247465">
        <w:t>]</w:t>
      </w:r>
      <w:r w:rsidRPr="00247465">
        <w:tab/>
      </w:r>
      <w:r w:rsidR="00E14990" w:rsidRPr="00247465">
        <w:t>Rule 2.2.1, after the table</w:t>
      </w:r>
    </w:p>
    <w:p w:rsidR="000A0719" w:rsidRPr="00247465" w:rsidRDefault="000A0719" w:rsidP="006D204B">
      <w:pPr>
        <w:pStyle w:val="MIRBodyText"/>
        <w:rPr>
          <w:i/>
        </w:rPr>
      </w:pPr>
      <w:r w:rsidRPr="00247465">
        <w:rPr>
          <w:i/>
        </w:rPr>
        <w:t>insert</w:t>
      </w:r>
    </w:p>
    <w:p w:rsidR="00864B4C" w:rsidRPr="00247465" w:rsidRDefault="00864B4C" w:rsidP="00864B4C">
      <w:pPr>
        <w:pStyle w:val="MIRBodyText"/>
      </w:pPr>
      <w:r w:rsidRPr="00247465">
        <w:t xml:space="preserve">(2) The </w:t>
      </w:r>
      <w:r w:rsidRPr="00247465">
        <w:rPr>
          <w:b/>
          <w:bCs/>
          <w:i/>
          <w:iCs/>
        </w:rPr>
        <w:t xml:space="preserve">Extreme Trade Range </w:t>
      </w:r>
      <w:r w:rsidRPr="00247465">
        <w:t xml:space="preserve">for the ASX SPI 200 Future means all prices which are greater than 250 Price Steps away from the Reference Price for the ASX SPI 200 Future. </w:t>
      </w:r>
    </w:p>
    <w:p w:rsidR="006D204B" w:rsidRPr="00247465" w:rsidRDefault="006D204B" w:rsidP="006D204B">
      <w:pPr>
        <w:pStyle w:val="MIRHeading3"/>
      </w:pPr>
      <w:r w:rsidRPr="00247465">
        <w:t>[</w:t>
      </w:r>
      <w:r w:rsidR="007B037E" w:rsidRPr="00247465">
        <w:t>83</w:t>
      </w:r>
      <w:r w:rsidRPr="00247465">
        <w:t>]</w:t>
      </w:r>
      <w:r w:rsidRPr="00247465">
        <w:tab/>
        <w:t>Rule 2.2.</w:t>
      </w:r>
      <w:r w:rsidR="0067000A" w:rsidRPr="00247465">
        <w:t>2</w:t>
      </w:r>
      <w:r w:rsidRPr="00247465">
        <w:t xml:space="preserve"> </w:t>
      </w:r>
    </w:p>
    <w:p w:rsidR="006D204B" w:rsidRPr="00247465" w:rsidRDefault="00EE670B" w:rsidP="006D204B">
      <w:pPr>
        <w:pStyle w:val="MIRBodyText"/>
        <w:rPr>
          <w:i/>
        </w:rPr>
      </w:pPr>
      <w:r>
        <w:rPr>
          <w:i/>
        </w:rPr>
        <w:t xml:space="preserve">omit the rule, </w:t>
      </w:r>
      <w:r w:rsidR="0067000A" w:rsidRPr="00247465">
        <w:rPr>
          <w:i/>
        </w:rPr>
        <w:t>substitute</w:t>
      </w:r>
    </w:p>
    <w:p w:rsidR="0067000A" w:rsidRPr="00247465" w:rsidRDefault="0067000A" w:rsidP="00F2365E">
      <w:pPr>
        <w:pStyle w:val="MIRHeading3"/>
        <w:ind w:left="1560" w:hanging="710"/>
      </w:pPr>
      <w:r w:rsidRPr="00247465">
        <w:t>2.2.2</w:t>
      </w:r>
      <w:r w:rsidR="00F2365E" w:rsidRPr="00247465">
        <w:tab/>
      </w:r>
      <w:r w:rsidRPr="00247465">
        <w:t xml:space="preserve">Obligation on Market Operator to determine and notify Reference Price </w:t>
      </w:r>
    </w:p>
    <w:p w:rsidR="0067000A" w:rsidRPr="00247465" w:rsidRDefault="0067000A" w:rsidP="00B11148">
      <w:pPr>
        <w:pStyle w:val="MIRBodyText"/>
        <w:ind w:left="850"/>
      </w:pPr>
      <w:r w:rsidRPr="00247465">
        <w:t xml:space="preserve">(1) The Responsible Market Operator must determine a Reference Price for each Relevant Product after each Trading Reset, as follows: </w:t>
      </w:r>
    </w:p>
    <w:p w:rsidR="0067000A" w:rsidRPr="00247465" w:rsidRDefault="0067000A" w:rsidP="00B11148">
      <w:pPr>
        <w:pStyle w:val="MIRSubpara"/>
        <w:numPr>
          <w:ilvl w:val="0"/>
          <w:numId w:val="23"/>
        </w:numPr>
        <w:ind w:left="1275"/>
      </w:pPr>
      <w:r w:rsidRPr="00247465">
        <w:t xml:space="preserve">if there is an Auction in the Relevant Product after the Trading Reset and before the Opening Transaction, the price established by the Auction; </w:t>
      </w:r>
    </w:p>
    <w:p w:rsidR="0067000A" w:rsidRPr="00247465" w:rsidRDefault="0067000A" w:rsidP="00B11148">
      <w:pPr>
        <w:pStyle w:val="MIRSubpara"/>
        <w:ind w:left="1275"/>
      </w:pPr>
      <w:r w:rsidRPr="00247465">
        <w:t xml:space="preserve">if: </w:t>
      </w:r>
    </w:p>
    <w:p w:rsidR="008B310C" w:rsidRPr="00247465" w:rsidRDefault="0067000A" w:rsidP="00B11148">
      <w:pPr>
        <w:pStyle w:val="MIRSubsubpara"/>
        <w:tabs>
          <w:tab w:val="clear" w:pos="1701"/>
          <w:tab w:val="num" w:pos="1699"/>
        </w:tabs>
        <w:ind w:left="1699"/>
      </w:pPr>
      <w:r w:rsidRPr="00247465">
        <w:lastRenderedPageBreak/>
        <w:t>the Responsible Market Operator determines, acting reasonably, that the price established by the Auction referred to in paragraph (a) is Invalid;</w:t>
      </w:r>
    </w:p>
    <w:p w:rsidR="0067000A" w:rsidRPr="00247465" w:rsidRDefault="0067000A" w:rsidP="00B11148">
      <w:pPr>
        <w:pStyle w:val="MIRSubsubpara"/>
        <w:tabs>
          <w:tab w:val="clear" w:pos="1701"/>
          <w:tab w:val="num" w:pos="1699"/>
        </w:tabs>
        <w:ind w:left="1699"/>
      </w:pPr>
      <w:r w:rsidRPr="00247465">
        <w:t xml:space="preserve">the Auction referred to in paragraph (a) does not establish a price; or </w:t>
      </w:r>
    </w:p>
    <w:p w:rsidR="0067000A" w:rsidRPr="00247465" w:rsidRDefault="0067000A" w:rsidP="00B11148">
      <w:pPr>
        <w:pStyle w:val="MIRSubsubpara"/>
        <w:tabs>
          <w:tab w:val="clear" w:pos="1701"/>
          <w:tab w:val="num" w:pos="1699"/>
        </w:tabs>
        <w:ind w:left="1699"/>
      </w:pPr>
      <w:r w:rsidRPr="00247465">
        <w:t xml:space="preserve">there is no Auction in the Relevant Product after the Trading Reset and before the Opening Transaction, </w:t>
      </w:r>
    </w:p>
    <w:p w:rsidR="0067000A" w:rsidRPr="00247465" w:rsidRDefault="0067000A" w:rsidP="00F2365E">
      <w:pPr>
        <w:pStyle w:val="MIRSubpara"/>
        <w:numPr>
          <w:ilvl w:val="0"/>
          <w:numId w:val="0"/>
        </w:numPr>
        <w:ind w:left="1276"/>
      </w:pPr>
      <w:r w:rsidRPr="00247465">
        <w:t xml:space="preserve">the price of the Opening Transaction; or </w:t>
      </w:r>
    </w:p>
    <w:p w:rsidR="0067000A" w:rsidRPr="00247465" w:rsidRDefault="0067000A" w:rsidP="00B11148">
      <w:pPr>
        <w:pStyle w:val="MIRSubpara"/>
        <w:ind w:left="1275"/>
      </w:pPr>
      <w:r w:rsidRPr="00247465">
        <w:t xml:space="preserve">if paragraph (b) applies and the price of the Opening Transaction is Invalid, a price determined by the Responsible Market Operator, acting reasonably, to be not Invalid. </w:t>
      </w:r>
    </w:p>
    <w:p w:rsidR="0067000A" w:rsidRPr="00247465" w:rsidRDefault="0067000A" w:rsidP="00B11148">
      <w:pPr>
        <w:pStyle w:val="MIRBodyText"/>
        <w:ind w:left="850"/>
      </w:pPr>
      <w:r w:rsidRPr="00247465">
        <w:t xml:space="preserve">(2) The Responsible Market Operator must, each time it determines a Reference Price for a Relevant Product in accordance with subrule (1), immediately: </w:t>
      </w:r>
    </w:p>
    <w:p w:rsidR="0067000A" w:rsidRPr="00247465" w:rsidRDefault="0067000A" w:rsidP="00B11148">
      <w:pPr>
        <w:pStyle w:val="MIRSubpara"/>
        <w:numPr>
          <w:ilvl w:val="0"/>
          <w:numId w:val="24"/>
        </w:numPr>
        <w:ind w:left="1275"/>
      </w:pPr>
      <w:r w:rsidRPr="00247465">
        <w:t xml:space="preserve">use the Reference Price to determine the Extreme Trade Range for the Relevant Product in accordance with Rule 2.2.1, until the next Trading Reset for the Relevant Product; and </w:t>
      </w:r>
    </w:p>
    <w:p w:rsidR="0067000A" w:rsidRPr="00247465" w:rsidRDefault="0067000A" w:rsidP="00B11148">
      <w:pPr>
        <w:pStyle w:val="MIRSubpara"/>
        <w:ind w:left="1275"/>
      </w:pPr>
      <w:r w:rsidRPr="00247465">
        <w:t xml:space="preserve">notify ASIC and, subject to subrules 6.2.1(1) and (6), the Market Operator of each other Market on which the Relevant Product is quoted, of the Reference Price for the Relevant Product. </w:t>
      </w:r>
    </w:p>
    <w:p w:rsidR="0067000A" w:rsidRPr="00247465" w:rsidRDefault="0067000A" w:rsidP="00B11148">
      <w:pPr>
        <w:pStyle w:val="MIRBodyText"/>
        <w:ind w:left="850"/>
      </w:pPr>
      <w:r w:rsidRPr="00247465">
        <w:t xml:space="preserve">(3) Subject to subrule (4), each Market Operator that receives a notification under paragraph (2)(b) must immediately use the Reference Price in the notification to determine the Extreme Trade Range for the Relevant Product in accordance with Rule 2.2.1, until it next receives a notification under paragraph (2)(b) in relation to the Relevant Product. </w:t>
      </w:r>
    </w:p>
    <w:p w:rsidR="0067000A" w:rsidRPr="00247465" w:rsidRDefault="0067000A" w:rsidP="00B11148">
      <w:pPr>
        <w:pStyle w:val="MIRBodyText"/>
        <w:ind w:left="850"/>
      </w:pPr>
      <w:r w:rsidRPr="00247465">
        <w:t xml:space="preserve">(4) A Market Operator that operates an Order Book other than ASX </w:t>
      </w:r>
      <w:proofErr w:type="spellStart"/>
      <w:r w:rsidRPr="00247465">
        <w:t>TradeMatch</w:t>
      </w:r>
      <w:proofErr w:type="spellEnd"/>
      <w:r w:rsidRPr="00247465">
        <w:t xml:space="preserve"> or ASX Trade 24, must determine the Reference Price for each Relevant Product for that Order Book after each Trading Reset on that Order Book, as: </w:t>
      </w:r>
    </w:p>
    <w:p w:rsidR="0067000A" w:rsidRPr="00247465" w:rsidRDefault="0067000A" w:rsidP="00B11148">
      <w:pPr>
        <w:pStyle w:val="MIRSubpara"/>
        <w:numPr>
          <w:ilvl w:val="0"/>
          <w:numId w:val="25"/>
        </w:numPr>
        <w:ind w:left="1275"/>
      </w:pPr>
      <w:r w:rsidRPr="00247465">
        <w:t xml:space="preserve">the price of the Opening Transaction; or </w:t>
      </w:r>
    </w:p>
    <w:p w:rsidR="0067000A" w:rsidRPr="00247465" w:rsidRDefault="0067000A" w:rsidP="00B11148">
      <w:pPr>
        <w:pStyle w:val="MIRSubpara"/>
        <w:ind w:left="1275"/>
      </w:pPr>
      <w:r w:rsidRPr="00247465">
        <w:t xml:space="preserve">if paragraph (a) applies and the price of the Opening Transaction is Invalid, a price determined by the Market Operator, acting reasonably, to be not Invalid, </w:t>
      </w:r>
    </w:p>
    <w:p w:rsidR="0067000A" w:rsidRPr="00247465" w:rsidRDefault="0067000A" w:rsidP="00B11148">
      <w:pPr>
        <w:pStyle w:val="MIRBodyText"/>
        <w:ind w:left="850"/>
      </w:pPr>
      <w:proofErr w:type="gramStart"/>
      <w:r w:rsidRPr="00247465">
        <w:t>until</w:t>
      </w:r>
      <w:proofErr w:type="gramEnd"/>
      <w:r w:rsidRPr="00247465">
        <w:t xml:space="preserve"> the Market Operator receives a notification of the Reference Price for the Relevant Product under paragraph (2)(b). </w:t>
      </w:r>
    </w:p>
    <w:p w:rsidR="0067000A" w:rsidRPr="00247465" w:rsidRDefault="0067000A" w:rsidP="00B11148">
      <w:pPr>
        <w:pStyle w:val="MIRNote"/>
        <w:ind w:left="1700"/>
      </w:pPr>
      <w:r w:rsidRPr="00247465">
        <w:t xml:space="preserve">Note: Under </w:t>
      </w:r>
      <w:proofErr w:type="spellStart"/>
      <w:r w:rsidRPr="00247465">
        <w:t>subrules</w:t>
      </w:r>
      <w:proofErr w:type="spellEnd"/>
      <w:r w:rsidRPr="00247465">
        <w:t xml:space="preserve"> 6.2.1(1) and (6), ASX (as the Responsible Market Operator for Equity Market Products) must provide notifications under paragraph 2.2.2(2</w:t>
      </w:r>
      <w:proofErr w:type="gramStart"/>
      <w:r w:rsidRPr="00247465">
        <w:t>)(</w:t>
      </w:r>
      <w:proofErr w:type="gramEnd"/>
      <w:r w:rsidRPr="00247465">
        <w:t xml:space="preserve">b) to other Market Operators through an electronic data feed, and need only make a notification in relation to a particular Equity Market Product to a Market Operator that has notified ASX it will quote the Equity Market Product on its Market. </w:t>
      </w:r>
    </w:p>
    <w:p w:rsidR="0067000A" w:rsidRPr="00247465" w:rsidRDefault="0067000A" w:rsidP="00B11148">
      <w:pPr>
        <w:pStyle w:val="MIRPenalty"/>
      </w:pPr>
      <w:r w:rsidRPr="00247465">
        <w:t xml:space="preserve">Maximum penalty: $100,000 </w:t>
      </w:r>
    </w:p>
    <w:p w:rsidR="0067000A" w:rsidRPr="00247465" w:rsidRDefault="0067000A" w:rsidP="00F2365E">
      <w:pPr>
        <w:pStyle w:val="MIRHeading3"/>
        <w:ind w:left="1560" w:hanging="710"/>
      </w:pPr>
      <w:r w:rsidRPr="00247465">
        <w:t xml:space="preserve">2.2.2A Requirement to prevent extreme price movements </w:t>
      </w:r>
    </w:p>
    <w:p w:rsidR="0067000A" w:rsidRPr="00247465" w:rsidRDefault="0067000A" w:rsidP="00B11148">
      <w:pPr>
        <w:pStyle w:val="MIRBodyText"/>
        <w:ind w:left="850"/>
      </w:pPr>
      <w:r w:rsidRPr="00247465">
        <w:t>A Market Operator must have in place adequate controls to prevent a Transaction in a Relevant Product executing on an Order Book (</w:t>
      </w:r>
      <w:r w:rsidRPr="00247465">
        <w:rPr>
          <w:b/>
          <w:bCs/>
          <w:i/>
          <w:iCs/>
        </w:rPr>
        <w:t>Relevant Order Book</w:t>
      </w:r>
      <w:r w:rsidRPr="00247465">
        <w:t xml:space="preserve">) of its Market in the </w:t>
      </w:r>
      <w:r w:rsidRPr="00247465">
        <w:lastRenderedPageBreak/>
        <w:t xml:space="preserve">Extreme Trade Range for the Relevant Product, at all times during a Trading Day other than at a time during which: </w:t>
      </w:r>
    </w:p>
    <w:p w:rsidR="0067000A" w:rsidRPr="00247465" w:rsidRDefault="0067000A" w:rsidP="00B11148">
      <w:pPr>
        <w:pStyle w:val="MIRSubpara"/>
        <w:numPr>
          <w:ilvl w:val="0"/>
          <w:numId w:val="26"/>
        </w:numPr>
        <w:ind w:left="1275"/>
      </w:pPr>
      <w:r w:rsidRPr="00247465">
        <w:t xml:space="preserve">Orders are not matched and Transactions are not executed on a continuous basis on the Relevant Order Book; or </w:t>
      </w:r>
    </w:p>
    <w:p w:rsidR="0067000A" w:rsidRPr="00247465" w:rsidRDefault="0067000A" w:rsidP="00B11148">
      <w:pPr>
        <w:pStyle w:val="MIRSubpara"/>
        <w:ind w:left="1275"/>
      </w:pPr>
      <w:r w:rsidRPr="00247465">
        <w:t xml:space="preserve">an auction is being conducted on the Relevant Order Book. </w:t>
      </w:r>
    </w:p>
    <w:p w:rsidR="0067000A" w:rsidRPr="00247465" w:rsidRDefault="0067000A" w:rsidP="00B11148">
      <w:pPr>
        <w:pStyle w:val="MIRPenalty"/>
        <w:ind w:left="850"/>
      </w:pPr>
      <w:r w:rsidRPr="00247465">
        <w:t xml:space="preserve">Maximum penalty: $1,000,000 </w:t>
      </w:r>
    </w:p>
    <w:p w:rsidR="0067000A" w:rsidRPr="00247465" w:rsidRDefault="0067000A" w:rsidP="00B11148">
      <w:pPr>
        <w:pStyle w:val="MIRHeading3"/>
        <w:ind w:left="1701"/>
      </w:pPr>
      <w:r w:rsidRPr="00247465">
        <w:t xml:space="preserve">2.2.2B Requirement to identify and notify of ETR Event </w:t>
      </w:r>
    </w:p>
    <w:p w:rsidR="00F60999" w:rsidRPr="00247465" w:rsidRDefault="00F60999" w:rsidP="00F60999">
      <w:pPr>
        <w:pStyle w:val="MIRBodyText"/>
        <w:ind w:left="850"/>
      </w:pPr>
      <w:r w:rsidRPr="00247465">
        <w:t>(1) A Market Operator must identify when an ETR Event occurs on an Order Book (</w:t>
      </w:r>
      <w:r w:rsidRPr="00247465">
        <w:rPr>
          <w:b/>
          <w:bCs/>
          <w:i/>
          <w:iCs/>
        </w:rPr>
        <w:t>Relevant Order Book</w:t>
      </w:r>
      <w:r w:rsidRPr="00247465">
        <w:t>) of its Market, at all times on a Trading Day other than at a time during which:</w:t>
      </w:r>
    </w:p>
    <w:p w:rsidR="00F60999" w:rsidRPr="00247465" w:rsidRDefault="00F60999" w:rsidP="00F60999">
      <w:pPr>
        <w:pStyle w:val="MIRSubpara"/>
        <w:numPr>
          <w:ilvl w:val="0"/>
          <w:numId w:val="61"/>
        </w:numPr>
      </w:pPr>
      <w:r w:rsidRPr="00247465">
        <w:t xml:space="preserve">Orders are not matched and Transactions are not executed on a continuous basis on the Relevant Order Book; or </w:t>
      </w:r>
    </w:p>
    <w:p w:rsidR="00F60999" w:rsidRPr="00247465" w:rsidRDefault="00F60999" w:rsidP="00F60999">
      <w:pPr>
        <w:pStyle w:val="MIRSubpara"/>
      </w:pPr>
      <w:r w:rsidRPr="00247465">
        <w:t xml:space="preserve">an auction is being conducted on the Relevant Order Book. </w:t>
      </w:r>
    </w:p>
    <w:p w:rsidR="0067000A" w:rsidRPr="00247465" w:rsidRDefault="0067000A" w:rsidP="00B11148">
      <w:pPr>
        <w:pStyle w:val="MIRBodyText"/>
        <w:ind w:left="850"/>
      </w:pPr>
      <w:r w:rsidRPr="00247465">
        <w:t>(2) Where a Market Operator (other than the Responsible Market Operator) identifies that an ETR Event has occurred on</w:t>
      </w:r>
      <w:r w:rsidR="001F065D" w:rsidRPr="00247465">
        <w:t xml:space="preserve"> an Order Book of</w:t>
      </w:r>
      <w:r w:rsidRPr="00247465">
        <w:t xml:space="preserve"> its Market, the Market Operator must immediately notify the Responsible Market Operator of the ETR Event, subject to subrule 6.2.1(1). </w:t>
      </w:r>
    </w:p>
    <w:p w:rsidR="0067000A" w:rsidRPr="00247465" w:rsidRDefault="0067000A" w:rsidP="00B11148">
      <w:pPr>
        <w:pStyle w:val="MIRBodyText"/>
        <w:ind w:left="850"/>
      </w:pPr>
      <w:r w:rsidRPr="00247465">
        <w:t xml:space="preserve">(3) Where a technical problem (including a power outage) prevents a Market Operator from making a notification referred to in subrule (2) immediately, the notification must be made to the Responsible Market Operator without delay by another appropriate means. </w:t>
      </w:r>
    </w:p>
    <w:p w:rsidR="0067000A" w:rsidRPr="00247465" w:rsidRDefault="0067000A" w:rsidP="00B11148">
      <w:pPr>
        <w:pStyle w:val="MIRNote"/>
        <w:ind w:left="1700"/>
      </w:pPr>
      <w:r w:rsidRPr="00247465">
        <w:t xml:space="preserve">Note: Under subrule 6.2.1(1), a Market Operator must provide notifications under subrule </w:t>
      </w:r>
      <w:proofErr w:type="gramStart"/>
      <w:r w:rsidRPr="00247465">
        <w:t>2.2.2B(</w:t>
      </w:r>
      <w:proofErr w:type="gramEnd"/>
      <w:r w:rsidRPr="00247465">
        <w:t xml:space="preserve">2) to ASX (as the Responsible Market Operator for Equity Market Products) through an electronic data feed. </w:t>
      </w:r>
    </w:p>
    <w:p w:rsidR="0067000A" w:rsidRPr="00247465" w:rsidRDefault="0067000A" w:rsidP="00B11148">
      <w:pPr>
        <w:pStyle w:val="MIRPenalty"/>
        <w:ind w:left="850"/>
      </w:pPr>
      <w:r w:rsidRPr="00247465">
        <w:t xml:space="preserve">Maximum penalty: $1,000,000 </w:t>
      </w:r>
    </w:p>
    <w:p w:rsidR="0067000A" w:rsidRPr="00247465" w:rsidRDefault="0067000A" w:rsidP="00B11148">
      <w:pPr>
        <w:pStyle w:val="MIRHeading3"/>
        <w:ind w:left="1701"/>
      </w:pPr>
      <w:r w:rsidRPr="00247465">
        <w:t xml:space="preserve">2.2.2C Requirement to impose Trading Pause </w:t>
      </w:r>
    </w:p>
    <w:p w:rsidR="0067000A" w:rsidRPr="00247465" w:rsidRDefault="0067000A" w:rsidP="00B11148">
      <w:pPr>
        <w:pStyle w:val="MIRBodyText"/>
        <w:ind w:left="850"/>
      </w:pPr>
      <w:r w:rsidRPr="00247465">
        <w:t xml:space="preserve">(1) Where the Responsible Market Operator: </w:t>
      </w:r>
    </w:p>
    <w:p w:rsidR="0067000A" w:rsidRPr="00247465" w:rsidRDefault="0067000A" w:rsidP="00B11148">
      <w:pPr>
        <w:pStyle w:val="MIRSubpara"/>
        <w:numPr>
          <w:ilvl w:val="0"/>
          <w:numId w:val="27"/>
        </w:numPr>
        <w:ind w:left="1275"/>
      </w:pPr>
      <w:r w:rsidRPr="00247465">
        <w:t xml:space="preserve">identifies an ETR Event on </w:t>
      </w:r>
      <w:r w:rsidR="00AF60D6" w:rsidRPr="00247465">
        <w:t xml:space="preserve">an Order Book of </w:t>
      </w:r>
      <w:r w:rsidRPr="00247465">
        <w:t xml:space="preserve">its own Market; or </w:t>
      </w:r>
    </w:p>
    <w:p w:rsidR="0067000A" w:rsidRPr="00247465" w:rsidRDefault="0067000A" w:rsidP="00B11148">
      <w:pPr>
        <w:pStyle w:val="MIRSubpara"/>
        <w:ind w:left="1275"/>
      </w:pPr>
      <w:r w:rsidRPr="00247465">
        <w:t xml:space="preserve">receives a notification of an ETR Event from another Market Operator, </w:t>
      </w:r>
    </w:p>
    <w:p w:rsidR="0067000A" w:rsidRPr="00247465" w:rsidRDefault="0067000A" w:rsidP="00B11148">
      <w:pPr>
        <w:pStyle w:val="MIRBodyText"/>
        <w:ind w:left="850"/>
      </w:pPr>
      <w:r w:rsidRPr="00247465">
        <w:t xml:space="preserve">in relation to a Relevant Product, the Responsible Market Operator must immediately: </w:t>
      </w:r>
    </w:p>
    <w:p w:rsidR="0067000A" w:rsidRPr="00247465" w:rsidRDefault="0067000A" w:rsidP="00B11148">
      <w:pPr>
        <w:pStyle w:val="MIRSubpara"/>
        <w:ind w:left="1275"/>
      </w:pPr>
      <w:r w:rsidRPr="00247465">
        <w:t xml:space="preserve">impose a Trading Pause on the Relevant Product for a period of </w:t>
      </w:r>
      <w:r w:rsidR="009B5D77" w:rsidRPr="00247465">
        <w:t>two</w:t>
      </w:r>
      <w:r w:rsidRPr="00247465">
        <w:t xml:space="preserve"> minutes; and </w:t>
      </w:r>
    </w:p>
    <w:p w:rsidR="0067000A" w:rsidRPr="00247465" w:rsidRDefault="0067000A" w:rsidP="00B11148">
      <w:pPr>
        <w:pStyle w:val="MIRSubpara"/>
        <w:ind w:left="1275"/>
      </w:pPr>
      <w:r w:rsidRPr="00247465">
        <w:t xml:space="preserve">notify ASIC and, subject to subrules 6.2.1(1) and (6), the Market Operator of each other Market on which the Relevant Product is quoted, that the Trading Pause has been imposed. </w:t>
      </w:r>
    </w:p>
    <w:p w:rsidR="0067000A" w:rsidRPr="00247465" w:rsidRDefault="0067000A" w:rsidP="00B11148">
      <w:pPr>
        <w:pStyle w:val="MIRBodyText"/>
        <w:ind w:left="850"/>
      </w:pPr>
      <w:r w:rsidRPr="00247465">
        <w:lastRenderedPageBreak/>
        <w:t>(2) A Market Operator tha</w:t>
      </w:r>
      <w:r w:rsidR="009865CB" w:rsidRPr="00247465">
        <w:t>t receives a notification under paragraph (1</w:t>
      </w:r>
      <w:proofErr w:type="gramStart"/>
      <w:r w:rsidR="009865CB" w:rsidRPr="00247465">
        <w:t>)</w:t>
      </w:r>
      <w:r w:rsidR="00F14B94" w:rsidRPr="00247465">
        <w:t>(</w:t>
      </w:r>
      <w:proofErr w:type="gramEnd"/>
      <w:r w:rsidR="00F14B94" w:rsidRPr="00247465">
        <w:t>d</w:t>
      </w:r>
      <w:r w:rsidR="009865CB" w:rsidRPr="00247465">
        <w:t xml:space="preserve">) </w:t>
      </w:r>
      <w:r w:rsidRPr="00247465">
        <w:t xml:space="preserve">must immediately place each Relevant Product the subject of the notification into a Trading Pause on its Market. </w:t>
      </w:r>
    </w:p>
    <w:p w:rsidR="0067000A" w:rsidRPr="00247465" w:rsidRDefault="0067000A" w:rsidP="00B11148">
      <w:pPr>
        <w:pStyle w:val="MIRBodyText"/>
        <w:ind w:left="850"/>
      </w:pPr>
      <w:r w:rsidRPr="00247465">
        <w:t xml:space="preserve">(3) A Market Operator that places a Relevant Product into a Trading Pause in accordance with subrule (2) may only lift or remove that Trading Pause after the Market Operator receives a notification under subrule (4) in relation to the same Relevant Product. </w:t>
      </w:r>
    </w:p>
    <w:p w:rsidR="0067000A" w:rsidRPr="00247465" w:rsidRDefault="0067000A" w:rsidP="00B11148">
      <w:pPr>
        <w:pStyle w:val="MIRBodyText"/>
        <w:ind w:left="850"/>
      </w:pPr>
      <w:r w:rsidRPr="00247465">
        <w:t xml:space="preserve">(4) The Responsible Market Operator must immediately notify ASIC and, subject to </w:t>
      </w:r>
      <w:proofErr w:type="spellStart"/>
      <w:r w:rsidRPr="00247465">
        <w:t>subrules</w:t>
      </w:r>
      <w:proofErr w:type="spellEnd"/>
      <w:r w:rsidRPr="00247465">
        <w:t xml:space="preserve"> 6.2.1(1) and (6), the Market Operator of each other Market on which the Relevant Product is quoted when it lifts or removes the Trading Pause imposed on the Relevant Product under subrule (1). </w:t>
      </w:r>
    </w:p>
    <w:p w:rsidR="0067000A" w:rsidRPr="00247465" w:rsidRDefault="0067000A" w:rsidP="00B11148">
      <w:pPr>
        <w:pStyle w:val="MIRBodyText"/>
        <w:ind w:left="850"/>
      </w:pPr>
      <w:r w:rsidRPr="00247465">
        <w:t xml:space="preserve">(5) Where a technical problem (including a power outage) prevents the Responsible Market Operator from making a notification referred to in paragraph (1)(d) or subrule (4) immediately, the notification must be made to ASIC and the Market Operator of each other Market on which the Relevant Product is quoted, without delay by another appropriate means. </w:t>
      </w:r>
    </w:p>
    <w:p w:rsidR="0067000A" w:rsidRPr="00247465" w:rsidRDefault="0067000A" w:rsidP="00B11148">
      <w:pPr>
        <w:pStyle w:val="MIRBodyText"/>
        <w:ind w:left="850"/>
      </w:pPr>
      <w:r w:rsidRPr="00247465">
        <w:t xml:space="preserve">(6) The Responsible Market Operator must make publicly available information concerning: </w:t>
      </w:r>
    </w:p>
    <w:p w:rsidR="0067000A" w:rsidRPr="00247465" w:rsidRDefault="0067000A" w:rsidP="00B11148">
      <w:pPr>
        <w:pStyle w:val="MIRSubpara"/>
        <w:numPr>
          <w:ilvl w:val="0"/>
          <w:numId w:val="28"/>
        </w:numPr>
        <w:ind w:left="1275"/>
      </w:pPr>
      <w:r w:rsidRPr="00247465">
        <w:t xml:space="preserve">the fact that a Trading Pause will result from an ETR Event; </w:t>
      </w:r>
    </w:p>
    <w:p w:rsidR="0067000A" w:rsidRPr="00247465" w:rsidRDefault="0067000A" w:rsidP="00B11148">
      <w:pPr>
        <w:pStyle w:val="MIRSubpara"/>
        <w:ind w:left="1275"/>
      </w:pPr>
      <w:r w:rsidRPr="00247465">
        <w:t xml:space="preserve">the length of a Trading Pause resulting from an ETR Event; and </w:t>
      </w:r>
    </w:p>
    <w:p w:rsidR="0067000A" w:rsidRPr="00247465" w:rsidRDefault="0067000A" w:rsidP="00B11148">
      <w:pPr>
        <w:pStyle w:val="MIRSubpara"/>
        <w:ind w:left="1275"/>
      </w:pPr>
      <w:r w:rsidRPr="00247465">
        <w:t xml:space="preserve">how the Responsible Market Operator will resume trading in the Relevant Product on its Market after a Trading Pause resulting from an ETR Event. </w:t>
      </w:r>
    </w:p>
    <w:p w:rsidR="0067000A" w:rsidRPr="00247465" w:rsidRDefault="0067000A" w:rsidP="00B11148">
      <w:pPr>
        <w:pStyle w:val="MIRNote"/>
        <w:ind w:left="1700"/>
      </w:pPr>
      <w:r w:rsidRPr="00247465">
        <w:t xml:space="preserve">Note: Under </w:t>
      </w:r>
      <w:proofErr w:type="spellStart"/>
      <w:r w:rsidRPr="00247465">
        <w:t>subrules</w:t>
      </w:r>
      <w:proofErr w:type="spellEnd"/>
      <w:r w:rsidRPr="00247465">
        <w:t xml:space="preserve"> 6.2.1(1) and (6), ASX (as the Responsible Market Operator for Equity Market Products) must provide notifications to other Market Operators under paragraph </w:t>
      </w:r>
      <w:proofErr w:type="gramStart"/>
      <w:r w:rsidRPr="00247465">
        <w:t>2.2.2C(</w:t>
      </w:r>
      <w:proofErr w:type="gramEnd"/>
      <w:r w:rsidRPr="00247465">
        <w:t xml:space="preserve">1)(d) and subrule 2.2.2C(4) through an electronic data feed, and need only make a notification in relation to a particular Equity Market Product to a Market Operator that has notified ASX it will quote the Equity Market Product on its Market. </w:t>
      </w:r>
    </w:p>
    <w:p w:rsidR="0067000A" w:rsidRPr="00247465" w:rsidRDefault="0067000A" w:rsidP="00B11148">
      <w:pPr>
        <w:pStyle w:val="MIRPenalty"/>
        <w:ind w:left="850"/>
      </w:pPr>
      <w:r w:rsidRPr="00247465">
        <w:t xml:space="preserve">Maximum penalty: $1,000,000 </w:t>
      </w:r>
    </w:p>
    <w:p w:rsidR="00050329" w:rsidRPr="00247465" w:rsidRDefault="00050329" w:rsidP="00050329">
      <w:pPr>
        <w:pStyle w:val="MIRHeading3"/>
      </w:pPr>
      <w:r w:rsidRPr="00247465">
        <w:t>[8</w:t>
      </w:r>
      <w:r w:rsidR="00C108B1" w:rsidRPr="00247465">
        <w:t>4</w:t>
      </w:r>
      <w:r w:rsidRPr="00247465">
        <w:t>]</w:t>
      </w:r>
      <w:r w:rsidRPr="00247465">
        <w:tab/>
        <w:t>Rule 2.2.</w:t>
      </w:r>
      <w:r w:rsidR="00633213" w:rsidRPr="00247465">
        <w:t>3 (heading)</w:t>
      </w:r>
    </w:p>
    <w:p w:rsidR="00050329" w:rsidRPr="00247465" w:rsidRDefault="00633213" w:rsidP="00050329">
      <w:pPr>
        <w:pStyle w:val="MIRBodyText"/>
        <w:rPr>
          <w:i/>
        </w:rPr>
      </w:pPr>
      <w:r w:rsidRPr="00247465">
        <w:rPr>
          <w:i/>
        </w:rPr>
        <w:t>omit</w:t>
      </w:r>
    </w:p>
    <w:p w:rsidR="00633213" w:rsidRPr="00247465" w:rsidRDefault="00633213" w:rsidP="00050329">
      <w:pPr>
        <w:pStyle w:val="MIRBodyText"/>
      </w:pPr>
      <w:r w:rsidRPr="00247465">
        <w:t>Cancellation</w:t>
      </w:r>
    </w:p>
    <w:p w:rsidR="00633213" w:rsidRPr="00247465" w:rsidRDefault="00633213" w:rsidP="00050329">
      <w:pPr>
        <w:pStyle w:val="MIRBodyText"/>
      </w:pPr>
      <w:r w:rsidRPr="00247465">
        <w:rPr>
          <w:i/>
        </w:rPr>
        <w:t>substitute</w:t>
      </w:r>
    </w:p>
    <w:p w:rsidR="00633213" w:rsidRPr="00247465" w:rsidRDefault="00633213" w:rsidP="00050329">
      <w:pPr>
        <w:pStyle w:val="MIRBodyText"/>
      </w:pPr>
      <w:r w:rsidRPr="00247465">
        <w:t>Trade</w:t>
      </w:r>
    </w:p>
    <w:p w:rsidR="00C108B1" w:rsidRPr="00247465" w:rsidRDefault="00C108B1" w:rsidP="00C108B1">
      <w:pPr>
        <w:pStyle w:val="MIRHeading3"/>
      </w:pPr>
      <w:r w:rsidRPr="00247465">
        <w:t>[85]</w:t>
      </w:r>
      <w:r w:rsidRPr="00247465">
        <w:tab/>
        <w:t>Rule 2.2.3</w:t>
      </w:r>
    </w:p>
    <w:p w:rsidR="00C108B1" w:rsidRPr="00247465" w:rsidRDefault="00C108B1" w:rsidP="00C108B1">
      <w:pPr>
        <w:pStyle w:val="MIRBodyText"/>
        <w:rPr>
          <w:i/>
        </w:rPr>
      </w:pPr>
      <w:r w:rsidRPr="00247465">
        <w:rPr>
          <w:i/>
        </w:rPr>
        <w:t xml:space="preserve">omit </w:t>
      </w:r>
    </w:p>
    <w:p w:rsidR="00C108B1" w:rsidRPr="00247465" w:rsidRDefault="00C108B1" w:rsidP="00C108B1">
      <w:pPr>
        <w:pStyle w:val="MIRBodyText"/>
      </w:pPr>
      <w:r w:rsidRPr="00247465">
        <w:t>Cancellation</w:t>
      </w:r>
    </w:p>
    <w:p w:rsidR="00C108B1" w:rsidRPr="00247465" w:rsidRDefault="00C108B1" w:rsidP="00C108B1">
      <w:pPr>
        <w:pStyle w:val="MIRBodyText"/>
      </w:pPr>
      <w:r w:rsidRPr="00247465">
        <w:rPr>
          <w:i/>
        </w:rPr>
        <w:lastRenderedPageBreak/>
        <w:t>(wherever occurring)</w:t>
      </w:r>
    </w:p>
    <w:p w:rsidR="00C108B1" w:rsidRPr="00247465" w:rsidRDefault="00C108B1" w:rsidP="00C108B1">
      <w:pPr>
        <w:pStyle w:val="MIRBodyText"/>
      </w:pPr>
      <w:r w:rsidRPr="00247465">
        <w:rPr>
          <w:i/>
        </w:rPr>
        <w:t>substitute</w:t>
      </w:r>
    </w:p>
    <w:p w:rsidR="00C108B1" w:rsidRPr="00247465" w:rsidRDefault="00C108B1" w:rsidP="00C108B1">
      <w:pPr>
        <w:pStyle w:val="MIRBodyText"/>
      </w:pPr>
      <w:r w:rsidRPr="00247465">
        <w:t>Trade</w:t>
      </w:r>
    </w:p>
    <w:p w:rsidR="00AA548E" w:rsidRPr="00247465" w:rsidRDefault="00C108B1" w:rsidP="00C108B1">
      <w:pPr>
        <w:pStyle w:val="MIRHeading3"/>
      </w:pPr>
      <w:r w:rsidRPr="00247465">
        <w:t xml:space="preserve"> </w:t>
      </w:r>
      <w:r w:rsidR="00AA548E" w:rsidRPr="00247465">
        <w:t>[8</w:t>
      </w:r>
      <w:r w:rsidR="009F6296" w:rsidRPr="00247465">
        <w:t>6</w:t>
      </w:r>
      <w:r w:rsidR="00AA548E" w:rsidRPr="00247465">
        <w:t>]</w:t>
      </w:r>
      <w:r w:rsidR="00AA548E" w:rsidRPr="00247465">
        <w:tab/>
        <w:t>Rule 2.2.3</w:t>
      </w:r>
    </w:p>
    <w:p w:rsidR="00AA548E" w:rsidRPr="00247465" w:rsidRDefault="00AA548E" w:rsidP="00050329">
      <w:pPr>
        <w:pStyle w:val="MIRBodyText"/>
        <w:rPr>
          <w:i/>
        </w:rPr>
      </w:pPr>
      <w:r w:rsidRPr="00247465">
        <w:rPr>
          <w:i/>
        </w:rPr>
        <w:t>omit</w:t>
      </w:r>
    </w:p>
    <w:p w:rsidR="00050329" w:rsidRPr="00247465" w:rsidRDefault="007952F4" w:rsidP="00050329">
      <w:pPr>
        <w:pStyle w:val="MIRBodyText"/>
      </w:pPr>
      <w:r w:rsidRPr="00247465">
        <w:t>an Equity Market Product</w:t>
      </w:r>
    </w:p>
    <w:p w:rsidR="007952F4" w:rsidRPr="00247465" w:rsidRDefault="007952F4" w:rsidP="00050329">
      <w:pPr>
        <w:pStyle w:val="MIRBodyText"/>
      </w:pPr>
      <w:r w:rsidRPr="00247465">
        <w:rPr>
          <w:i/>
        </w:rPr>
        <w:t>substitute</w:t>
      </w:r>
    </w:p>
    <w:p w:rsidR="007952F4" w:rsidRPr="00247465" w:rsidRDefault="007952F4" w:rsidP="00050329">
      <w:pPr>
        <w:pStyle w:val="MIRBodyText"/>
      </w:pPr>
      <w:r w:rsidRPr="00247465">
        <w:t>a Relevant Product</w:t>
      </w:r>
    </w:p>
    <w:p w:rsidR="00C61D89" w:rsidRPr="00247465" w:rsidRDefault="00C61D89" w:rsidP="00C61D89">
      <w:pPr>
        <w:pStyle w:val="MIRHeading3"/>
      </w:pPr>
      <w:r w:rsidRPr="00247465">
        <w:t>[8</w:t>
      </w:r>
      <w:r w:rsidR="009F6296" w:rsidRPr="00247465">
        <w:t>7</w:t>
      </w:r>
      <w:r w:rsidRPr="00247465">
        <w:t>]</w:t>
      </w:r>
      <w:r w:rsidRPr="00247465">
        <w:tab/>
      </w:r>
      <w:r w:rsidR="00C0097D" w:rsidRPr="00247465">
        <w:t xml:space="preserve">Paragraph </w:t>
      </w:r>
      <w:r w:rsidRPr="00247465">
        <w:t>2.2.3</w:t>
      </w:r>
      <w:r w:rsidR="00C0097D" w:rsidRPr="00247465">
        <w:t>(</w:t>
      </w:r>
      <w:r w:rsidRPr="00247465">
        <w:t>a)</w:t>
      </w:r>
    </w:p>
    <w:p w:rsidR="007952F4" w:rsidRPr="00247465" w:rsidRDefault="00C61D89" w:rsidP="00050329">
      <w:pPr>
        <w:pStyle w:val="MIRBodyText"/>
        <w:rPr>
          <w:i/>
        </w:rPr>
      </w:pPr>
      <w:r w:rsidRPr="00247465">
        <w:rPr>
          <w:i/>
        </w:rPr>
        <w:t xml:space="preserve">omit </w:t>
      </w:r>
    </w:p>
    <w:p w:rsidR="00C61D89" w:rsidRPr="00247465" w:rsidRDefault="00C61D89" w:rsidP="00050329">
      <w:pPr>
        <w:pStyle w:val="MIRBodyText"/>
      </w:pPr>
      <w:r w:rsidRPr="00247465">
        <w:t>Equity Market Product</w:t>
      </w:r>
    </w:p>
    <w:p w:rsidR="00C61D89" w:rsidRPr="00247465" w:rsidRDefault="00C61D89" w:rsidP="00050329">
      <w:pPr>
        <w:pStyle w:val="MIRBodyText"/>
      </w:pPr>
      <w:r w:rsidRPr="00247465">
        <w:rPr>
          <w:i/>
        </w:rPr>
        <w:t>substitute</w:t>
      </w:r>
    </w:p>
    <w:p w:rsidR="00C61D89" w:rsidRPr="00247465" w:rsidRDefault="00C61D89" w:rsidP="00050329">
      <w:pPr>
        <w:pStyle w:val="MIRBodyText"/>
      </w:pPr>
      <w:r w:rsidRPr="00247465">
        <w:t>Relevant Product</w:t>
      </w:r>
    </w:p>
    <w:p w:rsidR="0031205C" w:rsidRPr="00247465" w:rsidRDefault="0031205C" w:rsidP="0031205C">
      <w:pPr>
        <w:pStyle w:val="MIRHeading3"/>
      </w:pPr>
      <w:r w:rsidRPr="00247465">
        <w:t>[8</w:t>
      </w:r>
      <w:r w:rsidR="009F6296" w:rsidRPr="00247465">
        <w:t>8</w:t>
      </w:r>
      <w:r w:rsidRPr="00247465">
        <w:t>]</w:t>
      </w:r>
      <w:r w:rsidRPr="00247465">
        <w:tab/>
      </w:r>
      <w:r w:rsidR="00C0097D" w:rsidRPr="00247465">
        <w:t xml:space="preserve">Paragraph </w:t>
      </w:r>
      <w:r w:rsidRPr="00247465">
        <w:t>2.2.3(c)</w:t>
      </w:r>
    </w:p>
    <w:p w:rsidR="0031205C" w:rsidRPr="00247465" w:rsidRDefault="0031205C" w:rsidP="0031205C">
      <w:pPr>
        <w:pStyle w:val="MIRBodyText"/>
        <w:rPr>
          <w:i/>
        </w:rPr>
      </w:pPr>
      <w:r w:rsidRPr="00247465">
        <w:rPr>
          <w:i/>
        </w:rPr>
        <w:t xml:space="preserve">omit </w:t>
      </w:r>
    </w:p>
    <w:p w:rsidR="0031205C" w:rsidRPr="00247465" w:rsidRDefault="0031205C" w:rsidP="0031205C">
      <w:pPr>
        <w:pStyle w:val="MIRBodyText"/>
      </w:pPr>
      <w:r w:rsidRPr="00247465">
        <w:t>Equity Market Product</w:t>
      </w:r>
    </w:p>
    <w:p w:rsidR="0031205C" w:rsidRPr="00247465" w:rsidRDefault="0031205C" w:rsidP="0031205C">
      <w:pPr>
        <w:pStyle w:val="MIRBodyText"/>
      </w:pPr>
      <w:r w:rsidRPr="00247465">
        <w:rPr>
          <w:i/>
        </w:rPr>
        <w:t>substitute</w:t>
      </w:r>
    </w:p>
    <w:p w:rsidR="0031205C" w:rsidRPr="00247465" w:rsidRDefault="0031205C" w:rsidP="0031205C">
      <w:pPr>
        <w:pStyle w:val="MIRBodyText"/>
      </w:pPr>
      <w:r w:rsidRPr="00247465">
        <w:t>Relevant Product</w:t>
      </w:r>
    </w:p>
    <w:p w:rsidR="000A256A" w:rsidRPr="00247465" w:rsidRDefault="000A256A" w:rsidP="000A256A">
      <w:pPr>
        <w:pStyle w:val="MIRHeading3"/>
      </w:pPr>
      <w:r w:rsidRPr="00247465">
        <w:t>[8</w:t>
      </w:r>
      <w:r w:rsidR="009F6296" w:rsidRPr="00247465">
        <w:t>9</w:t>
      </w:r>
      <w:r w:rsidRPr="00247465">
        <w:t>]</w:t>
      </w:r>
      <w:r w:rsidRPr="00247465">
        <w:tab/>
        <w:t>Rule 2.2.4 (heading)</w:t>
      </w:r>
    </w:p>
    <w:p w:rsidR="000A256A" w:rsidRPr="00247465" w:rsidRDefault="000A256A" w:rsidP="000A256A">
      <w:pPr>
        <w:pStyle w:val="MIRBodyText"/>
        <w:rPr>
          <w:i/>
        </w:rPr>
      </w:pPr>
      <w:r w:rsidRPr="00247465">
        <w:rPr>
          <w:i/>
        </w:rPr>
        <w:t xml:space="preserve">omit </w:t>
      </w:r>
    </w:p>
    <w:p w:rsidR="000A256A" w:rsidRPr="00247465" w:rsidRDefault="000A256A" w:rsidP="000A256A">
      <w:pPr>
        <w:pStyle w:val="MIRBodyText"/>
      </w:pPr>
      <w:r w:rsidRPr="00247465">
        <w:t>Cancellation</w:t>
      </w:r>
    </w:p>
    <w:p w:rsidR="000A256A" w:rsidRPr="00247465" w:rsidRDefault="000A256A" w:rsidP="000A256A">
      <w:pPr>
        <w:pStyle w:val="MIRBodyText"/>
      </w:pPr>
      <w:r w:rsidRPr="00247465">
        <w:rPr>
          <w:i/>
        </w:rPr>
        <w:t>substitute</w:t>
      </w:r>
    </w:p>
    <w:p w:rsidR="000A256A" w:rsidRPr="00247465" w:rsidRDefault="000A256A" w:rsidP="000A256A">
      <w:pPr>
        <w:pStyle w:val="MIRBodyText"/>
      </w:pPr>
      <w:r w:rsidRPr="00247465">
        <w:t>Trade</w:t>
      </w:r>
    </w:p>
    <w:p w:rsidR="00242F95" w:rsidRPr="00247465" w:rsidRDefault="00242F95" w:rsidP="00242F95">
      <w:pPr>
        <w:pStyle w:val="MIRHeading3"/>
      </w:pPr>
      <w:r w:rsidRPr="00247465">
        <w:t>[</w:t>
      </w:r>
      <w:r w:rsidR="009F6296" w:rsidRPr="00247465">
        <w:t>90</w:t>
      </w:r>
      <w:r w:rsidRPr="00247465">
        <w:t>]</w:t>
      </w:r>
      <w:r w:rsidRPr="00247465">
        <w:tab/>
      </w:r>
      <w:r w:rsidR="001A2A9C" w:rsidRPr="00247465">
        <w:t>Subr</w:t>
      </w:r>
      <w:r w:rsidRPr="00247465">
        <w:t>ule 2.2.4(</w:t>
      </w:r>
      <w:r w:rsidR="001A2A9C" w:rsidRPr="00247465">
        <w:t>1</w:t>
      </w:r>
      <w:r w:rsidRPr="00247465">
        <w:t>)</w:t>
      </w:r>
    </w:p>
    <w:p w:rsidR="00242F95" w:rsidRPr="00247465" w:rsidRDefault="00242F95" w:rsidP="00242F95">
      <w:pPr>
        <w:pStyle w:val="MIRBodyText"/>
        <w:rPr>
          <w:i/>
        </w:rPr>
      </w:pPr>
      <w:r w:rsidRPr="00247465">
        <w:rPr>
          <w:i/>
        </w:rPr>
        <w:t xml:space="preserve">omit </w:t>
      </w:r>
    </w:p>
    <w:p w:rsidR="001A2A9C" w:rsidRPr="00247465" w:rsidRDefault="001A2A9C" w:rsidP="00242F95">
      <w:pPr>
        <w:pStyle w:val="MIRBodyText"/>
      </w:pPr>
      <w:r w:rsidRPr="00247465">
        <w:t>Listing Market Operator</w:t>
      </w:r>
    </w:p>
    <w:p w:rsidR="00242F95" w:rsidRPr="00247465" w:rsidRDefault="00242F95" w:rsidP="00242F95">
      <w:pPr>
        <w:pStyle w:val="MIRBodyText"/>
      </w:pPr>
      <w:r w:rsidRPr="00247465">
        <w:rPr>
          <w:i/>
        </w:rPr>
        <w:lastRenderedPageBreak/>
        <w:t>substitute</w:t>
      </w:r>
    </w:p>
    <w:p w:rsidR="00242F95" w:rsidRPr="00247465" w:rsidRDefault="001A2A9C" w:rsidP="000A256A">
      <w:pPr>
        <w:pStyle w:val="MIRBodyText"/>
      </w:pPr>
      <w:r w:rsidRPr="00247465">
        <w:t>Responsible Market Operator</w:t>
      </w:r>
    </w:p>
    <w:p w:rsidR="001A2A9C" w:rsidRPr="00247465" w:rsidRDefault="001A2A9C" w:rsidP="001A2A9C">
      <w:pPr>
        <w:pStyle w:val="MIRHeading3"/>
      </w:pPr>
      <w:r w:rsidRPr="00247465">
        <w:t>[</w:t>
      </w:r>
      <w:r w:rsidR="009F6296" w:rsidRPr="00247465">
        <w:t>91</w:t>
      </w:r>
      <w:r w:rsidRPr="00247465">
        <w:t>]</w:t>
      </w:r>
      <w:r w:rsidRPr="00247465">
        <w:tab/>
        <w:t>Subrule 2.2.4(1)</w:t>
      </w:r>
    </w:p>
    <w:p w:rsidR="001A2A9C" w:rsidRPr="00247465" w:rsidRDefault="001A2A9C" w:rsidP="001A2A9C">
      <w:pPr>
        <w:pStyle w:val="MIRBodyText"/>
        <w:rPr>
          <w:i/>
        </w:rPr>
      </w:pPr>
      <w:r w:rsidRPr="00247465">
        <w:rPr>
          <w:i/>
        </w:rPr>
        <w:t xml:space="preserve">after </w:t>
      </w:r>
      <w:r w:rsidR="00F2365E" w:rsidRPr="00247465">
        <w:rPr>
          <w:i/>
        </w:rPr>
        <w:t>“</w:t>
      </w:r>
      <w:r w:rsidRPr="00247465">
        <w:rPr>
          <w:i/>
        </w:rPr>
        <w:t>subrule 2.2.2(2)</w:t>
      </w:r>
      <w:r w:rsidR="00F2365E" w:rsidRPr="00247465">
        <w:rPr>
          <w:i/>
        </w:rPr>
        <w:t xml:space="preserve">”, </w:t>
      </w:r>
      <w:r w:rsidRPr="00247465">
        <w:rPr>
          <w:i/>
        </w:rPr>
        <w:t>insert</w:t>
      </w:r>
    </w:p>
    <w:p w:rsidR="001A2A9C" w:rsidRPr="00247465" w:rsidRDefault="001A2A9C" w:rsidP="001A2A9C">
      <w:pPr>
        <w:pStyle w:val="MIRBodyText"/>
      </w:pPr>
      <w:r w:rsidRPr="00247465">
        <w:t>, and the imposition and lifting or removal of a Trading Pause under paragraph 2.2.2C(1)(d) and subrule 2.2.2C(4)</w:t>
      </w:r>
    </w:p>
    <w:p w:rsidR="00C0097D" w:rsidRPr="00247465" w:rsidRDefault="00C0097D" w:rsidP="00C0097D">
      <w:pPr>
        <w:pStyle w:val="MIRHeading3"/>
      </w:pPr>
      <w:r w:rsidRPr="00247465">
        <w:t>[</w:t>
      </w:r>
      <w:r w:rsidR="00824DAD" w:rsidRPr="00247465">
        <w:t>92</w:t>
      </w:r>
      <w:r w:rsidRPr="00247465">
        <w:t>]</w:t>
      </w:r>
      <w:r w:rsidRPr="00247465">
        <w:tab/>
      </w:r>
      <w:r w:rsidR="00A726F5" w:rsidRPr="00247465">
        <w:t>Paragraph</w:t>
      </w:r>
      <w:r w:rsidRPr="00247465">
        <w:t xml:space="preserve"> 2.2.4(</w:t>
      </w:r>
      <w:r w:rsidR="00A726F5" w:rsidRPr="00247465">
        <w:t>2</w:t>
      </w:r>
      <w:proofErr w:type="gramStart"/>
      <w:r w:rsidRPr="00247465">
        <w:t>)</w:t>
      </w:r>
      <w:r w:rsidR="00A726F5" w:rsidRPr="00247465">
        <w:t>(</w:t>
      </w:r>
      <w:proofErr w:type="gramEnd"/>
      <w:r w:rsidR="00A726F5" w:rsidRPr="00247465">
        <w:t>a)</w:t>
      </w:r>
    </w:p>
    <w:p w:rsidR="00C0097D" w:rsidRPr="00247465" w:rsidRDefault="00A726F5" w:rsidP="00C0097D">
      <w:pPr>
        <w:pStyle w:val="MIRBodyText"/>
        <w:rPr>
          <w:i/>
        </w:rPr>
      </w:pPr>
      <w:r w:rsidRPr="00247465">
        <w:rPr>
          <w:i/>
        </w:rPr>
        <w:t>omit the paragraph, substitute</w:t>
      </w:r>
      <w:r w:rsidR="00C0097D" w:rsidRPr="00247465">
        <w:rPr>
          <w:i/>
        </w:rPr>
        <w:t xml:space="preserve"> </w:t>
      </w:r>
    </w:p>
    <w:p w:rsidR="008300D2" w:rsidRPr="00247465" w:rsidRDefault="008300D2" w:rsidP="00D71390">
      <w:pPr>
        <w:pStyle w:val="MIRSubpara"/>
        <w:numPr>
          <w:ilvl w:val="0"/>
          <w:numId w:val="51"/>
        </w:numPr>
      </w:pPr>
      <w:r w:rsidRPr="00247465">
        <w:t xml:space="preserve">identifying when an ETR Event occurs on its Market, in accordance with subrule 2.2.2B(1); </w:t>
      </w:r>
    </w:p>
    <w:p w:rsidR="008300D2" w:rsidRPr="00247465" w:rsidRDefault="008300D2" w:rsidP="008300D2">
      <w:pPr>
        <w:pStyle w:val="MIRHeading3"/>
      </w:pPr>
      <w:r w:rsidRPr="00247465">
        <w:t>[</w:t>
      </w:r>
      <w:r w:rsidR="00824DAD" w:rsidRPr="00247465">
        <w:t>93</w:t>
      </w:r>
      <w:r w:rsidRPr="00247465">
        <w:t>]</w:t>
      </w:r>
      <w:r w:rsidRPr="00247465">
        <w:tab/>
      </w:r>
      <w:r w:rsidR="008348EF" w:rsidRPr="00247465">
        <w:t>After p</w:t>
      </w:r>
      <w:r w:rsidRPr="00247465">
        <w:t>aragraph 2.2.4(2</w:t>
      </w:r>
      <w:proofErr w:type="gramStart"/>
      <w:r w:rsidRPr="00247465">
        <w:t>)(</w:t>
      </w:r>
      <w:proofErr w:type="gramEnd"/>
      <w:r w:rsidRPr="00247465">
        <w:t>a)</w:t>
      </w:r>
    </w:p>
    <w:p w:rsidR="008300D2" w:rsidRPr="00247465" w:rsidRDefault="008348EF" w:rsidP="008300D2">
      <w:pPr>
        <w:pStyle w:val="MIRBodyText"/>
        <w:rPr>
          <w:i/>
        </w:rPr>
      </w:pPr>
      <w:r w:rsidRPr="00247465">
        <w:rPr>
          <w:i/>
        </w:rPr>
        <w:t>insert</w:t>
      </w:r>
    </w:p>
    <w:p w:rsidR="008300D2" w:rsidRPr="00247465" w:rsidRDefault="00AA385E" w:rsidP="00AA385E">
      <w:pPr>
        <w:pStyle w:val="MIRSubpara"/>
        <w:numPr>
          <w:ilvl w:val="0"/>
          <w:numId w:val="0"/>
        </w:numPr>
        <w:ind w:left="1276" w:hanging="425"/>
      </w:pPr>
      <w:r w:rsidRPr="00247465">
        <w:rPr>
          <w:sz w:val="18"/>
          <w:szCs w:val="18"/>
        </w:rPr>
        <w:t xml:space="preserve">(ab) </w:t>
      </w:r>
      <w:r w:rsidRPr="00247465">
        <w:rPr>
          <w:sz w:val="18"/>
          <w:szCs w:val="18"/>
        </w:rPr>
        <w:tab/>
      </w:r>
      <w:r w:rsidRPr="00247465">
        <w:t>notifying the Responsible Market Operator that an ETR Event has occurred on its Market, in accordance with subrule 2.2.2B(2)</w:t>
      </w:r>
      <w:r w:rsidR="00E42B17" w:rsidRPr="00247465">
        <w:t>, unless the Market Operator is the Responsible Market Operator</w:t>
      </w:r>
      <w:r w:rsidR="008300D2" w:rsidRPr="00247465">
        <w:t xml:space="preserve">; </w:t>
      </w:r>
    </w:p>
    <w:p w:rsidR="00C7520B" w:rsidRPr="00247465" w:rsidRDefault="00C7520B" w:rsidP="00C7520B">
      <w:pPr>
        <w:pStyle w:val="MIRHeading3"/>
      </w:pPr>
      <w:r w:rsidRPr="00247465">
        <w:t>[</w:t>
      </w:r>
      <w:r w:rsidR="00824DAD" w:rsidRPr="00247465">
        <w:t>94</w:t>
      </w:r>
      <w:r w:rsidRPr="00247465">
        <w:t>]</w:t>
      </w:r>
      <w:r w:rsidRPr="00247465">
        <w:tab/>
        <w:t>Paragraph 2.2.4(2</w:t>
      </w:r>
      <w:proofErr w:type="gramStart"/>
      <w:r w:rsidRPr="00247465">
        <w:t>)(</w:t>
      </w:r>
      <w:proofErr w:type="gramEnd"/>
      <w:r w:rsidRPr="00247465">
        <w:t>b)</w:t>
      </w:r>
    </w:p>
    <w:p w:rsidR="00C7520B" w:rsidRPr="00247465" w:rsidRDefault="00C7520B" w:rsidP="00C7520B">
      <w:pPr>
        <w:pStyle w:val="MIRBodyText"/>
        <w:rPr>
          <w:i/>
        </w:rPr>
      </w:pPr>
      <w:r w:rsidRPr="00247465">
        <w:rPr>
          <w:i/>
        </w:rPr>
        <w:t>omit</w:t>
      </w:r>
    </w:p>
    <w:p w:rsidR="00C7520B" w:rsidRPr="00247465" w:rsidRDefault="00C7520B" w:rsidP="00C7520B">
      <w:pPr>
        <w:pStyle w:val="MIRBodyText"/>
        <w:rPr>
          <w:i/>
        </w:rPr>
      </w:pPr>
      <w:r w:rsidRPr="00247465">
        <w:t>Cancellation</w:t>
      </w:r>
    </w:p>
    <w:p w:rsidR="00C7520B" w:rsidRPr="00247465" w:rsidRDefault="00C7520B" w:rsidP="00C7520B">
      <w:pPr>
        <w:pStyle w:val="MIRBodyText"/>
        <w:rPr>
          <w:i/>
        </w:rPr>
      </w:pPr>
      <w:r w:rsidRPr="00247465">
        <w:rPr>
          <w:i/>
        </w:rPr>
        <w:t>substitute</w:t>
      </w:r>
    </w:p>
    <w:p w:rsidR="00C7520B" w:rsidRPr="00247465" w:rsidRDefault="00C7520B" w:rsidP="00C7520B">
      <w:pPr>
        <w:pStyle w:val="MIRBodyText"/>
        <w:rPr>
          <w:i/>
        </w:rPr>
      </w:pPr>
      <w:r w:rsidRPr="00247465">
        <w:t>Trade</w:t>
      </w:r>
    </w:p>
    <w:p w:rsidR="00C7520B" w:rsidRPr="00247465" w:rsidRDefault="00C7520B" w:rsidP="00C7520B">
      <w:pPr>
        <w:pStyle w:val="MIRHeading3"/>
      </w:pPr>
      <w:r w:rsidRPr="00247465">
        <w:t>[9</w:t>
      </w:r>
      <w:r w:rsidR="00824DAD" w:rsidRPr="00247465">
        <w:t>5</w:t>
      </w:r>
      <w:r w:rsidRPr="00247465">
        <w:t>]</w:t>
      </w:r>
      <w:r w:rsidRPr="00247465">
        <w:tab/>
        <w:t>Paragraph 2.2.4(2</w:t>
      </w:r>
      <w:proofErr w:type="gramStart"/>
      <w:r w:rsidRPr="00247465">
        <w:t>)(</w:t>
      </w:r>
      <w:proofErr w:type="gramEnd"/>
      <w:r w:rsidRPr="00247465">
        <w:t>b)</w:t>
      </w:r>
    </w:p>
    <w:p w:rsidR="00C7520B" w:rsidRPr="00247465" w:rsidRDefault="00C7520B" w:rsidP="00C7520B">
      <w:pPr>
        <w:pStyle w:val="MIRBodyText"/>
        <w:rPr>
          <w:i/>
        </w:rPr>
      </w:pPr>
      <w:r w:rsidRPr="00247465">
        <w:rPr>
          <w:i/>
        </w:rPr>
        <w:t>omit</w:t>
      </w:r>
    </w:p>
    <w:p w:rsidR="00C7520B" w:rsidRPr="00247465" w:rsidRDefault="00C7520B" w:rsidP="00C7520B">
      <w:pPr>
        <w:pStyle w:val="MIRBodyText"/>
      </w:pPr>
      <w:r w:rsidRPr="00247465">
        <w:t>Rule 2.2.3</w:t>
      </w:r>
    </w:p>
    <w:p w:rsidR="00C7520B" w:rsidRPr="00247465" w:rsidRDefault="00C7520B" w:rsidP="00C7520B">
      <w:pPr>
        <w:pStyle w:val="MIRBodyText"/>
        <w:rPr>
          <w:i/>
        </w:rPr>
      </w:pPr>
      <w:r w:rsidRPr="00247465">
        <w:rPr>
          <w:i/>
        </w:rPr>
        <w:t>substitute</w:t>
      </w:r>
    </w:p>
    <w:p w:rsidR="00C7520B" w:rsidRPr="00247465" w:rsidRDefault="00824DAD" w:rsidP="00C7520B">
      <w:pPr>
        <w:pStyle w:val="MIRBodyText"/>
      </w:pPr>
      <w:r w:rsidRPr="00247465">
        <w:t>paragraphs</w:t>
      </w:r>
      <w:r w:rsidR="00C7520B" w:rsidRPr="00247465">
        <w:t xml:space="preserve"> 2.2.3(a) and (b)</w:t>
      </w:r>
    </w:p>
    <w:p w:rsidR="00BB732A" w:rsidRPr="00247465" w:rsidRDefault="00BB732A" w:rsidP="00C7520B">
      <w:pPr>
        <w:pStyle w:val="MIRHeading3"/>
      </w:pPr>
      <w:r w:rsidRPr="00247465">
        <w:t>[</w:t>
      </w:r>
      <w:r w:rsidR="00C7520B" w:rsidRPr="00247465">
        <w:t>9</w:t>
      </w:r>
      <w:r w:rsidR="00824DAD" w:rsidRPr="00247465">
        <w:t>6</w:t>
      </w:r>
      <w:r w:rsidRPr="00247465">
        <w:t>]</w:t>
      </w:r>
      <w:r w:rsidRPr="00247465">
        <w:tab/>
      </w:r>
      <w:r w:rsidR="00712B3C" w:rsidRPr="00247465">
        <w:t>Paragraph</w:t>
      </w:r>
      <w:r w:rsidRPr="00247465">
        <w:t xml:space="preserve"> 2.2.4(</w:t>
      </w:r>
      <w:r w:rsidR="00712B3C" w:rsidRPr="00247465">
        <w:t>2</w:t>
      </w:r>
      <w:proofErr w:type="gramStart"/>
      <w:r w:rsidR="00712B3C" w:rsidRPr="00247465">
        <w:t>)(</w:t>
      </w:r>
      <w:proofErr w:type="gramEnd"/>
      <w:r w:rsidR="00712B3C" w:rsidRPr="00247465">
        <w:t>c)</w:t>
      </w:r>
    </w:p>
    <w:p w:rsidR="00BB732A" w:rsidRPr="00247465" w:rsidRDefault="00712B3C" w:rsidP="00BB732A">
      <w:pPr>
        <w:pStyle w:val="MIRBodyText"/>
        <w:rPr>
          <w:i/>
        </w:rPr>
      </w:pPr>
      <w:r w:rsidRPr="00247465">
        <w:rPr>
          <w:i/>
        </w:rPr>
        <w:t>omit</w:t>
      </w:r>
      <w:r w:rsidR="00BB732A" w:rsidRPr="00247465">
        <w:rPr>
          <w:i/>
        </w:rPr>
        <w:t xml:space="preserve"> </w:t>
      </w:r>
    </w:p>
    <w:p w:rsidR="00BB732A" w:rsidRPr="00247465" w:rsidRDefault="00712B3C" w:rsidP="00BB732A">
      <w:pPr>
        <w:pStyle w:val="MIRBodyText"/>
      </w:pPr>
      <w:r w:rsidRPr="00247465">
        <w:lastRenderedPageBreak/>
        <w:t>Cancellation</w:t>
      </w:r>
    </w:p>
    <w:p w:rsidR="00712B3C" w:rsidRPr="00247465" w:rsidRDefault="00712B3C" w:rsidP="00BB732A">
      <w:pPr>
        <w:pStyle w:val="MIRBodyText"/>
      </w:pPr>
      <w:r w:rsidRPr="00247465">
        <w:rPr>
          <w:i/>
        </w:rPr>
        <w:t>(wherever occurring)</w:t>
      </w:r>
    </w:p>
    <w:p w:rsidR="00BB732A" w:rsidRPr="00247465" w:rsidRDefault="00824DAD" w:rsidP="00BB732A">
      <w:pPr>
        <w:pStyle w:val="MIRBodyText"/>
        <w:rPr>
          <w:i/>
        </w:rPr>
      </w:pPr>
      <w:r w:rsidRPr="00247465">
        <w:rPr>
          <w:i/>
        </w:rPr>
        <w:t>substitute</w:t>
      </w:r>
    </w:p>
    <w:p w:rsidR="00BB732A" w:rsidRPr="00247465" w:rsidRDefault="00712B3C" w:rsidP="00BB732A">
      <w:pPr>
        <w:pStyle w:val="MIRBodyText"/>
      </w:pPr>
      <w:r w:rsidRPr="00247465">
        <w:t>Trade</w:t>
      </w:r>
    </w:p>
    <w:p w:rsidR="00CB3B67" w:rsidRPr="00247465" w:rsidRDefault="00CB3B67" w:rsidP="00CB3B67">
      <w:pPr>
        <w:pStyle w:val="MIRHeading3"/>
      </w:pPr>
      <w:r w:rsidRPr="00247465">
        <w:t>[9</w:t>
      </w:r>
      <w:r w:rsidR="00AF0FB2" w:rsidRPr="00247465">
        <w:t>7</w:t>
      </w:r>
      <w:r w:rsidRPr="00247465">
        <w:t>]</w:t>
      </w:r>
      <w:r w:rsidRPr="00247465">
        <w:tab/>
        <w:t>Paragraph 2.2.4(2</w:t>
      </w:r>
      <w:proofErr w:type="gramStart"/>
      <w:r w:rsidRPr="00247465">
        <w:t>)(</w:t>
      </w:r>
      <w:proofErr w:type="gramEnd"/>
      <w:r w:rsidRPr="00247465">
        <w:t>c)</w:t>
      </w:r>
    </w:p>
    <w:p w:rsidR="00CB3B67" w:rsidRPr="00247465" w:rsidRDefault="00CB3B67" w:rsidP="00CB3B67">
      <w:pPr>
        <w:pStyle w:val="MIRBodyText"/>
        <w:rPr>
          <w:i/>
        </w:rPr>
      </w:pPr>
      <w:r w:rsidRPr="00247465">
        <w:rPr>
          <w:i/>
        </w:rPr>
        <w:t xml:space="preserve">omit </w:t>
      </w:r>
    </w:p>
    <w:p w:rsidR="00CB3B67" w:rsidRPr="00247465" w:rsidRDefault="00CB3B67" w:rsidP="00CB3B67">
      <w:pPr>
        <w:pStyle w:val="MIRBodyText"/>
      </w:pPr>
      <w:r w:rsidRPr="00247465">
        <w:t>Rule 2.2.3</w:t>
      </w:r>
    </w:p>
    <w:p w:rsidR="00CB3B67" w:rsidRPr="00247465" w:rsidRDefault="005234FE" w:rsidP="00CB3B67">
      <w:pPr>
        <w:pStyle w:val="MIRBodyText"/>
        <w:rPr>
          <w:i/>
        </w:rPr>
      </w:pPr>
      <w:r w:rsidRPr="00247465">
        <w:rPr>
          <w:i/>
        </w:rPr>
        <w:t>substitute</w:t>
      </w:r>
    </w:p>
    <w:p w:rsidR="00CB3B67" w:rsidRPr="00247465" w:rsidRDefault="00CB3B67" w:rsidP="00BB732A">
      <w:pPr>
        <w:pStyle w:val="MIRBodyText"/>
      </w:pPr>
      <w:r w:rsidRPr="00247465">
        <w:t>paragraph 2.2.3(c)</w:t>
      </w:r>
    </w:p>
    <w:p w:rsidR="00C507DF" w:rsidRPr="00247465" w:rsidRDefault="00AF0FB2" w:rsidP="00C507DF">
      <w:pPr>
        <w:pStyle w:val="MIRHeading3"/>
      </w:pPr>
      <w:r w:rsidRPr="00247465">
        <w:t>[98</w:t>
      </w:r>
      <w:r w:rsidR="00C507DF" w:rsidRPr="00247465">
        <w:t>]</w:t>
      </w:r>
      <w:r w:rsidR="00C507DF" w:rsidRPr="00247465">
        <w:tab/>
      </w:r>
      <w:r w:rsidR="00DF4619" w:rsidRPr="00247465">
        <w:t>Subrule 2.3.1(1)</w:t>
      </w:r>
    </w:p>
    <w:p w:rsidR="00C507DF" w:rsidRPr="00247465" w:rsidRDefault="00DF4619" w:rsidP="00C507DF">
      <w:pPr>
        <w:pStyle w:val="MIRBodyText"/>
        <w:rPr>
          <w:i/>
        </w:rPr>
      </w:pPr>
      <w:r w:rsidRPr="00247465">
        <w:rPr>
          <w:i/>
        </w:rPr>
        <w:t>after</w:t>
      </w:r>
      <w:r w:rsidR="00F2365E" w:rsidRPr="00247465">
        <w:rPr>
          <w:i/>
        </w:rPr>
        <w:t xml:space="preserve"> “</w:t>
      </w:r>
      <w:r w:rsidRPr="00247465">
        <w:rPr>
          <w:i/>
        </w:rPr>
        <w:t>Transactions</w:t>
      </w:r>
      <w:r w:rsidR="00F2365E" w:rsidRPr="00247465">
        <w:rPr>
          <w:i/>
        </w:rPr>
        <w:t xml:space="preserve">”, </w:t>
      </w:r>
      <w:r w:rsidR="00C507DF" w:rsidRPr="00247465">
        <w:rPr>
          <w:i/>
        </w:rPr>
        <w:t>insert</w:t>
      </w:r>
    </w:p>
    <w:p w:rsidR="00C507DF" w:rsidRPr="00247465" w:rsidRDefault="00DF4619" w:rsidP="00DF4619">
      <w:pPr>
        <w:pStyle w:val="MIRBodyText"/>
        <w:numPr>
          <w:ilvl w:val="0"/>
          <w:numId w:val="0"/>
        </w:numPr>
        <w:ind w:left="851"/>
      </w:pPr>
      <w:proofErr w:type="gramStart"/>
      <w:r w:rsidRPr="00247465">
        <w:t>in</w:t>
      </w:r>
      <w:proofErr w:type="gramEnd"/>
      <w:r w:rsidRPr="00247465">
        <w:t xml:space="preserve"> Relevant Products</w:t>
      </w:r>
    </w:p>
    <w:p w:rsidR="002074D6" w:rsidRPr="00247465" w:rsidRDefault="002074D6" w:rsidP="002074D6">
      <w:pPr>
        <w:pStyle w:val="MIRHeading3"/>
      </w:pPr>
      <w:r w:rsidRPr="00247465">
        <w:t>[9</w:t>
      </w:r>
      <w:r w:rsidR="00AF0FB2" w:rsidRPr="00247465">
        <w:t>9</w:t>
      </w:r>
      <w:r w:rsidRPr="00247465">
        <w:t>]</w:t>
      </w:r>
      <w:r w:rsidRPr="00247465">
        <w:tab/>
        <w:t>Paragraph 2.3.1(2</w:t>
      </w:r>
      <w:proofErr w:type="gramStart"/>
      <w:r w:rsidRPr="00247465">
        <w:t>)(</w:t>
      </w:r>
      <w:proofErr w:type="gramEnd"/>
      <w:r w:rsidRPr="00247465">
        <w:t>a)</w:t>
      </w:r>
    </w:p>
    <w:p w:rsidR="002074D6" w:rsidRPr="00247465" w:rsidRDefault="007D526C" w:rsidP="002074D6">
      <w:pPr>
        <w:pStyle w:val="MIRBodyText"/>
        <w:rPr>
          <w:i/>
        </w:rPr>
      </w:pPr>
      <w:r w:rsidRPr="00247465">
        <w:rPr>
          <w:i/>
        </w:rPr>
        <w:t>omit the paragraph, substitute</w:t>
      </w:r>
    </w:p>
    <w:p w:rsidR="004972C7" w:rsidRPr="00247465" w:rsidRDefault="004972C7" w:rsidP="00D71390">
      <w:pPr>
        <w:pStyle w:val="MIRSubpara"/>
        <w:numPr>
          <w:ilvl w:val="0"/>
          <w:numId w:val="30"/>
        </w:numPr>
      </w:pPr>
      <w:r w:rsidRPr="00247465">
        <w:t>include a policy that all Transactions executed on its Market within the Extreme Trade Range and identified by or to the Market Operator will be cancelled</w:t>
      </w:r>
      <w:r w:rsidR="00956711" w:rsidRPr="00247465">
        <w:t>;</w:t>
      </w:r>
      <w:r w:rsidRPr="00247465">
        <w:t xml:space="preserve"> </w:t>
      </w:r>
    </w:p>
    <w:p w:rsidR="004972C7" w:rsidRPr="00247465" w:rsidRDefault="004972C7" w:rsidP="004972C7">
      <w:pPr>
        <w:pStyle w:val="MIRNote"/>
      </w:pPr>
      <w:r w:rsidRPr="00247465">
        <w:t xml:space="preserve">Note:  </w:t>
      </w:r>
      <w:r w:rsidR="005D4992" w:rsidRPr="00247465">
        <w:t>Under subrule 2.2.2B(1)</w:t>
      </w:r>
      <w:r w:rsidR="00AF0FB2" w:rsidRPr="00247465">
        <w:t xml:space="preserve"> and paragraph 2.2.4(2)(a)</w:t>
      </w:r>
      <w:r w:rsidR="005D4992" w:rsidRPr="00247465">
        <w:t>, a Market Operator must identify when an ETR Event, including the execution of a transaction in the Extreme Trade Range, occurs on its Market</w:t>
      </w:r>
      <w:r w:rsidR="00AF0FB2" w:rsidRPr="00247465">
        <w:t xml:space="preserve"> and</w:t>
      </w:r>
      <w:r w:rsidR="005D4992" w:rsidRPr="00247465">
        <w:t xml:space="preserve"> must have in place adequate arrangements for identifying when an ETR Event occurs on its Marke</w:t>
      </w:r>
      <w:r w:rsidR="00956711" w:rsidRPr="00247465">
        <w:t>t.</w:t>
      </w:r>
    </w:p>
    <w:p w:rsidR="00585602" w:rsidRPr="00247465" w:rsidRDefault="00585602" w:rsidP="00585602">
      <w:pPr>
        <w:pStyle w:val="MIRHeading3"/>
      </w:pPr>
      <w:bookmarkStart w:id="3" w:name="_Hlk334084899"/>
      <w:r w:rsidRPr="00247465">
        <w:t>[</w:t>
      </w:r>
      <w:r w:rsidR="00D506AF" w:rsidRPr="00247465">
        <w:t>100</w:t>
      </w:r>
      <w:r w:rsidRPr="00247465">
        <w:t>]</w:t>
      </w:r>
      <w:r w:rsidRPr="00247465">
        <w:tab/>
        <w:t>Paragraph 2.3.1(2</w:t>
      </w:r>
      <w:proofErr w:type="gramStart"/>
      <w:r w:rsidRPr="00247465">
        <w:t>)(</w:t>
      </w:r>
      <w:proofErr w:type="gramEnd"/>
      <w:r w:rsidRPr="00247465">
        <w:t>b)</w:t>
      </w:r>
    </w:p>
    <w:p w:rsidR="00585602" w:rsidRPr="00247465" w:rsidRDefault="00585602" w:rsidP="00585602">
      <w:pPr>
        <w:pStyle w:val="MIRBodyText"/>
        <w:rPr>
          <w:i/>
        </w:rPr>
      </w:pPr>
      <w:r w:rsidRPr="00247465">
        <w:rPr>
          <w:i/>
        </w:rPr>
        <w:t>after “Transactions” (first occurring), insert</w:t>
      </w:r>
    </w:p>
    <w:p w:rsidR="00585602" w:rsidRPr="00247465" w:rsidRDefault="00585602" w:rsidP="00585602">
      <w:pPr>
        <w:pStyle w:val="MIRBodyText"/>
        <w:rPr>
          <w:i/>
        </w:rPr>
      </w:pPr>
      <w:r w:rsidRPr="00247465">
        <w:t>in Relevant Products</w:t>
      </w:r>
    </w:p>
    <w:bookmarkEnd w:id="3"/>
    <w:p w:rsidR="00585602" w:rsidRPr="00247465" w:rsidRDefault="00585602" w:rsidP="00585602">
      <w:pPr>
        <w:pStyle w:val="MIRHeading3"/>
      </w:pPr>
      <w:r w:rsidRPr="00247465">
        <w:t>[</w:t>
      </w:r>
      <w:r w:rsidR="00632E21" w:rsidRPr="00247465">
        <w:t>101</w:t>
      </w:r>
      <w:r w:rsidRPr="00247465">
        <w:t>]</w:t>
      </w:r>
      <w:r w:rsidRPr="00247465">
        <w:tab/>
        <w:t>Paragraph 2.3.1(2</w:t>
      </w:r>
      <w:proofErr w:type="gramStart"/>
      <w:r w:rsidRPr="00247465">
        <w:t>)(</w:t>
      </w:r>
      <w:proofErr w:type="gramEnd"/>
      <w:r w:rsidR="005C4134" w:rsidRPr="00247465">
        <w:t>c)</w:t>
      </w:r>
    </w:p>
    <w:p w:rsidR="00585602" w:rsidRPr="00247465" w:rsidRDefault="00585602" w:rsidP="00585602">
      <w:pPr>
        <w:pStyle w:val="MIRBodyText"/>
        <w:rPr>
          <w:i/>
        </w:rPr>
      </w:pPr>
      <w:r w:rsidRPr="00247465">
        <w:rPr>
          <w:i/>
        </w:rPr>
        <w:t>after “Transactions</w:t>
      </w:r>
      <w:r w:rsidR="005C4134" w:rsidRPr="00247465">
        <w:rPr>
          <w:i/>
        </w:rPr>
        <w:t>”</w:t>
      </w:r>
      <w:r w:rsidRPr="00247465">
        <w:rPr>
          <w:i/>
        </w:rPr>
        <w:t>, insert</w:t>
      </w:r>
    </w:p>
    <w:p w:rsidR="00585602" w:rsidRPr="00247465" w:rsidRDefault="00585602" w:rsidP="00585602">
      <w:pPr>
        <w:pStyle w:val="MIRBodyText"/>
        <w:rPr>
          <w:i/>
        </w:rPr>
      </w:pPr>
      <w:r w:rsidRPr="00247465">
        <w:t>in Relevant Products</w:t>
      </w:r>
    </w:p>
    <w:p w:rsidR="00165521" w:rsidRPr="00247465" w:rsidRDefault="00165521" w:rsidP="00165521">
      <w:pPr>
        <w:pStyle w:val="MIRHeading3"/>
      </w:pPr>
      <w:r w:rsidRPr="00247465">
        <w:t>[</w:t>
      </w:r>
      <w:r w:rsidR="00632E21" w:rsidRPr="00247465">
        <w:t>102</w:t>
      </w:r>
      <w:r w:rsidRPr="00247465">
        <w:t>]</w:t>
      </w:r>
      <w:r w:rsidRPr="00247465">
        <w:tab/>
        <w:t>Paragraph 2.3.1(2</w:t>
      </w:r>
      <w:proofErr w:type="gramStart"/>
      <w:r w:rsidRPr="00247465">
        <w:t>)(</w:t>
      </w:r>
      <w:proofErr w:type="gramEnd"/>
      <w:r w:rsidRPr="00247465">
        <w:t>d)</w:t>
      </w:r>
    </w:p>
    <w:p w:rsidR="00165521" w:rsidRPr="00247465" w:rsidRDefault="00165521" w:rsidP="00165521">
      <w:pPr>
        <w:pStyle w:val="MIRBodyText"/>
        <w:rPr>
          <w:i/>
        </w:rPr>
      </w:pPr>
      <w:r w:rsidRPr="00247465">
        <w:rPr>
          <w:i/>
        </w:rPr>
        <w:t>after “Transactions”, insert</w:t>
      </w:r>
    </w:p>
    <w:p w:rsidR="00585602" w:rsidRPr="00247465" w:rsidRDefault="00165521" w:rsidP="00165521">
      <w:pPr>
        <w:pStyle w:val="MIRBodyText"/>
        <w:rPr>
          <w:i/>
        </w:rPr>
      </w:pPr>
      <w:r w:rsidRPr="00247465">
        <w:lastRenderedPageBreak/>
        <w:t>in Relevant Products</w:t>
      </w:r>
    </w:p>
    <w:p w:rsidR="006632BD" w:rsidRPr="00247465" w:rsidRDefault="006632BD" w:rsidP="006632BD">
      <w:pPr>
        <w:pStyle w:val="MIRHeading3"/>
      </w:pPr>
      <w:r w:rsidRPr="00247465">
        <w:t>[</w:t>
      </w:r>
      <w:r w:rsidR="00815731" w:rsidRPr="00247465">
        <w:t>103</w:t>
      </w:r>
      <w:r w:rsidRPr="00247465">
        <w:t>]</w:t>
      </w:r>
      <w:r w:rsidRPr="00247465">
        <w:tab/>
        <w:t>Before Part 3.1</w:t>
      </w:r>
    </w:p>
    <w:p w:rsidR="006632BD" w:rsidRPr="00247465" w:rsidRDefault="006632BD" w:rsidP="006632BD">
      <w:pPr>
        <w:pStyle w:val="MIRBodyText"/>
        <w:rPr>
          <w:i/>
        </w:rPr>
      </w:pPr>
      <w:r w:rsidRPr="00247465">
        <w:rPr>
          <w:i/>
        </w:rPr>
        <w:t>insert</w:t>
      </w:r>
    </w:p>
    <w:p w:rsidR="00AB23D3" w:rsidRPr="00247465" w:rsidRDefault="00AB23D3" w:rsidP="00FD766E">
      <w:pPr>
        <w:pStyle w:val="MIRHeading2Part"/>
        <w:ind w:left="1984"/>
      </w:pPr>
      <w:r w:rsidRPr="00247465">
        <w:t xml:space="preserve">Part 3.1A Application </w:t>
      </w:r>
    </w:p>
    <w:p w:rsidR="00AB23D3" w:rsidRPr="00247465" w:rsidRDefault="00AB23D3" w:rsidP="00FD766E">
      <w:pPr>
        <w:pStyle w:val="MIRHeading3"/>
        <w:ind w:left="1701"/>
      </w:pPr>
      <w:r w:rsidRPr="00247465">
        <w:t xml:space="preserve">3.1A.1 Application of Chapter </w:t>
      </w:r>
    </w:p>
    <w:p w:rsidR="000627F7" w:rsidRPr="00247465" w:rsidRDefault="000627F7" w:rsidP="000627F7">
      <w:pPr>
        <w:pStyle w:val="MIRBodyText"/>
        <w:ind w:left="850"/>
      </w:pPr>
      <w:r w:rsidRPr="00247465">
        <w:t>This Chapter applies to:</w:t>
      </w:r>
    </w:p>
    <w:p w:rsidR="000627F7" w:rsidRPr="00247465" w:rsidRDefault="000627F7" w:rsidP="000627F7">
      <w:pPr>
        <w:pStyle w:val="MIRSubpara"/>
        <w:numPr>
          <w:ilvl w:val="0"/>
          <w:numId w:val="62"/>
        </w:numPr>
      </w:pPr>
      <w:r w:rsidRPr="00247465">
        <w:t>Equity Market Participants; and</w:t>
      </w:r>
    </w:p>
    <w:p w:rsidR="000627F7" w:rsidRPr="00247465" w:rsidRDefault="000627F7" w:rsidP="000627F7">
      <w:pPr>
        <w:pStyle w:val="MIRSubpara"/>
        <w:numPr>
          <w:ilvl w:val="0"/>
          <w:numId w:val="14"/>
        </w:numPr>
      </w:pPr>
      <w:r w:rsidRPr="00247465">
        <w:t>Orders (including Client Orders) in relation to Equity Market Products.</w:t>
      </w:r>
    </w:p>
    <w:p w:rsidR="006632BD" w:rsidRPr="00247465" w:rsidRDefault="00AB23D3" w:rsidP="000413F9">
      <w:pPr>
        <w:pStyle w:val="MIRNote"/>
        <w:ind w:left="2190"/>
      </w:pPr>
      <w:r w:rsidRPr="00247465">
        <w:t>Note: There is no penalty for this Rule.</w:t>
      </w:r>
    </w:p>
    <w:p w:rsidR="00FE43CA" w:rsidRPr="00247465" w:rsidRDefault="00FE43CA" w:rsidP="00FE43CA">
      <w:pPr>
        <w:pStyle w:val="MIRHeading3"/>
      </w:pPr>
      <w:r w:rsidRPr="00247465">
        <w:t>[</w:t>
      </w:r>
      <w:r w:rsidR="00815731" w:rsidRPr="00247465">
        <w:t>104</w:t>
      </w:r>
      <w:r w:rsidRPr="00247465">
        <w:t>]</w:t>
      </w:r>
      <w:r w:rsidRPr="00247465">
        <w:tab/>
      </w:r>
      <w:r w:rsidR="00C73699" w:rsidRPr="00247465">
        <w:t>Subr</w:t>
      </w:r>
      <w:r w:rsidR="00714955" w:rsidRPr="00247465">
        <w:t>ule 3.1.1</w:t>
      </w:r>
      <w:r w:rsidR="00C73699" w:rsidRPr="00247465">
        <w:t>(6)</w:t>
      </w:r>
    </w:p>
    <w:p w:rsidR="00FE43CA" w:rsidRPr="00247465" w:rsidRDefault="00257B5A" w:rsidP="00FE43CA">
      <w:pPr>
        <w:pStyle w:val="MIRBodyText"/>
        <w:rPr>
          <w:i/>
        </w:rPr>
      </w:pPr>
      <w:r w:rsidRPr="00247465">
        <w:rPr>
          <w:i/>
        </w:rPr>
        <w:t>omit</w:t>
      </w:r>
    </w:p>
    <w:p w:rsidR="00257B5A" w:rsidRPr="00247465" w:rsidRDefault="00257B5A" w:rsidP="00FE43CA">
      <w:pPr>
        <w:pStyle w:val="MIRBodyText"/>
        <w:rPr>
          <w:i/>
        </w:rPr>
      </w:pPr>
      <w:r w:rsidRPr="00247465">
        <w:t>31 October 2012</w:t>
      </w:r>
    </w:p>
    <w:p w:rsidR="00257B5A" w:rsidRPr="00247465" w:rsidRDefault="00257B5A" w:rsidP="00FE43CA">
      <w:pPr>
        <w:pStyle w:val="MIRBodyText"/>
        <w:rPr>
          <w:i/>
        </w:rPr>
      </w:pPr>
      <w:r w:rsidRPr="00247465">
        <w:rPr>
          <w:i/>
        </w:rPr>
        <w:t>substitute</w:t>
      </w:r>
    </w:p>
    <w:p w:rsidR="00257B5A" w:rsidRPr="00247465" w:rsidRDefault="00257B5A" w:rsidP="00FE43CA">
      <w:pPr>
        <w:pStyle w:val="MIRBodyText"/>
        <w:rPr>
          <w:i/>
        </w:rPr>
      </w:pPr>
      <w:r w:rsidRPr="00247465">
        <w:t>1 March 2013</w:t>
      </w:r>
    </w:p>
    <w:p w:rsidR="00443BE3" w:rsidRPr="00247465" w:rsidRDefault="00443BE3" w:rsidP="00443BE3">
      <w:pPr>
        <w:pStyle w:val="MIRHeading3"/>
      </w:pPr>
      <w:r w:rsidRPr="00247465">
        <w:t>[10</w:t>
      </w:r>
      <w:r w:rsidR="007242B2" w:rsidRPr="00247465">
        <w:t>5</w:t>
      </w:r>
      <w:r w:rsidRPr="00247465">
        <w:t>]</w:t>
      </w:r>
      <w:r w:rsidRPr="00247465">
        <w:tab/>
        <w:t>Subrule 3.1.1(6)</w:t>
      </w:r>
    </w:p>
    <w:p w:rsidR="00443BE3" w:rsidRPr="00247465" w:rsidRDefault="00443BE3" w:rsidP="00443BE3">
      <w:pPr>
        <w:pStyle w:val="MIRBodyText"/>
        <w:rPr>
          <w:i/>
        </w:rPr>
      </w:pPr>
      <w:r w:rsidRPr="00247465">
        <w:rPr>
          <w:i/>
        </w:rPr>
        <w:t>omit</w:t>
      </w:r>
    </w:p>
    <w:p w:rsidR="00443BE3" w:rsidRPr="00247465" w:rsidRDefault="00701590" w:rsidP="00443BE3">
      <w:pPr>
        <w:pStyle w:val="MIRBodyText"/>
      </w:pPr>
      <w:r w:rsidRPr="00247465">
        <w:t>the Listing Market</w:t>
      </w:r>
    </w:p>
    <w:p w:rsidR="00443BE3" w:rsidRPr="00247465" w:rsidRDefault="00443BE3" w:rsidP="00443BE3">
      <w:pPr>
        <w:pStyle w:val="MIRBodyText"/>
        <w:rPr>
          <w:i/>
        </w:rPr>
      </w:pPr>
      <w:r w:rsidRPr="00247465">
        <w:rPr>
          <w:i/>
        </w:rPr>
        <w:t>substitute</w:t>
      </w:r>
    </w:p>
    <w:p w:rsidR="00257B5A" w:rsidRPr="00247465" w:rsidRDefault="00701590" w:rsidP="00FE43CA">
      <w:pPr>
        <w:pStyle w:val="MIRBodyText"/>
      </w:pPr>
      <w:r w:rsidRPr="00247465">
        <w:t xml:space="preserve">ASX </w:t>
      </w:r>
      <w:proofErr w:type="spellStart"/>
      <w:r w:rsidRPr="00247465">
        <w:t>TradeMatch</w:t>
      </w:r>
      <w:proofErr w:type="spellEnd"/>
    </w:p>
    <w:p w:rsidR="005B7DAB" w:rsidRPr="00247465" w:rsidRDefault="005B7DAB" w:rsidP="005B7DAB">
      <w:pPr>
        <w:pStyle w:val="MIRHeading3"/>
      </w:pPr>
      <w:r w:rsidRPr="00247465">
        <w:t>[10</w:t>
      </w:r>
      <w:r w:rsidR="007242B2" w:rsidRPr="00247465">
        <w:t>6</w:t>
      </w:r>
      <w:r w:rsidRPr="00247465">
        <w:t>]</w:t>
      </w:r>
      <w:r w:rsidRPr="00247465">
        <w:tab/>
        <w:t>Subrule 3.1.1(6)</w:t>
      </w:r>
    </w:p>
    <w:p w:rsidR="005B7DAB" w:rsidRPr="00247465" w:rsidRDefault="005B7DAB" w:rsidP="005B7DAB">
      <w:pPr>
        <w:pStyle w:val="MIRBodyText"/>
        <w:rPr>
          <w:i/>
        </w:rPr>
      </w:pPr>
      <w:r w:rsidRPr="00247465">
        <w:rPr>
          <w:i/>
        </w:rPr>
        <w:t>omit</w:t>
      </w:r>
    </w:p>
    <w:p w:rsidR="005B7DAB" w:rsidRPr="00247465" w:rsidRDefault="005B7DAB" w:rsidP="005B7DAB">
      <w:pPr>
        <w:pStyle w:val="MIRBodyText"/>
      </w:pPr>
      <w:r w:rsidRPr="00247465">
        <w:t>another Market</w:t>
      </w:r>
    </w:p>
    <w:p w:rsidR="005B7DAB" w:rsidRPr="00247465" w:rsidRDefault="005B7DAB" w:rsidP="005B7DAB">
      <w:pPr>
        <w:pStyle w:val="MIRBodyText"/>
        <w:rPr>
          <w:i/>
        </w:rPr>
      </w:pPr>
      <w:r w:rsidRPr="00247465">
        <w:rPr>
          <w:i/>
        </w:rPr>
        <w:t>substitute</w:t>
      </w:r>
    </w:p>
    <w:p w:rsidR="005B7DAB" w:rsidRPr="00247465" w:rsidRDefault="005B7DAB" w:rsidP="005B7DAB">
      <w:pPr>
        <w:pStyle w:val="MIRBodyText"/>
      </w:pPr>
      <w:r w:rsidRPr="00247465">
        <w:t>another Order Book</w:t>
      </w:r>
    </w:p>
    <w:p w:rsidR="00FB2B60" w:rsidRPr="00247465" w:rsidRDefault="007242B2" w:rsidP="00FB2B60">
      <w:pPr>
        <w:pStyle w:val="MIRHeading3"/>
      </w:pPr>
      <w:r w:rsidRPr="00247465">
        <w:lastRenderedPageBreak/>
        <w:t>[107</w:t>
      </w:r>
      <w:r w:rsidR="00FB2B60" w:rsidRPr="00247465">
        <w:t>]</w:t>
      </w:r>
      <w:r w:rsidR="00FB2B60" w:rsidRPr="00247465">
        <w:tab/>
        <w:t>Subrule 3.2.3(2)</w:t>
      </w:r>
    </w:p>
    <w:p w:rsidR="00FB2B60" w:rsidRPr="00247465" w:rsidRDefault="00FB2B60" w:rsidP="00FB2B60">
      <w:pPr>
        <w:pStyle w:val="MIRBodyText"/>
        <w:rPr>
          <w:i/>
        </w:rPr>
      </w:pPr>
      <w:r w:rsidRPr="00247465">
        <w:rPr>
          <w:i/>
        </w:rPr>
        <w:t>omit</w:t>
      </w:r>
    </w:p>
    <w:p w:rsidR="00FB2B60" w:rsidRPr="00247465" w:rsidRDefault="001D0387" w:rsidP="00FB2B60">
      <w:pPr>
        <w:pStyle w:val="MIRBodyText"/>
      </w:pPr>
      <w:r w:rsidRPr="00247465">
        <w:t>the Listing Market</w:t>
      </w:r>
    </w:p>
    <w:p w:rsidR="00FB2B60" w:rsidRPr="00247465" w:rsidRDefault="00FB2B60" w:rsidP="00FB2B60">
      <w:pPr>
        <w:pStyle w:val="MIRBodyText"/>
        <w:rPr>
          <w:i/>
        </w:rPr>
      </w:pPr>
      <w:r w:rsidRPr="00247465">
        <w:rPr>
          <w:i/>
        </w:rPr>
        <w:t>substitute</w:t>
      </w:r>
    </w:p>
    <w:p w:rsidR="00FB2B60" w:rsidRPr="00247465" w:rsidRDefault="001D0387" w:rsidP="00FB2B60">
      <w:pPr>
        <w:pStyle w:val="MIRBodyText"/>
      </w:pPr>
      <w:r w:rsidRPr="00247465">
        <w:t xml:space="preserve">ASX </w:t>
      </w:r>
      <w:proofErr w:type="spellStart"/>
      <w:r w:rsidRPr="00247465">
        <w:t>TradeMatch</w:t>
      </w:r>
      <w:proofErr w:type="spellEnd"/>
    </w:p>
    <w:p w:rsidR="00A32363" w:rsidRPr="00247465" w:rsidRDefault="00A32363" w:rsidP="00A32363">
      <w:pPr>
        <w:pStyle w:val="MIRHeading3"/>
      </w:pPr>
      <w:r w:rsidRPr="00247465">
        <w:t>[10</w:t>
      </w:r>
      <w:r w:rsidR="007242B2" w:rsidRPr="00247465">
        <w:t>8</w:t>
      </w:r>
      <w:r w:rsidRPr="00247465">
        <w:t>]</w:t>
      </w:r>
      <w:r w:rsidRPr="00247465">
        <w:tab/>
        <w:t>Subrule 3.2.3(2)</w:t>
      </w:r>
    </w:p>
    <w:p w:rsidR="00A32363" w:rsidRPr="00247465" w:rsidRDefault="00A32363" w:rsidP="00A32363">
      <w:pPr>
        <w:pStyle w:val="MIRBodyText"/>
        <w:rPr>
          <w:i/>
        </w:rPr>
      </w:pPr>
      <w:r w:rsidRPr="00247465">
        <w:rPr>
          <w:i/>
        </w:rPr>
        <w:t>omit</w:t>
      </w:r>
    </w:p>
    <w:p w:rsidR="00A32363" w:rsidRPr="00247465" w:rsidRDefault="00A32363" w:rsidP="00A32363">
      <w:pPr>
        <w:pStyle w:val="MIRBodyText"/>
      </w:pPr>
      <w:r w:rsidRPr="00247465">
        <w:t>31 October 2012</w:t>
      </w:r>
    </w:p>
    <w:p w:rsidR="00A32363" w:rsidRPr="00247465" w:rsidRDefault="00A32363" w:rsidP="00A32363">
      <w:pPr>
        <w:pStyle w:val="MIRBodyText"/>
      </w:pPr>
      <w:r w:rsidRPr="00247465">
        <w:rPr>
          <w:i/>
        </w:rPr>
        <w:t>(wherever occurring)</w:t>
      </w:r>
    </w:p>
    <w:p w:rsidR="00A32363" w:rsidRPr="00247465" w:rsidRDefault="00A32363" w:rsidP="00A32363">
      <w:pPr>
        <w:pStyle w:val="MIRBodyText"/>
        <w:rPr>
          <w:i/>
        </w:rPr>
      </w:pPr>
      <w:r w:rsidRPr="00247465">
        <w:rPr>
          <w:i/>
        </w:rPr>
        <w:t>substitute</w:t>
      </w:r>
    </w:p>
    <w:p w:rsidR="00585602" w:rsidRPr="00247465" w:rsidRDefault="00A32363" w:rsidP="00585602">
      <w:pPr>
        <w:pStyle w:val="MIRBodyText"/>
      </w:pPr>
      <w:r w:rsidRPr="00247465">
        <w:t>1 March 2013</w:t>
      </w:r>
    </w:p>
    <w:p w:rsidR="00A66243" w:rsidRPr="00247465" w:rsidRDefault="00A66243" w:rsidP="00A66243">
      <w:pPr>
        <w:pStyle w:val="MIRHeading3"/>
      </w:pPr>
      <w:r w:rsidRPr="00247465">
        <w:t>[10</w:t>
      </w:r>
      <w:r w:rsidR="007242B2" w:rsidRPr="00247465">
        <w:t>9</w:t>
      </w:r>
      <w:r w:rsidRPr="00247465">
        <w:t>]</w:t>
      </w:r>
      <w:r w:rsidRPr="00247465">
        <w:tab/>
        <w:t>Before Part 4.1</w:t>
      </w:r>
    </w:p>
    <w:p w:rsidR="00A66243" w:rsidRPr="00247465" w:rsidRDefault="00217BDC" w:rsidP="00A66243">
      <w:pPr>
        <w:pStyle w:val="MIRBodyText"/>
        <w:rPr>
          <w:i/>
        </w:rPr>
      </w:pPr>
      <w:r w:rsidRPr="00247465">
        <w:rPr>
          <w:i/>
        </w:rPr>
        <w:t>insert</w:t>
      </w:r>
    </w:p>
    <w:p w:rsidR="00217BDC" w:rsidRPr="00247465" w:rsidRDefault="00217BDC" w:rsidP="00E057D3">
      <w:pPr>
        <w:pStyle w:val="MIRHeading2Part"/>
        <w:ind w:left="1984"/>
      </w:pPr>
      <w:r w:rsidRPr="00247465">
        <w:t xml:space="preserve">Part 4.1A Application </w:t>
      </w:r>
    </w:p>
    <w:p w:rsidR="00217BDC" w:rsidRPr="00247465" w:rsidRDefault="00217BDC" w:rsidP="00E057D3">
      <w:pPr>
        <w:pStyle w:val="MIRHeading3"/>
        <w:ind w:left="1701"/>
      </w:pPr>
      <w:r w:rsidRPr="00247465">
        <w:t xml:space="preserve">4.1A.1 Application of Chapter </w:t>
      </w:r>
    </w:p>
    <w:p w:rsidR="00D34F3D" w:rsidRPr="00247465" w:rsidRDefault="00D34F3D" w:rsidP="00D34F3D">
      <w:pPr>
        <w:pStyle w:val="MIRBodyText"/>
        <w:rPr>
          <w:noProof/>
        </w:rPr>
      </w:pPr>
      <w:r w:rsidRPr="00247465">
        <w:rPr>
          <w:noProof/>
        </w:rPr>
        <w:t xml:space="preserve">This Chapter applies to: </w:t>
      </w:r>
    </w:p>
    <w:p w:rsidR="00D34F3D" w:rsidRPr="00247465" w:rsidRDefault="00D34F3D" w:rsidP="00D34F3D">
      <w:pPr>
        <w:pStyle w:val="MIRSubpara"/>
        <w:numPr>
          <w:ilvl w:val="0"/>
          <w:numId w:val="63"/>
        </w:numPr>
      </w:pPr>
      <w:r w:rsidRPr="00247465">
        <w:t xml:space="preserve">Equity Market Operators; </w:t>
      </w:r>
    </w:p>
    <w:p w:rsidR="00D34F3D" w:rsidRPr="00247465" w:rsidRDefault="00D34F3D" w:rsidP="00D34F3D">
      <w:pPr>
        <w:pStyle w:val="MIRSubpara"/>
      </w:pPr>
      <w:r w:rsidRPr="00247465">
        <w:t>Equity Market Participants; and</w:t>
      </w:r>
    </w:p>
    <w:p w:rsidR="00D34F3D" w:rsidRPr="00247465" w:rsidRDefault="00D34F3D" w:rsidP="00D34F3D">
      <w:pPr>
        <w:pStyle w:val="MIRSubpara"/>
      </w:pPr>
      <w:r w:rsidRPr="00247465">
        <w:t xml:space="preserve">Orders and Transactions in Equity Market Products. </w:t>
      </w:r>
    </w:p>
    <w:p w:rsidR="00217BDC" w:rsidRPr="00247465" w:rsidRDefault="00217BDC" w:rsidP="00D34F3D">
      <w:pPr>
        <w:pStyle w:val="MIRNote"/>
      </w:pPr>
      <w:r w:rsidRPr="00247465">
        <w:t xml:space="preserve"> Note: There is no penalty for this Rule. </w:t>
      </w:r>
    </w:p>
    <w:p w:rsidR="004119BD" w:rsidRPr="00247465" w:rsidRDefault="004119BD" w:rsidP="004119BD">
      <w:pPr>
        <w:pStyle w:val="MIRHeading3"/>
      </w:pPr>
      <w:r w:rsidRPr="00247465">
        <w:t>[1</w:t>
      </w:r>
      <w:r w:rsidR="007242B2" w:rsidRPr="00247465">
        <w:t>10</w:t>
      </w:r>
      <w:r w:rsidRPr="00247465">
        <w:t>]</w:t>
      </w:r>
      <w:r w:rsidRPr="00247465">
        <w:tab/>
        <w:t>Paragraph 4.1.1(2</w:t>
      </w:r>
      <w:proofErr w:type="gramStart"/>
      <w:r w:rsidRPr="00247465">
        <w:t>)(</w:t>
      </w:r>
      <w:proofErr w:type="gramEnd"/>
      <w:r w:rsidRPr="00247465">
        <w:t>c)</w:t>
      </w:r>
    </w:p>
    <w:p w:rsidR="004119BD" w:rsidRPr="00247465" w:rsidRDefault="004119BD" w:rsidP="004119BD">
      <w:pPr>
        <w:pStyle w:val="MIRBodyText"/>
        <w:rPr>
          <w:i/>
        </w:rPr>
      </w:pPr>
      <w:r w:rsidRPr="00247465">
        <w:rPr>
          <w:i/>
        </w:rPr>
        <w:t>omit</w:t>
      </w:r>
    </w:p>
    <w:p w:rsidR="004119BD" w:rsidRPr="00247465" w:rsidRDefault="004119BD" w:rsidP="004119BD">
      <w:pPr>
        <w:pStyle w:val="MIRBodyText"/>
        <w:rPr>
          <w:i/>
        </w:rPr>
      </w:pPr>
      <w:r w:rsidRPr="00247465">
        <w:t>Trades At or Within the Spread</w:t>
      </w:r>
    </w:p>
    <w:p w:rsidR="004119BD" w:rsidRPr="00247465" w:rsidRDefault="004119BD" w:rsidP="004119BD">
      <w:pPr>
        <w:pStyle w:val="MIRBodyText"/>
        <w:rPr>
          <w:i/>
        </w:rPr>
      </w:pPr>
      <w:r w:rsidRPr="00247465">
        <w:rPr>
          <w:i/>
        </w:rPr>
        <w:t>substitute</w:t>
      </w:r>
    </w:p>
    <w:p w:rsidR="004119BD" w:rsidRPr="00247465" w:rsidRDefault="004119BD" w:rsidP="004119BD">
      <w:pPr>
        <w:pStyle w:val="MIRBodyText"/>
        <w:rPr>
          <w:i/>
        </w:rPr>
      </w:pPr>
      <w:r w:rsidRPr="00247465">
        <w:t>a Trade with Price Improvement</w:t>
      </w:r>
    </w:p>
    <w:p w:rsidR="00C92C8C" w:rsidRPr="00247465" w:rsidRDefault="00C92C8C" w:rsidP="00C92C8C">
      <w:pPr>
        <w:pStyle w:val="MIRHeading3"/>
      </w:pPr>
      <w:r w:rsidRPr="00247465">
        <w:lastRenderedPageBreak/>
        <w:t>[1</w:t>
      </w:r>
      <w:r w:rsidR="007242B2" w:rsidRPr="00247465">
        <w:t>11</w:t>
      </w:r>
      <w:r w:rsidRPr="00247465">
        <w:t>]</w:t>
      </w:r>
      <w:r w:rsidRPr="00247465">
        <w:tab/>
      </w:r>
      <w:proofErr w:type="gramStart"/>
      <w:r w:rsidRPr="00247465">
        <w:t>After</w:t>
      </w:r>
      <w:proofErr w:type="gramEnd"/>
      <w:r w:rsidRPr="00247465">
        <w:t xml:space="preserve"> subrule 4.1.1(2)</w:t>
      </w:r>
    </w:p>
    <w:p w:rsidR="00C92C8C" w:rsidRPr="00247465" w:rsidRDefault="00C92C8C" w:rsidP="00C92C8C">
      <w:pPr>
        <w:pStyle w:val="MIRBodyText"/>
        <w:rPr>
          <w:i/>
        </w:rPr>
      </w:pPr>
      <w:r w:rsidRPr="00247465">
        <w:rPr>
          <w:i/>
        </w:rPr>
        <w:t>insert</w:t>
      </w:r>
    </w:p>
    <w:p w:rsidR="00C92C8C" w:rsidRPr="00247465" w:rsidRDefault="00C92C8C" w:rsidP="00C92C8C">
      <w:pPr>
        <w:pStyle w:val="MIRBodyText"/>
      </w:pPr>
      <w:r w:rsidRPr="00247465">
        <w:t>(3) A Participant that enters into a Transaction in reliance on an exception in subrule (2) must keep, for a period of seven years from the date of the Transaction, records that enable the Participant to demonstrate that the relevant Transaction met the criteria for the relevant exception, including, in relation to a Transa</w:t>
      </w:r>
      <w:r w:rsidR="00583F6A" w:rsidRPr="00247465">
        <w:t>ction executed in reliance on the</w:t>
      </w:r>
      <w:r w:rsidRPr="00247465">
        <w:t xml:space="preserve"> exception in paragraph (2)(c), a record of the Best Available Bid and Best Available Offer</w:t>
      </w:r>
      <w:r w:rsidR="008108D2" w:rsidRPr="00247465">
        <w:t>, if applicable,</w:t>
      </w:r>
      <w:r w:rsidRPr="00247465">
        <w:t xml:space="preserve"> at the time the Transaction was executed</w:t>
      </w:r>
      <w:r w:rsidR="00A31399" w:rsidRPr="00247465">
        <w:t>.</w:t>
      </w:r>
      <w:r w:rsidRPr="00247465">
        <w:t xml:space="preserve"> </w:t>
      </w:r>
    </w:p>
    <w:p w:rsidR="008108D2" w:rsidRPr="00247465" w:rsidRDefault="008108D2" w:rsidP="008108D2">
      <w:pPr>
        <w:pStyle w:val="MIRNote"/>
      </w:pPr>
      <w:r w:rsidRPr="00247465">
        <w:t>Note: For the purposes of subrule (3), the exception in paragraph 4.1.1(2)(c) for a Trade At or Within the Spread is replaced with an exception for a Trade with Price Improvement from the day that is 6 months after the day on which subrule (3) commences.</w:t>
      </w:r>
    </w:p>
    <w:p w:rsidR="00A31399" w:rsidRPr="00247465" w:rsidRDefault="00A31399" w:rsidP="00A31399">
      <w:pPr>
        <w:pStyle w:val="MIRHeading3"/>
      </w:pPr>
      <w:r w:rsidRPr="00247465">
        <w:t>[1</w:t>
      </w:r>
      <w:r w:rsidR="007242B2" w:rsidRPr="00247465">
        <w:t>12</w:t>
      </w:r>
      <w:r w:rsidRPr="00247465">
        <w:t>]</w:t>
      </w:r>
      <w:r w:rsidRPr="00247465">
        <w:tab/>
      </w:r>
      <w:r w:rsidR="009176F2" w:rsidRPr="00247465">
        <w:t>Paragraph 4.1.2(2</w:t>
      </w:r>
      <w:proofErr w:type="gramStart"/>
      <w:r w:rsidR="009176F2" w:rsidRPr="00247465">
        <w:t>)(</w:t>
      </w:r>
      <w:proofErr w:type="gramEnd"/>
      <w:r w:rsidR="009176F2" w:rsidRPr="00247465">
        <w:t>c)</w:t>
      </w:r>
    </w:p>
    <w:p w:rsidR="009176F2" w:rsidRPr="00247465" w:rsidRDefault="009176F2" w:rsidP="00A31399">
      <w:pPr>
        <w:pStyle w:val="MIRBodyText"/>
        <w:rPr>
          <w:i/>
        </w:rPr>
      </w:pPr>
      <w:r w:rsidRPr="00247465">
        <w:rPr>
          <w:i/>
        </w:rPr>
        <w:t>omit</w:t>
      </w:r>
    </w:p>
    <w:p w:rsidR="009176F2" w:rsidRPr="00247465" w:rsidRDefault="009176F2" w:rsidP="00A31399">
      <w:pPr>
        <w:pStyle w:val="MIRBodyText"/>
        <w:rPr>
          <w:i/>
        </w:rPr>
      </w:pPr>
      <w:r w:rsidRPr="00247465">
        <w:t>Trade At or Within the Spread</w:t>
      </w:r>
    </w:p>
    <w:p w:rsidR="00A31399" w:rsidRPr="00247465" w:rsidRDefault="00D804EB" w:rsidP="00A31399">
      <w:pPr>
        <w:pStyle w:val="MIRBodyText"/>
        <w:rPr>
          <w:i/>
        </w:rPr>
      </w:pPr>
      <w:r>
        <w:rPr>
          <w:i/>
        </w:rPr>
        <w:t>substitute</w:t>
      </w:r>
    </w:p>
    <w:p w:rsidR="009176F2" w:rsidRPr="00247465" w:rsidRDefault="009176F2" w:rsidP="00A31399">
      <w:pPr>
        <w:pStyle w:val="MIRBodyText"/>
      </w:pPr>
      <w:r w:rsidRPr="00247465">
        <w:t>Trade with Price Improvement</w:t>
      </w:r>
    </w:p>
    <w:p w:rsidR="008C73AC" w:rsidRPr="00247465" w:rsidRDefault="008C73AC" w:rsidP="008C73AC">
      <w:pPr>
        <w:pStyle w:val="MIRHeading3"/>
      </w:pPr>
      <w:r w:rsidRPr="00247465">
        <w:t>[1</w:t>
      </w:r>
      <w:r w:rsidR="007242B2" w:rsidRPr="00247465">
        <w:t>13</w:t>
      </w:r>
      <w:r w:rsidRPr="00247465">
        <w:t>]</w:t>
      </w:r>
      <w:r w:rsidRPr="00247465">
        <w:tab/>
        <w:t>After Rule 4.1.7</w:t>
      </w:r>
    </w:p>
    <w:p w:rsidR="008C73AC" w:rsidRPr="00247465" w:rsidRDefault="008C73AC" w:rsidP="008C73AC">
      <w:pPr>
        <w:pStyle w:val="MIRBodyText"/>
        <w:rPr>
          <w:i/>
        </w:rPr>
      </w:pPr>
      <w:r w:rsidRPr="00247465">
        <w:rPr>
          <w:i/>
        </w:rPr>
        <w:t>insert</w:t>
      </w:r>
    </w:p>
    <w:p w:rsidR="008C73AC" w:rsidRPr="00247465" w:rsidRDefault="00653777" w:rsidP="00653777">
      <w:pPr>
        <w:pStyle w:val="MIRHeading3"/>
        <w:ind w:left="1701"/>
      </w:pPr>
      <w:r w:rsidRPr="00247465">
        <w:t>4.1.8</w:t>
      </w:r>
      <w:r w:rsidR="008C73AC" w:rsidRPr="00247465">
        <w:t xml:space="preserve"> Dealings to which this Part does not apply </w:t>
      </w:r>
    </w:p>
    <w:p w:rsidR="008C73AC" w:rsidRPr="00247465" w:rsidRDefault="008C73AC" w:rsidP="000413F9">
      <w:pPr>
        <w:pStyle w:val="MIRBodyText"/>
        <w:ind w:left="850"/>
      </w:pPr>
      <w:r w:rsidRPr="00247465">
        <w:t xml:space="preserve">For the avoidance of doubt, this Part does not apply to Transactions arising from: </w:t>
      </w:r>
    </w:p>
    <w:p w:rsidR="008C73AC" w:rsidRPr="00247465" w:rsidRDefault="008C73AC" w:rsidP="000413F9">
      <w:pPr>
        <w:pStyle w:val="MIRSubpara"/>
        <w:numPr>
          <w:ilvl w:val="0"/>
          <w:numId w:val="32"/>
        </w:numPr>
        <w:ind w:left="1275"/>
      </w:pPr>
      <w:r w:rsidRPr="00247465">
        <w:t xml:space="preserve">the terms of an Equity Market Product, including a redemption; </w:t>
      </w:r>
    </w:p>
    <w:p w:rsidR="008C73AC" w:rsidRPr="00247465" w:rsidRDefault="008C73AC" w:rsidP="000413F9">
      <w:pPr>
        <w:pStyle w:val="MIRSubpara"/>
        <w:ind w:left="1275"/>
      </w:pPr>
      <w:r w:rsidRPr="00247465">
        <w:t xml:space="preserve">primary market actions, including an issue or allotment of, or an application or subscription for, an Equity Market Product; </w:t>
      </w:r>
    </w:p>
    <w:p w:rsidR="008C73AC" w:rsidRPr="00247465" w:rsidRDefault="008C73AC" w:rsidP="000413F9">
      <w:pPr>
        <w:pStyle w:val="MIRSubpara"/>
        <w:ind w:left="1275"/>
      </w:pPr>
      <w:r w:rsidRPr="00247465">
        <w:t xml:space="preserve">acceptance of an offer under an Off-Market Bid; and </w:t>
      </w:r>
    </w:p>
    <w:p w:rsidR="008C73AC" w:rsidRPr="00247465" w:rsidRDefault="008C73AC" w:rsidP="000413F9">
      <w:pPr>
        <w:pStyle w:val="MIRSubpara"/>
        <w:ind w:left="1275"/>
      </w:pPr>
      <w:r w:rsidRPr="00247465">
        <w:t xml:space="preserve">the delivery of an Equity Market Product under a Securities Lending Arrangement. </w:t>
      </w:r>
    </w:p>
    <w:p w:rsidR="008C73AC" w:rsidRPr="00247465" w:rsidRDefault="008C73AC" w:rsidP="000413F9">
      <w:pPr>
        <w:pStyle w:val="MIRNote"/>
        <w:ind w:left="1700"/>
      </w:pPr>
      <w:r w:rsidRPr="00247465">
        <w:t>Note: There is no penalty for this Rule.</w:t>
      </w:r>
    </w:p>
    <w:p w:rsidR="008F277D" w:rsidRPr="00247465" w:rsidRDefault="008F277D" w:rsidP="008F277D">
      <w:pPr>
        <w:pStyle w:val="MIRHeading3"/>
      </w:pPr>
      <w:r w:rsidRPr="00247465">
        <w:t>[1</w:t>
      </w:r>
      <w:r w:rsidR="007242B2" w:rsidRPr="00247465">
        <w:t>14</w:t>
      </w:r>
      <w:r w:rsidRPr="00247465">
        <w:t>]</w:t>
      </w:r>
      <w:r w:rsidRPr="00247465">
        <w:tab/>
        <w:t>Paragraph 4.2.1(1</w:t>
      </w:r>
      <w:proofErr w:type="gramStart"/>
      <w:r w:rsidRPr="00247465">
        <w:t>)(</w:t>
      </w:r>
      <w:proofErr w:type="gramEnd"/>
      <w:r w:rsidRPr="00247465">
        <w:t>a)</w:t>
      </w:r>
    </w:p>
    <w:p w:rsidR="008F277D" w:rsidRPr="00247465" w:rsidRDefault="008F277D" w:rsidP="008F277D">
      <w:pPr>
        <w:pStyle w:val="MIRBodyText"/>
        <w:rPr>
          <w:i/>
        </w:rPr>
      </w:pPr>
      <w:r w:rsidRPr="00247465">
        <w:rPr>
          <w:i/>
        </w:rPr>
        <w:t>before “the Participant”, insert</w:t>
      </w:r>
    </w:p>
    <w:p w:rsidR="008F277D" w:rsidRPr="00247465" w:rsidRDefault="008F277D" w:rsidP="008F277D">
      <w:pPr>
        <w:pStyle w:val="MIRBodyText"/>
        <w:rPr>
          <w:i/>
        </w:rPr>
      </w:pPr>
      <w:r w:rsidRPr="00247465">
        <w:t>if the Transaction is entered into other than by matching of Order</w:t>
      </w:r>
      <w:r w:rsidR="00C55E97" w:rsidRPr="00247465">
        <w:t>s</w:t>
      </w:r>
      <w:r w:rsidRPr="00247465">
        <w:t xml:space="preserve"> on an Order Book,  </w:t>
      </w:r>
    </w:p>
    <w:p w:rsidR="005C08A1" w:rsidRPr="00247465" w:rsidRDefault="005C08A1" w:rsidP="003A0A93">
      <w:pPr>
        <w:pStyle w:val="MIRHeading3"/>
      </w:pPr>
      <w:r w:rsidRPr="00247465">
        <w:lastRenderedPageBreak/>
        <w:t>[</w:t>
      </w:r>
      <w:r w:rsidR="007242B2" w:rsidRPr="00247465">
        <w:t>115</w:t>
      </w:r>
      <w:r w:rsidRPr="00247465">
        <w:t>]</w:t>
      </w:r>
      <w:r w:rsidRPr="00247465">
        <w:tab/>
        <w:t>Paragraph 4.2.1</w:t>
      </w:r>
      <w:r w:rsidR="008F277D" w:rsidRPr="00247465">
        <w:t>(1</w:t>
      </w:r>
      <w:proofErr w:type="gramStart"/>
      <w:r w:rsidR="008F277D" w:rsidRPr="00247465">
        <w:t>)</w:t>
      </w:r>
      <w:r w:rsidR="00404D4D" w:rsidRPr="00247465">
        <w:t>(</w:t>
      </w:r>
      <w:proofErr w:type="gramEnd"/>
      <w:r w:rsidR="00404D4D" w:rsidRPr="00247465">
        <w:t>c)</w:t>
      </w:r>
    </w:p>
    <w:p w:rsidR="005C08A1" w:rsidRPr="00247465" w:rsidRDefault="00404D4D" w:rsidP="005C08A1">
      <w:pPr>
        <w:pStyle w:val="MIRBodyText"/>
        <w:rPr>
          <w:i/>
        </w:rPr>
      </w:pPr>
      <w:r w:rsidRPr="00247465">
        <w:rPr>
          <w:i/>
        </w:rPr>
        <w:t>omit the paragraph, substitute</w:t>
      </w:r>
    </w:p>
    <w:p w:rsidR="00404D4D" w:rsidRPr="00247465" w:rsidRDefault="00404D4D" w:rsidP="00D71390">
      <w:pPr>
        <w:pStyle w:val="MIRSubpara"/>
        <w:numPr>
          <w:ilvl w:val="0"/>
          <w:numId w:val="49"/>
        </w:numPr>
        <w:ind w:left="1560" w:hanging="566"/>
      </w:pPr>
      <w:r w:rsidRPr="00247465">
        <w:t xml:space="preserve">the consideration for the Transaction is not less than: </w:t>
      </w:r>
    </w:p>
    <w:p w:rsidR="00404D4D" w:rsidRPr="00247465" w:rsidRDefault="00404D4D" w:rsidP="00404D4D">
      <w:pPr>
        <w:pStyle w:val="MIRSubsubpara"/>
      </w:pPr>
      <w:r w:rsidRPr="00247465">
        <w:t xml:space="preserve">$1,000,000 or more for Tier 1 Equity Market Products; </w:t>
      </w:r>
    </w:p>
    <w:p w:rsidR="00404D4D" w:rsidRPr="00247465" w:rsidRDefault="00404D4D" w:rsidP="00404D4D">
      <w:pPr>
        <w:pStyle w:val="MIRSubsubpara"/>
      </w:pPr>
      <w:r w:rsidRPr="00247465">
        <w:t xml:space="preserve">$500,000 or more for Tier 2 Equity Market Products; and </w:t>
      </w:r>
    </w:p>
    <w:p w:rsidR="00404D4D" w:rsidRPr="00247465" w:rsidRDefault="00404D4D" w:rsidP="00404D4D">
      <w:pPr>
        <w:pStyle w:val="MIRSubsubpara"/>
      </w:pPr>
      <w:r w:rsidRPr="00247465">
        <w:t xml:space="preserve">$200,000 or more for Tier 3 Equity Market Products. </w:t>
      </w:r>
    </w:p>
    <w:p w:rsidR="00004971" w:rsidRPr="00247465" w:rsidRDefault="00004971" w:rsidP="00004971">
      <w:pPr>
        <w:pStyle w:val="MIRHeading3"/>
      </w:pPr>
      <w:r w:rsidRPr="00247465">
        <w:t>[11</w:t>
      </w:r>
      <w:r w:rsidR="007242B2" w:rsidRPr="00247465">
        <w:t>6</w:t>
      </w:r>
      <w:r w:rsidRPr="00247465">
        <w:t>]</w:t>
      </w:r>
      <w:r w:rsidRPr="00247465">
        <w:tab/>
      </w:r>
      <w:proofErr w:type="gramStart"/>
      <w:r w:rsidRPr="00247465">
        <w:t>After</w:t>
      </w:r>
      <w:proofErr w:type="gramEnd"/>
      <w:r w:rsidRPr="00247465">
        <w:t xml:space="preserve"> subrule 4.2.1(2)</w:t>
      </w:r>
    </w:p>
    <w:p w:rsidR="00004971" w:rsidRPr="00247465" w:rsidRDefault="00004971" w:rsidP="00004971">
      <w:pPr>
        <w:pStyle w:val="MIRBodyText"/>
        <w:rPr>
          <w:i/>
        </w:rPr>
      </w:pPr>
      <w:r w:rsidRPr="00247465">
        <w:rPr>
          <w:i/>
        </w:rPr>
        <w:t>insert</w:t>
      </w:r>
    </w:p>
    <w:p w:rsidR="00004971" w:rsidRPr="00247465" w:rsidRDefault="00004971" w:rsidP="00004971">
      <w:pPr>
        <w:pStyle w:val="MIRBodyText"/>
      </w:pPr>
      <w:r w:rsidRPr="00247465">
        <w:t xml:space="preserve">(3) For the purposes of paragraph (1)(c): </w:t>
      </w:r>
    </w:p>
    <w:p w:rsidR="00004971" w:rsidRPr="00247465" w:rsidRDefault="00004971" w:rsidP="00D71390">
      <w:pPr>
        <w:pStyle w:val="MIRSubpara"/>
        <w:numPr>
          <w:ilvl w:val="0"/>
          <w:numId w:val="34"/>
        </w:numPr>
      </w:pPr>
      <w:r w:rsidRPr="00247465">
        <w:rPr>
          <w:b/>
          <w:bCs/>
          <w:i/>
          <w:iCs/>
        </w:rPr>
        <w:t xml:space="preserve">Tier 1 Equity Market Products </w:t>
      </w:r>
      <w:r w:rsidRPr="00247465">
        <w:t xml:space="preserve">means those Equity Market Products notified by ASIC under these Rules and in accordance with subrule (4); </w:t>
      </w:r>
    </w:p>
    <w:p w:rsidR="00004971" w:rsidRPr="00247465" w:rsidRDefault="00004971" w:rsidP="00004971">
      <w:pPr>
        <w:pStyle w:val="MIRSubpara"/>
      </w:pPr>
      <w:r w:rsidRPr="00247465">
        <w:rPr>
          <w:b/>
          <w:bCs/>
          <w:i/>
          <w:iCs/>
        </w:rPr>
        <w:t xml:space="preserve">Tier 2 Equity Market Products </w:t>
      </w:r>
      <w:r w:rsidRPr="00247465">
        <w:t xml:space="preserve">means those Equity Market Products notified by ASIC under these Rules and in accordance with subrule (4); and </w:t>
      </w:r>
    </w:p>
    <w:p w:rsidR="00004971" w:rsidRPr="00247465" w:rsidRDefault="00004971" w:rsidP="00004971">
      <w:pPr>
        <w:pStyle w:val="MIRSubpara"/>
      </w:pPr>
      <w:r w:rsidRPr="00247465">
        <w:rPr>
          <w:b/>
          <w:bCs/>
          <w:i/>
          <w:iCs/>
        </w:rPr>
        <w:t xml:space="preserve">Tier 3 Equity Market Products </w:t>
      </w:r>
      <w:r w:rsidRPr="00247465">
        <w:t xml:space="preserve">means all Equity Market Products that are not Tier 1 or 2 Equity Market Products. </w:t>
      </w:r>
    </w:p>
    <w:p w:rsidR="00004971" w:rsidRPr="00247465" w:rsidRDefault="00004971" w:rsidP="00004971">
      <w:pPr>
        <w:pStyle w:val="MIRBodyText"/>
      </w:pPr>
      <w:r w:rsidRPr="00247465">
        <w:t xml:space="preserve">(4) For the purposes of subrule (3), the notification given by ASIC: </w:t>
      </w:r>
    </w:p>
    <w:p w:rsidR="00004971" w:rsidRPr="00247465" w:rsidRDefault="00004971" w:rsidP="00D71390">
      <w:pPr>
        <w:pStyle w:val="MIRSubpara"/>
        <w:numPr>
          <w:ilvl w:val="0"/>
          <w:numId w:val="35"/>
        </w:numPr>
      </w:pPr>
      <w:r w:rsidRPr="00247465">
        <w:t xml:space="preserve">will be published on its website; and </w:t>
      </w:r>
    </w:p>
    <w:p w:rsidR="00004971" w:rsidRPr="00247465" w:rsidRDefault="00004971" w:rsidP="00004971">
      <w:pPr>
        <w:pStyle w:val="MIRSubpara"/>
      </w:pPr>
      <w:r w:rsidRPr="00247465">
        <w:t xml:space="preserve">takes effect from 20 business days following the date of the notification. </w:t>
      </w:r>
    </w:p>
    <w:p w:rsidR="003A0A93" w:rsidRPr="00247465" w:rsidRDefault="003A0A93" w:rsidP="003A0A93">
      <w:pPr>
        <w:pStyle w:val="MIRHeading3"/>
      </w:pPr>
      <w:r w:rsidRPr="00247465">
        <w:t>[11</w:t>
      </w:r>
      <w:r w:rsidR="007242B2" w:rsidRPr="00247465">
        <w:t>7</w:t>
      </w:r>
      <w:r w:rsidRPr="00247465">
        <w:t>]</w:t>
      </w:r>
      <w:r w:rsidRPr="00247465">
        <w:tab/>
        <w:t>Paragraph 4.2.2(1</w:t>
      </w:r>
      <w:proofErr w:type="gramStart"/>
      <w:r w:rsidRPr="00247465">
        <w:t>)(</w:t>
      </w:r>
      <w:proofErr w:type="gramEnd"/>
      <w:r w:rsidRPr="00247465">
        <w:t>a)</w:t>
      </w:r>
    </w:p>
    <w:p w:rsidR="003A0A93" w:rsidRPr="00247465" w:rsidRDefault="00823C58" w:rsidP="003A0A93">
      <w:pPr>
        <w:pStyle w:val="MIRBodyText"/>
        <w:rPr>
          <w:i/>
        </w:rPr>
      </w:pPr>
      <w:r w:rsidRPr="00247465">
        <w:rPr>
          <w:i/>
        </w:rPr>
        <w:t>before</w:t>
      </w:r>
      <w:r w:rsidR="00C53C59" w:rsidRPr="00247465">
        <w:rPr>
          <w:i/>
        </w:rPr>
        <w:t xml:space="preserve"> </w:t>
      </w:r>
      <w:r w:rsidR="003A0A93" w:rsidRPr="00247465">
        <w:rPr>
          <w:i/>
        </w:rPr>
        <w:t>“the Participant”, insert</w:t>
      </w:r>
    </w:p>
    <w:p w:rsidR="003A0A93" w:rsidRPr="00247465" w:rsidRDefault="003A0A93" w:rsidP="003A0A93">
      <w:pPr>
        <w:pStyle w:val="MIRBodyText"/>
        <w:rPr>
          <w:i/>
        </w:rPr>
      </w:pPr>
      <w:r w:rsidRPr="00247465">
        <w:t>if the Transaction is entered into other than by matching of Order</w:t>
      </w:r>
      <w:r w:rsidR="00C55E97" w:rsidRPr="00247465">
        <w:t>s</w:t>
      </w:r>
      <w:r w:rsidRPr="00247465">
        <w:t xml:space="preserve"> on an Order Book,  </w:t>
      </w:r>
    </w:p>
    <w:p w:rsidR="005A06C5" w:rsidRPr="00247465" w:rsidRDefault="003A0A93" w:rsidP="003A0A93">
      <w:pPr>
        <w:pStyle w:val="MIRHeading3"/>
      </w:pPr>
      <w:r w:rsidRPr="00247465">
        <w:t xml:space="preserve"> </w:t>
      </w:r>
      <w:r w:rsidR="005A06C5" w:rsidRPr="00247465">
        <w:t>[11</w:t>
      </w:r>
      <w:r w:rsidR="006A1A45" w:rsidRPr="00247465">
        <w:t>8</w:t>
      </w:r>
      <w:r w:rsidR="005A06C5" w:rsidRPr="00247465">
        <w:t>]</w:t>
      </w:r>
      <w:r w:rsidR="005A06C5" w:rsidRPr="00247465">
        <w:tab/>
        <w:t>Rule 4.2.3</w:t>
      </w:r>
    </w:p>
    <w:p w:rsidR="005A06C5" w:rsidRPr="00247465" w:rsidRDefault="001C13AD" w:rsidP="005A06C5">
      <w:pPr>
        <w:pStyle w:val="MIRBodyText"/>
        <w:rPr>
          <w:i/>
        </w:rPr>
      </w:pPr>
      <w:r w:rsidRPr="00247465">
        <w:rPr>
          <w:i/>
        </w:rPr>
        <w:t xml:space="preserve">omit the </w:t>
      </w:r>
      <w:r w:rsidR="00AB142A">
        <w:rPr>
          <w:i/>
        </w:rPr>
        <w:t>r</w:t>
      </w:r>
      <w:r w:rsidRPr="00247465">
        <w:rPr>
          <w:i/>
        </w:rPr>
        <w:t xml:space="preserve">ule, </w:t>
      </w:r>
      <w:r w:rsidR="000B65DC" w:rsidRPr="00247465">
        <w:rPr>
          <w:i/>
        </w:rPr>
        <w:t>substitute</w:t>
      </w:r>
    </w:p>
    <w:p w:rsidR="00DE2642" w:rsidRPr="00247465" w:rsidRDefault="00DE2642" w:rsidP="003E4D43">
      <w:pPr>
        <w:pStyle w:val="MIRHeading3"/>
        <w:ind w:left="1701"/>
      </w:pPr>
      <w:r w:rsidRPr="00247465">
        <w:t xml:space="preserve">4.2.3 Exception—Trades with Price Improvement </w:t>
      </w:r>
    </w:p>
    <w:p w:rsidR="00DE2642" w:rsidRPr="00247465" w:rsidRDefault="00DE2642" w:rsidP="000413F9">
      <w:pPr>
        <w:pStyle w:val="MIRBodyText"/>
        <w:ind w:left="850"/>
      </w:pPr>
      <w:r w:rsidRPr="00247465">
        <w:t xml:space="preserve">(1) In these Rules, a Transaction is a </w:t>
      </w:r>
      <w:r w:rsidRPr="00247465">
        <w:rPr>
          <w:b/>
          <w:bCs/>
          <w:i/>
          <w:iCs/>
        </w:rPr>
        <w:t xml:space="preserve">Trade with Price Improvement </w:t>
      </w:r>
      <w:r w:rsidRPr="00247465">
        <w:t xml:space="preserve">where: </w:t>
      </w:r>
    </w:p>
    <w:p w:rsidR="00DE2642" w:rsidRPr="00247465" w:rsidRDefault="00DE2642" w:rsidP="000413F9">
      <w:pPr>
        <w:pStyle w:val="MIRSubpara"/>
        <w:numPr>
          <w:ilvl w:val="0"/>
          <w:numId w:val="36"/>
        </w:numPr>
        <w:ind w:left="1275"/>
      </w:pPr>
      <w:r w:rsidRPr="00247465">
        <w:t xml:space="preserve">the Transaction is executed at a price per Equity Market Product which is: </w:t>
      </w:r>
    </w:p>
    <w:p w:rsidR="00DE2642" w:rsidRPr="00247465" w:rsidRDefault="00DE2642" w:rsidP="000413F9">
      <w:pPr>
        <w:pStyle w:val="MIRSubsubpara"/>
        <w:tabs>
          <w:tab w:val="clear" w:pos="1701"/>
          <w:tab w:val="num" w:pos="1700"/>
        </w:tabs>
        <w:ind w:left="1700"/>
      </w:pPr>
      <w:r w:rsidRPr="00247465">
        <w:t xml:space="preserve">higher than the Best Available Bid and lower than the Best Available Offer by one or more Price Steps; or </w:t>
      </w:r>
    </w:p>
    <w:p w:rsidR="00DE2642" w:rsidRPr="00247465" w:rsidRDefault="00DE2642" w:rsidP="000413F9">
      <w:pPr>
        <w:pStyle w:val="MIRSubsubpara"/>
        <w:tabs>
          <w:tab w:val="clear" w:pos="1701"/>
          <w:tab w:val="num" w:pos="1700"/>
        </w:tabs>
        <w:ind w:left="1700"/>
      </w:pPr>
      <w:r w:rsidRPr="00247465">
        <w:t xml:space="preserve">at the Best Mid-Point; and </w:t>
      </w:r>
    </w:p>
    <w:p w:rsidR="00DE2642" w:rsidRPr="00247465" w:rsidRDefault="00DE2642" w:rsidP="000413F9">
      <w:pPr>
        <w:pStyle w:val="MIRSubpara"/>
        <w:ind w:left="1275"/>
      </w:pPr>
      <w:r w:rsidRPr="00247465">
        <w:t>if the Transaction is entered into other than by matching of Order</w:t>
      </w:r>
      <w:r w:rsidR="00922A92" w:rsidRPr="00247465">
        <w:t>s</w:t>
      </w:r>
      <w:r w:rsidRPr="00247465">
        <w:t xml:space="preserve"> on an Order Book, the Participant acts: </w:t>
      </w:r>
    </w:p>
    <w:p w:rsidR="00DE2642" w:rsidRPr="00247465" w:rsidRDefault="00DE2642" w:rsidP="000413F9">
      <w:pPr>
        <w:pStyle w:val="MIRSubsubpara"/>
        <w:numPr>
          <w:ilvl w:val="2"/>
          <w:numId w:val="37"/>
        </w:numPr>
        <w:tabs>
          <w:tab w:val="clear" w:pos="1701"/>
          <w:tab w:val="num" w:pos="1700"/>
        </w:tabs>
        <w:ind w:left="1700"/>
      </w:pPr>
      <w:r w:rsidRPr="00247465">
        <w:lastRenderedPageBreak/>
        <w:t xml:space="preserve">on behalf of both buying and selling clients to that Transaction; or </w:t>
      </w:r>
    </w:p>
    <w:p w:rsidR="00DE2642" w:rsidRPr="00247465" w:rsidRDefault="00DE2642" w:rsidP="000413F9">
      <w:pPr>
        <w:pStyle w:val="MIRSubsubpara"/>
        <w:numPr>
          <w:ilvl w:val="2"/>
          <w:numId w:val="37"/>
        </w:numPr>
        <w:tabs>
          <w:tab w:val="clear" w:pos="1701"/>
          <w:tab w:val="num" w:pos="1700"/>
        </w:tabs>
        <w:ind w:left="1700"/>
      </w:pPr>
      <w:proofErr w:type="gramStart"/>
      <w:r w:rsidRPr="00247465">
        <w:t>on</w:t>
      </w:r>
      <w:proofErr w:type="gramEnd"/>
      <w:r w:rsidRPr="00247465">
        <w:t xml:space="preserve"> behalf of a buying or selling client on one side of that Transaction and as Principal on the other side. </w:t>
      </w:r>
    </w:p>
    <w:p w:rsidR="00DE2642" w:rsidRPr="00247465" w:rsidRDefault="00DE2642" w:rsidP="003E4D43">
      <w:pPr>
        <w:pStyle w:val="MIRBodyText"/>
        <w:ind w:left="850"/>
      </w:pPr>
      <w:r w:rsidRPr="00247465">
        <w:t xml:space="preserve">(2) For the purposes of this Rule, the Best Mid-Point is not limited to standard Price Steps for the Equity Market Product. </w:t>
      </w:r>
    </w:p>
    <w:p w:rsidR="00DE2642" w:rsidRPr="00247465" w:rsidRDefault="00DE2642" w:rsidP="003E4D43">
      <w:pPr>
        <w:pStyle w:val="MIRNote"/>
        <w:ind w:left="2551"/>
      </w:pPr>
      <w:r w:rsidRPr="00247465">
        <w:t xml:space="preserve">Note: There is no penalty for this Rule. </w:t>
      </w:r>
    </w:p>
    <w:p w:rsidR="00346C58" w:rsidRPr="00247465" w:rsidRDefault="00346C58" w:rsidP="00346C58">
      <w:pPr>
        <w:pStyle w:val="MIRHeading3"/>
      </w:pPr>
      <w:r w:rsidRPr="00247465">
        <w:t>[11</w:t>
      </w:r>
      <w:r w:rsidR="00922A92" w:rsidRPr="00247465">
        <w:t>9</w:t>
      </w:r>
      <w:r w:rsidRPr="00247465">
        <w:t>]</w:t>
      </w:r>
      <w:r w:rsidRPr="00247465">
        <w:tab/>
      </w:r>
      <w:r w:rsidR="00A8586F" w:rsidRPr="00247465">
        <w:t>Before Part 5.1</w:t>
      </w:r>
    </w:p>
    <w:p w:rsidR="00346C58" w:rsidRPr="00247465" w:rsidRDefault="004B7936" w:rsidP="00346C58">
      <w:pPr>
        <w:pStyle w:val="MIRBodyText"/>
        <w:rPr>
          <w:i/>
        </w:rPr>
      </w:pPr>
      <w:r w:rsidRPr="00247465">
        <w:rPr>
          <w:i/>
        </w:rPr>
        <w:t>insert</w:t>
      </w:r>
    </w:p>
    <w:p w:rsidR="004B7936" w:rsidRPr="00247465" w:rsidRDefault="004B7936" w:rsidP="00922F97">
      <w:pPr>
        <w:pStyle w:val="MIRHeading2Part"/>
        <w:ind w:left="1984"/>
      </w:pPr>
      <w:r w:rsidRPr="00247465">
        <w:t xml:space="preserve">Part 5.1A Application </w:t>
      </w:r>
    </w:p>
    <w:p w:rsidR="004B7936" w:rsidRPr="00247465" w:rsidRDefault="004B7936" w:rsidP="00922F97">
      <w:pPr>
        <w:pStyle w:val="MIRHeading3"/>
        <w:ind w:left="1701"/>
      </w:pPr>
      <w:r w:rsidRPr="00247465">
        <w:t>5.1A.1 Application of Chapter</w:t>
      </w:r>
      <w:r w:rsidRPr="00247465">
        <w:rPr>
          <w:sz w:val="22"/>
          <w:szCs w:val="22"/>
        </w:rPr>
        <w:t xml:space="preserve"> </w:t>
      </w:r>
    </w:p>
    <w:p w:rsidR="00B10B48" w:rsidRPr="00247465" w:rsidRDefault="00B10B48" w:rsidP="00B10B48">
      <w:pPr>
        <w:pStyle w:val="MIRBodyText"/>
        <w:rPr>
          <w:rFonts w:eastAsia="Calibri"/>
        </w:rPr>
      </w:pPr>
      <w:r w:rsidRPr="00247465">
        <w:rPr>
          <w:rFonts w:eastAsia="Calibri"/>
        </w:rPr>
        <w:t xml:space="preserve">This Chapter applies to: </w:t>
      </w:r>
    </w:p>
    <w:p w:rsidR="00B10B48" w:rsidRPr="00247465" w:rsidRDefault="00B10B48" w:rsidP="00B10B48">
      <w:pPr>
        <w:pStyle w:val="MIRSubpara"/>
        <w:numPr>
          <w:ilvl w:val="0"/>
          <w:numId w:val="64"/>
        </w:numPr>
        <w:rPr>
          <w:rFonts w:eastAsia="Calibri"/>
        </w:rPr>
      </w:pPr>
      <w:r w:rsidRPr="00247465">
        <w:rPr>
          <w:rFonts w:eastAsia="Calibri"/>
        </w:rPr>
        <w:t xml:space="preserve">Equity Market Operators; </w:t>
      </w:r>
    </w:p>
    <w:p w:rsidR="00B10B48" w:rsidRPr="00247465" w:rsidRDefault="00B10B48" w:rsidP="00B10B48">
      <w:pPr>
        <w:pStyle w:val="MIRSubpara"/>
        <w:rPr>
          <w:rFonts w:eastAsia="Calibri"/>
        </w:rPr>
      </w:pPr>
      <w:r w:rsidRPr="00247465">
        <w:rPr>
          <w:rFonts w:eastAsia="Calibri"/>
        </w:rPr>
        <w:t>Equity Market Participants; and</w:t>
      </w:r>
    </w:p>
    <w:p w:rsidR="00B10B48" w:rsidRPr="00247465" w:rsidRDefault="00B10B48" w:rsidP="00B10B48">
      <w:pPr>
        <w:pStyle w:val="MIRSubpara"/>
        <w:rPr>
          <w:rFonts w:eastAsia="Calibri"/>
        </w:rPr>
      </w:pPr>
      <w:r w:rsidRPr="00247465">
        <w:rPr>
          <w:rFonts w:eastAsia="Calibri"/>
        </w:rPr>
        <w:t xml:space="preserve">Orders and Transactions in Equity Market Products. </w:t>
      </w:r>
    </w:p>
    <w:p w:rsidR="004B7936" w:rsidRPr="00247465" w:rsidRDefault="004B7936" w:rsidP="00922F97">
      <w:pPr>
        <w:pStyle w:val="MIRNote"/>
        <w:ind w:left="2551"/>
      </w:pPr>
      <w:r w:rsidRPr="00247465">
        <w:t>Note: There is no penalty for this Rule.</w:t>
      </w:r>
    </w:p>
    <w:p w:rsidR="00B7310F" w:rsidRPr="00247465" w:rsidRDefault="00B7310F" w:rsidP="00B7310F">
      <w:pPr>
        <w:pStyle w:val="MIRHeading3"/>
      </w:pPr>
      <w:r w:rsidRPr="00247465">
        <w:t>[1</w:t>
      </w:r>
      <w:r w:rsidR="00B9294D" w:rsidRPr="00247465">
        <w:t>20</w:t>
      </w:r>
      <w:r w:rsidRPr="00247465">
        <w:t>]</w:t>
      </w:r>
      <w:r w:rsidRPr="00247465">
        <w:tab/>
        <w:t>Subrule 5.1.1(</w:t>
      </w:r>
      <w:r w:rsidR="00CC688D" w:rsidRPr="00247465">
        <w:t>1</w:t>
      </w:r>
      <w:r w:rsidRPr="00247465">
        <w:t>)</w:t>
      </w:r>
    </w:p>
    <w:p w:rsidR="00B7310F" w:rsidRPr="00247465" w:rsidRDefault="00B7310F" w:rsidP="00B7310F">
      <w:pPr>
        <w:pStyle w:val="MIRBodyText"/>
        <w:rPr>
          <w:i/>
        </w:rPr>
      </w:pPr>
      <w:r w:rsidRPr="00247465">
        <w:rPr>
          <w:i/>
        </w:rPr>
        <w:t>after “than”</w:t>
      </w:r>
      <w:r w:rsidR="00305EC4" w:rsidRPr="00247465">
        <w:rPr>
          <w:i/>
        </w:rPr>
        <w:t>,</w:t>
      </w:r>
      <w:r w:rsidRPr="00247465">
        <w:rPr>
          <w:i/>
        </w:rPr>
        <w:t xml:space="preserve"> insert</w:t>
      </w:r>
    </w:p>
    <w:p w:rsidR="00B7310F" w:rsidRPr="00247465" w:rsidRDefault="00B7310F" w:rsidP="00B7310F">
      <w:pPr>
        <w:pStyle w:val="MIRBodyText"/>
        <w:rPr>
          <w:i/>
        </w:rPr>
      </w:pPr>
      <w:r w:rsidRPr="00247465">
        <w:t>by</w:t>
      </w:r>
    </w:p>
    <w:p w:rsidR="00627476" w:rsidRPr="00247465" w:rsidRDefault="00627476" w:rsidP="00B7310F">
      <w:pPr>
        <w:pStyle w:val="MIRHeading3"/>
      </w:pPr>
      <w:r w:rsidRPr="00247465">
        <w:t>[1</w:t>
      </w:r>
      <w:r w:rsidR="00B9294D" w:rsidRPr="00247465">
        <w:t>21</w:t>
      </w:r>
      <w:r w:rsidRPr="00247465">
        <w:t>]</w:t>
      </w:r>
      <w:r w:rsidRPr="00247465">
        <w:tab/>
      </w:r>
      <w:proofErr w:type="gramStart"/>
      <w:r w:rsidR="0078346D" w:rsidRPr="00247465">
        <w:t>After</w:t>
      </w:r>
      <w:proofErr w:type="gramEnd"/>
      <w:r w:rsidR="0078346D" w:rsidRPr="00247465">
        <w:t xml:space="preserve"> subrule </w:t>
      </w:r>
      <w:r w:rsidRPr="00247465">
        <w:t>5.1.1</w:t>
      </w:r>
      <w:r w:rsidR="0078346D" w:rsidRPr="00247465">
        <w:t>(4)</w:t>
      </w:r>
    </w:p>
    <w:p w:rsidR="00627476" w:rsidRPr="00247465" w:rsidRDefault="00627476" w:rsidP="00627476">
      <w:pPr>
        <w:pStyle w:val="MIRBodyText"/>
        <w:rPr>
          <w:i/>
        </w:rPr>
      </w:pPr>
      <w:r w:rsidRPr="00247465">
        <w:rPr>
          <w:i/>
        </w:rPr>
        <w:t>insert</w:t>
      </w:r>
    </w:p>
    <w:p w:rsidR="00ED0DA0" w:rsidRPr="00247465" w:rsidRDefault="00ED0DA0" w:rsidP="00ED0DA0">
      <w:pPr>
        <w:pStyle w:val="MIRBodyText"/>
      </w:pPr>
      <w:r w:rsidRPr="00247465">
        <w:t xml:space="preserve">(4A) Without limiting subrule (4), a Reporting Participant must have in place systems and controls to ensure that each Transaction it reports under subrule (2) and (3) meets all of the criteria for: </w:t>
      </w:r>
    </w:p>
    <w:p w:rsidR="00ED0DA0" w:rsidRPr="00247465" w:rsidRDefault="00ED0DA0" w:rsidP="00D71390">
      <w:pPr>
        <w:pStyle w:val="MIRSubpara"/>
        <w:numPr>
          <w:ilvl w:val="0"/>
          <w:numId w:val="38"/>
        </w:numPr>
      </w:pPr>
      <w:r w:rsidRPr="00247465">
        <w:t xml:space="preserve">the exception in subrule 4.1.1(2) relied upon by the Reporting Participant to enter into the Transaction other than in accordance with subrule 4.1.1(1); and </w:t>
      </w:r>
    </w:p>
    <w:p w:rsidR="00ED0DA0" w:rsidRPr="00247465" w:rsidRDefault="00ED0DA0" w:rsidP="00ED0DA0">
      <w:pPr>
        <w:pStyle w:val="MIRSubpara"/>
      </w:pPr>
      <w:r w:rsidRPr="00247465">
        <w:t xml:space="preserve">the exception in paragraph (2)(b), if the Reporting Participant has relied upon that exception to report the Transaction other than in accordance with the times set out in paragraph (2)(a). </w:t>
      </w:r>
    </w:p>
    <w:p w:rsidR="00ED0DA0" w:rsidRPr="00247465" w:rsidRDefault="00ED0DA0" w:rsidP="00ED0DA0">
      <w:pPr>
        <w:pStyle w:val="MIRBodyText"/>
      </w:pPr>
      <w:r w:rsidRPr="00247465">
        <w:t>(4B) A Reporting Participant that is notified by a Market Operator under paragraph 5.1.4A(</w:t>
      </w:r>
      <w:r w:rsidR="00BC3DE4" w:rsidRPr="00247465">
        <w:t>3</w:t>
      </w:r>
      <w:r w:rsidRPr="00247465">
        <w:t xml:space="preserve">)(b) in relation to a Transaction it has reported must immediately amend or cancel </w:t>
      </w:r>
      <w:r w:rsidRPr="00247465">
        <w:lastRenderedPageBreak/>
        <w:t>the Transaction or take other appropriate measures in relation to the Transaction, having regard to the Reporting Participant</w:t>
      </w:r>
      <w:r w:rsidR="00B10DF7" w:rsidRPr="00247465">
        <w:t>’</w:t>
      </w:r>
      <w:r w:rsidRPr="00247465">
        <w:t xml:space="preserve">s obligations under this Rule and Rule 4.1.1. </w:t>
      </w:r>
    </w:p>
    <w:p w:rsidR="00EC2AF4" w:rsidRPr="00247465" w:rsidRDefault="00EC2AF4" w:rsidP="00EC2AF4">
      <w:pPr>
        <w:pStyle w:val="MIRHeading3"/>
      </w:pPr>
      <w:r w:rsidRPr="00247465">
        <w:t>[1</w:t>
      </w:r>
      <w:r w:rsidR="007D0F84" w:rsidRPr="00247465">
        <w:t>22</w:t>
      </w:r>
      <w:r w:rsidRPr="00247465">
        <w:t>]</w:t>
      </w:r>
      <w:r w:rsidRPr="00247465">
        <w:tab/>
        <w:t>Paragraph 5.1.2(2</w:t>
      </w:r>
      <w:proofErr w:type="gramStart"/>
      <w:r w:rsidRPr="00247465">
        <w:t>)(</w:t>
      </w:r>
      <w:proofErr w:type="gramEnd"/>
      <w:r w:rsidRPr="00247465">
        <w:t>a)</w:t>
      </w:r>
    </w:p>
    <w:p w:rsidR="00EC2AF4" w:rsidRPr="00247465" w:rsidRDefault="00EC2AF4" w:rsidP="00EC2AF4">
      <w:pPr>
        <w:pStyle w:val="MIRBodyText"/>
        <w:rPr>
          <w:i/>
        </w:rPr>
      </w:pPr>
      <w:r w:rsidRPr="00247465">
        <w:rPr>
          <w:i/>
        </w:rPr>
        <w:t>after “;”</w:t>
      </w:r>
      <w:r w:rsidR="00305EC4" w:rsidRPr="00247465">
        <w:rPr>
          <w:i/>
        </w:rPr>
        <w:t>,</w:t>
      </w:r>
      <w:r w:rsidRPr="00247465">
        <w:rPr>
          <w:i/>
        </w:rPr>
        <w:t xml:space="preserve"> insert</w:t>
      </w:r>
    </w:p>
    <w:p w:rsidR="00EC2AF4" w:rsidRPr="00247465" w:rsidRDefault="00EC2AF4" w:rsidP="00EC2AF4">
      <w:pPr>
        <w:pStyle w:val="MIRBodyText"/>
        <w:rPr>
          <w:i/>
        </w:rPr>
      </w:pPr>
      <w:r w:rsidRPr="00247465">
        <w:t>or</w:t>
      </w:r>
    </w:p>
    <w:p w:rsidR="00EC2AF4" w:rsidRPr="00247465" w:rsidRDefault="00EC2AF4" w:rsidP="00EC2AF4">
      <w:pPr>
        <w:pStyle w:val="MIRHeading3"/>
      </w:pPr>
      <w:r w:rsidRPr="00247465">
        <w:t>[1</w:t>
      </w:r>
      <w:r w:rsidR="007D0F84" w:rsidRPr="00247465">
        <w:t>23</w:t>
      </w:r>
      <w:r w:rsidRPr="00247465">
        <w:t>]</w:t>
      </w:r>
      <w:r w:rsidRPr="00247465">
        <w:tab/>
      </w:r>
      <w:r w:rsidR="00715BE7" w:rsidRPr="00247465">
        <w:t>Paragraphs 5.1.2</w:t>
      </w:r>
      <w:r w:rsidR="00841041" w:rsidRPr="00247465">
        <w:t>(2</w:t>
      </w:r>
      <w:proofErr w:type="gramStart"/>
      <w:r w:rsidR="00841041" w:rsidRPr="00247465">
        <w:t>)</w:t>
      </w:r>
      <w:r w:rsidR="00715BE7" w:rsidRPr="00247465">
        <w:t>(</w:t>
      </w:r>
      <w:proofErr w:type="gramEnd"/>
      <w:r w:rsidR="00715BE7" w:rsidRPr="00247465">
        <w:t>b) and (c)</w:t>
      </w:r>
    </w:p>
    <w:p w:rsidR="00EC2AF4" w:rsidRPr="00247465" w:rsidRDefault="00715BE7" w:rsidP="00EC2AF4">
      <w:pPr>
        <w:pStyle w:val="MIRBodyText"/>
        <w:rPr>
          <w:i/>
        </w:rPr>
      </w:pPr>
      <w:r w:rsidRPr="00247465">
        <w:rPr>
          <w:i/>
        </w:rPr>
        <w:t xml:space="preserve">omit the paragraphs, </w:t>
      </w:r>
      <w:r w:rsidR="009E0932" w:rsidRPr="00247465">
        <w:rPr>
          <w:i/>
        </w:rPr>
        <w:t>substitute</w:t>
      </w:r>
    </w:p>
    <w:p w:rsidR="00197B81" w:rsidRPr="00247465" w:rsidRDefault="00197B81" w:rsidP="00D71390">
      <w:pPr>
        <w:pStyle w:val="MIRSubpara"/>
        <w:numPr>
          <w:ilvl w:val="0"/>
          <w:numId w:val="39"/>
        </w:numPr>
      </w:pPr>
      <w:r w:rsidRPr="00247465">
        <w:t xml:space="preserve">if both Participants satisfy paragraph (a) (for example, Participants that manually negotiate a Transaction): </w:t>
      </w:r>
    </w:p>
    <w:p w:rsidR="00197B81" w:rsidRPr="00247465" w:rsidRDefault="00197B81" w:rsidP="00197B81">
      <w:pPr>
        <w:pStyle w:val="MIRSubsubpara"/>
      </w:pPr>
      <w:r w:rsidRPr="00247465">
        <w:t xml:space="preserve">the Participant that is the seller, or is acting on behalf of the seller; or </w:t>
      </w:r>
    </w:p>
    <w:p w:rsidR="00197B81" w:rsidRPr="00247465" w:rsidRDefault="00197B81" w:rsidP="00197B81">
      <w:pPr>
        <w:pStyle w:val="MIRSubsubpara"/>
      </w:pPr>
      <w:proofErr w:type="gramStart"/>
      <w:r w:rsidRPr="00247465">
        <w:t>as</w:t>
      </w:r>
      <w:proofErr w:type="gramEnd"/>
      <w:r w:rsidRPr="00247465">
        <w:t xml:space="preserve"> otherwise agreed between the Participants. </w:t>
      </w:r>
    </w:p>
    <w:p w:rsidR="00AD0DEC" w:rsidRPr="00247465" w:rsidRDefault="00AD0DEC" w:rsidP="00AD0DEC">
      <w:pPr>
        <w:pStyle w:val="MIRHeading3"/>
      </w:pPr>
      <w:r w:rsidRPr="00247465">
        <w:t>[123A]</w:t>
      </w:r>
      <w:r w:rsidRPr="00247465">
        <w:tab/>
        <w:t>Subrule 5.1.2(3)</w:t>
      </w:r>
    </w:p>
    <w:p w:rsidR="00767179" w:rsidRDefault="00767179" w:rsidP="00EE15C8">
      <w:pPr>
        <w:pStyle w:val="MIRBodyText"/>
        <w:numPr>
          <w:ilvl w:val="0"/>
          <w:numId w:val="0"/>
        </w:numPr>
        <w:ind w:left="851"/>
        <w:rPr>
          <w:i/>
        </w:rPr>
      </w:pPr>
      <w:proofErr w:type="gramStart"/>
      <w:r>
        <w:rPr>
          <w:i/>
        </w:rPr>
        <w:t>o</w:t>
      </w:r>
      <w:r w:rsidR="00AD0DEC" w:rsidRPr="00247465">
        <w:rPr>
          <w:i/>
        </w:rPr>
        <w:t>mit</w:t>
      </w:r>
      <w:proofErr w:type="gramEnd"/>
    </w:p>
    <w:p w:rsidR="00767179" w:rsidRPr="00767179" w:rsidRDefault="00EE15C8" w:rsidP="00EE15C8">
      <w:pPr>
        <w:pStyle w:val="MIRBodyText"/>
        <w:numPr>
          <w:ilvl w:val="0"/>
          <w:numId w:val="0"/>
        </w:numPr>
        <w:ind w:left="851"/>
      </w:pPr>
      <w:proofErr w:type="gramStart"/>
      <w:r w:rsidRPr="00767179">
        <w:t>paragraph</w:t>
      </w:r>
      <w:proofErr w:type="gramEnd"/>
      <w:r w:rsidRPr="00767179">
        <w:t xml:space="preserve"> (2)(c)</w:t>
      </w:r>
    </w:p>
    <w:p w:rsidR="00AD0DEC" w:rsidRPr="00247465" w:rsidRDefault="00AD0DEC" w:rsidP="00EE15C8">
      <w:pPr>
        <w:pStyle w:val="MIRBodyText"/>
        <w:numPr>
          <w:ilvl w:val="0"/>
          <w:numId w:val="0"/>
        </w:numPr>
        <w:ind w:left="851"/>
        <w:rPr>
          <w:i/>
        </w:rPr>
      </w:pPr>
      <w:proofErr w:type="gramStart"/>
      <w:r w:rsidRPr="00247465">
        <w:rPr>
          <w:i/>
        </w:rPr>
        <w:t>substitute</w:t>
      </w:r>
      <w:proofErr w:type="gramEnd"/>
    </w:p>
    <w:p w:rsidR="00EE15C8" w:rsidRPr="00247465" w:rsidRDefault="00EE15C8" w:rsidP="00EE15C8">
      <w:pPr>
        <w:pStyle w:val="MIRBodyText"/>
        <w:numPr>
          <w:ilvl w:val="0"/>
          <w:numId w:val="0"/>
        </w:numPr>
        <w:ind w:left="851"/>
      </w:pPr>
      <w:proofErr w:type="gramStart"/>
      <w:r w:rsidRPr="00247465">
        <w:t>subparagraph</w:t>
      </w:r>
      <w:proofErr w:type="gramEnd"/>
      <w:r w:rsidRPr="00247465">
        <w:t xml:space="preserve"> (2)(b)(ii)</w:t>
      </w:r>
    </w:p>
    <w:p w:rsidR="00AF2112" w:rsidRDefault="00AF2112" w:rsidP="00AF2112">
      <w:pPr>
        <w:pStyle w:val="MIRHeading3"/>
      </w:pPr>
      <w:r w:rsidRPr="00247465">
        <w:t>[1</w:t>
      </w:r>
      <w:r w:rsidR="00F568BD" w:rsidRPr="00247465">
        <w:t>24</w:t>
      </w:r>
      <w:r w:rsidRPr="00247465">
        <w:t>]</w:t>
      </w:r>
      <w:r w:rsidRPr="00247465">
        <w:tab/>
      </w:r>
      <w:r w:rsidR="00841041" w:rsidRPr="00247465">
        <w:t>After Rule 5.1.4</w:t>
      </w:r>
    </w:p>
    <w:p w:rsidR="000A0637" w:rsidRPr="000A0637" w:rsidRDefault="000A0637" w:rsidP="000A0637">
      <w:pPr>
        <w:pStyle w:val="MIRBodyText"/>
        <w:rPr>
          <w:i/>
        </w:rPr>
      </w:pPr>
      <w:r w:rsidRPr="000A0637">
        <w:rPr>
          <w:i/>
        </w:rPr>
        <w:t>insert</w:t>
      </w:r>
    </w:p>
    <w:p w:rsidR="00DE72EF" w:rsidRPr="00247465" w:rsidRDefault="00DE72EF" w:rsidP="00804042">
      <w:pPr>
        <w:pStyle w:val="MIRHeading3"/>
        <w:ind w:left="1701"/>
      </w:pPr>
      <w:r w:rsidRPr="00247465">
        <w:t xml:space="preserve">5.1.4A Market Operator to validate Post-Trade Information </w:t>
      </w:r>
    </w:p>
    <w:p w:rsidR="00DE72EF" w:rsidRPr="00247465" w:rsidRDefault="00DE72EF" w:rsidP="0065256D">
      <w:pPr>
        <w:pStyle w:val="MIRBodyText"/>
      </w:pPr>
      <w:r w:rsidRPr="00247465">
        <w:t>(</w:t>
      </w:r>
      <w:r w:rsidR="00651A9F" w:rsidRPr="00247465">
        <w:t>1</w:t>
      </w:r>
      <w:r w:rsidRPr="00247465">
        <w:t xml:space="preserve">) Without limiting subrule 5.1.4(2), a Market Operator that receives a report of Post-Trade Information for a Transaction from a Reporting Participant under Rule 5.1.1 must have in place arrangements to determine whether the Transaction as reported meets the criteria for: </w:t>
      </w:r>
    </w:p>
    <w:p w:rsidR="00DE72EF" w:rsidRPr="00247465" w:rsidRDefault="00DE72EF" w:rsidP="0065256D">
      <w:pPr>
        <w:pStyle w:val="MIRSubpara"/>
        <w:numPr>
          <w:ilvl w:val="0"/>
          <w:numId w:val="40"/>
        </w:numPr>
      </w:pPr>
      <w:r w:rsidRPr="00247465">
        <w:t xml:space="preserve">the exception in subrule 4.1.1(2) relied upon by the Reporting Participant to enter into the Transaction other than in accordance with subrule 4.1.1(1); and </w:t>
      </w:r>
    </w:p>
    <w:p w:rsidR="00DE72EF" w:rsidRPr="00247465" w:rsidRDefault="00DE72EF" w:rsidP="0065256D">
      <w:pPr>
        <w:pStyle w:val="MIRSubpara"/>
      </w:pPr>
      <w:r w:rsidRPr="00247465">
        <w:t xml:space="preserve">where applicable, the exception in </w:t>
      </w:r>
      <w:r w:rsidR="00040574" w:rsidRPr="00247465">
        <w:t>p</w:t>
      </w:r>
      <w:r w:rsidRPr="00247465">
        <w:t xml:space="preserve">aragraph 5.1.1(2)(b) relied upon by the Reporting Participant to report the Transaction other than in accordance with the times set out in paragraph 5.1.1(2)(a). </w:t>
      </w:r>
    </w:p>
    <w:p w:rsidR="001370E7" w:rsidRPr="00247465" w:rsidRDefault="00DE72EF" w:rsidP="0065256D">
      <w:pPr>
        <w:pStyle w:val="MIRBodyText"/>
        <w:numPr>
          <w:ilvl w:val="0"/>
          <w:numId w:val="0"/>
        </w:numPr>
        <w:ind w:left="851"/>
      </w:pPr>
      <w:r w:rsidRPr="00247465">
        <w:t>(</w:t>
      </w:r>
      <w:r w:rsidR="00651A9F" w:rsidRPr="00247465">
        <w:t>2</w:t>
      </w:r>
      <w:r w:rsidRPr="00247465">
        <w:t xml:space="preserve">) </w:t>
      </w:r>
      <w:r w:rsidR="00A32DB9" w:rsidRPr="00247465">
        <w:t xml:space="preserve">Without limiting subrule (1), </w:t>
      </w:r>
      <w:r w:rsidRPr="00247465">
        <w:t>the Market Operator must have in place</w:t>
      </w:r>
      <w:r w:rsidR="00A32DB9" w:rsidRPr="00247465">
        <w:t xml:space="preserve"> </w:t>
      </w:r>
      <w:r w:rsidRPr="00247465">
        <w:t>arrangements that enable the Market Operator to determine</w:t>
      </w:r>
      <w:r w:rsidR="00797533" w:rsidRPr="00247465">
        <w:t xml:space="preserve"> </w:t>
      </w:r>
      <w:r w:rsidR="00025408" w:rsidRPr="00247465">
        <w:t>that</w:t>
      </w:r>
      <w:r w:rsidR="001370E7" w:rsidRPr="00247465">
        <w:t xml:space="preserve"> </w:t>
      </w:r>
      <w:r w:rsidRPr="00247465">
        <w:t xml:space="preserve">the </w:t>
      </w:r>
      <w:r w:rsidR="001370E7" w:rsidRPr="00247465">
        <w:t xml:space="preserve">applicable </w:t>
      </w:r>
      <w:r w:rsidRPr="00247465">
        <w:t xml:space="preserve">criteria set out in column 3 of the following Table are met in relation to </w:t>
      </w:r>
      <w:r w:rsidR="001370E7" w:rsidRPr="00247465">
        <w:t>each</w:t>
      </w:r>
      <w:r w:rsidRPr="00247465">
        <w:t xml:space="preserve"> Transaction</w:t>
      </w:r>
      <w:r w:rsidR="00067627" w:rsidRPr="00247465">
        <w:t xml:space="preserve"> of the kind set out in column 1</w:t>
      </w:r>
      <w:r w:rsidR="001370E7" w:rsidRPr="00247465">
        <w:t>, as follows:</w:t>
      </w:r>
    </w:p>
    <w:p w:rsidR="001370E7" w:rsidRPr="00247465" w:rsidRDefault="00067627" w:rsidP="00D71390">
      <w:pPr>
        <w:pStyle w:val="MIRSubpara"/>
        <w:numPr>
          <w:ilvl w:val="0"/>
          <w:numId w:val="50"/>
        </w:numPr>
      </w:pPr>
      <w:r w:rsidRPr="00247465">
        <w:lastRenderedPageBreak/>
        <w:t xml:space="preserve">for all </w:t>
      </w:r>
      <w:r w:rsidR="001370E7" w:rsidRPr="00247465">
        <w:t>applicable criteria in relation to a Transaction, other than the criteria in item</w:t>
      </w:r>
      <w:r w:rsidR="00FF2A4A">
        <w:t>s</w:t>
      </w:r>
      <w:r w:rsidR="001370E7" w:rsidRPr="00247465">
        <w:t xml:space="preserve"> </w:t>
      </w:r>
      <w:r w:rsidRPr="00247465">
        <w:t xml:space="preserve">3, </w:t>
      </w:r>
      <w:r w:rsidR="001370E7" w:rsidRPr="00247465">
        <w:t xml:space="preserve">5 or 12, before accepting a report of Post-Trade </w:t>
      </w:r>
      <w:r w:rsidR="00C21E45" w:rsidRPr="00247465">
        <w:t>Information for the Transaction;</w:t>
      </w:r>
    </w:p>
    <w:p w:rsidR="001370E7" w:rsidRPr="00247465" w:rsidRDefault="00D72E23" w:rsidP="001370E7">
      <w:pPr>
        <w:pStyle w:val="MIRSubpara"/>
      </w:pPr>
      <w:r w:rsidRPr="00247465">
        <w:t>for</w:t>
      </w:r>
      <w:r w:rsidR="001370E7" w:rsidRPr="00247465">
        <w:t xml:space="preserve"> the applicable criteria in item</w:t>
      </w:r>
      <w:r w:rsidR="00FF2A4A">
        <w:t>s</w:t>
      </w:r>
      <w:r w:rsidR="001370E7" w:rsidRPr="00247465">
        <w:t xml:space="preserve"> </w:t>
      </w:r>
      <w:r w:rsidR="00067627" w:rsidRPr="00247465">
        <w:t xml:space="preserve">3, </w:t>
      </w:r>
      <w:r w:rsidRPr="00247465">
        <w:t>5</w:t>
      </w:r>
      <w:r w:rsidR="008F0C45" w:rsidRPr="00247465">
        <w:t xml:space="preserve"> or</w:t>
      </w:r>
      <w:r w:rsidRPr="00247465">
        <w:t xml:space="preserve"> 12</w:t>
      </w:r>
      <w:r w:rsidR="001370E7" w:rsidRPr="00247465">
        <w:t xml:space="preserve">, as soon as practicable </w:t>
      </w:r>
      <w:r w:rsidR="00823143" w:rsidRPr="00247465">
        <w:t>after</w:t>
      </w:r>
      <w:r w:rsidR="00AE4DC0" w:rsidRPr="00247465">
        <w:t xml:space="preserve"> the report of Post-Trade Information for the Transaction is received, </w:t>
      </w:r>
      <w:r w:rsidR="001370E7" w:rsidRPr="00247465">
        <w:t>and by no later than the end of th</w:t>
      </w:r>
      <w:r w:rsidR="00AE4DC0" w:rsidRPr="00247465">
        <w:t>e</w:t>
      </w:r>
      <w:r w:rsidR="001370E7" w:rsidRPr="00247465">
        <w:t xml:space="preserve"> </w:t>
      </w:r>
      <w:r w:rsidR="006F22A7" w:rsidRPr="00247465">
        <w:t xml:space="preserve">same </w:t>
      </w:r>
      <w:r w:rsidR="001370E7" w:rsidRPr="00247465">
        <w:t xml:space="preserve">Trading Day. </w:t>
      </w:r>
    </w:p>
    <w:p w:rsidR="00305EC4" w:rsidRPr="00247465" w:rsidRDefault="00305EC4" w:rsidP="00305EC4">
      <w:pPr>
        <w:pStyle w:val="MIRBodyText"/>
      </w:pP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410"/>
        <w:gridCol w:w="709"/>
        <w:gridCol w:w="5953"/>
      </w:tblGrid>
      <w:tr w:rsidR="002536A4" w:rsidRPr="00247465" w:rsidTr="00190150">
        <w:trPr>
          <w:cantSplit/>
          <w:tblHeader/>
        </w:trPr>
        <w:tc>
          <w:tcPr>
            <w:tcW w:w="2410" w:type="dxa"/>
            <w:tcBorders>
              <w:bottom w:val="single" w:sz="4" w:space="0" w:color="999999"/>
            </w:tcBorders>
            <w:shd w:val="clear" w:color="auto" w:fill="C2E3FA"/>
          </w:tcPr>
          <w:p w:rsidR="0065256D" w:rsidRPr="00247465" w:rsidRDefault="0065256D" w:rsidP="00E463BB">
            <w:pPr>
              <w:pStyle w:val="tablehead"/>
              <w:rPr>
                <w:lang w:val="en-US"/>
              </w:rPr>
            </w:pPr>
            <w:r w:rsidRPr="00247465">
              <w:rPr>
                <w:lang w:val="en-US"/>
              </w:rPr>
              <w:t>Exception relied upon by Participant</w:t>
            </w:r>
          </w:p>
        </w:tc>
        <w:tc>
          <w:tcPr>
            <w:tcW w:w="709" w:type="dxa"/>
            <w:tcBorders>
              <w:bottom w:val="single" w:sz="4" w:space="0" w:color="999999"/>
            </w:tcBorders>
            <w:shd w:val="clear" w:color="auto" w:fill="C2E3FA"/>
          </w:tcPr>
          <w:p w:rsidR="0065256D" w:rsidRPr="00247465" w:rsidRDefault="0065256D" w:rsidP="00E463BB">
            <w:pPr>
              <w:pStyle w:val="tablehead"/>
              <w:rPr>
                <w:lang w:val="en-US"/>
              </w:rPr>
            </w:pPr>
            <w:r w:rsidRPr="00247465">
              <w:rPr>
                <w:lang w:val="en-US"/>
              </w:rPr>
              <w:t>Item</w:t>
            </w:r>
          </w:p>
        </w:tc>
        <w:tc>
          <w:tcPr>
            <w:tcW w:w="5953" w:type="dxa"/>
            <w:tcBorders>
              <w:bottom w:val="single" w:sz="4" w:space="0" w:color="999999"/>
            </w:tcBorders>
            <w:shd w:val="clear" w:color="auto" w:fill="C2E3FA"/>
          </w:tcPr>
          <w:p w:rsidR="0065256D" w:rsidRPr="00247465" w:rsidRDefault="0065256D" w:rsidP="00E463BB">
            <w:pPr>
              <w:pStyle w:val="tablehead"/>
              <w:rPr>
                <w:lang w:val="en-US"/>
              </w:rPr>
            </w:pPr>
            <w:r w:rsidRPr="00247465">
              <w:rPr>
                <w:lang w:val="en-US"/>
              </w:rPr>
              <w:t>Market Operator must determine that the following applicable criteria are met</w:t>
            </w:r>
          </w:p>
        </w:tc>
      </w:tr>
      <w:tr w:rsidR="0065256D" w:rsidRPr="00247465" w:rsidTr="00190150">
        <w:trPr>
          <w:cantSplit/>
        </w:trPr>
        <w:tc>
          <w:tcPr>
            <w:tcW w:w="2410" w:type="dxa"/>
            <w:vMerge w:val="restart"/>
          </w:tcPr>
          <w:p w:rsidR="0065256D" w:rsidRPr="00247465" w:rsidRDefault="0065256D" w:rsidP="00E463BB">
            <w:pPr>
              <w:pStyle w:val="tbltext"/>
              <w:rPr>
                <w:lang w:val="en-US"/>
              </w:rPr>
            </w:pPr>
            <w:r w:rsidRPr="00247465">
              <w:rPr>
                <w:lang w:val="en-US"/>
              </w:rPr>
              <w:t>Block Trades (see paragraph 4.1.1(2)(a))</w:t>
            </w:r>
          </w:p>
        </w:tc>
        <w:tc>
          <w:tcPr>
            <w:tcW w:w="709" w:type="dxa"/>
            <w:tcBorders>
              <w:bottom w:val="nil"/>
            </w:tcBorders>
          </w:tcPr>
          <w:p w:rsidR="0065256D" w:rsidRPr="00247465" w:rsidRDefault="0065256D" w:rsidP="00E463BB">
            <w:pPr>
              <w:pStyle w:val="tbltext"/>
              <w:rPr>
                <w:lang w:val="en-US"/>
              </w:rPr>
            </w:pPr>
            <w:r w:rsidRPr="00247465">
              <w:rPr>
                <w:lang w:val="en-US"/>
              </w:rPr>
              <w:t>1</w:t>
            </w:r>
          </w:p>
        </w:tc>
        <w:tc>
          <w:tcPr>
            <w:tcW w:w="5953" w:type="dxa"/>
            <w:tcBorders>
              <w:bottom w:val="nil"/>
            </w:tcBorders>
          </w:tcPr>
          <w:p w:rsidR="0065256D" w:rsidRPr="00247465" w:rsidRDefault="0065256D" w:rsidP="00E463BB">
            <w:pPr>
              <w:pStyle w:val="tbltext"/>
              <w:rPr>
                <w:lang w:val="en-US"/>
              </w:rPr>
            </w:pPr>
            <w:r w:rsidRPr="00247465">
              <w:rPr>
                <w:lang w:val="en-US"/>
              </w:rPr>
              <w:t>For a Transaction reported as a Block Trade, the consideration for the Transaction meets the criteria in Rule 4.2.1</w:t>
            </w:r>
          </w:p>
        </w:tc>
      </w:tr>
      <w:tr w:rsidR="0065256D" w:rsidRPr="00247465" w:rsidTr="00190150">
        <w:trPr>
          <w:cantSplit/>
        </w:trPr>
        <w:tc>
          <w:tcPr>
            <w:tcW w:w="2410" w:type="dxa"/>
            <w:vMerge/>
            <w:tcBorders>
              <w:bottom w:val="single" w:sz="4" w:space="0" w:color="999999"/>
            </w:tcBorders>
          </w:tcPr>
          <w:p w:rsidR="0065256D" w:rsidRPr="00247465" w:rsidRDefault="0065256D" w:rsidP="00E463BB">
            <w:pPr>
              <w:pStyle w:val="tbltext"/>
              <w:rPr>
                <w:lang w:val="en-US"/>
              </w:rPr>
            </w:pPr>
          </w:p>
        </w:tc>
        <w:tc>
          <w:tcPr>
            <w:tcW w:w="709" w:type="dxa"/>
            <w:tcBorders>
              <w:top w:val="nil"/>
              <w:bottom w:val="single" w:sz="4" w:space="0" w:color="999999"/>
            </w:tcBorders>
          </w:tcPr>
          <w:p w:rsidR="0065256D" w:rsidRPr="00247465" w:rsidRDefault="0065256D" w:rsidP="00E463BB">
            <w:pPr>
              <w:pStyle w:val="tbltext"/>
              <w:rPr>
                <w:lang w:val="en-US"/>
              </w:rPr>
            </w:pPr>
            <w:r w:rsidRPr="00247465">
              <w:rPr>
                <w:lang w:val="en-US"/>
              </w:rPr>
              <w:t>2</w:t>
            </w:r>
          </w:p>
        </w:tc>
        <w:tc>
          <w:tcPr>
            <w:tcW w:w="5953" w:type="dxa"/>
            <w:tcBorders>
              <w:top w:val="nil"/>
              <w:bottom w:val="single" w:sz="4" w:space="0" w:color="999999"/>
            </w:tcBorders>
          </w:tcPr>
          <w:p w:rsidR="0065256D" w:rsidRPr="00247465" w:rsidRDefault="0065256D" w:rsidP="00E463BB">
            <w:pPr>
              <w:pStyle w:val="tbltext"/>
            </w:pPr>
            <w:r w:rsidRPr="00247465">
              <w:rPr>
                <w:lang w:val="en-US"/>
              </w:rPr>
              <w:t xml:space="preserve">For a Transaction reported as a Block Trade, </w:t>
            </w:r>
            <w:r w:rsidRPr="00247465">
              <w:t>the relevant Equity Market Product was not in a Trading Suspension at the time the Transaction was reported</w:t>
            </w:r>
          </w:p>
        </w:tc>
      </w:tr>
      <w:tr w:rsidR="0065256D" w:rsidRPr="00247465" w:rsidTr="00190150">
        <w:trPr>
          <w:cantSplit/>
        </w:trPr>
        <w:tc>
          <w:tcPr>
            <w:tcW w:w="2410" w:type="dxa"/>
            <w:vMerge w:val="restart"/>
          </w:tcPr>
          <w:p w:rsidR="0065256D" w:rsidRPr="00247465" w:rsidRDefault="0065256D" w:rsidP="00E463BB">
            <w:pPr>
              <w:pStyle w:val="tbltext"/>
            </w:pPr>
            <w:r w:rsidRPr="00247465">
              <w:rPr>
                <w:lang w:val="en-US"/>
              </w:rPr>
              <w:t xml:space="preserve">Large Portfolio Trades (see paragraph 4.1.1(2)(b) and </w:t>
            </w:r>
            <w:proofErr w:type="spellStart"/>
            <w:r w:rsidRPr="00247465">
              <w:rPr>
                <w:lang w:val="en-US"/>
              </w:rPr>
              <w:t>subpara</w:t>
            </w:r>
            <w:proofErr w:type="spellEnd"/>
            <w:r w:rsidRPr="00247465">
              <w:t>graph 5.1.1(2)(b)(ii))</w:t>
            </w:r>
          </w:p>
        </w:tc>
        <w:tc>
          <w:tcPr>
            <w:tcW w:w="709" w:type="dxa"/>
            <w:tcBorders>
              <w:bottom w:val="nil"/>
            </w:tcBorders>
          </w:tcPr>
          <w:p w:rsidR="0065256D" w:rsidRPr="00247465" w:rsidRDefault="0065256D" w:rsidP="00E463BB">
            <w:pPr>
              <w:pStyle w:val="tbltext"/>
              <w:rPr>
                <w:lang w:val="en-US"/>
              </w:rPr>
            </w:pPr>
            <w:r w:rsidRPr="00247465">
              <w:rPr>
                <w:lang w:val="en-US"/>
              </w:rPr>
              <w:t>3</w:t>
            </w:r>
          </w:p>
        </w:tc>
        <w:tc>
          <w:tcPr>
            <w:tcW w:w="5953" w:type="dxa"/>
            <w:tcBorders>
              <w:bottom w:val="nil"/>
            </w:tcBorders>
          </w:tcPr>
          <w:p w:rsidR="0065256D" w:rsidRPr="00247465" w:rsidRDefault="0065256D" w:rsidP="00633268">
            <w:pPr>
              <w:pStyle w:val="tbltext"/>
            </w:pPr>
            <w:r w:rsidRPr="00247465">
              <w:rPr>
                <w:lang w:val="en-US"/>
              </w:rPr>
              <w:t xml:space="preserve">For a Transaction </w:t>
            </w:r>
            <w:r w:rsidR="00633268">
              <w:rPr>
                <w:lang w:val="en-US"/>
              </w:rPr>
              <w:t>r</w:t>
            </w:r>
            <w:r w:rsidRPr="00247465">
              <w:rPr>
                <w:lang w:val="en-US"/>
              </w:rPr>
              <w:t xml:space="preserve">eported as a Large Portfolio Trade, </w:t>
            </w:r>
            <w:r w:rsidRPr="00247465">
              <w:t xml:space="preserve">the consideration for each Transaction and the total consideration for the series of Transactions meets the criteria in Rule 4.2.2 </w:t>
            </w:r>
          </w:p>
        </w:tc>
      </w:tr>
      <w:tr w:rsidR="0065256D" w:rsidRPr="00247465" w:rsidTr="00190150">
        <w:trPr>
          <w:cantSplit/>
        </w:trPr>
        <w:tc>
          <w:tcPr>
            <w:tcW w:w="2410" w:type="dxa"/>
            <w:vMerge/>
          </w:tcPr>
          <w:p w:rsidR="0065256D" w:rsidRPr="00247465" w:rsidRDefault="0065256D" w:rsidP="00E463BB">
            <w:pPr>
              <w:pStyle w:val="tbltext"/>
              <w:rPr>
                <w:lang w:val="en-US"/>
              </w:rPr>
            </w:pPr>
          </w:p>
        </w:tc>
        <w:tc>
          <w:tcPr>
            <w:tcW w:w="709" w:type="dxa"/>
            <w:tcBorders>
              <w:top w:val="nil"/>
              <w:bottom w:val="nil"/>
            </w:tcBorders>
          </w:tcPr>
          <w:p w:rsidR="0065256D" w:rsidRPr="00247465" w:rsidRDefault="0065256D" w:rsidP="00E463BB">
            <w:pPr>
              <w:pStyle w:val="tbltext"/>
              <w:rPr>
                <w:lang w:val="en-US"/>
              </w:rPr>
            </w:pPr>
            <w:r w:rsidRPr="00247465">
              <w:rPr>
                <w:lang w:val="en-US"/>
              </w:rPr>
              <w:t>4</w:t>
            </w:r>
          </w:p>
        </w:tc>
        <w:tc>
          <w:tcPr>
            <w:tcW w:w="5953" w:type="dxa"/>
            <w:tcBorders>
              <w:top w:val="nil"/>
              <w:bottom w:val="nil"/>
            </w:tcBorders>
          </w:tcPr>
          <w:p w:rsidR="0065256D" w:rsidRPr="00247465" w:rsidRDefault="0065256D" w:rsidP="00E463BB">
            <w:pPr>
              <w:pStyle w:val="tbltext"/>
            </w:pPr>
            <w:r w:rsidRPr="00247465">
              <w:rPr>
                <w:lang w:val="en-US"/>
              </w:rPr>
              <w:t xml:space="preserve">For a Transaction reported as a Large Portfolio Trade, </w:t>
            </w:r>
            <w:r w:rsidRPr="00247465">
              <w:t>the Transaction has been reported to the Market Operator by no later than the time set out in subrule 5.1.1(3)</w:t>
            </w:r>
          </w:p>
        </w:tc>
      </w:tr>
      <w:tr w:rsidR="0065256D" w:rsidRPr="00247465" w:rsidTr="00190150">
        <w:trPr>
          <w:cantSplit/>
        </w:trPr>
        <w:tc>
          <w:tcPr>
            <w:tcW w:w="2410" w:type="dxa"/>
            <w:vMerge/>
          </w:tcPr>
          <w:p w:rsidR="0065256D" w:rsidRPr="00247465" w:rsidRDefault="0065256D" w:rsidP="00E463BB">
            <w:pPr>
              <w:pStyle w:val="tbltext"/>
              <w:rPr>
                <w:lang w:val="en-US"/>
              </w:rPr>
            </w:pPr>
          </w:p>
        </w:tc>
        <w:tc>
          <w:tcPr>
            <w:tcW w:w="709" w:type="dxa"/>
            <w:tcBorders>
              <w:top w:val="nil"/>
            </w:tcBorders>
          </w:tcPr>
          <w:p w:rsidR="0065256D" w:rsidRPr="00247465" w:rsidRDefault="0065256D" w:rsidP="00E463BB">
            <w:pPr>
              <w:pStyle w:val="tbltext"/>
              <w:rPr>
                <w:lang w:val="en-US"/>
              </w:rPr>
            </w:pPr>
            <w:r w:rsidRPr="00247465">
              <w:rPr>
                <w:lang w:val="en-US"/>
              </w:rPr>
              <w:t>5</w:t>
            </w:r>
          </w:p>
        </w:tc>
        <w:tc>
          <w:tcPr>
            <w:tcW w:w="5953" w:type="dxa"/>
            <w:tcBorders>
              <w:top w:val="nil"/>
            </w:tcBorders>
          </w:tcPr>
          <w:p w:rsidR="0065256D" w:rsidRPr="00247465" w:rsidRDefault="0065256D" w:rsidP="00E463BB">
            <w:pPr>
              <w:pStyle w:val="tbltext"/>
            </w:pPr>
            <w:r w:rsidRPr="00247465">
              <w:rPr>
                <w:lang w:val="en-US"/>
              </w:rPr>
              <w:t xml:space="preserve">For a Transaction reported as a Large Portfolio Trade, </w:t>
            </w:r>
            <w:r w:rsidRPr="00247465">
              <w:t>the relevant Equity Market Product was not in a Trading Suspension at the time the Transaction was reported</w:t>
            </w:r>
            <w:r w:rsidR="00F674E3" w:rsidRPr="00247465">
              <w:rPr>
                <w:rFonts w:ascii="Times New Roman" w:hAnsi="Times New Roman" w:cs="Times New Roman"/>
                <w:sz w:val="22"/>
                <w:szCs w:val="20"/>
              </w:rPr>
              <w:t xml:space="preserve"> </w:t>
            </w:r>
            <w:r w:rsidR="00F674E3" w:rsidRPr="00247465">
              <w:t>as being executed</w:t>
            </w:r>
          </w:p>
        </w:tc>
      </w:tr>
      <w:tr w:rsidR="0065256D" w:rsidRPr="00247465" w:rsidTr="00190150">
        <w:trPr>
          <w:cantSplit/>
        </w:trPr>
        <w:tc>
          <w:tcPr>
            <w:tcW w:w="2410" w:type="dxa"/>
          </w:tcPr>
          <w:p w:rsidR="0065256D" w:rsidRPr="00247465" w:rsidRDefault="0065256D" w:rsidP="00E463BB">
            <w:pPr>
              <w:pStyle w:val="tbltext"/>
            </w:pPr>
            <w:r w:rsidRPr="00247465">
              <w:t>Trade At or Within the Spread or a Trade With Price Improvement (see paragraph 4.1.1(2)(c))</w:t>
            </w:r>
            <w:r w:rsidRPr="00247465" w:rsidDel="005C6BDF">
              <w:t xml:space="preserve"> </w:t>
            </w:r>
          </w:p>
        </w:tc>
        <w:tc>
          <w:tcPr>
            <w:tcW w:w="709" w:type="dxa"/>
          </w:tcPr>
          <w:p w:rsidR="0065256D" w:rsidRPr="00247465" w:rsidRDefault="0065256D" w:rsidP="00E463BB">
            <w:pPr>
              <w:pStyle w:val="tbltext"/>
            </w:pPr>
            <w:r w:rsidRPr="00247465">
              <w:t>6</w:t>
            </w:r>
          </w:p>
        </w:tc>
        <w:tc>
          <w:tcPr>
            <w:tcW w:w="5953" w:type="dxa"/>
          </w:tcPr>
          <w:p w:rsidR="0065256D" w:rsidRPr="00247465" w:rsidRDefault="0065256D" w:rsidP="00E463BB">
            <w:pPr>
              <w:pStyle w:val="tbltext"/>
            </w:pPr>
            <w:r w:rsidRPr="00247465">
              <w:rPr>
                <w:lang w:val="en-US"/>
              </w:rPr>
              <w:t xml:space="preserve">For a Transaction reported as a Trade At or Within the Spread or a Trade with Price Improvement, </w:t>
            </w:r>
            <w:r w:rsidRPr="00247465">
              <w:t>the price per Equity Market Product for the Transaction meets the criteria in subrule 4.2.3(1) based on the Market Operator’s calculation of the Best Available Bid and Best Available Offer at the time the Transaction is reported</w:t>
            </w:r>
          </w:p>
        </w:tc>
      </w:tr>
      <w:tr w:rsidR="0065256D" w:rsidRPr="00247465" w:rsidTr="00190150">
        <w:trPr>
          <w:cantSplit/>
        </w:trPr>
        <w:tc>
          <w:tcPr>
            <w:tcW w:w="2410" w:type="dxa"/>
          </w:tcPr>
          <w:p w:rsidR="0065256D" w:rsidRPr="00247465" w:rsidRDefault="0065256D" w:rsidP="00E463BB">
            <w:pPr>
              <w:pStyle w:val="tbltext"/>
            </w:pPr>
            <w:r w:rsidRPr="00247465">
              <w:t>Permitted Trades During Post-Trading Hours Period (see paragraph 4.1.1(2)(d))</w:t>
            </w:r>
          </w:p>
        </w:tc>
        <w:tc>
          <w:tcPr>
            <w:tcW w:w="709" w:type="dxa"/>
          </w:tcPr>
          <w:p w:rsidR="0065256D" w:rsidRPr="00247465" w:rsidRDefault="0065256D" w:rsidP="00E463BB">
            <w:pPr>
              <w:pStyle w:val="tbltext"/>
            </w:pPr>
            <w:r w:rsidRPr="00247465">
              <w:t>7</w:t>
            </w:r>
          </w:p>
        </w:tc>
        <w:tc>
          <w:tcPr>
            <w:tcW w:w="5953" w:type="dxa"/>
          </w:tcPr>
          <w:p w:rsidR="0065256D" w:rsidRPr="00247465" w:rsidRDefault="0065256D" w:rsidP="00E463BB">
            <w:pPr>
              <w:pStyle w:val="tbltext"/>
            </w:pPr>
            <w:r w:rsidRPr="00247465">
              <w:t xml:space="preserve">For a Transaction reported as a Permitted Trade During the Post-Trading Hours Period, the </w:t>
            </w:r>
            <w:r w:rsidR="0053526A" w:rsidRPr="00247465">
              <w:t xml:space="preserve">Post-Trade Information indicates that the </w:t>
            </w:r>
            <w:r w:rsidRPr="00247465">
              <w:t>Transaction was entered into during the Post-Trading Hours Period as set out in Rule 4.2.4</w:t>
            </w:r>
          </w:p>
        </w:tc>
      </w:tr>
      <w:tr w:rsidR="0065256D" w:rsidRPr="00247465" w:rsidTr="00190150">
        <w:trPr>
          <w:cantSplit/>
        </w:trPr>
        <w:tc>
          <w:tcPr>
            <w:tcW w:w="2410" w:type="dxa"/>
          </w:tcPr>
          <w:p w:rsidR="0065256D" w:rsidRPr="00247465" w:rsidRDefault="0065256D" w:rsidP="00E463BB">
            <w:pPr>
              <w:pStyle w:val="tbltext"/>
            </w:pPr>
            <w:r w:rsidRPr="00247465">
              <w:t>Permitted Trades During Pre-Trading Hours Period (see paragraph 4.1.1(2)(e))</w:t>
            </w:r>
          </w:p>
        </w:tc>
        <w:tc>
          <w:tcPr>
            <w:tcW w:w="709" w:type="dxa"/>
          </w:tcPr>
          <w:p w:rsidR="0065256D" w:rsidRPr="00247465" w:rsidRDefault="0065256D" w:rsidP="00E463BB">
            <w:pPr>
              <w:pStyle w:val="tbltext"/>
            </w:pPr>
            <w:r w:rsidRPr="00247465">
              <w:t>8</w:t>
            </w:r>
          </w:p>
        </w:tc>
        <w:tc>
          <w:tcPr>
            <w:tcW w:w="5953" w:type="dxa"/>
          </w:tcPr>
          <w:p w:rsidR="0065256D" w:rsidRPr="00247465" w:rsidRDefault="0065256D" w:rsidP="00E463BB">
            <w:pPr>
              <w:pStyle w:val="tbltext"/>
            </w:pPr>
            <w:r w:rsidRPr="00247465">
              <w:t xml:space="preserve">For a Transaction reported as a Permitted Trade During the Pre-Trading Hours Period, the </w:t>
            </w:r>
            <w:r w:rsidR="0053526A" w:rsidRPr="00247465">
              <w:t xml:space="preserve">Post-Trade Information indicates that the </w:t>
            </w:r>
            <w:r w:rsidRPr="00247465">
              <w:t>Transaction was entered into during the Pre-Trading Hours Period as set out in Rule 4.2.5</w:t>
            </w:r>
          </w:p>
        </w:tc>
      </w:tr>
      <w:tr w:rsidR="0065256D" w:rsidRPr="00247465" w:rsidTr="00190150">
        <w:trPr>
          <w:cantSplit/>
        </w:trPr>
        <w:tc>
          <w:tcPr>
            <w:tcW w:w="2410" w:type="dxa"/>
            <w:tcBorders>
              <w:bottom w:val="single" w:sz="4" w:space="0" w:color="999999"/>
            </w:tcBorders>
          </w:tcPr>
          <w:p w:rsidR="0065256D" w:rsidRPr="00247465" w:rsidRDefault="0065256D" w:rsidP="00E463BB">
            <w:pPr>
              <w:pStyle w:val="tbltext"/>
            </w:pPr>
            <w:r w:rsidRPr="00247465">
              <w:t>Out of Hours Trades (see paragraph 4.1.1(2)(f))</w:t>
            </w:r>
          </w:p>
        </w:tc>
        <w:tc>
          <w:tcPr>
            <w:tcW w:w="709" w:type="dxa"/>
            <w:tcBorders>
              <w:bottom w:val="single" w:sz="4" w:space="0" w:color="999999"/>
            </w:tcBorders>
          </w:tcPr>
          <w:p w:rsidR="0065256D" w:rsidRPr="00247465" w:rsidRDefault="0065256D" w:rsidP="00E463BB">
            <w:pPr>
              <w:pStyle w:val="tbltext"/>
            </w:pPr>
            <w:r w:rsidRPr="00247465">
              <w:t>9</w:t>
            </w:r>
          </w:p>
        </w:tc>
        <w:tc>
          <w:tcPr>
            <w:tcW w:w="5953" w:type="dxa"/>
            <w:tcBorders>
              <w:bottom w:val="single" w:sz="4" w:space="0" w:color="999999"/>
            </w:tcBorders>
          </w:tcPr>
          <w:p w:rsidR="0065256D" w:rsidRPr="00247465" w:rsidRDefault="0065256D" w:rsidP="00E463BB">
            <w:pPr>
              <w:pStyle w:val="tbltext"/>
            </w:pPr>
            <w:r w:rsidRPr="00247465">
              <w:t xml:space="preserve">For a Transaction reported as an Out of Hours Trade, </w:t>
            </w:r>
            <w:r w:rsidR="0053526A" w:rsidRPr="00247465">
              <w:t xml:space="preserve">the Post-Trade Information indicates that the </w:t>
            </w:r>
            <w:r w:rsidRPr="00247465">
              <w:t>Transaction was entered into outside of Normal Trading Hours as set out in Rule 4.2.6</w:t>
            </w:r>
          </w:p>
        </w:tc>
      </w:tr>
      <w:tr w:rsidR="0065256D" w:rsidRPr="00247465" w:rsidTr="00190150">
        <w:trPr>
          <w:cantSplit/>
        </w:trPr>
        <w:tc>
          <w:tcPr>
            <w:tcW w:w="2410" w:type="dxa"/>
            <w:vMerge w:val="restart"/>
          </w:tcPr>
          <w:p w:rsidR="0065256D" w:rsidRPr="00247465" w:rsidRDefault="0065256D" w:rsidP="00E463BB">
            <w:pPr>
              <w:pStyle w:val="tbltext"/>
            </w:pPr>
            <w:r w:rsidRPr="00247465">
              <w:t xml:space="preserve">Large Principal Transactions (see </w:t>
            </w:r>
            <w:r w:rsidRPr="00247465">
              <w:lastRenderedPageBreak/>
              <w:t>subparagraph 5.1.1(2)(b)(</w:t>
            </w:r>
            <w:proofErr w:type="spellStart"/>
            <w:r w:rsidRPr="00247465">
              <w:t>i</w:t>
            </w:r>
            <w:proofErr w:type="spellEnd"/>
            <w:r w:rsidRPr="00247465">
              <w:t>))</w:t>
            </w:r>
          </w:p>
        </w:tc>
        <w:tc>
          <w:tcPr>
            <w:tcW w:w="709" w:type="dxa"/>
            <w:tcBorders>
              <w:bottom w:val="nil"/>
            </w:tcBorders>
          </w:tcPr>
          <w:p w:rsidR="0065256D" w:rsidRPr="00247465" w:rsidRDefault="0065256D" w:rsidP="00E463BB">
            <w:pPr>
              <w:pStyle w:val="tbltext"/>
            </w:pPr>
            <w:r w:rsidRPr="00247465">
              <w:lastRenderedPageBreak/>
              <w:t>10</w:t>
            </w:r>
          </w:p>
        </w:tc>
        <w:tc>
          <w:tcPr>
            <w:tcW w:w="5953" w:type="dxa"/>
            <w:tcBorders>
              <w:bottom w:val="nil"/>
            </w:tcBorders>
          </w:tcPr>
          <w:p w:rsidR="0065256D" w:rsidRPr="00247465" w:rsidRDefault="0065256D" w:rsidP="00E463BB">
            <w:pPr>
              <w:pStyle w:val="tbltext"/>
            </w:pPr>
            <w:r w:rsidRPr="00247465">
              <w:t>For a Transaction reported as a Large Principal Transaction, the consideration for the Transaction meets the criteria in Rule 5.2.1</w:t>
            </w:r>
          </w:p>
        </w:tc>
      </w:tr>
      <w:tr w:rsidR="0065256D" w:rsidRPr="00247465" w:rsidTr="00190150">
        <w:trPr>
          <w:cantSplit/>
        </w:trPr>
        <w:tc>
          <w:tcPr>
            <w:tcW w:w="2410" w:type="dxa"/>
            <w:vMerge/>
          </w:tcPr>
          <w:p w:rsidR="0065256D" w:rsidRPr="00247465" w:rsidRDefault="0065256D" w:rsidP="00E463BB">
            <w:pPr>
              <w:pStyle w:val="tbltext"/>
            </w:pPr>
          </w:p>
        </w:tc>
        <w:tc>
          <w:tcPr>
            <w:tcW w:w="709" w:type="dxa"/>
            <w:tcBorders>
              <w:top w:val="nil"/>
              <w:bottom w:val="nil"/>
            </w:tcBorders>
          </w:tcPr>
          <w:p w:rsidR="0065256D" w:rsidRPr="00247465" w:rsidRDefault="0065256D" w:rsidP="00E463BB">
            <w:pPr>
              <w:pStyle w:val="tbltext"/>
            </w:pPr>
            <w:r w:rsidRPr="00247465">
              <w:t>11</w:t>
            </w:r>
          </w:p>
        </w:tc>
        <w:tc>
          <w:tcPr>
            <w:tcW w:w="5953" w:type="dxa"/>
            <w:tcBorders>
              <w:top w:val="nil"/>
              <w:bottom w:val="nil"/>
            </w:tcBorders>
          </w:tcPr>
          <w:p w:rsidR="0065256D" w:rsidRPr="00247465" w:rsidRDefault="0065256D" w:rsidP="00E463BB">
            <w:pPr>
              <w:pStyle w:val="tbltext"/>
            </w:pPr>
            <w:r w:rsidRPr="00247465">
              <w:t>For a Transaction reported as a Large Principal Transaction, the Transaction has been reported to the Market Operator by no later than the time set out in subrule 5.1.1(3)</w:t>
            </w:r>
          </w:p>
        </w:tc>
      </w:tr>
      <w:tr w:rsidR="0065256D" w:rsidRPr="00247465" w:rsidTr="00190150">
        <w:trPr>
          <w:cantSplit/>
        </w:trPr>
        <w:tc>
          <w:tcPr>
            <w:tcW w:w="2410" w:type="dxa"/>
            <w:vMerge/>
          </w:tcPr>
          <w:p w:rsidR="0065256D" w:rsidRPr="00247465" w:rsidRDefault="0065256D" w:rsidP="00E463BB">
            <w:pPr>
              <w:pStyle w:val="tbltext"/>
            </w:pPr>
          </w:p>
        </w:tc>
        <w:tc>
          <w:tcPr>
            <w:tcW w:w="709" w:type="dxa"/>
            <w:tcBorders>
              <w:top w:val="nil"/>
            </w:tcBorders>
          </w:tcPr>
          <w:p w:rsidR="0065256D" w:rsidRPr="00247465" w:rsidRDefault="0065256D" w:rsidP="00E463BB">
            <w:pPr>
              <w:pStyle w:val="tbltext"/>
            </w:pPr>
            <w:r w:rsidRPr="00247465">
              <w:t>12</w:t>
            </w:r>
          </w:p>
        </w:tc>
        <w:tc>
          <w:tcPr>
            <w:tcW w:w="5953" w:type="dxa"/>
            <w:tcBorders>
              <w:top w:val="nil"/>
            </w:tcBorders>
          </w:tcPr>
          <w:p w:rsidR="0065256D" w:rsidRPr="00247465" w:rsidRDefault="0065256D" w:rsidP="00E463BB">
            <w:pPr>
              <w:pStyle w:val="tbltext"/>
            </w:pPr>
            <w:r w:rsidRPr="00247465">
              <w:t>For a Transaction reported as a Large Principal Transaction, the relevant Equity Market Product was not in a Trading Suspension at the time the Transaction was reported</w:t>
            </w:r>
            <w:r w:rsidR="00F674E3" w:rsidRPr="00247465">
              <w:rPr>
                <w:rFonts w:ascii="Times New Roman" w:hAnsi="Times New Roman" w:cs="Times New Roman"/>
                <w:sz w:val="22"/>
                <w:szCs w:val="20"/>
              </w:rPr>
              <w:t xml:space="preserve"> </w:t>
            </w:r>
            <w:r w:rsidR="00F674E3" w:rsidRPr="00247465">
              <w:t>as being executed</w:t>
            </w:r>
          </w:p>
        </w:tc>
      </w:tr>
    </w:tbl>
    <w:p w:rsidR="00A44D5F" w:rsidRPr="00247465" w:rsidRDefault="002536A4" w:rsidP="00A44D5F">
      <w:pPr>
        <w:pStyle w:val="MIRNote"/>
      </w:pPr>
      <w:r w:rsidRPr="00247465">
        <w:t xml:space="preserve">Note: For the purposes of </w:t>
      </w:r>
      <w:r w:rsidR="00190150" w:rsidRPr="00247465">
        <w:t>T</w:t>
      </w:r>
      <w:r w:rsidRPr="00247465">
        <w:t xml:space="preserve">able item 6, </w:t>
      </w:r>
      <w:r w:rsidR="00A44D5F" w:rsidRPr="00247465">
        <w:t>the exception in paragraph 4.1.1(</w:t>
      </w:r>
      <w:r w:rsidR="00BA657D" w:rsidRPr="00247465">
        <w:t>2</w:t>
      </w:r>
      <w:r w:rsidR="00A44D5F" w:rsidRPr="00247465">
        <w:t xml:space="preserve">)(c) for a Trade At or Within the Spread </w:t>
      </w:r>
      <w:r w:rsidR="00BA657D" w:rsidRPr="00247465">
        <w:t>is</w:t>
      </w:r>
      <w:r w:rsidR="00A44D5F" w:rsidRPr="00247465">
        <w:t xml:space="preserve"> replaced with an exception for a Trade with Price Improvement</w:t>
      </w:r>
      <w:r w:rsidR="00B4277E" w:rsidRPr="00247465">
        <w:t xml:space="preserve"> on the da</w:t>
      </w:r>
      <w:r w:rsidR="00941DD6" w:rsidRPr="00247465">
        <w:t>y</w:t>
      </w:r>
      <w:r w:rsidR="00B4277E" w:rsidRPr="00247465">
        <w:t xml:space="preserve"> that is 6 months after the day on which this Rule commences</w:t>
      </w:r>
      <w:r w:rsidR="00A44D5F" w:rsidRPr="00247465">
        <w:t>.</w:t>
      </w:r>
    </w:p>
    <w:p w:rsidR="00797533" w:rsidRPr="00247465" w:rsidRDefault="00797533" w:rsidP="00F974F7">
      <w:pPr>
        <w:pStyle w:val="MIRBodyText"/>
      </w:pPr>
      <w:r w:rsidRPr="00247465">
        <w:t>(</w:t>
      </w:r>
      <w:r w:rsidR="00AE4DC0" w:rsidRPr="00247465">
        <w:t>3</w:t>
      </w:r>
      <w:r w:rsidRPr="00247465">
        <w:t xml:space="preserve">) Where a Market Operator determines </w:t>
      </w:r>
      <w:r w:rsidR="001370E7" w:rsidRPr="00247465">
        <w:t xml:space="preserve">under this Rule </w:t>
      </w:r>
      <w:r w:rsidRPr="00247465">
        <w:t xml:space="preserve">that </w:t>
      </w:r>
      <w:r w:rsidR="003159DE" w:rsidRPr="00247465">
        <w:t xml:space="preserve">a Transaction reported to it under Rule 5.1.1 does not meet one or more of the applicable criteria set out in the Table in subrule (2), </w:t>
      </w:r>
      <w:r w:rsidRPr="00247465">
        <w:t>other than the criteria in item</w:t>
      </w:r>
      <w:r w:rsidR="00D32E89">
        <w:t>s</w:t>
      </w:r>
      <w:r w:rsidRPr="00247465">
        <w:t xml:space="preserve"> </w:t>
      </w:r>
      <w:r w:rsidR="00067627" w:rsidRPr="00247465">
        <w:t xml:space="preserve">3, </w:t>
      </w:r>
      <w:r w:rsidRPr="00247465">
        <w:t>5 or 12</w:t>
      </w:r>
      <w:r w:rsidR="00025408" w:rsidRPr="00247465">
        <w:t>,</w:t>
      </w:r>
      <w:r w:rsidRPr="00247465">
        <w:t xml:space="preserve"> the Market Operator:</w:t>
      </w:r>
    </w:p>
    <w:p w:rsidR="00797533" w:rsidRPr="00247465" w:rsidRDefault="00797533" w:rsidP="00D71390">
      <w:pPr>
        <w:pStyle w:val="MIRSubpara"/>
        <w:numPr>
          <w:ilvl w:val="0"/>
          <w:numId w:val="41"/>
        </w:numPr>
      </w:pPr>
      <w:r w:rsidRPr="00247465">
        <w:t xml:space="preserve">must not accept the report of Post-Trade Information for the Transaction; </w:t>
      </w:r>
    </w:p>
    <w:p w:rsidR="00797533" w:rsidRPr="00247465" w:rsidRDefault="00797533" w:rsidP="00797533">
      <w:pPr>
        <w:pStyle w:val="MIRSubpara"/>
      </w:pPr>
      <w:r w:rsidRPr="00247465">
        <w:t xml:space="preserve">must notify the Reporting Participant that the Market Operator will not accept the report of Post-Trade Information for the Transaction; and </w:t>
      </w:r>
    </w:p>
    <w:p w:rsidR="00797533" w:rsidRPr="00247465" w:rsidRDefault="00797533" w:rsidP="00797533">
      <w:pPr>
        <w:pStyle w:val="MIRSubpara"/>
      </w:pPr>
      <w:r w:rsidRPr="00247465">
        <w:t xml:space="preserve">must not make available Post-Trade Information for the Transaction under Rule 5.1.4. </w:t>
      </w:r>
    </w:p>
    <w:p w:rsidR="00797533" w:rsidRPr="00247465" w:rsidRDefault="00797533" w:rsidP="0065256D">
      <w:pPr>
        <w:pStyle w:val="MIRBodyText"/>
      </w:pPr>
      <w:r w:rsidRPr="00247465">
        <w:t>(</w:t>
      </w:r>
      <w:r w:rsidR="00AE4DC0" w:rsidRPr="00247465">
        <w:t>4</w:t>
      </w:r>
      <w:r w:rsidRPr="00247465">
        <w:t xml:space="preserve">) Where a Market Operator determines </w:t>
      </w:r>
      <w:r w:rsidR="001B37F5" w:rsidRPr="00247465">
        <w:t xml:space="preserve">under this Rule that a Transaction reported to it under Rule 5.1.1 does not meet one or more of </w:t>
      </w:r>
      <w:r w:rsidRPr="00247465">
        <w:t xml:space="preserve">the applicable criteria </w:t>
      </w:r>
      <w:r w:rsidR="001B37F5" w:rsidRPr="00247465">
        <w:t xml:space="preserve">set out </w:t>
      </w:r>
      <w:r w:rsidRPr="00247465">
        <w:t>in item</w:t>
      </w:r>
      <w:r w:rsidR="00FA2BE6">
        <w:t>s</w:t>
      </w:r>
      <w:r w:rsidR="00067627" w:rsidRPr="00247465">
        <w:t xml:space="preserve"> 3,</w:t>
      </w:r>
      <w:r w:rsidRPr="00247465">
        <w:t xml:space="preserve"> 5 or 12</w:t>
      </w:r>
      <w:r w:rsidR="00B00B04" w:rsidRPr="00247465">
        <w:t xml:space="preserve"> of the Table</w:t>
      </w:r>
      <w:r w:rsidR="001B37F5" w:rsidRPr="00247465">
        <w:t xml:space="preserve"> in subrule (2)</w:t>
      </w:r>
      <w:r w:rsidRPr="00247465">
        <w:t>, the Market Operator must</w:t>
      </w:r>
      <w:r w:rsidRPr="00247465">
        <w:rPr>
          <w:szCs w:val="20"/>
        </w:rPr>
        <w:t xml:space="preserve"> </w:t>
      </w:r>
      <w:r w:rsidR="00024AFA" w:rsidRPr="00247465">
        <w:rPr>
          <w:szCs w:val="20"/>
        </w:rPr>
        <w:t xml:space="preserve">take steps to </w:t>
      </w:r>
      <w:r w:rsidRPr="00247465">
        <w:t>cancel the Transaction or take other appropriate measures in relation to the Transaction, having regard to the Market Operator’s obligations under this Rule and Rule 5.1.4.</w:t>
      </w:r>
    </w:p>
    <w:p w:rsidR="00853ACE" w:rsidRPr="00247465" w:rsidRDefault="00853ACE" w:rsidP="00305EC4">
      <w:pPr>
        <w:pStyle w:val="MIRPenalty"/>
        <w:ind w:left="1276" w:right="4534"/>
        <w:rPr>
          <w:lang w:val="en-AU"/>
        </w:rPr>
      </w:pPr>
      <w:r w:rsidRPr="00247465">
        <w:rPr>
          <w:lang w:val="en-AU"/>
        </w:rPr>
        <w:t xml:space="preserve">Maximum </w:t>
      </w:r>
      <w:r w:rsidRPr="00247465">
        <w:t>penalty</w:t>
      </w:r>
      <w:r w:rsidRPr="00247465">
        <w:rPr>
          <w:lang w:val="en-AU"/>
        </w:rPr>
        <w:t>: $1,000,000</w:t>
      </w:r>
    </w:p>
    <w:p w:rsidR="00804042" w:rsidRPr="00247465" w:rsidRDefault="00804042" w:rsidP="00804042">
      <w:pPr>
        <w:pStyle w:val="MIRHeading3"/>
      </w:pPr>
      <w:r w:rsidRPr="00247465">
        <w:t>[1</w:t>
      </w:r>
      <w:r w:rsidR="00F14220" w:rsidRPr="00247465">
        <w:t>25</w:t>
      </w:r>
      <w:r w:rsidRPr="00247465">
        <w:t>]</w:t>
      </w:r>
      <w:r w:rsidRPr="00247465">
        <w:tab/>
      </w:r>
      <w:r w:rsidR="00BB70AA" w:rsidRPr="00247465">
        <w:t>Ru</w:t>
      </w:r>
      <w:r w:rsidRPr="00247465">
        <w:t>le 5.1.</w:t>
      </w:r>
      <w:r w:rsidR="00D11D7A" w:rsidRPr="00247465">
        <w:t>6</w:t>
      </w:r>
      <w:r w:rsidR="00BB70AA" w:rsidRPr="00247465">
        <w:t>, table item 2</w:t>
      </w:r>
    </w:p>
    <w:p w:rsidR="00804042" w:rsidRPr="00247465" w:rsidRDefault="00BB70AA" w:rsidP="00804042">
      <w:pPr>
        <w:pStyle w:val="MIRBodyText"/>
      </w:pPr>
      <w:r w:rsidRPr="00247465">
        <w:t>omit</w:t>
      </w:r>
    </w:p>
    <w:p w:rsidR="00BB70AA" w:rsidRPr="00247465" w:rsidRDefault="00BB70AA" w:rsidP="00804042">
      <w:pPr>
        <w:pStyle w:val="MIRBodyText"/>
      </w:pPr>
      <w:r w:rsidRPr="00247465">
        <w:rPr>
          <w:i/>
        </w:rPr>
        <w:t>conducted</w:t>
      </w:r>
    </w:p>
    <w:p w:rsidR="00A40DD9" w:rsidRPr="00247465" w:rsidRDefault="00A40DD9" w:rsidP="00A40DD9">
      <w:pPr>
        <w:pStyle w:val="MIRHeading3"/>
      </w:pPr>
      <w:r w:rsidRPr="00247465">
        <w:t>[1</w:t>
      </w:r>
      <w:r w:rsidR="006008C6" w:rsidRPr="00247465">
        <w:t>26</w:t>
      </w:r>
      <w:r w:rsidRPr="00247465">
        <w:t>]</w:t>
      </w:r>
      <w:r w:rsidRPr="00247465">
        <w:tab/>
        <w:t>Rule 5.1.</w:t>
      </w:r>
      <w:r w:rsidR="00D11D7A" w:rsidRPr="00247465">
        <w:t>6</w:t>
      </w:r>
      <w:r w:rsidRPr="00247465">
        <w:t xml:space="preserve">, table item </w:t>
      </w:r>
      <w:r w:rsidR="00E51397" w:rsidRPr="00247465">
        <w:t>3</w:t>
      </w:r>
    </w:p>
    <w:p w:rsidR="00A40DD9" w:rsidRPr="00247465" w:rsidRDefault="00E51397" w:rsidP="00A40DD9">
      <w:pPr>
        <w:pStyle w:val="MIRBodyText"/>
        <w:rPr>
          <w:i/>
        </w:rPr>
      </w:pPr>
      <w:r w:rsidRPr="00247465">
        <w:rPr>
          <w:i/>
        </w:rPr>
        <w:t>after “on”, insert</w:t>
      </w:r>
    </w:p>
    <w:p w:rsidR="00BB70AA" w:rsidRPr="00247465" w:rsidRDefault="00E51397" w:rsidP="00804042">
      <w:pPr>
        <w:pStyle w:val="MIRBodyText"/>
      </w:pPr>
      <w:r w:rsidRPr="00247465">
        <w:t>an Order Book of</w:t>
      </w:r>
    </w:p>
    <w:p w:rsidR="00552E83" w:rsidRPr="00247465" w:rsidRDefault="00552E83" w:rsidP="00552E83">
      <w:pPr>
        <w:pStyle w:val="MIRHeading3"/>
      </w:pPr>
      <w:r w:rsidRPr="00247465">
        <w:t>[1</w:t>
      </w:r>
      <w:r w:rsidR="006008C6" w:rsidRPr="00247465">
        <w:t>27</w:t>
      </w:r>
      <w:r w:rsidRPr="00247465">
        <w:t>]</w:t>
      </w:r>
      <w:r w:rsidRPr="00247465">
        <w:tab/>
        <w:t>Rule 5.1.</w:t>
      </w:r>
      <w:r w:rsidR="00D11D7A" w:rsidRPr="00247465">
        <w:t>6</w:t>
      </w:r>
      <w:r w:rsidRPr="00247465">
        <w:t xml:space="preserve">, table item </w:t>
      </w:r>
      <w:r w:rsidR="0026592B" w:rsidRPr="00247465">
        <w:t>4</w:t>
      </w:r>
    </w:p>
    <w:p w:rsidR="00552E83" w:rsidRPr="00247465" w:rsidRDefault="00552E83" w:rsidP="00552E83">
      <w:pPr>
        <w:pStyle w:val="MIRBodyText"/>
        <w:rPr>
          <w:i/>
        </w:rPr>
      </w:pPr>
      <w:r w:rsidRPr="00247465">
        <w:rPr>
          <w:i/>
        </w:rPr>
        <w:t>after “on”, insert</w:t>
      </w:r>
    </w:p>
    <w:p w:rsidR="00552E83" w:rsidRPr="00247465" w:rsidRDefault="00552E83" w:rsidP="00552E83">
      <w:pPr>
        <w:pStyle w:val="MIRBodyText"/>
      </w:pPr>
      <w:r w:rsidRPr="00247465">
        <w:t>an Order Book of</w:t>
      </w:r>
    </w:p>
    <w:p w:rsidR="00E42E26" w:rsidRPr="00247465" w:rsidRDefault="00E42E26" w:rsidP="00E42E26">
      <w:pPr>
        <w:pStyle w:val="MIRHeading3"/>
      </w:pPr>
      <w:r w:rsidRPr="00247465">
        <w:lastRenderedPageBreak/>
        <w:t>[12</w:t>
      </w:r>
      <w:r w:rsidR="006008C6" w:rsidRPr="00247465">
        <w:t>8</w:t>
      </w:r>
      <w:r w:rsidRPr="00247465">
        <w:t>]</w:t>
      </w:r>
      <w:r w:rsidRPr="00247465">
        <w:tab/>
        <w:t>Rule 5.1.6, table item 5</w:t>
      </w:r>
    </w:p>
    <w:p w:rsidR="00E42E26" w:rsidRPr="00247465" w:rsidRDefault="00E42E26" w:rsidP="00E42E26">
      <w:pPr>
        <w:pStyle w:val="MIRBodyText"/>
        <w:rPr>
          <w:i/>
        </w:rPr>
      </w:pPr>
      <w:r w:rsidRPr="00247465">
        <w:rPr>
          <w:i/>
        </w:rPr>
        <w:t>after “</w:t>
      </w:r>
      <w:r w:rsidR="00C9047C" w:rsidRPr="00247465">
        <w:rPr>
          <w:i/>
        </w:rPr>
        <w:t xml:space="preserve">executed </w:t>
      </w:r>
      <w:r w:rsidRPr="00247465">
        <w:rPr>
          <w:i/>
        </w:rPr>
        <w:t>on”, insert</w:t>
      </w:r>
    </w:p>
    <w:p w:rsidR="00E42E26" w:rsidRPr="00247465" w:rsidRDefault="00E42E26" w:rsidP="00E42E26">
      <w:pPr>
        <w:pStyle w:val="MIRBodyText"/>
      </w:pPr>
      <w:r w:rsidRPr="00247465">
        <w:t>an Order Book of</w:t>
      </w:r>
    </w:p>
    <w:p w:rsidR="00C9047C" w:rsidRPr="00247465" w:rsidRDefault="00C9047C" w:rsidP="00C9047C">
      <w:pPr>
        <w:pStyle w:val="MIRHeading3"/>
      </w:pPr>
      <w:r w:rsidRPr="00247465">
        <w:t>[12</w:t>
      </w:r>
      <w:r w:rsidR="006008C6" w:rsidRPr="00247465">
        <w:t>9</w:t>
      </w:r>
      <w:r w:rsidRPr="00247465">
        <w:t>]</w:t>
      </w:r>
      <w:r w:rsidRPr="00247465">
        <w:tab/>
        <w:t xml:space="preserve">Rule 5.1.6, table item </w:t>
      </w:r>
      <w:r w:rsidR="00C2691D" w:rsidRPr="00247465">
        <w:t>6</w:t>
      </w:r>
    </w:p>
    <w:p w:rsidR="00C9047C" w:rsidRPr="00247465" w:rsidRDefault="00C9047C" w:rsidP="00C9047C">
      <w:pPr>
        <w:pStyle w:val="MIRBodyText"/>
        <w:rPr>
          <w:i/>
        </w:rPr>
      </w:pPr>
      <w:r w:rsidRPr="00247465">
        <w:rPr>
          <w:i/>
        </w:rPr>
        <w:t>after “</w:t>
      </w:r>
      <w:r w:rsidR="00E16552" w:rsidRPr="00247465">
        <w:rPr>
          <w:i/>
        </w:rPr>
        <w:t xml:space="preserve">executed </w:t>
      </w:r>
      <w:r w:rsidRPr="00247465">
        <w:rPr>
          <w:i/>
        </w:rPr>
        <w:t>on”, insert</w:t>
      </w:r>
    </w:p>
    <w:p w:rsidR="00C9047C" w:rsidRPr="00247465" w:rsidRDefault="00C9047C" w:rsidP="00C9047C">
      <w:pPr>
        <w:pStyle w:val="MIRBodyText"/>
      </w:pPr>
      <w:r w:rsidRPr="00247465">
        <w:t>an Order Book of</w:t>
      </w:r>
    </w:p>
    <w:p w:rsidR="00463022" w:rsidRPr="00247465" w:rsidRDefault="00463022" w:rsidP="00463022">
      <w:pPr>
        <w:pStyle w:val="MIRHeading3"/>
      </w:pPr>
      <w:r w:rsidRPr="00247465">
        <w:t>[1</w:t>
      </w:r>
      <w:r w:rsidR="008A05F9" w:rsidRPr="00247465">
        <w:t>30</w:t>
      </w:r>
      <w:r w:rsidRPr="00247465">
        <w:t>]</w:t>
      </w:r>
      <w:r w:rsidRPr="00247465">
        <w:tab/>
        <w:t>Rule 5.1.6, table item 7</w:t>
      </w:r>
    </w:p>
    <w:p w:rsidR="007E4C0C" w:rsidRPr="00247465" w:rsidRDefault="007E4C0C" w:rsidP="00463022">
      <w:pPr>
        <w:pStyle w:val="MIRBodyText"/>
        <w:rPr>
          <w:i/>
        </w:rPr>
      </w:pPr>
      <w:r w:rsidRPr="00247465">
        <w:rPr>
          <w:i/>
        </w:rPr>
        <w:t>omit</w:t>
      </w:r>
    </w:p>
    <w:p w:rsidR="007E4C0C" w:rsidRPr="00247465" w:rsidRDefault="00463022" w:rsidP="00463022">
      <w:pPr>
        <w:pStyle w:val="MIRBodyText"/>
      </w:pPr>
      <w:r w:rsidRPr="00247465">
        <w:t>on</w:t>
      </w:r>
    </w:p>
    <w:p w:rsidR="00463022" w:rsidRPr="00247465" w:rsidRDefault="007E4C0C" w:rsidP="00463022">
      <w:pPr>
        <w:pStyle w:val="MIRBodyText"/>
        <w:rPr>
          <w:i/>
        </w:rPr>
      </w:pPr>
      <w:r w:rsidRPr="00247465">
        <w:rPr>
          <w:i/>
        </w:rPr>
        <w:t>substitute</w:t>
      </w:r>
    </w:p>
    <w:p w:rsidR="00463022" w:rsidRPr="00247465" w:rsidRDefault="007E4C0C" w:rsidP="00463022">
      <w:pPr>
        <w:pStyle w:val="MIRBodyText"/>
      </w:pPr>
      <w:r w:rsidRPr="00247465">
        <w:t xml:space="preserve">executed </w:t>
      </w:r>
      <w:r w:rsidR="001E1599" w:rsidRPr="00247465">
        <w:t xml:space="preserve">on </w:t>
      </w:r>
      <w:r w:rsidR="00463022" w:rsidRPr="00247465">
        <w:t>an Order Book of</w:t>
      </w:r>
      <w:r w:rsidRPr="00247465">
        <w:t>, or reported to,</w:t>
      </w:r>
    </w:p>
    <w:p w:rsidR="00E76D77" w:rsidRPr="00247465" w:rsidRDefault="00E76D77" w:rsidP="00E76D77">
      <w:pPr>
        <w:pStyle w:val="MIRHeading3"/>
      </w:pPr>
      <w:bookmarkStart w:id="4" w:name="_Hlk334087711"/>
      <w:r w:rsidRPr="00247465">
        <w:t>[1</w:t>
      </w:r>
      <w:r w:rsidR="00DB328A" w:rsidRPr="00247465">
        <w:t>31</w:t>
      </w:r>
      <w:r w:rsidRPr="00247465">
        <w:t>]</w:t>
      </w:r>
      <w:r w:rsidRPr="00247465">
        <w:tab/>
        <w:t xml:space="preserve">Rule 5.1.6, </w:t>
      </w:r>
      <w:r w:rsidR="00FB643E" w:rsidRPr="00247465">
        <w:t xml:space="preserve">after the </w:t>
      </w:r>
      <w:r w:rsidRPr="00247465">
        <w:t xml:space="preserve">table </w:t>
      </w:r>
    </w:p>
    <w:p w:rsidR="00E76D77" w:rsidRPr="00247465" w:rsidRDefault="00FB643E" w:rsidP="00E76D77">
      <w:pPr>
        <w:pStyle w:val="MIRBodyText"/>
        <w:rPr>
          <w:i/>
        </w:rPr>
      </w:pPr>
      <w:r w:rsidRPr="00247465">
        <w:rPr>
          <w:i/>
        </w:rPr>
        <w:t>insert</w:t>
      </w:r>
    </w:p>
    <w:p w:rsidR="00AC490F" w:rsidRPr="00247465" w:rsidRDefault="00AC490F" w:rsidP="00AC490F">
      <w:pPr>
        <w:pStyle w:val="MIRNote"/>
      </w:pPr>
      <w:r w:rsidRPr="00247465">
        <w:t xml:space="preserve">Note: </w:t>
      </w:r>
      <w:r w:rsidR="00054F95" w:rsidRPr="00247465">
        <w:t>Items 2 to 6 of this Table refer to information in relation to prices</w:t>
      </w:r>
      <w:r w:rsidR="0015773C" w:rsidRPr="00247465">
        <w:t>, bids and offers</w:t>
      </w:r>
      <w:r w:rsidR="00054F95" w:rsidRPr="00247465">
        <w:t xml:space="preserve"> on an Order Book. Accordingly, </w:t>
      </w:r>
      <w:r w:rsidRPr="00247465">
        <w:t xml:space="preserve">the Trading Information made available by a Market Operator </w:t>
      </w:r>
      <w:r w:rsidR="001C3511" w:rsidRPr="00247465">
        <w:t xml:space="preserve">under </w:t>
      </w:r>
      <w:r w:rsidRPr="00247465">
        <w:t>items 2 to 6 of this Table must not include Transactions in Equity Market Products reported to the Market Operator under Rule 5.1.1</w:t>
      </w:r>
      <w:r w:rsidR="00CC5E86" w:rsidRPr="00247465">
        <w:t xml:space="preserve"> (Participants to report Transactions done other than on an Order Book of a Market)</w:t>
      </w:r>
      <w:r w:rsidRPr="00247465">
        <w:t>.</w:t>
      </w:r>
    </w:p>
    <w:bookmarkEnd w:id="4"/>
    <w:p w:rsidR="00B52F26" w:rsidRPr="00247465" w:rsidRDefault="00B52F26" w:rsidP="00B52F26">
      <w:pPr>
        <w:pStyle w:val="MIRHeading3"/>
      </w:pPr>
      <w:r w:rsidRPr="00247465">
        <w:t>[1</w:t>
      </w:r>
      <w:r w:rsidR="00DB328A" w:rsidRPr="00247465">
        <w:t>32</w:t>
      </w:r>
      <w:r w:rsidRPr="00247465">
        <w:t>]</w:t>
      </w:r>
      <w:r w:rsidRPr="00247465">
        <w:tab/>
        <w:t>Part 5.2</w:t>
      </w:r>
      <w:r w:rsidR="00FB1247" w:rsidRPr="00247465">
        <w:t xml:space="preserve"> (heading)</w:t>
      </w:r>
      <w:r w:rsidRPr="00247465">
        <w:t xml:space="preserve"> </w:t>
      </w:r>
    </w:p>
    <w:p w:rsidR="00B52F26" w:rsidRPr="00247465" w:rsidRDefault="00FB1247" w:rsidP="00B52F26">
      <w:pPr>
        <w:pStyle w:val="MIRBodyText"/>
        <w:rPr>
          <w:i/>
        </w:rPr>
      </w:pPr>
      <w:r w:rsidRPr="00247465">
        <w:rPr>
          <w:i/>
        </w:rPr>
        <w:t>omit</w:t>
      </w:r>
    </w:p>
    <w:p w:rsidR="00FB1247" w:rsidRPr="00247465" w:rsidRDefault="00FB1247" w:rsidP="00B52F26">
      <w:pPr>
        <w:pStyle w:val="MIRBodyText"/>
        <w:rPr>
          <w:i/>
        </w:rPr>
      </w:pPr>
      <w:r w:rsidRPr="00247465">
        <w:t>Exceptions</w:t>
      </w:r>
    </w:p>
    <w:p w:rsidR="00FB1247" w:rsidRPr="00247465" w:rsidRDefault="00FB1247" w:rsidP="00B52F26">
      <w:pPr>
        <w:pStyle w:val="MIRBodyText"/>
        <w:rPr>
          <w:i/>
        </w:rPr>
      </w:pPr>
      <w:r w:rsidRPr="00247465">
        <w:rPr>
          <w:i/>
        </w:rPr>
        <w:t>substitute</w:t>
      </w:r>
    </w:p>
    <w:p w:rsidR="00FB1247" w:rsidRPr="00247465" w:rsidRDefault="00FB1247" w:rsidP="00B52F26">
      <w:pPr>
        <w:pStyle w:val="MIRBodyText"/>
        <w:rPr>
          <w:i/>
        </w:rPr>
      </w:pPr>
      <w:r w:rsidRPr="00247465">
        <w:t>D</w:t>
      </w:r>
      <w:r w:rsidR="00274605" w:rsidRPr="00247465">
        <w:t>elayed r</w:t>
      </w:r>
      <w:r w:rsidRPr="00247465">
        <w:t>eporting</w:t>
      </w:r>
    </w:p>
    <w:p w:rsidR="00DB1F18" w:rsidRPr="00247465" w:rsidRDefault="00DB1F18" w:rsidP="00DB1F18">
      <w:pPr>
        <w:pStyle w:val="MIRHeading3"/>
      </w:pPr>
      <w:r w:rsidRPr="00247465">
        <w:t>[1</w:t>
      </w:r>
      <w:r w:rsidR="00F124A4" w:rsidRPr="00247465">
        <w:t>33</w:t>
      </w:r>
      <w:r w:rsidRPr="00247465">
        <w:t>]</w:t>
      </w:r>
      <w:r w:rsidRPr="00247465">
        <w:tab/>
        <w:t xml:space="preserve">Rule 5.2.1 (heading) </w:t>
      </w:r>
    </w:p>
    <w:p w:rsidR="00DB1F18" w:rsidRPr="00247465" w:rsidRDefault="00DB1F18" w:rsidP="00DB1F18">
      <w:pPr>
        <w:pStyle w:val="MIRBodyText"/>
        <w:rPr>
          <w:i/>
        </w:rPr>
      </w:pPr>
      <w:r w:rsidRPr="00247465">
        <w:rPr>
          <w:i/>
        </w:rPr>
        <w:t>omit</w:t>
      </w:r>
    </w:p>
    <w:p w:rsidR="00DB1F18" w:rsidRPr="00247465" w:rsidRDefault="00DB1F18" w:rsidP="00DB1F18">
      <w:pPr>
        <w:pStyle w:val="MIRBodyText"/>
        <w:rPr>
          <w:i/>
        </w:rPr>
      </w:pPr>
      <w:r w:rsidRPr="00247465">
        <w:t>Exceptions</w:t>
      </w:r>
    </w:p>
    <w:p w:rsidR="00DB1F18" w:rsidRPr="00247465" w:rsidRDefault="00DB1F18" w:rsidP="00DB1F18">
      <w:pPr>
        <w:pStyle w:val="MIRBodyText"/>
        <w:rPr>
          <w:i/>
        </w:rPr>
      </w:pPr>
      <w:r w:rsidRPr="00247465">
        <w:rPr>
          <w:i/>
        </w:rPr>
        <w:t>substitute</w:t>
      </w:r>
    </w:p>
    <w:p w:rsidR="00DB1F18" w:rsidRPr="00247465" w:rsidRDefault="00DB1F18" w:rsidP="00DB1F18">
      <w:pPr>
        <w:pStyle w:val="MIRBodyText"/>
        <w:rPr>
          <w:i/>
        </w:rPr>
      </w:pPr>
      <w:r w:rsidRPr="00247465">
        <w:t xml:space="preserve">Delayed </w:t>
      </w:r>
      <w:r w:rsidR="00274605" w:rsidRPr="00247465">
        <w:t>r</w:t>
      </w:r>
      <w:r w:rsidRPr="00247465">
        <w:t>eporting</w:t>
      </w:r>
    </w:p>
    <w:p w:rsidR="007847FC" w:rsidRPr="00247465" w:rsidRDefault="007847FC" w:rsidP="007847FC">
      <w:pPr>
        <w:pStyle w:val="MIRHeading3"/>
      </w:pPr>
      <w:r w:rsidRPr="00247465">
        <w:lastRenderedPageBreak/>
        <w:t>[1</w:t>
      </w:r>
      <w:r w:rsidR="006A504C" w:rsidRPr="00247465">
        <w:t>34</w:t>
      </w:r>
      <w:r w:rsidRPr="00247465">
        <w:t>]</w:t>
      </w:r>
      <w:r w:rsidRPr="00247465">
        <w:tab/>
      </w:r>
      <w:r w:rsidR="00136A75" w:rsidRPr="00247465">
        <w:t>Rule 5.2.1</w:t>
      </w:r>
    </w:p>
    <w:p w:rsidR="007847FC" w:rsidRPr="00247465" w:rsidRDefault="007847FC" w:rsidP="007847FC">
      <w:pPr>
        <w:pStyle w:val="MIRBodyText"/>
        <w:rPr>
          <w:i/>
        </w:rPr>
      </w:pPr>
      <w:r w:rsidRPr="00247465">
        <w:rPr>
          <w:i/>
        </w:rPr>
        <w:t>omit</w:t>
      </w:r>
    </w:p>
    <w:p w:rsidR="00136A75" w:rsidRPr="00247465" w:rsidRDefault="00136A75" w:rsidP="007847FC">
      <w:pPr>
        <w:pStyle w:val="MIRBodyText"/>
        <w:rPr>
          <w:i/>
        </w:rPr>
      </w:pPr>
      <w:r w:rsidRPr="00247465">
        <w:t>the Listing Market Operator</w:t>
      </w:r>
    </w:p>
    <w:p w:rsidR="00136A75" w:rsidRPr="00247465" w:rsidRDefault="00136A75" w:rsidP="007847FC">
      <w:pPr>
        <w:pStyle w:val="MIRBodyText"/>
        <w:rPr>
          <w:i/>
        </w:rPr>
      </w:pPr>
      <w:r w:rsidRPr="00247465">
        <w:t>(w</w:t>
      </w:r>
      <w:r w:rsidRPr="00247465">
        <w:rPr>
          <w:i/>
        </w:rPr>
        <w:t>herever occurring)</w:t>
      </w:r>
    </w:p>
    <w:p w:rsidR="007847FC" w:rsidRPr="00247465" w:rsidRDefault="007847FC" w:rsidP="007847FC">
      <w:pPr>
        <w:pStyle w:val="MIRBodyText"/>
        <w:rPr>
          <w:i/>
        </w:rPr>
      </w:pPr>
      <w:r w:rsidRPr="00247465">
        <w:rPr>
          <w:i/>
        </w:rPr>
        <w:t>substitute</w:t>
      </w:r>
    </w:p>
    <w:p w:rsidR="007847FC" w:rsidRPr="00247465" w:rsidRDefault="00136A75" w:rsidP="007847FC">
      <w:pPr>
        <w:pStyle w:val="MIRBodyText"/>
      </w:pPr>
      <w:r w:rsidRPr="00247465">
        <w:t>ASX</w:t>
      </w:r>
    </w:p>
    <w:p w:rsidR="00372FF6" w:rsidRPr="00247465" w:rsidRDefault="00372FF6" w:rsidP="00372FF6">
      <w:pPr>
        <w:pStyle w:val="MIRHeading3"/>
      </w:pPr>
      <w:r w:rsidRPr="00247465">
        <w:t>[1</w:t>
      </w:r>
      <w:r w:rsidR="006A504C" w:rsidRPr="00247465">
        <w:t>35</w:t>
      </w:r>
      <w:r w:rsidRPr="00247465">
        <w:t>]</w:t>
      </w:r>
      <w:r w:rsidRPr="00247465">
        <w:tab/>
      </w:r>
      <w:r w:rsidR="00DA6A30" w:rsidRPr="00247465">
        <w:t>Paragraph</w:t>
      </w:r>
      <w:r w:rsidRPr="00247465">
        <w:t xml:space="preserve"> 5.2.1</w:t>
      </w:r>
      <w:r w:rsidR="00DA6A30" w:rsidRPr="00247465">
        <w:t>(4</w:t>
      </w:r>
      <w:proofErr w:type="gramStart"/>
      <w:r w:rsidR="00DA6A30" w:rsidRPr="00247465">
        <w:t>)(</w:t>
      </w:r>
      <w:proofErr w:type="gramEnd"/>
      <w:r w:rsidR="00DA6A30" w:rsidRPr="00247465">
        <w:t>a)</w:t>
      </w:r>
    </w:p>
    <w:p w:rsidR="00372FF6" w:rsidRPr="00247465" w:rsidRDefault="00372FF6" w:rsidP="00372FF6">
      <w:pPr>
        <w:pStyle w:val="MIRBodyText"/>
        <w:rPr>
          <w:i/>
        </w:rPr>
      </w:pPr>
      <w:r w:rsidRPr="00247465">
        <w:rPr>
          <w:i/>
        </w:rPr>
        <w:t>omit</w:t>
      </w:r>
    </w:p>
    <w:p w:rsidR="00257902" w:rsidRPr="00247465" w:rsidRDefault="00DA6A30" w:rsidP="00FB643E">
      <w:pPr>
        <w:pStyle w:val="MIRBodyText"/>
      </w:pPr>
      <w:r w:rsidRPr="00247465">
        <w:t>and Participants</w:t>
      </w:r>
    </w:p>
    <w:p w:rsidR="0004445D" w:rsidRPr="00247465" w:rsidRDefault="0004445D" w:rsidP="0004445D">
      <w:pPr>
        <w:pStyle w:val="MIRHeading3"/>
      </w:pPr>
      <w:r w:rsidRPr="00247465">
        <w:t>[1</w:t>
      </w:r>
      <w:r w:rsidR="00EE031B" w:rsidRPr="00247465">
        <w:t>36</w:t>
      </w:r>
      <w:r w:rsidRPr="00247465">
        <w:t>]</w:t>
      </w:r>
      <w:r w:rsidRPr="00247465">
        <w:tab/>
        <w:t>After Chapter 5</w:t>
      </w:r>
    </w:p>
    <w:p w:rsidR="00346C58" w:rsidRPr="00247465" w:rsidRDefault="00725CEC" w:rsidP="00725CEC">
      <w:pPr>
        <w:pStyle w:val="MIRBodyText"/>
        <w:rPr>
          <w:i/>
        </w:rPr>
      </w:pPr>
      <w:r w:rsidRPr="00247465">
        <w:rPr>
          <w:i/>
        </w:rPr>
        <w:t>insert</w:t>
      </w:r>
    </w:p>
    <w:p w:rsidR="00725CEC" w:rsidRPr="00247465" w:rsidRDefault="00725CEC" w:rsidP="00725CEC">
      <w:pPr>
        <w:pStyle w:val="MIRBodyText"/>
        <w:rPr>
          <w:rFonts w:ascii="Arial" w:hAnsi="Arial" w:cs="Arial"/>
          <w:b/>
          <w:sz w:val="36"/>
          <w:szCs w:val="36"/>
        </w:rPr>
      </w:pPr>
      <w:r w:rsidRPr="00247465">
        <w:rPr>
          <w:rFonts w:ascii="Arial" w:hAnsi="Arial" w:cs="Arial"/>
          <w:b/>
          <w:sz w:val="36"/>
          <w:szCs w:val="36"/>
        </w:rPr>
        <w:t xml:space="preserve">Chapter 5A: Regulatory Data </w:t>
      </w:r>
    </w:p>
    <w:p w:rsidR="00725CEC" w:rsidRPr="00247465" w:rsidRDefault="00725CEC" w:rsidP="002C2A97">
      <w:pPr>
        <w:pStyle w:val="MIRHeading2Part"/>
        <w:ind w:left="1984"/>
      </w:pPr>
      <w:r w:rsidRPr="00247465">
        <w:t>Part 5A.1</w:t>
      </w:r>
      <w:r w:rsidR="00AA6BFC" w:rsidRPr="00247465">
        <w:t xml:space="preserve"> Application</w:t>
      </w:r>
    </w:p>
    <w:p w:rsidR="00725CEC" w:rsidRPr="00247465" w:rsidRDefault="00725CEC" w:rsidP="002C2A97">
      <w:pPr>
        <w:pStyle w:val="MIRHeading3"/>
        <w:ind w:left="1701"/>
      </w:pPr>
      <w:r w:rsidRPr="00247465">
        <w:t xml:space="preserve">5A.1.1 </w:t>
      </w:r>
      <w:r w:rsidRPr="00247465">
        <w:rPr>
          <w:szCs w:val="23"/>
        </w:rPr>
        <w:t>Application</w:t>
      </w:r>
      <w:r w:rsidRPr="00247465">
        <w:t xml:space="preserve"> </w:t>
      </w:r>
      <w:r w:rsidR="00AA6BFC" w:rsidRPr="00247465">
        <w:t>of Chapter</w:t>
      </w:r>
    </w:p>
    <w:p w:rsidR="00725CEC" w:rsidRPr="00247465" w:rsidRDefault="000647B4" w:rsidP="0065256D">
      <w:pPr>
        <w:pStyle w:val="MIRBodyText"/>
        <w:ind w:left="850"/>
      </w:pPr>
      <w:r w:rsidRPr="00247465">
        <w:t xml:space="preserve">(1) </w:t>
      </w:r>
      <w:r w:rsidR="001B2B81" w:rsidRPr="00247465">
        <w:t>T</w:t>
      </w:r>
      <w:r w:rsidRPr="00247465">
        <w:t>h</w:t>
      </w:r>
      <w:r w:rsidR="00FE2E7A" w:rsidRPr="00247465">
        <w:t>is</w:t>
      </w:r>
      <w:r w:rsidRPr="00247465">
        <w:t xml:space="preserve"> Chapter</w:t>
      </w:r>
      <w:r w:rsidR="00FE2E7A" w:rsidRPr="00247465">
        <w:t xml:space="preserve"> applies to</w:t>
      </w:r>
      <w:r w:rsidR="00725CEC" w:rsidRPr="00247465">
        <w:t xml:space="preserve">: </w:t>
      </w:r>
    </w:p>
    <w:p w:rsidR="00725CEC" w:rsidRPr="00247465" w:rsidRDefault="00E85CDB" w:rsidP="0065256D">
      <w:pPr>
        <w:pStyle w:val="MIRSubpara"/>
        <w:numPr>
          <w:ilvl w:val="0"/>
          <w:numId w:val="42"/>
        </w:numPr>
        <w:ind w:left="1275"/>
      </w:pPr>
      <w:r w:rsidRPr="00247465">
        <w:t>f</w:t>
      </w:r>
      <w:r w:rsidR="000647B4" w:rsidRPr="00247465">
        <w:t>rom</w:t>
      </w:r>
      <w:r w:rsidRPr="00247465">
        <w:t xml:space="preserve"> 28 October 2013</w:t>
      </w:r>
      <w:r w:rsidR="000647B4" w:rsidRPr="00247465">
        <w:t xml:space="preserve">, </w:t>
      </w:r>
      <w:r w:rsidR="00725CEC" w:rsidRPr="00247465">
        <w:t xml:space="preserve">Equity Market Operators; </w:t>
      </w:r>
      <w:r w:rsidR="0068048E">
        <w:t>and</w:t>
      </w:r>
    </w:p>
    <w:p w:rsidR="00725CEC" w:rsidRPr="00247465" w:rsidRDefault="00193134" w:rsidP="0065256D">
      <w:pPr>
        <w:pStyle w:val="MIRSubpara"/>
        <w:ind w:left="1275"/>
      </w:pPr>
      <w:r w:rsidRPr="00247465">
        <w:t>from 10 March 2014,</w:t>
      </w:r>
      <w:r w:rsidR="000647B4" w:rsidRPr="00247465">
        <w:t xml:space="preserve"> </w:t>
      </w:r>
      <w:r w:rsidR="00725CEC" w:rsidRPr="00247465">
        <w:t>Equity Market Participants</w:t>
      </w:r>
      <w:r w:rsidR="00A86B4D" w:rsidRPr="00247465">
        <w:t>.</w:t>
      </w:r>
      <w:r w:rsidR="00725CEC" w:rsidRPr="00247465">
        <w:t xml:space="preserve"> </w:t>
      </w:r>
    </w:p>
    <w:p w:rsidR="00725CEC" w:rsidRPr="00247465" w:rsidRDefault="00CD52C0" w:rsidP="0065256D">
      <w:pPr>
        <w:pStyle w:val="MIRSubpara"/>
        <w:numPr>
          <w:ilvl w:val="0"/>
          <w:numId w:val="0"/>
        </w:numPr>
        <w:ind w:left="849"/>
      </w:pPr>
      <w:r w:rsidRPr="00247465">
        <w:t xml:space="preserve">(2) This Chapter applies to </w:t>
      </w:r>
      <w:r w:rsidR="00725CEC" w:rsidRPr="00247465">
        <w:t xml:space="preserve">Orders and Transactions in Financial Products admitted to quotation on the ASX Market, other than Futures Market Contracts or Options Market Contracts. </w:t>
      </w:r>
    </w:p>
    <w:p w:rsidR="00725CEC" w:rsidRPr="00247465" w:rsidRDefault="00725CEC" w:rsidP="0065256D">
      <w:pPr>
        <w:pStyle w:val="MIRNote"/>
        <w:ind w:left="1700"/>
      </w:pPr>
      <w:r w:rsidRPr="00247465">
        <w:t xml:space="preserve">Note: There is no penalty for this Rule. </w:t>
      </w:r>
    </w:p>
    <w:p w:rsidR="00867EC5" w:rsidRPr="00247465" w:rsidRDefault="00867EC5" w:rsidP="00867EC5">
      <w:pPr>
        <w:pStyle w:val="MIRHeading2Part"/>
        <w:ind w:left="1984"/>
      </w:pPr>
      <w:r w:rsidRPr="00247465">
        <w:t>Part 5A.2 Requirement to record and provide Regulatory Data</w:t>
      </w:r>
    </w:p>
    <w:p w:rsidR="00725CEC" w:rsidRPr="00247465" w:rsidRDefault="00725CEC" w:rsidP="002C2A97">
      <w:pPr>
        <w:pStyle w:val="MIRHeading3"/>
        <w:ind w:left="1701"/>
      </w:pPr>
      <w:r w:rsidRPr="00247465">
        <w:t>5A.</w:t>
      </w:r>
      <w:r w:rsidR="00867EC5" w:rsidRPr="00247465">
        <w:t>2</w:t>
      </w:r>
      <w:r w:rsidRPr="00247465">
        <w:t>.</w:t>
      </w:r>
      <w:r w:rsidR="00867EC5" w:rsidRPr="00247465">
        <w:t>1</w:t>
      </w:r>
      <w:r w:rsidRPr="00247465">
        <w:t xml:space="preserve"> Participant to provide Regulatory Data with Orders and Trade Reports </w:t>
      </w:r>
    </w:p>
    <w:p w:rsidR="00725CEC" w:rsidRPr="00247465" w:rsidRDefault="00725CEC" w:rsidP="0065256D">
      <w:pPr>
        <w:pStyle w:val="MIRBodyText"/>
        <w:ind w:left="850"/>
      </w:pPr>
      <w:r w:rsidRPr="00247465">
        <w:t xml:space="preserve">(1) A Participant must provide Regulatory Data to a Market Operator in an Order transmitted to an Order Book of that Market Operator. </w:t>
      </w:r>
    </w:p>
    <w:p w:rsidR="00725CEC" w:rsidRPr="00247465" w:rsidRDefault="00725CEC" w:rsidP="0065256D">
      <w:pPr>
        <w:pStyle w:val="MIRBodyText"/>
        <w:ind w:left="850"/>
      </w:pPr>
      <w:r w:rsidRPr="00247465">
        <w:lastRenderedPageBreak/>
        <w:t xml:space="preserve">(2) A Participant must provide Regulatory Data to a Market Operator in a Trade Report made to that Market Operator, for each side of the Transaction for which the Participant acted as agent on behalf of a client, or as Principal. </w:t>
      </w:r>
    </w:p>
    <w:p w:rsidR="00725CEC" w:rsidRPr="00247465" w:rsidRDefault="00725CEC" w:rsidP="0065256D">
      <w:pPr>
        <w:pStyle w:val="MIRBodyText"/>
        <w:ind w:left="850"/>
      </w:pPr>
      <w:r w:rsidRPr="00247465">
        <w:t xml:space="preserve">(3) A Participant must not disclose the Regulatory Data it provides </w:t>
      </w:r>
      <w:r w:rsidR="00F4277E" w:rsidRPr="00247465">
        <w:t xml:space="preserve">to a Market Operator </w:t>
      </w:r>
      <w:r w:rsidRPr="00247465">
        <w:t xml:space="preserve">under </w:t>
      </w:r>
      <w:proofErr w:type="spellStart"/>
      <w:r w:rsidRPr="00247465">
        <w:t>subrules</w:t>
      </w:r>
      <w:proofErr w:type="spellEnd"/>
      <w:r w:rsidRPr="00247465">
        <w:t xml:space="preserve"> (1) and (2) in connection with the Order or Trade Report other than: </w:t>
      </w:r>
    </w:p>
    <w:p w:rsidR="00725CEC" w:rsidRPr="00247465" w:rsidRDefault="00725CEC" w:rsidP="0065256D">
      <w:pPr>
        <w:pStyle w:val="MIRSubpara"/>
        <w:numPr>
          <w:ilvl w:val="0"/>
          <w:numId w:val="43"/>
        </w:numPr>
        <w:ind w:left="1275"/>
      </w:pPr>
      <w:r w:rsidRPr="00247465">
        <w:t xml:space="preserve">to any of the following: </w:t>
      </w:r>
    </w:p>
    <w:p w:rsidR="00725CEC" w:rsidRPr="00247465" w:rsidRDefault="00725CEC" w:rsidP="0065256D">
      <w:pPr>
        <w:pStyle w:val="MIRSubsubpara"/>
        <w:tabs>
          <w:tab w:val="clear" w:pos="1701"/>
          <w:tab w:val="num" w:pos="1700"/>
        </w:tabs>
        <w:ind w:left="1700"/>
      </w:pPr>
      <w:r w:rsidRPr="00247465">
        <w:t xml:space="preserve">a person acting as agent on behalf of the Participant, to the extent there is a legitimate business reason for the person to have access to the Regulatory Data; </w:t>
      </w:r>
    </w:p>
    <w:p w:rsidR="00725CEC" w:rsidRPr="00247465" w:rsidRDefault="00725CEC" w:rsidP="0065256D">
      <w:pPr>
        <w:pStyle w:val="MIRSubsubpara"/>
        <w:tabs>
          <w:tab w:val="clear" w:pos="1701"/>
          <w:tab w:val="num" w:pos="1700"/>
        </w:tabs>
        <w:ind w:left="1700"/>
      </w:pPr>
      <w:r w:rsidRPr="00247465">
        <w:t xml:space="preserve">the Market Operator to which the Regulatory Data is provided; or </w:t>
      </w:r>
    </w:p>
    <w:p w:rsidR="00725CEC" w:rsidRPr="00247465" w:rsidRDefault="00725CEC" w:rsidP="0065256D">
      <w:pPr>
        <w:pStyle w:val="MIRSubsubpara"/>
        <w:tabs>
          <w:tab w:val="clear" w:pos="1701"/>
          <w:tab w:val="num" w:pos="1700"/>
        </w:tabs>
        <w:ind w:left="1700"/>
      </w:pPr>
      <w:r w:rsidRPr="00247465">
        <w:t xml:space="preserve">ASIC; </w:t>
      </w:r>
    </w:p>
    <w:p w:rsidR="00725CEC" w:rsidRPr="00247465" w:rsidRDefault="00725CEC" w:rsidP="0065256D">
      <w:pPr>
        <w:pStyle w:val="MIRSubpara"/>
        <w:ind w:left="1275"/>
      </w:pPr>
      <w:r w:rsidRPr="00247465">
        <w:t xml:space="preserve">for the purposes of seeking legal advice; or </w:t>
      </w:r>
    </w:p>
    <w:p w:rsidR="00725CEC" w:rsidRPr="00247465" w:rsidRDefault="00725CEC" w:rsidP="0065256D">
      <w:pPr>
        <w:pStyle w:val="MIRSubpara"/>
        <w:ind w:left="1275"/>
      </w:pPr>
      <w:r w:rsidRPr="00247465">
        <w:t xml:space="preserve">as otherwise required or permitted by law, </w:t>
      </w:r>
    </w:p>
    <w:p w:rsidR="00725CEC" w:rsidRPr="00247465" w:rsidRDefault="00725CEC" w:rsidP="0065256D">
      <w:pPr>
        <w:pStyle w:val="MIRBodyText"/>
        <w:ind w:left="850"/>
      </w:pPr>
      <w:r w:rsidRPr="00247465">
        <w:t>and must take reasonable steps to ensure that a person referred to in subparagraph (a)(</w:t>
      </w:r>
      <w:proofErr w:type="spellStart"/>
      <w:r w:rsidRPr="00247465">
        <w:t>i</w:t>
      </w:r>
      <w:proofErr w:type="spellEnd"/>
      <w:r w:rsidRPr="00247465">
        <w:t xml:space="preserve">) does not disclose the Regulatory Data to any person other than a person referred to in paragraph (a), or in accordance with paragraphs (b) or (c). </w:t>
      </w:r>
    </w:p>
    <w:p w:rsidR="000E5966" w:rsidRPr="00247465" w:rsidRDefault="000E5966" w:rsidP="0065256D">
      <w:pPr>
        <w:pStyle w:val="MIRPenalty"/>
        <w:ind w:left="850"/>
      </w:pPr>
      <w:r w:rsidRPr="00247465">
        <w:t>Maximum penalty: $1,000,000</w:t>
      </w:r>
    </w:p>
    <w:p w:rsidR="00725CEC" w:rsidRPr="00247465" w:rsidRDefault="00725CEC" w:rsidP="002C2A97">
      <w:pPr>
        <w:pStyle w:val="MIRHeading3"/>
        <w:ind w:left="1701"/>
      </w:pPr>
      <w:r w:rsidRPr="00247465">
        <w:t>5A.</w:t>
      </w:r>
      <w:r w:rsidR="00867EC5" w:rsidRPr="00247465">
        <w:t>2</w:t>
      </w:r>
      <w:r w:rsidRPr="00247465">
        <w:t>.</w:t>
      </w:r>
      <w:r w:rsidR="00867EC5" w:rsidRPr="00247465">
        <w:t>2</w:t>
      </w:r>
      <w:r w:rsidRPr="00247465">
        <w:t xml:space="preserve"> Market Operator to record Regulatory Data </w:t>
      </w:r>
    </w:p>
    <w:p w:rsidR="00725CEC" w:rsidRPr="00247465" w:rsidRDefault="00725CEC" w:rsidP="0065256D">
      <w:pPr>
        <w:pStyle w:val="MIRBodyText"/>
        <w:ind w:left="850"/>
      </w:pPr>
      <w:r w:rsidRPr="00247465">
        <w:t xml:space="preserve">(1) A Market Operator must keep a record of Regulatory Data provided to it by a Participant in a record of: </w:t>
      </w:r>
    </w:p>
    <w:p w:rsidR="009B1206" w:rsidRPr="00247465" w:rsidRDefault="00A47F47" w:rsidP="0065256D">
      <w:pPr>
        <w:pStyle w:val="MIRSubpara"/>
        <w:numPr>
          <w:ilvl w:val="0"/>
          <w:numId w:val="44"/>
        </w:numPr>
        <w:ind w:left="1275"/>
      </w:pPr>
      <w:r w:rsidRPr="00247465">
        <w:t xml:space="preserve">a </w:t>
      </w:r>
      <w:r w:rsidR="002063D0" w:rsidRPr="00247465">
        <w:t xml:space="preserve">new Order that </w:t>
      </w:r>
      <w:r w:rsidRPr="00247465">
        <w:t>is</w:t>
      </w:r>
      <w:r w:rsidR="002063D0" w:rsidRPr="00247465">
        <w:t xml:space="preserve"> received</w:t>
      </w:r>
      <w:r w:rsidRPr="00247465">
        <w:t>,</w:t>
      </w:r>
      <w:r w:rsidR="002063D0" w:rsidRPr="00247465">
        <w:t xml:space="preserve"> </w:t>
      </w:r>
      <w:r w:rsidR="00324231" w:rsidRPr="00247465">
        <w:t xml:space="preserve">or </w:t>
      </w:r>
      <w:r w:rsidR="002063D0" w:rsidRPr="00247465">
        <w:t xml:space="preserve">an existing Order that </w:t>
      </w:r>
      <w:r w:rsidRPr="00247465">
        <w:t>is</w:t>
      </w:r>
      <w:r w:rsidR="002063D0" w:rsidRPr="00247465">
        <w:t xml:space="preserve"> amended, matched or cancelled</w:t>
      </w:r>
      <w:r w:rsidR="00324231" w:rsidRPr="00247465">
        <w:t>,</w:t>
      </w:r>
      <w:r w:rsidR="009B1206" w:rsidRPr="00247465">
        <w:t xml:space="preserve"> on an Order Book of the Market;</w:t>
      </w:r>
    </w:p>
    <w:p w:rsidR="00725CEC" w:rsidRPr="00247465" w:rsidRDefault="009B1206" w:rsidP="0065256D">
      <w:pPr>
        <w:pStyle w:val="MIRSubpara"/>
        <w:numPr>
          <w:ilvl w:val="0"/>
          <w:numId w:val="44"/>
        </w:numPr>
        <w:ind w:left="1275"/>
      </w:pPr>
      <w:r w:rsidRPr="00247465">
        <w:t>a Transaction on an Order Book of the Market</w:t>
      </w:r>
      <w:r w:rsidR="00725CEC" w:rsidRPr="00247465">
        <w:t xml:space="preserve">; and </w:t>
      </w:r>
    </w:p>
    <w:p w:rsidR="00725CEC" w:rsidRPr="00247465" w:rsidRDefault="00725CEC" w:rsidP="0065256D">
      <w:pPr>
        <w:pStyle w:val="MIRSubpara"/>
        <w:ind w:left="1275"/>
      </w:pPr>
      <w:r w:rsidRPr="00247465">
        <w:t>a Trade Report</w:t>
      </w:r>
      <w:r w:rsidR="008B0AFC" w:rsidRPr="00247465">
        <w:t xml:space="preserve"> accepted by the Market Operator</w:t>
      </w:r>
      <w:r w:rsidRPr="00247465">
        <w:t xml:space="preserve">. </w:t>
      </w:r>
    </w:p>
    <w:p w:rsidR="00725CEC" w:rsidRPr="00247465" w:rsidRDefault="00725CEC" w:rsidP="0065256D">
      <w:pPr>
        <w:pStyle w:val="MIRBodyText"/>
        <w:ind w:left="850"/>
      </w:pPr>
      <w:r w:rsidRPr="00247465">
        <w:t>(2) A Market Operator must not use or disclose Regulatory Data referred to in subrule (1) other than</w:t>
      </w:r>
      <w:r w:rsidR="00726C7E" w:rsidRPr="00247465">
        <w:t xml:space="preserve"> by</w:t>
      </w:r>
      <w:r w:rsidRPr="00247465">
        <w:t xml:space="preserve">: </w:t>
      </w:r>
    </w:p>
    <w:p w:rsidR="00725CEC" w:rsidRPr="00247465" w:rsidRDefault="00725CEC" w:rsidP="0065256D">
      <w:pPr>
        <w:pStyle w:val="MIRSubpara"/>
        <w:numPr>
          <w:ilvl w:val="0"/>
          <w:numId w:val="45"/>
        </w:numPr>
        <w:ind w:left="1275"/>
      </w:pPr>
      <w:r w:rsidRPr="00247465">
        <w:t xml:space="preserve">providing the Regulatory Data to ASIC; </w:t>
      </w:r>
    </w:p>
    <w:p w:rsidR="00E64F1A" w:rsidRPr="00247465" w:rsidRDefault="00E64F1A" w:rsidP="0065256D">
      <w:pPr>
        <w:pStyle w:val="MIRSubpara"/>
        <w:ind w:left="1275"/>
      </w:pPr>
      <w:r w:rsidRPr="00247465">
        <w:t xml:space="preserve">disclosing the Regulatory Data to a person acting as agent for the Market Operator; </w:t>
      </w:r>
    </w:p>
    <w:p w:rsidR="00725CEC" w:rsidRPr="00247465" w:rsidRDefault="00725CEC" w:rsidP="0065256D">
      <w:pPr>
        <w:pStyle w:val="MIRSubpara"/>
        <w:ind w:left="1275"/>
      </w:pPr>
      <w:r w:rsidRPr="00247465">
        <w:t xml:space="preserve">making available to </w:t>
      </w:r>
      <w:r w:rsidR="005A6A44" w:rsidRPr="00247465">
        <w:t>a</w:t>
      </w:r>
      <w:r w:rsidRPr="00247465">
        <w:t xml:space="preserve"> Participant, or a person acting</w:t>
      </w:r>
      <w:r w:rsidR="00E64F1A" w:rsidRPr="00247465">
        <w:t xml:space="preserve"> as agent</w:t>
      </w:r>
      <w:r w:rsidRPr="00247465">
        <w:t xml:space="preserve"> on behalf of the Participant, the Regulatory Data </w:t>
      </w:r>
      <w:r w:rsidR="005A6A44" w:rsidRPr="00247465">
        <w:t>provided by that Participant</w:t>
      </w:r>
      <w:r w:rsidRPr="00247465">
        <w:t>;</w:t>
      </w:r>
      <w:r w:rsidR="00272301" w:rsidRPr="00247465">
        <w:t xml:space="preserve"> </w:t>
      </w:r>
      <w:r w:rsidRPr="00247465">
        <w:t xml:space="preserve">or </w:t>
      </w:r>
    </w:p>
    <w:p w:rsidR="00383DF8" w:rsidRPr="00247465" w:rsidRDefault="00726C7E" w:rsidP="0065256D">
      <w:pPr>
        <w:pStyle w:val="MIRSubpara"/>
        <w:ind w:left="1275"/>
      </w:pPr>
      <w:r w:rsidRPr="00247465">
        <w:t>using or disc</w:t>
      </w:r>
      <w:r w:rsidR="00033407" w:rsidRPr="00247465">
        <w:t>l</w:t>
      </w:r>
      <w:r w:rsidRPr="00247465">
        <w:t xml:space="preserve">osing the Regulatory Data for </w:t>
      </w:r>
      <w:r w:rsidR="00725CEC" w:rsidRPr="00247465">
        <w:t>a purpose that is otherwise required or permitted by</w:t>
      </w:r>
      <w:r w:rsidR="00324231" w:rsidRPr="00247465">
        <w:t xml:space="preserve"> law</w:t>
      </w:r>
      <w:r w:rsidR="00E64F1A" w:rsidRPr="00247465">
        <w:t>,</w:t>
      </w:r>
    </w:p>
    <w:p w:rsidR="00E64F1A" w:rsidRPr="00247465" w:rsidRDefault="00E64F1A" w:rsidP="0065256D">
      <w:pPr>
        <w:pStyle w:val="MIRSubpara"/>
        <w:numPr>
          <w:ilvl w:val="0"/>
          <w:numId w:val="0"/>
        </w:numPr>
        <w:ind w:left="849"/>
      </w:pPr>
      <w:r w:rsidRPr="00247465">
        <w:t xml:space="preserve">and must take reasonable steps to ensure that a person referred to in paragraph (b) does not use or disclose the Regulatory Data other in accordance with paragraphs (a), (c) or (d). </w:t>
      </w:r>
    </w:p>
    <w:p w:rsidR="00725CEC" w:rsidRPr="00247465" w:rsidRDefault="00725CEC" w:rsidP="0065256D">
      <w:pPr>
        <w:pStyle w:val="MIRNote"/>
        <w:ind w:left="1700"/>
      </w:pPr>
      <w:r w:rsidRPr="00247465">
        <w:t xml:space="preserve">Note: A Market Operator is required to provide Regulatory Data to ASIC under Chapter 7 of the </w:t>
      </w:r>
      <w:r w:rsidRPr="00247465">
        <w:rPr>
          <w:i/>
          <w:iCs/>
        </w:rPr>
        <w:t xml:space="preserve">ASIC Market Integrity Rules (ASX Market) 2010 </w:t>
      </w:r>
      <w:r w:rsidRPr="00247465">
        <w:t xml:space="preserve">and Chapter 7 of the </w:t>
      </w:r>
      <w:r w:rsidRPr="00247465">
        <w:rPr>
          <w:i/>
          <w:iCs/>
        </w:rPr>
        <w:t>ASIC Market Integrity Rules (Chi-X Australia Market) 2011</w:t>
      </w:r>
      <w:r w:rsidRPr="00247465">
        <w:t xml:space="preserve">. </w:t>
      </w:r>
    </w:p>
    <w:p w:rsidR="000E5966" w:rsidRPr="00247465" w:rsidRDefault="000E5966" w:rsidP="0065256D">
      <w:pPr>
        <w:pStyle w:val="MIRPenalty"/>
        <w:ind w:left="850"/>
      </w:pPr>
      <w:r w:rsidRPr="00247465">
        <w:lastRenderedPageBreak/>
        <w:t>Maximum penalty: $1,000,000</w:t>
      </w:r>
    </w:p>
    <w:p w:rsidR="00725CEC" w:rsidRPr="00247465" w:rsidRDefault="00725CEC" w:rsidP="002C2A97">
      <w:pPr>
        <w:pStyle w:val="MIRHeading3"/>
        <w:ind w:left="1701"/>
      </w:pPr>
      <w:r w:rsidRPr="00247465">
        <w:t>5A.</w:t>
      </w:r>
      <w:r w:rsidR="00867EC5" w:rsidRPr="00247465">
        <w:t>2</w:t>
      </w:r>
      <w:r w:rsidRPr="00247465">
        <w:t>.</w:t>
      </w:r>
      <w:r w:rsidR="00867EC5" w:rsidRPr="00247465">
        <w:t>3</w:t>
      </w:r>
      <w:r w:rsidRPr="00247465">
        <w:t xml:space="preserve"> Regulatory Data </w:t>
      </w:r>
    </w:p>
    <w:p w:rsidR="00725CEC" w:rsidRPr="00247465" w:rsidRDefault="00725CEC" w:rsidP="0065256D">
      <w:pPr>
        <w:pStyle w:val="MIRBodyText"/>
        <w:ind w:left="850"/>
      </w:pPr>
      <w:r w:rsidRPr="00247465">
        <w:t xml:space="preserve">(1) In these Rules, </w:t>
      </w:r>
      <w:r w:rsidRPr="00247465">
        <w:rPr>
          <w:b/>
          <w:bCs/>
          <w:i/>
          <w:iCs/>
        </w:rPr>
        <w:t xml:space="preserve">Regulatory Data </w:t>
      </w:r>
      <w:r w:rsidRPr="00247465">
        <w:t xml:space="preserve">means: </w:t>
      </w:r>
    </w:p>
    <w:p w:rsidR="00725CEC" w:rsidRPr="00247465" w:rsidRDefault="00725CEC" w:rsidP="0065256D">
      <w:pPr>
        <w:pStyle w:val="MIRSubpara"/>
        <w:numPr>
          <w:ilvl w:val="0"/>
          <w:numId w:val="46"/>
        </w:numPr>
        <w:ind w:left="1275"/>
      </w:pPr>
      <w:r w:rsidRPr="00247465">
        <w:t xml:space="preserve">in relation to a Trade Report, the information set out in items 1 to 5 of the following Table; and </w:t>
      </w:r>
    </w:p>
    <w:p w:rsidR="00725CEC" w:rsidRPr="00247465" w:rsidRDefault="00725CEC" w:rsidP="0065256D">
      <w:pPr>
        <w:pStyle w:val="MIRSubpara"/>
        <w:ind w:left="1275"/>
      </w:pPr>
      <w:r w:rsidRPr="00247465">
        <w:t xml:space="preserve">in relation to an Order transmitted to an Order Book and any Transaction resulting from that Order, the information set out in items 2 to 5 of the following Table. </w:t>
      </w:r>
    </w:p>
    <w:p w:rsidR="00725CEC" w:rsidRPr="00247465" w:rsidRDefault="00725CEC" w:rsidP="0065256D">
      <w:pPr>
        <w:pStyle w:val="MIRBodyText"/>
        <w:ind w:left="850"/>
      </w:pPr>
      <w:r w:rsidRPr="00247465">
        <w:t xml:space="preserve">(2) The information in items 3, 4 and 5 of the following Table does not need to be provided by a Participant if the Participant has taken all reasonable steps to determine the information and is unable to do so. </w:t>
      </w:r>
    </w:p>
    <w:p w:rsidR="00BB1FED" w:rsidRPr="00247465" w:rsidRDefault="00BB1FED" w:rsidP="00BB1FED">
      <w:pPr>
        <w:pStyle w:val="MIRBodyText"/>
      </w:pPr>
      <w:r w:rsidRPr="00247465">
        <w:t>(3) ASIC may determine and publish on its website a notification of format or content requirements for a code, notation or number referred to in the following Table.</w:t>
      </w:r>
    </w:p>
    <w:p w:rsidR="00BB1FED" w:rsidRPr="00247465" w:rsidRDefault="00BB1FED" w:rsidP="00BB1FED">
      <w:pPr>
        <w:pStyle w:val="MIRBodyText"/>
      </w:pPr>
      <w:r w:rsidRPr="00247465">
        <w:t>(4) Participants and Market Operators must provide or record Regulatory Data in Orders</w:t>
      </w:r>
      <w:r w:rsidR="00630C79" w:rsidRPr="00247465">
        <w:t>, Transactions</w:t>
      </w:r>
      <w:r w:rsidRPr="00247465">
        <w:t xml:space="preserve"> and Trade Reports in accordance with requirements notified by ASIC under subrule (3) within the timeframe specified in the notification, </w:t>
      </w:r>
      <w:r w:rsidR="00000EA6" w:rsidRPr="00247465">
        <w:t xml:space="preserve">if </w:t>
      </w:r>
      <w:r w:rsidRPr="00247465">
        <w:t xml:space="preserve">the timeframe specified in the notification is reasonable. </w:t>
      </w:r>
    </w:p>
    <w:p w:rsidR="00725CEC" w:rsidRPr="00247465" w:rsidRDefault="00725CEC" w:rsidP="0065256D">
      <w:pPr>
        <w:pStyle w:val="MIRBodyText"/>
      </w:pPr>
      <w:r w:rsidRPr="00247465">
        <w:t>(</w:t>
      </w:r>
      <w:r w:rsidR="00CC3DB2" w:rsidRPr="00247465">
        <w:t>5</w:t>
      </w:r>
      <w:r w:rsidRPr="00247465">
        <w:t xml:space="preserve">) Where a Participant provides a notation, code or number to identify information set out in items 1 to 5 of the following Table in an Order or Trade Report, it must take all reasonable steps to consistently provide the same code, notation or number to identify the same information in subsequent Orders or Trade Reports. </w:t>
      </w:r>
    </w:p>
    <w:p w:rsidR="00305EC4" w:rsidRPr="00247465" w:rsidRDefault="00305EC4" w:rsidP="0065256D">
      <w:pPr>
        <w:pStyle w:val="MIRBodyText"/>
      </w:pPr>
    </w:p>
    <w:tbl>
      <w:tblPr>
        <w:tblW w:w="4885" w:type="pct"/>
        <w:tblInd w:w="108" w:type="dxa"/>
        <w:tblBorders>
          <w:top w:val="single" w:sz="4" w:space="0" w:color="999999"/>
          <w:bottom w:val="single" w:sz="4" w:space="0" w:color="999999"/>
          <w:insideH w:val="single" w:sz="4" w:space="0" w:color="999999"/>
        </w:tblBorders>
        <w:tblCellMar>
          <w:bottom w:w="113" w:type="dxa"/>
        </w:tblCellMar>
        <w:tblLook w:val="0000"/>
      </w:tblPr>
      <w:tblGrid>
        <w:gridCol w:w="773"/>
        <w:gridCol w:w="1559"/>
        <w:gridCol w:w="6740"/>
      </w:tblGrid>
      <w:tr w:rsidR="00940787" w:rsidRPr="00247465" w:rsidTr="00305EC4">
        <w:trPr>
          <w:cantSplit/>
          <w:tblHeader/>
        </w:trPr>
        <w:tc>
          <w:tcPr>
            <w:tcW w:w="426" w:type="pct"/>
            <w:shd w:val="clear" w:color="auto" w:fill="C2E3FA"/>
          </w:tcPr>
          <w:p w:rsidR="00940787" w:rsidRPr="00247465" w:rsidRDefault="00940787" w:rsidP="00E463BB">
            <w:pPr>
              <w:pStyle w:val="tablehead"/>
            </w:pPr>
            <w:r w:rsidRPr="00247465">
              <w:t>Item</w:t>
            </w:r>
          </w:p>
        </w:tc>
        <w:tc>
          <w:tcPr>
            <w:tcW w:w="859" w:type="pct"/>
            <w:shd w:val="clear" w:color="auto" w:fill="C2E3FA"/>
          </w:tcPr>
          <w:p w:rsidR="00940787" w:rsidRPr="00247465" w:rsidRDefault="00940787" w:rsidP="00E463BB">
            <w:pPr>
              <w:pStyle w:val="tablehead"/>
            </w:pPr>
            <w:r w:rsidRPr="00247465">
              <w:t>Label</w:t>
            </w:r>
          </w:p>
        </w:tc>
        <w:tc>
          <w:tcPr>
            <w:tcW w:w="3715" w:type="pct"/>
            <w:shd w:val="clear" w:color="auto" w:fill="C2E3FA"/>
          </w:tcPr>
          <w:p w:rsidR="00940787" w:rsidRPr="00247465" w:rsidRDefault="00940787" w:rsidP="00E463BB">
            <w:pPr>
              <w:pStyle w:val="tablehead"/>
            </w:pPr>
            <w:r w:rsidRPr="00247465">
              <w:t>Regulatory Data</w:t>
            </w:r>
          </w:p>
        </w:tc>
      </w:tr>
      <w:tr w:rsidR="00940787" w:rsidRPr="00247465" w:rsidTr="00305EC4">
        <w:trPr>
          <w:cantSplit/>
        </w:trPr>
        <w:tc>
          <w:tcPr>
            <w:tcW w:w="426" w:type="pct"/>
          </w:tcPr>
          <w:p w:rsidR="00940787" w:rsidRPr="00247465" w:rsidRDefault="00940787" w:rsidP="00E463BB">
            <w:pPr>
              <w:pStyle w:val="tbltext"/>
            </w:pPr>
            <w:r w:rsidRPr="00247465">
              <w:t>1</w:t>
            </w:r>
          </w:p>
        </w:tc>
        <w:tc>
          <w:tcPr>
            <w:tcW w:w="859" w:type="pct"/>
          </w:tcPr>
          <w:p w:rsidR="00940787" w:rsidRPr="00247465" w:rsidRDefault="00940787" w:rsidP="00E463BB">
            <w:pPr>
              <w:pStyle w:val="tbltext"/>
            </w:pPr>
            <w:r w:rsidRPr="00247465">
              <w:t>Execution venue</w:t>
            </w:r>
          </w:p>
        </w:tc>
        <w:tc>
          <w:tcPr>
            <w:tcW w:w="3715" w:type="pct"/>
          </w:tcPr>
          <w:p w:rsidR="00940787" w:rsidRPr="00247465" w:rsidRDefault="00940787" w:rsidP="00E463BB">
            <w:pPr>
              <w:pStyle w:val="tbltext"/>
            </w:pPr>
            <w:r w:rsidRPr="00247465">
              <w:t>A code identifying the Market, Crossing System or other facility on which the Orders were matched or the Transaction was executed</w:t>
            </w:r>
          </w:p>
        </w:tc>
      </w:tr>
      <w:tr w:rsidR="00940787" w:rsidRPr="00247465" w:rsidTr="00305EC4">
        <w:trPr>
          <w:cantSplit/>
        </w:trPr>
        <w:tc>
          <w:tcPr>
            <w:tcW w:w="426" w:type="pct"/>
          </w:tcPr>
          <w:p w:rsidR="00940787" w:rsidRPr="00247465" w:rsidRDefault="00940787" w:rsidP="00E463BB">
            <w:pPr>
              <w:pStyle w:val="tbltext"/>
            </w:pPr>
            <w:r w:rsidRPr="00247465">
              <w:t>2</w:t>
            </w:r>
          </w:p>
        </w:tc>
        <w:tc>
          <w:tcPr>
            <w:tcW w:w="859" w:type="pct"/>
          </w:tcPr>
          <w:p w:rsidR="00940787" w:rsidRPr="00247465" w:rsidRDefault="00940787" w:rsidP="00E463BB">
            <w:pPr>
              <w:pStyle w:val="tbltext"/>
            </w:pPr>
            <w:r w:rsidRPr="00247465">
              <w:t>Capacity of Participant</w:t>
            </w:r>
          </w:p>
        </w:tc>
        <w:tc>
          <w:tcPr>
            <w:tcW w:w="3715" w:type="pct"/>
          </w:tcPr>
          <w:p w:rsidR="00940787" w:rsidRPr="00247465" w:rsidRDefault="00940787" w:rsidP="00E463BB">
            <w:pPr>
              <w:pStyle w:val="tbltext"/>
            </w:pPr>
            <w:r w:rsidRPr="00247465">
              <w:t xml:space="preserve">For each side (buy and/or sell) of the Order or Transaction on which the Participant is required to comply with subrule 5A.2.1(1) </w:t>
            </w:r>
            <w:r w:rsidR="0079270A" w:rsidRPr="00247465">
              <w:t>or</w:t>
            </w:r>
            <w:r w:rsidRPr="00247465">
              <w:t xml:space="preserve"> (2), a notation to identify whether the Participant is acting as:</w:t>
            </w:r>
          </w:p>
          <w:p w:rsidR="00940787" w:rsidRPr="00247465" w:rsidRDefault="00940787" w:rsidP="00E463BB">
            <w:pPr>
              <w:pStyle w:val="tbltext"/>
              <w:ind w:left="284" w:hanging="284"/>
            </w:pPr>
            <w:r w:rsidRPr="00247465">
              <w:t>(a)</w:t>
            </w:r>
            <w:r w:rsidRPr="00247465">
              <w:tab/>
              <w:t xml:space="preserve">as Principal; </w:t>
            </w:r>
          </w:p>
          <w:p w:rsidR="00940787" w:rsidRPr="00247465" w:rsidRDefault="00940787" w:rsidP="00E463BB">
            <w:pPr>
              <w:pStyle w:val="tbltext"/>
              <w:ind w:left="284" w:hanging="284"/>
            </w:pPr>
            <w:r w:rsidRPr="00247465">
              <w:t>(b)</w:t>
            </w:r>
            <w:r w:rsidRPr="00247465">
              <w:tab/>
              <w:t>as agent for a client; or</w:t>
            </w:r>
          </w:p>
          <w:p w:rsidR="00940787" w:rsidRPr="00247465" w:rsidRDefault="00940787" w:rsidP="00E463BB">
            <w:pPr>
              <w:pStyle w:val="tbltext"/>
              <w:ind w:left="284" w:hanging="284"/>
            </w:pPr>
            <w:r w:rsidRPr="00247465">
              <w:t>(c)</w:t>
            </w:r>
            <w:r w:rsidRPr="00247465">
              <w:tab/>
              <w:t xml:space="preserve">as both Principal and agent for a client, </w:t>
            </w:r>
          </w:p>
          <w:p w:rsidR="00940787" w:rsidRPr="00247465" w:rsidRDefault="00940787" w:rsidP="00E463BB">
            <w:pPr>
              <w:pStyle w:val="tablebullet"/>
              <w:numPr>
                <w:ilvl w:val="0"/>
                <w:numId w:val="0"/>
              </w:numPr>
            </w:pPr>
            <w:r w:rsidRPr="00247465">
              <w:t>in relation to the Order or Transaction</w:t>
            </w:r>
          </w:p>
        </w:tc>
      </w:tr>
      <w:tr w:rsidR="00940787" w:rsidRPr="00247465" w:rsidTr="00305EC4">
        <w:trPr>
          <w:cantSplit/>
        </w:trPr>
        <w:tc>
          <w:tcPr>
            <w:tcW w:w="426" w:type="pct"/>
          </w:tcPr>
          <w:p w:rsidR="00940787" w:rsidRPr="00247465" w:rsidRDefault="00940787" w:rsidP="00E463BB">
            <w:pPr>
              <w:pStyle w:val="tbltext"/>
            </w:pPr>
            <w:r w:rsidRPr="00247465">
              <w:t>3</w:t>
            </w:r>
          </w:p>
        </w:tc>
        <w:tc>
          <w:tcPr>
            <w:tcW w:w="859" w:type="pct"/>
          </w:tcPr>
          <w:p w:rsidR="00940787" w:rsidRPr="00247465" w:rsidRDefault="00940787" w:rsidP="00E463BB">
            <w:pPr>
              <w:pStyle w:val="tbltext"/>
            </w:pPr>
            <w:r w:rsidRPr="00247465">
              <w:t>Origin of Order or Transaction</w:t>
            </w:r>
          </w:p>
        </w:tc>
        <w:tc>
          <w:tcPr>
            <w:tcW w:w="3715" w:type="pct"/>
          </w:tcPr>
          <w:p w:rsidR="00940787" w:rsidRPr="00247465" w:rsidRDefault="00940787" w:rsidP="00E463BB">
            <w:pPr>
              <w:pStyle w:val="tbltext"/>
            </w:pPr>
            <w:r w:rsidRPr="00247465">
              <w:t>For each side (buy and/or sell) of the Order or Transaction on which the Participant acts as agent for a client, a unique notation, code or number used by the Participant to identify the person on whose instructions the Order is submitted or Transaction was executed</w:t>
            </w:r>
          </w:p>
        </w:tc>
      </w:tr>
      <w:tr w:rsidR="00940787" w:rsidRPr="00247465" w:rsidTr="00305EC4">
        <w:trPr>
          <w:cantSplit/>
        </w:trPr>
        <w:tc>
          <w:tcPr>
            <w:tcW w:w="426" w:type="pct"/>
          </w:tcPr>
          <w:p w:rsidR="00940787" w:rsidRPr="00247465" w:rsidRDefault="00940787" w:rsidP="00E463BB">
            <w:pPr>
              <w:pStyle w:val="tbltext"/>
            </w:pPr>
            <w:r w:rsidRPr="00247465">
              <w:lastRenderedPageBreak/>
              <w:t>4</w:t>
            </w:r>
          </w:p>
        </w:tc>
        <w:tc>
          <w:tcPr>
            <w:tcW w:w="859" w:type="pct"/>
          </w:tcPr>
          <w:p w:rsidR="00940787" w:rsidRPr="00247465" w:rsidRDefault="00940787" w:rsidP="00E463BB">
            <w:pPr>
              <w:pStyle w:val="tbltext"/>
            </w:pPr>
            <w:r w:rsidRPr="00247465">
              <w:t>Intermediary ID</w:t>
            </w:r>
          </w:p>
        </w:tc>
        <w:tc>
          <w:tcPr>
            <w:tcW w:w="3715" w:type="pct"/>
          </w:tcPr>
          <w:p w:rsidR="00940787" w:rsidRPr="00247465" w:rsidRDefault="00940787" w:rsidP="00E463BB">
            <w:pPr>
              <w:pStyle w:val="tbltext"/>
            </w:pPr>
            <w:r w:rsidRPr="00247465">
              <w:t xml:space="preserve">For each side (buy and/or sell) of the Order or Transaction on which: </w:t>
            </w:r>
          </w:p>
          <w:p w:rsidR="00940787" w:rsidRPr="00247465" w:rsidRDefault="00940787" w:rsidP="00E463BB">
            <w:pPr>
              <w:pStyle w:val="tbltext"/>
              <w:ind w:left="284" w:hanging="284"/>
            </w:pPr>
            <w:r w:rsidRPr="00247465">
              <w:t>(a)</w:t>
            </w:r>
            <w:r w:rsidRPr="00247465">
              <w:tab/>
              <w:t>the Participant acts as agent for an AOP Client that is an AFSL holder; and</w:t>
            </w:r>
          </w:p>
          <w:p w:rsidR="00940787" w:rsidRPr="00247465" w:rsidRDefault="00940787" w:rsidP="00E463BB">
            <w:pPr>
              <w:pStyle w:val="tbltext"/>
              <w:ind w:left="284" w:hanging="284"/>
            </w:pPr>
            <w:r w:rsidRPr="00247465">
              <w:t>(b)</w:t>
            </w:r>
            <w:r w:rsidRPr="00247465">
              <w:tab/>
              <w:t>the Participant has an arrangement with the AFSL holder under which the AFSL holder submits Trading Messages into the Participant’s system as intermediary for its own clients,</w:t>
            </w:r>
          </w:p>
          <w:p w:rsidR="00940787" w:rsidRPr="00247465" w:rsidRDefault="00940787" w:rsidP="00E463BB">
            <w:pPr>
              <w:pStyle w:val="tbltext"/>
            </w:pPr>
            <w:r w:rsidRPr="00247465">
              <w:t>the AFSL number of the AFSL holder</w:t>
            </w:r>
          </w:p>
        </w:tc>
      </w:tr>
      <w:tr w:rsidR="00940787" w:rsidRPr="00247465" w:rsidTr="00305EC4">
        <w:trPr>
          <w:cantSplit/>
        </w:trPr>
        <w:tc>
          <w:tcPr>
            <w:tcW w:w="426" w:type="pct"/>
          </w:tcPr>
          <w:p w:rsidR="00940787" w:rsidRPr="00247465" w:rsidRDefault="00940787" w:rsidP="00E463BB">
            <w:pPr>
              <w:pStyle w:val="tbltext"/>
            </w:pPr>
            <w:r w:rsidRPr="00247465">
              <w:t>5</w:t>
            </w:r>
          </w:p>
        </w:tc>
        <w:tc>
          <w:tcPr>
            <w:tcW w:w="859" w:type="pct"/>
          </w:tcPr>
          <w:p w:rsidR="00940787" w:rsidRPr="00247465" w:rsidRDefault="00940787" w:rsidP="00E463BB">
            <w:pPr>
              <w:pStyle w:val="tbltext"/>
            </w:pPr>
            <w:r w:rsidRPr="00247465">
              <w:t>Directed wholesale indicator</w:t>
            </w:r>
          </w:p>
        </w:tc>
        <w:tc>
          <w:tcPr>
            <w:tcW w:w="3715" w:type="pct"/>
          </w:tcPr>
          <w:p w:rsidR="00940787" w:rsidRPr="00247465" w:rsidRDefault="00940787" w:rsidP="00E463BB">
            <w:pPr>
              <w:pStyle w:val="tbltext"/>
            </w:pPr>
            <w:r w:rsidRPr="00247465">
              <w:t>For each side (buy and/or sell) of the Order or Transaction on which:</w:t>
            </w:r>
          </w:p>
          <w:p w:rsidR="00940787" w:rsidRPr="00247465" w:rsidRDefault="00940787" w:rsidP="00E463BB">
            <w:pPr>
              <w:pStyle w:val="tbltext"/>
              <w:ind w:left="284" w:hanging="284"/>
            </w:pPr>
            <w:r w:rsidRPr="00247465">
              <w:t>(a)</w:t>
            </w:r>
            <w:r w:rsidRPr="00247465">
              <w:tab/>
              <w:t>the Participant acts as agent for an AOP Client that is a Wholesale Client; and</w:t>
            </w:r>
          </w:p>
          <w:p w:rsidR="00940787" w:rsidRPr="00247465" w:rsidRDefault="00940787" w:rsidP="00E463BB">
            <w:pPr>
              <w:pStyle w:val="tbltext"/>
              <w:ind w:left="284" w:hanging="284"/>
            </w:pPr>
            <w:r w:rsidRPr="00247465">
              <w:t>(b)</w:t>
            </w:r>
            <w:r w:rsidRPr="00247465">
              <w:tab/>
              <w:t xml:space="preserve">the Participant has an arrangement with the Wholesale Client under which the Wholesale Client submits Trading Messages into the Participant’s system with non-discretionary execution and routing instructions, </w:t>
            </w:r>
          </w:p>
          <w:p w:rsidR="00940787" w:rsidRPr="00247465" w:rsidRDefault="00940787" w:rsidP="00E463BB">
            <w:pPr>
              <w:pStyle w:val="tbltext"/>
            </w:pPr>
            <w:r w:rsidRPr="00247465">
              <w:t>a unique notation or code to indicate this</w:t>
            </w:r>
          </w:p>
        </w:tc>
      </w:tr>
    </w:tbl>
    <w:p w:rsidR="000E5966" w:rsidRPr="00247465" w:rsidRDefault="000E5966" w:rsidP="00305EC4">
      <w:pPr>
        <w:pStyle w:val="MIRPenalty"/>
        <w:ind w:left="1275" w:right="4534"/>
      </w:pPr>
      <w:r w:rsidRPr="00247465">
        <w:t>Maximum penalty: $1,000,000</w:t>
      </w:r>
    </w:p>
    <w:p w:rsidR="00ED291D" w:rsidRPr="00247465" w:rsidRDefault="00ED291D" w:rsidP="00ED291D">
      <w:pPr>
        <w:pStyle w:val="MIRHeading3"/>
      </w:pPr>
      <w:r w:rsidRPr="00247465">
        <w:t>[1</w:t>
      </w:r>
      <w:r w:rsidR="00D653C0" w:rsidRPr="00247465">
        <w:t>37</w:t>
      </w:r>
      <w:r w:rsidRPr="00247465">
        <w:t>]</w:t>
      </w:r>
      <w:r w:rsidRPr="00247465">
        <w:tab/>
        <w:t>Before Part 6.1</w:t>
      </w:r>
    </w:p>
    <w:p w:rsidR="00ED291D" w:rsidRPr="00247465" w:rsidRDefault="00ED291D" w:rsidP="00ED291D">
      <w:pPr>
        <w:pStyle w:val="MIRBodyText"/>
        <w:rPr>
          <w:i/>
        </w:rPr>
      </w:pPr>
      <w:r w:rsidRPr="00247465">
        <w:rPr>
          <w:i/>
        </w:rPr>
        <w:t>insert</w:t>
      </w:r>
    </w:p>
    <w:p w:rsidR="00ED291D" w:rsidRPr="00247465" w:rsidRDefault="00ED291D" w:rsidP="00B4738C">
      <w:pPr>
        <w:pStyle w:val="MIRHeading2Part"/>
        <w:ind w:left="1984"/>
      </w:pPr>
      <w:r w:rsidRPr="00247465">
        <w:t xml:space="preserve">Part 6.1A Application of Chapter </w:t>
      </w:r>
    </w:p>
    <w:p w:rsidR="00ED291D" w:rsidRPr="00247465" w:rsidRDefault="00ED291D" w:rsidP="00B4738C">
      <w:pPr>
        <w:pStyle w:val="MIRHeading3"/>
        <w:ind w:left="1701"/>
      </w:pPr>
      <w:r w:rsidRPr="00247465">
        <w:t xml:space="preserve">6.1A.1 Application </w:t>
      </w:r>
    </w:p>
    <w:p w:rsidR="00771BC1" w:rsidRPr="00247465" w:rsidRDefault="00771BC1" w:rsidP="00771BC1">
      <w:pPr>
        <w:pStyle w:val="MIRSubpara"/>
        <w:numPr>
          <w:ilvl w:val="0"/>
          <w:numId w:val="12"/>
        </w:numPr>
        <w:rPr>
          <w:rFonts w:eastAsia="Calibri"/>
        </w:rPr>
      </w:pPr>
      <w:r w:rsidRPr="00247465">
        <w:rPr>
          <w:rFonts w:eastAsia="Calibri"/>
        </w:rPr>
        <w:t xml:space="preserve">This Chapter applies to: </w:t>
      </w:r>
    </w:p>
    <w:p w:rsidR="00771BC1" w:rsidRPr="00247465" w:rsidRDefault="00771BC1" w:rsidP="00771BC1">
      <w:pPr>
        <w:pStyle w:val="MIRSubpara"/>
        <w:numPr>
          <w:ilvl w:val="0"/>
          <w:numId w:val="65"/>
        </w:numPr>
        <w:rPr>
          <w:rFonts w:eastAsia="Calibri"/>
        </w:rPr>
      </w:pPr>
      <w:r w:rsidRPr="00247465">
        <w:rPr>
          <w:rFonts w:eastAsia="Calibri"/>
        </w:rPr>
        <w:t xml:space="preserve">Equity Market Operators; </w:t>
      </w:r>
    </w:p>
    <w:p w:rsidR="00771BC1" w:rsidRPr="00247465" w:rsidRDefault="00771BC1" w:rsidP="00771BC1">
      <w:pPr>
        <w:pStyle w:val="MIRSubpara"/>
        <w:rPr>
          <w:rFonts w:eastAsia="Calibri"/>
        </w:rPr>
      </w:pPr>
      <w:r w:rsidRPr="00247465">
        <w:rPr>
          <w:rFonts w:eastAsia="Calibri"/>
        </w:rPr>
        <w:t>Equity Market Participants; and</w:t>
      </w:r>
    </w:p>
    <w:p w:rsidR="00771BC1" w:rsidRPr="00247465" w:rsidRDefault="00771BC1" w:rsidP="00771BC1">
      <w:pPr>
        <w:pStyle w:val="MIRSubpara"/>
        <w:rPr>
          <w:rFonts w:eastAsia="Calibri"/>
        </w:rPr>
      </w:pPr>
      <w:r w:rsidRPr="00247465">
        <w:rPr>
          <w:rFonts w:eastAsia="Calibri"/>
        </w:rPr>
        <w:t xml:space="preserve">Equity Market Products. </w:t>
      </w:r>
    </w:p>
    <w:p w:rsidR="00ED291D" w:rsidRPr="00247465" w:rsidRDefault="00ED291D" w:rsidP="00B4738C">
      <w:pPr>
        <w:pStyle w:val="MIRNote"/>
        <w:ind w:left="2551"/>
      </w:pPr>
      <w:r w:rsidRPr="00247465">
        <w:t>Note: There is no penalty for this Rule.</w:t>
      </w:r>
    </w:p>
    <w:p w:rsidR="00C50BA8" w:rsidRPr="00247465" w:rsidRDefault="00C50BA8" w:rsidP="00C50BA8">
      <w:pPr>
        <w:pStyle w:val="MIRHeading3"/>
      </w:pPr>
      <w:r w:rsidRPr="00247465">
        <w:t>[13</w:t>
      </w:r>
      <w:r w:rsidR="00D653C0" w:rsidRPr="00247465">
        <w:t>8</w:t>
      </w:r>
      <w:r w:rsidRPr="00247465">
        <w:t>]</w:t>
      </w:r>
      <w:r w:rsidRPr="00247465">
        <w:tab/>
      </w:r>
      <w:r w:rsidR="008979BE" w:rsidRPr="00247465">
        <w:t>Paragraph</w:t>
      </w:r>
      <w:r w:rsidR="00425B6F" w:rsidRPr="00247465">
        <w:t xml:space="preserve"> 6.2.1</w:t>
      </w:r>
      <w:r w:rsidR="008979BE" w:rsidRPr="00247465">
        <w:t>(1</w:t>
      </w:r>
      <w:proofErr w:type="gramStart"/>
      <w:r w:rsidR="008979BE" w:rsidRPr="00247465">
        <w:t>)(</w:t>
      </w:r>
      <w:proofErr w:type="gramEnd"/>
      <w:r w:rsidR="008979BE" w:rsidRPr="00247465">
        <w:t>a)</w:t>
      </w:r>
    </w:p>
    <w:p w:rsidR="00C50BA8" w:rsidRPr="00247465" w:rsidRDefault="008979BE" w:rsidP="00C50BA8">
      <w:pPr>
        <w:pStyle w:val="MIRBodyText"/>
        <w:rPr>
          <w:i/>
        </w:rPr>
      </w:pPr>
      <w:r w:rsidRPr="00247465">
        <w:rPr>
          <w:i/>
        </w:rPr>
        <w:t>after “subrule 2.2.2(2)”</w:t>
      </w:r>
      <w:r w:rsidR="00305EC4" w:rsidRPr="00247465">
        <w:rPr>
          <w:i/>
        </w:rPr>
        <w:t>,</w:t>
      </w:r>
      <w:r w:rsidRPr="00247465">
        <w:rPr>
          <w:i/>
        </w:rPr>
        <w:t xml:space="preserve"> </w:t>
      </w:r>
      <w:r w:rsidR="00C50BA8" w:rsidRPr="00247465">
        <w:rPr>
          <w:i/>
        </w:rPr>
        <w:t>insert</w:t>
      </w:r>
    </w:p>
    <w:p w:rsidR="008979BE" w:rsidRPr="00247465" w:rsidRDefault="008979BE" w:rsidP="00C50BA8">
      <w:pPr>
        <w:pStyle w:val="MIRBodyText"/>
        <w:rPr>
          <w:i/>
        </w:rPr>
      </w:pPr>
      <w:r w:rsidRPr="00247465">
        <w:t>and Rules 2.2.2B and 2.2.2C</w:t>
      </w:r>
    </w:p>
    <w:p w:rsidR="00876111" w:rsidRPr="00247465" w:rsidRDefault="00876111" w:rsidP="00876111">
      <w:pPr>
        <w:pStyle w:val="MIRHeading3"/>
      </w:pPr>
      <w:r w:rsidRPr="00247465">
        <w:t>[13</w:t>
      </w:r>
      <w:r w:rsidR="007754DA" w:rsidRPr="00247465">
        <w:t>9</w:t>
      </w:r>
      <w:r w:rsidRPr="00247465">
        <w:t>]</w:t>
      </w:r>
      <w:r w:rsidRPr="00247465">
        <w:tab/>
        <w:t>Paragraph 6.2.1(</w:t>
      </w:r>
      <w:r w:rsidR="00397750" w:rsidRPr="00247465">
        <w:t>3</w:t>
      </w:r>
      <w:proofErr w:type="gramStart"/>
      <w:r w:rsidRPr="00247465">
        <w:t>)(</w:t>
      </w:r>
      <w:proofErr w:type="gramEnd"/>
      <w:r w:rsidRPr="00247465">
        <w:t>a)</w:t>
      </w:r>
    </w:p>
    <w:p w:rsidR="006767D0" w:rsidRPr="00247465" w:rsidRDefault="006767D0" w:rsidP="00876111">
      <w:pPr>
        <w:pStyle w:val="MIRBodyText"/>
        <w:rPr>
          <w:i/>
        </w:rPr>
      </w:pPr>
      <w:r w:rsidRPr="00247465">
        <w:rPr>
          <w:i/>
        </w:rPr>
        <w:t>omit the paragraph, substitute</w:t>
      </w:r>
    </w:p>
    <w:p w:rsidR="00DD38CA" w:rsidRPr="00247465" w:rsidRDefault="00DD38CA" w:rsidP="00D71390">
      <w:pPr>
        <w:pStyle w:val="MIRSubpara"/>
        <w:numPr>
          <w:ilvl w:val="0"/>
          <w:numId w:val="47"/>
        </w:numPr>
      </w:pPr>
      <w:r w:rsidRPr="00247465">
        <w:t xml:space="preserve">in the case of a notification referred to in paragraph (1)(a): </w:t>
      </w:r>
    </w:p>
    <w:p w:rsidR="00157078" w:rsidRPr="00247465" w:rsidRDefault="00157078" w:rsidP="00157078">
      <w:pPr>
        <w:pStyle w:val="MIRSubsubpara"/>
      </w:pPr>
      <w:r w:rsidRPr="00247465">
        <w:t>determining the Extreme Trade Range for an Equity Market Product;</w:t>
      </w:r>
    </w:p>
    <w:p w:rsidR="00DD38CA" w:rsidRPr="00247465" w:rsidRDefault="00DD38CA" w:rsidP="00DD38CA">
      <w:pPr>
        <w:pStyle w:val="MIRSubsubpara"/>
      </w:pPr>
      <w:r w:rsidRPr="00247465">
        <w:lastRenderedPageBreak/>
        <w:t xml:space="preserve">identifying an ETR Event in relation to an Equity Market Product; and </w:t>
      </w:r>
    </w:p>
    <w:p w:rsidR="00DD38CA" w:rsidRPr="00247465" w:rsidRDefault="00DD38CA" w:rsidP="00DD38CA">
      <w:pPr>
        <w:pStyle w:val="MIRSubsubpara"/>
      </w:pPr>
      <w:r w:rsidRPr="00247465">
        <w:t xml:space="preserve">placing an Equity Market Product into a Trading Pause, or lifting or removing that Trading Pause; </w:t>
      </w:r>
    </w:p>
    <w:p w:rsidR="00201526" w:rsidRPr="00247465" w:rsidRDefault="00201526" w:rsidP="00201526">
      <w:pPr>
        <w:pStyle w:val="MIRHeading3"/>
      </w:pPr>
      <w:r w:rsidRPr="00247465">
        <w:t>[1</w:t>
      </w:r>
      <w:r w:rsidR="007754DA" w:rsidRPr="00247465">
        <w:t>40</w:t>
      </w:r>
      <w:r w:rsidRPr="00247465">
        <w:t>]</w:t>
      </w:r>
      <w:r w:rsidRPr="00247465">
        <w:tab/>
        <w:t>Paragraph 6.2.1(3</w:t>
      </w:r>
      <w:proofErr w:type="gramStart"/>
      <w:r w:rsidRPr="00247465">
        <w:t>)(</w:t>
      </w:r>
      <w:proofErr w:type="gramEnd"/>
      <w:r w:rsidRPr="00247465">
        <w:t>b)</w:t>
      </w:r>
    </w:p>
    <w:p w:rsidR="00876111" w:rsidRPr="00247465" w:rsidRDefault="00201526" w:rsidP="00C50BA8">
      <w:pPr>
        <w:pStyle w:val="MIRBodyText"/>
        <w:rPr>
          <w:i/>
        </w:rPr>
      </w:pPr>
      <w:r w:rsidRPr="00247465">
        <w:rPr>
          <w:i/>
        </w:rPr>
        <w:t>omit</w:t>
      </w:r>
    </w:p>
    <w:p w:rsidR="00201526" w:rsidRPr="00247465" w:rsidRDefault="00201526" w:rsidP="00C50BA8">
      <w:pPr>
        <w:pStyle w:val="MIRBodyText"/>
        <w:rPr>
          <w:i/>
        </w:rPr>
      </w:pPr>
      <w:r w:rsidRPr="00247465">
        <w:t>the Listing Market Operator</w:t>
      </w:r>
    </w:p>
    <w:p w:rsidR="00201526" w:rsidRPr="00247465" w:rsidRDefault="00201526" w:rsidP="00C50BA8">
      <w:pPr>
        <w:pStyle w:val="MIRBodyText"/>
        <w:rPr>
          <w:i/>
        </w:rPr>
      </w:pPr>
      <w:r w:rsidRPr="00247465">
        <w:rPr>
          <w:i/>
        </w:rPr>
        <w:t>substitute</w:t>
      </w:r>
    </w:p>
    <w:p w:rsidR="00201526" w:rsidRPr="00247465" w:rsidRDefault="00201526" w:rsidP="00C50BA8">
      <w:pPr>
        <w:pStyle w:val="MIRBodyText"/>
        <w:rPr>
          <w:i/>
        </w:rPr>
      </w:pPr>
      <w:r w:rsidRPr="00247465">
        <w:t>ASX</w:t>
      </w:r>
    </w:p>
    <w:p w:rsidR="006B5A15" w:rsidRPr="00247465" w:rsidRDefault="006B5A15" w:rsidP="006B5A15">
      <w:pPr>
        <w:pStyle w:val="MIRHeading3"/>
      </w:pPr>
      <w:r w:rsidRPr="00247465">
        <w:t>[1</w:t>
      </w:r>
      <w:r w:rsidR="007754DA" w:rsidRPr="00247465">
        <w:t>41</w:t>
      </w:r>
      <w:r w:rsidRPr="00247465">
        <w:t>]</w:t>
      </w:r>
      <w:r w:rsidRPr="00247465">
        <w:tab/>
        <w:t>Subrule 6.2.1(6)</w:t>
      </w:r>
    </w:p>
    <w:p w:rsidR="006B5A15" w:rsidRPr="00247465" w:rsidRDefault="006B5A15" w:rsidP="006B5A15">
      <w:pPr>
        <w:pStyle w:val="MIRBodyText"/>
        <w:rPr>
          <w:i/>
        </w:rPr>
      </w:pPr>
      <w:r w:rsidRPr="00247465">
        <w:rPr>
          <w:i/>
        </w:rPr>
        <w:t>omit</w:t>
      </w:r>
    </w:p>
    <w:p w:rsidR="006B5A15" w:rsidRPr="00247465" w:rsidRDefault="006B5A15" w:rsidP="006B5A15">
      <w:pPr>
        <w:pStyle w:val="MIRBodyText"/>
        <w:rPr>
          <w:i/>
        </w:rPr>
      </w:pPr>
      <w:r w:rsidRPr="00247465">
        <w:t>The Listing Market Operator</w:t>
      </w:r>
    </w:p>
    <w:p w:rsidR="006B5A15" w:rsidRPr="00247465" w:rsidRDefault="006B5A15" w:rsidP="006B5A15">
      <w:pPr>
        <w:pStyle w:val="MIRBodyText"/>
        <w:rPr>
          <w:i/>
        </w:rPr>
      </w:pPr>
      <w:r w:rsidRPr="00247465">
        <w:rPr>
          <w:i/>
        </w:rPr>
        <w:t>substitute</w:t>
      </w:r>
    </w:p>
    <w:p w:rsidR="006B5A15" w:rsidRPr="00247465" w:rsidRDefault="006B5A15" w:rsidP="006B5A15">
      <w:pPr>
        <w:pStyle w:val="MIRBodyText"/>
        <w:rPr>
          <w:i/>
        </w:rPr>
      </w:pPr>
      <w:r w:rsidRPr="00247465">
        <w:t>ASX</w:t>
      </w:r>
    </w:p>
    <w:p w:rsidR="00C13EE6" w:rsidRPr="00247465" w:rsidRDefault="00C13EE6" w:rsidP="00C13EE6">
      <w:pPr>
        <w:pStyle w:val="MIRHeading3"/>
      </w:pPr>
      <w:r w:rsidRPr="00247465">
        <w:t>[1</w:t>
      </w:r>
      <w:r w:rsidR="007754DA" w:rsidRPr="00247465">
        <w:t>42</w:t>
      </w:r>
      <w:r w:rsidRPr="00247465">
        <w:t>]</w:t>
      </w:r>
      <w:r w:rsidRPr="00247465">
        <w:tab/>
        <w:t>Subrule 6.2.1(7)</w:t>
      </w:r>
    </w:p>
    <w:p w:rsidR="00C13EE6" w:rsidRPr="00247465" w:rsidRDefault="00C13EE6" w:rsidP="00C13EE6">
      <w:pPr>
        <w:pStyle w:val="MIRBodyText"/>
        <w:rPr>
          <w:i/>
        </w:rPr>
      </w:pPr>
      <w:r w:rsidRPr="00247465">
        <w:rPr>
          <w:i/>
        </w:rPr>
        <w:t>omit</w:t>
      </w:r>
    </w:p>
    <w:p w:rsidR="00C13EE6" w:rsidRPr="00247465" w:rsidRDefault="00C13EE6" w:rsidP="00C13EE6">
      <w:pPr>
        <w:pStyle w:val="MIRBodyText"/>
        <w:rPr>
          <w:i/>
        </w:rPr>
      </w:pPr>
      <w:r w:rsidRPr="00247465">
        <w:t>the Listing Market Operator</w:t>
      </w:r>
    </w:p>
    <w:p w:rsidR="00C13EE6" w:rsidRPr="00247465" w:rsidRDefault="00C13EE6" w:rsidP="00C13EE6">
      <w:pPr>
        <w:pStyle w:val="MIRBodyText"/>
        <w:rPr>
          <w:i/>
        </w:rPr>
      </w:pPr>
      <w:r w:rsidRPr="00247465">
        <w:rPr>
          <w:i/>
        </w:rPr>
        <w:t>(wherever occurring)</w:t>
      </w:r>
    </w:p>
    <w:p w:rsidR="00C13EE6" w:rsidRPr="00247465" w:rsidRDefault="00C13EE6" w:rsidP="00C13EE6">
      <w:pPr>
        <w:pStyle w:val="MIRBodyText"/>
        <w:rPr>
          <w:i/>
        </w:rPr>
      </w:pPr>
      <w:r w:rsidRPr="00247465">
        <w:rPr>
          <w:i/>
        </w:rPr>
        <w:t>substitute</w:t>
      </w:r>
    </w:p>
    <w:p w:rsidR="00C13EE6" w:rsidRPr="00247465" w:rsidRDefault="00C13EE6" w:rsidP="00C13EE6">
      <w:pPr>
        <w:pStyle w:val="MIRBodyText"/>
        <w:rPr>
          <w:i/>
        </w:rPr>
      </w:pPr>
      <w:r w:rsidRPr="00247465">
        <w:t>ASX</w:t>
      </w:r>
    </w:p>
    <w:p w:rsidR="00CF2995" w:rsidRPr="00247465" w:rsidRDefault="00CF2995" w:rsidP="00CF2995">
      <w:pPr>
        <w:pStyle w:val="MIRHeading3"/>
      </w:pPr>
      <w:r w:rsidRPr="00247465">
        <w:t>[1</w:t>
      </w:r>
      <w:r w:rsidR="001E5A31" w:rsidRPr="00247465">
        <w:t>43</w:t>
      </w:r>
      <w:r w:rsidRPr="00247465">
        <w:t>]</w:t>
      </w:r>
      <w:r w:rsidRPr="00247465">
        <w:tab/>
      </w:r>
      <w:r w:rsidR="00406208" w:rsidRPr="00247465">
        <w:t>Subr</w:t>
      </w:r>
      <w:r w:rsidR="00B112FF" w:rsidRPr="00247465">
        <w:t>ule 6.2.3</w:t>
      </w:r>
      <w:r w:rsidR="00406208" w:rsidRPr="00247465">
        <w:t>(1)</w:t>
      </w:r>
    </w:p>
    <w:p w:rsidR="00CF2995" w:rsidRPr="00247465" w:rsidRDefault="00CF2995" w:rsidP="00CF2995">
      <w:pPr>
        <w:pStyle w:val="MIRBodyText"/>
        <w:rPr>
          <w:i/>
        </w:rPr>
      </w:pPr>
      <w:r w:rsidRPr="00247465">
        <w:rPr>
          <w:i/>
        </w:rPr>
        <w:t>omit</w:t>
      </w:r>
    </w:p>
    <w:p w:rsidR="00CF2995" w:rsidRPr="00247465" w:rsidRDefault="00406208" w:rsidP="00CF2995">
      <w:pPr>
        <w:pStyle w:val="MIRBodyText"/>
        <w:rPr>
          <w:i/>
        </w:rPr>
      </w:pPr>
      <w:r w:rsidRPr="00247465">
        <w:t>T</w:t>
      </w:r>
      <w:r w:rsidR="00CF2995" w:rsidRPr="00247465">
        <w:t>he Listing Market Operator</w:t>
      </w:r>
    </w:p>
    <w:p w:rsidR="00CF2995" w:rsidRPr="00247465" w:rsidRDefault="00CF2995" w:rsidP="00CF2995">
      <w:pPr>
        <w:pStyle w:val="MIRBodyText"/>
        <w:rPr>
          <w:i/>
        </w:rPr>
      </w:pPr>
      <w:r w:rsidRPr="00247465">
        <w:rPr>
          <w:i/>
        </w:rPr>
        <w:t>substitute</w:t>
      </w:r>
    </w:p>
    <w:p w:rsidR="00CF2995" w:rsidRPr="00247465" w:rsidRDefault="00CF2995" w:rsidP="00CF2995">
      <w:pPr>
        <w:pStyle w:val="MIRBodyText"/>
        <w:rPr>
          <w:i/>
        </w:rPr>
      </w:pPr>
      <w:r w:rsidRPr="00247465">
        <w:t>ASX</w:t>
      </w:r>
    </w:p>
    <w:p w:rsidR="00406208" w:rsidRPr="00247465" w:rsidRDefault="00406208" w:rsidP="00406208">
      <w:pPr>
        <w:pStyle w:val="MIRHeading3"/>
      </w:pPr>
      <w:r w:rsidRPr="00247465">
        <w:t>[1</w:t>
      </w:r>
      <w:r w:rsidR="001E5A31" w:rsidRPr="00247465">
        <w:t>44</w:t>
      </w:r>
      <w:r w:rsidRPr="00247465">
        <w:t>]</w:t>
      </w:r>
      <w:r w:rsidRPr="00247465">
        <w:tab/>
        <w:t>Subrule 6.2.3(2)</w:t>
      </w:r>
    </w:p>
    <w:p w:rsidR="00406208" w:rsidRPr="00247465" w:rsidRDefault="00406208" w:rsidP="00406208">
      <w:pPr>
        <w:pStyle w:val="MIRBodyText"/>
        <w:rPr>
          <w:i/>
        </w:rPr>
      </w:pPr>
      <w:r w:rsidRPr="00247465">
        <w:rPr>
          <w:i/>
        </w:rPr>
        <w:t>omit</w:t>
      </w:r>
    </w:p>
    <w:p w:rsidR="00406208" w:rsidRPr="00247465" w:rsidRDefault="00406208" w:rsidP="00406208">
      <w:pPr>
        <w:pStyle w:val="MIRBodyText"/>
        <w:rPr>
          <w:i/>
        </w:rPr>
      </w:pPr>
      <w:r w:rsidRPr="00247465">
        <w:lastRenderedPageBreak/>
        <w:t>the Listing Market Operator</w:t>
      </w:r>
    </w:p>
    <w:p w:rsidR="00406208" w:rsidRPr="00247465" w:rsidRDefault="00406208" w:rsidP="00406208">
      <w:pPr>
        <w:pStyle w:val="MIRBodyText"/>
        <w:rPr>
          <w:i/>
        </w:rPr>
      </w:pPr>
      <w:r w:rsidRPr="00247465">
        <w:rPr>
          <w:i/>
        </w:rPr>
        <w:t>(wherever occurring)</w:t>
      </w:r>
    </w:p>
    <w:p w:rsidR="00406208" w:rsidRPr="00247465" w:rsidRDefault="00406208" w:rsidP="00406208">
      <w:pPr>
        <w:pStyle w:val="MIRBodyText"/>
        <w:rPr>
          <w:i/>
        </w:rPr>
      </w:pPr>
      <w:r w:rsidRPr="00247465">
        <w:rPr>
          <w:i/>
        </w:rPr>
        <w:t>substitute</w:t>
      </w:r>
    </w:p>
    <w:p w:rsidR="00406208" w:rsidRPr="00247465" w:rsidRDefault="00406208" w:rsidP="00406208">
      <w:pPr>
        <w:pStyle w:val="MIRBodyText"/>
        <w:rPr>
          <w:i/>
        </w:rPr>
      </w:pPr>
      <w:r w:rsidRPr="00247465">
        <w:t>ASX</w:t>
      </w:r>
    </w:p>
    <w:p w:rsidR="008773DB" w:rsidRPr="00247465" w:rsidRDefault="008773DB" w:rsidP="00256F83">
      <w:pPr>
        <w:pStyle w:val="MIRHeading3"/>
      </w:pPr>
      <w:r w:rsidRPr="00247465">
        <w:t>[1</w:t>
      </w:r>
      <w:r w:rsidR="001E5A31" w:rsidRPr="00247465">
        <w:t>45</w:t>
      </w:r>
      <w:r w:rsidRPr="00247465">
        <w:t>]</w:t>
      </w:r>
      <w:r w:rsidRPr="00247465">
        <w:tab/>
        <w:t>Subrule 6.4.1(2)</w:t>
      </w:r>
    </w:p>
    <w:p w:rsidR="008773DB" w:rsidRPr="00247465" w:rsidRDefault="008773DB" w:rsidP="008773DB">
      <w:pPr>
        <w:pStyle w:val="MIRBodyText"/>
        <w:rPr>
          <w:i/>
        </w:rPr>
      </w:pPr>
      <w:r w:rsidRPr="00247465">
        <w:rPr>
          <w:i/>
        </w:rPr>
        <w:t>omit</w:t>
      </w:r>
    </w:p>
    <w:p w:rsidR="008773DB" w:rsidRPr="00247465" w:rsidRDefault="008773DB" w:rsidP="008773DB">
      <w:pPr>
        <w:pStyle w:val="MIRBodyText"/>
      </w:pPr>
      <w:r w:rsidRPr="00247465">
        <w:t>at the Reference Mid-Point or</w:t>
      </w:r>
    </w:p>
    <w:p w:rsidR="00256F83" w:rsidRDefault="00256F83" w:rsidP="00256F83">
      <w:pPr>
        <w:pStyle w:val="MIRHeading3"/>
      </w:pPr>
      <w:r w:rsidRPr="00247465">
        <w:t>[1</w:t>
      </w:r>
      <w:r w:rsidR="00D02F08" w:rsidRPr="00247465">
        <w:t>46</w:t>
      </w:r>
      <w:r w:rsidRPr="00247465">
        <w:t>]</w:t>
      </w:r>
      <w:r w:rsidRPr="00247465">
        <w:tab/>
      </w:r>
      <w:r w:rsidR="004604B3" w:rsidRPr="00247465">
        <w:t>Before Part 7.1</w:t>
      </w:r>
    </w:p>
    <w:p w:rsidR="00734963" w:rsidRPr="00734963" w:rsidRDefault="00734963" w:rsidP="00734963">
      <w:pPr>
        <w:pStyle w:val="MIRBodyText"/>
        <w:rPr>
          <w:i/>
        </w:rPr>
      </w:pPr>
      <w:r w:rsidRPr="00734963">
        <w:rPr>
          <w:i/>
        </w:rPr>
        <w:t>insert</w:t>
      </w:r>
    </w:p>
    <w:p w:rsidR="004604B3" w:rsidRPr="00247465" w:rsidRDefault="004604B3" w:rsidP="004604B3">
      <w:pPr>
        <w:pStyle w:val="MIRHeading2Part"/>
        <w:ind w:left="1984"/>
      </w:pPr>
      <w:r w:rsidRPr="00247465">
        <w:t xml:space="preserve">Part 7.1A Application </w:t>
      </w:r>
    </w:p>
    <w:p w:rsidR="004604B3" w:rsidRPr="00247465" w:rsidRDefault="004604B3" w:rsidP="004604B3">
      <w:pPr>
        <w:pStyle w:val="MIRHeading3"/>
        <w:ind w:left="1701"/>
      </w:pPr>
      <w:r w:rsidRPr="00247465">
        <w:t xml:space="preserve">7.1A.1 Application of Chapter </w:t>
      </w:r>
    </w:p>
    <w:p w:rsidR="004604B3" w:rsidRPr="00247465" w:rsidRDefault="004604B3" w:rsidP="0065256D">
      <w:pPr>
        <w:pStyle w:val="MIRBodyText"/>
        <w:ind w:left="850"/>
      </w:pPr>
      <w:r w:rsidRPr="00247465">
        <w:t>Th</w:t>
      </w:r>
      <w:r w:rsidR="00BE0E67" w:rsidRPr="00247465">
        <w:t>is Chapter applies to</w:t>
      </w:r>
      <w:r w:rsidRPr="00247465">
        <w:t xml:space="preserve">: </w:t>
      </w:r>
    </w:p>
    <w:p w:rsidR="004604B3" w:rsidRPr="00247465" w:rsidRDefault="004604B3" w:rsidP="0065256D">
      <w:pPr>
        <w:pStyle w:val="MIRSubpara"/>
        <w:numPr>
          <w:ilvl w:val="0"/>
          <w:numId w:val="48"/>
        </w:numPr>
        <w:ind w:left="1275"/>
      </w:pPr>
      <w:r w:rsidRPr="00247465">
        <w:t xml:space="preserve">Equity Markets; </w:t>
      </w:r>
    </w:p>
    <w:p w:rsidR="00BE0E67" w:rsidRPr="00247465" w:rsidRDefault="00D41710" w:rsidP="0065256D">
      <w:pPr>
        <w:pStyle w:val="MIRSubpara"/>
        <w:ind w:left="1275"/>
      </w:pPr>
      <w:r w:rsidRPr="00247465">
        <w:t>Equity Market Participants</w:t>
      </w:r>
      <w:r w:rsidR="00BE0E67" w:rsidRPr="00247465">
        <w:t>;</w:t>
      </w:r>
      <w:r w:rsidR="00A2667A" w:rsidRPr="00247465">
        <w:t xml:space="preserve"> and</w:t>
      </w:r>
    </w:p>
    <w:p w:rsidR="004604B3" w:rsidRPr="00247465" w:rsidRDefault="004604B3" w:rsidP="00BE0E67">
      <w:pPr>
        <w:pStyle w:val="MIRSubpara"/>
        <w:ind w:left="1275"/>
      </w:pPr>
      <w:r w:rsidRPr="00247465">
        <w:t xml:space="preserve">Orders and Transactions in Equity Market Products. </w:t>
      </w:r>
    </w:p>
    <w:p w:rsidR="00C50BA8" w:rsidRDefault="004604B3" w:rsidP="007D39C3">
      <w:pPr>
        <w:pStyle w:val="MIRNote"/>
      </w:pPr>
      <w:r w:rsidRPr="00247465">
        <w:t>Note: There is no penalty for this Rule.</w:t>
      </w:r>
    </w:p>
    <w:sectPr w:rsidR="00C50BA8" w:rsidSect="00DB22D2">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43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0B0" w:rsidRDefault="001340B0">
      <w:r>
        <w:separator/>
      </w:r>
    </w:p>
  </w:endnote>
  <w:endnote w:type="continuationSeparator" w:id="0">
    <w:p w:rsidR="001340B0" w:rsidRDefault="001340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268" w:rsidRDefault="00970E35">
    <w:pPr>
      <w:pStyle w:val="Footer"/>
      <w:framePr w:wrap="around" w:vAnchor="text" w:hAnchor="margin" w:xAlign="right" w:y="1"/>
      <w:rPr>
        <w:rStyle w:val="PageNumber"/>
      </w:rPr>
    </w:pPr>
    <w:r>
      <w:rPr>
        <w:rStyle w:val="PageNumber"/>
      </w:rPr>
      <w:fldChar w:fldCharType="begin"/>
    </w:r>
    <w:r w:rsidR="00633268">
      <w:rPr>
        <w:rStyle w:val="PageNumber"/>
      </w:rPr>
      <w:instrText xml:space="preserve">PAGE  </w:instrText>
    </w:r>
    <w:r>
      <w:rPr>
        <w:rStyle w:val="PageNumber"/>
      </w:rPr>
      <w:fldChar w:fldCharType="separate"/>
    </w:r>
    <w:r w:rsidR="00633268">
      <w:rPr>
        <w:rStyle w:val="PageNumber"/>
        <w:noProof/>
      </w:rPr>
      <w:t>38</w:t>
    </w:r>
    <w:r>
      <w:rPr>
        <w:rStyle w:val="PageNumber"/>
      </w:rPr>
      <w:fldChar w:fldCharType="end"/>
    </w:r>
  </w:p>
  <w:p w:rsidR="00633268" w:rsidRDefault="00633268"/>
  <w:p w:rsidR="00633268" w:rsidRDefault="00633268"/>
  <w:p w:rsidR="00633268" w:rsidRDefault="006332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268" w:rsidRPr="002D0882" w:rsidRDefault="00633268" w:rsidP="002D0882">
    <w:pPr>
      <w:pStyle w:val="Footer"/>
      <w:pBdr>
        <w:top w:val="single" w:sz="4" w:space="1" w:color="auto"/>
      </w:pBdr>
      <w:tabs>
        <w:tab w:val="clear" w:pos="9070"/>
        <w:tab w:val="right" w:pos="9072"/>
      </w:tabs>
      <w:rPr>
        <w:b/>
      </w:rPr>
    </w:pPr>
    <w:r>
      <w:tab/>
    </w:r>
    <w:r w:rsidRPr="002D0882">
      <w:t xml:space="preserve"> Page </w:t>
    </w:r>
    <w:r w:rsidR="00970E35" w:rsidRPr="002D0882">
      <w:rPr>
        <w:rStyle w:val="PageNumber"/>
        <w:sz w:val="16"/>
      </w:rPr>
      <w:fldChar w:fldCharType="begin"/>
    </w:r>
    <w:r w:rsidRPr="002D0882">
      <w:rPr>
        <w:rStyle w:val="PageNumber"/>
        <w:sz w:val="16"/>
      </w:rPr>
      <w:instrText xml:space="preserve"> PAGE </w:instrText>
    </w:r>
    <w:r w:rsidR="00970E35" w:rsidRPr="002D0882">
      <w:rPr>
        <w:rStyle w:val="PageNumber"/>
        <w:sz w:val="16"/>
      </w:rPr>
      <w:fldChar w:fldCharType="separate"/>
    </w:r>
    <w:r w:rsidR="004D6713">
      <w:rPr>
        <w:rStyle w:val="PageNumber"/>
        <w:noProof/>
        <w:sz w:val="16"/>
      </w:rPr>
      <w:t>2</w:t>
    </w:r>
    <w:r w:rsidR="00970E35" w:rsidRPr="002D0882">
      <w:rPr>
        <w:rStyle w:val="PageNumbe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268" w:rsidRPr="00FF707D" w:rsidRDefault="00633268" w:rsidP="00851E1A">
    <w:pPr>
      <w:pStyle w:val="Footer"/>
      <w:pBdr>
        <w:top w:val="single" w:sz="4" w:space="1" w:color="117DC7"/>
      </w:pBdr>
      <w:rPr>
        <w:b/>
        <w:color w:val="117DC7"/>
      </w:rPr>
    </w:pPr>
    <w:r>
      <w:rPr>
        <w:color w:val="117DC7"/>
      </w:rPr>
      <w:tab/>
    </w:r>
    <w:r w:rsidRPr="00FF707D">
      <w:rPr>
        <w:b/>
        <w:color w:val="117DC7"/>
      </w:rPr>
      <w:t xml:space="preserve">Page </w:t>
    </w:r>
    <w:r w:rsidR="00970E35" w:rsidRPr="00FF707D">
      <w:rPr>
        <w:rStyle w:val="PageNumber"/>
        <w:b w:val="0"/>
        <w:color w:val="117DC7"/>
        <w:sz w:val="16"/>
      </w:rPr>
      <w:fldChar w:fldCharType="begin"/>
    </w:r>
    <w:r w:rsidRPr="00FF707D">
      <w:rPr>
        <w:rStyle w:val="PageNumber"/>
        <w:b w:val="0"/>
        <w:color w:val="117DC7"/>
        <w:sz w:val="16"/>
      </w:rPr>
      <w:instrText xml:space="preserve"> PAGE </w:instrText>
    </w:r>
    <w:r w:rsidR="00970E35" w:rsidRPr="00FF707D">
      <w:rPr>
        <w:rStyle w:val="PageNumber"/>
        <w:b w:val="0"/>
        <w:color w:val="117DC7"/>
        <w:sz w:val="16"/>
      </w:rPr>
      <w:fldChar w:fldCharType="separate"/>
    </w:r>
    <w:r>
      <w:rPr>
        <w:rStyle w:val="PageNumber"/>
        <w:b w:val="0"/>
        <w:noProof/>
        <w:color w:val="117DC7"/>
        <w:sz w:val="16"/>
      </w:rPr>
      <w:t>3</w:t>
    </w:r>
    <w:r w:rsidR="00970E35" w:rsidRPr="00FF707D">
      <w:rPr>
        <w:rStyle w:val="PageNumber"/>
        <w:b w:val="0"/>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0B0" w:rsidRDefault="001340B0">
      <w:r>
        <w:separator/>
      </w:r>
    </w:p>
  </w:footnote>
  <w:footnote w:type="continuationSeparator" w:id="0">
    <w:p w:rsidR="001340B0" w:rsidRDefault="00134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268" w:rsidRDefault="00633268"/>
  <w:p w:rsidR="00633268" w:rsidRDefault="0063326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268" w:rsidRPr="007F42C2" w:rsidRDefault="00970E35" w:rsidP="00DB22D2">
    <w:pPr>
      <w:pStyle w:val="Footer"/>
      <w:pBdr>
        <w:bottom w:val="single" w:sz="4" w:space="1" w:color="auto"/>
      </w:pBdr>
      <w:rPr>
        <w:color w:val="117DC7"/>
        <w:spacing w:val="-2"/>
      </w:rPr>
    </w:pPr>
    <w:fldSimple w:instr=" DOCPROPERTY  &quot;Document title&quot;  \* MERGEFORMAT ">
      <w:r w:rsidR="004D6713">
        <w:t>ASIC Market integrity Rules (Competition in Exchange Markets) Amendment 2012 (No. 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268" w:rsidRPr="00280D22" w:rsidRDefault="00633268"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076B2"/>
    <w:multiLevelType w:val="hybridMultilevel"/>
    <w:tmpl w:val="BA90B7D8"/>
    <w:lvl w:ilvl="0" w:tplc="8EEEE794">
      <w:start w:val="2"/>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
    <w:nsid w:val="1E0C6808"/>
    <w:multiLevelType w:val="multilevel"/>
    <w:tmpl w:val="6B32FC2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2832DA5"/>
    <w:multiLevelType w:val="multilevel"/>
    <w:tmpl w:val="91A27B4C"/>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9">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1A16DCD"/>
    <w:multiLevelType w:val="multilevel"/>
    <w:tmpl w:val="E55ECB3E"/>
    <w:lvl w:ilvl="0">
      <w:start w:val="1"/>
      <w:numFmt w:val="lowerLetter"/>
      <w:pStyle w:val="MIRSubpara"/>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5">
    <w:nsid w:val="765275E8"/>
    <w:multiLevelType w:val="hybridMultilevel"/>
    <w:tmpl w:val="E8084286"/>
    <w:lvl w:ilvl="0" w:tplc="ED6A844C">
      <w:start w:val="2"/>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2"/>
  </w:num>
  <w:num w:numId="4">
    <w:abstractNumId w:val="1"/>
  </w:num>
  <w:num w:numId="5">
    <w:abstractNumId w:val="11"/>
  </w:num>
  <w:num w:numId="6">
    <w:abstractNumId w:val="5"/>
  </w:num>
  <w:num w:numId="7">
    <w:abstractNumId w:val="3"/>
  </w:num>
  <w:num w:numId="8">
    <w:abstractNumId w:val="16"/>
  </w:num>
  <w:num w:numId="9">
    <w:abstractNumId w:val="9"/>
  </w:num>
  <w:num w:numId="10">
    <w:abstractNumId w:val="10"/>
  </w:num>
  <w:num w:numId="11">
    <w:abstractNumId w:val="0"/>
  </w:num>
  <w:num w:numId="12">
    <w:abstractNumId w:val="4"/>
  </w:num>
  <w:num w:numId="1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7"/>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392194">
      <o:colormru v:ext="edit" colors="#00a8d0,#008eb0,#1492e8,#1287d6,#117dc7,#c2e3fa"/>
      <o:colormenu v:ext="edit" fillcolor="none" strokecolor="none"/>
    </o:shapedefaults>
  </w:hdrShapeDefaults>
  <w:footnotePr>
    <w:footnote w:id="-1"/>
    <w:footnote w:id="0"/>
  </w:footnotePr>
  <w:endnotePr>
    <w:endnote w:id="-1"/>
    <w:endnote w:id="0"/>
  </w:endnotePr>
  <w:compat/>
  <w:rsids>
    <w:rsidRoot w:val="00FF6928"/>
    <w:rsid w:val="0000024D"/>
    <w:rsid w:val="00000EA6"/>
    <w:rsid w:val="00003127"/>
    <w:rsid w:val="0000469A"/>
    <w:rsid w:val="00004971"/>
    <w:rsid w:val="000107CB"/>
    <w:rsid w:val="00010C1B"/>
    <w:rsid w:val="00010DA1"/>
    <w:rsid w:val="00010ECE"/>
    <w:rsid w:val="00011F33"/>
    <w:rsid w:val="00012B7D"/>
    <w:rsid w:val="000131C6"/>
    <w:rsid w:val="00013DCD"/>
    <w:rsid w:val="00013F30"/>
    <w:rsid w:val="00014E58"/>
    <w:rsid w:val="00015821"/>
    <w:rsid w:val="00015F44"/>
    <w:rsid w:val="000161CA"/>
    <w:rsid w:val="00016529"/>
    <w:rsid w:val="00016F53"/>
    <w:rsid w:val="00017F8B"/>
    <w:rsid w:val="00020843"/>
    <w:rsid w:val="00020D9D"/>
    <w:rsid w:val="000224EA"/>
    <w:rsid w:val="0002469D"/>
    <w:rsid w:val="000246FA"/>
    <w:rsid w:val="00024AFA"/>
    <w:rsid w:val="00024F9A"/>
    <w:rsid w:val="00024FCD"/>
    <w:rsid w:val="00025408"/>
    <w:rsid w:val="000274CF"/>
    <w:rsid w:val="00027575"/>
    <w:rsid w:val="0003048F"/>
    <w:rsid w:val="000308C1"/>
    <w:rsid w:val="000309B6"/>
    <w:rsid w:val="000313DD"/>
    <w:rsid w:val="00032B25"/>
    <w:rsid w:val="00033407"/>
    <w:rsid w:val="00034081"/>
    <w:rsid w:val="00036925"/>
    <w:rsid w:val="00036AFE"/>
    <w:rsid w:val="00036D43"/>
    <w:rsid w:val="000371B4"/>
    <w:rsid w:val="00040574"/>
    <w:rsid w:val="00040B94"/>
    <w:rsid w:val="000413F9"/>
    <w:rsid w:val="0004333A"/>
    <w:rsid w:val="00043955"/>
    <w:rsid w:val="0004445D"/>
    <w:rsid w:val="00044607"/>
    <w:rsid w:val="00044618"/>
    <w:rsid w:val="00046D3C"/>
    <w:rsid w:val="00050329"/>
    <w:rsid w:val="00051223"/>
    <w:rsid w:val="000522E2"/>
    <w:rsid w:val="00054732"/>
    <w:rsid w:val="00054F95"/>
    <w:rsid w:val="00057513"/>
    <w:rsid w:val="00057B46"/>
    <w:rsid w:val="00060D32"/>
    <w:rsid w:val="000627CC"/>
    <w:rsid w:val="000627F7"/>
    <w:rsid w:val="00062A2B"/>
    <w:rsid w:val="00063D59"/>
    <w:rsid w:val="00064274"/>
    <w:rsid w:val="000647B4"/>
    <w:rsid w:val="000666BA"/>
    <w:rsid w:val="00066B3A"/>
    <w:rsid w:val="00067627"/>
    <w:rsid w:val="000703E8"/>
    <w:rsid w:val="000709CF"/>
    <w:rsid w:val="00070B11"/>
    <w:rsid w:val="00070B8F"/>
    <w:rsid w:val="00070E20"/>
    <w:rsid w:val="0007105D"/>
    <w:rsid w:val="000717B9"/>
    <w:rsid w:val="0007283D"/>
    <w:rsid w:val="0007285E"/>
    <w:rsid w:val="00074196"/>
    <w:rsid w:val="0007519C"/>
    <w:rsid w:val="000751E0"/>
    <w:rsid w:val="000755B8"/>
    <w:rsid w:val="00075A77"/>
    <w:rsid w:val="00075DEE"/>
    <w:rsid w:val="00076060"/>
    <w:rsid w:val="000818FB"/>
    <w:rsid w:val="00081DF3"/>
    <w:rsid w:val="0008272C"/>
    <w:rsid w:val="00082B2E"/>
    <w:rsid w:val="00084371"/>
    <w:rsid w:val="0008450F"/>
    <w:rsid w:val="000849A6"/>
    <w:rsid w:val="00086D4F"/>
    <w:rsid w:val="000872C7"/>
    <w:rsid w:val="0008774F"/>
    <w:rsid w:val="00091B15"/>
    <w:rsid w:val="00092EFE"/>
    <w:rsid w:val="00093ACD"/>
    <w:rsid w:val="00094116"/>
    <w:rsid w:val="00096097"/>
    <w:rsid w:val="00096A92"/>
    <w:rsid w:val="00096C41"/>
    <w:rsid w:val="000A0519"/>
    <w:rsid w:val="000A0637"/>
    <w:rsid w:val="000A0719"/>
    <w:rsid w:val="000A076D"/>
    <w:rsid w:val="000A256A"/>
    <w:rsid w:val="000A5AAE"/>
    <w:rsid w:val="000A5C6B"/>
    <w:rsid w:val="000A6966"/>
    <w:rsid w:val="000B062C"/>
    <w:rsid w:val="000B0C37"/>
    <w:rsid w:val="000B1BCC"/>
    <w:rsid w:val="000B1F5D"/>
    <w:rsid w:val="000B4123"/>
    <w:rsid w:val="000B5E5D"/>
    <w:rsid w:val="000B618D"/>
    <w:rsid w:val="000B65DC"/>
    <w:rsid w:val="000B70CE"/>
    <w:rsid w:val="000B739D"/>
    <w:rsid w:val="000B7A61"/>
    <w:rsid w:val="000C087E"/>
    <w:rsid w:val="000C1B15"/>
    <w:rsid w:val="000C1D07"/>
    <w:rsid w:val="000C1F5E"/>
    <w:rsid w:val="000C449D"/>
    <w:rsid w:val="000C6B75"/>
    <w:rsid w:val="000C7B9D"/>
    <w:rsid w:val="000D1A7B"/>
    <w:rsid w:val="000D2E3F"/>
    <w:rsid w:val="000D2F41"/>
    <w:rsid w:val="000D429C"/>
    <w:rsid w:val="000D42C0"/>
    <w:rsid w:val="000D6059"/>
    <w:rsid w:val="000D6DEF"/>
    <w:rsid w:val="000D72F9"/>
    <w:rsid w:val="000E0AC0"/>
    <w:rsid w:val="000E0BD1"/>
    <w:rsid w:val="000E1BE3"/>
    <w:rsid w:val="000E23DD"/>
    <w:rsid w:val="000E25E0"/>
    <w:rsid w:val="000E31AA"/>
    <w:rsid w:val="000E4144"/>
    <w:rsid w:val="000E4D03"/>
    <w:rsid w:val="000E51DD"/>
    <w:rsid w:val="000E5966"/>
    <w:rsid w:val="000E68F0"/>
    <w:rsid w:val="000E70CF"/>
    <w:rsid w:val="000F073B"/>
    <w:rsid w:val="000F15BA"/>
    <w:rsid w:val="000F1DF2"/>
    <w:rsid w:val="000F24CA"/>
    <w:rsid w:val="000F2674"/>
    <w:rsid w:val="000F51C1"/>
    <w:rsid w:val="000F6EE3"/>
    <w:rsid w:val="000F71B6"/>
    <w:rsid w:val="001008C6"/>
    <w:rsid w:val="00100FE7"/>
    <w:rsid w:val="00105B9F"/>
    <w:rsid w:val="001064EC"/>
    <w:rsid w:val="0011001A"/>
    <w:rsid w:val="00110DE9"/>
    <w:rsid w:val="00110F27"/>
    <w:rsid w:val="0011593C"/>
    <w:rsid w:val="001163E0"/>
    <w:rsid w:val="001172AD"/>
    <w:rsid w:val="00117B89"/>
    <w:rsid w:val="00120F66"/>
    <w:rsid w:val="00123B94"/>
    <w:rsid w:val="001258BA"/>
    <w:rsid w:val="001273EF"/>
    <w:rsid w:val="00130BA7"/>
    <w:rsid w:val="0013109F"/>
    <w:rsid w:val="001328ED"/>
    <w:rsid w:val="00132C84"/>
    <w:rsid w:val="00133650"/>
    <w:rsid w:val="001340B0"/>
    <w:rsid w:val="001366A8"/>
    <w:rsid w:val="00136A75"/>
    <w:rsid w:val="001370E7"/>
    <w:rsid w:val="001404DA"/>
    <w:rsid w:val="00140E0D"/>
    <w:rsid w:val="00141641"/>
    <w:rsid w:val="0014270C"/>
    <w:rsid w:val="00142D89"/>
    <w:rsid w:val="00143C4A"/>
    <w:rsid w:val="001446F2"/>
    <w:rsid w:val="00144FF0"/>
    <w:rsid w:val="001452BF"/>
    <w:rsid w:val="00147DCB"/>
    <w:rsid w:val="00151963"/>
    <w:rsid w:val="00151D20"/>
    <w:rsid w:val="00152B1B"/>
    <w:rsid w:val="00154D5D"/>
    <w:rsid w:val="00154F00"/>
    <w:rsid w:val="001558C0"/>
    <w:rsid w:val="001564C9"/>
    <w:rsid w:val="00157078"/>
    <w:rsid w:val="0015773C"/>
    <w:rsid w:val="0016069F"/>
    <w:rsid w:val="001613BA"/>
    <w:rsid w:val="00162BC3"/>
    <w:rsid w:val="00165521"/>
    <w:rsid w:val="0016596D"/>
    <w:rsid w:val="001679FD"/>
    <w:rsid w:val="00167BDF"/>
    <w:rsid w:val="00172916"/>
    <w:rsid w:val="00173307"/>
    <w:rsid w:val="001739E5"/>
    <w:rsid w:val="0017727F"/>
    <w:rsid w:val="001772B7"/>
    <w:rsid w:val="00177523"/>
    <w:rsid w:val="001809B0"/>
    <w:rsid w:val="00181FF1"/>
    <w:rsid w:val="00182C0E"/>
    <w:rsid w:val="00183138"/>
    <w:rsid w:val="00183B9E"/>
    <w:rsid w:val="00184A1E"/>
    <w:rsid w:val="00185769"/>
    <w:rsid w:val="0018619A"/>
    <w:rsid w:val="00186266"/>
    <w:rsid w:val="00186C42"/>
    <w:rsid w:val="00186C53"/>
    <w:rsid w:val="001873BC"/>
    <w:rsid w:val="001875AA"/>
    <w:rsid w:val="00190150"/>
    <w:rsid w:val="00190B8E"/>
    <w:rsid w:val="00192411"/>
    <w:rsid w:val="00193134"/>
    <w:rsid w:val="001935FC"/>
    <w:rsid w:val="001941E3"/>
    <w:rsid w:val="00197B81"/>
    <w:rsid w:val="001A0E7D"/>
    <w:rsid w:val="001A13D6"/>
    <w:rsid w:val="001A255D"/>
    <w:rsid w:val="001A27C7"/>
    <w:rsid w:val="001A2A9C"/>
    <w:rsid w:val="001A403D"/>
    <w:rsid w:val="001B00CE"/>
    <w:rsid w:val="001B0E98"/>
    <w:rsid w:val="001B167A"/>
    <w:rsid w:val="001B2B81"/>
    <w:rsid w:val="001B309C"/>
    <w:rsid w:val="001B3569"/>
    <w:rsid w:val="001B37F5"/>
    <w:rsid w:val="001B3F7A"/>
    <w:rsid w:val="001B410F"/>
    <w:rsid w:val="001B4303"/>
    <w:rsid w:val="001B4BBE"/>
    <w:rsid w:val="001B56AF"/>
    <w:rsid w:val="001B6698"/>
    <w:rsid w:val="001B7C47"/>
    <w:rsid w:val="001C01BF"/>
    <w:rsid w:val="001C0595"/>
    <w:rsid w:val="001C1168"/>
    <w:rsid w:val="001C13AD"/>
    <w:rsid w:val="001C1BC4"/>
    <w:rsid w:val="001C1F7B"/>
    <w:rsid w:val="001C2A76"/>
    <w:rsid w:val="001C3511"/>
    <w:rsid w:val="001C355E"/>
    <w:rsid w:val="001C459F"/>
    <w:rsid w:val="001C4ABF"/>
    <w:rsid w:val="001C5C25"/>
    <w:rsid w:val="001C71FA"/>
    <w:rsid w:val="001C7B9C"/>
    <w:rsid w:val="001D0387"/>
    <w:rsid w:val="001D3A19"/>
    <w:rsid w:val="001D4C90"/>
    <w:rsid w:val="001D7177"/>
    <w:rsid w:val="001D72C4"/>
    <w:rsid w:val="001D79A1"/>
    <w:rsid w:val="001E09F8"/>
    <w:rsid w:val="001E0C56"/>
    <w:rsid w:val="001E1599"/>
    <w:rsid w:val="001E21A6"/>
    <w:rsid w:val="001E2811"/>
    <w:rsid w:val="001E3075"/>
    <w:rsid w:val="001E34B8"/>
    <w:rsid w:val="001E5A31"/>
    <w:rsid w:val="001E62CC"/>
    <w:rsid w:val="001E642C"/>
    <w:rsid w:val="001E6E2C"/>
    <w:rsid w:val="001E7208"/>
    <w:rsid w:val="001E7780"/>
    <w:rsid w:val="001E7C80"/>
    <w:rsid w:val="001F065D"/>
    <w:rsid w:val="001F24F3"/>
    <w:rsid w:val="001F3F20"/>
    <w:rsid w:val="001F5E9A"/>
    <w:rsid w:val="001F66FD"/>
    <w:rsid w:val="001F67F0"/>
    <w:rsid w:val="001F7EB8"/>
    <w:rsid w:val="00200884"/>
    <w:rsid w:val="00200E6B"/>
    <w:rsid w:val="00201526"/>
    <w:rsid w:val="002015CA"/>
    <w:rsid w:val="002063D0"/>
    <w:rsid w:val="002074D6"/>
    <w:rsid w:val="00207632"/>
    <w:rsid w:val="0021194F"/>
    <w:rsid w:val="00213355"/>
    <w:rsid w:val="00214516"/>
    <w:rsid w:val="002148BC"/>
    <w:rsid w:val="00214C17"/>
    <w:rsid w:val="002153A0"/>
    <w:rsid w:val="00216A51"/>
    <w:rsid w:val="00216CEC"/>
    <w:rsid w:val="00217BDC"/>
    <w:rsid w:val="00222484"/>
    <w:rsid w:val="00222ED9"/>
    <w:rsid w:val="00223206"/>
    <w:rsid w:val="00223795"/>
    <w:rsid w:val="002257FA"/>
    <w:rsid w:val="00226592"/>
    <w:rsid w:val="00227656"/>
    <w:rsid w:val="0023057E"/>
    <w:rsid w:val="00230608"/>
    <w:rsid w:val="002323A4"/>
    <w:rsid w:val="00234711"/>
    <w:rsid w:val="00235619"/>
    <w:rsid w:val="00236FDA"/>
    <w:rsid w:val="00237072"/>
    <w:rsid w:val="00237437"/>
    <w:rsid w:val="002411F9"/>
    <w:rsid w:val="0024183E"/>
    <w:rsid w:val="00242A7D"/>
    <w:rsid w:val="00242DE5"/>
    <w:rsid w:val="00242F95"/>
    <w:rsid w:val="002432B3"/>
    <w:rsid w:val="00243449"/>
    <w:rsid w:val="002441C7"/>
    <w:rsid w:val="00244618"/>
    <w:rsid w:val="002452A7"/>
    <w:rsid w:val="002455B2"/>
    <w:rsid w:val="0024647F"/>
    <w:rsid w:val="00247465"/>
    <w:rsid w:val="00247AAB"/>
    <w:rsid w:val="00251960"/>
    <w:rsid w:val="002536A4"/>
    <w:rsid w:val="00253CF7"/>
    <w:rsid w:val="00255CE0"/>
    <w:rsid w:val="00255E41"/>
    <w:rsid w:val="00256F83"/>
    <w:rsid w:val="00257902"/>
    <w:rsid w:val="00257B5A"/>
    <w:rsid w:val="00260CCB"/>
    <w:rsid w:val="00261CD2"/>
    <w:rsid w:val="002620E7"/>
    <w:rsid w:val="00264887"/>
    <w:rsid w:val="0026521F"/>
    <w:rsid w:val="0026592B"/>
    <w:rsid w:val="0027002F"/>
    <w:rsid w:val="0027083E"/>
    <w:rsid w:val="00271EF1"/>
    <w:rsid w:val="0027225A"/>
    <w:rsid w:val="002722DE"/>
    <w:rsid w:val="00272301"/>
    <w:rsid w:val="00273765"/>
    <w:rsid w:val="00274605"/>
    <w:rsid w:val="00274BBD"/>
    <w:rsid w:val="00274E0C"/>
    <w:rsid w:val="002804A2"/>
    <w:rsid w:val="00280D22"/>
    <w:rsid w:val="002852E6"/>
    <w:rsid w:val="00285C6C"/>
    <w:rsid w:val="00286655"/>
    <w:rsid w:val="00287030"/>
    <w:rsid w:val="0029037C"/>
    <w:rsid w:val="002905A9"/>
    <w:rsid w:val="00291441"/>
    <w:rsid w:val="0029284D"/>
    <w:rsid w:val="0029291D"/>
    <w:rsid w:val="002938B9"/>
    <w:rsid w:val="00293D63"/>
    <w:rsid w:val="00294C14"/>
    <w:rsid w:val="002A055F"/>
    <w:rsid w:val="002A0AAD"/>
    <w:rsid w:val="002A1152"/>
    <w:rsid w:val="002A1922"/>
    <w:rsid w:val="002A26AA"/>
    <w:rsid w:val="002A325C"/>
    <w:rsid w:val="002A3288"/>
    <w:rsid w:val="002A5328"/>
    <w:rsid w:val="002A6BC8"/>
    <w:rsid w:val="002A75E7"/>
    <w:rsid w:val="002A7820"/>
    <w:rsid w:val="002A79EE"/>
    <w:rsid w:val="002B0298"/>
    <w:rsid w:val="002B09AA"/>
    <w:rsid w:val="002B2C6A"/>
    <w:rsid w:val="002B3D69"/>
    <w:rsid w:val="002B3E9F"/>
    <w:rsid w:val="002B48E0"/>
    <w:rsid w:val="002B5527"/>
    <w:rsid w:val="002B613B"/>
    <w:rsid w:val="002B6552"/>
    <w:rsid w:val="002B6FCC"/>
    <w:rsid w:val="002C2A97"/>
    <w:rsid w:val="002C55B7"/>
    <w:rsid w:val="002C7C7E"/>
    <w:rsid w:val="002D0882"/>
    <w:rsid w:val="002D1DA5"/>
    <w:rsid w:val="002D2CC3"/>
    <w:rsid w:val="002D306F"/>
    <w:rsid w:val="002D50AB"/>
    <w:rsid w:val="002D523E"/>
    <w:rsid w:val="002D7908"/>
    <w:rsid w:val="002E1E0B"/>
    <w:rsid w:val="002E2995"/>
    <w:rsid w:val="002E375B"/>
    <w:rsid w:val="002E43F5"/>
    <w:rsid w:val="002E530B"/>
    <w:rsid w:val="002F04F4"/>
    <w:rsid w:val="002F1715"/>
    <w:rsid w:val="002F3990"/>
    <w:rsid w:val="002F3D79"/>
    <w:rsid w:val="002F49B5"/>
    <w:rsid w:val="002F62D2"/>
    <w:rsid w:val="002F7DA0"/>
    <w:rsid w:val="00301397"/>
    <w:rsid w:val="00302B59"/>
    <w:rsid w:val="00304426"/>
    <w:rsid w:val="00305121"/>
    <w:rsid w:val="00305EC4"/>
    <w:rsid w:val="00306B26"/>
    <w:rsid w:val="00306E1A"/>
    <w:rsid w:val="00307536"/>
    <w:rsid w:val="00307B73"/>
    <w:rsid w:val="00310169"/>
    <w:rsid w:val="003105FD"/>
    <w:rsid w:val="00311EFF"/>
    <w:rsid w:val="0031205C"/>
    <w:rsid w:val="00312963"/>
    <w:rsid w:val="00313CFE"/>
    <w:rsid w:val="00314069"/>
    <w:rsid w:val="003159DE"/>
    <w:rsid w:val="00316E33"/>
    <w:rsid w:val="00317231"/>
    <w:rsid w:val="00322744"/>
    <w:rsid w:val="00322822"/>
    <w:rsid w:val="003228B6"/>
    <w:rsid w:val="0032376B"/>
    <w:rsid w:val="00323C3C"/>
    <w:rsid w:val="00324231"/>
    <w:rsid w:val="003249DD"/>
    <w:rsid w:val="0032554C"/>
    <w:rsid w:val="00327695"/>
    <w:rsid w:val="003300A5"/>
    <w:rsid w:val="00332961"/>
    <w:rsid w:val="00332A81"/>
    <w:rsid w:val="00332D4B"/>
    <w:rsid w:val="003335A3"/>
    <w:rsid w:val="00333CB4"/>
    <w:rsid w:val="00334046"/>
    <w:rsid w:val="00336231"/>
    <w:rsid w:val="00337646"/>
    <w:rsid w:val="00341BA2"/>
    <w:rsid w:val="00341D34"/>
    <w:rsid w:val="0034279E"/>
    <w:rsid w:val="003449AC"/>
    <w:rsid w:val="00344DB4"/>
    <w:rsid w:val="003461B5"/>
    <w:rsid w:val="00346C58"/>
    <w:rsid w:val="00347A2C"/>
    <w:rsid w:val="00350EA8"/>
    <w:rsid w:val="00352F88"/>
    <w:rsid w:val="00353CD0"/>
    <w:rsid w:val="003557AB"/>
    <w:rsid w:val="00355957"/>
    <w:rsid w:val="003560E3"/>
    <w:rsid w:val="00356779"/>
    <w:rsid w:val="003575FE"/>
    <w:rsid w:val="00360C5D"/>
    <w:rsid w:val="00362180"/>
    <w:rsid w:val="00362CBB"/>
    <w:rsid w:val="00363E6F"/>
    <w:rsid w:val="00364503"/>
    <w:rsid w:val="0036541E"/>
    <w:rsid w:val="003707F1"/>
    <w:rsid w:val="00371D53"/>
    <w:rsid w:val="00372F1A"/>
    <w:rsid w:val="00372FF6"/>
    <w:rsid w:val="00374029"/>
    <w:rsid w:val="00375619"/>
    <w:rsid w:val="003758B2"/>
    <w:rsid w:val="00380C90"/>
    <w:rsid w:val="0038145F"/>
    <w:rsid w:val="00381D5F"/>
    <w:rsid w:val="003834FD"/>
    <w:rsid w:val="00383506"/>
    <w:rsid w:val="003837F9"/>
    <w:rsid w:val="00383DF8"/>
    <w:rsid w:val="00384FDA"/>
    <w:rsid w:val="00385BDB"/>
    <w:rsid w:val="0038667D"/>
    <w:rsid w:val="00386CD6"/>
    <w:rsid w:val="003871A5"/>
    <w:rsid w:val="003871B9"/>
    <w:rsid w:val="00387268"/>
    <w:rsid w:val="00387371"/>
    <w:rsid w:val="003873C4"/>
    <w:rsid w:val="0039069A"/>
    <w:rsid w:val="00390F03"/>
    <w:rsid w:val="00392685"/>
    <w:rsid w:val="0039311C"/>
    <w:rsid w:val="00394BD7"/>
    <w:rsid w:val="003952DB"/>
    <w:rsid w:val="00396227"/>
    <w:rsid w:val="003969C1"/>
    <w:rsid w:val="00397750"/>
    <w:rsid w:val="003A0A93"/>
    <w:rsid w:val="003A0BB4"/>
    <w:rsid w:val="003A16AE"/>
    <w:rsid w:val="003A2706"/>
    <w:rsid w:val="003A2F9E"/>
    <w:rsid w:val="003A4610"/>
    <w:rsid w:val="003A4FEC"/>
    <w:rsid w:val="003B1255"/>
    <w:rsid w:val="003B159F"/>
    <w:rsid w:val="003B1B97"/>
    <w:rsid w:val="003B3F0B"/>
    <w:rsid w:val="003B45C1"/>
    <w:rsid w:val="003B6740"/>
    <w:rsid w:val="003C256F"/>
    <w:rsid w:val="003C5CD7"/>
    <w:rsid w:val="003C6546"/>
    <w:rsid w:val="003D0F46"/>
    <w:rsid w:val="003D2CBF"/>
    <w:rsid w:val="003D3B28"/>
    <w:rsid w:val="003D4593"/>
    <w:rsid w:val="003D4700"/>
    <w:rsid w:val="003D7B29"/>
    <w:rsid w:val="003E05A1"/>
    <w:rsid w:val="003E0983"/>
    <w:rsid w:val="003E0B7E"/>
    <w:rsid w:val="003E1C2D"/>
    <w:rsid w:val="003E2975"/>
    <w:rsid w:val="003E394B"/>
    <w:rsid w:val="003E3AD3"/>
    <w:rsid w:val="003E3D43"/>
    <w:rsid w:val="003E40AC"/>
    <w:rsid w:val="003E4D43"/>
    <w:rsid w:val="003E54A9"/>
    <w:rsid w:val="003E57A3"/>
    <w:rsid w:val="003E651C"/>
    <w:rsid w:val="003F06BB"/>
    <w:rsid w:val="003F1A3F"/>
    <w:rsid w:val="003F30AC"/>
    <w:rsid w:val="003F3E8E"/>
    <w:rsid w:val="003F4D68"/>
    <w:rsid w:val="003F78D2"/>
    <w:rsid w:val="00400BC9"/>
    <w:rsid w:val="00400C54"/>
    <w:rsid w:val="00400F74"/>
    <w:rsid w:val="004033B0"/>
    <w:rsid w:val="00403599"/>
    <w:rsid w:val="00404D4D"/>
    <w:rsid w:val="004051D3"/>
    <w:rsid w:val="00406208"/>
    <w:rsid w:val="00406349"/>
    <w:rsid w:val="004075C9"/>
    <w:rsid w:val="004119BD"/>
    <w:rsid w:val="00412892"/>
    <w:rsid w:val="00412A6D"/>
    <w:rsid w:val="0041300B"/>
    <w:rsid w:val="00415BB7"/>
    <w:rsid w:val="00416038"/>
    <w:rsid w:val="0041687E"/>
    <w:rsid w:val="00421001"/>
    <w:rsid w:val="004223B0"/>
    <w:rsid w:val="004239E8"/>
    <w:rsid w:val="00423D36"/>
    <w:rsid w:val="004247C2"/>
    <w:rsid w:val="00424868"/>
    <w:rsid w:val="00425B6F"/>
    <w:rsid w:val="00426589"/>
    <w:rsid w:val="00426E9A"/>
    <w:rsid w:val="004275CC"/>
    <w:rsid w:val="00427775"/>
    <w:rsid w:val="0043025B"/>
    <w:rsid w:val="0043293B"/>
    <w:rsid w:val="004334BE"/>
    <w:rsid w:val="00434F28"/>
    <w:rsid w:val="00437900"/>
    <w:rsid w:val="00437BF3"/>
    <w:rsid w:val="00437EB7"/>
    <w:rsid w:val="004404FF"/>
    <w:rsid w:val="004432C6"/>
    <w:rsid w:val="00443BE3"/>
    <w:rsid w:val="00444B84"/>
    <w:rsid w:val="004465D6"/>
    <w:rsid w:val="004473B2"/>
    <w:rsid w:val="004509B4"/>
    <w:rsid w:val="00450CEC"/>
    <w:rsid w:val="0045283C"/>
    <w:rsid w:val="00455442"/>
    <w:rsid w:val="00456CDD"/>
    <w:rsid w:val="00456FC6"/>
    <w:rsid w:val="00457CF6"/>
    <w:rsid w:val="004604B3"/>
    <w:rsid w:val="00460BB2"/>
    <w:rsid w:val="00461DCE"/>
    <w:rsid w:val="00462880"/>
    <w:rsid w:val="00463022"/>
    <w:rsid w:val="00463CA4"/>
    <w:rsid w:val="004640F2"/>
    <w:rsid w:val="00464B17"/>
    <w:rsid w:val="00464C29"/>
    <w:rsid w:val="00465EBA"/>
    <w:rsid w:val="0046623C"/>
    <w:rsid w:val="004720EB"/>
    <w:rsid w:val="00473D62"/>
    <w:rsid w:val="00475CFA"/>
    <w:rsid w:val="00476ECE"/>
    <w:rsid w:val="00477322"/>
    <w:rsid w:val="0047784C"/>
    <w:rsid w:val="00477FFA"/>
    <w:rsid w:val="0048110D"/>
    <w:rsid w:val="004817F9"/>
    <w:rsid w:val="00482B79"/>
    <w:rsid w:val="00482C93"/>
    <w:rsid w:val="00483914"/>
    <w:rsid w:val="00485E6B"/>
    <w:rsid w:val="0048644C"/>
    <w:rsid w:val="0048734E"/>
    <w:rsid w:val="004878D6"/>
    <w:rsid w:val="0049032A"/>
    <w:rsid w:val="00490A8B"/>
    <w:rsid w:val="00490C47"/>
    <w:rsid w:val="0049119C"/>
    <w:rsid w:val="00492475"/>
    <w:rsid w:val="004934AA"/>
    <w:rsid w:val="0049642D"/>
    <w:rsid w:val="00496AEE"/>
    <w:rsid w:val="004970E9"/>
    <w:rsid w:val="004972C7"/>
    <w:rsid w:val="004A033D"/>
    <w:rsid w:val="004A456F"/>
    <w:rsid w:val="004A5844"/>
    <w:rsid w:val="004A6B00"/>
    <w:rsid w:val="004A71B5"/>
    <w:rsid w:val="004A7AF0"/>
    <w:rsid w:val="004B03F4"/>
    <w:rsid w:val="004B5164"/>
    <w:rsid w:val="004B7936"/>
    <w:rsid w:val="004C0AF3"/>
    <w:rsid w:val="004C218E"/>
    <w:rsid w:val="004C2601"/>
    <w:rsid w:val="004C361A"/>
    <w:rsid w:val="004C3F57"/>
    <w:rsid w:val="004C4166"/>
    <w:rsid w:val="004C4DDB"/>
    <w:rsid w:val="004C5430"/>
    <w:rsid w:val="004C5758"/>
    <w:rsid w:val="004C6145"/>
    <w:rsid w:val="004C68F2"/>
    <w:rsid w:val="004C720E"/>
    <w:rsid w:val="004C73D6"/>
    <w:rsid w:val="004D007F"/>
    <w:rsid w:val="004D1179"/>
    <w:rsid w:val="004D2A10"/>
    <w:rsid w:val="004D4658"/>
    <w:rsid w:val="004D5B64"/>
    <w:rsid w:val="004D5B75"/>
    <w:rsid w:val="004D6459"/>
    <w:rsid w:val="004D64D0"/>
    <w:rsid w:val="004D6713"/>
    <w:rsid w:val="004E10B6"/>
    <w:rsid w:val="004E13E9"/>
    <w:rsid w:val="004E1797"/>
    <w:rsid w:val="004E33EC"/>
    <w:rsid w:val="004E3F6E"/>
    <w:rsid w:val="004E4143"/>
    <w:rsid w:val="004E5383"/>
    <w:rsid w:val="004E5B54"/>
    <w:rsid w:val="004F0B5C"/>
    <w:rsid w:val="004F3363"/>
    <w:rsid w:val="004F3C56"/>
    <w:rsid w:val="004F3EDF"/>
    <w:rsid w:val="004F46A4"/>
    <w:rsid w:val="004F4B98"/>
    <w:rsid w:val="004F4BF7"/>
    <w:rsid w:val="004F51D4"/>
    <w:rsid w:val="004F5A85"/>
    <w:rsid w:val="004F7D74"/>
    <w:rsid w:val="005006E0"/>
    <w:rsid w:val="005023FE"/>
    <w:rsid w:val="005039FE"/>
    <w:rsid w:val="00503BA9"/>
    <w:rsid w:val="0050418B"/>
    <w:rsid w:val="00505F99"/>
    <w:rsid w:val="00507B0A"/>
    <w:rsid w:val="00507BEA"/>
    <w:rsid w:val="00507D9D"/>
    <w:rsid w:val="005109A3"/>
    <w:rsid w:val="00511384"/>
    <w:rsid w:val="0051149B"/>
    <w:rsid w:val="0051373A"/>
    <w:rsid w:val="00513A77"/>
    <w:rsid w:val="00513B23"/>
    <w:rsid w:val="005145D0"/>
    <w:rsid w:val="00515E7D"/>
    <w:rsid w:val="005160DD"/>
    <w:rsid w:val="00516F67"/>
    <w:rsid w:val="00517C69"/>
    <w:rsid w:val="00520399"/>
    <w:rsid w:val="0052172C"/>
    <w:rsid w:val="00522493"/>
    <w:rsid w:val="005234FE"/>
    <w:rsid w:val="005243CB"/>
    <w:rsid w:val="00527D12"/>
    <w:rsid w:val="00530410"/>
    <w:rsid w:val="00532810"/>
    <w:rsid w:val="00534328"/>
    <w:rsid w:val="0053526A"/>
    <w:rsid w:val="0053776C"/>
    <w:rsid w:val="005422E8"/>
    <w:rsid w:val="00542C54"/>
    <w:rsid w:val="00546E76"/>
    <w:rsid w:val="00546ECD"/>
    <w:rsid w:val="005514A0"/>
    <w:rsid w:val="00552E83"/>
    <w:rsid w:val="00553A1E"/>
    <w:rsid w:val="00553B8E"/>
    <w:rsid w:val="005559DD"/>
    <w:rsid w:val="005565FF"/>
    <w:rsid w:val="00556657"/>
    <w:rsid w:val="005567EA"/>
    <w:rsid w:val="00556A8A"/>
    <w:rsid w:val="005572AA"/>
    <w:rsid w:val="0055742E"/>
    <w:rsid w:val="005575B8"/>
    <w:rsid w:val="005609D4"/>
    <w:rsid w:val="00564A53"/>
    <w:rsid w:val="005655C3"/>
    <w:rsid w:val="00570691"/>
    <w:rsid w:val="00571A3D"/>
    <w:rsid w:val="0057204F"/>
    <w:rsid w:val="00572119"/>
    <w:rsid w:val="005724FE"/>
    <w:rsid w:val="00572EC6"/>
    <w:rsid w:val="00574371"/>
    <w:rsid w:val="005767FF"/>
    <w:rsid w:val="00577E83"/>
    <w:rsid w:val="00580B5D"/>
    <w:rsid w:val="005821AD"/>
    <w:rsid w:val="00583F6A"/>
    <w:rsid w:val="005845D8"/>
    <w:rsid w:val="005846A1"/>
    <w:rsid w:val="00584AAA"/>
    <w:rsid w:val="00585602"/>
    <w:rsid w:val="00586C00"/>
    <w:rsid w:val="00590B37"/>
    <w:rsid w:val="00591692"/>
    <w:rsid w:val="00592BE2"/>
    <w:rsid w:val="00592DB5"/>
    <w:rsid w:val="005931DC"/>
    <w:rsid w:val="00594084"/>
    <w:rsid w:val="005941E9"/>
    <w:rsid w:val="00594264"/>
    <w:rsid w:val="00594EEA"/>
    <w:rsid w:val="00596416"/>
    <w:rsid w:val="005A06C5"/>
    <w:rsid w:val="005A4C9E"/>
    <w:rsid w:val="005A6A44"/>
    <w:rsid w:val="005A7267"/>
    <w:rsid w:val="005A739D"/>
    <w:rsid w:val="005B0AE0"/>
    <w:rsid w:val="005B0B8E"/>
    <w:rsid w:val="005B2454"/>
    <w:rsid w:val="005B30EE"/>
    <w:rsid w:val="005B4441"/>
    <w:rsid w:val="005B4EF1"/>
    <w:rsid w:val="005B532C"/>
    <w:rsid w:val="005B533E"/>
    <w:rsid w:val="005B6AED"/>
    <w:rsid w:val="005B7DAB"/>
    <w:rsid w:val="005C08A1"/>
    <w:rsid w:val="005C08F2"/>
    <w:rsid w:val="005C3FED"/>
    <w:rsid w:val="005C4134"/>
    <w:rsid w:val="005C4496"/>
    <w:rsid w:val="005C5BB7"/>
    <w:rsid w:val="005C5F0B"/>
    <w:rsid w:val="005D0BF4"/>
    <w:rsid w:val="005D3EC6"/>
    <w:rsid w:val="005D47E4"/>
    <w:rsid w:val="005D4992"/>
    <w:rsid w:val="005D5B78"/>
    <w:rsid w:val="005D6006"/>
    <w:rsid w:val="005D60E5"/>
    <w:rsid w:val="005D6B6C"/>
    <w:rsid w:val="005D7E0E"/>
    <w:rsid w:val="005D7FAA"/>
    <w:rsid w:val="005E05F8"/>
    <w:rsid w:val="005E1926"/>
    <w:rsid w:val="005E1AB4"/>
    <w:rsid w:val="005E1AEF"/>
    <w:rsid w:val="005E445D"/>
    <w:rsid w:val="005E6313"/>
    <w:rsid w:val="005E69A5"/>
    <w:rsid w:val="005E7141"/>
    <w:rsid w:val="005E723F"/>
    <w:rsid w:val="005E7D2E"/>
    <w:rsid w:val="005F042D"/>
    <w:rsid w:val="005F1782"/>
    <w:rsid w:val="005F21AD"/>
    <w:rsid w:val="005F3C47"/>
    <w:rsid w:val="005F4F48"/>
    <w:rsid w:val="005F5671"/>
    <w:rsid w:val="0060037B"/>
    <w:rsid w:val="006008C6"/>
    <w:rsid w:val="0060134F"/>
    <w:rsid w:val="00601C56"/>
    <w:rsid w:val="00602455"/>
    <w:rsid w:val="00602F59"/>
    <w:rsid w:val="00603718"/>
    <w:rsid w:val="00603CFE"/>
    <w:rsid w:val="0060404C"/>
    <w:rsid w:val="00605B01"/>
    <w:rsid w:val="00606E3D"/>
    <w:rsid w:val="00607030"/>
    <w:rsid w:val="00607382"/>
    <w:rsid w:val="00610184"/>
    <w:rsid w:val="00610BE5"/>
    <w:rsid w:val="00610CA3"/>
    <w:rsid w:val="006125BE"/>
    <w:rsid w:val="00616159"/>
    <w:rsid w:val="00616F89"/>
    <w:rsid w:val="00617D3E"/>
    <w:rsid w:val="0062091C"/>
    <w:rsid w:val="00624604"/>
    <w:rsid w:val="00624FB0"/>
    <w:rsid w:val="00626C16"/>
    <w:rsid w:val="00627476"/>
    <w:rsid w:val="00627830"/>
    <w:rsid w:val="006304B9"/>
    <w:rsid w:val="00630C79"/>
    <w:rsid w:val="00631B53"/>
    <w:rsid w:val="00632E21"/>
    <w:rsid w:val="00633213"/>
    <w:rsid w:val="00633268"/>
    <w:rsid w:val="00633ECA"/>
    <w:rsid w:val="00634FC3"/>
    <w:rsid w:val="00635654"/>
    <w:rsid w:val="00636962"/>
    <w:rsid w:val="006449A2"/>
    <w:rsid w:val="006469E4"/>
    <w:rsid w:val="006472E9"/>
    <w:rsid w:val="00647808"/>
    <w:rsid w:val="00647D9E"/>
    <w:rsid w:val="006512A0"/>
    <w:rsid w:val="00651A9F"/>
    <w:rsid w:val="0065256D"/>
    <w:rsid w:val="00653777"/>
    <w:rsid w:val="006546B0"/>
    <w:rsid w:val="006555B7"/>
    <w:rsid w:val="0066145F"/>
    <w:rsid w:val="00661802"/>
    <w:rsid w:val="006632BD"/>
    <w:rsid w:val="0066403F"/>
    <w:rsid w:val="0067000A"/>
    <w:rsid w:val="00670AB6"/>
    <w:rsid w:val="00670BFA"/>
    <w:rsid w:val="0067104C"/>
    <w:rsid w:val="006718D8"/>
    <w:rsid w:val="006726CF"/>
    <w:rsid w:val="006749AD"/>
    <w:rsid w:val="00674A2C"/>
    <w:rsid w:val="006767D0"/>
    <w:rsid w:val="0068048E"/>
    <w:rsid w:val="00681068"/>
    <w:rsid w:val="00681B00"/>
    <w:rsid w:val="0068396B"/>
    <w:rsid w:val="00685FA3"/>
    <w:rsid w:val="00690E69"/>
    <w:rsid w:val="00691925"/>
    <w:rsid w:val="0069193C"/>
    <w:rsid w:val="00692E9F"/>
    <w:rsid w:val="00693084"/>
    <w:rsid w:val="006935A7"/>
    <w:rsid w:val="006950E7"/>
    <w:rsid w:val="00696DAC"/>
    <w:rsid w:val="006973DD"/>
    <w:rsid w:val="0069783E"/>
    <w:rsid w:val="00697A57"/>
    <w:rsid w:val="006A00CB"/>
    <w:rsid w:val="006A11BD"/>
    <w:rsid w:val="006A19E0"/>
    <w:rsid w:val="006A1A45"/>
    <w:rsid w:val="006A488A"/>
    <w:rsid w:val="006A504C"/>
    <w:rsid w:val="006A5099"/>
    <w:rsid w:val="006A52F4"/>
    <w:rsid w:val="006B010C"/>
    <w:rsid w:val="006B1E3F"/>
    <w:rsid w:val="006B5A15"/>
    <w:rsid w:val="006B65D8"/>
    <w:rsid w:val="006C00D7"/>
    <w:rsid w:val="006C0E73"/>
    <w:rsid w:val="006C27C5"/>
    <w:rsid w:val="006C2B9B"/>
    <w:rsid w:val="006C346B"/>
    <w:rsid w:val="006C47B9"/>
    <w:rsid w:val="006C4C46"/>
    <w:rsid w:val="006C5768"/>
    <w:rsid w:val="006C6385"/>
    <w:rsid w:val="006C6BD5"/>
    <w:rsid w:val="006D1BF3"/>
    <w:rsid w:val="006D204B"/>
    <w:rsid w:val="006D25F0"/>
    <w:rsid w:val="006D3F6A"/>
    <w:rsid w:val="006D5A19"/>
    <w:rsid w:val="006D5C53"/>
    <w:rsid w:val="006D60A9"/>
    <w:rsid w:val="006D6477"/>
    <w:rsid w:val="006D6BCD"/>
    <w:rsid w:val="006D7E7C"/>
    <w:rsid w:val="006D7F07"/>
    <w:rsid w:val="006E04B2"/>
    <w:rsid w:val="006E254A"/>
    <w:rsid w:val="006E38D0"/>
    <w:rsid w:val="006E3B88"/>
    <w:rsid w:val="006E5B04"/>
    <w:rsid w:val="006E607B"/>
    <w:rsid w:val="006E62B2"/>
    <w:rsid w:val="006E7640"/>
    <w:rsid w:val="006E7B09"/>
    <w:rsid w:val="006F22A7"/>
    <w:rsid w:val="006F2AFA"/>
    <w:rsid w:val="006F34AC"/>
    <w:rsid w:val="006F462D"/>
    <w:rsid w:val="006F4B84"/>
    <w:rsid w:val="00700315"/>
    <w:rsid w:val="00701590"/>
    <w:rsid w:val="00701A1C"/>
    <w:rsid w:val="00702A41"/>
    <w:rsid w:val="00702BF7"/>
    <w:rsid w:val="00705411"/>
    <w:rsid w:val="0070619E"/>
    <w:rsid w:val="00707401"/>
    <w:rsid w:val="0071133F"/>
    <w:rsid w:val="0071199C"/>
    <w:rsid w:val="00711C2B"/>
    <w:rsid w:val="00712B3C"/>
    <w:rsid w:val="00713178"/>
    <w:rsid w:val="00714216"/>
    <w:rsid w:val="00714955"/>
    <w:rsid w:val="007154E0"/>
    <w:rsid w:val="00715BE7"/>
    <w:rsid w:val="00716283"/>
    <w:rsid w:val="007165D9"/>
    <w:rsid w:val="00717069"/>
    <w:rsid w:val="00717DC7"/>
    <w:rsid w:val="00720BBA"/>
    <w:rsid w:val="00721658"/>
    <w:rsid w:val="00722055"/>
    <w:rsid w:val="007242B2"/>
    <w:rsid w:val="007256CC"/>
    <w:rsid w:val="00725B3C"/>
    <w:rsid w:val="00725CEC"/>
    <w:rsid w:val="00726C7E"/>
    <w:rsid w:val="0073402F"/>
    <w:rsid w:val="00734963"/>
    <w:rsid w:val="00734AD3"/>
    <w:rsid w:val="00734F65"/>
    <w:rsid w:val="00737596"/>
    <w:rsid w:val="00737FE1"/>
    <w:rsid w:val="00742279"/>
    <w:rsid w:val="00742A70"/>
    <w:rsid w:val="0074313C"/>
    <w:rsid w:val="00743873"/>
    <w:rsid w:val="00743BF5"/>
    <w:rsid w:val="007460B1"/>
    <w:rsid w:val="007475C8"/>
    <w:rsid w:val="00747A6C"/>
    <w:rsid w:val="00747E55"/>
    <w:rsid w:val="007537F2"/>
    <w:rsid w:val="0075480D"/>
    <w:rsid w:val="007558A0"/>
    <w:rsid w:val="00756C69"/>
    <w:rsid w:val="00762BC0"/>
    <w:rsid w:val="00762E00"/>
    <w:rsid w:val="00763189"/>
    <w:rsid w:val="007646CA"/>
    <w:rsid w:val="00764B4E"/>
    <w:rsid w:val="00764BAF"/>
    <w:rsid w:val="00766360"/>
    <w:rsid w:val="00766839"/>
    <w:rsid w:val="00766AC6"/>
    <w:rsid w:val="00766D4B"/>
    <w:rsid w:val="00767179"/>
    <w:rsid w:val="00770F10"/>
    <w:rsid w:val="00771036"/>
    <w:rsid w:val="00771599"/>
    <w:rsid w:val="00771BC1"/>
    <w:rsid w:val="00773055"/>
    <w:rsid w:val="00773AD2"/>
    <w:rsid w:val="00774902"/>
    <w:rsid w:val="007754DA"/>
    <w:rsid w:val="00777AF8"/>
    <w:rsid w:val="00782482"/>
    <w:rsid w:val="00782A3C"/>
    <w:rsid w:val="0078346D"/>
    <w:rsid w:val="00783F82"/>
    <w:rsid w:val="0078462C"/>
    <w:rsid w:val="007847FC"/>
    <w:rsid w:val="00784FFA"/>
    <w:rsid w:val="00786A03"/>
    <w:rsid w:val="00787455"/>
    <w:rsid w:val="00787CB3"/>
    <w:rsid w:val="00790665"/>
    <w:rsid w:val="00790728"/>
    <w:rsid w:val="007909F8"/>
    <w:rsid w:val="00791ACD"/>
    <w:rsid w:val="0079270A"/>
    <w:rsid w:val="007952F4"/>
    <w:rsid w:val="00795F33"/>
    <w:rsid w:val="00796134"/>
    <w:rsid w:val="0079657F"/>
    <w:rsid w:val="0079718D"/>
    <w:rsid w:val="00797308"/>
    <w:rsid w:val="00797533"/>
    <w:rsid w:val="007A0D0E"/>
    <w:rsid w:val="007A16ED"/>
    <w:rsid w:val="007A1923"/>
    <w:rsid w:val="007A3B60"/>
    <w:rsid w:val="007A40F1"/>
    <w:rsid w:val="007A62FF"/>
    <w:rsid w:val="007B037E"/>
    <w:rsid w:val="007B0AB1"/>
    <w:rsid w:val="007B1445"/>
    <w:rsid w:val="007B1E50"/>
    <w:rsid w:val="007B2972"/>
    <w:rsid w:val="007B29F5"/>
    <w:rsid w:val="007B4677"/>
    <w:rsid w:val="007B64F0"/>
    <w:rsid w:val="007B7B1D"/>
    <w:rsid w:val="007C0A47"/>
    <w:rsid w:val="007C1FC1"/>
    <w:rsid w:val="007C3F04"/>
    <w:rsid w:val="007C48AD"/>
    <w:rsid w:val="007C4CDA"/>
    <w:rsid w:val="007C502E"/>
    <w:rsid w:val="007C55E6"/>
    <w:rsid w:val="007C55EB"/>
    <w:rsid w:val="007C6B21"/>
    <w:rsid w:val="007D0B8A"/>
    <w:rsid w:val="007D0F84"/>
    <w:rsid w:val="007D34FD"/>
    <w:rsid w:val="007D39C3"/>
    <w:rsid w:val="007D3EA9"/>
    <w:rsid w:val="007D456E"/>
    <w:rsid w:val="007D4DCF"/>
    <w:rsid w:val="007D526C"/>
    <w:rsid w:val="007D5395"/>
    <w:rsid w:val="007D5F07"/>
    <w:rsid w:val="007D683D"/>
    <w:rsid w:val="007D70CD"/>
    <w:rsid w:val="007D75DF"/>
    <w:rsid w:val="007D7C85"/>
    <w:rsid w:val="007E0502"/>
    <w:rsid w:val="007E112E"/>
    <w:rsid w:val="007E17EF"/>
    <w:rsid w:val="007E33D5"/>
    <w:rsid w:val="007E357C"/>
    <w:rsid w:val="007E4BE9"/>
    <w:rsid w:val="007E4C0C"/>
    <w:rsid w:val="007E614F"/>
    <w:rsid w:val="007E66B9"/>
    <w:rsid w:val="007E7213"/>
    <w:rsid w:val="007F0089"/>
    <w:rsid w:val="007F28FD"/>
    <w:rsid w:val="007F3667"/>
    <w:rsid w:val="007F42C2"/>
    <w:rsid w:val="007F5FDD"/>
    <w:rsid w:val="008015EC"/>
    <w:rsid w:val="00801C8A"/>
    <w:rsid w:val="00803C74"/>
    <w:rsid w:val="00804042"/>
    <w:rsid w:val="00804451"/>
    <w:rsid w:val="00804C57"/>
    <w:rsid w:val="00804D70"/>
    <w:rsid w:val="00805EC6"/>
    <w:rsid w:val="0080617B"/>
    <w:rsid w:val="008071A7"/>
    <w:rsid w:val="00807D8F"/>
    <w:rsid w:val="00807ED8"/>
    <w:rsid w:val="008106C0"/>
    <w:rsid w:val="008108D2"/>
    <w:rsid w:val="0081096B"/>
    <w:rsid w:val="008121F6"/>
    <w:rsid w:val="0081317F"/>
    <w:rsid w:val="0081324D"/>
    <w:rsid w:val="008140ED"/>
    <w:rsid w:val="008148D8"/>
    <w:rsid w:val="00815731"/>
    <w:rsid w:val="00820102"/>
    <w:rsid w:val="0082046C"/>
    <w:rsid w:val="00820501"/>
    <w:rsid w:val="0082236A"/>
    <w:rsid w:val="00823143"/>
    <w:rsid w:val="008237BE"/>
    <w:rsid w:val="00823C58"/>
    <w:rsid w:val="00823D26"/>
    <w:rsid w:val="00824DAD"/>
    <w:rsid w:val="00826DF8"/>
    <w:rsid w:val="0082726E"/>
    <w:rsid w:val="008300D2"/>
    <w:rsid w:val="00830428"/>
    <w:rsid w:val="0083097A"/>
    <w:rsid w:val="00830A88"/>
    <w:rsid w:val="00831EE6"/>
    <w:rsid w:val="00832250"/>
    <w:rsid w:val="008348EF"/>
    <w:rsid w:val="0083502B"/>
    <w:rsid w:val="00836389"/>
    <w:rsid w:val="00837320"/>
    <w:rsid w:val="0084065C"/>
    <w:rsid w:val="00841041"/>
    <w:rsid w:val="00841493"/>
    <w:rsid w:val="0084199E"/>
    <w:rsid w:val="0084243A"/>
    <w:rsid w:val="00842F3F"/>
    <w:rsid w:val="00844948"/>
    <w:rsid w:val="00845097"/>
    <w:rsid w:val="0084697B"/>
    <w:rsid w:val="00847708"/>
    <w:rsid w:val="00850C6D"/>
    <w:rsid w:val="008511D4"/>
    <w:rsid w:val="00851AA9"/>
    <w:rsid w:val="00851E1A"/>
    <w:rsid w:val="0085324D"/>
    <w:rsid w:val="00853ACE"/>
    <w:rsid w:val="00854829"/>
    <w:rsid w:val="00854D35"/>
    <w:rsid w:val="00857F69"/>
    <w:rsid w:val="008607D9"/>
    <w:rsid w:val="00862688"/>
    <w:rsid w:val="00863ABF"/>
    <w:rsid w:val="008646A8"/>
    <w:rsid w:val="00864B4C"/>
    <w:rsid w:val="008678C6"/>
    <w:rsid w:val="008678FC"/>
    <w:rsid w:val="00867EC5"/>
    <w:rsid w:val="00871558"/>
    <w:rsid w:val="008721F1"/>
    <w:rsid w:val="00872CA9"/>
    <w:rsid w:val="00872CEF"/>
    <w:rsid w:val="00873B14"/>
    <w:rsid w:val="00874EB4"/>
    <w:rsid w:val="00875098"/>
    <w:rsid w:val="008758CA"/>
    <w:rsid w:val="00876111"/>
    <w:rsid w:val="008773DB"/>
    <w:rsid w:val="00881DE7"/>
    <w:rsid w:val="00881EE8"/>
    <w:rsid w:val="00882DE3"/>
    <w:rsid w:val="00883000"/>
    <w:rsid w:val="00884064"/>
    <w:rsid w:val="00885832"/>
    <w:rsid w:val="008876DF"/>
    <w:rsid w:val="0089338D"/>
    <w:rsid w:val="0089439C"/>
    <w:rsid w:val="00896610"/>
    <w:rsid w:val="008979BE"/>
    <w:rsid w:val="008A0192"/>
    <w:rsid w:val="008A05F9"/>
    <w:rsid w:val="008A1CD8"/>
    <w:rsid w:val="008A2A2F"/>
    <w:rsid w:val="008A30F8"/>
    <w:rsid w:val="008A3B04"/>
    <w:rsid w:val="008A4EB4"/>
    <w:rsid w:val="008A5316"/>
    <w:rsid w:val="008A5F3D"/>
    <w:rsid w:val="008A750E"/>
    <w:rsid w:val="008B0AFC"/>
    <w:rsid w:val="008B118D"/>
    <w:rsid w:val="008B197A"/>
    <w:rsid w:val="008B2D36"/>
    <w:rsid w:val="008B307B"/>
    <w:rsid w:val="008B310C"/>
    <w:rsid w:val="008B39C8"/>
    <w:rsid w:val="008B39E8"/>
    <w:rsid w:val="008B4058"/>
    <w:rsid w:val="008B4080"/>
    <w:rsid w:val="008B6942"/>
    <w:rsid w:val="008B6D79"/>
    <w:rsid w:val="008B7183"/>
    <w:rsid w:val="008B76EB"/>
    <w:rsid w:val="008C0D4A"/>
    <w:rsid w:val="008C19CC"/>
    <w:rsid w:val="008C21F5"/>
    <w:rsid w:val="008C3AC4"/>
    <w:rsid w:val="008C59AA"/>
    <w:rsid w:val="008C5E05"/>
    <w:rsid w:val="008C73AC"/>
    <w:rsid w:val="008D050E"/>
    <w:rsid w:val="008D4383"/>
    <w:rsid w:val="008D4FD4"/>
    <w:rsid w:val="008D6F4F"/>
    <w:rsid w:val="008E026A"/>
    <w:rsid w:val="008E1A17"/>
    <w:rsid w:val="008E1BD9"/>
    <w:rsid w:val="008E2184"/>
    <w:rsid w:val="008E30DE"/>
    <w:rsid w:val="008E3C9C"/>
    <w:rsid w:val="008E412B"/>
    <w:rsid w:val="008E464D"/>
    <w:rsid w:val="008E5DEE"/>
    <w:rsid w:val="008E708E"/>
    <w:rsid w:val="008E7A43"/>
    <w:rsid w:val="008F034C"/>
    <w:rsid w:val="008F0C45"/>
    <w:rsid w:val="008F1586"/>
    <w:rsid w:val="008F1826"/>
    <w:rsid w:val="008F21EF"/>
    <w:rsid w:val="008F263B"/>
    <w:rsid w:val="008F277D"/>
    <w:rsid w:val="008F2D38"/>
    <w:rsid w:val="008F3099"/>
    <w:rsid w:val="008F3638"/>
    <w:rsid w:val="008F43FF"/>
    <w:rsid w:val="008F6A20"/>
    <w:rsid w:val="00900E39"/>
    <w:rsid w:val="0090712B"/>
    <w:rsid w:val="009117F9"/>
    <w:rsid w:val="00913AFE"/>
    <w:rsid w:val="00913C79"/>
    <w:rsid w:val="00915542"/>
    <w:rsid w:val="00915A3B"/>
    <w:rsid w:val="00915CB7"/>
    <w:rsid w:val="009176F2"/>
    <w:rsid w:val="00917ECC"/>
    <w:rsid w:val="00921506"/>
    <w:rsid w:val="00922A92"/>
    <w:rsid w:val="00922F97"/>
    <w:rsid w:val="00924130"/>
    <w:rsid w:val="00925E49"/>
    <w:rsid w:val="00927379"/>
    <w:rsid w:val="00927FF9"/>
    <w:rsid w:val="00930056"/>
    <w:rsid w:val="009306EF"/>
    <w:rsid w:val="009316C4"/>
    <w:rsid w:val="009342BC"/>
    <w:rsid w:val="009351EF"/>
    <w:rsid w:val="0094032C"/>
    <w:rsid w:val="00940787"/>
    <w:rsid w:val="009409B3"/>
    <w:rsid w:val="00940E5C"/>
    <w:rsid w:val="00941103"/>
    <w:rsid w:val="0094128D"/>
    <w:rsid w:val="00941DD6"/>
    <w:rsid w:val="00944141"/>
    <w:rsid w:val="00944E5D"/>
    <w:rsid w:val="00945BEF"/>
    <w:rsid w:val="009464AC"/>
    <w:rsid w:val="00947195"/>
    <w:rsid w:val="00947754"/>
    <w:rsid w:val="00950302"/>
    <w:rsid w:val="00951DE0"/>
    <w:rsid w:val="00953B15"/>
    <w:rsid w:val="0095425D"/>
    <w:rsid w:val="00954BAB"/>
    <w:rsid w:val="00956711"/>
    <w:rsid w:val="00957EBF"/>
    <w:rsid w:val="00961260"/>
    <w:rsid w:val="00961611"/>
    <w:rsid w:val="009627FF"/>
    <w:rsid w:val="00965940"/>
    <w:rsid w:val="00966BEE"/>
    <w:rsid w:val="0097042E"/>
    <w:rsid w:val="00970E35"/>
    <w:rsid w:val="009738DB"/>
    <w:rsid w:val="009739C9"/>
    <w:rsid w:val="00973B1B"/>
    <w:rsid w:val="009755EC"/>
    <w:rsid w:val="00976234"/>
    <w:rsid w:val="0097623F"/>
    <w:rsid w:val="009764C0"/>
    <w:rsid w:val="00977685"/>
    <w:rsid w:val="009803F7"/>
    <w:rsid w:val="0098045F"/>
    <w:rsid w:val="009809CB"/>
    <w:rsid w:val="00981189"/>
    <w:rsid w:val="00981B3A"/>
    <w:rsid w:val="0098206F"/>
    <w:rsid w:val="00982DD3"/>
    <w:rsid w:val="00983198"/>
    <w:rsid w:val="0098584A"/>
    <w:rsid w:val="00985C0C"/>
    <w:rsid w:val="009862D9"/>
    <w:rsid w:val="009865CB"/>
    <w:rsid w:val="009866AE"/>
    <w:rsid w:val="00987EC7"/>
    <w:rsid w:val="00990698"/>
    <w:rsid w:val="009920E6"/>
    <w:rsid w:val="00992C1C"/>
    <w:rsid w:val="00993E93"/>
    <w:rsid w:val="0099532B"/>
    <w:rsid w:val="009953FA"/>
    <w:rsid w:val="00995F7C"/>
    <w:rsid w:val="00996C7C"/>
    <w:rsid w:val="009A16C3"/>
    <w:rsid w:val="009A46D3"/>
    <w:rsid w:val="009A49B1"/>
    <w:rsid w:val="009A65ED"/>
    <w:rsid w:val="009A7343"/>
    <w:rsid w:val="009B1206"/>
    <w:rsid w:val="009B1F21"/>
    <w:rsid w:val="009B1FE0"/>
    <w:rsid w:val="009B2481"/>
    <w:rsid w:val="009B2945"/>
    <w:rsid w:val="009B3202"/>
    <w:rsid w:val="009B48C7"/>
    <w:rsid w:val="009B5D77"/>
    <w:rsid w:val="009B5D91"/>
    <w:rsid w:val="009B606C"/>
    <w:rsid w:val="009C0442"/>
    <w:rsid w:val="009C08FC"/>
    <w:rsid w:val="009C0CE8"/>
    <w:rsid w:val="009C168B"/>
    <w:rsid w:val="009C40F3"/>
    <w:rsid w:val="009C4F58"/>
    <w:rsid w:val="009C5853"/>
    <w:rsid w:val="009C6A91"/>
    <w:rsid w:val="009C72BF"/>
    <w:rsid w:val="009D2E05"/>
    <w:rsid w:val="009D2F60"/>
    <w:rsid w:val="009D3F4F"/>
    <w:rsid w:val="009E0932"/>
    <w:rsid w:val="009E2ADB"/>
    <w:rsid w:val="009E3D8F"/>
    <w:rsid w:val="009E5181"/>
    <w:rsid w:val="009E5ADA"/>
    <w:rsid w:val="009E5BF6"/>
    <w:rsid w:val="009E632E"/>
    <w:rsid w:val="009E6701"/>
    <w:rsid w:val="009E6A05"/>
    <w:rsid w:val="009F130D"/>
    <w:rsid w:val="009F15FD"/>
    <w:rsid w:val="009F1F9C"/>
    <w:rsid w:val="009F232C"/>
    <w:rsid w:val="009F2D5C"/>
    <w:rsid w:val="009F33C7"/>
    <w:rsid w:val="009F42C6"/>
    <w:rsid w:val="009F4ABE"/>
    <w:rsid w:val="009F55EF"/>
    <w:rsid w:val="009F5AED"/>
    <w:rsid w:val="009F6296"/>
    <w:rsid w:val="009F7A0F"/>
    <w:rsid w:val="00A01026"/>
    <w:rsid w:val="00A01E3B"/>
    <w:rsid w:val="00A02800"/>
    <w:rsid w:val="00A03F3D"/>
    <w:rsid w:val="00A06277"/>
    <w:rsid w:val="00A10355"/>
    <w:rsid w:val="00A109E9"/>
    <w:rsid w:val="00A12AAA"/>
    <w:rsid w:val="00A136D7"/>
    <w:rsid w:val="00A14043"/>
    <w:rsid w:val="00A14E8A"/>
    <w:rsid w:val="00A15DCF"/>
    <w:rsid w:val="00A168EE"/>
    <w:rsid w:val="00A16C12"/>
    <w:rsid w:val="00A17CDC"/>
    <w:rsid w:val="00A20077"/>
    <w:rsid w:val="00A20994"/>
    <w:rsid w:val="00A22FBE"/>
    <w:rsid w:val="00A2325A"/>
    <w:rsid w:val="00A23419"/>
    <w:rsid w:val="00A25628"/>
    <w:rsid w:val="00A2667A"/>
    <w:rsid w:val="00A26F09"/>
    <w:rsid w:val="00A303C0"/>
    <w:rsid w:val="00A30880"/>
    <w:rsid w:val="00A31399"/>
    <w:rsid w:val="00A316AA"/>
    <w:rsid w:val="00A32346"/>
    <w:rsid w:val="00A32363"/>
    <w:rsid w:val="00A32A98"/>
    <w:rsid w:val="00A32DB9"/>
    <w:rsid w:val="00A32EFE"/>
    <w:rsid w:val="00A3375A"/>
    <w:rsid w:val="00A363DB"/>
    <w:rsid w:val="00A3731E"/>
    <w:rsid w:val="00A40A07"/>
    <w:rsid w:val="00A40DD9"/>
    <w:rsid w:val="00A40ED4"/>
    <w:rsid w:val="00A43FEB"/>
    <w:rsid w:val="00A44B7C"/>
    <w:rsid w:val="00A44D5F"/>
    <w:rsid w:val="00A47A5D"/>
    <w:rsid w:val="00A47F47"/>
    <w:rsid w:val="00A50721"/>
    <w:rsid w:val="00A51A01"/>
    <w:rsid w:val="00A51F91"/>
    <w:rsid w:val="00A52F33"/>
    <w:rsid w:val="00A53334"/>
    <w:rsid w:val="00A55171"/>
    <w:rsid w:val="00A5519D"/>
    <w:rsid w:val="00A60190"/>
    <w:rsid w:val="00A60FB5"/>
    <w:rsid w:val="00A614BD"/>
    <w:rsid w:val="00A636FF"/>
    <w:rsid w:val="00A66243"/>
    <w:rsid w:val="00A665A0"/>
    <w:rsid w:val="00A673AA"/>
    <w:rsid w:val="00A67EB0"/>
    <w:rsid w:val="00A702D9"/>
    <w:rsid w:val="00A703F4"/>
    <w:rsid w:val="00A726F5"/>
    <w:rsid w:val="00A72DE9"/>
    <w:rsid w:val="00A754D5"/>
    <w:rsid w:val="00A80433"/>
    <w:rsid w:val="00A80BC0"/>
    <w:rsid w:val="00A81425"/>
    <w:rsid w:val="00A82175"/>
    <w:rsid w:val="00A82A47"/>
    <w:rsid w:val="00A8331C"/>
    <w:rsid w:val="00A84A2F"/>
    <w:rsid w:val="00A8500A"/>
    <w:rsid w:val="00A854C8"/>
    <w:rsid w:val="00A8586F"/>
    <w:rsid w:val="00A862A0"/>
    <w:rsid w:val="00A86308"/>
    <w:rsid w:val="00A86910"/>
    <w:rsid w:val="00A86AB8"/>
    <w:rsid w:val="00A86B4D"/>
    <w:rsid w:val="00A91100"/>
    <w:rsid w:val="00A94E6D"/>
    <w:rsid w:val="00A9615D"/>
    <w:rsid w:val="00A96302"/>
    <w:rsid w:val="00A97FC0"/>
    <w:rsid w:val="00AA1E68"/>
    <w:rsid w:val="00AA34EC"/>
    <w:rsid w:val="00AA385E"/>
    <w:rsid w:val="00AA4DCF"/>
    <w:rsid w:val="00AA521F"/>
    <w:rsid w:val="00AA548E"/>
    <w:rsid w:val="00AA6BFC"/>
    <w:rsid w:val="00AA7C56"/>
    <w:rsid w:val="00AB142A"/>
    <w:rsid w:val="00AB1631"/>
    <w:rsid w:val="00AB22DF"/>
    <w:rsid w:val="00AB23D3"/>
    <w:rsid w:val="00AB27AE"/>
    <w:rsid w:val="00AB2BB7"/>
    <w:rsid w:val="00AB2E52"/>
    <w:rsid w:val="00AB3297"/>
    <w:rsid w:val="00AB52F6"/>
    <w:rsid w:val="00AB61FB"/>
    <w:rsid w:val="00AB69E5"/>
    <w:rsid w:val="00AB71E7"/>
    <w:rsid w:val="00AC0762"/>
    <w:rsid w:val="00AC12E0"/>
    <w:rsid w:val="00AC3B1F"/>
    <w:rsid w:val="00AC3CBF"/>
    <w:rsid w:val="00AC4759"/>
    <w:rsid w:val="00AC490F"/>
    <w:rsid w:val="00AC5FF3"/>
    <w:rsid w:val="00AC6E26"/>
    <w:rsid w:val="00AD049D"/>
    <w:rsid w:val="00AD0DEC"/>
    <w:rsid w:val="00AD1053"/>
    <w:rsid w:val="00AD18E4"/>
    <w:rsid w:val="00AD1C90"/>
    <w:rsid w:val="00AD3664"/>
    <w:rsid w:val="00AD5CBD"/>
    <w:rsid w:val="00AD6D19"/>
    <w:rsid w:val="00AE2657"/>
    <w:rsid w:val="00AE2D12"/>
    <w:rsid w:val="00AE4496"/>
    <w:rsid w:val="00AE4DC0"/>
    <w:rsid w:val="00AE5073"/>
    <w:rsid w:val="00AE5AD8"/>
    <w:rsid w:val="00AE7A45"/>
    <w:rsid w:val="00AF079D"/>
    <w:rsid w:val="00AF0F42"/>
    <w:rsid w:val="00AF0FB2"/>
    <w:rsid w:val="00AF2112"/>
    <w:rsid w:val="00AF3A0E"/>
    <w:rsid w:val="00AF60D6"/>
    <w:rsid w:val="00AF6E1F"/>
    <w:rsid w:val="00AF743E"/>
    <w:rsid w:val="00B00033"/>
    <w:rsid w:val="00B00B04"/>
    <w:rsid w:val="00B020FC"/>
    <w:rsid w:val="00B06B67"/>
    <w:rsid w:val="00B06D25"/>
    <w:rsid w:val="00B070DC"/>
    <w:rsid w:val="00B0793A"/>
    <w:rsid w:val="00B10B48"/>
    <w:rsid w:val="00B10CE3"/>
    <w:rsid w:val="00B10DF7"/>
    <w:rsid w:val="00B11148"/>
    <w:rsid w:val="00B112FF"/>
    <w:rsid w:val="00B12223"/>
    <w:rsid w:val="00B13A3C"/>
    <w:rsid w:val="00B13E84"/>
    <w:rsid w:val="00B1489F"/>
    <w:rsid w:val="00B175EE"/>
    <w:rsid w:val="00B177D2"/>
    <w:rsid w:val="00B17FCE"/>
    <w:rsid w:val="00B2134D"/>
    <w:rsid w:val="00B21B83"/>
    <w:rsid w:val="00B21DC8"/>
    <w:rsid w:val="00B22F27"/>
    <w:rsid w:val="00B2312D"/>
    <w:rsid w:val="00B23339"/>
    <w:rsid w:val="00B25DC7"/>
    <w:rsid w:val="00B26113"/>
    <w:rsid w:val="00B264F4"/>
    <w:rsid w:val="00B30209"/>
    <w:rsid w:val="00B30BE9"/>
    <w:rsid w:val="00B31C2D"/>
    <w:rsid w:val="00B3268C"/>
    <w:rsid w:val="00B32BFE"/>
    <w:rsid w:val="00B32FF7"/>
    <w:rsid w:val="00B33125"/>
    <w:rsid w:val="00B33BC6"/>
    <w:rsid w:val="00B359B5"/>
    <w:rsid w:val="00B361D7"/>
    <w:rsid w:val="00B36732"/>
    <w:rsid w:val="00B36E19"/>
    <w:rsid w:val="00B37A46"/>
    <w:rsid w:val="00B410D6"/>
    <w:rsid w:val="00B411E0"/>
    <w:rsid w:val="00B4277E"/>
    <w:rsid w:val="00B43361"/>
    <w:rsid w:val="00B43CBD"/>
    <w:rsid w:val="00B4415A"/>
    <w:rsid w:val="00B457F9"/>
    <w:rsid w:val="00B461B2"/>
    <w:rsid w:val="00B46431"/>
    <w:rsid w:val="00B46B1D"/>
    <w:rsid w:val="00B4718C"/>
    <w:rsid w:val="00B47194"/>
    <w:rsid w:val="00B4738C"/>
    <w:rsid w:val="00B47A11"/>
    <w:rsid w:val="00B5099F"/>
    <w:rsid w:val="00B52F26"/>
    <w:rsid w:val="00B53327"/>
    <w:rsid w:val="00B56285"/>
    <w:rsid w:val="00B601E0"/>
    <w:rsid w:val="00B71041"/>
    <w:rsid w:val="00B712F4"/>
    <w:rsid w:val="00B71E19"/>
    <w:rsid w:val="00B72B7D"/>
    <w:rsid w:val="00B72F46"/>
    <w:rsid w:val="00B7310F"/>
    <w:rsid w:val="00B735F1"/>
    <w:rsid w:val="00B739E4"/>
    <w:rsid w:val="00B74C44"/>
    <w:rsid w:val="00B75FAD"/>
    <w:rsid w:val="00B770B1"/>
    <w:rsid w:val="00B774A2"/>
    <w:rsid w:val="00B77CE6"/>
    <w:rsid w:val="00B8060E"/>
    <w:rsid w:val="00B806CE"/>
    <w:rsid w:val="00B80AFF"/>
    <w:rsid w:val="00B80C90"/>
    <w:rsid w:val="00B8100A"/>
    <w:rsid w:val="00B81586"/>
    <w:rsid w:val="00B82B92"/>
    <w:rsid w:val="00B83D3D"/>
    <w:rsid w:val="00B8552B"/>
    <w:rsid w:val="00B87A77"/>
    <w:rsid w:val="00B9294D"/>
    <w:rsid w:val="00B944CA"/>
    <w:rsid w:val="00B94FCF"/>
    <w:rsid w:val="00B95FC6"/>
    <w:rsid w:val="00B965D3"/>
    <w:rsid w:val="00B9678D"/>
    <w:rsid w:val="00BA0CB6"/>
    <w:rsid w:val="00BA1E78"/>
    <w:rsid w:val="00BA23FB"/>
    <w:rsid w:val="00BA3785"/>
    <w:rsid w:val="00BA657D"/>
    <w:rsid w:val="00BA65D6"/>
    <w:rsid w:val="00BA7BC8"/>
    <w:rsid w:val="00BB018C"/>
    <w:rsid w:val="00BB1FED"/>
    <w:rsid w:val="00BB5155"/>
    <w:rsid w:val="00BB6216"/>
    <w:rsid w:val="00BB70AA"/>
    <w:rsid w:val="00BB71C0"/>
    <w:rsid w:val="00BB732A"/>
    <w:rsid w:val="00BB7EAB"/>
    <w:rsid w:val="00BC077D"/>
    <w:rsid w:val="00BC0867"/>
    <w:rsid w:val="00BC16C0"/>
    <w:rsid w:val="00BC18A4"/>
    <w:rsid w:val="00BC23E0"/>
    <w:rsid w:val="00BC3DE4"/>
    <w:rsid w:val="00BC47C2"/>
    <w:rsid w:val="00BC49CA"/>
    <w:rsid w:val="00BC6130"/>
    <w:rsid w:val="00BC69D3"/>
    <w:rsid w:val="00BC6FEF"/>
    <w:rsid w:val="00BD145D"/>
    <w:rsid w:val="00BD20FF"/>
    <w:rsid w:val="00BD2AF9"/>
    <w:rsid w:val="00BD2DF4"/>
    <w:rsid w:val="00BD6366"/>
    <w:rsid w:val="00BE0945"/>
    <w:rsid w:val="00BE0E67"/>
    <w:rsid w:val="00BE1952"/>
    <w:rsid w:val="00BE2E03"/>
    <w:rsid w:val="00BE3217"/>
    <w:rsid w:val="00BE3942"/>
    <w:rsid w:val="00BE3CB0"/>
    <w:rsid w:val="00BE3E7D"/>
    <w:rsid w:val="00BE43E3"/>
    <w:rsid w:val="00BE68C6"/>
    <w:rsid w:val="00BE69CF"/>
    <w:rsid w:val="00BF03CD"/>
    <w:rsid w:val="00BF1553"/>
    <w:rsid w:val="00BF2781"/>
    <w:rsid w:val="00BF28C9"/>
    <w:rsid w:val="00BF2C91"/>
    <w:rsid w:val="00BF450E"/>
    <w:rsid w:val="00BF52CE"/>
    <w:rsid w:val="00BF5FAF"/>
    <w:rsid w:val="00BF723D"/>
    <w:rsid w:val="00BF7D01"/>
    <w:rsid w:val="00C00849"/>
    <w:rsid w:val="00C0097D"/>
    <w:rsid w:val="00C025B3"/>
    <w:rsid w:val="00C028B9"/>
    <w:rsid w:val="00C02938"/>
    <w:rsid w:val="00C031AB"/>
    <w:rsid w:val="00C03F26"/>
    <w:rsid w:val="00C056CE"/>
    <w:rsid w:val="00C057E2"/>
    <w:rsid w:val="00C05951"/>
    <w:rsid w:val="00C0696A"/>
    <w:rsid w:val="00C101D2"/>
    <w:rsid w:val="00C108B1"/>
    <w:rsid w:val="00C114A7"/>
    <w:rsid w:val="00C138EC"/>
    <w:rsid w:val="00C13EE6"/>
    <w:rsid w:val="00C149FB"/>
    <w:rsid w:val="00C15A13"/>
    <w:rsid w:val="00C1633E"/>
    <w:rsid w:val="00C17443"/>
    <w:rsid w:val="00C179C3"/>
    <w:rsid w:val="00C17C12"/>
    <w:rsid w:val="00C21E45"/>
    <w:rsid w:val="00C22918"/>
    <w:rsid w:val="00C22DA6"/>
    <w:rsid w:val="00C237B0"/>
    <w:rsid w:val="00C23985"/>
    <w:rsid w:val="00C23BAA"/>
    <w:rsid w:val="00C2691D"/>
    <w:rsid w:val="00C26A63"/>
    <w:rsid w:val="00C27435"/>
    <w:rsid w:val="00C27F21"/>
    <w:rsid w:val="00C30F1F"/>
    <w:rsid w:val="00C3261C"/>
    <w:rsid w:val="00C356A5"/>
    <w:rsid w:val="00C41822"/>
    <w:rsid w:val="00C42055"/>
    <w:rsid w:val="00C426A1"/>
    <w:rsid w:val="00C42EC4"/>
    <w:rsid w:val="00C44ADD"/>
    <w:rsid w:val="00C45131"/>
    <w:rsid w:val="00C47994"/>
    <w:rsid w:val="00C50387"/>
    <w:rsid w:val="00C507DF"/>
    <w:rsid w:val="00C50BA8"/>
    <w:rsid w:val="00C51F06"/>
    <w:rsid w:val="00C53874"/>
    <w:rsid w:val="00C539EB"/>
    <w:rsid w:val="00C53C59"/>
    <w:rsid w:val="00C5434F"/>
    <w:rsid w:val="00C55E97"/>
    <w:rsid w:val="00C5759B"/>
    <w:rsid w:val="00C57B4E"/>
    <w:rsid w:val="00C6043B"/>
    <w:rsid w:val="00C6180D"/>
    <w:rsid w:val="00C61D89"/>
    <w:rsid w:val="00C62432"/>
    <w:rsid w:val="00C62460"/>
    <w:rsid w:val="00C64322"/>
    <w:rsid w:val="00C643A1"/>
    <w:rsid w:val="00C64505"/>
    <w:rsid w:val="00C64B0C"/>
    <w:rsid w:val="00C64D2F"/>
    <w:rsid w:val="00C65AC8"/>
    <w:rsid w:val="00C660EA"/>
    <w:rsid w:val="00C665E2"/>
    <w:rsid w:val="00C66D83"/>
    <w:rsid w:val="00C67B68"/>
    <w:rsid w:val="00C67B9B"/>
    <w:rsid w:val="00C70711"/>
    <w:rsid w:val="00C72EC8"/>
    <w:rsid w:val="00C73085"/>
    <w:rsid w:val="00C73699"/>
    <w:rsid w:val="00C74A72"/>
    <w:rsid w:val="00C7520B"/>
    <w:rsid w:val="00C7562A"/>
    <w:rsid w:val="00C7616A"/>
    <w:rsid w:val="00C77D9A"/>
    <w:rsid w:val="00C80E65"/>
    <w:rsid w:val="00C826D2"/>
    <w:rsid w:val="00C82F86"/>
    <w:rsid w:val="00C86DFB"/>
    <w:rsid w:val="00C9047C"/>
    <w:rsid w:val="00C9148D"/>
    <w:rsid w:val="00C91C06"/>
    <w:rsid w:val="00C92B8D"/>
    <w:rsid w:val="00C92C8C"/>
    <w:rsid w:val="00C945F0"/>
    <w:rsid w:val="00C94ECD"/>
    <w:rsid w:val="00C96237"/>
    <w:rsid w:val="00C96527"/>
    <w:rsid w:val="00C965FD"/>
    <w:rsid w:val="00C96F02"/>
    <w:rsid w:val="00CA00CA"/>
    <w:rsid w:val="00CA14F7"/>
    <w:rsid w:val="00CA5DB6"/>
    <w:rsid w:val="00CA5F6D"/>
    <w:rsid w:val="00CA5F77"/>
    <w:rsid w:val="00CA788A"/>
    <w:rsid w:val="00CB003C"/>
    <w:rsid w:val="00CB12E0"/>
    <w:rsid w:val="00CB16B0"/>
    <w:rsid w:val="00CB1C3E"/>
    <w:rsid w:val="00CB256A"/>
    <w:rsid w:val="00CB2A24"/>
    <w:rsid w:val="00CB2B37"/>
    <w:rsid w:val="00CB2BFC"/>
    <w:rsid w:val="00CB3694"/>
    <w:rsid w:val="00CB3A93"/>
    <w:rsid w:val="00CB3B67"/>
    <w:rsid w:val="00CB3E1B"/>
    <w:rsid w:val="00CB4B8D"/>
    <w:rsid w:val="00CB5579"/>
    <w:rsid w:val="00CB5F94"/>
    <w:rsid w:val="00CC18BD"/>
    <w:rsid w:val="00CC1CB6"/>
    <w:rsid w:val="00CC29D7"/>
    <w:rsid w:val="00CC3DB2"/>
    <w:rsid w:val="00CC42DC"/>
    <w:rsid w:val="00CC5E86"/>
    <w:rsid w:val="00CC688D"/>
    <w:rsid w:val="00CD04BC"/>
    <w:rsid w:val="00CD133F"/>
    <w:rsid w:val="00CD170B"/>
    <w:rsid w:val="00CD186F"/>
    <w:rsid w:val="00CD371D"/>
    <w:rsid w:val="00CD3D5B"/>
    <w:rsid w:val="00CD52C0"/>
    <w:rsid w:val="00CD5BEF"/>
    <w:rsid w:val="00CD7281"/>
    <w:rsid w:val="00CE1CB7"/>
    <w:rsid w:val="00CE5AD9"/>
    <w:rsid w:val="00CE7265"/>
    <w:rsid w:val="00CE72DF"/>
    <w:rsid w:val="00CF056E"/>
    <w:rsid w:val="00CF2995"/>
    <w:rsid w:val="00CF2A96"/>
    <w:rsid w:val="00CF2D88"/>
    <w:rsid w:val="00CF308B"/>
    <w:rsid w:val="00CF36D0"/>
    <w:rsid w:val="00CF3FE5"/>
    <w:rsid w:val="00CF5650"/>
    <w:rsid w:val="00CF67E3"/>
    <w:rsid w:val="00D02735"/>
    <w:rsid w:val="00D02F08"/>
    <w:rsid w:val="00D11D7A"/>
    <w:rsid w:val="00D147ED"/>
    <w:rsid w:val="00D149A9"/>
    <w:rsid w:val="00D1658F"/>
    <w:rsid w:val="00D17567"/>
    <w:rsid w:val="00D17BF9"/>
    <w:rsid w:val="00D20BC7"/>
    <w:rsid w:val="00D21739"/>
    <w:rsid w:val="00D26AB0"/>
    <w:rsid w:val="00D26C9C"/>
    <w:rsid w:val="00D27DC1"/>
    <w:rsid w:val="00D30722"/>
    <w:rsid w:val="00D31510"/>
    <w:rsid w:val="00D31A49"/>
    <w:rsid w:val="00D32E89"/>
    <w:rsid w:val="00D32F76"/>
    <w:rsid w:val="00D331DE"/>
    <w:rsid w:val="00D33672"/>
    <w:rsid w:val="00D3466A"/>
    <w:rsid w:val="00D34849"/>
    <w:rsid w:val="00D34F3D"/>
    <w:rsid w:val="00D351E7"/>
    <w:rsid w:val="00D353C7"/>
    <w:rsid w:val="00D36A23"/>
    <w:rsid w:val="00D37516"/>
    <w:rsid w:val="00D41710"/>
    <w:rsid w:val="00D4212A"/>
    <w:rsid w:val="00D42B65"/>
    <w:rsid w:val="00D4408D"/>
    <w:rsid w:val="00D45901"/>
    <w:rsid w:val="00D46765"/>
    <w:rsid w:val="00D47D31"/>
    <w:rsid w:val="00D506AF"/>
    <w:rsid w:val="00D51628"/>
    <w:rsid w:val="00D53BCA"/>
    <w:rsid w:val="00D55586"/>
    <w:rsid w:val="00D5565A"/>
    <w:rsid w:val="00D55CA8"/>
    <w:rsid w:val="00D60863"/>
    <w:rsid w:val="00D61B5D"/>
    <w:rsid w:val="00D63E8B"/>
    <w:rsid w:val="00D653C0"/>
    <w:rsid w:val="00D65680"/>
    <w:rsid w:val="00D66285"/>
    <w:rsid w:val="00D673F7"/>
    <w:rsid w:val="00D678FD"/>
    <w:rsid w:val="00D67CA2"/>
    <w:rsid w:val="00D71390"/>
    <w:rsid w:val="00D72E23"/>
    <w:rsid w:val="00D7523F"/>
    <w:rsid w:val="00D7637F"/>
    <w:rsid w:val="00D7716C"/>
    <w:rsid w:val="00D77D47"/>
    <w:rsid w:val="00D804EB"/>
    <w:rsid w:val="00D80D96"/>
    <w:rsid w:val="00D80EC7"/>
    <w:rsid w:val="00D843D8"/>
    <w:rsid w:val="00D84EED"/>
    <w:rsid w:val="00D87963"/>
    <w:rsid w:val="00D92685"/>
    <w:rsid w:val="00D94059"/>
    <w:rsid w:val="00D943A6"/>
    <w:rsid w:val="00D961B7"/>
    <w:rsid w:val="00DA070C"/>
    <w:rsid w:val="00DA0E1B"/>
    <w:rsid w:val="00DA19A2"/>
    <w:rsid w:val="00DA1AB1"/>
    <w:rsid w:val="00DA1C34"/>
    <w:rsid w:val="00DA385D"/>
    <w:rsid w:val="00DA6A30"/>
    <w:rsid w:val="00DA7A6B"/>
    <w:rsid w:val="00DB0722"/>
    <w:rsid w:val="00DB1F18"/>
    <w:rsid w:val="00DB22D2"/>
    <w:rsid w:val="00DB2E23"/>
    <w:rsid w:val="00DB3023"/>
    <w:rsid w:val="00DB328A"/>
    <w:rsid w:val="00DB32B7"/>
    <w:rsid w:val="00DB34B6"/>
    <w:rsid w:val="00DB45B2"/>
    <w:rsid w:val="00DB4B5A"/>
    <w:rsid w:val="00DB4ED8"/>
    <w:rsid w:val="00DB6EF6"/>
    <w:rsid w:val="00DC01A6"/>
    <w:rsid w:val="00DC0F5C"/>
    <w:rsid w:val="00DC2289"/>
    <w:rsid w:val="00DC6A25"/>
    <w:rsid w:val="00DC6C88"/>
    <w:rsid w:val="00DC6CE7"/>
    <w:rsid w:val="00DC71EF"/>
    <w:rsid w:val="00DC7EE0"/>
    <w:rsid w:val="00DD2C32"/>
    <w:rsid w:val="00DD317D"/>
    <w:rsid w:val="00DD38CA"/>
    <w:rsid w:val="00DD6B2D"/>
    <w:rsid w:val="00DD6E05"/>
    <w:rsid w:val="00DE09D7"/>
    <w:rsid w:val="00DE1001"/>
    <w:rsid w:val="00DE2642"/>
    <w:rsid w:val="00DE31E6"/>
    <w:rsid w:val="00DE3A89"/>
    <w:rsid w:val="00DE3D5C"/>
    <w:rsid w:val="00DE42B4"/>
    <w:rsid w:val="00DE4DAC"/>
    <w:rsid w:val="00DE5B9F"/>
    <w:rsid w:val="00DE6460"/>
    <w:rsid w:val="00DE6883"/>
    <w:rsid w:val="00DE72EF"/>
    <w:rsid w:val="00DF0E19"/>
    <w:rsid w:val="00DF3030"/>
    <w:rsid w:val="00DF4619"/>
    <w:rsid w:val="00DF47D4"/>
    <w:rsid w:val="00DF4FA4"/>
    <w:rsid w:val="00DF78D4"/>
    <w:rsid w:val="00E01DA0"/>
    <w:rsid w:val="00E02E90"/>
    <w:rsid w:val="00E02EB1"/>
    <w:rsid w:val="00E03540"/>
    <w:rsid w:val="00E057D3"/>
    <w:rsid w:val="00E07796"/>
    <w:rsid w:val="00E10942"/>
    <w:rsid w:val="00E114A2"/>
    <w:rsid w:val="00E11E5E"/>
    <w:rsid w:val="00E12340"/>
    <w:rsid w:val="00E12CD0"/>
    <w:rsid w:val="00E13111"/>
    <w:rsid w:val="00E14990"/>
    <w:rsid w:val="00E157FA"/>
    <w:rsid w:val="00E16552"/>
    <w:rsid w:val="00E16CB2"/>
    <w:rsid w:val="00E17321"/>
    <w:rsid w:val="00E17797"/>
    <w:rsid w:val="00E2127F"/>
    <w:rsid w:val="00E21BA2"/>
    <w:rsid w:val="00E229C5"/>
    <w:rsid w:val="00E22AC8"/>
    <w:rsid w:val="00E24ABB"/>
    <w:rsid w:val="00E25292"/>
    <w:rsid w:val="00E25812"/>
    <w:rsid w:val="00E264C7"/>
    <w:rsid w:val="00E27ED9"/>
    <w:rsid w:val="00E27F48"/>
    <w:rsid w:val="00E3257A"/>
    <w:rsid w:val="00E32774"/>
    <w:rsid w:val="00E32BEF"/>
    <w:rsid w:val="00E360B8"/>
    <w:rsid w:val="00E37C1B"/>
    <w:rsid w:val="00E40541"/>
    <w:rsid w:val="00E40C63"/>
    <w:rsid w:val="00E40D1B"/>
    <w:rsid w:val="00E40E21"/>
    <w:rsid w:val="00E4174C"/>
    <w:rsid w:val="00E41C4B"/>
    <w:rsid w:val="00E42B17"/>
    <w:rsid w:val="00E42E26"/>
    <w:rsid w:val="00E438F5"/>
    <w:rsid w:val="00E442F4"/>
    <w:rsid w:val="00E4519B"/>
    <w:rsid w:val="00E45EA3"/>
    <w:rsid w:val="00E463BB"/>
    <w:rsid w:val="00E46C83"/>
    <w:rsid w:val="00E46D62"/>
    <w:rsid w:val="00E4706E"/>
    <w:rsid w:val="00E50EF2"/>
    <w:rsid w:val="00E51397"/>
    <w:rsid w:val="00E52378"/>
    <w:rsid w:val="00E52D85"/>
    <w:rsid w:val="00E54429"/>
    <w:rsid w:val="00E5453E"/>
    <w:rsid w:val="00E54D3B"/>
    <w:rsid w:val="00E574CD"/>
    <w:rsid w:val="00E577E7"/>
    <w:rsid w:val="00E57EB4"/>
    <w:rsid w:val="00E60244"/>
    <w:rsid w:val="00E604C9"/>
    <w:rsid w:val="00E6121C"/>
    <w:rsid w:val="00E61BA6"/>
    <w:rsid w:val="00E6261E"/>
    <w:rsid w:val="00E63006"/>
    <w:rsid w:val="00E6391D"/>
    <w:rsid w:val="00E6459A"/>
    <w:rsid w:val="00E64F1A"/>
    <w:rsid w:val="00E65F27"/>
    <w:rsid w:val="00E66230"/>
    <w:rsid w:val="00E70C52"/>
    <w:rsid w:val="00E70CFD"/>
    <w:rsid w:val="00E725F0"/>
    <w:rsid w:val="00E72631"/>
    <w:rsid w:val="00E73AE7"/>
    <w:rsid w:val="00E76733"/>
    <w:rsid w:val="00E76D77"/>
    <w:rsid w:val="00E77A54"/>
    <w:rsid w:val="00E8510E"/>
    <w:rsid w:val="00E85CDB"/>
    <w:rsid w:val="00E87B43"/>
    <w:rsid w:val="00E92528"/>
    <w:rsid w:val="00E92C76"/>
    <w:rsid w:val="00E93480"/>
    <w:rsid w:val="00E9391A"/>
    <w:rsid w:val="00E93EA6"/>
    <w:rsid w:val="00E949AC"/>
    <w:rsid w:val="00E94C01"/>
    <w:rsid w:val="00E95658"/>
    <w:rsid w:val="00EA011C"/>
    <w:rsid w:val="00EA3CF2"/>
    <w:rsid w:val="00EA5E27"/>
    <w:rsid w:val="00EA67EE"/>
    <w:rsid w:val="00EB0AA3"/>
    <w:rsid w:val="00EB112F"/>
    <w:rsid w:val="00EB1793"/>
    <w:rsid w:val="00EB194F"/>
    <w:rsid w:val="00EB1958"/>
    <w:rsid w:val="00EB3EA8"/>
    <w:rsid w:val="00EB4B6B"/>
    <w:rsid w:val="00EB54FF"/>
    <w:rsid w:val="00EB60E7"/>
    <w:rsid w:val="00EB67FB"/>
    <w:rsid w:val="00EC0261"/>
    <w:rsid w:val="00EC0AE3"/>
    <w:rsid w:val="00EC1100"/>
    <w:rsid w:val="00EC2400"/>
    <w:rsid w:val="00EC2AF4"/>
    <w:rsid w:val="00EC4B8A"/>
    <w:rsid w:val="00EC51F6"/>
    <w:rsid w:val="00EC661C"/>
    <w:rsid w:val="00ED0DA0"/>
    <w:rsid w:val="00ED1944"/>
    <w:rsid w:val="00ED1BA4"/>
    <w:rsid w:val="00ED291D"/>
    <w:rsid w:val="00ED4176"/>
    <w:rsid w:val="00ED48FF"/>
    <w:rsid w:val="00ED71AA"/>
    <w:rsid w:val="00EE031B"/>
    <w:rsid w:val="00EE084C"/>
    <w:rsid w:val="00EE1080"/>
    <w:rsid w:val="00EE1425"/>
    <w:rsid w:val="00EE15C8"/>
    <w:rsid w:val="00EE22CD"/>
    <w:rsid w:val="00EE2A86"/>
    <w:rsid w:val="00EE2E3B"/>
    <w:rsid w:val="00EE402D"/>
    <w:rsid w:val="00EE670B"/>
    <w:rsid w:val="00EE6BF0"/>
    <w:rsid w:val="00EE6C3A"/>
    <w:rsid w:val="00EE6F3A"/>
    <w:rsid w:val="00EE75AA"/>
    <w:rsid w:val="00EF0E60"/>
    <w:rsid w:val="00EF1B5B"/>
    <w:rsid w:val="00EF1BE2"/>
    <w:rsid w:val="00EF3988"/>
    <w:rsid w:val="00EF5800"/>
    <w:rsid w:val="00EF593D"/>
    <w:rsid w:val="00EF631E"/>
    <w:rsid w:val="00F02018"/>
    <w:rsid w:val="00F020E9"/>
    <w:rsid w:val="00F03BDF"/>
    <w:rsid w:val="00F07F1E"/>
    <w:rsid w:val="00F10A1E"/>
    <w:rsid w:val="00F113A9"/>
    <w:rsid w:val="00F1249B"/>
    <w:rsid w:val="00F124A4"/>
    <w:rsid w:val="00F13912"/>
    <w:rsid w:val="00F13BE3"/>
    <w:rsid w:val="00F14170"/>
    <w:rsid w:val="00F14220"/>
    <w:rsid w:val="00F14A12"/>
    <w:rsid w:val="00F14B94"/>
    <w:rsid w:val="00F16F36"/>
    <w:rsid w:val="00F20651"/>
    <w:rsid w:val="00F22D90"/>
    <w:rsid w:val="00F2365E"/>
    <w:rsid w:val="00F2383C"/>
    <w:rsid w:val="00F24BCF"/>
    <w:rsid w:val="00F24FD4"/>
    <w:rsid w:val="00F252F1"/>
    <w:rsid w:val="00F2541D"/>
    <w:rsid w:val="00F26010"/>
    <w:rsid w:val="00F27919"/>
    <w:rsid w:val="00F301F2"/>
    <w:rsid w:val="00F3033F"/>
    <w:rsid w:val="00F30864"/>
    <w:rsid w:val="00F30C00"/>
    <w:rsid w:val="00F37A38"/>
    <w:rsid w:val="00F37EED"/>
    <w:rsid w:val="00F40A92"/>
    <w:rsid w:val="00F4277E"/>
    <w:rsid w:val="00F4458F"/>
    <w:rsid w:val="00F44EAC"/>
    <w:rsid w:val="00F458E6"/>
    <w:rsid w:val="00F45A75"/>
    <w:rsid w:val="00F4722A"/>
    <w:rsid w:val="00F51246"/>
    <w:rsid w:val="00F526F6"/>
    <w:rsid w:val="00F52A76"/>
    <w:rsid w:val="00F553AC"/>
    <w:rsid w:val="00F55A51"/>
    <w:rsid w:val="00F568BD"/>
    <w:rsid w:val="00F56B5E"/>
    <w:rsid w:val="00F57717"/>
    <w:rsid w:val="00F60999"/>
    <w:rsid w:val="00F60C37"/>
    <w:rsid w:val="00F618C2"/>
    <w:rsid w:val="00F6475F"/>
    <w:rsid w:val="00F64F3E"/>
    <w:rsid w:val="00F65691"/>
    <w:rsid w:val="00F65A3F"/>
    <w:rsid w:val="00F65B59"/>
    <w:rsid w:val="00F66F2A"/>
    <w:rsid w:val="00F674E3"/>
    <w:rsid w:val="00F70106"/>
    <w:rsid w:val="00F720DF"/>
    <w:rsid w:val="00F7230E"/>
    <w:rsid w:val="00F72A78"/>
    <w:rsid w:val="00F73B45"/>
    <w:rsid w:val="00F74325"/>
    <w:rsid w:val="00F779D1"/>
    <w:rsid w:val="00F822A3"/>
    <w:rsid w:val="00F83861"/>
    <w:rsid w:val="00F84424"/>
    <w:rsid w:val="00F875B9"/>
    <w:rsid w:val="00F90952"/>
    <w:rsid w:val="00F974F7"/>
    <w:rsid w:val="00F97649"/>
    <w:rsid w:val="00F9796C"/>
    <w:rsid w:val="00FA2239"/>
    <w:rsid w:val="00FA258F"/>
    <w:rsid w:val="00FA2BE6"/>
    <w:rsid w:val="00FA2DC8"/>
    <w:rsid w:val="00FA3B0B"/>
    <w:rsid w:val="00FA3F34"/>
    <w:rsid w:val="00FA67DE"/>
    <w:rsid w:val="00FA6A14"/>
    <w:rsid w:val="00FA72A3"/>
    <w:rsid w:val="00FB1247"/>
    <w:rsid w:val="00FB2B60"/>
    <w:rsid w:val="00FB2D1F"/>
    <w:rsid w:val="00FB3A76"/>
    <w:rsid w:val="00FB541D"/>
    <w:rsid w:val="00FB643E"/>
    <w:rsid w:val="00FC0AEA"/>
    <w:rsid w:val="00FC1157"/>
    <w:rsid w:val="00FC22AF"/>
    <w:rsid w:val="00FC2C09"/>
    <w:rsid w:val="00FC3B89"/>
    <w:rsid w:val="00FC54CA"/>
    <w:rsid w:val="00FC6499"/>
    <w:rsid w:val="00FC68CA"/>
    <w:rsid w:val="00FC6A83"/>
    <w:rsid w:val="00FC7699"/>
    <w:rsid w:val="00FD0B91"/>
    <w:rsid w:val="00FD18D1"/>
    <w:rsid w:val="00FD3D2E"/>
    <w:rsid w:val="00FD41D3"/>
    <w:rsid w:val="00FD47F4"/>
    <w:rsid w:val="00FD6091"/>
    <w:rsid w:val="00FD6405"/>
    <w:rsid w:val="00FD766E"/>
    <w:rsid w:val="00FE0DCD"/>
    <w:rsid w:val="00FE104C"/>
    <w:rsid w:val="00FE2E7A"/>
    <w:rsid w:val="00FE43CA"/>
    <w:rsid w:val="00FE4C62"/>
    <w:rsid w:val="00FE5264"/>
    <w:rsid w:val="00FE5FA1"/>
    <w:rsid w:val="00FE7317"/>
    <w:rsid w:val="00FF184F"/>
    <w:rsid w:val="00FF2A4A"/>
    <w:rsid w:val="00FF34AC"/>
    <w:rsid w:val="00FF3730"/>
    <w:rsid w:val="00FF41D0"/>
    <w:rsid w:val="00FF4A9C"/>
    <w:rsid w:val="00FF5A06"/>
    <w:rsid w:val="00FF5FE7"/>
    <w:rsid w:val="00FF672F"/>
    <w:rsid w:val="00FF6928"/>
    <w:rsid w:val="00FF6C7B"/>
    <w:rsid w:val="00FF701E"/>
    <w:rsid w:val="00FF707D"/>
    <w:rsid w:val="00FF7B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4">
      <o:colormru v:ext="edit" colors="#00a8d0,#008eb0,#1492e8,#1287d6,#117dc7,#c2e3f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18"/>
    <w:pPr>
      <w:spacing w:after="240"/>
    </w:pPr>
    <w:rPr>
      <w:sz w:val="22"/>
    </w:rPr>
  </w:style>
  <w:style w:type="paragraph" w:styleId="Heading1">
    <w:name w:val="heading 1"/>
    <w:basedOn w:val="Normal"/>
    <w:next w:val="BodyText"/>
    <w:qFormat/>
    <w:rsid w:val="00F02018"/>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02018"/>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02018"/>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F02018"/>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2018"/>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F02018"/>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semiHidden/>
    <w:rsid w:val="00F02018"/>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02018"/>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F02018"/>
    <w:pPr>
      <w:numPr>
        <w:ilvl w:val="1"/>
      </w:numPr>
    </w:pPr>
  </w:style>
  <w:style w:type="paragraph" w:customStyle="1" w:styleId="Listnumber">
    <w:name w:val="List number"/>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rsid w:val="00F02018"/>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semiHidden/>
    <w:rsid w:val="00F02018"/>
    <w:rPr>
      <w:sz w:val="16"/>
      <w:szCs w:val="16"/>
    </w:rPr>
  </w:style>
  <w:style w:type="paragraph" w:styleId="CommentText">
    <w:name w:val="annotation text"/>
    <w:basedOn w:val="Normal"/>
    <w:link w:val="CommentTextChar"/>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02018"/>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E51DD"/>
    <w:rPr>
      <w:b/>
      <w:bCs/>
    </w:rPr>
  </w:style>
  <w:style w:type="character" w:customStyle="1" w:styleId="CommentTextChar">
    <w:name w:val="Comment Text Char"/>
    <w:basedOn w:val="DefaultParagraphFont"/>
    <w:link w:val="CommentText"/>
    <w:semiHidden/>
    <w:rsid w:val="000E51DD"/>
  </w:style>
  <w:style w:type="character" w:customStyle="1" w:styleId="CommentSubjectChar">
    <w:name w:val="Comment Subject Char"/>
    <w:basedOn w:val="CommentTextChar"/>
    <w:link w:val="CommentSubject"/>
    <w:rsid w:val="000E51DD"/>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8646A8"/>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110DE9"/>
    <w:pPr>
      <w:numPr>
        <w:numId w:val="33"/>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8B310C"/>
    <w:pPr>
      <w:numPr>
        <w:numId w:val="12"/>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 w:type="paragraph" w:customStyle="1" w:styleId="tabletext0">
    <w:name w:val="tabletext"/>
    <w:basedOn w:val="Normal"/>
    <w:rsid w:val="006A52F4"/>
    <w:pPr>
      <w:spacing w:before="100" w:beforeAutospacing="1" w:after="100" w:afterAutospacing="1"/>
    </w:pPr>
    <w:rPr>
      <w:sz w:val="24"/>
      <w:szCs w:val="24"/>
    </w:rPr>
  </w:style>
  <w:style w:type="paragraph" w:customStyle="1" w:styleId="notetext">
    <w:name w:val="notetext"/>
    <w:basedOn w:val="Normal"/>
    <w:rsid w:val="006A52F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5483484">
      <w:bodyDiv w:val="1"/>
      <w:marLeft w:val="0"/>
      <w:marRight w:val="0"/>
      <w:marTop w:val="0"/>
      <w:marBottom w:val="0"/>
      <w:divBdr>
        <w:top w:val="none" w:sz="0" w:space="0" w:color="auto"/>
        <w:left w:val="none" w:sz="0" w:space="0" w:color="auto"/>
        <w:bottom w:val="none" w:sz="0" w:space="0" w:color="auto"/>
        <w:right w:val="none" w:sz="0" w:space="0" w:color="auto"/>
      </w:divBdr>
      <w:divsChild>
        <w:div w:id="677000960">
          <w:marLeft w:val="0"/>
          <w:marRight w:val="0"/>
          <w:marTop w:val="0"/>
          <w:marBottom w:val="0"/>
          <w:divBdr>
            <w:top w:val="none" w:sz="0" w:space="0" w:color="auto"/>
            <w:left w:val="none" w:sz="0" w:space="0" w:color="auto"/>
            <w:bottom w:val="none" w:sz="0" w:space="0" w:color="auto"/>
            <w:right w:val="none" w:sz="0" w:space="0" w:color="auto"/>
          </w:divBdr>
          <w:divsChild>
            <w:div w:id="1007250961">
              <w:marLeft w:val="0"/>
              <w:marRight w:val="0"/>
              <w:marTop w:val="0"/>
              <w:marBottom w:val="0"/>
              <w:divBdr>
                <w:top w:val="none" w:sz="0" w:space="0" w:color="auto"/>
                <w:left w:val="none" w:sz="0" w:space="0" w:color="auto"/>
                <w:bottom w:val="none" w:sz="0" w:space="0" w:color="auto"/>
                <w:right w:val="none" w:sz="0" w:space="0" w:color="auto"/>
              </w:divBdr>
              <w:divsChild>
                <w:div w:id="1353922922">
                  <w:marLeft w:val="0"/>
                  <w:marRight w:val="0"/>
                  <w:marTop w:val="0"/>
                  <w:marBottom w:val="0"/>
                  <w:divBdr>
                    <w:top w:val="none" w:sz="0" w:space="0" w:color="auto"/>
                    <w:left w:val="none" w:sz="0" w:space="0" w:color="auto"/>
                    <w:bottom w:val="none" w:sz="0" w:space="0" w:color="auto"/>
                    <w:right w:val="none" w:sz="0" w:space="0" w:color="auto"/>
                  </w:divBdr>
                  <w:divsChild>
                    <w:div w:id="1620529200">
                      <w:marLeft w:val="0"/>
                      <w:marRight w:val="0"/>
                      <w:marTop w:val="0"/>
                      <w:marBottom w:val="0"/>
                      <w:divBdr>
                        <w:top w:val="none" w:sz="0" w:space="0" w:color="auto"/>
                        <w:left w:val="none" w:sz="0" w:space="0" w:color="auto"/>
                        <w:bottom w:val="none" w:sz="0" w:space="0" w:color="auto"/>
                        <w:right w:val="none" w:sz="0" w:space="0" w:color="auto"/>
                      </w:divBdr>
                      <w:divsChild>
                        <w:div w:id="778256704">
                          <w:marLeft w:val="0"/>
                          <w:marRight w:val="0"/>
                          <w:marTop w:val="0"/>
                          <w:marBottom w:val="0"/>
                          <w:divBdr>
                            <w:top w:val="single" w:sz="6" w:space="0" w:color="828282"/>
                            <w:left w:val="single" w:sz="6" w:space="0" w:color="828282"/>
                            <w:bottom w:val="single" w:sz="6" w:space="0" w:color="828282"/>
                            <w:right w:val="single" w:sz="6" w:space="0" w:color="828282"/>
                          </w:divBdr>
                          <w:divsChild>
                            <w:div w:id="146023101">
                              <w:marLeft w:val="0"/>
                              <w:marRight w:val="0"/>
                              <w:marTop w:val="0"/>
                              <w:marBottom w:val="0"/>
                              <w:divBdr>
                                <w:top w:val="none" w:sz="0" w:space="0" w:color="auto"/>
                                <w:left w:val="none" w:sz="0" w:space="0" w:color="auto"/>
                                <w:bottom w:val="none" w:sz="0" w:space="0" w:color="auto"/>
                                <w:right w:val="none" w:sz="0" w:space="0" w:color="auto"/>
                              </w:divBdr>
                              <w:divsChild>
                                <w:div w:id="167641852">
                                  <w:marLeft w:val="0"/>
                                  <w:marRight w:val="0"/>
                                  <w:marTop w:val="0"/>
                                  <w:marBottom w:val="0"/>
                                  <w:divBdr>
                                    <w:top w:val="none" w:sz="0" w:space="0" w:color="auto"/>
                                    <w:left w:val="none" w:sz="0" w:space="0" w:color="auto"/>
                                    <w:bottom w:val="none" w:sz="0" w:space="0" w:color="auto"/>
                                    <w:right w:val="none" w:sz="0" w:space="0" w:color="auto"/>
                                  </w:divBdr>
                                  <w:divsChild>
                                    <w:div w:id="469901952">
                                      <w:marLeft w:val="0"/>
                                      <w:marRight w:val="0"/>
                                      <w:marTop w:val="0"/>
                                      <w:marBottom w:val="0"/>
                                      <w:divBdr>
                                        <w:top w:val="none" w:sz="0" w:space="0" w:color="auto"/>
                                        <w:left w:val="none" w:sz="0" w:space="0" w:color="auto"/>
                                        <w:bottom w:val="none" w:sz="0" w:space="0" w:color="auto"/>
                                        <w:right w:val="none" w:sz="0" w:space="0" w:color="auto"/>
                                      </w:divBdr>
                                      <w:divsChild>
                                        <w:div w:id="230773953">
                                          <w:marLeft w:val="0"/>
                                          <w:marRight w:val="0"/>
                                          <w:marTop w:val="0"/>
                                          <w:marBottom w:val="0"/>
                                          <w:divBdr>
                                            <w:top w:val="none" w:sz="0" w:space="0" w:color="auto"/>
                                            <w:left w:val="none" w:sz="0" w:space="0" w:color="auto"/>
                                            <w:bottom w:val="none" w:sz="0" w:space="0" w:color="auto"/>
                                            <w:right w:val="none" w:sz="0" w:space="0" w:color="auto"/>
                                          </w:divBdr>
                                          <w:divsChild>
                                            <w:div w:id="272247174">
                                              <w:marLeft w:val="0"/>
                                              <w:marRight w:val="0"/>
                                              <w:marTop w:val="0"/>
                                              <w:marBottom w:val="0"/>
                                              <w:divBdr>
                                                <w:top w:val="none" w:sz="0" w:space="0" w:color="auto"/>
                                                <w:left w:val="none" w:sz="0" w:space="0" w:color="auto"/>
                                                <w:bottom w:val="none" w:sz="0" w:space="0" w:color="auto"/>
                                                <w:right w:val="none" w:sz="0" w:space="0" w:color="auto"/>
                                              </w:divBdr>
                                              <w:divsChild>
                                                <w:div w:id="1350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62F1-FDFB-4471-A5D9-C5EB6122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10</TotalTime>
  <Pages>38</Pages>
  <Words>6780</Words>
  <Characters>38650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45340</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JD</cp:lastModifiedBy>
  <cp:revision>3</cp:revision>
  <cp:lastPrinted>2012-11-20T00:54:00Z</cp:lastPrinted>
  <dcterms:created xsi:type="dcterms:W3CDTF">2012-11-20T00:53:00Z</dcterms:created>
  <dcterms:modified xsi:type="dcterms:W3CDTF">2012-11-20T00:54:00Z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Rules (Competition in Exchange Markets) Amendment 2012 (No. 1)</vt:lpwstr>
  </property>
  <property fmtid="{D5CDD505-2E9C-101B-9397-08002B2CF9AE}" pid="4" name="Document num">
    <vt:lpwstr>000</vt:lpwstr>
  </property>
  <property fmtid="{D5CDD505-2E9C-101B-9397-08002B2CF9AE}" pid="5" name="Issue date">
    <vt:lpwstr>October 2012</vt:lpwstr>
  </property>
  <property fmtid="{D5CDD505-2E9C-101B-9397-08002B2CF9AE}" pid="6" name="Source file type">
    <vt:lpwstr>CP</vt:lpwstr>
  </property>
  <property fmtid="{D5CDD505-2E9C-101B-9397-08002B2CF9AE}" pid="7" name="Objective-Id">
    <vt:lpwstr>A3686113</vt:lpwstr>
  </property>
  <property fmtid="{D5CDD505-2E9C-101B-9397-08002B2CF9AE}" pid="8" name="Objective-Title">
    <vt:lpwstr>ASIC Market Integrity Rules (Competition in Exchange Markets) Amendment 2012 (No. 1) 20121025 - Date and name</vt:lpwstr>
  </property>
  <property fmtid="{D5CDD505-2E9C-101B-9397-08002B2CF9AE}" pid="9" name="Objective-Comment">
    <vt:lpwstr/>
  </property>
  <property fmtid="{D5CDD505-2E9C-101B-9397-08002B2CF9AE}" pid="10" name="Objective-CreationStamp">
    <vt:filetime>2012-11-20T00:53:19Z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2012-11-20T00:55:23Z</vt:filetime>
  </property>
  <property fmtid="{D5CDD505-2E9C-101B-9397-08002B2CF9AE}" pid="14" name="Objective-ModificationStamp">
    <vt:filetime>2012-11-20T00:55:22Z</vt:filetime>
  </property>
  <property fmtid="{D5CDD505-2E9C-101B-9397-08002B2CF9AE}" pid="15" name="Objective-Owner">
    <vt:lpwstr>Jennifer Dolphin</vt:lpwstr>
  </property>
  <property fmtid="{D5CDD505-2E9C-101B-9397-08002B2CF9AE}" pid="16" name="Objective-Path">
    <vt:lpwstr>ASIC BCS:POLICY &amp; REGULATORY FRAMEWORK:Policy Development:Markets:Market Structure:CP168 &amp; CP179 &amp; CP184 (AOP):06 Rules:Final rules:Rules with date and name:</vt:lpwstr>
  </property>
  <property fmtid="{D5CDD505-2E9C-101B-9397-08002B2CF9AE}" pid="17" name="Objective-Parent">
    <vt:lpwstr>Rules with date and name</vt:lpwstr>
  </property>
  <property fmtid="{D5CDD505-2E9C-101B-9397-08002B2CF9AE}" pid="18" name="Objective-State">
    <vt:lpwstr>Published</vt:lpwstr>
  </property>
  <property fmtid="{D5CDD505-2E9C-101B-9397-08002B2CF9AE}" pid="19" name="Objective-Version">
    <vt:lpwstr>1.0</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2012 - 000402</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