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7500" w:rsidRDefault="00797500">
      <w:pPr>
        <w:jc w:val="center"/>
        <w:rPr>
          <w:b/>
          <w:u w:val="single"/>
        </w:rPr>
      </w:pPr>
    </w:p>
    <w:p w:rsidR="00797500" w:rsidRDefault="00797500">
      <w:pPr>
        <w:jc w:val="center"/>
        <w:rPr>
          <w:b/>
          <w:u w:val="single"/>
        </w:rPr>
      </w:pPr>
    </w:p>
    <w:p w:rsidR="00116DB6" w:rsidRPr="00A2181D" w:rsidRDefault="00A2181D" w:rsidP="00F955CF">
      <w:pPr>
        <w:jc w:val="center"/>
        <w:outlineLvl w:val="0"/>
        <w:rPr>
          <w:b/>
          <w:u w:val="single"/>
        </w:rPr>
      </w:pPr>
      <w:r w:rsidRPr="00A2181D">
        <w:rPr>
          <w:b/>
          <w:u w:val="single"/>
        </w:rPr>
        <w:t xml:space="preserve">EXPLANATORY </w:t>
      </w:r>
      <w:r w:rsidR="00797500">
        <w:rPr>
          <w:b/>
          <w:u w:val="single"/>
        </w:rPr>
        <w:t>STATEMENT</w:t>
      </w:r>
    </w:p>
    <w:p w:rsidR="007E7E48" w:rsidRDefault="007E7E48" w:rsidP="00457E4A">
      <w:pPr>
        <w:rPr>
          <w:b/>
        </w:rPr>
      </w:pPr>
    </w:p>
    <w:p w:rsidR="00A2181D" w:rsidRDefault="00660062" w:rsidP="00F955CF">
      <w:pPr>
        <w:jc w:val="center"/>
        <w:outlineLvl w:val="0"/>
        <w:rPr>
          <w:u w:val="single"/>
        </w:rPr>
      </w:pPr>
      <w:r w:rsidRPr="004B0AE7">
        <w:rPr>
          <w:rFonts w:ascii="Times New Roman" w:hAnsi="Times New Roman"/>
          <w:i/>
          <w:szCs w:val="24"/>
        </w:rPr>
        <w:t>Therapeutic Goods Act 1989</w:t>
      </w:r>
    </w:p>
    <w:p w:rsidR="00660062" w:rsidRDefault="00660062" w:rsidP="00457E4A">
      <w:pPr>
        <w:rPr>
          <w:u w:val="single"/>
        </w:rPr>
      </w:pPr>
    </w:p>
    <w:p w:rsidR="00B16CCB" w:rsidRPr="00660062" w:rsidRDefault="00B16CCB" w:rsidP="00B16CCB">
      <w:pPr>
        <w:jc w:val="center"/>
        <w:rPr>
          <w:b/>
          <w:sz w:val="20"/>
        </w:rPr>
      </w:pPr>
      <w:r w:rsidRPr="00660062">
        <w:rPr>
          <w:b/>
        </w:rPr>
        <w:t xml:space="preserve">Therapeutic Goods Information </w:t>
      </w:r>
      <w:r w:rsidR="0045200C">
        <w:rPr>
          <w:b/>
        </w:rPr>
        <w:t xml:space="preserve">(Joint </w:t>
      </w:r>
      <w:r w:rsidR="00A25BB0">
        <w:rPr>
          <w:b/>
        </w:rPr>
        <w:t>Adverse Event Notifications</w:t>
      </w:r>
      <w:r w:rsidR="00BB2AAB">
        <w:rPr>
          <w:b/>
        </w:rPr>
        <w:t xml:space="preserve"> System</w:t>
      </w:r>
      <w:r w:rsidR="00A25BB0">
        <w:rPr>
          <w:b/>
        </w:rPr>
        <w:t xml:space="preserve">) </w:t>
      </w:r>
      <w:r w:rsidRPr="00660062">
        <w:rPr>
          <w:b/>
        </w:rPr>
        <w:t>Specification 20</w:t>
      </w:r>
      <w:r w:rsidR="004343B8">
        <w:rPr>
          <w:b/>
        </w:rPr>
        <w:t>12</w:t>
      </w:r>
    </w:p>
    <w:p w:rsidR="00A2181D" w:rsidRDefault="00A2181D">
      <w:pPr>
        <w:jc w:val="center"/>
        <w:rPr>
          <w:b/>
        </w:rPr>
      </w:pPr>
    </w:p>
    <w:p w:rsidR="00270F5B" w:rsidRDefault="00270F5B" w:rsidP="00270F5B">
      <w:pPr>
        <w:autoSpaceDE w:val="0"/>
        <w:autoSpaceDN w:val="0"/>
        <w:adjustRightInd w:val="0"/>
        <w:rPr>
          <w:rFonts w:ascii="Times New Roman" w:hAnsi="Times New Roman"/>
          <w:szCs w:val="24"/>
        </w:rPr>
      </w:pPr>
      <w:r>
        <w:rPr>
          <w:rFonts w:ascii="Times New Roman" w:hAnsi="Times New Roman"/>
          <w:szCs w:val="24"/>
        </w:rPr>
        <w:t xml:space="preserve">The </w:t>
      </w:r>
      <w:r w:rsidR="00660062" w:rsidRPr="004B0AE7">
        <w:rPr>
          <w:rFonts w:ascii="Times New Roman" w:hAnsi="Times New Roman"/>
          <w:i/>
          <w:szCs w:val="24"/>
        </w:rPr>
        <w:t>Therapeutic Goods Act 1989</w:t>
      </w:r>
      <w:r w:rsidR="00660062">
        <w:rPr>
          <w:rFonts w:ascii="Times New Roman" w:hAnsi="Times New Roman"/>
          <w:szCs w:val="24"/>
        </w:rPr>
        <w:t xml:space="preserve"> (the Act)</w:t>
      </w:r>
      <w:r>
        <w:rPr>
          <w:rFonts w:ascii="Times New Roman" w:hAnsi="Times New Roman"/>
          <w:szCs w:val="24"/>
        </w:rPr>
        <w:t xml:space="preserve"> provides for the establishment and maintenance of a national system of controls for the quality, safety, efficacy and timely availability of therapeutic goods that are used in or exported from Australia.  The Therapeutic Goods Administration (the TGA)</w:t>
      </w:r>
      <w:r w:rsidR="002448CC">
        <w:rPr>
          <w:rFonts w:ascii="Times New Roman" w:hAnsi="Times New Roman"/>
          <w:szCs w:val="24"/>
        </w:rPr>
        <w:t>, which is part of the Department of Health and Ageing,</w:t>
      </w:r>
      <w:r>
        <w:rPr>
          <w:rFonts w:ascii="Times New Roman" w:hAnsi="Times New Roman"/>
          <w:szCs w:val="24"/>
        </w:rPr>
        <w:t xml:space="preserve"> is responsible for administering the Act.</w:t>
      </w:r>
    </w:p>
    <w:p w:rsidR="00270F5B" w:rsidRDefault="00270F5B" w:rsidP="00270F5B">
      <w:pPr>
        <w:autoSpaceDE w:val="0"/>
        <w:autoSpaceDN w:val="0"/>
        <w:adjustRightInd w:val="0"/>
        <w:rPr>
          <w:rFonts w:ascii="Times New Roman" w:hAnsi="Times New Roman"/>
          <w:szCs w:val="24"/>
        </w:rPr>
      </w:pPr>
    </w:p>
    <w:p w:rsidR="00270F5B" w:rsidRDefault="00270F5B" w:rsidP="00270F5B">
      <w:pPr>
        <w:autoSpaceDE w:val="0"/>
        <w:autoSpaceDN w:val="0"/>
        <w:adjustRightInd w:val="0"/>
        <w:rPr>
          <w:rFonts w:ascii="Times New Roman" w:hAnsi="Times New Roman"/>
          <w:szCs w:val="24"/>
        </w:rPr>
      </w:pPr>
      <w:r>
        <w:rPr>
          <w:rFonts w:ascii="Times New Roman" w:hAnsi="Times New Roman"/>
          <w:szCs w:val="24"/>
        </w:rPr>
        <w:t>Section 61 of the Act lists a number of persons or organisations</w:t>
      </w:r>
      <w:r w:rsidR="00AD4D4D">
        <w:rPr>
          <w:rFonts w:ascii="Times New Roman" w:hAnsi="Times New Roman"/>
          <w:szCs w:val="24"/>
        </w:rPr>
        <w:t>,</w:t>
      </w:r>
      <w:r>
        <w:rPr>
          <w:rFonts w:ascii="Times New Roman" w:hAnsi="Times New Roman"/>
          <w:szCs w:val="24"/>
        </w:rPr>
        <w:t xml:space="preserve"> </w:t>
      </w:r>
      <w:r w:rsidR="00E91DE1">
        <w:rPr>
          <w:rFonts w:ascii="Times New Roman" w:hAnsi="Times New Roman"/>
          <w:szCs w:val="24"/>
        </w:rPr>
        <w:t xml:space="preserve">such as the World Health Organisation and State or Territory authorities that have functions relating to therapeutic goods, </w:t>
      </w:r>
      <w:r>
        <w:rPr>
          <w:rFonts w:ascii="Times New Roman" w:hAnsi="Times New Roman"/>
          <w:szCs w:val="24"/>
        </w:rPr>
        <w:t xml:space="preserve">to </w:t>
      </w:r>
      <w:r w:rsidR="00E7306E">
        <w:rPr>
          <w:rFonts w:ascii="Times New Roman" w:hAnsi="Times New Roman"/>
          <w:szCs w:val="24"/>
        </w:rPr>
        <w:t>which</w:t>
      </w:r>
      <w:r>
        <w:rPr>
          <w:rFonts w:ascii="Times New Roman" w:hAnsi="Times New Roman"/>
          <w:szCs w:val="24"/>
        </w:rPr>
        <w:t xml:space="preserve"> the Secretary may release specified kinds of therapeutic goods information.</w:t>
      </w:r>
    </w:p>
    <w:p w:rsidR="00270F5B" w:rsidRDefault="00270F5B" w:rsidP="00B16CCB">
      <w:pPr>
        <w:autoSpaceDE w:val="0"/>
        <w:autoSpaceDN w:val="0"/>
        <w:adjustRightInd w:val="0"/>
        <w:rPr>
          <w:rFonts w:ascii="Times New Roman" w:hAnsi="Times New Roman"/>
          <w:szCs w:val="24"/>
        </w:rPr>
      </w:pPr>
    </w:p>
    <w:p w:rsidR="00256F8C" w:rsidRDefault="0067666F" w:rsidP="00B16CCB">
      <w:pPr>
        <w:autoSpaceDE w:val="0"/>
        <w:autoSpaceDN w:val="0"/>
        <w:adjustRightInd w:val="0"/>
        <w:rPr>
          <w:rFonts w:ascii="Times New Roman" w:hAnsi="Times New Roman"/>
          <w:szCs w:val="24"/>
        </w:rPr>
      </w:pPr>
      <w:r>
        <w:rPr>
          <w:rFonts w:ascii="Times New Roman" w:hAnsi="Times New Roman"/>
          <w:szCs w:val="24"/>
        </w:rPr>
        <w:t xml:space="preserve">The </w:t>
      </w:r>
      <w:r w:rsidR="004B0AE7">
        <w:rPr>
          <w:rFonts w:ascii="Times New Roman" w:hAnsi="Times New Roman"/>
          <w:szCs w:val="24"/>
        </w:rPr>
        <w:t>Therapeutic Goo</w:t>
      </w:r>
      <w:r w:rsidR="000F42C5">
        <w:rPr>
          <w:rFonts w:ascii="Times New Roman" w:hAnsi="Times New Roman"/>
          <w:szCs w:val="24"/>
        </w:rPr>
        <w:t xml:space="preserve">ds Information </w:t>
      </w:r>
      <w:r>
        <w:rPr>
          <w:rFonts w:ascii="Times New Roman" w:hAnsi="Times New Roman"/>
          <w:szCs w:val="24"/>
        </w:rPr>
        <w:t>(</w:t>
      </w:r>
      <w:r w:rsidR="005B1873">
        <w:rPr>
          <w:rFonts w:ascii="Times New Roman" w:hAnsi="Times New Roman"/>
          <w:szCs w:val="24"/>
        </w:rPr>
        <w:t xml:space="preserve">Joint </w:t>
      </w:r>
      <w:r>
        <w:rPr>
          <w:rFonts w:ascii="Times New Roman" w:hAnsi="Times New Roman"/>
          <w:szCs w:val="24"/>
        </w:rPr>
        <w:t xml:space="preserve">Adverse </w:t>
      </w:r>
      <w:r w:rsidR="007A0799">
        <w:rPr>
          <w:rFonts w:ascii="Times New Roman" w:hAnsi="Times New Roman"/>
          <w:szCs w:val="24"/>
        </w:rPr>
        <w:t>Event</w:t>
      </w:r>
      <w:r w:rsidR="00191AF0">
        <w:rPr>
          <w:rFonts w:ascii="Times New Roman" w:hAnsi="Times New Roman"/>
          <w:szCs w:val="24"/>
        </w:rPr>
        <w:t xml:space="preserve"> Notifications</w:t>
      </w:r>
      <w:r w:rsidR="002E03C4">
        <w:rPr>
          <w:rFonts w:ascii="Times New Roman" w:hAnsi="Times New Roman"/>
          <w:szCs w:val="24"/>
        </w:rPr>
        <w:t xml:space="preserve"> System</w:t>
      </w:r>
      <w:r>
        <w:rPr>
          <w:rFonts w:ascii="Times New Roman" w:hAnsi="Times New Roman"/>
          <w:szCs w:val="24"/>
        </w:rPr>
        <w:t xml:space="preserve">) </w:t>
      </w:r>
      <w:r w:rsidR="00541205">
        <w:rPr>
          <w:rFonts w:ascii="Times New Roman" w:hAnsi="Times New Roman"/>
          <w:szCs w:val="24"/>
        </w:rPr>
        <w:t xml:space="preserve">Specification </w:t>
      </w:r>
      <w:r w:rsidR="000F42C5">
        <w:rPr>
          <w:rFonts w:ascii="Times New Roman" w:hAnsi="Times New Roman"/>
          <w:szCs w:val="24"/>
        </w:rPr>
        <w:t>2012</w:t>
      </w:r>
      <w:r w:rsidR="004B0AE7">
        <w:rPr>
          <w:rFonts w:ascii="Times New Roman" w:hAnsi="Times New Roman"/>
          <w:szCs w:val="24"/>
        </w:rPr>
        <w:t xml:space="preserve"> (the Specification) is made by the Minister under subsection 61(5</w:t>
      </w:r>
      <w:r w:rsidR="00A07684">
        <w:rPr>
          <w:rFonts w:ascii="Times New Roman" w:hAnsi="Times New Roman"/>
          <w:szCs w:val="24"/>
        </w:rPr>
        <w:t>D</w:t>
      </w:r>
      <w:r w:rsidR="004B0AE7">
        <w:rPr>
          <w:rFonts w:ascii="Times New Roman" w:hAnsi="Times New Roman"/>
          <w:szCs w:val="24"/>
        </w:rPr>
        <w:t xml:space="preserve">) of </w:t>
      </w:r>
      <w:r w:rsidR="002C5253">
        <w:rPr>
          <w:rFonts w:ascii="Times New Roman" w:hAnsi="Times New Roman"/>
          <w:szCs w:val="24"/>
        </w:rPr>
        <w:t xml:space="preserve">the Act </w:t>
      </w:r>
      <w:r w:rsidR="00696977">
        <w:rPr>
          <w:rFonts w:ascii="Times New Roman" w:hAnsi="Times New Roman"/>
          <w:szCs w:val="24"/>
        </w:rPr>
        <w:t xml:space="preserve">and specifies </w:t>
      </w:r>
      <w:r w:rsidR="004B0AE7">
        <w:rPr>
          <w:rFonts w:ascii="Times New Roman" w:hAnsi="Times New Roman"/>
          <w:szCs w:val="24"/>
        </w:rPr>
        <w:t xml:space="preserve">the kinds of therapeutic goods information </w:t>
      </w:r>
      <w:r w:rsidR="00256F8C">
        <w:rPr>
          <w:rFonts w:ascii="Times New Roman" w:hAnsi="Times New Roman"/>
          <w:szCs w:val="24"/>
        </w:rPr>
        <w:t xml:space="preserve">that the Secretary may then release </w:t>
      </w:r>
      <w:r w:rsidR="00A07684">
        <w:rPr>
          <w:rFonts w:ascii="Times New Roman" w:hAnsi="Times New Roman"/>
          <w:szCs w:val="24"/>
        </w:rPr>
        <w:t>to the public under subsection 61(5C</w:t>
      </w:r>
      <w:r w:rsidR="00256F8C">
        <w:rPr>
          <w:rFonts w:ascii="Times New Roman" w:hAnsi="Times New Roman"/>
          <w:szCs w:val="24"/>
        </w:rPr>
        <w:t>) of the Act.</w:t>
      </w:r>
    </w:p>
    <w:p w:rsidR="006464B2" w:rsidRDefault="006464B2" w:rsidP="00B16CCB">
      <w:pPr>
        <w:autoSpaceDE w:val="0"/>
        <w:autoSpaceDN w:val="0"/>
        <w:adjustRightInd w:val="0"/>
        <w:rPr>
          <w:rFonts w:ascii="Times New Roman" w:hAnsi="Times New Roman"/>
          <w:szCs w:val="24"/>
        </w:rPr>
      </w:pPr>
    </w:p>
    <w:p w:rsidR="006464B2" w:rsidRDefault="002C5253" w:rsidP="00B16CCB">
      <w:pPr>
        <w:autoSpaceDE w:val="0"/>
        <w:autoSpaceDN w:val="0"/>
        <w:adjustRightInd w:val="0"/>
        <w:rPr>
          <w:rFonts w:ascii="Times New Roman" w:hAnsi="Times New Roman"/>
          <w:szCs w:val="24"/>
        </w:rPr>
      </w:pPr>
      <w:r>
        <w:rPr>
          <w:rFonts w:ascii="Times New Roman" w:hAnsi="Times New Roman"/>
          <w:szCs w:val="24"/>
        </w:rPr>
        <w:t xml:space="preserve">The Specification has the effect of permitting the Secretary to release </w:t>
      </w:r>
      <w:r w:rsidR="00C941DF">
        <w:rPr>
          <w:rFonts w:ascii="Times New Roman" w:hAnsi="Times New Roman"/>
          <w:szCs w:val="24"/>
        </w:rPr>
        <w:t xml:space="preserve">to the public </w:t>
      </w:r>
      <w:r>
        <w:rPr>
          <w:rFonts w:ascii="Times New Roman" w:hAnsi="Times New Roman"/>
          <w:szCs w:val="24"/>
        </w:rPr>
        <w:t>therapeutic goods information of a kind mentioned in the Specification.</w:t>
      </w:r>
    </w:p>
    <w:p w:rsidR="00923C20" w:rsidRDefault="00923C20" w:rsidP="00B16CCB">
      <w:pPr>
        <w:autoSpaceDE w:val="0"/>
        <w:autoSpaceDN w:val="0"/>
        <w:adjustRightInd w:val="0"/>
        <w:rPr>
          <w:rFonts w:ascii="Times New Roman" w:hAnsi="Times New Roman"/>
          <w:szCs w:val="24"/>
        </w:rPr>
      </w:pPr>
    </w:p>
    <w:p w:rsidR="006464B2" w:rsidRDefault="002C5253" w:rsidP="002C5253">
      <w:pPr>
        <w:autoSpaceDE w:val="0"/>
        <w:autoSpaceDN w:val="0"/>
        <w:adjustRightInd w:val="0"/>
        <w:rPr>
          <w:rFonts w:ascii="Times New Roman" w:hAnsi="Times New Roman"/>
          <w:szCs w:val="24"/>
        </w:rPr>
      </w:pPr>
      <w:r>
        <w:rPr>
          <w:rFonts w:ascii="Times New Roman" w:hAnsi="Times New Roman"/>
          <w:szCs w:val="24"/>
        </w:rPr>
        <w:t>Therapeutic goods information in this context is defined in subsection 61(1) of the Act as</w:t>
      </w:r>
      <w:r w:rsidR="00256F8C">
        <w:rPr>
          <w:rFonts w:ascii="Times New Roman" w:hAnsi="Times New Roman"/>
          <w:szCs w:val="24"/>
        </w:rPr>
        <w:t>, relevantly,</w:t>
      </w:r>
      <w:r>
        <w:rPr>
          <w:rFonts w:ascii="Times New Roman" w:hAnsi="Times New Roman"/>
          <w:szCs w:val="24"/>
        </w:rPr>
        <w:t xml:space="preserve"> information in relation to therapeutic goods that is held by the Department and which relates to the performance of the Department’s functions</w:t>
      </w:r>
      <w:r w:rsidR="005C1881">
        <w:rPr>
          <w:rFonts w:ascii="Times New Roman" w:hAnsi="Times New Roman"/>
          <w:szCs w:val="24"/>
        </w:rPr>
        <w:t xml:space="preserve"> (this includes the adverse event information </w:t>
      </w:r>
      <w:r w:rsidR="00C941DF">
        <w:rPr>
          <w:rFonts w:ascii="Times New Roman" w:hAnsi="Times New Roman"/>
          <w:szCs w:val="24"/>
        </w:rPr>
        <w:t xml:space="preserve">held by the TGA </w:t>
      </w:r>
      <w:r w:rsidR="005C1881">
        <w:rPr>
          <w:rFonts w:ascii="Times New Roman" w:hAnsi="Times New Roman"/>
          <w:szCs w:val="24"/>
        </w:rPr>
        <w:t>relating to New Zealand set out in the Specification).</w:t>
      </w:r>
    </w:p>
    <w:p w:rsidR="006464B2" w:rsidRDefault="006464B2" w:rsidP="00B16CCB">
      <w:pPr>
        <w:autoSpaceDE w:val="0"/>
        <w:autoSpaceDN w:val="0"/>
        <w:adjustRightInd w:val="0"/>
        <w:rPr>
          <w:rFonts w:ascii="Times New Roman" w:hAnsi="Times New Roman"/>
          <w:szCs w:val="24"/>
        </w:rPr>
      </w:pPr>
    </w:p>
    <w:p w:rsidR="006464B2" w:rsidRDefault="006F7E73" w:rsidP="00B16CCB">
      <w:pPr>
        <w:autoSpaceDE w:val="0"/>
        <w:autoSpaceDN w:val="0"/>
        <w:adjustRightInd w:val="0"/>
        <w:rPr>
          <w:rFonts w:ascii="Times New Roman" w:hAnsi="Times New Roman"/>
          <w:szCs w:val="24"/>
        </w:rPr>
      </w:pPr>
      <w:r>
        <w:rPr>
          <w:rFonts w:ascii="Times New Roman" w:hAnsi="Times New Roman"/>
          <w:szCs w:val="24"/>
        </w:rPr>
        <w:t>The Specification commenced on the day after it was registered on the Federal Register of Legislative Instruments.</w:t>
      </w:r>
    </w:p>
    <w:p w:rsidR="006464B2" w:rsidRDefault="006464B2" w:rsidP="00B16CCB">
      <w:pPr>
        <w:autoSpaceDE w:val="0"/>
        <w:autoSpaceDN w:val="0"/>
        <w:adjustRightInd w:val="0"/>
        <w:rPr>
          <w:rFonts w:ascii="Times New Roman" w:hAnsi="Times New Roman"/>
          <w:szCs w:val="24"/>
        </w:rPr>
      </w:pPr>
    </w:p>
    <w:p w:rsidR="006464B2" w:rsidRPr="00804792" w:rsidRDefault="006F7E73" w:rsidP="00F955CF">
      <w:pPr>
        <w:autoSpaceDE w:val="0"/>
        <w:autoSpaceDN w:val="0"/>
        <w:adjustRightInd w:val="0"/>
        <w:outlineLvl w:val="0"/>
        <w:rPr>
          <w:rFonts w:ascii="Times New Roman" w:hAnsi="Times New Roman"/>
          <w:b/>
          <w:szCs w:val="24"/>
        </w:rPr>
      </w:pPr>
      <w:r w:rsidRPr="00804792">
        <w:rPr>
          <w:rFonts w:ascii="Times New Roman" w:hAnsi="Times New Roman"/>
          <w:b/>
          <w:szCs w:val="24"/>
        </w:rPr>
        <w:t>BACKGROUND</w:t>
      </w:r>
    </w:p>
    <w:p w:rsidR="006464B2" w:rsidRDefault="006464B2" w:rsidP="00B16CCB">
      <w:pPr>
        <w:autoSpaceDE w:val="0"/>
        <w:autoSpaceDN w:val="0"/>
        <w:adjustRightInd w:val="0"/>
        <w:rPr>
          <w:rFonts w:ascii="Times New Roman" w:hAnsi="Times New Roman"/>
          <w:szCs w:val="24"/>
        </w:rPr>
      </w:pPr>
    </w:p>
    <w:p w:rsidR="00D24DDA" w:rsidRDefault="00D24DDA" w:rsidP="00D24DDA">
      <w:pPr>
        <w:autoSpaceDE w:val="0"/>
        <w:autoSpaceDN w:val="0"/>
        <w:adjustRightInd w:val="0"/>
        <w:rPr>
          <w:rFonts w:ascii="Times New Roman" w:hAnsi="Times New Roman"/>
          <w:szCs w:val="24"/>
        </w:rPr>
      </w:pPr>
      <w:r>
        <w:rPr>
          <w:rFonts w:ascii="Times New Roman" w:hAnsi="Times New Roman"/>
          <w:szCs w:val="24"/>
        </w:rPr>
        <w:t xml:space="preserve">In June 2011 the </w:t>
      </w:r>
      <w:r>
        <w:t xml:space="preserve">Australian and New Zealand Governments agreed to proceed </w:t>
      </w:r>
      <w:r w:rsidR="00FF6A1E">
        <w:t xml:space="preserve">towards </w:t>
      </w:r>
      <w:r>
        <w:t>a joint scheme for regulation of therapeutic goods.</w:t>
      </w:r>
      <w:r w:rsidRPr="00D24DDA">
        <w:t xml:space="preserve"> </w:t>
      </w:r>
      <w:r>
        <w:t xml:space="preserve"> The creation of a joint regulatory scheme across both countries will safeguard public health and safety, while encouraging economic integration and benefitting industry in both countries.  </w:t>
      </w:r>
      <w:r w:rsidR="00AD7A51">
        <w:t xml:space="preserve">The scheme </w:t>
      </w:r>
      <w:r>
        <w:t>will be administered by a single regulatory agency, the Australia New Zealand Therapeutic Products Agency</w:t>
      </w:r>
      <w:r w:rsidR="004C11C2">
        <w:t>.</w:t>
      </w:r>
    </w:p>
    <w:p w:rsidR="00D24DDA" w:rsidRDefault="00D24DDA" w:rsidP="005F3F50">
      <w:pPr>
        <w:autoSpaceDE w:val="0"/>
        <w:autoSpaceDN w:val="0"/>
        <w:adjustRightInd w:val="0"/>
      </w:pPr>
    </w:p>
    <w:p w:rsidR="00161C2A" w:rsidRDefault="00C41AA7" w:rsidP="005F3F50">
      <w:pPr>
        <w:autoSpaceDE w:val="0"/>
        <w:autoSpaceDN w:val="0"/>
        <w:adjustRightInd w:val="0"/>
        <w:rPr>
          <w:rFonts w:ascii="Times New Roman" w:hAnsi="Times New Roman"/>
          <w:szCs w:val="24"/>
        </w:rPr>
      </w:pPr>
      <w:r w:rsidRPr="00A05133">
        <w:t xml:space="preserve">As part of the staged approach to achieving that goal, </w:t>
      </w:r>
      <w:r w:rsidR="00386D9E">
        <w:t xml:space="preserve">the Australian and New Zealand Governments </w:t>
      </w:r>
      <w:r w:rsidRPr="00A05133">
        <w:t xml:space="preserve">agreed that the TGA and </w:t>
      </w:r>
      <w:r w:rsidR="002448CC">
        <w:t>the New Zealand Medicines and Medical Devices Safety Authority (</w:t>
      </w:r>
      <w:r w:rsidRPr="00A05133">
        <w:t>Medsafe</w:t>
      </w:r>
      <w:r w:rsidR="002448CC">
        <w:t>)</w:t>
      </w:r>
      <w:r w:rsidRPr="00A05133">
        <w:t xml:space="preserve"> would begin a program of joint projects to </w:t>
      </w:r>
      <w:r w:rsidR="00AD7A51" w:rsidRPr="00A05133">
        <w:t xml:space="preserve">maintain the momentum for the establishment of the </w:t>
      </w:r>
      <w:r w:rsidR="00C941DF">
        <w:t>A</w:t>
      </w:r>
      <w:r w:rsidR="00AD7A51" w:rsidRPr="00A05133">
        <w:t>gency</w:t>
      </w:r>
      <w:r w:rsidR="00AD7A51">
        <w:t xml:space="preserve">.  </w:t>
      </w:r>
      <w:r w:rsidR="005B168D">
        <w:rPr>
          <w:rFonts w:ascii="Times New Roman" w:hAnsi="Times New Roman"/>
          <w:szCs w:val="24"/>
        </w:rPr>
        <w:t xml:space="preserve">One of the </w:t>
      </w:r>
      <w:r w:rsidR="004C11C2">
        <w:rPr>
          <w:rFonts w:ascii="Times New Roman" w:hAnsi="Times New Roman"/>
          <w:szCs w:val="24"/>
        </w:rPr>
        <w:t xml:space="preserve">projects </w:t>
      </w:r>
      <w:r w:rsidR="005B168D">
        <w:rPr>
          <w:rFonts w:ascii="Times New Roman" w:hAnsi="Times New Roman"/>
          <w:szCs w:val="24"/>
        </w:rPr>
        <w:t xml:space="preserve">is the establishment of a </w:t>
      </w:r>
      <w:r w:rsidR="00C941DF">
        <w:rPr>
          <w:rFonts w:ascii="Times New Roman" w:hAnsi="Times New Roman"/>
          <w:szCs w:val="24"/>
        </w:rPr>
        <w:t xml:space="preserve">joint </w:t>
      </w:r>
      <w:r w:rsidR="005B168D">
        <w:rPr>
          <w:rFonts w:ascii="Times New Roman" w:hAnsi="Times New Roman"/>
          <w:szCs w:val="24"/>
        </w:rPr>
        <w:t xml:space="preserve">publicly accessible database of adverse event notifications relating to medicines </w:t>
      </w:r>
      <w:r w:rsidR="002448CC">
        <w:rPr>
          <w:rFonts w:ascii="Times New Roman" w:hAnsi="Times New Roman"/>
          <w:szCs w:val="24"/>
        </w:rPr>
        <w:t xml:space="preserve">used </w:t>
      </w:r>
      <w:r w:rsidR="005B168D">
        <w:rPr>
          <w:rFonts w:ascii="Times New Roman" w:hAnsi="Times New Roman"/>
          <w:szCs w:val="24"/>
        </w:rPr>
        <w:t>in Australia and New Zealand.</w:t>
      </w:r>
    </w:p>
    <w:p w:rsidR="00161C2A" w:rsidRDefault="00161C2A" w:rsidP="005F3F50">
      <w:pPr>
        <w:autoSpaceDE w:val="0"/>
        <w:autoSpaceDN w:val="0"/>
        <w:adjustRightInd w:val="0"/>
        <w:rPr>
          <w:rFonts w:ascii="Times New Roman" w:hAnsi="Times New Roman"/>
          <w:szCs w:val="24"/>
        </w:rPr>
      </w:pPr>
    </w:p>
    <w:p w:rsidR="00161C2A" w:rsidRDefault="00C941DF" w:rsidP="005F3F50">
      <w:pPr>
        <w:autoSpaceDE w:val="0"/>
        <w:autoSpaceDN w:val="0"/>
        <w:adjustRightInd w:val="0"/>
        <w:rPr>
          <w:rFonts w:ascii="Times New Roman" w:hAnsi="Times New Roman"/>
          <w:szCs w:val="24"/>
        </w:rPr>
      </w:pPr>
      <w:r>
        <w:rPr>
          <w:rFonts w:ascii="Times New Roman" w:hAnsi="Times New Roman"/>
          <w:szCs w:val="24"/>
        </w:rPr>
        <w:t>Both the TGA and Medsafe have a publicly accessible database on their respective websites that contains information about adverse events in each country, respectively.</w:t>
      </w:r>
      <w:r w:rsidR="00161C2A">
        <w:rPr>
          <w:rFonts w:ascii="Times New Roman" w:hAnsi="Times New Roman"/>
          <w:szCs w:val="24"/>
        </w:rPr>
        <w:t xml:space="preserve">  In the case of </w:t>
      </w:r>
      <w:r w:rsidR="00161C2A">
        <w:rPr>
          <w:rFonts w:ascii="Times New Roman" w:hAnsi="Times New Roman"/>
          <w:szCs w:val="24"/>
        </w:rPr>
        <w:lastRenderedPageBreak/>
        <w:t>the TGA, the information is currently available to the public in the Database of Adverse Event Notifications (the DAEN).  In the case of Medsafe, adverse event information is currently available to the public in the database</w:t>
      </w:r>
      <w:r w:rsidR="0045200C">
        <w:rPr>
          <w:rFonts w:ascii="Times New Roman" w:hAnsi="Times New Roman"/>
          <w:szCs w:val="24"/>
        </w:rPr>
        <w:t xml:space="preserve"> known as the</w:t>
      </w:r>
      <w:r w:rsidR="00161C2A">
        <w:rPr>
          <w:rFonts w:ascii="Times New Roman" w:hAnsi="Times New Roman"/>
          <w:szCs w:val="24"/>
        </w:rPr>
        <w:t xml:space="preserve"> Suspected Medicine Adverse Reaction Search (SMARS). </w:t>
      </w:r>
    </w:p>
    <w:p w:rsidR="00266A9F" w:rsidRDefault="00266A9F" w:rsidP="005F3F50">
      <w:pPr>
        <w:autoSpaceDE w:val="0"/>
        <w:autoSpaceDN w:val="0"/>
        <w:adjustRightInd w:val="0"/>
        <w:rPr>
          <w:rFonts w:ascii="Times New Roman" w:hAnsi="Times New Roman"/>
          <w:szCs w:val="24"/>
        </w:rPr>
      </w:pPr>
    </w:p>
    <w:p w:rsidR="00266A9F" w:rsidRDefault="00916A81" w:rsidP="005F3F50">
      <w:pPr>
        <w:autoSpaceDE w:val="0"/>
        <w:autoSpaceDN w:val="0"/>
        <w:adjustRightInd w:val="0"/>
        <w:rPr>
          <w:rFonts w:ascii="Times New Roman" w:hAnsi="Times New Roman"/>
          <w:szCs w:val="24"/>
        </w:rPr>
      </w:pPr>
      <w:r>
        <w:rPr>
          <w:rFonts w:ascii="Times New Roman" w:hAnsi="Times New Roman"/>
          <w:szCs w:val="24"/>
        </w:rPr>
        <w:t>T</w:t>
      </w:r>
      <w:r w:rsidR="00266A9F">
        <w:rPr>
          <w:rFonts w:ascii="Times New Roman" w:hAnsi="Times New Roman"/>
          <w:szCs w:val="24"/>
        </w:rPr>
        <w:t xml:space="preserve">he establishment of a </w:t>
      </w:r>
      <w:r w:rsidR="00C941DF">
        <w:rPr>
          <w:rFonts w:ascii="Times New Roman" w:hAnsi="Times New Roman"/>
          <w:szCs w:val="24"/>
        </w:rPr>
        <w:t xml:space="preserve">joint </w:t>
      </w:r>
      <w:r w:rsidR="00266A9F">
        <w:rPr>
          <w:rFonts w:ascii="Times New Roman" w:hAnsi="Times New Roman"/>
          <w:szCs w:val="24"/>
        </w:rPr>
        <w:t xml:space="preserve">database </w:t>
      </w:r>
      <w:r w:rsidR="00C941DF">
        <w:rPr>
          <w:rFonts w:ascii="Times New Roman" w:hAnsi="Times New Roman"/>
          <w:szCs w:val="24"/>
        </w:rPr>
        <w:t xml:space="preserve">that contains information about adverse events in both countries </w:t>
      </w:r>
      <w:r w:rsidR="00C367D2">
        <w:rPr>
          <w:rFonts w:ascii="Times New Roman" w:hAnsi="Times New Roman"/>
          <w:szCs w:val="24"/>
        </w:rPr>
        <w:t>– to be known a</w:t>
      </w:r>
      <w:r w:rsidR="00FF6A1E">
        <w:rPr>
          <w:rFonts w:ascii="Times New Roman" w:hAnsi="Times New Roman"/>
          <w:szCs w:val="24"/>
        </w:rPr>
        <w:t xml:space="preserve">s the </w:t>
      </w:r>
      <w:r w:rsidR="005B1873">
        <w:rPr>
          <w:rFonts w:ascii="Times New Roman" w:hAnsi="Times New Roman"/>
          <w:szCs w:val="24"/>
        </w:rPr>
        <w:t xml:space="preserve">Joint </w:t>
      </w:r>
      <w:r w:rsidR="00FF6A1E">
        <w:rPr>
          <w:rFonts w:ascii="Times New Roman" w:hAnsi="Times New Roman"/>
          <w:szCs w:val="24"/>
        </w:rPr>
        <w:t>Adverse Event Notifications</w:t>
      </w:r>
      <w:r w:rsidR="002E03C4">
        <w:rPr>
          <w:rFonts w:ascii="Times New Roman" w:hAnsi="Times New Roman"/>
          <w:szCs w:val="24"/>
        </w:rPr>
        <w:t xml:space="preserve"> System</w:t>
      </w:r>
      <w:r w:rsidR="005B1873">
        <w:rPr>
          <w:rFonts w:ascii="Times New Roman" w:hAnsi="Times New Roman"/>
          <w:szCs w:val="24"/>
        </w:rPr>
        <w:t>, or the J</w:t>
      </w:r>
      <w:r w:rsidR="00C367D2">
        <w:rPr>
          <w:rFonts w:ascii="Times New Roman" w:hAnsi="Times New Roman"/>
          <w:szCs w:val="24"/>
        </w:rPr>
        <w:t>AEN</w:t>
      </w:r>
      <w:r w:rsidR="002E03C4">
        <w:rPr>
          <w:rFonts w:ascii="Times New Roman" w:hAnsi="Times New Roman"/>
          <w:szCs w:val="24"/>
        </w:rPr>
        <w:t>S</w:t>
      </w:r>
      <w:r w:rsidR="00C367D2">
        <w:rPr>
          <w:rFonts w:ascii="Times New Roman" w:hAnsi="Times New Roman"/>
          <w:szCs w:val="24"/>
        </w:rPr>
        <w:t xml:space="preserve"> - </w:t>
      </w:r>
      <w:r w:rsidR="005B1873">
        <w:rPr>
          <w:rFonts w:ascii="Times New Roman" w:hAnsi="Times New Roman"/>
          <w:szCs w:val="24"/>
        </w:rPr>
        <w:t xml:space="preserve">will </w:t>
      </w:r>
      <w:r w:rsidR="00266A9F">
        <w:rPr>
          <w:rFonts w:ascii="Times New Roman" w:hAnsi="Times New Roman"/>
          <w:szCs w:val="24"/>
        </w:rPr>
        <w:t>provide a number of benefits to both the TGA and Medsafe as well as for health-related industries and consumers</w:t>
      </w:r>
      <w:r w:rsidR="00161C2A">
        <w:rPr>
          <w:rFonts w:ascii="Times New Roman" w:hAnsi="Times New Roman"/>
          <w:szCs w:val="24"/>
        </w:rPr>
        <w:t xml:space="preserve">.  Those benefits include </w:t>
      </w:r>
      <w:r w:rsidR="00FF6A1E">
        <w:rPr>
          <w:rFonts w:ascii="Times New Roman" w:hAnsi="Times New Roman"/>
          <w:szCs w:val="24"/>
        </w:rPr>
        <w:t xml:space="preserve">providing </w:t>
      </w:r>
      <w:r>
        <w:rPr>
          <w:rFonts w:ascii="Times New Roman" w:hAnsi="Times New Roman"/>
          <w:szCs w:val="24"/>
        </w:rPr>
        <w:t xml:space="preserve">consumers </w:t>
      </w:r>
      <w:r w:rsidR="00FF6A1E">
        <w:rPr>
          <w:rFonts w:ascii="Times New Roman" w:hAnsi="Times New Roman"/>
          <w:szCs w:val="24"/>
        </w:rPr>
        <w:t>with more information about</w:t>
      </w:r>
      <w:r>
        <w:rPr>
          <w:rFonts w:ascii="Times New Roman" w:hAnsi="Times New Roman"/>
          <w:szCs w:val="24"/>
        </w:rPr>
        <w:t xml:space="preserve"> the number </w:t>
      </w:r>
      <w:r w:rsidR="00FF6A1E">
        <w:rPr>
          <w:rFonts w:ascii="Times New Roman" w:hAnsi="Times New Roman"/>
          <w:szCs w:val="24"/>
        </w:rPr>
        <w:t xml:space="preserve">and types </w:t>
      </w:r>
      <w:r>
        <w:rPr>
          <w:rFonts w:ascii="Times New Roman" w:hAnsi="Times New Roman"/>
          <w:szCs w:val="24"/>
        </w:rPr>
        <w:t xml:space="preserve">of </w:t>
      </w:r>
      <w:r w:rsidR="00FF6A1E">
        <w:rPr>
          <w:rFonts w:ascii="Times New Roman" w:hAnsi="Times New Roman"/>
          <w:szCs w:val="24"/>
        </w:rPr>
        <w:t xml:space="preserve">adverse </w:t>
      </w:r>
      <w:r>
        <w:rPr>
          <w:rFonts w:ascii="Times New Roman" w:hAnsi="Times New Roman"/>
          <w:szCs w:val="24"/>
        </w:rPr>
        <w:t>events</w:t>
      </w:r>
      <w:r w:rsidR="00A1797C">
        <w:rPr>
          <w:rFonts w:ascii="Times New Roman" w:hAnsi="Times New Roman"/>
          <w:szCs w:val="24"/>
        </w:rPr>
        <w:t xml:space="preserve"> reported </w:t>
      </w:r>
      <w:r w:rsidR="00161C2A">
        <w:rPr>
          <w:rFonts w:ascii="Times New Roman" w:hAnsi="Times New Roman"/>
          <w:szCs w:val="24"/>
        </w:rPr>
        <w:t xml:space="preserve">in both countries </w:t>
      </w:r>
      <w:r w:rsidR="00A1797C">
        <w:rPr>
          <w:rFonts w:ascii="Times New Roman" w:hAnsi="Times New Roman"/>
          <w:szCs w:val="24"/>
        </w:rPr>
        <w:t>relating to particular</w:t>
      </w:r>
      <w:r>
        <w:rPr>
          <w:rFonts w:ascii="Times New Roman" w:hAnsi="Times New Roman"/>
          <w:szCs w:val="24"/>
        </w:rPr>
        <w:t xml:space="preserve"> </w:t>
      </w:r>
      <w:r w:rsidR="0097574D">
        <w:rPr>
          <w:rFonts w:ascii="Times New Roman" w:hAnsi="Times New Roman"/>
          <w:szCs w:val="24"/>
        </w:rPr>
        <w:t xml:space="preserve">medicines </w:t>
      </w:r>
      <w:r w:rsidR="001B079A">
        <w:rPr>
          <w:rFonts w:ascii="Times New Roman" w:hAnsi="Times New Roman"/>
          <w:szCs w:val="24"/>
        </w:rPr>
        <w:t xml:space="preserve">(and therefore assisting consumers to be better informed about </w:t>
      </w:r>
      <w:r w:rsidR="002448CC">
        <w:rPr>
          <w:rFonts w:ascii="Times New Roman" w:hAnsi="Times New Roman"/>
          <w:szCs w:val="24"/>
        </w:rPr>
        <w:t xml:space="preserve">their </w:t>
      </w:r>
      <w:r w:rsidR="001B079A">
        <w:rPr>
          <w:rFonts w:ascii="Times New Roman" w:hAnsi="Times New Roman"/>
          <w:szCs w:val="24"/>
        </w:rPr>
        <w:t>safety), and supporting therapeutic research and analysis</w:t>
      </w:r>
      <w:r w:rsidR="00437350">
        <w:rPr>
          <w:rFonts w:ascii="Times New Roman" w:hAnsi="Times New Roman"/>
          <w:szCs w:val="24"/>
        </w:rPr>
        <w:t xml:space="preserve"> relating to the incidence of adverse events</w:t>
      </w:r>
      <w:r w:rsidR="00266A9F">
        <w:rPr>
          <w:rFonts w:ascii="Times New Roman" w:hAnsi="Times New Roman"/>
          <w:szCs w:val="24"/>
        </w:rPr>
        <w:t>.</w:t>
      </w:r>
    </w:p>
    <w:p w:rsidR="00266A9F" w:rsidRDefault="00266A9F" w:rsidP="005F3F50">
      <w:pPr>
        <w:autoSpaceDE w:val="0"/>
        <w:autoSpaceDN w:val="0"/>
        <w:adjustRightInd w:val="0"/>
        <w:rPr>
          <w:rFonts w:ascii="Times New Roman" w:hAnsi="Times New Roman"/>
          <w:szCs w:val="24"/>
        </w:rPr>
      </w:pPr>
    </w:p>
    <w:p w:rsidR="00713956" w:rsidRDefault="00713956" w:rsidP="005F3F50">
      <w:pPr>
        <w:autoSpaceDE w:val="0"/>
        <w:autoSpaceDN w:val="0"/>
        <w:adjustRightInd w:val="0"/>
        <w:rPr>
          <w:rFonts w:ascii="Times New Roman" w:hAnsi="Times New Roman"/>
          <w:szCs w:val="24"/>
        </w:rPr>
      </w:pPr>
      <w:r>
        <w:rPr>
          <w:rFonts w:ascii="Times New Roman" w:hAnsi="Times New Roman"/>
          <w:szCs w:val="24"/>
        </w:rPr>
        <w:t xml:space="preserve">The purpose </w:t>
      </w:r>
      <w:r w:rsidR="00C367D2">
        <w:rPr>
          <w:rFonts w:ascii="Times New Roman" w:hAnsi="Times New Roman"/>
          <w:szCs w:val="24"/>
        </w:rPr>
        <w:t>of the Specification is to support t</w:t>
      </w:r>
      <w:r w:rsidR="00DF6AD6">
        <w:rPr>
          <w:rFonts w:ascii="Times New Roman" w:hAnsi="Times New Roman"/>
          <w:szCs w:val="24"/>
        </w:rPr>
        <w:t>he release to the public of adverse event</w:t>
      </w:r>
      <w:r w:rsidR="00C367D2">
        <w:rPr>
          <w:rFonts w:ascii="Times New Roman" w:hAnsi="Times New Roman"/>
          <w:szCs w:val="24"/>
        </w:rPr>
        <w:t xml:space="preserve"> information </w:t>
      </w:r>
      <w:r w:rsidR="00DF6AD6">
        <w:rPr>
          <w:rFonts w:ascii="Times New Roman" w:hAnsi="Times New Roman"/>
          <w:szCs w:val="24"/>
        </w:rPr>
        <w:t xml:space="preserve">relating to </w:t>
      </w:r>
      <w:r w:rsidR="00311521">
        <w:rPr>
          <w:rFonts w:ascii="Times New Roman" w:hAnsi="Times New Roman"/>
          <w:szCs w:val="24"/>
        </w:rPr>
        <w:t xml:space="preserve">both </w:t>
      </w:r>
      <w:r w:rsidR="00DF6AD6">
        <w:rPr>
          <w:rFonts w:ascii="Times New Roman" w:hAnsi="Times New Roman"/>
          <w:szCs w:val="24"/>
        </w:rPr>
        <w:t xml:space="preserve">Australia </w:t>
      </w:r>
      <w:r w:rsidR="00311521">
        <w:rPr>
          <w:rFonts w:ascii="Times New Roman" w:hAnsi="Times New Roman"/>
          <w:szCs w:val="24"/>
        </w:rPr>
        <w:t xml:space="preserve">and New Zealand </w:t>
      </w:r>
      <w:r w:rsidR="00725CB6">
        <w:rPr>
          <w:rFonts w:ascii="Times New Roman" w:hAnsi="Times New Roman"/>
          <w:szCs w:val="24"/>
        </w:rPr>
        <w:t xml:space="preserve">contained </w:t>
      </w:r>
      <w:r w:rsidR="005F2586">
        <w:rPr>
          <w:rFonts w:ascii="Times New Roman" w:hAnsi="Times New Roman"/>
          <w:szCs w:val="24"/>
        </w:rPr>
        <w:t>in the J</w:t>
      </w:r>
      <w:r w:rsidR="00C367D2">
        <w:rPr>
          <w:rFonts w:ascii="Times New Roman" w:hAnsi="Times New Roman"/>
          <w:szCs w:val="24"/>
        </w:rPr>
        <w:t>AEN</w:t>
      </w:r>
      <w:r w:rsidR="002E03C4">
        <w:rPr>
          <w:rFonts w:ascii="Times New Roman" w:hAnsi="Times New Roman"/>
          <w:szCs w:val="24"/>
        </w:rPr>
        <w:t>S</w:t>
      </w:r>
      <w:r w:rsidR="002448CC">
        <w:rPr>
          <w:rFonts w:ascii="Times New Roman" w:hAnsi="Times New Roman"/>
          <w:szCs w:val="24"/>
        </w:rPr>
        <w:t xml:space="preserve"> </w:t>
      </w:r>
      <w:r w:rsidR="00C1542E">
        <w:rPr>
          <w:rFonts w:ascii="Times New Roman" w:hAnsi="Times New Roman"/>
          <w:szCs w:val="24"/>
        </w:rPr>
        <w:t xml:space="preserve">by </w:t>
      </w:r>
      <w:r w:rsidR="00923C20">
        <w:rPr>
          <w:rFonts w:ascii="Times New Roman" w:hAnsi="Times New Roman"/>
          <w:szCs w:val="24"/>
        </w:rPr>
        <w:t>identifying</w:t>
      </w:r>
      <w:r w:rsidR="002448CC">
        <w:rPr>
          <w:rFonts w:ascii="Times New Roman" w:hAnsi="Times New Roman"/>
          <w:szCs w:val="24"/>
        </w:rPr>
        <w:t xml:space="preserve">, under subsection 61(5D) of the Act, </w:t>
      </w:r>
      <w:r w:rsidR="00923C20">
        <w:rPr>
          <w:rFonts w:ascii="Times New Roman" w:hAnsi="Times New Roman"/>
          <w:szCs w:val="24"/>
        </w:rPr>
        <w:t>the kinds of informat</w:t>
      </w:r>
      <w:r w:rsidR="00725CB6">
        <w:rPr>
          <w:rFonts w:ascii="Times New Roman" w:hAnsi="Times New Roman"/>
          <w:szCs w:val="24"/>
        </w:rPr>
        <w:t>ion that the Secretary may publish</w:t>
      </w:r>
      <w:r w:rsidR="00923C20">
        <w:rPr>
          <w:rFonts w:ascii="Times New Roman" w:hAnsi="Times New Roman"/>
          <w:szCs w:val="24"/>
        </w:rPr>
        <w:t xml:space="preserve"> under subsection 61(5C) of the Act (in the form of the new database).</w:t>
      </w:r>
    </w:p>
    <w:p w:rsidR="00BB2AAB" w:rsidRDefault="00BB2AAB" w:rsidP="005F3F50">
      <w:pPr>
        <w:autoSpaceDE w:val="0"/>
        <w:autoSpaceDN w:val="0"/>
        <w:adjustRightInd w:val="0"/>
        <w:rPr>
          <w:rFonts w:ascii="Times New Roman" w:hAnsi="Times New Roman"/>
          <w:szCs w:val="24"/>
        </w:rPr>
      </w:pPr>
    </w:p>
    <w:p w:rsidR="00BB2AAB" w:rsidRDefault="00BB2AAB" w:rsidP="005F3F50">
      <w:pPr>
        <w:autoSpaceDE w:val="0"/>
        <w:autoSpaceDN w:val="0"/>
        <w:adjustRightInd w:val="0"/>
        <w:rPr>
          <w:rFonts w:ascii="Times New Roman" w:hAnsi="Times New Roman"/>
          <w:szCs w:val="24"/>
        </w:rPr>
      </w:pPr>
      <w:r>
        <w:rPr>
          <w:rFonts w:ascii="Times New Roman" w:hAnsi="Times New Roman"/>
          <w:szCs w:val="24"/>
        </w:rPr>
        <w:t>The adverse event information relating to New Zealand that will f</w:t>
      </w:r>
      <w:r w:rsidR="005C1881">
        <w:rPr>
          <w:rFonts w:ascii="Times New Roman" w:hAnsi="Times New Roman"/>
          <w:szCs w:val="24"/>
        </w:rPr>
        <w:t>orm part of the JAENS will be</w:t>
      </w:r>
      <w:r>
        <w:rPr>
          <w:rFonts w:ascii="Times New Roman" w:hAnsi="Times New Roman"/>
          <w:szCs w:val="24"/>
        </w:rPr>
        <w:t xml:space="preserve"> provided t</w:t>
      </w:r>
      <w:r w:rsidR="005C1881">
        <w:rPr>
          <w:rFonts w:ascii="Times New Roman" w:hAnsi="Times New Roman"/>
          <w:szCs w:val="24"/>
        </w:rPr>
        <w:t>o the TGA by Medsafe on a regular basis for inclusion in the JAENS.</w:t>
      </w:r>
    </w:p>
    <w:p w:rsidR="005B1873" w:rsidRDefault="005B1873" w:rsidP="005B1873">
      <w:pPr>
        <w:autoSpaceDE w:val="0"/>
        <w:autoSpaceDN w:val="0"/>
        <w:adjustRightInd w:val="0"/>
        <w:rPr>
          <w:rFonts w:ascii="Times New Roman" w:hAnsi="Times New Roman"/>
          <w:szCs w:val="24"/>
        </w:rPr>
      </w:pPr>
    </w:p>
    <w:p w:rsidR="005A40D4" w:rsidRDefault="00161C2A" w:rsidP="005B1873">
      <w:pPr>
        <w:autoSpaceDE w:val="0"/>
        <w:autoSpaceDN w:val="0"/>
        <w:adjustRightInd w:val="0"/>
        <w:rPr>
          <w:rFonts w:ascii="Times New Roman" w:hAnsi="Times New Roman"/>
          <w:szCs w:val="24"/>
        </w:rPr>
      </w:pPr>
      <w:r>
        <w:rPr>
          <w:rFonts w:ascii="Times New Roman" w:hAnsi="Times New Roman"/>
          <w:szCs w:val="24"/>
        </w:rPr>
        <w:t xml:space="preserve">It is intended that the </w:t>
      </w:r>
      <w:r w:rsidR="005A40D4">
        <w:rPr>
          <w:rFonts w:ascii="Times New Roman" w:hAnsi="Times New Roman"/>
          <w:szCs w:val="24"/>
        </w:rPr>
        <w:t xml:space="preserve">JAENS be accessed by the public via the website established to provide information in relation to the </w:t>
      </w:r>
      <w:r w:rsidR="005A40D4">
        <w:t xml:space="preserve">Australia New Zealand Therapeutic Products Agency </w:t>
      </w:r>
      <w:r w:rsidR="00B13240">
        <w:t xml:space="preserve">(currently, </w:t>
      </w:r>
      <w:hyperlink r:id="rId8" w:history="1">
        <w:r w:rsidR="005A40D4" w:rsidRPr="001275CC">
          <w:rPr>
            <w:rStyle w:val="Hyperlink"/>
          </w:rPr>
          <w:t>www.anztpa.org</w:t>
        </w:r>
      </w:hyperlink>
      <w:r w:rsidR="00B13240">
        <w:t>)</w:t>
      </w:r>
      <w:r w:rsidR="00F955CF">
        <w:t>.</w:t>
      </w:r>
    </w:p>
    <w:p w:rsidR="005A40D4" w:rsidRDefault="005A40D4" w:rsidP="005B1873">
      <w:pPr>
        <w:autoSpaceDE w:val="0"/>
        <w:autoSpaceDN w:val="0"/>
        <w:adjustRightInd w:val="0"/>
        <w:rPr>
          <w:rFonts w:ascii="Times New Roman" w:hAnsi="Times New Roman"/>
          <w:szCs w:val="24"/>
        </w:rPr>
      </w:pPr>
    </w:p>
    <w:p w:rsidR="00864543" w:rsidRDefault="00864543" w:rsidP="005B1873">
      <w:pPr>
        <w:autoSpaceDE w:val="0"/>
        <w:autoSpaceDN w:val="0"/>
        <w:adjustRightInd w:val="0"/>
        <w:rPr>
          <w:rFonts w:ascii="Times New Roman" w:hAnsi="Times New Roman"/>
          <w:szCs w:val="24"/>
        </w:rPr>
      </w:pPr>
      <w:r>
        <w:rPr>
          <w:rFonts w:ascii="Times New Roman" w:hAnsi="Times New Roman"/>
          <w:szCs w:val="24"/>
        </w:rPr>
        <w:t>It should be noted that the JAEN</w:t>
      </w:r>
      <w:r w:rsidR="002E03C4">
        <w:rPr>
          <w:rFonts w:ascii="Times New Roman" w:hAnsi="Times New Roman"/>
          <w:szCs w:val="24"/>
        </w:rPr>
        <w:t>S</w:t>
      </w:r>
      <w:r>
        <w:rPr>
          <w:rFonts w:ascii="Times New Roman" w:hAnsi="Times New Roman"/>
          <w:szCs w:val="24"/>
        </w:rPr>
        <w:t xml:space="preserve"> is to be distinguished from the </w:t>
      </w:r>
      <w:r w:rsidR="002E03C4">
        <w:rPr>
          <w:rFonts w:ascii="Times New Roman" w:hAnsi="Times New Roman"/>
          <w:szCs w:val="24"/>
        </w:rPr>
        <w:t xml:space="preserve">DAEN which was launched on 1 August 2012 (the DAEN may be viewed and accessed on the TGA’s website, </w:t>
      </w:r>
      <w:hyperlink r:id="rId9" w:history="1">
        <w:r w:rsidR="002E03C4" w:rsidRPr="001275CC">
          <w:rPr>
            <w:rStyle w:val="Hyperlink"/>
            <w:rFonts w:ascii="Times New Roman" w:hAnsi="Times New Roman"/>
            <w:szCs w:val="24"/>
          </w:rPr>
          <w:t>www.tga.gov.au</w:t>
        </w:r>
      </w:hyperlink>
      <w:r w:rsidR="002E03C4">
        <w:rPr>
          <w:rFonts w:ascii="Times New Roman" w:hAnsi="Times New Roman"/>
          <w:szCs w:val="24"/>
        </w:rPr>
        <w:t>)</w:t>
      </w:r>
      <w:r w:rsidR="00F955CF">
        <w:rPr>
          <w:rFonts w:ascii="Times New Roman" w:hAnsi="Times New Roman"/>
          <w:szCs w:val="24"/>
        </w:rPr>
        <w:t>.</w:t>
      </w:r>
    </w:p>
    <w:p w:rsidR="00864543" w:rsidRDefault="00864543" w:rsidP="005B1873">
      <w:pPr>
        <w:autoSpaceDE w:val="0"/>
        <w:autoSpaceDN w:val="0"/>
        <w:adjustRightInd w:val="0"/>
        <w:rPr>
          <w:rFonts w:ascii="Times New Roman" w:hAnsi="Times New Roman"/>
          <w:szCs w:val="24"/>
        </w:rPr>
      </w:pPr>
    </w:p>
    <w:p w:rsidR="006857D9" w:rsidRDefault="00864543" w:rsidP="005B1873">
      <w:pPr>
        <w:autoSpaceDE w:val="0"/>
        <w:autoSpaceDN w:val="0"/>
        <w:adjustRightInd w:val="0"/>
        <w:rPr>
          <w:rFonts w:ascii="Times New Roman" w:hAnsi="Times New Roman"/>
          <w:szCs w:val="24"/>
        </w:rPr>
      </w:pPr>
      <w:r>
        <w:rPr>
          <w:rFonts w:ascii="Times New Roman" w:hAnsi="Times New Roman"/>
          <w:szCs w:val="24"/>
        </w:rPr>
        <w:t xml:space="preserve">The DAEN contains the same information relating to adverse events reported in Australia (that is, adverse event reports received by the TGA) as </w:t>
      </w:r>
      <w:r w:rsidR="00161C2A">
        <w:rPr>
          <w:rFonts w:ascii="Times New Roman" w:hAnsi="Times New Roman"/>
          <w:szCs w:val="24"/>
        </w:rPr>
        <w:t xml:space="preserve">will be contained in </w:t>
      </w:r>
      <w:r>
        <w:rPr>
          <w:rFonts w:ascii="Times New Roman" w:hAnsi="Times New Roman"/>
          <w:szCs w:val="24"/>
        </w:rPr>
        <w:t>the JAEN</w:t>
      </w:r>
      <w:r w:rsidR="002E03C4">
        <w:rPr>
          <w:rFonts w:ascii="Times New Roman" w:hAnsi="Times New Roman"/>
          <w:szCs w:val="24"/>
        </w:rPr>
        <w:t>S</w:t>
      </w:r>
      <w:r>
        <w:rPr>
          <w:rFonts w:ascii="Times New Roman" w:hAnsi="Times New Roman"/>
          <w:szCs w:val="24"/>
        </w:rPr>
        <w:t xml:space="preserve">, but does not contain information relating to </w:t>
      </w:r>
      <w:r w:rsidR="002E03C4">
        <w:rPr>
          <w:rFonts w:ascii="Times New Roman" w:hAnsi="Times New Roman"/>
          <w:szCs w:val="24"/>
        </w:rPr>
        <w:t xml:space="preserve">New Zealand </w:t>
      </w:r>
      <w:r>
        <w:rPr>
          <w:rFonts w:ascii="Times New Roman" w:hAnsi="Times New Roman"/>
          <w:szCs w:val="24"/>
        </w:rPr>
        <w:t>advers</w:t>
      </w:r>
      <w:r w:rsidR="002E03C4">
        <w:rPr>
          <w:rFonts w:ascii="Times New Roman" w:hAnsi="Times New Roman"/>
          <w:szCs w:val="24"/>
        </w:rPr>
        <w:t>e events</w:t>
      </w:r>
      <w:r>
        <w:rPr>
          <w:rFonts w:ascii="Times New Roman" w:hAnsi="Times New Roman"/>
          <w:szCs w:val="24"/>
        </w:rPr>
        <w:t>.</w:t>
      </w:r>
    </w:p>
    <w:p w:rsidR="006857D9" w:rsidRDefault="006857D9" w:rsidP="005B1873">
      <w:pPr>
        <w:autoSpaceDE w:val="0"/>
        <w:autoSpaceDN w:val="0"/>
        <w:adjustRightInd w:val="0"/>
        <w:rPr>
          <w:rFonts w:ascii="Times New Roman" w:hAnsi="Times New Roman"/>
          <w:szCs w:val="24"/>
        </w:rPr>
      </w:pPr>
    </w:p>
    <w:p w:rsidR="008D69C6" w:rsidRDefault="008D69C6" w:rsidP="005B1873">
      <w:pPr>
        <w:autoSpaceDE w:val="0"/>
        <w:autoSpaceDN w:val="0"/>
        <w:adjustRightInd w:val="0"/>
        <w:rPr>
          <w:rFonts w:ascii="Times New Roman" w:hAnsi="Times New Roman"/>
          <w:szCs w:val="24"/>
        </w:rPr>
      </w:pPr>
      <w:r>
        <w:rPr>
          <w:rFonts w:ascii="Times New Roman" w:hAnsi="Times New Roman"/>
          <w:szCs w:val="24"/>
        </w:rPr>
        <w:t>T</w:t>
      </w:r>
      <w:r w:rsidR="006857D9">
        <w:rPr>
          <w:rFonts w:ascii="Times New Roman" w:hAnsi="Times New Roman"/>
          <w:szCs w:val="24"/>
        </w:rPr>
        <w:t xml:space="preserve">he DAEN </w:t>
      </w:r>
      <w:r>
        <w:rPr>
          <w:rFonts w:ascii="Times New Roman" w:hAnsi="Times New Roman"/>
          <w:szCs w:val="24"/>
        </w:rPr>
        <w:t xml:space="preserve">also differs from the JAENS in that it </w:t>
      </w:r>
      <w:r w:rsidR="006857D9">
        <w:rPr>
          <w:rFonts w:ascii="Times New Roman" w:hAnsi="Times New Roman"/>
          <w:szCs w:val="24"/>
        </w:rPr>
        <w:t>contains Australian adverse event information dating from 1971, whereas the JAEN</w:t>
      </w:r>
      <w:r w:rsidR="002E03C4">
        <w:rPr>
          <w:rFonts w:ascii="Times New Roman" w:hAnsi="Times New Roman"/>
          <w:szCs w:val="24"/>
        </w:rPr>
        <w:t>S</w:t>
      </w:r>
      <w:r w:rsidR="006857D9">
        <w:rPr>
          <w:rFonts w:ascii="Times New Roman" w:hAnsi="Times New Roman"/>
          <w:szCs w:val="24"/>
        </w:rPr>
        <w:t xml:space="preserve"> only </w:t>
      </w:r>
      <w:r w:rsidR="00161C2A">
        <w:rPr>
          <w:rFonts w:ascii="Times New Roman" w:hAnsi="Times New Roman"/>
          <w:szCs w:val="24"/>
        </w:rPr>
        <w:t xml:space="preserve">contains </w:t>
      </w:r>
      <w:r w:rsidR="006857D9">
        <w:rPr>
          <w:rFonts w:ascii="Times New Roman" w:hAnsi="Times New Roman"/>
          <w:szCs w:val="24"/>
        </w:rPr>
        <w:t xml:space="preserve">such information dating from </w:t>
      </w:r>
      <w:r w:rsidR="002E03C4">
        <w:rPr>
          <w:rFonts w:ascii="Times New Roman" w:hAnsi="Times New Roman"/>
          <w:szCs w:val="24"/>
        </w:rPr>
        <w:t xml:space="preserve">the year </w:t>
      </w:r>
      <w:r w:rsidR="006857D9">
        <w:rPr>
          <w:rFonts w:ascii="Times New Roman" w:hAnsi="Times New Roman"/>
          <w:szCs w:val="24"/>
        </w:rPr>
        <w:t>2000.</w:t>
      </w:r>
    </w:p>
    <w:p w:rsidR="008D69C6" w:rsidRDefault="008D69C6" w:rsidP="005B1873">
      <w:pPr>
        <w:autoSpaceDE w:val="0"/>
        <w:autoSpaceDN w:val="0"/>
        <w:adjustRightInd w:val="0"/>
        <w:rPr>
          <w:rFonts w:ascii="Times New Roman" w:hAnsi="Times New Roman"/>
          <w:szCs w:val="24"/>
        </w:rPr>
      </w:pPr>
    </w:p>
    <w:p w:rsidR="00725CB6" w:rsidRDefault="00725CB6" w:rsidP="00725CB6">
      <w:pPr>
        <w:autoSpaceDE w:val="0"/>
        <w:autoSpaceDN w:val="0"/>
        <w:adjustRightInd w:val="0"/>
        <w:rPr>
          <w:rFonts w:ascii="Times New Roman" w:hAnsi="Times New Roman"/>
          <w:szCs w:val="24"/>
        </w:rPr>
      </w:pPr>
      <w:r>
        <w:rPr>
          <w:rFonts w:ascii="Times New Roman" w:hAnsi="Times New Roman"/>
          <w:szCs w:val="24"/>
        </w:rPr>
        <w:t>Subsection 61(5D) of the Act empowers the Minister to, by legislative instrument, specify kinds of therapeutic goods information for the purposes of subsection 61(5C) of the Act.</w:t>
      </w:r>
    </w:p>
    <w:p w:rsidR="00923C20" w:rsidRDefault="00923C20" w:rsidP="005F3F50">
      <w:pPr>
        <w:autoSpaceDE w:val="0"/>
        <w:autoSpaceDN w:val="0"/>
        <w:adjustRightInd w:val="0"/>
        <w:rPr>
          <w:rFonts w:ascii="Times New Roman" w:hAnsi="Times New Roman"/>
          <w:szCs w:val="24"/>
        </w:rPr>
      </w:pPr>
    </w:p>
    <w:p w:rsidR="00923C20" w:rsidRDefault="00923C20" w:rsidP="005F3F50">
      <w:pPr>
        <w:autoSpaceDE w:val="0"/>
        <w:autoSpaceDN w:val="0"/>
        <w:adjustRightInd w:val="0"/>
        <w:rPr>
          <w:rFonts w:ascii="Times New Roman" w:hAnsi="Times New Roman"/>
          <w:szCs w:val="24"/>
        </w:rPr>
      </w:pPr>
      <w:r>
        <w:rPr>
          <w:rFonts w:ascii="Times New Roman" w:hAnsi="Times New Roman"/>
          <w:szCs w:val="24"/>
        </w:rPr>
        <w:t>Under subsection 61(5C) of the Act, the Secretary may release to the public therapeutic goods information of a kind specified by the Minister under subsection 61(5D) of the Act.</w:t>
      </w:r>
    </w:p>
    <w:p w:rsidR="00923C20" w:rsidRDefault="00923C20" w:rsidP="005F3F50">
      <w:pPr>
        <w:autoSpaceDE w:val="0"/>
        <w:autoSpaceDN w:val="0"/>
        <w:adjustRightInd w:val="0"/>
        <w:rPr>
          <w:rFonts w:ascii="Times New Roman" w:hAnsi="Times New Roman"/>
          <w:szCs w:val="24"/>
        </w:rPr>
      </w:pPr>
    </w:p>
    <w:p w:rsidR="008053B3" w:rsidRDefault="008053B3" w:rsidP="005F3F50">
      <w:pPr>
        <w:autoSpaceDE w:val="0"/>
        <w:autoSpaceDN w:val="0"/>
        <w:adjustRightInd w:val="0"/>
        <w:rPr>
          <w:rFonts w:ascii="Times New Roman" w:hAnsi="Times New Roman"/>
          <w:szCs w:val="24"/>
        </w:rPr>
      </w:pPr>
      <w:r>
        <w:rPr>
          <w:rFonts w:ascii="Times New Roman" w:hAnsi="Times New Roman"/>
          <w:szCs w:val="24"/>
        </w:rPr>
        <w:t xml:space="preserve">The information </w:t>
      </w:r>
      <w:r w:rsidR="00C650D2">
        <w:rPr>
          <w:rFonts w:ascii="Times New Roman" w:hAnsi="Times New Roman"/>
          <w:szCs w:val="24"/>
        </w:rPr>
        <w:t xml:space="preserve">that will </w:t>
      </w:r>
      <w:r>
        <w:rPr>
          <w:rFonts w:ascii="Times New Roman" w:hAnsi="Times New Roman"/>
          <w:szCs w:val="24"/>
        </w:rPr>
        <w:t xml:space="preserve">be released by the Secretary </w:t>
      </w:r>
      <w:r w:rsidR="0095276A">
        <w:rPr>
          <w:rFonts w:ascii="Times New Roman" w:hAnsi="Times New Roman"/>
          <w:szCs w:val="24"/>
        </w:rPr>
        <w:t xml:space="preserve">through access to the </w:t>
      </w:r>
      <w:r w:rsidR="005F2586">
        <w:rPr>
          <w:rFonts w:ascii="Times New Roman" w:hAnsi="Times New Roman"/>
          <w:szCs w:val="24"/>
        </w:rPr>
        <w:t>JAEN</w:t>
      </w:r>
      <w:r w:rsidR="002E03C4">
        <w:rPr>
          <w:rFonts w:ascii="Times New Roman" w:hAnsi="Times New Roman"/>
          <w:szCs w:val="24"/>
        </w:rPr>
        <w:t>S</w:t>
      </w:r>
      <w:r w:rsidR="0095276A">
        <w:rPr>
          <w:rFonts w:ascii="Times New Roman" w:hAnsi="Times New Roman"/>
          <w:szCs w:val="24"/>
        </w:rPr>
        <w:t xml:space="preserve"> </w:t>
      </w:r>
      <w:r>
        <w:rPr>
          <w:rFonts w:ascii="Times New Roman" w:hAnsi="Times New Roman"/>
          <w:szCs w:val="24"/>
        </w:rPr>
        <w:t>will be in</w:t>
      </w:r>
      <w:r w:rsidR="00914A07">
        <w:rPr>
          <w:rFonts w:ascii="Times New Roman" w:hAnsi="Times New Roman"/>
          <w:szCs w:val="24"/>
        </w:rPr>
        <w:t xml:space="preserve"> either of </w:t>
      </w:r>
      <w:r>
        <w:rPr>
          <w:rFonts w:ascii="Times New Roman" w:hAnsi="Times New Roman"/>
          <w:szCs w:val="24"/>
        </w:rPr>
        <w:t>two forms</w:t>
      </w:r>
      <w:r w:rsidR="006857D9">
        <w:rPr>
          <w:rFonts w:ascii="Times New Roman" w:hAnsi="Times New Roman"/>
          <w:szCs w:val="24"/>
        </w:rPr>
        <w:t>, for adverse events relating to each of Australia and New Zealand</w:t>
      </w:r>
      <w:r>
        <w:rPr>
          <w:rFonts w:ascii="Times New Roman" w:hAnsi="Times New Roman"/>
          <w:szCs w:val="24"/>
        </w:rPr>
        <w:t>:</w:t>
      </w:r>
    </w:p>
    <w:p w:rsidR="00895522" w:rsidRDefault="00895522" w:rsidP="005F3F50">
      <w:pPr>
        <w:autoSpaceDE w:val="0"/>
        <w:autoSpaceDN w:val="0"/>
        <w:adjustRightInd w:val="0"/>
        <w:rPr>
          <w:rFonts w:ascii="Times New Roman" w:hAnsi="Times New Roman"/>
          <w:szCs w:val="24"/>
        </w:rPr>
      </w:pPr>
    </w:p>
    <w:p w:rsidR="00901680" w:rsidRDefault="008053B3" w:rsidP="00895522">
      <w:pPr>
        <w:numPr>
          <w:ilvl w:val="0"/>
          <w:numId w:val="5"/>
        </w:numPr>
        <w:autoSpaceDE w:val="0"/>
        <w:autoSpaceDN w:val="0"/>
        <w:adjustRightInd w:val="0"/>
        <w:ind w:hanging="720"/>
        <w:rPr>
          <w:rFonts w:ascii="Times New Roman" w:hAnsi="Times New Roman"/>
          <w:szCs w:val="24"/>
        </w:rPr>
      </w:pPr>
      <w:r>
        <w:rPr>
          <w:rFonts w:ascii="Times New Roman" w:hAnsi="Times New Roman"/>
          <w:szCs w:val="24"/>
        </w:rPr>
        <w:t xml:space="preserve">a </w:t>
      </w:r>
      <w:r w:rsidR="003168A9">
        <w:rPr>
          <w:rFonts w:ascii="Times New Roman" w:hAnsi="Times New Roman"/>
          <w:szCs w:val="24"/>
        </w:rPr>
        <w:t>list</w:t>
      </w:r>
      <w:r w:rsidR="00895522">
        <w:rPr>
          <w:rFonts w:ascii="Times New Roman" w:hAnsi="Times New Roman"/>
          <w:szCs w:val="24"/>
        </w:rPr>
        <w:t xml:space="preserve"> of reports of adverse events</w:t>
      </w:r>
      <w:r w:rsidR="00914A07">
        <w:rPr>
          <w:rFonts w:ascii="Times New Roman" w:hAnsi="Times New Roman"/>
          <w:szCs w:val="24"/>
        </w:rPr>
        <w:t xml:space="preserve"> </w:t>
      </w:r>
      <w:r w:rsidR="003F05A3">
        <w:rPr>
          <w:rFonts w:ascii="Times New Roman" w:hAnsi="Times New Roman"/>
          <w:szCs w:val="24"/>
        </w:rPr>
        <w:t>in relation to a medicine</w:t>
      </w:r>
      <w:r w:rsidR="00661545">
        <w:rPr>
          <w:rFonts w:ascii="Times New Roman" w:hAnsi="Times New Roman"/>
          <w:szCs w:val="24"/>
        </w:rPr>
        <w:t>,</w:t>
      </w:r>
      <w:r w:rsidR="003F05A3">
        <w:rPr>
          <w:rFonts w:ascii="Times New Roman" w:hAnsi="Times New Roman"/>
          <w:szCs w:val="24"/>
        </w:rPr>
        <w:t xml:space="preserve"> </w:t>
      </w:r>
      <w:r>
        <w:rPr>
          <w:rFonts w:ascii="Times New Roman" w:hAnsi="Times New Roman"/>
          <w:szCs w:val="24"/>
        </w:rPr>
        <w:t xml:space="preserve">that contains a short description of each adverse event </w:t>
      </w:r>
      <w:r w:rsidR="00953A00">
        <w:rPr>
          <w:rFonts w:ascii="Times New Roman" w:hAnsi="Times New Roman"/>
          <w:szCs w:val="24"/>
        </w:rPr>
        <w:t xml:space="preserve">reported as having </w:t>
      </w:r>
      <w:r>
        <w:rPr>
          <w:rFonts w:ascii="Times New Roman" w:hAnsi="Times New Roman"/>
          <w:szCs w:val="24"/>
        </w:rPr>
        <w:t>occurr</w:t>
      </w:r>
      <w:r w:rsidR="00953A00">
        <w:rPr>
          <w:rFonts w:ascii="Times New Roman" w:hAnsi="Times New Roman"/>
          <w:szCs w:val="24"/>
        </w:rPr>
        <w:t>ed</w:t>
      </w:r>
      <w:r>
        <w:rPr>
          <w:rFonts w:ascii="Times New Roman" w:hAnsi="Times New Roman"/>
          <w:szCs w:val="24"/>
        </w:rPr>
        <w:t xml:space="preserve"> in relation to </w:t>
      </w:r>
      <w:r w:rsidR="003F05A3">
        <w:rPr>
          <w:rFonts w:ascii="Times New Roman" w:hAnsi="Times New Roman"/>
          <w:szCs w:val="24"/>
        </w:rPr>
        <w:t xml:space="preserve">the </w:t>
      </w:r>
      <w:r>
        <w:rPr>
          <w:rFonts w:ascii="Times New Roman" w:hAnsi="Times New Roman"/>
          <w:szCs w:val="24"/>
        </w:rPr>
        <w:t>medicine within a specified period</w:t>
      </w:r>
      <w:r w:rsidR="003F05A3">
        <w:rPr>
          <w:rFonts w:ascii="Times New Roman" w:hAnsi="Times New Roman"/>
          <w:szCs w:val="24"/>
        </w:rPr>
        <w:t xml:space="preserve"> (</w:t>
      </w:r>
      <w:r w:rsidR="00661545">
        <w:rPr>
          <w:rFonts w:ascii="Times New Roman" w:hAnsi="Times New Roman"/>
          <w:szCs w:val="24"/>
        </w:rPr>
        <w:t xml:space="preserve">a </w:t>
      </w:r>
      <w:r w:rsidR="003F05A3">
        <w:rPr>
          <w:rFonts w:ascii="Times New Roman" w:hAnsi="Times New Roman"/>
          <w:szCs w:val="24"/>
        </w:rPr>
        <w:t>‘list of reports’)</w:t>
      </w:r>
      <w:r>
        <w:rPr>
          <w:rFonts w:ascii="Times New Roman" w:hAnsi="Times New Roman"/>
          <w:szCs w:val="24"/>
        </w:rPr>
        <w:t>; and</w:t>
      </w:r>
    </w:p>
    <w:p w:rsidR="00901680" w:rsidRDefault="008053B3" w:rsidP="00895522">
      <w:pPr>
        <w:numPr>
          <w:ilvl w:val="0"/>
          <w:numId w:val="5"/>
        </w:numPr>
        <w:autoSpaceDE w:val="0"/>
        <w:autoSpaceDN w:val="0"/>
        <w:adjustRightInd w:val="0"/>
        <w:ind w:hanging="720"/>
        <w:rPr>
          <w:rFonts w:ascii="Times New Roman" w:hAnsi="Times New Roman"/>
          <w:szCs w:val="24"/>
        </w:rPr>
      </w:pPr>
      <w:r>
        <w:rPr>
          <w:rFonts w:ascii="Times New Roman" w:hAnsi="Times New Roman"/>
          <w:szCs w:val="24"/>
        </w:rPr>
        <w:t xml:space="preserve">a summary of all adverse events </w:t>
      </w:r>
      <w:r w:rsidR="00CC1F4F">
        <w:rPr>
          <w:rFonts w:ascii="Times New Roman" w:hAnsi="Times New Roman"/>
          <w:szCs w:val="24"/>
        </w:rPr>
        <w:t xml:space="preserve">reported as having </w:t>
      </w:r>
      <w:r>
        <w:rPr>
          <w:rFonts w:ascii="Times New Roman" w:hAnsi="Times New Roman"/>
          <w:szCs w:val="24"/>
        </w:rPr>
        <w:t>occurr</w:t>
      </w:r>
      <w:r w:rsidR="00CC1F4F">
        <w:rPr>
          <w:rFonts w:ascii="Times New Roman" w:hAnsi="Times New Roman"/>
          <w:szCs w:val="24"/>
        </w:rPr>
        <w:t>ed</w:t>
      </w:r>
      <w:r>
        <w:rPr>
          <w:rFonts w:ascii="Times New Roman" w:hAnsi="Times New Roman"/>
          <w:szCs w:val="24"/>
        </w:rPr>
        <w:t xml:space="preserve"> </w:t>
      </w:r>
      <w:r w:rsidR="00CC1F4F">
        <w:rPr>
          <w:rFonts w:ascii="Times New Roman" w:hAnsi="Times New Roman"/>
          <w:szCs w:val="24"/>
        </w:rPr>
        <w:t xml:space="preserve">in relation to a medicine </w:t>
      </w:r>
      <w:r>
        <w:rPr>
          <w:rFonts w:ascii="Times New Roman" w:hAnsi="Times New Roman"/>
          <w:szCs w:val="24"/>
        </w:rPr>
        <w:t>within a specified period</w:t>
      </w:r>
      <w:r w:rsidR="003F05A3">
        <w:rPr>
          <w:rFonts w:ascii="Times New Roman" w:hAnsi="Times New Roman"/>
          <w:szCs w:val="24"/>
        </w:rPr>
        <w:t xml:space="preserve"> (</w:t>
      </w:r>
      <w:r w:rsidR="00661545">
        <w:rPr>
          <w:rFonts w:ascii="Times New Roman" w:hAnsi="Times New Roman"/>
          <w:szCs w:val="24"/>
        </w:rPr>
        <w:t xml:space="preserve">a </w:t>
      </w:r>
      <w:r w:rsidR="003F05A3">
        <w:rPr>
          <w:rFonts w:ascii="Times New Roman" w:hAnsi="Times New Roman"/>
          <w:szCs w:val="24"/>
        </w:rPr>
        <w:t>‘medicine summary’)</w:t>
      </w:r>
      <w:r>
        <w:rPr>
          <w:rFonts w:ascii="Times New Roman" w:hAnsi="Times New Roman"/>
          <w:szCs w:val="24"/>
        </w:rPr>
        <w:t>.</w:t>
      </w:r>
    </w:p>
    <w:p w:rsidR="008053B3" w:rsidRDefault="008053B3" w:rsidP="005F3F50">
      <w:pPr>
        <w:autoSpaceDE w:val="0"/>
        <w:autoSpaceDN w:val="0"/>
        <w:adjustRightInd w:val="0"/>
        <w:rPr>
          <w:rFonts w:ascii="Times New Roman" w:hAnsi="Times New Roman"/>
          <w:szCs w:val="24"/>
        </w:rPr>
      </w:pPr>
    </w:p>
    <w:p w:rsidR="00A73793" w:rsidRDefault="00FF70AF" w:rsidP="005F3F50">
      <w:pPr>
        <w:autoSpaceDE w:val="0"/>
        <w:autoSpaceDN w:val="0"/>
        <w:adjustRightInd w:val="0"/>
        <w:rPr>
          <w:rFonts w:ascii="Times New Roman" w:hAnsi="Times New Roman"/>
          <w:szCs w:val="24"/>
        </w:rPr>
      </w:pPr>
      <w:r>
        <w:rPr>
          <w:rFonts w:ascii="Times New Roman" w:hAnsi="Times New Roman"/>
          <w:szCs w:val="24"/>
        </w:rPr>
        <w:t xml:space="preserve">For a medicine in relation to which the JAENS contains information relating to both Australia and New Zealand </w:t>
      </w:r>
      <w:r w:rsidR="00A73793">
        <w:rPr>
          <w:rFonts w:ascii="Times New Roman" w:hAnsi="Times New Roman"/>
          <w:szCs w:val="24"/>
        </w:rPr>
        <w:t xml:space="preserve">(whether </w:t>
      </w:r>
      <w:r>
        <w:rPr>
          <w:rFonts w:ascii="Times New Roman" w:hAnsi="Times New Roman"/>
          <w:szCs w:val="24"/>
        </w:rPr>
        <w:t>the medicine has</w:t>
      </w:r>
      <w:r w:rsidR="00A73793">
        <w:rPr>
          <w:rFonts w:ascii="Times New Roman" w:hAnsi="Times New Roman"/>
          <w:szCs w:val="24"/>
        </w:rPr>
        <w:t xml:space="preserve"> the same product name </w:t>
      </w:r>
      <w:r>
        <w:rPr>
          <w:rFonts w:ascii="Times New Roman" w:hAnsi="Times New Roman"/>
          <w:szCs w:val="24"/>
        </w:rPr>
        <w:t xml:space="preserve">in both countries </w:t>
      </w:r>
      <w:r w:rsidR="00A73793">
        <w:rPr>
          <w:rFonts w:ascii="Times New Roman" w:hAnsi="Times New Roman"/>
          <w:szCs w:val="24"/>
        </w:rPr>
        <w:t xml:space="preserve">or not), the JAENS will also be able to display a list of reports or a medicine summary that combines </w:t>
      </w:r>
      <w:r w:rsidR="009D14C1">
        <w:rPr>
          <w:rFonts w:ascii="Times New Roman" w:hAnsi="Times New Roman"/>
          <w:szCs w:val="24"/>
        </w:rPr>
        <w:t xml:space="preserve">both the Australian and New Zealand </w:t>
      </w:r>
      <w:r w:rsidR="00A73793">
        <w:rPr>
          <w:rFonts w:ascii="Times New Roman" w:hAnsi="Times New Roman"/>
          <w:szCs w:val="24"/>
        </w:rPr>
        <w:t>adverse event information specified in the instrument</w:t>
      </w:r>
      <w:r w:rsidR="006978B2">
        <w:rPr>
          <w:rFonts w:ascii="Times New Roman" w:hAnsi="Times New Roman"/>
          <w:szCs w:val="24"/>
        </w:rPr>
        <w:t xml:space="preserve"> in relation to that medicine</w:t>
      </w:r>
      <w:r w:rsidR="009D14C1">
        <w:rPr>
          <w:rFonts w:ascii="Times New Roman" w:hAnsi="Times New Roman"/>
          <w:szCs w:val="24"/>
        </w:rPr>
        <w:t>.</w:t>
      </w:r>
    </w:p>
    <w:p w:rsidR="00A73793" w:rsidRDefault="00A73793" w:rsidP="005F3F50">
      <w:pPr>
        <w:autoSpaceDE w:val="0"/>
        <w:autoSpaceDN w:val="0"/>
        <w:adjustRightInd w:val="0"/>
        <w:rPr>
          <w:rFonts w:ascii="Times New Roman" w:hAnsi="Times New Roman"/>
          <w:szCs w:val="24"/>
        </w:rPr>
      </w:pPr>
    </w:p>
    <w:p w:rsidR="002B3E25" w:rsidRDefault="00E91DE1" w:rsidP="005F3F50">
      <w:pPr>
        <w:autoSpaceDE w:val="0"/>
        <w:autoSpaceDN w:val="0"/>
        <w:adjustRightInd w:val="0"/>
        <w:rPr>
          <w:rFonts w:ascii="Times New Roman" w:hAnsi="Times New Roman"/>
          <w:szCs w:val="24"/>
        </w:rPr>
      </w:pPr>
      <w:r>
        <w:rPr>
          <w:rFonts w:ascii="Times New Roman" w:hAnsi="Times New Roman"/>
          <w:szCs w:val="24"/>
        </w:rPr>
        <w:t xml:space="preserve">The information proposed to be released </w:t>
      </w:r>
      <w:r w:rsidR="008053B3">
        <w:rPr>
          <w:rFonts w:ascii="Times New Roman" w:hAnsi="Times New Roman"/>
          <w:szCs w:val="24"/>
        </w:rPr>
        <w:t xml:space="preserve">in response to a request for the first type of report </w:t>
      </w:r>
      <w:r w:rsidR="003D78A5">
        <w:rPr>
          <w:rFonts w:ascii="Times New Roman" w:hAnsi="Times New Roman"/>
          <w:szCs w:val="24"/>
        </w:rPr>
        <w:t xml:space="preserve">(the </w:t>
      </w:r>
      <w:r w:rsidR="003168A9">
        <w:rPr>
          <w:rFonts w:ascii="Times New Roman" w:hAnsi="Times New Roman"/>
          <w:szCs w:val="24"/>
        </w:rPr>
        <w:t>list</w:t>
      </w:r>
      <w:r w:rsidR="003D78A5">
        <w:rPr>
          <w:rFonts w:ascii="Times New Roman" w:hAnsi="Times New Roman"/>
          <w:szCs w:val="24"/>
        </w:rPr>
        <w:t xml:space="preserve"> of reports) </w:t>
      </w:r>
      <w:r w:rsidR="00C61B23">
        <w:rPr>
          <w:rFonts w:ascii="Times New Roman" w:hAnsi="Times New Roman"/>
          <w:szCs w:val="24"/>
        </w:rPr>
        <w:t>include</w:t>
      </w:r>
      <w:r w:rsidR="008053B3">
        <w:rPr>
          <w:rFonts w:ascii="Times New Roman" w:hAnsi="Times New Roman"/>
          <w:szCs w:val="24"/>
        </w:rPr>
        <w:t>s</w:t>
      </w:r>
      <w:r w:rsidR="00C61B23">
        <w:rPr>
          <w:rFonts w:ascii="Times New Roman" w:hAnsi="Times New Roman"/>
          <w:szCs w:val="24"/>
        </w:rPr>
        <w:t xml:space="preserve"> the </w:t>
      </w:r>
      <w:r w:rsidR="009073EB">
        <w:rPr>
          <w:rFonts w:ascii="Times New Roman" w:hAnsi="Times New Roman"/>
          <w:szCs w:val="24"/>
        </w:rPr>
        <w:t xml:space="preserve">name of the </w:t>
      </w:r>
      <w:r w:rsidR="00C61B23">
        <w:rPr>
          <w:rFonts w:ascii="Times New Roman" w:hAnsi="Times New Roman"/>
          <w:szCs w:val="24"/>
        </w:rPr>
        <w:t xml:space="preserve">medicine </w:t>
      </w:r>
      <w:r w:rsidR="00437350">
        <w:rPr>
          <w:rFonts w:ascii="Times New Roman" w:hAnsi="Times New Roman"/>
          <w:szCs w:val="24"/>
        </w:rPr>
        <w:t xml:space="preserve">reported as being </w:t>
      </w:r>
      <w:r w:rsidR="00C61B23">
        <w:rPr>
          <w:rFonts w:ascii="Times New Roman" w:hAnsi="Times New Roman"/>
          <w:szCs w:val="24"/>
        </w:rPr>
        <w:t>involved</w:t>
      </w:r>
      <w:r w:rsidR="000B04DE">
        <w:rPr>
          <w:rFonts w:ascii="Times New Roman" w:hAnsi="Times New Roman"/>
          <w:szCs w:val="24"/>
        </w:rPr>
        <w:t xml:space="preserve"> in an adverse event</w:t>
      </w:r>
      <w:r w:rsidR="00C61B23">
        <w:rPr>
          <w:rFonts w:ascii="Times New Roman" w:hAnsi="Times New Roman"/>
          <w:szCs w:val="24"/>
        </w:rPr>
        <w:t xml:space="preserve">, </w:t>
      </w:r>
      <w:r w:rsidR="00447DA4">
        <w:rPr>
          <w:rFonts w:ascii="Times New Roman" w:hAnsi="Times New Roman"/>
          <w:szCs w:val="24"/>
        </w:rPr>
        <w:t xml:space="preserve">the </w:t>
      </w:r>
      <w:r w:rsidR="00CB5AF0">
        <w:rPr>
          <w:rFonts w:ascii="Times New Roman" w:hAnsi="Times New Roman"/>
          <w:szCs w:val="24"/>
        </w:rPr>
        <w:t xml:space="preserve">reported </w:t>
      </w:r>
      <w:r w:rsidR="00447DA4">
        <w:rPr>
          <w:rFonts w:ascii="Times New Roman" w:hAnsi="Times New Roman"/>
          <w:szCs w:val="24"/>
        </w:rPr>
        <w:t>nature of the adverse event (in the form of the de</w:t>
      </w:r>
      <w:r w:rsidR="008F5B37">
        <w:rPr>
          <w:rFonts w:ascii="Times New Roman" w:hAnsi="Times New Roman"/>
          <w:szCs w:val="24"/>
        </w:rPr>
        <w:t>scriptive</w:t>
      </w:r>
      <w:r w:rsidR="00447DA4">
        <w:rPr>
          <w:rFonts w:ascii="Times New Roman" w:hAnsi="Times New Roman"/>
          <w:szCs w:val="24"/>
        </w:rPr>
        <w:t xml:space="preserve"> term relating to the relevant </w:t>
      </w:r>
      <w:r w:rsidR="00CB5AF0">
        <w:rPr>
          <w:rFonts w:ascii="Times New Roman" w:hAnsi="Times New Roman"/>
          <w:szCs w:val="24"/>
        </w:rPr>
        <w:t>event</w:t>
      </w:r>
      <w:r w:rsidR="00447DA4">
        <w:rPr>
          <w:rFonts w:ascii="Times New Roman" w:hAnsi="Times New Roman"/>
          <w:szCs w:val="24"/>
        </w:rPr>
        <w:t xml:space="preserve"> set out in the Medical Dictionary for Regulatory Activities (MedDRA)</w:t>
      </w:r>
      <w:r w:rsidR="00447DA4">
        <w:rPr>
          <w:rStyle w:val="FootnoteReference"/>
          <w:rFonts w:ascii="Times New Roman" w:hAnsi="Times New Roman"/>
          <w:szCs w:val="24"/>
        </w:rPr>
        <w:footnoteReference w:id="1"/>
      </w:r>
      <w:r w:rsidR="00447DA4">
        <w:rPr>
          <w:rFonts w:ascii="Times New Roman" w:hAnsi="Times New Roman"/>
          <w:szCs w:val="24"/>
        </w:rPr>
        <w:t>)</w:t>
      </w:r>
      <w:r w:rsidR="002A67C8">
        <w:rPr>
          <w:rFonts w:ascii="Times New Roman" w:hAnsi="Times New Roman"/>
          <w:szCs w:val="24"/>
        </w:rPr>
        <w:t xml:space="preserve"> and</w:t>
      </w:r>
      <w:r w:rsidR="00447DA4">
        <w:rPr>
          <w:rFonts w:ascii="Times New Roman" w:hAnsi="Times New Roman"/>
          <w:szCs w:val="24"/>
        </w:rPr>
        <w:t xml:space="preserve"> the </w:t>
      </w:r>
      <w:r w:rsidR="009034E3">
        <w:rPr>
          <w:rFonts w:ascii="Times New Roman" w:hAnsi="Times New Roman"/>
          <w:szCs w:val="24"/>
        </w:rPr>
        <w:t>patient</w:t>
      </w:r>
      <w:r w:rsidR="002A1152">
        <w:rPr>
          <w:rFonts w:ascii="Times New Roman" w:hAnsi="Times New Roman"/>
          <w:szCs w:val="24"/>
        </w:rPr>
        <w:t xml:space="preserve">’s </w:t>
      </w:r>
      <w:r w:rsidR="00CB5AF0">
        <w:rPr>
          <w:rFonts w:ascii="Times New Roman" w:hAnsi="Times New Roman"/>
          <w:szCs w:val="24"/>
        </w:rPr>
        <w:t xml:space="preserve">reported </w:t>
      </w:r>
      <w:r w:rsidR="00447DA4">
        <w:rPr>
          <w:rFonts w:ascii="Times New Roman" w:hAnsi="Times New Roman"/>
          <w:szCs w:val="24"/>
        </w:rPr>
        <w:t>age</w:t>
      </w:r>
      <w:r w:rsidR="00C650D2">
        <w:rPr>
          <w:rFonts w:ascii="Times New Roman" w:hAnsi="Times New Roman"/>
          <w:szCs w:val="24"/>
        </w:rPr>
        <w:t xml:space="preserve"> and gender</w:t>
      </w:r>
      <w:r w:rsidR="00A11D17">
        <w:rPr>
          <w:rFonts w:ascii="Times New Roman" w:hAnsi="Times New Roman"/>
          <w:szCs w:val="24"/>
        </w:rPr>
        <w:t>.</w:t>
      </w:r>
    </w:p>
    <w:p w:rsidR="002030BD" w:rsidRDefault="002030BD" w:rsidP="005F3F50">
      <w:pPr>
        <w:autoSpaceDE w:val="0"/>
        <w:autoSpaceDN w:val="0"/>
        <w:adjustRightInd w:val="0"/>
        <w:rPr>
          <w:rFonts w:ascii="Times New Roman" w:hAnsi="Times New Roman"/>
          <w:szCs w:val="24"/>
        </w:rPr>
      </w:pPr>
    </w:p>
    <w:p w:rsidR="00EC182C" w:rsidRDefault="008053B3" w:rsidP="005F3F50">
      <w:pPr>
        <w:autoSpaceDE w:val="0"/>
        <w:autoSpaceDN w:val="0"/>
        <w:adjustRightInd w:val="0"/>
      </w:pPr>
      <w:r>
        <w:rPr>
          <w:rFonts w:ascii="Times New Roman" w:hAnsi="Times New Roman"/>
          <w:szCs w:val="24"/>
        </w:rPr>
        <w:t>The information proposed to be released in response to a request for the second type of report</w:t>
      </w:r>
      <w:r w:rsidR="003D78A5">
        <w:rPr>
          <w:rFonts w:ascii="Times New Roman" w:hAnsi="Times New Roman"/>
          <w:szCs w:val="24"/>
        </w:rPr>
        <w:t xml:space="preserve"> (the </w:t>
      </w:r>
      <w:r w:rsidR="003168A9">
        <w:rPr>
          <w:rFonts w:ascii="Times New Roman" w:hAnsi="Times New Roman"/>
          <w:szCs w:val="24"/>
        </w:rPr>
        <w:t xml:space="preserve">medicine </w:t>
      </w:r>
      <w:r w:rsidR="003D78A5">
        <w:rPr>
          <w:rFonts w:ascii="Times New Roman" w:hAnsi="Times New Roman"/>
          <w:szCs w:val="24"/>
        </w:rPr>
        <w:t>summary)</w:t>
      </w:r>
      <w:r>
        <w:rPr>
          <w:rFonts w:ascii="Times New Roman" w:hAnsi="Times New Roman"/>
          <w:szCs w:val="24"/>
        </w:rPr>
        <w:t xml:space="preserve"> includes </w:t>
      </w:r>
      <w:r w:rsidR="00914A07">
        <w:rPr>
          <w:rFonts w:ascii="Times New Roman" w:hAnsi="Times New Roman"/>
          <w:szCs w:val="24"/>
        </w:rPr>
        <w:t xml:space="preserve">the number of </w:t>
      </w:r>
      <w:r w:rsidR="00B23622">
        <w:rPr>
          <w:rFonts w:ascii="Times New Roman" w:hAnsi="Times New Roman"/>
          <w:szCs w:val="24"/>
        </w:rPr>
        <w:t>adverse events</w:t>
      </w:r>
      <w:r w:rsidR="0098690B">
        <w:rPr>
          <w:rFonts w:ascii="Times New Roman" w:hAnsi="Times New Roman"/>
          <w:szCs w:val="24"/>
        </w:rPr>
        <w:t xml:space="preserve"> reported </w:t>
      </w:r>
      <w:r w:rsidR="004828F9">
        <w:rPr>
          <w:rFonts w:ascii="Times New Roman" w:hAnsi="Times New Roman"/>
          <w:szCs w:val="24"/>
        </w:rPr>
        <w:t xml:space="preserve">as being related to a medicine </w:t>
      </w:r>
      <w:r w:rsidR="009034E3">
        <w:rPr>
          <w:rFonts w:ascii="Times New Roman" w:hAnsi="Times New Roman"/>
          <w:szCs w:val="24"/>
        </w:rPr>
        <w:t xml:space="preserve">during </w:t>
      </w:r>
      <w:r w:rsidR="00914A07">
        <w:rPr>
          <w:rFonts w:ascii="Times New Roman" w:hAnsi="Times New Roman"/>
          <w:szCs w:val="24"/>
        </w:rPr>
        <w:t xml:space="preserve">the specified period, the </w:t>
      </w:r>
      <w:r w:rsidR="00661545">
        <w:t>system organ class terminology,</w:t>
      </w:r>
      <w:r w:rsidR="00914A07">
        <w:t xml:space="preserve"> as described in the </w:t>
      </w:r>
      <w:r w:rsidR="00914A07" w:rsidRPr="00BA7FD7">
        <w:t>MedDRA</w:t>
      </w:r>
      <w:r w:rsidR="00914A07">
        <w:t>, for the part of the body which each adverse event was reported as affecting and the MedDRA adverse event description term that relates to each reported adverse event.</w:t>
      </w:r>
    </w:p>
    <w:p w:rsidR="00B45146" w:rsidRDefault="00B45146" w:rsidP="005F3F50">
      <w:pPr>
        <w:autoSpaceDE w:val="0"/>
        <w:autoSpaceDN w:val="0"/>
        <w:adjustRightInd w:val="0"/>
      </w:pPr>
    </w:p>
    <w:p w:rsidR="00B45146" w:rsidRDefault="00B45146" w:rsidP="005F3F50">
      <w:pPr>
        <w:autoSpaceDE w:val="0"/>
        <w:autoSpaceDN w:val="0"/>
        <w:adjustRightInd w:val="0"/>
      </w:pPr>
      <w:r>
        <w:t xml:space="preserve">The medicine summary would also </w:t>
      </w:r>
      <w:r w:rsidR="004828F9">
        <w:t>include, in relation to a medicine</w:t>
      </w:r>
      <w:r w:rsidR="00437350">
        <w:t xml:space="preserve"> </w:t>
      </w:r>
      <w:r w:rsidR="001B079A">
        <w:t>for a specified period</w:t>
      </w:r>
      <w:r w:rsidR="004828F9">
        <w:t xml:space="preserve">, </w:t>
      </w:r>
      <w:r w:rsidR="00C96157">
        <w:t xml:space="preserve">the number of </w:t>
      </w:r>
      <w:r w:rsidR="00CC1F4F">
        <w:t xml:space="preserve">reported </w:t>
      </w:r>
      <w:r w:rsidR="00C96157">
        <w:t xml:space="preserve">adverse events in which the medicine was reported to </w:t>
      </w:r>
      <w:r w:rsidR="00CC1F4F">
        <w:t xml:space="preserve">have </w:t>
      </w:r>
      <w:r w:rsidR="00C96157">
        <w:t>be</w:t>
      </w:r>
      <w:r w:rsidR="00CC1F4F">
        <w:t>en</w:t>
      </w:r>
      <w:r w:rsidR="00C96157">
        <w:t xml:space="preserve"> the sole suspected medicine </w:t>
      </w:r>
      <w:r w:rsidR="00CC1F4F">
        <w:t xml:space="preserve">involved </w:t>
      </w:r>
      <w:r w:rsidR="00C96157">
        <w:t>(that is, the only medicine noted by the person reporting the adverse event as having been related to the event), and</w:t>
      </w:r>
      <w:r w:rsidR="00C96157">
        <w:rPr>
          <w:rFonts w:ascii="Times New Roman" w:hAnsi="Times New Roman"/>
          <w:szCs w:val="24"/>
        </w:rPr>
        <w:t xml:space="preserve"> </w:t>
      </w:r>
      <w:r w:rsidR="004828F9">
        <w:t xml:space="preserve">the number of </w:t>
      </w:r>
      <w:r w:rsidR="00CC1F4F">
        <w:t xml:space="preserve">reported </w:t>
      </w:r>
      <w:r w:rsidR="004828F9">
        <w:t xml:space="preserve">adverse events </w:t>
      </w:r>
      <w:r w:rsidR="00CC1F4F">
        <w:t xml:space="preserve">noted by </w:t>
      </w:r>
      <w:r w:rsidR="0097574D">
        <w:t xml:space="preserve">those providing the information </w:t>
      </w:r>
      <w:r w:rsidR="004828F9">
        <w:t>as having resulted in death</w:t>
      </w:r>
      <w:r w:rsidR="00C96157">
        <w:t>.</w:t>
      </w:r>
    </w:p>
    <w:p w:rsidR="002F48A4" w:rsidRDefault="002F48A4" w:rsidP="005F3F50">
      <w:pPr>
        <w:autoSpaceDE w:val="0"/>
        <w:autoSpaceDN w:val="0"/>
        <w:adjustRightInd w:val="0"/>
      </w:pPr>
    </w:p>
    <w:p w:rsidR="006F2F12" w:rsidRDefault="006F2F12" w:rsidP="006F2F12">
      <w:pPr>
        <w:autoSpaceDE w:val="0"/>
        <w:autoSpaceDN w:val="0"/>
        <w:adjustRightInd w:val="0"/>
        <w:rPr>
          <w:rFonts w:ascii="Times New Roman" w:hAnsi="Times New Roman"/>
          <w:szCs w:val="24"/>
        </w:rPr>
      </w:pPr>
      <w:r w:rsidRPr="00CF58AB">
        <w:rPr>
          <w:rFonts w:ascii="Times New Roman" w:hAnsi="Times New Roman"/>
          <w:szCs w:val="24"/>
        </w:rPr>
        <w:t>An adverse event is defined in the Specification as any untoward medical occurrence in a patient administered medicine and which does not necessarily have to have</w:t>
      </w:r>
      <w:r>
        <w:rPr>
          <w:rFonts w:ascii="Times New Roman" w:hAnsi="Times New Roman"/>
          <w:szCs w:val="24"/>
        </w:rPr>
        <w:t xml:space="preserve"> a causal relationship with that</w:t>
      </w:r>
      <w:r w:rsidRPr="00CF58AB">
        <w:rPr>
          <w:rFonts w:ascii="Times New Roman" w:hAnsi="Times New Roman"/>
          <w:szCs w:val="24"/>
        </w:rPr>
        <w:t xml:space="preserve"> </w:t>
      </w:r>
      <w:r w:rsidR="00776FF3">
        <w:rPr>
          <w:rFonts w:ascii="Times New Roman" w:hAnsi="Times New Roman"/>
          <w:szCs w:val="24"/>
        </w:rPr>
        <w:t>medicine</w:t>
      </w:r>
      <w:r w:rsidRPr="00CF58AB">
        <w:rPr>
          <w:rFonts w:ascii="Times New Roman" w:hAnsi="Times New Roman"/>
          <w:szCs w:val="24"/>
        </w:rPr>
        <w:t>.  An adverse event can therefore be any unfavourable and unintended sign, symptom, or disease temporally associated with the use of a medicine, whether o</w:t>
      </w:r>
      <w:r>
        <w:rPr>
          <w:rFonts w:ascii="Times New Roman" w:hAnsi="Times New Roman"/>
          <w:szCs w:val="24"/>
        </w:rPr>
        <w:t>r not considered related to the</w:t>
      </w:r>
      <w:r w:rsidRPr="00CF58AB">
        <w:rPr>
          <w:rFonts w:ascii="Times New Roman" w:hAnsi="Times New Roman"/>
          <w:szCs w:val="24"/>
        </w:rPr>
        <w:t xml:space="preserve"> medicine.</w:t>
      </w:r>
    </w:p>
    <w:p w:rsidR="00CC1F4F" w:rsidRDefault="00CC1F4F" w:rsidP="00CC1F4F">
      <w:pPr>
        <w:autoSpaceDE w:val="0"/>
        <w:autoSpaceDN w:val="0"/>
        <w:adjustRightInd w:val="0"/>
        <w:rPr>
          <w:rFonts w:ascii="Times New Roman" w:hAnsi="Times New Roman"/>
          <w:szCs w:val="24"/>
        </w:rPr>
      </w:pPr>
    </w:p>
    <w:p w:rsidR="00CC1F4F" w:rsidRDefault="00CC1F4F" w:rsidP="00CC1F4F">
      <w:pPr>
        <w:autoSpaceDE w:val="0"/>
        <w:autoSpaceDN w:val="0"/>
        <w:adjustRightInd w:val="0"/>
        <w:rPr>
          <w:rFonts w:ascii="Times New Roman" w:hAnsi="Times New Roman"/>
          <w:szCs w:val="24"/>
        </w:rPr>
      </w:pPr>
      <w:r>
        <w:rPr>
          <w:rFonts w:ascii="Times New Roman" w:hAnsi="Times New Roman"/>
          <w:szCs w:val="24"/>
        </w:rPr>
        <w:t>The kinds of therapeutic goods information that the Secretary can decide to release</w:t>
      </w:r>
      <w:r w:rsidR="003E3B0F">
        <w:rPr>
          <w:rFonts w:ascii="Times New Roman" w:hAnsi="Times New Roman"/>
          <w:szCs w:val="24"/>
        </w:rPr>
        <w:t xml:space="preserve"> is </w:t>
      </w:r>
      <w:r>
        <w:rPr>
          <w:rFonts w:ascii="Times New Roman" w:hAnsi="Times New Roman"/>
          <w:szCs w:val="24"/>
        </w:rPr>
        <w:t>set out at Schedule 1 to the Specification.</w:t>
      </w:r>
    </w:p>
    <w:p w:rsidR="00767767" w:rsidRDefault="00767767" w:rsidP="00B16CCB">
      <w:pPr>
        <w:autoSpaceDE w:val="0"/>
        <w:autoSpaceDN w:val="0"/>
        <w:adjustRightInd w:val="0"/>
        <w:rPr>
          <w:rFonts w:ascii="Times New Roman" w:hAnsi="Times New Roman"/>
          <w:szCs w:val="24"/>
        </w:rPr>
      </w:pPr>
    </w:p>
    <w:p w:rsidR="00804792" w:rsidRPr="00804792" w:rsidRDefault="00804792" w:rsidP="00F955CF">
      <w:pPr>
        <w:ind w:right="-96"/>
        <w:outlineLvl w:val="0"/>
        <w:rPr>
          <w:rFonts w:ascii="Times New Roman" w:hAnsi="Times New Roman"/>
          <w:b/>
          <w:szCs w:val="24"/>
        </w:rPr>
      </w:pPr>
      <w:r w:rsidRPr="00804792">
        <w:rPr>
          <w:rFonts w:ascii="Times New Roman" w:hAnsi="Times New Roman"/>
          <w:b/>
          <w:szCs w:val="24"/>
        </w:rPr>
        <w:t>CONSULTATION</w:t>
      </w:r>
    </w:p>
    <w:p w:rsidR="00767767" w:rsidRDefault="00767767" w:rsidP="00AA7276">
      <w:pPr>
        <w:ind w:right="-96"/>
        <w:rPr>
          <w:rFonts w:ascii="Times New Roman" w:hAnsi="Times New Roman"/>
          <w:szCs w:val="24"/>
        </w:rPr>
      </w:pPr>
    </w:p>
    <w:p w:rsidR="00F149E6" w:rsidRDefault="003D144F" w:rsidP="00AA7276">
      <w:pPr>
        <w:ind w:right="-96"/>
        <w:rPr>
          <w:rFonts w:ascii="Times New Roman" w:hAnsi="Times New Roman"/>
          <w:szCs w:val="24"/>
        </w:rPr>
      </w:pPr>
      <w:r>
        <w:rPr>
          <w:rFonts w:ascii="Times New Roman" w:hAnsi="Times New Roman"/>
          <w:szCs w:val="24"/>
        </w:rPr>
        <w:t>K</w:t>
      </w:r>
      <w:r w:rsidR="007D2596">
        <w:rPr>
          <w:rFonts w:ascii="Times New Roman" w:hAnsi="Times New Roman"/>
          <w:szCs w:val="24"/>
        </w:rPr>
        <w:t xml:space="preserve">ey stakeholders were consulted in </w:t>
      </w:r>
      <w:r w:rsidR="00FF389B">
        <w:rPr>
          <w:rFonts w:ascii="Times New Roman" w:hAnsi="Times New Roman"/>
          <w:szCs w:val="24"/>
        </w:rPr>
        <w:t>May</w:t>
      </w:r>
      <w:r>
        <w:rPr>
          <w:rFonts w:ascii="Times New Roman" w:hAnsi="Times New Roman"/>
          <w:szCs w:val="24"/>
        </w:rPr>
        <w:t xml:space="preserve"> 2012 in </w:t>
      </w:r>
      <w:r w:rsidR="007D2596">
        <w:rPr>
          <w:rFonts w:ascii="Times New Roman" w:hAnsi="Times New Roman"/>
          <w:szCs w:val="24"/>
        </w:rPr>
        <w:t>relation t</w:t>
      </w:r>
      <w:r w:rsidR="0027591B">
        <w:rPr>
          <w:rFonts w:ascii="Times New Roman" w:hAnsi="Times New Roman"/>
          <w:szCs w:val="24"/>
        </w:rPr>
        <w:t xml:space="preserve">o </w:t>
      </w:r>
      <w:r>
        <w:rPr>
          <w:rFonts w:ascii="Times New Roman" w:hAnsi="Times New Roman"/>
          <w:szCs w:val="24"/>
        </w:rPr>
        <w:t xml:space="preserve">the publication of adverse event information on the </w:t>
      </w:r>
      <w:r w:rsidR="005B418B" w:rsidRPr="005B418B">
        <w:rPr>
          <w:rFonts w:ascii="Times New Roman" w:hAnsi="Times New Roman"/>
          <w:szCs w:val="24"/>
        </w:rPr>
        <w:t>DAEN</w:t>
      </w:r>
      <w:r>
        <w:rPr>
          <w:rFonts w:ascii="Times New Roman" w:hAnsi="Times New Roman"/>
          <w:szCs w:val="24"/>
        </w:rPr>
        <w:t xml:space="preserve">, and access to </w:t>
      </w:r>
      <w:r w:rsidR="00E7306E">
        <w:rPr>
          <w:rFonts w:ascii="Times New Roman" w:hAnsi="Times New Roman"/>
          <w:szCs w:val="24"/>
        </w:rPr>
        <w:t xml:space="preserve">a prototype of </w:t>
      </w:r>
      <w:r w:rsidR="0027591B">
        <w:rPr>
          <w:rFonts w:ascii="Times New Roman" w:hAnsi="Times New Roman"/>
          <w:szCs w:val="24"/>
        </w:rPr>
        <w:t xml:space="preserve">the </w:t>
      </w:r>
      <w:r w:rsidR="002E03C4">
        <w:rPr>
          <w:rFonts w:ascii="Times New Roman" w:hAnsi="Times New Roman"/>
          <w:szCs w:val="24"/>
        </w:rPr>
        <w:t>DAEN</w:t>
      </w:r>
      <w:r>
        <w:rPr>
          <w:rFonts w:ascii="Times New Roman" w:hAnsi="Times New Roman"/>
          <w:szCs w:val="24"/>
        </w:rPr>
        <w:t xml:space="preserve"> was arranged for those stakeholders for the purposes of obtaining feedback on its</w:t>
      </w:r>
      <w:r w:rsidR="008E063F">
        <w:rPr>
          <w:rFonts w:ascii="Times New Roman" w:hAnsi="Times New Roman"/>
          <w:szCs w:val="24"/>
        </w:rPr>
        <w:t xml:space="preserve"> functionality, suitability (in terms of informing the public about adverse events involving medicines)</w:t>
      </w:r>
      <w:r w:rsidR="0027591B">
        <w:rPr>
          <w:rFonts w:ascii="Times New Roman" w:hAnsi="Times New Roman"/>
          <w:szCs w:val="24"/>
        </w:rPr>
        <w:t xml:space="preserve"> and </w:t>
      </w:r>
      <w:r w:rsidR="008E063F">
        <w:rPr>
          <w:rFonts w:ascii="Times New Roman" w:hAnsi="Times New Roman"/>
          <w:szCs w:val="24"/>
        </w:rPr>
        <w:t>presentation.</w:t>
      </w:r>
    </w:p>
    <w:p w:rsidR="007D2596" w:rsidRDefault="007D2596" w:rsidP="00AA7276">
      <w:pPr>
        <w:ind w:right="-96"/>
        <w:rPr>
          <w:rFonts w:ascii="Times New Roman" w:hAnsi="Times New Roman"/>
          <w:szCs w:val="24"/>
        </w:rPr>
      </w:pPr>
    </w:p>
    <w:p w:rsidR="0027591B" w:rsidRDefault="007D2596" w:rsidP="0027591B">
      <w:pPr>
        <w:ind w:right="-96"/>
        <w:rPr>
          <w:rFonts w:ascii="Times New Roman" w:hAnsi="Times New Roman"/>
          <w:szCs w:val="24"/>
        </w:rPr>
      </w:pPr>
      <w:r>
        <w:rPr>
          <w:rFonts w:ascii="Times New Roman" w:hAnsi="Times New Roman"/>
          <w:szCs w:val="24"/>
        </w:rPr>
        <w:t xml:space="preserve">These stakeholders included </w:t>
      </w:r>
      <w:r w:rsidR="00AF6D18">
        <w:rPr>
          <w:rFonts w:ascii="Times New Roman" w:hAnsi="Times New Roman"/>
          <w:szCs w:val="24"/>
        </w:rPr>
        <w:t>a number of bodies representative of</w:t>
      </w:r>
      <w:r w:rsidR="0027591B">
        <w:rPr>
          <w:rFonts w:ascii="Times New Roman" w:hAnsi="Times New Roman"/>
          <w:szCs w:val="24"/>
        </w:rPr>
        <w:t xml:space="preserve"> specific industries relating to therapeutic goods (</w:t>
      </w:r>
      <w:r w:rsidR="003E3B0F">
        <w:rPr>
          <w:rFonts w:ascii="Times New Roman" w:hAnsi="Times New Roman"/>
          <w:szCs w:val="24"/>
        </w:rPr>
        <w:t xml:space="preserve">including </w:t>
      </w:r>
      <w:r w:rsidR="0027591B">
        <w:rPr>
          <w:rFonts w:ascii="Times New Roman" w:hAnsi="Times New Roman"/>
          <w:szCs w:val="24"/>
        </w:rPr>
        <w:t>Medicines Australia</w:t>
      </w:r>
      <w:r w:rsidR="008E063F">
        <w:rPr>
          <w:rFonts w:ascii="Times New Roman" w:hAnsi="Times New Roman"/>
          <w:szCs w:val="24"/>
        </w:rPr>
        <w:t>,</w:t>
      </w:r>
      <w:r w:rsidR="0027591B">
        <w:rPr>
          <w:rFonts w:ascii="Times New Roman" w:hAnsi="Times New Roman"/>
          <w:szCs w:val="24"/>
        </w:rPr>
        <w:t xml:space="preserve"> </w:t>
      </w:r>
      <w:r w:rsidR="003E3B0F">
        <w:rPr>
          <w:rFonts w:ascii="Times New Roman" w:hAnsi="Times New Roman"/>
          <w:szCs w:val="24"/>
        </w:rPr>
        <w:t xml:space="preserve">the Generic Medicines Industry Association of Australia, </w:t>
      </w:r>
      <w:r w:rsidR="0027591B">
        <w:rPr>
          <w:rFonts w:ascii="Times New Roman" w:hAnsi="Times New Roman"/>
          <w:szCs w:val="24"/>
        </w:rPr>
        <w:t xml:space="preserve">the </w:t>
      </w:r>
      <w:r w:rsidR="003E3B0F">
        <w:rPr>
          <w:rFonts w:ascii="Times New Roman" w:hAnsi="Times New Roman"/>
          <w:szCs w:val="24"/>
        </w:rPr>
        <w:t xml:space="preserve">Australian Self-Medication Industry Incorporated and the </w:t>
      </w:r>
      <w:r w:rsidR="0027591B">
        <w:rPr>
          <w:rFonts w:ascii="Times New Roman" w:hAnsi="Times New Roman"/>
          <w:szCs w:val="24"/>
        </w:rPr>
        <w:t>Complementary Healthcare Council of Australia)</w:t>
      </w:r>
      <w:r w:rsidR="003E3B0F">
        <w:rPr>
          <w:rFonts w:ascii="Times New Roman" w:hAnsi="Times New Roman"/>
          <w:szCs w:val="24"/>
        </w:rPr>
        <w:t xml:space="preserve">, </w:t>
      </w:r>
      <w:r w:rsidR="0027591B">
        <w:rPr>
          <w:rFonts w:ascii="Times New Roman" w:hAnsi="Times New Roman"/>
          <w:szCs w:val="24"/>
        </w:rPr>
        <w:t>relevant consumer bodies (the Australian Consumers Association (Choice) and the Consumers’ Health Forum of Australia)</w:t>
      </w:r>
      <w:r w:rsidR="00AF6D18">
        <w:rPr>
          <w:rFonts w:ascii="Times New Roman" w:hAnsi="Times New Roman"/>
          <w:szCs w:val="24"/>
        </w:rPr>
        <w:t xml:space="preserve"> </w:t>
      </w:r>
      <w:r w:rsidR="0027591B">
        <w:rPr>
          <w:rFonts w:ascii="Times New Roman" w:hAnsi="Times New Roman"/>
          <w:szCs w:val="24"/>
        </w:rPr>
        <w:t>the Australian Medical Association</w:t>
      </w:r>
      <w:r w:rsidR="003E3B0F">
        <w:rPr>
          <w:rFonts w:ascii="Times New Roman" w:hAnsi="Times New Roman"/>
          <w:szCs w:val="24"/>
        </w:rPr>
        <w:t>, as well as</w:t>
      </w:r>
      <w:r w:rsidR="0027591B">
        <w:rPr>
          <w:rFonts w:ascii="Times New Roman" w:hAnsi="Times New Roman"/>
          <w:szCs w:val="24"/>
        </w:rPr>
        <w:t xml:space="preserve"> Medsafe</w:t>
      </w:r>
      <w:r w:rsidR="003E3B0F">
        <w:rPr>
          <w:rFonts w:ascii="Times New Roman" w:hAnsi="Times New Roman"/>
          <w:szCs w:val="24"/>
        </w:rPr>
        <w:t xml:space="preserve">, </w:t>
      </w:r>
      <w:r w:rsidR="0027591B">
        <w:rPr>
          <w:rFonts w:ascii="Times New Roman" w:hAnsi="Times New Roman"/>
          <w:szCs w:val="24"/>
        </w:rPr>
        <w:t>the New Zealand Ministry of Health</w:t>
      </w:r>
      <w:r w:rsidR="00E7306E">
        <w:rPr>
          <w:rFonts w:ascii="Times New Roman" w:hAnsi="Times New Roman"/>
          <w:szCs w:val="24"/>
        </w:rPr>
        <w:t xml:space="preserve">, the </w:t>
      </w:r>
      <w:r w:rsidR="003E3B0F">
        <w:lastRenderedPageBreak/>
        <w:t>New Zealand Pharmacovigilance Centre, University of Otago, New Zealand</w:t>
      </w:r>
      <w:r w:rsidR="00E7306E">
        <w:t xml:space="preserve"> and the New Zealand Self Medication Industry Association Incorporated</w:t>
      </w:r>
      <w:r w:rsidR="0027591B">
        <w:rPr>
          <w:rFonts w:ascii="Times New Roman" w:hAnsi="Times New Roman"/>
          <w:szCs w:val="24"/>
        </w:rPr>
        <w:t>.</w:t>
      </w:r>
    </w:p>
    <w:p w:rsidR="00AF6D18" w:rsidRDefault="00AF6D18" w:rsidP="00AF6D18">
      <w:pPr>
        <w:ind w:right="-96"/>
      </w:pPr>
    </w:p>
    <w:p w:rsidR="00AF6D18" w:rsidRDefault="00AF6D18" w:rsidP="00AF6D18">
      <w:pPr>
        <w:ind w:right="-96"/>
      </w:pPr>
      <w:r>
        <w:t>The stakeholders’ comments were considered by the TGA, and a number of changes were incorporated into the version of the DAEN that was released to the public on 1 August 2012 in response to that feedback.</w:t>
      </w:r>
    </w:p>
    <w:p w:rsidR="003D144F" w:rsidRDefault="003D144F" w:rsidP="0027591B">
      <w:pPr>
        <w:ind w:right="-96"/>
        <w:rPr>
          <w:rFonts w:ascii="Times New Roman" w:hAnsi="Times New Roman"/>
          <w:szCs w:val="24"/>
        </w:rPr>
      </w:pPr>
    </w:p>
    <w:p w:rsidR="003D144F" w:rsidRDefault="00AF6D18" w:rsidP="0027591B">
      <w:pPr>
        <w:ind w:right="-96"/>
        <w:rPr>
          <w:rFonts w:ascii="Times New Roman" w:hAnsi="Times New Roman"/>
          <w:szCs w:val="24"/>
        </w:rPr>
      </w:pPr>
      <w:r>
        <w:rPr>
          <w:rFonts w:ascii="Times New Roman" w:hAnsi="Times New Roman"/>
          <w:szCs w:val="24"/>
        </w:rPr>
        <w:t>When s</w:t>
      </w:r>
      <w:r w:rsidR="00FF389B">
        <w:rPr>
          <w:rFonts w:ascii="Times New Roman" w:hAnsi="Times New Roman"/>
          <w:szCs w:val="24"/>
        </w:rPr>
        <w:t xml:space="preserve">takeholders </w:t>
      </w:r>
      <w:r>
        <w:rPr>
          <w:rFonts w:ascii="Times New Roman" w:hAnsi="Times New Roman"/>
          <w:szCs w:val="24"/>
        </w:rPr>
        <w:t xml:space="preserve">were invited to test and comment on the prototype of the DAEN, they </w:t>
      </w:r>
      <w:r w:rsidR="00FF389B">
        <w:rPr>
          <w:rFonts w:ascii="Times New Roman" w:hAnsi="Times New Roman"/>
          <w:szCs w:val="24"/>
        </w:rPr>
        <w:t xml:space="preserve">were informed </w:t>
      </w:r>
      <w:r w:rsidR="003D144F">
        <w:rPr>
          <w:rFonts w:ascii="Times New Roman" w:hAnsi="Times New Roman"/>
          <w:szCs w:val="24"/>
        </w:rPr>
        <w:t xml:space="preserve">that the DAEN would </w:t>
      </w:r>
      <w:r w:rsidR="00FF389B">
        <w:rPr>
          <w:rFonts w:ascii="Times New Roman" w:hAnsi="Times New Roman"/>
          <w:szCs w:val="24"/>
        </w:rPr>
        <w:t xml:space="preserve">initially </w:t>
      </w:r>
      <w:r>
        <w:rPr>
          <w:rFonts w:ascii="Times New Roman" w:hAnsi="Times New Roman"/>
          <w:szCs w:val="24"/>
        </w:rPr>
        <w:t xml:space="preserve">only include </w:t>
      </w:r>
      <w:r w:rsidR="00FF389B">
        <w:rPr>
          <w:rFonts w:ascii="Times New Roman" w:hAnsi="Times New Roman"/>
          <w:szCs w:val="24"/>
        </w:rPr>
        <w:t>Australian a</w:t>
      </w:r>
      <w:r w:rsidR="003D144F">
        <w:rPr>
          <w:rFonts w:ascii="Times New Roman" w:hAnsi="Times New Roman"/>
          <w:szCs w:val="24"/>
        </w:rPr>
        <w:t>dverse event information</w:t>
      </w:r>
      <w:r>
        <w:rPr>
          <w:rFonts w:ascii="Times New Roman" w:hAnsi="Times New Roman"/>
          <w:szCs w:val="24"/>
        </w:rPr>
        <w:t>, and that adverse event information relating to New Zealand would</w:t>
      </w:r>
      <w:r w:rsidR="00FF389B">
        <w:rPr>
          <w:rFonts w:ascii="Times New Roman" w:hAnsi="Times New Roman"/>
          <w:szCs w:val="24"/>
        </w:rPr>
        <w:t xml:space="preserve"> be added at a later date</w:t>
      </w:r>
      <w:r w:rsidR="003D144F">
        <w:rPr>
          <w:rFonts w:ascii="Times New Roman" w:hAnsi="Times New Roman"/>
          <w:szCs w:val="24"/>
        </w:rPr>
        <w:t>.</w:t>
      </w:r>
    </w:p>
    <w:p w:rsidR="003D144F" w:rsidRDefault="003D144F" w:rsidP="0027591B">
      <w:pPr>
        <w:ind w:right="-96"/>
        <w:rPr>
          <w:rFonts w:ascii="Times New Roman" w:hAnsi="Times New Roman"/>
          <w:szCs w:val="24"/>
        </w:rPr>
      </w:pPr>
    </w:p>
    <w:p w:rsidR="007336A4" w:rsidRDefault="007336A4" w:rsidP="00121B98">
      <w:pPr>
        <w:rPr>
          <w:color w:val="000000"/>
          <w:szCs w:val="24"/>
        </w:rPr>
      </w:pPr>
      <w:r>
        <w:rPr>
          <w:color w:val="000000"/>
          <w:szCs w:val="24"/>
        </w:rPr>
        <w:t xml:space="preserve">The </w:t>
      </w:r>
      <w:r w:rsidR="00390C68">
        <w:rPr>
          <w:color w:val="000000"/>
          <w:szCs w:val="24"/>
        </w:rPr>
        <w:t>Specification</w:t>
      </w:r>
      <w:r>
        <w:rPr>
          <w:color w:val="000000"/>
          <w:szCs w:val="24"/>
        </w:rPr>
        <w:t xml:space="preserve"> </w:t>
      </w:r>
      <w:r w:rsidR="00797500">
        <w:rPr>
          <w:color w:val="000000"/>
          <w:szCs w:val="24"/>
        </w:rPr>
        <w:t>is</w:t>
      </w:r>
      <w:r>
        <w:rPr>
          <w:color w:val="000000"/>
          <w:szCs w:val="24"/>
        </w:rPr>
        <w:t xml:space="preserve"> a legislative instrument for the purpose</w:t>
      </w:r>
      <w:r w:rsidR="00296766">
        <w:rPr>
          <w:color w:val="000000"/>
          <w:szCs w:val="24"/>
        </w:rPr>
        <w:t>s</w:t>
      </w:r>
      <w:r>
        <w:rPr>
          <w:color w:val="000000"/>
          <w:szCs w:val="24"/>
        </w:rPr>
        <w:t xml:space="preserve"> of the </w:t>
      </w:r>
      <w:r w:rsidRPr="007336A4">
        <w:rPr>
          <w:i/>
          <w:color w:val="000000"/>
          <w:szCs w:val="24"/>
        </w:rPr>
        <w:t>Legislative Instruments Act 2003</w:t>
      </w:r>
      <w:r>
        <w:rPr>
          <w:color w:val="000000"/>
          <w:szCs w:val="24"/>
        </w:rPr>
        <w:t>.</w:t>
      </w:r>
    </w:p>
    <w:p w:rsidR="00804792" w:rsidRDefault="00804792" w:rsidP="00121B98">
      <w:pPr>
        <w:rPr>
          <w:color w:val="000000"/>
          <w:szCs w:val="24"/>
        </w:rPr>
      </w:pPr>
    </w:p>
    <w:p w:rsidR="0062525A" w:rsidRDefault="0062525A" w:rsidP="0062525A">
      <w:r>
        <w:t xml:space="preserve">In relation to compatibility with human rights, it is considered that the Specification is compatible with the human rights and freedoms recognised or declared in the international instruments listed in section 3 of the </w:t>
      </w:r>
      <w:r>
        <w:rPr>
          <w:i/>
        </w:rPr>
        <w:t>Human Rights (Parliamentary Scrutiny) Act 2011</w:t>
      </w:r>
      <w:r>
        <w:t>, and a Statement of Compatibility setting that out in further detail is attached.</w:t>
      </w:r>
    </w:p>
    <w:p w:rsidR="0062525A" w:rsidRDefault="0062525A" w:rsidP="0062525A"/>
    <w:p w:rsidR="0062525A" w:rsidRDefault="0062525A" w:rsidP="0062525A">
      <w:pPr>
        <w:rPr>
          <w:b/>
        </w:rPr>
      </w:pPr>
      <w:r>
        <w:rPr>
          <w:b/>
        </w:rPr>
        <w:t>ATTACHMENTS</w:t>
      </w:r>
    </w:p>
    <w:p w:rsidR="0062525A" w:rsidRDefault="0062525A" w:rsidP="0062525A">
      <w:pPr>
        <w:rPr>
          <w:szCs w:val="24"/>
        </w:rPr>
      </w:pPr>
    </w:p>
    <w:p w:rsidR="004B3A74" w:rsidRDefault="0062525A">
      <w:pPr>
        <w:ind w:left="720" w:hanging="720"/>
        <w:rPr>
          <w:color w:val="000000"/>
          <w:szCs w:val="24"/>
        </w:rPr>
      </w:pPr>
      <w:r>
        <w:rPr>
          <w:szCs w:val="24"/>
        </w:rPr>
        <w:t xml:space="preserve">1. </w:t>
      </w:r>
      <w:r w:rsidR="004C1E70">
        <w:rPr>
          <w:szCs w:val="24"/>
        </w:rPr>
        <w:tab/>
      </w:r>
      <w:r>
        <w:rPr>
          <w:bCs/>
        </w:rPr>
        <w:t>Statement of compatibility for a legislative instrument that does not raise any human rights issues (Therapeutic Goods Information (</w:t>
      </w:r>
      <w:r w:rsidR="00C67AE6">
        <w:rPr>
          <w:bCs/>
        </w:rPr>
        <w:t xml:space="preserve">Joint </w:t>
      </w:r>
      <w:r>
        <w:rPr>
          <w:bCs/>
        </w:rPr>
        <w:t xml:space="preserve">Adverse </w:t>
      </w:r>
      <w:r w:rsidR="001E1B5E">
        <w:rPr>
          <w:bCs/>
        </w:rPr>
        <w:t>Event</w:t>
      </w:r>
      <w:r w:rsidR="00792283">
        <w:rPr>
          <w:bCs/>
        </w:rPr>
        <w:t xml:space="preserve"> Notification</w:t>
      </w:r>
      <w:r w:rsidR="001E1B5E">
        <w:rPr>
          <w:bCs/>
        </w:rPr>
        <w:t>s</w:t>
      </w:r>
      <w:r w:rsidR="001B0C34">
        <w:rPr>
          <w:bCs/>
        </w:rPr>
        <w:t xml:space="preserve"> System</w:t>
      </w:r>
      <w:r>
        <w:rPr>
          <w:bCs/>
        </w:rPr>
        <w:t>) Specification 2012).</w:t>
      </w:r>
    </w:p>
    <w:p w:rsidR="00797500" w:rsidRDefault="00797500">
      <w:pPr>
        <w:pStyle w:val="Header"/>
        <w:tabs>
          <w:tab w:val="clear" w:pos="4153"/>
          <w:tab w:val="clear" w:pos="8306"/>
          <w:tab w:val="left" w:pos="4395"/>
          <w:tab w:val="left" w:pos="5529"/>
        </w:tabs>
        <w:ind w:hanging="1797"/>
        <w:rPr>
          <w:i/>
        </w:rPr>
      </w:pPr>
    </w:p>
    <w:sectPr w:rsidR="00797500" w:rsidSect="00E7306E">
      <w:headerReference w:type="even" r:id="rId10"/>
      <w:headerReference w:type="default" r:id="rId11"/>
      <w:footerReference w:type="default" r:id="rId12"/>
      <w:footerReference w:type="first" r:id="rId13"/>
      <w:pgSz w:w="11907" w:h="16840" w:code="9"/>
      <w:pgMar w:top="1134" w:right="1361" w:bottom="1134" w:left="1531"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0B64" w:rsidRDefault="000B0B64">
      <w:r>
        <w:separator/>
      </w:r>
    </w:p>
  </w:endnote>
  <w:endnote w:type="continuationSeparator" w:id="0">
    <w:p w:rsidR="000B0B64" w:rsidRDefault="000B0B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C2A" w:rsidRPr="00BD3496" w:rsidRDefault="00161C2A" w:rsidP="00BD3496">
    <w:pPr>
      <w:pStyle w:val="Footer"/>
      <w:jc w:val="right"/>
      <w:rPr>
        <w:i/>
        <w:sz w:val="20"/>
      </w:rPr>
    </w:pPr>
    <w:r w:rsidRPr="00BD3496">
      <w:rPr>
        <w:i/>
        <w:snapToGrid w:val="0"/>
        <w:sz w:val="20"/>
        <w:lang w:eastAsia="en-US"/>
      </w:rPr>
      <w:t xml:space="preserve">Page </w:t>
    </w:r>
    <w:r w:rsidR="00F82D74" w:rsidRPr="00BD3496">
      <w:rPr>
        <w:i/>
        <w:snapToGrid w:val="0"/>
        <w:sz w:val="20"/>
        <w:lang w:eastAsia="en-US"/>
      </w:rPr>
      <w:fldChar w:fldCharType="begin"/>
    </w:r>
    <w:r w:rsidRPr="00BD3496">
      <w:rPr>
        <w:i/>
        <w:snapToGrid w:val="0"/>
        <w:sz w:val="20"/>
        <w:lang w:eastAsia="en-US"/>
      </w:rPr>
      <w:instrText xml:space="preserve"> PAGE </w:instrText>
    </w:r>
    <w:r w:rsidR="00F82D74" w:rsidRPr="00BD3496">
      <w:rPr>
        <w:i/>
        <w:snapToGrid w:val="0"/>
        <w:sz w:val="20"/>
        <w:lang w:eastAsia="en-US"/>
      </w:rPr>
      <w:fldChar w:fldCharType="separate"/>
    </w:r>
    <w:r w:rsidR="001179A9">
      <w:rPr>
        <w:i/>
        <w:noProof/>
        <w:snapToGrid w:val="0"/>
        <w:sz w:val="20"/>
        <w:lang w:eastAsia="en-US"/>
      </w:rPr>
      <w:t>4</w:t>
    </w:r>
    <w:r w:rsidR="00F82D74" w:rsidRPr="00BD3496">
      <w:rPr>
        <w:i/>
        <w:snapToGrid w:val="0"/>
        <w:sz w:val="20"/>
        <w:lang w:eastAsia="en-US"/>
      </w:rPr>
      <w:fldChar w:fldCharType="end"/>
    </w:r>
    <w:r w:rsidRPr="00BD3496">
      <w:rPr>
        <w:i/>
        <w:snapToGrid w:val="0"/>
        <w:sz w:val="20"/>
        <w:lang w:eastAsia="en-US"/>
      </w:rPr>
      <w:t xml:space="preserve"> of </w:t>
    </w:r>
    <w:r w:rsidR="00F82D74" w:rsidRPr="00BD3496">
      <w:rPr>
        <w:i/>
        <w:snapToGrid w:val="0"/>
        <w:sz w:val="20"/>
        <w:lang w:eastAsia="en-US"/>
      </w:rPr>
      <w:fldChar w:fldCharType="begin"/>
    </w:r>
    <w:r w:rsidRPr="00BD3496">
      <w:rPr>
        <w:i/>
        <w:snapToGrid w:val="0"/>
        <w:sz w:val="20"/>
        <w:lang w:eastAsia="en-US"/>
      </w:rPr>
      <w:instrText xml:space="preserve"> NUMPAGES </w:instrText>
    </w:r>
    <w:r w:rsidR="00F82D74" w:rsidRPr="00BD3496">
      <w:rPr>
        <w:i/>
        <w:snapToGrid w:val="0"/>
        <w:sz w:val="20"/>
        <w:lang w:eastAsia="en-US"/>
      </w:rPr>
      <w:fldChar w:fldCharType="separate"/>
    </w:r>
    <w:r w:rsidR="001179A9">
      <w:rPr>
        <w:i/>
        <w:noProof/>
        <w:snapToGrid w:val="0"/>
        <w:sz w:val="20"/>
        <w:lang w:eastAsia="en-US"/>
      </w:rPr>
      <w:t>4</w:t>
    </w:r>
    <w:r w:rsidR="00F82D74" w:rsidRPr="00BD3496">
      <w:rPr>
        <w:i/>
        <w:snapToGrid w:val="0"/>
        <w:sz w:val="20"/>
        <w:lang w:eastAsia="en-U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C2A" w:rsidRDefault="00161C2A" w:rsidP="00457E4A">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0B64" w:rsidRDefault="000B0B64">
      <w:r>
        <w:separator/>
      </w:r>
    </w:p>
  </w:footnote>
  <w:footnote w:type="continuationSeparator" w:id="0">
    <w:p w:rsidR="000B0B64" w:rsidRDefault="000B0B64">
      <w:r>
        <w:continuationSeparator/>
      </w:r>
    </w:p>
  </w:footnote>
  <w:footnote w:id="1">
    <w:p w:rsidR="00161C2A" w:rsidRDefault="00161C2A">
      <w:pPr>
        <w:pStyle w:val="FootnoteText"/>
        <w:ind w:left="720" w:hanging="720"/>
      </w:pPr>
      <w:r>
        <w:rPr>
          <w:rStyle w:val="FootnoteReference"/>
        </w:rPr>
        <w:footnoteRef/>
      </w:r>
      <w:r>
        <w:t xml:space="preserve"> </w:t>
      </w:r>
      <w:r>
        <w:tab/>
        <w:t>MedDRA is an internationally recognised set of terms relating to medical conditions, medicines and medical devices, maintained and distributed by the MedDRA Maintenance and Support Services Organisation (MSSO).  The MedDRA is available for viewing by subscribers to the MSSO’s services from www.meddramsso.com.</w:t>
      </w:r>
    </w:p>
    <w:p w:rsidR="00161C2A" w:rsidRDefault="00161C2A">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C2A" w:rsidRDefault="00F82D74" w:rsidP="00B24E0B">
    <w:pPr>
      <w:pStyle w:val="Header"/>
      <w:framePr w:wrap="around" w:vAnchor="text" w:hAnchor="margin" w:xAlign="center" w:y="1"/>
      <w:rPr>
        <w:rStyle w:val="PageNumber"/>
      </w:rPr>
    </w:pPr>
    <w:r>
      <w:rPr>
        <w:rStyle w:val="PageNumber"/>
      </w:rPr>
      <w:fldChar w:fldCharType="begin"/>
    </w:r>
    <w:r w:rsidR="00161C2A">
      <w:rPr>
        <w:rStyle w:val="PageNumber"/>
      </w:rPr>
      <w:instrText xml:space="preserve">PAGE  </w:instrText>
    </w:r>
    <w:r>
      <w:rPr>
        <w:rStyle w:val="PageNumber"/>
      </w:rPr>
      <w:fldChar w:fldCharType="end"/>
    </w:r>
  </w:p>
  <w:p w:rsidR="00161C2A" w:rsidRDefault="00161C2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1C2A" w:rsidRDefault="00F82D74" w:rsidP="00B24E0B">
    <w:pPr>
      <w:pStyle w:val="Header"/>
      <w:framePr w:wrap="around" w:vAnchor="text" w:hAnchor="margin" w:xAlign="center" w:y="1"/>
      <w:rPr>
        <w:rStyle w:val="PageNumber"/>
      </w:rPr>
    </w:pPr>
    <w:r>
      <w:rPr>
        <w:rStyle w:val="PageNumber"/>
      </w:rPr>
      <w:fldChar w:fldCharType="begin"/>
    </w:r>
    <w:r w:rsidR="00161C2A">
      <w:rPr>
        <w:rStyle w:val="PageNumber"/>
      </w:rPr>
      <w:instrText xml:space="preserve">PAGE  </w:instrText>
    </w:r>
    <w:r>
      <w:rPr>
        <w:rStyle w:val="PageNumber"/>
      </w:rPr>
      <w:fldChar w:fldCharType="separate"/>
    </w:r>
    <w:r w:rsidR="001179A9">
      <w:rPr>
        <w:rStyle w:val="PageNumber"/>
        <w:noProof/>
      </w:rPr>
      <w:t>4</w:t>
    </w:r>
    <w:r>
      <w:rPr>
        <w:rStyle w:val="PageNumber"/>
      </w:rPr>
      <w:fldChar w:fldCharType="end"/>
    </w:r>
  </w:p>
  <w:p w:rsidR="00161C2A" w:rsidRDefault="00161C2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80C61"/>
    <w:multiLevelType w:val="hybridMultilevel"/>
    <w:tmpl w:val="FF4A8400"/>
    <w:lvl w:ilvl="0" w:tplc="C902E404">
      <w:start w:val="2"/>
      <w:numFmt w:val="decimal"/>
      <w:lvlText w:val="%1."/>
      <w:lvlJc w:val="left"/>
      <w:pPr>
        <w:tabs>
          <w:tab w:val="num" w:pos="720"/>
        </w:tabs>
        <w:ind w:left="720" w:hanging="360"/>
      </w:pPr>
      <w:rPr>
        <w:rFonts w:hint="default"/>
      </w:r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nsid w:val="3F6E122D"/>
    <w:multiLevelType w:val="multilevel"/>
    <w:tmpl w:val="087A96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676CC2"/>
    <w:multiLevelType w:val="hybridMultilevel"/>
    <w:tmpl w:val="21A04F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6A882C75"/>
    <w:multiLevelType w:val="hybridMultilevel"/>
    <w:tmpl w:val="8370E2E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6E753B4B"/>
    <w:multiLevelType w:val="hybridMultilevel"/>
    <w:tmpl w:val="EE8289D2"/>
    <w:lvl w:ilvl="0" w:tplc="0C09000F">
      <w:start w:val="1"/>
      <w:numFmt w:val="decimal"/>
      <w:lvlText w:val="%1."/>
      <w:lvlJc w:val="left"/>
      <w:pPr>
        <w:tabs>
          <w:tab w:val="num" w:pos="360"/>
        </w:tabs>
        <w:ind w:left="360" w:hanging="360"/>
      </w:pPr>
    </w:lvl>
    <w:lvl w:ilvl="1" w:tplc="0C090019" w:tentative="1">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stylePaneFormatFilter w:val="3F01"/>
  <w:doNotTrackMoves/>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97500"/>
    <w:rsid w:val="000005A4"/>
    <w:rsid w:val="0000255C"/>
    <w:rsid w:val="000224DD"/>
    <w:rsid w:val="00025FDC"/>
    <w:rsid w:val="00030C6D"/>
    <w:rsid w:val="000323FF"/>
    <w:rsid w:val="00042160"/>
    <w:rsid w:val="00052DB9"/>
    <w:rsid w:val="00055C58"/>
    <w:rsid w:val="00066612"/>
    <w:rsid w:val="000728FC"/>
    <w:rsid w:val="000735B6"/>
    <w:rsid w:val="00082E89"/>
    <w:rsid w:val="00093702"/>
    <w:rsid w:val="00094D39"/>
    <w:rsid w:val="000A256F"/>
    <w:rsid w:val="000A4FEF"/>
    <w:rsid w:val="000B04DE"/>
    <w:rsid w:val="000B0B64"/>
    <w:rsid w:val="000B3763"/>
    <w:rsid w:val="000B3CD4"/>
    <w:rsid w:val="000B4733"/>
    <w:rsid w:val="000C0AD7"/>
    <w:rsid w:val="000C7743"/>
    <w:rsid w:val="000D1F50"/>
    <w:rsid w:val="000D742C"/>
    <w:rsid w:val="000D7657"/>
    <w:rsid w:val="000E5C91"/>
    <w:rsid w:val="000F2F24"/>
    <w:rsid w:val="000F427F"/>
    <w:rsid w:val="000F42C5"/>
    <w:rsid w:val="000F4945"/>
    <w:rsid w:val="000F5908"/>
    <w:rsid w:val="001051B8"/>
    <w:rsid w:val="001115C4"/>
    <w:rsid w:val="001122BC"/>
    <w:rsid w:val="00114FEE"/>
    <w:rsid w:val="00116A76"/>
    <w:rsid w:val="00116DB6"/>
    <w:rsid w:val="001179A9"/>
    <w:rsid w:val="00117D4C"/>
    <w:rsid w:val="00121B98"/>
    <w:rsid w:val="00137937"/>
    <w:rsid w:val="0014093C"/>
    <w:rsid w:val="001416B4"/>
    <w:rsid w:val="001441E8"/>
    <w:rsid w:val="00150380"/>
    <w:rsid w:val="00154617"/>
    <w:rsid w:val="00160372"/>
    <w:rsid w:val="00161367"/>
    <w:rsid w:val="00161C2A"/>
    <w:rsid w:val="00167CB8"/>
    <w:rsid w:val="0017129A"/>
    <w:rsid w:val="001738BC"/>
    <w:rsid w:val="00174D05"/>
    <w:rsid w:val="00176D12"/>
    <w:rsid w:val="001807BF"/>
    <w:rsid w:val="00182D10"/>
    <w:rsid w:val="001841F4"/>
    <w:rsid w:val="001845E0"/>
    <w:rsid w:val="00191423"/>
    <w:rsid w:val="00191AF0"/>
    <w:rsid w:val="001927C9"/>
    <w:rsid w:val="001966FD"/>
    <w:rsid w:val="001A2EF3"/>
    <w:rsid w:val="001A3B7C"/>
    <w:rsid w:val="001A4CC2"/>
    <w:rsid w:val="001A5407"/>
    <w:rsid w:val="001B079A"/>
    <w:rsid w:val="001B0C34"/>
    <w:rsid w:val="001B36BE"/>
    <w:rsid w:val="001B584F"/>
    <w:rsid w:val="001C0DB5"/>
    <w:rsid w:val="001C55AA"/>
    <w:rsid w:val="001D0C9A"/>
    <w:rsid w:val="001D27B4"/>
    <w:rsid w:val="001E0E76"/>
    <w:rsid w:val="001E1B5E"/>
    <w:rsid w:val="001E1C95"/>
    <w:rsid w:val="001E2835"/>
    <w:rsid w:val="001F6C11"/>
    <w:rsid w:val="00201E92"/>
    <w:rsid w:val="002030BD"/>
    <w:rsid w:val="00203B2A"/>
    <w:rsid w:val="00205575"/>
    <w:rsid w:val="00207FDA"/>
    <w:rsid w:val="002239C4"/>
    <w:rsid w:val="00227214"/>
    <w:rsid w:val="00233D67"/>
    <w:rsid w:val="002448CC"/>
    <w:rsid w:val="002503C2"/>
    <w:rsid w:val="002506DB"/>
    <w:rsid w:val="00250743"/>
    <w:rsid w:val="0025431F"/>
    <w:rsid w:val="002560A5"/>
    <w:rsid w:val="00256F8C"/>
    <w:rsid w:val="002604C4"/>
    <w:rsid w:val="00264ED7"/>
    <w:rsid w:val="00266A9F"/>
    <w:rsid w:val="002705B7"/>
    <w:rsid w:val="00270F5B"/>
    <w:rsid w:val="00271F07"/>
    <w:rsid w:val="0027591B"/>
    <w:rsid w:val="0028175C"/>
    <w:rsid w:val="00284B51"/>
    <w:rsid w:val="002854B0"/>
    <w:rsid w:val="00285A9D"/>
    <w:rsid w:val="00287FB8"/>
    <w:rsid w:val="002903D1"/>
    <w:rsid w:val="00292825"/>
    <w:rsid w:val="0029310D"/>
    <w:rsid w:val="00294434"/>
    <w:rsid w:val="00294DD7"/>
    <w:rsid w:val="00296766"/>
    <w:rsid w:val="0029775D"/>
    <w:rsid w:val="002A1152"/>
    <w:rsid w:val="002A67C8"/>
    <w:rsid w:val="002A691A"/>
    <w:rsid w:val="002A6928"/>
    <w:rsid w:val="002A6CAD"/>
    <w:rsid w:val="002B148F"/>
    <w:rsid w:val="002B3978"/>
    <w:rsid w:val="002B3B72"/>
    <w:rsid w:val="002B3E25"/>
    <w:rsid w:val="002B4A3A"/>
    <w:rsid w:val="002C453D"/>
    <w:rsid w:val="002C5253"/>
    <w:rsid w:val="002E03C4"/>
    <w:rsid w:val="002E0CEA"/>
    <w:rsid w:val="002E1745"/>
    <w:rsid w:val="002E23EC"/>
    <w:rsid w:val="002E3EF8"/>
    <w:rsid w:val="002E5D2F"/>
    <w:rsid w:val="002F48A4"/>
    <w:rsid w:val="002F78D8"/>
    <w:rsid w:val="00300118"/>
    <w:rsid w:val="003026E8"/>
    <w:rsid w:val="003042B8"/>
    <w:rsid w:val="00305809"/>
    <w:rsid w:val="00310F35"/>
    <w:rsid w:val="00311521"/>
    <w:rsid w:val="00312343"/>
    <w:rsid w:val="003160C6"/>
    <w:rsid w:val="003168A9"/>
    <w:rsid w:val="00323CBE"/>
    <w:rsid w:val="00325772"/>
    <w:rsid w:val="00325A10"/>
    <w:rsid w:val="0033633C"/>
    <w:rsid w:val="00337E71"/>
    <w:rsid w:val="00337FC0"/>
    <w:rsid w:val="00340137"/>
    <w:rsid w:val="00343434"/>
    <w:rsid w:val="00344E3E"/>
    <w:rsid w:val="003469D8"/>
    <w:rsid w:val="00347661"/>
    <w:rsid w:val="003508FE"/>
    <w:rsid w:val="00354701"/>
    <w:rsid w:val="00360C3B"/>
    <w:rsid w:val="00361A4E"/>
    <w:rsid w:val="00376F28"/>
    <w:rsid w:val="00386D9E"/>
    <w:rsid w:val="00390C68"/>
    <w:rsid w:val="0039206E"/>
    <w:rsid w:val="00394407"/>
    <w:rsid w:val="003965FC"/>
    <w:rsid w:val="003968A2"/>
    <w:rsid w:val="003A1334"/>
    <w:rsid w:val="003A133E"/>
    <w:rsid w:val="003C082C"/>
    <w:rsid w:val="003C4F0B"/>
    <w:rsid w:val="003D144F"/>
    <w:rsid w:val="003D2F8B"/>
    <w:rsid w:val="003D78A5"/>
    <w:rsid w:val="003E0EDF"/>
    <w:rsid w:val="003E246D"/>
    <w:rsid w:val="003E3B0F"/>
    <w:rsid w:val="003E54F0"/>
    <w:rsid w:val="003E6875"/>
    <w:rsid w:val="003E7E18"/>
    <w:rsid w:val="003F05A3"/>
    <w:rsid w:val="003F1B8E"/>
    <w:rsid w:val="003F37B0"/>
    <w:rsid w:val="003F6BD6"/>
    <w:rsid w:val="00403D71"/>
    <w:rsid w:val="0041282F"/>
    <w:rsid w:val="004153B0"/>
    <w:rsid w:val="0042386A"/>
    <w:rsid w:val="004263AC"/>
    <w:rsid w:val="004343B8"/>
    <w:rsid w:val="00437350"/>
    <w:rsid w:val="00442753"/>
    <w:rsid w:val="00443637"/>
    <w:rsid w:val="004442C2"/>
    <w:rsid w:val="00447DA4"/>
    <w:rsid w:val="0045006A"/>
    <w:rsid w:val="004509AD"/>
    <w:rsid w:val="0045200C"/>
    <w:rsid w:val="004527AB"/>
    <w:rsid w:val="00457A49"/>
    <w:rsid w:val="00457D99"/>
    <w:rsid w:val="00457E4A"/>
    <w:rsid w:val="00462233"/>
    <w:rsid w:val="00465AA8"/>
    <w:rsid w:val="00467F28"/>
    <w:rsid w:val="00475275"/>
    <w:rsid w:val="004828F9"/>
    <w:rsid w:val="00482D78"/>
    <w:rsid w:val="004A3F70"/>
    <w:rsid w:val="004A4D01"/>
    <w:rsid w:val="004B02BA"/>
    <w:rsid w:val="004B0AE7"/>
    <w:rsid w:val="004B0BD6"/>
    <w:rsid w:val="004B3A74"/>
    <w:rsid w:val="004B725B"/>
    <w:rsid w:val="004C01C8"/>
    <w:rsid w:val="004C11C2"/>
    <w:rsid w:val="004C1442"/>
    <w:rsid w:val="004C1E70"/>
    <w:rsid w:val="004C5180"/>
    <w:rsid w:val="004D3ECD"/>
    <w:rsid w:val="004D4D47"/>
    <w:rsid w:val="004E1A46"/>
    <w:rsid w:val="0050187B"/>
    <w:rsid w:val="00501A93"/>
    <w:rsid w:val="00501D89"/>
    <w:rsid w:val="00506B1D"/>
    <w:rsid w:val="00514534"/>
    <w:rsid w:val="005227E9"/>
    <w:rsid w:val="00536D03"/>
    <w:rsid w:val="0054053E"/>
    <w:rsid w:val="00541205"/>
    <w:rsid w:val="00545926"/>
    <w:rsid w:val="00547DA8"/>
    <w:rsid w:val="005553EE"/>
    <w:rsid w:val="005616D5"/>
    <w:rsid w:val="00565460"/>
    <w:rsid w:val="0057030E"/>
    <w:rsid w:val="0058053F"/>
    <w:rsid w:val="00584BDA"/>
    <w:rsid w:val="00587E82"/>
    <w:rsid w:val="00590250"/>
    <w:rsid w:val="00596F43"/>
    <w:rsid w:val="005A40D4"/>
    <w:rsid w:val="005A637A"/>
    <w:rsid w:val="005B168D"/>
    <w:rsid w:val="005B1873"/>
    <w:rsid w:val="005B2637"/>
    <w:rsid w:val="005B418B"/>
    <w:rsid w:val="005B548D"/>
    <w:rsid w:val="005C0444"/>
    <w:rsid w:val="005C1881"/>
    <w:rsid w:val="005C5F7B"/>
    <w:rsid w:val="005C78DD"/>
    <w:rsid w:val="005D69F3"/>
    <w:rsid w:val="005E2709"/>
    <w:rsid w:val="005E4E39"/>
    <w:rsid w:val="005F06C6"/>
    <w:rsid w:val="005F2586"/>
    <w:rsid w:val="005F28F3"/>
    <w:rsid w:val="005F3F50"/>
    <w:rsid w:val="005F6057"/>
    <w:rsid w:val="005F7D9E"/>
    <w:rsid w:val="006110AA"/>
    <w:rsid w:val="0061208E"/>
    <w:rsid w:val="00613606"/>
    <w:rsid w:val="00617085"/>
    <w:rsid w:val="00617887"/>
    <w:rsid w:val="0062525A"/>
    <w:rsid w:val="00631E9B"/>
    <w:rsid w:val="00632778"/>
    <w:rsid w:val="0064127C"/>
    <w:rsid w:val="00642E5D"/>
    <w:rsid w:val="00646167"/>
    <w:rsid w:val="006464B2"/>
    <w:rsid w:val="00650736"/>
    <w:rsid w:val="00650861"/>
    <w:rsid w:val="00660062"/>
    <w:rsid w:val="00661545"/>
    <w:rsid w:val="00665109"/>
    <w:rsid w:val="00666EA1"/>
    <w:rsid w:val="00667A1C"/>
    <w:rsid w:val="00667A70"/>
    <w:rsid w:val="00670631"/>
    <w:rsid w:val="00675855"/>
    <w:rsid w:val="0067666F"/>
    <w:rsid w:val="00684250"/>
    <w:rsid w:val="00684D45"/>
    <w:rsid w:val="006857D9"/>
    <w:rsid w:val="006873E6"/>
    <w:rsid w:val="006948E9"/>
    <w:rsid w:val="00696977"/>
    <w:rsid w:val="006978B2"/>
    <w:rsid w:val="006B4789"/>
    <w:rsid w:val="006B4A1B"/>
    <w:rsid w:val="006C0292"/>
    <w:rsid w:val="006D33F7"/>
    <w:rsid w:val="006D5658"/>
    <w:rsid w:val="006E0FEA"/>
    <w:rsid w:val="006E1C15"/>
    <w:rsid w:val="006E2450"/>
    <w:rsid w:val="006E3F38"/>
    <w:rsid w:val="006E4C0A"/>
    <w:rsid w:val="006E7775"/>
    <w:rsid w:val="006E7B2A"/>
    <w:rsid w:val="006F2DDD"/>
    <w:rsid w:val="006F2F12"/>
    <w:rsid w:val="006F7E73"/>
    <w:rsid w:val="00704644"/>
    <w:rsid w:val="0071081E"/>
    <w:rsid w:val="00713099"/>
    <w:rsid w:val="00713956"/>
    <w:rsid w:val="007225AE"/>
    <w:rsid w:val="00725CB6"/>
    <w:rsid w:val="007336A4"/>
    <w:rsid w:val="0073580B"/>
    <w:rsid w:val="00740631"/>
    <w:rsid w:val="00744A35"/>
    <w:rsid w:val="007479F7"/>
    <w:rsid w:val="007532B4"/>
    <w:rsid w:val="007571BD"/>
    <w:rsid w:val="00761343"/>
    <w:rsid w:val="00761A7E"/>
    <w:rsid w:val="00763359"/>
    <w:rsid w:val="00764B01"/>
    <w:rsid w:val="00767767"/>
    <w:rsid w:val="0077206F"/>
    <w:rsid w:val="007758B2"/>
    <w:rsid w:val="00776FF3"/>
    <w:rsid w:val="00783F05"/>
    <w:rsid w:val="00787D41"/>
    <w:rsid w:val="00792283"/>
    <w:rsid w:val="00796B78"/>
    <w:rsid w:val="00797500"/>
    <w:rsid w:val="007A0799"/>
    <w:rsid w:val="007A3951"/>
    <w:rsid w:val="007A7DD4"/>
    <w:rsid w:val="007B35D3"/>
    <w:rsid w:val="007C06DC"/>
    <w:rsid w:val="007D2596"/>
    <w:rsid w:val="007D55DA"/>
    <w:rsid w:val="007D55FB"/>
    <w:rsid w:val="007D7A7D"/>
    <w:rsid w:val="007E03B1"/>
    <w:rsid w:val="007E277B"/>
    <w:rsid w:val="007E5592"/>
    <w:rsid w:val="007E64B2"/>
    <w:rsid w:val="007E77E7"/>
    <w:rsid w:val="007E7E48"/>
    <w:rsid w:val="007F1818"/>
    <w:rsid w:val="007F3023"/>
    <w:rsid w:val="007F4334"/>
    <w:rsid w:val="007F72FB"/>
    <w:rsid w:val="007F7C7D"/>
    <w:rsid w:val="008005AA"/>
    <w:rsid w:val="00800E88"/>
    <w:rsid w:val="00804792"/>
    <w:rsid w:val="008053B3"/>
    <w:rsid w:val="0081111D"/>
    <w:rsid w:val="008112F1"/>
    <w:rsid w:val="00814F4C"/>
    <w:rsid w:val="0082080E"/>
    <w:rsid w:val="008209B5"/>
    <w:rsid w:val="0082226A"/>
    <w:rsid w:val="00834441"/>
    <w:rsid w:val="0083525F"/>
    <w:rsid w:val="00851EC7"/>
    <w:rsid w:val="00857E0B"/>
    <w:rsid w:val="00862462"/>
    <w:rsid w:val="00864543"/>
    <w:rsid w:val="00864FF8"/>
    <w:rsid w:val="00865662"/>
    <w:rsid w:val="0086742F"/>
    <w:rsid w:val="00867E77"/>
    <w:rsid w:val="00871B7C"/>
    <w:rsid w:val="00876887"/>
    <w:rsid w:val="00881D6C"/>
    <w:rsid w:val="00886718"/>
    <w:rsid w:val="0088763C"/>
    <w:rsid w:val="00887D34"/>
    <w:rsid w:val="00892240"/>
    <w:rsid w:val="00895522"/>
    <w:rsid w:val="008A10C3"/>
    <w:rsid w:val="008A1261"/>
    <w:rsid w:val="008A625B"/>
    <w:rsid w:val="008B3D10"/>
    <w:rsid w:val="008B73DC"/>
    <w:rsid w:val="008B75D3"/>
    <w:rsid w:val="008C089F"/>
    <w:rsid w:val="008C0C2A"/>
    <w:rsid w:val="008C213A"/>
    <w:rsid w:val="008C240E"/>
    <w:rsid w:val="008D0530"/>
    <w:rsid w:val="008D69C6"/>
    <w:rsid w:val="008E063F"/>
    <w:rsid w:val="008E12EF"/>
    <w:rsid w:val="008E2EC3"/>
    <w:rsid w:val="008E3C53"/>
    <w:rsid w:val="008E4609"/>
    <w:rsid w:val="008E77D9"/>
    <w:rsid w:val="008F250B"/>
    <w:rsid w:val="008F3FC3"/>
    <w:rsid w:val="008F5B37"/>
    <w:rsid w:val="00900A32"/>
    <w:rsid w:val="00901680"/>
    <w:rsid w:val="009034E3"/>
    <w:rsid w:val="00905C83"/>
    <w:rsid w:val="009073EB"/>
    <w:rsid w:val="00910CFE"/>
    <w:rsid w:val="00914A07"/>
    <w:rsid w:val="00916A81"/>
    <w:rsid w:val="00920E79"/>
    <w:rsid w:val="00923C20"/>
    <w:rsid w:val="00926D2A"/>
    <w:rsid w:val="00931ECF"/>
    <w:rsid w:val="009344D6"/>
    <w:rsid w:val="00944494"/>
    <w:rsid w:val="00944BD7"/>
    <w:rsid w:val="00947C7B"/>
    <w:rsid w:val="0095276A"/>
    <w:rsid w:val="00953A00"/>
    <w:rsid w:val="00953CAF"/>
    <w:rsid w:val="0095693D"/>
    <w:rsid w:val="00971F36"/>
    <w:rsid w:val="00973A8C"/>
    <w:rsid w:val="0097574D"/>
    <w:rsid w:val="00981D5B"/>
    <w:rsid w:val="00983592"/>
    <w:rsid w:val="0098690B"/>
    <w:rsid w:val="00987062"/>
    <w:rsid w:val="009A47D1"/>
    <w:rsid w:val="009A6128"/>
    <w:rsid w:val="009B1EEF"/>
    <w:rsid w:val="009B6DEE"/>
    <w:rsid w:val="009C7AA3"/>
    <w:rsid w:val="009D10D7"/>
    <w:rsid w:val="009D14C1"/>
    <w:rsid w:val="009D7B59"/>
    <w:rsid w:val="009F10B0"/>
    <w:rsid w:val="009F2084"/>
    <w:rsid w:val="009F26FE"/>
    <w:rsid w:val="009F290F"/>
    <w:rsid w:val="00A006C5"/>
    <w:rsid w:val="00A01758"/>
    <w:rsid w:val="00A03865"/>
    <w:rsid w:val="00A03977"/>
    <w:rsid w:val="00A05133"/>
    <w:rsid w:val="00A07684"/>
    <w:rsid w:val="00A11D17"/>
    <w:rsid w:val="00A1797C"/>
    <w:rsid w:val="00A2181D"/>
    <w:rsid w:val="00A25BB0"/>
    <w:rsid w:val="00A25C40"/>
    <w:rsid w:val="00A34B32"/>
    <w:rsid w:val="00A51186"/>
    <w:rsid w:val="00A575F2"/>
    <w:rsid w:val="00A57A0D"/>
    <w:rsid w:val="00A6403F"/>
    <w:rsid w:val="00A67247"/>
    <w:rsid w:val="00A7063B"/>
    <w:rsid w:val="00A73793"/>
    <w:rsid w:val="00A74A79"/>
    <w:rsid w:val="00A767EF"/>
    <w:rsid w:val="00A81EB8"/>
    <w:rsid w:val="00A82FDC"/>
    <w:rsid w:val="00A90A5C"/>
    <w:rsid w:val="00A956B8"/>
    <w:rsid w:val="00AA40B1"/>
    <w:rsid w:val="00AA4B3E"/>
    <w:rsid w:val="00AA7276"/>
    <w:rsid w:val="00AB46CB"/>
    <w:rsid w:val="00AB5526"/>
    <w:rsid w:val="00AC06CB"/>
    <w:rsid w:val="00AC38DA"/>
    <w:rsid w:val="00AD16CC"/>
    <w:rsid w:val="00AD3FBC"/>
    <w:rsid w:val="00AD4BF6"/>
    <w:rsid w:val="00AD4D4D"/>
    <w:rsid w:val="00AD7A51"/>
    <w:rsid w:val="00AE193B"/>
    <w:rsid w:val="00AE7C9B"/>
    <w:rsid w:val="00AF0039"/>
    <w:rsid w:val="00AF125A"/>
    <w:rsid w:val="00AF64A7"/>
    <w:rsid w:val="00AF6D18"/>
    <w:rsid w:val="00B10FCE"/>
    <w:rsid w:val="00B11251"/>
    <w:rsid w:val="00B13240"/>
    <w:rsid w:val="00B16CCB"/>
    <w:rsid w:val="00B215C1"/>
    <w:rsid w:val="00B23622"/>
    <w:rsid w:val="00B24E0B"/>
    <w:rsid w:val="00B3144C"/>
    <w:rsid w:val="00B31840"/>
    <w:rsid w:val="00B42A08"/>
    <w:rsid w:val="00B4319B"/>
    <w:rsid w:val="00B45146"/>
    <w:rsid w:val="00B5180A"/>
    <w:rsid w:val="00B51882"/>
    <w:rsid w:val="00B52C87"/>
    <w:rsid w:val="00B54528"/>
    <w:rsid w:val="00B614E6"/>
    <w:rsid w:val="00B6210E"/>
    <w:rsid w:val="00B71653"/>
    <w:rsid w:val="00B71996"/>
    <w:rsid w:val="00B80B9B"/>
    <w:rsid w:val="00B8527D"/>
    <w:rsid w:val="00B87205"/>
    <w:rsid w:val="00B93546"/>
    <w:rsid w:val="00B95780"/>
    <w:rsid w:val="00B97C9B"/>
    <w:rsid w:val="00BA1E4A"/>
    <w:rsid w:val="00BA6D02"/>
    <w:rsid w:val="00BB0DE3"/>
    <w:rsid w:val="00BB2AAB"/>
    <w:rsid w:val="00BB4F71"/>
    <w:rsid w:val="00BC3767"/>
    <w:rsid w:val="00BD010D"/>
    <w:rsid w:val="00BD3496"/>
    <w:rsid w:val="00BF17C5"/>
    <w:rsid w:val="00BF5B68"/>
    <w:rsid w:val="00BF6B81"/>
    <w:rsid w:val="00C01D98"/>
    <w:rsid w:val="00C04F8C"/>
    <w:rsid w:val="00C13BAC"/>
    <w:rsid w:val="00C1542E"/>
    <w:rsid w:val="00C16B28"/>
    <w:rsid w:val="00C25DD3"/>
    <w:rsid w:val="00C31138"/>
    <w:rsid w:val="00C367D2"/>
    <w:rsid w:val="00C410E1"/>
    <w:rsid w:val="00C41AA7"/>
    <w:rsid w:val="00C43FEF"/>
    <w:rsid w:val="00C45B00"/>
    <w:rsid w:val="00C45C95"/>
    <w:rsid w:val="00C52234"/>
    <w:rsid w:val="00C539E3"/>
    <w:rsid w:val="00C56BD9"/>
    <w:rsid w:val="00C56F64"/>
    <w:rsid w:val="00C60B2D"/>
    <w:rsid w:val="00C60DC2"/>
    <w:rsid w:val="00C610B3"/>
    <w:rsid w:val="00C61B23"/>
    <w:rsid w:val="00C64C1A"/>
    <w:rsid w:val="00C650D2"/>
    <w:rsid w:val="00C67AE6"/>
    <w:rsid w:val="00C67BCF"/>
    <w:rsid w:val="00C71A61"/>
    <w:rsid w:val="00C73BAD"/>
    <w:rsid w:val="00C74327"/>
    <w:rsid w:val="00C77127"/>
    <w:rsid w:val="00C834A5"/>
    <w:rsid w:val="00C87066"/>
    <w:rsid w:val="00C91F45"/>
    <w:rsid w:val="00C93A2E"/>
    <w:rsid w:val="00C941DF"/>
    <w:rsid w:val="00C96157"/>
    <w:rsid w:val="00C96B85"/>
    <w:rsid w:val="00CA0FDB"/>
    <w:rsid w:val="00CB3D3A"/>
    <w:rsid w:val="00CB494D"/>
    <w:rsid w:val="00CB5583"/>
    <w:rsid w:val="00CB5AF0"/>
    <w:rsid w:val="00CC1F4F"/>
    <w:rsid w:val="00CC66BE"/>
    <w:rsid w:val="00CD4D81"/>
    <w:rsid w:val="00CE1435"/>
    <w:rsid w:val="00CE6270"/>
    <w:rsid w:val="00CF1B4D"/>
    <w:rsid w:val="00CF25F7"/>
    <w:rsid w:val="00CF30A1"/>
    <w:rsid w:val="00CF58AB"/>
    <w:rsid w:val="00D03BC8"/>
    <w:rsid w:val="00D13DEE"/>
    <w:rsid w:val="00D15078"/>
    <w:rsid w:val="00D15F29"/>
    <w:rsid w:val="00D16B1D"/>
    <w:rsid w:val="00D20D17"/>
    <w:rsid w:val="00D21A1A"/>
    <w:rsid w:val="00D23922"/>
    <w:rsid w:val="00D24DDA"/>
    <w:rsid w:val="00D33C45"/>
    <w:rsid w:val="00D403E6"/>
    <w:rsid w:val="00D4072C"/>
    <w:rsid w:val="00D42323"/>
    <w:rsid w:val="00D65A44"/>
    <w:rsid w:val="00D71553"/>
    <w:rsid w:val="00D72916"/>
    <w:rsid w:val="00D74ED4"/>
    <w:rsid w:val="00D756A1"/>
    <w:rsid w:val="00D815C3"/>
    <w:rsid w:val="00DA22AA"/>
    <w:rsid w:val="00DA6E08"/>
    <w:rsid w:val="00DB5CCB"/>
    <w:rsid w:val="00DC1875"/>
    <w:rsid w:val="00DC1A0E"/>
    <w:rsid w:val="00DC2EBE"/>
    <w:rsid w:val="00DC3B5B"/>
    <w:rsid w:val="00DD47BB"/>
    <w:rsid w:val="00DE168A"/>
    <w:rsid w:val="00DE2967"/>
    <w:rsid w:val="00DE51D3"/>
    <w:rsid w:val="00DE5889"/>
    <w:rsid w:val="00DE6DF6"/>
    <w:rsid w:val="00DE6E24"/>
    <w:rsid w:val="00DF58F2"/>
    <w:rsid w:val="00DF6103"/>
    <w:rsid w:val="00DF6AD6"/>
    <w:rsid w:val="00E02912"/>
    <w:rsid w:val="00E02F3E"/>
    <w:rsid w:val="00E16D5A"/>
    <w:rsid w:val="00E2139E"/>
    <w:rsid w:val="00E22C34"/>
    <w:rsid w:val="00E301C4"/>
    <w:rsid w:val="00E31EF3"/>
    <w:rsid w:val="00E3701F"/>
    <w:rsid w:val="00E408E5"/>
    <w:rsid w:val="00E42923"/>
    <w:rsid w:val="00E47C2B"/>
    <w:rsid w:val="00E61043"/>
    <w:rsid w:val="00E7306E"/>
    <w:rsid w:val="00E80978"/>
    <w:rsid w:val="00E817B1"/>
    <w:rsid w:val="00E8527F"/>
    <w:rsid w:val="00E91DE1"/>
    <w:rsid w:val="00E927E5"/>
    <w:rsid w:val="00E92B5E"/>
    <w:rsid w:val="00E97349"/>
    <w:rsid w:val="00EA32B7"/>
    <w:rsid w:val="00EB3831"/>
    <w:rsid w:val="00EC182C"/>
    <w:rsid w:val="00EC2709"/>
    <w:rsid w:val="00ED394E"/>
    <w:rsid w:val="00ED532E"/>
    <w:rsid w:val="00ED6A32"/>
    <w:rsid w:val="00EE1E79"/>
    <w:rsid w:val="00EE2F6D"/>
    <w:rsid w:val="00EE38E0"/>
    <w:rsid w:val="00EF2ADB"/>
    <w:rsid w:val="00EF32AB"/>
    <w:rsid w:val="00EF5A92"/>
    <w:rsid w:val="00EF73DE"/>
    <w:rsid w:val="00F01F78"/>
    <w:rsid w:val="00F11349"/>
    <w:rsid w:val="00F119FB"/>
    <w:rsid w:val="00F12EFD"/>
    <w:rsid w:val="00F149E6"/>
    <w:rsid w:val="00F152FC"/>
    <w:rsid w:val="00F203E6"/>
    <w:rsid w:val="00F24FAD"/>
    <w:rsid w:val="00F3521A"/>
    <w:rsid w:val="00F37826"/>
    <w:rsid w:val="00F56D10"/>
    <w:rsid w:val="00F60E59"/>
    <w:rsid w:val="00F72926"/>
    <w:rsid w:val="00F7399A"/>
    <w:rsid w:val="00F75C7E"/>
    <w:rsid w:val="00F81147"/>
    <w:rsid w:val="00F81520"/>
    <w:rsid w:val="00F82D74"/>
    <w:rsid w:val="00F8377B"/>
    <w:rsid w:val="00F87F60"/>
    <w:rsid w:val="00F91C0D"/>
    <w:rsid w:val="00F9260A"/>
    <w:rsid w:val="00F93260"/>
    <w:rsid w:val="00F955CF"/>
    <w:rsid w:val="00FA0A07"/>
    <w:rsid w:val="00FA3721"/>
    <w:rsid w:val="00FA619F"/>
    <w:rsid w:val="00FB2C29"/>
    <w:rsid w:val="00FB3231"/>
    <w:rsid w:val="00FB4C36"/>
    <w:rsid w:val="00FB6232"/>
    <w:rsid w:val="00FB6CF9"/>
    <w:rsid w:val="00FC15EF"/>
    <w:rsid w:val="00FC4BE2"/>
    <w:rsid w:val="00FC5FE4"/>
    <w:rsid w:val="00FC6620"/>
    <w:rsid w:val="00FC675B"/>
    <w:rsid w:val="00FC6F58"/>
    <w:rsid w:val="00FD08A0"/>
    <w:rsid w:val="00FD231A"/>
    <w:rsid w:val="00FD31F3"/>
    <w:rsid w:val="00FD3ADE"/>
    <w:rsid w:val="00FD409E"/>
    <w:rsid w:val="00FD42B8"/>
    <w:rsid w:val="00FD46F5"/>
    <w:rsid w:val="00FE24B2"/>
    <w:rsid w:val="00FE2BF2"/>
    <w:rsid w:val="00FE313D"/>
    <w:rsid w:val="00FF2B6A"/>
    <w:rsid w:val="00FF389B"/>
    <w:rsid w:val="00FF6A1E"/>
    <w:rsid w:val="00FF70AF"/>
  </w:rsids>
  <m:mathPr>
    <m:mathFont m:val="Cambria Math"/>
    <m:brkBin m:val="before"/>
    <m:brkBinSub m:val="--"/>
    <m:smallFrac m:val="off"/>
    <m:dispDef/>
    <m:lMargin m:val="0"/>
    <m:rMargin m:val="0"/>
    <m:defJc m:val="centerGroup"/>
    <m:wrapIndent m:val="1440"/>
    <m:intLim m:val="subSup"/>
    <m:naryLim m:val="undOvr"/>
  </m:mathPr>
  <w:uiCompat97To2003/>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1C95"/>
    <w:rPr>
      <w:rFonts w:ascii="Tms Rmn" w:hAnsi="Tms Rmn"/>
      <w:sz w:val="24"/>
    </w:rPr>
  </w:style>
  <w:style w:type="paragraph" w:styleId="Heading1">
    <w:name w:val="heading 1"/>
    <w:basedOn w:val="Normal"/>
    <w:next w:val="Normal"/>
    <w:qFormat/>
    <w:rsid w:val="00457E4A"/>
    <w:pPr>
      <w:keepNext/>
      <w:outlineLvl w:val="0"/>
    </w:pPr>
    <w:rPr>
      <w:rFonts w:ascii="Times New Roman" w:hAnsi="Times New Roman"/>
      <w:b/>
      <w:bCs/>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para">
    <w:name w:val="numberpara"/>
    <w:basedOn w:val="Footer"/>
    <w:rsid w:val="001E1C95"/>
    <w:pPr>
      <w:tabs>
        <w:tab w:val="clear" w:pos="4153"/>
        <w:tab w:val="clear" w:pos="8306"/>
        <w:tab w:val="left" w:pos="360"/>
        <w:tab w:val="left" w:pos="567"/>
      </w:tabs>
      <w:spacing w:before="120" w:line="360" w:lineRule="auto"/>
    </w:pPr>
    <w:rPr>
      <w:rFonts w:ascii="Times New Roman" w:hAnsi="Times New Roman"/>
      <w:lang w:val="en-US"/>
    </w:rPr>
  </w:style>
  <w:style w:type="paragraph" w:customStyle="1" w:styleId="legcohead3">
    <w:name w:val="legcohead3"/>
    <w:basedOn w:val="Normal"/>
    <w:rsid w:val="001E1C95"/>
    <w:pPr>
      <w:keepNext/>
    </w:pPr>
    <w:rPr>
      <w:rFonts w:ascii="Times New Roman" w:hAnsi="Times New Roman"/>
      <w:b/>
      <w:kern w:val="28"/>
      <w:lang w:val="en-US"/>
    </w:rPr>
  </w:style>
  <w:style w:type="paragraph" w:styleId="Footer">
    <w:name w:val="footer"/>
    <w:basedOn w:val="Normal"/>
    <w:rsid w:val="001E1C95"/>
    <w:pPr>
      <w:tabs>
        <w:tab w:val="center" w:pos="4153"/>
        <w:tab w:val="right" w:pos="8306"/>
      </w:tabs>
    </w:pPr>
  </w:style>
  <w:style w:type="paragraph" w:styleId="Header">
    <w:name w:val="header"/>
    <w:basedOn w:val="Normal"/>
    <w:rsid w:val="001E1C95"/>
    <w:pPr>
      <w:tabs>
        <w:tab w:val="center" w:pos="4153"/>
        <w:tab w:val="right" w:pos="8306"/>
      </w:tabs>
    </w:pPr>
  </w:style>
  <w:style w:type="character" w:styleId="PageNumber">
    <w:name w:val="page number"/>
    <w:basedOn w:val="DefaultParagraphFont"/>
    <w:rsid w:val="00457E4A"/>
  </w:style>
  <w:style w:type="paragraph" w:customStyle="1" w:styleId="a">
    <w:basedOn w:val="Normal"/>
    <w:rsid w:val="00457E4A"/>
    <w:pPr>
      <w:spacing w:after="160" w:line="240" w:lineRule="exact"/>
    </w:pPr>
    <w:rPr>
      <w:rFonts w:ascii="Verdana" w:hAnsi="Verdana" w:cs="Verdana"/>
      <w:sz w:val="20"/>
      <w:lang w:val="en-US" w:eastAsia="en-US"/>
    </w:rPr>
  </w:style>
  <w:style w:type="paragraph" w:styleId="BalloonText">
    <w:name w:val="Balloon Text"/>
    <w:basedOn w:val="Normal"/>
    <w:semiHidden/>
    <w:rsid w:val="00FD46F5"/>
    <w:rPr>
      <w:rFonts w:ascii="Tahoma" w:hAnsi="Tahoma" w:cs="Tahoma"/>
      <w:sz w:val="16"/>
      <w:szCs w:val="16"/>
    </w:rPr>
  </w:style>
  <w:style w:type="paragraph" w:customStyle="1" w:styleId="CharCharCharChar">
    <w:name w:val="Char Char Char Char"/>
    <w:basedOn w:val="Normal"/>
    <w:rsid w:val="00F56D10"/>
    <w:rPr>
      <w:rFonts w:ascii="Arial" w:hAnsi="Arial" w:cs="Arial"/>
      <w:sz w:val="22"/>
      <w:szCs w:val="22"/>
      <w:lang w:eastAsia="en-US"/>
    </w:rPr>
  </w:style>
  <w:style w:type="paragraph" w:customStyle="1" w:styleId="CharCharChar">
    <w:name w:val="Char Char Char"/>
    <w:basedOn w:val="Normal"/>
    <w:rsid w:val="00C60DC2"/>
    <w:pPr>
      <w:spacing w:after="160" w:line="240" w:lineRule="exact"/>
    </w:pPr>
    <w:rPr>
      <w:rFonts w:ascii="Verdana" w:hAnsi="Verdana" w:cs="Verdana"/>
      <w:sz w:val="20"/>
      <w:lang w:val="en-US" w:eastAsia="en-US"/>
    </w:rPr>
  </w:style>
  <w:style w:type="table" w:styleId="TableGrid">
    <w:name w:val="Table Grid"/>
    <w:basedOn w:val="TableNormal"/>
    <w:rsid w:val="00C60D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C74327"/>
    <w:rPr>
      <w:sz w:val="16"/>
      <w:szCs w:val="16"/>
    </w:rPr>
  </w:style>
  <w:style w:type="paragraph" w:styleId="CommentText">
    <w:name w:val="annotation text"/>
    <w:basedOn w:val="Normal"/>
    <w:link w:val="CommentTextChar"/>
    <w:uiPriority w:val="99"/>
    <w:rsid w:val="00C74327"/>
    <w:rPr>
      <w:sz w:val="20"/>
    </w:rPr>
  </w:style>
  <w:style w:type="paragraph" w:styleId="CommentSubject">
    <w:name w:val="annotation subject"/>
    <w:basedOn w:val="CommentText"/>
    <w:next w:val="CommentText"/>
    <w:semiHidden/>
    <w:rsid w:val="00C74327"/>
    <w:rPr>
      <w:b/>
      <w:bCs/>
    </w:rPr>
  </w:style>
  <w:style w:type="character" w:styleId="Hyperlink">
    <w:name w:val="Hyperlink"/>
    <w:basedOn w:val="DefaultParagraphFont"/>
    <w:rsid w:val="00E301C4"/>
    <w:rPr>
      <w:color w:val="0000FF"/>
      <w:u w:val="single"/>
    </w:rPr>
  </w:style>
  <w:style w:type="paragraph" w:customStyle="1" w:styleId="subsection">
    <w:name w:val="subsection"/>
    <w:aliases w:val="ss"/>
    <w:rsid w:val="00B16CCB"/>
    <w:pPr>
      <w:tabs>
        <w:tab w:val="right" w:pos="1021"/>
      </w:tabs>
      <w:spacing w:before="180"/>
      <w:ind w:left="1134" w:hanging="1134"/>
    </w:pPr>
    <w:rPr>
      <w:sz w:val="22"/>
      <w:szCs w:val="24"/>
    </w:rPr>
  </w:style>
  <w:style w:type="character" w:customStyle="1" w:styleId="CommentTextChar">
    <w:name w:val="Comment Text Char"/>
    <w:basedOn w:val="DefaultParagraphFont"/>
    <w:link w:val="CommentText"/>
    <w:uiPriority w:val="99"/>
    <w:rsid w:val="0077206F"/>
    <w:rPr>
      <w:rFonts w:ascii="Tms Rmn" w:hAnsi="Tms Rmn"/>
    </w:rPr>
  </w:style>
  <w:style w:type="paragraph" w:styleId="FootnoteText">
    <w:name w:val="footnote text"/>
    <w:basedOn w:val="Normal"/>
    <w:link w:val="FootnoteTextChar"/>
    <w:unhideWhenUsed/>
    <w:rsid w:val="00447DA4"/>
    <w:rPr>
      <w:sz w:val="20"/>
    </w:rPr>
  </w:style>
  <w:style w:type="character" w:customStyle="1" w:styleId="FootnoteTextChar">
    <w:name w:val="Footnote Text Char"/>
    <w:basedOn w:val="DefaultParagraphFont"/>
    <w:link w:val="FootnoteText"/>
    <w:rsid w:val="00447DA4"/>
    <w:rPr>
      <w:rFonts w:ascii="Tms Rmn" w:hAnsi="Tms Rmn"/>
    </w:rPr>
  </w:style>
  <w:style w:type="character" w:styleId="FootnoteReference">
    <w:name w:val="footnote reference"/>
    <w:basedOn w:val="DefaultParagraphFont"/>
    <w:uiPriority w:val="99"/>
    <w:semiHidden/>
    <w:unhideWhenUsed/>
    <w:rsid w:val="00447DA4"/>
    <w:rPr>
      <w:vertAlign w:val="superscript"/>
    </w:rPr>
  </w:style>
  <w:style w:type="paragraph" w:styleId="DocumentMap">
    <w:name w:val="Document Map"/>
    <w:basedOn w:val="Normal"/>
    <w:link w:val="DocumentMapChar"/>
    <w:uiPriority w:val="99"/>
    <w:semiHidden/>
    <w:unhideWhenUsed/>
    <w:rsid w:val="00F955CF"/>
    <w:rPr>
      <w:rFonts w:ascii="Tahoma" w:hAnsi="Tahoma" w:cs="Tahoma"/>
      <w:sz w:val="16"/>
      <w:szCs w:val="16"/>
    </w:rPr>
  </w:style>
  <w:style w:type="character" w:customStyle="1" w:styleId="DocumentMapChar">
    <w:name w:val="Document Map Char"/>
    <w:basedOn w:val="DefaultParagraphFont"/>
    <w:link w:val="DocumentMap"/>
    <w:uiPriority w:val="99"/>
    <w:semiHidden/>
    <w:rsid w:val="00F955CF"/>
    <w:rPr>
      <w:rFonts w:ascii="Tahoma" w:hAnsi="Tahoma" w:cs="Tahoma"/>
      <w:sz w:val="16"/>
      <w:szCs w:val="16"/>
    </w:rPr>
  </w:style>
  <w:style w:type="paragraph" w:styleId="Revision">
    <w:name w:val="Revision"/>
    <w:hidden/>
    <w:uiPriority w:val="99"/>
    <w:semiHidden/>
    <w:rsid w:val="00161C2A"/>
    <w:rPr>
      <w:rFonts w:ascii="Tms Rmn" w:hAnsi="Tms Rmn"/>
      <w:sz w:val="24"/>
    </w:rPr>
  </w:style>
</w:styles>
</file>

<file path=word/webSettings.xml><?xml version="1.0" encoding="utf-8"?>
<w:webSettings xmlns:r="http://schemas.openxmlformats.org/officeDocument/2006/relationships" xmlns:w="http://schemas.openxmlformats.org/wordprocessingml/2006/main">
  <w:divs>
    <w:div w:id="229508477">
      <w:bodyDiv w:val="1"/>
      <w:marLeft w:val="0"/>
      <w:marRight w:val="0"/>
      <w:marTop w:val="0"/>
      <w:marBottom w:val="0"/>
      <w:divBdr>
        <w:top w:val="none" w:sz="0" w:space="0" w:color="auto"/>
        <w:left w:val="none" w:sz="0" w:space="0" w:color="auto"/>
        <w:bottom w:val="none" w:sz="0" w:space="0" w:color="auto"/>
        <w:right w:val="none" w:sz="0" w:space="0" w:color="auto"/>
      </w:divBdr>
    </w:div>
    <w:div w:id="626740452">
      <w:bodyDiv w:val="1"/>
      <w:marLeft w:val="0"/>
      <w:marRight w:val="0"/>
      <w:marTop w:val="0"/>
      <w:marBottom w:val="0"/>
      <w:divBdr>
        <w:top w:val="none" w:sz="0" w:space="0" w:color="auto"/>
        <w:left w:val="none" w:sz="0" w:space="0" w:color="auto"/>
        <w:bottom w:val="none" w:sz="0" w:space="0" w:color="auto"/>
        <w:right w:val="none" w:sz="0" w:space="0" w:color="auto"/>
      </w:divBdr>
      <w:divsChild>
        <w:div w:id="709963283">
          <w:marLeft w:val="0"/>
          <w:marRight w:val="0"/>
          <w:marTop w:val="0"/>
          <w:marBottom w:val="0"/>
          <w:divBdr>
            <w:top w:val="none" w:sz="0" w:space="0" w:color="auto"/>
            <w:left w:val="none" w:sz="0" w:space="0" w:color="auto"/>
            <w:bottom w:val="none" w:sz="0" w:space="0" w:color="auto"/>
            <w:right w:val="none" w:sz="0" w:space="0" w:color="auto"/>
          </w:divBdr>
          <w:divsChild>
            <w:div w:id="159720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nztpa.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ga.gov.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03954C-A70A-4C4C-8F53-3DCAFBA12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1633</Words>
  <Characters>8949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3</vt:lpstr>
    </vt:vector>
  </TitlesOfParts>
  <LinksUpToDate>false</LinksUpToDate>
  <CharactersWithSpaces>10561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carteb</dc:creator>
  <cp:lastModifiedBy/>
  <cp:revision>1</cp:revision>
  <cp:lastPrinted>2009-11-05T04:54:00Z</cp:lastPrinted>
  <dcterms:created xsi:type="dcterms:W3CDTF">2012-11-25T23:09:00Z</dcterms:created>
  <dcterms:modified xsi:type="dcterms:W3CDTF">2012-11-25T23:09:00Z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NTSAVE</vt:lpwstr>
  </property>
</Properties>
</file>