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63" w:rsidRDefault="00E97463" w:rsidP="00E97463">
      <w:bookmarkStart w:id="0" w:name="_Toc168113228"/>
      <w:r>
        <w:rPr>
          <w:noProof/>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E97463" w:rsidRDefault="00E97463" w:rsidP="00E97463">
      <w:pPr>
        <w:pStyle w:val="Title"/>
        <w:spacing w:after="0"/>
        <w:ind w:left="0"/>
        <w:jc w:val="left"/>
      </w:pPr>
      <w:bookmarkStart w:id="1" w:name="Title"/>
      <w:r>
        <w:t>Banking</w:t>
      </w:r>
      <w:r w:rsidRPr="0036436B">
        <w:t xml:space="preserve"> (</w:t>
      </w:r>
      <w:r>
        <w:t>p</w:t>
      </w:r>
      <w:r w:rsidRPr="0036436B">
        <w:t xml:space="preserve">rudential </w:t>
      </w:r>
      <w:r>
        <w:t>standard</w:t>
      </w:r>
      <w:r w:rsidRPr="0036436B">
        <w:t xml:space="preserve">) </w:t>
      </w:r>
      <w:r>
        <w:t>de</w:t>
      </w:r>
      <w:r w:rsidRPr="0036436B">
        <w:t xml:space="preserve">termination No. </w:t>
      </w:r>
      <w:r>
        <w:t>13</w:t>
      </w:r>
      <w:r w:rsidRPr="0036436B">
        <w:t xml:space="preserve"> of 20</w:t>
      </w:r>
      <w:bookmarkEnd w:id="1"/>
      <w:r>
        <w:t>12</w:t>
      </w:r>
    </w:p>
    <w:p w:rsidR="00E97463" w:rsidRPr="00C76C1D" w:rsidRDefault="00E97463" w:rsidP="00E97463">
      <w:pPr>
        <w:pStyle w:val="CoverStatRule"/>
        <w:spacing w:before="120"/>
        <w:rPr>
          <w:rFonts w:cs="Arial"/>
          <w:sz w:val="32"/>
          <w:szCs w:val="32"/>
        </w:rPr>
      </w:pPr>
      <w:r>
        <w:rPr>
          <w:rFonts w:cs="Arial"/>
          <w:sz w:val="32"/>
          <w:szCs w:val="32"/>
        </w:rPr>
        <w:t>Prudential Standard APS 221 Large Exposures</w:t>
      </w:r>
    </w:p>
    <w:p w:rsidR="00E97463" w:rsidRDefault="00E97463" w:rsidP="00E97463">
      <w:pPr>
        <w:pStyle w:val="CoverStatRule"/>
      </w:pPr>
    </w:p>
    <w:p w:rsidR="00E97463" w:rsidRPr="00806D50" w:rsidRDefault="00E97463" w:rsidP="00E97463">
      <w:pPr>
        <w:pStyle w:val="CoverAct"/>
        <w:rPr>
          <w:sz w:val="32"/>
          <w:szCs w:val="32"/>
        </w:rPr>
      </w:pPr>
      <w:bookmarkStart w:id="2" w:name="Act"/>
      <w:r w:rsidRPr="00806D50">
        <w:rPr>
          <w:sz w:val="32"/>
          <w:szCs w:val="32"/>
        </w:rPr>
        <w:t>Banking Act 1959</w:t>
      </w:r>
      <w:bookmarkEnd w:id="2"/>
    </w:p>
    <w:p w:rsidR="00E97463" w:rsidRDefault="00E97463" w:rsidP="00E97463">
      <w:pPr>
        <w:pStyle w:val="IntroTo"/>
        <w:ind w:left="0" w:firstLine="0"/>
        <w:rPr>
          <w:szCs w:val="24"/>
        </w:rPr>
      </w:pPr>
    </w:p>
    <w:p w:rsidR="00E97463" w:rsidRDefault="00E97463" w:rsidP="00E97463">
      <w:pPr>
        <w:pStyle w:val="IntroTo"/>
        <w:tabs>
          <w:tab w:val="left" w:pos="-142"/>
        </w:tabs>
        <w:ind w:left="0" w:firstLine="0"/>
        <w:rPr>
          <w:szCs w:val="24"/>
        </w:rPr>
      </w:pPr>
      <w:r w:rsidRPr="007279E5">
        <w:rPr>
          <w:szCs w:val="24"/>
        </w:rPr>
        <w:t xml:space="preserve">I, </w:t>
      </w:r>
      <w:r>
        <w:rPr>
          <w:szCs w:val="24"/>
        </w:rPr>
        <w:t>John Francis Laker, delegate of APRA:</w:t>
      </w:r>
    </w:p>
    <w:p w:rsidR="00E97463" w:rsidRPr="009B75B2" w:rsidRDefault="00E97463" w:rsidP="00E97463">
      <w:pPr>
        <w:pStyle w:val="IntroTo"/>
        <w:tabs>
          <w:tab w:val="left" w:pos="567"/>
        </w:tabs>
        <w:ind w:left="567" w:hanging="567"/>
      </w:pPr>
      <w:r>
        <w:t>(a</w:t>
      </w:r>
      <w:r w:rsidRPr="009B75B2">
        <w:t>)</w:t>
      </w:r>
      <w:r w:rsidRPr="009B75B2">
        <w:tab/>
      </w:r>
      <w:proofErr w:type="gramStart"/>
      <w:r w:rsidRPr="004C4347">
        <w:rPr>
          <w:szCs w:val="24"/>
        </w:rPr>
        <w:t>under</w:t>
      </w:r>
      <w:proofErr w:type="gramEnd"/>
      <w:r>
        <w:t xml:space="preserve"> subsection 11AF(3) of </w:t>
      </w:r>
      <w:r w:rsidR="00355C7B">
        <w:t xml:space="preserve">the </w:t>
      </w:r>
      <w:r w:rsidR="00355C7B">
        <w:rPr>
          <w:i/>
        </w:rPr>
        <w:t>Banking Act 1959</w:t>
      </w:r>
      <w:r w:rsidR="00355C7B">
        <w:t xml:space="preserve"> (the Act) </w:t>
      </w:r>
      <w:r>
        <w:t xml:space="preserve">REVOKE </w:t>
      </w:r>
      <w:r>
        <w:rPr>
          <w:szCs w:val="24"/>
        </w:rPr>
        <w:t xml:space="preserve">Banking (prudential standard) </w:t>
      </w:r>
      <w:r w:rsidRPr="004D5A1E">
        <w:rPr>
          <w:szCs w:val="24"/>
        </w:rPr>
        <w:t xml:space="preserve">determination No. 15 of 2007 including </w:t>
      </w:r>
      <w:r w:rsidRPr="004D5A1E">
        <w:rPr>
          <w:i/>
          <w:szCs w:val="24"/>
        </w:rPr>
        <w:t xml:space="preserve">Prudential Standard APS </w:t>
      </w:r>
      <w:r w:rsidRPr="004D5A1E">
        <w:rPr>
          <w:i/>
        </w:rPr>
        <w:t>221 Large</w:t>
      </w:r>
      <w:r>
        <w:rPr>
          <w:i/>
        </w:rPr>
        <w:t xml:space="preserve"> Exposures </w:t>
      </w:r>
      <w:r>
        <w:rPr>
          <w:szCs w:val="24"/>
        </w:rPr>
        <w:t>made under that Determination; and</w:t>
      </w:r>
    </w:p>
    <w:p w:rsidR="00E97463" w:rsidRDefault="00E97463" w:rsidP="00E97463">
      <w:pPr>
        <w:pStyle w:val="IntroTo"/>
        <w:ind w:left="567" w:hanging="567"/>
        <w:rPr>
          <w:szCs w:val="24"/>
        </w:rPr>
      </w:pPr>
      <w:r>
        <w:rPr>
          <w:szCs w:val="24"/>
        </w:rPr>
        <w:t>(b)</w:t>
      </w:r>
      <w:r>
        <w:rPr>
          <w:szCs w:val="24"/>
        </w:rPr>
        <w:tab/>
      </w:r>
      <w:r w:rsidRPr="007279E5">
        <w:rPr>
          <w:szCs w:val="24"/>
        </w:rPr>
        <w:t xml:space="preserve">under </w:t>
      </w:r>
      <w:r>
        <w:rPr>
          <w:szCs w:val="24"/>
        </w:rPr>
        <w:t>subsection</w:t>
      </w:r>
      <w:r w:rsidRPr="007279E5">
        <w:rPr>
          <w:szCs w:val="24"/>
        </w:rPr>
        <w:t xml:space="preserve"> </w:t>
      </w:r>
      <w:r>
        <w:rPr>
          <w:szCs w:val="24"/>
        </w:rPr>
        <w:t>11AF(1)</w:t>
      </w:r>
      <w:r w:rsidRPr="007279E5">
        <w:rPr>
          <w:szCs w:val="24"/>
        </w:rPr>
        <w:t xml:space="preserve"> of </w:t>
      </w:r>
      <w:r w:rsidR="00355C7B">
        <w:rPr>
          <w:szCs w:val="24"/>
        </w:rPr>
        <w:t>the Act</w:t>
      </w:r>
      <w:r>
        <w:rPr>
          <w:szCs w:val="24"/>
        </w:rPr>
        <w:t xml:space="preserve"> DETERMINE </w:t>
      </w:r>
      <w:r w:rsidRPr="00CA7DFF">
        <w:rPr>
          <w:i/>
        </w:rPr>
        <w:t xml:space="preserve">Prudential Standard </w:t>
      </w:r>
      <w:smartTag w:uri="urn:schemas-microsoft-com:office:smarttags" w:element="stockticker">
        <w:r w:rsidRPr="00CA7DFF">
          <w:rPr>
            <w:i/>
          </w:rPr>
          <w:t>APS</w:t>
        </w:r>
      </w:smartTag>
      <w:r w:rsidRPr="00CA7DFF">
        <w:rPr>
          <w:i/>
        </w:rPr>
        <w:t xml:space="preserve"> </w:t>
      </w:r>
      <w:r>
        <w:rPr>
          <w:i/>
        </w:rPr>
        <w:t xml:space="preserve">221 Large Exposures </w:t>
      </w:r>
      <w:r>
        <w:rPr>
          <w:szCs w:val="24"/>
        </w:rPr>
        <w:t xml:space="preserve">in the form </w:t>
      </w:r>
      <w:r w:rsidRPr="0036436B">
        <w:rPr>
          <w:szCs w:val="24"/>
        </w:rPr>
        <w:t xml:space="preserve">set out in the </w:t>
      </w:r>
      <w:r>
        <w:rPr>
          <w:szCs w:val="24"/>
        </w:rPr>
        <w:t xml:space="preserve">attached </w:t>
      </w:r>
      <w:r w:rsidRPr="0036436B">
        <w:rPr>
          <w:szCs w:val="24"/>
        </w:rPr>
        <w:t>Schedule</w:t>
      </w:r>
      <w:r>
        <w:rPr>
          <w:szCs w:val="24"/>
        </w:rPr>
        <w:t xml:space="preserve">, </w:t>
      </w:r>
      <w:r>
        <w:rPr>
          <w:bCs/>
          <w:szCs w:val="24"/>
        </w:rPr>
        <w:t xml:space="preserve">which </w:t>
      </w:r>
      <w:r w:rsidRPr="00447430">
        <w:rPr>
          <w:bCs/>
          <w:szCs w:val="24"/>
        </w:rPr>
        <w:t xml:space="preserve">applies to ADIs and authorised NOHCs to the extent </w:t>
      </w:r>
      <w:r w:rsidRPr="004D5A1E">
        <w:rPr>
          <w:bCs/>
          <w:szCs w:val="24"/>
        </w:rPr>
        <w:t>provided in paragraphs 2 to 5 of the prudential standard</w:t>
      </w:r>
      <w:r>
        <w:rPr>
          <w:szCs w:val="24"/>
        </w:rPr>
        <w:t>.</w:t>
      </w:r>
    </w:p>
    <w:p w:rsidR="00E97463" w:rsidRDefault="00E97463" w:rsidP="00E97463">
      <w:pPr>
        <w:pStyle w:val="IntroTo"/>
        <w:ind w:left="0" w:firstLine="0"/>
      </w:pPr>
      <w:r w:rsidRPr="000E47D2">
        <w:t>This instrument take</w:t>
      </w:r>
      <w:r>
        <w:t>s</w:t>
      </w:r>
      <w:r w:rsidRPr="000E47D2">
        <w:t xml:space="preserve"> effect </w:t>
      </w:r>
      <w:r>
        <w:t xml:space="preserve">on 1 January 2013. </w:t>
      </w:r>
    </w:p>
    <w:p w:rsidR="00E97463" w:rsidRDefault="00E97463" w:rsidP="00E97463">
      <w:pPr>
        <w:spacing w:after="0"/>
        <w:ind w:left="0"/>
      </w:pPr>
      <w:bookmarkStart w:id="3" w:name="bkHideNotes"/>
      <w:bookmarkStart w:id="4" w:name="bkNotes"/>
      <w:bookmarkEnd w:id="3"/>
      <w:bookmarkEnd w:id="4"/>
    </w:p>
    <w:p w:rsidR="00E97463" w:rsidRPr="007279E5" w:rsidRDefault="00E97463" w:rsidP="00E97463">
      <w:pPr>
        <w:spacing w:after="0"/>
        <w:ind w:left="0"/>
      </w:pPr>
      <w:r w:rsidRPr="007279E5">
        <w:t>Dated</w:t>
      </w:r>
      <w:r>
        <w:t xml:space="preserve"> </w:t>
      </w:r>
      <w:r w:rsidR="00B11D13">
        <w:t>29</w:t>
      </w:r>
      <w:r>
        <w:t xml:space="preserve"> November 2012</w:t>
      </w:r>
    </w:p>
    <w:p w:rsidR="00E97463" w:rsidRDefault="00E97463" w:rsidP="00E97463">
      <w:pPr>
        <w:spacing w:after="0"/>
        <w:ind w:left="0"/>
        <w:rPr>
          <w:i/>
        </w:rPr>
      </w:pPr>
    </w:p>
    <w:p w:rsidR="00E97463" w:rsidRPr="00A3252E" w:rsidRDefault="00A3252E" w:rsidP="00E97463">
      <w:pPr>
        <w:spacing w:after="0"/>
        <w:ind w:left="0"/>
      </w:pPr>
      <w:r>
        <w:t>[Signed]</w:t>
      </w:r>
    </w:p>
    <w:p w:rsidR="00E97463" w:rsidRPr="007279E5" w:rsidRDefault="00E97463" w:rsidP="00E97463">
      <w:pPr>
        <w:spacing w:after="0"/>
        <w:ind w:left="0"/>
        <w:rPr>
          <w:i/>
        </w:rPr>
      </w:pPr>
    </w:p>
    <w:p w:rsidR="00E97463" w:rsidRDefault="00E97463" w:rsidP="00E97463">
      <w:pPr>
        <w:spacing w:after="0"/>
        <w:ind w:left="0"/>
      </w:pPr>
      <w:r>
        <w:t>John Francis Laker</w:t>
      </w:r>
    </w:p>
    <w:p w:rsidR="00E97463" w:rsidRDefault="00E97463" w:rsidP="00E97463">
      <w:pPr>
        <w:spacing w:after="0"/>
        <w:ind w:left="0"/>
      </w:pPr>
      <w:r>
        <w:t>Chair</w:t>
      </w:r>
    </w:p>
    <w:p w:rsidR="00E97463" w:rsidRPr="00123776" w:rsidRDefault="00E97463" w:rsidP="00E97463">
      <w:pPr>
        <w:pStyle w:val="AS"/>
        <w:spacing w:before="600"/>
        <w:ind w:left="0" w:firstLine="0"/>
        <w:rPr>
          <w:b w:val="0"/>
          <w:sz w:val="18"/>
        </w:rPr>
      </w:pPr>
      <w:r w:rsidRPr="0036436B">
        <w:rPr>
          <w:rStyle w:val="CharSchNo"/>
          <w:sz w:val="24"/>
          <w:szCs w:val="24"/>
        </w:rPr>
        <w:t>Interpretation</w:t>
      </w:r>
      <w:r>
        <w:rPr>
          <w:rStyle w:val="CharSchNo"/>
          <w:sz w:val="24"/>
          <w:szCs w:val="24"/>
        </w:rPr>
        <w:t xml:space="preserve"> </w:t>
      </w:r>
    </w:p>
    <w:p w:rsidR="00E97463" w:rsidRPr="007279E5" w:rsidRDefault="00E97463" w:rsidP="00E97463">
      <w:pPr>
        <w:pStyle w:val="IP"/>
        <w:spacing w:before="0" w:line="240" w:lineRule="auto"/>
      </w:pPr>
      <w:r w:rsidRPr="007279E5">
        <w:t xml:space="preserve">In this </w:t>
      </w:r>
      <w:r>
        <w:t>instrument:</w:t>
      </w:r>
    </w:p>
    <w:p w:rsidR="00E97463" w:rsidRDefault="00E97463" w:rsidP="00E97463">
      <w:pPr>
        <w:pStyle w:val="definition"/>
        <w:spacing w:before="0" w:line="240" w:lineRule="auto"/>
        <w:ind w:left="0"/>
        <w:jc w:val="left"/>
        <w:rPr>
          <w:b/>
          <w:i/>
        </w:rPr>
      </w:pPr>
      <w:proofErr w:type="gramStart"/>
      <w:r>
        <w:rPr>
          <w:b/>
          <w:bCs/>
          <w:i/>
          <w:iCs/>
        </w:rPr>
        <w:t xml:space="preserve">ADI  </w:t>
      </w:r>
      <w:r>
        <w:t>is</w:t>
      </w:r>
      <w:proofErr w:type="gramEnd"/>
      <w:r>
        <w:t xml:space="preserve"> short </w:t>
      </w:r>
      <w:r w:rsidRPr="00324E19">
        <w:t xml:space="preserve">for </w:t>
      </w:r>
      <w:hyperlink r:id="rId9" w:anchor="authorised_deposit-taking_institution" w:history="1">
        <w:r w:rsidRPr="00324E19">
          <w:rPr>
            <w:rStyle w:val="Hyperlink"/>
            <w:color w:val="auto"/>
            <w:u w:val="none"/>
          </w:rPr>
          <w:t>authorised deposit-taking institution</w:t>
        </w:r>
      </w:hyperlink>
      <w:r w:rsidRPr="00324E19">
        <w:t xml:space="preserve"> which</w:t>
      </w:r>
      <w:r>
        <w:t xml:space="preserve"> has the meaning given in section 5 of the Act.</w:t>
      </w:r>
    </w:p>
    <w:p w:rsidR="00E97463" w:rsidRDefault="00E97463" w:rsidP="00E97463">
      <w:pPr>
        <w:pStyle w:val="definition"/>
        <w:spacing w:before="0" w:line="240" w:lineRule="auto"/>
        <w:ind w:left="0"/>
        <w:jc w:val="left"/>
      </w:pPr>
      <w:r w:rsidRPr="007279E5">
        <w:rPr>
          <w:b/>
          <w:i/>
        </w:rPr>
        <w:t xml:space="preserve">APRA </w:t>
      </w:r>
      <w:r w:rsidRPr="007279E5">
        <w:t>means the Australian Prudential Regulation Authority.</w:t>
      </w:r>
    </w:p>
    <w:p w:rsidR="00E97463" w:rsidRDefault="00E97463" w:rsidP="00E97463">
      <w:pPr>
        <w:pStyle w:val="definition"/>
        <w:spacing w:before="0" w:line="240" w:lineRule="auto"/>
        <w:ind w:left="0"/>
        <w:jc w:val="left"/>
      </w:pPr>
      <w:proofErr w:type="gramStart"/>
      <w:r w:rsidRPr="001F2AE7">
        <w:rPr>
          <w:b/>
          <w:i/>
        </w:rPr>
        <w:t>authorised</w:t>
      </w:r>
      <w:proofErr w:type="gramEnd"/>
      <w:r w:rsidRPr="001F2AE7">
        <w:rPr>
          <w:b/>
          <w:i/>
        </w:rPr>
        <w:t xml:space="preserve"> NOHC</w:t>
      </w:r>
      <w:r>
        <w:t xml:space="preserve"> has the meaning given in section 5 of the Act.</w:t>
      </w:r>
    </w:p>
    <w:p w:rsidR="00E97463" w:rsidRPr="00C118A4" w:rsidRDefault="00E97463" w:rsidP="00E97463">
      <w:pPr>
        <w:pStyle w:val="definition"/>
        <w:spacing w:before="240"/>
        <w:jc w:val="center"/>
        <w:rPr>
          <w:rFonts w:ascii="Arial" w:hAnsi="Arial" w:cs="Arial"/>
          <w:b/>
          <w:sz w:val="28"/>
          <w:szCs w:val="28"/>
        </w:rPr>
      </w:pPr>
      <w:r>
        <w:rPr>
          <w:rFonts w:ascii="Arial" w:hAnsi="Arial" w:cs="Arial"/>
          <w:b/>
          <w:sz w:val="28"/>
          <w:szCs w:val="28"/>
        </w:rPr>
        <w:br w:type="page"/>
      </w:r>
      <w:r w:rsidRPr="00C118A4">
        <w:rPr>
          <w:rFonts w:ascii="Arial" w:hAnsi="Arial" w:cs="Arial"/>
          <w:b/>
          <w:sz w:val="28"/>
          <w:szCs w:val="28"/>
        </w:rPr>
        <w:lastRenderedPageBreak/>
        <w:t>Schedule</w:t>
      </w:r>
    </w:p>
    <w:p w:rsidR="00E97463" w:rsidRDefault="00E97463" w:rsidP="00E97463">
      <w:pPr>
        <w:pStyle w:val="definition"/>
        <w:spacing w:before="360"/>
      </w:pPr>
      <w:r w:rsidRPr="008759CC">
        <w:rPr>
          <w:i/>
        </w:rPr>
        <w:t xml:space="preserve">Prudential Standard </w:t>
      </w:r>
      <w:smartTag w:uri="urn:schemas-microsoft-com:office:smarttags" w:element="stockticker">
        <w:r w:rsidRPr="008759CC">
          <w:rPr>
            <w:i/>
          </w:rPr>
          <w:t>APS</w:t>
        </w:r>
      </w:smartTag>
      <w:r w:rsidRPr="008759CC">
        <w:rPr>
          <w:i/>
        </w:rPr>
        <w:t xml:space="preserve"> </w:t>
      </w:r>
      <w:r>
        <w:rPr>
          <w:i/>
        </w:rPr>
        <w:t xml:space="preserve">221 Large Exposures </w:t>
      </w:r>
      <w:r>
        <w:t>comprises the 7 pages commencing on the following page.</w:t>
      </w:r>
      <w:bookmarkStart w:id="5" w:name="_Ref183256332"/>
      <w:bookmarkStart w:id="6" w:name="_Toc168113229"/>
      <w:bookmarkEnd w:id="0"/>
      <w:bookmarkEnd w:id="5"/>
      <w:bookmarkEnd w:id="6"/>
    </w:p>
    <w:p w:rsidR="00E97463" w:rsidRPr="00FA5CD6" w:rsidRDefault="00E97463" w:rsidP="00E97463">
      <w:pPr>
        <w:pStyle w:val="definition"/>
        <w:spacing w:before="360"/>
        <w:sectPr w:rsidR="00E97463" w:rsidRPr="00FA5CD6" w:rsidSect="0084257E">
          <w:headerReference w:type="default" r:id="rId10"/>
          <w:footerReference w:type="default" r:id="rId11"/>
          <w:pgSz w:w="11906" w:h="16838"/>
          <w:pgMar w:top="1440" w:right="1800" w:bottom="1440" w:left="1800" w:header="708" w:footer="708" w:gutter="0"/>
          <w:pgNumType w:start="1"/>
          <w:cols w:space="708"/>
          <w:docGrid w:linePitch="360"/>
        </w:sectPr>
      </w:pPr>
    </w:p>
    <w:p w:rsidR="008C7AFB" w:rsidRDefault="004E1A1F" w:rsidP="004F54F9">
      <w:pPr>
        <w:pStyle w:val="Heading"/>
        <w:jc w:val="center"/>
        <w:rPr>
          <w:sz w:val="24"/>
          <w:szCs w:val="24"/>
        </w:rPr>
      </w:pPr>
      <w:r>
        <w:rPr>
          <w:noProof/>
        </w:rPr>
        <w:lastRenderedPageBreak/>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1419225" cy="110490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19225" cy="1104900"/>
                    </a:xfrm>
                    <a:prstGeom prst="rect">
                      <a:avLst/>
                    </a:prstGeom>
                    <a:noFill/>
                    <a:ln w="9525">
                      <a:noFill/>
                      <a:miter lim="800000"/>
                      <a:headEnd/>
                      <a:tailEnd/>
                    </a:ln>
                  </pic:spPr>
                </pic:pic>
              </a:graphicData>
            </a:graphic>
          </wp:anchor>
        </w:drawing>
      </w:r>
    </w:p>
    <w:p w:rsidR="009223A5" w:rsidRDefault="009223A5" w:rsidP="008C7AFB">
      <w:pPr>
        <w:pStyle w:val="Heading1"/>
        <w:spacing w:before="100" w:beforeAutospacing="1"/>
        <w:rPr>
          <w:sz w:val="40"/>
          <w:szCs w:val="40"/>
        </w:rPr>
      </w:pPr>
    </w:p>
    <w:p w:rsidR="004F54F9" w:rsidRDefault="004F54F9" w:rsidP="008C7AFB">
      <w:pPr>
        <w:pStyle w:val="Heading1"/>
        <w:spacing w:before="100" w:beforeAutospacing="1"/>
        <w:rPr>
          <w:sz w:val="40"/>
          <w:szCs w:val="40"/>
        </w:rPr>
      </w:pPr>
    </w:p>
    <w:p w:rsidR="008C7AFB" w:rsidRPr="008C7AFB" w:rsidRDefault="008C7AFB" w:rsidP="00BD3922">
      <w:pPr>
        <w:pStyle w:val="Heading1"/>
        <w:ind w:left="567"/>
        <w:rPr>
          <w:sz w:val="50"/>
        </w:rPr>
      </w:pPr>
      <w:r w:rsidRPr="005B6B98">
        <w:rPr>
          <w:sz w:val="40"/>
          <w:szCs w:val="40"/>
        </w:rPr>
        <w:t xml:space="preserve">Prudential Standard </w:t>
      </w:r>
      <w:r w:rsidR="002F2BDB">
        <w:rPr>
          <w:sz w:val="40"/>
          <w:szCs w:val="40"/>
        </w:rPr>
        <w:t>A</w:t>
      </w:r>
      <w:r w:rsidRPr="005B6B98">
        <w:rPr>
          <w:sz w:val="40"/>
          <w:szCs w:val="40"/>
        </w:rPr>
        <w:t xml:space="preserve">PS </w:t>
      </w:r>
      <w:r w:rsidR="00AB4D3C">
        <w:rPr>
          <w:sz w:val="40"/>
          <w:szCs w:val="40"/>
        </w:rPr>
        <w:t>221</w:t>
      </w:r>
    </w:p>
    <w:p w:rsidR="008C7AFB" w:rsidRPr="00074B33" w:rsidRDefault="00AB4D3C" w:rsidP="003177B2">
      <w:pPr>
        <w:pStyle w:val="Heading2"/>
        <w:spacing w:before="120" w:after="240"/>
        <w:rPr>
          <w:i w:val="0"/>
          <w:sz w:val="40"/>
          <w:szCs w:val="40"/>
        </w:rPr>
      </w:pPr>
      <w:r>
        <w:rPr>
          <w:i w:val="0"/>
          <w:sz w:val="40"/>
          <w:szCs w:val="40"/>
        </w:rPr>
        <w:t>Large Exposures</w:t>
      </w:r>
    </w:p>
    <w:p w:rsidR="008C7AFB" w:rsidRPr="00B2654F" w:rsidRDefault="008C7AFB" w:rsidP="00F578AF">
      <w:pPr>
        <w:pStyle w:val="Heading3"/>
        <w:pBdr>
          <w:top w:val="single" w:sz="4" w:space="1" w:color="auto"/>
          <w:left w:val="single" w:sz="4" w:space="4" w:color="auto"/>
          <w:bottom w:val="single" w:sz="4" w:space="1" w:color="auto"/>
          <w:right w:val="single" w:sz="4" w:space="4" w:color="auto"/>
        </w:pBdr>
        <w:shd w:val="pct10" w:color="auto" w:fill="auto"/>
        <w:spacing w:before="120" w:after="240"/>
        <w:rPr>
          <w:sz w:val="32"/>
          <w:szCs w:val="32"/>
        </w:rPr>
      </w:pPr>
      <w:r w:rsidRPr="00B2654F">
        <w:rPr>
          <w:sz w:val="32"/>
          <w:szCs w:val="32"/>
        </w:rPr>
        <w:t xml:space="preserve">Objective and </w:t>
      </w:r>
      <w:r w:rsidR="00B2654F" w:rsidRPr="00B2654F">
        <w:rPr>
          <w:sz w:val="32"/>
          <w:szCs w:val="32"/>
        </w:rPr>
        <w:t>k</w:t>
      </w:r>
      <w:r w:rsidRPr="00B2654F">
        <w:rPr>
          <w:sz w:val="32"/>
          <w:szCs w:val="32"/>
        </w:rPr>
        <w:t xml:space="preserve">ey </w:t>
      </w:r>
      <w:r w:rsidR="00B2654F" w:rsidRPr="00B2654F">
        <w:rPr>
          <w:sz w:val="32"/>
          <w:szCs w:val="32"/>
        </w:rPr>
        <w:t>r</w:t>
      </w:r>
      <w:r w:rsidRPr="00B2654F">
        <w:rPr>
          <w:sz w:val="32"/>
          <w:szCs w:val="32"/>
        </w:rPr>
        <w:t xml:space="preserve">equirements of this </w:t>
      </w:r>
      <w:r w:rsidR="00A63752">
        <w:rPr>
          <w:sz w:val="32"/>
          <w:szCs w:val="32"/>
        </w:rPr>
        <w:t>Prudential S</w:t>
      </w:r>
      <w:r w:rsidRPr="00B2654F">
        <w:rPr>
          <w:sz w:val="32"/>
          <w:szCs w:val="32"/>
        </w:rPr>
        <w:t>tandard</w:t>
      </w:r>
    </w:p>
    <w:p w:rsidR="00AB4D3C" w:rsidRDefault="00AB4D3C" w:rsidP="00F578AF">
      <w:pPr>
        <w:pStyle w:val="BodyText"/>
        <w:pBdr>
          <w:top w:val="single" w:sz="4" w:space="1" w:color="auto"/>
          <w:left w:val="single" w:sz="4" w:space="4" w:color="auto"/>
          <w:bottom w:val="single" w:sz="4" w:space="1" w:color="auto"/>
          <w:right w:val="single" w:sz="4" w:space="4" w:color="auto"/>
        </w:pBdr>
        <w:shd w:val="pct10" w:color="auto" w:fill="auto"/>
        <w:spacing w:after="240"/>
      </w:pPr>
      <w:r w:rsidRPr="00BD3922">
        <w:t>This</w:t>
      </w:r>
      <w:r w:rsidR="00D817DA" w:rsidRPr="00BD3922">
        <w:t xml:space="preserve"> Prudential S</w:t>
      </w:r>
      <w:r w:rsidRPr="00BD3922">
        <w:t xml:space="preserve">tandard </w:t>
      </w:r>
      <w:r w:rsidR="00297070" w:rsidRPr="00BD3922">
        <w:t xml:space="preserve">requires authorised deposit-taking institutions to </w:t>
      </w:r>
      <w:r w:rsidRPr="00BD3922">
        <w:t xml:space="preserve">implement </w:t>
      </w:r>
      <w:r w:rsidR="00297070" w:rsidRPr="00BD3922">
        <w:t xml:space="preserve">prudent </w:t>
      </w:r>
      <w:r w:rsidRPr="00BD3922">
        <w:t xml:space="preserve">measures and </w:t>
      </w:r>
      <w:r w:rsidR="00127B57" w:rsidRPr="00BD3922">
        <w:t xml:space="preserve">to </w:t>
      </w:r>
      <w:r w:rsidR="00297070" w:rsidRPr="00BD3922">
        <w:t xml:space="preserve">set </w:t>
      </w:r>
      <w:r w:rsidRPr="00BD3922">
        <w:t>prudent limits to monitor and control their large exposures</w:t>
      </w:r>
      <w:r w:rsidR="00127B57" w:rsidRPr="00BD3922">
        <w:t>,</w:t>
      </w:r>
      <w:r w:rsidRPr="00BD3922">
        <w:t xml:space="preserve"> on both a </w:t>
      </w:r>
      <w:r w:rsidR="00127B57" w:rsidRPr="00BD3922">
        <w:t>Level 1</w:t>
      </w:r>
      <w:r w:rsidRPr="00BD3922">
        <w:t xml:space="preserve"> and </w:t>
      </w:r>
      <w:r w:rsidR="00127B57" w:rsidRPr="00BD3922">
        <w:t>Level 2</w:t>
      </w:r>
      <w:r w:rsidRPr="00BD3922">
        <w:t xml:space="preserve"> basis.</w:t>
      </w:r>
    </w:p>
    <w:p w:rsidR="00E76EE7" w:rsidRDefault="008C7AFB">
      <w:pPr>
        <w:pStyle w:val="Heading1"/>
      </w:pPr>
      <w:r>
        <w:rPr>
          <w:sz w:val="36"/>
        </w:rPr>
        <w:br w:type="page"/>
      </w:r>
      <w:r w:rsidRPr="00F578AF">
        <w:lastRenderedPageBreak/>
        <w:t xml:space="preserve">Authority </w:t>
      </w:r>
    </w:p>
    <w:p w:rsidR="00E76EE7" w:rsidRDefault="008C7AFB">
      <w:pPr>
        <w:pStyle w:val="BodyText1"/>
      </w:pPr>
      <w:r w:rsidRPr="00B45D5D">
        <w:t xml:space="preserve">This </w:t>
      </w:r>
      <w:r w:rsidR="00B5640F" w:rsidRPr="00B45D5D">
        <w:t>P</w:t>
      </w:r>
      <w:r w:rsidRPr="00B45D5D">
        <w:t xml:space="preserve">rudential </w:t>
      </w:r>
      <w:r w:rsidR="00B5640F" w:rsidRPr="00B45D5D">
        <w:t>S</w:t>
      </w:r>
      <w:r w:rsidRPr="00B45D5D">
        <w:t>tandard</w:t>
      </w:r>
      <w:r w:rsidR="00F578AF">
        <w:t xml:space="preserve"> is</w:t>
      </w:r>
      <w:r w:rsidRPr="00B45D5D">
        <w:t xml:space="preserve"> made under </w:t>
      </w:r>
      <w:r w:rsidR="003C3A30" w:rsidRPr="00B45D5D">
        <w:t>section 11AF</w:t>
      </w:r>
      <w:r w:rsidRPr="00B45D5D">
        <w:t xml:space="preserve"> of the </w:t>
      </w:r>
      <w:r w:rsidR="003C3A30" w:rsidRPr="00B45D5D">
        <w:rPr>
          <w:i/>
        </w:rPr>
        <w:t xml:space="preserve">Banking </w:t>
      </w:r>
      <w:r w:rsidRPr="00B45D5D">
        <w:rPr>
          <w:i/>
        </w:rPr>
        <w:t xml:space="preserve">Act </w:t>
      </w:r>
      <w:r w:rsidR="00DC5149" w:rsidRPr="00B45D5D">
        <w:rPr>
          <w:i/>
        </w:rPr>
        <w:t>1959</w:t>
      </w:r>
      <w:r w:rsidRPr="00B45D5D">
        <w:t xml:space="preserve"> (</w:t>
      </w:r>
      <w:r w:rsidR="00F23681" w:rsidRPr="0084257E">
        <w:t>the</w:t>
      </w:r>
      <w:r w:rsidR="00F23681" w:rsidRPr="00FC71D4">
        <w:rPr>
          <w:b/>
        </w:rPr>
        <w:t xml:space="preserve"> Banking Act</w:t>
      </w:r>
      <w:r w:rsidRPr="00B45D5D">
        <w:t>)</w:t>
      </w:r>
      <w:r w:rsidR="00F578AF">
        <w:t>.</w:t>
      </w:r>
    </w:p>
    <w:p w:rsidR="00E76EE7" w:rsidRDefault="00F578AF">
      <w:pPr>
        <w:pStyle w:val="Heading1"/>
      </w:pPr>
      <w:r w:rsidRPr="00F578AF">
        <w:t>Application</w:t>
      </w:r>
    </w:p>
    <w:p w:rsidR="00E76EE7" w:rsidRDefault="00F578AF">
      <w:pPr>
        <w:pStyle w:val="BodyText1"/>
      </w:pPr>
      <w:r>
        <w:t>This Prudential Standard</w:t>
      </w:r>
      <w:r w:rsidR="008C7AFB" w:rsidRPr="00B45D5D">
        <w:t xml:space="preserve"> applies to all </w:t>
      </w:r>
      <w:r w:rsidR="00054813" w:rsidRPr="00054813">
        <w:rPr>
          <w:b/>
        </w:rPr>
        <w:t>authorised deposit-taking institutions</w:t>
      </w:r>
      <w:r w:rsidR="002425B5" w:rsidRPr="00B45D5D">
        <w:t xml:space="preserve"> </w:t>
      </w:r>
      <w:r w:rsidR="008C7AFB" w:rsidRPr="00B45D5D">
        <w:t>(</w:t>
      </w:r>
      <w:r w:rsidR="00054813" w:rsidRPr="00054813">
        <w:rPr>
          <w:b/>
        </w:rPr>
        <w:t>ADIs</w:t>
      </w:r>
      <w:r w:rsidR="008C7AFB" w:rsidRPr="00B45D5D">
        <w:t>)</w:t>
      </w:r>
      <w:r w:rsidR="004B3073">
        <w:t>, subject to paragraph 3</w:t>
      </w:r>
      <w:r w:rsidR="008C7AFB" w:rsidRPr="00B45D5D">
        <w:t>.</w:t>
      </w:r>
    </w:p>
    <w:p w:rsidR="004B3073" w:rsidRDefault="006E64A7">
      <w:pPr>
        <w:pStyle w:val="BodyText1"/>
      </w:pPr>
      <w:r w:rsidRPr="00775800">
        <w:t xml:space="preserve">This </w:t>
      </w:r>
      <w:r>
        <w:t xml:space="preserve">Prudential </w:t>
      </w:r>
      <w:r w:rsidRPr="00775800">
        <w:t>Standard does not apply to</w:t>
      </w:r>
      <w:r w:rsidR="004B3073">
        <w:t>:</w:t>
      </w:r>
    </w:p>
    <w:p w:rsidR="004B3073" w:rsidRDefault="004B3073" w:rsidP="004B3073">
      <w:pPr>
        <w:pStyle w:val="BodyText1"/>
        <w:numPr>
          <w:ilvl w:val="1"/>
          <w:numId w:val="2"/>
        </w:numPr>
        <w:tabs>
          <w:tab w:val="clear" w:pos="1005"/>
          <w:tab w:val="num" w:pos="1134"/>
        </w:tabs>
        <w:ind w:left="1134" w:hanging="594"/>
      </w:pPr>
      <w:r w:rsidRPr="004B3073">
        <w:rPr>
          <w:b/>
        </w:rPr>
        <w:t xml:space="preserve">purchased payment facility providers </w:t>
      </w:r>
      <w:r w:rsidRPr="004B3073">
        <w:t>(</w:t>
      </w:r>
      <w:r w:rsidRPr="004B3073">
        <w:rPr>
          <w:b/>
        </w:rPr>
        <w:t>PPF providers</w:t>
      </w:r>
      <w:r w:rsidRPr="004B3073">
        <w:t>)</w:t>
      </w:r>
      <w:r>
        <w:t xml:space="preserve">; </w:t>
      </w:r>
      <w:r w:rsidR="00FF6ACE">
        <w:t>or</w:t>
      </w:r>
    </w:p>
    <w:p w:rsidR="00E76EE7" w:rsidRDefault="00054813" w:rsidP="004B3073">
      <w:pPr>
        <w:pStyle w:val="BodyText1"/>
        <w:numPr>
          <w:ilvl w:val="1"/>
          <w:numId w:val="2"/>
        </w:numPr>
        <w:tabs>
          <w:tab w:val="clear" w:pos="1005"/>
          <w:tab w:val="num" w:pos="1134"/>
        </w:tabs>
        <w:ind w:left="1134" w:hanging="594"/>
      </w:pPr>
      <w:proofErr w:type="gramStart"/>
      <w:r w:rsidRPr="00054813">
        <w:rPr>
          <w:b/>
        </w:rPr>
        <w:t>foreign</w:t>
      </w:r>
      <w:proofErr w:type="gramEnd"/>
      <w:r w:rsidRPr="00054813">
        <w:rPr>
          <w:b/>
        </w:rPr>
        <w:t xml:space="preserve"> ADIs</w:t>
      </w:r>
      <w:r w:rsidR="006E64A7" w:rsidRPr="00775800">
        <w:t xml:space="preserve"> in Australia </w:t>
      </w:r>
      <w:r w:rsidR="009018A6">
        <w:t>that</w:t>
      </w:r>
      <w:r w:rsidR="009018A6" w:rsidRPr="00775800">
        <w:t xml:space="preserve"> </w:t>
      </w:r>
      <w:r w:rsidR="006E64A7" w:rsidRPr="00775800">
        <w:t xml:space="preserve">are subject to consolidated supervision by their home country supervisors in respect of credit concentrations and large exposure limits. However, foreign ADIs </w:t>
      </w:r>
      <w:r w:rsidR="008F285D">
        <w:t>must</w:t>
      </w:r>
      <w:r w:rsidR="008F285D" w:rsidRPr="00775800">
        <w:t xml:space="preserve"> </w:t>
      </w:r>
      <w:r w:rsidR="006E64A7" w:rsidRPr="00775800">
        <w:t xml:space="preserve">detail their large exposure and risk concentration policies as well as the relevant high level controls in the </w:t>
      </w:r>
      <w:r w:rsidR="00C2070F" w:rsidRPr="00297070">
        <w:t xml:space="preserve">risk management systems descriptions required under </w:t>
      </w:r>
      <w:r w:rsidR="00C2070F" w:rsidRPr="00297070">
        <w:rPr>
          <w:i/>
        </w:rPr>
        <w:t xml:space="preserve">Prudential Standard </w:t>
      </w:r>
      <w:hyperlink r:id="rId12" w:history="1">
        <w:r w:rsidR="00C2070F" w:rsidRPr="00297070">
          <w:rPr>
            <w:i/>
          </w:rPr>
          <w:t>APS 310 Audit &amp; Related Arrangements for Prudential Reporting</w:t>
        </w:r>
      </w:hyperlink>
      <w:r w:rsidR="006E64A7" w:rsidRPr="00775800">
        <w:t xml:space="preserve">. As part of its prudential oversight of the Australian operations of a foreign ADI, APRA may discuss with the foreign ADI’s parent and home supervisor any undue credit risk concentrations associated with the </w:t>
      </w:r>
      <w:r w:rsidR="008F285D">
        <w:t>foreign ADI’s</w:t>
      </w:r>
      <w:r w:rsidR="008F285D" w:rsidRPr="00775800">
        <w:t xml:space="preserve"> </w:t>
      </w:r>
      <w:r w:rsidR="006E64A7" w:rsidRPr="00775800">
        <w:t>Australian activities.</w:t>
      </w:r>
    </w:p>
    <w:p w:rsidR="00E76EE7" w:rsidRDefault="00EF6D71">
      <w:pPr>
        <w:pStyle w:val="BodyText1"/>
      </w:pPr>
      <w:r>
        <w:t xml:space="preserve">A reference to an ADI in this Prudential Standard, unless otherwise indicated, is a reference to: </w:t>
      </w:r>
    </w:p>
    <w:p w:rsidR="00054813" w:rsidRDefault="008F285D">
      <w:pPr>
        <w:pStyle w:val="BodyText1"/>
        <w:numPr>
          <w:ilvl w:val="1"/>
          <w:numId w:val="2"/>
        </w:numPr>
      </w:pPr>
      <w:r>
        <w:t xml:space="preserve">an ADI on a </w:t>
      </w:r>
      <w:r>
        <w:rPr>
          <w:b/>
          <w:bCs/>
        </w:rPr>
        <w:t xml:space="preserve">Level 1 </w:t>
      </w:r>
      <w:r>
        <w:t xml:space="preserve">basis; and </w:t>
      </w:r>
    </w:p>
    <w:p w:rsidR="00054813" w:rsidRDefault="008F285D">
      <w:pPr>
        <w:pStyle w:val="BodyText1"/>
        <w:numPr>
          <w:ilvl w:val="1"/>
          <w:numId w:val="2"/>
        </w:numPr>
      </w:pPr>
      <w:proofErr w:type="gramStart"/>
      <w:r>
        <w:t>a</w:t>
      </w:r>
      <w:proofErr w:type="gramEnd"/>
      <w:r>
        <w:t xml:space="preserve"> </w:t>
      </w:r>
      <w:r w:rsidRPr="001202A6">
        <w:rPr>
          <w:b/>
        </w:rPr>
        <w:t>group</w:t>
      </w:r>
      <w:r>
        <w:t xml:space="preserve"> of which an ADI is a member on a </w:t>
      </w:r>
      <w:r>
        <w:rPr>
          <w:b/>
          <w:bCs/>
        </w:rPr>
        <w:t xml:space="preserve">Level 2 </w:t>
      </w:r>
      <w:r>
        <w:t>basis.</w:t>
      </w:r>
    </w:p>
    <w:p w:rsidR="008F285D" w:rsidRDefault="008F285D">
      <w:pPr>
        <w:pStyle w:val="BodyText1"/>
      </w:pPr>
      <w:r>
        <w:t>If an ADI to which this Prudential Standard applies is:</w:t>
      </w:r>
    </w:p>
    <w:p w:rsidR="008F285D" w:rsidRDefault="008F285D" w:rsidP="008F285D">
      <w:pPr>
        <w:pStyle w:val="Default"/>
        <w:numPr>
          <w:ilvl w:val="0"/>
          <w:numId w:val="16"/>
        </w:numPr>
        <w:spacing w:after="240"/>
        <w:jc w:val="both"/>
      </w:pPr>
      <w:r w:rsidRPr="00A31904">
        <w:rPr>
          <w:color w:val="auto"/>
        </w:rPr>
        <w:t>the</w:t>
      </w:r>
      <w:r w:rsidRPr="00A31904">
        <w:t xml:space="preserve"> holding company for a group, the ADI must ensure that the requirements in this Prudential Standard are met on a Level 2 basis, where applicable; or </w:t>
      </w:r>
    </w:p>
    <w:p w:rsidR="008F285D" w:rsidRPr="00DA02FF" w:rsidRDefault="008F285D" w:rsidP="008F285D">
      <w:pPr>
        <w:pStyle w:val="Default"/>
        <w:numPr>
          <w:ilvl w:val="0"/>
          <w:numId w:val="16"/>
        </w:numPr>
        <w:spacing w:after="240"/>
        <w:jc w:val="both"/>
      </w:pPr>
      <w:proofErr w:type="gramStart"/>
      <w:r w:rsidRPr="00A31904">
        <w:t>a</w:t>
      </w:r>
      <w:proofErr w:type="gramEnd"/>
      <w:r w:rsidRPr="00A31904">
        <w:t xml:space="preserve"> subsidiary of an authorised </w:t>
      </w:r>
      <w:r w:rsidR="00054813" w:rsidRPr="00054813">
        <w:rPr>
          <w:b/>
        </w:rPr>
        <w:t>non-operating holding company</w:t>
      </w:r>
      <w:r w:rsidRPr="00A31904">
        <w:t xml:space="preserve"> </w:t>
      </w:r>
      <w:r w:rsidRPr="0084257E">
        <w:t>(</w:t>
      </w:r>
      <w:r w:rsidRPr="0084257E">
        <w:rPr>
          <w:b/>
          <w:bCs/>
        </w:rPr>
        <w:t>authorised NOHC</w:t>
      </w:r>
      <w:r w:rsidRPr="0084257E">
        <w:rPr>
          <w:bCs/>
        </w:rPr>
        <w:t>),</w:t>
      </w:r>
      <w:r w:rsidRPr="00A31904">
        <w:rPr>
          <w:b/>
          <w:bCs/>
        </w:rPr>
        <w:t xml:space="preserve"> </w:t>
      </w:r>
      <w:r w:rsidRPr="00A31904">
        <w:t xml:space="preserve">the authorised NOHC must ensure that the requirements in this Prudential Standard are met on a Level 2 basis, where </w:t>
      </w:r>
      <w:r w:rsidRPr="00DA02FF">
        <w:t>applicable.</w:t>
      </w:r>
    </w:p>
    <w:p w:rsidR="00E76EE7" w:rsidRPr="00DA02FF" w:rsidRDefault="00EF6D71">
      <w:pPr>
        <w:pStyle w:val="Heading1"/>
      </w:pPr>
      <w:r w:rsidRPr="00DA02FF">
        <w:t>Interpretation</w:t>
      </w:r>
    </w:p>
    <w:p w:rsidR="00297070" w:rsidRPr="00DA02FF" w:rsidRDefault="00297070" w:rsidP="00297070">
      <w:pPr>
        <w:pStyle w:val="BodyText1"/>
      </w:pPr>
      <w:r w:rsidRPr="00DA02FF">
        <w:t xml:space="preserve">Terms that are defined in </w:t>
      </w:r>
      <w:r w:rsidRPr="00DA02FF">
        <w:rPr>
          <w:i/>
        </w:rPr>
        <w:t xml:space="preserve">Prudential Standard APS 001 Definitions </w:t>
      </w:r>
      <w:r w:rsidRPr="00DA02FF">
        <w:t>appear in bold the first time they are used in this Prudential Standard</w:t>
      </w:r>
      <w:r w:rsidRPr="00DA02FF">
        <w:rPr>
          <w:i/>
        </w:rPr>
        <w:t xml:space="preserve">. </w:t>
      </w:r>
    </w:p>
    <w:p w:rsidR="00E76EE7" w:rsidRDefault="00AB4D3C">
      <w:pPr>
        <w:pStyle w:val="Heading1"/>
      </w:pPr>
      <w:r w:rsidRPr="00AB4D3C">
        <w:t xml:space="preserve">Control of </w:t>
      </w:r>
      <w:r w:rsidR="00D817DA">
        <w:t>l</w:t>
      </w:r>
      <w:r w:rsidRPr="00AB4D3C">
        <w:t xml:space="preserve">arge </w:t>
      </w:r>
      <w:r w:rsidR="00D817DA">
        <w:t>e</w:t>
      </w:r>
      <w:r w:rsidRPr="00AB4D3C">
        <w:t xml:space="preserve">xposures and </w:t>
      </w:r>
      <w:r w:rsidR="00D817DA">
        <w:t>r</w:t>
      </w:r>
      <w:r w:rsidRPr="00AB4D3C">
        <w:t xml:space="preserve">isk </w:t>
      </w:r>
      <w:r w:rsidR="00D817DA">
        <w:t>c</w:t>
      </w:r>
      <w:r w:rsidRPr="00AB4D3C">
        <w:t>oncentrations</w:t>
      </w:r>
    </w:p>
    <w:p w:rsidR="00E76EE7" w:rsidRDefault="00D817DA">
      <w:pPr>
        <w:pStyle w:val="BodyText1"/>
      </w:pPr>
      <w:r>
        <w:t xml:space="preserve">An </w:t>
      </w:r>
      <w:smartTag w:uri="urn:schemas-microsoft-com:office:smarttags" w:element="stockticker">
        <w:r>
          <w:t>ADI</w:t>
        </w:r>
      </w:smartTag>
      <w:r>
        <w:t xml:space="preserve"> is </w:t>
      </w:r>
      <w:r w:rsidR="00AB4D3C" w:rsidRPr="00AB4D3C">
        <w:t xml:space="preserve">exposed to various forms of risk concentration with the potential to incur significant losses that could materially threaten the </w:t>
      </w:r>
      <w:smartTag w:uri="urn:schemas-microsoft-com:office:smarttags" w:element="stockticker">
        <w:r w:rsidR="00AB4D3C" w:rsidRPr="00AB4D3C">
          <w:t>ADI</w:t>
        </w:r>
      </w:smartTag>
      <w:r w:rsidR="00AB4D3C" w:rsidRPr="00AB4D3C">
        <w:t>’</w:t>
      </w:r>
      <w:r>
        <w:t>s</w:t>
      </w:r>
      <w:r w:rsidR="00AB4D3C" w:rsidRPr="00AB4D3C">
        <w:t xml:space="preserve"> financial </w:t>
      </w:r>
      <w:r w:rsidR="00AB4D3C" w:rsidRPr="00AB4D3C">
        <w:lastRenderedPageBreak/>
        <w:t>strength. Risk concentrations may arise from excessive exposures to individual counterparties, groups of related counterparties, groups of counterparties with similar characteristics (e.g. counterparties in specific geographical regions or industry sectors) or to particular asset classes (e.g. property holdings or other investments).</w:t>
      </w:r>
      <w:r w:rsidR="008F285D">
        <w:t xml:space="preserve"> </w:t>
      </w:r>
      <w:r w:rsidR="00AB4D3C" w:rsidRPr="00AB4D3C">
        <w:t>Safeguarding against risk concentrations to particular counterparties</w:t>
      </w:r>
      <w:r w:rsidR="009278BF">
        <w:t>,</w:t>
      </w:r>
      <w:r>
        <w:rPr>
          <w:rStyle w:val="FootnoteReference"/>
        </w:rPr>
        <w:footnoteReference w:id="1"/>
      </w:r>
      <w:r w:rsidR="00AB4D3C" w:rsidRPr="00AB4D3C">
        <w:t xml:space="preserve"> industries, countries and asset classes </w:t>
      </w:r>
      <w:r w:rsidR="003C0A67">
        <w:t>must</w:t>
      </w:r>
      <w:r w:rsidR="00AB4D3C" w:rsidRPr="00AB4D3C">
        <w:t xml:space="preserve"> form an essential component of </w:t>
      </w:r>
      <w:r w:rsidR="0084257E">
        <w:t xml:space="preserve">an </w:t>
      </w:r>
      <w:smartTag w:uri="urn:schemas-microsoft-com:office:smarttags" w:element="stockticker">
        <w:r w:rsidR="00F3654E">
          <w:t>ADI</w:t>
        </w:r>
      </w:smartTag>
      <w:r w:rsidR="00F3654E">
        <w:t>'s</w:t>
      </w:r>
      <w:r w:rsidR="00F3654E" w:rsidRPr="00AB4D3C">
        <w:t xml:space="preserve"> </w:t>
      </w:r>
      <w:r w:rsidR="00AB4D3C" w:rsidRPr="00AB4D3C">
        <w:t>risk management strategies</w:t>
      </w:r>
      <w:r>
        <w:rPr>
          <w:rStyle w:val="FootnoteReference"/>
        </w:rPr>
        <w:footnoteReference w:id="2"/>
      </w:r>
      <w:r w:rsidR="00BD3922">
        <w:t>.</w:t>
      </w:r>
    </w:p>
    <w:p w:rsidR="00E76EE7" w:rsidRDefault="00AB4D3C">
      <w:pPr>
        <w:pStyle w:val="BodyText1"/>
      </w:pPr>
      <w:r w:rsidRPr="00AB4D3C">
        <w:t xml:space="preserve">The Board </w:t>
      </w:r>
      <w:r w:rsidR="003A40C7">
        <w:t>of directors (</w:t>
      </w:r>
      <w:r w:rsidR="00F23681" w:rsidRPr="00127B57">
        <w:rPr>
          <w:b/>
        </w:rPr>
        <w:t>Board</w:t>
      </w:r>
      <w:r w:rsidR="003A40C7">
        <w:t xml:space="preserve">) </w:t>
      </w:r>
      <w:r w:rsidRPr="00AB4D3C">
        <w:t xml:space="preserve">of an ADI is responsible for establishing, and monitoring compliance with, policies governing large exposures and risk concentrations of the ADI. The Board </w:t>
      </w:r>
      <w:r w:rsidR="003C0A67">
        <w:t>must</w:t>
      </w:r>
      <w:r w:rsidRPr="00AB4D3C">
        <w:t xml:space="preserve"> ensure that these policies are reviewed regularly (at least annually) and that they remain adequate and appropriate for the ADI. Any material changes to established policies must be approved by the Board.</w:t>
      </w:r>
    </w:p>
    <w:p w:rsidR="00E76EE7" w:rsidRDefault="00AB4D3C">
      <w:pPr>
        <w:pStyle w:val="BodyText1"/>
      </w:pPr>
      <w:r w:rsidRPr="00AB4D3C">
        <w:t xml:space="preserve">An ADI’s large exposures policy </w:t>
      </w:r>
      <w:r w:rsidR="003C0A67">
        <w:t>must</w:t>
      </w:r>
      <w:r w:rsidRPr="00AB4D3C">
        <w:t>, as a minimum, cover the following:</w:t>
      </w:r>
    </w:p>
    <w:p w:rsidR="00AB4D3C" w:rsidRPr="00AB4D3C" w:rsidRDefault="00AB4D3C" w:rsidP="004E1A1F">
      <w:pPr>
        <w:pStyle w:val="BodyText"/>
        <w:keepNext/>
        <w:numPr>
          <w:ilvl w:val="0"/>
          <w:numId w:val="4"/>
        </w:numPr>
        <w:spacing w:after="240"/>
      </w:pPr>
      <w:r w:rsidRPr="00AB4D3C">
        <w:t>exposure limits for:</w:t>
      </w:r>
    </w:p>
    <w:p w:rsidR="00AB4D3C" w:rsidRPr="00AB4D3C" w:rsidRDefault="00AB4D3C" w:rsidP="004E1A1F">
      <w:pPr>
        <w:pStyle w:val="BodyText"/>
        <w:numPr>
          <w:ilvl w:val="0"/>
          <w:numId w:val="5"/>
        </w:numPr>
        <w:spacing w:after="240"/>
      </w:pPr>
      <w:r w:rsidRPr="00AB4D3C">
        <w:t>various types of counterparties (e.g. governments, ADIs and foreign equivalents, corporate and individual borrowers);</w:t>
      </w:r>
    </w:p>
    <w:p w:rsidR="00AB4D3C" w:rsidRPr="00AB4D3C" w:rsidRDefault="00AB4D3C" w:rsidP="004E1A1F">
      <w:pPr>
        <w:pStyle w:val="BodyText"/>
        <w:numPr>
          <w:ilvl w:val="0"/>
          <w:numId w:val="5"/>
        </w:numPr>
        <w:spacing w:after="240"/>
      </w:pPr>
      <w:r w:rsidRPr="00AB4D3C">
        <w:t>a group of related counterparties;</w:t>
      </w:r>
    </w:p>
    <w:p w:rsidR="00AB4D3C" w:rsidRPr="00AB4D3C" w:rsidRDefault="00AB4D3C" w:rsidP="004E1A1F">
      <w:pPr>
        <w:pStyle w:val="BodyText"/>
        <w:numPr>
          <w:ilvl w:val="0"/>
          <w:numId w:val="5"/>
        </w:numPr>
        <w:spacing w:after="240"/>
      </w:pPr>
      <w:r w:rsidRPr="00AB4D3C">
        <w:t>individual industry sectors (where applicable);</w:t>
      </w:r>
    </w:p>
    <w:p w:rsidR="00AB4D3C" w:rsidRPr="00AB4D3C" w:rsidRDefault="00AB4D3C" w:rsidP="004E1A1F">
      <w:pPr>
        <w:pStyle w:val="BodyText"/>
        <w:numPr>
          <w:ilvl w:val="0"/>
          <w:numId w:val="5"/>
        </w:numPr>
        <w:spacing w:after="240"/>
      </w:pPr>
      <w:r w:rsidRPr="00AB4D3C">
        <w:t>individual countries (where applicable); and</w:t>
      </w:r>
    </w:p>
    <w:p w:rsidR="00AB4D3C" w:rsidRPr="00AB4D3C" w:rsidRDefault="00AB4D3C" w:rsidP="004E1A1F">
      <w:pPr>
        <w:pStyle w:val="BodyText"/>
        <w:numPr>
          <w:ilvl w:val="0"/>
          <w:numId w:val="5"/>
        </w:numPr>
        <w:spacing w:after="240"/>
      </w:pPr>
      <w:proofErr w:type="gramStart"/>
      <w:r w:rsidRPr="00AB4D3C">
        <w:t>various</w:t>
      </w:r>
      <w:proofErr w:type="gramEnd"/>
      <w:r w:rsidRPr="00AB4D3C">
        <w:t xml:space="preserve"> asset classes (e.g. property holdings and other investments, etc.)</w:t>
      </w:r>
    </w:p>
    <w:p w:rsidR="00E76EE7" w:rsidRDefault="00AB4D3C">
      <w:pPr>
        <w:ind w:left="1134"/>
      </w:pPr>
      <w:proofErr w:type="gramStart"/>
      <w:r w:rsidRPr="00AB4D3C">
        <w:t>that</w:t>
      </w:r>
      <w:proofErr w:type="gramEnd"/>
      <w:r w:rsidRPr="00AB4D3C">
        <w:t xml:space="preserve"> are commensurate with the ADI’s capital base and balance sheet size;</w:t>
      </w:r>
    </w:p>
    <w:p w:rsidR="00AB4D3C" w:rsidRPr="00AB4D3C" w:rsidRDefault="00AB4D3C" w:rsidP="004E1A1F">
      <w:pPr>
        <w:pStyle w:val="BodyText"/>
        <w:numPr>
          <w:ilvl w:val="0"/>
          <w:numId w:val="4"/>
        </w:numPr>
        <w:spacing w:after="240"/>
      </w:pPr>
      <w:r w:rsidRPr="00AB4D3C">
        <w:t>the circumstances in which the above exposure limits may be exceeded and the authority required for approving such excesses (e.g. by the ADI’s Board or a board committee); and</w:t>
      </w:r>
    </w:p>
    <w:p w:rsidR="00AB4D3C" w:rsidRPr="00AB4D3C" w:rsidRDefault="00AB4D3C" w:rsidP="004E1A1F">
      <w:pPr>
        <w:pStyle w:val="BodyText"/>
        <w:numPr>
          <w:ilvl w:val="0"/>
          <w:numId w:val="4"/>
        </w:numPr>
        <w:spacing w:after="240"/>
      </w:pPr>
      <w:proofErr w:type="gramStart"/>
      <w:r w:rsidRPr="00AB4D3C">
        <w:t>the</w:t>
      </w:r>
      <w:proofErr w:type="gramEnd"/>
      <w:r w:rsidRPr="00AB4D3C">
        <w:t xml:space="preserve"> procedures for identifying, reviewing, controlling and reporting large exposures of the ADI.</w:t>
      </w:r>
    </w:p>
    <w:p w:rsidR="00E76EE7" w:rsidRDefault="00AB4D3C">
      <w:pPr>
        <w:pStyle w:val="BodyText1"/>
      </w:pPr>
      <w:r w:rsidRPr="00AB4D3C">
        <w:t xml:space="preserve">The Board and senior management of an ADI </w:t>
      </w:r>
      <w:r w:rsidR="00E36344">
        <w:t>must</w:t>
      </w:r>
      <w:r w:rsidR="00E36344" w:rsidRPr="00AB4D3C">
        <w:t xml:space="preserve"> </w:t>
      </w:r>
      <w:r w:rsidRPr="00AB4D3C">
        <w:t>ensure that:</w:t>
      </w:r>
    </w:p>
    <w:p w:rsidR="00AB4D3C" w:rsidRPr="00AB4D3C" w:rsidRDefault="00AB4D3C" w:rsidP="004E1A1F">
      <w:pPr>
        <w:pStyle w:val="BodyText"/>
        <w:numPr>
          <w:ilvl w:val="0"/>
          <w:numId w:val="6"/>
        </w:numPr>
        <w:spacing w:after="240"/>
      </w:pPr>
      <w:r w:rsidRPr="00AB4D3C">
        <w:t>adequate systems and controls are in place to identify, measure, monitor and report large exposures and risk concentrations of the ADI in a timely manner; and</w:t>
      </w:r>
    </w:p>
    <w:p w:rsidR="00AB4D3C" w:rsidRPr="00AB4D3C" w:rsidRDefault="00AB4D3C" w:rsidP="004E1A1F">
      <w:pPr>
        <w:pStyle w:val="BodyText"/>
        <w:numPr>
          <w:ilvl w:val="0"/>
          <w:numId w:val="6"/>
        </w:numPr>
        <w:tabs>
          <w:tab w:val="clear" w:pos="1134"/>
        </w:tabs>
        <w:spacing w:after="240"/>
      </w:pPr>
      <w:proofErr w:type="gramStart"/>
      <w:r w:rsidRPr="00AB4D3C">
        <w:lastRenderedPageBreak/>
        <w:t>large</w:t>
      </w:r>
      <w:proofErr w:type="gramEnd"/>
      <w:r w:rsidRPr="00AB4D3C">
        <w:t xml:space="preserve"> exposures and risk concentrations of the ADI are regular</w:t>
      </w:r>
      <w:r w:rsidR="00E36344">
        <w:t>ly</w:t>
      </w:r>
      <w:r w:rsidRPr="00AB4D3C">
        <w:t xml:space="preserve"> review</w:t>
      </w:r>
      <w:r w:rsidR="00E36344">
        <w:t>ed</w:t>
      </w:r>
      <w:r w:rsidRPr="00AB4D3C">
        <w:t>.</w:t>
      </w:r>
    </w:p>
    <w:p w:rsidR="00E76EE7" w:rsidRDefault="00AB4D3C">
      <w:pPr>
        <w:pStyle w:val="BodyText1"/>
      </w:pPr>
      <w:r w:rsidRPr="00AB4D3C">
        <w:t xml:space="preserve">An ADI </w:t>
      </w:r>
      <w:r w:rsidR="003C0A67">
        <w:t>must</w:t>
      </w:r>
      <w:r w:rsidRPr="00AB4D3C">
        <w:t>, where appropriate, conduct stress testing and scenario analysis of its large exposures and risk concentrations to assess the impact of changes in market conditions or key risk factors (e.g. economic cycles, interest rate, liquidity conditions or other market movements) on its risk profile and earnings.</w:t>
      </w:r>
    </w:p>
    <w:p w:rsidR="00E76EE7" w:rsidRDefault="00AB4D3C">
      <w:pPr>
        <w:pStyle w:val="Heading1"/>
      </w:pPr>
      <w:bookmarkStart w:id="7" w:name="Definitions"/>
      <w:bookmarkEnd w:id="7"/>
      <w:r w:rsidRPr="009A6F92">
        <w:t>Definitions</w:t>
      </w:r>
    </w:p>
    <w:p w:rsidR="00E76EE7" w:rsidRPr="00DA02FF" w:rsidRDefault="00AB4D3C">
      <w:pPr>
        <w:pStyle w:val="BodyText1"/>
      </w:pPr>
      <w:r w:rsidRPr="00DA02FF">
        <w:t>A large exposure is an exposure to a counterparty or a group of related counterparties which is greater than or equal to 10</w:t>
      </w:r>
      <w:r w:rsidR="009018A6" w:rsidRPr="00DA02FF">
        <w:t xml:space="preserve"> per cent</w:t>
      </w:r>
      <w:r w:rsidRPr="00DA02FF">
        <w:t xml:space="preserve"> of an </w:t>
      </w:r>
      <w:smartTag w:uri="urn:schemas-microsoft-com:office:smarttags" w:element="stockticker">
        <w:r w:rsidRPr="00DA02FF">
          <w:t>ADI</w:t>
        </w:r>
      </w:smartTag>
      <w:r w:rsidRPr="00DA02FF">
        <w:t xml:space="preserve">’s </w:t>
      </w:r>
      <w:r w:rsidR="00297070" w:rsidRPr="00DA02FF">
        <w:rPr>
          <w:b/>
        </w:rPr>
        <w:t>Regulatory Capital</w:t>
      </w:r>
      <w:r w:rsidR="009278BF" w:rsidRPr="00DA02FF">
        <w:rPr>
          <w:rStyle w:val="FootnoteReference"/>
        </w:rPr>
        <w:footnoteReference w:id="3"/>
      </w:r>
      <w:r w:rsidR="007D6361" w:rsidRPr="00DA02FF">
        <w:t>.</w:t>
      </w:r>
    </w:p>
    <w:p w:rsidR="00E76EE7" w:rsidRDefault="00AB4D3C">
      <w:pPr>
        <w:pStyle w:val="BodyText1"/>
      </w:pPr>
      <w:bookmarkStart w:id="8" w:name="_Ref337825177"/>
      <w:r w:rsidRPr="00AB4D3C">
        <w:t>An exposure to a counterparty or a group of related counterparties is the aggregate of all claims, commitments and contingent liabilities arising from on- and off-balance sheet transactions (in both the banking and trading books) with the counterparty or group of related counterparties, and</w:t>
      </w:r>
      <w:bookmarkEnd w:id="8"/>
      <w:r w:rsidR="0084257E">
        <w:t>:</w:t>
      </w:r>
    </w:p>
    <w:p w:rsidR="00AB4D3C" w:rsidRPr="00AB4D3C" w:rsidRDefault="003C0A67" w:rsidP="004E1A1F">
      <w:pPr>
        <w:pStyle w:val="BodyText"/>
        <w:numPr>
          <w:ilvl w:val="0"/>
          <w:numId w:val="7"/>
        </w:numPr>
        <w:spacing w:after="240"/>
      </w:pPr>
      <w:r>
        <w:t>i</w:t>
      </w:r>
      <w:r w:rsidR="00AB4D3C" w:rsidRPr="00AB4D3C">
        <w:t>ncludes</w:t>
      </w:r>
      <w:r w:rsidR="003A40C7">
        <w:t>,</w:t>
      </w:r>
      <w:r w:rsidR="00AB4D3C" w:rsidRPr="00AB4D3C">
        <w:t xml:space="preserve"> but is not limited to:</w:t>
      </w:r>
    </w:p>
    <w:p w:rsidR="00AB4D3C" w:rsidRPr="00AB4D3C" w:rsidRDefault="00AB4D3C" w:rsidP="004E1A1F">
      <w:pPr>
        <w:pStyle w:val="BodyText"/>
        <w:numPr>
          <w:ilvl w:val="0"/>
          <w:numId w:val="8"/>
        </w:numPr>
        <w:spacing w:after="240"/>
      </w:pPr>
      <w:r w:rsidRPr="00AB4D3C">
        <w:t>outstanding balances of all loans and advances;</w:t>
      </w:r>
    </w:p>
    <w:p w:rsidR="00AB4D3C" w:rsidRPr="00AB4D3C" w:rsidRDefault="00AB4D3C" w:rsidP="004E1A1F">
      <w:pPr>
        <w:pStyle w:val="BodyText"/>
        <w:numPr>
          <w:ilvl w:val="0"/>
          <w:numId w:val="8"/>
        </w:numPr>
        <w:spacing w:after="240"/>
      </w:pPr>
      <w:r w:rsidRPr="00AB4D3C">
        <w:t>holdings of debt and/or equity securities;</w:t>
      </w:r>
    </w:p>
    <w:p w:rsidR="00AB4D3C" w:rsidRPr="00DA02FF" w:rsidRDefault="00AB4D3C" w:rsidP="004E1A1F">
      <w:pPr>
        <w:pStyle w:val="BodyText"/>
        <w:numPr>
          <w:ilvl w:val="0"/>
          <w:numId w:val="8"/>
        </w:numPr>
        <w:spacing w:after="240"/>
      </w:pPr>
      <w:r w:rsidRPr="00DA02FF">
        <w:t xml:space="preserve">all unused advised off-balance sheet commitments </w:t>
      </w:r>
      <w:r w:rsidR="00C2070F" w:rsidRPr="00DA02FF">
        <w:t xml:space="preserve">(refer to Attachment B to </w:t>
      </w:r>
      <w:r w:rsidR="00C2070F" w:rsidRPr="00DA02FF">
        <w:rPr>
          <w:i/>
        </w:rPr>
        <w:t xml:space="preserve">Prudential Standard </w:t>
      </w:r>
      <w:smartTag w:uri="urn:schemas-microsoft-com:office:smarttags" w:element="stockticker">
        <w:r w:rsidR="00C2070F" w:rsidRPr="00DA02FF">
          <w:rPr>
            <w:i/>
          </w:rPr>
          <w:t>APS</w:t>
        </w:r>
      </w:smartTag>
      <w:r w:rsidR="00C2070F" w:rsidRPr="00DA02FF">
        <w:rPr>
          <w:i/>
        </w:rPr>
        <w:t xml:space="preserve"> 112 Capital Adequacy: Standardised Approach to Credit Risk </w:t>
      </w:r>
      <w:r w:rsidR="00C2070F" w:rsidRPr="00DA02FF">
        <w:t>(</w:t>
      </w:r>
      <w:smartTag w:uri="urn:schemas-microsoft-com:office:smarttags" w:element="stockticker">
        <w:r w:rsidR="00F23681" w:rsidRPr="0084257E">
          <w:rPr>
            <w:b/>
          </w:rPr>
          <w:t>APS</w:t>
        </w:r>
      </w:smartTag>
      <w:r w:rsidR="00F23681" w:rsidRPr="0084257E">
        <w:rPr>
          <w:b/>
        </w:rPr>
        <w:t xml:space="preserve"> 112</w:t>
      </w:r>
      <w:r w:rsidR="00C2070F" w:rsidRPr="00DA02FF">
        <w:t>)),</w:t>
      </w:r>
      <w:r w:rsidRPr="00DA02FF">
        <w:t xml:space="preserve"> whether revocable or irrevocable; and</w:t>
      </w:r>
    </w:p>
    <w:p w:rsidR="00AB4D3C" w:rsidRPr="00DA02FF" w:rsidRDefault="00AB4D3C" w:rsidP="004E1A1F">
      <w:pPr>
        <w:pStyle w:val="BodyText"/>
        <w:numPr>
          <w:ilvl w:val="0"/>
          <w:numId w:val="8"/>
        </w:numPr>
        <w:spacing w:after="240"/>
      </w:pPr>
      <w:r w:rsidRPr="00DA02FF">
        <w:t xml:space="preserve">the credit equivalent amounts of all market-related contracts (calculated in accordance with </w:t>
      </w:r>
      <w:hyperlink r:id="rId13" w:history="1">
        <w:r w:rsidR="00C2070F" w:rsidRPr="00DA02FF">
          <w:t>Attachment</w:t>
        </w:r>
      </w:hyperlink>
      <w:r w:rsidR="00C2070F" w:rsidRPr="00DA02FF">
        <w:t xml:space="preserve"> B to </w:t>
      </w:r>
      <w:smartTag w:uri="urn:schemas-microsoft-com:office:smarttags" w:element="stockticker">
        <w:r w:rsidR="00C2070F" w:rsidRPr="00DA02FF">
          <w:t>APS</w:t>
        </w:r>
      </w:smartTag>
      <w:r w:rsidR="00C2070F" w:rsidRPr="00DA02FF">
        <w:t xml:space="preserve"> 112 or Attachment </w:t>
      </w:r>
      <w:r w:rsidR="00A309D8" w:rsidRPr="00DA02FF">
        <w:t>J</w:t>
      </w:r>
      <w:r w:rsidR="00C2070F" w:rsidRPr="00DA02FF">
        <w:t xml:space="preserve"> to </w:t>
      </w:r>
      <w:smartTag w:uri="urn:schemas-microsoft-com:office:smarttags" w:element="stockticker">
        <w:r w:rsidR="00C2070F" w:rsidRPr="00DA02FF">
          <w:t>APS</w:t>
        </w:r>
      </w:smartTag>
      <w:r w:rsidR="00C2070F" w:rsidRPr="00DA02FF">
        <w:t xml:space="preserve"> 112 where netting applies</w:t>
      </w:r>
      <w:r w:rsidR="00E36344" w:rsidRPr="00DA02FF">
        <w:t>)</w:t>
      </w:r>
      <w:r w:rsidR="00C2070F" w:rsidRPr="00DA02FF">
        <w:rPr>
          <w:rStyle w:val="FootnoteReference"/>
        </w:rPr>
        <w:footnoteReference w:id="4"/>
      </w:r>
      <w:r w:rsidR="00061E86" w:rsidRPr="00DA02FF">
        <w:t>;</w:t>
      </w:r>
    </w:p>
    <w:p w:rsidR="00AB4D3C" w:rsidRPr="00AB4D3C" w:rsidRDefault="00AB4D3C" w:rsidP="004E1A1F">
      <w:pPr>
        <w:pStyle w:val="BodyText"/>
        <w:numPr>
          <w:ilvl w:val="0"/>
          <w:numId w:val="7"/>
        </w:numPr>
        <w:tabs>
          <w:tab w:val="clear" w:pos="1134"/>
        </w:tabs>
        <w:spacing w:after="240"/>
      </w:pPr>
      <w:bookmarkStart w:id="9" w:name="Paragraph_7b"/>
      <w:bookmarkStart w:id="10" w:name="_Ref337825181"/>
      <w:bookmarkEnd w:id="9"/>
      <w:r w:rsidRPr="00AB4D3C">
        <w:t>excludes:</w:t>
      </w:r>
      <w:bookmarkEnd w:id="10"/>
    </w:p>
    <w:p w:rsidR="00AB4D3C" w:rsidRPr="00AB4D3C" w:rsidRDefault="00AB4D3C" w:rsidP="004E1A1F">
      <w:pPr>
        <w:pStyle w:val="BodyText"/>
        <w:numPr>
          <w:ilvl w:val="0"/>
          <w:numId w:val="9"/>
        </w:numPr>
        <w:spacing w:after="240"/>
      </w:pPr>
      <w:r w:rsidRPr="00AB4D3C">
        <w:t xml:space="preserve">exposures (e.g. claims or equity investments) deducted from an ADI’s </w:t>
      </w:r>
      <w:r w:rsidR="00297070">
        <w:t>R</w:t>
      </w:r>
      <w:r w:rsidR="009018A6">
        <w:t xml:space="preserve">egulatory </w:t>
      </w:r>
      <w:r w:rsidR="00297070">
        <w:t>C</w:t>
      </w:r>
      <w:r w:rsidRPr="00AB4D3C">
        <w:t>apital (</w:t>
      </w:r>
      <w:r w:rsidR="00ED6A8B">
        <w:t>refer</w:t>
      </w:r>
      <w:r w:rsidR="00ED6A8B" w:rsidRPr="00AB4D3C">
        <w:t xml:space="preserve"> </w:t>
      </w:r>
      <w:r w:rsidR="00297070">
        <w:t xml:space="preserve">to </w:t>
      </w:r>
      <w:r w:rsidR="00ED6A8B">
        <w:rPr>
          <w:i/>
        </w:rPr>
        <w:t xml:space="preserve">Prudential Standard </w:t>
      </w:r>
      <w:r w:rsidRPr="00ED6A8B">
        <w:rPr>
          <w:i/>
        </w:rPr>
        <w:t>APS 111 Capital Adequacy: Measurement of Capital</w:t>
      </w:r>
      <w:r w:rsidRPr="00BD3922">
        <w:t>)</w:t>
      </w:r>
      <w:r w:rsidRPr="00AB4D3C">
        <w:t>;</w:t>
      </w:r>
    </w:p>
    <w:p w:rsidR="00AB4D3C" w:rsidRPr="00AB4D3C" w:rsidRDefault="00AB4D3C" w:rsidP="004E1A1F">
      <w:pPr>
        <w:pStyle w:val="BodyText"/>
        <w:numPr>
          <w:ilvl w:val="0"/>
          <w:numId w:val="9"/>
        </w:numPr>
        <w:spacing w:after="240"/>
      </w:pPr>
      <w:r w:rsidRPr="00AB4D3C">
        <w:t xml:space="preserve">exposures to the extent that they are secured by cash deposits (subject to satisfying </w:t>
      </w:r>
      <w:r w:rsidR="00D95395">
        <w:t xml:space="preserve">all </w:t>
      </w:r>
      <w:r w:rsidRPr="00DA02FF">
        <w:t xml:space="preserve">the criteria </w:t>
      </w:r>
      <w:r w:rsidR="00D95395" w:rsidRPr="00DA02FF">
        <w:t xml:space="preserve">applicable to transactions collateralised by cash as </w:t>
      </w:r>
      <w:r w:rsidRPr="00DA02FF">
        <w:t xml:space="preserve">set out in </w:t>
      </w:r>
      <w:r w:rsidR="00C2070F" w:rsidRPr="00DA02FF">
        <w:t xml:space="preserve">Attachment </w:t>
      </w:r>
      <w:r w:rsidR="005E11BA" w:rsidRPr="00DA02FF">
        <w:t>H</w:t>
      </w:r>
      <w:r w:rsidR="00C2070F" w:rsidRPr="00DA02FF">
        <w:t xml:space="preserve"> to </w:t>
      </w:r>
      <w:smartTag w:uri="urn:schemas-microsoft-com:office:smarttags" w:element="stockticker">
        <w:r w:rsidR="00C2070F" w:rsidRPr="00DA02FF">
          <w:t>APS</w:t>
        </w:r>
      </w:smartTag>
      <w:r w:rsidR="00C2070F" w:rsidRPr="00DA02FF">
        <w:t xml:space="preserve"> 112</w:t>
      </w:r>
      <w:r w:rsidR="00524C8B" w:rsidRPr="00DA02FF">
        <w:t xml:space="preserve"> </w:t>
      </w:r>
      <w:r w:rsidRPr="00DA02FF">
        <w:t>for the</w:t>
      </w:r>
      <w:r w:rsidRPr="00AB4D3C">
        <w:t xml:space="preserve"> purpose of this </w:t>
      </w:r>
      <w:r w:rsidR="00ED6A8B">
        <w:t xml:space="preserve">Prudential </w:t>
      </w:r>
      <w:r w:rsidRPr="00AB4D3C">
        <w:t>Standard);</w:t>
      </w:r>
    </w:p>
    <w:p w:rsidR="00AB4D3C" w:rsidRPr="00AB4D3C" w:rsidRDefault="00AB4D3C" w:rsidP="004E1A1F">
      <w:pPr>
        <w:pStyle w:val="BodyText"/>
        <w:numPr>
          <w:ilvl w:val="0"/>
          <w:numId w:val="9"/>
        </w:numPr>
        <w:spacing w:after="240"/>
      </w:pPr>
      <w:r w:rsidRPr="00AB4D3C">
        <w:lastRenderedPageBreak/>
        <w:t>exposures to the extent that they are guaranteed by, or secured against securities issued by governments or central banks (</w:t>
      </w:r>
      <w:r w:rsidR="00D95395">
        <w:t xml:space="preserve">being the Australian government, foreign governments and central banks which receive a </w:t>
      </w:r>
      <w:r w:rsidR="0053416E">
        <w:t>zero</w:t>
      </w:r>
      <w:r w:rsidR="00D95395">
        <w:t xml:space="preserve"> per cent risk-weight in accordance with </w:t>
      </w:r>
      <w:hyperlink r:id="rId14" w:history="1">
        <w:r w:rsidR="00C2070F" w:rsidRPr="00DA02FF">
          <w:t>Attachment</w:t>
        </w:r>
      </w:hyperlink>
      <w:r w:rsidR="00C2070F" w:rsidRPr="00DA02FF">
        <w:t xml:space="preserve"> A to </w:t>
      </w:r>
      <w:smartTag w:uri="urn:schemas-microsoft-com:office:smarttags" w:element="stockticker">
        <w:r w:rsidR="00C2070F" w:rsidRPr="00DA02FF">
          <w:t>APS</w:t>
        </w:r>
      </w:smartTag>
      <w:r w:rsidR="00C2070F" w:rsidRPr="00DA02FF">
        <w:t xml:space="preserve"> 112</w:t>
      </w:r>
      <w:r w:rsidRPr="00DA02FF">
        <w:t xml:space="preserve"> for the</w:t>
      </w:r>
      <w:r w:rsidRPr="00AB4D3C">
        <w:t xml:space="preserve"> purpose of this </w:t>
      </w:r>
      <w:r w:rsidR="00ED6A8B">
        <w:t xml:space="preserve">Prudential </w:t>
      </w:r>
      <w:r w:rsidRPr="00AB4D3C">
        <w:t>Standard);</w:t>
      </w:r>
    </w:p>
    <w:p w:rsidR="00AB4D3C" w:rsidRPr="00AB4D3C" w:rsidRDefault="00AB4D3C" w:rsidP="004E1A1F">
      <w:pPr>
        <w:pStyle w:val="BodyText"/>
        <w:numPr>
          <w:ilvl w:val="0"/>
          <w:numId w:val="9"/>
        </w:numPr>
        <w:spacing w:after="240"/>
      </w:pPr>
      <w:r w:rsidRPr="00AB4D3C">
        <w:t>exposures arising in the course of settlement of market-related contracts;</w:t>
      </w:r>
    </w:p>
    <w:p w:rsidR="00AB4D3C" w:rsidRPr="00AB4D3C" w:rsidRDefault="00AB4D3C" w:rsidP="004E1A1F">
      <w:pPr>
        <w:pStyle w:val="BodyText"/>
        <w:numPr>
          <w:ilvl w:val="0"/>
          <w:numId w:val="9"/>
        </w:numPr>
        <w:spacing w:after="240"/>
      </w:pPr>
      <w:r w:rsidRPr="00AB4D3C">
        <w:t>exposures to an ADI required as part of a</w:t>
      </w:r>
      <w:r w:rsidR="00A1562E">
        <w:t xml:space="preserve">n industry </w:t>
      </w:r>
      <w:r w:rsidRPr="00AB4D3C">
        <w:t xml:space="preserve">support </w:t>
      </w:r>
      <w:r w:rsidR="00A1562E">
        <w:t>contract</w:t>
      </w:r>
      <w:r w:rsidRPr="00AB4D3C">
        <w:t xml:space="preserve"> </w:t>
      </w:r>
      <w:r w:rsidR="00A1562E">
        <w:t xml:space="preserve">relating to liquidity </w:t>
      </w:r>
      <w:r w:rsidRPr="00AB4D3C">
        <w:t xml:space="preserve">that has been certified by APRA under section 11CB of the </w:t>
      </w:r>
      <w:r w:rsidR="00E36344">
        <w:t xml:space="preserve">Banking </w:t>
      </w:r>
      <w:r w:rsidRPr="00AB4D3C">
        <w:t>Act; and</w:t>
      </w:r>
    </w:p>
    <w:p w:rsidR="00AB4D3C" w:rsidRPr="00AB4D3C" w:rsidRDefault="00AB4D3C" w:rsidP="004E1A1F">
      <w:pPr>
        <w:pStyle w:val="BodyText"/>
        <w:numPr>
          <w:ilvl w:val="0"/>
          <w:numId w:val="9"/>
        </w:numPr>
        <w:spacing w:after="240"/>
      </w:pPr>
      <w:proofErr w:type="gramStart"/>
      <w:r w:rsidRPr="00AB4D3C">
        <w:t>exposures</w:t>
      </w:r>
      <w:proofErr w:type="gramEnd"/>
      <w:r w:rsidRPr="00AB4D3C">
        <w:t xml:space="preserve"> to the extent that they have been written off or specifically provided for.</w:t>
      </w:r>
    </w:p>
    <w:p w:rsidR="00E76EE7" w:rsidRDefault="00AB4D3C">
      <w:pPr>
        <w:pStyle w:val="BodyText1"/>
      </w:pPr>
      <w:r w:rsidRPr="00775800">
        <w:t xml:space="preserve">A group of related counterparties </w:t>
      </w:r>
      <w:r w:rsidR="007D6361">
        <w:t>is</w:t>
      </w:r>
      <w:r w:rsidRPr="00775800">
        <w:t xml:space="preserve"> deemed to exist where two or more individual counterparties are linked by:</w:t>
      </w:r>
    </w:p>
    <w:p w:rsidR="00AB4D3C" w:rsidRPr="00775800" w:rsidRDefault="00AB4D3C" w:rsidP="004E1A1F">
      <w:pPr>
        <w:pStyle w:val="BodyText"/>
        <w:keepNext/>
        <w:numPr>
          <w:ilvl w:val="0"/>
          <w:numId w:val="10"/>
        </w:numPr>
        <w:spacing w:after="240"/>
      </w:pPr>
      <w:r w:rsidRPr="00775800">
        <w:t>cross guarantees;</w:t>
      </w:r>
    </w:p>
    <w:p w:rsidR="00AB4D3C" w:rsidRPr="00775800" w:rsidRDefault="00AB4D3C" w:rsidP="004E1A1F">
      <w:pPr>
        <w:pStyle w:val="BodyText"/>
        <w:numPr>
          <w:ilvl w:val="0"/>
          <w:numId w:val="10"/>
        </w:numPr>
        <w:tabs>
          <w:tab w:val="clear" w:pos="1134"/>
        </w:tabs>
        <w:spacing w:after="240"/>
      </w:pPr>
      <w:r w:rsidRPr="00775800">
        <w:t>common ownership or management;</w:t>
      </w:r>
    </w:p>
    <w:p w:rsidR="00AB4D3C" w:rsidRPr="00775800" w:rsidRDefault="00AB4D3C" w:rsidP="004E1A1F">
      <w:pPr>
        <w:pStyle w:val="BodyText"/>
        <w:numPr>
          <w:ilvl w:val="0"/>
          <w:numId w:val="10"/>
        </w:numPr>
        <w:tabs>
          <w:tab w:val="clear" w:pos="1134"/>
        </w:tabs>
        <w:spacing w:after="240"/>
      </w:pPr>
      <w:r w:rsidRPr="00775800">
        <w:t>the ability to exercise control over the other(s), whether direct or indirect;</w:t>
      </w:r>
    </w:p>
    <w:p w:rsidR="00AB4D3C" w:rsidRPr="00775800" w:rsidRDefault="00AB4D3C" w:rsidP="004E1A1F">
      <w:pPr>
        <w:pStyle w:val="BodyText"/>
        <w:numPr>
          <w:ilvl w:val="0"/>
          <w:numId w:val="10"/>
        </w:numPr>
        <w:tabs>
          <w:tab w:val="clear" w:pos="1134"/>
        </w:tabs>
        <w:spacing w:after="240"/>
      </w:pPr>
      <w:r w:rsidRPr="00775800">
        <w:t>financial interdependency such that the financial soundness of any of them may affect the financial soundness of the other(s); or</w:t>
      </w:r>
    </w:p>
    <w:p w:rsidR="00AB4D3C" w:rsidRPr="00775800" w:rsidRDefault="00AB4D3C" w:rsidP="004E1A1F">
      <w:pPr>
        <w:pStyle w:val="BodyText"/>
        <w:numPr>
          <w:ilvl w:val="0"/>
          <w:numId w:val="10"/>
        </w:numPr>
        <w:tabs>
          <w:tab w:val="clear" w:pos="1134"/>
        </w:tabs>
        <w:spacing w:after="240"/>
      </w:pPr>
      <w:proofErr w:type="gramStart"/>
      <w:r w:rsidRPr="00775800">
        <w:t>other</w:t>
      </w:r>
      <w:proofErr w:type="gramEnd"/>
      <w:r w:rsidRPr="00775800">
        <w:t xml:space="preserve"> connections or relationships which, according to an ADI’s assessment, identify the counterparties as constituting a single risk.</w:t>
      </w:r>
    </w:p>
    <w:p w:rsidR="00AB4D3C" w:rsidRPr="00775800" w:rsidRDefault="00AB4D3C" w:rsidP="00775800">
      <w:pPr>
        <w:pStyle w:val="BodyText"/>
        <w:spacing w:after="240"/>
      </w:pPr>
      <w:r w:rsidRPr="00775800">
        <w:t xml:space="preserve">As a general rule, family members are not to be treated as connected where they have independent retail relationships with an ADI (although an ADI </w:t>
      </w:r>
      <w:r w:rsidR="00E36344">
        <w:t>may</w:t>
      </w:r>
      <w:r w:rsidR="00E36344" w:rsidRPr="00775800">
        <w:t xml:space="preserve"> </w:t>
      </w:r>
      <w:r w:rsidRPr="00775800">
        <w:t xml:space="preserve">choose to treat such exposures as connected </w:t>
      </w:r>
      <w:r w:rsidR="00E36344">
        <w:t>if</w:t>
      </w:r>
      <w:r w:rsidR="00E36344" w:rsidRPr="00775800">
        <w:t xml:space="preserve"> </w:t>
      </w:r>
      <w:r w:rsidRPr="00775800">
        <w:t>it consider</w:t>
      </w:r>
      <w:r w:rsidR="00E36344">
        <w:t xml:space="preserve">s </w:t>
      </w:r>
      <w:r w:rsidR="009252C1">
        <w:t>it</w:t>
      </w:r>
      <w:r w:rsidRPr="00775800">
        <w:t xml:space="preserve"> appropriate to do so).</w:t>
      </w:r>
    </w:p>
    <w:p w:rsidR="00E76EE7" w:rsidRDefault="00AB4D3C">
      <w:pPr>
        <w:pStyle w:val="Heading1"/>
      </w:pPr>
      <w:bookmarkStart w:id="11" w:name="Limits"/>
      <w:bookmarkEnd w:id="11"/>
      <w:r w:rsidRPr="00775800">
        <w:t xml:space="preserve">Prudential </w:t>
      </w:r>
      <w:r w:rsidR="00ED6A8B">
        <w:t>l</w:t>
      </w:r>
      <w:r w:rsidR="00ED6A8B" w:rsidRPr="00775800">
        <w:t>imits</w:t>
      </w:r>
    </w:p>
    <w:p w:rsidR="00E76EE7" w:rsidRDefault="00AB4D3C">
      <w:pPr>
        <w:pStyle w:val="BodyText1"/>
      </w:pPr>
      <w:bookmarkStart w:id="12" w:name="Paragraph_9"/>
      <w:bookmarkStart w:id="13" w:name="_Ref337825095"/>
      <w:bookmarkEnd w:id="12"/>
      <w:r w:rsidRPr="00775800">
        <w:t>The aggregate exposure of an ADI to a counterparty or a group of related counterparties is subject to the following limits</w:t>
      </w:r>
      <w:r w:rsidR="00ED6A8B">
        <w:rPr>
          <w:rStyle w:val="FootnoteReference"/>
        </w:rPr>
        <w:footnoteReference w:id="5"/>
      </w:r>
      <w:bookmarkEnd w:id="13"/>
      <w:r w:rsidR="00BD3922">
        <w:t>:</w:t>
      </w:r>
    </w:p>
    <w:p w:rsidR="00AB4D3C" w:rsidRPr="00775800" w:rsidRDefault="00AB4D3C" w:rsidP="004E1A1F">
      <w:pPr>
        <w:pStyle w:val="BodyText"/>
        <w:numPr>
          <w:ilvl w:val="0"/>
          <w:numId w:val="11"/>
        </w:numPr>
        <w:spacing w:after="240"/>
      </w:pPr>
      <w:r w:rsidRPr="00775800">
        <w:t xml:space="preserve">external parties (other than governments, central banks and ADIs or equivalent overseas deposit-taking institutions) unrelated to the </w:t>
      </w:r>
      <w:smartTag w:uri="urn:schemas-microsoft-com:office:smarttags" w:element="stockticker">
        <w:r w:rsidRPr="00775800">
          <w:t>ADI</w:t>
        </w:r>
      </w:smartTag>
      <w:r w:rsidRPr="00775800">
        <w:t xml:space="preserve"> – 25</w:t>
      </w:r>
      <w:r w:rsidR="00192853">
        <w:t xml:space="preserve"> per cent</w:t>
      </w:r>
      <w:r w:rsidRPr="00775800">
        <w:t xml:space="preserve"> of </w:t>
      </w:r>
      <w:r w:rsidR="00297070">
        <w:t>Regulatory C</w:t>
      </w:r>
      <w:r w:rsidRPr="00775800">
        <w:t>apital;</w:t>
      </w:r>
    </w:p>
    <w:p w:rsidR="00AB4D3C" w:rsidRPr="00775800" w:rsidRDefault="00AB4D3C" w:rsidP="004E1A1F">
      <w:pPr>
        <w:pStyle w:val="BodyText"/>
        <w:numPr>
          <w:ilvl w:val="0"/>
          <w:numId w:val="11"/>
        </w:numPr>
        <w:tabs>
          <w:tab w:val="clear" w:pos="1134"/>
        </w:tabs>
        <w:spacing w:after="240"/>
      </w:pPr>
      <w:r w:rsidRPr="00775800">
        <w:t xml:space="preserve">unrelated </w:t>
      </w:r>
      <w:smartTag w:uri="urn:schemas-microsoft-com:office:smarttags" w:element="stockticker">
        <w:r w:rsidRPr="00775800">
          <w:t>ADI</w:t>
        </w:r>
      </w:smartTag>
      <w:r w:rsidRPr="00775800">
        <w:t xml:space="preserve"> (or equivalent overseas deposit-taking institution) and its subsidiaries – 50</w:t>
      </w:r>
      <w:r w:rsidR="00192853">
        <w:t xml:space="preserve"> per cent</w:t>
      </w:r>
      <w:r w:rsidRPr="00775800">
        <w:t xml:space="preserve"> of </w:t>
      </w:r>
      <w:r w:rsidR="009252C1">
        <w:t>Regulatory C</w:t>
      </w:r>
      <w:r w:rsidRPr="00775800">
        <w:t>apital, with aggregate exposure to non-deposit-taking subsidiaries capped at 25</w:t>
      </w:r>
      <w:r w:rsidR="00192853">
        <w:t xml:space="preserve"> per cent</w:t>
      </w:r>
      <w:r w:rsidR="00192853" w:rsidRPr="00775800">
        <w:t xml:space="preserve"> </w:t>
      </w:r>
      <w:r w:rsidRPr="00775800">
        <w:t xml:space="preserve">of </w:t>
      </w:r>
      <w:r w:rsidR="00297070">
        <w:t>Regulatory C</w:t>
      </w:r>
      <w:r w:rsidRPr="00775800">
        <w:t>apital; and</w:t>
      </w:r>
    </w:p>
    <w:p w:rsidR="00AB4D3C" w:rsidRPr="00775800" w:rsidRDefault="00AB4D3C" w:rsidP="004E1A1F">
      <w:pPr>
        <w:pStyle w:val="BodyText"/>
        <w:numPr>
          <w:ilvl w:val="0"/>
          <w:numId w:val="11"/>
        </w:numPr>
        <w:tabs>
          <w:tab w:val="clear" w:pos="1134"/>
        </w:tabs>
        <w:spacing w:after="240"/>
      </w:pPr>
      <w:proofErr w:type="gramStart"/>
      <w:r w:rsidRPr="00775800">
        <w:lastRenderedPageBreak/>
        <w:t>foreign</w:t>
      </w:r>
      <w:proofErr w:type="gramEnd"/>
      <w:r w:rsidRPr="00775800">
        <w:t xml:space="preserve"> parents and their subsidiaries</w:t>
      </w:r>
      <w:r w:rsidR="00ED6A8B">
        <w:rPr>
          <w:rStyle w:val="FootnoteReference"/>
        </w:rPr>
        <w:footnoteReference w:id="6"/>
      </w:r>
      <w:r w:rsidRPr="00775800">
        <w:t xml:space="preserve"> – 50</w:t>
      </w:r>
      <w:r w:rsidR="00192853">
        <w:t xml:space="preserve"> per cent</w:t>
      </w:r>
      <w:r w:rsidRPr="00775800">
        <w:t xml:space="preserve"> of </w:t>
      </w:r>
      <w:r w:rsidR="00BD3922">
        <w:t>Regulatory Capital</w:t>
      </w:r>
      <w:r w:rsidRPr="00775800">
        <w:t>, with aggregate exposure to non-deposit-taking subsidiaries capped at 25</w:t>
      </w:r>
      <w:r w:rsidR="00192853">
        <w:t xml:space="preserve"> per cent</w:t>
      </w:r>
      <w:r w:rsidRPr="00775800">
        <w:t xml:space="preserve"> of </w:t>
      </w:r>
      <w:r w:rsidR="00297070">
        <w:t>Regulatory C</w:t>
      </w:r>
      <w:r w:rsidRPr="00775800">
        <w:t>apital.</w:t>
      </w:r>
    </w:p>
    <w:p w:rsidR="00E76EE7" w:rsidRDefault="00AB4D3C">
      <w:pPr>
        <w:pStyle w:val="BodyText1"/>
      </w:pPr>
      <w:r w:rsidRPr="00775800">
        <w:t>Although certain types of exposure (e.g. settlement risk, exposure secured by eligible collateral) and counterparties (governments and central banks) are excluded from the above prescribed limits, these exposures are not risk</w:t>
      </w:r>
      <w:r w:rsidR="009018A6">
        <w:t>-</w:t>
      </w:r>
      <w:r w:rsidRPr="00775800">
        <w:t xml:space="preserve">free. </w:t>
      </w:r>
      <w:r w:rsidR="009252C1">
        <w:t xml:space="preserve">An </w:t>
      </w:r>
      <w:r w:rsidRPr="00775800">
        <w:t xml:space="preserve">ADI </w:t>
      </w:r>
      <w:r w:rsidR="00A1562E">
        <w:t>must</w:t>
      </w:r>
      <w:r w:rsidRPr="00775800">
        <w:t xml:space="preserve"> have adequate procedures and controls in place (e.g. by way of internal limits) to monitor these exposures.</w:t>
      </w:r>
    </w:p>
    <w:p w:rsidR="00E76EE7" w:rsidRDefault="009252C1">
      <w:pPr>
        <w:pStyle w:val="BodyText1"/>
      </w:pPr>
      <w:r>
        <w:t xml:space="preserve">An </w:t>
      </w:r>
      <w:r w:rsidR="00AB4D3C" w:rsidRPr="00775800">
        <w:t xml:space="preserve">ADI </w:t>
      </w:r>
      <w:r w:rsidR="00A1562E">
        <w:t>must</w:t>
      </w:r>
      <w:r w:rsidR="00AB4D3C" w:rsidRPr="00775800">
        <w:t xml:space="preserve"> treat the 25</w:t>
      </w:r>
      <w:r w:rsidR="00192853">
        <w:t xml:space="preserve"> per cent</w:t>
      </w:r>
      <w:r w:rsidR="00AB4D3C" w:rsidRPr="00775800">
        <w:t xml:space="preserve"> limit as the upper limit for an exposure to a non-government, non-</w:t>
      </w:r>
      <w:smartTag w:uri="urn:schemas-microsoft-com:office:smarttags" w:element="stockticker">
        <w:r w:rsidR="00AB4D3C" w:rsidRPr="00775800">
          <w:t>ADI</w:t>
        </w:r>
      </w:smartTag>
      <w:r w:rsidR="00AB4D3C" w:rsidRPr="00775800">
        <w:t xml:space="preserve"> counterparty. APRA expects </w:t>
      </w:r>
      <w:r>
        <w:t xml:space="preserve">an </w:t>
      </w:r>
      <w:r w:rsidR="00AB4D3C" w:rsidRPr="00775800">
        <w:t>ADI to establish lower internal limits to any non-government, non-</w:t>
      </w:r>
      <w:smartTag w:uri="urn:schemas-microsoft-com:office:smarttags" w:element="stockticker">
        <w:r w:rsidR="00AB4D3C" w:rsidRPr="00775800">
          <w:t>ADI</w:t>
        </w:r>
      </w:smartTag>
      <w:r w:rsidR="00AB4D3C" w:rsidRPr="00775800">
        <w:t xml:space="preserve"> counterparty commensurate with their risk appetite.</w:t>
      </w:r>
    </w:p>
    <w:p w:rsidR="00E76EE7" w:rsidRDefault="00AB4D3C">
      <w:pPr>
        <w:pStyle w:val="BodyText1"/>
      </w:pPr>
      <w:bookmarkStart w:id="14" w:name="Paragraph_12"/>
      <w:bookmarkStart w:id="15" w:name="_Ref337825145"/>
      <w:bookmarkEnd w:id="14"/>
      <w:r w:rsidRPr="00775800">
        <w:t xml:space="preserve">Notwithstanding </w:t>
      </w:r>
      <w:hyperlink w:anchor="Paragraph_9" w:history="1">
        <w:r w:rsidRPr="00775800">
          <w:t xml:space="preserve">paragraph </w:t>
        </w:r>
      </w:hyperlink>
      <w:r w:rsidR="00221FC0">
        <w:fldChar w:fldCharType="begin"/>
      </w:r>
      <w:r w:rsidR="00297070">
        <w:instrText xml:space="preserve"> REF _Ref337825095 \r \h </w:instrText>
      </w:r>
      <w:r w:rsidR="00221FC0">
        <w:fldChar w:fldCharType="separate"/>
      </w:r>
      <w:r w:rsidR="00A3252E">
        <w:t>15</w:t>
      </w:r>
      <w:r w:rsidR="00221FC0">
        <w:fldChar w:fldCharType="end"/>
      </w:r>
      <w:r w:rsidRPr="00775800">
        <w:t>, APRA may</w:t>
      </w:r>
      <w:r w:rsidR="003A40C7">
        <w:t>,</w:t>
      </w:r>
      <w:r w:rsidRPr="00775800">
        <w:t xml:space="preserve"> in writing</w:t>
      </w:r>
      <w:r w:rsidR="003A40C7">
        <w:t>,</w:t>
      </w:r>
      <w:r w:rsidRPr="00775800">
        <w:t xml:space="preserve"> set specific limits on an </w:t>
      </w:r>
      <w:smartTag w:uri="urn:schemas-microsoft-com:office:smarttags" w:element="stockticker">
        <w:r w:rsidRPr="00775800">
          <w:t>ADI</w:t>
        </w:r>
      </w:smartTag>
      <w:r w:rsidRPr="00775800">
        <w:t>’s exposures to particular counterparties, groups of counterparties, industry sectors, countries or asset classes</w:t>
      </w:r>
      <w:r w:rsidR="003A40C7">
        <w:t>,</w:t>
      </w:r>
      <w:r w:rsidRPr="00775800">
        <w:t xml:space="preserve"> including property holdings and any other investments</w:t>
      </w:r>
      <w:r w:rsidR="003A40C7">
        <w:t>,</w:t>
      </w:r>
      <w:r w:rsidRPr="00775800">
        <w:t xml:space="preserve"> on a case-by-case basis, having regard to the </w:t>
      </w:r>
      <w:smartTag w:uri="urn:schemas-microsoft-com:office:smarttags" w:element="stockticker">
        <w:r w:rsidRPr="00775800">
          <w:t>ADI</w:t>
        </w:r>
      </w:smartTag>
      <w:r w:rsidRPr="00775800">
        <w:t>’s individual circumstances.</w:t>
      </w:r>
      <w:bookmarkEnd w:id="15"/>
    </w:p>
    <w:p w:rsidR="00054813" w:rsidRDefault="00AB4D3C">
      <w:pPr>
        <w:pStyle w:val="Heading1"/>
      </w:pPr>
      <w:bookmarkStart w:id="16" w:name="Approval"/>
      <w:bookmarkEnd w:id="16"/>
      <w:r w:rsidRPr="00775800">
        <w:t xml:space="preserve">Approval </w:t>
      </w:r>
      <w:r w:rsidR="00B45D5D">
        <w:t>r</w:t>
      </w:r>
      <w:r w:rsidR="00B45D5D" w:rsidRPr="00775800">
        <w:t>equirements</w:t>
      </w:r>
    </w:p>
    <w:p w:rsidR="00054813" w:rsidRDefault="00AB4D3C">
      <w:pPr>
        <w:pStyle w:val="BodyText1"/>
      </w:pPr>
      <w:r w:rsidRPr="00775800">
        <w:t xml:space="preserve">An </w:t>
      </w:r>
      <w:smartTag w:uri="urn:schemas-microsoft-com:office:smarttags" w:element="stockticker">
        <w:r w:rsidRPr="00775800">
          <w:t>ADI</w:t>
        </w:r>
      </w:smartTag>
      <w:r w:rsidRPr="00775800">
        <w:t xml:space="preserve"> must obtain APRA’s prior approval for any proposed exposures in excess of the prescribed limits set out in </w:t>
      </w:r>
      <w:hyperlink w:anchor="Paragraph_9" w:history="1">
        <w:r w:rsidRPr="00775800">
          <w:t xml:space="preserve">paragraph </w:t>
        </w:r>
      </w:hyperlink>
      <w:r w:rsidR="00221FC0">
        <w:fldChar w:fldCharType="begin"/>
      </w:r>
      <w:r w:rsidR="00D90B2B">
        <w:instrText xml:space="preserve"> REF _Ref337825095 \r \h </w:instrText>
      </w:r>
      <w:r w:rsidR="00221FC0">
        <w:fldChar w:fldCharType="separate"/>
      </w:r>
      <w:r w:rsidR="00A3252E">
        <w:t>15</w:t>
      </w:r>
      <w:r w:rsidR="00221FC0">
        <w:fldChar w:fldCharType="end"/>
      </w:r>
      <w:r w:rsidR="00297070">
        <w:t xml:space="preserve"> </w:t>
      </w:r>
      <w:r w:rsidRPr="00775800">
        <w:t xml:space="preserve">or alternative limit determined under </w:t>
      </w:r>
      <w:r w:rsidR="00D90B2B">
        <w:t xml:space="preserve">paragraph </w:t>
      </w:r>
      <w:r w:rsidR="00221FC0">
        <w:fldChar w:fldCharType="begin"/>
      </w:r>
      <w:r w:rsidR="00D90B2B">
        <w:instrText xml:space="preserve"> REF _Ref337825145 \r \h </w:instrText>
      </w:r>
      <w:r w:rsidR="00221FC0">
        <w:fldChar w:fldCharType="separate"/>
      </w:r>
      <w:r w:rsidR="00A3252E">
        <w:t>18</w:t>
      </w:r>
      <w:r w:rsidR="00221FC0">
        <w:fldChar w:fldCharType="end"/>
      </w:r>
      <w:r w:rsidRPr="00775800">
        <w:t>. Such approval will only be granted on an exception</w:t>
      </w:r>
      <w:r w:rsidR="003C0A67">
        <w:t>s</w:t>
      </w:r>
      <w:r w:rsidRPr="00775800">
        <w:t xml:space="preserve"> basis. The </w:t>
      </w:r>
      <w:smartTag w:uri="urn:schemas-microsoft-com:office:smarttags" w:element="stockticker">
        <w:r w:rsidRPr="00775800">
          <w:t>ADI</w:t>
        </w:r>
      </w:smartTag>
      <w:r w:rsidRPr="00775800">
        <w:t xml:space="preserve"> concerned must be able to satisfy APRA why the proposed exposure(s) might reasonably be expected not to expose the </w:t>
      </w:r>
      <w:smartTag w:uri="urn:schemas-microsoft-com:office:smarttags" w:element="stockticker">
        <w:r w:rsidRPr="00775800">
          <w:t>ADI</w:t>
        </w:r>
      </w:smartTag>
      <w:r w:rsidRPr="00775800">
        <w:t xml:space="preserve"> to excessive risk. APRA may impose a higher minimum capital ratio on the </w:t>
      </w:r>
      <w:smartTag w:uri="urn:schemas-microsoft-com:office:smarttags" w:element="stockticker">
        <w:r w:rsidRPr="00775800">
          <w:t>ADI</w:t>
        </w:r>
      </w:smartTag>
      <w:r w:rsidRPr="00775800">
        <w:t xml:space="preserve"> at Level 1 and/or Level 2 to compensate for the additional risk that may be associated with the proposed exposures.</w:t>
      </w:r>
    </w:p>
    <w:p w:rsidR="00054813" w:rsidRDefault="00AB4D3C">
      <w:pPr>
        <w:pStyle w:val="Heading1"/>
      </w:pPr>
      <w:bookmarkStart w:id="17" w:name="Notification"/>
      <w:bookmarkEnd w:id="17"/>
      <w:r w:rsidRPr="00775800">
        <w:t xml:space="preserve">Notification </w:t>
      </w:r>
      <w:r w:rsidR="006E64A7">
        <w:t>r</w:t>
      </w:r>
      <w:r w:rsidR="006E64A7" w:rsidRPr="00775800">
        <w:t>equirements</w:t>
      </w:r>
    </w:p>
    <w:p w:rsidR="00054813" w:rsidRDefault="00AB4D3C">
      <w:pPr>
        <w:pStyle w:val="BodyText1"/>
      </w:pPr>
      <w:r w:rsidRPr="00775800">
        <w:t xml:space="preserve">An </w:t>
      </w:r>
      <w:smartTag w:uri="urn:schemas-microsoft-com:office:smarttags" w:element="stockticker">
        <w:r w:rsidRPr="00775800">
          <w:t>ADI</w:t>
        </w:r>
      </w:smartTag>
      <w:r w:rsidRPr="00775800">
        <w:t xml:space="preserve"> must notify APRA immediately of any breach of the prescribed limits under </w:t>
      </w:r>
      <w:hyperlink w:anchor="Paragraph_9" w:history="1">
        <w:r w:rsidRPr="00775800">
          <w:t>para</w:t>
        </w:r>
        <w:bookmarkStart w:id="18" w:name="_Hlt22108921"/>
        <w:r w:rsidRPr="00775800">
          <w:t>g</w:t>
        </w:r>
        <w:bookmarkEnd w:id="18"/>
        <w:r w:rsidRPr="00775800">
          <w:t xml:space="preserve">raph </w:t>
        </w:r>
      </w:hyperlink>
      <w:r w:rsidR="00221FC0">
        <w:fldChar w:fldCharType="begin"/>
      </w:r>
      <w:r w:rsidR="00D90B2B">
        <w:instrText xml:space="preserve"> REF _Ref337825095 \r \h </w:instrText>
      </w:r>
      <w:r w:rsidR="00221FC0">
        <w:fldChar w:fldCharType="separate"/>
      </w:r>
      <w:r w:rsidR="00A3252E">
        <w:t>15</w:t>
      </w:r>
      <w:r w:rsidR="00221FC0">
        <w:fldChar w:fldCharType="end"/>
      </w:r>
      <w:r w:rsidR="00D90B2B">
        <w:t xml:space="preserve"> </w:t>
      </w:r>
      <w:r w:rsidRPr="00775800">
        <w:t>or other specific limits imposed by APRA under</w:t>
      </w:r>
      <w:r w:rsidR="00091B93">
        <w:t xml:space="preserve"> paragraph </w:t>
      </w:r>
      <w:r w:rsidR="00221FC0">
        <w:fldChar w:fldCharType="begin"/>
      </w:r>
      <w:r w:rsidR="00D90B2B">
        <w:instrText xml:space="preserve"> REF _Ref337825145 \r \h </w:instrText>
      </w:r>
      <w:r w:rsidR="00221FC0">
        <w:fldChar w:fldCharType="separate"/>
      </w:r>
      <w:r w:rsidR="00A3252E">
        <w:t>18</w:t>
      </w:r>
      <w:r w:rsidR="00221FC0">
        <w:fldChar w:fldCharType="end"/>
      </w:r>
      <w:r w:rsidRPr="00775800">
        <w:t>, including remedial actions taken or planned to deal with the breach.</w:t>
      </w:r>
    </w:p>
    <w:p w:rsidR="00054813" w:rsidRDefault="00AB4D3C">
      <w:pPr>
        <w:pStyle w:val="BodyText1"/>
      </w:pPr>
      <w:r w:rsidRPr="00775800">
        <w:t>An ADI must inform APRA immediately where it has concerns that its large exposures or risk concentrations have the potential to impact materially upon its capital adequacy, along with proposed measures to address these concerns.</w:t>
      </w:r>
    </w:p>
    <w:p w:rsidR="004157CA" w:rsidRDefault="004157CA">
      <w:pPr>
        <w:pStyle w:val="Heading1"/>
      </w:pPr>
      <w:bookmarkStart w:id="19" w:name="Consultation"/>
      <w:bookmarkEnd w:id="19"/>
    </w:p>
    <w:p w:rsidR="00054813" w:rsidRDefault="00AB4D3C">
      <w:pPr>
        <w:pStyle w:val="Heading1"/>
      </w:pPr>
      <w:r w:rsidRPr="00775800">
        <w:t xml:space="preserve">Prior </w:t>
      </w:r>
      <w:r w:rsidR="006E64A7">
        <w:t>c</w:t>
      </w:r>
      <w:r w:rsidR="006E64A7" w:rsidRPr="00775800">
        <w:t xml:space="preserve">onsultation </w:t>
      </w:r>
      <w:r w:rsidR="006E64A7">
        <w:t>r</w:t>
      </w:r>
      <w:r w:rsidR="006E64A7" w:rsidRPr="00775800">
        <w:t>equirements</w:t>
      </w:r>
    </w:p>
    <w:p w:rsidR="00054813" w:rsidRDefault="00AB4D3C">
      <w:pPr>
        <w:pStyle w:val="BodyText1"/>
      </w:pPr>
      <w:r w:rsidRPr="00775800">
        <w:t>An ADI must consult with APRA prior to committing to any proposed exposures to non-government, non-ADI counterparties in excess of 10</w:t>
      </w:r>
      <w:r w:rsidR="005C06C2">
        <w:t xml:space="preserve"> per cent</w:t>
      </w:r>
      <w:r w:rsidRPr="00775800">
        <w:t xml:space="preserve"> of </w:t>
      </w:r>
      <w:r w:rsidR="009A6F92">
        <w:t xml:space="preserve">its </w:t>
      </w:r>
      <w:r w:rsidR="00297070">
        <w:t>R</w:t>
      </w:r>
      <w:r w:rsidR="009A6F92">
        <w:t>egulatory</w:t>
      </w:r>
      <w:r w:rsidR="009A6F92" w:rsidRPr="00775800">
        <w:t xml:space="preserve"> </w:t>
      </w:r>
      <w:r w:rsidR="00297070">
        <w:t>C</w:t>
      </w:r>
      <w:r w:rsidRPr="00775800">
        <w:t>apital</w:t>
      </w:r>
      <w:r w:rsidR="006E64A7">
        <w:rPr>
          <w:rStyle w:val="FootnoteReference"/>
        </w:rPr>
        <w:footnoteReference w:id="7"/>
      </w:r>
      <w:r w:rsidR="00BD3922">
        <w:t>.</w:t>
      </w:r>
    </w:p>
    <w:p w:rsidR="00054813" w:rsidRDefault="00AB4D3C" w:rsidP="00054813">
      <w:pPr>
        <w:pStyle w:val="BodyText1"/>
      </w:pPr>
      <w:r w:rsidRPr="00775800">
        <w:t>APRA may</w:t>
      </w:r>
      <w:r w:rsidR="003C0A67">
        <w:t>, in writing,</w:t>
      </w:r>
      <w:r w:rsidRPr="00775800">
        <w:t xml:space="preserve"> set a higher consultation threshold or waive the prior consultation requirements for individual ADIs where APRA is satisfied with the robustness of the ADI’s credit risk management systems and controls.</w:t>
      </w:r>
    </w:p>
    <w:p w:rsidR="00E76EE7" w:rsidRDefault="00AB4D3C">
      <w:pPr>
        <w:pStyle w:val="Heading1"/>
      </w:pPr>
      <w:bookmarkStart w:id="20" w:name="Concentration"/>
      <w:bookmarkEnd w:id="20"/>
      <w:r w:rsidRPr="00775800">
        <w:t xml:space="preserve">Concentration of </w:t>
      </w:r>
      <w:r w:rsidR="006E64A7">
        <w:t>r</w:t>
      </w:r>
      <w:r w:rsidR="006E64A7" w:rsidRPr="00775800">
        <w:t>isk</w:t>
      </w:r>
    </w:p>
    <w:p w:rsidR="00E76EE7" w:rsidRDefault="00AB4D3C">
      <w:pPr>
        <w:pStyle w:val="BodyText1"/>
      </w:pPr>
      <w:r w:rsidRPr="00775800">
        <w:t xml:space="preserve">Where an </w:t>
      </w:r>
      <w:smartTag w:uri="urn:schemas-microsoft-com:office:smarttags" w:element="stockticker">
        <w:r w:rsidRPr="00775800">
          <w:t>ADI</w:t>
        </w:r>
      </w:smartTag>
      <w:r w:rsidRPr="00775800">
        <w:t xml:space="preserve"> has a number of large exposures (excluding exposures set out in </w:t>
      </w:r>
      <w:hyperlink w:anchor="Paragraph_7b" w:history="1">
        <w:r w:rsidRPr="00775800">
          <w:t xml:space="preserve">paragraph </w:t>
        </w:r>
        <w:r w:rsidR="00221FC0">
          <w:fldChar w:fldCharType="begin"/>
        </w:r>
        <w:r w:rsidR="00D90B2B">
          <w:instrText xml:space="preserve"> REF _Ref337825177 \r \h </w:instrText>
        </w:r>
        <w:r w:rsidR="00221FC0">
          <w:fldChar w:fldCharType="separate"/>
        </w:r>
        <w:r w:rsidR="00A3252E">
          <w:t>13</w:t>
        </w:r>
        <w:r w:rsidR="00221FC0">
          <w:fldChar w:fldCharType="end"/>
        </w:r>
        <w:r w:rsidR="00221FC0">
          <w:fldChar w:fldCharType="begin"/>
        </w:r>
        <w:r w:rsidR="00D90B2B">
          <w:instrText xml:space="preserve"> REF _Ref337825181 \r \h </w:instrText>
        </w:r>
        <w:r w:rsidR="00221FC0">
          <w:fldChar w:fldCharType="separate"/>
        </w:r>
        <w:r w:rsidR="00A3252E">
          <w:t>(b)</w:t>
        </w:r>
        <w:r w:rsidR="00221FC0">
          <w:fldChar w:fldCharType="end"/>
        </w:r>
        <w:r w:rsidR="00297070" w:rsidRPr="00775800" w:rsidDel="00297070">
          <w:t xml:space="preserve"> </w:t>
        </w:r>
      </w:hyperlink>
      <w:r w:rsidRPr="00775800">
        <w:t xml:space="preserve"> and any exposure to governments and central banks) or where</w:t>
      </w:r>
      <w:r w:rsidR="00D90B2B">
        <w:t>,</w:t>
      </w:r>
      <w:r w:rsidRPr="00775800">
        <w:t xml:space="preserve"> in APRA’s opinion, the </w:t>
      </w:r>
      <w:smartTag w:uri="urn:schemas-microsoft-com:office:smarttags" w:element="stockticker">
        <w:r w:rsidRPr="00775800">
          <w:t>ADI</w:t>
        </w:r>
      </w:smartTag>
      <w:r w:rsidRPr="00775800">
        <w:t xml:space="preserve"> is exposed to a significant level of risk concentration, APRA may require the </w:t>
      </w:r>
      <w:smartTag w:uri="urn:schemas-microsoft-com:office:smarttags" w:element="stockticker">
        <w:r w:rsidRPr="00775800">
          <w:t>ADI</w:t>
        </w:r>
      </w:smartTag>
      <w:r w:rsidRPr="00775800">
        <w:t xml:space="preserve"> to maintain a higher capital ratio at Level 1 and/or Level 2. In considering whether </w:t>
      </w:r>
      <w:r w:rsidR="003C0A67">
        <w:t>an</w:t>
      </w:r>
      <w:r w:rsidRPr="00775800">
        <w:t xml:space="preserve"> </w:t>
      </w:r>
      <w:smartTag w:uri="urn:schemas-microsoft-com:office:smarttags" w:element="stockticker">
        <w:r w:rsidRPr="00775800">
          <w:t>ADI</w:t>
        </w:r>
      </w:smartTag>
      <w:r w:rsidRPr="00775800">
        <w:t>’s capital ratio should be increased, APRA will take account of the following factors:</w:t>
      </w:r>
    </w:p>
    <w:p w:rsidR="00AB4D3C" w:rsidRPr="00775800" w:rsidRDefault="00AB4D3C" w:rsidP="004E1A1F">
      <w:pPr>
        <w:pStyle w:val="BodyText"/>
        <w:numPr>
          <w:ilvl w:val="0"/>
          <w:numId w:val="12"/>
        </w:numPr>
        <w:spacing w:after="240"/>
      </w:pPr>
      <w:r w:rsidRPr="00775800">
        <w:t>consistency with the ADI’s policy on large exposures and risk concentrations;</w:t>
      </w:r>
    </w:p>
    <w:p w:rsidR="00AB4D3C" w:rsidRPr="00775800" w:rsidRDefault="00AB4D3C" w:rsidP="004E1A1F">
      <w:pPr>
        <w:pStyle w:val="BodyText"/>
        <w:numPr>
          <w:ilvl w:val="0"/>
          <w:numId w:val="12"/>
        </w:numPr>
        <w:tabs>
          <w:tab w:val="clear" w:pos="1134"/>
        </w:tabs>
        <w:spacing w:after="240"/>
      </w:pPr>
      <w:r w:rsidRPr="00775800">
        <w:t>the number of exposures, their individual size and nature; and</w:t>
      </w:r>
    </w:p>
    <w:p w:rsidR="00AB4D3C" w:rsidRPr="00DA02FF" w:rsidRDefault="00AB4D3C" w:rsidP="004E1A1F">
      <w:pPr>
        <w:pStyle w:val="BodyText"/>
        <w:numPr>
          <w:ilvl w:val="0"/>
          <w:numId w:val="12"/>
        </w:numPr>
        <w:tabs>
          <w:tab w:val="clear" w:pos="1134"/>
        </w:tabs>
        <w:spacing w:after="240"/>
      </w:pPr>
      <w:proofErr w:type="gramStart"/>
      <w:r w:rsidRPr="00775800">
        <w:t>the</w:t>
      </w:r>
      <w:proofErr w:type="gramEnd"/>
      <w:r w:rsidRPr="00775800">
        <w:t xml:space="preserve"> characteristics of the ADI, including the nature of its business and the </w:t>
      </w:r>
      <w:r w:rsidRPr="00DA02FF">
        <w:t>experience of its management.</w:t>
      </w:r>
    </w:p>
    <w:p w:rsidR="00E76EE7" w:rsidRPr="00DA02FF" w:rsidRDefault="00AB4D3C">
      <w:pPr>
        <w:pStyle w:val="BodyText1"/>
      </w:pPr>
      <w:r w:rsidRPr="00DA02FF">
        <w:t>APRA may also direct an ADI to take measures to reduce its level of risk concentration.</w:t>
      </w:r>
    </w:p>
    <w:p w:rsidR="00E76EE7" w:rsidRPr="00DA02FF" w:rsidRDefault="008D115E">
      <w:pPr>
        <w:pStyle w:val="Heading1"/>
      </w:pPr>
      <w:bookmarkStart w:id="21" w:name="Foreign_ADIs"/>
      <w:bookmarkStart w:id="22" w:name="Paragraph_22"/>
      <w:bookmarkStart w:id="23" w:name="Paragraph_23"/>
      <w:bookmarkEnd w:id="21"/>
      <w:bookmarkEnd w:id="22"/>
      <w:bookmarkEnd w:id="23"/>
      <w:r w:rsidRPr="00DA02FF">
        <w:t xml:space="preserve">Adjustments and exclusions </w:t>
      </w:r>
    </w:p>
    <w:p w:rsidR="00E76EE7" w:rsidRPr="00DA02FF" w:rsidRDefault="008D115E">
      <w:pPr>
        <w:pStyle w:val="BodyText1"/>
      </w:pPr>
      <w:r w:rsidRPr="00DA02FF">
        <w:t>APRA may, by notice in writing, adjust or exclude a specific prudential requirement in this Prudential Standard in relation to one or more specified ADIs or authorised NOHCs</w:t>
      </w:r>
      <w:r w:rsidRPr="00DA02FF">
        <w:rPr>
          <w:rStyle w:val="FootnoteReference"/>
        </w:rPr>
        <w:footnoteReference w:id="8"/>
      </w:r>
      <w:r w:rsidR="004157CA">
        <w:t>.</w:t>
      </w:r>
      <w:r w:rsidRPr="00DA02FF">
        <w:t xml:space="preserve"> </w:t>
      </w:r>
    </w:p>
    <w:sectPr w:rsidR="00E76EE7" w:rsidRPr="00DA02FF" w:rsidSect="000B10C5">
      <w:headerReference w:type="default" r:id="rId15"/>
      <w:footerReference w:type="default" r:id="rId16"/>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57E" w:rsidRDefault="0084257E" w:rsidP="009018A6">
      <w:r>
        <w:separator/>
      </w:r>
    </w:p>
  </w:endnote>
  <w:endnote w:type="continuationSeparator" w:id="0">
    <w:p w:rsidR="0084257E" w:rsidRDefault="0084257E" w:rsidP="00901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57E" w:rsidRDefault="0084257E" w:rsidP="004F54F9">
    <w:pPr>
      <w:pStyle w:val="Footer"/>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57E" w:rsidRPr="00B2654F" w:rsidRDefault="0084257E" w:rsidP="00407F60">
    <w:pPr>
      <w:pStyle w:val="Footer"/>
      <w:framePr w:wrap="around" w:vAnchor="text" w:hAnchor="margin" w:xAlign="right" w:y="1"/>
      <w:rPr>
        <w:rStyle w:val="PageNumber"/>
        <w:b/>
      </w:rPr>
    </w:pPr>
    <w:smartTag w:uri="urn:schemas-microsoft-com:office:smarttags" w:element="stockticker">
      <w:r>
        <w:rPr>
          <w:rStyle w:val="PageNumber"/>
          <w:b/>
        </w:rPr>
        <w:t>A</w:t>
      </w:r>
      <w:r w:rsidRPr="00B2654F">
        <w:rPr>
          <w:rStyle w:val="PageNumber"/>
          <w:b/>
        </w:rPr>
        <w:t>PS</w:t>
      </w:r>
    </w:smartTag>
    <w:r w:rsidRPr="00B2654F">
      <w:rPr>
        <w:rStyle w:val="PageNumber"/>
        <w:b/>
      </w:rPr>
      <w:t xml:space="preserve"> </w:t>
    </w:r>
    <w:r>
      <w:rPr>
        <w:rStyle w:val="PageNumber"/>
        <w:b/>
      </w:rPr>
      <w:t>221</w:t>
    </w:r>
    <w:r w:rsidRPr="00B2654F">
      <w:rPr>
        <w:rStyle w:val="PageNumber"/>
        <w:b/>
      </w:rPr>
      <w:t xml:space="preserve"> - </w:t>
    </w:r>
    <w:r w:rsidR="00221FC0" w:rsidRPr="00B2654F">
      <w:rPr>
        <w:rStyle w:val="PageNumber"/>
        <w:b/>
      </w:rPr>
      <w:fldChar w:fldCharType="begin"/>
    </w:r>
    <w:r w:rsidRPr="00B2654F">
      <w:rPr>
        <w:rStyle w:val="PageNumber"/>
        <w:b/>
      </w:rPr>
      <w:instrText xml:space="preserve">PAGE  </w:instrText>
    </w:r>
    <w:r w:rsidR="00221FC0" w:rsidRPr="00B2654F">
      <w:rPr>
        <w:rStyle w:val="PageNumber"/>
        <w:b/>
      </w:rPr>
      <w:fldChar w:fldCharType="separate"/>
    </w:r>
    <w:r w:rsidR="00A3252E">
      <w:rPr>
        <w:rStyle w:val="PageNumber"/>
        <w:b/>
        <w:noProof/>
      </w:rPr>
      <w:t>7</w:t>
    </w:r>
    <w:r w:rsidR="00221FC0" w:rsidRPr="00B2654F">
      <w:rPr>
        <w:rStyle w:val="PageNumber"/>
        <w:b/>
      </w:rPr>
      <w:fldChar w:fldCharType="end"/>
    </w:r>
  </w:p>
  <w:p w:rsidR="0084257E" w:rsidRDefault="0084257E" w:rsidP="004F54F9">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57E" w:rsidRDefault="0084257E" w:rsidP="009018A6">
      <w:r>
        <w:separator/>
      </w:r>
    </w:p>
  </w:footnote>
  <w:footnote w:type="continuationSeparator" w:id="0">
    <w:p w:rsidR="0084257E" w:rsidRDefault="0084257E" w:rsidP="009018A6">
      <w:r>
        <w:continuationSeparator/>
      </w:r>
    </w:p>
  </w:footnote>
  <w:footnote w:id="1">
    <w:p w:rsidR="0084257E" w:rsidRDefault="0084257E" w:rsidP="00054813">
      <w:pPr>
        <w:pStyle w:val="FootnoteText"/>
        <w:spacing w:after="0"/>
        <w:ind w:hanging="567"/>
      </w:pPr>
      <w:r>
        <w:rPr>
          <w:rStyle w:val="FootnoteReference"/>
        </w:rPr>
        <w:footnoteRef/>
      </w:r>
      <w:r>
        <w:t xml:space="preserve"> </w:t>
      </w:r>
      <w:r>
        <w:tab/>
        <w:t xml:space="preserve">As a general rule, unlimited exposure to any individual counterparty (e.g. a general guarantee of the obligations of </w:t>
      </w:r>
      <w:proofErr w:type="gramStart"/>
      <w:r>
        <w:t>a counterparty</w:t>
      </w:r>
      <w:proofErr w:type="gramEnd"/>
      <w:r>
        <w:t>) is not permitted.</w:t>
      </w:r>
    </w:p>
  </w:footnote>
  <w:footnote w:id="2">
    <w:p w:rsidR="0084257E" w:rsidRDefault="0084257E" w:rsidP="00054813">
      <w:pPr>
        <w:pStyle w:val="FootnoteText"/>
        <w:spacing w:after="0"/>
        <w:ind w:hanging="567"/>
      </w:pPr>
      <w:r>
        <w:rPr>
          <w:rStyle w:val="FootnoteReference"/>
        </w:rPr>
        <w:footnoteRef/>
      </w:r>
      <w:r>
        <w:t xml:space="preserve"> </w:t>
      </w:r>
      <w:r>
        <w:tab/>
        <w:t xml:space="preserve">For the purposes of this Prudential Standard, the relevant policies and high level controls must be detailed in the ADI’s risk management systems descriptions required under </w:t>
      </w:r>
      <w:r w:rsidRPr="006C72AF">
        <w:rPr>
          <w:i/>
        </w:rPr>
        <w:t>Prudential Standard APS 310 Audit &amp; Related Arrangements for Prudential Reporting</w:t>
      </w:r>
      <w:r>
        <w:t>.</w:t>
      </w:r>
    </w:p>
  </w:footnote>
  <w:footnote w:id="3">
    <w:p w:rsidR="0084257E" w:rsidRPr="00DA02FF" w:rsidRDefault="0084257E" w:rsidP="00054813">
      <w:pPr>
        <w:pStyle w:val="FootnoteText"/>
        <w:spacing w:after="0"/>
        <w:ind w:hanging="567"/>
      </w:pPr>
      <w:r>
        <w:rPr>
          <w:rStyle w:val="FootnoteReference"/>
        </w:rPr>
        <w:footnoteRef/>
      </w:r>
      <w:r>
        <w:t xml:space="preserve"> </w:t>
      </w:r>
      <w:r>
        <w:tab/>
        <w:t xml:space="preserve">The 10 per cent threshold applies to an </w:t>
      </w:r>
      <w:r w:rsidRPr="00DA02FF">
        <w:t xml:space="preserve">ADI’s exposure at both Level 1 and Level 2 on a net basis (i.e. net of exposures excluded under paragraph </w:t>
      </w:r>
      <w:fldSimple w:instr=" REF _Ref337825177 \r \h  \* MERGEFORMAT ">
        <w:r w:rsidR="00A3252E">
          <w:t>13</w:t>
        </w:r>
      </w:fldSimple>
      <w:r w:rsidRPr="00DA02FF">
        <w:t>).</w:t>
      </w:r>
    </w:p>
  </w:footnote>
  <w:footnote w:id="4">
    <w:p w:rsidR="0084257E" w:rsidRDefault="0084257E" w:rsidP="00054813">
      <w:pPr>
        <w:pStyle w:val="FootnoteText"/>
        <w:spacing w:after="0"/>
        <w:ind w:hanging="567"/>
      </w:pPr>
      <w:r w:rsidRPr="00DA02FF">
        <w:rPr>
          <w:rStyle w:val="FootnoteReference"/>
        </w:rPr>
        <w:footnoteRef/>
      </w:r>
      <w:r w:rsidRPr="00DA02FF">
        <w:t xml:space="preserve"> </w:t>
      </w:r>
      <w:r w:rsidRPr="00DA02FF">
        <w:tab/>
        <w:t xml:space="preserve">For large exposure purposes, netting by novation and close-out netting are permissible for market-related contracts provided all the requirements set out in Attachment J to </w:t>
      </w:r>
      <w:smartTag w:uri="urn:schemas-microsoft-com:office:smarttags" w:element="stockticker">
        <w:r w:rsidRPr="00DA02FF">
          <w:t>APS</w:t>
        </w:r>
      </w:smartTag>
      <w:r w:rsidRPr="00DA02FF">
        <w:t xml:space="preserve"> 112 for</w:t>
      </w:r>
      <w:r>
        <w:t xml:space="preserve"> bilateral netting are met. Multilateral netting and netting of exposures against offsetting positions held by a group of related counterparties are not recognised for the purposes of this Prudential Standard.</w:t>
      </w:r>
    </w:p>
  </w:footnote>
  <w:footnote w:id="5">
    <w:p w:rsidR="0084257E" w:rsidRDefault="0084257E" w:rsidP="00054813">
      <w:pPr>
        <w:pStyle w:val="FootnoteText"/>
        <w:spacing w:after="0"/>
        <w:ind w:hanging="567"/>
      </w:pPr>
      <w:r>
        <w:rPr>
          <w:rStyle w:val="FootnoteReference"/>
        </w:rPr>
        <w:footnoteRef/>
      </w:r>
      <w:r>
        <w:t xml:space="preserve"> </w:t>
      </w:r>
      <w:r>
        <w:tab/>
        <w:t>These limits apply to an ADI’s exposure at both Level 1 and Level 2 on a net basis.</w:t>
      </w:r>
    </w:p>
  </w:footnote>
  <w:footnote w:id="6">
    <w:p w:rsidR="0084257E" w:rsidRDefault="0084257E" w:rsidP="00054813">
      <w:pPr>
        <w:pStyle w:val="FootnoteText"/>
        <w:spacing w:after="0"/>
        <w:ind w:hanging="567"/>
      </w:pPr>
      <w:r>
        <w:rPr>
          <w:rStyle w:val="FootnoteReference"/>
        </w:rPr>
        <w:footnoteRef/>
      </w:r>
      <w:r>
        <w:t xml:space="preserve"> </w:t>
      </w:r>
      <w:r>
        <w:tab/>
        <w:t>Prudential limits on an ADI’s exposures to other related entities are set out in</w:t>
      </w:r>
      <w:r w:rsidRPr="00B45D5D">
        <w:rPr>
          <w:i/>
        </w:rPr>
        <w:t xml:space="preserve"> Prudential Standard APS 222 Associations with Related Entities</w:t>
      </w:r>
      <w:r>
        <w:t>.</w:t>
      </w:r>
    </w:p>
  </w:footnote>
  <w:footnote w:id="7">
    <w:p w:rsidR="0084257E" w:rsidRDefault="0084257E" w:rsidP="00054813">
      <w:pPr>
        <w:pStyle w:val="FootnoteText"/>
        <w:spacing w:after="0"/>
        <w:ind w:hanging="567"/>
      </w:pPr>
      <w:r>
        <w:rPr>
          <w:rStyle w:val="FootnoteReference"/>
        </w:rPr>
        <w:footnoteRef/>
      </w:r>
      <w:r>
        <w:t xml:space="preserve"> </w:t>
      </w:r>
      <w:r>
        <w:tab/>
        <w:t xml:space="preserve">The 10 per cent prior consultation requirement applies to any proposed exposures of an </w:t>
      </w:r>
      <w:smartTag w:uri="urn:schemas-microsoft-com:office:smarttags" w:element="stockticker">
        <w:r>
          <w:t>ADI</w:t>
        </w:r>
      </w:smartTag>
      <w:r>
        <w:t xml:space="preserve"> at both Level 1 and Level 2 on a net basis (i.e. net of exposures excluded under </w:t>
      </w:r>
      <w:r w:rsidRPr="006E64A7">
        <w:t xml:space="preserve">paragraph </w:t>
      </w:r>
      <w:r>
        <w:t xml:space="preserve">13 above). The </w:t>
      </w:r>
      <w:smartTag w:uri="urn:schemas-microsoft-com:office:smarttags" w:element="stockticker">
        <w:r>
          <w:t>ADI</w:t>
        </w:r>
      </w:smartTag>
      <w:r>
        <w:t xml:space="preserve">’s regulatory capital at Level 1 and Level 2 is measured in accordance with </w:t>
      </w:r>
      <w:smartTag w:uri="urn:schemas-microsoft-com:office:smarttags" w:element="stockticker">
        <w:r w:rsidRPr="006E64A7">
          <w:t>APS</w:t>
        </w:r>
      </w:smartTag>
      <w:r w:rsidRPr="006E64A7">
        <w:t xml:space="preserve"> 111</w:t>
      </w:r>
      <w:r>
        <w:t>.</w:t>
      </w:r>
    </w:p>
  </w:footnote>
  <w:footnote w:id="8">
    <w:p w:rsidR="0084257E" w:rsidRDefault="0084257E">
      <w:pPr>
        <w:pStyle w:val="FootnoteText"/>
        <w:ind w:hanging="567"/>
      </w:pPr>
      <w:r w:rsidRPr="00DA02FF">
        <w:rPr>
          <w:rStyle w:val="FootnoteReference"/>
        </w:rPr>
        <w:footnoteRef/>
      </w:r>
      <w:r w:rsidRPr="00DA02FF">
        <w:t xml:space="preserve"> </w:t>
      </w:r>
      <w:r w:rsidRPr="00DA02FF">
        <w:tab/>
        <w:t xml:space="preserve">Refer to sub-section </w:t>
      </w:r>
      <w:proofErr w:type="gramStart"/>
      <w:r w:rsidRPr="00DA02FF">
        <w:t>11AF(</w:t>
      </w:r>
      <w:proofErr w:type="gramEnd"/>
      <w:r w:rsidRPr="00DA02FF">
        <w:t>2) of the Banking Act.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57E" w:rsidRPr="00B2654F" w:rsidRDefault="0084257E" w:rsidP="00B2654F">
    <w:pPr>
      <w:pStyle w:val="Heade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57E" w:rsidRPr="00B2654F" w:rsidRDefault="0084257E" w:rsidP="00B2654F">
    <w:pPr>
      <w:pStyle w:val="Header"/>
    </w:pPr>
    <w:r>
      <w:tab/>
    </w:r>
    <w:r>
      <w:tab/>
      <w:t>January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4487"/>
    <w:multiLevelType w:val="hybridMultilevel"/>
    <w:tmpl w:val="45CADBA8"/>
    <w:lvl w:ilvl="0" w:tplc="1472B61E">
      <w:start w:val="1"/>
      <w:numFmt w:val="lowerRoman"/>
      <w:lvlText w:val="(%1)"/>
      <w:lvlJc w:val="left"/>
      <w:pPr>
        <w:tabs>
          <w:tab w:val="num" w:pos="1701"/>
        </w:tabs>
        <w:ind w:left="1701"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7B020AF"/>
    <w:multiLevelType w:val="hybridMultilevel"/>
    <w:tmpl w:val="00AAEA16"/>
    <w:lvl w:ilvl="0" w:tplc="1472B61E">
      <w:start w:val="1"/>
      <w:numFmt w:val="lowerRoman"/>
      <w:lvlText w:val="(%1)"/>
      <w:lvlJc w:val="left"/>
      <w:pPr>
        <w:tabs>
          <w:tab w:val="num" w:pos="1701"/>
        </w:tabs>
        <w:ind w:left="1701"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4C16960"/>
    <w:multiLevelType w:val="hybridMultilevel"/>
    <w:tmpl w:val="BADE5052"/>
    <w:lvl w:ilvl="0" w:tplc="312CBA68">
      <w:start w:val="1"/>
      <w:numFmt w:val="decimal"/>
      <w:pStyle w:val="BodyText1"/>
      <w:lvlText w:val="%1."/>
      <w:lvlJc w:val="left"/>
      <w:pPr>
        <w:ind w:left="360" w:hanging="360"/>
      </w:pPr>
      <w:rPr>
        <w:rFonts w:hint="default"/>
        <w:i w:val="0"/>
        <w:sz w:val="24"/>
        <w:szCs w:val="24"/>
      </w:rPr>
    </w:lvl>
    <w:lvl w:ilvl="1" w:tplc="E3AA8E7E">
      <w:start w:val="1"/>
      <w:numFmt w:val="lowerLetter"/>
      <w:lvlText w:val="(%2)"/>
      <w:lvlJc w:val="left"/>
      <w:pPr>
        <w:tabs>
          <w:tab w:val="num" w:pos="1005"/>
        </w:tabs>
        <w:ind w:left="1005" w:hanging="465"/>
      </w:pPr>
      <w:rPr>
        <w:rFonts w:ascii="Times New Roman" w:hAnsi="Times New Roman" w:hint="default"/>
        <w:b w:val="0"/>
        <w:i w:val="0"/>
        <w:sz w:val="24"/>
        <w:szCs w:val="24"/>
      </w:rPr>
    </w:lvl>
    <w:lvl w:ilvl="2" w:tplc="00DA016A" w:tentative="1">
      <w:start w:val="1"/>
      <w:numFmt w:val="lowerRoman"/>
      <w:lvlText w:val="%3."/>
      <w:lvlJc w:val="right"/>
      <w:pPr>
        <w:tabs>
          <w:tab w:val="num" w:pos="2160"/>
        </w:tabs>
        <w:ind w:left="2160" w:hanging="180"/>
      </w:pPr>
    </w:lvl>
    <w:lvl w:ilvl="3" w:tplc="A32EA9B8" w:tentative="1">
      <w:start w:val="1"/>
      <w:numFmt w:val="decimal"/>
      <w:lvlText w:val="%4."/>
      <w:lvlJc w:val="left"/>
      <w:pPr>
        <w:tabs>
          <w:tab w:val="num" w:pos="2880"/>
        </w:tabs>
        <w:ind w:left="2880" w:hanging="360"/>
      </w:pPr>
    </w:lvl>
    <w:lvl w:ilvl="4" w:tplc="89F85E0E" w:tentative="1">
      <w:start w:val="1"/>
      <w:numFmt w:val="lowerLetter"/>
      <w:lvlText w:val="%5."/>
      <w:lvlJc w:val="left"/>
      <w:pPr>
        <w:tabs>
          <w:tab w:val="num" w:pos="3600"/>
        </w:tabs>
        <w:ind w:left="3600" w:hanging="360"/>
      </w:pPr>
    </w:lvl>
    <w:lvl w:ilvl="5" w:tplc="ABA462F4" w:tentative="1">
      <w:start w:val="1"/>
      <w:numFmt w:val="lowerRoman"/>
      <w:lvlText w:val="%6."/>
      <w:lvlJc w:val="right"/>
      <w:pPr>
        <w:tabs>
          <w:tab w:val="num" w:pos="4320"/>
        </w:tabs>
        <w:ind w:left="4320" w:hanging="180"/>
      </w:pPr>
    </w:lvl>
    <w:lvl w:ilvl="6" w:tplc="C4744476" w:tentative="1">
      <w:start w:val="1"/>
      <w:numFmt w:val="decimal"/>
      <w:lvlText w:val="%7."/>
      <w:lvlJc w:val="left"/>
      <w:pPr>
        <w:tabs>
          <w:tab w:val="num" w:pos="5040"/>
        </w:tabs>
        <w:ind w:left="5040" w:hanging="360"/>
      </w:pPr>
    </w:lvl>
    <w:lvl w:ilvl="7" w:tplc="B80E6460" w:tentative="1">
      <w:start w:val="1"/>
      <w:numFmt w:val="lowerLetter"/>
      <w:lvlText w:val="%8."/>
      <w:lvlJc w:val="left"/>
      <w:pPr>
        <w:tabs>
          <w:tab w:val="num" w:pos="5760"/>
        </w:tabs>
        <w:ind w:left="5760" w:hanging="360"/>
      </w:pPr>
    </w:lvl>
    <w:lvl w:ilvl="8" w:tplc="1D00FB7C" w:tentative="1">
      <w:start w:val="1"/>
      <w:numFmt w:val="lowerRoman"/>
      <w:lvlText w:val="%9."/>
      <w:lvlJc w:val="right"/>
      <w:pPr>
        <w:tabs>
          <w:tab w:val="num" w:pos="6480"/>
        </w:tabs>
        <w:ind w:left="6480" w:hanging="180"/>
      </w:pPr>
    </w:lvl>
  </w:abstractNum>
  <w:abstractNum w:abstractNumId="3">
    <w:nsid w:val="1D0154E3"/>
    <w:multiLevelType w:val="hybridMultilevel"/>
    <w:tmpl w:val="92203DFC"/>
    <w:lvl w:ilvl="0" w:tplc="2ACC51FA">
      <w:start w:val="1"/>
      <w:numFmt w:val="lowerLetter"/>
      <w:pStyle w:val="BodyText2"/>
      <w:lvlText w:val="(%1)"/>
      <w:lvlJc w:val="left"/>
      <w:pPr>
        <w:ind w:left="720" w:hanging="360"/>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E833448"/>
    <w:multiLevelType w:val="hybridMultilevel"/>
    <w:tmpl w:val="D298C9AC"/>
    <w:lvl w:ilvl="0" w:tplc="9DB0DF44">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2820CA1"/>
    <w:multiLevelType w:val="hybridMultilevel"/>
    <w:tmpl w:val="43EC10CE"/>
    <w:lvl w:ilvl="0" w:tplc="9DB0DF44">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9804F61"/>
    <w:multiLevelType w:val="hybridMultilevel"/>
    <w:tmpl w:val="1B90DE30"/>
    <w:lvl w:ilvl="0" w:tplc="9DB0DF44">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B6920F4"/>
    <w:multiLevelType w:val="singleLevel"/>
    <w:tmpl w:val="8084F13A"/>
    <w:lvl w:ilvl="0">
      <w:start w:val="1"/>
      <w:numFmt w:val="decimal"/>
      <w:pStyle w:val="numberedpara"/>
      <w:lvlText w:val="%1."/>
      <w:lvlJc w:val="left"/>
      <w:pPr>
        <w:tabs>
          <w:tab w:val="num" w:pos="567"/>
        </w:tabs>
        <w:ind w:left="567" w:hanging="567"/>
      </w:pPr>
      <w:rPr>
        <w:rFonts w:ascii="Times New Roman" w:hAnsi="Times New Roman" w:cs="Times New Roman" w:hint="default"/>
        <w:b w:val="0"/>
        <w:sz w:val="24"/>
        <w:szCs w:val="24"/>
      </w:rPr>
    </w:lvl>
  </w:abstractNum>
  <w:abstractNum w:abstractNumId="8">
    <w:nsid w:val="2F4768FE"/>
    <w:multiLevelType w:val="hybridMultilevel"/>
    <w:tmpl w:val="50203776"/>
    <w:lvl w:ilvl="0" w:tplc="9DB0DF44">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3BF0375E"/>
    <w:multiLevelType w:val="singleLevel"/>
    <w:tmpl w:val="1472B61E"/>
    <w:lvl w:ilvl="0">
      <w:start w:val="1"/>
      <w:numFmt w:val="lowerRoman"/>
      <w:lvlText w:val="(%1)"/>
      <w:lvlJc w:val="left"/>
      <w:pPr>
        <w:tabs>
          <w:tab w:val="num" w:pos="1701"/>
        </w:tabs>
        <w:ind w:left="1701" w:hanging="567"/>
      </w:pPr>
      <w:rPr>
        <w:rFonts w:ascii="Times New Roman" w:hAnsi="Times New Roman" w:hint="default"/>
        <w:b w:val="0"/>
        <w:i w:val="0"/>
        <w:sz w:val="24"/>
        <w:szCs w:val="24"/>
      </w:rPr>
    </w:lvl>
  </w:abstractNum>
  <w:abstractNum w:abstractNumId="10">
    <w:nsid w:val="4FAF3F11"/>
    <w:multiLevelType w:val="hybridMultilevel"/>
    <w:tmpl w:val="84E850B2"/>
    <w:lvl w:ilvl="0" w:tplc="FFDC23B2">
      <w:start w:val="1"/>
      <w:numFmt w:val="lowerLetter"/>
      <w:lvlText w:val="(%1)"/>
      <w:lvlJc w:val="left"/>
      <w:pPr>
        <w:tabs>
          <w:tab w:val="num" w:pos="1134"/>
        </w:tabs>
        <w:ind w:left="1134" w:hanging="567"/>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B686BEC"/>
    <w:multiLevelType w:val="hybridMultilevel"/>
    <w:tmpl w:val="12524026"/>
    <w:lvl w:ilvl="0" w:tplc="9DB0DF44">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5BDA715C"/>
    <w:multiLevelType w:val="hybridMultilevel"/>
    <w:tmpl w:val="38187064"/>
    <w:lvl w:ilvl="0" w:tplc="A6F6D990">
      <w:start w:val="1"/>
      <w:numFmt w:val="bullet"/>
      <w:pStyle w:val="StyleBodyText13ptCharCharChar"/>
      <w:lvlText w:val=""/>
      <w:lvlJc w:val="left"/>
      <w:pPr>
        <w:tabs>
          <w:tab w:val="num" w:pos="720"/>
        </w:tabs>
        <w:ind w:left="720" w:hanging="360"/>
      </w:pPr>
      <w:rPr>
        <w:rFonts w:ascii="Symbol" w:hAnsi="Symbol" w:hint="default"/>
      </w:rPr>
    </w:lvl>
    <w:lvl w:ilvl="1" w:tplc="EB2CBF80" w:tentative="1">
      <w:start w:val="1"/>
      <w:numFmt w:val="bullet"/>
      <w:lvlText w:val="o"/>
      <w:lvlJc w:val="left"/>
      <w:pPr>
        <w:tabs>
          <w:tab w:val="num" w:pos="1440"/>
        </w:tabs>
        <w:ind w:left="1440" w:hanging="360"/>
      </w:pPr>
      <w:rPr>
        <w:rFonts w:ascii="Courier New" w:hAnsi="Courier New" w:cs="Courier New" w:hint="default"/>
      </w:rPr>
    </w:lvl>
    <w:lvl w:ilvl="2" w:tplc="11E01FC0" w:tentative="1">
      <w:start w:val="1"/>
      <w:numFmt w:val="bullet"/>
      <w:lvlText w:val=""/>
      <w:lvlJc w:val="left"/>
      <w:pPr>
        <w:tabs>
          <w:tab w:val="num" w:pos="2160"/>
        </w:tabs>
        <w:ind w:left="2160" w:hanging="360"/>
      </w:pPr>
      <w:rPr>
        <w:rFonts w:ascii="Wingdings" w:hAnsi="Wingdings" w:hint="default"/>
      </w:rPr>
    </w:lvl>
    <w:lvl w:ilvl="3" w:tplc="6D06FB2C" w:tentative="1">
      <w:start w:val="1"/>
      <w:numFmt w:val="bullet"/>
      <w:lvlText w:val=""/>
      <w:lvlJc w:val="left"/>
      <w:pPr>
        <w:tabs>
          <w:tab w:val="num" w:pos="2880"/>
        </w:tabs>
        <w:ind w:left="2880" w:hanging="360"/>
      </w:pPr>
      <w:rPr>
        <w:rFonts w:ascii="Symbol" w:hAnsi="Symbol" w:hint="default"/>
      </w:rPr>
    </w:lvl>
    <w:lvl w:ilvl="4" w:tplc="55F06D06" w:tentative="1">
      <w:start w:val="1"/>
      <w:numFmt w:val="bullet"/>
      <w:lvlText w:val="o"/>
      <w:lvlJc w:val="left"/>
      <w:pPr>
        <w:tabs>
          <w:tab w:val="num" w:pos="3600"/>
        </w:tabs>
        <w:ind w:left="3600" w:hanging="360"/>
      </w:pPr>
      <w:rPr>
        <w:rFonts w:ascii="Courier New" w:hAnsi="Courier New" w:cs="Courier New" w:hint="default"/>
      </w:rPr>
    </w:lvl>
    <w:lvl w:ilvl="5" w:tplc="14324978" w:tentative="1">
      <w:start w:val="1"/>
      <w:numFmt w:val="bullet"/>
      <w:lvlText w:val=""/>
      <w:lvlJc w:val="left"/>
      <w:pPr>
        <w:tabs>
          <w:tab w:val="num" w:pos="4320"/>
        </w:tabs>
        <w:ind w:left="4320" w:hanging="360"/>
      </w:pPr>
      <w:rPr>
        <w:rFonts w:ascii="Wingdings" w:hAnsi="Wingdings" w:hint="default"/>
      </w:rPr>
    </w:lvl>
    <w:lvl w:ilvl="6" w:tplc="CD408856" w:tentative="1">
      <w:start w:val="1"/>
      <w:numFmt w:val="bullet"/>
      <w:lvlText w:val=""/>
      <w:lvlJc w:val="left"/>
      <w:pPr>
        <w:tabs>
          <w:tab w:val="num" w:pos="5040"/>
        </w:tabs>
        <w:ind w:left="5040" w:hanging="360"/>
      </w:pPr>
      <w:rPr>
        <w:rFonts w:ascii="Symbol" w:hAnsi="Symbol" w:hint="default"/>
      </w:rPr>
    </w:lvl>
    <w:lvl w:ilvl="7" w:tplc="ABEAD168" w:tentative="1">
      <w:start w:val="1"/>
      <w:numFmt w:val="bullet"/>
      <w:lvlText w:val="o"/>
      <w:lvlJc w:val="left"/>
      <w:pPr>
        <w:tabs>
          <w:tab w:val="num" w:pos="5760"/>
        </w:tabs>
        <w:ind w:left="5760" w:hanging="360"/>
      </w:pPr>
      <w:rPr>
        <w:rFonts w:ascii="Courier New" w:hAnsi="Courier New" w:cs="Courier New" w:hint="default"/>
      </w:rPr>
    </w:lvl>
    <w:lvl w:ilvl="8" w:tplc="226AA5F0" w:tentative="1">
      <w:start w:val="1"/>
      <w:numFmt w:val="bullet"/>
      <w:lvlText w:val=""/>
      <w:lvlJc w:val="left"/>
      <w:pPr>
        <w:tabs>
          <w:tab w:val="num" w:pos="6480"/>
        </w:tabs>
        <w:ind w:left="6480" w:hanging="360"/>
      </w:pPr>
      <w:rPr>
        <w:rFonts w:ascii="Wingdings" w:hAnsi="Wingdings" w:hint="default"/>
      </w:rPr>
    </w:lvl>
  </w:abstractNum>
  <w:abstractNum w:abstractNumId="13">
    <w:nsid w:val="5C2369F1"/>
    <w:multiLevelType w:val="singleLevel"/>
    <w:tmpl w:val="9DB0DF44"/>
    <w:lvl w:ilvl="0">
      <w:start w:val="1"/>
      <w:numFmt w:val="lowerLetter"/>
      <w:lvlText w:val="(%1)"/>
      <w:lvlJc w:val="left"/>
      <w:pPr>
        <w:tabs>
          <w:tab w:val="num" w:pos="1134"/>
        </w:tabs>
        <w:ind w:left="1134" w:hanging="567"/>
      </w:pPr>
      <w:rPr>
        <w:rFonts w:ascii="Times New Roman" w:hAnsi="Times New Roman" w:hint="default"/>
        <w:b w:val="0"/>
        <w:i w:val="0"/>
        <w:sz w:val="24"/>
        <w:szCs w:val="24"/>
      </w:rPr>
    </w:lvl>
  </w:abstractNum>
  <w:abstractNum w:abstractNumId="14">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15">
    <w:nsid w:val="77DD1944"/>
    <w:multiLevelType w:val="multilevel"/>
    <w:tmpl w:val="FB0232A0"/>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2"/>
  </w:num>
  <w:num w:numId="3">
    <w:abstractNumId w:val="14"/>
  </w:num>
  <w:num w:numId="4">
    <w:abstractNumId w:val="13"/>
  </w:num>
  <w:num w:numId="5">
    <w:abstractNumId w:val="9"/>
  </w:num>
  <w:num w:numId="6">
    <w:abstractNumId w:val="4"/>
  </w:num>
  <w:num w:numId="7">
    <w:abstractNumId w:val="5"/>
  </w:num>
  <w:num w:numId="8">
    <w:abstractNumId w:val="1"/>
  </w:num>
  <w:num w:numId="9">
    <w:abstractNumId w:val="0"/>
  </w:num>
  <w:num w:numId="10">
    <w:abstractNumId w:val="11"/>
  </w:num>
  <w:num w:numId="11">
    <w:abstractNumId w:val="6"/>
  </w:num>
  <w:num w:numId="12">
    <w:abstractNumId w:val="8"/>
  </w:num>
  <w:num w:numId="13">
    <w:abstractNumId w:val="3"/>
  </w:num>
  <w:num w:numId="14">
    <w:abstractNumId w:val="7"/>
  </w:num>
  <w:num w:numId="15">
    <w:abstractNumId w:val="7"/>
  </w:num>
  <w:num w:numId="16">
    <w:abstractNumId w:val="10"/>
  </w:num>
  <w:num w:numId="17">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52397"/>
    <w:rsid w:val="000001FB"/>
    <w:rsid w:val="000006F1"/>
    <w:rsid w:val="00002BBA"/>
    <w:rsid w:val="0000632B"/>
    <w:rsid w:val="0000788B"/>
    <w:rsid w:val="000132B6"/>
    <w:rsid w:val="000316AF"/>
    <w:rsid w:val="000343F8"/>
    <w:rsid w:val="00034A91"/>
    <w:rsid w:val="00036665"/>
    <w:rsid w:val="0004116C"/>
    <w:rsid w:val="00041ACD"/>
    <w:rsid w:val="000453FA"/>
    <w:rsid w:val="00050EEA"/>
    <w:rsid w:val="00054813"/>
    <w:rsid w:val="000564A0"/>
    <w:rsid w:val="00061E86"/>
    <w:rsid w:val="00062A8C"/>
    <w:rsid w:val="00066692"/>
    <w:rsid w:val="00072360"/>
    <w:rsid w:val="000735F1"/>
    <w:rsid w:val="00074B33"/>
    <w:rsid w:val="00075C51"/>
    <w:rsid w:val="00076BF1"/>
    <w:rsid w:val="000811F2"/>
    <w:rsid w:val="00081DE5"/>
    <w:rsid w:val="00084DA4"/>
    <w:rsid w:val="00090D91"/>
    <w:rsid w:val="00091B93"/>
    <w:rsid w:val="000947EF"/>
    <w:rsid w:val="000A4B02"/>
    <w:rsid w:val="000A5627"/>
    <w:rsid w:val="000B10C5"/>
    <w:rsid w:val="000C30A6"/>
    <w:rsid w:val="000C3D12"/>
    <w:rsid w:val="000D2533"/>
    <w:rsid w:val="000D2E39"/>
    <w:rsid w:val="000D414F"/>
    <w:rsid w:val="000D534B"/>
    <w:rsid w:val="000D5351"/>
    <w:rsid w:val="000D6CB2"/>
    <w:rsid w:val="000D6D3F"/>
    <w:rsid w:val="000F70B9"/>
    <w:rsid w:val="0010058F"/>
    <w:rsid w:val="00103CB3"/>
    <w:rsid w:val="00103E78"/>
    <w:rsid w:val="001202A6"/>
    <w:rsid w:val="00126C4F"/>
    <w:rsid w:val="00127B57"/>
    <w:rsid w:val="00145A5E"/>
    <w:rsid w:val="00150365"/>
    <w:rsid w:val="0015189A"/>
    <w:rsid w:val="00152C6E"/>
    <w:rsid w:val="00156BD5"/>
    <w:rsid w:val="00164EA6"/>
    <w:rsid w:val="001676AD"/>
    <w:rsid w:val="001743B7"/>
    <w:rsid w:val="001754E9"/>
    <w:rsid w:val="0017595E"/>
    <w:rsid w:val="00185779"/>
    <w:rsid w:val="00192853"/>
    <w:rsid w:val="0019558B"/>
    <w:rsid w:val="001A17D3"/>
    <w:rsid w:val="001A1F36"/>
    <w:rsid w:val="001A32DD"/>
    <w:rsid w:val="001B152D"/>
    <w:rsid w:val="001B42E5"/>
    <w:rsid w:val="001C2599"/>
    <w:rsid w:val="001C6CA9"/>
    <w:rsid w:val="001E0C0F"/>
    <w:rsid w:val="001E0D8C"/>
    <w:rsid w:val="001E33B8"/>
    <w:rsid w:val="001E5D24"/>
    <w:rsid w:val="001E709E"/>
    <w:rsid w:val="001F17D5"/>
    <w:rsid w:val="001F1811"/>
    <w:rsid w:val="002005CD"/>
    <w:rsid w:val="00202158"/>
    <w:rsid w:val="00203BFF"/>
    <w:rsid w:val="002067B0"/>
    <w:rsid w:val="00221FC0"/>
    <w:rsid w:val="00224B39"/>
    <w:rsid w:val="002307A8"/>
    <w:rsid w:val="002336EA"/>
    <w:rsid w:val="00237F6B"/>
    <w:rsid w:val="002422AA"/>
    <w:rsid w:val="002425B5"/>
    <w:rsid w:val="00245DF1"/>
    <w:rsid w:val="0024660D"/>
    <w:rsid w:val="00247F83"/>
    <w:rsid w:val="00250A16"/>
    <w:rsid w:val="00252C26"/>
    <w:rsid w:val="00253B2E"/>
    <w:rsid w:val="00253D3B"/>
    <w:rsid w:val="0026145C"/>
    <w:rsid w:val="00262917"/>
    <w:rsid w:val="00270BFC"/>
    <w:rsid w:val="002723A3"/>
    <w:rsid w:val="0027683C"/>
    <w:rsid w:val="00291DFC"/>
    <w:rsid w:val="0029394C"/>
    <w:rsid w:val="00297070"/>
    <w:rsid w:val="002A2E9E"/>
    <w:rsid w:val="002B0C05"/>
    <w:rsid w:val="002B0C28"/>
    <w:rsid w:val="002B5F9E"/>
    <w:rsid w:val="002B75AE"/>
    <w:rsid w:val="002C1154"/>
    <w:rsid w:val="002C2087"/>
    <w:rsid w:val="002C2106"/>
    <w:rsid w:val="002C4284"/>
    <w:rsid w:val="002D0FDF"/>
    <w:rsid w:val="002D1D0F"/>
    <w:rsid w:val="002D2F1E"/>
    <w:rsid w:val="002E092C"/>
    <w:rsid w:val="002E3466"/>
    <w:rsid w:val="002E3E49"/>
    <w:rsid w:val="002E690B"/>
    <w:rsid w:val="002F2BDB"/>
    <w:rsid w:val="002F6713"/>
    <w:rsid w:val="002F6CE1"/>
    <w:rsid w:val="002F7CF3"/>
    <w:rsid w:val="00300D1E"/>
    <w:rsid w:val="003177B2"/>
    <w:rsid w:val="003239C1"/>
    <w:rsid w:val="00331FA5"/>
    <w:rsid w:val="0033688B"/>
    <w:rsid w:val="0034097F"/>
    <w:rsid w:val="003426FD"/>
    <w:rsid w:val="003451CA"/>
    <w:rsid w:val="00350389"/>
    <w:rsid w:val="00352C5A"/>
    <w:rsid w:val="00353778"/>
    <w:rsid w:val="00355C7B"/>
    <w:rsid w:val="00356B1D"/>
    <w:rsid w:val="00357563"/>
    <w:rsid w:val="00357B2C"/>
    <w:rsid w:val="003625D5"/>
    <w:rsid w:val="00372169"/>
    <w:rsid w:val="00372A7C"/>
    <w:rsid w:val="00373035"/>
    <w:rsid w:val="003733CD"/>
    <w:rsid w:val="00374BDF"/>
    <w:rsid w:val="0038471A"/>
    <w:rsid w:val="00391FCB"/>
    <w:rsid w:val="003922E6"/>
    <w:rsid w:val="00395EC6"/>
    <w:rsid w:val="0039600D"/>
    <w:rsid w:val="003962F0"/>
    <w:rsid w:val="003A40C7"/>
    <w:rsid w:val="003B11CE"/>
    <w:rsid w:val="003B2F7F"/>
    <w:rsid w:val="003B5CC4"/>
    <w:rsid w:val="003B7D59"/>
    <w:rsid w:val="003C0A67"/>
    <w:rsid w:val="003C3A30"/>
    <w:rsid w:val="003C5693"/>
    <w:rsid w:val="003C7151"/>
    <w:rsid w:val="003C7DED"/>
    <w:rsid w:val="003D0144"/>
    <w:rsid w:val="003D49C1"/>
    <w:rsid w:val="003F23EF"/>
    <w:rsid w:val="00402655"/>
    <w:rsid w:val="00402815"/>
    <w:rsid w:val="004031D0"/>
    <w:rsid w:val="00407F60"/>
    <w:rsid w:val="00412722"/>
    <w:rsid w:val="00412AD2"/>
    <w:rsid w:val="004157CA"/>
    <w:rsid w:val="0041789B"/>
    <w:rsid w:val="004215FA"/>
    <w:rsid w:val="00422F01"/>
    <w:rsid w:val="00427C9B"/>
    <w:rsid w:val="00435466"/>
    <w:rsid w:val="004443DA"/>
    <w:rsid w:val="004445D9"/>
    <w:rsid w:val="0045053A"/>
    <w:rsid w:val="004545C7"/>
    <w:rsid w:val="004663EC"/>
    <w:rsid w:val="00475E62"/>
    <w:rsid w:val="0047626D"/>
    <w:rsid w:val="004829FC"/>
    <w:rsid w:val="00487581"/>
    <w:rsid w:val="0049575E"/>
    <w:rsid w:val="004A33FA"/>
    <w:rsid w:val="004A40AC"/>
    <w:rsid w:val="004B3073"/>
    <w:rsid w:val="004B39B0"/>
    <w:rsid w:val="004B6E00"/>
    <w:rsid w:val="004B75AE"/>
    <w:rsid w:val="004C03E1"/>
    <w:rsid w:val="004D6972"/>
    <w:rsid w:val="004D7462"/>
    <w:rsid w:val="004E1A1F"/>
    <w:rsid w:val="004E30FD"/>
    <w:rsid w:val="004E725B"/>
    <w:rsid w:val="004E7DA3"/>
    <w:rsid w:val="004F0AC2"/>
    <w:rsid w:val="004F11CF"/>
    <w:rsid w:val="004F54F9"/>
    <w:rsid w:val="00501F04"/>
    <w:rsid w:val="005036C4"/>
    <w:rsid w:val="0050581A"/>
    <w:rsid w:val="005141F3"/>
    <w:rsid w:val="00521650"/>
    <w:rsid w:val="00521DDF"/>
    <w:rsid w:val="00522267"/>
    <w:rsid w:val="00524C8B"/>
    <w:rsid w:val="005271E2"/>
    <w:rsid w:val="005279B9"/>
    <w:rsid w:val="00527E5F"/>
    <w:rsid w:val="00531324"/>
    <w:rsid w:val="0053416E"/>
    <w:rsid w:val="005372D9"/>
    <w:rsid w:val="0054070B"/>
    <w:rsid w:val="005452A4"/>
    <w:rsid w:val="005563B5"/>
    <w:rsid w:val="00556B58"/>
    <w:rsid w:val="0055711F"/>
    <w:rsid w:val="00557583"/>
    <w:rsid w:val="005603B9"/>
    <w:rsid w:val="00560EEF"/>
    <w:rsid w:val="00561618"/>
    <w:rsid w:val="0056325A"/>
    <w:rsid w:val="0056621E"/>
    <w:rsid w:val="00574729"/>
    <w:rsid w:val="005777F9"/>
    <w:rsid w:val="00584B93"/>
    <w:rsid w:val="005B0136"/>
    <w:rsid w:val="005B096E"/>
    <w:rsid w:val="005C06C2"/>
    <w:rsid w:val="005C50F5"/>
    <w:rsid w:val="005C7F43"/>
    <w:rsid w:val="005D0F9E"/>
    <w:rsid w:val="005D18C0"/>
    <w:rsid w:val="005D46FD"/>
    <w:rsid w:val="005E0B1D"/>
    <w:rsid w:val="005E11BA"/>
    <w:rsid w:val="005E5394"/>
    <w:rsid w:val="005E713F"/>
    <w:rsid w:val="005F1723"/>
    <w:rsid w:val="005F1AD3"/>
    <w:rsid w:val="005F335D"/>
    <w:rsid w:val="005F450A"/>
    <w:rsid w:val="005F7852"/>
    <w:rsid w:val="006067EA"/>
    <w:rsid w:val="006123AF"/>
    <w:rsid w:val="0062580A"/>
    <w:rsid w:val="0062609B"/>
    <w:rsid w:val="00627026"/>
    <w:rsid w:val="00630B04"/>
    <w:rsid w:val="00634F6B"/>
    <w:rsid w:val="00634FF0"/>
    <w:rsid w:val="0064061C"/>
    <w:rsid w:val="00644801"/>
    <w:rsid w:val="00652397"/>
    <w:rsid w:val="006552F8"/>
    <w:rsid w:val="006557B3"/>
    <w:rsid w:val="0065769D"/>
    <w:rsid w:val="0066080A"/>
    <w:rsid w:val="00661E15"/>
    <w:rsid w:val="00662A2E"/>
    <w:rsid w:val="00666C91"/>
    <w:rsid w:val="00674C7C"/>
    <w:rsid w:val="00677130"/>
    <w:rsid w:val="0068132E"/>
    <w:rsid w:val="00682B20"/>
    <w:rsid w:val="00684D95"/>
    <w:rsid w:val="00685B87"/>
    <w:rsid w:val="006924DB"/>
    <w:rsid w:val="00693D49"/>
    <w:rsid w:val="0069572C"/>
    <w:rsid w:val="006A6444"/>
    <w:rsid w:val="006B05A9"/>
    <w:rsid w:val="006B20BB"/>
    <w:rsid w:val="006B3C1A"/>
    <w:rsid w:val="006B6DE8"/>
    <w:rsid w:val="006C23CD"/>
    <w:rsid w:val="006C72AF"/>
    <w:rsid w:val="006D0CCD"/>
    <w:rsid w:val="006D139C"/>
    <w:rsid w:val="006D64A2"/>
    <w:rsid w:val="006E0DFC"/>
    <w:rsid w:val="006E4488"/>
    <w:rsid w:val="006E64A7"/>
    <w:rsid w:val="006E769C"/>
    <w:rsid w:val="006E771E"/>
    <w:rsid w:val="006F0CFE"/>
    <w:rsid w:val="006F47BF"/>
    <w:rsid w:val="006F654A"/>
    <w:rsid w:val="00704569"/>
    <w:rsid w:val="00712CFC"/>
    <w:rsid w:val="00720BE2"/>
    <w:rsid w:val="00720FCE"/>
    <w:rsid w:val="00731FD9"/>
    <w:rsid w:val="00732DF4"/>
    <w:rsid w:val="007333B4"/>
    <w:rsid w:val="00734E4F"/>
    <w:rsid w:val="0073657A"/>
    <w:rsid w:val="00736914"/>
    <w:rsid w:val="00741D70"/>
    <w:rsid w:val="007475CE"/>
    <w:rsid w:val="0074785E"/>
    <w:rsid w:val="0076327D"/>
    <w:rsid w:val="00765A06"/>
    <w:rsid w:val="0076782A"/>
    <w:rsid w:val="0077310D"/>
    <w:rsid w:val="00774848"/>
    <w:rsid w:val="00775800"/>
    <w:rsid w:val="007758C0"/>
    <w:rsid w:val="00777196"/>
    <w:rsid w:val="00777619"/>
    <w:rsid w:val="0078032F"/>
    <w:rsid w:val="00780ACF"/>
    <w:rsid w:val="007815D5"/>
    <w:rsid w:val="007824AF"/>
    <w:rsid w:val="007825CF"/>
    <w:rsid w:val="0079087B"/>
    <w:rsid w:val="007914E9"/>
    <w:rsid w:val="00791CEE"/>
    <w:rsid w:val="00792470"/>
    <w:rsid w:val="00793DBF"/>
    <w:rsid w:val="00797862"/>
    <w:rsid w:val="007A22BC"/>
    <w:rsid w:val="007A4A40"/>
    <w:rsid w:val="007A4D37"/>
    <w:rsid w:val="007A6F9B"/>
    <w:rsid w:val="007B2861"/>
    <w:rsid w:val="007B6E5A"/>
    <w:rsid w:val="007B77AA"/>
    <w:rsid w:val="007D0558"/>
    <w:rsid w:val="007D6361"/>
    <w:rsid w:val="007E2E01"/>
    <w:rsid w:val="007E694D"/>
    <w:rsid w:val="007F6A31"/>
    <w:rsid w:val="00801267"/>
    <w:rsid w:val="00807353"/>
    <w:rsid w:val="008142FE"/>
    <w:rsid w:val="0081503F"/>
    <w:rsid w:val="0082214E"/>
    <w:rsid w:val="00823157"/>
    <w:rsid w:val="00836D32"/>
    <w:rsid w:val="008416D9"/>
    <w:rsid w:val="0084257E"/>
    <w:rsid w:val="008473F7"/>
    <w:rsid w:val="00853F76"/>
    <w:rsid w:val="00854640"/>
    <w:rsid w:val="0085496F"/>
    <w:rsid w:val="008564AB"/>
    <w:rsid w:val="008648B5"/>
    <w:rsid w:val="00865AD9"/>
    <w:rsid w:val="00867D2D"/>
    <w:rsid w:val="0088097F"/>
    <w:rsid w:val="008868CC"/>
    <w:rsid w:val="00887D80"/>
    <w:rsid w:val="00895857"/>
    <w:rsid w:val="008968BA"/>
    <w:rsid w:val="00897114"/>
    <w:rsid w:val="008A07A9"/>
    <w:rsid w:val="008A1678"/>
    <w:rsid w:val="008A2B39"/>
    <w:rsid w:val="008A7C51"/>
    <w:rsid w:val="008B28A2"/>
    <w:rsid w:val="008B4D83"/>
    <w:rsid w:val="008C39B4"/>
    <w:rsid w:val="008C7AFB"/>
    <w:rsid w:val="008D115E"/>
    <w:rsid w:val="008D4633"/>
    <w:rsid w:val="008E374E"/>
    <w:rsid w:val="008E4B6D"/>
    <w:rsid w:val="008E76B8"/>
    <w:rsid w:val="008F0247"/>
    <w:rsid w:val="008F285D"/>
    <w:rsid w:val="008F2CE1"/>
    <w:rsid w:val="009018A6"/>
    <w:rsid w:val="00901BB9"/>
    <w:rsid w:val="00901C19"/>
    <w:rsid w:val="009021BE"/>
    <w:rsid w:val="00913087"/>
    <w:rsid w:val="00914191"/>
    <w:rsid w:val="00915753"/>
    <w:rsid w:val="00917C77"/>
    <w:rsid w:val="009223A5"/>
    <w:rsid w:val="00923CE8"/>
    <w:rsid w:val="00924740"/>
    <w:rsid w:val="009252C1"/>
    <w:rsid w:val="009278BF"/>
    <w:rsid w:val="00932924"/>
    <w:rsid w:val="0093762A"/>
    <w:rsid w:val="00941A58"/>
    <w:rsid w:val="00941F86"/>
    <w:rsid w:val="00947B12"/>
    <w:rsid w:val="00947C45"/>
    <w:rsid w:val="009500DA"/>
    <w:rsid w:val="00953B2D"/>
    <w:rsid w:val="00960499"/>
    <w:rsid w:val="00960A77"/>
    <w:rsid w:val="00964AE6"/>
    <w:rsid w:val="00964EAD"/>
    <w:rsid w:val="00965991"/>
    <w:rsid w:val="0096682A"/>
    <w:rsid w:val="009756F7"/>
    <w:rsid w:val="00980269"/>
    <w:rsid w:val="00980AAB"/>
    <w:rsid w:val="00984EA0"/>
    <w:rsid w:val="00991C15"/>
    <w:rsid w:val="009920F6"/>
    <w:rsid w:val="009930FC"/>
    <w:rsid w:val="00995366"/>
    <w:rsid w:val="009967F7"/>
    <w:rsid w:val="009A2079"/>
    <w:rsid w:val="009A4292"/>
    <w:rsid w:val="009A6F92"/>
    <w:rsid w:val="009A7029"/>
    <w:rsid w:val="009B5197"/>
    <w:rsid w:val="009D3055"/>
    <w:rsid w:val="009E05EA"/>
    <w:rsid w:val="009E1A51"/>
    <w:rsid w:val="009F7EFD"/>
    <w:rsid w:val="00A043D5"/>
    <w:rsid w:val="00A06DB5"/>
    <w:rsid w:val="00A07CA1"/>
    <w:rsid w:val="00A132A9"/>
    <w:rsid w:val="00A1562E"/>
    <w:rsid w:val="00A26258"/>
    <w:rsid w:val="00A309D8"/>
    <w:rsid w:val="00A3252E"/>
    <w:rsid w:val="00A528D5"/>
    <w:rsid w:val="00A52C5F"/>
    <w:rsid w:val="00A54858"/>
    <w:rsid w:val="00A5726D"/>
    <w:rsid w:val="00A63752"/>
    <w:rsid w:val="00A656BF"/>
    <w:rsid w:val="00A65D12"/>
    <w:rsid w:val="00A72580"/>
    <w:rsid w:val="00A826D9"/>
    <w:rsid w:val="00A90648"/>
    <w:rsid w:val="00A935CD"/>
    <w:rsid w:val="00A93E72"/>
    <w:rsid w:val="00A954E4"/>
    <w:rsid w:val="00AA5970"/>
    <w:rsid w:val="00AB0573"/>
    <w:rsid w:val="00AB36CA"/>
    <w:rsid w:val="00AB4D3C"/>
    <w:rsid w:val="00AB7EBB"/>
    <w:rsid w:val="00AC1B16"/>
    <w:rsid w:val="00AC2584"/>
    <w:rsid w:val="00AC5988"/>
    <w:rsid w:val="00AD3A8A"/>
    <w:rsid w:val="00AD4AFC"/>
    <w:rsid w:val="00AD6CC6"/>
    <w:rsid w:val="00AE1426"/>
    <w:rsid w:val="00AE2B66"/>
    <w:rsid w:val="00AE76D1"/>
    <w:rsid w:val="00AF6437"/>
    <w:rsid w:val="00AF6B49"/>
    <w:rsid w:val="00B01759"/>
    <w:rsid w:val="00B017AB"/>
    <w:rsid w:val="00B05B2A"/>
    <w:rsid w:val="00B11D13"/>
    <w:rsid w:val="00B12E05"/>
    <w:rsid w:val="00B20C63"/>
    <w:rsid w:val="00B23051"/>
    <w:rsid w:val="00B2654F"/>
    <w:rsid w:val="00B26900"/>
    <w:rsid w:val="00B35473"/>
    <w:rsid w:val="00B35C88"/>
    <w:rsid w:val="00B376FA"/>
    <w:rsid w:val="00B41F78"/>
    <w:rsid w:val="00B43683"/>
    <w:rsid w:val="00B45D5D"/>
    <w:rsid w:val="00B51CCB"/>
    <w:rsid w:val="00B54734"/>
    <w:rsid w:val="00B54F09"/>
    <w:rsid w:val="00B5640F"/>
    <w:rsid w:val="00B57341"/>
    <w:rsid w:val="00B6163D"/>
    <w:rsid w:val="00B722CC"/>
    <w:rsid w:val="00B7435C"/>
    <w:rsid w:val="00B75D3E"/>
    <w:rsid w:val="00B9564C"/>
    <w:rsid w:val="00BA2217"/>
    <w:rsid w:val="00BA2AC4"/>
    <w:rsid w:val="00BB3F20"/>
    <w:rsid w:val="00BB587B"/>
    <w:rsid w:val="00BB6783"/>
    <w:rsid w:val="00BC1C8A"/>
    <w:rsid w:val="00BC4167"/>
    <w:rsid w:val="00BC4603"/>
    <w:rsid w:val="00BC4C52"/>
    <w:rsid w:val="00BD3922"/>
    <w:rsid w:val="00BD4711"/>
    <w:rsid w:val="00BE5714"/>
    <w:rsid w:val="00BE741D"/>
    <w:rsid w:val="00BF10A8"/>
    <w:rsid w:val="00BF525A"/>
    <w:rsid w:val="00C04C2E"/>
    <w:rsid w:val="00C04F8A"/>
    <w:rsid w:val="00C07516"/>
    <w:rsid w:val="00C116E0"/>
    <w:rsid w:val="00C16CD2"/>
    <w:rsid w:val="00C205AD"/>
    <w:rsid w:val="00C2070F"/>
    <w:rsid w:val="00C22B06"/>
    <w:rsid w:val="00C262D3"/>
    <w:rsid w:val="00C26D05"/>
    <w:rsid w:val="00C45900"/>
    <w:rsid w:val="00C45F33"/>
    <w:rsid w:val="00C45F52"/>
    <w:rsid w:val="00C51071"/>
    <w:rsid w:val="00C66577"/>
    <w:rsid w:val="00C72A67"/>
    <w:rsid w:val="00C75962"/>
    <w:rsid w:val="00C77D69"/>
    <w:rsid w:val="00C8063E"/>
    <w:rsid w:val="00C8141C"/>
    <w:rsid w:val="00C85CAB"/>
    <w:rsid w:val="00C87D0E"/>
    <w:rsid w:val="00C923EC"/>
    <w:rsid w:val="00C96050"/>
    <w:rsid w:val="00CA1CBD"/>
    <w:rsid w:val="00CA2EB0"/>
    <w:rsid w:val="00CA3787"/>
    <w:rsid w:val="00CB0E39"/>
    <w:rsid w:val="00CB501D"/>
    <w:rsid w:val="00CB5078"/>
    <w:rsid w:val="00CB6678"/>
    <w:rsid w:val="00CC63CC"/>
    <w:rsid w:val="00CE33CF"/>
    <w:rsid w:val="00CE6E32"/>
    <w:rsid w:val="00CE75AE"/>
    <w:rsid w:val="00CE7F26"/>
    <w:rsid w:val="00CF2193"/>
    <w:rsid w:val="00CF2230"/>
    <w:rsid w:val="00CF7991"/>
    <w:rsid w:val="00D01BE8"/>
    <w:rsid w:val="00D03E74"/>
    <w:rsid w:val="00D06068"/>
    <w:rsid w:val="00D23395"/>
    <w:rsid w:val="00D314F5"/>
    <w:rsid w:val="00D40234"/>
    <w:rsid w:val="00D4367F"/>
    <w:rsid w:val="00D43BD8"/>
    <w:rsid w:val="00D459A8"/>
    <w:rsid w:val="00D57610"/>
    <w:rsid w:val="00D6192F"/>
    <w:rsid w:val="00D62F24"/>
    <w:rsid w:val="00D70159"/>
    <w:rsid w:val="00D817DA"/>
    <w:rsid w:val="00D82A6F"/>
    <w:rsid w:val="00D86A03"/>
    <w:rsid w:val="00D8707E"/>
    <w:rsid w:val="00D90B2B"/>
    <w:rsid w:val="00D95395"/>
    <w:rsid w:val="00D95B89"/>
    <w:rsid w:val="00DA02FF"/>
    <w:rsid w:val="00DA0C3B"/>
    <w:rsid w:val="00DA13F9"/>
    <w:rsid w:val="00DB0A2C"/>
    <w:rsid w:val="00DB21E1"/>
    <w:rsid w:val="00DB673C"/>
    <w:rsid w:val="00DC1EB8"/>
    <w:rsid w:val="00DC4374"/>
    <w:rsid w:val="00DC5149"/>
    <w:rsid w:val="00DC64D4"/>
    <w:rsid w:val="00DC783A"/>
    <w:rsid w:val="00DD35EF"/>
    <w:rsid w:val="00DD5C81"/>
    <w:rsid w:val="00E00C5B"/>
    <w:rsid w:val="00E01389"/>
    <w:rsid w:val="00E1113B"/>
    <w:rsid w:val="00E20A6F"/>
    <w:rsid w:val="00E2103F"/>
    <w:rsid w:val="00E229ED"/>
    <w:rsid w:val="00E241DF"/>
    <w:rsid w:val="00E33A5A"/>
    <w:rsid w:val="00E36344"/>
    <w:rsid w:val="00E40BDA"/>
    <w:rsid w:val="00E40BFC"/>
    <w:rsid w:val="00E41F42"/>
    <w:rsid w:val="00E46C7C"/>
    <w:rsid w:val="00E51F96"/>
    <w:rsid w:val="00E54FEF"/>
    <w:rsid w:val="00E64E66"/>
    <w:rsid w:val="00E76EE7"/>
    <w:rsid w:val="00E77B1B"/>
    <w:rsid w:val="00E81738"/>
    <w:rsid w:val="00E97463"/>
    <w:rsid w:val="00EA3C8E"/>
    <w:rsid w:val="00EA78E4"/>
    <w:rsid w:val="00EB38A2"/>
    <w:rsid w:val="00EB4BC2"/>
    <w:rsid w:val="00EC2ABF"/>
    <w:rsid w:val="00EC4487"/>
    <w:rsid w:val="00EC4AEE"/>
    <w:rsid w:val="00EC5739"/>
    <w:rsid w:val="00ED0512"/>
    <w:rsid w:val="00ED066B"/>
    <w:rsid w:val="00ED4A9C"/>
    <w:rsid w:val="00ED65B8"/>
    <w:rsid w:val="00ED6A8B"/>
    <w:rsid w:val="00EE340B"/>
    <w:rsid w:val="00EE4DFD"/>
    <w:rsid w:val="00EF13A5"/>
    <w:rsid w:val="00EF3804"/>
    <w:rsid w:val="00EF6A37"/>
    <w:rsid w:val="00EF6BE5"/>
    <w:rsid w:val="00EF6D71"/>
    <w:rsid w:val="00EF786E"/>
    <w:rsid w:val="00F0024F"/>
    <w:rsid w:val="00F012C0"/>
    <w:rsid w:val="00F06111"/>
    <w:rsid w:val="00F07FB3"/>
    <w:rsid w:val="00F12EB4"/>
    <w:rsid w:val="00F15804"/>
    <w:rsid w:val="00F22FF3"/>
    <w:rsid w:val="00F23681"/>
    <w:rsid w:val="00F24B4A"/>
    <w:rsid w:val="00F25F7C"/>
    <w:rsid w:val="00F3624B"/>
    <w:rsid w:val="00F3654E"/>
    <w:rsid w:val="00F47827"/>
    <w:rsid w:val="00F578AF"/>
    <w:rsid w:val="00F604F6"/>
    <w:rsid w:val="00F67855"/>
    <w:rsid w:val="00F72D0E"/>
    <w:rsid w:val="00F822D7"/>
    <w:rsid w:val="00F8306C"/>
    <w:rsid w:val="00F84D36"/>
    <w:rsid w:val="00F87511"/>
    <w:rsid w:val="00F87D32"/>
    <w:rsid w:val="00F91CB1"/>
    <w:rsid w:val="00F96190"/>
    <w:rsid w:val="00F9722A"/>
    <w:rsid w:val="00FA4244"/>
    <w:rsid w:val="00FA7DDD"/>
    <w:rsid w:val="00FC3225"/>
    <w:rsid w:val="00FC3234"/>
    <w:rsid w:val="00FC3255"/>
    <w:rsid w:val="00FC7056"/>
    <w:rsid w:val="00FC71D4"/>
    <w:rsid w:val="00FD5A56"/>
    <w:rsid w:val="00FE1E4F"/>
    <w:rsid w:val="00FE4727"/>
    <w:rsid w:val="00FE53A6"/>
    <w:rsid w:val="00FE7661"/>
    <w:rsid w:val="00FF26B7"/>
    <w:rsid w:val="00FF4B88"/>
    <w:rsid w:val="00FF6ACE"/>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D71"/>
    <w:pPr>
      <w:spacing w:after="240"/>
      <w:ind w:left="567"/>
      <w:jc w:val="both"/>
    </w:pPr>
    <w:rPr>
      <w:sz w:val="24"/>
      <w:szCs w:val="24"/>
    </w:rPr>
  </w:style>
  <w:style w:type="paragraph" w:styleId="Heading1">
    <w:name w:val="heading 1"/>
    <w:basedOn w:val="Normal"/>
    <w:next w:val="Normal"/>
    <w:qFormat/>
    <w:rsid w:val="009A6F92"/>
    <w:pPr>
      <w:keepNext/>
      <w:spacing w:before="120"/>
      <w:ind w:left="0"/>
      <w:outlineLvl w:val="0"/>
    </w:pPr>
    <w:rPr>
      <w:rFonts w:ascii="Arial" w:hAnsi="Arial" w:cs="Arial"/>
      <w:b/>
      <w:bCs/>
      <w:kern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qFormat/>
    <w:rsid w:val="008A2B39"/>
    <w:pPr>
      <w:keepNext/>
      <w:tabs>
        <w:tab w:val="num" w:pos="864"/>
      </w:tabs>
      <w:ind w:left="864" w:hanging="864"/>
      <w:outlineLvl w:val="3"/>
    </w:pPr>
  </w:style>
  <w:style w:type="paragraph" w:styleId="Heading5">
    <w:name w:val="heading 5"/>
    <w:basedOn w:val="Normal"/>
    <w:next w:val="Normal"/>
    <w:qFormat/>
    <w:rsid w:val="008A2B39"/>
    <w:pPr>
      <w:keepNext/>
      <w:tabs>
        <w:tab w:val="num" w:pos="1008"/>
      </w:tabs>
      <w:ind w:left="1008" w:hanging="1008"/>
      <w:jc w:val="center"/>
      <w:outlineLvl w:val="4"/>
    </w:pPr>
    <w:rPr>
      <w:rFonts w:ascii="Garamond" w:hAnsi="Garamond" w:cs="TF Arrow"/>
      <w:b/>
      <w:bCs/>
    </w:rPr>
  </w:style>
  <w:style w:type="paragraph" w:styleId="Heading6">
    <w:name w:val="heading 6"/>
    <w:basedOn w:val="Normal"/>
    <w:next w:val="Normal"/>
    <w:qFormat/>
    <w:rsid w:val="008A2B39"/>
    <w:pPr>
      <w:keepNext/>
      <w:tabs>
        <w:tab w:val="num" w:pos="1152"/>
      </w:tabs>
      <w:ind w:left="1152" w:hanging="1152"/>
      <w:jc w:val="center"/>
      <w:outlineLvl w:val="5"/>
    </w:pPr>
    <w:rPr>
      <w:rFonts w:ascii="Garamond" w:hAnsi="Garamond" w:cs="TF Arrow"/>
      <w:b/>
      <w:bCs/>
      <w:sz w:val="26"/>
      <w:szCs w:val="26"/>
    </w:rPr>
  </w:style>
  <w:style w:type="paragraph" w:styleId="Heading7">
    <w:name w:val="heading 7"/>
    <w:basedOn w:val="Normal"/>
    <w:next w:val="Normal"/>
    <w:qFormat/>
    <w:rsid w:val="008A2B39"/>
    <w:pPr>
      <w:keepNext/>
      <w:tabs>
        <w:tab w:val="num" w:pos="1296"/>
      </w:tabs>
      <w:spacing w:after="120" w:line="360" w:lineRule="auto"/>
      <w:ind w:left="1296" w:hanging="1296"/>
      <w:outlineLvl w:val="6"/>
    </w:pPr>
    <w:rPr>
      <w:rFonts w:ascii="Garamond" w:hAnsi="Garamond" w:cs="TF Arrow"/>
      <w:b/>
      <w:bCs/>
      <w:lang w:val="en-US"/>
    </w:rPr>
  </w:style>
  <w:style w:type="paragraph" w:styleId="Heading8">
    <w:name w:val="heading 8"/>
    <w:basedOn w:val="Normal"/>
    <w:next w:val="Normal"/>
    <w:qFormat/>
    <w:rsid w:val="008A2B39"/>
    <w:pPr>
      <w:keepNext/>
      <w:tabs>
        <w:tab w:val="num" w:pos="1440"/>
      </w:tabs>
      <w:spacing w:after="120" w:line="360" w:lineRule="auto"/>
      <w:ind w:left="1440" w:hanging="1440"/>
      <w:outlineLvl w:val="7"/>
    </w:pPr>
    <w:rPr>
      <w:rFonts w:ascii="Garamond" w:hAnsi="Garamond" w:cs="TF Arrow"/>
      <w:i/>
      <w:iCs/>
    </w:rPr>
  </w:style>
  <w:style w:type="paragraph" w:styleId="Heading9">
    <w:name w:val="heading 9"/>
    <w:basedOn w:val="Normal"/>
    <w:next w:val="Normal"/>
    <w:qFormat/>
    <w:rsid w:val="008A2B39"/>
    <w:pPr>
      <w:keepNext/>
      <w:tabs>
        <w:tab w:val="num" w:pos="1584"/>
      </w:tabs>
      <w:ind w:left="1584" w:hanging="1584"/>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paragraph" w:customStyle="1" w:styleId="SubHeading">
    <w:name w:val="Sub Heading"/>
    <w:basedOn w:val="Normal"/>
    <w:next w:val="Header"/>
    <w:rsid w:val="00B57341"/>
    <w:pPr>
      <w:keepNext/>
      <w:spacing w:before="240" w:after="60"/>
      <w:outlineLvl w:val="0"/>
    </w:pPr>
    <w:rPr>
      <w:rFonts w:cs="Arial"/>
      <w:b/>
      <w:kern w:val="32"/>
      <w:szCs w:val="32"/>
    </w:rPr>
  </w:style>
  <w:style w:type="paragraph" w:styleId="Header">
    <w:name w:val="header"/>
    <w:basedOn w:val="Normal"/>
    <w:rsid w:val="008F0247"/>
    <w:pPr>
      <w:tabs>
        <w:tab w:val="center" w:pos="4153"/>
        <w:tab w:val="right" w:pos="8306"/>
      </w:tabs>
    </w:pPr>
  </w:style>
  <w:style w:type="table" w:styleId="TableGrid">
    <w:name w:val="Table Grid"/>
    <w:basedOn w:val="TableNormal"/>
    <w:rsid w:val="008F0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F0247"/>
    <w:pPr>
      <w:tabs>
        <w:tab w:val="center" w:pos="4153"/>
        <w:tab w:val="right" w:pos="8306"/>
      </w:tabs>
    </w:pPr>
  </w:style>
  <w:style w:type="character" w:styleId="PageNumber">
    <w:name w:val="page number"/>
    <w:basedOn w:val="DefaultParagraphFont"/>
    <w:rsid w:val="008F0247"/>
  </w:style>
  <w:style w:type="paragraph" w:styleId="BalloonText">
    <w:name w:val="Balloon Text"/>
    <w:basedOn w:val="Normal"/>
    <w:semiHidden/>
    <w:rsid w:val="003B2F7F"/>
    <w:rPr>
      <w:rFonts w:ascii="Tahoma" w:hAnsi="Tahoma" w:cs="Tahoma"/>
      <w:sz w:val="16"/>
      <w:szCs w:val="16"/>
    </w:rPr>
  </w:style>
  <w:style w:type="paragraph" w:customStyle="1" w:styleId="Text">
    <w:name w:val="Text"/>
    <w:basedOn w:val="Normal"/>
    <w:rsid w:val="008968BA"/>
    <w:pPr>
      <w:spacing w:after="360" w:line="360" w:lineRule="exact"/>
    </w:pPr>
    <w:rPr>
      <w:rFonts w:ascii="Garamond" w:hAnsi="Garamond" w:cs="TF Arrow"/>
    </w:rPr>
  </w:style>
  <w:style w:type="paragraph" w:customStyle="1" w:styleId="StyleHeading2TrebuchetMSLeft">
    <w:name w:val="Style Heading 2 + Trebuchet MS Left"/>
    <w:basedOn w:val="Heading2"/>
    <w:rsid w:val="008968BA"/>
    <w:pPr>
      <w:spacing w:before="0" w:after="240" w:line="360" w:lineRule="auto"/>
    </w:pPr>
    <w:rPr>
      <w:rFonts w:ascii="Trebuchet MS" w:hAnsi="Trebuchet MS" w:cs="Times New Roman"/>
      <w:i w:val="0"/>
      <w:iCs w:val="0"/>
      <w:sz w:val="24"/>
      <w:szCs w:val="20"/>
    </w:rPr>
  </w:style>
  <w:style w:type="character" w:styleId="CommentReference">
    <w:name w:val="annotation reference"/>
    <w:basedOn w:val="DefaultParagraphFont"/>
    <w:semiHidden/>
    <w:rsid w:val="00C8141C"/>
    <w:rPr>
      <w:sz w:val="16"/>
      <w:szCs w:val="16"/>
    </w:rPr>
  </w:style>
  <w:style w:type="paragraph" w:styleId="CommentText">
    <w:name w:val="annotation text"/>
    <w:basedOn w:val="Normal"/>
    <w:semiHidden/>
    <w:rsid w:val="00C8141C"/>
    <w:rPr>
      <w:sz w:val="20"/>
      <w:szCs w:val="20"/>
    </w:rPr>
  </w:style>
  <w:style w:type="paragraph" w:styleId="BodyText2">
    <w:name w:val="Body Text 2"/>
    <w:basedOn w:val="Normal"/>
    <w:rsid w:val="00EF6D71"/>
    <w:pPr>
      <w:numPr>
        <w:numId w:val="13"/>
      </w:numPr>
      <w:ind w:left="1134" w:hanging="567"/>
    </w:pPr>
    <w:rPr>
      <w:szCs w:val="20"/>
    </w:rPr>
  </w:style>
  <w:style w:type="paragraph" w:styleId="BodyText3">
    <w:name w:val="Body Text 3"/>
    <w:basedOn w:val="Normal"/>
    <w:rsid w:val="008C7AFB"/>
    <w:rPr>
      <w:sz w:val="28"/>
      <w:szCs w:val="20"/>
    </w:rPr>
  </w:style>
  <w:style w:type="paragraph" w:styleId="BodyText">
    <w:name w:val="Body Text"/>
    <w:basedOn w:val="Normal"/>
    <w:rsid w:val="008C7AFB"/>
    <w:pPr>
      <w:spacing w:after="120"/>
    </w:pPr>
  </w:style>
  <w:style w:type="paragraph" w:styleId="FootnoteText">
    <w:name w:val="footnote text"/>
    <w:basedOn w:val="Normal"/>
    <w:semiHidden/>
    <w:rsid w:val="008C7AFB"/>
    <w:rPr>
      <w:sz w:val="20"/>
      <w:szCs w:val="20"/>
    </w:rPr>
  </w:style>
  <w:style w:type="character" w:styleId="FootnoteReference">
    <w:name w:val="footnote reference"/>
    <w:basedOn w:val="DefaultParagraphFont"/>
    <w:semiHidden/>
    <w:rsid w:val="008C7AFB"/>
    <w:rPr>
      <w:vertAlign w:val="superscript"/>
    </w:rPr>
  </w:style>
  <w:style w:type="character" w:styleId="Hyperlink">
    <w:name w:val="Hyperlink"/>
    <w:basedOn w:val="DefaultParagraphFont"/>
    <w:rsid w:val="00356B1D"/>
    <w:rPr>
      <w:color w:val="0000FF"/>
      <w:u w:val="single"/>
    </w:rPr>
  </w:style>
  <w:style w:type="character" w:styleId="FollowedHyperlink">
    <w:name w:val="FollowedHyperlink"/>
    <w:basedOn w:val="DefaultParagraphFont"/>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pPr>
    <w:rPr>
      <w:rFonts w:ascii="Garamond" w:hAnsi="Garamond"/>
      <w:szCs w:val="20"/>
    </w:rPr>
  </w:style>
  <w:style w:type="paragraph" w:customStyle="1" w:styleId="StyleGaramondJustified">
    <w:name w:val="Style Garamond Justified"/>
    <w:basedOn w:val="Normal"/>
    <w:rsid w:val="00356B1D"/>
    <w:pPr>
      <w:spacing w:before="240"/>
    </w:pPr>
    <w:rPr>
      <w:rFonts w:ascii="Garamond" w:hAnsi="Garamond"/>
      <w:szCs w:val="20"/>
    </w:rPr>
  </w:style>
  <w:style w:type="paragraph" w:styleId="DocumentMap">
    <w:name w:val="Document Map"/>
    <w:basedOn w:val="Normal"/>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numPr>
        <w:numId w:val="1"/>
      </w:numPr>
      <w:spacing w:after="240" w:line="360" w:lineRule="auto"/>
    </w:pPr>
  </w:style>
  <w:style w:type="character" w:customStyle="1" w:styleId="StyleBodyText13ptCharCharCharChar">
    <w:name w:val="Style Body Text + 13 pt Char Char Char Char"/>
    <w:basedOn w:val="DefaultParagraphFont"/>
    <w:link w:val="StyleBodyText13ptCharCharChar"/>
    <w:rsid w:val="004445D9"/>
    <w:rPr>
      <w:sz w:val="24"/>
      <w:szCs w:val="24"/>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pPr>
  </w:style>
  <w:style w:type="character" w:customStyle="1" w:styleId="NormaltextCharCharCharCharCharCharChar">
    <w:name w:val="Normal text Char Char Char Char Char Char Char"/>
    <w:basedOn w:val="DefaultParagraphFont"/>
    <w:link w:val="NormaltextCharCharCharCharCharChar"/>
    <w:rsid w:val="004445D9"/>
    <w:rPr>
      <w:sz w:val="24"/>
      <w:szCs w:val="24"/>
    </w:rPr>
  </w:style>
  <w:style w:type="paragraph" w:styleId="CommentSubject">
    <w:name w:val="annotation subject"/>
    <w:basedOn w:val="CommentText"/>
    <w:next w:val="CommentText"/>
    <w:semiHidden/>
    <w:rsid w:val="00CE7F26"/>
    <w:rPr>
      <w:b/>
      <w:bCs/>
    </w:rPr>
  </w:style>
  <w:style w:type="paragraph" w:customStyle="1" w:styleId="normaltextcharcharcharcharchar">
    <w:name w:val="normaltextcharcharcharcharchar"/>
    <w:basedOn w:val="Normal"/>
    <w:rsid w:val="001A1F36"/>
    <w:pPr>
      <w:ind w:hanging="567"/>
    </w:pPr>
    <w:rPr>
      <w:rFonts w:ascii="Trebuchet MS" w:hAnsi="Trebuchet MS"/>
    </w:rPr>
  </w:style>
  <w:style w:type="paragraph" w:customStyle="1" w:styleId="Normalalpha">
    <w:name w:val="Normal alpha"/>
    <w:basedOn w:val="Normal"/>
    <w:rsid w:val="001A1F36"/>
    <w:pPr>
      <w:numPr>
        <w:numId w:val="3"/>
      </w:numPr>
    </w:pPr>
    <w:rPr>
      <w:szCs w:val="20"/>
    </w:rPr>
  </w:style>
  <w:style w:type="paragraph" w:customStyle="1" w:styleId="PSHeading3">
    <w:name w:val="PS Heading 3"/>
    <w:basedOn w:val="Normal"/>
    <w:rsid w:val="001A1F36"/>
    <w:pPr>
      <w:keepNext/>
      <w:widowControl w:val="0"/>
      <w:outlineLvl w:val="0"/>
    </w:pPr>
    <w:rPr>
      <w:rFonts w:ascii="Arial" w:hAnsi="Arial"/>
      <w:b/>
      <w:szCs w:val="20"/>
      <w:lang w:val="en-US"/>
    </w:rPr>
  </w:style>
  <w:style w:type="paragraph" w:styleId="Title">
    <w:name w:val="Title"/>
    <w:basedOn w:val="Normal"/>
    <w:next w:val="ActTitle"/>
    <w:qFormat/>
    <w:rsid w:val="000B10C5"/>
    <w:pPr>
      <w:spacing w:before="480"/>
    </w:pPr>
    <w:rPr>
      <w:rFonts w:ascii="Arial" w:hAnsi="Arial" w:cs="Arial"/>
      <w:b/>
      <w:bCs/>
      <w:sz w:val="40"/>
      <w:szCs w:val="40"/>
      <w:lang w:eastAsia="en-US"/>
    </w:rPr>
  </w:style>
  <w:style w:type="paragraph" w:customStyle="1" w:styleId="ActTitle">
    <w:name w:val="Act Title"/>
    <w:basedOn w:val="Normal"/>
    <w:next w:val="IntroTo"/>
    <w:rsid w:val="000B10C5"/>
    <w:pPr>
      <w:pBdr>
        <w:bottom w:val="single" w:sz="4" w:space="3" w:color="auto"/>
      </w:pBdr>
      <w:spacing w:before="480"/>
    </w:pPr>
    <w:rPr>
      <w:rFonts w:ascii="Arial" w:hAnsi="Arial"/>
      <w:i/>
      <w:iCs/>
      <w:sz w:val="28"/>
      <w:szCs w:val="20"/>
    </w:rPr>
  </w:style>
  <w:style w:type="paragraph" w:customStyle="1" w:styleId="IntroTo">
    <w:name w:val="IntroTo:"/>
    <w:basedOn w:val="Normal"/>
    <w:rsid w:val="000B10C5"/>
    <w:pPr>
      <w:ind w:left="720" w:hanging="720"/>
    </w:pPr>
    <w:rPr>
      <w:szCs w:val="20"/>
      <w:lang w:eastAsia="en-US"/>
    </w:rPr>
  </w:style>
  <w:style w:type="paragraph" w:customStyle="1" w:styleId="IP">
    <w:name w:val="IP"/>
    <w:aliases w:val="Interpretation paragraph"/>
    <w:basedOn w:val="Normal"/>
    <w:next w:val="Normal"/>
    <w:rsid w:val="000B10C5"/>
    <w:pPr>
      <w:keepNext/>
      <w:tabs>
        <w:tab w:val="right" w:pos="794"/>
      </w:tabs>
      <w:spacing w:before="120" w:line="260" w:lineRule="exact"/>
      <w:ind w:left="964" w:hanging="964"/>
    </w:pPr>
    <w:rPr>
      <w:lang w:eastAsia="en-US"/>
    </w:rPr>
  </w:style>
  <w:style w:type="paragraph" w:customStyle="1" w:styleId="definition">
    <w:name w:val="definition"/>
    <w:basedOn w:val="Normal"/>
    <w:rsid w:val="000B10C5"/>
    <w:pPr>
      <w:spacing w:before="80" w:line="260" w:lineRule="exact"/>
    </w:pPr>
    <w:rPr>
      <w:lang w:eastAsia="en-US"/>
    </w:rPr>
  </w:style>
  <w:style w:type="paragraph" w:customStyle="1" w:styleId="AS">
    <w:name w:val="AS"/>
    <w:aliases w:val="Schedule title Amendment"/>
    <w:basedOn w:val="Normal"/>
    <w:next w:val="Normal"/>
    <w:rsid w:val="000B10C5"/>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0B10C5"/>
  </w:style>
  <w:style w:type="paragraph" w:customStyle="1" w:styleId="BodyText1">
    <w:name w:val="Body Text 1"/>
    <w:basedOn w:val="Normal"/>
    <w:qFormat/>
    <w:rsid w:val="00EF6D71"/>
    <w:pPr>
      <w:numPr>
        <w:numId w:val="2"/>
      </w:numPr>
      <w:ind w:left="567" w:hanging="567"/>
    </w:pPr>
  </w:style>
  <w:style w:type="paragraph" w:customStyle="1" w:styleId="Default">
    <w:name w:val="Default"/>
    <w:rsid w:val="00EF6D71"/>
    <w:pPr>
      <w:autoSpaceDE w:val="0"/>
      <w:autoSpaceDN w:val="0"/>
      <w:adjustRightInd w:val="0"/>
    </w:pPr>
    <w:rPr>
      <w:color w:val="000000"/>
      <w:sz w:val="24"/>
      <w:szCs w:val="24"/>
    </w:rPr>
  </w:style>
  <w:style w:type="paragraph" w:customStyle="1" w:styleId="numberedpara">
    <w:name w:val="numbered para"/>
    <w:basedOn w:val="Normal"/>
    <w:rsid w:val="00297070"/>
    <w:pPr>
      <w:numPr>
        <w:numId w:val="14"/>
      </w:numPr>
      <w:jc w:val="left"/>
    </w:pPr>
    <w:rPr>
      <w:snapToGrid w:val="0"/>
      <w:color w:val="000000"/>
      <w:lang w:eastAsia="en-US"/>
    </w:rPr>
  </w:style>
  <w:style w:type="paragraph" w:customStyle="1" w:styleId="CoverAct">
    <w:name w:val="CoverAct"/>
    <w:basedOn w:val="Normal"/>
    <w:next w:val="Normal"/>
    <w:rsid w:val="00E97463"/>
    <w:pPr>
      <w:pBdr>
        <w:bottom w:val="single" w:sz="4" w:space="3" w:color="auto"/>
      </w:pBdr>
      <w:spacing w:after="0"/>
      <w:ind w:left="0"/>
      <w:jc w:val="left"/>
    </w:pPr>
    <w:rPr>
      <w:rFonts w:ascii="Arial" w:hAnsi="Arial"/>
      <w:i/>
      <w:noProof/>
      <w:sz w:val="28"/>
    </w:rPr>
  </w:style>
  <w:style w:type="paragraph" w:customStyle="1" w:styleId="CoverStatRule">
    <w:name w:val="CoverStatRule"/>
    <w:basedOn w:val="Normal"/>
    <w:next w:val="Normal"/>
    <w:rsid w:val="00E97463"/>
    <w:pPr>
      <w:spacing w:before="240" w:after="0"/>
      <w:ind w:left="0"/>
      <w:jc w:val="left"/>
    </w:pPr>
    <w:rPr>
      <w:rFonts w:ascii="Arial" w:hAnsi="Arial"/>
      <w:b/>
    </w:rPr>
  </w:style>
  <w:style w:type="character" w:customStyle="1" w:styleId="FooterChar">
    <w:name w:val="Footer Char"/>
    <w:basedOn w:val="DefaultParagraphFont"/>
    <w:link w:val="Footer"/>
    <w:uiPriority w:val="99"/>
    <w:rsid w:val="00E97463"/>
    <w:rPr>
      <w:sz w:val="24"/>
      <w:szCs w:val="24"/>
    </w:rPr>
  </w:style>
</w:styles>
</file>

<file path=word/webSettings.xml><?xml version="1.0" encoding="utf-8"?>
<w:webSettings xmlns:r="http://schemas.openxmlformats.org/officeDocument/2006/relationships" xmlns:w="http://schemas.openxmlformats.org/wordprocessingml/2006/main">
  <w:divs>
    <w:div w:id="1787651693">
      <w:bodyDiv w:val="1"/>
      <w:marLeft w:val="0"/>
      <w:marRight w:val="0"/>
      <w:marTop w:val="0"/>
      <w:marBottom w:val="0"/>
      <w:divBdr>
        <w:top w:val="none" w:sz="0" w:space="0" w:color="auto"/>
        <w:left w:val="none" w:sz="0" w:space="0" w:color="auto"/>
        <w:bottom w:val="none" w:sz="0" w:space="0" w:color="auto"/>
        <w:right w:val="none" w:sz="0" w:space="0" w:color="auto"/>
      </w:divBdr>
    </w:div>
    <w:div w:id="205477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syds3\National\Sydney\Policy\workgroup\PD2012\ADI\Basel%20III\Basel%20III%20-%20Capital%20Package\Standards%20&amp;%20PPGs\Prudential%20Standards\APS%20221\AGN%2011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yds3\National\Sydney\Policy\workgroup\PD2012\ADI\Basel%20III\Basel%20III%20-%20Capital%20Package\Standards%20&amp;%20PPGs\Prudential%20Standards\APS%20221\APS%203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stlii.edu.au/au/legis/cth/consol_act/ba195972/s5.html" TargetMode="External"/><Relationship Id="rId14" Type="http://schemas.openxmlformats.org/officeDocument/2006/relationships/hyperlink" Target="file:///\\syds3\National\Sydney\Policy\workgroup\PD2012\ADI\Basel%20III\Basel%20III%20-%20Capital%20Package\Standards%20&amp;%20PPGs\Prudential%20Standards\APS%20221\AGN%201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17805-3D08-4545-90B1-CAEC1EC1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1992</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lpstr>
    </vt:vector>
  </TitlesOfParts>
  <Company>APRA</Company>
  <LinksUpToDate>false</LinksUpToDate>
  <CharactersWithSpaces>13689</CharactersWithSpaces>
  <SharedDoc>false</SharedDoc>
  <HLinks>
    <vt:vector size="54" baseType="variant">
      <vt:variant>
        <vt:i4>4128859</vt:i4>
      </vt:variant>
      <vt:variant>
        <vt:i4>24</vt:i4>
      </vt:variant>
      <vt:variant>
        <vt:i4>0</vt:i4>
      </vt:variant>
      <vt:variant>
        <vt:i4>5</vt:i4>
      </vt:variant>
      <vt:variant>
        <vt:lpwstr/>
      </vt:variant>
      <vt:variant>
        <vt:lpwstr>Paragraph_7b</vt:lpwstr>
      </vt:variant>
      <vt:variant>
        <vt:i4>6094956</vt:i4>
      </vt:variant>
      <vt:variant>
        <vt:i4>21</vt:i4>
      </vt:variant>
      <vt:variant>
        <vt:i4>0</vt:i4>
      </vt:variant>
      <vt:variant>
        <vt:i4>5</vt:i4>
      </vt:variant>
      <vt:variant>
        <vt:lpwstr/>
      </vt:variant>
      <vt:variant>
        <vt:lpwstr>Paragraph_9</vt:lpwstr>
      </vt:variant>
      <vt:variant>
        <vt:i4>5439565</vt:i4>
      </vt:variant>
      <vt:variant>
        <vt:i4>18</vt:i4>
      </vt:variant>
      <vt:variant>
        <vt:i4>0</vt:i4>
      </vt:variant>
      <vt:variant>
        <vt:i4>5</vt:i4>
      </vt:variant>
      <vt:variant>
        <vt:lpwstr>C:\Documents and Settings\kxyeun\Local Settings\Temporary Internet Files\OLK4A\Draft APS 110 (July 2003 version).doc</vt:lpwstr>
      </vt:variant>
      <vt:variant>
        <vt:lpwstr/>
      </vt:variant>
      <vt:variant>
        <vt:i4>7274589</vt:i4>
      </vt:variant>
      <vt:variant>
        <vt:i4>15</vt:i4>
      </vt:variant>
      <vt:variant>
        <vt:i4>0</vt:i4>
      </vt:variant>
      <vt:variant>
        <vt:i4>5</vt:i4>
      </vt:variant>
      <vt:variant>
        <vt:lpwstr/>
      </vt:variant>
      <vt:variant>
        <vt:lpwstr>Paragraph_12</vt:lpwstr>
      </vt:variant>
      <vt:variant>
        <vt:i4>6094956</vt:i4>
      </vt:variant>
      <vt:variant>
        <vt:i4>12</vt:i4>
      </vt:variant>
      <vt:variant>
        <vt:i4>0</vt:i4>
      </vt:variant>
      <vt:variant>
        <vt:i4>5</vt:i4>
      </vt:variant>
      <vt:variant>
        <vt:lpwstr/>
      </vt:variant>
      <vt:variant>
        <vt:lpwstr>Paragraph_9</vt:lpwstr>
      </vt:variant>
      <vt:variant>
        <vt:i4>6094956</vt:i4>
      </vt:variant>
      <vt:variant>
        <vt:i4>9</vt:i4>
      </vt:variant>
      <vt:variant>
        <vt:i4>0</vt:i4>
      </vt:variant>
      <vt:variant>
        <vt:i4>5</vt:i4>
      </vt:variant>
      <vt:variant>
        <vt:lpwstr/>
      </vt:variant>
      <vt:variant>
        <vt:lpwstr>Paragraph_9</vt:lpwstr>
      </vt:variant>
      <vt:variant>
        <vt:i4>6094855</vt:i4>
      </vt:variant>
      <vt:variant>
        <vt:i4>6</vt:i4>
      </vt:variant>
      <vt:variant>
        <vt:i4>0</vt:i4>
      </vt:variant>
      <vt:variant>
        <vt:i4>5</vt:i4>
      </vt:variant>
      <vt:variant>
        <vt:lpwstr>C:\Documents and Settings\kxyeun\Local Settings\Temporary Internet Files\OLK4A\AGN 112.1</vt:lpwstr>
      </vt:variant>
      <vt:variant>
        <vt:lpwstr/>
      </vt:variant>
      <vt:variant>
        <vt:i4>6160391</vt:i4>
      </vt:variant>
      <vt:variant>
        <vt:i4>3</vt:i4>
      </vt:variant>
      <vt:variant>
        <vt:i4>0</vt:i4>
      </vt:variant>
      <vt:variant>
        <vt:i4>5</vt:i4>
      </vt:variant>
      <vt:variant>
        <vt:lpwstr>C:\Documents and Settings\kxyeun\Local Settings\Temporary Internet Files\OLK4A\AGN 112.2</vt:lpwstr>
      </vt:variant>
      <vt:variant>
        <vt:lpwstr/>
      </vt:variant>
      <vt:variant>
        <vt:i4>7405630</vt:i4>
      </vt:variant>
      <vt:variant>
        <vt:i4>0</vt:i4>
      </vt:variant>
      <vt:variant>
        <vt:i4>0</vt:i4>
      </vt:variant>
      <vt:variant>
        <vt:i4>5</vt:i4>
      </vt:variant>
      <vt:variant>
        <vt:lpwstr>C:\Documents and Settings\kxyeun\Local Settings\Temporary Internet Files\OLK4A\APS 310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cxryan</dc:creator>
  <cp:keywords/>
  <dc:description/>
  <cp:lastModifiedBy>Antonietta Discala</cp:lastModifiedBy>
  <cp:revision>7</cp:revision>
  <cp:lastPrinted>2012-11-30T00:51:00Z</cp:lastPrinted>
  <dcterms:created xsi:type="dcterms:W3CDTF">2012-11-20T06:41:00Z</dcterms:created>
  <dcterms:modified xsi:type="dcterms:W3CDTF">2012-11-30T00:51:00Z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-225988993</vt:i4>
  </property>
  <property fmtid="{D5CDD505-2E9C-101B-9397-08002B2CF9AE}" pid="3" name="_EmailSubject">
    <vt:lpwstr>Outsourcing package</vt:lpwstr>
  </property>
  <property fmtid="{D5CDD505-2E9C-101B-9397-08002B2CF9AE}" pid="4" name="_AuthorEmail">
    <vt:lpwstr>Anthony.Asher@apra.gov.au</vt:lpwstr>
  </property>
  <property fmtid="{D5CDD505-2E9C-101B-9397-08002B2CF9AE}" pid="5" name="_AuthorEmailDisplayName">
    <vt:lpwstr>Asher, Anthony</vt:lpwstr>
  </property>
  <property fmtid="{D5CDD505-2E9C-101B-9397-08002B2CF9AE}" pid="6" name="_PreviousAdHocReviewCycleID">
    <vt:i4>941598163</vt:i4>
  </property>
  <property fmtid="{D5CDD505-2E9C-101B-9397-08002B2CF9AE}" pid="7" name="_ReviewingToolsShownOnce">
    <vt:lpwstr/>
  </property>
</Properties>
</file>