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76" w:rsidRPr="00362176" w:rsidRDefault="00362176" w:rsidP="00362176">
      <w:pPr>
        <w:pStyle w:val="Default"/>
        <w:jc w:val="center"/>
        <w:rPr>
          <w:u w:val="single"/>
        </w:rPr>
      </w:pPr>
    </w:p>
    <w:p w:rsidR="00B63590" w:rsidRDefault="00362176" w:rsidP="0054279C">
      <w:pPr>
        <w:pStyle w:val="Default"/>
        <w:jc w:val="center"/>
        <w:rPr>
          <w:b/>
          <w:bCs/>
          <w:sz w:val="28"/>
          <w:szCs w:val="28"/>
          <w:u w:val="single"/>
        </w:rPr>
      </w:pPr>
      <w:r w:rsidRPr="00362176">
        <w:rPr>
          <w:b/>
          <w:bCs/>
          <w:sz w:val="28"/>
          <w:szCs w:val="28"/>
          <w:u w:val="single"/>
        </w:rPr>
        <w:t>EXPLANATORY STATEMENT</w:t>
      </w:r>
    </w:p>
    <w:p w:rsidR="002C3210" w:rsidRDefault="002C3210" w:rsidP="0054279C">
      <w:pPr>
        <w:pStyle w:val="Default"/>
        <w:jc w:val="center"/>
        <w:rPr>
          <w:b/>
          <w:bCs/>
          <w:sz w:val="28"/>
          <w:szCs w:val="28"/>
          <w:u w:val="single"/>
        </w:rPr>
      </w:pPr>
    </w:p>
    <w:p w:rsidR="002C3210" w:rsidRPr="002C3210" w:rsidRDefault="002C3210" w:rsidP="0054279C">
      <w:pPr>
        <w:pStyle w:val="Default"/>
        <w:jc w:val="center"/>
        <w:rPr>
          <w:b/>
          <w:bCs/>
          <w:u w:val="single"/>
        </w:rPr>
      </w:pPr>
      <w:r w:rsidRPr="002C3210">
        <w:rPr>
          <w:b/>
          <w:bCs/>
          <w:u w:val="single"/>
        </w:rPr>
        <w:t>Select Legislative Instrument 2012 No.</w:t>
      </w:r>
      <w:r w:rsidR="006728B2">
        <w:rPr>
          <w:b/>
          <w:bCs/>
          <w:u w:val="single"/>
        </w:rPr>
        <w:t xml:space="preserve"> 307</w:t>
      </w:r>
    </w:p>
    <w:p w:rsidR="00B63590" w:rsidRPr="002C3210" w:rsidRDefault="00B63590" w:rsidP="00362176">
      <w:pPr>
        <w:pStyle w:val="Default"/>
        <w:jc w:val="center"/>
        <w:rPr>
          <w:b/>
          <w:bCs/>
          <w:u w:val="single"/>
        </w:rPr>
      </w:pPr>
    </w:p>
    <w:p w:rsidR="00B63590" w:rsidRDefault="00B63590" w:rsidP="00B63590">
      <w:pPr>
        <w:pStyle w:val="Default"/>
        <w:rPr>
          <w:b/>
          <w:bCs/>
          <w:sz w:val="28"/>
          <w:szCs w:val="28"/>
          <w:u w:val="single"/>
        </w:rPr>
      </w:pPr>
    </w:p>
    <w:p w:rsidR="00346399" w:rsidRDefault="00346399" w:rsidP="00B63590">
      <w:pPr>
        <w:pStyle w:val="Default"/>
        <w:jc w:val="center"/>
        <w:rPr>
          <w:b/>
          <w:bCs/>
          <w:sz w:val="23"/>
          <w:szCs w:val="23"/>
        </w:rPr>
      </w:pPr>
      <w:r>
        <w:rPr>
          <w:b/>
          <w:bCs/>
          <w:sz w:val="23"/>
          <w:szCs w:val="23"/>
        </w:rPr>
        <w:t xml:space="preserve">Issued by authority of the Minister for </w:t>
      </w:r>
      <w:r w:rsidR="00877F28">
        <w:rPr>
          <w:b/>
          <w:bCs/>
          <w:sz w:val="23"/>
          <w:szCs w:val="23"/>
        </w:rPr>
        <w:t>Sport</w:t>
      </w:r>
    </w:p>
    <w:p w:rsidR="00362176" w:rsidRDefault="00362176" w:rsidP="00346399">
      <w:pPr>
        <w:pStyle w:val="Default"/>
        <w:rPr>
          <w:sz w:val="23"/>
          <w:szCs w:val="23"/>
        </w:rPr>
      </w:pPr>
    </w:p>
    <w:p w:rsidR="00877F28" w:rsidRPr="0063445D" w:rsidRDefault="00877F28" w:rsidP="0063445D">
      <w:pPr>
        <w:pStyle w:val="Default"/>
        <w:jc w:val="center"/>
        <w:rPr>
          <w:i/>
        </w:rPr>
      </w:pPr>
      <w:r w:rsidRPr="00DE170E">
        <w:rPr>
          <w:i/>
        </w:rPr>
        <w:t>Australian Sports Anti-Doping Authority Act 2006</w:t>
      </w:r>
    </w:p>
    <w:p w:rsidR="00346399" w:rsidRPr="0063445D" w:rsidRDefault="00877F28" w:rsidP="0063445D">
      <w:pPr>
        <w:pStyle w:val="Default"/>
        <w:jc w:val="center"/>
        <w:rPr>
          <w:i/>
        </w:rPr>
      </w:pPr>
      <w:r w:rsidRPr="00DE170E">
        <w:rPr>
          <w:i/>
        </w:rPr>
        <w:t xml:space="preserve">Australian Sports Anti-Doping Authority </w:t>
      </w:r>
      <w:r w:rsidR="00717807">
        <w:rPr>
          <w:i/>
        </w:rPr>
        <w:t xml:space="preserve">Amendment </w:t>
      </w:r>
      <w:r>
        <w:rPr>
          <w:i/>
        </w:rPr>
        <w:t xml:space="preserve">Regulation </w:t>
      </w:r>
      <w:r w:rsidR="00BA7748" w:rsidRPr="0063445D">
        <w:rPr>
          <w:i/>
        </w:rPr>
        <w:t>2012 (No.</w:t>
      </w:r>
      <w:r w:rsidR="006A1FAB">
        <w:rPr>
          <w:i/>
        </w:rPr>
        <w:t xml:space="preserve"> </w:t>
      </w:r>
      <w:r w:rsidR="006728B2">
        <w:rPr>
          <w:i/>
        </w:rPr>
        <w:t>1</w:t>
      </w:r>
      <w:r w:rsidR="00BA7748" w:rsidRPr="0063445D">
        <w:rPr>
          <w:i/>
        </w:rPr>
        <w:t>)</w:t>
      </w:r>
    </w:p>
    <w:p w:rsidR="003B034F" w:rsidRDefault="003B034F" w:rsidP="00362176">
      <w:pPr>
        <w:pStyle w:val="Default"/>
        <w:jc w:val="center"/>
        <w:rPr>
          <w:i/>
          <w:iCs/>
          <w:sz w:val="23"/>
          <w:szCs w:val="23"/>
        </w:rPr>
      </w:pPr>
    </w:p>
    <w:p w:rsidR="003B034F" w:rsidRDefault="003B034F" w:rsidP="003B034F">
      <w:pPr>
        <w:pStyle w:val="Default"/>
      </w:pPr>
    </w:p>
    <w:p w:rsidR="003B034F" w:rsidRDefault="003B034F" w:rsidP="003B034F">
      <w:pPr>
        <w:pStyle w:val="Default"/>
        <w:rPr>
          <w:sz w:val="23"/>
          <w:szCs w:val="23"/>
        </w:rPr>
      </w:pPr>
      <w:r>
        <w:rPr>
          <w:sz w:val="23"/>
          <w:szCs w:val="23"/>
        </w:rPr>
        <w:t xml:space="preserve">The </w:t>
      </w:r>
      <w:r w:rsidR="00DF14E9" w:rsidRPr="00DE170E">
        <w:rPr>
          <w:i/>
        </w:rPr>
        <w:t>Australian Sports Anti-Doping Authority Act 2006</w:t>
      </w:r>
      <w:r w:rsidR="00DF14E9" w:rsidRPr="00DE170E">
        <w:t xml:space="preserve"> </w:t>
      </w:r>
      <w:r>
        <w:rPr>
          <w:sz w:val="23"/>
          <w:szCs w:val="23"/>
        </w:rPr>
        <w:t>(the Act) provides for the regulation of</w:t>
      </w:r>
      <w:r w:rsidR="00DF14E9">
        <w:rPr>
          <w:sz w:val="23"/>
          <w:szCs w:val="23"/>
        </w:rPr>
        <w:t xml:space="preserve"> </w:t>
      </w:r>
      <w:r w:rsidR="00877F28">
        <w:rPr>
          <w:sz w:val="23"/>
          <w:szCs w:val="23"/>
        </w:rPr>
        <w:t xml:space="preserve">the </w:t>
      </w:r>
      <w:r w:rsidR="00EA69DE">
        <w:rPr>
          <w:sz w:val="23"/>
          <w:szCs w:val="23"/>
        </w:rPr>
        <w:t>Australia’s sports anti-doping arrangements.</w:t>
      </w:r>
    </w:p>
    <w:p w:rsidR="003B034F" w:rsidRDefault="003B034F" w:rsidP="003B034F">
      <w:pPr>
        <w:pStyle w:val="Default"/>
        <w:rPr>
          <w:sz w:val="23"/>
          <w:szCs w:val="23"/>
        </w:rPr>
      </w:pPr>
    </w:p>
    <w:p w:rsidR="003B034F" w:rsidRDefault="00877F28" w:rsidP="00EA0B37">
      <w:pPr>
        <w:pStyle w:val="Default"/>
        <w:rPr>
          <w:i/>
          <w:iCs/>
          <w:sz w:val="23"/>
          <w:szCs w:val="23"/>
        </w:rPr>
      </w:pPr>
      <w:r>
        <w:rPr>
          <w:sz w:val="23"/>
          <w:szCs w:val="23"/>
        </w:rPr>
        <w:t xml:space="preserve">Section </w:t>
      </w:r>
      <w:r w:rsidR="00DA7D9B">
        <w:rPr>
          <w:sz w:val="23"/>
          <w:szCs w:val="23"/>
        </w:rPr>
        <w:t>79</w:t>
      </w:r>
      <w:r w:rsidR="002C3210">
        <w:rPr>
          <w:sz w:val="23"/>
          <w:szCs w:val="23"/>
        </w:rPr>
        <w:t xml:space="preserve"> </w:t>
      </w:r>
      <w:r w:rsidR="003B034F">
        <w:rPr>
          <w:sz w:val="23"/>
          <w:szCs w:val="23"/>
        </w:rPr>
        <w:t>of the Act provides that the Governor-General may make regulations prescribing matters required or permitted by the Act to be prescribed, or necessary or convenient to be prescribed for carrying out or giving effect to the Act.</w:t>
      </w:r>
    </w:p>
    <w:p w:rsidR="00362176" w:rsidRDefault="00362176" w:rsidP="00362176">
      <w:pPr>
        <w:pStyle w:val="Default"/>
        <w:jc w:val="center"/>
        <w:rPr>
          <w:i/>
          <w:iCs/>
          <w:sz w:val="23"/>
          <w:szCs w:val="23"/>
        </w:rPr>
      </w:pPr>
    </w:p>
    <w:p w:rsidR="00EA0B37" w:rsidRPr="00EA0B37" w:rsidRDefault="00EA0B37" w:rsidP="00EA0B37">
      <w:pPr>
        <w:pStyle w:val="Default"/>
        <w:rPr>
          <w:sz w:val="23"/>
          <w:szCs w:val="23"/>
        </w:rPr>
      </w:pPr>
      <w:r w:rsidRPr="00EA0B37">
        <w:rPr>
          <w:sz w:val="23"/>
          <w:szCs w:val="23"/>
        </w:rPr>
        <w:t xml:space="preserve">Australia’s anti-doping framework comprises the Act, the </w:t>
      </w:r>
      <w:r w:rsidRPr="00EA0B37">
        <w:rPr>
          <w:i/>
          <w:sz w:val="23"/>
          <w:szCs w:val="23"/>
        </w:rPr>
        <w:t xml:space="preserve">Australian Sports </w:t>
      </w:r>
      <w:proofErr w:type="spellStart"/>
      <w:r w:rsidRPr="00EA0B37">
        <w:rPr>
          <w:i/>
          <w:sz w:val="23"/>
          <w:szCs w:val="23"/>
        </w:rPr>
        <w:t>Anti</w:t>
      </w:r>
      <w:r w:rsidRPr="00EA0B37">
        <w:rPr>
          <w:i/>
          <w:sz w:val="23"/>
          <w:szCs w:val="23"/>
        </w:rPr>
        <w:noBreakHyphen/>
        <w:t>Doping</w:t>
      </w:r>
      <w:proofErr w:type="spellEnd"/>
      <w:r w:rsidRPr="00EA0B37">
        <w:rPr>
          <w:i/>
          <w:sz w:val="23"/>
          <w:szCs w:val="23"/>
        </w:rPr>
        <w:t xml:space="preserve"> Authority Regulations 2006</w:t>
      </w:r>
      <w:r w:rsidRPr="00EA0B37">
        <w:rPr>
          <w:sz w:val="23"/>
          <w:szCs w:val="23"/>
        </w:rPr>
        <w:t xml:space="preserve"> </w:t>
      </w:r>
      <w:r w:rsidR="00D31FDB">
        <w:rPr>
          <w:sz w:val="23"/>
          <w:szCs w:val="23"/>
        </w:rPr>
        <w:t xml:space="preserve">(the Principal Regulations) </w:t>
      </w:r>
      <w:r w:rsidRPr="00EA0B37">
        <w:rPr>
          <w:sz w:val="23"/>
          <w:szCs w:val="23"/>
        </w:rPr>
        <w:t xml:space="preserve">and the National </w:t>
      </w:r>
      <w:proofErr w:type="spellStart"/>
      <w:r w:rsidRPr="00EA0B37">
        <w:rPr>
          <w:sz w:val="23"/>
          <w:szCs w:val="23"/>
        </w:rPr>
        <w:t>Anti</w:t>
      </w:r>
      <w:r w:rsidRPr="00EA0B37">
        <w:rPr>
          <w:sz w:val="23"/>
          <w:szCs w:val="23"/>
        </w:rPr>
        <w:noBreakHyphen/>
        <w:t>Doping</w:t>
      </w:r>
      <w:proofErr w:type="spellEnd"/>
      <w:r w:rsidRPr="00EA0B37">
        <w:rPr>
          <w:sz w:val="23"/>
          <w:szCs w:val="23"/>
        </w:rPr>
        <w:t xml:space="preserve"> (NAD) Scheme, which comprises Schedule 1 to the </w:t>
      </w:r>
      <w:r w:rsidR="00D31FDB">
        <w:rPr>
          <w:sz w:val="23"/>
          <w:szCs w:val="23"/>
        </w:rPr>
        <w:t>Principal R</w:t>
      </w:r>
      <w:r w:rsidR="00D31FDB" w:rsidRPr="00EA0B37">
        <w:rPr>
          <w:sz w:val="23"/>
          <w:szCs w:val="23"/>
        </w:rPr>
        <w:t>egulations</w:t>
      </w:r>
      <w:r w:rsidRPr="00EA0B37">
        <w:rPr>
          <w:sz w:val="23"/>
          <w:szCs w:val="23"/>
        </w:rPr>
        <w:t xml:space="preserve">.  The Australian Sports </w:t>
      </w:r>
      <w:proofErr w:type="spellStart"/>
      <w:r w:rsidRPr="00EA0B37">
        <w:rPr>
          <w:sz w:val="23"/>
          <w:szCs w:val="23"/>
        </w:rPr>
        <w:t>Anti</w:t>
      </w:r>
      <w:r w:rsidRPr="00EA0B37">
        <w:rPr>
          <w:sz w:val="23"/>
          <w:szCs w:val="23"/>
        </w:rPr>
        <w:noBreakHyphen/>
        <w:t>Doping</w:t>
      </w:r>
      <w:proofErr w:type="spellEnd"/>
      <w:r w:rsidRPr="00EA0B37">
        <w:rPr>
          <w:sz w:val="23"/>
          <w:szCs w:val="23"/>
        </w:rPr>
        <w:t xml:space="preserve"> Authority (ASADA) is the focal point for the Australian Government’s efforts against doping in sport.  </w:t>
      </w:r>
    </w:p>
    <w:p w:rsidR="00EA0B37" w:rsidRDefault="00EA0B37" w:rsidP="00877F28">
      <w:pPr>
        <w:pStyle w:val="Default"/>
        <w:rPr>
          <w:sz w:val="23"/>
          <w:szCs w:val="23"/>
        </w:rPr>
      </w:pPr>
    </w:p>
    <w:p w:rsidR="00CF60EF" w:rsidRDefault="00CF60EF" w:rsidP="00877F28">
      <w:pPr>
        <w:pStyle w:val="Default"/>
        <w:rPr>
          <w:sz w:val="23"/>
          <w:szCs w:val="23"/>
        </w:rPr>
      </w:pPr>
      <w:r>
        <w:rPr>
          <w:sz w:val="23"/>
          <w:szCs w:val="23"/>
        </w:rPr>
        <w:t xml:space="preserve">Section 41 of the Act sets out the functions of the Anti-Doping Rule Violation Panel (the Panel).  Paragraph 41(a) states that the Panel has the functions set out in the NAD Scheme.  Section 13 of the Act sets out the content that the NAD scheme must deal with. </w:t>
      </w:r>
    </w:p>
    <w:p w:rsidR="00CF60EF" w:rsidRDefault="00CF60EF" w:rsidP="00877F28">
      <w:pPr>
        <w:pStyle w:val="Default"/>
        <w:rPr>
          <w:sz w:val="23"/>
          <w:szCs w:val="23"/>
        </w:rPr>
      </w:pPr>
    </w:p>
    <w:p w:rsidR="00877F28" w:rsidRDefault="00877F28" w:rsidP="00877F28">
      <w:pPr>
        <w:pStyle w:val="Default"/>
        <w:rPr>
          <w:sz w:val="23"/>
          <w:szCs w:val="23"/>
        </w:rPr>
      </w:pPr>
      <w:r w:rsidRPr="00877F28">
        <w:rPr>
          <w:sz w:val="23"/>
          <w:szCs w:val="23"/>
        </w:rPr>
        <w:t xml:space="preserve">The </w:t>
      </w:r>
      <w:r w:rsidR="00CF60EF">
        <w:rPr>
          <w:sz w:val="23"/>
          <w:szCs w:val="23"/>
        </w:rPr>
        <w:t xml:space="preserve">primary </w:t>
      </w:r>
      <w:r w:rsidRPr="00877F28">
        <w:rPr>
          <w:sz w:val="23"/>
          <w:szCs w:val="23"/>
        </w:rPr>
        <w:t xml:space="preserve">purpose of the </w:t>
      </w:r>
      <w:r w:rsidRPr="00E85491">
        <w:rPr>
          <w:i/>
          <w:sz w:val="23"/>
          <w:szCs w:val="23"/>
        </w:rPr>
        <w:t>Australian Sports Anti-Doping Authority Amendment Regulation 2012 (No.</w:t>
      </w:r>
      <w:r w:rsidR="00A52133">
        <w:rPr>
          <w:i/>
          <w:sz w:val="23"/>
          <w:szCs w:val="23"/>
        </w:rPr>
        <w:t xml:space="preserve"> </w:t>
      </w:r>
      <w:r w:rsidR="006728B2">
        <w:rPr>
          <w:i/>
          <w:sz w:val="23"/>
          <w:szCs w:val="23"/>
        </w:rPr>
        <w:t>1</w:t>
      </w:r>
      <w:r w:rsidRPr="00E85491">
        <w:rPr>
          <w:i/>
          <w:sz w:val="23"/>
          <w:szCs w:val="23"/>
        </w:rPr>
        <w:t>)</w:t>
      </w:r>
      <w:r w:rsidRPr="00877F28">
        <w:rPr>
          <w:sz w:val="23"/>
          <w:szCs w:val="23"/>
        </w:rPr>
        <w:t xml:space="preserve"> is to clarify the intended role of the Panel</w:t>
      </w:r>
      <w:r w:rsidR="00CE1284">
        <w:rPr>
          <w:sz w:val="23"/>
          <w:szCs w:val="23"/>
        </w:rPr>
        <w:t xml:space="preserve"> within Australia’s </w:t>
      </w:r>
      <w:proofErr w:type="spellStart"/>
      <w:r w:rsidR="00CE1284">
        <w:rPr>
          <w:sz w:val="23"/>
          <w:szCs w:val="23"/>
        </w:rPr>
        <w:t>anti</w:t>
      </w:r>
      <w:r w:rsidR="00B474B0">
        <w:rPr>
          <w:sz w:val="23"/>
          <w:szCs w:val="23"/>
        </w:rPr>
        <w:noBreakHyphen/>
      </w:r>
      <w:r w:rsidR="00CE1284">
        <w:rPr>
          <w:sz w:val="23"/>
          <w:szCs w:val="23"/>
        </w:rPr>
        <w:t>doping</w:t>
      </w:r>
      <w:proofErr w:type="spellEnd"/>
      <w:r w:rsidR="00CE1284">
        <w:rPr>
          <w:sz w:val="23"/>
          <w:szCs w:val="23"/>
        </w:rPr>
        <w:t xml:space="preserve"> regime</w:t>
      </w:r>
      <w:r w:rsidRPr="00877F28">
        <w:rPr>
          <w:sz w:val="23"/>
          <w:szCs w:val="23"/>
        </w:rPr>
        <w:t>.</w:t>
      </w:r>
    </w:p>
    <w:p w:rsidR="00CF60EF" w:rsidRDefault="00CF60EF" w:rsidP="00877F28">
      <w:pPr>
        <w:pStyle w:val="Default"/>
        <w:rPr>
          <w:sz w:val="23"/>
          <w:szCs w:val="23"/>
        </w:rPr>
      </w:pPr>
    </w:p>
    <w:p w:rsidR="00CF60EF" w:rsidRPr="001B084A" w:rsidRDefault="00CF60EF" w:rsidP="00CF60EF">
      <w:pPr>
        <w:pStyle w:val="Default"/>
        <w:rPr>
          <w:sz w:val="23"/>
          <w:szCs w:val="23"/>
        </w:rPr>
      </w:pPr>
      <w:r>
        <w:rPr>
          <w:sz w:val="23"/>
          <w:szCs w:val="23"/>
        </w:rPr>
        <w:t>The regulation follows on from a recent decision of the Admin</w:t>
      </w:r>
      <w:r w:rsidR="007176F9">
        <w:rPr>
          <w:sz w:val="23"/>
          <w:szCs w:val="23"/>
        </w:rPr>
        <w:t>i</w:t>
      </w:r>
      <w:r>
        <w:rPr>
          <w:sz w:val="23"/>
          <w:szCs w:val="23"/>
        </w:rPr>
        <w:t xml:space="preserve">strative Appeals Tribunal (AAT) in </w:t>
      </w:r>
      <w:r w:rsidRPr="00667D2C">
        <w:rPr>
          <w:i/>
          <w:sz w:val="23"/>
          <w:szCs w:val="23"/>
        </w:rPr>
        <w:t>XZTT v Anti-Doping Rule Violation Panel</w:t>
      </w:r>
      <w:r>
        <w:rPr>
          <w:i/>
          <w:sz w:val="23"/>
          <w:szCs w:val="23"/>
        </w:rPr>
        <w:t xml:space="preserve"> </w:t>
      </w:r>
      <w:r>
        <w:rPr>
          <w:sz w:val="23"/>
          <w:szCs w:val="23"/>
        </w:rPr>
        <w:t xml:space="preserve">[2012] AATA 728, in which the AAT found that the Panel was a hearing body within the meaning of Article 8 of the World Anti-Doping Code and therefore, its role was to make a finding that an anti-doping rule violation had been committed.  This finding was not consistent with the legislative intention, which is that the role of the Panel is to make a finding that an athlete or support person had possibly committed an anti-doping rule violation, while the role of the sport is to determine whether an anti-doping rule violation has in fact been committed.  </w:t>
      </w:r>
    </w:p>
    <w:p w:rsidR="00362176" w:rsidRDefault="00362176" w:rsidP="00EA0B37">
      <w:pPr>
        <w:pStyle w:val="Default"/>
        <w:rPr>
          <w:sz w:val="23"/>
          <w:szCs w:val="23"/>
        </w:rPr>
      </w:pPr>
    </w:p>
    <w:p w:rsidR="00346399" w:rsidRDefault="00346399" w:rsidP="00346399">
      <w:pPr>
        <w:pStyle w:val="Default"/>
        <w:rPr>
          <w:sz w:val="23"/>
          <w:szCs w:val="23"/>
        </w:rPr>
      </w:pPr>
      <w:r>
        <w:rPr>
          <w:sz w:val="23"/>
          <w:szCs w:val="23"/>
        </w:rPr>
        <w:t xml:space="preserve">Specifically, the amendments to the Principal Regulations: </w:t>
      </w:r>
    </w:p>
    <w:p w:rsidR="00362176" w:rsidRPr="00253E6B" w:rsidRDefault="00362176" w:rsidP="00346399">
      <w:pPr>
        <w:pStyle w:val="Default"/>
        <w:rPr>
          <w:sz w:val="16"/>
          <w:szCs w:val="23"/>
        </w:rPr>
      </w:pPr>
    </w:p>
    <w:p w:rsidR="00877F28" w:rsidRPr="00877F28"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set</w:t>
      </w:r>
      <w:r w:rsidRPr="00877F28">
        <w:rPr>
          <w:sz w:val="23"/>
          <w:szCs w:val="23"/>
        </w:rPr>
        <w:t xml:space="preserve"> </w:t>
      </w:r>
      <w:r w:rsidR="00877F28" w:rsidRPr="00877F28">
        <w:rPr>
          <w:sz w:val="23"/>
          <w:szCs w:val="23"/>
        </w:rPr>
        <w:t>out the functions of the Panel</w:t>
      </w:r>
      <w:r>
        <w:rPr>
          <w:sz w:val="23"/>
          <w:szCs w:val="23"/>
        </w:rPr>
        <w:t>;</w:t>
      </w:r>
      <w:r w:rsidR="00877F28" w:rsidRPr="00877F28">
        <w:rPr>
          <w:sz w:val="23"/>
          <w:szCs w:val="23"/>
        </w:rPr>
        <w:t xml:space="preserve">  </w:t>
      </w:r>
    </w:p>
    <w:p w:rsidR="00877F28" w:rsidRPr="00877F28" w:rsidRDefault="00877F28" w:rsidP="00CE1284">
      <w:pPr>
        <w:tabs>
          <w:tab w:val="left" w:pos="1701"/>
          <w:tab w:val="right" w:pos="9072"/>
        </w:tabs>
        <w:spacing w:line="240" w:lineRule="exact"/>
        <w:ind w:left="567" w:right="91" w:hanging="567"/>
        <w:rPr>
          <w:sz w:val="23"/>
          <w:szCs w:val="23"/>
        </w:rPr>
      </w:pPr>
    </w:p>
    <w:p w:rsidR="00CE1284"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 xml:space="preserve">clarify </w:t>
      </w:r>
      <w:r w:rsidR="00877F28" w:rsidRPr="00877F28">
        <w:rPr>
          <w:sz w:val="23"/>
          <w:szCs w:val="23"/>
        </w:rPr>
        <w:t xml:space="preserve">that the Panel is not a hearing body, </w:t>
      </w:r>
      <w:r w:rsidR="00CF60EF">
        <w:rPr>
          <w:sz w:val="23"/>
          <w:szCs w:val="23"/>
        </w:rPr>
        <w:t>within the meaning of</w:t>
      </w:r>
      <w:r w:rsidR="00877F28" w:rsidRPr="00877F28">
        <w:rPr>
          <w:sz w:val="23"/>
          <w:szCs w:val="23"/>
        </w:rPr>
        <w:t xml:space="preserve"> Article 8 of the World Anti-Do</w:t>
      </w:r>
      <w:r w:rsidR="008174DA">
        <w:rPr>
          <w:sz w:val="23"/>
          <w:szCs w:val="23"/>
        </w:rPr>
        <w:t>ping Code</w:t>
      </w:r>
      <w:r>
        <w:rPr>
          <w:sz w:val="23"/>
          <w:szCs w:val="23"/>
        </w:rPr>
        <w:t>;</w:t>
      </w:r>
    </w:p>
    <w:p w:rsidR="00CE1284" w:rsidRPr="00CE1284" w:rsidRDefault="00CE1284" w:rsidP="00CE1284">
      <w:pPr>
        <w:pStyle w:val="ListParagraph"/>
        <w:rPr>
          <w:sz w:val="23"/>
          <w:szCs w:val="23"/>
        </w:rPr>
      </w:pPr>
      <w:bookmarkStart w:id="0" w:name="_GoBack"/>
      <w:bookmarkEnd w:id="0"/>
    </w:p>
    <w:p w:rsidR="00877F28" w:rsidRPr="00877F28"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 xml:space="preserve">confirm  </w:t>
      </w:r>
      <w:r w:rsidR="007E567F">
        <w:rPr>
          <w:sz w:val="23"/>
          <w:szCs w:val="23"/>
        </w:rPr>
        <w:t xml:space="preserve">that the ASADA </w:t>
      </w:r>
      <w:r w:rsidR="0063445D" w:rsidRPr="00877F28">
        <w:rPr>
          <w:sz w:val="23"/>
          <w:szCs w:val="23"/>
        </w:rPr>
        <w:t xml:space="preserve">Chief Executive Officer </w:t>
      </w:r>
      <w:r w:rsidR="00E85491">
        <w:rPr>
          <w:sz w:val="23"/>
          <w:szCs w:val="23"/>
        </w:rPr>
        <w:t xml:space="preserve">and the Panel </w:t>
      </w:r>
      <w:r w:rsidR="007E567F">
        <w:rPr>
          <w:sz w:val="23"/>
          <w:szCs w:val="23"/>
        </w:rPr>
        <w:t xml:space="preserve">must have regard to the World Anti-Doping Code and other relevant international </w:t>
      </w:r>
      <w:proofErr w:type="spellStart"/>
      <w:r w:rsidR="007E567F">
        <w:rPr>
          <w:sz w:val="23"/>
          <w:szCs w:val="23"/>
        </w:rPr>
        <w:t>anti</w:t>
      </w:r>
      <w:r w:rsidR="007E567F">
        <w:rPr>
          <w:sz w:val="23"/>
          <w:szCs w:val="23"/>
        </w:rPr>
        <w:noBreakHyphen/>
        <w:t>doping</w:t>
      </w:r>
      <w:proofErr w:type="spellEnd"/>
      <w:r w:rsidR="007E567F">
        <w:rPr>
          <w:sz w:val="23"/>
          <w:szCs w:val="23"/>
        </w:rPr>
        <w:t xml:space="preserve"> instruments </w:t>
      </w:r>
      <w:r w:rsidR="007E567F" w:rsidRPr="00877F28">
        <w:rPr>
          <w:sz w:val="23"/>
          <w:szCs w:val="23"/>
        </w:rPr>
        <w:t>in exercising powers under the NAD Scheme</w:t>
      </w:r>
      <w:r>
        <w:rPr>
          <w:sz w:val="23"/>
          <w:szCs w:val="23"/>
        </w:rPr>
        <w:t>;</w:t>
      </w:r>
      <w:r w:rsidR="007E567F">
        <w:rPr>
          <w:sz w:val="23"/>
          <w:szCs w:val="23"/>
        </w:rPr>
        <w:t xml:space="preserve"> </w:t>
      </w:r>
      <w:r w:rsidR="00877F28" w:rsidRPr="00877F28">
        <w:rPr>
          <w:sz w:val="23"/>
          <w:szCs w:val="23"/>
        </w:rPr>
        <w:t xml:space="preserve"> </w:t>
      </w:r>
    </w:p>
    <w:p w:rsidR="00877F28" w:rsidRPr="00877F28" w:rsidRDefault="00877F28" w:rsidP="00CE1284">
      <w:pPr>
        <w:pStyle w:val="ListParagraph"/>
        <w:ind w:left="567" w:hanging="567"/>
        <w:rPr>
          <w:sz w:val="23"/>
          <w:szCs w:val="23"/>
        </w:rPr>
      </w:pPr>
    </w:p>
    <w:p w:rsidR="00877F28" w:rsidRPr="00877F28"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r</w:t>
      </w:r>
      <w:r w:rsidRPr="00877F28">
        <w:rPr>
          <w:sz w:val="23"/>
          <w:szCs w:val="23"/>
        </w:rPr>
        <w:t>emove</w:t>
      </w:r>
      <w:r>
        <w:rPr>
          <w:sz w:val="23"/>
          <w:szCs w:val="23"/>
        </w:rPr>
        <w:t>s</w:t>
      </w:r>
      <w:r w:rsidRPr="00877F28">
        <w:rPr>
          <w:sz w:val="23"/>
          <w:szCs w:val="23"/>
        </w:rPr>
        <w:t xml:space="preserve"> </w:t>
      </w:r>
      <w:r w:rsidR="00877F28" w:rsidRPr="00877F28">
        <w:rPr>
          <w:sz w:val="23"/>
          <w:szCs w:val="23"/>
        </w:rPr>
        <w:t>the current definition of ‘consequences’</w:t>
      </w:r>
      <w:r>
        <w:rPr>
          <w:sz w:val="23"/>
          <w:szCs w:val="23"/>
        </w:rPr>
        <w:t>;</w:t>
      </w:r>
      <w:r w:rsidR="00877F28" w:rsidRPr="00877F28">
        <w:rPr>
          <w:sz w:val="23"/>
          <w:szCs w:val="23"/>
        </w:rPr>
        <w:t xml:space="preserve"> </w:t>
      </w:r>
    </w:p>
    <w:p w:rsidR="00877F28" w:rsidRPr="00877F28" w:rsidRDefault="00877F28" w:rsidP="00CE1284">
      <w:pPr>
        <w:pStyle w:val="ListParagraph"/>
        <w:ind w:left="567" w:hanging="567"/>
        <w:rPr>
          <w:sz w:val="23"/>
          <w:szCs w:val="23"/>
        </w:rPr>
      </w:pPr>
    </w:p>
    <w:p w:rsidR="00877F28"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u</w:t>
      </w:r>
      <w:r w:rsidRPr="00877F28">
        <w:rPr>
          <w:sz w:val="23"/>
          <w:szCs w:val="23"/>
        </w:rPr>
        <w:t>pdate</w:t>
      </w:r>
      <w:r>
        <w:rPr>
          <w:sz w:val="23"/>
          <w:szCs w:val="23"/>
        </w:rPr>
        <w:t>s</w:t>
      </w:r>
      <w:r w:rsidRPr="00877F28">
        <w:rPr>
          <w:sz w:val="23"/>
          <w:szCs w:val="23"/>
        </w:rPr>
        <w:t xml:space="preserve"> </w:t>
      </w:r>
      <w:r w:rsidR="00877F28" w:rsidRPr="00877F28">
        <w:rPr>
          <w:sz w:val="23"/>
          <w:szCs w:val="23"/>
        </w:rPr>
        <w:t xml:space="preserve">the </w:t>
      </w:r>
      <w:r w:rsidR="007E567F">
        <w:rPr>
          <w:sz w:val="23"/>
          <w:szCs w:val="23"/>
        </w:rPr>
        <w:t>meaning</w:t>
      </w:r>
      <w:r w:rsidR="00877F28" w:rsidRPr="00877F28">
        <w:rPr>
          <w:sz w:val="23"/>
          <w:szCs w:val="23"/>
        </w:rPr>
        <w:t xml:space="preserve"> of ‘findings’ in the context of the Panel</w:t>
      </w:r>
      <w:r w:rsidR="007E567F">
        <w:rPr>
          <w:sz w:val="23"/>
          <w:szCs w:val="23"/>
        </w:rPr>
        <w:t>’s operation</w:t>
      </w:r>
      <w:r>
        <w:rPr>
          <w:sz w:val="23"/>
          <w:szCs w:val="23"/>
        </w:rPr>
        <w:t>;</w:t>
      </w:r>
      <w:r w:rsidR="00877F28" w:rsidRPr="00877F28">
        <w:rPr>
          <w:sz w:val="23"/>
          <w:szCs w:val="23"/>
        </w:rPr>
        <w:t xml:space="preserve"> </w:t>
      </w:r>
      <w:r w:rsidR="0063445D">
        <w:rPr>
          <w:sz w:val="23"/>
          <w:szCs w:val="23"/>
        </w:rPr>
        <w:t xml:space="preserve"> </w:t>
      </w:r>
    </w:p>
    <w:p w:rsidR="0063445D" w:rsidRPr="0063445D" w:rsidRDefault="0063445D" w:rsidP="0063445D">
      <w:pPr>
        <w:pStyle w:val="ListParagraph"/>
        <w:rPr>
          <w:sz w:val="23"/>
          <w:szCs w:val="23"/>
        </w:rPr>
      </w:pPr>
    </w:p>
    <w:p w:rsidR="0063445D"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clarifies</w:t>
      </w:r>
      <w:r w:rsidR="0063445D">
        <w:rPr>
          <w:sz w:val="23"/>
          <w:szCs w:val="23"/>
        </w:rPr>
        <w:t xml:space="preserve"> that, where the </w:t>
      </w:r>
      <w:r w:rsidR="00C009C6">
        <w:rPr>
          <w:sz w:val="23"/>
          <w:szCs w:val="23"/>
        </w:rPr>
        <w:t>NAD</w:t>
      </w:r>
      <w:r w:rsidR="0063445D">
        <w:rPr>
          <w:sz w:val="23"/>
          <w:szCs w:val="23"/>
        </w:rPr>
        <w:t xml:space="preserve"> scheme refers to a possible anti-doping rule violation, it </w:t>
      </w:r>
      <w:r w:rsidR="00DA7D9B">
        <w:rPr>
          <w:sz w:val="23"/>
          <w:szCs w:val="23"/>
        </w:rPr>
        <w:t>is a reference to</w:t>
      </w:r>
      <w:r w:rsidR="0063445D">
        <w:rPr>
          <w:sz w:val="23"/>
          <w:szCs w:val="23"/>
        </w:rPr>
        <w:t xml:space="preserve"> </w:t>
      </w:r>
      <w:r w:rsidR="00E85491">
        <w:rPr>
          <w:sz w:val="23"/>
          <w:szCs w:val="23"/>
        </w:rPr>
        <w:t xml:space="preserve">any </w:t>
      </w:r>
      <w:r w:rsidR="0063445D">
        <w:rPr>
          <w:sz w:val="23"/>
          <w:szCs w:val="23"/>
        </w:rPr>
        <w:t xml:space="preserve">one of the seven </w:t>
      </w:r>
      <w:proofErr w:type="spellStart"/>
      <w:r w:rsidR="0063445D">
        <w:rPr>
          <w:sz w:val="23"/>
          <w:szCs w:val="23"/>
        </w:rPr>
        <w:t>non</w:t>
      </w:r>
      <w:r w:rsidR="0063445D">
        <w:rPr>
          <w:sz w:val="23"/>
          <w:szCs w:val="23"/>
        </w:rPr>
        <w:noBreakHyphen/>
        <w:t>presence</w:t>
      </w:r>
      <w:proofErr w:type="spellEnd"/>
      <w:r w:rsidR="0063445D">
        <w:rPr>
          <w:sz w:val="23"/>
          <w:szCs w:val="23"/>
        </w:rPr>
        <w:t xml:space="preserve"> </w:t>
      </w:r>
      <w:proofErr w:type="spellStart"/>
      <w:r w:rsidR="0063445D">
        <w:rPr>
          <w:sz w:val="23"/>
          <w:szCs w:val="23"/>
        </w:rPr>
        <w:t>anti</w:t>
      </w:r>
      <w:r w:rsidR="00DA7D9B">
        <w:rPr>
          <w:sz w:val="23"/>
          <w:szCs w:val="23"/>
        </w:rPr>
        <w:noBreakHyphen/>
      </w:r>
      <w:r w:rsidR="0063445D">
        <w:rPr>
          <w:sz w:val="23"/>
          <w:szCs w:val="23"/>
        </w:rPr>
        <w:t>doping</w:t>
      </w:r>
      <w:proofErr w:type="spellEnd"/>
      <w:r w:rsidR="0063445D">
        <w:rPr>
          <w:sz w:val="23"/>
          <w:szCs w:val="23"/>
        </w:rPr>
        <w:t xml:space="preserve"> rule violations that are </w:t>
      </w:r>
      <w:r w:rsidR="00E85491">
        <w:rPr>
          <w:sz w:val="23"/>
          <w:szCs w:val="23"/>
        </w:rPr>
        <w:t>specified</w:t>
      </w:r>
      <w:r w:rsidR="0063445D">
        <w:rPr>
          <w:sz w:val="23"/>
          <w:szCs w:val="23"/>
        </w:rPr>
        <w:t xml:space="preserve"> in the World Anti-Dopi</w:t>
      </w:r>
      <w:r w:rsidR="00DA7D9B">
        <w:rPr>
          <w:sz w:val="23"/>
          <w:szCs w:val="23"/>
        </w:rPr>
        <w:t xml:space="preserve">ng Code and </w:t>
      </w:r>
      <w:r w:rsidR="00E85491">
        <w:rPr>
          <w:sz w:val="23"/>
          <w:szCs w:val="23"/>
        </w:rPr>
        <w:t>replicated</w:t>
      </w:r>
      <w:r w:rsidR="00DA7D9B">
        <w:rPr>
          <w:sz w:val="23"/>
          <w:szCs w:val="23"/>
        </w:rPr>
        <w:t xml:space="preserve"> in </w:t>
      </w:r>
      <w:r w:rsidR="00E85491">
        <w:rPr>
          <w:sz w:val="23"/>
          <w:szCs w:val="23"/>
        </w:rPr>
        <w:t xml:space="preserve">the </w:t>
      </w:r>
      <w:proofErr w:type="spellStart"/>
      <w:r w:rsidR="00E85491">
        <w:rPr>
          <w:sz w:val="23"/>
          <w:szCs w:val="23"/>
        </w:rPr>
        <w:t>anti</w:t>
      </w:r>
      <w:r w:rsidR="00E85491">
        <w:rPr>
          <w:sz w:val="23"/>
          <w:szCs w:val="23"/>
        </w:rPr>
        <w:noBreakHyphen/>
        <w:t>doping</w:t>
      </w:r>
      <w:proofErr w:type="spellEnd"/>
      <w:r w:rsidR="00E85491">
        <w:rPr>
          <w:sz w:val="23"/>
          <w:szCs w:val="23"/>
        </w:rPr>
        <w:t xml:space="preserve"> policies of Australia’s national sporting organisation</w:t>
      </w:r>
      <w:r w:rsidR="003B4AD8">
        <w:rPr>
          <w:sz w:val="23"/>
          <w:szCs w:val="23"/>
        </w:rPr>
        <w:t>s</w:t>
      </w:r>
      <w:r>
        <w:rPr>
          <w:sz w:val="23"/>
          <w:szCs w:val="23"/>
        </w:rPr>
        <w:t>;</w:t>
      </w:r>
    </w:p>
    <w:p w:rsidR="0063445D" w:rsidRPr="0063445D" w:rsidRDefault="0063445D" w:rsidP="0063445D">
      <w:pPr>
        <w:pStyle w:val="ListParagraph"/>
        <w:rPr>
          <w:sz w:val="23"/>
          <w:szCs w:val="23"/>
        </w:rPr>
      </w:pPr>
    </w:p>
    <w:p w:rsidR="0063445D"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r</w:t>
      </w:r>
      <w:r w:rsidRPr="00877F28">
        <w:rPr>
          <w:sz w:val="23"/>
          <w:szCs w:val="23"/>
        </w:rPr>
        <w:t>e</w:t>
      </w:r>
      <w:r w:rsidR="008174DA">
        <w:rPr>
          <w:sz w:val="23"/>
          <w:szCs w:val="23"/>
        </w:rPr>
        <w:t>-affirms</w:t>
      </w:r>
      <w:r w:rsidR="0063445D" w:rsidRPr="00877F28">
        <w:rPr>
          <w:sz w:val="23"/>
          <w:szCs w:val="23"/>
        </w:rPr>
        <w:t xml:space="preserve"> that sports tribunals are the final arbiter on </w:t>
      </w:r>
      <w:r w:rsidR="002A63CB">
        <w:rPr>
          <w:sz w:val="23"/>
          <w:szCs w:val="23"/>
        </w:rPr>
        <w:t>anti-doping rule violations</w:t>
      </w:r>
      <w:r>
        <w:rPr>
          <w:sz w:val="23"/>
          <w:szCs w:val="23"/>
        </w:rPr>
        <w:t>; and</w:t>
      </w:r>
    </w:p>
    <w:p w:rsidR="0063445D" w:rsidRPr="0063445D" w:rsidRDefault="0063445D" w:rsidP="0063445D">
      <w:pPr>
        <w:pStyle w:val="ListParagraph"/>
        <w:rPr>
          <w:sz w:val="23"/>
          <w:szCs w:val="23"/>
        </w:rPr>
      </w:pPr>
    </w:p>
    <w:p w:rsidR="0063445D" w:rsidRPr="00877F28" w:rsidRDefault="00D31FDB" w:rsidP="00CE1284">
      <w:pPr>
        <w:pStyle w:val="ListParagraph"/>
        <w:numPr>
          <w:ilvl w:val="0"/>
          <w:numId w:val="3"/>
        </w:numPr>
        <w:tabs>
          <w:tab w:val="left" w:pos="1701"/>
          <w:tab w:val="right" w:pos="9072"/>
        </w:tabs>
        <w:spacing w:line="240" w:lineRule="exact"/>
        <w:ind w:left="567" w:right="91" w:hanging="567"/>
        <w:rPr>
          <w:sz w:val="23"/>
          <w:szCs w:val="23"/>
        </w:rPr>
      </w:pPr>
      <w:r>
        <w:rPr>
          <w:sz w:val="23"/>
          <w:szCs w:val="23"/>
        </w:rPr>
        <w:t xml:space="preserve">confirm </w:t>
      </w:r>
      <w:r w:rsidR="0063445D">
        <w:rPr>
          <w:sz w:val="23"/>
          <w:szCs w:val="23"/>
        </w:rPr>
        <w:t xml:space="preserve">the steps undertaken by the ASADA Chief Executive Officer if it is determined that a possible </w:t>
      </w:r>
      <w:proofErr w:type="spellStart"/>
      <w:r w:rsidR="0063445D">
        <w:rPr>
          <w:sz w:val="23"/>
          <w:szCs w:val="23"/>
        </w:rPr>
        <w:t>non</w:t>
      </w:r>
      <w:r w:rsidR="0063445D">
        <w:rPr>
          <w:sz w:val="23"/>
          <w:szCs w:val="23"/>
        </w:rPr>
        <w:noBreakHyphen/>
        <w:t>presence</w:t>
      </w:r>
      <w:proofErr w:type="spellEnd"/>
      <w:r w:rsidR="0063445D">
        <w:rPr>
          <w:sz w:val="23"/>
          <w:szCs w:val="23"/>
        </w:rPr>
        <w:t xml:space="preserve"> anti-doping rule violation warrants action.</w:t>
      </w:r>
    </w:p>
    <w:p w:rsidR="002C3210" w:rsidRPr="00DA7D9B" w:rsidRDefault="002C3210" w:rsidP="00DA7D9B">
      <w:pPr>
        <w:tabs>
          <w:tab w:val="left" w:pos="1701"/>
          <w:tab w:val="right" w:pos="9072"/>
        </w:tabs>
        <w:spacing w:line="240" w:lineRule="exact"/>
        <w:ind w:right="91"/>
        <w:rPr>
          <w:sz w:val="23"/>
          <w:szCs w:val="23"/>
        </w:rPr>
      </w:pPr>
    </w:p>
    <w:p w:rsidR="0025414B" w:rsidRPr="0025414B" w:rsidRDefault="00877F28" w:rsidP="00346399">
      <w:pPr>
        <w:pStyle w:val="Default"/>
        <w:rPr>
          <w:sz w:val="23"/>
          <w:szCs w:val="23"/>
        </w:rPr>
      </w:pPr>
      <w:r>
        <w:rPr>
          <w:sz w:val="23"/>
          <w:szCs w:val="23"/>
        </w:rPr>
        <w:t xml:space="preserve">In amending the </w:t>
      </w:r>
      <w:r w:rsidR="00D31FDB">
        <w:rPr>
          <w:sz w:val="23"/>
          <w:szCs w:val="23"/>
        </w:rPr>
        <w:t>Principal Regulations</w:t>
      </w:r>
      <w:r>
        <w:rPr>
          <w:sz w:val="23"/>
          <w:szCs w:val="23"/>
        </w:rPr>
        <w:t xml:space="preserve">, consultation has been undertaken with </w:t>
      </w:r>
      <w:r w:rsidR="007E567F">
        <w:rPr>
          <w:sz w:val="23"/>
          <w:szCs w:val="23"/>
        </w:rPr>
        <w:t>ASADA</w:t>
      </w:r>
      <w:r>
        <w:rPr>
          <w:sz w:val="23"/>
          <w:szCs w:val="23"/>
        </w:rPr>
        <w:t>.</w:t>
      </w:r>
    </w:p>
    <w:p w:rsidR="00346399" w:rsidRDefault="00346399" w:rsidP="00346399">
      <w:pPr>
        <w:pStyle w:val="Default"/>
        <w:rPr>
          <w:sz w:val="23"/>
          <w:szCs w:val="23"/>
        </w:rPr>
      </w:pPr>
    </w:p>
    <w:p w:rsidR="00346399" w:rsidRDefault="00346399" w:rsidP="00346399">
      <w:pPr>
        <w:pStyle w:val="Default"/>
        <w:rPr>
          <w:sz w:val="23"/>
          <w:szCs w:val="23"/>
        </w:rPr>
      </w:pPr>
      <w:r>
        <w:rPr>
          <w:sz w:val="23"/>
          <w:szCs w:val="23"/>
        </w:rPr>
        <w:t xml:space="preserve">Details of the </w:t>
      </w:r>
      <w:r w:rsidR="00E85491">
        <w:rPr>
          <w:sz w:val="23"/>
          <w:szCs w:val="23"/>
        </w:rPr>
        <w:t>r</w:t>
      </w:r>
      <w:r>
        <w:rPr>
          <w:sz w:val="23"/>
          <w:szCs w:val="23"/>
        </w:rPr>
        <w:t xml:space="preserve">egulation are set out in </w:t>
      </w:r>
      <w:r w:rsidRPr="00362176">
        <w:rPr>
          <w:sz w:val="23"/>
          <w:szCs w:val="23"/>
          <w:u w:val="single"/>
        </w:rPr>
        <w:t>Attachment A</w:t>
      </w:r>
      <w:r>
        <w:rPr>
          <w:sz w:val="23"/>
          <w:szCs w:val="23"/>
        </w:rPr>
        <w:t xml:space="preserve">. </w:t>
      </w:r>
    </w:p>
    <w:p w:rsidR="00362176" w:rsidRDefault="00362176" w:rsidP="00346399">
      <w:pPr>
        <w:pStyle w:val="Default"/>
        <w:rPr>
          <w:sz w:val="23"/>
          <w:szCs w:val="23"/>
        </w:rPr>
      </w:pPr>
    </w:p>
    <w:p w:rsidR="00346399" w:rsidRDefault="00346399" w:rsidP="00346399">
      <w:pPr>
        <w:pStyle w:val="Default"/>
        <w:rPr>
          <w:sz w:val="23"/>
          <w:szCs w:val="23"/>
        </w:rPr>
      </w:pPr>
      <w:r>
        <w:rPr>
          <w:sz w:val="23"/>
          <w:szCs w:val="23"/>
        </w:rPr>
        <w:t xml:space="preserve">A statement of </w:t>
      </w:r>
      <w:r w:rsidR="00D31FDB">
        <w:rPr>
          <w:sz w:val="23"/>
          <w:szCs w:val="23"/>
        </w:rPr>
        <w:t xml:space="preserve">this </w:t>
      </w:r>
      <w:r w:rsidR="00E85491">
        <w:rPr>
          <w:sz w:val="23"/>
          <w:szCs w:val="23"/>
        </w:rPr>
        <w:t>r</w:t>
      </w:r>
      <w:r>
        <w:rPr>
          <w:sz w:val="23"/>
          <w:szCs w:val="23"/>
        </w:rPr>
        <w:t xml:space="preserve">egulation’s compatibility with human rights is set out in </w:t>
      </w:r>
      <w:r w:rsidR="002C3210">
        <w:rPr>
          <w:sz w:val="23"/>
          <w:szCs w:val="23"/>
          <w:u w:val="single"/>
        </w:rPr>
        <w:t>Attachment </w:t>
      </w:r>
      <w:r w:rsidRPr="005507EF">
        <w:rPr>
          <w:sz w:val="23"/>
          <w:szCs w:val="23"/>
          <w:u w:val="single"/>
        </w:rPr>
        <w:t>B</w:t>
      </w:r>
      <w:r>
        <w:rPr>
          <w:sz w:val="23"/>
          <w:szCs w:val="23"/>
        </w:rPr>
        <w:t xml:space="preserve">. </w:t>
      </w:r>
    </w:p>
    <w:p w:rsidR="005507EF" w:rsidRDefault="005507EF" w:rsidP="00346399">
      <w:pPr>
        <w:pStyle w:val="Default"/>
        <w:rPr>
          <w:sz w:val="23"/>
          <w:szCs w:val="23"/>
        </w:rPr>
      </w:pPr>
    </w:p>
    <w:p w:rsidR="00B63590" w:rsidRDefault="00346399" w:rsidP="00346399">
      <w:pPr>
        <w:pStyle w:val="Default"/>
        <w:rPr>
          <w:sz w:val="23"/>
          <w:szCs w:val="23"/>
        </w:rPr>
      </w:pPr>
      <w:r>
        <w:rPr>
          <w:sz w:val="23"/>
          <w:szCs w:val="23"/>
        </w:rPr>
        <w:t xml:space="preserve">This </w:t>
      </w:r>
      <w:r w:rsidR="00E85491">
        <w:rPr>
          <w:sz w:val="23"/>
          <w:szCs w:val="23"/>
        </w:rPr>
        <w:t>r</w:t>
      </w:r>
      <w:r>
        <w:rPr>
          <w:sz w:val="23"/>
          <w:szCs w:val="23"/>
        </w:rPr>
        <w:t xml:space="preserve">egulation would be a legislative instrument for the purposes of the </w:t>
      </w:r>
      <w:r>
        <w:rPr>
          <w:i/>
          <w:iCs/>
          <w:sz w:val="23"/>
          <w:szCs w:val="23"/>
        </w:rPr>
        <w:t>Legislative Instruments Act 2003</w:t>
      </w:r>
      <w:r>
        <w:rPr>
          <w:sz w:val="23"/>
          <w:szCs w:val="23"/>
        </w:rPr>
        <w:t xml:space="preserve">. </w:t>
      </w:r>
    </w:p>
    <w:p w:rsidR="00B63590" w:rsidRDefault="00B63590" w:rsidP="00346399">
      <w:pPr>
        <w:pStyle w:val="Default"/>
        <w:rPr>
          <w:sz w:val="23"/>
          <w:szCs w:val="23"/>
        </w:rPr>
      </w:pPr>
    </w:p>
    <w:p w:rsidR="00346399" w:rsidRPr="00B63590" w:rsidRDefault="00B63590" w:rsidP="00346399">
      <w:pPr>
        <w:pStyle w:val="Default"/>
        <w:rPr>
          <w:sz w:val="23"/>
          <w:szCs w:val="23"/>
        </w:rPr>
      </w:pPr>
      <w:r>
        <w:rPr>
          <w:sz w:val="23"/>
          <w:szCs w:val="23"/>
        </w:rPr>
        <w:t>The Regulation commence</w:t>
      </w:r>
      <w:r w:rsidR="00CF60EF">
        <w:rPr>
          <w:sz w:val="23"/>
          <w:szCs w:val="23"/>
        </w:rPr>
        <w:t>s</w:t>
      </w:r>
      <w:r>
        <w:rPr>
          <w:sz w:val="23"/>
          <w:szCs w:val="23"/>
        </w:rPr>
        <w:t xml:space="preserve"> </w:t>
      </w:r>
      <w:r w:rsidR="00CC7D8D">
        <w:rPr>
          <w:sz w:val="23"/>
          <w:szCs w:val="23"/>
        </w:rPr>
        <w:t xml:space="preserve">on the day </w:t>
      </w:r>
      <w:r w:rsidR="007E567F">
        <w:rPr>
          <w:sz w:val="23"/>
          <w:szCs w:val="23"/>
        </w:rPr>
        <w:t xml:space="preserve">after </w:t>
      </w:r>
      <w:r w:rsidR="002C2CDE">
        <w:rPr>
          <w:sz w:val="23"/>
          <w:szCs w:val="23"/>
        </w:rPr>
        <w:t>it is</w:t>
      </w:r>
      <w:r w:rsidR="00CC7D8D">
        <w:rPr>
          <w:sz w:val="23"/>
          <w:szCs w:val="23"/>
        </w:rPr>
        <w:t xml:space="preserve"> registered</w:t>
      </w:r>
      <w:r w:rsidR="00CF60EF">
        <w:rPr>
          <w:sz w:val="23"/>
          <w:szCs w:val="23"/>
        </w:rPr>
        <w:t xml:space="preserve"> on the Federal Register of Legislative Instruments</w:t>
      </w:r>
      <w:r>
        <w:rPr>
          <w:sz w:val="23"/>
          <w:szCs w:val="23"/>
        </w:rPr>
        <w:t>.</w:t>
      </w:r>
    </w:p>
    <w:p w:rsidR="00346399" w:rsidRDefault="00346399" w:rsidP="00B63590">
      <w:pPr>
        <w:pStyle w:val="Default"/>
        <w:pageBreakBefore/>
        <w:jc w:val="right"/>
        <w:rPr>
          <w:b/>
          <w:bCs/>
          <w:color w:val="auto"/>
          <w:sz w:val="23"/>
          <w:szCs w:val="23"/>
        </w:rPr>
      </w:pPr>
      <w:r>
        <w:rPr>
          <w:b/>
          <w:bCs/>
          <w:color w:val="auto"/>
          <w:sz w:val="23"/>
          <w:szCs w:val="23"/>
        </w:rPr>
        <w:lastRenderedPageBreak/>
        <w:t xml:space="preserve">ATTACHMENT A </w:t>
      </w:r>
    </w:p>
    <w:p w:rsidR="00B63590" w:rsidRPr="006B12F3" w:rsidRDefault="00B63590" w:rsidP="00346399">
      <w:pPr>
        <w:pStyle w:val="Default"/>
        <w:rPr>
          <w:color w:val="auto"/>
          <w:u w:val="single"/>
        </w:rPr>
      </w:pPr>
    </w:p>
    <w:p w:rsidR="002A4F8C" w:rsidRPr="002A4F8C" w:rsidRDefault="00346399" w:rsidP="002A4F8C">
      <w:pPr>
        <w:pStyle w:val="Default"/>
        <w:rPr>
          <w:b/>
          <w:i/>
          <w:iCs/>
          <w:sz w:val="23"/>
          <w:szCs w:val="23"/>
          <w:u w:val="single"/>
        </w:rPr>
      </w:pPr>
      <w:r w:rsidRPr="002A4F8C">
        <w:rPr>
          <w:b/>
          <w:bCs/>
          <w:color w:val="auto"/>
          <w:u w:val="single"/>
        </w:rPr>
        <w:t xml:space="preserve">Details of the </w:t>
      </w:r>
      <w:r w:rsidR="002A4F8C" w:rsidRPr="002A4F8C">
        <w:rPr>
          <w:b/>
          <w:i/>
          <w:u w:val="single"/>
        </w:rPr>
        <w:t xml:space="preserve">Australian Sports Anti-Doping Authority Regulation </w:t>
      </w:r>
      <w:r w:rsidR="002A4F8C" w:rsidRPr="002A4F8C">
        <w:rPr>
          <w:b/>
          <w:i/>
          <w:iCs/>
          <w:sz w:val="23"/>
          <w:szCs w:val="23"/>
          <w:u w:val="single"/>
        </w:rPr>
        <w:t xml:space="preserve"> </w:t>
      </w:r>
    </w:p>
    <w:p w:rsidR="00346399" w:rsidRPr="002A4F8C" w:rsidRDefault="00346399" w:rsidP="00346399">
      <w:pPr>
        <w:pStyle w:val="Default"/>
        <w:rPr>
          <w:b/>
          <w:bCs/>
          <w:i/>
          <w:iCs/>
          <w:color w:val="auto"/>
          <w:u w:val="single"/>
        </w:rPr>
      </w:pPr>
      <w:r w:rsidRPr="002A4F8C">
        <w:rPr>
          <w:b/>
          <w:bCs/>
          <w:i/>
          <w:iCs/>
          <w:color w:val="auto"/>
          <w:u w:val="single"/>
        </w:rPr>
        <w:t xml:space="preserve"> 2012 (No.</w:t>
      </w:r>
      <w:r w:rsidR="00A52133">
        <w:rPr>
          <w:b/>
          <w:bCs/>
          <w:i/>
          <w:iCs/>
          <w:color w:val="auto"/>
          <w:u w:val="single"/>
        </w:rPr>
        <w:t xml:space="preserve"> </w:t>
      </w:r>
      <w:r w:rsidR="006728B2">
        <w:rPr>
          <w:b/>
          <w:bCs/>
          <w:i/>
          <w:iCs/>
          <w:color w:val="auto"/>
          <w:u w:val="single"/>
        </w:rPr>
        <w:t>1</w:t>
      </w:r>
      <w:r w:rsidRPr="002A4F8C">
        <w:rPr>
          <w:b/>
          <w:bCs/>
          <w:i/>
          <w:iCs/>
          <w:color w:val="auto"/>
          <w:u w:val="single"/>
        </w:rPr>
        <w:t xml:space="preserve">) </w:t>
      </w:r>
    </w:p>
    <w:p w:rsidR="00346399" w:rsidRPr="006B12F3" w:rsidRDefault="00346399" w:rsidP="00346399">
      <w:pPr>
        <w:pStyle w:val="Default"/>
        <w:rPr>
          <w:color w:val="auto"/>
          <w:u w:val="single"/>
        </w:rPr>
      </w:pPr>
    </w:p>
    <w:p w:rsidR="003B034F" w:rsidRPr="006B12F3" w:rsidRDefault="008174DA" w:rsidP="00EA69DE">
      <w:pPr>
        <w:spacing w:after="200" w:line="276" w:lineRule="auto"/>
      </w:pPr>
      <w:r>
        <w:rPr>
          <w:u w:val="single"/>
        </w:rPr>
        <w:t xml:space="preserve">Section 1 </w:t>
      </w:r>
      <w:r w:rsidR="003B034F" w:rsidRPr="006B12F3">
        <w:rPr>
          <w:u w:val="single"/>
        </w:rPr>
        <w:t>– Name of Regulation</w:t>
      </w:r>
      <w:r w:rsidR="003B034F" w:rsidRPr="006B12F3">
        <w:t xml:space="preserve"> </w:t>
      </w:r>
    </w:p>
    <w:p w:rsidR="00EA69DE" w:rsidRPr="006B12F3" w:rsidRDefault="00EA69DE" w:rsidP="00EA69DE">
      <w:pPr>
        <w:pStyle w:val="Heading1"/>
        <w:jc w:val="left"/>
        <w:rPr>
          <w:b w:val="0"/>
          <w:color w:val="000000"/>
          <w:szCs w:val="24"/>
          <w:u w:val="none"/>
        </w:rPr>
      </w:pPr>
      <w:r w:rsidRPr="006B12F3">
        <w:rPr>
          <w:b w:val="0"/>
          <w:color w:val="000000"/>
          <w:szCs w:val="24"/>
          <w:u w:val="none"/>
        </w:rPr>
        <w:t>This regulation provide</w:t>
      </w:r>
      <w:r w:rsidR="008174DA">
        <w:rPr>
          <w:b w:val="0"/>
          <w:color w:val="000000"/>
          <w:szCs w:val="24"/>
          <w:u w:val="none"/>
        </w:rPr>
        <w:t>s</w:t>
      </w:r>
      <w:r w:rsidRPr="006B12F3">
        <w:rPr>
          <w:b w:val="0"/>
          <w:color w:val="000000"/>
          <w:szCs w:val="24"/>
          <w:u w:val="none"/>
        </w:rPr>
        <w:t xml:space="preserve"> for the amend</w:t>
      </w:r>
      <w:r w:rsidR="00CF60EF">
        <w:rPr>
          <w:b w:val="0"/>
          <w:color w:val="000000"/>
          <w:szCs w:val="24"/>
          <w:u w:val="none"/>
        </w:rPr>
        <w:t>ing</w:t>
      </w:r>
      <w:r w:rsidRPr="006B12F3">
        <w:rPr>
          <w:b w:val="0"/>
          <w:color w:val="000000"/>
          <w:szCs w:val="24"/>
          <w:u w:val="none"/>
        </w:rPr>
        <w:t xml:space="preserve"> Regulations to be referred to as the</w:t>
      </w:r>
      <w:r w:rsidRPr="00305CCE">
        <w:rPr>
          <w:b w:val="0"/>
          <w:color w:val="000000"/>
          <w:szCs w:val="24"/>
          <w:u w:val="none"/>
        </w:rPr>
        <w:t xml:space="preserve"> </w:t>
      </w:r>
      <w:r w:rsidRPr="00C009C6">
        <w:rPr>
          <w:b w:val="0"/>
          <w:i/>
          <w:color w:val="000000"/>
          <w:szCs w:val="24"/>
          <w:u w:val="none"/>
        </w:rPr>
        <w:t>Australian Sports Anti-Doping Authority Amendment Regulation 2012</w:t>
      </w:r>
      <w:r w:rsidR="00C009C6">
        <w:rPr>
          <w:b w:val="0"/>
          <w:i/>
          <w:color w:val="000000"/>
          <w:szCs w:val="24"/>
          <w:u w:val="none"/>
        </w:rPr>
        <w:t xml:space="preserve"> (No</w:t>
      </w:r>
      <w:r w:rsidR="006728B2">
        <w:rPr>
          <w:b w:val="0"/>
          <w:i/>
          <w:color w:val="000000"/>
          <w:szCs w:val="24"/>
          <w:u w:val="none"/>
        </w:rPr>
        <w:t>. 1</w:t>
      </w:r>
      <w:r w:rsidR="00C009C6">
        <w:rPr>
          <w:b w:val="0"/>
          <w:i/>
          <w:color w:val="000000"/>
          <w:szCs w:val="24"/>
          <w:u w:val="none"/>
        </w:rPr>
        <w:t>)</w:t>
      </w:r>
      <w:r w:rsidRPr="006B12F3">
        <w:rPr>
          <w:b w:val="0"/>
          <w:color w:val="000000"/>
          <w:szCs w:val="24"/>
          <w:u w:val="none"/>
        </w:rPr>
        <w:t>.</w:t>
      </w:r>
    </w:p>
    <w:p w:rsidR="006E5060" w:rsidRPr="006B12F3" w:rsidRDefault="008174DA" w:rsidP="002A4F8C">
      <w:pPr>
        <w:spacing w:before="200" w:after="200" w:line="276" w:lineRule="auto"/>
        <w:rPr>
          <w:b/>
          <w:bCs/>
          <w:u w:val="single"/>
        </w:rPr>
      </w:pPr>
      <w:r>
        <w:rPr>
          <w:u w:val="single"/>
        </w:rPr>
        <w:t xml:space="preserve">Section 2 </w:t>
      </w:r>
      <w:r w:rsidR="006E5060" w:rsidRPr="006B12F3">
        <w:rPr>
          <w:u w:val="single"/>
        </w:rPr>
        <w:t xml:space="preserve">– Commencement </w:t>
      </w:r>
    </w:p>
    <w:p w:rsidR="00EA69DE" w:rsidRPr="00305CCE" w:rsidRDefault="00EA69DE" w:rsidP="00305CCE">
      <w:pPr>
        <w:spacing w:after="200"/>
        <w:rPr>
          <w:color w:val="000000"/>
        </w:rPr>
      </w:pPr>
      <w:r w:rsidRPr="00305CCE">
        <w:rPr>
          <w:color w:val="000000"/>
        </w:rPr>
        <w:t>This regulation provide</w:t>
      </w:r>
      <w:r w:rsidR="008174DA" w:rsidRPr="00305CCE">
        <w:rPr>
          <w:color w:val="000000"/>
        </w:rPr>
        <w:t>s</w:t>
      </w:r>
      <w:r w:rsidRPr="00305CCE">
        <w:rPr>
          <w:color w:val="000000"/>
        </w:rPr>
        <w:t xml:space="preserve"> for the amend</w:t>
      </w:r>
      <w:r w:rsidR="00CF60EF">
        <w:rPr>
          <w:color w:val="000000"/>
        </w:rPr>
        <w:t>ing</w:t>
      </w:r>
      <w:r w:rsidRPr="00305CCE">
        <w:rPr>
          <w:color w:val="000000"/>
        </w:rPr>
        <w:t xml:space="preserve"> Regulations to commence on </w:t>
      </w:r>
      <w:r w:rsidR="002C2CDE" w:rsidRPr="00305CCE">
        <w:rPr>
          <w:color w:val="000000"/>
        </w:rPr>
        <w:t>the day after it is registered</w:t>
      </w:r>
      <w:r w:rsidRPr="00305CCE">
        <w:rPr>
          <w:color w:val="000000"/>
        </w:rPr>
        <w:t>.</w:t>
      </w:r>
    </w:p>
    <w:p w:rsidR="00EA69DE" w:rsidRPr="006B12F3" w:rsidRDefault="008174DA">
      <w:pPr>
        <w:spacing w:after="200" w:line="276" w:lineRule="auto"/>
        <w:rPr>
          <w:u w:val="single"/>
        </w:rPr>
      </w:pPr>
      <w:r>
        <w:rPr>
          <w:u w:val="single"/>
        </w:rPr>
        <w:t>Section 3</w:t>
      </w:r>
      <w:r w:rsidR="006B12F3" w:rsidRPr="006B12F3">
        <w:rPr>
          <w:u w:val="single"/>
        </w:rPr>
        <w:t xml:space="preserve"> </w:t>
      </w:r>
      <w:r w:rsidRPr="006B12F3">
        <w:rPr>
          <w:u w:val="single"/>
        </w:rPr>
        <w:t>–</w:t>
      </w:r>
      <w:r w:rsidR="006B12F3" w:rsidRPr="006B12F3">
        <w:rPr>
          <w:u w:val="single"/>
        </w:rPr>
        <w:t xml:space="preserve"> Amendment of</w:t>
      </w:r>
      <w:r>
        <w:rPr>
          <w:u w:val="single"/>
        </w:rPr>
        <w:t xml:space="preserve"> </w:t>
      </w:r>
      <w:r w:rsidR="006B12F3" w:rsidRPr="006B12F3">
        <w:rPr>
          <w:i/>
          <w:u w:val="single"/>
        </w:rPr>
        <w:t>Australian Sports Anti-Doping Authority Regulations 2006</w:t>
      </w:r>
    </w:p>
    <w:p w:rsidR="00EA69DE" w:rsidRPr="00305CCE" w:rsidRDefault="00EA69DE" w:rsidP="00305CCE">
      <w:pPr>
        <w:spacing w:after="200"/>
        <w:rPr>
          <w:color w:val="000000"/>
        </w:rPr>
      </w:pPr>
      <w:r w:rsidRPr="00305CCE">
        <w:rPr>
          <w:color w:val="000000"/>
        </w:rPr>
        <w:t>This regulation provide</w:t>
      </w:r>
      <w:r w:rsidR="008174DA" w:rsidRPr="00305CCE">
        <w:rPr>
          <w:color w:val="000000"/>
        </w:rPr>
        <w:t>s</w:t>
      </w:r>
      <w:r w:rsidRPr="00305CCE">
        <w:rPr>
          <w:color w:val="000000"/>
        </w:rPr>
        <w:t xml:space="preserve"> for Schedule 1 to amend the </w:t>
      </w:r>
      <w:r w:rsidRPr="00BC0F42">
        <w:rPr>
          <w:i/>
          <w:color w:val="000000"/>
        </w:rPr>
        <w:t xml:space="preserve">Australian Sports </w:t>
      </w:r>
      <w:proofErr w:type="spellStart"/>
      <w:r w:rsidRPr="00BC0F42">
        <w:rPr>
          <w:i/>
          <w:color w:val="000000"/>
        </w:rPr>
        <w:t>Anti</w:t>
      </w:r>
      <w:r w:rsidR="002C2CDE" w:rsidRPr="00BC0F42">
        <w:rPr>
          <w:i/>
          <w:color w:val="000000"/>
        </w:rPr>
        <w:noBreakHyphen/>
      </w:r>
      <w:r w:rsidRPr="00BC0F42">
        <w:rPr>
          <w:i/>
          <w:color w:val="000000"/>
        </w:rPr>
        <w:t>Doping</w:t>
      </w:r>
      <w:proofErr w:type="spellEnd"/>
      <w:r w:rsidRPr="00BC0F42">
        <w:rPr>
          <w:i/>
          <w:color w:val="000000"/>
        </w:rPr>
        <w:t xml:space="preserve"> Authority Act Regulations 2006</w:t>
      </w:r>
      <w:r w:rsidRPr="00305CCE">
        <w:rPr>
          <w:color w:val="000000"/>
        </w:rPr>
        <w:t>.</w:t>
      </w:r>
    </w:p>
    <w:p w:rsidR="00EA69DE" w:rsidRPr="006B12F3" w:rsidRDefault="00EA69DE" w:rsidP="00EA69DE">
      <w:pPr>
        <w:spacing w:line="276" w:lineRule="auto"/>
        <w:rPr>
          <w:b/>
        </w:rPr>
      </w:pPr>
      <w:r w:rsidRPr="006B12F3">
        <w:rPr>
          <w:b/>
        </w:rPr>
        <w:t xml:space="preserve">Schedule 1 </w:t>
      </w:r>
      <w:r w:rsidR="006B12F3" w:rsidRPr="006B12F3">
        <w:rPr>
          <w:b/>
        </w:rPr>
        <w:t>–</w:t>
      </w:r>
      <w:r w:rsidRPr="006B12F3">
        <w:rPr>
          <w:b/>
        </w:rPr>
        <w:t xml:space="preserve"> Amendments</w:t>
      </w:r>
    </w:p>
    <w:p w:rsidR="006B12F3" w:rsidRPr="006B12F3" w:rsidRDefault="006B12F3" w:rsidP="00EA69DE">
      <w:pPr>
        <w:spacing w:line="276" w:lineRule="auto"/>
        <w:rPr>
          <w:b/>
        </w:rPr>
      </w:pPr>
    </w:p>
    <w:p w:rsidR="006B12F3" w:rsidRDefault="00751F24" w:rsidP="006B12F3">
      <w:pPr>
        <w:spacing w:after="200" w:line="276" w:lineRule="auto"/>
        <w:rPr>
          <w:u w:val="single"/>
        </w:rPr>
      </w:pPr>
      <w:r>
        <w:rPr>
          <w:u w:val="single"/>
        </w:rPr>
        <w:t xml:space="preserve">Item </w:t>
      </w:r>
      <w:r w:rsidR="008174DA">
        <w:rPr>
          <w:u w:val="single"/>
        </w:rPr>
        <w:t>[</w:t>
      </w:r>
      <w:r>
        <w:rPr>
          <w:u w:val="single"/>
        </w:rPr>
        <w:t>1</w:t>
      </w:r>
      <w:r w:rsidR="008174DA">
        <w:rPr>
          <w:u w:val="single"/>
        </w:rPr>
        <w:t>] – Schedule 1, clause 1.03</w:t>
      </w:r>
    </w:p>
    <w:p w:rsidR="00717858" w:rsidRPr="00305CCE" w:rsidRDefault="006B12F3" w:rsidP="00305CCE">
      <w:pPr>
        <w:spacing w:after="200"/>
        <w:rPr>
          <w:color w:val="000000"/>
        </w:rPr>
      </w:pPr>
      <w:r w:rsidRPr="00305CCE">
        <w:rPr>
          <w:color w:val="000000"/>
        </w:rPr>
        <w:t xml:space="preserve">This regulation </w:t>
      </w:r>
      <w:r w:rsidR="008D1FCF" w:rsidRPr="00305CCE">
        <w:rPr>
          <w:color w:val="000000"/>
        </w:rPr>
        <w:t xml:space="preserve">amends clause 1.03 to explicitly set out the functions of the </w:t>
      </w:r>
      <w:proofErr w:type="spellStart"/>
      <w:r w:rsidR="00D31FDB">
        <w:rPr>
          <w:color w:val="000000"/>
        </w:rPr>
        <w:t>Anti</w:t>
      </w:r>
      <w:r w:rsidR="00C009C6">
        <w:rPr>
          <w:color w:val="000000"/>
        </w:rPr>
        <w:noBreakHyphen/>
      </w:r>
      <w:r w:rsidR="00D31FDB">
        <w:rPr>
          <w:color w:val="000000"/>
        </w:rPr>
        <w:t>Doping</w:t>
      </w:r>
      <w:proofErr w:type="spellEnd"/>
      <w:r w:rsidR="00D31FDB">
        <w:rPr>
          <w:color w:val="000000"/>
        </w:rPr>
        <w:t xml:space="preserve"> Rule Violation </w:t>
      </w:r>
      <w:r w:rsidR="008D1FCF" w:rsidRPr="00305CCE">
        <w:rPr>
          <w:color w:val="000000"/>
        </w:rPr>
        <w:t>Panel</w:t>
      </w:r>
      <w:r w:rsidR="00D31FDB">
        <w:rPr>
          <w:color w:val="000000"/>
        </w:rPr>
        <w:t xml:space="preserve"> (the Panel) </w:t>
      </w:r>
      <w:r w:rsidR="008D1FCF" w:rsidRPr="00305CCE">
        <w:rPr>
          <w:color w:val="000000"/>
        </w:rPr>
        <w:t>under the N</w:t>
      </w:r>
      <w:r w:rsidR="00D31FDB">
        <w:rPr>
          <w:color w:val="000000"/>
        </w:rPr>
        <w:t xml:space="preserve">ational </w:t>
      </w:r>
      <w:r w:rsidR="008D1FCF" w:rsidRPr="00305CCE">
        <w:rPr>
          <w:color w:val="000000"/>
        </w:rPr>
        <w:t>A</w:t>
      </w:r>
      <w:r w:rsidR="00D31FDB">
        <w:rPr>
          <w:color w:val="000000"/>
        </w:rPr>
        <w:t>nti-</w:t>
      </w:r>
      <w:r w:rsidR="008D1FCF" w:rsidRPr="00305CCE">
        <w:rPr>
          <w:color w:val="000000"/>
        </w:rPr>
        <w:t>D</w:t>
      </w:r>
      <w:r w:rsidR="00D31FDB">
        <w:rPr>
          <w:color w:val="000000"/>
        </w:rPr>
        <w:t>oping (NAD)</w:t>
      </w:r>
      <w:r w:rsidR="008D1FCF" w:rsidRPr="00305CCE">
        <w:rPr>
          <w:color w:val="000000"/>
        </w:rPr>
        <w:t xml:space="preserve"> scheme.</w:t>
      </w:r>
      <w:r w:rsidR="00F3105A" w:rsidRPr="00305CCE">
        <w:rPr>
          <w:color w:val="000000"/>
        </w:rPr>
        <w:t xml:space="preserve">  </w:t>
      </w:r>
      <w:r w:rsidR="00717858" w:rsidRPr="00305CCE">
        <w:rPr>
          <w:color w:val="000000"/>
        </w:rPr>
        <w:t>T</w:t>
      </w:r>
      <w:r w:rsidR="00F3105A" w:rsidRPr="00305CCE">
        <w:rPr>
          <w:color w:val="000000"/>
        </w:rPr>
        <w:t xml:space="preserve">he Panel considers information or material presented to it and </w:t>
      </w:r>
      <w:r w:rsidR="00717858" w:rsidRPr="00305CCE">
        <w:rPr>
          <w:color w:val="000000"/>
        </w:rPr>
        <w:t>make</w:t>
      </w:r>
      <w:r w:rsidR="00BC0F42">
        <w:rPr>
          <w:color w:val="000000"/>
        </w:rPr>
        <w:t>s</w:t>
      </w:r>
      <w:r w:rsidR="00717858" w:rsidRPr="00305CCE">
        <w:rPr>
          <w:color w:val="000000"/>
        </w:rPr>
        <w:t xml:space="preserve"> findings in relation to possible breaches of anti-doping rules (also known as </w:t>
      </w:r>
      <w:proofErr w:type="spellStart"/>
      <w:r w:rsidR="00717858" w:rsidRPr="00305CCE">
        <w:rPr>
          <w:color w:val="000000"/>
        </w:rPr>
        <w:t>anti</w:t>
      </w:r>
      <w:r w:rsidR="00C009C6">
        <w:rPr>
          <w:color w:val="000000"/>
        </w:rPr>
        <w:noBreakHyphen/>
      </w:r>
      <w:r w:rsidR="00717858" w:rsidRPr="00305CCE">
        <w:rPr>
          <w:color w:val="000000"/>
        </w:rPr>
        <w:t>doping</w:t>
      </w:r>
      <w:proofErr w:type="spellEnd"/>
      <w:r w:rsidR="00717858" w:rsidRPr="00305CCE">
        <w:rPr>
          <w:color w:val="000000"/>
        </w:rPr>
        <w:t xml:space="preserve"> rule violations).  This includes whether an </w:t>
      </w:r>
      <w:r w:rsidR="00F3105A" w:rsidRPr="00305CCE">
        <w:rPr>
          <w:color w:val="000000"/>
        </w:rPr>
        <w:t xml:space="preserve">adverse analytical finding (a positive test for prohibited substances) has occurred or </w:t>
      </w:r>
      <w:r w:rsidR="00BC0F42">
        <w:rPr>
          <w:color w:val="000000"/>
        </w:rPr>
        <w:t xml:space="preserve">whether </w:t>
      </w:r>
      <w:r w:rsidR="00F3105A" w:rsidRPr="00305CCE">
        <w:rPr>
          <w:color w:val="000000"/>
        </w:rPr>
        <w:t xml:space="preserve">it is possible that an athlete </w:t>
      </w:r>
      <w:r w:rsidR="00717858" w:rsidRPr="00305CCE">
        <w:rPr>
          <w:color w:val="000000"/>
        </w:rPr>
        <w:t xml:space="preserve">has committed a </w:t>
      </w:r>
      <w:proofErr w:type="spellStart"/>
      <w:r w:rsidR="00717858" w:rsidRPr="00305CCE">
        <w:rPr>
          <w:color w:val="000000"/>
        </w:rPr>
        <w:t>non</w:t>
      </w:r>
      <w:r w:rsidR="00717858" w:rsidRPr="00305CCE">
        <w:rPr>
          <w:color w:val="000000"/>
        </w:rPr>
        <w:noBreakHyphen/>
        <w:t>presence</w:t>
      </w:r>
      <w:proofErr w:type="spellEnd"/>
      <w:r w:rsidR="00717858" w:rsidRPr="00305CCE">
        <w:rPr>
          <w:color w:val="000000"/>
        </w:rPr>
        <w:t xml:space="preserve"> anti-doping rule violation.  The Panel also makes recommendations </w:t>
      </w:r>
      <w:r w:rsidR="00BC0F42">
        <w:rPr>
          <w:color w:val="000000"/>
        </w:rPr>
        <w:t>on</w:t>
      </w:r>
      <w:r w:rsidR="00717858" w:rsidRPr="00305CCE">
        <w:rPr>
          <w:color w:val="000000"/>
        </w:rPr>
        <w:t xml:space="preserve"> the consequences (sanctions) </w:t>
      </w:r>
      <w:r w:rsidR="00BC0F42">
        <w:rPr>
          <w:color w:val="000000"/>
        </w:rPr>
        <w:t xml:space="preserve">for such breaches of the </w:t>
      </w:r>
      <w:proofErr w:type="spellStart"/>
      <w:r w:rsidR="00BC0F42">
        <w:rPr>
          <w:color w:val="000000"/>
        </w:rPr>
        <w:t>anti</w:t>
      </w:r>
      <w:r w:rsidR="00BC0F42">
        <w:rPr>
          <w:color w:val="000000"/>
        </w:rPr>
        <w:noBreakHyphen/>
        <w:t>doping</w:t>
      </w:r>
      <w:proofErr w:type="spellEnd"/>
      <w:r w:rsidR="00BC0F42">
        <w:rPr>
          <w:color w:val="000000"/>
        </w:rPr>
        <w:t xml:space="preserve"> rules</w:t>
      </w:r>
      <w:r w:rsidR="00717858" w:rsidRPr="00305CCE">
        <w:rPr>
          <w:color w:val="000000"/>
        </w:rPr>
        <w:t xml:space="preserve">.  </w:t>
      </w:r>
    </w:p>
    <w:p w:rsidR="00717858" w:rsidRPr="00305CCE" w:rsidRDefault="00717858" w:rsidP="00305CCE">
      <w:pPr>
        <w:spacing w:after="200"/>
        <w:rPr>
          <w:color w:val="000000"/>
        </w:rPr>
      </w:pPr>
      <w:r w:rsidRPr="00305CCE">
        <w:rPr>
          <w:color w:val="000000"/>
        </w:rPr>
        <w:t xml:space="preserve">Importantly, the Panel is not </w:t>
      </w:r>
      <w:r w:rsidR="00BC0F42" w:rsidRPr="00305CCE">
        <w:rPr>
          <w:color w:val="000000"/>
        </w:rPr>
        <w:t xml:space="preserve">the final </w:t>
      </w:r>
      <w:r w:rsidR="00BC0F42">
        <w:rPr>
          <w:color w:val="000000"/>
        </w:rPr>
        <w:t xml:space="preserve">decision maker on whether </w:t>
      </w:r>
      <w:r w:rsidRPr="00305CCE">
        <w:rPr>
          <w:color w:val="000000"/>
        </w:rPr>
        <w:t xml:space="preserve">an actual </w:t>
      </w:r>
      <w:proofErr w:type="spellStart"/>
      <w:r w:rsidRPr="00305CCE">
        <w:rPr>
          <w:color w:val="000000"/>
        </w:rPr>
        <w:t>anti</w:t>
      </w:r>
      <w:r w:rsidR="00BC0F42">
        <w:rPr>
          <w:color w:val="000000"/>
        </w:rPr>
        <w:noBreakHyphen/>
      </w:r>
      <w:r w:rsidRPr="00305CCE">
        <w:rPr>
          <w:color w:val="000000"/>
        </w:rPr>
        <w:t>doping</w:t>
      </w:r>
      <w:proofErr w:type="spellEnd"/>
      <w:r w:rsidRPr="00305CCE">
        <w:rPr>
          <w:color w:val="000000"/>
        </w:rPr>
        <w:t xml:space="preserve"> rule violation has occurred </w:t>
      </w:r>
      <w:r w:rsidR="00BC0F42">
        <w:rPr>
          <w:color w:val="000000"/>
        </w:rPr>
        <w:t>or</w:t>
      </w:r>
      <w:r w:rsidRPr="00305CCE">
        <w:rPr>
          <w:color w:val="000000"/>
        </w:rPr>
        <w:t xml:space="preserve"> the sanctions (bans from sport) that should be imposed for doping offences. </w:t>
      </w:r>
    </w:p>
    <w:p w:rsidR="00AD6744" w:rsidRPr="00305CCE" w:rsidRDefault="00AD6744" w:rsidP="00305CCE">
      <w:pPr>
        <w:spacing w:after="200"/>
        <w:rPr>
          <w:color w:val="000000"/>
        </w:rPr>
      </w:pPr>
      <w:r w:rsidRPr="00305CCE">
        <w:rPr>
          <w:color w:val="000000"/>
        </w:rPr>
        <w:t xml:space="preserve">This regulation </w:t>
      </w:r>
      <w:r w:rsidR="00717858" w:rsidRPr="00305CCE">
        <w:rPr>
          <w:color w:val="000000"/>
        </w:rPr>
        <w:t>also</w:t>
      </w:r>
      <w:r w:rsidRPr="00305CCE">
        <w:rPr>
          <w:color w:val="000000"/>
        </w:rPr>
        <w:t xml:space="preserve"> </w:t>
      </w:r>
      <w:r w:rsidR="00717858" w:rsidRPr="00305CCE">
        <w:rPr>
          <w:color w:val="000000"/>
        </w:rPr>
        <w:t>makes it clear that</w:t>
      </w:r>
      <w:r w:rsidRPr="00305CCE">
        <w:rPr>
          <w:color w:val="000000"/>
        </w:rPr>
        <w:t xml:space="preserve"> the Panel is not a hearing body</w:t>
      </w:r>
      <w:r w:rsidR="00CF60EF">
        <w:rPr>
          <w:color w:val="000000"/>
        </w:rPr>
        <w:t xml:space="preserve"> within the meaning of Article 8 of the World Anti-Doping Code</w:t>
      </w:r>
      <w:r w:rsidRPr="00305CCE">
        <w:rPr>
          <w:color w:val="000000"/>
        </w:rPr>
        <w:t>.</w:t>
      </w:r>
    </w:p>
    <w:p w:rsidR="005015F6" w:rsidRDefault="00AD6744" w:rsidP="00305CCE">
      <w:pPr>
        <w:spacing w:after="200"/>
        <w:rPr>
          <w:color w:val="000000"/>
        </w:rPr>
      </w:pPr>
      <w:r w:rsidRPr="00AD6744">
        <w:rPr>
          <w:color w:val="000000"/>
        </w:rPr>
        <w:t xml:space="preserve">This </w:t>
      </w:r>
      <w:r>
        <w:rPr>
          <w:color w:val="000000"/>
        </w:rPr>
        <w:t>regulation provide</w:t>
      </w:r>
      <w:r w:rsidR="00717858">
        <w:rPr>
          <w:color w:val="000000"/>
        </w:rPr>
        <w:t>s</w:t>
      </w:r>
      <w:r>
        <w:rPr>
          <w:color w:val="000000"/>
        </w:rPr>
        <w:t xml:space="preserve"> that both </w:t>
      </w:r>
      <w:r w:rsidR="00717858">
        <w:rPr>
          <w:color w:val="000000"/>
        </w:rPr>
        <w:t xml:space="preserve">the </w:t>
      </w:r>
      <w:r>
        <w:rPr>
          <w:color w:val="000000"/>
        </w:rPr>
        <w:t>A</w:t>
      </w:r>
      <w:r w:rsidR="00D31FDB">
        <w:rPr>
          <w:color w:val="000000"/>
        </w:rPr>
        <w:t xml:space="preserve">ustralian </w:t>
      </w:r>
      <w:r>
        <w:rPr>
          <w:color w:val="000000"/>
        </w:rPr>
        <w:t>S</w:t>
      </w:r>
      <w:r w:rsidR="00D31FDB">
        <w:rPr>
          <w:color w:val="000000"/>
        </w:rPr>
        <w:t xml:space="preserve">ports </w:t>
      </w:r>
      <w:r>
        <w:rPr>
          <w:color w:val="000000"/>
        </w:rPr>
        <w:t>A</w:t>
      </w:r>
      <w:r w:rsidR="00D31FDB">
        <w:rPr>
          <w:color w:val="000000"/>
        </w:rPr>
        <w:t>nti-</w:t>
      </w:r>
      <w:r>
        <w:rPr>
          <w:color w:val="000000"/>
        </w:rPr>
        <w:t>D</w:t>
      </w:r>
      <w:r w:rsidR="00D31FDB">
        <w:rPr>
          <w:color w:val="000000"/>
        </w:rPr>
        <w:t xml:space="preserve">oping </w:t>
      </w:r>
      <w:r>
        <w:rPr>
          <w:color w:val="000000"/>
        </w:rPr>
        <w:t>A</w:t>
      </w:r>
      <w:r w:rsidR="00D31FDB">
        <w:rPr>
          <w:color w:val="000000"/>
        </w:rPr>
        <w:t>uthority (ASADA)</w:t>
      </w:r>
      <w:r w:rsidR="00717858">
        <w:rPr>
          <w:color w:val="000000"/>
        </w:rPr>
        <w:t xml:space="preserve"> Chief Executive Officer and the Panel must have regard to the </w:t>
      </w:r>
      <w:r>
        <w:rPr>
          <w:color w:val="000000"/>
        </w:rPr>
        <w:t xml:space="preserve">World </w:t>
      </w:r>
      <w:proofErr w:type="spellStart"/>
      <w:r>
        <w:rPr>
          <w:color w:val="000000"/>
        </w:rPr>
        <w:t>Anti</w:t>
      </w:r>
      <w:r w:rsidR="00C009C6">
        <w:rPr>
          <w:color w:val="000000"/>
        </w:rPr>
        <w:noBreakHyphen/>
      </w:r>
      <w:r>
        <w:rPr>
          <w:color w:val="000000"/>
        </w:rPr>
        <w:t>Doping</w:t>
      </w:r>
      <w:proofErr w:type="spellEnd"/>
      <w:r>
        <w:rPr>
          <w:color w:val="000000"/>
        </w:rPr>
        <w:t xml:space="preserve"> Code and other</w:t>
      </w:r>
      <w:r w:rsidR="00345AAA">
        <w:rPr>
          <w:color w:val="000000"/>
        </w:rPr>
        <w:t xml:space="preserve"> relevant</w:t>
      </w:r>
      <w:r>
        <w:rPr>
          <w:color w:val="000000"/>
        </w:rPr>
        <w:t xml:space="preserve"> international anti-doping instruments in </w:t>
      </w:r>
      <w:r w:rsidR="005015F6">
        <w:rPr>
          <w:color w:val="000000"/>
        </w:rPr>
        <w:t>exercising their powers</w:t>
      </w:r>
      <w:r w:rsidR="00345AAA">
        <w:rPr>
          <w:color w:val="000000"/>
        </w:rPr>
        <w:t xml:space="preserve"> under the NAD scheme</w:t>
      </w:r>
      <w:r w:rsidR="005015F6">
        <w:rPr>
          <w:color w:val="000000"/>
        </w:rPr>
        <w:t>.</w:t>
      </w:r>
      <w:r w:rsidR="00345AAA">
        <w:rPr>
          <w:color w:val="000000"/>
        </w:rPr>
        <w:t xml:space="preserve">  </w:t>
      </w:r>
      <w:r w:rsidR="005015F6" w:rsidRPr="005015F6">
        <w:rPr>
          <w:color w:val="000000"/>
        </w:rPr>
        <w:t xml:space="preserve">The </w:t>
      </w:r>
      <w:r w:rsidR="00345AAA">
        <w:rPr>
          <w:color w:val="000000"/>
        </w:rPr>
        <w:t xml:space="preserve">World </w:t>
      </w:r>
      <w:proofErr w:type="spellStart"/>
      <w:r w:rsidR="00345AAA">
        <w:rPr>
          <w:color w:val="000000"/>
        </w:rPr>
        <w:t>Anti</w:t>
      </w:r>
      <w:r w:rsidR="00345AAA">
        <w:rPr>
          <w:color w:val="000000"/>
        </w:rPr>
        <w:noBreakHyphen/>
        <w:t>Doping</w:t>
      </w:r>
      <w:proofErr w:type="spellEnd"/>
      <w:r w:rsidR="00345AAA">
        <w:rPr>
          <w:color w:val="000000"/>
        </w:rPr>
        <w:t xml:space="preserve"> </w:t>
      </w:r>
      <w:r w:rsidR="005015F6" w:rsidRPr="005015F6">
        <w:rPr>
          <w:color w:val="000000"/>
        </w:rPr>
        <w:t xml:space="preserve">Code provides the framework for harmonised </w:t>
      </w:r>
      <w:proofErr w:type="spellStart"/>
      <w:r w:rsidR="005015F6" w:rsidRPr="005015F6">
        <w:rPr>
          <w:color w:val="000000"/>
        </w:rPr>
        <w:t>anti</w:t>
      </w:r>
      <w:r w:rsidR="005015F6" w:rsidRPr="005015F6">
        <w:rPr>
          <w:color w:val="000000"/>
        </w:rPr>
        <w:noBreakHyphen/>
        <w:t>doping</w:t>
      </w:r>
      <w:proofErr w:type="spellEnd"/>
      <w:r w:rsidR="005015F6" w:rsidRPr="005015F6">
        <w:rPr>
          <w:color w:val="000000"/>
        </w:rPr>
        <w:t xml:space="preserve"> policies, rules and regulations </w:t>
      </w:r>
      <w:r w:rsidR="00345AAA">
        <w:rPr>
          <w:color w:val="000000"/>
        </w:rPr>
        <w:t>across the world</w:t>
      </w:r>
      <w:r w:rsidR="005015F6" w:rsidRPr="005015F6">
        <w:rPr>
          <w:color w:val="000000"/>
        </w:rPr>
        <w:t xml:space="preserve">.  </w:t>
      </w:r>
      <w:r w:rsidR="00345AAA">
        <w:rPr>
          <w:color w:val="000000"/>
        </w:rPr>
        <w:t xml:space="preserve">In ratifying the UNESCO International Convention Against Doping in Sport, the Australian Government committed to </w:t>
      </w:r>
      <w:r w:rsidR="00CF60EF">
        <w:rPr>
          <w:color w:val="000000"/>
        </w:rPr>
        <w:t>implement anti-doping arrangements consistent with the</w:t>
      </w:r>
      <w:r w:rsidR="00345AAA">
        <w:rPr>
          <w:color w:val="000000"/>
        </w:rPr>
        <w:t xml:space="preserve"> principles of the World </w:t>
      </w:r>
      <w:proofErr w:type="spellStart"/>
      <w:r w:rsidR="00345AAA">
        <w:rPr>
          <w:color w:val="000000"/>
        </w:rPr>
        <w:t>Anti</w:t>
      </w:r>
      <w:r w:rsidR="00345AAA">
        <w:rPr>
          <w:color w:val="000000"/>
        </w:rPr>
        <w:noBreakHyphen/>
        <w:t>Doping</w:t>
      </w:r>
      <w:proofErr w:type="spellEnd"/>
      <w:r w:rsidR="00345AAA">
        <w:rPr>
          <w:color w:val="000000"/>
        </w:rPr>
        <w:t xml:space="preserve"> </w:t>
      </w:r>
      <w:r w:rsidR="00345AAA" w:rsidRPr="005015F6">
        <w:rPr>
          <w:color w:val="000000"/>
        </w:rPr>
        <w:t>Code</w:t>
      </w:r>
      <w:r w:rsidR="00305CCE">
        <w:rPr>
          <w:color w:val="000000"/>
        </w:rPr>
        <w:t>.</w:t>
      </w:r>
    </w:p>
    <w:p w:rsidR="00305CCE" w:rsidRDefault="00305CCE" w:rsidP="00664DAD">
      <w:pPr>
        <w:spacing w:after="200" w:line="276" w:lineRule="auto"/>
        <w:rPr>
          <w:u w:val="single"/>
        </w:rPr>
      </w:pPr>
    </w:p>
    <w:p w:rsidR="00305CCE" w:rsidRDefault="00305CCE" w:rsidP="00664DAD">
      <w:pPr>
        <w:spacing w:after="200" w:line="276" w:lineRule="auto"/>
        <w:rPr>
          <w:u w:val="single"/>
        </w:rPr>
      </w:pPr>
    </w:p>
    <w:p w:rsidR="00664DAD" w:rsidRDefault="00664DAD" w:rsidP="00664DAD">
      <w:pPr>
        <w:spacing w:after="200" w:line="276" w:lineRule="auto"/>
        <w:rPr>
          <w:u w:val="single"/>
        </w:rPr>
      </w:pPr>
      <w:r>
        <w:rPr>
          <w:u w:val="single"/>
        </w:rPr>
        <w:t>Item [2] – Schedule 1, clause 1.05, definition of consequences</w:t>
      </w:r>
    </w:p>
    <w:p w:rsidR="005015F6" w:rsidRDefault="00345AAA" w:rsidP="006D56F6">
      <w:pPr>
        <w:spacing w:after="200"/>
        <w:rPr>
          <w:color w:val="000000"/>
        </w:rPr>
      </w:pPr>
      <w:r>
        <w:rPr>
          <w:color w:val="000000"/>
        </w:rPr>
        <w:t xml:space="preserve">This regulation removes </w:t>
      </w:r>
      <w:r w:rsidR="0064762A">
        <w:rPr>
          <w:color w:val="000000"/>
        </w:rPr>
        <w:t xml:space="preserve">definition of </w:t>
      </w:r>
      <w:r w:rsidR="005015F6" w:rsidRPr="00B96E3B">
        <w:rPr>
          <w:color w:val="000000"/>
        </w:rPr>
        <w:t xml:space="preserve">“consequences” </w:t>
      </w:r>
      <w:r>
        <w:rPr>
          <w:color w:val="000000"/>
        </w:rPr>
        <w:t xml:space="preserve">so as </w:t>
      </w:r>
      <w:r w:rsidRPr="00305CCE">
        <w:rPr>
          <w:color w:val="000000"/>
        </w:rPr>
        <w:t>to remove any notion that the Panel is the final arbiter on anti-doping rule violations</w:t>
      </w:r>
      <w:r w:rsidR="005015F6" w:rsidRPr="00B96E3B">
        <w:rPr>
          <w:color w:val="000000"/>
        </w:rPr>
        <w:t xml:space="preserve">. </w:t>
      </w:r>
    </w:p>
    <w:p w:rsidR="00664DAD" w:rsidRDefault="00664DAD" w:rsidP="00664DAD">
      <w:pPr>
        <w:spacing w:after="200" w:line="276" w:lineRule="auto"/>
        <w:rPr>
          <w:u w:val="single"/>
        </w:rPr>
      </w:pPr>
      <w:r>
        <w:rPr>
          <w:u w:val="single"/>
        </w:rPr>
        <w:t>Item [3] – Schedule 1, clause 1.05, definition of finding</w:t>
      </w:r>
    </w:p>
    <w:p w:rsidR="00664DAD" w:rsidRPr="00B96E3B" w:rsidRDefault="00345AAA" w:rsidP="006D56F6">
      <w:pPr>
        <w:spacing w:after="200"/>
        <w:rPr>
          <w:color w:val="000000"/>
        </w:rPr>
      </w:pPr>
      <w:r>
        <w:rPr>
          <w:color w:val="000000"/>
        </w:rPr>
        <w:t xml:space="preserve">This regulation </w:t>
      </w:r>
      <w:r w:rsidR="00CF60EF">
        <w:rPr>
          <w:color w:val="000000"/>
        </w:rPr>
        <w:t xml:space="preserve">inserts a signpost for the </w:t>
      </w:r>
      <w:r>
        <w:rPr>
          <w:color w:val="000000"/>
        </w:rPr>
        <w:t xml:space="preserve">new definition of </w:t>
      </w:r>
      <w:r w:rsidR="00CF60EF">
        <w:rPr>
          <w:color w:val="000000"/>
        </w:rPr>
        <w:t>“</w:t>
      </w:r>
      <w:r>
        <w:rPr>
          <w:color w:val="000000"/>
        </w:rPr>
        <w:t>finding</w:t>
      </w:r>
      <w:r w:rsidR="00CF60EF">
        <w:rPr>
          <w:color w:val="000000"/>
        </w:rPr>
        <w:t>” at clause 1.05A</w:t>
      </w:r>
      <w:r>
        <w:rPr>
          <w:color w:val="000000"/>
        </w:rPr>
        <w:t>.</w:t>
      </w:r>
    </w:p>
    <w:p w:rsidR="00664DAD" w:rsidRDefault="00664DAD" w:rsidP="00664DAD">
      <w:pPr>
        <w:spacing w:after="200" w:line="276" w:lineRule="auto"/>
        <w:rPr>
          <w:u w:val="single"/>
        </w:rPr>
      </w:pPr>
      <w:r>
        <w:rPr>
          <w:u w:val="single"/>
        </w:rPr>
        <w:t>Item [4] – Schedule 1, clause 1.05</w:t>
      </w:r>
    </w:p>
    <w:p w:rsidR="00305CCE" w:rsidRPr="00305CCE" w:rsidRDefault="00305CCE" w:rsidP="006D56F6">
      <w:pPr>
        <w:spacing w:after="200"/>
        <w:rPr>
          <w:color w:val="000000"/>
        </w:rPr>
      </w:pPr>
      <w:r w:rsidRPr="00305CCE">
        <w:rPr>
          <w:color w:val="000000"/>
        </w:rPr>
        <w:t xml:space="preserve">This regulation </w:t>
      </w:r>
      <w:r w:rsidR="00E85491">
        <w:rPr>
          <w:color w:val="000000"/>
        </w:rPr>
        <w:t>specifies the meaning of</w:t>
      </w:r>
      <w:r w:rsidRPr="00305CCE">
        <w:rPr>
          <w:color w:val="000000"/>
        </w:rPr>
        <w:t xml:space="preserve"> a </w:t>
      </w:r>
      <w:proofErr w:type="spellStart"/>
      <w:r w:rsidRPr="00305CCE">
        <w:rPr>
          <w:color w:val="000000"/>
        </w:rPr>
        <w:t>non</w:t>
      </w:r>
      <w:r w:rsidRPr="00305CCE">
        <w:rPr>
          <w:color w:val="000000"/>
        </w:rPr>
        <w:noBreakHyphen/>
        <w:t>presence</w:t>
      </w:r>
      <w:proofErr w:type="spellEnd"/>
      <w:r w:rsidRPr="00305CCE">
        <w:rPr>
          <w:color w:val="000000"/>
        </w:rPr>
        <w:t xml:space="preserve"> </w:t>
      </w:r>
      <w:proofErr w:type="spellStart"/>
      <w:r w:rsidRPr="00305CCE">
        <w:rPr>
          <w:color w:val="000000"/>
        </w:rPr>
        <w:t>anti</w:t>
      </w:r>
      <w:r w:rsidRPr="00305CCE">
        <w:rPr>
          <w:color w:val="000000"/>
        </w:rPr>
        <w:noBreakHyphen/>
        <w:t>doping</w:t>
      </w:r>
      <w:proofErr w:type="spellEnd"/>
      <w:r w:rsidRPr="00305CCE">
        <w:rPr>
          <w:color w:val="000000"/>
        </w:rPr>
        <w:t xml:space="preserve"> rule violation.  </w:t>
      </w:r>
      <w:r>
        <w:rPr>
          <w:color w:val="000000"/>
        </w:rPr>
        <w:t>A</w:t>
      </w:r>
      <w:r w:rsidRPr="00305CCE">
        <w:rPr>
          <w:color w:val="000000"/>
        </w:rPr>
        <w:t xml:space="preserve"> </w:t>
      </w:r>
      <w:proofErr w:type="spellStart"/>
      <w:r w:rsidRPr="00305CCE">
        <w:rPr>
          <w:color w:val="000000"/>
        </w:rPr>
        <w:t>non</w:t>
      </w:r>
      <w:r w:rsidRPr="00305CCE">
        <w:rPr>
          <w:color w:val="000000"/>
        </w:rPr>
        <w:noBreakHyphen/>
        <w:t>presence</w:t>
      </w:r>
      <w:proofErr w:type="spellEnd"/>
      <w:r w:rsidRPr="00305CCE">
        <w:rPr>
          <w:color w:val="000000"/>
        </w:rPr>
        <w:t xml:space="preserve"> </w:t>
      </w:r>
      <w:proofErr w:type="spellStart"/>
      <w:r w:rsidRPr="00305CCE">
        <w:rPr>
          <w:color w:val="000000"/>
        </w:rPr>
        <w:t>anti</w:t>
      </w:r>
      <w:r w:rsidRPr="00305CCE">
        <w:rPr>
          <w:color w:val="000000"/>
        </w:rPr>
        <w:noBreakHyphen/>
        <w:t>doping</w:t>
      </w:r>
      <w:proofErr w:type="spellEnd"/>
      <w:r w:rsidRPr="00305CCE">
        <w:rPr>
          <w:color w:val="000000"/>
        </w:rPr>
        <w:t xml:space="preserve"> rule violation refers to any of the seven </w:t>
      </w:r>
      <w:r>
        <w:rPr>
          <w:color w:val="000000"/>
        </w:rPr>
        <w:t>anti-doping rule violations</w:t>
      </w:r>
      <w:r w:rsidRPr="00305CCE">
        <w:rPr>
          <w:color w:val="000000"/>
        </w:rPr>
        <w:t xml:space="preserve"> specified under the World Anti-Doping Code</w:t>
      </w:r>
      <w:r>
        <w:rPr>
          <w:color w:val="000000"/>
        </w:rPr>
        <w:t>,</w:t>
      </w:r>
      <w:r w:rsidRPr="00305CCE">
        <w:rPr>
          <w:color w:val="000000"/>
        </w:rPr>
        <w:t xml:space="preserve"> and </w:t>
      </w:r>
      <w:r>
        <w:rPr>
          <w:color w:val="000000"/>
        </w:rPr>
        <w:t xml:space="preserve">replicated </w:t>
      </w:r>
      <w:r w:rsidRPr="00305CCE">
        <w:rPr>
          <w:color w:val="000000"/>
        </w:rPr>
        <w:t>in a sport’s anti-doping policy</w:t>
      </w:r>
      <w:r>
        <w:rPr>
          <w:color w:val="000000"/>
        </w:rPr>
        <w:t xml:space="preserve">, that are substantiated through </w:t>
      </w:r>
      <w:r w:rsidRPr="00305CCE">
        <w:rPr>
          <w:color w:val="000000"/>
        </w:rPr>
        <w:t>the collection of evidence or information</w:t>
      </w:r>
      <w:r w:rsidR="006D56F6">
        <w:rPr>
          <w:color w:val="000000"/>
        </w:rPr>
        <w:t xml:space="preserve"> other </w:t>
      </w:r>
      <w:r w:rsidRPr="00305CCE">
        <w:rPr>
          <w:color w:val="000000"/>
        </w:rPr>
        <w:t xml:space="preserve">than </w:t>
      </w:r>
      <w:r w:rsidR="00666329">
        <w:rPr>
          <w:color w:val="000000"/>
        </w:rPr>
        <w:t>through an adverse analytical finding (</w:t>
      </w:r>
      <w:r w:rsidR="006D56F6">
        <w:rPr>
          <w:color w:val="000000"/>
        </w:rPr>
        <w:t>failed</w:t>
      </w:r>
      <w:r w:rsidRPr="00305CCE">
        <w:rPr>
          <w:color w:val="000000"/>
        </w:rPr>
        <w:t xml:space="preserve"> test result</w:t>
      </w:r>
      <w:r w:rsidR="00666329">
        <w:rPr>
          <w:color w:val="000000"/>
        </w:rPr>
        <w:t>).  These violations are specified in clause 2.01</w:t>
      </w:r>
      <w:r w:rsidR="00CF60EF">
        <w:rPr>
          <w:color w:val="000000"/>
        </w:rPr>
        <w:t>(b)-(h)</w:t>
      </w:r>
      <w:r w:rsidR="00666329">
        <w:rPr>
          <w:color w:val="000000"/>
        </w:rPr>
        <w:t xml:space="preserve"> of the regulations.</w:t>
      </w:r>
    </w:p>
    <w:p w:rsidR="00664DAD" w:rsidRDefault="00664DAD" w:rsidP="00664DAD">
      <w:pPr>
        <w:spacing w:after="200" w:line="276" w:lineRule="auto"/>
        <w:rPr>
          <w:u w:val="single"/>
        </w:rPr>
      </w:pPr>
      <w:r>
        <w:rPr>
          <w:u w:val="single"/>
        </w:rPr>
        <w:t>Item [5] – Schedule 1, clause 1.05, notes</w:t>
      </w:r>
    </w:p>
    <w:p w:rsidR="00666329" w:rsidRDefault="006D56F6" w:rsidP="00666329">
      <w:pPr>
        <w:spacing w:after="200"/>
        <w:rPr>
          <w:color w:val="000000"/>
        </w:rPr>
      </w:pPr>
      <w:r w:rsidRPr="006D56F6">
        <w:rPr>
          <w:color w:val="000000"/>
        </w:rPr>
        <w:t xml:space="preserve">This regulation </w:t>
      </w:r>
      <w:r w:rsidR="00666329">
        <w:rPr>
          <w:color w:val="000000"/>
        </w:rPr>
        <w:t xml:space="preserve">provides an additional note to clause 1.05 reminding the readers of the existence of the </w:t>
      </w:r>
      <w:r w:rsidR="00666329" w:rsidRPr="00666329">
        <w:rPr>
          <w:i/>
        </w:rPr>
        <w:t>ASADA (Operations of laws and references) Determination 2009</w:t>
      </w:r>
      <w:r w:rsidR="00666329">
        <w:rPr>
          <w:color w:val="000000"/>
        </w:rPr>
        <w:t xml:space="preserve">.  This determination specifies that, for some clauses in the NAD scheme, the reference to ASADA should be treated as a reference to either the ASADA Chief Executive Officer or </w:t>
      </w:r>
      <w:r w:rsidR="00E85491">
        <w:rPr>
          <w:color w:val="000000"/>
        </w:rPr>
        <w:t xml:space="preserve">to </w:t>
      </w:r>
      <w:r w:rsidR="00666329">
        <w:rPr>
          <w:color w:val="000000"/>
        </w:rPr>
        <w:t xml:space="preserve">the Panel.  </w:t>
      </w:r>
    </w:p>
    <w:p w:rsidR="00664DAD" w:rsidRDefault="00664DAD" w:rsidP="00666329">
      <w:pPr>
        <w:spacing w:after="200"/>
        <w:rPr>
          <w:u w:val="single"/>
        </w:rPr>
      </w:pPr>
      <w:r>
        <w:rPr>
          <w:u w:val="single"/>
        </w:rPr>
        <w:t>Item [6] – Schedule 1, after clause 1.05</w:t>
      </w:r>
    </w:p>
    <w:p w:rsidR="002A4F8C" w:rsidRDefault="002A4F8C" w:rsidP="006D56F6">
      <w:pPr>
        <w:spacing w:after="200"/>
        <w:rPr>
          <w:color w:val="000000"/>
        </w:rPr>
      </w:pPr>
      <w:r w:rsidRPr="002A4F8C">
        <w:rPr>
          <w:color w:val="000000"/>
        </w:rPr>
        <w:t>Th</w:t>
      </w:r>
      <w:r w:rsidR="00CC7D8D">
        <w:rPr>
          <w:color w:val="000000"/>
        </w:rPr>
        <w:t>is</w:t>
      </w:r>
      <w:r>
        <w:rPr>
          <w:color w:val="000000"/>
        </w:rPr>
        <w:t xml:space="preserve"> regulation </w:t>
      </w:r>
      <w:r w:rsidR="006D56F6">
        <w:rPr>
          <w:color w:val="000000"/>
        </w:rPr>
        <w:t>clarifies the meaning of</w:t>
      </w:r>
      <w:r>
        <w:rPr>
          <w:color w:val="000000"/>
        </w:rPr>
        <w:t xml:space="preserve"> “finding”</w:t>
      </w:r>
      <w:r w:rsidR="006D56F6">
        <w:rPr>
          <w:color w:val="000000"/>
        </w:rPr>
        <w:t xml:space="preserve"> for the purposes of the NAD scheme</w:t>
      </w:r>
      <w:r>
        <w:rPr>
          <w:color w:val="000000"/>
        </w:rPr>
        <w:t xml:space="preserve">.  </w:t>
      </w:r>
      <w:r w:rsidR="00666329">
        <w:rPr>
          <w:color w:val="000000"/>
        </w:rPr>
        <w:t>The Panel can make</w:t>
      </w:r>
      <w:r>
        <w:rPr>
          <w:color w:val="000000"/>
        </w:rPr>
        <w:t xml:space="preserve"> a finding </w:t>
      </w:r>
      <w:r w:rsidR="00666329">
        <w:rPr>
          <w:color w:val="000000"/>
        </w:rPr>
        <w:t>in relation</w:t>
      </w:r>
      <w:r>
        <w:rPr>
          <w:color w:val="000000"/>
        </w:rPr>
        <w:t xml:space="preserve"> to</w:t>
      </w:r>
      <w:r w:rsidR="00666329">
        <w:rPr>
          <w:color w:val="000000"/>
        </w:rPr>
        <w:t xml:space="preserve"> an adverse analytical finding </w:t>
      </w:r>
      <w:r w:rsidR="00CF60EF">
        <w:rPr>
          <w:color w:val="000000"/>
        </w:rPr>
        <w:t xml:space="preserve">(a finding of a possible anti-doping rule violation for the Presence of a Prohibited Substance) or whether it is possible that an athlete or support person has committed a </w:t>
      </w:r>
      <w:proofErr w:type="spellStart"/>
      <w:r w:rsidR="00CF60EF">
        <w:rPr>
          <w:color w:val="000000"/>
        </w:rPr>
        <w:t>non</w:t>
      </w:r>
      <w:r w:rsidR="00CF60EF">
        <w:rPr>
          <w:color w:val="000000"/>
        </w:rPr>
        <w:noBreakHyphen/>
        <w:t>presence</w:t>
      </w:r>
      <w:proofErr w:type="spellEnd"/>
      <w:r w:rsidR="00CF60EF">
        <w:rPr>
          <w:color w:val="000000"/>
        </w:rPr>
        <w:t xml:space="preserve"> </w:t>
      </w:r>
      <w:proofErr w:type="spellStart"/>
      <w:r w:rsidR="00CF60EF">
        <w:rPr>
          <w:color w:val="000000"/>
        </w:rPr>
        <w:t>anti</w:t>
      </w:r>
      <w:r w:rsidR="00CF60EF">
        <w:rPr>
          <w:color w:val="000000"/>
        </w:rPr>
        <w:noBreakHyphen/>
        <w:t>doping</w:t>
      </w:r>
      <w:proofErr w:type="spellEnd"/>
      <w:r w:rsidR="00CF60EF">
        <w:rPr>
          <w:color w:val="000000"/>
        </w:rPr>
        <w:t xml:space="preserve"> rule violation</w:t>
      </w:r>
      <w:r>
        <w:rPr>
          <w:color w:val="000000"/>
        </w:rPr>
        <w:t>.</w:t>
      </w:r>
    </w:p>
    <w:p w:rsidR="005E4A43" w:rsidRPr="00664DAD" w:rsidRDefault="00664DAD" w:rsidP="005015F6">
      <w:pPr>
        <w:spacing w:after="200" w:line="276" w:lineRule="auto"/>
        <w:rPr>
          <w:u w:val="single"/>
        </w:rPr>
      </w:pPr>
      <w:r>
        <w:rPr>
          <w:u w:val="single"/>
        </w:rPr>
        <w:t xml:space="preserve">Item [7] – Schedule 1, paragraph </w:t>
      </w:r>
      <w:r w:rsidR="005E4A43">
        <w:rPr>
          <w:u w:val="single"/>
        </w:rPr>
        <w:t>2</w:t>
      </w:r>
      <w:r w:rsidR="005E4A43">
        <w:rPr>
          <w:color w:val="000000"/>
          <w:u w:val="single"/>
        </w:rPr>
        <w:t>.04 (m)</w:t>
      </w:r>
    </w:p>
    <w:p w:rsidR="00CC7D8D" w:rsidRDefault="005E4A43" w:rsidP="00253E6B">
      <w:pPr>
        <w:spacing w:after="200"/>
        <w:rPr>
          <w:sz w:val="28"/>
          <w:szCs w:val="28"/>
        </w:rPr>
      </w:pPr>
      <w:r w:rsidRPr="005E4A43">
        <w:rPr>
          <w:color w:val="000000"/>
        </w:rPr>
        <w:t>Th</w:t>
      </w:r>
      <w:r w:rsidR="00253E6B">
        <w:rPr>
          <w:color w:val="000000"/>
        </w:rPr>
        <w:t>is</w:t>
      </w:r>
      <w:r>
        <w:rPr>
          <w:color w:val="000000"/>
        </w:rPr>
        <w:t xml:space="preserve"> regulation </w:t>
      </w:r>
      <w:r w:rsidR="00CF60EF">
        <w:rPr>
          <w:color w:val="000000"/>
        </w:rPr>
        <w:t>re-affirms</w:t>
      </w:r>
      <w:r w:rsidR="00253E6B">
        <w:rPr>
          <w:color w:val="000000"/>
        </w:rPr>
        <w:t xml:space="preserve"> the role of Australia’s national sporting organisations as the final decision makers on anti-doping rule violations and the sanction</w:t>
      </w:r>
      <w:r w:rsidR="00DD3779">
        <w:rPr>
          <w:color w:val="000000"/>
        </w:rPr>
        <w:t>s</w:t>
      </w:r>
      <w:r w:rsidR="00253E6B">
        <w:rPr>
          <w:color w:val="000000"/>
        </w:rPr>
        <w:t xml:space="preserve"> that should be applied for </w:t>
      </w:r>
      <w:r w:rsidR="00DD3779">
        <w:rPr>
          <w:color w:val="000000"/>
        </w:rPr>
        <w:t>each</w:t>
      </w:r>
      <w:r w:rsidR="00253E6B">
        <w:rPr>
          <w:color w:val="000000"/>
        </w:rPr>
        <w:t xml:space="preserve"> violation.  Each sporting organisation is obliged to receive the findings of the Panel, act on these findings and enforce any sanctions imposed by a sporting tribunal</w:t>
      </w:r>
      <w:r w:rsidR="00CC7D8D" w:rsidRPr="00CC7D8D">
        <w:rPr>
          <w:color w:val="000000"/>
        </w:rPr>
        <w:t>.</w:t>
      </w:r>
      <w:r w:rsidR="00CC7D8D">
        <w:rPr>
          <w:sz w:val="28"/>
          <w:szCs w:val="28"/>
        </w:rPr>
        <w:t xml:space="preserve">  </w:t>
      </w:r>
    </w:p>
    <w:p w:rsidR="00664DAD" w:rsidRDefault="00664DAD" w:rsidP="00664DAD">
      <w:pPr>
        <w:spacing w:after="200" w:line="276" w:lineRule="auto"/>
        <w:rPr>
          <w:u w:val="single"/>
        </w:rPr>
      </w:pPr>
      <w:r>
        <w:rPr>
          <w:u w:val="single"/>
        </w:rPr>
        <w:t>Item [</w:t>
      </w:r>
      <w:r w:rsidR="002F7310">
        <w:rPr>
          <w:u w:val="single"/>
        </w:rPr>
        <w:t>8</w:t>
      </w:r>
      <w:r>
        <w:rPr>
          <w:u w:val="single"/>
        </w:rPr>
        <w:t>] – Schedule 1, section 4.07</w:t>
      </w:r>
    </w:p>
    <w:p w:rsidR="00664DAD" w:rsidRDefault="00F01B29" w:rsidP="00F01B29">
      <w:pPr>
        <w:spacing w:after="200"/>
        <w:rPr>
          <w:color w:val="000000"/>
        </w:rPr>
      </w:pPr>
      <w:r w:rsidRPr="00F01B29">
        <w:rPr>
          <w:color w:val="000000"/>
        </w:rPr>
        <w:t>Th</w:t>
      </w:r>
      <w:r w:rsidR="00A54AC4">
        <w:rPr>
          <w:color w:val="000000"/>
        </w:rPr>
        <w:t xml:space="preserve">is regulation </w:t>
      </w:r>
      <w:r w:rsidR="00E85491">
        <w:rPr>
          <w:sz w:val="23"/>
          <w:szCs w:val="23"/>
        </w:rPr>
        <w:t xml:space="preserve">confirms the steps undertaken by the ASADA Chief Executive Officer if it is determined that a possible </w:t>
      </w:r>
      <w:proofErr w:type="spellStart"/>
      <w:r w:rsidR="00E85491">
        <w:rPr>
          <w:sz w:val="23"/>
          <w:szCs w:val="23"/>
        </w:rPr>
        <w:t>non</w:t>
      </w:r>
      <w:r w:rsidR="00E85491">
        <w:rPr>
          <w:sz w:val="23"/>
          <w:szCs w:val="23"/>
        </w:rPr>
        <w:noBreakHyphen/>
        <w:t>presence</w:t>
      </w:r>
      <w:proofErr w:type="spellEnd"/>
      <w:r w:rsidR="00E85491">
        <w:rPr>
          <w:sz w:val="23"/>
          <w:szCs w:val="23"/>
        </w:rPr>
        <w:t xml:space="preserve"> anti-doping rule violation warrants action</w:t>
      </w:r>
      <w:r w:rsidR="00DD3779">
        <w:rPr>
          <w:color w:val="000000"/>
        </w:rPr>
        <w:t>.</w:t>
      </w:r>
    </w:p>
    <w:p w:rsidR="00664DAD" w:rsidRDefault="00664DAD" w:rsidP="00664DAD">
      <w:pPr>
        <w:spacing w:after="200" w:line="276" w:lineRule="auto"/>
        <w:rPr>
          <w:u w:val="single"/>
        </w:rPr>
      </w:pPr>
      <w:r>
        <w:rPr>
          <w:u w:val="single"/>
        </w:rPr>
        <w:t>Item [</w:t>
      </w:r>
      <w:r w:rsidR="002F7310">
        <w:rPr>
          <w:u w:val="single"/>
        </w:rPr>
        <w:t>9</w:t>
      </w:r>
      <w:r>
        <w:rPr>
          <w:u w:val="single"/>
        </w:rPr>
        <w:t xml:space="preserve">] – Schedule 1, </w:t>
      </w:r>
      <w:r w:rsidR="0003150E">
        <w:rPr>
          <w:u w:val="single"/>
        </w:rPr>
        <w:t>clause</w:t>
      </w:r>
      <w:r>
        <w:rPr>
          <w:u w:val="single"/>
        </w:rPr>
        <w:t xml:space="preserve"> 4.08</w:t>
      </w:r>
    </w:p>
    <w:p w:rsidR="00664DAD" w:rsidRPr="00A54AC4" w:rsidRDefault="00253E6B" w:rsidP="002F7310">
      <w:pPr>
        <w:spacing w:after="200"/>
        <w:rPr>
          <w:color w:val="000000"/>
        </w:rPr>
      </w:pPr>
      <w:r w:rsidRPr="00A54AC4">
        <w:rPr>
          <w:color w:val="000000"/>
        </w:rPr>
        <w:t xml:space="preserve">This regulation clarifies that the reference to other possible anti-doping rule violation is a reference to a possible </w:t>
      </w:r>
      <w:proofErr w:type="spellStart"/>
      <w:r w:rsidRPr="00A54AC4">
        <w:rPr>
          <w:color w:val="000000"/>
        </w:rPr>
        <w:t>non</w:t>
      </w:r>
      <w:r w:rsidRPr="00A54AC4">
        <w:rPr>
          <w:color w:val="000000"/>
        </w:rPr>
        <w:noBreakHyphen/>
        <w:t>presence</w:t>
      </w:r>
      <w:proofErr w:type="spellEnd"/>
      <w:r w:rsidRPr="00A54AC4">
        <w:rPr>
          <w:color w:val="000000"/>
        </w:rPr>
        <w:t xml:space="preserve"> anti-doping rule violation.</w:t>
      </w:r>
    </w:p>
    <w:p w:rsidR="002F7310" w:rsidRDefault="002F7310" w:rsidP="00CC7D8D">
      <w:pPr>
        <w:spacing w:after="200" w:line="276" w:lineRule="auto"/>
        <w:rPr>
          <w:u w:val="single"/>
        </w:rPr>
      </w:pPr>
    </w:p>
    <w:p w:rsidR="00557DA9" w:rsidRDefault="00664DAD" w:rsidP="00CC7D8D">
      <w:pPr>
        <w:spacing w:after="200" w:line="276" w:lineRule="auto"/>
        <w:rPr>
          <w:u w:val="single"/>
        </w:rPr>
      </w:pPr>
      <w:r>
        <w:rPr>
          <w:u w:val="single"/>
        </w:rPr>
        <w:t>Item [1</w:t>
      </w:r>
      <w:r w:rsidR="002F7310">
        <w:rPr>
          <w:u w:val="single"/>
        </w:rPr>
        <w:t>0</w:t>
      </w:r>
      <w:r>
        <w:rPr>
          <w:u w:val="single"/>
        </w:rPr>
        <w:t xml:space="preserve">] – Schedule 1, </w:t>
      </w:r>
      <w:r w:rsidR="0003150E">
        <w:rPr>
          <w:u w:val="single"/>
        </w:rPr>
        <w:t>clause</w:t>
      </w:r>
      <w:r>
        <w:rPr>
          <w:u w:val="single"/>
        </w:rPr>
        <w:t xml:space="preserve"> 4.09</w:t>
      </w:r>
      <w:r w:rsidR="0003150E">
        <w:rPr>
          <w:u w:val="single"/>
        </w:rPr>
        <w:t xml:space="preserve"> and 4.10</w:t>
      </w:r>
    </w:p>
    <w:p w:rsidR="0096182B" w:rsidRDefault="00557DA9" w:rsidP="0096182B">
      <w:pPr>
        <w:autoSpaceDE w:val="0"/>
        <w:autoSpaceDN w:val="0"/>
        <w:adjustRightInd w:val="0"/>
        <w:rPr>
          <w:color w:val="000000"/>
        </w:rPr>
      </w:pPr>
      <w:r>
        <w:rPr>
          <w:color w:val="000000"/>
        </w:rPr>
        <w:t xml:space="preserve">This regulation ensures that an athlete </w:t>
      </w:r>
      <w:r w:rsidR="0096182B">
        <w:rPr>
          <w:color w:val="000000"/>
        </w:rPr>
        <w:t xml:space="preserve">or support person </w:t>
      </w:r>
      <w:r>
        <w:rPr>
          <w:color w:val="000000"/>
        </w:rPr>
        <w:t xml:space="preserve">who is notified of an adverse analytical finding or a </w:t>
      </w:r>
      <w:proofErr w:type="spellStart"/>
      <w:r>
        <w:rPr>
          <w:color w:val="000000"/>
        </w:rPr>
        <w:t>non</w:t>
      </w:r>
      <w:r>
        <w:rPr>
          <w:color w:val="000000"/>
        </w:rPr>
        <w:noBreakHyphen/>
        <w:t>presence</w:t>
      </w:r>
      <w:proofErr w:type="spellEnd"/>
      <w:r>
        <w:rPr>
          <w:color w:val="000000"/>
        </w:rPr>
        <w:t xml:space="preserve"> anti-doping rule violation, is also advised if the Panel</w:t>
      </w:r>
      <w:r w:rsidR="0096182B">
        <w:rPr>
          <w:color w:val="000000"/>
        </w:rPr>
        <w:t xml:space="preserve">, after considering a submission by the athlete or support person, </w:t>
      </w:r>
      <w:r>
        <w:rPr>
          <w:color w:val="000000"/>
        </w:rPr>
        <w:t xml:space="preserve">decides not to make an entry on the Register of Findings.  </w:t>
      </w:r>
    </w:p>
    <w:p w:rsidR="0096182B" w:rsidRDefault="0096182B" w:rsidP="0096182B">
      <w:pPr>
        <w:autoSpaceDE w:val="0"/>
        <w:autoSpaceDN w:val="0"/>
        <w:adjustRightInd w:val="0"/>
        <w:rPr>
          <w:color w:val="000000"/>
        </w:rPr>
      </w:pPr>
    </w:p>
    <w:p w:rsidR="004E58AC" w:rsidRPr="004E58AC" w:rsidRDefault="004E58AC" w:rsidP="004E58AC">
      <w:pPr>
        <w:autoSpaceDE w:val="0"/>
        <w:autoSpaceDN w:val="0"/>
        <w:adjustRightInd w:val="0"/>
        <w:rPr>
          <w:color w:val="000000"/>
        </w:rPr>
      </w:pPr>
      <w:r w:rsidRPr="004E58AC">
        <w:rPr>
          <w:color w:val="000000"/>
        </w:rPr>
        <w:t xml:space="preserve">The Register of Findings is a record of findings </w:t>
      </w:r>
      <w:r>
        <w:rPr>
          <w:color w:val="000000"/>
        </w:rPr>
        <w:t xml:space="preserve">by the Panel in relation to </w:t>
      </w:r>
      <w:r w:rsidRPr="004E58AC">
        <w:rPr>
          <w:color w:val="000000"/>
        </w:rPr>
        <w:t xml:space="preserve">adverse analytical findings and </w:t>
      </w:r>
      <w:proofErr w:type="spellStart"/>
      <w:r w:rsidRPr="004E58AC">
        <w:rPr>
          <w:color w:val="000000"/>
        </w:rPr>
        <w:t>non</w:t>
      </w:r>
      <w:r w:rsidRPr="004E58AC">
        <w:rPr>
          <w:color w:val="000000"/>
        </w:rPr>
        <w:noBreakHyphen/>
        <w:t>presence</w:t>
      </w:r>
      <w:proofErr w:type="spellEnd"/>
      <w:r w:rsidRPr="004E58AC">
        <w:rPr>
          <w:color w:val="000000"/>
        </w:rPr>
        <w:t xml:space="preserve"> anti-doping rule violations.</w:t>
      </w:r>
    </w:p>
    <w:p w:rsidR="004E58AC" w:rsidRPr="004E58AC" w:rsidRDefault="004E58AC" w:rsidP="004E58AC">
      <w:pPr>
        <w:autoSpaceDE w:val="0"/>
        <w:autoSpaceDN w:val="0"/>
        <w:adjustRightInd w:val="0"/>
        <w:rPr>
          <w:i/>
          <w:color w:val="000000"/>
        </w:rPr>
      </w:pPr>
    </w:p>
    <w:p w:rsidR="00CF60EF" w:rsidRDefault="00CF60EF" w:rsidP="00CF60EF">
      <w:pPr>
        <w:autoSpaceDE w:val="0"/>
        <w:autoSpaceDN w:val="0"/>
        <w:adjustRightInd w:val="0"/>
        <w:rPr>
          <w:color w:val="000000"/>
        </w:rPr>
      </w:pPr>
      <w:r>
        <w:rPr>
          <w:color w:val="000000"/>
        </w:rPr>
        <w:t xml:space="preserve">Once the Panel decides to make an entry on the Register of Findings, the ASADA CEO is required to notify the athlete, support person and the relevant sporting administration bodies of these findings.  The relevant NSO is then required, under its rules, to take action in respect of the possible anti-doping rule violation. </w:t>
      </w:r>
    </w:p>
    <w:p w:rsidR="0096182B" w:rsidRPr="00557DA9" w:rsidRDefault="0096182B" w:rsidP="0096182B">
      <w:pPr>
        <w:autoSpaceDE w:val="0"/>
        <w:autoSpaceDN w:val="0"/>
        <w:adjustRightInd w:val="0"/>
        <w:rPr>
          <w:u w:val="single"/>
        </w:rPr>
      </w:pPr>
    </w:p>
    <w:p w:rsidR="0003150E" w:rsidRDefault="00DD1A42" w:rsidP="00F01B29">
      <w:pPr>
        <w:spacing w:after="200"/>
        <w:rPr>
          <w:color w:val="000000"/>
        </w:rPr>
      </w:pPr>
      <w:r>
        <w:rPr>
          <w:color w:val="000000"/>
        </w:rPr>
        <w:t xml:space="preserve">The regulation also </w:t>
      </w:r>
      <w:r w:rsidR="0096182B">
        <w:rPr>
          <w:color w:val="000000"/>
        </w:rPr>
        <w:t>confirms</w:t>
      </w:r>
      <w:r>
        <w:rPr>
          <w:color w:val="000000"/>
        </w:rPr>
        <w:t xml:space="preserve"> that the details of a </w:t>
      </w:r>
      <w:proofErr w:type="spellStart"/>
      <w:r>
        <w:rPr>
          <w:color w:val="000000"/>
        </w:rPr>
        <w:t>non</w:t>
      </w:r>
      <w:r>
        <w:rPr>
          <w:color w:val="000000"/>
        </w:rPr>
        <w:noBreakHyphen/>
        <w:t>presence</w:t>
      </w:r>
      <w:proofErr w:type="spellEnd"/>
      <w:r>
        <w:rPr>
          <w:color w:val="000000"/>
        </w:rPr>
        <w:t xml:space="preserve"> </w:t>
      </w:r>
      <w:proofErr w:type="spellStart"/>
      <w:r>
        <w:rPr>
          <w:color w:val="000000"/>
        </w:rPr>
        <w:t>anti</w:t>
      </w:r>
      <w:r>
        <w:rPr>
          <w:color w:val="000000"/>
        </w:rPr>
        <w:noBreakHyphen/>
        <w:t>doping</w:t>
      </w:r>
      <w:proofErr w:type="spellEnd"/>
      <w:r>
        <w:rPr>
          <w:color w:val="000000"/>
        </w:rPr>
        <w:t xml:space="preserve"> rule violation may be entered onto the Register of Findings.</w:t>
      </w:r>
    </w:p>
    <w:p w:rsidR="0003150E" w:rsidRPr="00664DAD" w:rsidRDefault="0003150E" w:rsidP="0003150E">
      <w:pPr>
        <w:spacing w:after="200" w:line="276" w:lineRule="auto"/>
        <w:rPr>
          <w:u w:val="single"/>
        </w:rPr>
      </w:pPr>
      <w:r>
        <w:rPr>
          <w:u w:val="single"/>
        </w:rPr>
        <w:t>Item [1</w:t>
      </w:r>
      <w:r w:rsidR="002F7310">
        <w:rPr>
          <w:u w:val="single"/>
        </w:rPr>
        <w:t>1</w:t>
      </w:r>
      <w:r>
        <w:rPr>
          <w:u w:val="single"/>
        </w:rPr>
        <w:t>] – Schedule 1, paragraph 4</w:t>
      </w:r>
      <w:r>
        <w:rPr>
          <w:color w:val="000000"/>
          <w:u w:val="single"/>
        </w:rPr>
        <w:t>.11 (1)</w:t>
      </w:r>
      <w:r w:rsidR="002F7310">
        <w:rPr>
          <w:color w:val="000000"/>
          <w:u w:val="single"/>
        </w:rPr>
        <w:t>(a)</w:t>
      </w:r>
    </w:p>
    <w:p w:rsidR="00CC7D8D" w:rsidRPr="00C009C6" w:rsidRDefault="00253E6B" w:rsidP="00C009C6">
      <w:pPr>
        <w:spacing w:after="200"/>
        <w:rPr>
          <w:color w:val="000000"/>
        </w:rPr>
      </w:pPr>
      <w:r w:rsidRPr="00C009C6">
        <w:rPr>
          <w:color w:val="000000"/>
        </w:rPr>
        <w:t xml:space="preserve">This regulation clarifies that the reference to other possible anti-doping rule violation is a reference to a possible </w:t>
      </w:r>
      <w:proofErr w:type="spellStart"/>
      <w:r w:rsidRPr="00C009C6">
        <w:rPr>
          <w:color w:val="000000"/>
        </w:rPr>
        <w:t>non</w:t>
      </w:r>
      <w:r w:rsidRPr="00C009C6">
        <w:rPr>
          <w:color w:val="000000"/>
        </w:rPr>
        <w:noBreakHyphen/>
        <w:t>presence</w:t>
      </w:r>
      <w:proofErr w:type="spellEnd"/>
      <w:r w:rsidRPr="00C009C6">
        <w:rPr>
          <w:color w:val="000000"/>
        </w:rPr>
        <w:t xml:space="preserve"> anti-doping rule violation.</w:t>
      </w:r>
    </w:p>
    <w:p w:rsidR="0003150E" w:rsidRPr="00664DAD" w:rsidRDefault="0003150E" w:rsidP="0003150E">
      <w:pPr>
        <w:spacing w:after="200" w:line="276" w:lineRule="auto"/>
        <w:rPr>
          <w:u w:val="single"/>
        </w:rPr>
      </w:pPr>
      <w:r>
        <w:rPr>
          <w:u w:val="single"/>
        </w:rPr>
        <w:t>Item [1</w:t>
      </w:r>
      <w:r w:rsidR="002F7310">
        <w:rPr>
          <w:u w:val="single"/>
        </w:rPr>
        <w:t>2</w:t>
      </w:r>
      <w:r>
        <w:rPr>
          <w:u w:val="single"/>
        </w:rPr>
        <w:t>] – Schedule 1, paragraph 4</w:t>
      </w:r>
      <w:r>
        <w:rPr>
          <w:color w:val="000000"/>
          <w:u w:val="single"/>
        </w:rPr>
        <w:t>.11 (2)(a)</w:t>
      </w:r>
    </w:p>
    <w:p w:rsidR="0003150E" w:rsidRPr="0003150E" w:rsidRDefault="00DD1A42" w:rsidP="005015F6">
      <w:pPr>
        <w:spacing w:after="200" w:line="276" w:lineRule="auto"/>
        <w:rPr>
          <w:bCs/>
        </w:rPr>
      </w:pPr>
      <w:r>
        <w:rPr>
          <w:bCs/>
        </w:rPr>
        <w:t xml:space="preserve">This regulation </w:t>
      </w:r>
      <w:r w:rsidR="00557DA9">
        <w:rPr>
          <w:bCs/>
        </w:rPr>
        <w:t xml:space="preserve">clarifies that the reference to other possible anti-doping rule violation </w:t>
      </w:r>
      <w:r w:rsidR="00253E6B">
        <w:rPr>
          <w:bCs/>
        </w:rPr>
        <w:t xml:space="preserve">is a reference to a possible </w:t>
      </w:r>
      <w:proofErr w:type="spellStart"/>
      <w:r w:rsidR="00253E6B">
        <w:rPr>
          <w:bCs/>
        </w:rPr>
        <w:t>non</w:t>
      </w:r>
      <w:r w:rsidR="00253E6B">
        <w:rPr>
          <w:bCs/>
        </w:rPr>
        <w:noBreakHyphen/>
        <w:t>presence</w:t>
      </w:r>
      <w:proofErr w:type="spellEnd"/>
      <w:r w:rsidR="00253E6B">
        <w:rPr>
          <w:bCs/>
        </w:rPr>
        <w:t xml:space="preserve"> anti-doping rule violation. </w:t>
      </w:r>
      <w:r>
        <w:rPr>
          <w:bCs/>
        </w:rPr>
        <w:t xml:space="preserve">   </w:t>
      </w:r>
      <w:r w:rsidR="00B63590" w:rsidRPr="005E4A43">
        <w:rPr>
          <w:bCs/>
        </w:rPr>
        <w:br w:type="page"/>
      </w:r>
    </w:p>
    <w:p w:rsidR="00B63590" w:rsidRDefault="00B63590" w:rsidP="00B63590">
      <w:pPr>
        <w:pStyle w:val="Default"/>
        <w:jc w:val="right"/>
        <w:rPr>
          <w:b/>
          <w:bCs/>
          <w:sz w:val="23"/>
          <w:szCs w:val="23"/>
        </w:rPr>
      </w:pPr>
      <w:r>
        <w:rPr>
          <w:b/>
          <w:bCs/>
          <w:sz w:val="23"/>
          <w:szCs w:val="23"/>
        </w:rPr>
        <w:lastRenderedPageBreak/>
        <w:t xml:space="preserve">ATTACHMENT B </w:t>
      </w:r>
    </w:p>
    <w:p w:rsidR="00B63590" w:rsidRDefault="00B63590" w:rsidP="00B63590">
      <w:pPr>
        <w:pStyle w:val="Default"/>
        <w:jc w:val="right"/>
        <w:rPr>
          <w:sz w:val="23"/>
          <w:szCs w:val="23"/>
        </w:rPr>
      </w:pPr>
    </w:p>
    <w:p w:rsidR="00DA7D9B" w:rsidRDefault="00720CE1" w:rsidP="00DA7D9B">
      <w:pPr>
        <w:ind w:left="720" w:hanging="720"/>
      </w:pPr>
      <w:r>
        <w:rPr>
          <w:noProof/>
        </w:rPr>
        <w:pict>
          <v:rect id="Rectangle 1" o:spid="_x0000_s1026" style="position:absolute;left:0;text-align:left;margin-left:-53.3pt;margin-top:1.4pt;width:521pt;height:6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" strokeweight="6pt">
            <v:stroke linestyle="thickBetweenThin"/>
            <v:textbox inset="5mm,,5mm">
              <w:txbxContent>
                <w:p w:rsidR="00EA0B37" w:rsidRPr="00E4135E" w:rsidRDefault="00EA0B37" w:rsidP="00DA7D9B">
                  <w:pPr>
                    <w:spacing w:before="360" w:after="120"/>
                    <w:jc w:val="center"/>
                    <w:rPr>
                      <w:b/>
                      <w:sz w:val="28"/>
                      <w:szCs w:val="28"/>
                    </w:rPr>
                  </w:pPr>
                  <w:r w:rsidRPr="00E4135E">
                    <w:rPr>
                      <w:b/>
                      <w:sz w:val="28"/>
                      <w:szCs w:val="28"/>
                    </w:rPr>
                    <w:t>Statement of Compatibility with Human Rights</w:t>
                  </w:r>
                </w:p>
                <w:p w:rsidR="00EA0B37" w:rsidRPr="00E4135E" w:rsidRDefault="00EA0B37" w:rsidP="00DA7D9B">
                  <w:pPr>
                    <w:spacing w:before="120" w:after="120"/>
                    <w:jc w:val="center"/>
                  </w:pPr>
                  <w:r w:rsidRPr="00E4135E">
                    <w:rPr>
                      <w:i/>
                    </w:rPr>
                    <w:t>Prepared in accordance with Part 3 of the Human Rights (Parliamentary Scrutiny) Act 2011</w:t>
                  </w:r>
                </w:p>
                <w:p w:rsidR="00EA0B37" w:rsidRPr="00E4135E" w:rsidRDefault="00EA0B37" w:rsidP="00DA7D9B">
                  <w:pPr>
                    <w:spacing w:before="120" w:after="120"/>
                    <w:jc w:val="center"/>
                  </w:pPr>
                </w:p>
                <w:p w:rsidR="00EA0B37" w:rsidRPr="00E4135E" w:rsidRDefault="00EA0B37" w:rsidP="00DA7D9B">
                  <w:pPr>
                    <w:spacing w:before="120" w:after="120"/>
                    <w:jc w:val="center"/>
                    <w:rPr>
                      <w:b/>
                    </w:rPr>
                  </w:pPr>
                  <w:r>
                    <w:rPr>
                      <w:b/>
                    </w:rPr>
                    <w:t>Australian Sports Anti-Doping Authority Amendment Regulation 2012</w:t>
                  </w:r>
                  <w:r w:rsidR="006728B2">
                    <w:rPr>
                      <w:b/>
                    </w:rPr>
                    <w:t xml:space="preserve"> (No. 1)</w:t>
                  </w:r>
                </w:p>
                <w:p w:rsidR="00EA0B37" w:rsidRPr="00E4135E" w:rsidRDefault="00EA0B37" w:rsidP="00DA7D9B">
                  <w:pPr>
                    <w:spacing w:before="120" w:after="120"/>
                    <w:jc w:val="center"/>
                  </w:pPr>
                </w:p>
                <w:p w:rsidR="00EA0B37" w:rsidRPr="00E4135E" w:rsidRDefault="00EA0B37" w:rsidP="00DA7D9B">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EA0B37" w:rsidRPr="00E4135E" w:rsidRDefault="00EA0B37" w:rsidP="00DA7D9B">
                  <w:pPr>
                    <w:spacing w:before="120" w:after="120"/>
                    <w:jc w:val="center"/>
                  </w:pPr>
                </w:p>
                <w:p w:rsidR="00EA0B37" w:rsidRPr="00E4135E" w:rsidRDefault="00EA0B37" w:rsidP="00DA7D9B">
                  <w:pPr>
                    <w:spacing w:before="120" w:after="120"/>
                    <w:jc w:val="both"/>
                    <w:rPr>
                      <w:b/>
                    </w:rPr>
                  </w:pPr>
                  <w:r w:rsidRPr="00E4135E">
                    <w:rPr>
                      <w:b/>
                    </w:rPr>
                    <w:t>Overview of the Legislative Instrument</w:t>
                  </w:r>
                </w:p>
                <w:p w:rsidR="00EA0B37" w:rsidRDefault="00EA0B37" w:rsidP="00DA7D9B">
                  <w:pPr>
                    <w:spacing w:before="120" w:after="120"/>
                  </w:pPr>
                  <w:r w:rsidRPr="00E4135E">
                    <w:t xml:space="preserve">This Legislative Instrument </w:t>
                  </w:r>
                  <w:r w:rsidRPr="00BB4497">
                    <w:t xml:space="preserve">will clarify the intended role </w:t>
                  </w:r>
                  <w:r>
                    <w:t xml:space="preserve">and responsibilities </w:t>
                  </w:r>
                  <w:r w:rsidRPr="00BB4497">
                    <w:t xml:space="preserve">of the </w:t>
                  </w:r>
                  <w:proofErr w:type="spellStart"/>
                  <w:r w:rsidRPr="00BB4497">
                    <w:t>Anti</w:t>
                  </w:r>
                  <w:r>
                    <w:noBreakHyphen/>
                  </w:r>
                  <w:r w:rsidRPr="00BB4497">
                    <w:t>Doping</w:t>
                  </w:r>
                  <w:proofErr w:type="spellEnd"/>
                  <w:r w:rsidRPr="00BB4497">
                    <w:t xml:space="preserve"> Rule Violation Panel within Australia’s anti-doping regime</w:t>
                  </w:r>
                  <w:r>
                    <w:t xml:space="preserve">.  The amendments include </w:t>
                  </w:r>
                  <w:r w:rsidRPr="00A24191">
                    <w:t>explicitly</w:t>
                  </w:r>
                  <w:r>
                    <w:t xml:space="preserve"> </w:t>
                  </w:r>
                  <w:r w:rsidRPr="00A24191">
                    <w:t>setting out the functions of the Panel</w:t>
                  </w:r>
                  <w:r>
                    <w:t xml:space="preserve"> and removing any doubt that</w:t>
                  </w:r>
                  <w:r w:rsidRPr="00A24191">
                    <w:t xml:space="preserve"> the Panel is not a hearing body under Article 8 of the World Anti-Doping Code.</w:t>
                  </w:r>
                  <w:r>
                    <w:t xml:space="preserve">  The amendments also </w:t>
                  </w:r>
                  <w:r w:rsidRPr="00A24191">
                    <w:t>redefin</w:t>
                  </w:r>
                  <w:r>
                    <w:t>e</w:t>
                  </w:r>
                  <w:r w:rsidRPr="00A24191">
                    <w:t xml:space="preserve"> the term “finding” to make it clear that the Panel’s finding is not the final decision </w:t>
                  </w:r>
                  <w:r>
                    <w:t>in relation to</w:t>
                  </w:r>
                  <w:r w:rsidRPr="00A24191">
                    <w:t xml:space="preserve"> a doping offence</w:t>
                  </w:r>
                  <w:r>
                    <w:t>.</w:t>
                  </w:r>
                </w:p>
                <w:p w:rsidR="00EA0B37" w:rsidRPr="00A24191" w:rsidRDefault="00EA0B37" w:rsidP="00DA7D9B">
                  <w:pPr>
                    <w:spacing w:before="120" w:after="120"/>
                  </w:pPr>
                  <w:r>
                    <w:t xml:space="preserve">The amendments also include </w:t>
                  </w:r>
                  <w:r w:rsidRPr="00A24191">
                    <w:t>recognising the role of sporting organisations in determining whether an ant</w:t>
                  </w:r>
                  <w:r>
                    <w:t xml:space="preserve">i-doping rule violation </w:t>
                  </w:r>
                  <w:r w:rsidRPr="00A24191">
                    <w:t>has been committed, and the consequences that flow from that breach</w:t>
                  </w:r>
                  <w:r>
                    <w:t>.</w:t>
                  </w:r>
                </w:p>
                <w:p w:rsidR="00EA0B37" w:rsidRPr="00CA2B84" w:rsidRDefault="00EA0B37" w:rsidP="00DA7D9B">
                  <w:pPr>
                    <w:spacing w:before="120" w:after="120"/>
                  </w:pPr>
                  <w:r w:rsidRPr="00CA2B84">
                    <w:t>None of these amendments make any substantive changes to the law.</w:t>
                  </w:r>
                </w:p>
                <w:p w:rsidR="00EA0B37" w:rsidRDefault="00EA0B37" w:rsidP="00DA7D9B">
                  <w:pPr>
                    <w:spacing w:before="120" w:after="120"/>
                    <w:rPr>
                      <w:b/>
                    </w:rPr>
                  </w:pPr>
                </w:p>
                <w:p w:rsidR="00EA0B37" w:rsidRPr="00E4135E" w:rsidRDefault="00EA0B37" w:rsidP="00DA7D9B">
                  <w:pPr>
                    <w:spacing w:before="120" w:after="120"/>
                    <w:rPr>
                      <w:b/>
                    </w:rPr>
                  </w:pPr>
                  <w:r w:rsidRPr="00E4135E">
                    <w:rPr>
                      <w:b/>
                    </w:rPr>
                    <w:t>Human rights implications</w:t>
                  </w:r>
                </w:p>
                <w:p w:rsidR="00EA0B37" w:rsidRDefault="00EA0B37" w:rsidP="00DA7D9B">
                  <w:pPr>
                    <w:spacing w:before="120" w:after="120"/>
                  </w:pPr>
                  <w:r w:rsidRPr="00E4135E">
                    <w:t>This Legislative Instrument does not engage any of the applicable rights or freedoms.</w:t>
                  </w:r>
                </w:p>
                <w:p w:rsidR="00EA0B37" w:rsidRDefault="00EA0B37" w:rsidP="00DA7D9B">
                  <w:pPr>
                    <w:spacing w:before="120" w:after="120"/>
                  </w:pPr>
                </w:p>
                <w:p w:rsidR="00EA0B37" w:rsidRDefault="00EA0B37" w:rsidP="00DA7D9B">
                  <w:pPr>
                    <w:spacing w:before="120" w:after="120"/>
                    <w:rPr>
                      <w:b/>
                    </w:rPr>
                  </w:pPr>
                  <w:r w:rsidRPr="00E4135E">
                    <w:rPr>
                      <w:b/>
                    </w:rPr>
                    <w:t>Conclusion</w:t>
                  </w:r>
                </w:p>
                <w:p w:rsidR="00EA0B37" w:rsidRPr="00E4135E" w:rsidRDefault="00EA0B37" w:rsidP="00DA7D9B">
                  <w:pPr>
                    <w:spacing w:before="120" w:after="120"/>
                  </w:pPr>
                  <w:r w:rsidRPr="00E4135E">
                    <w:t>This Legislative Instrument is compatible with human rights as it does not raise any human rights issues.</w:t>
                  </w:r>
                </w:p>
                <w:p w:rsidR="00EA0B37" w:rsidRPr="00E4135E" w:rsidRDefault="00EA0B37" w:rsidP="00DA7D9B">
                  <w:pPr>
                    <w:spacing w:before="120" w:after="120"/>
                    <w:rPr>
                      <w:b/>
                    </w:rPr>
                  </w:pPr>
                </w:p>
                <w:p w:rsidR="00EA0B37" w:rsidRDefault="00EA0B37" w:rsidP="00DA7D9B">
                  <w:pPr>
                    <w:spacing w:before="120" w:after="120"/>
                    <w:jc w:val="center"/>
                  </w:pPr>
                </w:p>
                <w:p w:rsidR="00EA0B37" w:rsidRPr="00E4135E" w:rsidRDefault="00EA0B37" w:rsidP="00DA7D9B">
                  <w:pPr>
                    <w:spacing w:before="120" w:after="120"/>
                    <w:jc w:val="center"/>
                  </w:pPr>
                  <w:r>
                    <w:rPr>
                      <w:b/>
                    </w:rPr>
                    <w:t>Senator the Hon Kate Lundy, Minister for Sport</w:t>
                  </w:r>
                </w:p>
              </w:txbxContent>
            </v:textbox>
          </v:rect>
        </w:pict>
      </w: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DA7D9B" w:rsidRDefault="00DA7D9B" w:rsidP="00DA7D9B">
      <w:pPr>
        <w:ind w:left="720" w:hanging="720"/>
      </w:pPr>
    </w:p>
    <w:p w:rsidR="0025414B" w:rsidRPr="00346399" w:rsidRDefault="0025414B" w:rsidP="00B63590"/>
    <w:sectPr w:rsidR="0025414B" w:rsidRPr="00346399" w:rsidSect="00DF14E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EF" w:rsidRDefault="00CF60EF" w:rsidP="003B034F">
      <w:r>
        <w:separator/>
      </w:r>
    </w:p>
  </w:endnote>
  <w:endnote w:type="continuationSeparator" w:id="0">
    <w:p w:rsidR="00CF60EF" w:rsidRDefault="00CF60EF" w:rsidP="003B0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4441"/>
      <w:docPartObj>
        <w:docPartGallery w:val="Page Numbers (Bottom of Page)"/>
        <w:docPartUnique/>
      </w:docPartObj>
    </w:sdtPr>
    <w:sdtContent>
      <w:p w:rsidR="00CF60EF" w:rsidRDefault="00720CE1">
        <w:pPr>
          <w:pStyle w:val="Footer"/>
          <w:jc w:val="right"/>
        </w:pPr>
        <w:r>
          <w:fldChar w:fldCharType="begin"/>
        </w:r>
        <w:r w:rsidR="00CF60EF">
          <w:instrText xml:space="preserve"> PAGE   \* MERGEFORMAT </w:instrText>
        </w:r>
        <w:r>
          <w:fldChar w:fldCharType="separate"/>
        </w:r>
        <w:r w:rsidR="006728B2">
          <w:rPr>
            <w:noProof/>
          </w:rPr>
          <w:t>1</w:t>
        </w:r>
        <w:r>
          <w:rPr>
            <w:noProof/>
          </w:rPr>
          <w:fldChar w:fldCharType="end"/>
        </w:r>
      </w:p>
    </w:sdtContent>
  </w:sdt>
  <w:p w:rsidR="00CF60EF" w:rsidRDefault="00CF6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EF" w:rsidRDefault="00CF60EF" w:rsidP="003B034F">
      <w:r>
        <w:separator/>
      </w:r>
    </w:p>
  </w:footnote>
  <w:footnote w:type="continuationSeparator" w:id="0">
    <w:p w:rsidR="00CF60EF" w:rsidRDefault="00CF60EF" w:rsidP="003B0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5CEE"/>
    <w:multiLevelType w:val="hybridMultilevel"/>
    <w:tmpl w:val="BB2E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D52521"/>
    <w:multiLevelType w:val="hybridMultilevel"/>
    <w:tmpl w:val="052A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65201EC"/>
    <w:multiLevelType w:val="hybridMultilevel"/>
    <w:tmpl w:val="F096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A05E67"/>
    <w:rsid w:val="0001486F"/>
    <w:rsid w:val="0003150E"/>
    <w:rsid w:val="001252C2"/>
    <w:rsid w:val="00253E6B"/>
    <w:rsid w:val="0025414B"/>
    <w:rsid w:val="00274689"/>
    <w:rsid w:val="002A4F8C"/>
    <w:rsid w:val="002A63CB"/>
    <w:rsid w:val="002C2CDE"/>
    <w:rsid w:val="002C3210"/>
    <w:rsid w:val="002F7310"/>
    <w:rsid w:val="00305CCE"/>
    <w:rsid w:val="003364D3"/>
    <w:rsid w:val="00345AAA"/>
    <w:rsid w:val="00346399"/>
    <w:rsid w:val="00362176"/>
    <w:rsid w:val="00380A37"/>
    <w:rsid w:val="00396E55"/>
    <w:rsid w:val="003B034F"/>
    <w:rsid w:val="003B4AD8"/>
    <w:rsid w:val="00492C0F"/>
    <w:rsid w:val="004D0DE0"/>
    <w:rsid w:val="004E58AC"/>
    <w:rsid w:val="004F4A14"/>
    <w:rsid w:val="005015F6"/>
    <w:rsid w:val="0054279C"/>
    <w:rsid w:val="005507EF"/>
    <w:rsid w:val="00557DA9"/>
    <w:rsid w:val="005E4A43"/>
    <w:rsid w:val="005F62A2"/>
    <w:rsid w:val="0063445D"/>
    <w:rsid w:val="0064762A"/>
    <w:rsid w:val="00664DAD"/>
    <w:rsid w:val="00666329"/>
    <w:rsid w:val="006728B2"/>
    <w:rsid w:val="0067645A"/>
    <w:rsid w:val="006A1FAB"/>
    <w:rsid w:val="006B0F50"/>
    <w:rsid w:val="006B12F3"/>
    <w:rsid w:val="006D56F6"/>
    <w:rsid w:val="006E5060"/>
    <w:rsid w:val="007176F9"/>
    <w:rsid w:val="00717807"/>
    <w:rsid w:val="00717858"/>
    <w:rsid w:val="00720CE1"/>
    <w:rsid w:val="00740732"/>
    <w:rsid w:val="00744213"/>
    <w:rsid w:val="00751F24"/>
    <w:rsid w:val="007B25E4"/>
    <w:rsid w:val="007E567F"/>
    <w:rsid w:val="007F1408"/>
    <w:rsid w:val="00815DE8"/>
    <w:rsid w:val="008174DA"/>
    <w:rsid w:val="00837189"/>
    <w:rsid w:val="00877F28"/>
    <w:rsid w:val="008852DE"/>
    <w:rsid w:val="008D1FCF"/>
    <w:rsid w:val="00915A84"/>
    <w:rsid w:val="009364D7"/>
    <w:rsid w:val="009506F3"/>
    <w:rsid w:val="0096182B"/>
    <w:rsid w:val="009D1B2C"/>
    <w:rsid w:val="009D2155"/>
    <w:rsid w:val="00A05E67"/>
    <w:rsid w:val="00A52133"/>
    <w:rsid w:val="00A54AC4"/>
    <w:rsid w:val="00AD6744"/>
    <w:rsid w:val="00AE3009"/>
    <w:rsid w:val="00B474B0"/>
    <w:rsid w:val="00B63590"/>
    <w:rsid w:val="00B96E3B"/>
    <w:rsid w:val="00BA7748"/>
    <w:rsid w:val="00BC0F42"/>
    <w:rsid w:val="00C009C6"/>
    <w:rsid w:val="00C04136"/>
    <w:rsid w:val="00C72A47"/>
    <w:rsid w:val="00C86852"/>
    <w:rsid w:val="00CA1C70"/>
    <w:rsid w:val="00CC394A"/>
    <w:rsid w:val="00CC7D8D"/>
    <w:rsid w:val="00CE1284"/>
    <w:rsid w:val="00CF60EF"/>
    <w:rsid w:val="00D31FDB"/>
    <w:rsid w:val="00D50B89"/>
    <w:rsid w:val="00D5458E"/>
    <w:rsid w:val="00D61798"/>
    <w:rsid w:val="00DA7D9B"/>
    <w:rsid w:val="00DD1A42"/>
    <w:rsid w:val="00DD3779"/>
    <w:rsid w:val="00DF14E9"/>
    <w:rsid w:val="00E332BB"/>
    <w:rsid w:val="00E6226F"/>
    <w:rsid w:val="00E85491"/>
    <w:rsid w:val="00EA0B37"/>
    <w:rsid w:val="00EA69DE"/>
    <w:rsid w:val="00F01B29"/>
    <w:rsid w:val="00F3105A"/>
    <w:rsid w:val="00FB2604"/>
    <w:rsid w:val="00FC6264"/>
    <w:rsid w:val="00FE6CD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semiHidden/>
    <w:unhideWhenUsed/>
    <w:rsid w:val="003B034F"/>
    <w:pPr>
      <w:tabs>
        <w:tab w:val="center" w:pos="4513"/>
        <w:tab w:val="right" w:pos="9026"/>
      </w:tabs>
    </w:pPr>
  </w:style>
  <w:style w:type="character" w:customStyle="1" w:styleId="HeaderChar">
    <w:name w:val="Header Char"/>
    <w:basedOn w:val="DefaultParagraphFont"/>
    <w:link w:val="Header"/>
    <w:uiPriority w:val="99"/>
    <w:semiHidden/>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basedOn w:val="Normal"/>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semiHidden/>
    <w:unhideWhenUsed/>
    <w:rsid w:val="003B034F"/>
    <w:pPr>
      <w:tabs>
        <w:tab w:val="center" w:pos="4513"/>
        <w:tab w:val="right" w:pos="9026"/>
      </w:tabs>
    </w:pPr>
  </w:style>
  <w:style w:type="character" w:customStyle="1" w:styleId="HeaderChar">
    <w:name w:val="Header Char"/>
    <w:basedOn w:val="DefaultParagraphFont"/>
    <w:link w:val="Header"/>
    <w:uiPriority w:val="99"/>
    <w:semiHidden/>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basedOn w:val="Normal"/>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1242956503">
      <w:bodyDiv w:val="1"/>
      <w:marLeft w:val="0"/>
      <w:marRight w:val="0"/>
      <w:marTop w:val="0"/>
      <w:marBottom w:val="0"/>
      <w:divBdr>
        <w:top w:val="none" w:sz="0" w:space="0" w:color="auto"/>
        <w:left w:val="none" w:sz="0" w:space="0" w:color="auto"/>
        <w:bottom w:val="none" w:sz="0" w:space="0" w:color="auto"/>
        <w:right w:val="none" w:sz="0" w:space="0" w:color="auto"/>
      </w:divBdr>
    </w:div>
    <w:div w:id="18193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thmclaren</dc:creator>
  <cp:lastModifiedBy>gobbid</cp:lastModifiedBy>
  <cp:revision>3</cp:revision>
  <cp:lastPrinted>2012-11-28T01:32:00Z</cp:lastPrinted>
  <dcterms:created xsi:type="dcterms:W3CDTF">2012-12-05T03:26:00Z</dcterms:created>
  <dcterms:modified xsi:type="dcterms:W3CDTF">2012-12-06T05:45:00Z</dcterms:modified>
</cp:coreProperties>
</file>